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C3DCCD8" w14:textId="77777777" w:rsidTr="00BF1190">
        <w:trPr>
          <w:trHeight w:val="1863"/>
        </w:trPr>
        <w:tc>
          <w:tcPr>
            <w:tcW w:w="3652" w:type="dxa"/>
            <w:tcBorders>
              <w:top w:val="nil"/>
              <w:left w:val="nil"/>
              <w:bottom w:val="nil"/>
              <w:right w:val="nil"/>
            </w:tcBorders>
          </w:tcPr>
          <w:p w14:paraId="4C3DCCD7" w14:textId="4DFB3B21" w:rsidR="008E7846" w:rsidRPr="00096AA7" w:rsidRDefault="00637905" w:rsidP="001F3FD2">
            <w:pPr>
              <w:rPr>
                <w:rFonts w:ascii="Arial" w:hAnsi="Arial" w:cs="Arial"/>
                <w:b/>
                <w:color w:val="002C47"/>
                <w:sz w:val="36"/>
                <w:szCs w:val="36"/>
              </w:rPr>
            </w:pPr>
            <w:r>
              <w:rPr>
                <w:rFonts w:ascii="Arial" w:hAnsi="Arial" w:cs="Arial"/>
                <w:b/>
                <w:color w:val="002C47"/>
                <w:sz w:val="36"/>
                <w:szCs w:val="36"/>
              </w:rPr>
              <w:t xml:space="preserve">May </w:t>
            </w:r>
            <w:r w:rsidR="001F3FD2">
              <w:rPr>
                <w:rFonts w:ascii="Arial" w:hAnsi="Arial" w:cs="Arial"/>
                <w:b/>
                <w:color w:val="002C47"/>
                <w:sz w:val="36"/>
                <w:szCs w:val="36"/>
              </w:rPr>
              <w:t>2017</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C3DCCDA" w14:textId="77777777" w:rsidTr="0032583B">
        <w:trPr>
          <w:trHeight w:val="868"/>
        </w:trPr>
        <w:tc>
          <w:tcPr>
            <w:tcW w:w="9079" w:type="dxa"/>
          </w:tcPr>
          <w:p w14:paraId="4C3DCCD9" w14:textId="77777777" w:rsidR="0032583B" w:rsidRPr="00A964D1" w:rsidRDefault="0032583B" w:rsidP="00503CDB">
            <w:pPr>
              <w:pStyle w:val="Title"/>
              <w:rPr>
                <w:color w:val="FFFFFF" w:themeColor="background1"/>
              </w:rPr>
            </w:pPr>
            <w:r w:rsidRPr="00A964D1">
              <w:rPr>
                <w:color w:val="FFFFFF" w:themeColor="background1"/>
              </w:rPr>
              <w:t xml:space="preserve">Australian Public Assessment Report for </w:t>
            </w:r>
            <w:proofErr w:type="spellStart"/>
            <w:r w:rsidR="00503CDB" w:rsidRPr="00503CDB">
              <w:rPr>
                <w:color w:val="FFFFFF" w:themeColor="background1"/>
              </w:rPr>
              <w:t>Grazoprevir</w:t>
            </w:r>
            <w:proofErr w:type="spellEnd"/>
            <w:r w:rsidR="00503CDB" w:rsidRPr="00503CDB">
              <w:rPr>
                <w:color w:val="FFFFFF" w:themeColor="background1"/>
              </w:rPr>
              <w:t xml:space="preserve"> / </w:t>
            </w:r>
            <w:proofErr w:type="spellStart"/>
            <w:r w:rsidR="00503CDB" w:rsidRPr="00503CDB">
              <w:rPr>
                <w:color w:val="FFFFFF" w:themeColor="background1"/>
              </w:rPr>
              <w:t>Elbasvir</w:t>
            </w:r>
            <w:proofErr w:type="spellEnd"/>
          </w:p>
        </w:tc>
      </w:tr>
      <w:tr w:rsidR="0032583B" w:rsidRPr="00B64760" w14:paraId="4C3DCCDC" w14:textId="77777777" w:rsidTr="0032583B">
        <w:tc>
          <w:tcPr>
            <w:tcW w:w="9079" w:type="dxa"/>
          </w:tcPr>
          <w:p w14:paraId="4C3DCCDB" w14:textId="77777777" w:rsidR="0032583B" w:rsidRPr="008E7846" w:rsidRDefault="0032583B" w:rsidP="001F3FD2">
            <w:pPr>
              <w:pStyle w:val="Subtitle"/>
              <w:rPr>
                <w:color w:val="FFFFFF" w:themeColor="background1"/>
              </w:rPr>
            </w:pPr>
            <w:r w:rsidRPr="008E7846">
              <w:rPr>
                <w:color w:val="FFFFFF" w:themeColor="background1"/>
              </w:rPr>
              <w:t xml:space="preserve">Proprietary Product Name: </w:t>
            </w:r>
            <w:proofErr w:type="spellStart"/>
            <w:r w:rsidR="001F3FD2">
              <w:rPr>
                <w:color w:val="FFFFFF" w:themeColor="background1"/>
              </w:rPr>
              <w:t>Zepatier</w:t>
            </w:r>
            <w:proofErr w:type="spellEnd"/>
            <w:r w:rsidRPr="008E7846">
              <w:rPr>
                <w:color w:val="FFFFFF" w:themeColor="background1"/>
              </w:rPr>
              <w:t xml:space="preserve"> </w:t>
            </w:r>
          </w:p>
        </w:tc>
      </w:tr>
      <w:tr w:rsidR="0032583B" w:rsidRPr="00B64760" w14:paraId="4C3DCCDE" w14:textId="77777777" w:rsidTr="0032583B">
        <w:trPr>
          <w:trHeight w:val="486"/>
        </w:trPr>
        <w:tc>
          <w:tcPr>
            <w:tcW w:w="9079" w:type="dxa"/>
          </w:tcPr>
          <w:p w14:paraId="4C3DCCDD" w14:textId="77777777" w:rsidR="0032583B" w:rsidRPr="008E7846" w:rsidRDefault="0032583B" w:rsidP="001F3FD2">
            <w:pPr>
              <w:pStyle w:val="Subtitle"/>
              <w:rPr>
                <w:color w:val="FFFFFF" w:themeColor="background1"/>
              </w:rPr>
            </w:pPr>
            <w:r w:rsidRPr="008E7846">
              <w:rPr>
                <w:color w:val="FFFFFF" w:themeColor="background1"/>
              </w:rPr>
              <w:t xml:space="preserve">Sponsor: </w:t>
            </w:r>
            <w:r w:rsidR="001F3FD2" w:rsidRPr="001F3FD2">
              <w:rPr>
                <w:color w:val="FFFFFF" w:themeColor="background1"/>
              </w:rPr>
              <w:t xml:space="preserve">Merck Sharp and </w:t>
            </w:r>
            <w:proofErr w:type="spellStart"/>
            <w:r w:rsidR="001F3FD2" w:rsidRPr="001F3FD2">
              <w:rPr>
                <w:color w:val="FFFFFF" w:themeColor="background1"/>
              </w:rPr>
              <w:t>Dohme</w:t>
            </w:r>
            <w:proofErr w:type="spellEnd"/>
            <w:r w:rsidR="001F3FD2" w:rsidRPr="001F3FD2">
              <w:rPr>
                <w:color w:val="FFFFFF" w:themeColor="background1"/>
              </w:rPr>
              <w:t xml:space="preserve"> (Australia) Pty Limited</w:t>
            </w:r>
            <w:r w:rsidR="00D80B0A">
              <w:rPr>
                <w:color w:val="FFFFFF" w:themeColor="background1"/>
              </w:rPr>
              <w:t xml:space="preserve"> </w:t>
            </w:r>
          </w:p>
        </w:tc>
      </w:tr>
    </w:tbl>
    <w:p w14:paraId="4C3DCCDF" w14:textId="77777777" w:rsidR="008E7846" w:rsidRPr="0085156D" w:rsidRDefault="008E7846" w:rsidP="0085156D">
      <w:r w:rsidRPr="0085156D">
        <w:br w:type="page"/>
      </w:r>
    </w:p>
    <w:p w14:paraId="4C3DCCE0" w14:textId="77777777" w:rsidR="008E7846" w:rsidRPr="001F6CBA" w:rsidRDefault="008E7846" w:rsidP="008E7846">
      <w:pPr>
        <w:pStyle w:val="NonTOCHeading2"/>
      </w:pPr>
      <w:r w:rsidRPr="001F6CBA">
        <w:lastRenderedPageBreak/>
        <w:t>About the Therapeutic Goods Administration (TGA)</w:t>
      </w:r>
    </w:p>
    <w:p w14:paraId="4C3DCCE1" w14:textId="77777777" w:rsidR="008E7846" w:rsidRDefault="008E7846" w:rsidP="0060026A">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C3DCCE2" w14:textId="77777777" w:rsidR="008E7846" w:rsidRDefault="00C80137" w:rsidP="0060026A">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C3DCCE3" w14:textId="77777777" w:rsidR="008E7846" w:rsidRDefault="008E7846" w:rsidP="0060026A">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C3DCCE4" w14:textId="77777777" w:rsidR="008E7846" w:rsidRDefault="008E7846" w:rsidP="0060026A">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C3DCCE5" w14:textId="77777777" w:rsidR="00441C3F" w:rsidRDefault="008E7846" w:rsidP="0060026A">
      <w:pPr>
        <w:pStyle w:val="ListBullet"/>
        <w:numPr>
          <w:ilvl w:val="0"/>
          <w:numId w:val="1"/>
        </w:numPr>
        <w:ind w:left="357" w:hanging="357"/>
      </w:pPr>
      <w:r>
        <w:t xml:space="preserve">To report a problem with a medicine or medical device, please see the information on </w:t>
      </w:r>
      <w:r w:rsidR="00441C3F">
        <w:t>the TGA website &lt;</w:t>
      </w:r>
      <w:hyperlink r:id="rId14" w:history="1">
        <w:r w:rsidR="00441C3F">
          <w:rPr>
            <w:rStyle w:val="Hyperlink"/>
          </w:rPr>
          <w:t>https://www.tga.gov.au</w:t>
        </w:r>
      </w:hyperlink>
      <w:r w:rsidR="00441C3F">
        <w:t>&gt;.</w:t>
      </w:r>
    </w:p>
    <w:p w14:paraId="4C3DCCE6" w14:textId="77777777" w:rsidR="008E7846" w:rsidRDefault="008E7846" w:rsidP="00875A6B">
      <w:pPr>
        <w:pStyle w:val="NonTOCHeading2"/>
      </w:pPr>
      <w:r>
        <w:t>About AusPARs</w:t>
      </w:r>
    </w:p>
    <w:p w14:paraId="4C3DCCE7" w14:textId="77777777" w:rsidR="008E7846" w:rsidRDefault="008E7846" w:rsidP="0060026A">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C3DCCE8" w14:textId="77777777" w:rsidR="008E7846" w:rsidRDefault="008E7846" w:rsidP="0060026A">
      <w:pPr>
        <w:pStyle w:val="ListBullet"/>
        <w:numPr>
          <w:ilvl w:val="0"/>
          <w:numId w:val="1"/>
        </w:numPr>
        <w:ind w:left="357" w:hanging="357"/>
      </w:pPr>
      <w:r>
        <w:t>AusPARs are prepared and published by the TGA.</w:t>
      </w:r>
    </w:p>
    <w:p w14:paraId="4C3DCCE9" w14:textId="77777777" w:rsidR="008E7846" w:rsidRDefault="008E7846" w:rsidP="0060026A">
      <w:pPr>
        <w:pStyle w:val="ListBullet"/>
        <w:numPr>
          <w:ilvl w:val="0"/>
          <w:numId w:val="1"/>
        </w:numPr>
        <w:ind w:left="357" w:hanging="357"/>
      </w:pPr>
      <w:r>
        <w:t>An AusPAR is prepared for submissions that relate to new chemical entities, generic medicines, major variations and extensions of indications.</w:t>
      </w:r>
    </w:p>
    <w:p w14:paraId="4C3DCCEA" w14:textId="77777777" w:rsidR="008E7846" w:rsidRDefault="008E7846" w:rsidP="0060026A">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C3DCCEB" w14:textId="77777777" w:rsidR="00B452CE" w:rsidRDefault="008E7846" w:rsidP="0060026A">
      <w:pPr>
        <w:pStyle w:val="ListBullet"/>
        <w:numPr>
          <w:ilvl w:val="0"/>
          <w:numId w:val="1"/>
        </w:numPr>
        <w:ind w:left="357" w:hanging="357"/>
      </w:pPr>
      <w:r>
        <w:t>A new AusPAR will be developed to reflect changes to indications and/or major variations to a prescription medicine subject to evaluation by the TGA.</w:t>
      </w:r>
    </w:p>
    <w:p w14:paraId="4C3DCCEC" w14:textId="77777777" w:rsidR="00924482" w:rsidRPr="00DF1D7F" w:rsidRDefault="00924482" w:rsidP="00F54B65">
      <w:pPr>
        <w:pStyle w:val="LegalSubheading"/>
        <w:spacing w:before="3120"/>
      </w:pPr>
      <w:r w:rsidRPr="00DF1D7F">
        <w:t>Copyright</w:t>
      </w:r>
    </w:p>
    <w:p w14:paraId="4C3DCCED" w14:textId="0B0EBCFC" w:rsidR="00924482" w:rsidRDefault="00924482" w:rsidP="00924482">
      <w:pPr>
        <w:pStyle w:val="LegalCopy"/>
      </w:pPr>
      <w:r w:rsidRPr="00191B3B">
        <w:rPr>
          <w:rFonts w:cs="Arial"/>
          <w:lang w:val="en-GB"/>
        </w:rPr>
        <w:t>© Comm</w:t>
      </w:r>
      <w:r>
        <w:rPr>
          <w:rFonts w:cs="Arial"/>
          <w:lang w:val="en-GB"/>
        </w:rPr>
        <w:t>onwealth of Australia 201</w:t>
      </w:r>
      <w:r w:rsidR="00817A61">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5" w:history="1">
        <w:r w:rsidRPr="00191B3B">
          <w:rPr>
            <w:rStyle w:val="Hyperlink"/>
            <w:rFonts w:cs="Arial"/>
            <w:lang w:val="en-GB"/>
          </w:rPr>
          <w:t>tga.copyright@tga.gov.au</w:t>
        </w:r>
      </w:hyperlink>
      <w:r w:rsidRPr="00191B3B">
        <w:rPr>
          <w:rFonts w:cs="Arial"/>
        </w:rPr>
        <w:t>&gt;.</w:t>
      </w:r>
    </w:p>
    <w:p w14:paraId="4C3DCCEE" w14:textId="77777777" w:rsidR="00924482" w:rsidRDefault="00924482" w:rsidP="00924482">
      <w:pPr>
        <w:pStyle w:val="LegalCopy"/>
        <w:sectPr w:rsidR="00924482" w:rsidSect="003D1E62">
          <w:headerReference w:type="default" r:id="rId16"/>
          <w:footerReference w:type="default" r:id="rId17"/>
          <w:head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C3DCCEF" w14:textId="77777777" w:rsidR="0089635C" w:rsidRPr="0089635C" w:rsidRDefault="0089635C" w:rsidP="0010788A">
          <w:pPr>
            <w:pStyle w:val="Contents"/>
          </w:pPr>
          <w:r w:rsidRPr="0010788A">
            <w:t>Cont</w:t>
          </w:r>
          <w:bookmarkStart w:id="2" w:name="_GoBack"/>
          <w:bookmarkEnd w:id="2"/>
          <w:r w:rsidRPr="0010788A">
            <w:t>ents</w:t>
          </w:r>
        </w:p>
        <w:p w14:paraId="05966E18" w14:textId="77777777" w:rsidR="002000A4"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84510868" w:history="1">
            <w:r w:rsidR="002000A4" w:rsidRPr="007E5736">
              <w:rPr>
                <w:rStyle w:val="Hyperlink"/>
                <w:noProof/>
              </w:rPr>
              <w:t>Common abbreviations</w:t>
            </w:r>
            <w:r w:rsidR="002000A4">
              <w:rPr>
                <w:noProof/>
                <w:webHidden/>
              </w:rPr>
              <w:tab/>
            </w:r>
            <w:r w:rsidR="002000A4">
              <w:rPr>
                <w:noProof/>
                <w:webHidden/>
              </w:rPr>
              <w:fldChar w:fldCharType="begin"/>
            </w:r>
            <w:r w:rsidR="002000A4">
              <w:rPr>
                <w:noProof/>
                <w:webHidden/>
              </w:rPr>
              <w:instrText xml:space="preserve"> PAGEREF _Toc484510868 \h </w:instrText>
            </w:r>
            <w:r w:rsidR="002000A4">
              <w:rPr>
                <w:noProof/>
                <w:webHidden/>
              </w:rPr>
            </w:r>
            <w:r w:rsidR="002000A4">
              <w:rPr>
                <w:noProof/>
                <w:webHidden/>
              </w:rPr>
              <w:fldChar w:fldCharType="separate"/>
            </w:r>
            <w:r w:rsidR="00F10344">
              <w:rPr>
                <w:noProof/>
                <w:webHidden/>
              </w:rPr>
              <w:t>5</w:t>
            </w:r>
            <w:r w:rsidR="002000A4">
              <w:rPr>
                <w:noProof/>
                <w:webHidden/>
              </w:rPr>
              <w:fldChar w:fldCharType="end"/>
            </w:r>
          </w:hyperlink>
        </w:p>
        <w:p w14:paraId="770A38AD" w14:textId="77777777" w:rsidR="002000A4" w:rsidRDefault="00F10344">
          <w:pPr>
            <w:pStyle w:val="TOC2"/>
            <w:rPr>
              <w:rFonts w:asciiTheme="minorHAnsi" w:eastAsiaTheme="minorEastAsia" w:hAnsiTheme="minorHAnsi" w:cstheme="minorBidi"/>
              <w:b w:val="0"/>
              <w:noProof/>
              <w:sz w:val="22"/>
              <w:lang w:eastAsia="en-AU"/>
            </w:rPr>
          </w:pPr>
          <w:hyperlink w:anchor="_Toc484510869" w:history="1">
            <w:r w:rsidR="002000A4" w:rsidRPr="007E5736">
              <w:rPr>
                <w:rStyle w:val="Hyperlink"/>
                <w:noProof/>
              </w:rPr>
              <w:t>I. Introduction to product submission</w:t>
            </w:r>
            <w:r w:rsidR="002000A4">
              <w:rPr>
                <w:noProof/>
                <w:webHidden/>
              </w:rPr>
              <w:tab/>
            </w:r>
            <w:r w:rsidR="002000A4">
              <w:rPr>
                <w:noProof/>
                <w:webHidden/>
              </w:rPr>
              <w:fldChar w:fldCharType="begin"/>
            </w:r>
            <w:r w:rsidR="002000A4">
              <w:rPr>
                <w:noProof/>
                <w:webHidden/>
              </w:rPr>
              <w:instrText xml:space="preserve"> PAGEREF _Toc484510869 \h </w:instrText>
            </w:r>
            <w:r w:rsidR="002000A4">
              <w:rPr>
                <w:noProof/>
                <w:webHidden/>
              </w:rPr>
            </w:r>
            <w:r w:rsidR="002000A4">
              <w:rPr>
                <w:noProof/>
                <w:webHidden/>
              </w:rPr>
              <w:fldChar w:fldCharType="separate"/>
            </w:r>
            <w:r>
              <w:rPr>
                <w:noProof/>
                <w:webHidden/>
              </w:rPr>
              <w:t>12</w:t>
            </w:r>
            <w:r w:rsidR="002000A4">
              <w:rPr>
                <w:noProof/>
                <w:webHidden/>
              </w:rPr>
              <w:fldChar w:fldCharType="end"/>
            </w:r>
          </w:hyperlink>
        </w:p>
        <w:p w14:paraId="5E2D3A42" w14:textId="77777777" w:rsidR="002000A4" w:rsidRDefault="00F10344">
          <w:pPr>
            <w:pStyle w:val="TOC3"/>
            <w:rPr>
              <w:rFonts w:asciiTheme="minorHAnsi" w:eastAsiaTheme="minorEastAsia" w:hAnsiTheme="minorHAnsi" w:cstheme="minorBidi"/>
              <w:noProof/>
              <w:lang w:eastAsia="en-AU"/>
            </w:rPr>
          </w:pPr>
          <w:hyperlink w:anchor="_Toc484510870" w:history="1">
            <w:r w:rsidR="002000A4" w:rsidRPr="007E5736">
              <w:rPr>
                <w:rStyle w:val="Hyperlink"/>
                <w:noProof/>
                <w:lang w:eastAsia="en-AU"/>
              </w:rPr>
              <w:t>Submission details</w:t>
            </w:r>
            <w:r w:rsidR="002000A4">
              <w:rPr>
                <w:noProof/>
                <w:webHidden/>
              </w:rPr>
              <w:tab/>
            </w:r>
            <w:r w:rsidR="002000A4">
              <w:rPr>
                <w:noProof/>
                <w:webHidden/>
              </w:rPr>
              <w:fldChar w:fldCharType="begin"/>
            </w:r>
            <w:r w:rsidR="002000A4">
              <w:rPr>
                <w:noProof/>
                <w:webHidden/>
              </w:rPr>
              <w:instrText xml:space="preserve"> PAGEREF _Toc484510870 \h </w:instrText>
            </w:r>
            <w:r w:rsidR="002000A4">
              <w:rPr>
                <w:noProof/>
                <w:webHidden/>
              </w:rPr>
            </w:r>
            <w:r w:rsidR="002000A4">
              <w:rPr>
                <w:noProof/>
                <w:webHidden/>
              </w:rPr>
              <w:fldChar w:fldCharType="separate"/>
            </w:r>
            <w:r>
              <w:rPr>
                <w:noProof/>
                <w:webHidden/>
              </w:rPr>
              <w:t>12</w:t>
            </w:r>
            <w:r w:rsidR="002000A4">
              <w:rPr>
                <w:noProof/>
                <w:webHidden/>
              </w:rPr>
              <w:fldChar w:fldCharType="end"/>
            </w:r>
          </w:hyperlink>
        </w:p>
        <w:p w14:paraId="0820E819" w14:textId="77777777" w:rsidR="002000A4" w:rsidRDefault="00F10344">
          <w:pPr>
            <w:pStyle w:val="TOC3"/>
            <w:rPr>
              <w:rFonts w:asciiTheme="minorHAnsi" w:eastAsiaTheme="minorEastAsia" w:hAnsiTheme="minorHAnsi" w:cstheme="minorBidi"/>
              <w:noProof/>
              <w:lang w:eastAsia="en-AU"/>
            </w:rPr>
          </w:pPr>
          <w:hyperlink w:anchor="_Toc484510871" w:history="1">
            <w:r w:rsidR="002000A4" w:rsidRPr="007E5736">
              <w:rPr>
                <w:rStyle w:val="Hyperlink"/>
                <w:noProof/>
              </w:rPr>
              <w:t>Product background</w:t>
            </w:r>
            <w:r w:rsidR="002000A4">
              <w:rPr>
                <w:noProof/>
                <w:webHidden/>
              </w:rPr>
              <w:tab/>
            </w:r>
            <w:r w:rsidR="002000A4">
              <w:rPr>
                <w:noProof/>
                <w:webHidden/>
              </w:rPr>
              <w:fldChar w:fldCharType="begin"/>
            </w:r>
            <w:r w:rsidR="002000A4">
              <w:rPr>
                <w:noProof/>
                <w:webHidden/>
              </w:rPr>
              <w:instrText xml:space="preserve"> PAGEREF _Toc484510871 \h </w:instrText>
            </w:r>
            <w:r w:rsidR="002000A4">
              <w:rPr>
                <w:noProof/>
                <w:webHidden/>
              </w:rPr>
            </w:r>
            <w:r w:rsidR="002000A4">
              <w:rPr>
                <w:noProof/>
                <w:webHidden/>
              </w:rPr>
              <w:fldChar w:fldCharType="separate"/>
            </w:r>
            <w:r>
              <w:rPr>
                <w:noProof/>
                <w:webHidden/>
              </w:rPr>
              <w:t>12</w:t>
            </w:r>
            <w:r w:rsidR="002000A4">
              <w:rPr>
                <w:noProof/>
                <w:webHidden/>
              </w:rPr>
              <w:fldChar w:fldCharType="end"/>
            </w:r>
          </w:hyperlink>
        </w:p>
        <w:p w14:paraId="7174ACB1" w14:textId="77777777" w:rsidR="002000A4" w:rsidRDefault="00F10344">
          <w:pPr>
            <w:pStyle w:val="TOC3"/>
            <w:rPr>
              <w:rFonts w:asciiTheme="minorHAnsi" w:eastAsiaTheme="minorEastAsia" w:hAnsiTheme="minorHAnsi" w:cstheme="minorBidi"/>
              <w:noProof/>
              <w:lang w:eastAsia="en-AU"/>
            </w:rPr>
          </w:pPr>
          <w:hyperlink w:anchor="_Toc484510872" w:history="1">
            <w:r w:rsidR="002000A4" w:rsidRPr="007E5736">
              <w:rPr>
                <w:rStyle w:val="Hyperlink"/>
                <w:noProof/>
              </w:rPr>
              <w:t>Regulatory status</w:t>
            </w:r>
            <w:r w:rsidR="002000A4">
              <w:rPr>
                <w:noProof/>
                <w:webHidden/>
              </w:rPr>
              <w:tab/>
            </w:r>
            <w:r w:rsidR="002000A4">
              <w:rPr>
                <w:noProof/>
                <w:webHidden/>
              </w:rPr>
              <w:fldChar w:fldCharType="begin"/>
            </w:r>
            <w:r w:rsidR="002000A4">
              <w:rPr>
                <w:noProof/>
                <w:webHidden/>
              </w:rPr>
              <w:instrText xml:space="preserve"> PAGEREF _Toc484510872 \h </w:instrText>
            </w:r>
            <w:r w:rsidR="002000A4">
              <w:rPr>
                <w:noProof/>
                <w:webHidden/>
              </w:rPr>
            </w:r>
            <w:r w:rsidR="002000A4">
              <w:rPr>
                <w:noProof/>
                <w:webHidden/>
              </w:rPr>
              <w:fldChar w:fldCharType="separate"/>
            </w:r>
            <w:r>
              <w:rPr>
                <w:noProof/>
                <w:webHidden/>
              </w:rPr>
              <w:t>13</w:t>
            </w:r>
            <w:r w:rsidR="002000A4">
              <w:rPr>
                <w:noProof/>
                <w:webHidden/>
              </w:rPr>
              <w:fldChar w:fldCharType="end"/>
            </w:r>
          </w:hyperlink>
        </w:p>
        <w:p w14:paraId="2412098C" w14:textId="77777777" w:rsidR="002000A4" w:rsidRDefault="00F10344">
          <w:pPr>
            <w:pStyle w:val="TOC3"/>
            <w:rPr>
              <w:rFonts w:asciiTheme="minorHAnsi" w:eastAsiaTheme="minorEastAsia" w:hAnsiTheme="minorHAnsi" w:cstheme="minorBidi"/>
              <w:noProof/>
              <w:lang w:eastAsia="en-AU"/>
            </w:rPr>
          </w:pPr>
          <w:hyperlink w:anchor="_Toc484510873" w:history="1">
            <w:r w:rsidR="002000A4" w:rsidRPr="007E5736">
              <w:rPr>
                <w:rStyle w:val="Hyperlink"/>
                <w:noProof/>
              </w:rPr>
              <w:t>Product information</w:t>
            </w:r>
            <w:r w:rsidR="002000A4">
              <w:rPr>
                <w:noProof/>
                <w:webHidden/>
              </w:rPr>
              <w:tab/>
            </w:r>
            <w:r w:rsidR="002000A4">
              <w:rPr>
                <w:noProof/>
                <w:webHidden/>
              </w:rPr>
              <w:fldChar w:fldCharType="begin"/>
            </w:r>
            <w:r w:rsidR="002000A4">
              <w:rPr>
                <w:noProof/>
                <w:webHidden/>
              </w:rPr>
              <w:instrText xml:space="preserve"> PAGEREF _Toc484510873 \h </w:instrText>
            </w:r>
            <w:r w:rsidR="002000A4">
              <w:rPr>
                <w:noProof/>
                <w:webHidden/>
              </w:rPr>
            </w:r>
            <w:r w:rsidR="002000A4">
              <w:rPr>
                <w:noProof/>
                <w:webHidden/>
              </w:rPr>
              <w:fldChar w:fldCharType="separate"/>
            </w:r>
            <w:r>
              <w:rPr>
                <w:noProof/>
                <w:webHidden/>
              </w:rPr>
              <w:t>14</w:t>
            </w:r>
            <w:r w:rsidR="002000A4">
              <w:rPr>
                <w:noProof/>
                <w:webHidden/>
              </w:rPr>
              <w:fldChar w:fldCharType="end"/>
            </w:r>
          </w:hyperlink>
        </w:p>
        <w:p w14:paraId="63051474" w14:textId="77777777" w:rsidR="002000A4" w:rsidRDefault="00F10344">
          <w:pPr>
            <w:pStyle w:val="TOC2"/>
            <w:rPr>
              <w:rFonts w:asciiTheme="minorHAnsi" w:eastAsiaTheme="minorEastAsia" w:hAnsiTheme="minorHAnsi" w:cstheme="minorBidi"/>
              <w:b w:val="0"/>
              <w:noProof/>
              <w:sz w:val="22"/>
              <w:lang w:eastAsia="en-AU"/>
            </w:rPr>
          </w:pPr>
          <w:hyperlink w:anchor="_Toc484510874" w:history="1">
            <w:r w:rsidR="002000A4" w:rsidRPr="007E5736">
              <w:rPr>
                <w:rStyle w:val="Hyperlink"/>
                <w:noProof/>
              </w:rPr>
              <w:t>II. Quality findings</w:t>
            </w:r>
            <w:r w:rsidR="002000A4">
              <w:rPr>
                <w:noProof/>
                <w:webHidden/>
              </w:rPr>
              <w:tab/>
            </w:r>
            <w:r w:rsidR="002000A4">
              <w:rPr>
                <w:noProof/>
                <w:webHidden/>
              </w:rPr>
              <w:fldChar w:fldCharType="begin"/>
            </w:r>
            <w:r w:rsidR="002000A4">
              <w:rPr>
                <w:noProof/>
                <w:webHidden/>
              </w:rPr>
              <w:instrText xml:space="preserve"> PAGEREF _Toc484510874 \h </w:instrText>
            </w:r>
            <w:r w:rsidR="002000A4">
              <w:rPr>
                <w:noProof/>
                <w:webHidden/>
              </w:rPr>
            </w:r>
            <w:r w:rsidR="002000A4">
              <w:rPr>
                <w:noProof/>
                <w:webHidden/>
              </w:rPr>
              <w:fldChar w:fldCharType="separate"/>
            </w:r>
            <w:r>
              <w:rPr>
                <w:noProof/>
                <w:webHidden/>
              </w:rPr>
              <w:t>14</w:t>
            </w:r>
            <w:r w:rsidR="002000A4">
              <w:rPr>
                <w:noProof/>
                <w:webHidden/>
              </w:rPr>
              <w:fldChar w:fldCharType="end"/>
            </w:r>
          </w:hyperlink>
        </w:p>
        <w:p w14:paraId="54EE82C0" w14:textId="77777777" w:rsidR="002000A4" w:rsidRDefault="00F10344">
          <w:pPr>
            <w:pStyle w:val="TOC3"/>
            <w:rPr>
              <w:rFonts w:asciiTheme="minorHAnsi" w:eastAsiaTheme="minorEastAsia" w:hAnsiTheme="minorHAnsi" w:cstheme="minorBidi"/>
              <w:noProof/>
              <w:lang w:eastAsia="en-AU"/>
            </w:rPr>
          </w:pPr>
          <w:hyperlink w:anchor="_Toc484510875" w:history="1">
            <w:r w:rsidR="002000A4" w:rsidRPr="007E5736">
              <w:rPr>
                <w:rStyle w:val="Hyperlink"/>
                <w:noProof/>
              </w:rPr>
              <w:t>Introduction</w:t>
            </w:r>
            <w:r w:rsidR="002000A4">
              <w:rPr>
                <w:noProof/>
                <w:webHidden/>
              </w:rPr>
              <w:tab/>
            </w:r>
            <w:r w:rsidR="002000A4">
              <w:rPr>
                <w:noProof/>
                <w:webHidden/>
              </w:rPr>
              <w:fldChar w:fldCharType="begin"/>
            </w:r>
            <w:r w:rsidR="002000A4">
              <w:rPr>
                <w:noProof/>
                <w:webHidden/>
              </w:rPr>
              <w:instrText xml:space="preserve"> PAGEREF _Toc484510875 \h </w:instrText>
            </w:r>
            <w:r w:rsidR="002000A4">
              <w:rPr>
                <w:noProof/>
                <w:webHidden/>
              </w:rPr>
            </w:r>
            <w:r w:rsidR="002000A4">
              <w:rPr>
                <w:noProof/>
                <w:webHidden/>
              </w:rPr>
              <w:fldChar w:fldCharType="separate"/>
            </w:r>
            <w:r>
              <w:rPr>
                <w:noProof/>
                <w:webHidden/>
              </w:rPr>
              <w:t>14</w:t>
            </w:r>
            <w:r w:rsidR="002000A4">
              <w:rPr>
                <w:noProof/>
                <w:webHidden/>
              </w:rPr>
              <w:fldChar w:fldCharType="end"/>
            </w:r>
          </w:hyperlink>
        </w:p>
        <w:p w14:paraId="5D1AED12" w14:textId="77777777" w:rsidR="002000A4" w:rsidRDefault="00F10344">
          <w:pPr>
            <w:pStyle w:val="TOC3"/>
            <w:rPr>
              <w:rFonts w:asciiTheme="minorHAnsi" w:eastAsiaTheme="minorEastAsia" w:hAnsiTheme="minorHAnsi" w:cstheme="minorBidi"/>
              <w:noProof/>
              <w:lang w:eastAsia="en-AU"/>
            </w:rPr>
          </w:pPr>
          <w:hyperlink w:anchor="_Toc484510876" w:history="1">
            <w:r w:rsidR="002000A4" w:rsidRPr="007E5736">
              <w:rPr>
                <w:rStyle w:val="Hyperlink"/>
                <w:noProof/>
              </w:rPr>
              <w:t>Drug substances (active ingredients)</w:t>
            </w:r>
            <w:r w:rsidR="002000A4">
              <w:rPr>
                <w:noProof/>
                <w:webHidden/>
              </w:rPr>
              <w:tab/>
            </w:r>
            <w:r w:rsidR="002000A4">
              <w:rPr>
                <w:noProof/>
                <w:webHidden/>
              </w:rPr>
              <w:fldChar w:fldCharType="begin"/>
            </w:r>
            <w:r w:rsidR="002000A4">
              <w:rPr>
                <w:noProof/>
                <w:webHidden/>
              </w:rPr>
              <w:instrText xml:space="preserve"> PAGEREF _Toc484510876 \h </w:instrText>
            </w:r>
            <w:r w:rsidR="002000A4">
              <w:rPr>
                <w:noProof/>
                <w:webHidden/>
              </w:rPr>
            </w:r>
            <w:r w:rsidR="002000A4">
              <w:rPr>
                <w:noProof/>
                <w:webHidden/>
              </w:rPr>
              <w:fldChar w:fldCharType="separate"/>
            </w:r>
            <w:r>
              <w:rPr>
                <w:noProof/>
                <w:webHidden/>
              </w:rPr>
              <w:t>14</w:t>
            </w:r>
            <w:r w:rsidR="002000A4">
              <w:rPr>
                <w:noProof/>
                <w:webHidden/>
              </w:rPr>
              <w:fldChar w:fldCharType="end"/>
            </w:r>
          </w:hyperlink>
        </w:p>
        <w:p w14:paraId="6D05A5E6" w14:textId="77777777" w:rsidR="002000A4" w:rsidRDefault="00F10344">
          <w:pPr>
            <w:pStyle w:val="TOC3"/>
            <w:rPr>
              <w:rFonts w:asciiTheme="minorHAnsi" w:eastAsiaTheme="minorEastAsia" w:hAnsiTheme="minorHAnsi" w:cstheme="minorBidi"/>
              <w:noProof/>
              <w:lang w:eastAsia="en-AU"/>
            </w:rPr>
          </w:pPr>
          <w:hyperlink w:anchor="_Toc484510877" w:history="1">
            <w:r w:rsidR="002000A4" w:rsidRPr="007E5736">
              <w:rPr>
                <w:rStyle w:val="Hyperlink"/>
                <w:noProof/>
              </w:rPr>
              <w:t>Drug product</w:t>
            </w:r>
            <w:r w:rsidR="002000A4">
              <w:rPr>
                <w:noProof/>
                <w:webHidden/>
              </w:rPr>
              <w:tab/>
            </w:r>
            <w:r w:rsidR="002000A4">
              <w:rPr>
                <w:noProof/>
                <w:webHidden/>
              </w:rPr>
              <w:fldChar w:fldCharType="begin"/>
            </w:r>
            <w:r w:rsidR="002000A4">
              <w:rPr>
                <w:noProof/>
                <w:webHidden/>
              </w:rPr>
              <w:instrText xml:space="preserve"> PAGEREF _Toc484510877 \h </w:instrText>
            </w:r>
            <w:r w:rsidR="002000A4">
              <w:rPr>
                <w:noProof/>
                <w:webHidden/>
              </w:rPr>
            </w:r>
            <w:r w:rsidR="002000A4">
              <w:rPr>
                <w:noProof/>
                <w:webHidden/>
              </w:rPr>
              <w:fldChar w:fldCharType="separate"/>
            </w:r>
            <w:r>
              <w:rPr>
                <w:noProof/>
                <w:webHidden/>
              </w:rPr>
              <w:t>16</w:t>
            </w:r>
            <w:r w:rsidR="002000A4">
              <w:rPr>
                <w:noProof/>
                <w:webHidden/>
              </w:rPr>
              <w:fldChar w:fldCharType="end"/>
            </w:r>
          </w:hyperlink>
        </w:p>
        <w:p w14:paraId="0CBA6B02" w14:textId="77777777" w:rsidR="002000A4" w:rsidRDefault="00F10344">
          <w:pPr>
            <w:pStyle w:val="TOC3"/>
            <w:rPr>
              <w:rFonts w:asciiTheme="minorHAnsi" w:eastAsiaTheme="minorEastAsia" w:hAnsiTheme="minorHAnsi" w:cstheme="minorBidi"/>
              <w:noProof/>
              <w:lang w:eastAsia="en-AU"/>
            </w:rPr>
          </w:pPr>
          <w:hyperlink w:anchor="_Toc484510878" w:history="1">
            <w:r w:rsidR="002000A4" w:rsidRPr="007E5736">
              <w:rPr>
                <w:rStyle w:val="Hyperlink"/>
                <w:noProof/>
              </w:rPr>
              <w:t>Formulation development</w:t>
            </w:r>
            <w:r w:rsidR="002000A4">
              <w:rPr>
                <w:noProof/>
                <w:webHidden/>
              </w:rPr>
              <w:tab/>
            </w:r>
            <w:r w:rsidR="002000A4">
              <w:rPr>
                <w:noProof/>
                <w:webHidden/>
              </w:rPr>
              <w:fldChar w:fldCharType="begin"/>
            </w:r>
            <w:r w:rsidR="002000A4">
              <w:rPr>
                <w:noProof/>
                <w:webHidden/>
              </w:rPr>
              <w:instrText xml:space="preserve"> PAGEREF _Toc484510878 \h </w:instrText>
            </w:r>
            <w:r w:rsidR="002000A4">
              <w:rPr>
                <w:noProof/>
                <w:webHidden/>
              </w:rPr>
            </w:r>
            <w:r w:rsidR="002000A4">
              <w:rPr>
                <w:noProof/>
                <w:webHidden/>
              </w:rPr>
              <w:fldChar w:fldCharType="separate"/>
            </w:r>
            <w:r>
              <w:rPr>
                <w:noProof/>
                <w:webHidden/>
              </w:rPr>
              <w:t>17</w:t>
            </w:r>
            <w:r w:rsidR="002000A4">
              <w:rPr>
                <w:noProof/>
                <w:webHidden/>
              </w:rPr>
              <w:fldChar w:fldCharType="end"/>
            </w:r>
          </w:hyperlink>
        </w:p>
        <w:p w14:paraId="66A7E857" w14:textId="77777777" w:rsidR="002000A4" w:rsidRDefault="00F10344">
          <w:pPr>
            <w:pStyle w:val="TOC3"/>
            <w:rPr>
              <w:rFonts w:asciiTheme="minorHAnsi" w:eastAsiaTheme="minorEastAsia" w:hAnsiTheme="minorHAnsi" w:cstheme="minorBidi"/>
              <w:noProof/>
              <w:lang w:eastAsia="en-AU"/>
            </w:rPr>
          </w:pPr>
          <w:hyperlink w:anchor="_Toc484510879" w:history="1">
            <w:r w:rsidR="002000A4" w:rsidRPr="007E5736">
              <w:rPr>
                <w:rStyle w:val="Hyperlink"/>
                <w:noProof/>
              </w:rPr>
              <w:t>Biopharmaceutics</w:t>
            </w:r>
            <w:r w:rsidR="002000A4">
              <w:rPr>
                <w:noProof/>
                <w:webHidden/>
              </w:rPr>
              <w:tab/>
            </w:r>
            <w:r w:rsidR="002000A4">
              <w:rPr>
                <w:noProof/>
                <w:webHidden/>
              </w:rPr>
              <w:fldChar w:fldCharType="begin"/>
            </w:r>
            <w:r w:rsidR="002000A4">
              <w:rPr>
                <w:noProof/>
                <w:webHidden/>
              </w:rPr>
              <w:instrText xml:space="preserve"> PAGEREF _Toc484510879 \h </w:instrText>
            </w:r>
            <w:r w:rsidR="002000A4">
              <w:rPr>
                <w:noProof/>
                <w:webHidden/>
              </w:rPr>
            </w:r>
            <w:r w:rsidR="002000A4">
              <w:rPr>
                <w:noProof/>
                <w:webHidden/>
              </w:rPr>
              <w:fldChar w:fldCharType="separate"/>
            </w:r>
            <w:r>
              <w:rPr>
                <w:noProof/>
                <w:webHidden/>
              </w:rPr>
              <w:t>17</w:t>
            </w:r>
            <w:r w:rsidR="002000A4">
              <w:rPr>
                <w:noProof/>
                <w:webHidden/>
              </w:rPr>
              <w:fldChar w:fldCharType="end"/>
            </w:r>
          </w:hyperlink>
        </w:p>
        <w:p w14:paraId="52894FC9" w14:textId="77777777" w:rsidR="002000A4" w:rsidRDefault="00F10344">
          <w:pPr>
            <w:pStyle w:val="TOC3"/>
            <w:rPr>
              <w:rFonts w:asciiTheme="minorHAnsi" w:eastAsiaTheme="minorEastAsia" w:hAnsiTheme="minorHAnsi" w:cstheme="minorBidi"/>
              <w:noProof/>
              <w:lang w:eastAsia="en-AU"/>
            </w:rPr>
          </w:pPr>
          <w:hyperlink w:anchor="_Toc484510880" w:history="1">
            <w:r w:rsidR="002000A4" w:rsidRPr="007E5736">
              <w:rPr>
                <w:rStyle w:val="Hyperlink"/>
                <w:noProof/>
              </w:rPr>
              <w:t>Quality summary and conclusions</w:t>
            </w:r>
            <w:r w:rsidR="002000A4">
              <w:rPr>
                <w:noProof/>
                <w:webHidden/>
              </w:rPr>
              <w:tab/>
            </w:r>
            <w:r w:rsidR="002000A4">
              <w:rPr>
                <w:noProof/>
                <w:webHidden/>
              </w:rPr>
              <w:fldChar w:fldCharType="begin"/>
            </w:r>
            <w:r w:rsidR="002000A4">
              <w:rPr>
                <w:noProof/>
                <w:webHidden/>
              </w:rPr>
              <w:instrText xml:space="preserve"> PAGEREF _Toc484510880 \h </w:instrText>
            </w:r>
            <w:r w:rsidR="002000A4">
              <w:rPr>
                <w:noProof/>
                <w:webHidden/>
              </w:rPr>
            </w:r>
            <w:r w:rsidR="002000A4">
              <w:rPr>
                <w:noProof/>
                <w:webHidden/>
              </w:rPr>
              <w:fldChar w:fldCharType="separate"/>
            </w:r>
            <w:r>
              <w:rPr>
                <w:noProof/>
                <w:webHidden/>
              </w:rPr>
              <w:t>19</w:t>
            </w:r>
            <w:r w:rsidR="002000A4">
              <w:rPr>
                <w:noProof/>
                <w:webHidden/>
              </w:rPr>
              <w:fldChar w:fldCharType="end"/>
            </w:r>
          </w:hyperlink>
        </w:p>
        <w:p w14:paraId="78C6A75C" w14:textId="77777777" w:rsidR="002000A4" w:rsidRDefault="00F10344">
          <w:pPr>
            <w:pStyle w:val="TOC2"/>
            <w:rPr>
              <w:rFonts w:asciiTheme="minorHAnsi" w:eastAsiaTheme="minorEastAsia" w:hAnsiTheme="minorHAnsi" w:cstheme="minorBidi"/>
              <w:b w:val="0"/>
              <w:noProof/>
              <w:sz w:val="22"/>
              <w:lang w:eastAsia="en-AU"/>
            </w:rPr>
          </w:pPr>
          <w:hyperlink w:anchor="_Toc484510881" w:history="1">
            <w:r w:rsidR="002000A4" w:rsidRPr="007E5736">
              <w:rPr>
                <w:rStyle w:val="Hyperlink"/>
                <w:noProof/>
              </w:rPr>
              <w:t>III. Nonclinical findings</w:t>
            </w:r>
            <w:r w:rsidR="002000A4">
              <w:rPr>
                <w:noProof/>
                <w:webHidden/>
              </w:rPr>
              <w:tab/>
            </w:r>
            <w:r w:rsidR="002000A4">
              <w:rPr>
                <w:noProof/>
                <w:webHidden/>
              </w:rPr>
              <w:fldChar w:fldCharType="begin"/>
            </w:r>
            <w:r w:rsidR="002000A4">
              <w:rPr>
                <w:noProof/>
                <w:webHidden/>
              </w:rPr>
              <w:instrText xml:space="preserve"> PAGEREF _Toc484510881 \h </w:instrText>
            </w:r>
            <w:r w:rsidR="002000A4">
              <w:rPr>
                <w:noProof/>
                <w:webHidden/>
              </w:rPr>
            </w:r>
            <w:r w:rsidR="002000A4">
              <w:rPr>
                <w:noProof/>
                <w:webHidden/>
              </w:rPr>
              <w:fldChar w:fldCharType="separate"/>
            </w:r>
            <w:r>
              <w:rPr>
                <w:noProof/>
                <w:webHidden/>
              </w:rPr>
              <w:t>19</w:t>
            </w:r>
            <w:r w:rsidR="002000A4">
              <w:rPr>
                <w:noProof/>
                <w:webHidden/>
              </w:rPr>
              <w:fldChar w:fldCharType="end"/>
            </w:r>
          </w:hyperlink>
        </w:p>
        <w:p w14:paraId="780F705A" w14:textId="77777777" w:rsidR="002000A4" w:rsidRDefault="00F10344">
          <w:pPr>
            <w:pStyle w:val="TOC3"/>
            <w:rPr>
              <w:rFonts w:asciiTheme="minorHAnsi" w:eastAsiaTheme="minorEastAsia" w:hAnsiTheme="minorHAnsi" w:cstheme="minorBidi"/>
              <w:noProof/>
              <w:lang w:eastAsia="en-AU"/>
            </w:rPr>
          </w:pPr>
          <w:hyperlink w:anchor="_Toc484510882" w:history="1">
            <w:r w:rsidR="002000A4" w:rsidRPr="007E5736">
              <w:rPr>
                <w:rStyle w:val="Hyperlink"/>
                <w:noProof/>
              </w:rPr>
              <w:t>Introduction</w:t>
            </w:r>
            <w:r w:rsidR="002000A4">
              <w:rPr>
                <w:noProof/>
                <w:webHidden/>
              </w:rPr>
              <w:tab/>
            </w:r>
            <w:r w:rsidR="002000A4">
              <w:rPr>
                <w:noProof/>
                <w:webHidden/>
              </w:rPr>
              <w:fldChar w:fldCharType="begin"/>
            </w:r>
            <w:r w:rsidR="002000A4">
              <w:rPr>
                <w:noProof/>
                <w:webHidden/>
              </w:rPr>
              <w:instrText xml:space="preserve"> PAGEREF _Toc484510882 \h </w:instrText>
            </w:r>
            <w:r w:rsidR="002000A4">
              <w:rPr>
                <w:noProof/>
                <w:webHidden/>
              </w:rPr>
            </w:r>
            <w:r w:rsidR="002000A4">
              <w:rPr>
                <w:noProof/>
                <w:webHidden/>
              </w:rPr>
              <w:fldChar w:fldCharType="separate"/>
            </w:r>
            <w:r>
              <w:rPr>
                <w:noProof/>
                <w:webHidden/>
              </w:rPr>
              <w:t>19</w:t>
            </w:r>
            <w:r w:rsidR="002000A4">
              <w:rPr>
                <w:noProof/>
                <w:webHidden/>
              </w:rPr>
              <w:fldChar w:fldCharType="end"/>
            </w:r>
          </w:hyperlink>
        </w:p>
        <w:p w14:paraId="0356172C" w14:textId="77777777" w:rsidR="002000A4" w:rsidRDefault="00F10344">
          <w:pPr>
            <w:pStyle w:val="TOC3"/>
            <w:rPr>
              <w:rFonts w:asciiTheme="minorHAnsi" w:eastAsiaTheme="minorEastAsia" w:hAnsiTheme="minorHAnsi" w:cstheme="minorBidi"/>
              <w:noProof/>
              <w:lang w:eastAsia="en-AU"/>
            </w:rPr>
          </w:pPr>
          <w:hyperlink w:anchor="_Toc484510883" w:history="1">
            <w:r w:rsidR="002000A4" w:rsidRPr="007E5736">
              <w:rPr>
                <w:rStyle w:val="Hyperlink"/>
                <w:noProof/>
              </w:rPr>
              <w:t>Pharmacology</w:t>
            </w:r>
            <w:r w:rsidR="002000A4">
              <w:rPr>
                <w:noProof/>
                <w:webHidden/>
              </w:rPr>
              <w:tab/>
            </w:r>
            <w:r w:rsidR="002000A4">
              <w:rPr>
                <w:noProof/>
                <w:webHidden/>
              </w:rPr>
              <w:fldChar w:fldCharType="begin"/>
            </w:r>
            <w:r w:rsidR="002000A4">
              <w:rPr>
                <w:noProof/>
                <w:webHidden/>
              </w:rPr>
              <w:instrText xml:space="preserve"> PAGEREF _Toc484510883 \h </w:instrText>
            </w:r>
            <w:r w:rsidR="002000A4">
              <w:rPr>
                <w:noProof/>
                <w:webHidden/>
              </w:rPr>
            </w:r>
            <w:r w:rsidR="002000A4">
              <w:rPr>
                <w:noProof/>
                <w:webHidden/>
              </w:rPr>
              <w:fldChar w:fldCharType="separate"/>
            </w:r>
            <w:r>
              <w:rPr>
                <w:noProof/>
                <w:webHidden/>
              </w:rPr>
              <w:t>19</w:t>
            </w:r>
            <w:r w:rsidR="002000A4">
              <w:rPr>
                <w:noProof/>
                <w:webHidden/>
              </w:rPr>
              <w:fldChar w:fldCharType="end"/>
            </w:r>
          </w:hyperlink>
        </w:p>
        <w:p w14:paraId="18C3AACF" w14:textId="77777777" w:rsidR="002000A4" w:rsidRDefault="00F10344">
          <w:pPr>
            <w:pStyle w:val="TOC3"/>
            <w:rPr>
              <w:rFonts w:asciiTheme="minorHAnsi" w:eastAsiaTheme="minorEastAsia" w:hAnsiTheme="minorHAnsi" w:cstheme="minorBidi"/>
              <w:noProof/>
              <w:lang w:eastAsia="en-AU"/>
            </w:rPr>
          </w:pPr>
          <w:hyperlink w:anchor="_Toc484510884" w:history="1">
            <w:r w:rsidR="002000A4" w:rsidRPr="007E5736">
              <w:rPr>
                <w:rStyle w:val="Hyperlink"/>
                <w:noProof/>
              </w:rPr>
              <w:t>Pharmacokinetics</w:t>
            </w:r>
            <w:r w:rsidR="002000A4">
              <w:rPr>
                <w:noProof/>
                <w:webHidden/>
              </w:rPr>
              <w:tab/>
            </w:r>
            <w:r w:rsidR="002000A4">
              <w:rPr>
                <w:noProof/>
                <w:webHidden/>
              </w:rPr>
              <w:fldChar w:fldCharType="begin"/>
            </w:r>
            <w:r w:rsidR="002000A4">
              <w:rPr>
                <w:noProof/>
                <w:webHidden/>
              </w:rPr>
              <w:instrText xml:space="preserve"> PAGEREF _Toc484510884 \h </w:instrText>
            </w:r>
            <w:r w:rsidR="002000A4">
              <w:rPr>
                <w:noProof/>
                <w:webHidden/>
              </w:rPr>
            </w:r>
            <w:r w:rsidR="002000A4">
              <w:rPr>
                <w:noProof/>
                <w:webHidden/>
              </w:rPr>
              <w:fldChar w:fldCharType="separate"/>
            </w:r>
            <w:r>
              <w:rPr>
                <w:noProof/>
                <w:webHidden/>
              </w:rPr>
              <w:t>21</w:t>
            </w:r>
            <w:r w:rsidR="002000A4">
              <w:rPr>
                <w:noProof/>
                <w:webHidden/>
              </w:rPr>
              <w:fldChar w:fldCharType="end"/>
            </w:r>
          </w:hyperlink>
        </w:p>
        <w:p w14:paraId="257C870A" w14:textId="77777777" w:rsidR="002000A4" w:rsidRDefault="00F10344">
          <w:pPr>
            <w:pStyle w:val="TOC3"/>
            <w:rPr>
              <w:rFonts w:asciiTheme="minorHAnsi" w:eastAsiaTheme="minorEastAsia" w:hAnsiTheme="minorHAnsi" w:cstheme="minorBidi"/>
              <w:noProof/>
              <w:lang w:eastAsia="en-AU"/>
            </w:rPr>
          </w:pPr>
          <w:hyperlink w:anchor="_Toc484510885" w:history="1">
            <w:r w:rsidR="002000A4" w:rsidRPr="007E5736">
              <w:rPr>
                <w:rStyle w:val="Hyperlink"/>
                <w:noProof/>
              </w:rPr>
              <w:t>Toxicology</w:t>
            </w:r>
            <w:r w:rsidR="002000A4">
              <w:rPr>
                <w:noProof/>
                <w:webHidden/>
              </w:rPr>
              <w:tab/>
            </w:r>
            <w:r w:rsidR="002000A4">
              <w:rPr>
                <w:noProof/>
                <w:webHidden/>
              </w:rPr>
              <w:fldChar w:fldCharType="begin"/>
            </w:r>
            <w:r w:rsidR="002000A4">
              <w:rPr>
                <w:noProof/>
                <w:webHidden/>
              </w:rPr>
              <w:instrText xml:space="preserve"> PAGEREF _Toc484510885 \h </w:instrText>
            </w:r>
            <w:r w:rsidR="002000A4">
              <w:rPr>
                <w:noProof/>
                <w:webHidden/>
              </w:rPr>
            </w:r>
            <w:r w:rsidR="002000A4">
              <w:rPr>
                <w:noProof/>
                <w:webHidden/>
              </w:rPr>
              <w:fldChar w:fldCharType="separate"/>
            </w:r>
            <w:r>
              <w:rPr>
                <w:noProof/>
                <w:webHidden/>
              </w:rPr>
              <w:t>23</w:t>
            </w:r>
            <w:r w:rsidR="002000A4">
              <w:rPr>
                <w:noProof/>
                <w:webHidden/>
              </w:rPr>
              <w:fldChar w:fldCharType="end"/>
            </w:r>
          </w:hyperlink>
        </w:p>
        <w:p w14:paraId="35555B2F" w14:textId="77777777" w:rsidR="002000A4" w:rsidRDefault="00F10344">
          <w:pPr>
            <w:pStyle w:val="TOC3"/>
            <w:rPr>
              <w:rFonts w:asciiTheme="minorHAnsi" w:eastAsiaTheme="minorEastAsia" w:hAnsiTheme="minorHAnsi" w:cstheme="minorBidi"/>
              <w:noProof/>
              <w:lang w:eastAsia="en-AU"/>
            </w:rPr>
          </w:pPr>
          <w:hyperlink w:anchor="_Toc484510886" w:history="1">
            <w:r w:rsidR="002000A4" w:rsidRPr="007E5736">
              <w:rPr>
                <w:rStyle w:val="Hyperlink"/>
                <w:noProof/>
              </w:rPr>
              <w:t>Nonclinical summary</w:t>
            </w:r>
            <w:r w:rsidR="002000A4">
              <w:rPr>
                <w:noProof/>
                <w:webHidden/>
              </w:rPr>
              <w:tab/>
            </w:r>
            <w:r w:rsidR="002000A4">
              <w:rPr>
                <w:noProof/>
                <w:webHidden/>
              </w:rPr>
              <w:fldChar w:fldCharType="begin"/>
            </w:r>
            <w:r w:rsidR="002000A4">
              <w:rPr>
                <w:noProof/>
                <w:webHidden/>
              </w:rPr>
              <w:instrText xml:space="preserve"> PAGEREF _Toc484510886 \h </w:instrText>
            </w:r>
            <w:r w:rsidR="002000A4">
              <w:rPr>
                <w:noProof/>
                <w:webHidden/>
              </w:rPr>
            </w:r>
            <w:r w:rsidR="002000A4">
              <w:rPr>
                <w:noProof/>
                <w:webHidden/>
              </w:rPr>
              <w:fldChar w:fldCharType="separate"/>
            </w:r>
            <w:r>
              <w:rPr>
                <w:noProof/>
                <w:webHidden/>
              </w:rPr>
              <w:t>29</w:t>
            </w:r>
            <w:r w:rsidR="002000A4">
              <w:rPr>
                <w:noProof/>
                <w:webHidden/>
              </w:rPr>
              <w:fldChar w:fldCharType="end"/>
            </w:r>
          </w:hyperlink>
        </w:p>
        <w:p w14:paraId="2697D7AB" w14:textId="77777777" w:rsidR="002000A4" w:rsidRDefault="00F10344">
          <w:pPr>
            <w:pStyle w:val="TOC3"/>
            <w:rPr>
              <w:rFonts w:asciiTheme="minorHAnsi" w:eastAsiaTheme="minorEastAsia" w:hAnsiTheme="minorHAnsi" w:cstheme="minorBidi"/>
              <w:noProof/>
              <w:lang w:eastAsia="en-AU"/>
            </w:rPr>
          </w:pPr>
          <w:hyperlink w:anchor="_Toc484510887" w:history="1">
            <w:r w:rsidR="002000A4" w:rsidRPr="007E5736">
              <w:rPr>
                <w:rStyle w:val="Hyperlink"/>
                <w:noProof/>
              </w:rPr>
              <w:t>Nonclinical conclusions and recommendation</w:t>
            </w:r>
            <w:r w:rsidR="002000A4">
              <w:rPr>
                <w:noProof/>
                <w:webHidden/>
              </w:rPr>
              <w:tab/>
            </w:r>
            <w:r w:rsidR="002000A4">
              <w:rPr>
                <w:noProof/>
                <w:webHidden/>
              </w:rPr>
              <w:fldChar w:fldCharType="begin"/>
            </w:r>
            <w:r w:rsidR="002000A4">
              <w:rPr>
                <w:noProof/>
                <w:webHidden/>
              </w:rPr>
              <w:instrText xml:space="preserve"> PAGEREF _Toc484510887 \h </w:instrText>
            </w:r>
            <w:r w:rsidR="002000A4">
              <w:rPr>
                <w:noProof/>
                <w:webHidden/>
              </w:rPr>
            </w:r>
            <w:r w:rsidR="002000A4">
              <w:rPr>
                <w:noProof/>
                <w:webHidden/>
              </w:rPr>
              <w:fldChar w:fldCharType="separate"/>
            </w:r>
            <w:r>
              <w:rPr>
                <w:noProof/>
                <w:webHidden/>
              </w:rPr>
              <w:t>30</w:t>
            </w:r>
            <w:r w:rsidR="002000A4">
              <w:rPr>
                <w:noProof/>
                <w:webHidden/>
              </w:rPr>
              <w:fldChar w:fldCharType="end"/>
            </w:r>
          </w:hyperlink>
        </w:p>
        <w:p w14:paraId="2A397A70" w14:textId="77777777" w:rsidR="002000A4" w:rsidRDefault="00F10344">
          <w:pPr>
            <w:pStyle w:val="TOC2"/>
            <w:rPr>
              <w:rFonts w:asciiTheme="minorHAnsi" w:eastAsiaTheme="minorEastAsia" w:hAnsiTheme="minorHAnsi" w:cstheme="minorBidi"/>
              <w:b w:val="0"/>
              <w:noProof/>
              <w:sz w:val="22"/>
              <w:lang w:eastAsia="en-AU"/>
            </w:rPr>
          </w:pPr>
          <w:hyperlink w:anchor="_Toc484510888" w:history="1">
            <w:r w:rsidR="002000A4" w:rsidRPr="007E5736">
              <w:rPr>
                <w:rStyle w:val="Hyperlink"/>
                <w:noProof/>
              </w:rPr>
              <w:t>IV. Clinical findings</w:t>
            </w:r>
            <w:r w:rsidR="002000A4">
              <w:rPr>
                <w:noProof/>
                <w:webHidden/>
              </w:rPr>
              <w:tab/>
            </w:r>
            <w:r w:rsidR="002000A4">
              <w:rPr>
                <w:noProof/>
                <w:webHidden/>
              </w:rPr>
              <w:fldChar w:fldCharType="begin"/>
            </w:r>
            <w:r w:rsidR="002000A4">
              <w:rPr>
                <w:noProof/>
                <w:webHidden/>
              </w:rPr>
              <w:instrText xml:space="preserve"> PAGEREF _Toc484510888 \h </w:instrText>
            </w:r>
            <w:r w:rsidR="002000A4">
              <w:rPr>
                <w:noProof/>
                <w:webHidden/>
              </w:rPr>
            </w:r>
            <w:r w:rsidR="002000A4">
              <w:rPr>
                <w:noProof/>
                <w:webHidden/>
              </w:rPr>
              <w:fldChar w:fldCharType="separate"/>
            </w:r>
            <w:r>
              <w:rPr>
                <w:noProof/>
                <w:webHidden/>
              </w:rPr>
              <w:t>31</w:t>
            </w:r>
            <w:r w:rsidR="002000A4">
              <w:rPr>
                <w:noProof/>
                <w:webHidden/>
              </w:rPr>
              <w:fldChar w:fldCharType="end"/>
            </w:r>
          </w:hyperlink>
        </w:p>
        <w:p w14:paraId="7A1AE0D1" w14:textId="77777777" w:rsidR="002000A4" w:rsidRDefault="00F10344">
          <w:pPr>
            <w:pStyle w:val="TOC3"/>
            <w:rPr>
              <w:rFonts w:asciiTheme="minorHAnsi" w:eastAsiaTheme="minorEastAsia" w:hAnsiTheme="minorHAnsi" w:cstheme="minorBidi"/>
              <w:noProof/>
              <w:lang w:eastAsia="en-AU"/>
            </w:rPr>
          </w:pPr>
          <w:hyperlink w:anchor="_Toc484510889" w:history="1">
            <w:r w:rsidR="002000A4" w:rsidRPr="007E5736">
              <w:rPr>
                <w:rStyle w:val="Hyperlink"/>
                <w:noProof/>
              </w:rPr>
              <w:t>Introduction</w:t>
            </w:r>
            <w:r w:rsidR="002000A4">
              <w:rPr>
                <w:noProof/>
                <w:webHidden/>
              </w:rPr>
              <w:tab/>
            </w:r>
            <w:r w:rsidR="002000A4">
              <w:rPr>
                <w:noProof/>
                <w:webHidden/>
              </w:rPr>
              <w:fldChar w:fldCharType="begin"/>
            </w:r>
            <w:r w:rsidR="002000A4">
              <w:rPr>
                <w:noProof/>
                <w:webHidden/>
              </w:rPr>
              <w:instrText xml:space="preserve"> PAGEREF _Toc484510889 \h </w:instrText>
            </w:r>
            <w:r w:rsidR="002000A4">
              <w:rPr>
                <w:noProof/>
                <w:webHidden/>
              </w:rPr>
            </w:r>
            <w:r w:rsidR="002000A4">
              <w:rPr>
                <w:noProof/>
                <w:webHidden/>
              </w:rPr>
              <w:fldChar w:fldCharType="separate"/>
            </w:r>
            <w:r>
              <w:rPr>
                <w:noProof/>
                <w:webHidden/>
              </w:rPr>
              <w:t>31</w:t>
            </w:r>
            <w:r w:rsidR="002000A4">
              <w:rPr>
                <w:noProof/>
                <w:webHidden/>
              </w:rPr>
              <w:fldChar w:fldCharType="end"/>
            </w:r>
          </w:hyperlink>
        </w:p>
        <w:p w14:paraId="742FB2BA" w14:textId="77777777" w:rsidR="002000A4" w:rsidRDefault="00F10344">
          <w:pPr>
            <w:pStyle w:val="TOC3"/>
            <w:rPr>
              <w:rFonts w:asciiTheme="minorHAnsi" w:eastAsiaTheme="minorEastAsia" w:hAnsiTheme="minorHAnsi" w:cstheme="minorBidi"/>
              <w:noProof/>
              <w:lang w:eastAsia="en-AU"/>
            </w:rPr>
          </w:pPr>
          <w:hyperlink w:anchor="_Toc484510890" w:history="1">
            <w:r w:rsidR="002000A4" w:rsidRPr="007E5736">
              <w:rPr>
                <w:rStyle w:val="Hyperlink"/>
                <w:noProof/>
              </w:rPr>
              <w:t>Pharmacokinetics</w:t>
            </w:r>
            <w:r w:rsidR="002000A4">
              <w:rPr>
                <w:noProof/>
                <w:webHidden/>
              </w:rPr>
              <w:tab/>
            </w:r>
            <w:r w:rsidR="002000A4">
              <w:rPr>
                <w:noProof/>
                <w:webHidden/>
              </w:rPr>
              <w:fldChar w:fldCharType="begin"/>
            </w:r>
            <w:r w:rsidR="002000A4">
              <w:rPr>
                <w:noProof/>
                <w:webHidden/>
              </w:rPr>
              <w:instrText xml:space="preserve"> PAGEREF _Toc484510890 \h </w:instrText>
            </w:r>
            <w:r w:rsidR="002000A4">
              <w:rPr>
                <w:noProof/>
                <w:webHidden/>
              </w:rPr>
            </w:r>
            <w:r w:rsidR="002000A4">
              <w:rPr>
                <w:noProof/>
                <w:webHidden/>
              </w:rPr>
              <w:fldChar w:fldCharType="separate"/>
            </w:r>
            <w:r>
              <w:rPr>
                <w:noProof/>
                <w:webHidden/>
              </w:rPr>
              <w:t>34</w:t>
            </w:r>
            <w:r w:rsidR="002000A4">
              <w:rPr>
                <w:noProof/>
                <w:webHidden/>
              </w:rPr>
              <w:fldChar w:fldCharType="end"/>
            </w:r>
          </w:hyperlink>
        </w:p>
        <w:p w14:paraId="64E86CB3" w14:textId="77777777" w:rsidR="002000A4" w:rsidRDefault="00F10344">
          <w:pPr>
            <w:pStyle w:val="TOC3"/>
            <w:rPr>
              <w:rFonts w:asciiTheme="minorHAnsi" w:eastAsiaTheme="minorEastAsia" w:hAnsiTheme="minorHAnsi" w:cstheme="minorBidi"/>
              <w:noProof/>
              <w:lang w:eastAsia="en-AU"/>
            </w:rPr>
          </w:pPr>
          <w:hyperlink w:anchor="_Toc484510891" w:history="1">
            <w:r w:rsidR="002000A4" w:rsidRPr="007E5736">
              <w:rPr>
                <w:rStyle w:val="Hyperlink"/>
                <w:noProof/>
              </w:rPr>
              <w:t>Pharmacodynamics</w:t>
            </w:r>
            <w:r w:rsidR="002000A4">
              <w:rPr>
                <w:noProof/>
                <w:webHidden/>
              </w:rPr>
              <w:tab/>
            </w:r>
            <w:r w:rsidR="002000A4">
              <w:rPr>
                <w:noProof/>
                <w:webHidden/>
              </w:rPr>
              <w:fldChar w:fldCharType="begin"/>
            </w:r>
            <w:r w:rsidR="002000A4">
              <w:rPr>
                <w:noProof/>
                <w:webHidden/>
              </w:rPr>
              <w:instrText xml:space="preserve"> PAGEREF _Toc484510891 \h </w:instrText>
            </w:r>
            <w:r w:rsidR="002000A4">
              <w:rPr>
                <w:noProof/>
                <w:webHidden/>
              </w:rPr>
            </w:r>
            <w:r w:rsidR="002000A4">
              <w:rPr>
                <w:noProof/>
                <w:webHidden/>
              </w:rPr>
              <w:fldChar w:fldCharType="separate"/>
            </w:r>
            <w:r>
              <w:rPr>
                <w:noProof/>
                <w:webHidden/>
              </w:rPr>
              <w:t>38</w:t>
            </w:r>
            <w:r w:rsidR="002000A4">
              <w:rPr>
                <w:noProof/>
                <w:webHidden/>
              </w:rPr>
              <w:fldChar w:fldCharType="end"/>
            </w:r>
          </w:hyperlink>
        </w:p>
        <w:p w14:paraId="439EF4DB" w14:textId="77777777" w:rsidR="002000A4" w:rsidRDefault="00F10344">
          <w:pPr>
            <w:pStyle w:val="TOC3"/>
            <w:rPr>
              <w:rFonts w:asciiTheme="minorHAnsi" w:eastAsiaTheme="minorEastAsia" w:hAnsiTheme="minorHAnsi" w:cstheme="minorBidi"/>
              <w:noProof/>
              <w:lang w:eastAsia="en-AU"/>
            </w:rPr>
          </w:pPr>
          <w:hyperlink w:anchor="_Toc484510892" w:history="1">
            <w:r w:rsidR="002000A4" w:rsidRPr="007E5736">
              <w:rPr>
                <w:rStyle w:val="Hyperlink"/>
                <w:noProof/>
              </w:rPr>
              <w:t>Dosage selection for the pivotal studies</w:t>
            </w:r>
            <w:r w:rsidR="002000A4">
              <w:rPr>
                <w:noProof/>
                <w:webHidden/>
              </w:rPr>
              <w:tab/>
            </w:r>
            <w:r w:rsidR="002000A4">
              <w:rPr>
                <w:noProof/>
                <w:webHidden/>
              </w:rPr>
              <w:fldChar w:fldCharType="begin"/>
            </w:r>
            <w:r w:rsidR="002000A4">
              <w:rPr>
                <w:noProof/>
                <w:webHidden/>
              </w:rPr>
              <w:instrText xml:space="preserve"> PAGEREF _Toc484510892 \h </w:instrText>
            </w:r>
            <w:r w:rsidR="002000A4">
              <w:rPr>
                <w:noProof/>
                <w:webHidden/>
              </w:rPr>
            </w:r>
            <w:r w:rsidR="002000A4">
              <w:rPr>
                <w:noProof/>
                <w:webHidden/>
              </w:rPr>
              <w:fldChar w:fldCharType="separate"/>
            </w:r>
            <w:r>
              <w:rPr>
                <w:noProof/>
                <w:webHidden/>
              </w:rPr>
              <w:t>39</w:t>
            </w:r>
            <w:r w:rsidR="002000A4">
              <w:rPr>
                <w:noProof/>
                <w:webHidden/>
              </w:rPr>
              <w:fldChar w:fldCharType="end"/>
            </w:r>
          </w:hyperlink>
        </w:p>
        <w:p w14:paraId="442449A1" w14:textId="77777777" w:rsidR="002000A4" w:rsidRDefault="00F10344">
          <w:pPr>
            <w:pStyle w:val="TOC3"/>
            <w:rPr>
              <w:rFonts w:asciiTheme="minorHAnsi" w:eastAsiaTheme="minorEastAsia" w:hAnsiTheme="minorHAnsi" w:cstheme="minorBidi"/>
              <w:noProof/>
              <w:lang w:eastAsia="en-AU"/>
            </w:rPr>
          </w:pPr>
          <w:hyperlink w:anchor="_Toc484510893" w:history="1">
            <w:r w:rsidR="002000A4" w:rsidRPr="007E5736">
              <w:rPr>
                <w:rStyle w:val="Hyperlink"/>
                <w:noProof/>
              </w:rPr>
              <w:t>Efficacy</w:t>
            </w:r>
            <w:r w:rsidR="002000A4">
              <w:rPr>
                <w:noProof/>
                <w:webHidden/>
              </w:rPr>
              <w:tab/>
            </w:r>
            <w:r w:rsidR="002000A4">
              <w:rPr>
                <w:noProof/>
                <w:webHidden/>
              </w:rPr>
              <w:fldChar w:fldCharType="begin"/>
            </w:r>
            <w:r w:rsidR="002000A4">
              <w:rPr>
                <w:noProof/>
                <w:webHidden/>
              </w:rPr>
              <w:instrText xml:space="preserve"> PAGEREF _Toc484510893 \h </w:instrText>
            </w:r>
            <w:r w:rsidR="002000A4">
              <w:rPr>
                <w:noProof/>
                <w:webHidden/>
              </w:rPr>
            </w:r>
            <w:r w:rsidR="002000A4">
              <w:rPr>
                <w:noProof/>
                <w:webHidden/>
              </w:rPr>
              <w:fldChar w:fldCharType="separate"/>
            </w:r>
            <w:r>
              <w:rPr>
                <w:noProof/>
                <w:webHidden/>
              </w:rPr>
              <w:t>40</w:t>
            </w:r>
            <w:r w:rsidR="002000A4">
              <w:rPr>
                <w:noProof/>
                <w:webHidden/>
              </w:rPr>
              <w:fldChar w:fldCharType="end"/>
            </w:r>
          </w:hyperlink>
        </w:p>
        <w:p w14:paraId="3F2977AF" w14:textId="77777777" w:rsidR="002000A4" w:rsidRDefault="00F10344">
          <w:pPr>
            <w:pStyle w:val="TOC3"/>
            <w:rPr>
              <w:rFonts w:asciiTheme="minorHAnsi" w:eastAsiaTheme="minorEastAsia" w:hAnsiTheme="minorHAnsi" w:cstheme="minorBidi"/>
              <w:noProof/>
              <w:lang w:eastAsia="en-AU"/>
            </w:rPr>
          </w:pPr>
          <w:hyperlink w:anchor="_Toc484510894" w:history="1">
            <w:r w:rsidR="002000A4" w:rsidRPr="007E5736">
              <w:rPr>
                <w:rStyle w:val="Hyperlink"/>
                <w:noProof/>
              </w:rPr>
              <w:t>Safety</w:t>
            </w:r>
            <w:r w:rsidR="002000A4">
              <w:rPr>
                <w:noProof/>
                <w:webHidden/>
              </w:rPr>
              <w:tab/>
            </w:r>
            <w:r w:rsidR="002000A4">
              <w:rPr>
                <w:noProof/>
                <w:webHidden/>
              </w:rPr>
              <w:fldChar w:fldCharType="begin"/>
            </w:r>
            <w:r w:rsidR="002000A4">
              <w:rPr>
                <w:noProof/>
                <w:webHidden/>
              </w:rPr>
              <w:instrText xml:space="preserve"> PAGEREF _Toc484510894 \h </w:instrText>
            </w:r>
            <w:r w:rsidR="002000A4">
              <w:rPr>
                <w:noProof/>
                <w:webHidden/>
              </w:rPr>
            </w:r>
            <w:r w:rsidR="002000A4">
              <w:rPr>
                <w:noProof/>
                <w:webHidden/>
              </w:rPr>
              <w:fldChar w:fldCharType="separate"/>
            </w:r>
            <w:r>
              <w:rPr>
                <w:noProof/>
                <w:webHidden/>
              </w:rPr>
              <w:t>45</w:t>
            </w:r>
            <w:r w:rsidR="002000A4">
              <w:rPr>
                <w:noProof/>
                <w:webHidden/>
              </w:rPr>
              <w:fldChar w:fldCharType="end"/>
            </w:r>
          </w:hyperlink>
        </w:p>
        <w:p w14:paraId="34E15861" w14:textId="77777777" w:rsidR="002000A4" w:rsidRDefault="00F10344">
          <w:pPr>
            <w:pStyle w:val="TOC3"/>
            <w:rPr>
              <w:rFonts w:asciiTheme="minorHAnsi" w:eastAsiaTheme="minorEastAsia" w:hAnsiTheme="minorHAnsi" w:cstheme="minorBidi"/>
              <w:noProof/>
              <w:lang w:eastAsia="en-AU"/>
            </w:rPr>
          </w:pPr>
          <w:hyperlink w:anchor="_Toc484510895" w:history="1">
            <w:r w:rsidR="002000A4" w:rsidRPr="007E5736">
              <w:rPr>
                <w:rStyle w:val="Hyperlink"/>
                <w:noProof/>
              </w:rPr>
              <w:t>First round benefit-risk assessment</w:t>
            </w:r>
            <w:r w:rsidR="002000A4">
              <w:rPr>
                <w:noProof/>
                <w:webHidden/>
              </w:rPr>
              <w:tab/>
            </w:r>
            <w:r w:rsidR="002000A4">
              <w:rPr>
                <w:noProof/>
                <w:webHidden/>
              </w:rPr>
              <w:fldChar w:fldCharType="begin"/>
            </w:r>
            <w:r w:rsidR="002000A4">
              <w:rPr>
                <w:noProof/>
                <w:webHidden/>
              </w:rPr>
              <w:instrText xml:space="preserve"> PAGEREF _Toc484510895 \h </w:instrText>
            </w:r>
            <w:r w:rsidR="002000A4">
              <w:rPr>
                <w:noProof/>
                <w:webHidden/>
              </w:rPr>
            </w:r>
            <w:r w:rsidR="002000A4">
              <w:rPr>
                <w:noProof/>
                <w:webHidden/>
              </w:rPr>
              <w:fldChar w:fldCharType="separate"/>
            </w:r>
            <w:r>
              <w:rPr>
                <w:noProof/>
                <w:webHidden/>
              </w:rPr>
              <w:t>51</w:t>
            </w:r>
            <w:r w:rsidR="002000A4">
              <w:rPr>
                <w:noProof/>
                <w:webHidden/>
              </w:rPr>
              <w:fldChar w:fldCharType="end"/>
            </w:r>
          </w:hyperlink>
        </w:p>
        <w:p w14:paraId="440858FB" w14:textId="77777777" w:rsidR="002000A4" w:rsidRDefault="00F10344">
          <w:pPr>
            <w:pStyle w:val="TOC3"/>
            <w:rPr>
              <w:rFonts w:asciiTheme="minorHAnsi" w:eastAsiaTheme="minorEastAsia" w:hAnsiTheme="minorHAnsi" w:cstheme="minorBidi"/>
              <w:noProof/>
              <w:lang w:eastAsia="en-AU"/>
            </w:rPr>
          </w:pPr>
          <w:hyperlink w:anchor="_Toc484510896" w:history="1">
            <w:r w:rsidR="002000A4" w:rsidRPr="007E5736">
              <w:rPr>
                <w:rStyle w:val="Hyperlink"/>
                <w:noProof/>
              </w:rPr>
              <w:t>First round recommendation regarding authorisation</w:t>
            </w:r>
            <w:r w:rsidR="002000A4">
              <w:rPr>
                <w:noProof/>
                <w:webHidden/>
              </w:rPr>
              <w:tab/>
            </w:r>
            <w:r w:rsidR="002000A4">
              <w:rPr>
                <w:noProof/>
                <w:webHidden/>
              </w:rPr>
              <w:fldChar w:fldCharType="begin"/>
            </w:r>
            <w:r w:rsidR="002000A4">
              <w:rPr>
                <w:noProof/>
                <w:webHidden/>
              </w:rPr>
              <w:instrText xml:space="preserve"> PAGEREF _Toc484510896 \h </w:instrText>
            </w:r>
            <w:r w:rsidR="002000A4">
              <w:rPr>
                <w:noProof/>
                <w:webHidden/>
              </w:rPr>
            </w:r>
            <w:r w:rsidR="002000A4">
              <w:rPr>
                <w:noProof/>
                <w:webHidden/>
              </w:rPr>
              <w:fldChar w:fldCharType="separate"/>
            </w:r>
            <w:r>
              <w:rPr>
                <w:noProof/>
                <w:webHidden/>
              </w:rPr>
              <w:t>56</w:t>
            </w:r>
            <w:r w:rsidR="002000A4">
              <w:rPr>
                <w:noProof/>
                <w:webHidden/>
              </w:rPr>
              <w:fldChar w:fldCharType="end"/>
            </w:r>
          </w:hyperlink>
        </w:p>
        <w:p w14:paraId="0F4A6390" w14:textId="77777777" w:rsidR="002000A4" w:rsidRDefault="00F10344">
          <w:pPr>
            <w:pStyle w:val="TOC3"/>
            <w:rPr>
              <w:rFonts w:asciiTheme="minorHAnsi" w:eastAsiaTheme="minorEastAsia" w:hAnsiTheme="minorHAnsi" w:cstheme="minorBidi"/>
              <w:noProof/>
              <w:lang w:eastAsia="en-AU"/>
            </w:rPr>
          </w:pPr>
          <w:hyperlink w:anchor="_Toc484510897" w:history="1">
            <w:r w:rsidR="002000A4" w:rsidRPr="007E5736">
              <w:rPr>
                <w:rStyle w:val="Hyperlink"/>
                <w:noProof/>
              </w:rPr>
              <w:t>Clinical questions</w:t>
            </w:r>
            <w:r w:rsidR="002000A4">
              <w:rPr>
                <w:noProof/>
                <w:webHidden/>
              </w:rPr>
              <w:tab/>
            </w:r>
            <w:r w:rsidR="002000A4">
              <w:rPr>
                <w:noProof/>
                <w:webHidden/>
              </w:rPr>
              <w:fldChar w:fldCharType="begin"/>
            </w:r>
            <w:r w:rsidR="002000A4">
              <w:rPr>
                <w:noProof/>
                <w:webHidden/>
              </w:rPr>
              <w:instrText xml:space="preserve"> PAGEREF _Toc484510897 \h </w:instrText>
            </w:r>
            <w:r w:rsidR="002000A4">
              <w:rPr>
                <w:noProof/>
                <w:webHidden/>
              </w:rPr>
            </w:r>
            <w:r w:rsidR="002000A4">
              <w:rPr>
                <w:noProof/>
                <w:webHidden/>
              </w:rPr>
              <w:fldChar w:fldCharType="separate"/>
            </w:r>
            <w:r>
              <w:rPr>
                <w:noProof/>
                <w:webHidden/>
              </w:rPr>
              <w:t>56</w:t>
            </w:r>
            <w:r w:rsidR="002000A4">
              <w:rPr>
                <w:noProof/>
                <w:webHidden/>
              </w:rPr>
              <w:fldChar w:fldCharType="end"/>
            </w:r>
          </w:hyperlink>
        </w:p>
        <w:p w14:paraId="33DA3EA4" w14:textId="77777777" w:rsidR="002000A4" w:rsidRDefault="00F10344">
          <w:pPr>
            <w:pStyle w:val="TOC3"/>
            <w:rPr>
              <w:rFonts w:asciiTheme="minorHAnsi" w:eastAsiaTheme="minorEastAsia" w:hAnsiTheme="minorHAnsi" w:cstheme="minorBidi"/>
              <w:noProof/>
              <w:lang w:eastAsia="en-AU"/>
            </w:rPr>
          </w:pPr>
          <w:hyperlink w:anchor="_Toc484510898" w:history="1">
            <w:r w:rsidR="002000A4" w:rsidRPr="007E5736">
              <w:rPr>
                <w:rStyle w:val="Hyperlink"/>
                <w:noProof/>
              </w:rPr>
              <w:t>Second round evaluation of clinical data submitted in response to questions</w:t>
            </w:r>
            <w:r w:rsidR="002000A4">
              <w:rPr>
                <w:noProof/>
                <w:webHidden/>
              </w:rPr>
              <w:tab/>
            </w:r>
            <w:r w:rsidR="002000A4">
              <w:rPr>
                <w:noProof/>
                <w:webHidden/>
              </w:rPr>
              <w:fldChar w:fldCharType="begin"/>
            </w:r>
            <w:r w:rsidR="002000A4">
              <w:rPr>
                <w:noProof/>
                <w:webHidden/>
              </w:rPr>
              <w:instrText xml:space="preserve"> PAGEREF _Toc484510898 \h </w:instrText>
            </w:r>
            <w:r w:rsidR="002000A4">
              <w:rPr>
                <w:noProof/>
                <w:webHidden/>
              </w:rPr>
            </w:r>
            <w:r w:rsidR="002000A4">
              <w:rPr>
                <w:noProof/>
                <w:webHidden/>
              </w:rPr>
              <w:fldChar w:fldCharType="separate"/>
            </w:r>
            <w:r>
              <w:rPr>
                <w:noProof/>
                <w:webHidden/>
              </w:rPr>
              <w:t>58</w:t>
            </w:r>
            <w:r w:rsidR="002000A4">
              <w:rPr>
                <w:noProof/>
                <w:webHidden/>
              </w:rPr>
              <w:fldChar w:fldCharType="end"/>
            </w:r>
          </w:hyperlink>
        </w:p>
        <w:p w14:paraId="56A1DD50" w14:textId="77777777" w:rsidR="002000A4" w:rsidRDefault="00F10344">
          <w:pPr>
            <w:pStyle w:val="TOC3"/>
            <w:rPr>
              <w:rFonts w:asciiTheme="minorHAnsi" w:eastAsiaTheme="minorEastAsia" w:hAnsiTheme="minorHAnsi" w:cstheme="minorBidi"/>
              <w:noProof/>
              <w:lang w:eastAsia="en-AU"/>
            </w:rPr>
          </w:pPr>
          <w:hyperlink w:anchor="_Toc484510899" w:history="1">
            <w:r w:rsidR="002000A4" w:rsidRPr="007E5736">
              <w:rPr>
                <w:rStyle w:val="Hyperlink"/>
                <w:noProof/>
              </w:rPr>
              <w:t>Second round benefit-risk assessment</w:t>
            </w:r>
            <w:r w:rsidR="002000A4">
              <w:rPr>
                <w:noProof/>
                <w:webHidden/>
              </w:rPr>
              <w:tab/>
            </w:r>
            <w:r w:rsidR="002000A4">
              <w:rPr>
                <w:noProof/>
                <w:webHidden/>
              </w:rPr>
              <w:fldChar w:fldCharType="begin"/>
            </w:r>
            <w:r w:rsidR="002000A4">
              <w:rPr>
                <w:noProof/>
                <w:webHidden/>
              </w:rPr>
              <w:instrText xml:space="preserve"> PAGEREF _Toc484510899 \h </w:instrText>
            </w:r>
            <w:r w:rsidR="002000A4">
              <w:rPr>
                <w:noProof/>
                <w:webHidden/>
              </w:rPr>
            </w:r>
            <w:r w:rsidR="002000A4">
              <w:rPr>
                <w:noProof/>
                <w:webHidden/>
              </w:rPr>
              <w:fldChar w:fldCharType="separate"/>
            </w:r>
            <w:r>
              <w:rPr>
                <w:noProof/>
                <w:webHidden/>
              </w:rPr>
              <w:t>58</w:t>
            </w:r>
            <w:r w:rsidR="002000A4">
              <w:rPr>
                <w:noProof/>
                <w:webHidden/>
              </w:rPr>
              <w:fldChar w:fldCharType="end"/>
            </w:r>
          </w:hyperlink>
        </w:p>
        <w:p w14:paraId="1AB427B2" w14:textId="77777777" w:rsidR="002000A4" w:rsidRDefault="00F10344">
          <w:pPr>
            <w:pStyle w:val="TOC2"/>
            <w:rPr>
              <w:rFonts w:asciiTheme="minorHAnsi" w:eastAsiaTheme="minorEastAsia" w:hAnsiTheme="minorHAnsi" w:cstheme="minorBidi"/>
              <w:b w:val="0"/>
              <w:noProof/>
              <w:sz w:val="22"/>
              <w:lang w:eastAsia="en-AU"/>
            </w:rPr>
          </w:pPr>
          <w:hyperlink w:anchor="_Toc484510900" w:history="1">
            <w:r w:rsidR="002000A4" w:rsidRPr="007E5736">
              <w:rPr>
                <w:rStyle w:val="Hyperlink"/>
                <w:noProof/>
              </w:rPr>
              <w:t>V. Pharmacovigilance findings</w:t>
            </w:r>
            <w:r w:rsidR="002000A4">
              <w:rPr>
                <w:noProof/>
                <w:webHidden/>
              </w:rPr>
              <w:tab/>
            </w:r>
            <w:r w:rsidR="002000A4">
              <w:rPr>
                <w:noProof/>
                <w:webHidden/>
              </w:rPr>
              <w:fldChar w:fldCharType="begin"/>
            </w:r>
            <w:r w:rsidR="002000A4">
              <w:rPr>
                <w:noProof/>
                <w:webHidden/>
              </w:rPr>
              <w:instrText xml:space="preserve"> PAGEREF _Toc484510900 \h </w:instrText>
            </w:r>
            <w:r w:rsidR="002000A4">
              <w:rPr>
                <w:noProof/>
                <w:webHidden/>
              </w:rPr>
            </w:r>
            <w:r w:rsidR="002000A4">
              <w:rPr>
                <w:noProof/>
                <w:webHidden/>
              </w:rPr>
              <w:fldChar w:fldCharType="separate"/>
            </w:r>
            <w:r>
              <w:rPr>
                <w:noProof/>
                <w:webHidden/>
              </w:rPr>
              <w:t>59</w:t>
            </w:r>
            <w:r w:rsidR="002000A4">
              <w:rPr>
                <w:noProof/>
                <w:webHidden/>
              </w:rPr>
              <w:fldChar w:fldCharType="end"/>
            </w:r>
          </w:hyperlink>
        </w:p>
        <w:p w14:paraId="0C63A525" w14:textId="77777777" w:rsidR="002000A4" w:rsidRDefault="00F10344">
          <w:pPr>
            <w:pStyle w:val="TOC3"/>
            <w:rPr>
              <w:rFonts w:asciiTheme="minorHAnsi" w:eastAsiaTheme="minorEastAsia" w:hAnsiTheme="minorHAnsi" w:cstheme="minorBidi"/>
              <w:noProof/>
              <w:lang w:eastAsia="en-AU"/>
            </w:rPr>
          </w:pPr>
          <w:hyperlink w:anchor="_Toc484510901" w:history="1">
            <w:r w:rsidR="002000A4" w:rsidRPr="007E5736">
              <w:rPr>
                <w:rStyle w:val="Hyperlink"/>
                <w:noProof/>
                <w:lang w:eastAsia="en-AU"/>
              </w:rPr>
              <w:t>Risk management plan</w:t>
            </w:r>
            <w:r w:rsidR="002000A4">
              <w:rPr>
                <w:noProof/>
                <w:webHidden/>
              </w:rPr>
              <w:tab/>
            </w:r>
            <w:r w:rsidR="002000A4">
              <w:rPr>
                <w:noProof/>
                <w:webHidden/>
              </w:rPr>
              <w:fldChar w:fldCharType="begin"/>
            </w:r>
            <w:r w:rsidR="002000A4">
              <w:rPr>
                <w:noProof/>
                <w:webHidden/>
              </w:rPr>
              <w:instrText xml:space="preserve"> PAGEREF _Toc484510901 \h </w:instrText>
            </w:r>
            <w:r w:rsidR="002000A4">
              <w:rPr>
                <w:noProof/>
                <w:webHidden/>
              </w:rPr>
            </w:r>
            <w:r w:rsidR="002000A4">
              <w:rPr>
                <w:noProof/>
                <w:webHidden/>
              </w:rPr>
              <w:fldChar w:fldCharType="separate"/>
            </w:r>
            <w:r>
              <w:rPr>
                <w:noProof/>
                <w:webHidden/>
              </w:rPr>
              <w:t>59</w:t>
            </w:r>
            <w:r w:rsidR="002000A4">
              <w:rPr>
                <w:noProof/>
                <w:webHidden/>
              </w:rPr>
              <w:fldChar w:fldCharType="end"/>
            </w:r>
          </w:hyperlink>
        </w:p>
        <w:p w14:paraId="65C328DF" w14:textId="77777777" w:rsidR="002000A4" w:rsidRDefault="00F10344">
          <w:pPr>
            <w:pStyle w:val="TOC2"/>
            <w:rPr>
              <w:rFonts w:asciiTheme="minorHAnsi" w:eastAsiaTheme="minorEastAsia" w:hAnsiTheme="minorHAnsi" w:cstheme="minorBidi"/>
              <w:b w:val="0"/>
              <w:noProof/>
              <w:sz w:val="22"/>
              <w:lang w:eastAsia="en-AU"/>
            </w:rPr>
          </w:pPr>
          <w:hyperlink w:anchor="_Toc484510902" w:history="1">
            <w:r w:rsidR="002000A4" w:rsidRPr="007E5736">
              <w:rPr>
                <w:rStyle w:val="Hyperlink"/>
                <w:noProof/>
              </w:rPr>
              <w:t>VI. Overall conclusion and risk/benefit assessment</w:t>
            </w:r>
            <w:r w:rsidR="002000A4">
              <w:rPr>
                <w:noProof/>
                <w:webHidden/>
              </w:rPr>
              <w:tab/>
            </w:r>
            <w:r w:rsidR="002000A4">
              <w:rPr>
                <w:noProof/>
                <w:webHidden/>
              </w:rPr>
              <w:fldChar w:fldCharType="begin"/>
            </w:r>
            <w:r w:rsidR="002000A4">
              <w:rPr>
                <w:noProof/>
                <w:webHidden/>
              </w:rPr>
              <w:instrText xml:space="preserve"> PAGEREF _Toc484510902 \h </w:instrText>
            </w:r>
            <w:r w:rsidR="002000A4">
              <w:rPr>
                <w:noProof/>
                <w:webHidden/>
              </w:rPr>
            </w:r>
            <w:r w:rsidR="002000A4">
              <w:rPr>
                <w:noProof/>
                <w:webHidden/>
              </w:rPr>
              <w:fldChar w:fldCharType="separate"/>
            </w:r>
            <w:r>
              <w:rPr>
                <w:noProof/>
                <w:webHidden/>
              </w:rPr>
              <w:t>68</w:t>
            </w:r>
            <w:r w:rsidR="002000A4">
              <w:rPr>
                <w:noProof/>
                <w:webHidden/>
              </w:rPr>
              <w:fldChar w:fldCharType="end"/>
            </w:r>
          </w:hyperlink>
        </w:p>
        <w:p w14:paraId="0B03E834" w14:textId="77777777" w:rsidR="002000A4" w:rsidRDefault="00F10344">
          <w:pPr>
            <w:pStyle w:val="TOC3"/>
            <w:rPr>
              <w:rFonts w:asciiTheme="minorHAnsi" w:eastAsiaTheme="minorEastAsia" w:hAnsiTheme="minorHAnsi" w:cstheme="minorBidi"/>
              <w:noProof/>
              <w:lang w:eastAsia="en-AU"/>
            </w:rPr>
          </w:pPr>
          <w:hyperlink w:anchor="_Toc484510903" w:history="1">
            <w:r w:rsidR="002000A4" w:rsidRPr="007E5736">
              <w:rPr>
                <w:rStyle w:val="Hyperlink"/>
                <w:noProof/>
              </w:rPr>
              <w:t>Quality</w:t>
            </w:r>
            <w:r w:rsidR="002000A4">
              <w:rPr>
                <w:noProof/>
                <w:webHidden/>
              </w:rPr>
              <w:tab/>
            </w:r>
            <w:r w:rsidR="002000A4">
              <w:rPr>
                <w:noProof/>
                <w:webHidden/>
              </w:rPr>
              <w:fldChar w:fldCharType="begin"/>
            </w:r>
            <w:r w:rsidR="002000A4">
              <w:rPr>
                <w:noProof/>
                <w:webHidden/>
              </w:rPr>
              <w:instrText xml:space="preserve"> PAGEREF _Toc484510903 \h </w:instrText>
            </w:r>
            <w:r w:rsidR="002000A4">
              <w:rPr>
                <w:noProof/>
                <w:webHidden/>
              </w:rPr>
            </w:r>
            <w:r w:rsidR="002000A4">
              <w:rPr>
                <w:noProof/>
                <w:webHidden/>
              </w:rPr>
              <w:fldChar w:fldCharType="separate"/>
            </w:r>
            <w:r>
              <w:rPr>
                <w:noProof/>
                <w:webHidden/>
              </w:rPr>
              <w:t>68</w:t>
            </w:r>
            <w:r w:rsidR="002000A4">
              <w:rPr>
                <w:noProof/>
                <w:webHidden/>
              </w:rPr>
              <w:fldChar w:fldCharType="end"/>
            </w:r>
          </w:hyperlink>
        </w:p>
        <w:p w14:paraId="2FEFC9AA" w14:textId="77777777" w:rsidR="002000A4" w:rsidRDefault="00F10344">
          <w:pPr>
            <w:pStyle w:val="TOC3"/>
            <w:rPr>
              <w:rFonts w:asciiTheme="minorHAnsi" w:eastAsiaTheme="minorEastAsia" w:hAnsiTheme="minorHAnsi" w:cstheme="minorBidi"/>
              <w:noProof/>
              <w:lang w:eastAsia="en-AU"/>
            </w:rPr>
          </w:pPr>
          <w:hyperlink w:anchor="_Toc484510904" w:history="1">
            <w:r w:rsidR="002000A4" w:rsidRPr="007E5736">
              <w:rPr>
                <w:rStyle w:val="Hyperlink"/>
                <w:noProof/>
              </w:rPr>
              <w:t>Nonclinical</w:t>
            </w:r>
            <w:r w:rsidR="002000A4">
              <w:rPr>
                <w:noProof/>
                <w:webHidden/>
              </w:rPr>
              <w:tab/>
            </w:r>
            <w:r w:rsidR="002000A4">
              <w:rPr>
                <w:noProof/>
                <w:webHidden/>
              </w:rPr>
              <w:fldChar w:fldCharType="begin"/>
            </w:r>
            <w:r w:rsidR="002000A4">
              <w:rPr>
                <w:noProof/>
                <w:webHidden/>
              </w:rPr>
              <w:instrText xml:space="preserve"> PAGEREF _Toc484510904 \h </w:instrText>
            </w:r>
            <w:r w:rsidR="002000A4">
              <w:rPr>
                <w:noProof/>
                <w:webHidden/>
              </w:rPr>
            </w:r>
            <w:r w:rsidR="002000A4">
              <w:rPr>
                <w:noProof/>
                <w:webHidden/>
              </w:rPr>
              <w:fldChar w:fldCharType="separate"/>
            </w:r>
            <w:r>
              <w:rPr>
                <w:noProof/>
                <w:webHidden/>
              </w:rPr>
              <w:t>69</w:t>
            </w:r>
            <w:r w:rsidR="002000A4">
              <w:rPr>
                <w:noProof/>
                <w:webHidden/>
              </w:rPr>
              <w:fldChar w:fldCharType="end"/>
            </w:r>
          </w:hyperlink>
        </w:p>
        <w:p w14:paraId="1D185022" w14:textId="77777777" w:rsidR="002000A4" w:rsidRDefault="00F10344">
          <w:pPr>
            <w:pStyle w:val="TOC3"/>
            <w:rPr>
              <w:rFonts w:asciiTheme="minorHAnsi" w:eastAsiaTheme="minorEastAsia" w:hAnsiTheme="minorHAnsi" w:cstheme="minorBidi"/>
              <w:noProof/>
              <w:lang w:eastAsia="en-AU"/>
            </w:rPr>
          </w:pPr>
          <w:hyperlink w:anchor="_Toc484510905" w:history="1">
            <w:r w:rsidR="002000A4" w:rsidRPr="007E5736">
              <w:rPr>
                <w:rStyle w:val="Hyperlink"/>
                <w:noProof/>
              </w:rPr>
              <w:t>Clinical</w:t>
            </w:r>
            <w:r w:rsidR="002000A4">
              <w:rPr>
                <w:noProof/>
                <w:webHidden/>
              </w:rPr>
              <w:tab/>
            </w:r>
            <w:r w:rsidR="002000A4">
              <w:rPr>
                <w:noProof/>
                <w:webHidden/>
              </w:rPr>
              <w:fldChar w:fldCharType="begin"/>
            </w:r>
            <w:r w:rsidR="002000A4">
              <w:rPr>
                <w:noProof/>
                <w:webHidden/>
              </w:rPr>
              <w:instrText xml:space="preserve"> PAGEREF _Toc484510905 \h </w:instrText>
            </w:r>
            <w:r w:rsidR="002000A4">
              <w:rPr>
                <w:noProof/>
                <w:webHidden/>
              </w:rPr>
            </w:r>
            <w:r w:rsidR="002000A4">
              <w:rPr>
                <w:noProof/>
                <w:webHidden/>
              </w:rPr>
              <w:fldChar w:fldCharType="separate"/>
            </w:r>
            <w:r>
              <w:rPr>
                <w:noProof/>
                <w:webHidden/>
              </w:rPr>
              <w:t>69</w:t>
            </w:r>
            <w:r w:rsidR="002000A4">
              <w:rPr>
                <w:noProof/>
                <w:webHidden/>
              </w:rPr>
              <w:fldChar w:fldCharType="end"/>
            </w:r>
          </w:hyperlink>
        </w:p>
        <w:p w14:paraId="48C6E5DE" w14:textId="77777777" w:rsidR="002000A4" w:rsidRDefault="00F10344">
          <w:pPr>
            <w:pStyle w:val="TOC3"/>
            <w:rPr>
              <w:rFonts w:asciiTheme="minorHAnsi" w:eastAsiaTheme="minorEastAsia" w:hAnsiTheme="minorHAnsi" w:cstheme="minorBidi"/>
              <w:noProof/>
              <w:lang w:eastAsia="en-AU"/>
            </w:rPr>
          </w:pPr>
          <w:hyperlink w:anchor="_Toc484510906" w:history="1">
            <w:r w:rsidR="002000A4" w:rsidRPr="007E5736">
              <w:rPr>
                <w:rStyle w:val="Hyperlink"/>
                <w:noProof/>
                <w:lang w:eastAsia="en-AU"/>
              </w:rPr>
              <w:t xml:space="preserve">Risk management </w:t>
            </w:r>
            <w:r w:rsidR="002000A4" w:rsidRPr="007E5736">
              <w:rPr>
                <w:rStyle w:val="Hyperlink"/>
                <w:noProof/>
              </w:rPr>
              <w:t>plan</w:t>
            </w:r>
            <w:r w:rsidR="002000A4">
              <w:rPr>
                <w:noProof/>
                <w:webHidden/>
              </w:rPr>
              <w:tab/>
            </w:r>
            <w:r w:rsidR="002000A4">
              <w:rPr>
                <w:noProof/>
                <w:webHidden/>
              </w:rPr>
              <w:fldChar w:fldCharType="begin"/>
            </w:r>
            <w:r w:rsidR="002000A4">
              <w:rPr>
                <w:noProof/>
                <w:webHidden/>
              </w:rPr>
              <w:instrText xml:space="preserve"> PAGEREF _Toc484510906 \h </w:instrText>
            </w:r>
            <w:r w:rsidR="002000A4">
              <w:rPr>
                <w:noProof/>
                <w:webHidden/>
              </w:rPr>
            </w:r>
            <w:r w:rsidR="002000A4">
              <w:rPr>
                <w:noProof/>
                <w:webHidden/>
              </w:rPr>
              <w:fldChar w:fldCharType="separate"/>
            </w:r>
            <w:r>
              <w:rPr>
                <w:noProof/>
                <w:webHidden/>
              </w:rPr>
              <w:t>86</w:t>
            </w:r>
            <w:r w:rsidR="002000A4">
              <w:rPr>
                <w:noProof/>
                <w:webHidden/>
              </w:rPr>
              <w:fldChar w:fldCharType="end"/>
            </w:r>
          </w:hyperlink>
        </w:p>
        <w:p w14:paraId="116D545C" w14:textId="77777777" w:rsidR="002000A4" w:rsidRDefault="00F10344">
          <w:pPr>
            <w:pStyle w:val="TOC3"/>
            <w:rPr>
              <w:rFonts w:asciiTheme="minorHAnsi" w:eastAsiaTheme="minorEastAsia" w:hAnsiTheme="minorHAnsi" w:cstheme="minorBidi"/>
              <w:noProof/>
              <w:lang w:eastAsia="en-AU"/>
            </w:rPr>
          </w:pPr>
          <w:hyperlink w:anchor="_Toc484510907" w:history="1">
            <w:r w:rsidR="002000A4" w:rsidRPr="007E5736">
              <w:rPr>
                <w:rStyle w:val="Hyperlink"/>
                <w:noProof/>
              </w:rPr>
              <w:t>Risk-benefit analysis</w:t>
            </w:r>
            <w:r w:rsidR="002000A4">
              <w:rPr>
                <w:noProof/>
                <w:webHidden/>
              </w:rPr>
              <w:tab/>
            </w:r>
            <w:r w:rsidR="002000A4">
              <w:rPr>
                <w:noProof/>
                <w:webHidden/>
              </w:rPr>
              <w:fldChar w:fldCharType="begin"/>
            </w:r>
            <w:r w:rsidR="002000A4">
              <w:rPr>
                <w:noProof/>
                <w:webHidden/>
              </w:rPr>
              <w:instrText xml:space="preserve"> PAGEREF _Toc484510907 \h </w:instrText>
            </w:r>
            <w:r w:rsidR="002000A4">
              <w:rPr>
                <w:noProof/>
                <w:webHidden/>
              </w:rPr>
            </w:r>
            <w:r w:rsidR="002000A4">
              <w:rPr>
                <w:noProof/>
                <w:webHidden/>
              </w:rPr>
              <w:fldChar w:fldCharType="separate"/>
            </w:r>
            <w:r>
              <w:rPr>
                <w:noProof/>
                <w:webHidden/>
              </w:rPr>
              <w:t>86</w:t>
            </w:r>
            <w:r w:rsidR="002000A4">
              <w:rPr>
                <w:noProof/>
                <w:webHidden/>
              </w:rPr>
              <w:fldChar w:fldCharType="end"/>
            </w:r>
          </w:hyperlink>
        </w:p>
        <w:p w14:paraId="2A4A17AD" w14:textId="77777777" w:rsidR="002000A4" w:rsidRDefault="00F10344">
          <w:pPr>
            <w:pStyle w:val="TOC3"/>
            <w:rPr>
              <w:rFonts w:asciiTheme="minorHAnsi" w:eastAsiaTheme="minorEastAsia" w:hAnsiTheme="minorHAnsi" w:cstheme="minorBidi"/>
              <w:noProof/>
              <w:lang w:eastAsia="en-AU"/>
            </w:rPr>
          </w:pPr>
          <w:hyperlink w:anchor="_Toc484510908" w:history="1">
            <w:r w:rsidR="002000A4" w:rsidRPr="007E5736">
              <w:rPr>
                <w:rStyle w:val="Hyperlink"/>
                <w:noProof/>
              </w:rPr>
              <w:t>Outcome</w:t>
            </w:r>
            <w:r w:rsidR="002000A4">
              <w:rPr>
                <w:noProof/>
                <w:webHidden/>
              </w:rPr>
              <w:tab/>
            </w:r>
            <w:r w:rsidR="002000A4">
              <w:rPr>
                <w:noProof/>
                <w:webHidden/>
              </w:rPr>
              <w:fldChar w:fldCharType="begin"/>
            </w:r>
            <w:r w:rsidR="002000A4">
              <w:rPr>
                <w:noProof/>
                <w:webHidden/>
              </w:rPr>
              <w:instrText xml:space="preserve"> PAGEREF _Toc484510908 \h </w:instrText>
            </w:r>
            <w:r w:rsidR="002000A4">
              <w:rPr>
                <w:noProof/>
                <w:webHidden/>
              </w:rPr>
            </w:r>
            <w:r w:rsidR="002000A4">
              <w:rPr>
                <w:noProof/>
                <w:webHidden/>
              </w:rPr>
              <w:fldChar w:fldCharType="separate"/>
            </w:r>
            <w:r>
              <w:rPr>
                <w:noProof/>
                <w:webHidden/>
              </w:rPr>
              <w:t>92</w:t>
            </w:r>
            <w:r w:rsidR="002000A4">
              <w:rPr>
                <w:noProof/>
                <w:webHidden/>
              </w:rPr>
              <w:fldChar w:fldCharType="end"/>
            </w:r>
          </w:hyperlink>
        </w:p>
        <w:p w14:paraId="777B21E9" w14:textId="77777777" w:rsidR="002000A4" w:rsidRDefault="00F10344">
          <w:pPr>
            <w:pStyle w:val="TOC2"/>
            <w:rPr>
              <w:rFonts w:asciiTheme="minorHAnsi" w:eastAsiaTheme="minorEastAsia" w:hAnsiTheme="minorHAnsi" w:cstheme="minorBidi"/>
              <w:b w:val="0"/>
              <w:noProof/>
              <w:sz w:val="22"/>
              <w:lang w:eastAsia="en-AU"/>
            </w:rPr>
          </w:pPr>
          <w:hyperlink w:anchor="_Toc484510909" w:history="1">
            <w:r w:rsidR="002000A4" w:rsidRPr="007E5736">
              <w:rPr>
                <w:rStyle w:val="Hyperlink"/>
                <w:noProof/>
              </w:rPr>
              <w:t>Attachment 1. Product Information</w:t>
            </w:r>
            <w:r w:rsidR="002000A4">
              <w:rPr>
                <w:noProof/>
                <w:webHidden/>
              </w:rPr>
              <w:tab/>
            </w:r>
            <w:r w:rsidR="002000A4">
              <w:rPr>
                <w:noProof/>
                <w:webHidden/>
              </w:rPr>
              <w:fldChar w:fldCharType="begin"/>
            </w:r>
            <w:r w:rsidR="002000A4">
              <w:rPr>
                <w:noProof/>
                <w:webHidden/>
              </w:rPr>
              <w:instrText xml:space="preserve"> PAGEREF _Toc484510909 \h </w:instrText>
            </w:r>
            <w:r w:rsidR="002000A4">
              <w:rPr>
                <w:noProof/>
                <w:webHidden/>
              </w:rPr>
            </w:r>
            <w:r w:rsidR="002000A4">
              <w:rPr>
                <w:noProof/>
                <w:webHidden/>
              </w:rPr>
              <w:fldChar w:fldCharType="separate"/>
            </w:r>
            <w:r>
              <w:rPr>
                <w:noProof/>
                <w:webHidden/>
              </w:rPr>
              <w:t>92</w:t>
            </w:r>
            <w:r w:rsidR="002000A4">
              <w:rPr>
                <w:noProof/>
                <w:webHidden/>
              </w:rPr>
              <w:fldChar w:fldCharType="end"/>
            </w:r>
          </w:hyperlink>
        </w:p>
        <w:p w14:paraId="49D0CE39" w14:textId="77777777" w:rsidR="002000A4" w:rsidRDefault="00F10344">
          <w:pPr>
            <w:pStyle w:val="TOC2"/>
            <w:rPr>
              <w:rFonts w:asciiTheme="minorHAnsi" w:eastAsiaTheme="minorEastAsia" w:hAnsiTheme="minorHAnsi" w:cstheme="minorBidi"/>
              <w:b w:val="0"/>
              <w:noProof/>
              <w:sz w:val="22"/>
              <w:lang w:eastAsia="en-AU"/>
            </w:rPr>
          </w:pPr>
          <w:hyperlink w:anchor="_Toc484510910" w:history="1">
            <w:r w:rsidR="002000A4" w:rsidRPr="007E5736">
              <w:rPr>
                <w:rStyle w:val="Hyperlink"/>
                <w:noProof/>
                <w:lang w:eastAsia="en-AU"/>
              </w:rPr>
              <w:t>Attachment 2. Extract from the Clinical Evaluation Report</w:t>
            </w:r>
            <w:r w:rsidR="002000A4">
              <w:rPr>
                <w:noProof/>
                <w:webHidden/>
              </w:rPr>
              <w:tab/>
            </w:r>
            <w:r w:rsidR="002000A4">
              <w:rPr>
                <w:noProof/>
                <w:webHidden/>
              </w:rPr>
              <w:fldChar w:fldCharType="begin"/>
            </w:r>
            <w:r w:rsidR="002000A4">
              <w:rPr>
                <w:noProof/>
                <w:webHidden/>
              </w:rPr>
              <w:instrText xml:space="preserve"> PAGEREF _Toc484510910 \h </w:instrText>
            </w:r>
            <w:r w:rsidR="002000A4">
              <w:rPr>
                <w:noProof/>
                <w:webHidden/>
              </w:rPr>
            </w:r>
            <w:r w:rsidR="002000A4">
              <w:rPr>
                <w:noProof/>
                <w:webHidden/>
              </w:rPr>
              <w:fldChar w:fldCharType="separate"/>
            </w:r>
            <w:r>
              <w:rPr>
                <w:noProof/>
                <w:webHidden/>
              </w:rPr>
              <w:t>92</w:t>
            </w:r>
            <w:r w:rsidR="002000A4">
              <w:rPr>
                <w:noProof/>
                <w:webHidden/>
              </w:rPr>
              <w:fldChar w:fldCharType="end"/>
            </w:r>
          </w:hyperlink>
        </w:p>
        <w:p w14:paraId="4C3DCD1B" w14:textId="77777777" w:rsidR="003A7F6C" w:rsidRPr="00B811C6" w:rsidRDefault="00DB6124" w:rsidP="00B811C6">
          <w:pPr>
            <w:pStyle w:val="TOC2"/>
          </w:pPr>
          <w:r>
            <w:fldChar w:fldCharType="end"/>
          </w:r>
        </w:p>
      </w:sdtContent>
    </w:sdt>
    <w:bookmarkStart w:id="3" w:name="_Toc314842482" w:displacedByCustomXml="prev"/>
    <w:p w14:paraId="4C3DCD1C" w14:textId="77777777" w:rsidR="00FD119B" w:rsidRDefault="00FD119B">
      <w:pPr>
        <w:spacing w:before="0" w:after="200" w:line="0" w:lineRule="auto"/>
      </w:pPr>
      <w:r>
        <w:br w:type="page"/>
      </w:r>
    </w:p>
    <w:p w14:paraId="4C3DCD1D" w14:textId="77777777"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84510868"/>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912"/>
        <w:gridCol w:w="6808"/>
      </w:tblGrid>
      <w:tr w:rsidR="00FD119B" w:rsidRPr="00FD119B" w14:paraId="4C3DCD20" w14:textId="77777777" w:rsidTr="00214C3B">
        <w:trPr>
          <w:cnfStyle w:val="100000000000" w:firstRow="1" w:lastRow="0" w:firstColumn="0" w:lastColumn="0" w:oddVBand="0" w:evenVBand="0" w:oddHBand="0" w:evenHBand="0" w:firstRowFirstColumn="0" w:firstRowLastColumn="0" w:lastRowFirstColumn="0" w:lastRowLastColumn="0"/>
          <w:cantSplit/>
        </w:trPr>
        <w:tc>
          <w:tcPr>
            <w:tcW w:w="1912" w:type="dxa"/>
          </w:tcPr>
          <w:p w14:paraId="4C3DCD1E" w14:textId="77777777" w:rsidR="00FD119B" w:rsidRPr="00214C3B" w:rsidRDefault="00FD119B" w:rsidP="0075660C">
            <w:pPr>
              <w:rPr>
                <w:lang w:eastAsia="en-US"/>
              </w:rPr>
            </w:pPr>
            <w:r w:rsidRPr="00214C3B">
              <w:rPr>
                <w:lang w:eastAsia="en-US"/>
              </w:rPr>
              <w:t>Abbreviation</w:t>
            </w:r>
          </w:p>
        </w:tc>
        <w:tc>
          <w:tcPr>
            <w:tcW w:w="6808" w:type="dxa"/>
          </w:tcPr>
          <w:p w14:paraId="4C3DCD1F" w14:textId="77777777" w:rsidR="00FD119B" w:rsidRPr="00214C3B" w:rsidRDefault="00FD119B" w:rsidP="0075660C">
            <w:pPr>
              <w:rPr>
                <w:lang w:eastAsia="en-US"/>
              </w:rPr>
            </w:pPr>
            <w:r w:rsidRPr="00214C3B">
              <w:rPr>
                <w:lang w:eastAsia="en-US"/>
              </w:rPr>
              <w:t>Meaning</w:t>
            </w:r>
          </w:p>
        </w:tc>
      </w:tr>
      <w:tr w:rsidR="00214C3B" w:rsidRPr="007D6909" w14:paraId="4C3DCD23" w14:textId="77777777" w:rsidTr="00214C3B">
        <w:tc>
          <w:tcPr>
            <w:tcW w:w="1912" w:type="dxa"/>
          </w:tcPr>
          <w:p w14:paraId="4C3DCD21" w14:textId="77777777" w:rsidR="00214C3B" w:rsidRPr="00214C3B" w:rsidRDefault="00214C3B" w:rsidP="0075660C">
            <w:pPr>
              <w:rPr>
                <w:rFonts w:cstheme="minorHAnsi"/>
              </w:rPr>
            </w:pPr>
            <w:r w:rsidRPr="00214C3B">
              <w:rPr>
                <w:rFonts w:cstheme="minorHAnsi"/>
              </w:rPr>
              <w:t xml:space="preserve">AE </w:t>
            </w:r>
          </w:p>
        </w:tc>
        <w:tc>
          <w:tcPr>
            <w:tcW w:w="6808" w:type="dxa"/>
          </w:tcPr>
          <w:p w14:paraId="4C3DCD22" w14:textId="77777777" w:rsidR="00214C3B" w:rsidRPr="00214C3B" w:rsidRDefault="00214C3B" w:rsidP="0075660C">
            <w:pPr>
              <w:rPr>
                <w:rFonts w:cstheme="minorHAnsi"/>
              </w:rPr>
            </w:pPr>
            <w:r w:rsidRPr="00214C3B">
              <w:rPr>
                <w:rFonts w:cstheme="minorHAnsi"/>
              </w:rPr>
              <w:t>adverse event</w:t>
            </w:r>
          </w:p>
        </w:tc>
      </w:tr>
      <w:tr w:rsidR="00214C3B" w:rsidRPr="007D6909" w14:paraId="4C3DCD26" w14:textId="77777777" w:rsidTr="00214C3B">
        <w:tc>
          <w:tcPr>
            <w:tcW w:w="1912" w:type="dxa"/>
          </w:tcPr>
          <w:p w14:paraId="4C3DCD24" w14:textId="77777777" w:rsidR="00214C3B" w:rsidRPr="00214C3B" w:rsidRDefault="00214C3B" w:rsidP="0075660C">
            <w:pPr>
              <w:rPr>
                <w:rFonts w:cstheme="minorHAnsi"/>
              </w:rPr>
            </w:pPr>
            <w:r w:rsidRPr="00214C3B">
              <w:rPr>
                <w:rFonts w:cstheme="minorHAnsi"/>
              </w:rPr>
              <w:t>Ae</w:t>
            </w:r>
            <w:r w:rsidRPr="00214C3B">
              <w:rPr>
                <w:rFonts w:cstheme="minorHAnsi"/>
                <w:vertAlign w:val="subscript"/>
              </w:rPr>
              <w:t>0-24</w:t>
            </w:r>
          </w:p>
        </w:tc>
        <w:tc>
          <w:tcPr>
            <w:tcW w:w="6808" w:type="dxa"/>
          </w:tcPr>
          <w:p w14:paraId="4C3DCD25" w14:textId="77777777" w:rsidR="00214C3B" w:rsidRPr="00214C3B" w:rsidRDefault="00214C3B" w:rsidP="0075660C">
            <w:pPr>
              <w:rPr>
                <w:rFonts w:cs="TimesNewRoman"/>
              </w:rPr>
            </w:pPr>
            <w:r w:rsidRPr="00214C3B">
              <w:rPr>
                <w:rFonts w:cs="TimesNewRoman"/>
              </w:rPr>
              <w:t xml:space="preserve">amount of </w:t>
            </w:r>
            <w:proofErr w:type="spellStart"/>
            <w:r w:rsidRPr="00214C3B">
              <w:rPr>
                <w:rFonts w:cs="TimesNewRoman"/>
              </w:rPr>
              <w:t>analyte</w:t>
            </w:r>
            <w:proofErr w:type="spellEnd"/>
            <w:r w:rsidRPr="00214C3B">
              <w:rPr>
                <w:rFonts w:cs="TimesNewRoman"/>
              </w:rPr>
              <w:t xml:space="preserve"> that is eliminated in urine over 24 hours</w:t>
            </w:r>
          </w:p>
        </w:tc>
      </w:tr>
      <w:tr w:rsidR="00214C3B" w:rsidRPr="007D6909" w14:paraId="4C3DCD29" w14:textId="77777777" w:rsidTr="00214C3B">
        <w:tc>
          <w:tcPr>
            <w:tcW w:w="1912" w:type="dxa"/>
          </w:tcPr>
          <w:p w14:paraId="4C3DCD27" w14:textId="77777777" w:rsidR="00214C3B" w:rsidRPr="00214C3B" w:rsidRDefault="00214C3B" w:rsidP="0075660C">
            <w:pPr>
              <w:rPr>
                <w:rFonts w:cstheme="minorHAnsi"/>
              </w:rPr>
            </w:pPr>
            <w:r w:rsidRPr="00214C3B">
              <w:rPr>
                <w:rFonts w:cstheme="minorHAnsi"/>
              </w:rPr>
              <w:t>AE</w:t>
            </w:r>
            <w:r w:rsidRPr="00214C3B">
              <w:rPr>
                <w:rFonts w:cstheme="minorHAnsi"/>
                <w:vertAlign w:val="subscript"/>
              </w:rPr>
              <w:t>D</w:t>
            </w:r>
          </w:p>
        </w:tc>
        <w:tc>
          <w:tcPr>
            <w:tcW w:w="6808" w:type="dxa"/>
          </w:tcPr>
          <w:p w14:paraId="4C3DCD28" w14:textId="77777777" w:rsidR="00214C3B" w:rsidRPr="00214C3B" w:rsidRDefault="00214C3B" w:rsidP="0075660C">
            <w:pPr>
              <w:rPr>
                <w:rFonts w:cstheme="minorHAnsi"/>
              </w:rPr>
            </w:pPr>
            <w:r w:rsidRPr="00214C3B">
              <w:rPr>
                <w:rFonts w:cstheme="minorHAnsi"/>
              </w:rPr>
              <w:t>cumulative amount of drug recovered from dialysate samples</w:t>
            </w:r>
          </w:p>
        </w:tc>
      </w:tr>
      <w:tr w:rsidR="00214C3B" w:rsidRPr="007D6909" w14:paraId="4C3DCD2C" w14:textId="77777777" w:rsidTr="00214C3B">
        <w:tc>
          <w:tcPr>
            <w:tcW w:w="1912" w:type="dxa"/>
          </w:tcPr>
          <w:p w14:paraId="4C3DCD2A" w14:textId="77777777" w:rsidR="00214C3B" w:rsidRPr="00214C3B" w:rsidRDefault="00214C3B" w:rsidP="0075660C">
            <w:pPr>
              <w:rPr>
                <w:rFonts w:cstheme="minorHAnsi"/>
              </w:rPr>
            </w:pPr>
            <w:r w:rsidRPr="00214C3B">
              <w:rPr>
                <w:rFonts w:cstheme="minorHAnsi"/>
              </w:rPr>
              <w:t>ALP</w:t>
            </w:r>
          </w:p>
        </w:tc>
        <w:tc>
          <w:tcPr>
            <w:tcW w:w="6808" w:type="dxa"/>
          </w:tcPr>
          <w:p w14:paraId="4C3DCD2B" w14:textId="77777777" w:rsidR="00214C3B" w:rsidRPr="00214C3B" w:rsidRDefault="00214C3B" w:rsidP="0075660C">
            <w:pPr>
              <w:rPr>
                <w:rFonts w:cstheme="minorHAnsi"/>
              </w:rPr>
            </w:pPr>
            <w:r w:rsidRPr="00214C3B">
              <w:rPr>
                <w:rFonts w:cstheme="minorHAnsi"/>
              </w:rPr>
              <w:t>alkaline phosphatase</w:t>
            </w:r>
          </w:p>
        </w:tc>
      </w:tr>
      <w:tr w:rsidR="00214C3B" w:rsidRPr="007D6909" w14:paraId="4C3DCD2F" w14:textId="77777777" w:rsidTr="00214C3B">
        <w:tc>
          <w:tcPr>
            <w:tcW w:w="1912" w:type="dxa"/>
          </w:tcPr>
          <w:p w14:paraId="4C3DCD2D" w14:textId="77777777" w:rsidR="00214C3B" w:rsidRPr="00214C3B" w:rsidRDefault="00214C3B" w:rsidP="0075660C">
            <w:pPr>
              <w:rPr>
                <w:rFonts w:cstheme="minorHAnsi"/>
              </w:rPr>
            </w:pPr>
            <w:r w:rsidRPr="00214C3B">
              <w:rPr>
                <w:rFonts w:cstheme="minorHAnsi"/>
              </w:rPr>
              <w:t>ALT</w:t>
            </w:r>
          </w:p>
        </w:tc>
        <w:tc>
          <w:tcPr>
            <w:tcW w:w="6808" w:type="dxa"/>
          </w:tcPr>
          <w:p w14:paraId="4C3DCD2E" w14:textId="77777777" w:rsidR="00214C3B" w:rsidRPr="00214C3B" w:rsidRDefault="00214C3B" w:rsidP="0075660C">
            <w:pPr>
              <w:rPr>
                <w:rFonts w:cstheme="minorHAnsi"/>
              </w:rPr>
            </w:pPr>
            <w:r w:rsidRPr="00214C3B">
              <w:rPr>
                <w:rFonts w:cstheme="minorHAnsi"/>
              </w:rPr>
              <w:t>serum alanine aminotransferase</w:t>
            </w:r>
          </w:p>
        </w:tc>
      </w:tr>
      <w:tr w:rsidR="00214C3B" w:rsidRPr="007D6909" w14:paraId="4C3DCD32" w14:textId="77777777" w:rsidTr="00214C3B">
        <w:tc>
          <w:tcPr>
            <w:tcW w:w="1912" w:type="dxa"/>
          </w:tcPr>
          <w:p w14:paraId="4C3DCD30" w14:textId="77777777" w:rsidR="00214C3B" w:rsidRPr="00214C3B" w:rsidRDefault="00214C3B" w:rsidP="0075660C">
            <w:pPr>
              <w:rPr>
                <w:rFonts w:cstheme="minorHAnsi"/>
              </w:rPr>
            </w:pPr>
            <w:r w:rsidRPr="00214C3B">
              <w:rPr>
                <w:rFonts w:cstheme="minorHAnsi"/>
              </w:rPr>
              <w:t>AST</w:t>
            </w:r>
          </w:p>
        </w:tc>
        <w:tc>
          <w:tcPr>
            <w:tcW w:w="6808" w:type="dxa"/>
          </w:tcPr>
          <w:p w14:paraId="4C3DCD31" w14:textId="77777777" w:rsidR="00214C3B" w:rsidRPr="00214C3B" w:rsidRDefault="00214C3B" w:rsidP="0075660C">
            <w:pPr>
              <w:rPr>
                <w:rFonts w:cstheme="minorHAnsi"/>
              </w:rPr>
            </w:pPr>
            <w:r w:rsidRPr="00214C3B">
              <w:rPr>
                <w:rFonts w:cstheme="minorHAnsi"/>
              </w:rPr>
              <w:t>aspartate aminotransferase</w:t>
            </w:r>
          </w:p>
        </w:tc>
      </w:tr>
      <w:tr w:rsidR="00214C3B" w:rsidRPr="007D6909" w14:paraId="4C3DCD35" w14:textId="77777777" w:rsidTr="00214C3B">
        <w:tc>
          <w:tcPr>
            <w:tcW w:w="1912" w:type="dxa"/>
          </w:tcPr>
          <w:p w14:paraId="4C3DCD33" w14:textId="77777777" w:rsidR="00214C3B" w:rsidRPr="00214C3B" w:rsidRDefault="00214C3B" w:rsidP="0075660C">
            <w:pPr>
              <w:rPr>
                <w:rFonts w:eastAsia="TimesNewRoman" w:cstheme="minorHAnsi"/>
              </w:rPr>
            </w:pPr>
            <w:r w:rsidRPr="00214C3B">
              <w:rPr>
                <w:rFonts w:eastAsia="TimesNewRoman" w:cstheme="minorHAnsi"/>
              </w:rPr>
              <w:t>ATV</w:t>
            </w:r>
          </w:p>
        </w:tc>
        <w:tc>
          <w:tcPr>
            <w:tcW w:w="6808" w:type="dxa"/>
          </w:tcPr>
          <w:p w14:paraId="4C3DCD34" w14:textId="77777777" w:rsidR="00214C3B" w:rsidRPr="00214C3B" w:rsidRDefault="00214C3B" w:rsidP="0075660C">
            <w:pPr>
              <w:rPr>
                <w:rFonts w:cstheme="minorHAnsi"/>
              </w:rPr>
            </w:pPr>
            <w:r w:rsidRPr="00214C3B">
              <w:rPr>
                <w:rFonts w:eastAsia="TimesNewRoman" w:cstheme="minorHAnsi"/>
              </w:rPr>
              <w:t>atazanavir</w:t>
            </w:r>
          </w:p>
        </w:tc>
      </w:tr>
      <w:tr w:rsidR="00214C3B" w:rsidRPr="007D6909" w14:paraId="4C3DCD38" w14:textId="77777777" w:rsidTr="00214C3B">
        <w:tc>
          <w:tcPr>
            <w:tcW w:w="1912" w:type="dxa"/>
          </w:tcPr>
          <w:p w14:paraId="4C3DCD36" w14:textId="77777777" w:rsidR="00214C3B" w:rsidRPr="00214C3B" w:rsidRDefault="00214C3B" w:rsidP="0075660C">
            <w:pPr>
              <w:rPr>
                <w:rFonts w:cstheme="minorHAnsi"/>
              </w:rPr>
            </w:pPr>
            <w:r w:rsidRPr="00214C3B">
              <w:rPr>
                <w:rFonts w:cstheme="minorHAnsi"/>
              </w:rPr>
              <w:t>AUC</w:t>
            </w:r>
          </w:p>
        </w:tc>
        <w:tc>
          <w:tcPr>
            <w:tcW w:w="6808" w:type="dxa"/>
          </w:tcPr>
          <w:p w14:paraId="4C3DCD37" w14:textId="77777777" w:rsidR="00214C3B" w:rsidRPr="00214C3B" w:rsidRDefault="00214C3B" w:rsidP="0075660C">
            <w:pPr>
              <w:rPr>
                <w:rFonts w:cstheme="minorHAnsi"/>
              </w:rPr>
            </w:pPr>
            <w:r w:rsidRPr="00214C3B">
              <w:rPr>
                <w:rFonts w:cstheme="minorHAnsi"/>
              </w:rPr>
              <w:t>area under the plasma concentration/time curve</w:t>
            </w:r>
          </w:p>
        </w:tc>
      </w:tr>
      <w:tr w:rsidR="00214C3B" w:rsidRPr="007D6909" w14:paraId="4C3DCD3B" w14:textId="77777777" w:rsidTr="00214C3B">
        <w:tc>
          <w:tcPr>
            <w:tcW w:w="1912" w:type="dxa"/>
          </w:tcPr>
          <w:p w14:paraId="4C3DCD39" w14:textId="77777777" w:rsidR="00214C3B" w:rsidRPr="00214C3B" w:rsidRDefault="00214C3B" w:rsidP="0075660C">
            <w:pPr>
              <w:rPr>
                <w:rFonts w:cstheme="minorHAnsi"/>
                <w:vertAlign w:val="subscript"/>
              </w:rPr>
            </w:pPr>
            <w:r w:rsidRPr="00214C3B">
              <w:rPr>
                <w:rFonts w:cstheme="minorHAnsi"/>
              </w:rPr>
              <w:t>AUC</w:t>
            </w:r>
            <w:r w:rsidRPr="00214C3B">
              <w:rPr>
                <w:rFonts w:cstheme="minorHAnsi"/>
                <w:vertAlign w:val="subscript"/>
              </w:rPr>
              <w:t>0-24</w:t>
            </w:r>
          </w:p>
        </w:tc>
        <w:tc>
          <w:tcPr>
            <w:tcW w:w="6808" w:type="dxa"/>
          </w:tcPr>
          <w:p w14:paraId="4C3DCD3A" w14:textId="77777777" w:rsidR="00214C3B" w:rsidRPr="00214C3B" w:rsidRDefault="00214C3B" w:rsidP="0075660C">
            <w:pPr>
              <w:rPr>
                <w:rFonts w:cstheme="minorHAnsi"/>
                <w:vertAlign w:val="subscript"/>
              </w:rPr>
            </w:pPr>
            <w:r w:rsidRPr="00214C3B">
              <w:rPr>
                <w:rFonts w:eastAsia="TimesNewRoman" w:cstheme="minorHAnsi"/>
              </w:rPr>
              <w:t>area under the plasma concentration versus time curve over 24 hours</w:t>
            </w:r>
          </w:p>
        </w:tc>
      </w:tr>
      <w:tr w:rsidR="00214C3B" w:rsidRPr="007D6909" w14:paraId="4C3DCD3E" w14:textId="77777777" w:rsidTr="00214C3B">
        <w:tc>
          <w:tcPr>
            <w:tcW w:w="1912" w:type="dxa"/>
          </w:tcPr>
          <w:p w14:paraId="4C3DCD3C" w14:textId="77777777" w:rsidR="00214C3B" w:rsidRPr="00214C3B" w:rsidRDefault="00214C3B" w:rsidP="0075660C">
            <w:pPr>
              <w:rPr>
                <w:rFonts w:cstheme="minorHAnsi"/>
              </w:rPr>
            </w:pPr>
            <w:r w:rsidRPr="00214C3B">
              <w:rPr>
                <w:rFonts w:cstheme="minorHAnsi"/>
              </w:rPr>
              <w:t>AUC</w:t>
            </w:r>
            <w:r w:rsidRPr="00214C3B">
              <w:rPr>
                <w:rFonts w:cstheme="minorHAnsi"/>
                <w:vertAlign w:val="subscript"/>
              </w:rPr>
              <w:t>0-inf</w:t>
            </w:r>
          </w:p>
        </w:tc>
        <w:tc>
          <w:tcPr>
            <w:tcW w:w="6808" w:type="dxa"/>
          </w:tcPr>
          <w:p w14:paraId="4C3DCD3D" w14:textId="77777777" w:rsidR="00214C3B" w:rsidRPr="00214C3B" w:rsidRDefault="00214C3B" w:rsidP="0075660C">
            <w:pPr>
              <w:rPr>
                <w:rFonts w:cstheme="minorHAnsi"/>
              </w:rPr>
            </w:pPr>
            <w:r w:rsidRPr="00214C3B">
              <w:rPr>
                <w:rFonts w:cstheme="minorHAnsi"/>
              </w:rPr>
              <w:t>AUC extrapolated to infinity</w:t>
            </w:r>
          </w:p>
        </w:tc>
      </w:tr>
      <w:tr w:rsidR="00214C3B" w:rsidRPr="007D6909" w14:paraId="4C3DCD41" w14:textId="77777777" w:rsidTr="00214C3B">
        <w:tc>
          <w:tcPr>
            <w:tcW w:w="1912" w:type="dxa"/>
          </w:tcPr>
          <w:p w14:paraId="4C3DCD3F" w14:textId="77777777" w:rsidR="00214C3B" w:rsidRPr="00214C3B" w:rsidRDefault="00214C3B" w:rsidP="0075660C">
            <w:pPr>
              <w:rPr>
                <w:rFonts w:cstheme="minorHAnsi"/>
              </w:rPr>
            </w:pPr>
            <w:r w:rsidRPr="00214C3B">
              <w:rPr>
                <w:rFonts w:eastAsia="TimesNewRoman" w:cstheme="minorHAnsi"/>
              </w:rPr>
              <w:t>AUC</w:t>
            </w:r>
            <w:r w:rsidRPr="00214C3B">
              <w:rPr>
                <w:rFonts w:eastAsia="TimesNewRoman" w:cstheme="minorHAnsi"/>
                <w:vertAlign w:val="subscript"/>
              </w:rPr>
              <w:t>0-</w:t>
            </w:r>
            <w:r w:rsidRPr="00214C3B">
              <w:rPr>
                <w:rFonts w:eastAsia="TimesNewRomanPSMT" w:cstheme="minorHAnsi"/>
                <w:vertAlign w:val="subscript"/>
              </w:rPr>
              <w:t>τ</w:t>
            </w:r>
          </w:p>
        </w:tc>
        <w:tc>
          <w:tcPr>
            <w:tcW w:w="6808" w:type="dxa"/>
          </w:tcPr>
          <w:p w14:paraId="4C3DCD40" w14:textId="77777777" w:rsidR="00214C3B" w:rsidRPr="00214C3B" w:rsidRDefault="00214C3B" w:rsidP="0075660C">
            <w:pPr>
              <w:rPr>
                <w:rFonts w:cstheme="minorHAnsi"/>
              </w:rPr>
            </w:pPr>
            <w:r w:rsidRPr="00214C3B">
              <w:t xml:space="preserve">area under the concentration-time curve from 0 to dosing interval, </w:t>
            </w:r>
            <w:r w:rsidRPr="00214C3B">
              <w:rPr>
                <w:rFonts w:cstheme="minorHAnsi"/>
              </w:rPr>
              <w:t>τ (τ = 24 hours)</w:t>
            </w:r>
          </w:p>
        </w:tc>
      </w:tr>
      <w:tr w:rsidR="00214C3B" w:rsidRPr="007D6909" w14:paraId="4C3DCD44" w14:textId="77777777" w:rsidTr="00214C3B">
        <w:tc>
          <w:tcPr>
            <w:tcW w:w="1912" w:type="dxa"/>
          </w:tcPr>
          <w:p w14:paraId="4C3DCD42" w14:textId="77777777" w:rsidR="00214C3B" w:rsidRPr="00214C3B" w:rsidRDefault="00214C3B" w:rsidP="0075660C">
            <w:pPr>
              <w:rPr>
                <w:rFonts w:cstheme="minorHAnsi"/>
              </w:rPr>
            </w:pPr>
            <w:r w:rsidRPr="00214C3B">
              <w:rPr>
                <w:rFonts w:cstheme="minorHAnsi"/>
              </w:rPr>
              <w:t>BCRP</w:t>
            </w:r>
          </w:p>
        </w:tc>
        <w:tc>
          <w:tcPr>
            <w:tcW w:w="6808" w:type="dxa"/>
          </w:tcPr>
          <w:p w14:paraId="4C3DCD43" w14:textId="77777777" w:rsidR="00214C3B" w:rsidRPr="00214C3B" w:rsidRDefault="00214C3B" w:rsidP="0075660C">
            <w:pPr>
              <w:rPr>
                <w:rFonts w:cstheme="minorHAnsi"/>
              </w:rPr>
            </w:pPr>
            <w:r w:rsidRPr="00214C3B">
              <w:rPr>
                <w:rFonts w:eastAsia="TimesNewRoman" w:cs="Calibri"/>
              </w:rPr>
              <w:t>breast cancer resistance protein</w:t>
            </w:r>
          </w:p>
        </w:tc>
      </w:tr>
      <w:tr w:rsidR="00214C3B" w:rsidRPr="007D6909" w14:paraId="4C3DCD47" w14:textId="77777777" w:rsidTr="00214C3B">
        <w:tc>
          <w:tcPr>
            <w:tcW w:w="1912" w:type="dxa"/>
          </w:tcPr>
          <w:p w14:paraId="4C3DCD45" w14:textId="77777777" w:rsidR="00214C3B" w:rsidRPr="00214C3B" w:rsidRDefault="00214C3B" w:rsidP="0075660C">
            <w:pPr>
              <w:rPr>
                <w:rFonts w:cstheme="minorHAnsi"/>
              </w:rPr>
            </w:pPr>
            <w:r w:rsidRPr="00214C3B">
              <w:rPr>
                <w:rFonts w:cstheme="minorHAnsi"/>
              </w:rPr>
              <w:t>BID</w:t>
            </w:r>
          </w:p>
        </w:tc>
        <w:tc>
          <w:tcPr>
            <w:tcW w:w="6808" w:type="dxa"/>
          </w:tcPr>
          <w:p w14:paraId="4C3DCD46" w14:textId="77777777" w:rsidR="00214C3B" w:rsidRPr="00214C3B" w:rsidRDefault="00214C3B" w:rsidP="0075660C">
            <w:pPr>
              <w:rPr>
                <w:rFonts w:cstheme="minorHAnsi"/>
              </w:rPr>
            </w:pPr>
            <w:r w:rsidRPr="00214C3B">
              <w:rPr>
                <w:rFonts w:cstheme="minorHAnsi"/>
              </w:rPr>
              <w:t>twice-daily</w:t>
            </w:r>
          </w:p>
        </w:tc>
      </w:tr>
      <w:tr w:rsidR="00214C3B" w:rsidRPr="007D6909" w14:paraId="4C3DCD4A" w14:textId="77777777" w:rsidTr="00214C3B">
        <w:tc>
          <w:tcPr>
            <w:tcW w:w="1912" w:type="dxa"/>
          </w:tcPr>
          <w:p w14:paraId="4C3DCD48" w14:textId="77777777" w:rsidR="00214C3B" w:rsidRPr="00214C3B" w:rsidRDefault="00214C3B" w:rsidP="0075660C">
            <w:r w:rsidRPr="00214C3B">
              <w:t>BLOQ</w:t>
            </w:r>
          </w:p>
        </w:tc>
        <w:tc>
          <w:tcPr>
            <w:tcW w:w="6808" w:type="dxa"/>
          </w:tcPr>
          <w:p w14:paraId="4C3DCD49" w14:textId="77777777" w:rsidR="00214C3B" w:rsidRPr="00214C3B" w:rsidRDefault="00214C3B" w:rsidP="0075660C">
            <w:r w:rsidRPr="00214C3B">
              <w:t>below the lower limit of quantitation</w:t>
            </w:r>
          </w:p>
        </w:tc>
      </w:tr>
      <w:tr w:rsidR="00214C3B" w:rsidRPr="007D6909" w14:paraId="4C3DCD4D" w14:textId="77777777" w:rsidTr="00214C3B">
        <w:tc>
          <w:tcPr>
            <w:tcW w:w="1912" w:type="dxa"/>
          </w:tcPr>
          <w:p w14:paraId="4C3DCD4B" w14:textId="77777777" w:rsidR="00214C3B" w:rsidRPr="00214C3B" w:rsidRDefault="00214C3B" w:rsidP="0075660C">
            <w:pPr>
              <w:rPr>
                <w:rFonts w:cstheme="minorHAnsi"/>
              </w:rPr>
            </w:pPr>
            <w:r w:rsidRPr="00214C3B">
              <w:rPr>
                <w:rFonts w:cstheme="minorHAnsi"/>
              </w:rPr>
              <w:t>BLQ</w:t>
            </w:r>
          </w:p>
        </w:tc>
        <w:tc>
          <w:tcPr>
            <w:tcW w:w="6808" w:type="dxa"/>
          </w:tcPr>
          <w:p w14:paraId="4C3DCD4C" w14:textId="77777777" w:rsidR="00214C3B" w:rsidRPr="00214C3B" w:rsidRDefault="00214C3B" w:rsidP="0075660C">
            <w:pPr>
              <w:rPr>
                <w:rFonts w:cstheme="minorHAnsi"/>
              </w:rPr>
            </w:pPr>
            <w:r w:rsidRPr="00214C3B">
              <w:rPr>
                <w:rFonts w:cstheme="minorHAnsi"/>
              </w:rPr>
              <w:t>below the limit of quantitation</w:t>
            </w:r>
          </w:p>
        </w:tc>
      </w:tr>
      <w:tr w:rsidR="00214C3B" w:rsidRPr="007D6909" w14:paraId="4C3DCD50" w14:textId="77777777" w:rsidTr="00214C3B">
        <w:tc>
          <w:tcPr>
            <w:tcW w:w="1912" w:type="dxa"/>
          </w:tcPr>
          <w:p w14:paraId="4C3DCD4E" w14:textId="77777777" w:rsidR="00214C3B" w:rsidRPr="00214C3B" w:rsidRDefault="00214C3B" w:rsidP="0075660C">
            <w:pPr>
              <w:rPr>
                <w:rFonts w:cstheme="minorHAnsi"/>
              </w:rPr>
            </w:pPr>
            <w:r w:rsidRPr="00214C3B">
              <w:rPr>
                <w:rFonts w:cstheme="minorHAnsi"/>
              </w:rPr>
              <w:t>BMI -</w:t>
            </w:r>
          </w:p>
        </w:tc>
        <w:tc>
          <w:tcPr>
            <w:tcW w:w="6808" w:type="dxa"/>
          </w:tcPr>
          <w:p w14:paraId="4C3DCD4F" w14:textId="77777777" w:rsidR="00214C3B" w:rsidRPr="00214C3B" w:rsidRDefault="00214C3B" w:rsidP="0075660C">
            <w:pPr>
              <w:rPr>
                <w:rFonts w:cstheme="minorHAnsi"/>
              </w:rPr>
            </w:pPr>
            <w:r w:rsidRPr="00214C3B">
              <w:rPr>
                <w:rFonts w:cstheme="minorHAnsi"/>
              </w:rPr>
              <w:t>body mass index</w:t>
            </w:r>
          </w:p>
        </w:tc>
      </w:tr>
      <w:tr w:rsidR="00214C3B" w:rsidRPr="007D6909" w14:paraId="4C3DCD53" w14:textId="77777777" w:rsidTr="00214C3B">
        <w:tc>
          <w:tcPr>
            <w:tcW w:w="1912" w:type="dxa"/>
          </w:tcPr>
          <w:p w14:paraId="4C3DCD51" w14:textId="77777777" w:rsidR="00214C3B" w:rsidRPr="00214C3B" w:rsidRDefault="00214C3B" w:rsidP="0075660C">
            <w:pPr>
              <w:rPr>
                <w:rFonts w:cstheme="minorHAnsi"/>
              </w:rPr>
            </w:pPr>
            <w:r w:rsidRPr="00214C3B">
              <w:rPr>
                <w:rFonts w:cstheme="minorHAnsi"/>
              </w:rPr>
              <w:t>BMS-790052</w:t>
            </w:r>
          </w:p>
        </w:tc>
        <w:tc>
          <w:tcPr>
            <w:tcW w:w="6808" w:type="dxa"/>
          </w:tcPr>
          <w:p w14:paraId="4C3DCD52" w14:textId="77777777" w:rsidR="00214C3B" w:rsidRPr="00214C3B" w:rsidRDefault="00214C3B" w:rsidP="0075660C">
            <w:pPr>
              <w:rPr>
                <w:rFonts w:cstheme="minorHAnsi"/>
              </w:rPr>
            </w:pPr>
            <w:proofErr w:type="spellStart"/>
            <w:r w:rsidRPr="00214C3B">
              <w:rPr>
                <w:rFonts w:cstheme="minorHAnsi"/>
              </w:rPr>
              <w:t>daclatasvir</w:t>
            </w:r>
            <w:proofErr w:type="spellEnd"/>
            <w:r w:rsidRPr="00214C3B">
              <w:rPr>
                <w:rFonts w:cstheme="minorHAnsi"/>
              </w:rPr>
              <w:t xml:space="preserve"> </w:t>
            </w:r>
          </w:p>
        </w:tc>
      </w:tr>
      <w:tr w:rsidR="00214C3B" w:rsidRPr="007D6909" w14:paraId="4C3DCD56" w14:textId="77777777" w:rsidTr="00214C3B">
        <w:tc>
          <w:tcPr>
            <w:tcW w:w="1912" w:type="dxa"/>
          </w:tcPr>
          <w:p w14:paraId="4C3DCD54" w14:textId="77777777" w:rsidR="00214C3B" w:rsidRPr="00214C3B" w:rsidRDefault="00214C3B" w:rsidP="0075660C">
            <w:pPr>
              <w:rPr>
                <w:rFonts w:cstheme="minorHAnsi"/>
              </w:rPr>
            </w:pPr>
            <w:r w:rsidRPr="00214C3B">
              <w:rPr>
                <w:rFonts w:cstheme="minorHAnsi"/>
              </w:rPr>
              <w:t>C0</w:t>
            </w:r>
          </w:p>
        </w:tc>
        <w:tc>
          <w:tcPr>
            <w:tcW w:w="6808" w:type="dxa"/>
          </w:tcPr>
          <w:p w14:paraId="4C3DCD55" w14:textId="77777777" w:rsidR="00214C3B" w:rsidRPr="00214C3B" w:rsidRDefault="00214C3B" w:rsidP="0075660C">
            <w:pPr>
              <w:rPr>
                <w:rFonts w:cstheme="minorHAnsi"/>
              </w:rPr>
            </w:pPr>
            <w:r w:rsidRPr="00214C3B">
              <w:rPr>
                <w:rFonts w:cstheme="minorHAnsi"/>
              </w:rPr>
              <w:t>plasma concentration prior to dosing</w:t>
            </w:r>
          </w:p>
        </w:tc>
      </w:tr>
      <w:tr w:rsidR="00214C3B" w:rsidRPr="007D6909" w14:paraId="4C3DCD59" w14:textId="77777777" w:rsidTr="00214C3B">
        <w:tc>
          <w:tcPr>
            <w:tcW w:w="1912" w:type="dxa"/>
          </w:tcPr>
          <w:p w14:paraId="4C3DCD57" w14:textId="77777777" w:rsidR="00214C3B" w:rsidRPr="00214C3B" w:rsidRDefault="00214C3B" w:rsidP="0075660C">
            <w:pPr>
              <w:rPr>
                <w:rFonts w:cstheme="minorHAnsi"/>
              </w:rPr>
            </w:pPr>
            <w:r w:rsidRPr="00214C3B">
              <w:rPr>
                <w:rFonts w:cstheme="minorHAnsi"/>
              </w:rPr>
              <w:t xml:space="preserve">C24 or C24h </w:t>
            </w:r>
          </w:p>
        </w:tc>
        <w:tc>
          <w:tcPr>
            <w:tcW w:w="6808" w:type="dxa"/>
          </w:tcPr>
          <w:p w14:paraId="4C3DCD58" w14:textId="77777777" w:rsidR="00214C3B" w:rsidRPr="00214C3B" w:rsidRDefault="00214C3B" w:rsidP="0075660C">
            <w:pPr>
              <w:rPr>
                <w:rFonts w:cstheme="minorHAnsi"/>
              </w:rPr>
            </w:pPr>
            <w:r w:rsidRPr="00214C3B">
              <w:rPr>
                <w:rFonts w:cstheme="minorHAnsi"/>
              </w:rPr>
              <w:t>plasma concentration 24 hours following the preceding dose</w:t>
            </w:r>
          </w:p>
        </w:tc>
      </w:tr>
      <w:tr w:rsidR="00214C3B" w:rsidRPr="007D6909" w14:paraId="4C3DCD5C" w14:textId="77777777" w:rsidTr="00214C3B">
        <w:tc>
          <w:tcPr>
            <w:tcW w:w="1912" w:type="dxa"/>
          </w:tcPr>
          <w:p w14:paraId="4C3DCD5A" w14:textId="77777777" w:rsidR="00214C3B" w:rsidRPr="00214C3B" w:rsidRDefault="00214C3B" w:rsidP="0075660C">
            <w:pPr>
              <w:rPr>
                <w:rFonts w:cstheme="minorHAnsi"/>
              </w:rPr>
            </w:pPr>
            <w:r w:rsidRPr="00214C3B">
              <w:rPr>
                <w:rFonts w:cstheme="minorHAnsi"/>
              </w:rPr>
              <w:t>C2h</w:t>
            </w:r>
          </w:p>
        </w:tc>
        <w:tc>
          <w:tcPr>
            <w:tcW w:w="6808" w:type="dxa"/>
          </w:tcPr>
          <w:p w14:paraId="4C3DCD5B" w14:textId="77777777" w:rsidR="00214C3B" w:rsidRPr="00214C3B" w:rsidRDefault="00214C3B" w:rsidP="0075660C">
            <w:pPr>
              <w:rPr>
                <w:rFonts w:cstheme="minorHAnsi"/>
              </w:rPr>
            </w:pPr>
            <w:r w:rsidRPr="00214C3B">
              <w:rPr>
                <w:rFonts w:cstheme="minorHAnsi"/>
              </w:rPr>
              <w:t>plasma concentration 2 hours post dosing</w:t>
            </w:r>
          </w:p>
        </w:tc>
      </w:tr>
      <w:tr w:rsidR="00214C3B" w:rsidRPr="007D6909" w14:paraId="4C3DCD5F" w14:textId="77777777" w:rsidTr="00214C3B">
        <w:tc>
          <w:tcPr>
            <w:tcW w:w="1912" w:type="dxa"/>
          </w:tcPr>
          <w:p w14:paraId="4C3DCD5D" w14:textId="77777777" w:rsidR="00214C3B" w:rsidRPr="00214C3B" w:rsidRDefault="00214C3B" w:rsidP="0075660C">
            <w:r w:rsidRPr="00214C3B">
              <w:t>CatA</w:t>
            </w:r>
          </w:p>
        </w:tc>
        <w:tc>
          <w:tcPr>
            <w:tcW w:w="6808" w:type="dxa"/>
          </w:tcPr>
          <w:p w14:paraId="4C3DCD5E" w14:textId="77777777" w:rsidR="00214C3B" w:rsidRPr="00214C3B" w:rsidRDefault="00214C3B" w:rsidP="0075660C">
            <w:r w:rsidRPr="00214C3B">
              <w:t>cathepsin A</w:t>
            </w:r>
          </w:p>
        </w:tc>
      </w:tr>
      <w:tr w:rsidR="00214C3B" w:rsidRPr="007D6909" w14:paraId="4C3DCD62" w14:textId="77777777" w:rsidTr="00214C3B">
        <w:tc>
          <w:tcPr>
            <w:tcW w:w="1912" w:type="dxa"/>
          </w:tcPr>
          <w:p w14:paraId="4C3DCD60" w14:textId="77777777" w:rsidR="00214C3B" w:rsidRPr="00214C3B" w:rsidRDefault="00214C3B" w:rsidP="0075660C">
            <w:pPr>
              <w:rPr>
                <w:rFonts w:cstheme="minorHAnsi"/>
              </w:rPr>
            </w:pPr>
            <w:r w:rsidRPr="00214C3B">
              <w:rPr>
                <w:rFonts w:cstheme="minorHAnsi"/>
              </w:rPr>
              <w:t>CES</w:t>
            </w:r>
          </w:p>
        </w:tc>
        <w:tc>
          <w:tcPr>
            <w:tcW w:w="6808" w:type="dxa"/>
          </w:tcPr>
          <w:p w14:paraId="4C3DCD61" w14:textId="77777777" w:rsidR="00214C3B" w:rsidRPr="00214C3B" w:rsidRDefault="00214C3B" w:rsidP="0075660C">
            <w:pPr>
              <w:rPr>
                <w:rFonts w:cstheme="minorHAnsi"/>
              </w:rPr>
            </w:pPr>
            <w:r w:rsidRPr="00214C3B">
              <w:rPr>
                <w:rFonts w:cstheme="minorHAnsi"/>
              </w:rPr>
              <w:t>carboxylesterase</w:t>
            </w:r>
          </w:p>
        </w:tc>
      </w:tr>
      <w:tr w:rsidR="00214C3B" w:rsidRPr="007D6909" w14:paraId="4C3DCD65" w14:textId="77777777" w:rsidTr="00214C3B">
        <w:tc>
          <w:tcPr>
            <w:tcW w:w="1912" w:type="dxa"/>
          </w:tcPr>
          <w:p w14:paraId="4C3DCD63" w14:textId="77777777" w:rsidR="00214C3B" w:rsidRPr="00214C3B" w:rsidRDefault="00214C3B" w:rsidP="0075660C">
            <w:r w:rsidRPr="00214C3B">
              <w:t xml:space="preserve">CHC </w:t>
            </w:r>
          </w:p>
        </w:tc>
        <w:tc>
          <w:tcPr>
            <w:tcW w:w="6808" w:type="dxa"/>
          </w:tcPr>
          <w:p w14:paraId="4C3DCD64" w14:textId="77777777" w:rsidR="00214C3B" w:rsidRPr="00214C3B" w:rsidRDefault="00214C3B" w:rsidP="0075660C">
            <w:r w:rsidRPr="00214C3B">
              <w:t>Chronic hepatitis C</w:t>
            </w:r>
          </w:p>
        </w:tc>
      </w:tr>
      <w:tr w:rsidR="00214C3B" w:rsidRPr="007D6909" w14:paraId="4C3DCD68" w14:textId="77777777" w:rsidTr="00214C3B">
        <w:tc>
          <w:tcPr>
            <w:tcW w:w="1912" w:type="dxa"/>
          </w:tcPr>
          <w:p w14:paraId="4C3DCD66" w14:textId="77777777" w:rsidR="00214C3B" w:rsidRPr="00214C3B" w:rsidRDefault="00214C3B" w:rsidP="0075660C">
            <w:r w:rsidRPr="00214C3B">
              <w:t xml:space="preserve">CI </w:t>
            </w:r>
          </w:p>
        </w:tc>
        <w:tc>
          <w:tcPr>
            <w:tcW w:w="6808" w:type="dxa"/>
          </w:tcPr>
          <w:p w14:paraId="4C3DCD67" w14:textId="77777777" w:rsidR="00214C3B" w:rsidRPr="00214C3B" w:rsidRDefault="00214C3B" w:rsidP="0075660C">
            <w:r w:rsidRPr="00214C3B">
              <w:t>Confidence interval</w:t>
            </w:r>
          </w:p>
        </w:tc>
      </w:tr>
      <w:tr w:rsidR="00214C3B" w:rsidRPr="007D6909" w14:paraId="4C3DCD6B" w14:textId="77777777" w:rsidTr="00214C3B">
        <w:tc>
          <w:tcPr>
            <w:tcW w:w="1912" w:type="dxa"/>
          </w:tcPr>
          <w:p w14:paraId="4C3DCD69" w14:textId="77777777" w:rsidR="00214C3B" w:rsidRPr="00214C3B" w:rsidRDefault="00214C3B" w:rsidP="0075660C">
            <w:r w:rsidRPr="00214C3B">
              <w:lastRenderedPageBreak/>
              <w:t xml:space="preserve">CKD </w:t>
            </w:r>
          </w:p>
        </w:tc>
        <w:tc>
          <w:tcPr>
            <w:tcW w:w="6808" w:type="dxa"/>
          </w:tcPr>
          <w:p w14:paraId="4C3DCD6A" w14:textId="77777777" w:rsidR="00214C3B" w:rsidRPr="00214C3B" w:rsidRDefault="00214C3B" w:rsidP="0075660C">
            <w:r w:rsidRPr="00214C3B">
              <w:t>Chronic kidney disease</w:t>
            </w:r>
          </w:p>
        </w:tc>
      </w:tr>
      <w:tr w:rsidR="00214C3B" w:rsidRPr="007D6909" w14:paraId="4C3DCD6E" w14:textId="77777777" w:rsidTr="00214C3B">
        <w:tc>
          <w:tcPr>
            <w:tcW w:w="1912" w:type="dxa"/>
          </w:tcPr>
          <w:p w14:paraId="4C3DCD6C" w14:textId="77777777" w:rsidR="00214C3B" w:rsidRPr="00214C3B" w:rsidRDefault="00214C3B" w:rsidP="0075660C">
            <w:pPr>
              <w:rPr>
                <w:rFonts w:cstheme="minorHAnsi"/>
              </w:rPr>
            </w:pPr>
            <w:r w:rsidRPr="00214C3B">
              <w:rPr>
                <w:rFonts w:cstheme="minorHAnsi"/>
              </w:rPr>
              <w:t>CL</w:t>
            </w:r>
          </w:p>
        </w:tc>
        <w:tc>
          <w:tcPr>
            <w:tcW w:w="6808" w:type="dxa"/>
          </w:tcPr>
          <w:p w14:paraId="4C3DCD6D" w14:textId="77777777" w:rsidR="00214C3B" w:rsidRPr="00214C3B" w:rsidRDefault="00214C3B" w:rsidP="0075660C">
            <w:pPr>
              <w:rPr>
                <w:rFonts w:cstheme="minorHAnsi"/>
              </w:rPr>
            </w:pPr>
            <w:r w:rsidRPr="00214C3B">
              <w:rPr>
                <w:rFonts w:cstheme="minorHAnsi"/>
              </w:rPr>
              <w:t>clearance</w:t>
            </w:r>
          </w:p>
        </w:tc>
      </w:tr>
      <w:tr w:rsidR="00214C3B" w:rsidRPr="007D6909" w14:paraId="4C3DCD71" w14:textId="77777777" w:rsidTr="00214C3B">
        <w:tc>
          <w:tcPr>
            <w:tcW w:w="1912" w:type="dxa"/>
          </w:tcPr>
          <w:p w14:paraId="4C3DCD6F" w14:textId="77777777" w:rsidR="00214C3B" w:rsidRPr="00214C3B" w:rsidRDefault="00214C3B" w:rsidP="0075660C">
            <w:pPr>
              <w:rPr>
                <w:rFonts w:cstheme="minorHAnsi"/>
              </w:rPr>
            </w:pPr>
            <w:r w:rsidRPr="00214C3B">
              <w:rPr>
                <w:rFonts w:cstheme="minorHAnsi"/>
              </w:rPr>
              <w:t>CL/F</w:t>
            </w:r>
          </w:p>
        </w:tc>
        <w:tc>
          <w:tcPr>
            <w:tcW w:w="6808" w:type="dxa"/>
          </w:tcPr>
          <w:p w14:paraId="4C3DCD70" w14:textId="77777777" w:rsidR="00214C3B" w:rsidRPr="00214C3B" w:rsidRDefault="00214C3B" w:rsidP="0075660C">
            <w:pPr>
              <w:rPr>
                <w:rFonts w:cstheme="minorHAnsi"/>
              </w:rPr>
            </w:pPr>
            <w:r w:rsidRPr="00214C3B">
              <w:rPr>
                <w:rFonts w:cstheme="minorHAnsi"/>
              </w:rPr>
              <w:t>apparent clearance</w:t>
            </w:r>
          </w:p>
        </w:tc>
      </w:tr>
      <w:tr w:rsidR="00214C3B" w:rsidRPr="007D6909" w14:paraId="4C3DCD74" w14:textId="77777777" w:rsidTr="00214C3B">
        <w:tc>
          <w:tcPr>
            <w:tcW w:w="1912" w:type="dxa"/>
          </w:tcPr>
          <w:p w14:paraId="4C3DCD72" w14:textId="77777777" w:rsidR="00214C3B" w:rsidRPr="00214C3B" w:rsidRDefault="00214C3B" w:rsidP="0075660C">
            <w:pPr>
              <w:rPr>
                <w:rFonts w:cstheme="minorHAnsi"/>
              </w:rPr>
            </w:pPr>
            <w:r w:rsidRPr="00214C3B">
              <w:rPr>
                <w:rFonts w:cstheme="minorHAnsi"/>
              </w:rPr>
              <w:t>CL</w:t>
            </w:r>
            <w:r w:rsidRPr="00214C3B">
              <w:rPr>
                <w:rFonts w:cstheme="minorHAnsi"/>
                <w:vertAlign w:val="subscript"/>
              </w:rPr>
              <w:t>D</w:t>
            </w:r>
          </w:p>
        </w:tc>
        <w:tc>
          <w:tcPr>
            <w:tcW w:w="6808" w:type="dxa"/>
          </w:tcPr>
          <w:p w14:paraId="4C3DCD73" w14:textId="77777777" w:rsidR="00214C3B" w:rsidRPr="00214C3B" w:rsidRDefault="00214C3B" w:rsidP="0075660C">
            <w:pPr>
              <w:rPr>
                <w:rFonts w:cstheme="minorHAnsi"/>
              </w:rPr>
            </w:pPr>
            <w:r w:rsidRPr="00214C3B">
              <w:rPr>
                <w:rFonts w:cstheme="minorHAnsi"/>
              </w:rPr>
              <w:t>(Dialysis) Clearance estimated from the dialysate data</w:t>
            </w:r>
          </w:p>
        </w:tc>
      </w:tr>
      <w:tr w:rsidR="00214C3B" w:rsidRPr="007D6909" w14:paraId="4C3DCD77" w14:textId="77777777" w:rsidTr="00214C3B">
        <w:tc>
          <w:tcPr>
            <w:tcW w:w="1912" w:type="dxa"/>
          </w:tcPr>
          <w:p w14:paraId="4C3DCD75" w14:textId="77777777" w:rsidR="00214C3B" w:rsidRPr="00214C3B" w:rsidRDefault="00214C3B" w:rsidP="0075660C">
            <w:pPr>
              <w:rPr>
                <w:rFonts w:cstheme="minorHAnsi"/>
              </w:rPr>
            </w:pPr>
            <w:r w:rsidRPr="00214C3B">
              <w:rPr>
                <w:rFonts w:cstheme="minorHAnsi"/>
              </w:rPr>
              <w:t>CLr</w:t>
            </w:r>
          </w:p>
        </w:tc>
        <w:tc>
          <w:tcPr>
            <w:tcW w:w="6808" w:type="dxa"/>
          </w:tcPr>
          <w:p w14:paraId="4C3DCD76" w14:textId="77777777" w:rsidR="00214C3B" w:rsidRPr="00214C3B" w:rsidRDefault="00214C3B" w:rsidP="0075660C">
            <w:pPr>
              <w:rPr>
                <w:rFonts w:cstheme="minorHAnsi"/>
              </w:rPr>
            </w:pPr>
            <w:r w:rsidRPr="00214C3B">
              <w:rPr>
                <w:rFonts w:cstheme="minorHAnsi"/>
              </w:rPr>
              <w:t>renal clearance</w:t>
            </w:r>
          </w:p>
        </w:tc>
      </w:tr>
      <w:tr w:rsidR="00214C3B" w:rsidRPr="007D6909" w14:paraId="4C3DCD7A" w14:textId="77777777" w:rsidTr="00214C3B">
        <w:tc>
          <w:tcPr>
            <w:tcW w:w="1912" w:type="dxa"/>
          </w:tcPr>
          <w:p w14:paraId="4C3DCD78" w14:textId="77777777" w:rsidR="00214C3B" w:rsidRPr="00214C3B" w:rsidRDefault="00114776" w:rsidP="0075660C">
            <w:pPr>
              <w:rPr>
                <w:rFonts w:cstheme="minorHAnsi"/>
              </w:rPr>
            </w:pPr>
            <w:r>
              <w:t>C</w:t>
            </w:r>
            <w:r w:rsidRPr="00114776">
              <w:rPr>
                <w:vertAlign w:val="subscript"/>
              </w:rPr>
              <w:t>max</w:t>
            </w:r>
          </w:p>
        </w:tc>
        <w:tc>
          <w:tcPr>
            <w:tcW w:w="6808" w:type="dxa"/>
          </w:tcPr>
          <w:p w14:paraId="4C3DCD79" w14:textId="77777777" w:rsidR="00214C3B" w:rsidRPr="00214C3B" w:rsidRDefault="00214C3B" w:rsidP="0075660C">
            <w:pPr>
              <w:rPr>
                <w:rFonts w:cstheme="minorHAnsi"/>
              </w:rPr>
            </w:pPr>
            <w:r w:rsidRPr="00214C3B">
              <w:rPr>
                <w:rFonts w:cstheme="minorHAnsi"/>
              </w:rPr>
              <w:t>maximum plasma concentration achieved</w:t>
            </w:r>
          </w:p>
        </w:tc>
      </w:tr>
      <w:tr w:rsidR="00214C3B" w:rsidRPr="007D6909" w14:paraId="4C3DCD7D" w14:textId="77777777" w:rsidTr="00214C3B">
        <w:tc>
          <w:tcPr>
            <w:tcW w:w="1912" w:type="dxa"/>
          </w:tcPr>
          <w:p w14:paraId="4C3DCD7B" w14:textId="77777777" w:rsidR="00214C3B" w:rsidRPr="00214C3B" w:rsidRDefault="00214C3B" w:rsidP="0075660C">
            <w:r w:rsidRPr="00214C3B">
              <w:t>COWS</w:t>
            </w:r>
          </w:p>
        </w:tc>
        <w:tc>
          <w:tcPr>
            <w:tcW w:w="6808" w:type="dxa"/>
          </w:tcPr>
          <w:p w14:paraId="4C3DCD7C" w14:textId="77777777" w:rsidR="00214C3B" w:rsidRPr="00214C3B" w:rsidRDefault="00214C3B" w:rsidP="0075660C">
            <w:r w:rsidRPr="00214C3B">
              <w:t>Clinical Opiate Withdrawal Scale</w:t>
            </w:r>
          </w:p>
        </w:tc>
      </w:tr>
      <w:tr w:rsidR="00214C3B" w:rsidRPr="007D6909" w14:paraId="4C3DCD80" w14:textId="77777777" w:rsidTr="00214C3B">
        <w:tc>
          <w:tcPr>
            <w:tcW w:w="1912" w:type="dxa"/>
          </w:tcPr>
          <w:p w14:paraId="4C3DCD7E" w14:textId="77777777" w:rsidR="00214C3B" w:rsidRPr="00214C3B" w:rsidRDefault="00214C3B" w:rsidP="0075660C">
            <w:r w:rsidRPr="00214C3B">
              <w:t>CPK</w:t>
            </w:r>
          </w:p>
        </w:tc>
        <w:tc>
          <w:tcPr>
            <w:tcW w:w="6808" w:type="dxa"/>
          </w:tcPr>
          <w:p w14:paraId="4C3DCD7F" w14:textId="77777777" w:rsidR="00214C3B" w:rsidRPr="00214C3B" w:rsidRDefault="00214C3B" w:rsidP="0075660C">
            <w:r w:rsidRPr="00214C3B">
              <w:t>creatine phosphokinase</w:t>
            </w:r>
          </w:p>
        </w:tc>
      </w:tr>
      <w:tr w:rsidR="00214C3B" w:rsidRPr="007D6909" w14:paraId="4C3DCD83" w14:textId="77777777" w:rsidTr="00214C3B">
        <w:tc>
          <w:tcPr>
            <w:tcW w:w="1912" w:type="dxa"/>
          </w:tcPr>
          <w:p w14:paraId="4C3DCD81" w14:textId="77777777" w:rsidR="00214C3B" w:rsidRPr="00214C3B" w:rsidRDefault="00214C3B" w:rsidP="0075660C">
            <w:r w:rsidRPr="00214C3B">
              <w:t>C-SSRS</w:t>
            </w:r>
          </w:p>
        </w:tc>
        <w:tc>
          <w:tcPr>
            <w:tcW w:w="6808" w:type="dxa"/>
          </w:tcPr>
          <w:p w14:paraId="4C3DCD82" w14:textId="77777777" w:rsidR="00214C3B" w:rsidRPr="00214C3B" w:rsidRDefault="00214C3B" w:rsidP="0075660C">
            <w:pPr>
              <w:rPr>
                <w:rFonts w:eastAsia="TimesNewRoman" w:cstheme="minorHAnsi"/>
              </w:rPr>
            </w:pPr>
            <w:r w:rsidRPr="00214C3B">
              <w:t>Columbia Suicide Severity Rating Scale</w:t>
            </w:r>
          </w:p>
        </w:tc>
      </w:tr>
      <w:tr w:rsidR="00214C3B" w:rsidRPr="007D6909" w14:paraId="4C3DCD86" w14:textId="77777777" w:rsidTr="00214C3B">
        <w:tc>
          <w:tcPr>
            <w:tcW w:w="1912" w:type="dxa"/>
          </w:tcPr>
          <w:p w14:paraId="4C3DCD84" w14:textId="77777777" w:rsidR="00214C3B" w:rsidRPr="00214C3B" w:rsidRDefault="00214C3B" w:rsidP="0075660C">
            <w:pPr>
              <w:rPr>
                <w:rFonts w:cstheme="minorHAnsi"/>
              </w:rPr>
            </w:pPr>
            <w:r w:rsidRPr="00214C3B">
              <w:rPr>
                <w:rFonts w:cstheme="minorHAnsi"/>
              </w:rPr>
              <w:t>CWRES</w:t>
            </w:r>
          </w:p>
        </w:tc>
        <w:tc>
          <w:tcPr>
            <w:tcW w:w="6808" w:type="dxa"/>
          </w:tcPr>
          <w:p w14:paraId="4C3DCD85" w14:textId="77777777" w:rsidR="00214C3B" w:rsidRPr="00214C3B" w:rsidRDefault="00214C3B" w:rsidP="0075660C">
            <w:pPr>
              <w:rPr>
                <w:rFonts w:cstheme="minorHAnsi"/>
              </w:rPr>
            </w:pPr>
            <w:r w:rsidRPr="00214C3B">
              <w:rPr>
                <w:rFonts w:cstheme="minorHAnsi"/>
              </w:rPr>
              <w:t>conditional weighted residuals</w:t>
            </w:r>
          </w:p>
        </w:tc>
      </w:tr>
      <w:tr w:rsidR="00214C3B" w:rsidRPr="007D6909" w14:paraId="4C3DCD89" w14:textId="77777777" w:rsidTr="00214C3B">
        <w:tc>
          <w:tcPr>
            <w:tcW w:w="1912" w:type="dxa"/>
          </w:tcPr>
          <w:p w14:paraId="4C3DCD87" w14:textId="77777777" w:rsidR="00214C3B" w:rsidRPr="00214C3B" w:rsidRDefault="00214C3B" w:rsidP="0075660C">
            <w:pPr>
              <w:rPr>
                <w:rFonts w:eastAsia="TimesNewRoman" w:cstheme="minorHAnsi"/>
              </w:rPr>
            </w:pPr>
            <w:proofErr w:type="spellStart"/>
            <w:r w:rsidRPr="00214C3B">
              <w:rPr>
                <w:rFonts w:eastAsia="TimesNewRoman" w:cstheme="minorHAnsi"/>
              </w:rPr>
              <w:t>C</w:t>
            </w:r>
            <w:r w:rsidRPr="00214C3B">
              <w:rPr>
                <w:rFonts w:eastAsia="TimesNewRomanPSMT" w:cstheme="minorHAnsi"/>
              </w:rPr>
              <w:t>τ</w:t>
            </w:r>
            <w:proofErr w:type="spellEnd"/>
            <w:r w:rsidRPr="00214C3B">
              <w:rPr>
                <w:rFonts w:eastAsia="TimesNewRoman" w:cstheme="minorHAnsi"/>
              </w:rPr>
              <w:t xml:space="preserve"> or </w:t>
            </w:r>
            <w:proofErr w:type="spellStart"/>
            <w:r w:rsidRPr="00214C3B">
              <w:rPr>
                <w:rFonts w:eastAsia="TimesNewRoman" w:cstheme="minorHAnsi"/>
              </w:rPr>
              <w:t>Ctrough</w:t>
            </w:r>
            <w:proofErr w:type="spellEnd"/>
          </w:p>
        </w:tc>
        <w:tc>
          <w:tcPr>
            <w:tcW w:w="6808" w:type="dxa"/>
          </w:tcPr>
          <w:p w14:paraId="4C3DCD88" w14:textId="77777777" w:rsidR="00214C3B" w:rsidRPr="00214C3B" w:rsidRDefault="00214C3B" w:rsidP="0075660C">
            <w:pPr>
              <w:rPr>
                <w:rFonts w:cstheme="minorHAnsi"/>
              </w:rPr>
            </w:pPr>
            <w:r w:rsidRPr="00214C3B">
              <w:rPr>
                <w:rFonts w:eastAsia="TimesNewRoman" w:cstheme="minorHAnsi"/>
              </w:rPr>
              <w:t>trough plasma concentrations</w:t>
            </w:r>
          </w:p>
        </w:tc>
      </w:tr>
      <w:tr w:rsidR="00214C3B" w:rsidRPr="007D6909" w14:paraId="4C3DCD8C" w14:textId="77777777" w:rsidTr="00214C3B">
        <w:tc>
          <w:tcPr>
            <w:tcW w:w="1912" w:type="dxa"/>
          </w:tcPr>
          <w:p w14:paraId="4C3DCD8A" w14:textId="77777777" w:rsidR="00214C3B" w:rsidRPr="00214C3B" w:rsidRDefault="00214C3B" w:rsidP="0075660C">
            <w:r w:rsidRPr="00214C3B">
              <w:t xml:space="preserve">DAA </w:t>
            </w:r>
          </w:p>
        </w:tc>
        <w:tc>
          <w:tcPr>
            <w:tcW w:w="6808" w:type="dxa"/>
          </w:tcPr>
          <w:p w14:paraId="4C3DCD8B" w14:textId="77777777" w:rsidR="00214C3B" w:rsidRPr="00214C3B" w:rsidRDefault="00214C3B" w:rsidP="0075660C">
            <w:r w:rsidRPr="00214C3B">
              <w:t>Direct acting antiviral</w:t>
            </w:r>
          </w:p>
        </w:tc>
      </w:tr>
      <w:tr w:rsidR="00214C3B" w:rsidRPr="007D6909" w14:paraId="4C3DCD8F" w14:textId="77777777" w:rsidTr="00214C3B">
        <w:tc>
          <w:tcPr>
            <w:tcW w:w="1912" w:type="dxa"/>
          </w:tcPr>
          <w:p w14:paraId="4C3DCD8D" w14:textId="77777777" w:rsidR="00214C3B" w:rsidRPr="00214C3B" w:rsidRDefault="00214C3B" w:rsidP="0075660C">
            <w:pPr>
              <w:rPr>
                <w:rFonts w:cstheme="minorHAnsi"/>
              </w:rPr>
            </w:pPr>
            <w:r w:rsidRPr="00214C3B">
              <w:rPr>
                <w:rFonts w:cstheme="minorHAnsi"/>
              </w:rPr>
              <w:t>DFC</w:t>
            </w:r>
          </w:p>
        </w:tc>
        <w:tc>
          <w:tcPr>
            <w:tcW w:w="6808" w:type="dxa"/>
          </w:tcPr>
          <w:p w14:paraId="4C3DCD8E" w14:textId="77777777" w:rsidR="00214C3B" w:rsidRPr="00214C3B" w:rsidRDefault="00214C3B" w:rsidP="0075660C">
            <w:pPr>
              <w:rPr>
                <w:rFonts w:cstheme="minorHAnsi"/>
              </w:rPr>
            </w:pPr>
            <w:r w:rsidRPr="00214C3B">
              <w:rPr>
                <w:rFonts w:cstheme="minorHAnsi"/>
              </w:rPr>
              <w:t>dry-filled capsule</w:t>
            </w:r>
          </w:p>
        </w:tc>
      </w:tr>
      <w:tr w:rsidR="00214C3B" w:rsidRPr="007D6909" w14:paraId="4C3DCD92" w14:textId="77777777" w:rsidTr="00214C3B">
        <w:tc>
          <w:tcPr>
            <w:tcW w:w="1912" w:type="dxa"/>
          </w:tcPr>
          <w:p w14:paraId="4C3DCD90" w14:textId="77777777" w:rsidR="00214C3B" w:rsidRPr="00214C3B" w:rsidRDefault="00214C3B" w:rsidP="0075660C">
            <w:pPr>
              <w:rPr>
                <w:bCs/>
              </w:rPr>
            </w:pPr>
            <w:r w:rsidRPr="00214C3B">
              <w:rPr>
                <w:bCs/>
              </w:rPr>
              <w:t>DRV</w:t>
            </w:r>
          </w:p>
        </w:tc>
        <w:tc>
          <w:tcPr>
            <w:tcW w:w="6808" w:type="dxa"/>
          </w:tcPr>
          <w:p w14:paraId="4C3DCD91" w14:textId="77777777" w:rsidR="00214C3B" w:rsidRPr="00214C3B" w:rsidRDefault="00214C3B" w:rsidP="0075660C">
            <w:pPr>
              <w:rPr>
                <w:rFonts w:cstheme="minorHAnsi"/>
              </w:rPr>
            </w:pPr>
            <w:r w:rsidRPr="00214C3B">
              <w:t>darunavir</w:t>
            </w:r>
          </w:p>
        </w:tc>
      </w:tr>
      <w:tr w:rsidR="00214C3B" w:rsidRPr="007D6909" w14:paraId="4C3DCD95" w14:textId="77777777" w:rsidTr="00214C3B">
        <w:tc>
          <w:tcPr>
            <w:tcW w:w="1912" w:type="dxa"/>
          </w:tcPr>
          <w:p w14:paraId="4C3DCD93" w14:textId="77777777" w:rsidR="00214C3B" w:rsidRPr="00214C3B" w:rsidRDefault="00214C3B" w:rsidP="0075660C">
            <w:r w:rsidRPr="00214C3B">
              <w:t xml:space="preserve">EBR </w:t>
            </w:r>
          </w:p>
        </w:tc>
        <w:tc>
          <w:tcPr>
            <w:tcW w:w="6808" w:type="dxa"/>
          </w:tcPr>
          <w:p w14:paraId="4C3DCD94" w14:textId="1170348A" w:rsidR="00214C3B" w:rsidRPr="00AC33F4" w:rsidRDefault="005D0E20" w:rsidP="0075660C">
            <w:pPr>
              <w:rPr>
                <w:strike/>
              </w:rPr>
            </w:pPr>
            <w:proofErr w:type="spellStart"/>
            <w:r w:rsidRPr="00AC33F4">
              <w:t>Elbasvir</w:t>
            </w:r>
            <w:proofErr w:type="spellEnd"/>
          </w:p>
        </w:tc>
      </w:tr>
      <w:tr w:rsidR="00214C3B" w:rsidRPr="007D6909" w14:paraId="4C3DCD98" w14:textId="77777777" w:rsidTr="00214C3B">
        <w:tc>
          <w:tcPr>
            <w:tcW w:w="1912" w:type="dxa"/>
          </w:tcPr>
          <w:p w14:paraId="4C3DCD96" w14:textId="77777777" w:rsidR="00214C3B" w:rsidRPr="00214C3B" w:rsidRDefault="00214C3B" w:rsidP="0075660C">
            <w:pPr>
              <w:rPr>
                <w:rFonts w:cstheme="minorHAnsi"/>
              </w:rPr>
            </w:pPr>
            <w:r w:rsidRPr="00214C3B">
              <w:rPr>
                <w:rFonts w:cstheme="minorHAnsi"/>
              </w:rPr>
              <w:t xml:space="preserve">ECG </w:t>
            </w:r>
          </w:p>
        </w:tc>
        <w:tc>
          <w:tcPr>
            <w:tcW w:w="6808" w:type="dxa"/>
          </w:tcPr>
          <w:p w14:paraId="4C3DCD97" w14:textId="77777777" w:rsidR="00214C3B" w:rsidRPr="00214C3B" w:rsidRDefault="00214C3B" w:rsidP="0075660C">
            <w:pPr>
              <w:rPr>
                <w:rFonts w:cstheme="minorHAnsi"/>
              </w:rPr>
            </w:pPr>
            <w:r w:rsidRPr="00214C3B">
              <w:rPr>
                <w:rFonts w:cstheme="minorHAnsi"/>
              </w:rPr>
              <w:t>electrocardiogram</w:t>
            </w:r>
          </w:p>
        </w:tc>
      </w:tr>
      <w:tr w:rsidR="00214C3B" w:rsidRPr="007D6909" w14:paraId="4C3DCD9B" w14:textId="77777777" w:rsidTr="00214C3B">
        <w:tc>
          <w:tcPr>
            <w:tcW w:w="1912" w:type="dxa"/>
          </w:tcPr>
          <w:p w14:paraId="4C3DCD99" w14:textId="77777777" w:rsidR="00214C3B" w:rsidRPr="00214C3B" w:rsidRDefault="00214C3B" w:rsidP="0075660C">
            <w:pPr>
              <w:rPr>
                <w:rFonts w:cstheme="minorHAnsi"/>
              </w:rPr>
            </w:pPr>
            <w:r w:rsidRPr="00214C3B">
              <w:rPr>
                <w:rFonts w:cstheme="minorHAnsi"/>
              </w:rPr>
              <w:t xml:space="preserve">ECI </w:t>
            </w:r>
          </w:p>
        </w:tc>
        <w:tc>
          <w:tcPr>
            <w:tcW w:w="6808" w:type="dxa"/>
          </w:tcPr>
          <w:p w14:paraId="4C3DCD9A" w14:textId="77777777" w:rsidR="00214C3B" w:rsidRPr="00214C3B" w:rsidRDefault="00214C3B" w:rsidP="0075660C">
            <w:pPr>
              <w:rPr>
                <w:rFonts w:cstheme="minorHAnsi"/>
              </w:rPr>
            </w:pPr>
            <w:r w:rsidRPr="00214C3B">
              <w:rPr>
                <w:rFonts w:cstheme="minorHAnsi"/>
              </w:rPr>
              <w:t>events of clinical interest</w:t>
            </w:r>
          </w:p>
        </w:tc>
      </w:tr>
      <w:tr w:rsidR="00214C3B" w:rsidRPr="007D6909" w14:paraId="4C3DCD9E" w14:textId="77777777" w:rsidTr="00214C3B">
        <w:tc>
          <w:tcPr>
            <w:tcW w:w="1912" w:type="dxa"/>
          </w:tcPr>
          <w:p w14:paraId="4C3DCD9C" w14:textId="77777777" w:rsidR="00214C3B" w:rsidRPr="00214C3B" w:rsidRDefault="00214C3B" w:rsidP="0075660C">
            <w:pPr>
              <w:rPr>
                <w:rFonts w:cstheme="minorHAnsi"/>
              </w:rPr>
            </w:pPr>
            <w:r w:rsidRPr="00214C3B">
              <w:rPr>
                <w:rFonts w:cstheme="minorHAnsi"/>
              </w:rPr>
              <w:t>EE</w:t>
            </w:r>
          </w:p>
        </w:tc>
        <w:tc>
          <w:tcPr>
            <w:tcW w:w="6808" w:type="dxa"/>
          </w:tcPr>
          <w:p w14:paraId="4C3DCD9D" w14:textId="77777777" w:rsidR="00214C3B" w:rsidRPr="00214C3B" w:rsidRDefault="00214C3B" w:rsidP="0075660C">
            <w:pPr>
              <w:rPr>
                <w:rFonts w:cstheme="minorHAnsi"/>
              </w:rPr>
            </w:pPr>
            <w:proofErr w:type="spellStart"/>
            <w:r w:rsidRPr="00214C3B">
              <w:t>ethinyl</w:t>
            </w:r>
            <w:proofErr w:type="spellEnd"/>
            <w:r w:rsidRPr="00214C3B">
              <w:t xml:space="preserve"> </w:t>
            </w:r>
            <w:proofErr w:type="spellStart"/>
            <w:r w:rsidRPr="00214C3B">
              <w:t>estradiol</w:t>
            </w:r>
            <w:proofErr w:type="spellEnd"/>
          </w:p>
        </w:tc>
      </w:tr>
      <w:tr w:rsidR="00214C3B" w:rsidRPr="007D6909" w14:paraId="4C3DCDA1" w14:textId="77777777" w:rsidTr="00214C3B">
        <w:tc>
          <w:tcPr>
            <w:tcW w:w="1912" w:type="dxa"/>
          </w:tcPr>
          <w:p w14:paraId="4C3DCD9F" w14:textId="77777777" w:rsidR="00214C3B" w:rsidRPr="00214C3B" w:rsidRDefault="00214C3B" w:rsidP="0075660C">
            <w:pPr>
              <w:rPr>
                <w:rFonts w:cstheme="minorHAnsi"/>
              </w:rPr>
            </w:pPr>
            <w:r w:rsidRPr="00214C3B">
              <w:rPr>
                <w:rFonts w:cstheme="minorHAnsi"/>
              </w:rPr>
              <w:t>eGFR</w:t>
            </w:r>
          </w:p>
        </w:tc>
        <w:tc>
          <w:tcPr>
            <w:tcW w:w="6808" w:type="dxa"/>
          </w:tcPr>
          <w:p w14:paraId="4C3DCDA0" w14:textId="77777777" w:rsidR="00214C3B" w:rsidRPr="00214C3B" w:rsidRDefault="00214C3B" w:rsidP="0075660C">
            <w:pPr>
              <w:rPr>
                <w:rFonts w:cstheme="minorHAnsi"/>
              </w:rPr>
            </w:pPr>
            <w:r w:rsidRPr="00214C3B">
              <w:rPr>
                <w:rFonts w:cstheme="minorHAnsi"/>
              </w:rPr>
              <w:t>estimated glomerular filtration rate</w:t>
            </w:r>
          </w:p>
        </w:tc>
      </w:tr>
      <w:tr w:rsidR="00214C3B" w:rsidRPr="007D6909" w14:paraId="4C3DCDA4" w14:textId="77777777" w:rsidTr="00214C3B">
        <w:tc>
          <w:tcPr>
            <w:tcW w:w="1912" w:type="dxa"/>
          </w:tcPr>
          <w:p w14:paraId="4C3DCDA2" w14:textId="77777777" w:rsidR="00214C3B" w:rsidRPr="00214C3B" w:rsidRDefault="00214C3B" w:rsidP="0075660C">
            <w:r w:rsidRPr="00214C3B">
              <w:t xml:space="preserve">EOT </w:t>
            </w:r>
          </w:p>
        </w:tc>
        <w:tc>
          <w:tcPr>
            <w:tcW w:w="6808" w:type="dxa"/>
          </w:tcPr>
          <w:p w14:paraId="4C3DCDA3" w14:textId="77777777" w:rsidR="00214C3B" w:rsidRPr="00214C3B" w:rsidRDefault="00214C3B" w:rsidP="0075660C">
            <w:r w:rsidRPr="00214C3B">
              <w:t>End of Treatment</w:t>
            </w:r>
          </w:p>
        </w:tc>
      </w:tr>
      <w:tr w:rsidR="00214C3B" w:rsidRPr="007D6909" w14:paraId="4C3DCDA7" w14:textId="77777777" w:rsidTr="00214C3B">
        <w:tc>
          <w:tcPr>
            <w:tcW w:w="1912" w:type="dxa"/>
          </w:tcPr>
          <w:p w14:paraId="4C3DCDA5" w14:textId="77777777" w:rsidR="00214C3B" w:rsidRPr="00214C3B" w:rsidRDefault="00214C3B" w:rsidP="0075660C">
            <w:pPr>
              <w:rPr>
                <w:rFonts w:cstheme="minorHAnsi"/>
              </w:rPr>
            </w:pPr>
            <w:r w:rsidRPr="00214C3B">
              <w:rPr>
                <w:rFonts w:cstheme="minorHAnsi"/>
              </w:rPr>
              <w:t>ESRD</w:t>
            </w:r>
          </w:p>
        </w:tc>
        <w:tc>
          <w:tcPr>
            <w:tcW w:w="6808" w:type="dxa"/>
          </w:tcPr>
          <w:p w14:paraId="4C3DCDA6" w14:textId="77777777" w:rsidR="00214C3B" w:rsidRPr="00214C3B" w:rsidRDefault="00214C3B" w:rsidP="0075660C">
            <w:pPr>
              <w:rPr>
                <w:rFonts w:cstheme="minorHAnsi"/>
              </w:rPr>
            </w:pPr>
            <w:r w:rsidRPr="00214C3B">
              <w:rPr>
                <w:rFonts w:cstheme="minorHAnsi"/>
              </w:rPr>
              <w:t>end-stage renal disease</w:t>
            </w:r>
          </w:p>
        </w:tc>
      </w:tr>
      <w:tr w:rsidR="00214C3B" w:rsidRPr="007D6909" w14:paraId="4C3DCDAA" w14:textId="77777777" w:rsidTr="00214C3B">
        <w:tc>
          <w:tcPr>
            <w:tcW w:w="1912" w:type="dxa"/>
          </w:tcPr>
          <w:p w14:paraId="4C3DCDA8" w14:textId="77777777" w:rsidR="00214C3B" w:rsidRPr="00214C3B" w:rsidRDefault="00214C3B" w:rsidP="0075660C">
            <w:pPr>
              <w:rPr>
                <w:rFonts w:cstheme="minorHAnsi"/>
              </w:rPr>
            </w:pPr>
            <w:r w:rsidRPr="00214C3B">
              <w:rPr>
                <w:rFonts w:cstheme="minorHAnsi"/>
              </w:rPr>
              <w:t>EVR</w:t>
            </w:r>
          </w:p>
        </w:tc>
        <w:tc>
          <w:tcPr>
            <w:tcW w:w="6808" w:type="dxa"/>
          </w:tcPr>
          <w:p w14:paraId="4C3DCDA9" w14:textId="77777777" w:rsidR="00214C3B" w:rsidRPr="00214C3B" w:rsidRDefault="00214C3B" w:rsidP="0075660C">
            <w:pPr>
              <w:rPr>
                <w:rFonts w:cstheme="minorHAnsi"/>
              </w:rPr>
            </w:pPr>
            <w:r w:rsidRPr="00214C3B">
              <w:rPr>
                <w:rFonts w:cstheme="minorHAnsi"/>
              </w:rPr>
              <w:t>early virologic response</w:t>
            </w:r>
          </w:p>
        </w:tc>
      </w:tr>
      <w:tr w:rsidR="00214C3B" w:rsidRPr="007D6909" w14:paraId="4C3DCDAD" w14:textId="77777777" w:rsidTr="00214C3B">
        <w:tc>
          <w:tcPr>
            <w:tcW w:w="1912" w:type="dxa"/>
          </w:tcPr>
          <w:p w14:paraId="4C3DCDAB" w14:textId="77777777" w:rsidR="00214C3B" w:rsidRPr="00214C3B" w:rsidRDefault="00214C3B" w:rsidP="0075660C">
            <w:pPr>
              <w:rPr>
                <w:rFonts w:cstheme="minorHAnsi"/>
              </w:rPr>
            </w:pPr>
            <w:r w:rsidRPr="00214C3B">
              <w:rPr>
                <w:rFonts w:cstheme="minorHAnsi"/>
              </w:rPr>
              <w:t>F</w:t>
            </w:r>
          </w:p>
        </w:tc>
        <w:tc>
          <w:tcPr>
            <w:tcW w:w="6808" w:type="dxa"/>
          </w:tcPr>
          <w:p w14:paraId="4C3DCDAC" w14:textId="77777777" w:rsidR="00214C3B" w:rsidRPr="00214C3B" w:rsidRDefault="00214C3B" w:rsidP="0075660C">
            <w:pPr>
              <w:rPr>
                <w:rFonts w:cstheme="minorHAnsi"/>
              </w:rPr>
            </w:pPr>
            <w:r w:rsidRPr="00214C3B">
              <w:rPr>
                <w:rFonts w:cstheme="minorHAnsi"/>
              </w:rPr>
              <w:t>absolute bioavailability</w:t>
            </w:r>
          </w:p>
        </w:tc>
      </w:tr>
      <w:tr w:rsidR="00214C3B" w:rsidRPr="007D6909" w14:paraId="4C3DCDB0" w14:textId="77777777" w:rsidTr="00214C3B">
        <w:tc>
          <w:tcPr>
            <w:tcW w:w="1912" w:type="dxa"/>
          </w:tcPr>
          <w:p w14:paraId="4C3DCDAE" w14:textId="77777777" w:rsidR="00214C3B" w:rsidRPr="00214C3B" w:rsidRDefault="00214C3B" w:rsidP="0075660C">
            <w:r w:rsidRPr="00214C3B">
              <w:t xml:space="preserve">FAS </w:t>
            </w:r>
          </w:p>
        </w:tc>
        <w:tc>
          <w:tcPr>
            <w:tcW w:w="6808" w:type="dxa"/>
          </w:tcPr>
          <w:p w14:paraId="4C3DCDAF" w14:textId="77777777" w:rsidR="00214C3B" w:rsidRPr="00214C3B" w:rsidRDefault="00214C3B" w:rsidP="0075660C">
            <w:r w:rsidRPr="00214C3B">
              <w:t>Full Analysis Set</w:t>
            </w:r>
          </w:p>
        </w:tc>
      </w:tr>
      <w:tr w:rsidR="00214C3B" w:rsidRPr="007D6909" w14:paraId="4C3DCDB3" w14:textId="77777777" w:rsidTr="00214C3B">
        <w:tc>
          <w:tcPr>
            <w:tcW w:w="1912" w:type="dxa"/>
          </w:tcPr>
          <w:p w14:paraId="4C3DCDB1" w14:textId="77777777" w:rsidR="00214C3B" w:rsidRPr="00214C3B" w:rsidRDefault="00214C3B" w:rsidP="0075660C">
            <w:pPr>
              <w:rPr>
                <w:rFonts w:cstheme="minorHAnsi"/>
              </w:rPr>
            </w:pPr>
            <w:r w:rsidRPr="00214C3B">
              <w:rPr>
                <w:rFonts w:cstheme="minorHAnsi"/>
              </w:rPr>
              <w:t xml:space="preserve">FDC </w:t>
            </w:r>
          </w:p>
        </w:tc>
        <w:tc>
          <w:tcPr>
            <w:tcW w:w="6808" w:type="dxa"/>
          </w:tcPr>
          <w:p w14:paraId="4C3DCDB2" w14:textId="77777777" w:rsidR="00214C3B" w:rsidRPr="00214C3B" w:rsidRDefault="00214C3B" w:rsidP="0075660C">
            <w:pPr>
              <w:rPr>
                <w:rFonts w:cstheme="minorHAnsi"/>
              </w:rPr>
            </w:pPr>
            <w:r w:rsidRPr="00214C3B">
              <w:rPr>
                <w:rFonts w:cstheme="minorHAnsi"/>
              </w:rPr>
              <w:t>fixed dose combination</w:t>
            </w:r>
          </w:p>
        </w:tc>
      </w:tr>
      <w:tr w:rsidR="00214C3B" w:rsidRPr="007D6909" w14:paraId="4C3DCDB6" w14:textId="77777777" w:rsidTr="00214C3B">
        <w:tc>
          <w:tcPr>
            <w:tcW w:w="1912" w:type="dxa"/>
          </w:tcPr>
          <w:p w14:paraId="4C3DCDB4" w14:textId="77777777" w:rsidR="00214C3B" w:rsidRPr="00214C3B" w:rsidRDefault="00214C3B" w:rsidP="0075660C">
            <w:pPr>
              <w:rPr>
                <w:rFonts w:cstheme="minorHAnsi"/>
              </w:rPr>
            </w:pPr>
            <w:proofErr w:type="spellStart"/>
            <w:r w:rsidRPr="00214C3B">
              <w:rPr>
                <w:rFonts w:cstheme="minorHAnsi"/>
              </w:rPr>
              <w:t>fe</w:t>
            </w:r>
            <w:proofErr w:type="spellEnd"/>
          </w:p>
        </w:tc>
        <w:tc>
          <w:tcPr>
            <w:tcW w:w="6808" w:type="dxa"/>
          </w:tcPr>
          <w:p w14:paraId="4C3DCDB5" w14:textId="77777777" w:rsidR="00214C3B" w:rsidRPr="00214C3B" w:rsidRDefault="00214C3B" w:rsidP="0075660C">
            <w:pPr>
              <w:rPr>
                <w:rFonts w:cstheme="minorHAnsi"/>
              </w:rPr>
            </w:pPr>
            <w:r w:rsidRPr="00214C3B">
              <w:t>urinary excretion</w:t>
            </w:r>
          </w:p>
        </w:tc>
      </w:tr>
      <w:tr w:rsidR="00214C3B" w:rsidRPr="007D6909" w14:paraId="4C3DCDB9" w14:textId="77777777" w:rsidTr="00214C3B">
        <w:tc>
          <w:tcPr>
            <w:tcW w:w="1912" w:type="dxa"/>
          </w:tcPr>
          <w:p w14:paraId="4C3DCDB7" w14:textId="77777777" w:rsidR="00214C3B" w:rsidRPr="00214C3B" w:rsidRDefault="00214C3B" w:rsidP="0075660C">
            <w:pPr>
              <w:rPr>
                <w:rFonts w:cstheme="minorHAnsi"/>
              </w:rPr>
            </w:pPr>
            <w:r w:rsidRPr="00214C3B">
              <w:rPr>
                <w:rFonts w:cstheme="minorHAnsi"/>
              </w:rPr>
              <w:lastRenderedPageBreak/>
              <w:t xml:space="preserve">FFP </w:t>
            </w:r>
          </w:p>
        </w:tc>
        <w:tc>
          <w:tcPr>
            <w:tcW w:w="6808" w:type="dxa"/>
          </w:tcPr>
          <w:p w14:paraId="4C3DCDB8" w14:textId="77777777" w:rsidR="00214C3B" w:rsidRPr="00214C3B" w:rsidRDefault="00214C3B" w:rsidP="0075660C">
            <w:pPr>
              <w:rPr>
                <w:rFonts w:cstheme="minorHAnsi"/>
              </w:rPr>
            </w:pPr>
            <w:r w:rsidRPr="00214C3B">
              <w:rPr>
                <w:rFonts w:cstheme="minorHAnsi"/>
              </w:rPr>
              <w:t>fit-for-purpose</w:t>
            </w:r>
          </w:p>
        </w:tc>
      </w:tr>
      <w:tr w:rsidR="00214C3B" w:rsidRPr="007D6909" w14:paraId="4C3DCDBC" w14:textId="77777777" w:rsidTr="00214C3B">
        <w:tc>
          <w:tcPr>
            <w:tcW w:w="1912" w:type="dxa"/>
          </w:tcPr>
          <w:p w14:paraId="4C3DCDBA" w14:textId="77777777" w:rsidR="00214C3B" w:rsidRPr="00214C3B" w:rsidRDefault="00214C3B" w:rsidP="0075660C">
            <w:pPr>
              <w:rPr>
                <w:rFonts w:cstheme="minorHAnsi"/>
              </w:rPr>
            </w:pPr>
            <w:r w:rsidRPr="00214C3B">
              <w:rPr>
                <w:rFonts w:cstheme="minorHAnsi"/>
              </w:rPr>
              <w:t>FMI</w:t>
            </w:r>
          </w:p>
        </w:tc>
        <w:tc>
          <w:tcPr>
            <w:tcW w:w="6808" w:type="dxa"/>
          </w:tcPr>
          <w:p w14:paraId="4C3DCDBB" w14:textId="77777777" w:rsidR="00214C3B" w:rsidRPr="00214C3B" w:rsidRDefault="00214C3B" w:rsidP="0075660C">
            <w:pPr>
              <w:rPr>
                <w:rFonts w:cstheme="minorHAnsi"/>
              </w:rPr>
            </w:pPr>
            <w:r w:rsidRPr="00214C3B">
              <w:rPr>
                <w:rFonts w:cstheme="minorHAnsi"/>
              </w:rPr>
              <w:t>final market image</w:t>
            </w:r>
          </w:p>
        </w:tc>
      </w:tr>
      <w:tr w:rsidR="00214C3B" w:rsidRPr="007D6909" w14:paraId="4C3DCDBF" w14:textId="77777777" w:rsidTr="00214C3B">
        <w:tc>
          <w:tcPr>
            <w:tcW w:w="1912" w:type="dxa"/>
          </w:tcPr>
          <w:p w14:paraId="4C3DCDBD" w14:textId="77777777" w:rsidR="00214C3B" w:rsidRPr="00214C3B" w:rsidRDefault="00214C3B" w:rsidP="0075660C">
            <w:pPr>
              <w:rPr>
                <w:rFonts w:cstheme="minorHAnsi"/>
              </w:rPr>
            </w:pPr>
            <w:r w:rsidRPr="00214C3B">
              <w:rPr>
                <w:rFonts w:cstheme="minorHAnsi"/>
              </w:rPr>
              <w:t>Free combination</w:t>
            </w:r>
          </w:p>
        </w:tc>
        <w:tc>
          <w:tcPr>
            <w:tcW w:w="6808" w:type="dxa"/>
          </w:tcPr>
          <w:p w14:paraId="4C3DCDBE" w14:textId="77777777" w:rsidR="00214C3B" w:rsidRPr="00214C3B" w:rsidRDefault="00214C3B" w:rsidP="0075660C">
            <w:pPr>
              <w:rPr>
                <w:rFonts w:cstheme="minorHAnsi"/>
              </w:rPr>
            </w:pPr>
            <w:r w:rsidRPr="00214C3B">
              <w:rPr>
                <w:rFonts w:cstheme="minorHAnsi"/>
              </w:rPr>
              <w:t>co-administration of the individual tablets of EBR/GZR given at the same dosage strength as the FDC</w:t>
            </w:r>
          </w:p>
        </w:tc>
      </w:tr>
      <w:tr w:rsidR="00214C3B" w:rsidRPr="007D6909" w14:paraId="4C3DCDC2" w14:textId="77777777" w:rsidTr="00214C3B">
        <w:tc>
          <w:tcPr>
            <w:tcW w:w="1912" w:type="dxa"/>
          </w:tcPr>
          <w:p w14:paraId="4C3DCDC0" w14:textId="77777777" w:rsidR="00214C3B" w:rsidRPr="00214C3B" w:rsidRDefault="00214C3B" w:rsidP="0075660C">
            <w:pPr>
              <w:rPr>
                <w:rFonts w:cstheme="minorHAnsi"/>
              </w:rPr>
            </w:pPr>
            <w:r w:rsidRPr="00214C3B">
              <w:rPr>
                <w:rFonts w:cstheme="minorHAnsi"/>
              </w:rPr>
              <w:t>FSH</w:t>
            </w:r>
          </w:p>
        </w:tc>
        <w:tc>
          <w:tcPr>
            <w:tcW w:w="6808" w:type="dxa"/>
          </w:tcPr>
          <w:p w14:paraId="4C3DCDC1" w14:textId="77777777" w:rsidR="00214C3B" w:rsidRPr="00214C3B" w:rsidRDefault="00214C3B" w:rsidP="0075660C">
            <w:pPr>
              <w:rPr>
                <w:rFonts w:cstheme="minorHAnsi"/>
              </w:rPr>
            </w:pPr>
            <w:r w:rsidRPr="00214C3B">
              <w:rPr>
                <w:rFonts w:cstheme="minorHAnsi"/>
              </w:rPr>
              <w:t>follicle-stimulating hormone</w:t>
            </w:r>
          </w:p>
        </w:tc>
      </w:tr>
      <w:tr w:rsidR="00214C3B" w:rsidRPr="007D6909" w14:paraId="4C3DCDC5" w14:textId="77777777" w:rsidTr="00214C3B">
        <w:tc>
          <w:tcPr>
            <w:tcW w:w="1912" w:type="dxa"/>
          </w:tcPr>
          <w:p w14:paraId="4C3DCDC3" w14:textId="77777777" w:rsidR="00214C3B" w:rsidRPr="00214C3B" w:rsidRDefault="00214C3B" w:rsidP="0075660C">
            <w:r w:rsidRPr="00214C3B">
              <w:t xml:space="preserve">FW </w:t>
            </w:r>
          </w:p>
        </w:tc>
        <w:tc>
          <w:tcPr>
            <w:tcW w:w="6808" w:type="dxa"/>
          </w:tcPr>
          <w:p w14:paraId="4C3DCDC4" w14:textId="77777777" w:rsidR="00214C3B" w:rsidRPr="00214C3B" w:rsidRDefault="00214C3B" w:rsidP="0075660C">
            <w:r w:rsidRPr="00214C3B">
              <w:t>Follow-up Week</w:t>
            </w:r>
          </w:p>
        </w:tc>
      </w:tr>
      <w:tr w:rsidR="00214C3B" w:rsidRPr="007D6909" w14:paraId="4C3DCDC8" w14:textId="77777777" w:rsidTr="00214C3B">
        <w:tc>
          <w:tcPr>
            <w:tcW w:w="1912" w:type="dxa"/>
          </w:tcPr>
          <w:p w14:paraId="4C3DCDC6" w14:textId="77777777" w:rsidR="00214C3B" w:rsidRPr="00214C3B" w:rsidRDefault="00214C3B" w:rsidP="0075660C">
            <w:pPr>
              <w:rPr>
                <w:rFonts w:eastAsia="TimesNewRoman" w:cstheme="minorHAnsi"/>
              </w:rPr>
            </w:pPr>
            <w:r w:rsidRPr="00214C3B">
              <w:rPr>
                <w:rFonts w:eastAsia="TimesNewRoman" w:cstheme="minorHAnsi"/>
              </w:rPr>
              <w:t>geometric CV%</w:t>
            </w:r>
          </w:p>
        </w:tc>
        <w:tc>
          <w:tcPr>
            <w:tcW w:w="6808" w:type="dxa"/>
          </w:tcPr>
          <w:p w14:paraId="4C3DCDC7" w14:textId="77777777" w:rsidR="00214C3B" w:rsidRPr="00214C3B" w:rsidRDefault="00214C3B" w:rsidP="0075660C">
            <w:pPr>
              <w:rPr>
                <w:rFonts w:eastAsia="TimesNewRoman" w:cstheme="minorHAnsi"/>
              </w:rPr>
            </w:pPr>
            <w:r w:rsidRPr="00214C3B">
              <w:rPr>
                <w:rFonts w:cstheme="minorHAnsi"/>
              </w:rPr>
              <w:t>coefficient of variation/variability</w:t>
            </w:r>
          </w:p>
        </w:tc>
      </w:tr>
      <w:tr w:rsidR="00214C3B" w:rsidRPr="007D6909" w14:paraId="4C3DCDCB" w14:textId="77777777" w:rsidTr="00214C3B">
        <w:tc>
          <w:tcPr>
            <w:tcW w:w="1912" w:type="dxa"/>
          </w:tcPr>
          <w:p w14:paraId="4C3DCDC9" w14:textId="77777777" w:rsidR="00214C3B" w:rsidRPr="00214C3B" w:rsidRDefault="00214C3B" w:rsidP="0075660C">
            <w:pPr>
              <w:rPr>
                <w:rFonts w:cstheme="minorHAnsi"/>
              </w:rPr>
            </w:pPr>
            <w:r w:rsidRPr="00214C3B">
              <w:rPr>
                <w:rFonts w:cstheme="minorHAnsi"/>
              </w:rPr>
              <w:t>GM</w:t>
            </w:r>
          </w:p>
        </w:tc>
        <w:tc>
          <w:tcPr>
            <w:tcW w:w="6808" w:type="dxa"/>
          </w:tcPr>
          <w:p w14:paraId="4C3DCDCA" w14:textId="77777777" w:rsidR="00214C3B" w:rsidRPr="00214C3B" w:rsidRDefault="00214C3B" w:rsidP="0075660C">
            <w:pPr>
              <w:rPr>
                <w:rFonts w:cstheme="minorHAnsi"/>
              </w:rPr>
            </w:pPr>
            <w:r w:rsidRPr="00214C3B">
              <w:rPr>
                <w:rFonts w:cstheme="minorHAnsi"/>
              </w:rPr>
              <w:t>geometric mean</w:t>
            </w:r>
          </w:p>
        </w:tc>
      </w:tr>
      <w:tr w:rsidR="00214C3B" w:rsidRPr="007D6909" w14:paraId="4C3DCDCE" w14:textId="77777777" w:rsidTr="00214C3B">
        <w:tc>
          <w:tcPr>
            <w:tcW w:w="1912" w:type="dxa"/>
          </w:tcPr>
          <w:p w14:paraId="4C3DCDCC" w14:textId="77777777" w:rsidR="00214C3B" w:rsidRPr="00214C3B" w:rsidRDefault="00214C3B" w:rsidP="0075660C">
            <w:pPr>
              <w:rPr>
                <w:rFonts w:cstheme="minorHAnsi"/>
              </w:rPr>
            </w:pPr>
            <w:r w:rsidRPr="00214C3B">
              <w:rPr>
                <w:rFonts w:cstheme="minorHAnsi"/>
              </w:rPr>
              <w:t>GMR</w:t>
            </w:r>
          </w:p>
        </w:tc>
        <w:tc>
          <w:tcPr>
            <w:tcW w:w="6808" w:type="dxa"/>
          </w:tcPr>
          <w:p w14:paraId="4C3DCDCD" w14:textId="77777777" w:rsidR="00214C3B" w:rsidRPr="00214C3B" w:rsidRDefault="00214C3B" w:rsidP="0075660C">
            <w:pPr>
              <w:rPr>
                <w:rFonts w:cstheme="minorHAnsi"/>
              </w:rPr>
            </w:pPr>
            <w:r w:rsidRPr="00214C3B">
              <w:rPr>
                <w:rFonts w:cstheme="minorHAnsi"/>
              </w:rPr>
              <w:t>geometric mean ratio</w:t>
            </w:r>
          </w:p>
        </w:tc>
      </w:tr>
      <w:tr w:rsidR="00214C3B" w:rsidRPr="007D6909" w14:paraId="4C3DCDD1" w14:textId="77777777" w:rsidTr="00214C3B">
        <w:tc>
          <w:tcPr>
            <w:tcW w:w="1912" w:type="dxa"/>
          </w:tcPr>
          <w:p w14:paraId="4C3DCDCF" w14:textId="77777777" w:rsidR="00214C3B" w:rsidRPr="00214C3B" w:rsidRDefault="00214C3B" w:rsidP="0075660C">
            <w:r w:rsidRPr="00214C3B">
              <w:t xml:space="preserve">GT </w:t>
            </w:r>
          </w:p>
        </w:tc>
        <w:tc>
          <w:tcPr>
            <w:tcW w:w="6808" w:type="dxa"/>
          </w:tcPr>
          <w:p w14:paraId="4C3DCDD0" w14:textId="77777777" w:rsidR="00214C3B" w:rsidRPr="00214C3B" w:rsidRDefault="00214C3B" w:rsidP="0075660C">
            <w:r w:rsidRPr="00214C3B">
              <w:t>Genotype</w:t>
            </w:r>
          </w:p>
        </w:tc>
      </w:tr>
      <w:tr w:rsidR="00214C3B" w:rsidRPr="007D6909" w14:paraId="4C3DCDD4" w14:textId="77777777" w:rsidTr="00214C3B">
        <w:tc>
          <w:tcPr>
            <w:tcW w:w="1912" w:type="dxa"/>
          </w:tcPr>
          <w:p w14:paraId="4C3DCDD2" w14:textId="77777777" w:rsidR="00214C3B" w:rsidRPr="00214C3B" w:rsidRDefault="00214C3B" w:rsidP="0075660C">
            <w:pPr>
              <w:rPr>
                <w:rFonts w:cstheme="minorHAnsi"/>
              </w:rPr>
            </w:pPr>
            <w:r w:rsidRPr="00214C3B">
              <w:rPr>
                <w:rFonts w:cstheme="minorHAnsi"/>
              </w:rPr>
              <w:t>GT1</w:t>
            </w:r>
          </w:p>
        </w:tc>
        <w:tc>
          <w:tcPr>
            <w:tcW w:w="6808" w:type="dxa"/>
          </w:tcPr>
          <w:p w14:paraId="4C3DCDD3" w14:textId="77777777" w:rsidR="00214C3B" w:rsidRPr="00214C3B" w:rsidRDefault="00214C3B" w:rsidP="0075660C">
            <w:pPr>
              <w:rPr>
                <w:rFonts w:cstheme="minorHAnsi"/>
              </w:rPr>
            </w:pPr>
            <w:r w:rsidRPr="00214C3B">
              <w:rPr>
                <w:rFonts w:cstheme="minorHAnsi"/>
              </w:rPr>
              <w:t>genotype 1</w:t>
            </w:r>
          </w:p>
        </w:tc>
      </w:tr>
      <w:tr w:rsidR="00214C3B" w:rsidRPr="007D6909" w14:paraId="4C3DCDD7" w14:textId="77777777" w:rsidTr="00214C3B">
        <w:tc>
          <w:tcPr>
            <w:tcW w:w="1912" w:type="dxa"/>
          </w:tcPr>
          <w:p w14:paraId="4C3DCDD5" w14:textId="77777777" w:rsidR="00214C3B" w:rsidRPr="00214C3B" w:rsidRDefault="00214C3B" w:rsidP="0075660C">
            <w:pPr>
              <w:rPr>
                <w:rFonts w:cstheme="minorHAnsi"/>
              </w:rPr>
            </w:pPr>
            <w:r w:rsidRPr="00214C3B">
              <w:rPr>
                <w:rFonts w:cstheme="minorHAnsi"/>
              </w:rPr>
              <w:t>GT3</w:t>
            </w:r>
          </w:p>
        </w:tc>
        <w:tc>
          <w:tcPr>
            <w:tcW w:w="6808" w:type="dxa"/>
          </w:tcPr>
          <w:p w14:paraId="4C3DCDD6" w14:textId="77777777" w:rsidR="00214C3B" w:rsidRPr="00214C3B" w:rsidRDefault="00214C3B" w:rsidP="0075660C">
            <w:pPr>
              <w:rPr>
                <w:rFonts w:cstheme="minorHAnsi"/>
              </w:rPr>
            </w:pPr>
            <w:r w:rsidRPr="00214C3B">
              <w:rPr>
                <w:rFonts w:cstheme="minorHAnsi"/>
              </w:rPr>
              <w:t>genotype 3</w:t>
            </w:r>
          </w:p>
        </w:tc>
      </w:tr>
      <w:tr w:rsidR="00214C3B" w:rsidRPr="007D6909" w14:paraId="4C3DCDDA" w14:textId="77777777" w:rsidTr="00214C3B">
        <w:tc>
          <w:tcPr>
            <w:tcW w:w="1912" w:type="dxa"/>
          </w:tcPr>
          <w:p w14:paraId="4C3DCDD8" w14:textId="77777777" w:rsidR="00214C3B" w:rsidRPr="00214C3B" w:rsidRDefault="00214C3B" w:rsidP="0075660C">
            <w:r w:rsidRPr="00214C3B">
              <w:t xml:space="preserve">GZR </w:t>
            </w:r>
          </w:p>
        </w:tc>
        <w:tc>
          <w:tcPr>
            <w:tcW w:w="6808" w:type="dxa"/>
          </w:tcPr>
          <w:p w14:paraId="4C3DCDD9" w14:textId="3FA26539" w:rsidR="00214C3B" w:rsidRPr="00AC33F4" w:rsidRDefault="005D0E20" w:rsidP="0075660C">
            <w:pPr>
              <w:rPr>
                <w:strike/>
              </w:rPr>
            </w:pPr>
            <w:proofErr w:type="spellStart"/>
            <w:r w:rsidRPr="00AC33F4">
              <w:t>Grazoprevir</w:t>
            </w:r>
            <w:proofErr w:type="spellEnd"/>
          </w:p>
        </w:tc>
      </w:tr>
      <w:tr w:rsidR="00214C3B" w:rsidRPr="007D6909" w14:paraId="4C3DCDE0" w14:textId="77777777" w:rsidTr="00214C3B">
        <w:tc>
          <w:tcPr>
            <w:tcW w:w="1912" w:type="dxa"/>
          </w:tcPr>
          <w:p w14:paraId="4C3DCDDE" w14:textId="77777777" w:rsidR="00214C3B" w:rsidRPr="00214C3B" w:rsidRDefault="00214C3B" w:rsidP="0075660C">
            <w:r w:rsidRPr="00214C3B">
              <w:t xml:space="preserve">HBsAg </w:t>
            </w:r>
          </w:p>
        </w:tc>
        <w:tc>
          <w:tcPr>
            <w:tcW w:w="6808" w:type="dxa"/>
          </w:tcPr>
          <w:p w14:paraId="4C3DCDDF" w14:textId="77777777" w:rsidR="00214C3B" w:rsidRPr="00214C3B" w:rsidRDefault="00214C3B" w:rsidP="0075660C">
            <w:r w:rsidRPr="00214C3B">
              <w:t>Hepatitis B surface antigen</w:t>
            </w:r>
          </w:p>
        </w:tc>
      </w:tr>
      <w:tr w:rsidR="00214C3B" w:rsidRPr="007D6909" w14:paraId="4C3DCDE3" w14:textId="77777777" w:rsidTr="00214C3B">
        <w:tc>
          <w:tcPr>
            <w:tcW w:w="1912" w:type="dxa"/>
          </w:tcPr>
          <w:p w14:paraId="4C3DCDE1" w14:textId="77777777" w:rsidR="00214C3B" w:rsidRPr="00214C3B" w:rsidRDefault="00214C3B" w:rsidP="0075660C">
            <w:r w:rsidRPr="00214C3B">
              <w:t xml:space="preserve">HCV </w:t>
            </w:r>
          </w:p>
        </w:tc>
        <w:tc>
          <w:tcPr>
            <w:tcW w:w="6808" w:type="dxa"/>
          </w:tcPr>
          <w:p w14:paraId="4C3DCDE2" w14:textId="77777777" w:rsidR="00214C3B" w:rsidRPr="00214C3B" w:rsidRDefault="00214C3B" w:rsidP="0075660C">
            <w:r w:rsidRPr="00214C3B">
              <w:t>Hepatitis C virus</w:t>
            </w:r>
          </w:p>
        </w:tc>
      </w:tr>
      <w:tr w:rsidR="00214C3B" w:rsidRPr="007D6909" w14:paraId="4C3DCDE6" w14:textId="77777777" w:rsidTr="00214C3B">
        <w:tc>
          <w:tcPr>
            <w:tcW w:w="1912" w:type="dxa"/>
          </w:tcPr>
          <w:p w14:paraId="4C3DCDE4" w14:textId="77777777" w:rsidR="00214C3B" w:rsidRPr="00214C3B" w:rsidRDefault="00214C3B" w:rsidP="0075660C">
            <w:pPr>
              <w:rPr>
                <w:rFonts w:cstheme="minorHAnsi"/>
              </w:rPr>
            </w:pPr>
            <w:r w:rsidRPr="00214C3B">
              <w:rPr>
                <w:rFonts w:cstheme="minorHAnsi"/>
              </w:rPr>
              <w:t>HD</w:t>
            </w:r>
          </w:p>
        </w:tc>
        <w:tc>
          <w:tcPr>
            <w:tcW w:w="6808" w:type="dxa"/>
          </w:tcPr>
          <w:p w14:paraId="4C3DCDE5" w14:textId="77777777" w:rsidR="00214C3B" w:rsidRPr="00214C3B" w:rsidRDefault="00214C3B" w:rsidP="0075660C">
            <w:pPr>
              <w:rPr>
                <w:rFonts w:cstheme="minorHAnsi"/>
              </w:rPr>
            </w:pPr>
            <w:r w:rsidRPr="00214C3B">
              <w:rPr>
                <w:rFonts w:cstheme="minorHAnsi"/>
              </w:rPr>
              <w:t>haemodialysis</w:t>
            </w:r>
          </w:p>
        </w:tc>
      </w:tr>
      <w:tr w:rsidR="00214C3B" w:rsidRPr="007D6909" w14:paraId="4C3DCDE9" w14:textId="77777777" w:rsidTr="00214C3B">
        <w:tc>
          <w:tcPr>
            <w:tcW w:w="1912" w:type="dxa"/>
          </w:tcPr>
          <w:p w14:paraId="4C3DCDE7" w14:textId="77777777" w:rsidR="00214C3B" w:rsidRPr="00214C3B" w:rsidRDefault="00214C3B" w:rsidP="0075660C">
            <w:r w:rsidRPr="00214C3B">
              <w:t xml:space="preserve">HIV </w:t>
            </w:r>
          </w:p>
        </w:tc>
        <w:tc>
          <w:tcPr>
            <w:tcW w:w="6808" w:type="dxa"/>
          </w:tcPr>
          <w:p w14:paraId="4C3DCDE8" w14:textId="77777777" w:rsidR="00214C3B" w:rsidRPr="00214C3B" w:rsidRDefault="00214C3B" w:rsidP="0075660C">
            <w:r w:rsidRPr="00214C3B">
              <w:t>Human immunodeficiency virus</w:t>
            </w:r>
          </w:p>
        </w:tc>
      </w:tr>
      <w:tr w:rsidR="00214C3B" w:rsidRPr="007D6909" w14:paraId="4C3DCDEC" w14:textId="77777777" w:rsidTr="00214C3B">
        <w:tc>
          <w:tcPr>
            <w:tcW w:w="1912" w:type="dxa"/>
          </w:tcPr>
          <w:p w14:paraId="4C3DCDEA" w14:textId="2F7EA82D" w:rsidR="00214C3B" w:rsidRPr="00214C3B" w:rsidRDefault="00214C3B" w:rsidP="0075660C">
            <w:r w:rsidRPr="00214C3B">
              <w:t>IBD</w:t>
            </w:r>
          </w:p>
        </w:tc>
        <w:tc>
          <w:tcPr>
            <w:tcW w:w="6808" w:type="dxa"/>
          </w:tcPr>
          <w:p w14:paraId="4C3DCDEB" w14:textId="77777777" w:rsidR="00214C3B" w:rsidRPr="00214C3B" w:rsidRDefault="00214C3B" w:rsidP="0075660C">
            <w:r w:rsidRPr="00214C3B">
              <w:t>Inherited blood disorders, including haemophilia, thalassemia and sickle cell anaemia</w:t>
            </w:r>
          </w:p>
        </w:tc>
      </w:tr>
      <w:tr w:rsidR="00214C3B" w:rsidRPr="007D6909" w14:paraId="4C3DCDEF" w14:textId="77777777" w:rsidTr="00214C3B">
        <w:tc>
          <w:tcPr>
            <w:tcW w:w="1912" w:type="dxa"/>
          </w:tcPr>
          <w:p w14:paraId="4C3DCDED" w14:textId="77777777" w:rsidR="00214C3B" w:rsidRPr="00214C3B" w:rsidRDefault="00214C3B" w:rsidP="0075660C">
            <w:pPr>
              <w:rPr>
                <w:rFonts w:cstheme="minorHAnsi"/>
              </w:rPr>
            </w:pPr>
            <w:r w:rsidRPr="00214C3B">
              <w:rPr>
                <w:rFonts w:cstheme="minorHAnsi"/>
              </w:rPr>
              <w:t>ICF</w:t>
            </w:r>
          </w:p>
        </w:tc>
        <w:tc>
          <w:tcPr>
            <w:tcW w:w="6808" w:type="dxa"/>
          </w:tcPr>
          <w:p w14:paraId="4C3DCDEE" w14:textId="77777777" w:rsidR="00214C3B" w:rsidRPr="00214C3B" w:rsidRDefault="00214C3B" w:rsidP="0075660C">
            <w:pPr>
              <w:rPr>
                <w:rFonts w:eastAsia="TimesNewRoman" w:cstheme="minorHAnsi"/>
              </w:rPr>
            </w:pPr>
            <w:r w:rsidRPr="00214C3B">
              <w:rPr>
                <w:rFonts w:eastAsia="TimesNewRoman" w:cstheme="minorHAnsi"/>
              </w:rPr>
              <w:t>informed consent form</w:t>
            </w:r>
          </w:p>
        </w:tc>
      </w:tr>
      <w:tr w:rsidR="00214C3B" w:rsidRPr="007D6909" w14:paraId="4C3DCDF2" w14:textId="77777777" w:rsidTr="00214C3B">
        <w:tc>
          <w:tcPr>
            <w:tcW w:w="1912" w:type="dxa"/>
          </w:tcPr>
          <w:p w14:paraId="4C3DCDF0" w14:textId="77777777" w:rsidR="00214C3B" w:rsidRPr="00214C3B" w:rsidRDefault="00214C3B" w:rsidP="0075660C">
            <w:pPr>
              <w:rPr>
                <w:rFonts w:cstheme="minorHAnsi"/>
              </w:rPr>
            </w:pPr>
            <w:r w:rsidRPr="00214C3B">
              <w:rPr>
                <w:rFonts w:cstheme="minorHAnsi"/>
              </w:rPr>
              <w:t xml:space="preserve">IFN </w:t>
            </w:r>
          </w:p>
        </w:tc>
        <w:tc>
          <w:tcPr>
            <w:tcW w:w="6808" w:type="dxa"/>
          </w:tcPr>
          <w:p w14:paraId="4C3DCDF1" w14:textId="77777777" w:rsidR="00214C3B" w:rsidRPr="00214C3B" w:rsidRDefault="00214C3B" w:rsidP="0075660C">
            <w:pPr>
              <w:rPr>
                <w:rFonts w:cstheme="minorHAnsi"/>
              </w:rPr>
            </w:pPr>
            <w:r w:rsidRPr="00214C3B">
              <w:rPr>
                <w:rFonts w:cstheme="minorHAnsi"/>
              </w:rPr>
              <w:t>interferon</w:t>
            </w:r>
          </w:p>
        </w:tc>
      </w:tr>
      <w:tr w:rsidR="00214C3B" w:rsidRPr="007D6909" w14:paraId="4C3DCDF5" w14:textId="77777777" w:rsidTr="00214C3B">
        <w:tc>
          <w:tcPr>
            <w:tcW w:w="1912" w:type="dxa"/>
          </w:tcPr>
          <w:p w14:paraId="4C3DCDF3" w14:textId="77777777" w:rsidR="00214C3B" w:rsidRPr="00214C3B" w:rsidRDefault="00214C3B" w:rsidP="0075660C">
            <w:r w:rsidRPr="00214C3B">
              <w:t xml:space="preserve">IL28B </w:t>
            </w:r>
          </w:p>
        </w:tc>
        <w:tc>
          <w:tcPr>
            <w:tcW w:w="6808" w:type="dxa"/>
          </w:tcPr>
          <w:p w14:paraId="4C3DCDF4" w14:textId="77777777" w:rsidR="00214C3B" w:rsidRPr="00214C3B" w:rsidRDefault="00214C3B" w:rsidP="0075660C">
            <w:r w:rsidRPr="00214C3B">
              <w:t>Interleukin 28B (interferon, lambda 3)</w:t>
            </w:r>
          </w:p>
        </w:tc>
      </w:tr>
      <w:tr w:rsidR="00214C3B" w:rsidRPr="007D6909" w14:paraId="4C3DCDF8" w14:textId="77777777" w:rsidTr="00214C3B">
        <w:tc>
          <w:tcPr>
            <w:tcW w:w="1912" w:type="dxa"/>
          </w:tcPr>
          <w:p w14:paraId="4C3DCDF6" w14:textId="77777777" w:rsidR="00214C3B" w:rsidRPr="00214C3B" w:rsidRDefault="00214C3B" w:rsidP="0075660C">
            <w:pPr>
              <w:rPr>
                <w:rFonts w:cstheme="minorHAnsi"/>
              </w:rPr>
            </w:pPr>
            <w:r w:rsidRPr="00214C3B">
              <w:rPr>
                <w:rFonts w:cstheme="minorHAnsi"/>
              </w:rPr>
              <w:t>IPRED</w:t>
            </w:r>
          </w:p>
        </w:tc>
        <w:tc>
          <w:tcPr>
            <w:tcW w:w="6808" w:type="dxa"/>
          </w:tcPr>
          <w:p w14:paraId="4C3DCDF7" w14:textId="77777777" w:rsidR="00214C3B" w:rsidRPr="00214C3B" w:rsidRDefault="00214C3B" w:rsidP="0075660C">
            <w:pPr>
              <w:rPr>
                <w:rFonts w:cstheme="minorHAnsi"/>
              </w:rPr>
            </w:pPr>
            <w:r w:rsidRPr="00214C3B">
              <w:rPr>
                <w:rFonts w:cstheme="minorHAnsi"/>
              </w:rPr>
              <w:t>geometric means of individual predicted values</w:t>
            </w:r>
          </w:p>
        </w:tc>
      </w:tr>
      <w:tr w:rsidR="00214C3B" w:rsidRPr="007D6909" w14:paraId="4C3DCDFB" w14:textId="77777777" w:rsidTr="00214C3B">
        <w:tc>
          <w:tcPr>
            <w:tcW w:w="1912" w:type="dxa"/>
          </w:tcPr>
          <w:p w14:paraId="4C3DCDF9" w14:textId="77777777" w:rsidR="00214C3B" w:rsidRPr="00214C3B" w:rsidRDefault="00214C3B" w:rsidP="0075660C">
            <w:pPr>
              <w:rPr>
                <w:rFonts w:cstheme="minorHAnsi"/>
              </w:rPr>
            </w:pPr>
            <w:r w:rsidRPr="00214C3B">
              <w:rPr>
                <w:rFonts w:cstheme="minorHAnsi"/>
              </w:rPr>
              <w:t xml:space="preserve">IV </w:t>
            </w:r>
          </w:p>
        </w:tc>
        <w:tc>
          <w:tcPr>
            <w:tcW w:w="6808" w:type="dxa"/>
          </w:tcPr>
          <w:p w14:paraId="4C3DCDFA" w14:textId="77777777" w:rsidR="00214C3B" w:rsidRPr="00214C3B" w:rsidRDefault="00214C3B" w:rsidP="0075660C">
            <w:pPr>
              <w:rPr>
                <w:rFonts w:cstheme="minorHAnsi"/>
              </w:rPr>
            </w:pPr>
            <w:r w:rsidRPr="00214C3B">
              <w:rPr>
                <w:rFonts w:cstheme="minorHAnsi"/>
              </w:rPr>
              <w:t>intravenous</w:t>
            </w:r>
          </w:p>
        </w:tc>
      </w:tr>
      <w:tr w:rsidR="00214C3B" w:rsidRPr="007D6909" w14:paraId="4C3DCDFE" w14:textId="77777777" w:rsidTr="00214C3B">
        <w:tc>
          <w:tcPr>
            <w:tcW w:w="1912" w:type="dxa"/>
          </w:tcPr>
          <w:p w14:paraId="4C3DCDFC" w14:textId="77777777" w:rsidR="00214C3B" w:rsidRPr="00214C3B" w:rsidRDefault="00214C3B" w:rsidP="0075660C">
            <w:pPr>
              <w:rPr>
                <w:rFonts w:cstheme="minorHAnsi"/>
              </w:rPr>
            </w:pPr>
            <w:r w:rsidRPr="00214C3B">
              <w:rPr>
                <w:rFonts w:cstheme="minorHAnsi"/>
              </w:rPr>
              <w:t>IWRES</w:t>
            </w:r>
          </w:p>
        </w:tc>
        <w:tc>
          <w:tcPr>
            <w:tcW w:w="6808" w:type="dxa"/>
          </w:tcPr>
          <w:p w14:paraId="4C3DCDFD" w14:textId="77777777" w:rsidR="00214C3B" w:rsidRPr="00214C3B" w:rsidRDefault="00214C3B" w:rsidP="0075660C">
            <w:pPr>
              <w:rPr>
                <w:rFonts w:cstheme="minorHAnsi"/>
              </w:rPr>
            </w:pPr>
            <w:r w:rsidRPr="00214C3B">
              <w:rPr>
                <w:rFonts w:cstheme="minorHAnsi"/>
              </w:rPr>
              <w:t>individually weighted residuals</w:t>
            </w:r>
          </w:p>
        </w:tc>
      </w:tr>
      <w:tr w:rsidR="00214C3B" w:rsidRPr="007D6909" w14:paraId="4C3DCE01" w14:textId="77777777" w:rsidTr="00214C3B">
        <w:tc>
          <w:tcPr>
            <w:tcW w:w="1912" w:type="dxa"/>
          </w:tcPr>
          <w:p w14:paraId="4C3DCDFF" w14:textId="77777777" w:rsidR="00214C3B" w:rsidRPr="00214C3B" w:rsidRDefault="00214C3B" w:rsidP="0075660C">
            <w:pPr>
              <w:rPr>
                <w:rFonts w:cstheme="minorHAnsi"/>
              </w:rPr>
            </w:pPr>
            <w:r w:rsidRPr="00214C3B">
              <w:rPr>
                <w:rFonts w:cstheme="minorHAnsi"/>
              </w:rPr>
              <w:t>LC-MS/MS</w:t>
            </w:r>
          </w:p>
        </w:tc>
        <w:tc>
          <w:tcPr>
            <w:tcW w:w="6808" w:type="dxa"/>
          </w:tcPr>
          <w:p w14:paraId="4C3DCE00" w14:textId="77777777" w:rsidR="00214C3B" w:rsidRPr="00214C3B" w:rsidRDefault="00214C3B" w:rsidP="0075660C">
            <w:pPr>
              <w:rPr>
                <w:rFonts w:cstheme="minorHAnsi"/>
              </w:rPr>
            </w:pPr>
            <w:r w:rsidRPr="00214C3B">
              <w:rPr>
                <w:rFonts w:cstheme="minorHAnsi"/>
              </w:rPr>
              <w:t>liquid chromatographic tandem mass spectrometry</w:t>
            </w:r>
          </w:p>
        </w:tc>
      </w:tr>
      <w:tr w:rsidR="00214C3B" w:rsidRPr="007D6909" w14:paraId="4C3DCE04" w14:textId="77777777" w:rsidTr="00214C3B">
        <w:tc>
          <w:tcPr>
            <w:tcW w:w="1912" w:type="dxa"/>
          </w:tcPr>
          <w:p w14:paraId="4C3DCE02" w14:textId="77777777" w:rsidR="00214C3B" w:rsidRPr="00214C3B" w:rsidRDefault="00214C3B" w:rsidP="0075660C">
            <w:r w:rsidRPr="00214C3B">
              <w:lastRenderedPageBreak/>
              <w:t xml:space="preserve">LLoQ </w:t>
            </w:r>
          </w:p>
        </w:tc>
        <w:tc>
          <w:tcPr>
            <w:tcW w:w="6808" w:type="dxa"/>
          </w:tcPr>
          <w:p w14:paraId="4C3DCE03" w14:textId="77777777" w:rsidR="00214C3B" w:rsidRPr="00214C3B" w:rsidRDefault="00214C3B" w:rsidP="0075660C">
            <w:r w:rsidRPr="00214C3B">
              <w:t>Lower limit of quantification</w:t>
            </w:r>
          </w:p>
        </w:tc>
      </w:tr>
      <w:tr w:rsidR="00214C3B" w:rsidRPr="007D6909" w14:paraId="4C3DCE07" w14:textId="77777777" w:rsidTr="00214C3B">
        <w:tc>
          <w:tcPr>
            <w:tcW w:w="1912" w:type="dxa"/>
          </w:tcPr>
          <w:p w14:paraId="4C3DCE05" w14:textId="77777777" w:rsidR="00214C3B" w:rsidRPr="00214C3B" w:rsidRDefault="00214C3B" w:rsidP="0075660C">
            <w:pPr>
              <w:rPr>
                <w:rFonts w:cstheme="minorHAnsi"/>
              </w:rPr>
            </w:pPr>
            <w:r w:rsidRPr="00214C3B">
              <w:rPr>
                <w:rFonts w:cstheme="minorHAnsi"/>
              </w:rPr>
              <w:t>LLOQ</w:t>
            </w:r>
          </w:p>
        </w:tc>
        <w:tc>
          <w:tcPr>
            <w:tcW w:w="6808" w:type="dxa"/>
          </w:tcPr>
          <w:p w14:paraId="4C3DCE06" w14:textId="77777777" w:rsidR="00214C3B" w:rsidRPr="00214C3B" w:rsidRDefault="00214C3B" w:rsidP="0075660C">
            <w:pPr>
              <w:rPr>
                <w:rFonts w:cstheme="minorHAnsi"/>
              </w:rPr>
            </w:pPr>
            <w:r w:rsidRPr="00214C3B">
              <w:rPr>
                <w:rFonts w:cstheme="minorHAnsi"/>
              </w:rPr>
              <w:t>lower limit of quantitation</w:t>
            </w:r>
          </w:p>
        </w:tc>
      </w:tr>
      <w:tr w:rsidR="00214C3B" w:rsidRPr="007D6909" w14:paraId="4C3DCE0A" w14:textId="77777777" w:rsidTr="00214C3B">
        <w:tc>
          <w:tcPr>
            <w:tcW w:w="1912" w:type="dxa"/>
          </w:tcPr>
          <w:p w14:paraId="4C3DCE08" w14:textId="77777777" w:rsidR="00214C3B" w:rsidRPr="00214C3B" w:rsidRDefault="00214C3B" w:rsidP="0075660C">
            <w:pPr>
              <w:rPr>
                <w:rFonts w:cstheme="minorHAnsi"/>
              </w:rPr>
            </w:pPr>
            <w:r w:rsidRPr="00214C3B">
              <w:rPr>
                <w:rFonts w:cstheme="minorHAnsi"/>
              </w:rPr>
              <w:t>ln</w:t>
            </w:r>
          </w:p>
        </w:tc>
        <w:tc>
          <w:tcPr>
            <w:tcW w:w="6808" w:type="dxa"/>
          </w:tcPr>
          <w:p w14:paraId="4C3DCE09" w14:textId="77777777" w:rsidR="00214C3B" w:rsidRPr="00214C3B" w:rsidRDefault="00214C3B" w:rsidP="0075660C">
            <w:pPr>
              <w:rPr>
                <w:rFonts w:cstheme="minorHAnsi"/>
              </w:rPr>
            </w:pPr>
            <w:r w:rsidRPr="00214C3B">
              <w:rPr>
                <w:rFonts w:cstheme="minorHAnsi"/>
              </w:rPr>
              <w:t>natural log</w:t>
            </w:r>
          </w:p>
        </w:tc>
      </w:tr>
      <w:tr w:rsidR="00214C3B" w:rsidRPr="007D6909" w14:paraId="4C3DCE0D" w14:textId="77777777" w:rsidTr="00214C3B">
        <w:tc>
          <w:tcPr>
            <w:tcW w:w="1912" w:type="dxa"/>
          </w:tcPr>
          <w:p w14:paraId="4C3DCE0B" w14:textId="77777777" w:rsidR="00214C3B" w:rsidRPr="00214C3B" w:rsidRDefault="00214C3B" w:rsidP="0075660C">
            <w:pPr>
              <w:rPr>
                <w:rFonts w:cstheme="minorHAnsi"/>
              </w:rPr>
            </w:pPr>
            <w:r w:rsidRPr="00214C3B">
              <w:rPr>
                <w:rFonts w:cstheme="minorHAnsi"/>
              </w:rPr>
              <w:t>LNG</w:t>
            </w:r>
          </w:p>
        </w:tc>
        <w:tc>
          <w:tcPr>
            <w:tcW w:w="6808" w:type="dxa"/>
          </w:tcPr>
          <w:p w14:paraId="4C3DCE0C" w14:textId="77777777" w:rsidR="00214C3B" w:rsidRPr="00214C3B" w:rsidRDefault="00214C3B" w:rsidP="0075660C">
            <w:pPr>
              <w:rPr>
                <w:rFonts w:cstheme="minorHAnsi"/>
              </w:rPr>
            </w:pPr>
            <w:proofErr w:type="spellStart"/>
            <w:r w:rsidRPr="00214C3B">
              <w:t>levonorgestrel</w:t>
            </w:r>
            <w:proofErr w:type="spellEnd"/>
          </w:p>
        </w:tc>
      </w:tr>
      <w:tr w:rsidR="00214C3B" w:rsidRPr="007D6909" w14:paraId="4C3DCE10" w14:textId="77777777" w:rsidTr="00214C3B">
        <w:tc>
          <w:tcPr>
            <w:tcW w:w="1912" w:type="dxa"/>
          </w:tcPr>
          <w:p w14:paraId="4C3DCE0E" w14:textId="77777777" w:rsidR="00214C3B" w:rsidRPr="00214C3B" w:rsidRDefault="00214C3B" w:rsidP="0075660C">
            <w:pPr>
              <w:rPr>
                <w:rFonts w:cstheme="minorHAnsi"/>
              </w:rPr>
            </w:pPr>
            <w:r w:rsidRPr="00214C3B">
              <w:rPr>
                <w:rFonts w:cstheme="minorHAnsi"/>
              </w:rPr>
              <w:t>LPV</w:t>
            </w:r>
          </w:p>
        </w:tc>
        <w:tc>
          <w:tcPr>
            <w:tcW w:w="6808" w:type="dxa"/>
          </w:tcPr>
          <w:p w14:paraId="4C3DCE0F" w14:textId="77777777" w:rsidR="00214C3B" w:rsidRPr="00214C3B" w:rsidRDefault="00214C3B" w:rsidP="0075660C">
            <w:pPr>
              <w:rPr>
                <w:rFonts w:cstheme="minorHAnsi"/>
              </w:rPr>
            </w:pPr>
            <w:r w:rsidRPr="00214C3B">
              <w:rPr>
                <w:rFonts w:eastAsia="TimesNewRoman" w:cstheme="minorHAnsi"/>
              </w:rPr>
              <w:t>lopinavir</w:t>
            </w:r>
          </w:p>
        </w:tc>
      </w:tr>
      <w:tr w:rsidR="00214C3B" w:rsidRPr="007D6909" w14:paraId="4C3DCE13" w14:textId="77777777" w:rsidTr="00214C3B">
        <w:tc>
          <w:tcPr>
            <w:tcW w:w="1912" w:type="dxa"/>
          </w:tcPr>
          <w:p w14:paraId="4C3DCE11" w14:textId="77777777" w:rsidR="00214C3B" w:rsidRPr="00214C3B" w:rsidRDefault="00214C3B" w:rsidP="0075660C">
            <w:pPr>
              <w:rPr>
                <w:rFonts w:cstheme="minorHAnsi"/>
              </w:rPr>
            </w:pPr>
            <w:r w:rsidRPr="00214C3B">
              <w:rPr>
                <w:rFonts w:cstheme="minorHAnsi"/>
              </w:rPr>
              <w:t>LS</w:t>
            </w:r>
          </w:p>
        </w:tc>
        <w:tc>
          <w:tcPr>
            <w:tcW w:w="6808" w:type="dxa"/>
          </w:tcPr>
          <w:p w14:paraId="4C3DCE12" w14:textId="77777777" w:rsidR="00214C3B" w:rsidRPr="00214C3B" w:rsidRDefault="00214C3B" w:rsidP="0075660C">
            <w:pPr>
              <w:rPr>
                <w:rFonts w:cstheme="minorHAnsi"/>
              </w:rPr>
            </w:pPr>
            <w:r w:rsidRPr="00214C3B">
              <w:rPr>
                <w:rFonts w:cstheme="minorHAnsi"/>
              </w:rPr>
              <w:t>least squares</w:t>
            </w:r>
          </w:p>
        </w:tc>
      </w:tr>
      <w:tr w:rsidR="00214C3B" w:rsidRPr="007D6909" w14:paraId="4C3DCE16" w14:textId="77777777" w:rsidTr="00214C3B">
        <w:tc>
          <w:tcPr>
            <w:tcW w:w="1912" w:type="dxa"/>
          </w:tcPr>
          <w:p w14:paraId="4C3DCE14" w14:textId="77777777" w:rsidR="00214C3B" w:rsidRPr="00214C3B" w:rsidRDefault="00214C3B" w:rsidP="0075660C">
            <w:proofErr w:type="spellStart"/>
            <w:r w:rsidRPr="00214C3B">
              <w:t>mFAS</w:t>
            </w:r>
            <w:proofErr w:type="spellEnd"/>
            <w:r w:rsidRPr="00214C3B">
              <w:t xml:space="preserve"> </w:t>
            </w:r>
          </w:p>
        </w:tc>
        <w:tc>
          <w:tcPr>
            <w:tcW w:w="6808" w:type="dxa"/>
          </w:tcPr>
          <w:p w14:paraId="4C3DCE15" w14:textId="77777777" w:rsidR="00214C3B" w:rsidRPr="00214C3B" w:rsidRDefault="00214C3B" w:rsidP="0075660C">
            <w:r w:rsidRPr="00214C3B">
              <w:t>Modified full analysis set</w:t>
            </w:r>
          </w:p>
        </w:tc>
      </w:tr>
      <w:tr w:rsidR="00214C3B" w:rsidRPr="007D6909" w14:paraId="4C3DCE19" w14:textId="77777777" w:rsidTr="00214C3B">
        <w:tc>
          <w:tcPr>
            <w:tcW w:w="1912" w:type="dxa"/>
          </w:tcPr>
          <w:p w14:paraId="4C3DCE17" w14:textId="77777777" w:rsidR="00214C3B" w:rsidRPr="00214C3B" w:rsidRDefault="00214C3B" w:rsidP="0075660C">
            <w:pPr>
              <w:rPr>
                <w:rFonts w:cstheme="minorHAnsi"/>
              </w:rPr>
            </w:pPr>
            <w:r w:rsidRPr="00214C3B">
              <w:rPr>
                <w:rFonts w:cstheme="minorHAnsi"/>
              </w:rPr>
              <w:t xml:space="preserve">MK-5172 </w:t>
            </w:r>
          </w:p>
        </w:tc>
        <w:tc>
          <w:tcPr>
            <w:tcW w:w="6808" w:type="dxa"/>
          </w:tcPr>
          <w:p w14:paraId="4C3DCE18" w14:textId="53F8C2CA" w:rsidR="00214C3B" w:rsidRPr="001C0843" w:rsidRDefault="005D0E20" w:rsidP="0075660C">
            <w:pPr>
              <w:rPr>
                <w:rFonts w:cstheme="minorHAnsi"/>
                <w:strike/>
              </w:rPr>
            </w:pPr>
            <w:proofErr w:type="spellStart"/>
            <w:r w:rsidRPr="001C0843">
              <w:rPr>
                <w:rFonts w:cstheme="minorHAnsi"/>
              </w:rPr>
              <w:t>Grazoprevir</w:t>
            </w:r>
            <w:proofErr w:type="spellEnd"/>
          </w:p>
        </w:tc>
      </w:tr>
      <w:tr w:rsidR="00214C3B" w:rsidRPr="007D6909" w14:paraId="4C3DCE1C" w14:textId="77777777" w:rsidTr="00214C3B">
        <w:tc>
          <w:tcPr>
            <w:tcW w:w="1912" w:type="dxa"/>
          </w:tcPr>
          <w:p w14:paraId="4C3DCE1A" w14:textId="77777777" w:rsidR="00214C3B" w:rsidRPr="00214C3B" w:rsidRDefault="00214C3B" w:rsidP="0075660C">
            <w:pPr>
              <w:rPr>
                <w:rFonts w:cstheme="minorHAnsi"/>
              </w:rPr>
            </w:pPr>
            <w:r w:rsidRPr="00214C3B">
              <w:rPr>
                <w:rFonts w:cstheme="minorHAnsi"/>
              </w:rPr>
              <w:t>MK-8742</w:t>
            </w:r>
          </w:p>
        </w:tc>
        <w:tc>
          <w:tcPr>
            <w:tcW w:w="6808" w:type="dxa"/>
          </w:tcPr>
          <w:p w14:paraId="4C3DCE1B" w14:textId="77777777" w:rsidR="00214C3B" w:rsidRPr="001C0843" w:rsidRDefault="002437C0" w:rsidP="0075660C">
            <w:pPr>
              <w:rPr>
                <w:rFonts w:cstheme="minorHAnsi"/>
                <w:strike/>
              </w:rPr>
            </w:pPr>
            <w:r w:rsidRPr="001C0843">
              <w:rPr>
                <w:rFonts w:cstheme="minorHAnsi"/>
                <w:strike/>
              </w:rPr>
              <w:t>EBR</w:t>
            </w:r>
            <w:r w:rsidR="005D0E20">
              <w:rPr>
                <w:rFonts w:cstheme="minorHAnsi"/>
                <w:strike/>
              </w:rPr>
              <w:t xml:space="preserve"> </w:t>
            </w:r>
            <w:proofErr w:type="spellStart"/>
            <w:r w:rsidR="005D0E20" w:rsidRPr="001C0843">
              <w:rPr>
                <w:rFonts w:cstheme="minorHAnsi"/>
              </w:rPr>
              <w:t>Elbasvir</w:t>
            </w:r>
            <w:proofErr w:type="spellEnd"/>
          </w:p>
        </w:tc>
      </w:tr>
      <w:tr w:rsidR="00214C3B" w:rsidRPr="007D6909" w14:paraId="4C3DCE1F" w14:textId="77777777" w:rsidTr="00214C3B">
        <w:tc>
          <w:tcPr>
            <w:tcW w:w="1912" w:type="dxa"/>
          </w:tcPr>
          <w:p w14:paraId="4C3DCE1D" w14:textId="77777777" w:rsidR="00214C3B" w:rsidRPr="00214C3B" w:rsidRDefault="00214C3B" w:rsidP="0075660C">
            <w:pPr>
              <w:rPr>
                <w:rFonts w:cstheme="minorHAnsi"/>
              </w:rPr>
            </w:pPr>
            <w:r w:rsidRPr="00214C3B">
              <w:rPr>
                <w:rFonts w:cstheme="minorHAnsi"/>
              </w:rPr>
              <w:t>MMF</w:t>
            </w:r>
          </w:p>
        </w:tc>
        <w:tc>
          <w:tcPr>
            <w:tcW w:w="6808" w:type="dxa"/>
          </w:tcPr>
          <w:p w14:paraId="4C3DCE1E" w14:textId="77777777" w:rsidR="00214C3B" w:rsidRPr="00214C3B" w:rsidRDefault="00214C3B" w:rsidP="0075660C">
            <w:pPr>
              <w:rPr>
                <w:rFonts w:cstheme="minorHAnsi"/>
              </w:rPr>
            </w:pPr>
            <w:proofErr w:type="spellStart"/>
            <w:r w:rsidRPr="00214C3B">
              <w:t>mycophenolate</w:t>
            </w:r>
            <w:proofErr w:type="spellEnd"/>
            <w:r w:rsidRPr="00214C3B">
              <w:t xml:space="preserve"> </w:t>
            </w:r>
            <w:proofErr w:type="spellStart"/>
            <w:r w:rsidRPr="00214C3B">
              <w:t>mofetil</w:t>
            </w:r>
            <w:proofErr w:type="spellEnd"/>
          </w:p>
        </w:tc>
      </w:tr>
      <w:tr w:rsidR="00214C3B" w:rsidRPr="007D6909" w14:paraId="4C3DCE22" w14:textId="77777777" w:rsidTr="00214C3B">
        <w:tc>
          <w:tcPr>
            <w:tcW w:w="1912" w:type="dxa"/>
          </w:tcPr>
          <w:p w14:paraId="4C3DCE20" w14:textId="77777777" w:rsidR="00214C3B" w:rsidRPr="00214C3B" w:rsidRDefault="00214C3B" w:rsidP="0075660C">
            <w:pPr>
              <w:rPr>
                <w:rFonts w:cstheme="minorHAnsi"/>
              </w:rPr>
            </w:pPr>
            <w:r w:rsidRPr="00214C3B">
              <w:rPr>
                <w:rFonts w:cstheme="minorHAnsi"/>
              </w:rPr>
              <w:t>MPA</w:t>
            </w:r>
          </w:p>
        </w:tc>
        <w:tc>
          <w:tcPr>
            <w:tcW w:w="6808" w:type="dxa"/>
          </w:tcPr>
          <w:p w14:paraId="4C3DCE21" w14:textId="77777777" w:rsidR="00214C3B" w:rsidRPr="00214C3B" w:rsidRDefault="00214C3B" w:rsidP="0075660C">
            <w:pPr>
              <w:rPr>
                <w:rFonts w:cstheme="minorHAnsi"/>
              </w:rPr>
            </w:pPr>
            <w:proofErr w:type="spellStart"/>
            <w:r w:rsidRPr="00214C3B">
              <w:t>mycophenolic</w:t>
            </w:r>
            <w:proofErr w:type="spellEnd"/>
            <w:r w:rsidRPr="00214C3B">
              <w:t xml:space="preserve"> acid</w:t>
            </w:r>
          </w:p>
        </w:tc>
      </w:tr>
      <w:tr w:rsidR="00214C3B" w:rsidRPr="007D6909" w14:paraId="4C3DCE25" w14:textId="77777777" w:rsidTr="00214C3B">
        <w:tc>
          <w:tcPr>
            <w:tcW w:w="1912" w:type="dxa"/>
          </w:tcPr>
          <w:p w14:paraId="4C3DCE23" w14:textId="77777777" w:rsidR="00214C3B" w:rsidRPr="00214C3B" w:rsidRDefault="00214C3B" w:rsidP="0075660C">
            <w:pPr>
              <w:rPr>
                <w:rFonts w:cstheme="minorHAnsi"/>
              </w:rPr>
            </w:pPr>
            <w:r w:rsidRPr="00214C3B">
              <w:rPr>
                <w:rFonts w:cstheme="minorHAnsi"/>
              </w:rPr>
              <w:t>MPAG</w:t>
            </w:r>
          </w:p>
        </w:tc>
        <w:tc>
          <w:tcPr>
            <w:tcW w:w="6808" w:type="dxa"/>
          </w:tcPr>
          <w:p w14:paraId="4C3DCE24" w14:textId="77777777" w:rsidR="00214C3B" w:rsidRPr="00214C3B" w:rsidRDefault="00214C3B" w:rsidP="0075660C">
            <w:pPr>
              <w:rPr>
                <w:rFonts w:cstheme="minorHAnsi"/>
              </w:rPr>
            </w:pPr>
            <w:proofErr w:type="spellStart"/>
            <w:r w:rsidRPr="00214C3B">
              <w:t>mycophenolic</w:t>
            </w:r>
            <w:proofErr w:type="spellEnd"/>
            <w:r w:rsidRPr="00214C3B">
              <w:t xml:space="preserve"> acid glucuronide</w:t>
            </w:r>
          </w:p>
        </w:tc>
      </w:tr>
      <w:tr w:rsidR="00214C3B" w:rsidRPr="007D6909" w14:paraId="4C3DCE2B" w14:textId="77777777" w:rsidTr="00214C3B">
        <w:tc>
          <w:tcPr>
            <w:tcW w:w="1912" w:type="dxa"/>
          </w:tcPr>
          <w:p w14:paraId="4C3DCE29" w14:textId="77777777" w:rsidR="00214C3B" w:rsidRPr="00214C3B" w:rsidRDefault="00214C3B" w:rsidP="0075660C">
            <w:r w:rsidRPr="00214C3B">
              <w:t xml:space="preserve">NA, N/A </w:t>
            </w:r>
          </w:p>
        </w:tc>
        <w:tc>
          <w:tcPr>
            <w:tcW w:w="6808" w:type="dxa"/>
          </w:tcPr>
          <w:p w14:paraId="4C3DCE2A" w14:textId="77777777" w:rsidR="00214C3B" w:rsidRPr="00214C3B" w:rsidRDefault="00214C3B" w:rsidP="0075660C">
            <w:r w:rsidRPr="00214C3B">
              <w:t>Not applicable</w:t>
            </w:r>
          </w:p>
        </w:tc>
      </w:tr>
      <w:tr w:rsidR="00214C3B" w:rsidRPr="007D6909" w14:paraId="4C3DCE2E" w14:textId="77777777" w:rsidTr="00214C3B">
        <w:tc>
          <w:tcPr>
            <w:tcW w:w="1912" w:type="dxa"/>
          </w:tcPr>
          <w:p w14:paraId="4C3DCE2C" w14:textId="77777777" w:rsidR="00214C3B" w:rsidRPr="00214C3B" w:rsidRDefault="00214C3B" w:rsidP="0075660C">
            <w:r w:rsidRPr="00214C3B">
              <w:t xml:space="preserve">NC </w:t>
            </w:r>
          </w:p>
        </w:tc>
        <w:tc>
          <w:tcPr>
            <w:tcW w:w="6808" w:type="dxa"/>
          </w:tcPr>
          <w:p w14:paraId="4C3DCE2D" w14:textId="77777777" w:rsidR="00214C3B" w:rsidRPr="00214C3B" w:rsidRDefault="00214C3B" w:rsidP="0075660C">
            <w:r w:rsidRPr="00214C3B">
              <w:t>Non cirrhotic</w:t>
            </w:r>
          </w:p>
        </w:tc>
      </w:tr>
      <w:tr w:rsidR="00214C3B" w:rsidRPr="007D6909" w14:paraId="4C3DCE31" w14:textId="77777777" w:rsidTr="00214C3B">
        <w:tc>
          <w:tcPr>
            <w:tcW w:w="1912" w:type="dxa"/>
          </w:tcPr>
          <w:p w14:paraId="4C3DCE2F" w14:textId="77777777" w:rsidR="00214C3B" w:rsidRPr="00214C3B" w:rsidRDefault="00214C3B" w:rsidP="0075660C">
            <w:pPr>
              <w:rPr>
                <w:rFonts w:cstheme="minorHAnsi"/>
              </w:rPr>
            </w:pPr>
            <w:r w:rsidRPr="00214C3B">
              <w:rPr>
                <w:rFonts w:cstheme="minorHAnsi"/>
              </w:rPr>
              <w:t>NONMEM</w:t>
            </w:r>
          </w:p>
        </w:tc>
        <w:tc>
          <w:tcPr>
            <w:tcW w:w="6808" w:type="dxa"/>
          </w:tcPr>
          <w:p w14:paraId="4C3DCE30" w14:textId="77777777" w:rsidR="00214C3B" w:rsidRPr="00214C3B" w:rsidRDefault="00214C3B" w:rsidP="0075660C">
            <w:pPr>
              <w:rPr>
                <w:rFonts w:cstheme="minorHAnsi"/>
              </w:rPr>
            </w:pPr>
            <w:r w:rsidRPr="00214C3B">
              <w:rPr>
                <w:rFonts w:cstheme="minorHAnsi"/>
              </w:rPr>
              <w:t>non-linear mixed effects modelling</w:t>
            </w:r>
          </w:p>
        </w:tc>
      </w:tr>
      <w:tr w:rsidR="00214C3B" w:rsidRPr="007D6909" w14:paraId="4C3DCE34" w14:textId="77777777" w:rsidTr="00214C3B">
        <w:tc>
          <w:tcPr>
            <w:tcW w:w="1912" w:type="dxa"/>
          </w:tcPr>
          <w:p w14:paraId="4C3DCE32" w14:textId="77777777" w:rsidR="00214C3B" w:rsidRPr="00214C3B" w:rsidRDefault="00214C3B" w:rsidP="0075660C">
            <w:r w:rsidRPr="00214C3B">
              <w:t xml:space="preserve">NR </w:t>
            </w:r>
          </w:p>
        </w:tc>
        <w:tc>
          <w:tcPr>
            <w:tcW w:w="6808" w:type="dxa"/>
          </w:tcPr>
          <w:p w14:paraId="4C3DCE33" w14:textId="77777777" w:rsidR="00214C3B" w:rsidRPr="00214C3B" w:rsidRDefault="00214C3B" w:rsidP="0075660C">
            <w:r w:rsidRPr="00214C3B">
              <w:t>Null responder</w:t>
            </w:r>
          </w:p>
        </w:tc>
      </w:tr>
      <w:tr w:rsidR="00214C3B" w:rsidRPr="007D6909" w14:paraId="4C3DCE37" w14:textId="77777777" w:rsidTr="00214C3B">
        <w:tc>
          <w:tcPr>
            <w:tcW w:w="1912" w:type="dxa"/>
          </w:tcPr>
          <w:p w14:paraId="4C3DCE35" w14:textId="77777777" w:rsidR="00214C3B" w:rsidRPr="00214C3B" w:rsidRDefault="00214C3B" w:rsidP="0075660C">
            <w:pPr>
              <w:rPr>
                <w:rFonts w:cstheme="minorHAnsi"/>
              </w:rPr>
            </w:pPr>
            <w:r w:rsidRPr="00214C3B">
              <w:rPr>
                <w:rFonts w:cstheme="minorHAnsi"/>
              </w:rPr>
              <w:t>NS5A</w:t>
            </w:r>
          </w:p>
        </w:tc>
        <w:tc>
          <w:tcPr>
            <w:tcW w:w="6808" w:type="dxa"/>
          </w:tcPr>
          <w:p w14:paraId="4C3DCE36" w14:textId="77777777" w:rsidR="00214C3B" w:rsidRPr="00214C3B" w:rsidRDefault="00214C3B" w:rsidP="0075660C">
            <w:pPr>
              <w:rPr>
                <w:rFonts w:cstheme="minorHAnsi"/>
              </w:rPr>
            </w:pPr>
            <w:proofErr w:type="spellStart"/>
            <w:r w:rsidRPr="00214C3B">
              <w:rPr>
                <w:rFonts w:cstheme="minorHAnsi"/>
              </w:rPr>
              <w:t>nonstructural</w:t>
            </w:r>
            <w:proofErr w:type="spellEnd"/>
            <w:r w:rsidRPr="00214C3B">
              <w:rPr>
                <w:rFonts w:cstheme="minorHAnsi"/>
              </w:rPr>
              <w:t xml:space="preserve"> protein 5A - a phosphoprotein that plays a role in HCV RNA replication</w:t>
            </w:r>
          </w:p>
        </w:tc>
      </w:tr>
      <w:tr w:rsidR="00214C3B" w:rsidRPr="007D6909" w14:paraId="4C3DCE3A" w14:textId="77777777" w:rsidTr="00214C3B">
        <w:tc>
          <w:tcPr>
            <w:tcW w:w="1912" w:type="dxa"/>
          </w:tcPr>
          <w:p w14:paraId="4C3DCE38" w14:textId="77777777" w:rsidR="00214C3B" w:rsidRPr="00214C3B" w:rsidRDefault="00214C3B" w:rsidP="0075660C">
            <w:pPr>
              <w:rPr>
                <w:bCs/>
              </w:rPr>
            </w:pPr>
            <w:r w:rsidRPr="00214C3B">
              <w:rPr>
                <w:bCs/>
              </w:rPr>
              <w:t>NS5B</w:t>
            </w:r>
          </w:p>
        </w:tc>
        <w:tc>
          <w:tcPr>
            <w:tcW w:w="6808" w:type="dxa"/>
          </w:tcPr>
          <w:p w14:paraId="4C3DCE39" w14:textId="77777777" w:rsidR="00214C3B" w:rsidRPr="00214C3B" w:rsidRDefault="00214C3B" w:rsidP="0075660C">
            <w:pPr>
              <w:rPr>
                <w:rFonts w:cstheme="minorHAnsi"/>
              </w:rPr>
            </w:pPr>
            <w:proofErr w:type="spellStart"/>
            <w:r w:rsidRPr="00214C3B">
              <w:rPr>
                <w:bCs/>
              </w:rPr>
              <w:t>nonstructural</w:t>
            </w:r>
            <w:proofErr w:type="spellEnd"/>
            <w:r w:rsidRPr="00214C3B">
              <w:rPr>
                <w:bCs/>
              </w:rPr>
              <w:t xml:space="preserve"> protein 5B</w:t>
            </w:r>
          </w:p>
        </w:tc>
      </w:tr>
      <w:tr w:rsidR="00214C3B" w:rsidRPr="007D6909" w14:paraId="4C3DCE3D" w14:textId="77777777" w:rsidTr="00214C3B">
        <w:tc>
          <w:tcPr>
            <w:tcW w:w="1912" w:type="dxa"/>
          </w:tcPr>
          <w:p w14:paraId="4C3DCE3B" w14:textId="77777777" w:rsidR="00214C3B" w:rsidRPr="00214C3B" w:rsidRDefault="00214C3B" w:rsidP="0075660C">
            <w:pPr>
              <w:rPr>
                <w:rFonts w:cstheme="minorHAnsi"/>
              </w:rPr>
            </w:pPr>
            <w:r w:rsidRPr="00214C3B">
              <w:rPr>
                <w:rFonts w:cstheme="minorHAnsi"/>
              </w:rPr>
              <w:t>OATPs</w:t>
            </w:r>
          </w:p>
        </w:tc>
        <w:tc>
          <w:tcPr>
            <w:tcW w:w="6808" w:type="dxa"/>
          </w:tcPr>
          <w:p w14:paraId="4C3DCE3C" w14:textId="77777777" w:rsidR="00214C3B" w:rsidRPr="00214C3B" w:rsidRDefault="00214C3B" w:rsidP="0075660C">
            <w:pPr>
              <w:rPr>
                <w:rFonts w:cstheme="minorHAnsi"/>
              </w:rPr>
            </w:pPr>
            <w:r w:rsidRPr="00214C3B">
              <w:rPr>
                <w:rFonts w:eastAsia="TimesNewRoman" w:cs="Calibri"/>
              </w:rPr>
              <w:t>organic anion transporters</w:t>
            </w:r>
          </w:p>
        </w:tc>
      </w:tr>
      <w:tr w:rsidR="00214C3B" w:rsidRPr="007D6909" w14:paraId="4C3DCE40" w14:textId="77777777" w:rsidTr="00214C3B">
        <w:tc>
          <w:tcPr>
            <w:tcW w:w="1912" w:type="dxa"/>
          </w:tcPr>
          <w:p w14:paraId="4C3DCE3E" w14:textId="77777777" w:rsidR="00214C3B" w:rsidRPr="00214C3B" w:rsidRDefault="00214C3B" w:rsidP="0075660C">
            <w:pPr>
              <w:rPr>
                <w:rFonts w:cstheme="minorHAnsi"/>
              </w:rPr>
            </w:pPr>
            <w:r w:rsidRPr="00214C3B">
              <w:rPr>
                <w:rFonts w:cstheme="minorHAnsi"/>
              </w:rPr>
              <w:t>OC</w:t>
            </w:r>
          </w:p>
        </w:tc>
        <w:tc>
          <w:tcPr>
            <w:tcW w:w="6808" w:type="dxa"/>
          </w:tcPr>
          <w:p w14:paraId="4C3DCE3F" w14:textId="77777777" w:rsidR="00214C3B" w:rsidRPr="00214C3B" w:rsidRDefault="00214C3B" w:rsidP="0075660C">
            <w:pPr>
              <w:rPr>
                <w:rFonts w:cstheme="minorHAnsi"/>
              </w:rPr>
            </w:pPr>
            <w:r w:rsidRPr="00214C3B">
              <w:rPr>
                <w:rFonts w:cstheme="minorHAnsi"/>
              </w:rPr>
              <w:t>oral contraceptive</w:t>
            </w:r>
          </w:p>
        </w:tc>
      </w:tr>
      <w:tr w:rsidR="00214C3B" w:rsidRPr="007D6909" w14:paraId="4C3DCE43" w14:textId="77777777" w:rsidTr="00214C3B">
        <w:tc>
          <w:tcPr>
            <w:tcW w:w="1912" w:type="dxa"/>
          </w:tcPr>
          <w:p w14:paraId="4C3DCE41" w14:textId="77777777" w:rsidR="00214C3B" w:rsidRPr="00214C3B" w:rsidRDefault="00214C3B" w:rsidP="0075660C">
            <w:pPr>
              <w:rPr>
                <w:rFonts w:cstheme="minorHAnsi"/>
              </w:rPr>
            </w:pPr>
            <w:r w:rsidRPr="00214C3B">
              <w:rPr>
                <w:rFonts w:cstheme="minorHAnsi"/>
              </w:rPr>
              <w:t>OCT</w:t>
            </w:r>
          </w:p>
        </w:tc>
        <w:tc>
          <w:tcPr>
            <w:tcW w:w="6808" w:type="dxa"/>
          </w:tcPr>
          <w:p w14:paraId="4C3DCE42" w14:textId="77777777" w:rsidR="00214C3B" w:rsidRPr="00214C3B" w:rsidRDefault="00214C3B" w:rsidP="0075660C">
            <w:pPr>
              <w:rPr>
                <w:rFonts w:cstheme="minorHAnsi"/>
              </w:rPr>
            </w:pPr>
            <w:r w:rsidRPr="00214C3B">
              <w:rPr>
                <w:rFonts w:cstheme="minorHAnsi"/>
              </w:rPr>
              <w:t>oral compressed tablet</w:t>
            </w:r>
          </w:p>
        </w:tc>
      </w:tr>
      <w:tr w:rsidR="00214C3B" w:rsidRPr="007D6909" w14:paraId="4C3DCE46" w14:textId="77777777" w:rsidTr="00214C3B">
        <w:tc>
          <w:tcPr>
            <w:tcW w:w="1912" w:type="dxa"/>
          </w:tcPr>
          <w:p w14:paraId="4C3DCE44" w14:textId="77777777" w:rsidR="00214C3B" w:rsidRPr="00214C3B" w:rsidRDefault="00214C3B" w:rsidP="0075660C">
            <w:pPr>
              <w:rPr>
                <w:rFonts w:cstheme="minorHAnsi"/>
              </w:rPr>
            </w:pPr>
            <w:r w:rsidRPr="00214C3B">
              <w:rPr>
                <w:rFonts w:cstheme="minorHAnsi"/>
              </w:rPr>
              <w:t>OFV</w:t>
            </w:r>
          </w:p>
        </w:tc>
        <w:tc>
          <w:tcPr>
            <w:tcW w:w="6808" w:type="dxa"/>
          </w:tcPr>
          <w:p w14:paraId="4C3DCE45" w14:textId="77777777" w:rsidR="00214C3B" w:rsidRPr="00214C3B" w:rsidRDefault="00214C3B" w:rsidP="0075660C">
            <w:pPr>
              <w:rPr>
                <w:rFonts w:cstheme="minorHAnsi"/>
              </w:rPr>
            </w:pPr>
            <w:r w:rsidRPr="00214C3B">
              <w:rPr>
                <w:rFonts w:cstheme="minorHAnsi"/>
              </w:rPr>
              <w:t>objective function value</w:t>
            </w:r>
          </w:p>
        </w:tc>
      </w:tr>
      <w:tr w:rsidR="00214C3B" w:rsidRPr="007D6909" w14:paraId="4C3DCE49" w14:textId="77777777" w:rsidTr="00214C3B">
        <w:tc>
          <w:tcPr>
            <w:tcW w:w="1912" w:type="dxa"/>
          </w:tcPr>
          <w:p w14:paraId="4C3DCE47" w14:textId="77777777" w:rsidR="00214C3B" w:rsidRPr="00214C3B" w:rsidRDefault="00214C3B" w:rsidP="0075660C">
            <w:r w:rsidRPr="00214C3B">
              <w:t>OST</w:t>
            </w:r>
            <w:r w:rsidR="00135670">
              <w:t xml:space="preserve">  </w:t>
            </w:r>
            <w:r w:rsidRPr="00214C3B">
              <w:t xml:space="preserve"> </w:t>
            </w:r>
          </w:p>
        </w:tc>
        <w:tc>
          <w:tcPr>
            <w:tcW w:w="6808" w:type="dxa"/>
          </w:tcPr>
          <w:p w14:paraId="4C3DCE48" w14:textId="77777777" w:rsidR="00214C3B" w:rsidRPr="00214C3B" w:rsidRDefault="00214C3B" w:rsidP="0075660C">
            <w:r w:rsidRPr="00214C3B">
              <w:t>Opiate substitution therapy</w:t>
            </w:r>
          </w:p>
        </w:tc>
      </w:tr>
      <w:tr w:rsidR="00214C3B" w:rsidRPr="007D6909" w14:paraId="4C3DCE4C" w14:textId="77777777" w:rsidTr="00214C3B">
        <w:tc>
          <w:tcPr>
            <w:tcW w:w="1912" w:type="dxa"/>
          </w:tcPr>
          <w:p w14:paraId="4C3DCE4A" w14:textId="77777777" w:rsidR="00214C3B" w:rsidRPr="00214C3B" w:rsidRDefault="00214C3B" w:rsidP="0075660C">
            <w:r w:rsidRPr="00214C3B">
              <w:t>OTVF</w:t>
            </w:r>
            <w:r w:rsidR="00135670">
              <w:t xml:space="preserve">  </w:t>
            </w:r>
          </w:p>
        </w:tc>
        <w:tc>
          <w:tcPr>
            <w:tcW w:w="6808" w:type="dxa"/>
          </w:tcPr>
          <w:p w14:paraId="4C3DCE4B" w14:textId="77777777" w:rsidR="00214C3B" w:rsidRPr="00214C3B" w:rsidRDefault="00214C3B" w:rsidP="0075660C">
            <w:r w:rsidRPr="00214C3B">
              <w:t>On Treatment Virologic Failure</w:t>
            </w:r>
          </w:p>
        </w:tc>
      </w:tr>
      <w:tr w:rsidR="00214C3B" w:rsidRPr="007D6909" w14:paraId="4C3DCE4F" w14:textId="77777777" w:rsidTr="00214C3B">
        <w:tc>
          <w:tcPr>
            <w:tcW w:w="1912" w:type="dxa"/>
          </w:tcPr>
          <w:p w14:paraId="4C3DCE4D" w14:textId="77777777" w:rsidR="00214C3B" w:rsidRPr="00214C3B" w:rsidRDefault="00214C3B" w:rsidP="0075660C">
            <w:pPr>
              <w:rPr>
                <w:rFonts w:cstheme="minorHAnsi"/>
              </w:rPr>
            </w:pPr>
            <w:r w:rsidRPr="00214C3B">
              <w:rPr>
                <w:rFonts w:cstheme="minorHAnsi"/>
              </w:rPr>
              <w:t>PD</w:t>
            </w:r>
          </w:p>
        </w:tc>
        <w:tc>
          <w:tcPr>
            <w:tcW w:w="6808" w:type="dxa"/>
          </w:tcPr>
          <w:p w14:paraId="4C3DCE4E" w14:textId="77777777" w:rsidR="00214C3B" w:rsidRPr="00214C3B" w:rsidRDefault="00214C3B" w:rsidP="0075660C">
            <w:pPr>
              <w:rPr>
                <w:rFonts w:cstheme="minorHAnsi"/>
              </w:rPr>
            </w:pPr>
            <w:r w:rsidRPr="00214C3B">
              <w:rPr>
                <w:rFonts w:cstheme="minorHAnsi"/>
              </w:rPr>
              <w:t>pharmacodynamics</w:t>
            </w:r>
          </w:p>
        </w:tc>
      </w:tr>
      <w:tr w:rsidR="00214C3B" w:rsidRPr="007D6909" w14:paraId="4C3DCE52" w14:textId="77777777" w:rsidTr="00214C3B">
        <w:tc>
          <w:tcPr>
            <w:tcW w:w="1912" w:type="dxa"/>
          </w:tcPr>
          <w:p w14:paraId="4C3DCE50" w14:textId="77777777" w:rsidR="00214C3B" w:rsidRPr="00214C3B" w:rsidRDefault="00214C3B" w:rsidP="0075660C">
            <w:pPr>
              <w:rPr>
                <w:rFonts w:cstheme="minorHAnsi"/>
              </w:rPr>
            </w:pPr>
            <w:r w:rsidRPr="00214C3B">
              <w:rPr>
                <w:rFonts w:cstheme="minorHAnsi"/>
              </w:rPr>
              <w:lastRenderedPageBreak/>
              <w:t xml:space="preserve">PEG </w:t>
            </w:r>
          </w:p>
        </w:tc>
        <w:tc>
          <w:tcPr>
            <w:tcW w:w="6808" w:type="dxa"/>
          </w:tcPr>
          <w:p w14:paraId="4C3DCE51" w14:textId="77777777" w:rsidR="00214C3B" w:rsidRPr="00214C3B" w:rsidRDefault="00214C3B" w:rsidP="0075660C">
            <w:pPr>
              <w:rPr>
                <w:rFonts w:cstheme="minorHAnsi"/>
              </w:rPr>
            </w:pPr>
            <w:r w:rsidRPr="00214C3B">
              <w:rPr>
                <w:rFonts w:cstheme="minorHAnsi"/>
              </w:rPr>
              <w:t>polyethylene glycol</w:t>
            </w:r>
          </w:p>
        </w:tc>
      </w:tr>
      <w:tr w:rsidR="00214C3B" w:rsidRPr="007D6909" w14:paraId="4C3DCE55" w14:textId="77777777" w:rsidTr="00214C3B">
        <w:tc>
          <w:tcPr>
            <w:tcW w:w="1912" w:type="dxa"/>
          </w:tcPr>
          <w:p w14:paraId="4C3DCE53" w14:textId="77777777" w:rsidR="00214C3B" w:rsidRPr="00214C3B" w:rsidRDefault="00214C3B" w:rsidP="0075660C">
            <w:r w:rsidRPr="00214C3B">
              <w:t>peg-IFN</w:t>
            </w:r>
            <w:r w:rsidR="00135670">
              <w:t xml:space="preserve">  </w:t>
            </w:r>
            <w:r w:rsidR="00D80B0A">
              <w:t xml:space="preserve"> </w:t>
            </w:r>
          </w:p>
        </w:tc>
        <w:tc>
          <w:tcPr>
            <w:tcW w:w="6808" w:type="dxa"/>
          </w:tcPr>
          <w:p w14:paraId="4C3DCE54" w14:textId="77777777" w:rsidR="00214C3B" w:rsidRPr="00214C3B" w:rsidRDefault="00214C3B" w:rsidP="0075660C">
            <w:proofErr w:type="spellStart"/>
            <w:r w:rsidRPr="00214C3B">
              <w:t>Pegylated</w:t>
            </w:r>
            <w:proofErr w:type="spellEnd"/>
            <w:r w:rsidRPr="00214C3B">
              <w:t xml:space="preserve"> interferon </w:t>
            </w:r>
            <w:proofErr w:type="spellStart"/>
            <w:r w:rsidRPr="00214C3B">
              <w:t>alfa</w:t>
            </w:r>
            <w:proofErr w:type="spellEnd"/>
          </w:p>
        </w:tc>
      </w:tr>
      <w:tr w:rsidR="00214C3B" w:rsidRPr="007D6909" w14:paraId="4C3DCE58" w14:textId="77777777" w:rsidTr="00214C3B">
        <w:tc>
          <w:tcPr>
            <w:tcW w:w="1912" w:type="dxa"/>
          </w:tcPr>
          <w:p w14:paraId="4C3DCE56" w14:textId="77777777" w:rsidR="00214C3B" w:rsidRPr="00214C3B" w:rsidRDefault="00214C3B" w:rsidP="0075660C">
            <w:r w:rsidRPr="00214C3B">
              <w:t>PEP</w:t>
            </w:r>
            <w:r w:rsidR="00135670">
              <w:t xml:space="preserve">  </w:t>
            </w:r>
            <w:r w:rsidRPr="00214C3B">
              <w:t xml:space="preserve"> </w:t>
            </w:r>
          </w:p>
        </w:tc>
        <w:tc>
          <w:tcPr>
            <w:tcW w:w="6808" w:type="dxa"/>
          </w:tcPr>
          <w:p w14:paraId="4C3DCE57" w14:textId="77777777" w:rsidR="00214C3B" w:rsidRPr="00214C3B" w:rsidRDefault="00214C3B" w:rsidP="0075660C">
            <w:r w:rsidRPr="00214C3B">
              <w:t>Pooled efficacy population</w:t>
            </w:r>
          </w:p>
        </w:tc>
      </w:tr>
      <w:tr w:rsidR="00214C3B" w:rsidRPr="007D6909" w14:paraId="4C3DCE5B" w14:textId="77777777" w:rsidTr="00214C3B">
        <w:tc>
          <w:tcPr>
            <w:tcW w:w="1912" w:type="dxa"/>
          </w:tcPr>
          <w:p w14:paraId="4C3DCE59" w14:textId="77777777" w:rsidR="00214C3B" w:rsidRPr="00214C3B" w:rsidRDefault="00214C3B" w:rsidP="0075660C">
            <w:pPr>
              <w:rPr>
                <w:rFonts w:cstheme="minorHAnsi"/>
              </w:rPr>
            </w:pPr>
            <w:r w:rsidRPr="00214C3B">
              <w:rPr>
                <w:rFonts w:cstheme="minorHAnsi"/>
              </w:rPr>
              <w:t>P-gp</w:t>
            </w:r>
          </w:p>
        </w:tc>
        <w:tc>
          <w:tcPr>
            <w:tcW w:w="6808" w:type="dxa"/>
          </w:tcPr>
          <w:p w14:paraId="4C3DCE5A" w14:textId="77777777" w:rsidR="00214C3B" w:rsidRPr="00214C3B" w:rsidRDefault="00214C3B" w:rsidP="0075660C">
            <w:pPr>
              <w:rPr>
                <w:rFonts w:cstheme="minorHAnsi"/>
              </w:rPr>
            </w:pPr>
            <w:r w:rsidRPr="00214C3B">
              <w:rPr>
                <w:rFonts w:cstheme="minorHAnsi"/>
              </w:rPr>
              <w:t>P- glycoprotein</w:t>
            </w:r>
          </w:p>
        </w:tc>
      </w:tr>
      <w:tr w:rsidR="00214C3B" w:rsidRPr="007D6909" w14:paraId="4C3DCE5E" w14:textId="77777777" w:rsidTr="00214C3B">
        <w:tc>
          <w:tcPr>
            <w:tcW w:w="1912" w:type="dxa"/>
          </w:tcPr>
          <w:p w14:paraId="4C3DCE5C" w14:textId="77777777" w:rsidR="00214C3B" w:rsidRPr="00214C3B" w:rsidRDefault="00214C3B" w:rsidP="0075660C">
            <w:r w:rsidRPr="00214C3B">
              <w:t>PI</w:t>
            </w:r>
            <w:r w:rsidR="00135670">
              <w:t xml:space="preserve">  </w:t>
            </w:r>
          </w:p>
        </w:tc>
        <w:tc>
          <w:tcPr>
            <w:tcW w:w="6808" w:type="dxa"/>
          </w:tcPr>
          <w:p w14:paraId="4C3DCE5D" w14:textId="77777777" w:rsidR="00214C3B" w:rsidRPr="00214C3B" w:rsidRDefault="00214C3B" w:rsidP="0075660C">
            <w:r w:rsidRPr="00214C3B">
              <w:t>Protease inhibitor</w:t>
            </w:r>
          </w:p>
        </w:tc>
      </w:tr>
      <w:tr w:rsidR="00214C3B" w:rsidRPr="007D6909" w14:paraId="4C3DCE61" w14:textId="77777777" w:rsidTr="00214C3B">
        <w:tc>
          <w:tcPr>
            <w:tcW w:w="1912" w:type="dxa"/>
          </w:tcPr>
          <w:p w14:paraId="4C3DCE5F" w14:textId="77777777" w:rsidR="00214C3B" w:rsidRPr="00214C3B" w:rsidRDefault="00214C3B" w:rsidP="0075660C">
            <w:pPr>
              <w:rPr>
                <w:rFonts w:cstheme="minorHAnsi"/>
              </w:rPr>
            </w:pPr>
            <w:r w:rsidRPr="00214C3B">
              <w:rPr>
                <w:rFonts w:cstheme="minorHAnsi"/>
              </w:rPr>
              <w:t>PI/RTV</w:t>
            </w:r>
          </w:p>
        </w:tc>
        <w:tc>
          <w:tcPr>
            <w:tcW w:w="6808" w:type="dxa"/>
          </w:tcPr>
          <w:p w14:paraId="4C3DCE60" w14:textId="77777777" w:rsidR="00214C3B" w:rsidRPr="00214C3B" w:rsidRDefault="00214C3B" w:rsidP="0075660C">
            <w:pPr>
              <w:rPr>
                <w:rFonts w:cstheme="minorHAnsi"/>
              </w:rPr>
            </w:pPr>
            <w:r w:rsidRPr="00214C3B">
              <w:rPr>
                <w:rFonts w:cstheme="minorHAnsi"/>
              </w:rPr>
              <w:t>protease inhibitor/ritonavir</w:t>
            </w:r>
          </w:p>
        </w:tc>
      </w:tr>
      <w:tr w:rsidR="00214C3B" w:rsidRPr="007D6909" w14:paraId="4C3DCE64" w14:textId="77777777" w:rsidTr="00214C3B">
        <w:tc>
          <w:tcPr>
            <w:tcW w:w="1912" w:type="dxa"/>
          </w:tcPr>
          <w:p w14:paraId="4C3DCE62" w14:textId="77777777" w:rsidR="00214C3B" w:rsidRPr="00214C3B" w:rsidRDefault="00214C3B" w:rsidP="0075660C">
            <w:pPr>
              <w:rPr>
                <w:rFonts w:cstheme="minorHAnsi"/>
              </w:rPr>
            </w:pPr>
            <w:r w:rsidRPr="00214C3B">
              <w:rPr>
                <w:rFonts w:cstheme="minorHAnsi"/>
              </w:rPr>
              <w:t>PK</w:t>
            </w:r>
          </w:p>
        </w:tc>
        <w:tc>
          <w:tcPr>
            <w:tcW w:w="6808" w:type="dxa"/>
          </w:tcPr>
          <w:p w14:paraId="4C3DCE63" w14:textId="77777777" w:rsidR="00214C3B" w:rsidRPr="00214C3B" w:rsidRDefault="00214C3B" w:rsidP="0075660C">
            <w:pPr>
              <w:rPr>
                <w:rFonts w:cstheme="minorHAnsi"/>
              </w:rPr>
            </w:pPr>
            <w:r w:rsidRPr="00214C3B">
              <w:rPr>
                <w:rFonts w:cstheme="minorHAnsi"/>
              </w:rPr>
              <w:t>pharmacokinetics</w:t>
            </w:r>
          </w:p>
        </w:tc>
      </w:tr>
      <w:tr w:rsidR="00214C3B" w:rsidRPr="007D6909" w14:paraId="4C3DCE67" w14:textId="77777777" w:rsidTr="00214C3B">
        <w:tc>
          <w:tcPr>
            <w:tcW w:w="1912" w:type="dxa"/>
          </w:tcPr>
          <w:p w14:paraId="4C3DCE65" w14:textId="77777777" w:rsidR="00214C3B" w:rsidRPr="00214C3B" w:rsidRDefault="00214C3B" w:rsidP="0075660C">
            <w:pPr>
              <w:rPr>
                <w:rFonts w:cstheme="minorHAnsi"/>
              </w:rPr>
            </w:pPr>
            <w:r w:rsidRPr="00214C3B">
              <w:rPr>
                <w:rFonts w:cstheme="minorHAnsi"/>
              </w:rPr>
              <w:t>PMF</w:t>
            </w:r>
          </w:p>
        </w:tc>
        <w:tc>
          <w:tcPr>
            <w:tcW w:w="6808" w:type="dxa"/>
          </w:tcPr>
          <w:p w14:paraId="4C3DCE66" w14:textId="77777777" w:rsidR="00214C3B" w:rsidRPr="00214C3B" w:rsidRDefault="00214C3B" w:rsidP="0075660C">
            <w:pPr>
              <w:rPr>
                <w:rFonts w:cstheme="minorHAnsi"/>
              </w:rPr>
            </w:pPr>
            <w:r w:rsidRPr="00214C3B">
              <w:rPr>
                <w:rFonts w:cstheme="minorHAnsi"/>
              </w:rPr>
              <w:t>preliminary market formulations</w:t>
            </w:r>
          </w:p>
        </w:tc>
      </w:tr>
      <w:tr w:rsidR="00214C3B" w:rsidRPr="007D6909" w14:paraId="4C3DCE6A" w14:textId="77777777" w:rsidTr="00214C3B">
        <w:tc>
          <w:tcPr>
            <w:tcW w:w="1912" w:type="dxa"/>
          </w:tcPr>
          <w:p w14:paraId="4C3DCE68" w14:textId="77777777" w:rsidR="00214C3B" w:rsidRPr="00214C3B" w:rsidRDefault="00214C3B" w:rsidP="0075660C">
            <w:pPr>
              <w:rPr>
                <w:rFonts w:cstheme="minorHAnsi"/>
              </w:rPr>
            </w:pPr>
            <w:r w:rsidRPr="00214C3B">
              <w:rPr>
                <w:rFonts w:cstheme="minorHAnsi"/>
              </w:rPr>
              <w:t>PMF1</w:t>
            </w:r>
          </w:p>
        </w:tc>
        <w:tc>
          <w:tcPr>
            <w:tcW w:w="6808" w:type="dxa"/>
          </w:tcPr>
          <w:p w14:paraId="4C3DCE69" w14:textId="77777777" w:rsidR="00214C3B" w:rsidRPr="00214C3B" w:rsidRDefault="00214C3B" w:rsidP="0075660C">
            <w:pPr>
              <w:rPr>
                <w:rFonts w:cstheme="minorHAnsi"/>
              </w:rPr>
            </w:pPr>
            <w:r w:rsidRPr="00214C3B">
              <w:rPr>
                <w:rFonts w:cstheme="minorHAnsi"/>
              </w:rPr>
              <w:t>prototype pre-market formulation 1</w:t>
            </w:r>
          </w:p>
        </w:tc>
      </w:tr>
      <w:tr w:rsidR="00214C3B" w:rsidRPr="007D6909" w14:paraId="4C3DCE6D" w14:textId="77777777" w:rsidTr="00214C3B">
        <w:tc>
          <w:tcPr>
            <w:tcW w:w="1912" w:type="dxa"/>
          </w:tcPr>
          <w:p w14:paraId="4C3DCE6B" w14:textId="77777777" w:rsidR="00214C3B" w:rsidRPr="00214C3B" w:rsidRDefault="00214C3B" w:rsidP="0075660C">
            <w:pPr>
              <w:rPr>
                <w:rFonts w:cstheme="minorHAnsi"/>
              </w:rPr>
            </w:pPr>
            <w:r w:rsidRPr="00214C3B">
              <w:rPr>
                <w:rFonts w:cstheme="minorHAnsi"/>
              </w:rPr>
              <w:t xml:space="preserve">PO </w:t>
            </w:r>
          </w:p>
        </w:tc>
        <w:tc>
          <w:tcPr>
            <w:tcW w:w="6808" w:type="dxa"/>
          </w:tcPr>
          <w:p w14:paraId="4C3DCE6C" w14:textId="77777777" w:rsidR="00214C3B" w:rsidRPr="00214C3B" w:rsidRDefault="00214C3B" w:rsidP="0075660C">
            <w:pPr>
              <w:rPr>
                <w:rFonts w:cstheme="minorHAnsi"/>
              </w:rPr>
            </w:pPr>
            <w:r w:rsidRPr="00214C3B">
              <w:rPr>
                <w:rFonts w:cstheme="minorHAnsi"/>
              </w:rPr>
              <w:t>per oral (by mouth)</w:t>
            </w:r>
          </w:p>
        </w:tc>
      </w:tr>
      <w:tr w:rsidR="00214C3B" w:rsidRPr="007D6909" w14:paraId="4C3DCE70" w14:textId="77777777" w:rsidTr="00214C3B">
        <w:tc>
          <w:tcPr>
            <w:tcW w:w="1912" w:type="dxa"/>
          </w:tcPr>
          <w:p w14:paraId="4C3DCE6E" w14:textId="77777777" w:rsidR="00214C3B" w:rsidRPr="00214C3B" w:rsidRDefault="00214C3B" w:rsidP="0075660C">
            <w:r w:rsidRPr="00214C3B">
              <w:t>PP</w:t>
            </w:r>
            <w:r w:rsidR="00135670">
              <w:t xml:space="preserve">  </w:t>
            </w:r>
          </w:p>
        </w:tc>
        <w:tc>
          <w:tcPr>
            <w:tcW w:w="6808" w:type="dxa"/>
          </w:tcPr>
          <w:p w14:paraId="4C3DCE6F" w14:textId="77777777" w:rsidR="00214C3B" w:rsidRPr="00214C3B" w:rsidRDefault="00214C3B" w:rsidP="0075660C">
            <w:pPr>
              <w:rPr>
                <w:color w:val="000000"/>
              </w:rPr>
            </w:pPr>
            <w:r w:rsidRPr="00214C3B">
              <w:t>Per Protocol</w:t>
            </w:r>
            <w:r w:rsidRPr="00214C3B">
              <w:rPr>
                <w:color w:val="000000"/>
              </w:rPr>
              <w:t xml:space="preserve"> </w:t>
            </w:r>
          </w:p>
        </w:tc>
      </w:tr>
      <w:tr w:rsidR="00214C3B" w:rsidRPr="007D6909" w14:paraId="4C3DCE73" w14:textId="77777777" w:rsidTr="00214C3B">
        <w:tc>
          <w:tcPr>
            <w:tcW w:w="1912" w:type="dxa"/>
          </w:tcPr>
          <w:p w14:paraId="4C3DCE71" w14:textId="77777777" w:rsidR="00214C3B" w:rsidRPr="00214C3B" w:rsidRDefault="00214C3B" w:rsidP="0075660C">
            <w:pPr>
              <w:rPr>
                <w:rFonts w:cstheme="minorHAnsi"/>
              </w:rPr>
            </w:pPr>
            <w:r w:rsidRPr="00214C3B">
              <w:rPr>
                <w:rFonts w:cstheme="minorHAnsi"/>
              </w:rPr>
              <w:t>PPC</w:t>
            </w:r>
          </w:p>
        </w:tc>
        <w:tc>
          <w:tcPr>
            <w:tcW w:w="6808" w:type="dxa"/>
          </w:tcPr>
          <w:p w14:paraId="4C3DCE72" w14:textId="77777777" w:rsidR="00214C3B" w:rsidRPr="00214C3B" w:rsidRDefault="00214C3B" w:rsidP="0075660C">
            <w:pPr>
              <w:rPr>
                <w:rFonts w:cstheme="minorHAnsi"/>
              </w:rPr>
            </w:pPr>
            <w:r w:rsidRPr="00214C3B">
              <w:rPr>
                <w:rFonts w:cstheme="minorHAnsi"/>
              </w:rPr>
              <w:t>post predictive check</w:t>
            </w:r>
          </w:p>
        </w:tc>
      </w:tr>
      <w:tr w:rsidR="00214C3B" w:rsidRPr="007D6909" w14:paraId="4C3DCE76" w14:textId="77777777" w:rsidTr="00214C3B">
        <w:tc>
          <w:tcPr>
            <w:tcW w:w="1912" w:type="dxa"/>
          </w:tcPr>
          <w:p w14:paraId="4C3DCE74" w14:textId="77777777" w:rsidR="00214C3B" w:rsidRPr="00214C3B" w:rsidRDefault="00214C3B" w:rsidP="0075660C">
            <w:pPr>
              <w:rPr>
                <w:color w:val="000000"/>
              </w:rPr>
            </w:pPr>
            <w:r w:rsidRPr="00214C3B">
              <w:rPr>
                <w:color w:val="000000"/>
              </w:rPr>
              <w:t>PR</w:t>
            </w:r>
            <w:r w:rsidR="00135670">
              <w:rPr>
                <w:color w:val="000000"/>
              </w:rPr>
              <w:t xml:space="preserve">  </w:t>
            </w:r>
            <w:r w:rsidRPr="00214C3B">
              <w:rPr>
                <w:color w:val="000000"/>
              </w:rPr>
              <w:t xml:space="preserve"> </w:t>
            </w:r>
          </w:p>
        </w:tc>
        <w:tc>
          <w:tcPr>
            <w:tcW w:w="6808" w:type="dxa"/>
          </w:tcPr>
          <w:p w14:paraId="4C3DCE75" w14:textId="77777777" w:rsidR="00214C3B" w:rsidRPr="00214C3B" w:rsidRDefault="00214C3B" w:rsidP="0075660C">
            <w:pPr>
              <w:rPr>
                <w:color w:val="000000"/>
              </w:rPr>
            </w:pPr>
            <w:proofErr w:type="spellStart"/>
            <w:r w:rsidRPr="00214C3B">
              <w:rPr>
                <w:color w:val="000000"/>
              </w:rPr>
              <w:t>Peginterferon</w:t>
            </w:r>
            <w:proofErr w:type="spellEnd"/>
            <w:r w:rsidRPr="00214C3B">
              <w:rPr>
                <w:color w:val="000000"/>
              </w:rPr>
              <w:t xml:space="preserve"> </w:t>
            </w:r>
            <w:proofErr w:type="spellStart"/>
            <w:r w:rsidRPr="00214C3B">
              <w:rPr>
                <w:color w:val="000000"/>
              </w:rPr>
              <w:t>alfa</w:t>
            </w:r>
            <w:proofErr w:type="spellEnd"/>
            <w:r w:rsidRPr="00214C3B">
              <w:rPr>
                <w:color w:val="000000"/>
              </w:rPr>
              <w:t xml:space="preserve"> + ribavirin</w:t>
            </w:r>
          </w:p>
        </w:tc>
      </w:tr>
      <w:tr w:rsidR="00214C3B" w:rsidRPr="007D6909" w14:paraId="4C3DCE79" w14:textId="77777777" w:rsidTr="00214C3B">
        <w:tc>
          <w:tcPr>
            <w:tcW w:w="1912" w:type="dxa"/>
          </w:tcPr>
          <w:p w14:paraId="4C3DCE77" w14:textId="77777777" w:rsidR="00214C3B" w:rsidRPr="00214C3B" w:rsidRDefault="00214C3B" w:rsidP="0075660C">
            <w:pPr>
              <w:rPr>
                <w:rFonts w:cstheme="minorHAnsi"/>
              </w:rPr>
            </w:pPr>
            <w:r w:rsidRPr="00214C3B">
              <w:rPr>
                <w:rFonts w:cstheme="minorHAnsi"/>
              </w:rPr>
              <w:t>PR interval</w:t>
            </w:r>
          </w:p>
        </w:tc>
        <w:tc>
          <w:tcPr>
            <w:tcW w:w="6808" w:type="dxa"/>
          </w:tcPr>
          <w:p w14:paraId="4C3DCE78" w14:textId="77777777" w:rsidR="00214C3B" w:rsidRPr="00214C3B" w:rsidRDefault="00214C3B" w:rsidP="0075660C">
            <w:pPr>
              <w:rPr>
                <w:rFonts w:cstheme="minorHAnsi"/>
              </w:rPr>
            </w:pPr>
            <w:r w:rsidRPr="00214C3B">
              <w:rPr>
                <w:rFonts w:cstheme="minorHAnsi"/>
              </w:rPr>
              <w:t>time from the onset of the P wave to the start of QRS complex (onset of ventricular depolarisation)</w:t>
            </w:r>
          </w:p>
        </w:tc>
      </w:tr>
      <w:tr w:rsidR="00214C3B" w:rsidRPr="007D6909" w14:paraId="4C3DCE7C" w14:textId="77777777" w:rsidTr="00214C3B">
        <w:tc>
          <w:tcPr>
            <w:tcW w:w="1912" w:type="dxa"/>
          </w:tcPr>
          <w:p w14:paraId="4C3DCE7A" w14:textId="77777777" w:rsidR="00214C3B" w:rsidRPr="00214C3B" w:rsidRDefault="00214C3B" w:rsidP="0075660C">
            <w:pPr>
              <w:rPr>
                <w:rFonts w:cstheme="minorHAnsi"/>
              </w:rPr>
            </w:pPr>
            <w:r w:rsidRPr="00214C3B">
              <w:rPr>
                <w:rFonts w:cstheme="minorHAnsi"/>
              </w:rPr>
              <w:t>PRED</w:t>
            </w:r>
          </w:p>
        </w:tc>
        <w:tc>
          <w:tcPr>
            <w:tcW w:w="6808" w:type="dxa"/>
          </w:tcPr>
          <w:p w14:paraId="4C3DCE7B" w14:textId="77777777" w:rsidR="00214C3B" w:rsidRPr="00214C3B" w:rsidRDefault="00214C3B" w:rsidP="0075660C">
            <w:pPr>
              <w:rPr>
                <w:rFonts w:cstheme="minorHAnsi"/>
              </w:rPr>
            </w:pPr>
            <w:r w:rsidRPr="00214C3B">
              <w:rPr>
                <w:rFonts w:cstheme="minorHAnsi"/>
              </w:rPr>
              <w:t>geometric means of typical individual predictions</w:t>
            </w:r>
          </w:p>
        </w:tc>
      </w:tr>
      <w:tr w:rsidR="00214C3B" w:rsidRPr="007D6909" w14:paraId="4C3DCE7F" w14:textId="77777777" w:rsidTr="00214C3B">
        <w:tc>
          <w:tcPr>
            <w:tcW w:w="1912" w:type="dxa"/>
          </w:tcPr>
          <w:p w14:paraId="4C3DCE7D" w14:textId="77777777" w:rsidR="00214C3B" w:rsidRPr="00214C3B" w:rsidRDefault="00214C3B" w:rsidP="0075660C">
            <w:pPr>
              <w:rPr>
                <w:color w:val="000000"/>
              </w:rPr>
            </w:pPr>
            <w:r w:rsidRPr="00214C3B">
              <w:rPr>
                <w:color w:val="000000"/>
              </w:rPr>
              <w:t>PTF</w:t>
            </w:r>
            <w:r w:rsidR="00135670">
              <w:rPr>
                <w:color w:val="000000"/>
              </w:rPr>
              <w:t xml:space="preserve">  </w:t>
            </w:r>
            <w:r w:rsidRPr="00214C3B">
              <w:rPr>
                <w:color w:val="000000"/>
              </w:rPr>
              <w:t xml:space="preserve"> </w:t>
            </w:r>
          </w:p>
        </w:tc>
        <w:tc>
          <w:tcPr>
            <w:tcW w:w="6808" w:type="dxa"/>
          </w:tcPr>
          <w:p w14:paraId="4C3DCE7E" w14:textId="77777777" w:rsidR="00214C3B" w:rsidRPr="00214C3B" w:rsidRDefault="00214C3B" w:rsidP="0075660C">
            <w:pPr>
              <w:rPr>
                <w:color w:val="000000"/>
              </w:rPr>
            </w:pPr>
            <w:r w:rsidRPr="00214C3B">
              <w:rPr>
                <w:color w:val="000000"/>
              </w:rPr>
              <w:t>Prior treatment failure</w:t>
            </w:r>
          </w:p>
        </w:tc>
      </w:tr>
      <w:tr w:rsidR="00214C3B" w:rsidRPr="007D6909" w14:paraId="4C3DCE82" w14:textId="77777777" w:rsidTr="00214C3B">
        <w:tc>
          <w:tcPr>
            <w:tcW w:w="1912" w:type="dxa"/>
          </w:tcPr>
          <w:p w14:paraId="4C3DCE80" w14:textId="77777777" w:rsidR="00214C3B" w:rsidRPr="00214C3B" w:rsidRDefault="00214C3B" w:rsidP="0075660C">
            <w:pPr>
              <w:rPr>
                <w:rFonts w:cstheme="minorHAnsi"/>
              </w:rPr>
            </w:pPr>
            <w:r w:rsidRPr="00214C3B">
              <w:rPr>
                <w:rFonts w:cstheme="minorHAnsi"/>
              </w:rPr>
              <w:t xml:space="preserve">QD </w:t>
            </w:r>
          </w:p>
        </w:tc>
        <w:tc>
          <w:tcPr>
            <w:tcW w:w="6808" w:type="dxa"/>
          </w:tcPr>
          <w:p w14:paraId="4C3DCE81" w14:textId="77777777" w:rsidR="00214C3B" w:rsidRPr="00214C3B" w:rsidRDefault="00214C3B" w:rsidP="0075660C">
            <w:pPr>
              <w:rPr>
                <w:rFonts w:cstheme="minorHAnsi"/>
              </w:rPr>
            </w:pPr>
            <w:r w:rsidRPr="00214C3B">
              <w:rPr>
                <w:rFonts w:cstheme="minorHAnsi"/>
              </w:rPr>
              <w:t>once daily</w:t>
            </w:r>
          </w:p>
        </w:tc>
      </w:tr>
      <w:tr w:rsidR="00214C3B" w:rsidRPr="007D6909" w14:paraId="4C3DCE85" w14:textId="77777777" w:rsidTr="00214C3B">
        <w:tc>
          <w:tcPr>
            <w:tcW w:w="1912" w:type="dxa"/>
          </w:tcPr>
          <w:p w14:paraId="4C3DCE83" w14:textId="77777777" w:rsidR="00214C3B" w:rsidRPr="00214C3B" w:rsidRDefault="00214C3B" w:rsidP="0075660C">
            <w:pPr>
              <w:rPr>
                <w:rFonts w:eastAsia="TimesNewRoman" w:cstheme="minorHAnsi"/>
              </w:rPr>
            </w:pPr>
            <w:r w:rsidRPr="00214C3B">
              <w:rPr>
                <w:rFonts w:eastAsia="TimesNewRoman" w:cstheme="minorHAnsi"/>
              </w:rPr>
              <w:t>QTc</w:t>
            </w:r>
          </w:p>
        </w:tc>
        <w:tc>
          <w:tcPr>
            <w:tcW w:w="6808" w:type="dxa"/>
          </w:tcPr>
          <w:p w14:paraId="4C3DCE84" w14:textId="77777777" w:rsidR="00214C3B" w:rsidRPr="00214C3B" w:rsidRDefault="00214C3B" w:rsidP="0075660C">
            <w:pPr>
              <w:rPr>
                <w:rFonts w:eastAsia="TimesNewRoman" w:cstheme="minorHAnsi"/>
              </w:rPr>
            </w:pPr>
            <w:r w:rsidRPr="00214C3B">
              <w:rPr>
                <w:rFonts w:eastAsia="TimesNewRoman" w:cstheme="minorHAnsi"/>
              </w:rPr>
              <w:t>corrected QT interval</w:t>
            </w:r>
          </w:p>
        </w:tc>
      </w:tr>
      <w:tr w:rsidR="00214C3B" w:rsidRPr="007D6909" w14:paraId="4C3DCE88" w14:textId="77777777" w:rsidTr="00214C3B">
        <w:tc>
          <w:tcPr>
            <w:tcW w:w="1912" w:type="dxa"/>
          </w:tcPr>
          <w:p w14:paraId="4C3DCE86" w14:textId="77777777" w:rsidR="00214C3B" w:rsidRPr="00214C3B" w:rsidRDefault="00214C3B" w:rsidP="0075660C">
            <w:pPr>
              <w:rPr>
                <w:rFonts w:eastAsia="TimesNewRoman" w:cstheme="minorHAnsi"/>
              </w:rPr>
            </w:pPr>
            <w:r w:rsidRPr="00214C3B">
              <w:rPr>
                <w:rFonts w:eastAsia="TimesNewRoman" w:cstheme="minorHAnsi"/>
              </w:rPr>
              <w:t>QTcF</w:t>
            </w:r>
          </w:p>
        </w:tc>
        <w:tc>
          <w:tcPr>
            <w:tcW w:w="6808" w:type="dxa"/>
          </w:tcPr>
          <w:p w14:paraId="4C3DCE87" w14:textId="77777777" w:rsidR="00214C3B" w:rsidRPr="00214C3B" w:rsidRDefault="00214C3B" w:rsidP="0075660C">
            <w:pPr>
              <w:rPr>
                <w:rFonts w:eastAsia="TimesNewRoman" w:cstheme="minorHAnsi"/>
              </w:rPr>
            </w:pPr>
            <w:r w:rsidRPr="00214C3B">
              <w:rPr>
                <w:rFonts w:eastAsia="TimesNewRoman" w:cstheme="minorHAnsi"/>
              </w:rPr>
              <w:t>QT interval with Fridericia’s Correction</w:t>
            </w:r>
          </w:p>
        </w:tc>
      </w:tr>
      <w:tr w:rsidR="00214C3B" w:rsidRPr="007D6909" w14:paraId="4C3DCE8B" w14:textId="77777777" w:rsidTr="00214C3B">
        <w:tc>
          <w:tcPr>
            <w:tcW w:w="1912" w:type="dxa"/>
          </w:tcPr>
          <w:p w14:paraId="4C3DCE89" w14:textId="77777777" w:rsidR="00214C3B" w:rsidRPr="00214C3B" w:rsidRDefault="00214C3B" w:rsidP="0075660C">
            <w:pPr>
              <w:rPr>
                <w:rFonts w:eastAsia="TimesNewRoman" w:cstheme="minorHAnsi"/>
              </w:rPr>
            </w:pPr>
            <w:proofErr w:type="spellStart"/>
            <w:r w:rsidRPr="00214C3B">
              <w:rPr>
                <w:rFonts w:eastAsia="TimesNewRoman" w:cstheme="minorHAnsi"/>
              </w:rPr>
              <w:t>QTcP</w:t>
            </w:r>
            <w:proofErr w:type="spellEnd"/>
          </w:p>
        </w:tc>
        <w:tc>
          <w:tcPr>
            <w:tcW w:w="6808" w:type="dxa"/>
          </w:tcPr>
          <w:p w14:paraId="4C3DCE8A" w14:textId="77777777" w:rsidR="00214C3B" w:rsidRPr="00214C3B" w:rsidRDefault="00214C3B" w:rsidP="0075660C">
            <w:pPr>
              <w:rPr>
                <w:rFonts w:cstheme="minorHAnsi"/>
              </w:rPr>
            </w:pPr>
            <w:r w:rsidRPr="00214C3B">
              <w:rPr>
                <w:rFonts w:eastAsia="TimesNewRoman" w:cstheme="minorHAnsi"/>
              </w:rPr>
              <w:t>population-corrected QTc</w:t>
            </w:r>
          </w:p>
        </w:tc>
      </w:tr>
      <w:tr w:rsidR="00214C3B" w:rsidRPr="007D6909" w14:paraId="4C3DCE8E" w14:textId="77777777" w:rsidTr="00214C3B">
        <w:tc>
          <w:tcPr>
            <w:tcW w:w="1912" w:type="dxa"/>
          </w:tcPr>
          <w:p w14:paraId="4C3DCE8C" w14:textId="77777777" w:rsidR="00214C3B" w:rsidRPr="00214C3B" w:rsidRDefault="00214C3B" w:rsidP="0075660C">
            <w:pPr>
              <w:rPr>
                <w:color w:val="000000"/>
              </w:rPr>
            </w:pPr>
            <w:r w:rsidRPr="00214C3B">
              <w:rPr>
                <w:color w:val="000000"/>
              </w:rPr>
              <w:t>RAP</w:t>
            </w:r>
            <w:r w:rsidR="00135670">
              <w:rPr>
                <w:color w:val="000000"/>
              </w:rPr>
              <w:t xml:space="preserve">  </w:t>
            </w:r>
          </w:p>
        </w:tc>
        <w:tc>
          <w:tcPr>
            <w:tcW w:w="6808" w:type="dxa"/>
          </w:tcPr>
          <w:p w14:paraId="4C3DCE8D" w14:textId="77777777" w:rsidR="00214C3B" w:rsidRPr="00214C3B" w:rsidRDefault="00214C3B" w:rsidP="0075660C">
            <w:pPr>
              <w:rPr>
                <w:color w:val="000000"/>
              </w:rPr>
            </w:pPr>
            <w:r w:rsidRPr="00214C3B">
              <w:rPr>
                <w:color w:val="000000"/>
              </w:rPr>
              <w:t>Resistance Analysis Population</w:t>
            </w:r>
          </w:p>
        </w:tc>
      </w:tr>
      <w:tr w:rsidR="00214C3B" w:rsidRPr="007D6909" w14:paraId="4C3DCE91" w14:textId="77777777" w:rsidTr="00214C3B">
        <w:tc>
          <w:tcPr>
            <w:tcW w:w="1912" w:type="dxa"/>
          </w:tcPr>
          <w:p w14:paraId="4C3DCE8F" w14:textId="77777777" w:rsidR="00214C3B" w:rsidRPr="00214C3B" w:rsidRDefault="00214C3B" w:rsidP="0075660C">
            <w:pPr>
              <w:rPr>
                <w:color w:val="000000"/>
              </w:rPr>
            </w:pPr>
            <w:r w:rsidRPr="00214C3B">
              <w:rPr>
                <w:color w:val="000000"/>
              </w:rPr>
              <w:t>RAV</w:t>
            </w:r>
            <w:r w:rsidR="00135670">
              <w:rPr>
                <w:color w:val="000000"/>
              </w:rPr>
              <w:t xml:space="preserve">  </w:t>
            </w:r>
          </w:p>
        </w:tc>
        <w:tc>
          <w:tcPr>
            <w:tcW w:w="6808" w:type="dxa"/>
          </w:tcPr>
          <w:p w14:paraId="4C3DCE90" w14:textId="77777777" w:rsidR="00214C3B" w:rsidRPr="00214C3B" w:rsidRDefault="00214C3B" w:rsidP="0075660C">
            <w:pPr>
              <w:rPr>
                <w:color w:val="000000"/>
              </w:rPr>
            </w:pPr>
            <w:r w:rsidRPr="00214C3B">
              <w:rPr>
                <w:color w:val="000000"/>
              </w:rPr>
              <w:t>Resistance-associated variant</w:t>
            </w:r>
          </w:p>
        </w:tc>
      </w:tr>
      <w:tr w:rsidR="00214C3B" w:rsidRPr="007D6909" w14:paraId="4C3DCE94" w14:textId="77777777" w:rsidTr="00214C3B">
        <w:tc>
          <w:tcPr>
            <w:tcW w:w="1912" w:type="dxa"/>
          </w:tcPr>
          <w:p w14:paraId="4C3DCE92" w14:textId="77777777" w:rsidR="00214C3B" w:rsidRPr="00214C3B" w:rsidRDefault="00214C3B" w:rsidP="0075660C">
            <w:pPr>
              <w:rPr>
                <w:color w:val="000000"/>
              </w:rPr>
            </w:pPr>
            <w:r w:rsidRPr="00214C3B">
              <w:rPr>
                <w:color w:val="000000"/>
              </w:rPr>
              <w:t xml:space="preserve">RBV </w:t>
            </w:r>
          </w:p>
        </w:tc>
        <w:tc>
          <w:tcPr>
            <w:tcW w:w="6808" w:type="dxa"/>
          </w:tcPr>
          <w:p w14:paraId="4C3DCE93" w14:textId="77777777" w:rsidR="00214C3B" w:rsidRPr="00214C3B" w:rsidRDefault="00214C3B" w:rsidP="0075660C">
            <w:pPr>
              <w:rPr>
                <w:color w:val="000000"/>
              </w:rPr>
            </w:pPr>
            <w:r w:rsidRPr="00214C3B">
              <w:rPr>
                <w:color w:val="000000"/>
              </w:rPr>
              <w:t>Ribavirin</w:t>
            </w:r>
          </w:p>
        </w:tc>
      </w:tr>
      <w:tr w:rsidR="00214C3B" w:rsidRPr="007D6909" w14:paraId="4C3DCE97" w14:textId="77777777" w:rsidTr="00214C3B">
        <w:tc>
          <w:tcPr>
            <w:tcW w:w="1912" w:type="dxa"/>
          </w:tcPr>
          <w:p w14:paraId="4C3DCE95" w14:textId="77777777" w:rsidR="00214C3B" w:rsidRPr="00214C3B" w:rsidRDefault="00214C3B" w:rsidP="0075660C">
            <w:pPr>
              <w:rPr>
                <w:rFonts w:cstheme="minorHAnsi"/>
              </w:rPr>
            </w:pPr>
            <w:r w:rsidRPr="00214C3B">
              <w:rPr>
                <w:rFonts w:cstheme="minorHAnsi"/>
              </w:rPr>
              <w:t>RNA</w:t>
            </w:r>
          </w:p>
        </w:tc>
        <w:tc>
          <w:tcPr>
            <w:tcW w:w="6808" w:type="dxa"/>
          </w:tcPr>
          <w:p w14:paraId="4C3DCE96" w14:textId="77777777" w:rsidR="00214C3B" w:rsidRPr="00214C3B" w:rsidRDefault="00214C3B" w:rsidP="0075660C">
            <w:pPr>
              <w:rPr>
                <w:rFonts w:cstheme="minorHAnsi"/>
              </w:rPr>
            </w:pPr>
            <w:r w:rsidRPr="00214C3B">
              <w:rPr>
                <w:rFonts w:eastAsia="TimesNewRoman" w:cstheme="minorHAnsi"/>
              </w:rPr>
              <w:t>ribonucleic acid</w:t>
            </w:r>
          </w:p>
        </w:tc>
      </w:tr>
      <w:tr w:rsidR="00214C3B" w:rsidRPr="007D6909" w14:paraId="4C3DCE9A" w14:textId="77777777" w:rsidTr="00214C3B">
        <w:tc>
          <w:tcPr>
            <w:tcW w:w="1912" w:type="dxa"/>
          </w:tcPr>
          <w:p w14:paraId="4C3DCE98" w14:textId="77777777" w:rsidR="00214C3B" w:rsidRPr="00214C3B" w:rsidRDefault="00214C3B" w:rsidP="0075660C">
            <w:pPr>
              <w:rPr>
                <w:rFonts w:cstheme="minorHAnsi"/>
              </w:rPr>
            </w:pPr>
            <w:r w:rsidRPr="00214C3B">
              <w:rPr>
                <w:rFonts w:cstheme="minorHAnsi"/>
              </w:rPr>
              <w:t>RR</w:t>
            </w:r>
          </w:p>
        </w:tc>
        <w:tc>
          <w:tcPr>
            <w:tcW w:w="6808" w:type="dxa"/>
          </w:tcPr>
          <w:p w14:paraId="4C3DCE99" w14:textId="77777777" w:rsidR="00214C3B" w:rsidRPr="00214C3B" w:rsidRDefault="00214C3B" w:rsidP="0075660C">
            <w:pPr>
              <w:rPr>
                <w:rFonts w:cstheme="minorHAnsi"/>
              </w:rPr>
            </w:pPr>
            <w:r w:rsidRPr="00214C3B">
              <w:rPr>
                <w:rFonts w:cstheme="minorHAnsi"/>
              </w:rPr>
              <w:t>respiratory rate</w:t>
            </w:r>
          </w:p>
        </w:tc>
      </w:tr>
      <w:tr w:rsidR="00214C3B" w:rsidRPr="007D6909" w14:paraId="4C3DCE9D" w14:textId="77777777" w:rsidTr="00214C3B">
        <w:tc>
          <w:tcPr>
            <w:tcW w:w="1912" w:type="dxa"/>
          </w:tcPr>
          <w:p w14:paraId="4C3DCE9B" w14:textId="77777777" w:rsidR="00214C3B" w:rsidRPr="00214C3B" w:rsidRDefault="00214C3B" w:rsidP="0075660C">
            <w:pPr>
              <w:rPr>
                <w:rFonts w:cstheme="minorHAnsi"/>
              </w:rPr>
            </w:pPr>
            <w:r w:rsidRPr="00214C3B">
              <w:rPr>
                <w:rFonts w:cstheme="minorHAnsi"/>
              </w:rPr>
              <w:lastRenderedPageBreak/>
              <w:t>RTV</w:t>
            </w:r>
          </w:p>
        </w:tc>
        <w:tc>
          <w:tcPr>
            <w:tcW w:w="6808" w:type="dxa"/>
          </w:tcPr>
          <w:p w14:paraId="4C3DCE9C" w14:textId="77777777" w:rsidR="00214C3B" w:rsidRPr="00214C3B" w:rsidRDefault="00214C3B" w:rsidP="0075660C">
            <w:pPr>
              <w:rPr>
                <w:rFonts w:cstheme="minorHAnsi"/>
              </w:rPr>
            </w:pPr>
            <w:r w:rsidRPr="00214C3B">
              <w:rPr>
                <w:rFonts w:cstheme="minorHAnsi"/>
              </w:rPr>
              <w:t>ritonavir</w:t>
            </w:r>
          </w:p>
        </w:tc>
      </w:tr>
      <w:tr w:rsidR="00214C3B" w:rsidRPr="007D6909" w14:paraId="4C3DCEA0" w14:textId="77777777" w:rsidTr="00214C3B">
        <w:tc>
          <w:tcPr>
            <w:tcW w:w="1912" w:type="dxa"/>
          </w:tcPr>
          <w:p w14:paraId="4C3DCE9E" w14:textId="77777777" w:rsidR="00214C3B" w:rsidRPr="00214C3B" w:rsidRDefault="00214C3B" w:rsidP="0075660C">
            <w:pPr>
              <w:rPr>
                <w:rFonts w:cstheme="minorHAnsi"/>
              </w:rPr>
            </w:pPr>
            <w:r w:rsidRPr="00214C3B">
              <w:rPr>
                <w:rFonts w:cstheme="minorHAnsi"/>
              </w:rPr>
              <w:t>RVR</w:t>
            </w:r>
          </w:p>
        </w:tc>
        <w:tc>
          <w:tcPr>
            <w:tcW w:w="6808" w:type="dxa"/>
          </w:tcPr>
          <w:p w14:paraId="4C3DCE9F" w14:textId="77777777" w:rsidR="00214C3B" w:rsidRPr="00214C3B" w:rsidRDefault="00214C3B" w:rsidP="0075660C">
            <w:pPr>
              <w:rPr>
                <w:rFonts w:cstheme="minorHAnsi"/>
              </w:rPr>
            </w:pPr>
            <w:r w:rsidRPr="00214C3B">
              <w:rPr>
                <w:rFonts w:cstheme="minorHAnsi"/>
              </w:rPr>
              <w:t>rapid virologic response</w:t>
            </w:r>
          </w:p>
        </w:tc>
      </w:tr>
      <w:tr w:rsidR="00214C3B" w:rsidRPr="007D6909" w14:paraId="4C3DCEA3" w14:textId="77777777" w:rsidTr="00214C3B">
        <w:tc>
          <w:tcPr>
            <w:tcW w:w="1912" w:type="dxa"/>
          </w:tcPr>
          <w:p w14:paraId="4C3DCEA1" w14:textId="77777777" w:rsidR="00214C3B" w:rsidRPr="00214C3B" w:rsidRDefault="00214C3B" w:rsidP="0075660C">
            <w:pPr>
              <w:rPr>
                <w:rFonts w:cstheme="minorHAnsi"/>
              </w:rPr>
            </w:pPr>
            <w:r w:rsidRPr="00214C3B">
              <w:rPr>
                <w:rFonts w:cstheme="minorHAnsi"/>
              </w:rPr>
              <w:t xml:space="preserve">SAE </w:t>
            </w:r>
          </w:p>
        </w:tc>
        <w:tc>
          <w:tcPr>
            <w:tcW w:w="6808" w:type="dxa"/>
          </w:tcPr>
          <w:p w14:paraId="4C3DCEA2" w14:textId="77777777" w:rsidR="00214C3B" w:rsidRPr="00214C3B" w:rsidRDefault="00214C3B" w:rsidP="0075660C">
            <w:pPr>
              <w:rPr>
                <w:rFonts w:cstheme="minorHAnsi"/>
              </w:rPr>
            </w:pPr>
            <w:r w:rsidRPr="00214C3B">
              <w:rPr>
                <w:rFonts w:cstheme="minorHAnsi"/>
              </w:rPr>
              <w:t>serious adverse event</w:t>
            </w:r>
          </w:p>
        </w:tc>
      </w:tr>
      <w:tr w:rsidR="00214C3B" w:rsidRPr="007D6909" w14:paraId="4C3DCEA6" w14:textId="77777777" w:rsidTr="00214C3B">
        <w:tc>
          <w:tcPr>
            <w:tcW w:w="1912" w:type="dxa"/>
          </w:tcPr>
          <w:p w14:paraId="4C3DCEA4" w14:textId="77777777" w:rsidR="00214C3B" w:rsidRPr="00214C3B" w:rsidRDefault="00214C3B" w:rsidP="0075660C">
            <w:pPr>
              <w:rPr>
                <w:color w:val="000000"/>
              </w:rPr>
            </w:pPr>
            <w:r w:rsidRPr="00214C3B">
              <w:rPr>
                <w:color w:val="000000"/>
              </w:rPr>
              <w:t xml:space="preserve">SD </w:t>
            </w:r>
          </w:p>
        </w:tc>
        <w:tc>
          <w:tcPr>
            <w:tcW w:w="6808" w:type="dxa"/>
          </w:tcPr>
          <w:p w14:paraId="4C3DCEA5" w14:textId="77777777" w:rsidR="00214C3B" w:rsidRPr="00214C3B" w:rsidRDefault="00214C3B" w:rsidP="0075660C">
            <w:pPr>
              <w:rPr>
                <w:color w:val="000000"/>
              </w:rPr>
            </w:pPr>
            <w:r w:rsidRPr="00214C3B">
              <w:rPr>
                <w:color w:val="000000"/>
              </w:rPr>
              <w:t>Standard deviation</w:t>
            </w:r>
          </w:p>
        </w:tc>
      </w:tr>
      <w:tr w:rsidR="00214C3B" w:rsidRPr="007D6909" w14:paraId="4C3DCEA9" w14:textId="77777777" w:rsidTr="00214C3B">
        <w:tc>
          <w:tcPr>
            <w:tcW w:w="1912" w:type="dxa"/>
          </w:tcPr>
          <w:p w14:paraId="4C3DCEA7" w14:textId="77777777" w:rsidR="00214C3B" w:rsidRPr="00214C3B" w:rsidRDefault="00214C3B" w:rsidP="0075660C">
            <w:pPr>
              <w:rPr>
                <w:rFonts w:cstheme="minorHAnsi"/>
              </w:rPr>
            </w:pPr>
            <w:r w:rsidRPr="00214C3B">
              <w:rPr>
                <w:rFonts w:cstheme="minorHAnsi"/>
              </w:rPr>
              <w:t>SEM</w:t>
            </w:r>
          </w:p>
        </w:tc>
        <w:tc>
          <w:tcPr>
            <w:tcW w:w="6808" w:type="dxa"/>
          </w:tcPr>
          <w:p w14:paraId="4C3DCEA8" w14:textId="77777777" w:rsidR="00214C3B" w:rsidRPr="00214C3B" w:rsidRDefault="00214C3B" w:rsidP="0075660C">
            <w:pPr>
              <w:rPr>
                <w:rFonts w:cstheme="minorHAnsi"/>
              </w:rPr>
            </w:pPr>
            <w:r w:rsidRPr="00214C3B">
              <w:rPr>
                <w:rFonts w:cstheme="minorHAnsi"/>
              </w:rPr>
              <w:t>standard error of the mean</w:t>
            </w:r>
          </w:p>
        </w:tc>
      </w:tr>
      <w:tr w:rsidR="00214C3B" w:rsidRPr="007D6909" w14:paraId="4C3DCEAC" w14:textId="77777777" w:rsidTr="00214C3B">
        <w:tc>
          <w:tcPr>
            <w:tcW w:w="1912" w:type="dxa"/>
          </w:tcPr>
          <w:p w14:paraId="4C3DCEAA" w14:textId="77777777" w:rsidR="00214C3B" w:rsidRPr="00214C3B" w:rsidRDefault="00214C3B" w:rsidP="0075660C">
            <w:pPr>
              <w:rPr>
                <w:rFonts w:cstheme="minorHAnsi"/>
              </w:rPr>
            </w:pPr>
            <w:r w:rsidRPr="00214C3B">
              <w:rPr>
                <w:rFonts w:cstheme="minorHAnsi"/>
              </w:rPr>
              <w:t>SOC</w:t>
            </w:r>
          </w:p>
        </w:tc>
        <w:tc>
          <w:tcPr>
            <w:tcW w:w="6808" w:type="dxa"/>
          </w:tcPr>
          <w:p w14:paraId="4C3DCEAB" w14:textId="77777777" w:rsidR="00214C3B" w:rsidRPr="00214C3B" w:rsidRDefault="00214C3B" w:rsidP="0075660C">
            <w:pPr>
              <w:rPr>
                <w:rFonts w:cstheme="minorHAnsi"/>
              </w:rPr>
            </w:pPr>
            <w:r w:rsidRPr="00214C3B">
              <w:rPr>
                <w:rFonts w:cstheme="minorHAnsi"/>
              </w:rPr>
              <w:t>system organ classes</w:t>
            </w:r>
          </w:p>
        </w:tc>
      </w:tr>
      <w:tr w:rsidR="00214C3B" w:rsidRPr="007D6909" w14:paraId="4C3DCEAF" w14:textId="77777777" w:rsidTr="00214C3B">
        <w:tc>
          <w:tcPr>
            <w:tcW w:w="1912" w:type="dxa"/>
          </w:tcPr>
          <w:p w14:paraId="4C3DCEAD" w14:textId="77777777" w:rsidR="00214C3B" w:rsidRPr="00214C3B" w:rsidRDefault="00214C3B" w:rsidP="0075660C">
            <w:pPr>
              <w:rPr>
                <w:rFonts w:cstheme="minorHAnsi"/>
              </w:rPr>
            </w:pPr>
            <w:r w:rsidRPr="00214C3B">
              <w:rPr>
                <w:rFonts w:cstheme="minorHAnsi"/>
              </w:rPr>
              <w:t>SVR</w:t>
            </w:r>
          </w:p>
        </w:tc>
        <w:tc>
          <w:tcPr>
            <w:tcW w:w="6808" w:type="dxa"/>
          </w:tcPr>
          <w:p w14:paraId="4C3DCEAE" w14:textId="77777777" w:rsidR="00214C3B" w:rsidRPr="00214C3B" w:rsidRDefault="00214C3B" w:rsidP="0075660C">
            <w:pPr>
              <w:rPr>
                <w:rFonts w:cstheme="minorHAnsi"/>
              </w:rPr>
            </w:pPr>
            <w:r w:rsidRPr="00214C3B">
              <w:rPr>
                <w:rFonts w:cstheme="minorHAnsi"/>
              </w:rPr>
              <w:t>sustained virologic response</w:t>
            </w:r>
          </w:p>
        </w:tc>
      </w:tr>
      <w:tr w:rsidR="00214C3B" w:rsidRPr="007D6909" w14:paraId="4C3DCEB2" w14:textId="77777777" w:rsidTr="00214C3B">
        <w:tc>
          <w:tcPr>
            <w:tcW w:w="1912" w:type="dxa"/>
          </w:tcPr>
          <w:p w14:paraId="4C3DCEB0" w14:textId="77777777" w:rsidR="00214C3B" w:rsidRPr="00214C3B" w:rsidRDefault="00214C3B" w:rsidP="0075660C">
            <w:pPr>
              <w:rPr>
                <w:color w:val="000000"/>
              </w:rPr>
            </w:pPr>
            <w:r w:rsidRPr="00214C3B">
              <w:rPr>
                <w:color w:val="000000"/>
              </w:rPr>
              <w:t xml:space="preserve">SVR12 </w:t>
            </w:r>
          </w:p>
        </w:tc>
        <w:tc>
          <w:tcPr>
            <w:tcW w:w="6808" w:type="dxa"/>
          </w:tcPr>
          <w:p w14:paraId="4C3DCEB1" w14:textId="77777777" w:rsidR="00214C3B" w:rsidRPr="00214C3B" w:rsidRDefault="00214C3B" w:rsidP="0075660C">
            <w:pPr>
              <w:rPr>
                <w:color w:val="000000"/>
              </w:rPr>
            </w:pPr>
            <w:r w:rsidRPr="00214C3B">
              <w:rPr>
                <w:color w:val="000000"/>
              </w:rPr>
              <w:t>Sustained virologic response, having plasma HCV RNA &lt;25 IU/mL at 12 weeks after the end of all study therapy after becoming undetectable (TND) at end of treatment</w:t>
            </w:r>
          </w:p>
        </w:tc>
      </w:tr>
      <w:tr w:rsidR="00214C3B" w:rsidRPr="007D6909" w14:paraId="4C3DCEB5" w14:textId="77777777" w:rsidTr="00214C3B">
        <w:tc>
          <w:tcPr>
            <w:tcW w:w="1912" w:type="dxa"/>
          </w:tcPr>
          <w:p w14:paraId="4C3DCEB3" w14:textId="77777777" w:rsidR="00214C3B" w:rsidRPr="00214C3B" w:rsidRDefault="00214C3B" w:rsidP="0075660C">
            <w:pPr>
              <w:rPr>
                <w:color w:val="000000"/>
              </w:rPr>
            </w:pPr>
            <w:r w:rsidRPr="00214C3B">
              <w:rPr>
                <w:color w:val="000000"/>
              </w:rPr>
              <w:t xml:space="preserve">SVR24 </w:t>
            </w:r>
          </w:p>
        </w:tc>
        <w:tc>
          <w:tcPr>
            <w:tcW w:w="6808" w:type="dxa"/>
          </w:tcPr>
          <w:p w14:paraId="4C3DCEB4" w14:textId="77777777" w:rsidR="00214C3B" w:rsidRPr="00214C3B" w:rsidRDefault="00214C3B" w:rsidP="0075660C">
            <w:pPr>
              <w:rPr>
                <w:color w:val="000000"/>
              </w:rPr>
            </w:pPr>
            <w:r w:rsidRPr="00214C3B">
              <w:rPr>
                <w:color w:val="000000"/>
              </w:rPr>
              <w:t>Sustained virologic response, having plasma HCV RNA &lt;25 IU/mL at 24 weeks after the end of all study therapy after becoming undetectable (TND) at end of treatment</w:t>
            </w:r>
          </w:p>
        </w:tc>
      </w:tr>
      <w:tr w:rsidR="00214C3B" w:rsidRPr="007D6909" w14:paraId="4C3DCEB8" w14:textId="77777777" w:rsidTr="00214C3B">
        <w:tc>
          <w:tcPr>
            <w:tcW w:w="1912" w:type="dxa"/>
          </w:tcPr>
          <w:p w14:paraId="4C3DCEB6" w14:textId="77777777" w:rsidR="00214C3B" w:rsidRPr="00214C3B" w:rsidRDefault="00214C3B" w:rsidP="0075660C">
            <w:pPr>
              <w:rPr>
                <w:rFonts w:cstheme="minorHAnsi"/>
              </w:rPr>
            </w:pPr>
            <w:r w:rsidRPr="00214C3B">
              <w:rPr>
                <w:rFonts w:cstheme="minorHAnsi"/>
              </w:rPr>
              <w:t>t</w:t>
            </w:r>
            <w:r w:rsidRPr="00214C3B">
              <w:rPr>
                <w:rFonts w:cstheme="minorHAnsi"/>
                <w:vertAlign w:val="subscript"/>
              </w:rPr>
              <w:t>1/2</w:t>
            </w:r>
            <w:r w:rsidRPr="00214C3B">
              <w:rPr>
                <w:rFonts w:cstheme="minorHAnsi"/>
              </w:rPr>
              <w:t xml:space="preserve"> </w:t>
            </w:r>
          </w:p>
        </w:tc>
        <w:tc>
          <w:tcPr>
            <w:tcW w:w="6808" w:type="dxa"/>
          </w:tcPr>
          <w:p w14:paraId="4C3DCEB7" w14:textId="77777777" w:rsidR="00214C3B" w:rsidRPr="00214C3B" w:rsidRDefault="00214C3B" w:rsidP="0075660C">
            <w:pPr>
              <w:rPr>
                <w:rFonts w:cstheme="minorHAnsi"/>
              </w:rPr>
            </w:pPr>
            <w:r w:rsidRPr="00214C3B">
              <w:rPr>
                <w:rFonts w:cstheme="minorHAnsi"/>
              </w:rPr>
              <w:t>apparent half-life</w:t>
            </w:r>
          </w:p>
        </w:tc>
      </w:tr>
      <w:tr w:rsidR="00214C3B" w:rsidRPr="007D6909" w14:paraId="4C3DCEBB" w14:textId="77777777" w:rsidTr="00214C3B">
        <w:tc>
          <w:tcPr>
            <w:tcW w:w="1912" w:type="dxa"/>
          </w:tcPr>
          <w:p w14:paraId="4C3DCEB9" w14:textId="77777777" w:rsidR="00214C3B" w:rsidRPr="00214C3B" w:rsidRDefault="00214C3B" w:rsidP="0075660C">
            <w:pPr>
              <w:rPr>
                <w:color w:val="000000"/>
              </w:rPr>
            </w:pPr>
            <w:r w:rsidRPr="00214C3B">
              <w:rPr>
                <w:color w:val="000000"/>
              </w:rPr>
              <w:t xml:space="preserve">TD(q) </w:t>
            </w:r>
          </w:p>
        </w:tc>
        <w:tc>
          <w:tcPr>
            <w:tcW w:w="6808" w:type="dxa"/>
          </w:tcPr>
          <w:p w14:paraId="4C3DCEBA" w14:textId="77777777" w:rsidR="00214C3B" w:rsidRPr="00214C3B" w:rsidRDefault="00214C3B" w:rsidP="0075660C">
            <w:pPr>
              <w:rPr>
                <w:color w:val="000000"/>
              </w:rPr>
            </w:pPr>
            <w:r w:rsidRPr="00214C3B">
              <w:rPr>
                <w:color w:val="000000"/>
              </w:rPr>
              <w:t>Target detected, quantifiable (HCV RNA ≥25 IU/mL)</w:t>
            </w:r>
          </w:p>
        </w:tc>
      </w:tr>
      <w:tr w:rsidR="00214C3B" w:rsidRPr="007D6909" w14:paraId="4C3DCEBE" w14:textId="77777777" w:rsidTr="00214C3B">
        <w:tc>
          <w:tcPr>
            <w:tcW w:w="1912" w:type="dxa"/>
          </w:tcPr>
          <w:p w14:paraId="4C3DCEBC" w14:textId="77777777" w:rsidR="00214C3B" w:rsidRPr="00214C3B" w:rsidRDefault="00214C3B" w:rsidP="0075660C">
            <w:pPr>
              <w:rPr>
                <w:color w:val="000000"/>
              </w:rPr>
            </w:pPr>
            <w:r w:rsidRPr="00214C3B">
              <w:rPr>
                <w:color w:val="000000"/>
              </w:rPr>
              <w:t xml:space="preserve">TD(u) </w:t>
            </w:r>
          </w:p>
        </w:tc>
        <w:tc>
          <w:tcPr>
            <w:tcW w:w="6808" w:type="dxa"/>
          </w:tcPr>
          <w:p w14:paraId="4C3DCEBD" w14:textId="77777777" w:rsidR="00214C3B" w:rsidRPr="00214C3B" w:rsidRDefault="00214C3B" w:rsidP="0075660C">
            <w:pPr>
              <w:rPr>
                <w:color w:val="000000"/>
              </w:rPr>
            </w:pPr>
            <w:r w:rsidRPr="00214C3B">
              <w:rPr>
                <w:color w:val="000000"/>
              </w:rPr>
              <w:t>Target detectable, unquantifiable (HCV RNA &lt;25 IU/mL)</w:t>
            </w:r>
          </w:p>
        </w:tc>
      </w:tr>
      <w:tr w:rsidR="00214C3B" w:rsidRPr="007D6909" w14:paraId="4C3DCEC1" w14:textId="77777777" w:rsidTr="00214C3B">
        <w:tc>
          <w:tcPr>
            <w:tcW w:w="1912" w:type="dxa"/>
          </w:tcPr>
          <w:p w14:paraId="4C3DCEBF" w14:textId="77777777" w:rsidR="00214C3B" w:rsidRPr="00214C3B" w:rsidRDefault="00214C3B" w:rsidP="0075660C">
            <w:pPr>
              <w:rPr>
                <w:color w:val="000000"/>
              </w:rPr>
            </w:pPr>
            <w:r w:rsidRPr="00214C3B">
              <w:rPr>
                <w:color w:val="000000"/>
              </w:rPr>
              <w:t xml:space="preserve">TE </w:t>
            </w:r>
          </w:p>
        </w:tc>
        <w:tc>
          <w:tcPr>
            <w:tcW w:w="6808" w:type="dxa"/>
          </w:tcPr>
          <w:p w14:paraId="4C3DCEC0" w14:textId="77777777" w:rsidR="00214C3B" w:rsidRPr="00214C3B" w:rsidRDefault="00214C3B" w:rsidP="0075660C">
            <w:pPr>
              <w:rPr>
                <w:color w:val="000000"/>
              </w:rPr>
            </w:pPr>
            <w:r w:rsidRPr="00214C3B">
              <w:rPr>
                <w:color w:val="000000"/>
              </w:rPr>
              <w:t>Treatment experienced</w:t>
            </w:r>
          </w:p>
        </w:tc>
      </w:tr>
      <w:tr w:rsidR="00214C3B" w:rsidRPr="007D6909" w14:paraId="4C3DCEC4" w14:textId="77777777" w:rsidTr="00214C3B">
        <w:tc>
          <w:tcPr>
            <w:tcW w:w="1912" w:type="dxa"/>
          </w:tcPr>
          <w:p w14:paraId="4C3DCEC2" w14:textId="77777777" w:rsidR="00214C3B" w:rsidRPr="00214C3B" w:rsidRDefault="00214C3B" w:rsidP="0075660C">
            <w:pPr>
              <w:rPr>
                <w:rFonts w:cstheme="minorHAnsi"/>
              </w:rPr>
            </w:pPr>
            <w:r w:rsidRPr="00214C3B">
              <w:rPr>
                <w:rFonts w:cstheme="minorHAnsi"/>
              </w:rPr>
              <w:t>TEAE</w:t>
            </w:r>
          </w:p>
        </w:tc>
        <w:tc>
          <w:tcPr>
            <w:tcW w:w="6808" w:type="dxa"/>
          </w:tcPr>
          <w:p w14:paraId="4C3DCEC3" w14:textId="77777777" w:rsidR="00214C3B" w:rsidRPr="00214C3B" w:rsidRDefault="00214C3B" w:rsidP="0075660C">
            <w:pPr>
              <w:rPr>
                <w:rFonts w:cstheme="minorHAnsi"/>
              </w:rPr>
            </w:pPr>
            <w:r w:rsidRPr="00214C3B">
              <w:rPr>
                <w:rFonts w:cstheme="minorHAnsi"/>
              </w:rPr>
              <w:t>treatment emergent adverse event</w:t>
            </w:r>
          </w:p>
        </w:tc>
      </w:tr>
      <w:tr w:rsidR="00214C3B" w:rsidRPr="007D6909" w14:paraId="4C3DCEC7" w14:textId="77777777" w:rsidTr="00214C3B">
        <w:tc>
          <w:tcPr>
            <w:tcW w:w="1912" w:type="dxa"/>
          </w:tcPr>
          <w:p w14:paraId="4C3DCEC5" w14:textId="77777777" w:rsidR="00214C3B" w:rsidRPr="00214C3B" w:rsidRDefault="00114776" w:rsidP="0075660C">
            <w:pPr>
              <w:rPr>
                <w:rFonts w:cstheme="minorHAnsi"/>
              </w:rPr>
            </w:pPr>
            <w:r w:rsidRPr="00183723">
              <w:t>T</w:t>
            </w:r>
            <w:r w:rsidRPr="00114776">
              <w:rPr>
                <w:vertAlign w:val="subscript"/>
              </w:rPr>
              <w:t>max</w:t>
            </w:r>
            <w:r w:rsidR="00214C3B" w:rsidRPr="00214C3B">
              <w:rPr>
                <w:rFonts w:cstheme="minorHAnsi"/>
              </w:rPr>
              <w:t xml:space="preserve"> </w:t>
            </w:r>
          </w:p>
        </w:tc>
        <w:tc>
          <w:tcPr>
            <w:tcW w:w="6808" w:type="dxa"/>
          </w:tcPr>
          <w:p w14:paraId="4C3DCEC6" w14:textId="77777777" w:rsidR="00214C3B" w:rsidRPr="00214C3B" w:rsidRDefault="00214C3B" w:rsidP="0075660C">
            <w:pPr>
              <w:rPr>
                <w:rFonts w:cstheme="minorHAnsi"/>
              </w:rPr>
            </w:pPr>
            <w:r w:rsidRPr="00214C3B">
              <w:rPr>
                <w:rFonts w:cstheme="minorHAnsi"/>
              </w:rPr>
              <w:t>time that at which the maximum plasma concentration is obtained</w:t>
            </w:r>
          </w:p>
        </w:tc>
      </w:tr>
      <w:tr w:rsidR="00214C3B" w:rsidRPr="007D6909" w14:paraId="4C3DCECA" w14:textId="77777777" w:rsidTr="00214C3B">
        <w:tc>
          <w:tcPr>
            <w:tcW w:w="1912" w:type="dxa"/>
          </w:tcPr>
          <w:p w14:paraId="4C3DCEC8" w14:textId="77777777" w:rsidR="00214C3B" w:rsidRPr="00214C3B" w:rsidRDefault="00214C3B" w:rsidP="0075660C">
            <w:pPr>
              <w:rPr>
                <w:color w:val="000000"/>
              </w:rPr>
            </w:pPr>
            <w:r w:rsidRPr="00214C3B">
              <w:rPr>
                <w:color w:val="000000"/>
              </w:rPr>
              <w:t xml:space="preserve">TN </w:t>
            </w:r>
          </w:p>
        </w:tc>
        <w:tc>
          <w:tcPr>
            <w:tcW w:w="6808" w:type="dxa"/>
          </w:tcPr>
          <w:p w14:paraId="4C3DCEC9" w14:textId="77777777" w:rsidR="00214C3B" w:rsidRPr="00214C3B" w:rsidRDefault="00214C3B" w:rsidP="0075660C">
            <w:pPr>
              <w:rPr>
                <w:color w:val="000000"/>
              </w:rPr>
            </w:pPr>
            <w:r w:rsidRPr="00214C3B">
              <w:rPr>
                <w:color w:val="000000"/>
              </w:rPr>
              <w:t>Treatment naïve</w:t>
            </w:r>
          </w:p>
        </w:tc>
      </w:tr>
      <w:tr w:rsidR="00214C3B" w:rsidRPr="007D6909" w14:paraId="4C3DCECD" w14:textId="77777777" w:rsidTr="00214C3B">
        <w:tc>
          <w:tcPr>
            <w:tcW w:w="1912" w:type="dxa"/>
          </w:tcPr>
          <w:p w14:paraId="4C3DCECB" w14:textId="77777777" w:rsidR="00214C3B" w:rsidRPr="00214C3B" w:rsidRDefault="00214C3B" w:rsidP="0075660C">
            <w:pPr>
              <w:rPr>
                <w:color w:val="000000"/>
              </w:rPr>
            </w:pPr>
            <w:r w:rsidRPr="00214C3B">
              <w:rPr>
                <w:color w:val="000000"/>
              </w:rPr>
              <w:t xml:space="preserve">TND </w:t>
            </w:r>
          </w:p>
        </w:tc>
        <w:tc>
          <w:tcPr>
            <w:tcW w:w="6808" w:type="dxa"/>
          </w:tcPr>
          <w:p w14:paraId="4C3DCECC" w14:textId="77777777" w:rsidR="00214C3B" w:rsidRPr="00214C3B" w:rsidRDefault="00214C3B" w:rsidP="0075660C">
            <w:pPr>
              <w:rPr>
                <w:color w:val="000000"/>
              </w:rPr>
            </w:pPr>
            <w:r w:rsidRPr="00214C3B">
              <w:rPr>
                <w:color w:val="000000"/>
              </w:rPr>
              <w:t>Target not detected (HCV RNA not detected)</w:t>
            </w:r>
          </w:p>
        </w:tc>
      </w:tr>
      <w:tr w:rsidR="00214C3B" w:rsidRPr="007D6909" w14:paraId="4C3DCED0" w14:textId="77777777" w:rsidTr="00214C3B">
        <w:tc>
          <w:tcPr>
            <w:tcW w:w="1912" w:type="dxa"/>
          </w:tcPr>
          <w:p w14:paraId="4C3DCECE" w14:textId="77777777" w:rsidR="00214C3B" w:rsidRPr="00214C3B" w:rsidRDefault="00214C3B" w:rsidP="0075660C">
            <w:pPr>
              <w:rPr>
                <w:rFonts w:cstheme="minorHAnsi"/>
              </w:rPr>
            </w:pPr>
            <w:r w:rsidRPr="00214C3B">
              <w:rPr>
                <w:rFonts w:cstheme="minorHAnsi"/>
              </w:rPr>
              <w:t xml:space="preserve">TRD </w:t>
            </w:r>
          </w:p>
        </w:tc>
        <w:tc>
          <w:tcPr>
            <w:tcW w:w="6808" w:type="dxa"/>
          </w:tcPr>
          <w:p w14:paraId="4C3DCECF" w14:textId="77777777" w:rsidR="00214C3B" w:rsidRPr="00214C3B" w:rsidRDefault="00214C3B" w:rsidP="0075660C">
            <w:pPr>
              <w:rPr>
                <w:rFonts w:cstheme="minorHAnsi"/>
              </w:rPr>
            </w:pPr>
            <w:r w:rsidRPr="00214C3B">
              <w:rPr>
                <w:rFonts w:cstheme="minorHAnsi"/>
              </w:rPr>
              <w:t>Treatment-Related Discontinuation</w:t>
            </w:r>
          </w:p>
        </w:tc>
      </w:tr>
      <w:tr w:rsidR="00214C3B" w:rsidRPr="007D6909" w14:paraId="4C3DCED3" w14:textId="77777777" w:rsidTr="00214C3B">
        <w:tc>
          <w:tcPr>
            <w:tcW w:w="1912" w:type="dxa"/>
          </w:tcPr>
          <w:p w14:paraId="4C3DCED1" w14:textId="77777777" w:rsidR="00214C3B" w:rsidRPr="00214C3B" w:rsidRDefault="00214C3B" w:rsidP="0075660C">
            <w:pPr>
              <w:rPr>
                <w:color w:val="000000"/>
              </w:rPr>
            </w:pPr>
            <w:r w:rsidRPr="00214C3B">
              <w:rPr>
                <w:color w:val="000000"/>
              </w:rPr>
              <w:t xml:space="preserve">TW </w:t>
            </w:r>
          </w:p>
        </w:tc>
        <w:tc>
          <w:tcPr>
            <w:tcW w:w="6808" w:type="dxa"/>
          </w:tcPr>
          <w:p w14:paraId="4C3DCED2" w14:textId="77777777" w:rsidR="00214C3B" w:rsidRPr="00214C3B" w:rsidRDefault="00214C3B" w:rsidP="0075660C">
            <w:pPr>
              <w:rPr>
                <w:color w:val="000000"/>
              </w:rPr>
            </w:pPr>
            <w:r w:rsidRPr="00214C3B">
              <w:rPr>
                <w:color w:val="000000"/>
              </w:rPr>
              <w:t>Treatment Week</w:t>
            </w:r>
          </w:p>
        </w:tc>
      </w:tr>
      <w:tr w:rsidR="00214C3B" w:rsidRPr="007D6909" w14:paraId="4C3DCED6" w14:textId="77777777" w:rsidTr="00214C3B">
        <w:tc>
          <w:tcPr>
            <w:tcW w:w="1912" w:type="dxa"/>
          </w:tcPr>
          <w:p w14:paraId="4C3DCED4" w14:textId="77777777" w:rsidR="00214C3B" w:rsidRPr="00214C3B" w:rsidRDefault="00214C3B" w:rsidP="0075660C">
            <w:pPr>
              <w:rPr>
                <w:rFonts w:cstheme="minorHAnsi"/>
              </w:rPr>
            </w:pPr>
            <w:r w:rsidRPr="00214C3B">
              <w:rPr>
                <w:rFonts w:cstheme="minorHAnsi"/>
              </w:rPr>
              <w:t>UGT</w:t>
            </w:r>
          </w:p>
        </w:tc>
        <w:tc>
          <w:tcPr>
            <w:tcW w:w="6808" w:type="dxa"/>
          </w:tcPr>
          <w:p w14:paraId="4C3DCED5" w14:textId="77777777" w:rsidR="00214C3B" w:rsidRPr="00214C3B" w:rsidRDefault="00214C3B" w:rsidP="0075660C">
            <w:pPr>
              <w:rPr>
                <w:rFonts w:cstheme="minorHAnsi"/>
              </w:rPr>
            </w:pPr>
            <w:r w:rsidRPr="00214C3B">
              <w:rPr>
                <w:rFonts w:cstheme="minorHAnsi"/>
              </w:rPr>
              <w:t>uridine 5’-diphospho-glucuronosyltransferase</w:t>
            </w:r>
          </w:p>
        </w:tc>
      </w:tr>
      <w:tr w:rsidR="00214C3B" w:rsidRPr="007D6909" w14:paraId="4C3DCED9" w14:textId="77777777" w:rsidTr="00214C3B">
        <w:tc>
          <w:tcPr>
            <w:tcW w:w="1912" w:type="dxa"/>
          </w:tcPr>
          <w:p w14:paraId="4C3DCED7" w14:textId="77777777" w:rsidR="00214C3B" w:rsidRPr="00214C3B" w:rsidRDefault="00214C3B" w:rsidP="0075660C">
            <w:pPr>
              <w:rPr>
                <w:rFonts w:cstheme="minorHAnsi"/>
              </w:rPr>
            </w:pPr>
            <w:r w:rsidRPr="00214C3B">
              <w:rPr>
                <w:rFonts w:cstheme="minorHAnsi"/>
              </w:rPr>
              <w:t>ULN</w:t>
            </w:r>
          </w:p>
        </w:tc>
        <w:tc>
          <w:tcPr>
            <w:tcW w:w="6808" w:type="dxa"/>
          </w:tcPr>
          <w:p w14:paraId="4C3DCED8" w14:textId="77777777" w:rsidR="00214C3B" w:rsidRPr="00214C3B" w:rsidRDefault="00214C3B" w:rsidP="0075660C">
            <w:pPr>
              <w:rPr>
                <w:rFonts w:cstheme="minorHAnsi"/>
              </w:rPr>
            </w:pPr>
            <w:r w:rsidRPr="00214C3B">
              <w:rPr>
                <w:rFonts w:cstheme="minorHAnsi"/>
              </w:rPr>
              <w:t>upper limit of normal</w:t>
            </w:r>
          </w:p>
        </w:tc>
      </w:tr>
      <w:tr w:rsidR="00214C3B" w:rsidRPr="007D6909" w14:paraId="4C3DCEDC" w14:textId="77777777" w:rsidTr="00214C3B">
        <w:tc>
          <w:tcPr>
            <w:tcW w:w="1912" w:type="dxa"/>
          </w:tcPr>
          <w:p w14:paraId="4C3DCEDA" w14:textId="77777777" w:rsidR="00214C3B" w:rsidRPr="00214C3B" w:rsidRDefault="00214C3B" w:rsidP="0075660C">
            <w:pPr>
              <w:rPr>
                <w:rFonts w:cstheme="minorHAnsi"/>
              </w:rPr>
            </w:pPr>
            <w:r w:rsidRPr="00214C3B">
              <w:rPr>
                <w:rFonts w:cstheme="minorHAnsi"/>
              </w:rPr>
              <w:t>Vd</w:t>
            </w:r>
          </w:p>
        </w:tc>
        <w:tc>
          <w:tcPr>
            <w:tcW w:w="6808" w:type="dxa"/>
          </w:tcPr>
          <w:p w14:paraId="4C3DCEDB" w14:textId="77777777" w:rsidR="00214C3B" w:rsidRPr="00214C3B" w:rsidRDefault="00214C3B" w:rsidP="0075660C">
            <w:pPr>
              <w:rPr>
                <w:rFonts w:cstheme="minorHAnsi"/>
              </w:rPr>
            </w:pPr>
            <w:r w:rsidRPr="00214C3B">
              <w:rPr>
                <w:rFonts w:cs="TimesNewRoman"/>
              </w:rPr>
              <w:t>volume of distribution</w:t>
            </w:r>
          </w:p>
        </w:tc>
      </w:tr>
      <w:tr w:rsidR="00214C3B" w:rsidRPr="007D6909" w14:paraId="4C3DCEDF" w14:textId="77777777" w:rsidTr="00214C3B">
        <w:tc>
          <w:tcPr>
            <w:tcW w:w="1912" w:type="dxa"/>
          </w:tcPr>
          <w:p w14:paraId="4C3DCEDD" w14:textId="77777777" w:rsidR="00214C3B" w:rsidRPr="00214C3B" w:rsidRDefault="00214C3B" w:rsidP="0075660C">
            <w:pPr>
              <w:rPr>
                <w:rFonts w:cstheme="minorHAnsi"/>
              </w:rPr>
            </w:pPr>
            <w:r w:rsidRPr="00214C3B">
              <w:rPr>
                <w:rFonts w:cstheme="minorHAnsi"/>
              </w:rPr>
              <w:t>Vss</w:t>
            </w:r>
          </w:p>
        </w:tc>
        <w:tc>
          <w:tcPr>
            <w:tcW w:w="6808" w:type="dxa"/>
          </w:tcPr>
          <w:p w14:paraId="4C3DCEDE" w14:textId="77777777" w:rsidR="00214C3B" w:rsidRPr="00214C3B" w:rsidRDefault="00214C3B" w:rsidP="0075660C">
            <w:pPr>
              <w:rPr>
                <w:rFonts w:cstheme="minorHAnsi"/>
              </w:rPr>
            </w:pPr>
            <w:r w:rsidRPr="00214C3B">
              <w:rPr>
                <w:rFonts w:cs="TimesNewRoman"/>
              </w:rPr>
              <w:t>apparent volume of distribution at steady state following an intravascular administration</w:t>
            </w:r>
          </w:p>
        </w:tc>
      </w:tr>
      <w:tr w:rsidR="00214C3B" w:rsidRPr="007D6909" w14:paraId="4C3DCEE2" w14:textId="77777777" w:rsidTr="00214C3B">
        <w:tc>
          <w:tcPr>
            <w:tcW w:w="1912" w:type="dxa"/>
          </w:tcPr>
          <w:p w14:paraId="4C3DCEE0" w14:textId="77777777" w:rsidR="00214C3B" w:rsidRPr="00214C3B" w:rsidRDefault="00214C3B" w:rsidP="0075660C">
            <w:pPr>
              <w:rPr>
                <w:rFonts w:cstheme="minorHAnsi"/>
              </w:rPr>
            </w:pPr>
            <w:proofErr w:type="spellStart"/>
            <w:r w:rsidRPr="00214C3B">
              <w:rPr>
                <w:rFonts w:cstheme="minorHAnsi"/>
              </w:rPr>
              <w:lastRenderedPageBreak/>
              <w:t>Vz</w:t>
            </w:r>
            <w:proofErr w:type="spellEnd"/>
            <w:r w:rsidRPr="00214C3B">
              <w:rPr>
                <w:rFonts w:cstheme="minorHAnsi"/>
              </w:rPr>
              <w:t>/F</w:t>
            </w:r>
          </w:p>
        </w:tc>
        <w:tc>
          <w:tcPr>
            <w:tcW w:w="6808" w:type="dxa"/>
          </w:tcPr>
          <w:p w14:paraId="4C3DCEE1" w14:textId="77777777" w:rsidR="00214C3B" w:rsidRPr="00214C3B" w:rsidRDefault="00214C3B" w:rsidP="0075660C">
            <w:pPr>
              <w:rPr>
                <w:rFonts w:cstheme="minorHAnsi"/>
              </w:rPr>
            </w:pPr>
            <w:r w:rsidRPr="00214C3B">
              <w:rPr>
                <w:rFonts w:cstheme="minorHAnsi"/>
              </w:rPr>
              <w:t>apparent volume of distribution</w:t>
            </w:r>
          </w:p>
        </w:tc>
      </w:tr>
      <w:tr w:rsidR="00214C3B" w:rsidRPr="007D6909" w14:paraId="4C3DCEE5" w14:textId="77777777" w:rsidTr="00214C3B">
        <w:tc>
          <w:tcPr>
            <w:tcW w:w="1912" w:type="dxa"/>
          </w:tcPr>
          <w:p w14:paraId="4C3DCEE3" w14:textId="77777777" w:rsidR="00214C3B" w:rsidRPr="00214C3B" w:rsidRDefault="00214C3B" w:rsidP="0075660C">
            <w:pPr>
              <w:rPr>
                <w:rFonts w:cstheme="minorHAnsi"/>
              </w:rPr>
            </w:pPr>
            <w:r w:rsidRPr="00214C3B">
              <w:rPr>
                <w:rFonts w:cstheme="minorHAnsi"/>
              </w:rPr>
              <w:t>WAM</w:t>
            </w:r>
          </w:p>
        </w:tc>
        <w:tc>
          <w:tcPr>
            <w:tcW w:w="6808" w:type="dxa"/>
          </w:tcPr>
          <w:p w14:paraId="4C3DCEE4" w14:textId="77777777" w:rsidR="00214C3B" w:rsidRPr="00214C3B" w:rsidRDefault="00214C3B" w:rsidP="0075660C">
            <w:pPr>
              <w:rPr>
                <w:rFonts w:cstheme="minorHAnsi"/>
              </w:rPr>
            </w:pPr>
            <w:r w:rsidRPr="00214C3B">
              <w:rPr>
                <w:rFonts w:cstheme="minorHAnsi"/>
              </w:rPr>
              <w:t>Wald’s Approximation Method</w:t>
            </w:r>
          </w:p>
        </w:tc>
      </w:tr>
      <w:tr w:rsidR="00214C3B" w:rsidRPr="006B5C4B" w14:paraId="4C3DCEE8" w14:textId="77777777" w:rsidTr="00214C3B">
        <w:tc>
          <w:tcPr>
            <w:tcW w:w="1912" w:type="dxa"/>
          </w:tcPr>
          <w:p w14:paraId="4C3DCEE6" w14:textId="77777777" w:rsidR="00214C3B" w:rsidRPr="00214C3B" w:rsidRDefault="00214C3B" w:rsidP="0075660C">
            <w:pPr>
              <w:rPr>
                <w:rFonts w:cstheme="minorHAnsi"/>
              </w:rPr>
            </w:pPr>
            <w:r w:rsidRPr="00214C3B">
              <w:rPr>
                <w:rFonts w:cstheme="minorHAnsi"/>
              </w:rPr>
              <w:t>WBC</w:t>
            </w:r>
          </w:p>
        </w:tc>
        <w:tc>
          <w:tcPr>
            <w:tcW w:w="6808" w:type="dxa"/>
          </w:tcPr>
          <w:p w14:paraId="4C3DCEE7" w14:textId="77777777" w:rsidR="00214C3B" w:rsidRPr="00214C3B" w:rsidRDefault="00214C3B" w:rsidP="0075660C">
            <w:pPr>
              <w:rPr>
                <w:rFonts w:cstheme="minorHAnsi"/>
              </w:rPr>
            </w:pPr>
            <w:r w:rsidRPr="00214C3B">
              <w:rPr>
                <w:rFonts w:cstheme="minorHAnsi"/>
              </w:rPr>
              <w:t>white blood cell count</w:t>
            </w:r>
          </w:p>
        </w:tc>
      </w:tr>
    </w:tbl>
    <w:p w14:paraId="4C3DCEE9"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C3DCEEA" w14:textId="77777777" w:rsidR="008E7846" w:rsidRDefault="00F53C07" w:rsidP="008E7846">
      <w:pPr>
        <w:pStyle w:val="Heading2"/>
      </w:pPr>
      <w:bookmarkStart w:id="9" w:name="_Toc484510869"/>
      <w:r>
        <w:lastRenderedPageBreak/>
        <w:t>I.</w:t>
      </w:r>
      <w:r w:rsidR="008E7846">
        <w:t xml:space="preserve"> Introduction to product submission</w:t>
      </w:r>
      <w:bookmarkEnd w:id="9"/>
      <w:bookmarkEnd w:id="3"/>
      <w:bookmarkEnd w:id="0"/>
    </w:p>
    <w:p w14:paraId="4C3DCEEB" w14:textId="77777777" w:rsidR="008E7846" w:rsidRDefault="008E7846" w:rsidP="008E7846">
      <w:pPr>
        <w:pStyle w:val="Heading3"/>
        <w:rPr>
          <w:lang w:eastAsia="en-AU"/>
        </w:rPr>
      </w:pPr>
      <w:bookmarkStart w:id="10" w:name="_Toc247691502"/>
      <w:bookmarkStart w:id="11" w:name="_Toc314842483"/>
      <w:bookmarkStart w:id="12" w:name="_Toc484510870"/>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307"/>
        <w:gridCol w:w="283"/>
      </w:tblGrid>
      <w:tr w:rsidR="008E7846" w:rsidRPr="003D1E62" w14:paraId="4C3DCEEE" w14:textId="77777777" w:rsidTr="00817A61">
        <w:trPr>
          <w:trHeight w:hRule="exact" w:val="454"/>
        </w:trPr>
        <w:tc>
          <w:tcPr>
            <w:tcW w:w="2907" w:type="dxa"/>
          </w:tcPr>
          <w:p w14:paraId="4C3DCEEC"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4C3DCEED" w14:textId="77777777" w:rsidR="008E7846" w:rsidRPr="003D1E62" w:rsidRDefault="008E7846" w:rsidP="001F3FD2">
            <w:r w:rsidRPr="003D1E62">
              <w:t xml:space="preserve">New </w:t>
            </w:r>
            <w:r w:rsidR="001B5C90">
              <w:t>c</w:t>
            </w:r>
            <w:r w:rsidRPr="003D1E62">
              <w:t xml:space="preserve">hemical </w:t>
            </w:r>
            <w:r w:rsidR="001B5C90">
              <w:t>e</w:t>
            </w:r>
            <w:r w:rsidR="001F3FD2">
              <w:t>ntity</w:t>
            </w:r>
          </w:p>
        </w:tc>
      </w:tr>
      <w:tr w:rsidR="008E7846" w:rsidRPr="003D1E62" w14:paraId="4C3DCEF1" w14:textId="77777777" w:rsidTr="00817A61">
        <w:trPr>
          <w:trHeight w:hRule="exact" w:val="454"/>
        </w:trPr>
        <w:tc>
          <w:tcPr>
            <w:tcW w:w="2907" w:type="dxa"/>
          </w:tcPr>
          <w:p w14:paraId="4C3DCEEF" w14:textId="77777777" w:rsidR="008E7846" w:rsidRPr="003D1E62" w:rsidRDefault="008E7846" w:rsidP="003D1E62">
            <w:r w:rsidRPr="003D1E62">
              <w:rPr>
                <w:i/>
              </w:rPr>
              <w:t>Decision</w:t>
            </w:r>
            <w:r w:rsidRPr="003D1E62">
              <w:t>:</w:t>
            </w:r>
          </w:p>
        </w:tc>
        <w:tc>
          <w:tcPr>
            <w:tcW w:w="6590" w:type="dxa"/>
            <w:gridSpan w:val="2"/>
          </w:tcPr>
          <w:p w14:paraId="4C3DCEF0" w14:textId="77777777" w:rsidR="008E7846" w:rsidRPr="003D1E62" w:rsidRDefault="008E7846" w:rsidP="00214C3B">
            <w:r w:rsidRPr="003D1E62">
              <w:t xml:space="preserve">Approved </w:t>
            </w:r>
          </w:p>
        </w:tc>
      </w:tr>
      <w:tr w:rsidR="008E7846" w:rsidRPr="003D1E62" w14:paraId="4C3DCEF4" w14:textId="77777777" w:rsidTr="00817A61">
        <w:trPr>
          <w:trHeight w:hRule="exact" w:val="454"/>
        </w:trPr>
        <w:tc>
          <w:tcPr>
            <w:tcW w:w="2907" w:type="dxa"/>
          </w:tcPr>
          <w:p w14:paraId="4C3DCEF2"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4C3DCEF3" w14:textId="77777777" w:rsidR="008E7846" w:rsidRPr="003D1E62" w:rsidRDefault="00C7769E" w:rsidP="001B5C90">
            <w:r>
              <w:t>25 August 2016</w:t>
            </w:r>
          </w:p>
        </w:tc>
      </w:tr>
      <w:tr w:rsidR="00ED2922" w:rsidRPr="003D1E62" w14:paraId="4C3DCEF7" w14:textId="77777777" w:rsidTr="00817A61">
        <w:trPr>
          <w:trHeight w:hRule="exact" w:val="454"/>
        </w:trPr>
        <w:tc>
          <w:tcPr>
            <w:tcW w:w="2907" w:type="dxa"/>
          </w:tcPr>
          <w:p w14:paraId="4C3DCEF5" w14:textId="77777777" w:rsidR="00ED2922" w:rsidRPr="00441C3F" w:rsidRDefault="00ED2922" w:rsidP="001B5C90">
            <w:pPr>
              <w:rPr>
                <w:i/>
              </w:rPr>
            </w:pPr>
            <w:r w:rsidRPr="00441C3F">
              <w:rPr>
                <w:i/>
              </w:rPr>
              <w:t>Date of entry onto ARTG</w:t>
            </w:r>
          </w:p>
        </w:tc>
        <w:tc>
          <w:tcPr>
            <w:tcW w:w="6590" w:type="dxa"/>
            <w:gridSpan w:val="2"/>
          </w:tcPr>
          <w:p w14:paraId="4C3DCEF6" w14:textId="77777777" w:rsidR="00ED2922" w:rsidRPr="00441C3F" w:rsidRDefault="00C7769E" w:rsidP="00EC463D">
            <w:pPr>
              <w:rPr>
                <w:i/>
              </w:rPr>
            </w:pPr>
            <w:r>
              <w:t>29 August 2016</w:t>
            </w:r>
          </w:p>
        </w:tc>
      </w:tr>
      <w:tr w:rsidR="008E7846" w:rsidRPr="00487162" w14:paraId="4C3DCEFB" w14:textId="77777777" w:rsidTr="00817A61">
        <w:trPr>
          <w:gridAfter w:val="1"/>
          <w:wAfter w:w="283" w:type="dxa"/>
        </w:trPr>
        <w:tc>
          <w:tcPr>
            <w:tcW w:w="2907" w:type="dxa"/>
          </w:tcPr>
          <w:p w14:paraId="4C3DCEF9" w14:textId="77777777" w:rsidR="008E7846" w:rsidRPr="00487162" w:rsidRDefault="001B5C90" w:rsidP="00E45619">
            <w:pPr>
              <w:rPr>
                <w:i/>
              </w:rPr>
            </w:pPr>
            <w:r>
              <w:rPr>
                <w:i/>
              </w:rPr>
              <w:t>Active ingredient(s):</w:t>
            </w:r>
          </w:p>
        </w:tc>
        <w:tc>
          <w:tcPr>
            <w:tcW w:w="6307" w:type="dxa"/>
          </w:tcPr>
          <w:p w14:paraId="4C3DCEFA" w14:textId="77777777" w:rsidR="008E7846" w:rsidRPr="00487162" w:rsidRDefault="002437C0" w:rsidP="002437C0">
            <w:proofErr w:type="spellStart"/>
            <w:r>
              <w:t>E</w:t>
            </w:r>
            <w:r w:rsidRPr="002437C0">
              <w:t>lbasvir</w:t>
            </w:r>
            <w:proofErr w:type="spellEnd"/>
            <w:r w:rsidR="00214C3B">
              <w:t>/</w:t>
            </w:r>
            <w:proofErr w:type="spellStart"/>
            <w:r>
              <w:t>G</w:t>
            </w:r>
            <w:r w:rsidRPr="002437C0">
              <w:t>razoprevir</w:t>
            </w:r>
            <w:proofErr w:type="spellEnd"/>
          </w:p>
        </w:tc>
      </w:tr>
      <w:tr w:rsidR="008E7846" w:rsidRPr="00487162" w14:paraId="4C3DCEFE" w14:textId="77777777" w:rsidTr="00817A61">
        <w:trPr>
          <w:gridAfter w:val="1"/>
          <w:wAfter w:w="283" w:type="dxa"/>
        </w:trPr>
        <w:tc>
          <w:tcPr>
            <w:tcW w:w="2907" w:type="dxa"/>
          </w:tcPr>
          <w:p w14:paraId="4C3DCEFC" w14:textId="77777777" w:rsidR="008E7846" w:rsidRPr="00487162" w:rsidRDefault="008E7846" w:rsidP="001B5C90">
            <w:pPr>
              <w:rPr>
                <w:i/>
              </w:rPr>
            </w:pPr>
            <w:r w:rsidRPr="00487162">
              <w:rPr>
                <w:i/>
              </w:rPr>
              <w:t>Product</w:t>
            </w:r>
            <w:r w:rsidR="001B5C90">
              <w:rPr>
                <w:i/>
              </w:rPr>
              <w:t xml:space="preserve"> name(s):</w:t>
            </w:r>
          </w:p>
        </w:tc>
        <w:tc>
          <w:tcPr>
            <w:tcW w:w="6307" w:type="dxa"/>
          </w:tcPr>
          <w:p w14:paraId="4C3DCEFD" w14:textId="77777777" w:rsidR="008E7846" w:rsidRPr="00487162" w:rsidRDefault="00214C3B" w:rsidP="00E45619">
            <w:proofErr w:type="spellStart"/>
            <w:r w:rsidRPr="00C7769E">
              <w:t>Zepatier</w:t>
            </w:r>
            <w:proofErr w:type="spellEnd"/>
          </w:p>
        </w:tc>
      </w:tr>
      <w:tr w:rsidR="008E7846" w:rsidRPr="00487162" w14:paraId="4C3DCF02" w14:textId="77777777" w:rsidTr="00817A61">
        <w:trPr>
          <w:gridAfter w:val="1"/>
          <w:wAfter w:w="283" w:type="dxa"/>
        </w:trPr>
        <w:tc>
          <w:tcPr>
            <w:tcW w:w="2907" w:type="dxa"/>
          </w:tcPr>
          <w:p w14:paraId="4C3DCEFF"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4C3DCF00" w14:textId="77777777" w:rsidR="00C7769E" w:rsidRDefault="00C7769E" w:rsidP="00C7769E">
            <w:r>
              <w:t xml:space="preserve">Merck Sharp and </w:t>
            </w:r>
            <w:proofErr w:type="spellStart"/>
            <w:r>
              <w:t>Dohme</w:t>
            </w:r>
            <w:proofErr w:type="spellEnd"/>
            <w:r>
              <w:t xml:space="preserve"> (Australia) Pty Limited</w:t>
            </w:r>
          </w:p>
          <w:p w14:paraId="4C3DCF01" w14:textId="77777777" w:rsidR="008E7846" w:rsidRPr="00487162" w:rsidRDefault="00C7769E" w:rsidP="00C7769E">
            <w:r>
              <w:t>26 Talavera Road, Macquarie Park NSW 2113</w:t>
            </w:r>
          </w:p>
        </w:tc>
      </w:tr>
      <w:tr w:rsidR="008E7846" w:rsidRPr="00487162" w14:paraId="4C3DCF05" w14:textId="77777777" w:rsidTr="00817A61">
        <w:trPr>
          <w:gridAfter w:val="1"/>
          <w:wAfter w:w="283" w:type="dxa"/>
        </w:trPr>
        <w:tc>
          <w:tcPr>
            <w:tcW w:w="2907" w:type="dxa"/>
          </w:tcPr>
          <w:p w14:paraId="4C3DCF03" w14:textId="77777777" w:rsidR="008E7846" w:rsidRPr="00487162" w:rsidRDefault="001B5C90" w:rsidP="00E45619">
            <w:pPr>
              <w:rPr>
                <w:i/>
              </w:rPr>
            </w:pPr>
            <w:r>
              <w:rPr>
                <w:i/>
              </w:rPr>
              <w:t>Dose form(s):</w:t>
            </w:r>
          </w:p>
        </w:tc>
        <w:tc>
          <w:tcPr>
            <w:tcW w:w="6307" w:type="dxa"/>
          </w:tcPr>
          <w:p w14:paraId="4C3DCF04" w14:textId="77777777" w:rsidR="008E7846" w:rsidRPr="00487162" w:rsidRDefault="00C7769E" w:rsidP="00E45619">
            <w:r>
              <w:t>Tablet</w:t>
            </w:r>
          </w:p>
        </w:tc>
      </w:tr>
      <w:tr w:rsidR="008E7846" w:rsidRPr="00487162" w14:paraId="4C3DCF08" w14:textId="77777777" w:rsidTr="00817A61">
        <w:trPr>
          <w:gridAfter w:val="1"/>
          <w:wAfter w:w="283" w:type="dxa"/>
        </w:trPr>
        <w:tc>
          <w:tcPr>
            <w:tcW w:w="2907" w:type="dxa"/>
          </w:tcPr>
          <w:p w14:paraId="4C3DCF06" w14:textId="77777777" w:rsidR="008E7846" w:rsidRPr="00487162" w:rsidRDefault="008E7846" w:rsidP="00E45619">
            <w:pPr>
              <w:rPr>
                <w:i/>
              </w:rPr>
            </w:pPr>
            <w:r w:rsidRPr="00487162">
              <w:rPr>
                <w:i/>
              </w:rPr>
              <w:t xml:space="preserve">Strength(s): </w:t>
            </w:r>
          </w:p>
        </w:tc>
        <w:tc>
          <w:tcPr>
            <w:tcW w:w="6307" w:type="dxa"/>
          </w:tcPr>
          <w:p w14:paraId="4C3DCF07" w14:textId="77777777" w:rsidR="008E7846" w:rsidRPr="00487162" w:rsidRDefault="00C7769E" w:rsidP="00E45619">
            <w:r w:rsidRPr="00C7769E">
              <w:t>5</w:t>
            </w:r>
            <w:r w:rsidR="004C1037">
              <w:t>0 mg</w:t>
            </w:r>
            <w:r w:rsidRPr="00C7769E">
              <w:t>/10</w:t>
            </w:r>
            <w:r w:rsidR="004C1037">
              <w:t>0 mg</w:t>
            </w:r>
          </w:p>
        </w:tc>
      </w:tr>
      <w:tr w:rsidR="008E7846" w:rsidRPr="00487162" w14:paraId="4C3DCF0B" w14:textId="77777777" w:rsidTr="00817A61">
        <w:trPr>
          <w:gridAfter w:val="1"/>
          <w:wAfter w:w="283" w:type="dxa"/>
        </w:trPr>
        <w:tc>
          <w:tcPr>
            <w:tcW w:w="2907" w:type="dxa"/>
          </w:tcPr>
          <w:p w14:paraId="4C3DCF09" w14:textId="77777777" w:rsidR="008E7846" w:rsidRPr="00487162" w:rsidRDefault="008E7846" w:rsidP="00E45619">
            <w:pPr>
              <w:rPr>
                <w:i/>
              </w:rPr>
            </w:pPr>
            <w:r w:rsidRPr="00487162">
              <w:rPr>
                <w:i/>
              </w:rPr>
              <w:t>Container(s):</w:t>
            </w:r>
          </w:p>
        </w:tc>
        <w:tc>
          <w:tcPr>
            <w:tcW w:w="6307" w:type="dxa"/>
          </w:tcPr>
          <w:p w14:paraId="4C3DCF0A" w14:textId="77777777" w:rsidR="008E7846" w:rsidRPr="00487162" w:rsidRDefault="00C7769E" w:rsidP="00E45619">
            <w:r>
              <w:t>Blister pack</w:t>
            </w:r>
          </w:p>
        </w:tc>
      </w:tr>
      <w:tr w:rsidR="008E7846" w:rsidRPr="00487162" w14:paraId="4C3DCF0E" w14:textId="77777777" w:rsidTr="00817A61">
        <w:trPr>
          <w:gridAfter w:val="1"/>
          <w:wAfter w:w="283" w:type="dxa"/>
        </w:trPr>
        <w:tc>
          <w:tcPr>
            <w:tcW w:w="2907" w:type="dxa"/>
          </w:tcPr>
          <w:p w14:paraId="4C3DCF0C" w14:textId="77777777" w:rsidR="008E7846" w:rsidRPr="00487162" w:rsidRDefault="008E7846" w:rsidP="00E45619">
            <w:pPr>
              <w:rPr>
                <w:i/>
              </w:rPr>
            </w:pPr>
            <w:r w:rsidRPr="00487162">
              <w:rPr>
                <w:i/>
              </w:rPr>
              <w:t>Pack size(s):</w:t>
            </w:r>
          </w:p>
        </w:tc>
        <w:tc>
          <w:tcPr>
            <w:tcW w:w="6307" w:type="dxa"/>
          </w:tcPr>
          <w:p w14:paraId="4C3DCF0D" w14:textId="77777777" w:rsidR="008E7846" w:rsidRPr="00487162" w:rsidRDefault="00D80B0A" w:rsidP="00E45619">
            <w:r>
              <w:t>28</w:t>
            </w:r>
          </w:p>
        </w:tc>
      </w:tr>
      <w:tr w:rsidR="008E7846" w:rsidRPr="00487162" w14:paraId="4C3DCF11" w14:textId="77777777" w:rsidTr="00817A61">
        <w:trPr>
          <w:gridAfter w:val="1"/>
          <w:wAfter w:w="283" w:type="dxa"/>
        </w:trPr>
        <w:tc>
          <w:tcPr>
            <w:tcW w:w="2907" w:type="dxa"/>
          </w:tcPr>
          <w:p w14:paraId="4C3DCF0F"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4C3DCF10" w14:textId="77777777" w:rsidR="008E7846" w:rsidRPr="00487162" w:rsidRDefault="00214C3B" w:rsidP="00214C3B">
            <w:pPr>
              <w:rPr>
                <w:rFonts w:eastAsia="MS Mincho"/>
                <w:lang w:eastAsia="ja-JP"/>
              </w:rPr>
            </w:pPr>
            <w:proofErr w:type="spellStart"/>
            <w:r w:rsidRPr="00CD0EF9">
              <w:t>Zepatier</w:t>
            </w:r>
            <w:proofErr w:type="spellEnd"/>
            <w:r w:rsidRPr="00CD0EF9">
              <w:t xml:space="preserve"> </w:t>
            </w:r>
            <w:r w:rsidR="00C7769E" w:rsidRPr="00CD0EF9">
              <w:t xml:space="preserve">is indicated for the treatment of Chronic Hepatitis C genotype </w:t>
            </w:r>
            <w:r w:rsidR="00C7769E" w:rsidRPr="00967AFE">
              <w:t>1 or 4</w:t>
            </w:r>
            <w:r w:rsidR="00C7769E" w:rsidRPr="009240B7">
              <w:t xml:space="preserve"> </w:t>
            </w:r>
            <w:r w:rsidR="00C7769E" w:rsidRPr="00CD0EF9">
              <w:t xml:space="preserve">infection in adults (see </w:t>
            </w:r>
            <w:r>
              <w:t>D</w:t>
            </w:r>
            <w:r w:rsidRPr="00CD0EF9">
              <w:t xml:space="preserve">osage and </w:t>
            </w:r>
            <w:r>
              <w:t>a</w:t>
            </w:r>
            <w:r w:rsidRPr="00CD0EF9">
              <w:t xml:space="preserve">dministration and </w:t>
            </w:r>
            <w:r>
              <w:t>C</w:t>
            </w:r>
            <w:r w:rsidRPr="00CD0EF9">
              <w:t>linical trials</w:t>
            </w:r>
            <w:r w:rsidR="00C7769E" w:rsidRPr="00CD0EF9">
              <w:t>).</w:t>
            </w:r>
          </w:p>
        </w:tc>
      </w:tr>
      <w:tr w:rsidR="008E7846" w:rsidRPr="00487162" w14:paraId="4C3DCF14" w14:textId="77777777" w:rsidTr="00817A61">
        <w:trPr>
          <w:gridAfter w:val="1"/>
          <w:wAfter w:w="283" w:type="dxa"/>
        </w:trPr>
        <w:tc>
          <w:tcPr>
            <w:tcW w:w="2907" w:type="dxa"/>
          </w:tcPr>
          <w:p w14:paraId="4C3DCF12" w14:textId="77777777" w:rsidR="008E7846" w:rsidRPr="00487162" w:rsidRDefault="008E7846" w:rsidP="00E45619">
            <w:pPr>
              <w:rPr>
                <w:i/>
              </w:rPr>
            </w:pPr>
            <w:r w:rsidRPr="00487162">
              <w:rPr>
                <w:i/>
              </w:rPr>
              <w:t>Route(s) of administration:</w:t>
            </w:r>
          </w:p>
        </w:tc>
        <w:tc>
          <w:tcPr>
            <w:tcW w:w="6307" w:type="dxa"/>
          </w:tcPr>
          <w:p w14:paraId="4C3DCF13" w14:textId="77777777" w:rsidR="008E7846" w:rsidRPr="00487162" w:rsidRDefault="00C7769E" w:rsidP="00C7769E">
            <w:r>
              <w:t>Oral (PO)</w:t>
            </w:r>
          </w:p>
        </w:tc>
      </w:tr>
      <w:tr w:rsidR="008E7846" w:rsidRPr="00487162" w14:paraId="4C3DCF17" w14:textId="77777777" w:rsidTr="00817A61">
        <w:trPr>
          <w:gridAfter w:val="1"/>
          <w:wAfter w:w="283" w:type="dxa"/>
        </w:trPr>
        <w:tc>
          <w:tcPr>
            <w:tcW w:w="2907" w:type="dxa"/>
          </w:tcPr>
          <w:p w14:paraId="4C3DCF15" w14:textId="77777777" w:rsidR="008E7846" w:rsidRPr="00487162" w:rsidRDefault="008E7846" w:rsidP="00E45619">
            <w:pPr>
              <w:rPr>
                <w:i/>
              </w:rPr>
            </w:pPr>
            <w:r w:rsidRPr="00487162">
              <w:rPr>
                <w:i/>
              </w:rPr>
              <w:t>Dosage:</w:t>
            </w:r>
          </w:p>
        </w:tc>
        <w:tc>
          <w:tcPr>
            <w:tcW w:w="6307" w:type="dxa"/>
          </w:tcPr>
          <w:p w14:paraId="4C3DCF16" w14:textId="77777777" w:rsidR="008E7846" w:rsidRPr="00487162" w:rsidRDefault="00D80B0A" w:rsidP="00D80B0A">
            <w:r>
              <w:t>One 100 mg/50 mg tablet taken daily.</w:t>
            </w:r>
          </w:p>
        </w:tc>
      </w:tr>
      <w:tr w:rsidR="008E7846" w:rsidRPr="00487162" w14:paraId="4C3DCF1A" w14:textId="77777777" w:rsidTr="00817A61">
        <w:trPr>
          <w:gridAfter w:val="1"/>
          <w:wAfter w:w="283" w:type="dxa"/>
        </w:trPr>
        <w:tc>
          <w:tcPr>
            <w:tcW w:w="2907" w:type="dxa"/>
          </w:tcPr>
          <w:p w14:paraId="4C3DCF18" w14:textId="77777777"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14:paraId="4C3DCF19" w14:textId="77777777" w:rsidR="008E7846" w:rsidRPr="00487162" w:rsidRDefault="00C7769E" w:rsidP="00E45619">
            <w:r w:rsidRPr="00C7769E">
              <w:t>AUST R 259928</w:t>
            </w:r>
          </w:p>
        </w:tc>
      </w:tr>
    </w:tbl>
    <w:p w14:paraId="4C3DCF1B" w14:textId="77777777" w:rsidR="008E7846" w:rsidRDefault="008E7846" w:rsidP="008E7846">
      <w:pPr>
        <w:pStyle w:val="Heading3"/>
      </w:pPr>
      <w:bookmarkStart w:id="13" w:name="_Toc247691503"/>
      <w:bookmarkStart w:id="14" w:name="_Toc314842484"/>
      <w:bookmarkStart w:id="15" w:name="_Toc484510871"/>
      <w:r>
        <w:t>Product background</w:t>
      </w:r>
      <w:bookmarkEnd w:id="13"/>
      <w:bookmarkEnd w:id="14"/>
      <w:bookmarkEnd w:id="15"/>
    </w:p>
    <w:p w14:paraId="4C3DCF1C" w14:textId="77777777" w:rsidR="007B0857" w:rsidRPr="007B0857" w:rsidRDefault="00940A89" w:rsidP="007B0857">
      <w:r w:rsidRPr="00940A89">
        <w:t>This AusPAR describes the application by the sponsor to register</w:t>
      </w:r>
      <w:bookmarkStart w:id="16" w:name="_Toc314842485"/>
      <w:bookmarkStart w:id="17" w:name="_Toc247691504"/>
      <w:r w:rsidR="00BF7341" w:rsidRPr="00BF7341">
        <w:t xml:space="preserve"> </w:t>
      </w:r>
      <w:r w:rsidR="007B0857">
        <w:t>two</w:t>
      </w:r>
      <w:r w:rsidR="00BF7341" w:rsidRPr="00BF7341">
        <w:t xml:space="preserve"> </w:t>
      </w:r>
      <w:r w:rsidR="007B0857">
        <w:t>n</w:t>
      </w:r>
      <w:r w:rsidR="00BF7341" w:rsidRPr="00BF7341">
        <w:t xml:space="preserve">ew </w:t>
      </w:r>
      <w:r w:rsidR="007B0857">
        <w:t>c</w:t>
      </w:r>
      <w:r w:rsidR="00BF7341" w:rsidRPr="00BF7341">
        <w:t xml:space="preserve">hemical </w:t>
      </w:r>
      <w:r w:rsidR="007B0857">
        <w:t>e</w:t>
      </w:r>
      <w:r w:rsidR="00BF7341" w:rsidRPr="00BF7341">
        <w:t>ntities</w:t>
      </w:r>
      <w:r w:rsidR="007B0857">
        <w:t xml:space="preserve">, </w:t>
      </w:r>
      <w:proofErr w:type="spellStart"/>
      <w:r w:rsidR="002437C0" w:rsidRPr="002437C0">
        <w:t>elbasvir</w:t>
      </w:r>
      <w:proofErr w:type="spellEnd"/>
      <w:r w:rsidR="002437C0" w:rsidRPr="002437C0">
        <w:t xml:space="preserve"> </w:t>
      </w:r>
      <w:r w:rsidR="007B0857" w:rsidRPr="007B0857">
        <w:t>(EBR</w:t>
      </w:r>
      <w:r w:rsidR="00D80B0A">
        <w:t>; 50 mg</w:t>
      </w:r>
      <w:r w:rsidR="007B0857" w:rsidRPr="007B0857">
        <w:t xml:space="preserve">) and </w:t>
      </w:r>
      <w:proofErr w:type="spellStart"/>
      <w:r w:rsidR="002437C0" w:rsidRPr="002437C0">
        <w:t>grazoprevir</w:t>
      </w:r>
      <w:proofErr w:type="spellEnd"/>
      <w:r w:rsidR="002437C0" w:rsidRPr="002437C0">
        <w:t xml:space="preserve"> </w:t>
      </w:r>
      <w:r w:rsidR="007B0857" w:rsidRPr="007B0857">
        <w:t>(GZR</w:t>
      </w:r>
      <w:r w:rsidR="00D80B0A">
        <w:t>; 100 mg</w:t>
      </w:r>
      <w:r w:rsidR="007B0857" w:rsidRPr="007B0857">
        <w:t>), for use in the treatment of Chronic Hepatitis C Virus (HCV) infection</w:t>
      </w:r>
      <w:r w:rsidR="00BF7341" w:rsidRPr="007B0857">
        <w:t xml:space="preserve"> in an oral Fixed Dose Combination</w:t>
      </w:r>
      <w:r w:rsidR="007B0857" w:rsidRPr="007B0857">
        <w:t xml:space="preserve"> </w:t>
      </w:r>
      <w:r w:rsidR="00D80B0A">
        <w:t xml:space="preserve">(FDC) under the name </w:t>
      </w:r>
      <w:proofErr w:type="spellStart"/>
      <w:r w:rsidR="00D80B0A">
        <w:t>Zepatier</w:t>
      </w:r>
      <w:proofErr w:type="spellEnd"/>
      <w:r w:rsidR="00D80B0A">
        <w:t xml:space="preserve"> </w:t>
      </w:r>
      <w:r w:rsidR="007B0857" w:rsidRPr="007B0857">
        <w:t>for the p</w:t>
      </w:r>
      <w:r w:rsidR="00BF7341" w:rsidRPr="007B0857">
        <w:t>roposed indication</w:t>
      </w:r>
      <w:r w:rsidR="00D80B0A">
        <w:t>:</w:t>
      </w:r>
    </w:p>
    <w:p w14:paraId="4C3DCF1D" w14:textId="77777777" w:rsidR="00BF7341" w:rsidRPr="007B0857" w:rsidRDefault="007B0857" w:rsidP="007B0857">
      <w:pPr>
        <w:ind w:left="720"/>
        <w:rPr>
          <w:i/>
        </w:rPr>
      </w:pPr>
      <w:proofErr w:type="spellStart"/>
      <w:r w:rsidRPr="007B0857">
        <w:rPr>
          <w:i/>
        </w:rPr>
        <w:t>Zepatier</w:t>
      </w:r>
      <w:proofErr w:type="spellEnd"/>
      <w:r w:rsidRPr="007B0857">
        <w:rPr>
          <w:i/>
        </w:rPr>
        <w:t xml:space="preserve"> </w:t>
      </w:r>
      <w:r w:rsidR="00BF7341" w:rsidRPr="007B0857">
        <w:rPr>
          <w:i/>
        </w:rPr>
        <w:t xml:space="preserve">is indicated for the treatment of Chronic Hepatitis C infection in adults (see </w:t>
      </w:r>
      <w:proofErr w:type="spellStart"/>
      <w:r w:rsidRPr="007B0857">
        <w:rPr>
          <w:i/>
        </w:rPr>
        <w:t>Ddosage</w:t>
      </w:r>
      <w:proofErr w:type="spellEnd"/>
      <w:r w:rsidRPr="007B0857">
        <w:rPr>
          <w:i/>
        </w:rPr>
        <w:t xml:space="preserve"> and administration </w:t>
      </w:r>
      <w:r w:rsidR="00BF7341" w:rsidRPr="007B0857">
        <w:rPr>
          <w:i/>
        </w:rPr>
        <w:t xml:space="preserve">and </w:t>
      </w:r>
      <w:r w:rsidRPr="007B0857">
        <w:rPr>
          <w:i/>
        </w:rPr>
        <w:t>Clinical trials</w:t>
      </w:r>
      <w:r w:rsidR="00BF7341" w:rsidRPr="007B0857">
        <w:rPr>
          <w:i/>
        </w:rPr>
        <w:t>)</w:t>
      </w:r>
      <w:proofErr w:type="gramStart"/>
      <w:r w:rsidR="00BF7341" w:rsidRPr="007B0857">
        <w:rPr>
          <w:i/>
        </w:rPr>
        <w:t>.(</w:t>
      </w:r>
      <w:proofErr w:type="gramEnd"/>
      <w:r w:rsidR="00BF7341" w:rsidRPr="007B0857">
        <w:rPr>
          <w:i/>
        </w:rPr>
        <w:t xml:space="preserve">See </w:t>
      </w:r>
      <w:r w:rsidRPr="007B0857">
        <w:rPr>
          <w:i/>
        </w:rPr>
        <w:t xml:space="preserve">Clinical trials </w:t>
      </w:r>
      <w:r w:rsidR="00BF7341" w:rsidRPr="007B0857">
        <w:rPr>
          <w:i/>
        </w:rPr>
        <w:t>for information on HCV genotype-specific activity.)</w:t>
      </w:r>
    </w:p>
    <w:p w14:paraId="4C3DCF1E" w14:textId="77777777" w:rsidR="00D80B0A" w:rsidRDefault="00D80B0A" w:rsidP="002456EE">
      <w:r>
        <w:t>The proposed product is</w:t>
      </w:r>
      <w:r w:rsidRPr="00BF7341">
        <w:t xml:space="preserve"> intended for </w:t>
      </w:r>
      <w:r>
        <w:t>once daily oral administration</w:t>
      </w:r>
      <w:r w:rsidR="002456EE">
        <w:t xml:space="preserve"> </w:t>
      </w:r>
      <w:r w:rsidR="002456EE" w:rsidRPr="001C0843">
        <w:t>once daily</w:t>
      </w:r>
      <w:r w:rsidR="002456EE">
        <w:t xml:space="preserve"> for 8 or 12 weeks. In special patient groups </w:t>
      </w:r>
      <w:proofErr w:type="spellStart"/>
      <w:r w:rsidR="002456EE">
        <w:t>Zepatier</w:t>
      </w:r>
      <w:proofErr w:type="spellEnd"/>
      <w:r w:rsidR="002456EE">
        <w:t xml:space="preserve">® may be used in combination with ribavirin for 16 weeks or with </w:t>
      </w:r>
      <w:proofErr w:type="spellStart"/>
      <w:r w:rsidR="002456EE">
        <w:t>sofosbuvir</w:t>
      </w:r>
      <w:proofErr w:type="spellEnd"/>
      <w:r w:rsidR="002456EE">
        <w:t xml:space="preserve"> for 12 weeks.</w:t>
      </w:r>
    </w:p>
    <w:p w14:paraId="4C3DCF1F" w14:textId="77777777" w:rsidR="00D80B0A" w:rsidRDefault="00D80B0A" w:rsidP="00D80B0A">
      <w:r>
        <w:t xml:space="preserve">EBR and GZR are two </w:t>
      </w:r>
      <w:r w:rsidRPr="007B0857">
        <w:t xml:space="preserve">Direct Acting Antiviral </w:t>
      </w:r>
      <w:r>
        <w:t>(DAA) agents targeting different and complimentary aspects of Hepatitis C replication:</w:t>
      </w:r>
    </w:p>
    <w:p w14:paraId="3ED16204" w14:textId="77777777" w:rsidR="00655550" w:rsidRDefault="00D80B0A" w:rsidP="00D80B0A">
      <w:pPr>
        <w:pStyle w:val="ListBullet"/>
      </w:pPr>
      <w:r>
        <w:lastRenderedPageBreak/>
        <w:t>GZR</w:t>
      </w:r>
      <w:r w:rsidRPr="00E03F31">
        <w:t xml:space="preserve"> </w:t>
      </w:r>
      <w:r>
        <w:t>is a novel, pan-genotypic inhibitor of the HCV NS3/4A protease, which is necessary for the proteolytic cleavage of the HCV encoded polyprotein and is essential for viral replication.</w:t>
      </w:r>
    </w:p>
    <w:p w14:paraId="4C3DCF21" w14:textId="14C759EC" w:rsidR="00D80B0A" w:rsidRDefault="00D80B0A" w:rsidP="00D80B0A">
      <w:pPr>
        <w:pStyle w:val="ListBullet"/>
      </w:pPr>
      <w:r>
        <w:t xml:space="preserve">EBR is an inhibitor of HCV NS5A, which is essential for viral RNA replication and </w:t>
      </w:r>
      <w:proofErr w:type="spellStart"/>
      <w:r>
        <w:t>virion</w:t>
      </w:r>
      <w:proofErr w:type="spellEnd"/>
      <w:r>
        <w:t xml:space="preserve"> assembly.</w:t>
      </w:r>
    </w:p>
    <w:p w14:paraId="4C3DCF22" w14:textId="77777777" w:rsidR="00D80B0A" w:rsidRPr="00E03F31" w:rsidRDefault="00D80B0A" w:rsidP="00D80B0A">
      <w:r>
        <w:t>Combining GZR and EBR was stated to give an additive effect in blocking HCV RNA replication and suppressed the emergence of resistance by creating a high genetic barrier. GZR and EBR apparently do not impact the clinical pharmacokinetics of each other when co-administered.</w:t>
      </w:r>
    </w:p>
    <w:p w14:paraId="4C3DCF23" w14:textId="77777777" w:rsidR="00D80B0A" w:rsidRDefault="00D80B0A" w:rsidP="00D80B0A">
      <w:r>
        <w:t xml:space="preserve">The proposed combination is stated to offer a simple, well-tolerated, ribavirin and interferon-free regimen for patients with HCV genotypes 3, 4 and 6 and treats HCV infected patients in hard to treat populations, including those co-infected with </w:t>
      </w:r>
      <w:r w:rsidR="0063568C" w:rsidRPr="00214C3B">
        <w:rPr>
          <w:rFonts w:asciiTheme="minorHAnsi" w:hAnsiTheme="minorHAnsi"/>
          <w:sz w:val="20"/>
          <w:szCs w:val="20"/>
        </w:rPr>
        <w:t>Human immunodeficiency virus</w:t>
      </w:r>
      <w:r w:rsidR="0063568C">
        <w:t xml:space="preserve"> (</w:t>
      </w:r>
      <w:r>
        <w:t>HIV</w:t>
      </w:r>
      <w:r w:rsidR="0063568C">
        <w:t>)</w:t>
      </w:r>
      <w:r>
        <w:t xml:space="preserve"> or those with chronic kidney disease.</w:t>
      </w:r>
    </w:p>
    <w:p w14:paraId="4C3DCF24" w14:textId="77777777" w:rsidR="00BF7341" w:rsidRDefault="00BF7341" w:rsidP="007B0857">
      <w:r w:rsidRPr="00BF7341">
        <w:t xml:space="preserve">A number of DAAs are </w:t>
      </w:r>
      <w:r w:rsidR="007B0857">
        <w:t>currently approved in Australia (see Table 2 below)</w:t>
      </w:r>
      <w:r w:rsidRPr="00BF7341">
        <w:t>.</w:t>
      </w:r>
    </w:p>
    <w:p w14:paraId="4C3DCF25" w14:textId="77777777" w:rsidR="008E7846" w:rsidRPr="003F31A2" w:rsidRDefault="00386150" w:rsidP="00BF7341">
      <w:pPr>
        <w:pStyle w:val="Heading3"/>
      </w:pPr>
      <w:bookmarkStart w:id="18" w:name="_Toc484510872"/>
      <w:r>
        <w:t>Regulatory s</w:t>
      </w:r>
      <w:r w:rsidR="008E7846">
        <w:t>tatus</w:t>
      </w:r>
      <w:bookmarkEnd w:id="16"/>
      <w:bookmarkEnd w:id="17"/>
      <w:bookmarkEnd w:id="18"/>
    </w:p>
    <w:p w14:paraId="4C3DCF26" w14:textId="77777777" w:rsidR="00940A89" w:rsidRPr="00940A89" w:rsidRDefault="00940A89" w:rsidP="00940A89">
      <w:bookmarkStart w:id="19" w:name="_Toc247691505"/>
      <w:bookmarkStart w:id="20" w:name="_Toc314842486"/>
      <w:r w:rsidRPr="00940A89">
        <w:t>Th</w:t>
      </w:r>
      <w:r w:rsidR="00D80B0A">
        <w:t>is is an application to register a fixed combination of two new chemical entities which have not been registered in Australia previously.</w:t>
      </w:r>
    </w:p>
    <w:p w14:paraId="4C3DCF27" w14:textId="1AFE2DA3" w:rsidR="00940A89" w:rsidRDefault="00940A89" w:rsidP="00940A89">
      <w:r w:rsidRPr="00940A89">
        <w:t xml:space="preserve">At the time the TGA considered this application a similar application had been approved in </w:t>
      </w:r>
      <w:r w:rsidR="00D80B0A">
        <w:t>Canada, Switzerland and USA</w:t>
      </w:r>
      <w:r w:rsidRPr="00940A89">
        <w:t xml:space="preserve"> was under co</w:t>
      </w:r>
      <w:r>
        <w:t xml:space="preserve">nsideration in </w:t>
      </w:r>
      <w:r w:rsidR="00D80B0A">
        <w:t>the European Union and New Zealand (Table 1).</w:t>
      </w:r>
    </w:p>
    <w:p w14:paraId="4C3DCF28" w14:textId="77777777" w:rsidR="00D80B0A" w:rsidRDefault="00D80B0A" w:rsidP="00D80B0A">
      <w:pPr>
        <w:pStyle w:val="TableTitle"/>
      </w:pPr>
      <w:r>
        <w:t xml:space="preserve">Table 1: International status of </w:t>
      </w:r>
      <w:proofErr w:type="spellStart"/>
      <w:r>
        <w:t>Zepatier</w:t>
      </w:r>
      <w:proofErr w:type="spellEnd"/>
    </w:p>
    <w:tbl>
      <w:tblPr>
        <w:tblStyle w:val="TableTGAblue"/>
        <w:tblW w:w="0" w:type="auto"/>
        <w:tblLook w:val="04A0" w:firstRow="1" w:lastRow="0" w:firstColumn="1" w:lastColumn="0" w:noHBand="0" w:noVBand="1"/>
      </w:tblPr>
      <w:tblGrid>
        <w:gridCol w:w="2376"/>
        <w:gridCol w:w="2694"/>
        <w:gridCol w:w="3650"/>
      </w:tblGrid>
      <w:tr w:rsidR="00981B71" w:rsidRPr="00655550" w14:paraId="4C3DCF2C" w14:textId="77777777" w:rsidTr="00CA5C2C">
        <w:trPr>
          <w:cnfStyle w:val="100000000000" w:firstRow="1" w:lastRow="0" w:firstColumn="0" w:lastColumn="0" w:oddVBand="0" w:evenVBand="0" w:oddHBand="0" w:evenHBand="0" w:firstRowFirstColumn="0" w:firstRowLastColumn="0" w:lastRowFirstColumn="0" w:lastRowLastColumn="0"/>
        </w:trPr>
        <w:tc>
          <w:tcPr>
            <w:tcW w:w="2376" w:type="dxa"/>
          </w:tcPr>
          <w:p w14:paraId="4C3DCF29" w14:textId="77777777" w:rsidR="00981B71" w:rsidRPr="00655550" w:rsidRDefault="00981B71" w:rsidP="00655550">
            <w:pPr>
              <w:ind w:left="142"/>
              <w:rPr>
                <w:sz w:val="20"/>
                <w:szCs w:val="20"/>
              </w:rPr>
            </w:pPr>
            <w:r w:rsidRPr="00655550">
              <w:rPr>
                <w:sz w:val="20"/>
                <w:szCs w:val="20"/>
              </w:rPr>
              <w:t>Country</w:t>
            </w:r>
          </w:p>
        </w:tc>
        <w:tc>
          <w:tcPr>
            <w:tcW w:w="2694" w:type="dxa"/>
          </w:tcPr>
          <w:p w14:paraId="4C3DCF2A" w14:textId="77777777" w:rsidR="00981B71" w:rsidRPr="00655550" w:rsidRDefault="00981B71" w:rsidP="00655550">
            <w:pPr>
              <w:ind w:left="34"/>
              <w:rPr>
                <w:sz w:val="20"/>
                <w:szCs w:val="20"/>
              </w:rPr>
            </w:pPr>
            <w:r w:rsidRPr="00655550">
              <w:rPr>
                <w:sz w:val="20"/>
                <w:szCs w:val="20"/>
              </w:rPr>
              <w:t>Approval date</w:t>
            </w:r>
          </w:p>
        </w:tc>
        <w:tc>
          <w:tcPr>
            <w:tcW w:w="3650" w:type="dxa"/>
          </w:tcPr>
          <w:p w14:paraId="4C3DCF2B" w14:textId="77777777" w:rsidR="00981B71" w:rsidRPr="00655550" w:rsidRDefault="00981B71" w:rsidP="00655550">
            <w:pPr>
              <w:ind w:right="140"/>
              <w:rPr>
                <w:sz w:val="20"/>
                <w:szCs w:val="20"/>
              </w:rPr>
            </w:pPr>
            <w:r w:rsidRPr="00655550">
              <w:rPr>
                <w:sz w:val="20"/>
                <w:szCs w:val="20"/>
              </w:rPr>
              <w:t>Approved Indications</w:t>
            </w:r>
          </w:p>
        </w:tc>
      </w:tr>
      <w:tr w:rsidR="00981B71" w:rsidRPr="00655550" w14:paraId="4C3DCF30" w14:textId="77777777" w:rsidTr="00655550">
        <w:tc>
          <w:tcPr>
            <w:tcW w:w="2376" w:type="dxa"/>
          </w:tcPr>
          <w:p w14:paraId="4C3DCF2D" w14:textId="77777777" w:rsidR="00981B71" w:rsidRPr="00655550" w:rsidRDefault="00981B71" w:rsidP="00655550">
            <w:pPr>
              <w:ind w:left="142"/>
              <w:rPr>
                <w:sz w:val="20"/>
                <w:szCs w:val="20"/>
              </w:rPr>
            </w:pPr>
            <w:r w:rsidRPr="00655550">
              <w:rPr>
                <w:sz w:val="20"/>
                <w:szCs w:val="20"/>
              </w:rPr>
              <w:t>Canada</w:t>
            </w:r>
          </w:p>
        </w:tc>
        <w:tc>
          <w:tcPr>
            <w:tcW w:w="2694" w:type="dxa"/>
          </w:tcPr>
          <w:p w14:paraId="4C3DCF2E" w14:textId="77777777" w:rsidR="00981B71" w:rsidRPr="00655550" w:rsidRDefault="00981B71" w:rsidP="00655550">
            <w:pPr>
              <w:ind w:left="34"/>
              <w:rPr>
                <w:sz w:val="20"/>
                <w:szCs w:val="20"/>
              </w:rPr>
            </w:pPr>
            <w:r w:rsidRPr="00655550">
              <w:rPr>
                <w:sz w:val="20"/>
                <w:szCs w:val="20"/>
              </w:rPr>
              <w:t>19</w:t>
            </w:r>
            <w:r w:rsidR="00D80B0A" w:rsidRPr="00655550">
              <w:rPr>
                <w:sz w:val="20"/>
                <w:szCs w:val="20"/>
              </w:rPr>
              <w:t xml:space="preserve"> </w:t>
            </w:r>
            <w:r w:rsidRPr="00655550">
              <w:rPr>
                <w:sz w:val="20"/>
                <w:szCs w:val="20"/>
              </w:rPr>
              <w:t>Jan</w:t>
            </w:r>
            <w:r w:rsidR="00D80B0A" w:rsidRPr="00655550">
              <w:rPr>
                <w:sz w:val="20"/>
                <w:szCs w:val="20"/>
              </w:rPr>
              <w:t xml:space="preserve">uary </w:t>
            </w:r>
            <w:r w:rsidRPr="00655550">
              <w:rPr>
                <w:sz w:val="20"/>
                <w:szCs w:val="20"/>
              </w:rPr>
              <w:t>2016</w:t>
            </w:r>
          </w:p>
        </w:tc>
        <w:tc>
          <w:tcPr>
            <w:tcW w:w="3650" w:type="dxa"/>
          </w:tcPr>
          <w:p w14:paraId="4C3DCF2F" w14:textId="77777777" w:rsidR="00981B71" w:rsidRPr="00655550" w:rsidRDefault="00D80B0A" w:rsidP="00655550">
            <w:pPr>
              <w:ind w:right="140"/>
              <w:rPr>
                <w:sz w:val="20"/>
                <w:szCs w:val="20"/>
              </w:rPr>
            </w:pPr>
            <w:proofErr w:type="spellStart"/>
            <w:r w:rsidRPr="00655550">
              <w:rPr>
                <w:sz w:val="20"/>
                <w:szCs w:val="20"/>
              </w:rPr>
              <w:t>Zepatier</w:t>
            </w:r>
            <w:proofErr w:type="spellEnd"/>
            <w:r w:rsidR="00981B71" w:rsidRPr="00655550">
              <w:rPr>
                <w:sz w:val="20"/>
                <w:szCs w:val="20"/>
              </w:rPr>
              <w:t xml:space="preserve"> (</w:t>
            </w:r>
            <w:r w:rsidR="002437C0" w:rsidRPr="00655550">
              <w:rPr>
                <w:sz w:val="20"/>
                <w:szCs w:val="20"/>
              </w:rPr>
              <w:t>EBR</w:t>
            </w:r>
            <w:r w:rsidR="00981B71" w:rsidRPr="00655550">
              <w:rPr>
                <w:sz w:val="20"/>
                <w:szCs w:val="20"/>
              </w:rPr>
              <w:t>/</w:t>
            </w:r>
            <w:r w:rsidR="002437C0" w:rsidRPr="00655550">
              <w:rPr>
                <w:sz w:val="20"/>
                <w:szCs w:val="20"/>
              </w:rPr>
              <w:t>GZR</w:t>
            </w:r>
            <w:r w:rsidR="00981B71" w:rsidRPr="00655550">
              <w:rPr>
                <w:sz w:val="20"/>
                <w:szCs w:val="20"/>
              </w:rPr>
              <w:t xml:space="preserve">) is indicated for the treatment of chronic hepatitis C (CHC) genotypes 1, 3, or 4 </w:t>
            </w:r>
            <w:proofErr w:type="gramStart"/>
            <w:r w:rsidR="00981B71" w:rsidRPr="00655550">
              <w:rPr>
                <w:sz w:val="20"/>
                <w:szCs w:val="20"/>
              </w:rPr>
              <w:t>infection</w:t>
            </w:r>
            <w:proofErr w:type="gramEnd"/>
            <w:r w:rsidR="00981B71" w:rsidRPr="00655550">
              <w:rPr>
                <w:sz w:val="20"/>
                <w:szCs w:val="20"/>
              </w:rPr>
              <w:t xml:space="preserve"> in adults.</w:t>
            </w:r>
          </w:p>
        </w:tc>
      </w:tr>
      <w:tr w:rsidR="00981B71" w:rsidRPr="00655550" w14:paraId="4C3DCF37" w14:textId="77777777" w:rsidTr="00655550">
        <w:tc>
          <w:tcPr>
            <w:tcW w:w="2376" w:type="dxa"/>
          </w:tcPr>
          <w:p w14:paraId="22E006DE" w14:textId="77777777" w:rsidR="0075660C" w:rsidRDefault="00981B71" w:rsidP="0075660C">
            <w:pPr>
              <w:ind w:left="142"/>
              <w:rPr>
                <w:sz w:val="20"/>
                <w:szCs w:val="20"/>
              </w:rPr>
            </w:pPr>
            <w:r w:rsidRPr="00655550">
              <w:rPr>
                <w:sz w:val="20"/>
                <w:szCs w:val="20"/>
              </w:rPr>
              <w:t>EU *</w:t>
            </w:r>
            <w:r w:rsidR="00D80B0A" w:rsidRPr="00655550">
              <w:rPr>
                <w:sz w:val="20"/>
                <w:szCs w:val="20"/>
              </w:rPr>
              <w:t xml:space="preserve"> </w:t>
            </w:r>
            <w:r w:rsidRPr="00655550">
              <w:rPr>
                <w:sz w:val="20"/>
                <w:szCs w:val="20"/>
              </w:rPr>
              <w:t>via</w:t>
            </w:r>
            <w:r w:rsidR="0075660C">
              <w:rPr>
                <w:sz w:val="20"/>
                <w:szCs w:val="20"/>
              </w:rPr>
              <w:t xml:space="preserve"> </w:t>
            </w:r>
          </w:p>
          <w:p w14:paraId="4C3DCF32" w14:textId="077449F2" w:rsidR="00981B71" w:rsidRPr="00655550" w:rsidRDefault="00D80B0A" w:rsidP="0075660C">
            <w:pPr>
              <w:ind w:left="142"/>
              <w:rPr>
                <w:sz w:val="20"/>
                <w:szCs w:val="20"/>
              </w:rPr>
            </w:pPr>
            <w:r w:rsidRPr="00655550">
              <w:rPr>
                <w:sz w:val="20"/>
                <w:szCs w:val="20"/>
              </w:rPr>
              <w:t>C</w:t>
            </w:r>
            <w:r w:rsidR="00981B71" w:rsidRPr="00655550">
              <w:rPr>
                <w:sz w:val="20"/>
                <w:szCs w:val="20"/>
              </w:rPr>
              <w:t>entralized</w:t>
            </w:r>
            <w:r w:rsidRPr="00655550">
              <w:rPr>
                <w:sz w:val="20"/>
                <w:szCs w:val="20"/>
              </w:rPr>
              <w:t xml:space="preserve"> </w:t>
            </w:r>
            <w:r w:rsidR="00981B71" w:rsidRPr="00655550">
              <w:rPr>
                <w:sz w:val="20"/>
                <w:szCs w:val="20"/>
              </w:rPr>
              <w:t>procedure</w:t>
            </w:r>
          </w:p>
        </w:tc>
        <w:tc>
          <w:tcPr>
            <w:tcW w:w="2694" w:type="dxa"/>
          </w:tcPr>
          <w:p w14:paraId="4C3DCF34" w14:textId="7926ACB6" w:rsidR="00981B71" w:rsidRPr="00655550" w:rsidRDefault="00981B71" w:rsidP="0075660C">
            <w:pPr>
              <w:ind w:left="34"/>
              <w:rPr>
                <w:sz w:val="20"/>
                <w:szCs w:val="20"/>
              </w:rPr>
            </w:pPr>
            <w:r w:rsidRPr="00655550">
              <w:rPr>
                <w:sz w:val="20"/>
                <w:szCs w:val="20"/>
              </w:rPr>
              <w:t>Projected Approval Date:</w:t>
            </w:r>
            <w:r w:rsidR="0075660C">
              <w:rPr>
                <w:sz w:val="20"/>
                <w:szCs w:val="20"/>
              </w:rPr>
              <w:t xml:space="preserve"> </w:t>
            </w:r>
            <w:r w:rsidRPr="00655550">
              <w:rPr>
                <w:sz w:val="20"/>
                <w:szCs w:val="20"/>
              </w:rPr>
              <w:t>Early Aug-2016</w:t>
            </w:r>
          </w:p>
        </w:tc>
        <w:tc>
          <w:tcPr>
            <w:tcW w:w="3650" w:type="dxa"/>
          </w:tcPr>
          <w:p w14:paraId="4C3DCF35" w14:textId="77777777" w:rsidR="00981B71" w:rsidRPr="00655550" w:rsidRDefault="00D80B0A" w:rsidP="00655550">
            <w:pPr>
              <w:ind w:right="140"/>
              <w:rPr>
                <w:sz w:val="20"/>
                <w:szCs w:val="20"/>
              </w:rPr>
            </w:pPr>
            <w:proofErr w:type="spellStart"/>
            <w:r w:rsidRPr="00655550">
              <w:rPr>
                <w:sz w:val="20"/>
                <w:szCs w:val="20"/>
              </w:rPr>
              <w:t>Zepatier</w:t>
            </w:r>
            <w:proofErr w:type="spellEnd"/>
            <w:r w:rsidR="00981B71" w:rsidRPr="00655550">
              <w:rPr>
                <w:sz w:val="20"/>
                <w:szCs w:val="20"/>
              </w:rPr>
              <w:t xml:space="preserve"> is indicated for the treatment of chronic hepatitis C</w:t>
            </w:r>
            <w:r w:rsidRPr="00655550">
              <w:rPr>
                <w:sz w:val="20"/>
                <w:szCs w:val="20"/>
              </w:rPr>
              <w:t xml:space="preserve"> </w:t>
            </w:r>
            <w:r w:rsidR="00981B71" w:rsidRPr="00655550">
              <w:rPr>
                <w:sz w:val="20"/>
                <w:szCs w:val="20"/>
              </w:rPr>
              <w:t>(CHC) in adults (see sections 4.2, 4.4 and 5.1).</w:t>
            </w:r>
          </w:p>
          <w:p w14:paraId="4C3DCF36" w14:textId="77777777" w:rsidR="00981B71" w:rsidRPr="00655550" w:rsidRDefault="00981B71" w:rsidP="00655550">
            <w:pPr>
              <w:ind w:right="140"/>
              <w:rPr>
                <w:sz w:val="20"/>
                <w:szCs w:val="20"/>
              </w:rPr>
            </w:pPr>
            <w:r w:rsidRPr="00655550">
              <w:rPr>
                <w:sz w:val="20"/>
                <w:szCs w:val="20"/>
              </w:rPr>
              <w:t>For hepatitis C virus (HCV) genotype-specific activity see sections</w:t>
            </w:r>
            <w:r w:rsidR="00D80B0A" w:rsidRPr="00655550">
              <w:rPr>
                <w:sz w:val="20"/>
                <w:szCs w:val="20"/>
              </w:rPr>
              <w:t xml:space="preserve"> </w:t>
            </w:r>
            <w:r w:rsidRPr="00655550">
              <w:rPr>
                <w:sz w:val="20"/>
                <w:szCs w:val="20"/>
              </w:rPr>
              <w:t>4.4 and 5.1.</w:t>
            </w:r>
          </w:p>
        </w:tc>
      </w:tr>
      <w:tr w:rsidR="00981B71" w:rsidRPr="00655550" w14:paraId="4C3DCF3C" w14:textId="77777777" w:rsidTr="00655550">
        <w:tc>
          <w:tcPr>
            <w:tcW w:w="2376" w:type="dxa"/>
          </w:tcPr>
          <w:p w14:paraId="4C3DCF38" w14:textId="77777777" w:rsidR="00981B71" w:rsidRPr="00655550" w:rsidRDefault="00981B71" w:rsidP="00655550">
            <w:pPr>
              <w:ind w:left="142"/>
              <w:rPr>
                <w:sz w:val="20"/>
                <w:szCs w:val="20"/>
              </w:rPr>
            </w:pPr>
            <w:r w:rsidRPr="00655550">
              <w:rPr>
                <w:sz w:val="20"/>
                <w:szCs w:val="20"/>
              </w:rPr>
              <w:t>New Zealand</w:t>
            </w:r>
          </w:p>
        </w:tc>
        <w:tc>
          <w:tcPr>
            <w:tcW w:w="2694" w:type="dxa"/>
          </w:tcPr>
          <w:p w14:paraId="4C3DCF3A" w14:textId="6985D3BC" w:rsidR="00981B71" w:rsidRPr="00655550" w:rsidRDefault="00981B71" w:rsidP="0075660C">
            <w:pPr>
              <w:ind w:left="34"/>
              <w:rPr>
                <w:sz w:val="20"/>
                <w:szCs w:val="20"/>
              </w:rPr>
            </w:pPr>
            <w:r w:rsidRPr="00655550">
              <w:rPr>
                <w:sz w:val="20"/>
                <w:szCs w:val="20"/>
              </w:rPr>
              <w:t>Projected Approval Date:</w:t>
            </w:r>
            <w:r w:rsidR="0075660C">
              <w:rPr>
                <w:sz w:val="20"/>
                <w:szCs w:val="20"/>
              </w:rPr>
              <w:t xml:space="preserve"> </w:t>
            </w:r>
            <w:r w:rsidRPr="00655550">
              <w:rPr>
                <w:sz w:val="20"/>
                <w:szCs w:val="20"/>
              </w:rPr>
              <w:t>1</w:t>
            </w:r>
            <w:r w:rsidR="00D80B0A" w:rsidRPr="00655550">
              <w:rPr>
                <w:sz w:val="20"/>
                <w:szCs w:val="20"/>
              </w:rPr>
              <w:t xml:space="preserve"> </w:t>
            </w:r>
            <w:r w:rsidRPr="00655550">
              <w:rPr>
                <w:sz w:val="20"/>
                <w:szCs w:val="20"/>
              </w:rPr>
              <w:t>Dec</w:t>
            </w:r>
            <w:r w:rsidR="00D80B0A" w:rsidRPr="00655550">
              <w:rPr>
                <w:sz w:val="20"/>
                <w:szCs w:val="20"/>
              </w:rPr>
              <w:t xml:space="preserve">ember </w:t>
            </w:r>
            <w:r w:rsidRPr="00655550">
              <w:rPr>
                <w:sz w:val="20"/>
                <w:szCs w:val="20"/>
              </w:rPr>
              <w:t>2016</w:t>
            </w:r>
          </w:p>
        </w:tc>
        <w:tc>
          <w:tcPr>
            <w:tcW w:w="3650" w:type="dxa"/>
          </w:tcPr>
          <w:p w14:paraId="4C3DCF3B" w14:textId="77777777" w:rsidR="00981B71" w:rsidRPr="00655550" w:rsidRDefault="00D80B0A" w:rsidP="00655550">
            <w:pPr>
              <w:ind w:right="140"/>
              <w:rPr>
                <w:sz w:val="20"/>
                <w:szCs w:val="20"/>
              </w:rPr>
            </w:pPr>
            <w:proofErr w:type="spellStart"/>
            <w:r w:rsidRPr="00655550">
              <w:rPr>
                <w:sz w:val="20"/>
                <w:szCs w:val="20"/>
              </w:rPr>
              <w:t>Zepatier</w:t>
            </w:r>
            <w:proofErr w:type="spellEnd"/>
            <w:r w:rsidR="00981B71" w:rsidRPr="00655550">
              <w:rPr>
                <w:sz w:val="20"/>
                <w:szCs w:val="20"/>
              </w:rPr>
              <w:t xml:space="preserve"> is indicated for the treatment of chronic hepatitis C (CHC) in adults.</w:t>
            </w:r>
          </w:p>
        </w:tc>
      </w:tr>
      <w:tr w:rsidR="00981B71" w:rsidRPr="00655550" w14:paraId="4C3DCF40" w14:textId="77777777" w:rsidTr="00655550">
        <w:tc>
          <w:tcPr>
            <w:tcW w:w="2376" w:type="dxa"/>
          </w:tcPr>
          <w:p w14:paraId="4C3DCF3D" w14:textId="77777777" w:rsidR="00981B71" w:rsidRPr="00655550" w:rsidRDefault="00981B71" w:rsidP="00655550">
            <w:pPr>
              <w:ind w:left="142"/>
              <w:rPr>
                <w:sz w:val="20"/>
                <w:szCs w:val="20"/>
              </w:rPr>
            </w:pPr>
            <w:r w:rsidRPr="00655550">
              <w:rPr>
                <w:sz w:val="20"/>
                <w:szCs w:val="20"/>
              </w:rPr>
              <w:t>Switzerland</w:t>
            </w:r>
          </w:p>
        </w:tc>
        <w:tc>
          <w:tcPr>
            <w:tcW w:w="2694" w:type="dxa"/>
          </w:tcPr>
          <w:p w14:paraId="4C3DCF3E" w14:textId="77777777" w:rsidR="00981B71" w:rsidRPr="00655550" w:rsidRDefault="00981B71" w:rsidP="00655550">
            <w:pPr>
              <w:ind w:left="34"/>
              <w:rPr>
                <w:sz w:val="20"/>
                <w:szCs w:val="20"/>
              </w:rPr>
            </w:pPr>
            <w:r w:rsidRPr="00655550">
              <w:rPr>
                <w:sz w:val="20"/>
                <w:szCs w:val="20"/>
              </w:rPr>
              <w:t>1</w:t>
            </w:r>
            <w:r w:rsidR="00D80B0A" w:rsidRPr="00655550">
              <w:rPr>
                <w:sz w:val="20"/>
                <w:szCs w:val="20"/>
              </w:rPr>
              <w:t xml:space="preserve"> </w:t>
            </w:r>
            <w:r w:rsidRPr="00655550">
              <w:rPr>
                <w:sz w:val="20"/>
                <w:szCs w:val="20"/>
              </w:rPr>
              <w:t>Apr</w:t>
            </w:r>
            <w:r w:rsidR="00D80B0A" w:rsidRPr="00655550">
              <w:rPr>
                <w:sz w:val="20"/>
                <w:szCs w:val="20"/>
              </w:rPr>
              <w:t xml:space="preserve">il </w:t>
            </w:r>
            <w:r w:rsidRPr="00655550">
              <w:rPr>
                <w:sz w:val="20"/>
                <w:szCs w:val="20"/>
              </w:rPr>
              <w:t>2016</w:t>
            </w:r>
          </w:p>
        </w:tc>
        <w:tc>
          <w:tcPr>
            <w:tcW w:w="3650" w:type="dxa"/>
          </w:tcPr>
          <w:p w14:paraId="4C3DCF3F" w14:textId="77777777" w:rsidR="00981B71" w:rsidRPr="00655550" w:rsidRDefault="00D80B0A" w:rsidP="00655550">
            <w:pPr>
              <w:ind w:right="140"/>
              <w:rPr>
                <w:sz w:val="20"/>
                <w:szCs w:val="20"/>
              </w:rPr>
            </w:pPr>
            <w:proofErr w:type="spellStart"/>
            <w:r w:rsidRPr="00655550">
              <w:rPr>
                <w:sz w:val="20"/>
                <w:szCs w:val="20"/>
              </w:rPr>
              <w:t>Zepatier</w:t>
            </w:r>
            <w:proofErr w:type="spellEnd"/>
            <w:r w:rsidR="00981B71" w:rsidRPr="00655550">
              <w:rPr>
                <w:sz w:val="20"/>
                <w:szCs w:val="20"/>
              </w:rPr>
              <w:t xml:space="preserve"> is indicated for the treatment of chronic hepatitis C</w:t>
            </w:r>
            <w:r w:rsidRPr="00655550">
              <w:rPr>
                <w:sz w:val="20"/>
                <w:szCs w:val="20"/>
              </w:rPr>
              <w:t xml:space="preserve"> </w:t>
            </w:r>
            <w:r w:rsidR="00981B71" w:rsidRPr="00655550">
              <w:rPr>
                <w:sz w:val="20"/>
                <w:szCs w:val="20"/>
              </w:rPr>
              <w:t>(CHC) of genotype 1 and 4 in adults.</w:t>
            </w:r>
          </w:p>
        </w:tc>
      </w:tr>
      <w:tr w:rsidR="00981B71" w:rsidRPr="00655550" w14:paraId="4C3DCF44" w14:textId="77777777" w:rsidTr="00655550">
        <w:tc>
          <w:tcPr>
            <w:tcW w:w="2376" w:type="dxa"/>
          </w:tcPr>
          <w:p w14:paraId="4C3DCF41" w14:textId="77777777" w:rsidR="00981B71" w:rsidRPr="00655550" w:rsidRDefault="00981B71" w:rsidP="00655550">
            <w:pPr>
              <w:ind w:left="142"/>
              <w:rPr>
                <w:sz w:val="20"/>
                <w:szCs w:val="20"/>
              </w:rPr>
            </w:pPr>
            <w:r w:rsidRPr="00655550">
              <w:rPr>
                <w:sz w:val="20"/>
                <w:szCs w:val="20"/>
              </w:rPr>
              <w:t>USA **</w:t>
            </w:r>
          </w:p>
        </w:tc>
        <w:tc>
          <w:tcPr>
            <w:tcW w:w="2694" w:type="dxa"/>
          </w:tcPr>
          <w:p w14:paraId="4C3DCF42" w14:textId="77777777" w:rsidR="00981B71" w:rsidRPr="00655550" w:rsidRDefault="00981B71" w:rsidP="00655550">
            <w:pPr>
              <w:ind w:left="34"/>
              <w:rPr>
                <w:sz w:val="20"/>
                <w:szCs w:val="20"/>
              </w:rPr>
            </w:pPr>
            <w:r w:rsidRPr="00655550">
              <w:rPr>
                <w:sz w:val="20"/>
                <w:szCs w:val="20"/>
              </w:rPr>
              <w:t>28</w:t>
            </w:r>
            <w:r w:rsidR="00D80B0A" w:rsidRPr="00655550">
              <w:rPr>
                <w:sz w:val="20"/>
                <w:szCs w:val="20"/>
              </w:rPr>
              <w:t xml:space="preserve"> </w:t>
            </w:r>
            <w:r w:rsidRPr="00655550">
              <w:rPr>
                <w:sz w:val="20"/>
                <w:szCs w:val="20"/>
              </w:rPr>
              <w:t>Jan</w:t>
            </w:r>
            <w:r w:rsidR="00D80B0A" w:rsidRPr="00655550">
              <w:rPr>
                <w:sz w:val="20"/>
                <w:szCs w:val="20"/>
              </w:rPr>
              <w:t xml:space="preserve">uary </w:t>
            </w:r>
            <w:r w:rsidRPr="00655550">
              <w:rPr>
                <w:sz w:val="20"/>
                <w:szCs w:val="20"/>
              </w:rPr>
              <w:t>2016</w:t>
            </w:r>
          </w:p>
        </w:tc>
        <w:tc>
          <w:tcPr>
            <w:tcW w:w="3650" w:type="dxa"/>
          </w:tcPr>
          <w:p w14:paraId="4C3DCF43" w14:textId="77777777" w:rsidR="00981B71" w:rsidRPr="00655550" w:rsidRDefault="00D80B0A" w:rsidP="00655550">
            <w:pPr>
              <w:ind w:right="140"/>
              <w:rPr>
                <w:sz w:val="20"/>
                <w:szCs w:val="20"/>
              </w:rPr>
            </w:pPr>
            <w:proofErr w:type="spellStart"/>
            <w:r w:rsidRPr="00655550">
              <w:rPr>
                <w:sz w:val="20"/>
                <w:szCs w:val="20"/>
              </w:rPr>
              <w:t>Zepatier</w:t>
            </w:r>
            <w:proofErr w:type="spellEnd"/>
            <w:r w:rsidR="00981B71" w:rsidRPr="00655550">
              <w:rPr>
                <w:sz w:val="20"/>
                <w:szCs w:val="20"/>
              </w:rPr>
              <w:t xml:space="preserve"> is indicated for the treatment of chronic hepatitis C</w:t>
            </w:r>
            <w:r w:rsidRPr="00655550">
              <w:rPr>
                <w:sz w:val="20"/>
                <w:szCs w:val="20"/>
              </w:rPr>
              <w:t xml:space="preserve"> </w:t>
            </w:r>
            <w:r w:rsidR="00981B71" w:rsidRPr="00655550">
              <w:rPr>
                <w:sz w:val="20"/>
                <w:szCs w:val="20"/>
              </w:rPr>
              <w:t>(CHC) genotype 1 or 4 infection in adults.</w:t>
            </w:r>
          </w:p>
        </w:tc>
      </w:tr>
    </w:tbl>
    <w:p w14:paraId="4C3DCF47" w14:textId="77777777" w:rsidR="00D80B0A" w:rsidRDefault="00D80B0A" w:rsidP="00D80B0A">
      <w:pPr>
        <w:pStyle w:val="TableTitle"/>
      </w:pPr>
      <w:r>
        <w:lastRenderedPageBreak/>
        <w:t>Table 2: DAAs currently approved in Australia (as of May 2016)</w:t>
      </w:r>
    </w:p>
    <w:p w14:paraId="4C3DCF48" w14:textId="77777777" w:rsidR="00BF7341" w:rsidRDefault="00BF7341" w:rsidP="00655550">
      <w:r>
        <w:rPr>
          <w:noProof/>
          <w:lang w:eastAsia="en-AU"/>
        </w:rPr>
        <w:drawing>
          <wp:inline distT="0" distB="0" distL="0" distR="0" wp14:anchorId="4C3DD63D" wp14:editId="4C3DD63E">
            <wp:extent cx="5607904" cy="2684679"/>
            <wp:effectExtent l="0" t="0" r="0" b="1905"/>
            <wp:docPr id="17" name="Picture 17" descr="Table 2: DAAs currently approved in Australia (as of May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lum bright="-20000" contrast="40000"/>
                      <a:extLst>
                        <a:ext uri="{28A0092B-C50C-407E-A947-70E740481C1C}">
                          <a14:useLocalDpi xmlns:a14="http://schemas.microsoft.com/office/drawing/2010/main" val="0"/>
                        </a:ext>
                      </a:extLst>
                    </a:blip>
                    <a:srcRect t="3019"/>
                    <a:stretch/>
                  </pic:blipFill>
                  <pic:spPr bwMode="auto">
                    <a:xfrm>
                      <a:off x="0" y="0"/>
                      <a:ext cx="5614776" cy="2687969"/>
                    </a:xfrm>
                    <a:prstGeom prst="rect">
                      <a:avLst/>
                    </a:prstGeom>
                    <a:noFill/>
                    <a:ln>
                      <a:noFill/>
                    </a:ln>
                    <a:extLst>
                      <a:ext uri="{53640926-AAD7-44D8-BBD7-CCE9431645EC}">
                        <a14:shadowObscured xmlns:a14="http://schemas.microsoft.com/office/drawing/2010/main"/>
                      </a:ext>
                    </a:extLst>
                  </pic:spPr>
                </pic:pic>
              </a:graphicData>
            </a:graphic>
          </wp:inline>
        </w:drawing>
      </w:r>
    </w:p>
    <w:p w14:paraId="4C3DCF49" w14:textId="6D57DAEF" w:rsidR="008E7846" w:rsidRDefault="008E7846" w:rsidP="00940A89">
      <w:pPr>
        <w:pStyle w:val="Heading3"/>
      </w:pPr>
      <w:bookmarkStart w:id="21" w:name="_Toc484510873"/>
      <w:r>
        <w:t xml:space="preserve">Product </w:t>
      </w:r>
      <w:r w:rsidR="0024773E">
        <w:t>i</w:t>
      </w:r>
      <w:r>
        <w:t>nformation</w:t>
      </w:r>
      <w:bookmarkEnd w:id="19"/>
      <w:bookmarkEnd w:id="20"/>
      <w:bookmarkEnd w:id="21"/>
    </w:p>
    <w:p w14:paraId="4C3DCF4A" w14:textId="77777777" w:rsidR="00940A89" w:rsidRDefault="006136D7" w:rsidP="00940A89">
      <w:pPr>
        <w:rPr>
          <w:b/>
          <w:bCs/>
        </w:rPr>
      </w:pPr>
      <w:bookmarkStart w:id="22" w:name="_Toc247691506"/>
      <w:bookmarkStart w:id="23" w:name="_Toc314842487"/>
      <w:r w:rsidRPr="00940A89">
        <w:t xml:space="preserve">The Product Information </w:t>
      </w:r>
      <w:r>
        <w:t xml:space="preserve">approved with the submission which is described in </w:t>
      </w:r>
      <w:r w:rsidRPr="00940A89">
        <w:t xml:space="preserve">this AusPAR can be found as Attachment 1. For the most recent </w:t>
      </w:r>
      <w:r w:rsidR="0088381F" w:rsidRPr="00940A89">
        <w:t>Product Information</w:t>
      </w:r>
      <w:r>
        <w:t>,</w:t>
      </w:r>
      <w:r w:rsidRPr="00940A89">
        <w:t xml:space="preserve"> ple</w:t>
      </w:r>
      <w:r>
        <w:t>ase refer to the TGA website</w:t>
      </w:r>
      <w:r w:rsidRPr="00441C3F">
        <w:t xml:space="preserve"> at </w:t>
      </w:r>
      <w:r w:rsidR="00441C3F" w:rsidRPr="00441C3F">
        <w:t>&lt;</w:t>
      </w:r>
      <w:hyperlink r:id="rId20" w:history="1">
        <w:r w:rsidR="00441C3F" w:rsidRPr="00441C3F">
          <w:rPr>
            <w:rStyle w:val="Hyperlink"/>
          </w:rPr>
          <w:t>https://www.tga.gov.au/product-information-pi</w:t>
        </w:r>
      </w:hyperlink>
      <w:r w:rsidR="00441C3F">
        <w:t>&gt;</w:t>
      </w:r>
      <w:r w:rsidR="00940A89" w:rsidRPr="00940A89">
        <w:t>.</w:t>
      </w:r>
    </w:p>
    <w:p w14:paraId="4C3DCF4B" w14:textId="77777777" w:rsidR="008E7846" w:rsidRPr="003602A9" w:rsidRDefault="008E7846" w:rsidP="008E7846">
      <w:pPr>
        <w:pStyle w:val="Heading2"/>
        <w:ind w:left="-11"/>
      </w:pPr>
      <w:bookmarkStart w:id="24" w:name="_Toc484510874"/>
      <w:r>
        <w:t>II. Quality</w:t>
      </w:r>
      <w:bookmarkEnd w:id="1"/>
      <w:r>
        <w:t xml:space="preserve"> findings</w:t>
      </w:r>
      <w:bookmarkEnd w:id="22"/>
      <w:bookmarkEnd w:id="23"/>
      <w:bookmarkEnd w:id="24"/>
    </w:p>
    <w:p w14:paraId="4C3DCF4C" w14:textId="402A00A9" w:rsidR="00940A89" w:rsidRPr="0024773E" w:rsidRDefault="00940A89" w:rsidP="00940A89">
      <w:pPr>
        <w:pStyle w:val="Heading3"/>
        <w:rPr>
          <w:rFonts w:ascii="Cambria" w:eastAsia="Cambria" w:hAnsi="Cambria"/>
          <w:b w:val="0"/>
          <w:bCs w:val="0"/>
          <w:szCs w:val="22"/>
        </w:rPr>
      </w:pPr>
      <w:bookmarkStart w:id="25" w:name="_Toc484510875"/>
      <w:bookmarkStart w:id="26" w:name="_Toc247691507"/>
      <w:bookmarkStart w:id="27" w:name="_Toc314842488"/>
      <w:r w:rsidRPr="00940A89">
        <w:t>Introduction</w:t>
      </w:r>
      <w:bookmarkEnd w:id="25"/>
    </w:p>
    <w:p w14:paraId="4C3DCF4D" w14:textId="77777777" w:rsidR="00984C98" w:rsidRDefault="00984C98" w:rsidP="00984C98">
      <w:r>
        <w:t xml:space="preserve">The proposed drug product is a film-coated tablet containing 100 mg of </w:t>
      </w:r>
      <w:r w:rsidR="002437C0">
        <w:t>GZR</w:t>
      </w:r>
      <w:r>
        <w:t xml:space="preserve"> and 50 mg of </w:t>
      </w:r>
      <w:r w:rsidR="002437C0">
        <w:t>EBR</w:t>
      </w:r>
      <w:r>
        <w:t xml:space="preserve"> with the appearance </w:t>
      </w:r>
      <w:r w:rsidR="00D80B0A">
        <w:t>‘</w:t>
      </w:r>
      <w:r w:rsidRPr="00FE34ED">
        <w:rPr>
          <w:i/>
        </w:rPr>
        <w:t>beige, oval shaped, film coated tablets, debossed with ‘770 on one side and plain on the othe</w:t>
      </w:r>
      <w:r w:rsidR="00D80B0A">
        <w:rPr>
          <w:i/>
        </w:rPr>
        <w:t>r’</w:t>
      </w:r>
      <w:r>
        <w:t xml:space="preserve"> The tablets are not scored.</w:t>
      </w:r>
    </w:p>
    <w:p w14:paraId="4C3DCF4E" w14:textId="77777777" w:rsidR="00984C98" w:rsidRDefault="00984C98" w:rsidP="00984C98">
      <w:r>
        <w:t>The tablets will be packed in aluminium/aluminium blisters in packs of 28 tablets.</w:t>
      </w:r>
    </w:p>
    <w:p w14:paraId="4C3DCF4F" w14:textId="77777777" w:rsidR="00984C98" w:rsidRDefault="00984C98" w:rsidP="00984C98">
      <w:r>
        <w:t>The proposed dose is one 100 mg/50 mg tablet taken daily with or without food.</w:t>
      </w:r>
    </w:p>
    <w:p w14:paraId="4C3DCF50" w14:textId="77777777" w:rsidR="00984C98" w:rsidRDefault="00984C98" w:rsidP="00984C98">
      <w:r>
        <w:t>The company has not applied to register either active drug as a monotherapy tablet.</w:t>
      </w:r>
    </w:p>
    <w:p w14:paraId="4C3DCF51" w14:textId="77777777" w:rsidR="008E7846" w:rsidRDefault="008E7846" w:rsidP="00940A89">
      <w:pPr>
        <w:pStyle w:val="Heading3"/>
      </w:pPr>
      <w:bookmarkStart w:id="28" w:name="_Toc484510876"/>
      <w:r w:rsidRPr="008751DC">
        <w:t xml:space="preserve">Drug </w:t>
      </w:r>
      <w:r>
        <w:t>s</w:t>
      </w:r>
      <w:r w:rsidRPr="008751DC">
        <w:t>ubstance</w:t>
      </w:r>
      <w:r w:rsidR="00D80B0A">
        <w:t>s</w:t>
      </w:r>
      <w:r>
        <w:t xml:space="preserve"> (active ingredient</w:t>
      </w:r>
      <w:r w:rsidR="00D80B0A">
        <w:t>s</w:t>
      </w:r>
      <w:r>
        <w:t>)</w:t>
      </w:r>
      <w:bookmarkEnd w:id="26"/>
      <w:bookmarkEnd w:id="27"/>
      <w:bookmarkEnd w:id="28"/>
    </w:p>
    <w:p w14:paraId="4C3DCF52" w14:textId="02EC1D4F" w:rsidR="00984C98" w:rsidRPr="00CD165F" w:rsidRDefault="00637905" w:rsidP="00D80B0A">
      <w:pPr>
        <w:pStyle w:val="Heading4"/>
        <w:rPr>
          <w:strike/>
        </w:rPr>
      </w:pPr>
      <w:proofErr w:type="spellStart"/>
      <w:r>
        <w:t>Grazoprevir</w:t>
      </w:r>
      <w:proofErr w:type="spellEnd"/>
      <w:r>
        <w:t xml:space="preserve"> </w:t>
      </w:r>
      <w:r w:rsidR="00922084">
        <w:t>(GZR)</w:t>
      </w:r>
    </w:p>
    <w:p w14:paraId="4C3DCF53" w14:textId="77777777" w:rsidR="00D80B0A" w:rsidRDefault="00D80B0A" w:rsidP="00D80B0A">
      <w:pPr>
        <w:rPr>
          <w:szCs w:val="24"/>
          <w:lang w:val="en-US"/>
        </w:rPr>
      </w:pPr>
      <w:r w:rsidRPr="00D80B0A">
        <w:rPr>
          <w:szCs w:val="24"/>
          <w:lang w:val="en-US"/>
        </w:rPr>
        <w:t xml:space="preserve">GZR </w:t>
      </w:r>
      <w:r>
        <w:rPr>
          <w:szCs w:val="24"/>
          <w:lang w:val="en-US"/>
        </w:rPr>
        <w:t>has the structure shown in Figure 1 below.</w:t>
      </w:r>
    </w:p>
    <w:p w14:paraId="4C3DCF54" w14:textId="77777777" w:rsidR="00D80B0A" w:rsidRPr="00D80B0A" w:rsidRDefault="00D80B0A" w:rsidP="00D80B0A">
      <w:pPr>
        <w:pStyle w:val="FigureTitle"/>
      </w:pPr>
      <w:r>
        <w:rPr>
          <w:lang w:val="en-US"/>
        </w:rPr>
        <w:lastRenderedPageBreak/>
        <w:t>Figure 1: Structure of GZR</w:t>
      </w:r>
    </w:p>
    <w:p w14:paraId="4C3DCF55" w14:textId="77777777" w:rsidR="00984C98" w:rsidRPr="00CF19E6" w:rsidRDefault="00984C98" w:rsidP="00655550">
      <w:pPr>
        <w:rPr>
          <w:b/>
          <w:color w:val="0070C0"/>
          <w:sz w:val="16"/>
        </w:rPr>
      </w:pPr>
      <w:r>
        <w:rPr>
          <w:noProof/>
          <w:lang w:eastAsia="en-AU"/>
        </w:rPr>
        <w:drawing>
          <wp:inline distT="0" distB="0" distL="0" distR="0" wp14:anchorId="4C3DD63F" wp14:editId="4DEEF028">
            <wp:extent cx="2489200" cy="2014855"/>
            <wp:effectExtent l="0" t="0" r="6350" b="4445"/>
            <wp:docPr id="8" name="Picture 8" descr="Figure 1: Structure of G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zoprevir struct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9200" cy="2014855"/>
                    </a:xfrm>
                    <a:prstGeom prst="rect">
                      <a:avLst/>
                    </a:prstGeom>
                    <a:noFill/>
                    <a:ln>
                      <a:noFill/>
                    </a:ln>
                  </pic:spPr>
                </pic:pic>
              </a:graphicData>
            </a:graphic>
          </wp:inline>
        </w:drawing>
      </w:r>
    </w:p>
    <w:p w14:paraId="4C3DCF56" w14:textId="77777777" w:rsidR="00984C98" w:rsidRPr="00EB3090" w:rsidRDefault="00D80B0A" w:rsidP="0075660C">
      <w:r w:rsidRPr="00D80B0A">
        <w:t xml:space="preserve">GZR </w:t>
      </w:r>
      <w:r w:rsidR="00984C98" w:rsidRPr="00556ED1">
        <w:t>is a direct acting antiviral agent, and is a nove</w:t>
      </w:r>
      <w:r w:rsidR="00984C98">
        <w:t>l, pan-genotypic inhibitor of the HCV NS3/4A protease; necessary for the proteolytic cleavage of the HCV encoded polyprotein and essential for viral replicatio</w:t>
      </w:r>
      <w:r w:rsidR="00984C98" w:rsidRPr="00EB3090">
        <w:t>n.</w:t>
      </w:r>
    </w:p>
    <w:p w14:paraId="7D318E07" w14:textId="77777777" w:rsidR="00655550" w:rsidRDefault="00D80B0A" w:rsidP="00984C98">
      <w:r w:rsidRPr="00D80B0A">
        <w:t xml:space="preserve">GZR </w:t>
      </w:r>
      <w:r w:rsidR="00984C98">
        <w:t>free acid</w:t>
      </w:r>
      <w:r w:rsidR="00984C98" w:rsidRPr="00EB3090">
        <w:t xml:space="preserve"> is </w:t>
      </w:r>
      <w:r w:rsidR="00984C98">
        <w:t>a white to off-white, slightly hygroscopic, crystalline powder and is isolated as a monohydrate.</w:t>
      </w:r>
      <w:r>
        <w:t xml:space="preserve"> </w:t>
      </w:r>
      <w:r w:rsidR="00984C98">
        <w:t>This monohydrate polymorph is thermodynamically stable.</w:t>
      </w:r>
      <w:r>
        <w:t xml:space="preserve"> </w:t>
      </w:r>
      <w:r w:rsidR="00984C98" w:rsidRPr="0067567C">
        <w:t>The</w:t>
      </w:r>
      <w:r w:rsidR="00984C98">
        <w:t xml:space="preserve"> </w:t>
      </w:r>
      <w:r w:rsidR="00984C98" w:rsidRPr="0067567C">
        <w:t xml:space="preserve">aqueous solubility of </w:t>
      </w:r>
      <w:r w:rsidRPr="00D80B0A">
        <w:t xml:space="preserve">GZR </w:t>
      </w:r>
      <w:r w:rsidR="00984C98" w:rsidRPr="0067567C">
        <w:t>is</w:t>
      </w:r>
      <w:r w:rsidR="00984C98">
        <w:t xml:space="preserve"> very low and</w:t>
      </w:r>
      <w:r w:rsidR="00984C98" w:rsidRPr="0067567C">
        <w:t xml:space="preserve"> pH dependent</w:t>
      </w:r>
      <w:r w:rsidR="00984C98" w:rsidRPr="00EB3090">
        <w:t xml:space="preserve"> </w:t>
      </w:r>
      <w:r w:rsidR="00984C98" w:rsidRPr="00EB3090">
        <w:rPr>
          <w:szCs w:val="24"/>
        </w:rPr>
        <w:t>with its highest solubility being under basic conditions</w:t>
      </w:r>
      <w:r w:rsidR="00984C98" w:rsidRPr="00EB3090">
        <w:t>.</w:t>
      </w:r>
    </w:p>
    <w:p w14:paraId="4C3DCF58" w14:textId="26574652" w:rsidR="00984C98" w:rsidRPr="00EB3090" w:rsidRDefault="00984C98" w:rsidP="00984C98">
      <w:r w:rsidRPr="00EB3090">
        <w:t xml:space="preserve">At the proposed dosage strength of 100 mg, </w:t>
      </w:r>
      <w:r w:rsidR="00D80B0A" w:rsidRPr="00D80B0A">
        <w:t xml:space="preserve">GZR </w:t>
      </w:r>
      <w:r w:rsidRPr="00EB3090">
        <w:t>has low aqueous solubility across the physiological pH range as defined by the Biopharmaceutics Classification System (BCS) and high permeability and is hence classified as BCS class II.</w:t>
      </w:r>
      <w:r>
        <w:t xml:space="preserve"> </w:t>
      </w:r>
      <w:r w:rsidR="002437C0">
        <w:t>GZR</w:t>
      </w:r>
      <w:r w:rsidRPr="00EB3090">
        <w:t xml:space="preserve"> is sensitive to moisture and is photosensitive in the solid state.</w:t>
      </w:r>
    </w:p>
    <w:p w14:paraId="4C3DCF59" w14:textId="77777777" w:rsidR="00984C98" w:rsidRPr="00EB3090" w:rsidRDefault="00984C98" w:rsidP="00984C98">
      <w:pPr>
        <w:rPr>
          <w:szCs w:val="24"/>
        </w:rPr>
      </w:pPr>
      <w:r w:rsidRPr="00EB3090">
        <w:rPr>
          <w:szCs w:val="24"/>
        </w:rPr>
        <w:t xml:space="preserve">It is </w:t>
      </w:r>
      <w:r w:rsidRPr="00EB3090">
        <w:rPr>
          <w:szCs w:val="24"/>
          <w:lang w:val="en-US"/>
        </w:rPr>
        <w:t xml:space="preserve">is optically active with seven chiral centers but shows no </w:t>
      </w:r>
      <w:r w:rsidRPr="00EB3090">
        <w:t>racemisation or epimerisation during product manufacture or storage.</w:t>
      </w:r>
    </w:p>
    <w:p w14:paraId="592EE688" w14:textId="77777777" w:rsidR="00655550" w:rsidRDefault="00984C98" w:rsidP="00984C98">
      <w:r w:rsidRPr="00A41C99">
        <w:t>The drug substance is dissolved in acetone and water during manufacture of the drug product to form an</w:t>
      </w:r>
      <w:r>
        <w:t xml:space="preserve"> intermediate</w:t>
      </w:r>
      <w:r w:rsidRPr="00A41C99">
        <w:t xml:space="preserve"> amorphous solid dispersion to maximise oral exposure. Thus particle size and morphology of the drug substance are not considered critical attributes.</w:t>
      </w:r>
    </w:p>
    <w:p w14:paraId="25DE784D" w14:textId="77777777" w:rsidR="00655550" w:rsidRDefault="00984C98" w:rsidP="00984C98">
      <w:r w:rsidRPr="009D7A33">
        <w:t>The proposed drug substance specifications comply with TGA requirements and are considered adequate to ensure the quality and consistency of manufacture of the finished product.</w:t>
      </w:r>
    </w:p>
    <w:p w14:paraId="4C3DCF5C" w14:textId="774ED215" w:rsidR="00984C98" w:rsidRPr="009D7A33" w:rsidRDefault="00984C98" w:rsidP="00984C98">
      <w:pPr>
        <w:rPr>
          <w:iCs/>
          <w:szCs w:val="24"/>
        </w:rPr>
      </w:pPr>
      <w:r w:rsidRPr="009D7A33">
        <w:t xml:space="preserve">The drug substance shows good solid state stability and adequate stability data have been provided to support a retest period for the drug substance of </w:t>
      </w:r>
      <w:r w:rsidRPr="009D7A33">
        <w:rPr>
          <w:szCs w:val="24"/>
        </w:rPr>
        <w:t>24 months stored below 25</w:t>
      </w:r>
      <w:r w:rsidRPr="009D7A33">
        <w:t>ºC</w:t>
      </w:r>
      <w:r w:rsidRPr="009D7A33">
        <w:rPr>
          <w:szCs w:val="24"/>
        </w:rPr>
        <w:t>.</w:t>
      </w:r>
    </w:p>
    <w:p w14:paraId="100A59C3" w14:textId="77777777" w:rsidR="00655550" w:rsidRDefault="00637905" w:rsidP="00D80B0A">
      <w:pPr>
        <w:pStyle w:val="Heading4"/>
        <w:rPr>
          <w:lang w:val="en-US"/>
        </w:rPr>
      </w:pPr>
      <w:proofErr w:type="spellStart"/>
      <w:r>
        <w:rPr>
          <w:lang w:val="en-US"/>
        </w:rPr>
        <w:t>Elbasvir</w:t>
      </w:r>
      <w:proofErr w:type="spellEnd"/>
      <w:r>
        <w:rPr>
          <w:lang w:val="en-US"/>
        </w:rPr>
        <w:t xml:space="preserve"> </w:t>
      </w:r>
      <w:r w:rsidR="00922084">
        <w:rPr>
          <w:lang w:val="en-US"/>
        </w:rPr>
        <w:t>(</w:t>
      </w:r>
      <w:r w:rsidR="002437C0">
        <w:rPr>
          <w:lang w:val="en-US"/>
        </w:rPr>
        <w:t>EBR</w:t>
      </w:r>
      <w:r w:rsidR="00922084">
        <w:rPr>
          <w:lang w:val="en-US"/>
        </w:rPr>
        <w:t>)</w:t>
      </w:r>
    </w:p>
    <w:p w14:paraId="4C3DCF5E" w14:textId="62B9E16F" w:rsidR="00D80B0A" w:rsidRDefault="00D80B0A" w:rsidP="00D80B0A">
      <w:r w:rsidRPr="00D80B0A">
        <w:rPr>
          <w:szCs w:val="24"/>
          <w:lang w:val="en-US"/>
        </w:rPr>
        <w:t>EBR</w:t>
      </w:r>
      <w:r w:rsidR="00267958">
        <w:rPr>
          <w:szCs w:val="24"/>
          <w:lang w:val="en-US"/>
        </w:rPr>
        <w:t xml:space="preserve"> </w:t>
      </w:r>
      <w:r>
        <w:rPr>
          <w:szCs w:val="24"/>
          <w:lang w:val="en-US"/>
        </w:rPr>
        <w:t>has the structure shown in Figure 2 below</w:t>
      </w:r>
      <w:r w:rsidRPr="001408D2">
        <w:t>.</w:t>
      </w:r>
    </w:p>
    <w:p w14:paraId="4C3DCF5F" w14:textId="77777777" w:rsidR="00D80B0A" w:rsidRDefault="00D80B0A" w:rsidP="00D80B0A">
      <w:pPr>
        <w:pStyle w:val="FigureTitle"/>
      </w:pPr>
      <w:r w:rsidRPr="00D80B0A">
        <w:t xml:space="preserve">Figure </w:t>
      </w:r>
      <w:r>
        <w:t>2</w:t>
      </w:r>
      <w:r w:rsidRPr="00D80B0A">
        <w:t xml:space="preserve">: Structure of </w:t>
      </w:r>
      <w:r>
        <w:t>EBR</w:t>
      </w:r>
    </w:p>
    <w:p w14:paraId="4C3DCF60" w14:textId="77777777" w:rsidR="00984C98" w:rsidRPr="00CF19E6" w:rsidRDefault="00984C98" w:rsidP="00655550">
      <w:pPr>
        <w:rPr>
          <w:b/>
          <w:color w:val="0070C0"/>
          <w:sz w:val="16"/>
        </w:rPr>
      </w:pPr>
      <w:r>
        <w:rPr>
          <w:noProof/>
          <w:lang w:eastAsia="en-AU"/>
        </w:rPr>
        <w:drawing>
          <wp:inline distT="0" distB="0" distL="0" distR="0" wp14:anchorId="4C3DD641" wp14:editId="65830E09">
            <wp:extent cx="2800985" cy="1203960"/>
            <wp:effectExtent l="0" t="0" r="0" b="0"/>
            <wp:docPr id="7" name="Picture 7" descr="Figure 2: Structure of E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basvir struc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0985" cy="1203960"/>
                    </a:xfrm>
                    <a:prstGeom prst="rect">
                      <a:avLst/>
                    </a:prstGeom>
                    <a:noFill/>
                    <a:ln>
                      <a:noFill/>
                    </a:ln>
                  </pic:spPr>
                </pic:pic>
              </a:graphicData>
            </a:graphic>
          </wp:inline>
        </w:drawing>
      </w:r>
    </w:p>
    <w:p w14:paraId="4C3DCF61" w14:textId="77777777" w:rsidR="00984C98" w:rsidRPr="00267958" w:rsidRDefault="00D80B0A" w:rsidP="00984C98">
      <w:r w:rsidRPr="00267958">
        <w:lastRenderedPageBreak/>
        <w:t>EBR</w:t>
      </w:r>
      <w:r w:rsidR="00F94F4D">
        <w:t xml:space="preserve"> </w:t>
      </w:r>
      <w:r w:rsidR="00984C98" w:rsidRPr="00267958">
        <w:t xml:space="preserve">is a direct acting antiviral agent, which acts by inhibiting HCV NS5A; a phosphoprotein essential for viral RNA replication and </w:t>
      </w:r>
      <w:proofErr w:type="spellStart"/>
      <w:r w:rsidR="00984C98" w:rsidRPr="00267958">
        <w:t>virion</w:t>
      </w:r>
      <w:proofErr w:type="spellEnd"/>
      <w:r w:rsidR="00984C98" w:rsidRPr="00267958">
        <w:t xml:space="preserve"> assembly.</w:t>
      </w:r>
    </w:p>
    <w:p w14:paraId="4C3DCF62" w14:textId="77777777" w:rsidR="00984C98" w:rsidRPr="00267958" w:rsidRDefault="00D80B0A" w:rsidP="00984C98">
      <w:pPr>
        <w:rPr>
          <w:szCs w:val="24"/>
        </w:rPr>
      </w:pPr>
      <w:r w:rsidRPr="00267958">
        <w:t>EBR</w:t>
      </w:r>
      <w:r w:rsidR="00F94F4D">
        <w:t xml:space="preserve"> </w:t>
      </w:r>
      <w:r w:rsidR="00984C98" w:rsidRPr="00267958">
        <w:t xml:space="preserve">is isolated in the free base form as a hygroscopic, photosensitive, white to off-white amorphous powder that is </w:t>
      </w:r>
      <w:r w:rsidR="00984C98" w:rsidRPr="00267958">
        <w:rPr>
          <w:szCs w:val="24"/>
        </w:rPr>
        <w:t>‘</w:t>
      </w:r>
      <w:r w:rsidR="00984C98" w:rsidRPr="00267958">
        <w:rPr>
          <w:i/>
          <w:szCs w:val="24"/>
        </w:rPr>
        <w:t>practically soluble’</w:t>
      </w:r>
      <w:r w:rsidR="00984C98" w:rsidRPr="00267958">
        <w:rPr>
          <w:szCs w:val="24"/>
        </w:rPr>
        <w:t xml:space="preserve"> in water. It has pH-dependant aqueous solubility with highest solubility under acidic conditions. It is </w:t>
      </w:r>
      <w:r w:rsidR="00984C98" w:rsidRPr="00267958">
        <w:rPr>
          <w:szCs w:val="24"/>
          <w:lang w:val="en-US"/>
        </w:rPr>
        <w:t xml:space="preserve">is optically active with five chiral centers but shows no </w:t>
      </w:r>
      <w:r w:rsidR="00984C98" w:rsidRPr="00267958">
        <w:t>racemisation or epimerisation during product manufacture or storage.</w:t>
      </w:r>
    </w:p>
    <w:p w14:paraId="4C3DCF63" w14:textId="77777777" w:rsidR="00984C98" w:rsidRPr="00267958" w:rsidRDefault="00984C98" w:rsidP="00984C98">
      <w:pPr>
        <w:rPr>
          <w:szCs w:val="24"/>
        </w:rPr>
      </w:pPr>
      <w:r w:rsidRPr="00267958">
        <w:t xml:space="preserve">At the proposed dosage strength of 50 mg, </w:t>
      </w:r>
      <w:r w:rsidR="00CA13D4" w:rsidRPr="00267958">
        <w:t>EBR</w:t>
      </w:r>
      <w:r w:rsidR="00F94F4D">
        <w:t xml:space="preserve"> </w:t>
      </w:r>
      <w:r w:rsidRPr="00267958">
        <w:t>has low aqueous solubility across the physiological pH range as defined by the Biopharmaceutics Classification System (BCS) and low permeability and is hence classified as BCS class IV.</w:t>
      </w:r>
    </w:p>
    <w:p w14:paraId="4C3DCF64" w14:textId="77777777" w:rsidR="00984C98" w:rsidRPr="00267958" w:rsidRDefault="00984C98" w:rsidP="00984C98">
      <w:r w:rsidRPr="00267958">
        <w:t xml:space="preserve">The poor solubility of </w:t>
      </w:r>
      <w:r w:rsidR="00CA13D4" w:rsidRPr="00267958">
        <w:t>EBR</w:t>
      </w:r>
      <w:r w:rsidR="00F94F4D">
        <w:t xml:space="preserve"> </w:t>
      </w:r>
      <w:r w:rsidRPr="00267958">
        <w:t>led to development of a spray drying process for generating an intermediate amorphous solid dispersion, to maximise oral exposure. The drug substance is dissolved in acetone and water during manufacture of the drug product. Thus particle size and morphology of the drug substance are not considered critical attributes.</w:t>
      </w:r>
    </w:p>
    <w:p w14:paraId="540B5F4A" w14:textId="77777777" w:rsidR="00655550" w:rsidRDefault="00984C98" w:rsidP="00984C98">
      <w:r w:rsidRPr="00267958">
        <w:t xml:space="preserve">The proposed drug substance specifications comply with TGA requirements and are </w:t>
      </w:r>
      <w:r w:rsidRPr="00556ED1">
        <w:t>considered adequate to ensure the quality and consistency of manufacture of the finished product.</w:t>
      </w:r>
    </w:p>
    <w:p w14:paraId="4C3DCF66" w14:textId="782239AB" w:rsidR="00984C98" w:rsidRPr="00556ED1" w:rsidRDefault="00984C98" w:rsidP="00984C98">
      <w:pPr>
        <w:rPr>
          <w:iCs/>
          <w:szCs w:val="24"/>
        </w:rPr>
      </w:pPr>
      <w:r w:rsidRPr="00556ED1">
        <w:t xml:space="preserve">The drug substance shows good solid state stability and adequate stability data have been provided to support a retest period for the drug substance of </w:t>
      </w:r>
      <w:r w:rsidRPr="00556ED1">
        <w:rPr>
          <w:szCs w:val="24"/>
        </w:rPr>
        <w:t>18 months stored under refrigerated conditions.</w:t>
      </w:r>
    </w:p>
    <w:p w14:paraId="4C3DCF67" w14:textId="77777777" w:rsidR="008E7846" w:rsidRDefault="008E7846" w:rsidP="008E7846">
      <w:pPr>
        <w:pStyle w:val="Heading3"/>
      </w:pPr>
      <w:bookmarkStart w:id="29" w:name="_Toc247691508"/>
      <w:bookmarkStart w:id="30" w:name="_Toc314842490"/>
      <w:bookmarkStart w:id="31" w:name="_Toc484510877"/>
      <w:r w:rsidRPr="008751DC">
        <w:t xml:space="preserve">Drug </w:t>
      </w:r>
      <w:r>
        <w:t>p</w:t>
      </w:r>
      <w:r w:rsidRPr="008751DC">
        <w:t>roduct</w:t>
      </w:r>
      <w:bookmarkEnd w:id="29"/>
      <w:bookmarkEnd w:id="30"/>
      <w:bookmarkEnd w:id="31"/>
    </w:p>
    <w:p w14:paraId="4C3DCF68" w14:textId="77777777" w:rsidR="00984C98" w:rsidRPr="00D52E36" w:rsidRDefault="00984C98" w:rsidP="00984C98">
      <w:r w:rsidRPr="009D7A33">
        <w:t xml:space="preserve">The proposed product is an un-scored immediate-release fixed combination tablet containing 100 mg of </w:t>
      </w:r>
      <w:r w:rsidR="00CA13D4" w:rsidRPr="00CA13D4">
        <w:t xml:space="preserve">GZR </w:t>
      </w:r>
      <w:r w:rsidRPr="009D7A33">
        <w:t xml:space="preserve">and 50 mg of </w:t>
      </w:r>
      <w:r w:rsidR="00CA13D4" w:rsidRPr="00CA13D4">
        <w:t>EBR</w:t>
      </w:r>
      <w:r w:rsidR="00F94F4D">
        <w:t xml:space="preserve"> </w:t>
      </w:r>
      <w:r w:rsidRPr="009D7A33">
        <w:t>with the appearance ‘</w:t>
      </w:r>
      <w:r w:rsidRPr="009D7A33">
        <w:rPr>
          <w:i/>
        </w:rPr>
        <w:t>beige, oval shaped, film coated tablets, debossed with ‘770 on one side and plain on the other’</w:t>
      </w:r>
      <w:r w:rsidRPr="009D7A33">
        <w:rPr>
          <w:szCs w:val="24"/>
        </w:rPr>
        <w:t>.</w:t>
      </w:r>
    </w:p>
    <w:p w14:paraId="4C3DCF69" w14:textId="77777777" w:rsidR="00984C98" w:rsidRPr="00AB7AFF" w:rsidRDefault="00984C98" w:rsidP="00984C98">
      <w:pPr>
        <w:rPr>
          <w:szCs w:val="24"/>
        </w:rPr>
      </w:pPr>
      <w:r w:rsidRPr="00AB7AFF">
        <w:t>All excipients are conventional ingredients used in numerous registered oral dosage forms.</w:t>
      </w:r>
    </w:p>
    <w:p w14:paraId="433AD580" w14:textId="77777777" w:rsidR="00655550" w:rsidRDefault="00984C98" w:rsidP="00984C98">
      <w:pPr>
        <w:widowControl w:val="0"/>
        <w:autoSpaceDE w:val="0"/>
        <w:autoSpaceDN w:val="0"/>
        <w:adjustRightInd w:val="0"/>
      </w:pPr>
      <w:r w:rsidRPr="00AB7AFF">
        <w:t xml:space="preserve">Due to the low solubility of both active drug substances, they are both </w:t>
      </w:r>
      <w:r>
        <w:t>separately</w:t>
      </w:r>
      <w:r w:rsidRPr="00AB7AFF">
        <w:t xml:space="preserve"> dissolved</w:t>
      </w:r>
      <w:r>
        <w:t xml:space="preserve"> in acetone/water and </w:t>
      </w:r>
      <w:r w:rsidRPr="00AB7AFF">
        <w:t xml:space="preserve">combined with suitable </w:t>
      </w:r>
      <w:r>
        <w:t xml:space="preserve">polymeric stabiliser and surfactant </w:t>
      </w:r>
      <w:r w:rsidRPr="00AB7AFF">
        <w:t xml:space="preserve">excipients </w:t>
      </w:r>
      <w:r>
        <w:t>(</w:t>
      </w:r>
      <w:r w:rsidR="00CA13D4" w:rsidRPr="00CA13D4">
        <w:t>EBR</w:t>
      </w:r>
      <w:r>
        <w:t xml:space="preserve">: hypromellose and vitamin E polyethylene glycol succinate (TPGS); </w:t>
      </w:r>
      <w:r w:rsidR="00CA13D4" w:rsidRPr="00CA13D4">
        <w:t>GZR</w:t>
      </w:r>
      <w:r>
        <w:t xml:space="preserve">: </w:t>
      </w:r>
      <w:proofErr w:type="spellStart"/>
      <w:r>
        <w:t>copovidone</w:t>
      </w:r>
      <w:proofErr w:type="spellEnd"/>
      <w:r>
        <w:t xml:space="preserve"> and s</w:t>
      </w:r>
      <w:r w:rsidRPr="00AB7AFF">
        <w:t>odium lauryl sulphate</w:t>
      </w:r>
      <w:r>
        <w:t>, respectively) before being spray-dried to form</w:t>
      </w:r>
      <w:r w:rsidRPr="00AB7AFF">
        <w:t xml:space="preserve"> separate</w:t>
      </w:r>
      <w:r>
        <w:t>,</w:t>
      </w:r>
      <w:r w:rsidRPr="00AB7AFF">
        <w:t xml:space="preserve"> </w:t>
      </w:r>
      <w:r>
        <w:t xml:space="preserve">stable, </w:t>
      </w:r>
      <w:r w:rsidRPr="00AB7AFF">
        <w:t xml:space="preserve">spray-dried intermediates, in which the drug substances are in </w:t>
      </w:r>
      <w:r>
        <w:t>their</w:t>
      </w:r>
      <w:r w:rsidRPr="00AB7AFF">
        <w:t xml:space="preserve"> amorphous form</w:t>
      </w:r>
      <w:r>
        <w:t>s</w:t>
      </w:r>
      <w:r w:rsidRPr="00AB7AFF">
        <w:t>.</w:t>
      </w:r>
    </w:p>
    <w:p w14:paraId="4C3DCF6B" w14:textId="5353719F" w:rsidR="00984C98" w:rsidRPr="004F66A1" w:rsidRDefault="00984C98" w:rsidP="00984C98">
      <w:pPr>
        <w:widowControl w:val="0"/>
        <w:autoSpaceDE w:val="0"/>
        <w:autoSpaceDN w:val="0"/>
        <w:adjustRightInd w:val="0"/>
      </w:pPr>
      <w:r>
        <w:t xml:space="preserve">The two </w:t>
      </w:r>
      <w:r w:rsidRPr="00AB7AFF">
        <w:t>spray-dried intermediates</w:t>
      </w:r>
      <w:r>
        <w:t xml:space="preserve"> are separately converted into suitable granulations by blending with appropriately chosen diluent, </w:t>
      </w:r>
      <w:proofErr w:type="spellStart"/>
      <w:r>
        <w:t>disintegrant</w:t>
      </w:r>
      <w:proofErr w:type="spellEnd"/>
      <w:r>
        <w:t xml:space="preserve">, </w:t>
      </w:r>
      <w:proofErr w:type="spellStart"/>
      <w:r>
        <w:t>glidant</w:t>
      </w:r>
      <w:proofErr w:type="spellEnd"/>
      <w:r>
        <w:t xml:space="preserve"> and lubricant excipients before roller compaction and milling. The two granulations are blended, lubricated and compressed into tablet cores which are film-coated to produce the proposed combination tablets.</w:t>
      </w:r>
    </w:p>
    <w:p w14:paraId="4C3DCF6C" w14:textId="77777777" w:rsidR="00984C98" w:rsidRPr="003D329E" w:rsidRDefault="00984C98" w:rsidP="00984C98">
      <w:pPr>
        <w:rPr>
          <w:szCs w:val="24"/>
        </w:rPr>
      </w:pPr>
      <w:r w:rsidRPr="004F66A1">
        <w:t>Dissolution performance of the proposed tablets during development and for quality control purposes was monitored by an adequately justified test method</w:t>
      </w:r>
      <w:r w:rsidRPr="003D329E">
        <w:rPr>
          <w:szCs w:val="24"/>
        </w:rPr>
        <w:t>. L</w:t>
      </w:r>
      <w:r w:rsidRPr="003D329E">
        <w:t>ittle or no change in dissolution was observed on storage, with respect to either drug substance.</w:t>
      </w:r>
    </w:p>
    <w:p w14:paraId="4C3DCF6D" w14:textId="77777777" w:rsidR="00984C98" w:rsidRDefault="00984C98" w:rsidP="00984C98">
      <w:pPr>
        <w:rPr>
          <w:color w:val="0070C0"/>
          <w:sz w:val="23"/>
          <w:szCs w:val="23"/>
        </w:rPr>
      </w:pPr>
      <w:r>
        <w:t>The tablets will be packed in aluminium/aluminium blisters in packs of 28 tablets.</w:t>
      </w:r>
    </w:p>
    <w:p w14:paraId="5A594089" w14:textId="77777777" w:rsidR="00655550" w:rsidRDefault="00984C98" w:rsidP="00984C98">
      <w:pPr>
        <w:rPr>
          <w:color w:val="0070C0"/>
        </w:rPr>
      </w:pPr>
      <w:r w:rsidRPr="00D775D0">
        <w:t xml:space="preserve">Two </w:t>
      </w:r>
      <w:r>
        <w:t xml:space="preserve">separate </w:t>
      </w:r>
      <w:r w:rsidRPr="00D775D0">
        <w:t xml:space="preserve">in-house </w:t>
      </w:r>
      <w:r w:rsidRPr="00922084">
        <w:t>gradient-elution reverse-phase</w:t>
      </w:r>
      <w:r w:rsidRPr="00D775D0">
        <w:t xml:space="preserve"> HPLC test methods are employed to test for assay of each drug substance and for specified </w:t>
      </w:r>
      <w:proofErr w:type="spellStart"/>
      <w:r w:rsidRPr="00D775D0">
        <w:t>degradants</w:t>
      </w:r>
      <w:proofErr w:type="spellEnd"/>
      <w:r w:rsidRPr="00D775D0">
        <w:t xml:space="preserve"> associated with each.</w:t>
      </w:r>
    </w:p>
    <w:p w14:paraId="0028A1E6" w14:textId="77777777" w:rsidR="00655550" w:rsidRDefault="00984C98" w:rsidP="00984C98">
      <w:r w:rsidRPr="00D775D0">
        <w:t>Release and expiry limits are applied for individual unspecified degradants associated with each drug substance of NMT 0.20%, which is within the applicable International Conference on Harmonisation qualification threshold.</w:t>
      </w:r>
    </w:p>
    <w:p w14:paraId="4C3DCF70" w14:textId="2D0DA967" w:rsidR="00984C98" w:rsidRPr="00DE1018" w:rsidRDefault="00984C98" w:rsidP="00984C98">
      <w:r w:rsidRPr="00DE1018">
        <w:lastRenderedPageBreak/>
        <w:t>Degradation pathways for each drug substance have been adequately investigated and limits are applied for specified impurities for each drug substance. These limits have been qualified by toxicological studies, which have been assessed as acceptable by the TGA toxicological section.</w:t>
      </w:r>
    </w:p>
    <w:p w14:paraId="3847D8BD" w14:textId="77777777" w:rsidR="00655550" w:rsidRDefault="00984C98" w:rsidP="00984C98">
      <w:pPr>
        <w:rPr>
          <w:szCs w:val="24"/>
        </w:rPr>
      </w:pPr>
      <w:r w:rsidRPr="000F44C2">
        <w:t xml:space="preserve">Batches of tablets typically have low levels of total degradant impurities associated with each drug substance at release. On long-term storage (12 months 30°C) there were no significant increases in degradants associated with </w:t>
      </w:r>
      <w:r w:rsidR="00CA13D4" w:rsidRPr="00CA13D4">
        <w:rPr>
          <w:szCs w:val="24"/>
        </w:rPr>
        <w:t>EBR</w:t>
      </w:r>
      <w:r w:rsidR="00CA13D4">
        <w:rPr>
          <w:szCs w:val="24"/>
        </w:rPr>
        <w:t xml:space="preserve"> </w:t>
      </w:r>
      <w:r w:rsidRPr="000F44C2">
        <w:rPr>
          <w:szCs w:val="24"/>
        </w:rPr>
        <w:t xml:space="preserve">or </w:t>
      </w:r>
      <w:r w:rsidR="00CA13D4" w:rsidRPr="00CA13D4">
        <w:rPr>
          <w:szCs w:val="24"/>
        </w:rPr>
        <w:t>GZR</w:t>
      </w:r>
      <w:r w:rsidRPr="000F44C2">
        <w:rPr>
          <w:szCs w:val="24"/>
        </w:rPr>
        <w:t>.</w:t>
      </w:r>
    </w:p>
    <w:p w14:paraId="4C3DCF72" w14:textId="31D7A0FD" w:rsidR="00984C98" w:rsidRPr="000F44C2" w:rsidRDefault="00984C98" w:rsidP="00984C98">
      <w:r w:rsidRPr="000F44C2">
        <w:t>The proposed finished product specifications have been adequately justified and comply with TGA requirements. They are considered adequate to ensure the quality of the finished product at release and throughout the shelf-life.</w:t>
      </w:r>
    </w:p>
    <w:p w14:paraId="756437DD" w14:textId="77777777" w:rsidR="00655550" w:rsidRDefault="00984C98" w:rsidP="00984C98">
      <w:r w:rsidRPr="000F44C2">
        <w:t>The tablets show good stability and a shelf life of 24 months when stored below 30ºC, is considered justified.</w:t>
      </w:r>
    </w:p>
    <w:p w14:paraId="4C3DCF74" w14:textId="734C5A3A" w:rsidR="00984C98" w:rsidRPr="000F44C2" w:rsidRDefault="00984C98" w:rsidP="00CA13D4">
      <w:pPr>
        <w:pStyle w:val="Heading3"/>
      </w:pPr>
      <w:bookmarkStart w:id="32" w:name="_Toc484510878"/>
      <w:r w:rsidRPr="000F44C2">
        <w:t xml:space="preserve">Formulation </w:t>
      </w:r>
      <w:r w:rsidR="00655550" w:rsidRPr="000F44C2">
        <w:t>d</w:t>
      </w:r>
      <w:r w:rsidRPr="000F44C2">
        <w:t>evelopment</w:t>
      </w:r>
      <w:bookmarkEnd w:id="32"/>
    </w:p>
    <w:p w14:paraId="4C3DCF75" w14:textId="77777777" w:rsidR="00984C98" w:rsidRDefault="00984C98" w:rsidP="00984C98">
      <w:r>
        <w:t xml:space="preserve">Single entity formulations containing either </w:t>
      </w:r>
      <w:r w:rsidR="00CA13D4" w:rsidRPr="00CA13D4">
        <w:t xml:space="preserve">GZR </w:t>
      </w:r>
      <w:r>
        <w:t xml:space="preserve">or </w:t>
      </w:r>
      <w:r w:rsidR="00CA13D4" w:rsidRPr="00CA13D4">
        <w:t xml:space="preserve">EBR </w:t>
      </w:r>
      <w:r>
        <w:t>(tablets/capsules) were used in the Phase I and II clinical trials.</w:t>
      </w:r>
    </w:p>
    <w:p w14:paraId="4C3DCF76" w14:textId="77777777" w:rsidR="00984C98" w:rsidRDefault="00984C98" w:rsidP="00984C98">
      <w:r>
        <w:t>The proposed commercial formulation of the fixed combination tablets is the same as that used during formal stability studies and pivotal Phase III studies except for differences in the film coat colour and tablet debossing.</w:t>
      </w:r>
      <w:r w:rsidR="00D80B0A">
        <w:t xml:space="preserve"> </w:t>
      </w:r>
      <w:r>
        <w:t>These are not expected to impact drug product quality or performance.</w:t>
      </w:r>
    </w:p>
    <w:p w14:paraId="4C3DCF77" w14:textId="77777777" w:rsidR="008E7846" w:rsidRDefault="008E7846" w:rsidP="008E7846">
      <w:pPr>
        <w:pStyle w:val="Heading3"/>
      </w:pPr>
      <w:bookmarkStart w:id="33" w:name="_Toc314842491"/>
      <w:bookmarkStart w:id="34" w:name="_Toc484510879"/>
      <w:r>
        <w:t>Biopharmaceutics</w:t>
      </w:r>
      <w:bookmarkEnd w:id="33"/>
      <w:bookmarkEnd w:id="34"/>
    </w:p>
    <w:p w14:paraId="4C3DCF78" w14:textId="41F47673" w:rsidR="00984C98" w:rsidRPr="00656A90" w:rsidRDefault="00984C98" w:rsidP="00656A90">
      <w:pPr>
        <w:pStyle w:val="Heading4"/>
      </w:pPr>
      <w:bookmarkStart w:id="35" w:name="_Toc314842492"/>
      <w:r w:rsidRPr="003320C5">
        <w:t xml:space="preserve">Summary of </w:t>
      </w:r>
      <w:r w:rsidR="00655550" w:rsidRPr="002456EE">
        <w:t>bioavailability</w:t>
      </w:r>
      <w:r w:rsidR="00655550" w:rsidRPr="003320C5">
        <w:t xml:space="preserve"> and bioequivalence </w:t>
      </w:r>
      <w:r w:rsidR="00656A90">
        <w:t>s</w:t>
      </w:r>
      <w:r w:rsidRPr="003320C5">
        <w:t>tudies</w:t>
      </w:r>
    </w:p>
    <w:p w14:paraId="4C3DCF79" w14:textId="77777777" w:rsidR="00984C98" w:rsidRPr="003320C5" w:rsidRDefault="00984C98" w:rsidP="00984C98">
      <w:r w:rsidRPr="003320C5">
        <w:t>The following bioavailability studies have been provided in support of the submission:</w:t>
      </w:r>
    </w:p>
    <w:p w14:paraId="0287FA37" w14:textId="77777777" w:rsidR="00655550" w:rsidRDefault="00984C98" w:rsidP="00CA13D4">
      <w:pPr>
        <w:pStyle w:val="Heading5"/>
      </w:pPr>
      <w:r w:rsidRPr="003320C5">
        <w:t>Absolute bioavailability</w:t>
      </w:r>
    </w:p>
    <w:p w14:paraId="4C3DCF7B" w14:textId="20C00B8E" w:rsidR="002437C0" w:rsidRPr="00E230B5" w:rsidRDefault="00984C98" w:rsidP="00E230B5">
      <w:pPr>
        <w:pStyle w:val="Heading5"/>
        <w:rPr>
          <w:rStyle w:val="Heading6Char"/>
          <w:rFonts w:eastAsia="Cambria"/>
          <w:bCs/>
          <w:i/>
        </w:rPr>
      </w:pPr>
      <w:r w:rsidRPr="00E230B5">
        <w:rPr>
          <w:rStyle w:val="Heading6Char"/>
          <w:rFonts w:eastAsia="Cambria"/>
          <w:bCs/>
          <w:i/>
        </w:rPr>
        <w:t>Study No. 5172-P040</w:t>
      </w:r>
    </w:p>
    <w:p w14:paraId="4C3DCF7C" w14:textId="77777777" w:rsidR="00984C98" w:rsidRPr="002437C0" w:rsidRDefault="00984C98" w:rsidP="00CA13D4">
      <w:r w:rsidRPr="002437C0">
        <w:t xml:space="preserve">To estimate the absolute bioavailability (F) of single </w:t>
      </w:r>
      <w:r w:rsidR="00CA13D4" w:rsidRPr="002437C0">
        <w:t>and</w:t>
      </w:r>
      <w:r w:rsidRPr="002437C0">
        <w:t xml:space="preserve"> multiple doses of </w:t>
      </w:r>
      <w:r w:rsidR="002437C0">
        <w:t>GZR</w:t>
      </w:r>
      <w:r w:rsidRPr="002437C0">
        <w:t xml:space="preserve"> using </w:t>
      </w:r>
      <w:r w:rsidR="00CA13D4" w:rsidRPr="002437C0">
        <w:t>radiolabelled (</w:t>
      </w:r>
      <w:r w:rsidRPr="002456EE">
        <w:rPr>
          <w:vertAlign w:val="superscript"/>
        </w:rPr>
        <w:t>14</w:t>
      </w:r>
      <w:r w:rsidRPr="002437C0">
        <w:t>C</w:t>
      </w:r>
      <w:r w:rsidR="00CA13D4" w:rsidRPr="002437C0">
        <w:t>)</w:t>
      </w:r>
      <w:r w:rsidRPr="002437C0">
        <w:t>-micro</w:t>
      </w:r>
      <w:r w:rsidR="00F94F4D">
        <w:t xml:space="preserve"> </w:t>
      </w:r>
      <w:r w:rsidRPr="002437C0">
        <w:t>dosing.</w:t>
      </w:r>
    </w:p>
    <w:p w14:paraId="4C3DCF7D" w14:textId="77777777" w:rsidR="002437C0" w:rsidRDefault="00984C98" w:rsidP="00E230B5">
      <w:pPr>
        <w:rPr>
          <w:rStyle w:val="Heading6Char"/>
          <w:rFonts w:eastAsia="Cambria"/>
        </w:rPr>
      </w:pPr>
      <w:r w:rsidRPr="00CA13D4">
        <w:rPr>
          <w:rStyle w:val="Heading6Char"/>
          <w:rFonts w:eastAsia="Cambria"/>
        </w:rPr>
        <w:t>Conclusions</w:t>
      </w:r>
    </w:p>
    <w:p w14:paraId="4C3DCF7E" w14:textId="77777777" w:rsidR="00984C98" w:rsidRPr="003320C5" w:rsidRDefault="00984C98" w:rsidP="002437C0">
      <w:r w:rsidRPr="003320C5">
        <w:t xml:space="preserve">The geometric mean of F of </w:t>
      </w:r>
      <w:r w:rsidR="002437C0" w:rsidRPr="002437C0">
        <w:t xml:space="preserve">GZR </w:t>
      </w:r>
      <w:r w:rsidRPr="003320C5">
        <w:t xml:space="preserve">ranged from 9.58% to 17.0% and 14.9% to 27.3% following single oral dose administration of 25 mg and 200 mg </w:t>
      </w:r>
      <w:r w:rsidR="002437C0" w:rsidRPr="002437C0">
        <w:t>GZR</w:t>
      </w:r>
      <w:r w:rsidRPr="003320C5">
        <w:t xml:space="preserve">, respectively, relative to 100 </w:t>
      </w:r>
      <w:proofErr w:type="spellStart"/>
      <w:r w:rsidRPr="003320C5">
        <w:t>μg</w:t>
      </w:r>
      <w:proofErr w:type="spellEnd"/>
      <w:r w:rsidRPr="003320C5">
        <w:t xml:space="preserve"> (100 </w:t>
      </w:r>
      <w:proofErr w:type="spellStart"/>
      <w:r w:rsidRPr="003320C5">
        <w:t>nCi</w:t>
      </w:r>
      <w:proofErr w:type="spellEnd"/>
      <w:r w:rsidRPr="003320C5">
        <w:t xml:space="preserve">) </w:t>
      </w:r>
      <w:r w:rsidRPr="003320C5">
        <w:rPr>
          <w:vertAlign w:val="superscript"/>
        </w:rPr>
        <w:t>14</w:t>
      </w:r>
      <w:r w:rsidRPr="003320C5">
        <w:t>C-</w:t>
      </w:r>
      <w:r w:rsidR="002437C0">
        <w:t>GZR</w:t>
      </w:r>
      <w:r w:rsidRPr="003320C5">
        <w:t xml:space="preserve"> administered as an IV bolus micro-dose.</w:t>
      </w:r>
    </w:p>
    <w:p w14:paraId="4C3DCF7F" w14:textId="77777777" w:rsidR="00984C98" w:rsidRPr="003320C5" w:rsidRDefault="00984C98" w:rsidP="002437C0">
      <w:r w:rsidRPr="003320C5">
        <w:t xml:space="preserve">The geometric mean of F of </w:t>
      </w:r>
      <w:r w:rsidR="002437C0" w:rsidRPr="002437C0">
        <w:t xml:space="preserve">GZR </w:t>
      </w:r>
      <w:r w:rsidRPr="003320C5">
        <w:t xml:space="preserve">ranged from 21.4% to 38.3% following multiple oral doses of 200 mg </w:t>
      </w:r>
      <w:r w:rsidR="002437C0" w:rsidRPr="002437C0">
        <w:t xml:space="preserve">GZR </w:t>
      </w:r>
      <w:r w:rsidR="002437C0">
        <w:t>once a day (</w:t>
      </w:r>
      <w:r w:rsidRPr="003320C5">
        <w:t>QD</w:t>
      </w:r>
      <w:r w:rsidR="002437C0">
        <w:t>)</w:t>
      </w:r>
      <w:r w:rsidRPr="003320C5">
        <w:t xml:space="preserve"> for 7 days relative to 100 </w:t>
      </w:r>
      <w:proofErr w:type="spellStart"/>
      <w:r w:rsidRPr="003320C5">
        <w:t>μg</w:t>
      </w:r>
      <w:proofErr w:type="spellEnd"/>
      <w:r w:rsidRPr="003320C5">
        <w:t xml:space="preserve"> (100 </w:t>
      </w:r>
      <w:proofErr w:type="spellStart"/>
      <w:r w:rsidRPr="003320C5">
        <w:t>nCi</w:t>
      </w:r>
      <w:proofErr w:type="spellEnd"/>
      <w:r w:rsidRPr="003320C5">
        <w:t xml:space="preserve">) </w:t>
      </w:r>
      <w:r w:rsidRPr="003320C5">
        <w:rPr>
          <w:vertAlign w:val="superscript"/>
        </w:rPr>
        <w:t>14</w:t>
      </w:r>
      <w:r w:rsidRPr="003320C5">
        <w:t>C-</w:t>
      </w:r>
      <w:r w:rsidR="002437C0" w:rsidRPr="002437C0">
        <w:t xml:space="preserve"> GZR </w:t>
      </w:r>
      <w:r w:rsidRPr="003320C5">
        <w:t>administered as an IV bolus micro-dose.</w:t>
      </w:r>
    </w:p>
    <w:p w14:paraId="74B28738" w14:textId="77777777" w:rsidR="00655550" w:rsidRDefault="00984C98" w:rsidP="002437C0">
      <w:pPr>
        <w:pStyle w:val="Heading5"/>
      </w:pPr>
      <w:r w:rsidRPr="003320C5">
        <w:t>Comparative bioavailability</w:t>
      </w:r>
    </w:p>
    <w:p w14:paraId="41A80CDF" w14:textId="77777777" w:rsidR="00655550" w:rsidRDefault="00984C98" w:rsidP="00FA55F6">
      <w:pPr>
        <w:pStyle w:val="Heading5"/>
      </w:pPr>
      <w:r w:rsidRPr="007D1BF5">
        <w:rPr>
          <w:rStyle w:val="Heading6Char"/>
          <w:bCs/>
          <w:i/>
        </w:rPr>
        <w:t>Study No. 5172-P069</w:t>
      </w:r>
    </w:p>
    <w:p w14:paraId="4C3DCF83" w14:textId="7FFA5551" w:rsidR="00984C98" w:rsidRPr="002437C0" w:rsidRDefault="00984C98" w:rsidP="00FA55F6">
      <w:r w:rsidRPr="002437C0">
        <w:t>Food effect study: Study of the effect on drug substance pharmacokinetics of a high fat meal after administration of the proposed combination tablet.</w:t>
      </w:r>
    </w:p>
    <w:p w14:paraId="67404396" w14:textId="77777777" w:rsidR="00FA55F6" w:rsidRPr="00FA55F6" w:rsidRDefault="00984C98" w:rsidP="00FA55F6">
      <w:pPr>
        <w:pStyle w:val="Heading6"/>
        <w:rPr>
          <w:rStyle w:val="Heading6Char"/>
          <w:rFonts w:eastAsia="Cambria"/>
          <w:bCs/>
          <w:i/>
        </w:rPr>
      </w:pPr>
      <w:r w:rsidRPr="00FA55F6">
        <w:rPr>
          <w:rStyle w:val="Heading6Char"/>
          <w:rFonts w:eastAsia="Cambria"/>
          <w:bCs/>
          <w:i/>
        </w:rPr>
        <w:t>Conclusions</w:t>
      </w:r>
    </w:p>
    <w:p w14:paraId="698E6C20" w14:textId="77777777" w:rsidR="00655550" w:rsidRDefault="002437C0" w:rsidP="00FA55F6">
      <w:r w:rsidRPr="002437C0">
        <w:t xml:space="preserve">GZR </w:t>
      </w:r>
      <w:r w:rsidR="007D1BF5">
        <w:t>area under the concentration versus time curve from time zero to infinity (</w:t>
      </w:r>
      <w:r w:rsidR="00984C98" w:rsidRPr="00B51173">
        <w:t>AUC</w:t>
      </w:r>
      <w:r w:rsidR="00984C98" w:rsidRPr="00B51173">
        <w:rPr>
          <w:vertAlign w:val="subscript"/>
        </w:rPr>
        <w:t>0-inf</w:t>
      </w:r>
      <w:r w:rsidR="007D1BF5">
        <w:t xml:space="preserve">) </w:t>
      </w:r>
      <w:r w:rsidR="00984C98" w:rsidRPr="00B51173">
        <w:t xml:space="preserve">and </w:t>
      </w:r>
      <w:r w:rsidR="007D1BF5">
        <w:t>peak plasma concentration (</w:t>
      </w:r>
      <w:r w:rsidR="00114776">
        <w:t>C</w:t>
      </w:r>
      <w:r w:rsidR="00114776" w:rsidRPr="00114776">
        <w:rPr>
          <w:vertAlign w:val="subscript"/>
        </w:rPr>
        <w:t>max</w:t>
      </w:r>
      <w:r w:rsidR="007D1BF5">
        <w:t xml:space="preserve">) </w:t>
      </w:r>
      <w:r w:rsidR="00984C98" w:rsidRPr="00B51173">
        <w:t>are increased 1.5-fold and 2.8-fold, respectively,</w:t>
      </w:r>
      <w:r w:rsidR="00984C98">
        <w:t xml:space="preserve"> </w:t>
      </w:r>
      <w:r w:rsidR="00984C98" w:rsidRPr="00B51173">
        <w:lastRenderedPageBreak/>
        <w:t xml:space="preserve">following a single dose of a </w:t>
      </w:r>
      <w:r>
        <w:t>GZR</w:t>
      </w:r>
      <w:r w:rsidR="00984C98" w:rsidRPr="00B51173">
        <w:t xml:space="preserve"> (</w:t>
      </w:r>
      <w:r w:rsidR="00984C98">
        <w:t xml:space="preserve">administered as a </w:t>
      </w:r>
      <w:r>
        <w:t>GZR</w:t>
      </w:r>
      <w:r w:rsidR="00984C98">
        <w:t xml:space="preserve"> and </w:t>
      </w:r>
      <w:r>
        <w:t>EBR</w:t>
      </w:r>
      <w:r w:rsidR="00984C98" w:rsidRPr="00B51173">
        <w:t xml:space="preserve"> 100 mg/50 mg</w:t>
      </w:r>
      <w:r w:rsidR="00984C98">
        <w:t xml:space="preserve"> </w:t>
      </w:r>
      <w:r w:rsidR="00984C98" w:rsidRPr="00B51173">
        <w:t>tablet</w:t>
      </w:r>
      <w:r w:rsidR="00984C98">
        <w:t>)</w:t>
      </w:r>
      <w:r w:rsidR="00984C98" w:rsidRPr="00B51173">
        <w:t xml:space="preserve"> in the fed state compared with administration in the fasted state.</w:t>
      </w:r>
    </w:p>
    <w:p w14:paraId="4C3DCF85" w14:textId="67029802" w:rsidR="00984C98" w:rsidRDefault="002437C0" w:rsidP="00FA55F6">
      <w:r>
        <w:t>EBR</w:t>
      </w:r>
      <w:r w:rsidR="00984C98" w:rsidRPr="00B51173">
        <w:t xml:space="preserve"> AUC</w:t>
      </w:r>
      <w:r w:rsidR="00984C98" w:rsidRPr="00B51173">
        <w:rPr>
          <w:vertAlign w:val="subscript"/>
        </w:rPr>
        <w:t>0-inf</w:t>
      </w:r>
      <w:r w:rsidR="00984C98" w:rsidRPr="00B51173">
        <w:t xml:space="preserve"> and </w:t>
      </w:r>
      <w:proofErr w:type="spellStart"/>
      <w:r w:rsidR="00114776">
        <w:t>C</w:t>
      </w:r>
      <w:r w:rsidR="00114776" w:rsidRPr="00114776">
        <w:rPr>
          <w:vertAlign w:val="subscript"/>
        </w:rPr>
        <w:t>max</w:t>
      </w:r>
      <w:proofErr w:type="spellEnd"/>
      <w:r w:rsidR="00984C98" w:rsidRPr="00B51173">
        <w:t xml:space="preserve"> are </w:t>
      </w:r>
      <w:r>
        <w:t xml:space="preserve">approximately </w:t>
      </w:r>
      <w:r w:rsidR="00984C98" w:rsidRPr="00B51173">
        <w:t>10</w:t>
      </w:r>
      <w:r w:rsidR="00984C98">
        <w:t>%</w:t>
      </w:r>
      <w:r w:rsidR="00984C98" w:rsidRPr="00B51173">
        <w:t xml:space="preserve"> to 15% lower following a single dose of a</w:t>
      </w:r>
      <w:r w:rsidR="00984C98">
        <w:t xml:space="preserve">n </w:t>
      </w:r>
      <w:r>
        <w:t>EBR</w:t>
      </w:r>
      <w:r w:rsidR="00984C98" w:rsidRPr="00B51173">
        <w:t xml:space="preserve"> (</w:t>
      </w:r>
      <w:r w:rsidR="00984C98">
        <w:t xml:space="preserve">administered as a </w:t>
      </w:r>
      <w:r>
        <w:t>GZR</w:t>
      </w:r>
      <w:r w:rsidR="00984C98">
        <w:t xml:space="preserve"> and </w:t>
      </w:r>
      <w:r>
        <w:t>EBR</w:t>
      </w:r>
      <w:r w:rsidR="00984C98">
        <w:t xml:space="preserve"> 100 mg/50 mg</w:t>
      </w:r>
      <w:r w:rsidR="00984C98" w:rsidRPr="00B51173">
        <w:t xml:space="preserve"> tablet</w:t>
      </w:r>
      <w:r w:rsidR="00984C98">
        <w:t>)</w:t>
      </w:r>
      <w:r w:rsidR="00984C98" w:rsidRPr="00B51173">
        <w:t xml:space="preserve"> in the fed state compared</w:t>
      </w:r>
      <w:r w:rsidR="00984C98">
        <w:t xml:space="preserve"> </w:t>
      </w:r>
      <w:r w:rsidR="00984C98" w:rsidRPr="00B51173">
        <w:t>with administration in the fasted state.</w:t>
      </w:r>
    </w:p>
    <w:p w14:paraId="4C3DCF86" w14:textId="4616CD3A" w:rsidR="00984C98" w:rsidRPr="002437C0" w:rsidRDefault="00984C98" w:rsidP="00FA55F6">
      <w:r>
        <w:t>The sponsor has stated that t</w:t>
      </w:r>
      <w:r w:rsidRPr="00E961C9">
        <w:t xml:space="preserve">hese changes in exposure are not clinically relevant; therefore, </w:t>
      </w:r>
      <w:r w:rsidR="002437C0">
        <w:t>GZR</w:t>
      </w:r>
      <w:r>
        <w:t xml:space="preserve"> and </w:t>
      </w:r>
      <w:r w:rsidR="002437C0">
        <w:t>EBR</w:t>
      </w:r>
      <w:r w:rsidRPr="00E961C9">
        <w:t xml:space="preserve"> may be</w:t>
      </w:r>
      <w:r>
        <w:t xml:space="preserve"> </w:t>
      </w:r>
      <w:r w:rsidRPr="00E961C9">
        <w:t>administered with or without food.</w:t>
      </w:r>
      <w:r w:rsidR="00D80B0A">
        <w:t xml:space="preserve"> </w:t>
      </w:r>
      <w:r>
        <w:t xml:space="preserve">This statement has been included in the Product Information. </w:t>
      </w:r>
      <w:r w:rsidRPr="002437C0">
        <w:t xml:space="preserve">The acceptability of the statement </w:t>
      </w:r>
      <w:r w:rsidR="00D34382">
        <w:t>‘</w:t>
      </w:r>
      <w:r w:rsidR="002437C0" w:rsidRPr="002437C0">
        <w:t>GZR</w:t>
      </w:r>
      <w:r w:rsidRPr="002437C0">
        <w:t xml:space="preserve"> and </w:t>
      </w:r>
      <w:r w:rsidR="002437C0" w:rsidRPr="002437C0">
        <w:t>EBR</w:t>
      </w:r>
      <w:r w:rsidRPr="002437C0">
        <w:t xml:space="preserve"> may be taken without regard to food</w:t>
      </w:r>
      <w:r w:rsidR="00D34382">
        <w:t xml:space="preserve">’ </w:t>
      </w:r>
      <w:r w:rsidR="006A59AC">
        <w:t xml:space="preserve">will be </w:t>
      </w:r>
      <w:r w:rsidRPr="00B128DB">
        <w:t xml:space="preserve">confirmed with the clinical </w:t>
      </w:r>
      <w:r w:rsidR="002437C0" w:rsidRPr="00B128DB">
        <w:t>D</w:t>
      </w:r>
      <w:r w:rsidRPr="00B128DB">
        <w:t>elegate.</w:t>
      </w:r>
    </w:p>
    <w:p w14:paraId="4C3DCF87" w14:textId="77777777" w:rsidR="002437C0" w:rsidRPr="007D1BF5" w:rsidRDefault="00984C98" w:rsidP="00FA55F6">
      <w:pPr>
        <w:pStyle w:val="Heading5"/>
      </w:pPr>
      <w:r w:rsidRPr="007D1BF5">
        <w:t>Study No. 5172-P027</w:t>
      </w:r>
    </w:p>
    <w:p w14:paraId="4C3DCF88" w14:textId="77777777" w:rsidR="00984C98" w:rsidRDefault="00984C98" w:rsidP="00FA55F6">
      <w:r>
        <w:t>T</w:t>
      </w:r>
      <w:r w:rsidRPr="00A41E2A">
        <w:t xml:space="preserve">o compare the pharmacokinetic profile of 100 mg </w:t>
      </w:r>
      <w:r w:rsidRPr="007C14FF">
        <w:rPr>
          <w:i/>
        </w:rPr>
        <w:t xml:space="preserve">monotherapy tablet of </w:t>
      </w:r>
      <w:r w:rsidR="002437C0">
        <w:rPr>
          <w:i/>
        </w:rPr>
        <w:t>GZR</w:t>
      </w:r>
      <w:r w:rsidRPr="00A41E2A">
        <w:t xml:space="preserve"> with and without </w:t>
      </w:r>
      <w:r w:rsidRPr="007C14FF">
        <w:rPr>
          <w:i/>
        </w:rPr>
        <w:t>famotidine</w:t>
      </w:r>
      <w:r>
        <w:t>, and also food effect</w:t>
      </w:r>
      <w:r w:rsidRPr="00AF48D3">
        <w:t xml:space="preserve"> </w:t>
      </w:r>
      <w:r>
        <w:t xml:space="preserve">of a </w:t>
      </w:r>
      <w:r w:rsidRPr="007C14FF">
        <w:t>high fat meal</w:t>
      </w:r>
      <w:r>
        <w:t>.</w:t>
      </w:r>
    </w:p>
    <w:p w14:paraId="4C3DCF89" w14:textId="77777777" w:rsidR="002437C0" w:rsidRPr="00FA55F6" w:rsidRDefault="00984C98" w:rsidP="00FA55F6">
      <w:pPr>
        <w:pStyle w:val="Heading6"/>
        <w:rPr>
          <w:rStyle w:val="Heading6Char"/>
          <w:rFonts w:eastAsia="Cambria"/>
          <w:bCs/>
          <w:i/>
        </w:rPr>
      </w:pPr>
      <w:r w:rsidRPr="00FA55F6">
        <w:rPr>
          <w:rStyle w:val="Heading6Char"/>
          <w:rFonts w:eastAsia="Cambria"/>
          <w:bCs/>
          <w:i/>
        </w:rPr>
        <w:t>Conclusions</w:t>
      </w:r>
    </w:p>
    <w:p w14:paraId="4C3DCF8A" w14:textId="77777777" w:rsidR="00984C98" w:rsidRDefault="00984C98" w:rsidP="00FA55F6">
      <w:r w:rsidRPr="00363263">
        <w:t xml:space="preserve">Co-administration of famotidine with </w:t>
      </w:r>
      <w:r w:rsidR="002437C0">
        <w:t>GZR</w:t>
      </w:r>
      <w:r w:rsidRPr="00363263">
        <w:t xml:space="preserve"> increases the AUC</w:t>
      </w:r>
      <w:r w:rsidRPr="00363263">
        <w:rPr>
          <w:vertAlign w:val="subscript"/>
        </w:rPr>
        <w:t>0-∞</w:t>
      </w:r>
      <w:r w:rsidRPr="00363263">
        <w:t xml:space="preserve"> of </w:t>
      </w:r>
      <w:r w:rsidR="002437C0">
        <w:t>GZR</w:t>
      </w:r>
      <w:r>
        <w:t xml:space="preserve"> </w:t>
      </w:r>
      <w:r w:rsidRPr="00363263">
        <w:t xml:space="preserve">by 22% and increases </w:t>
      </w:r>
      <w:r w:rsidR="00114776">
        <w:t>C</w:t>
      </w:r>
      <w:r w:rsidR="00114776" w:rsidRPr="00114776">
        <w:rPr>
          <w:vertAlign w:val="subscript"/>
        </w:rPr>
        <w:t>max</w:t>
      </w:r>
      <w:r w:rsidRPr="00363263">
        <w:t xml:space="preserve"> by 63%.</w:t>
      </w:r>
    </w:p>
    <w:p w14:paraId="4C3DCF8B" w14:textId="77777777" w:rsidR="00984C98" w:rsidRDefault="00984C98" w:rsidP="00FA55F6">
      <w:r w:rsidRPr="00363263">
        <w:t>Consumption of a high-fat meal prior to singl</w:t>
      </w:r>
      <w:r>
        <w:t xml:space="preserve">e-dose administration of </w:t>
      </w:r>
      <w:r w:rsidR="002437C0">
        <w:t>GZR</w:t>
      </w:r>
      <w:r>
        <w:t xml:space="preserve"> </w:t>
      </w:r>
      <w:r w:rsidRPr="00363263">
        <w:t>increases the AUC</w:t>
      </w:r>
      <w:r w:rsidRPr="00363263">
        <w:rPr>
          <w:vertAlign w:val="subscript"/>
        </w:rPr>
        <w:t>0-∞</w:t>
      </w:r>
      <w:r w:rsidRPr="00363263">
        <w:t xml:space="preserve"> of </w:t>
      </w:r>
      <w:r w:rsidR="002437C0">
        <w:t>GZR</w:t>
      </w:r>
      <w:r w:rsidRPr="00363263">
        <w:t xml:space="preserve"> by 11% and </w:t>
      </w:r>
      <w:r w:rsidR="00114776">
        <w:t>C</w:t>
      </w:r>
      <w:r w:rsidR="00114776" w:rsidRPr="00114776">
        <w:rPr>
          <w:vertAlign w:val="subscript"/>
        </w:rPr>
        <w:t>max</w:t>
      </w:r>
      <w:r w:rsidRPr="00363263">
        <w:t xml:space="preserve"> by </w:t>
      </w:r>
      <w:r w:rsidR="002437C0">
        <w:t>approximately</w:t>
      </w:r>
      <w:r w:rsidRPr="00363263">
        <w:t xml:space="preserve"> 60%.</w:t>
      </w:r>
    </w:p>
    <w:p w14:paraId="4C3DCF8C" w14:textId="77777777" w:rsidR="002437C0" w:rsidRDefault="00984C98" w:rsidP="00FA55F6">
      <w:pPr>
        <w:pStyle w:val="Heading5"/>
      </w:pPr>
      <w:r w:rsidRPr="0014704C">
        <w:t>Study No. 8742-P018</w:t>
      </w:r>
    </w:p>
    <w:p w14:paraId="4C3DCF8D" w14:textId="77777777" w:rsidR="00984C98" w:rsidRDefault="00984C98" w:rsidP="00FA55F6">
      <w:proofErr w:type="gramStart"/>
      <w:r>
        <w:t xml:space="preserve">Food effect study of a </w:t>
      </w:r>
      <w:r w:rsidRPr="007C14FF">
        <w:rPr>
          <w:i/>
        </w:rPr>
        <w:t>high fat meal</w:t>
      </w:r>
      <w:r>
        <w:t xml:space="preserve"> on </w:t>
      </w:r>
      <w:r w:rsidR="002437C0">
        <w:rPr>
          <w:i/>
        </w:rPr>
        <w:t>EBR</w:t>
      </w:r>
      <w:r w:rsidRPr="007C14FF">
        <w:rPr>
          <w:i/>
        </w:rPr>
        <w:t xml:space="preserve"> </w:t>
      </w:r>
      <w:r>
        <w:t>pharmacokinetics in a 5</w:t>
      </w:r>
      <w:r w:rsidRPr="00A41E2A">
        <w:t xml:space="preserve">0 mg </w:t>
      </w:r>
      <w:r>
        <w:t xml:space="preserve">monotherapy tablet of </w:t>
      </w:r>
      <w:r w:rsidR="002437C0">
        <w:t>EBR</w:t>
      </w:r>
      <w:r>
        <w:t>.</w:t>
      </w:r>
      <w:proofErr w:type="gramEnd"/>
    </w:p>
    <w:p w14:paraId="4C3DCF8E" w14:textId="77777777" w:rsidR="002437C0" w:rsidRPr="00FA55F6" w:rsidRDefault="00984C98" w:rsidP="00FA55F6">
      <w:pPr>
        <w:pStyle w:val="Heading6"/>
        <w:rPr>
          <w:rStyle w:val="Heading6Char"/>
          <w:rFonts w:eastAsia="Cambria"/>
          <w:bCs/>
          <w:i/>
        </w:rPr>
      </w:pPr>
      <w:r w:rsidRPr="00FA55F6">
        <w:rPr>
          <w:rStyle w:val="Heading6Char"/>
          <w:rFonts w:eastAsia="Cambria"/>
          <w:bCs/>
          <w:i/>
        </w:rPr>
        <w:t>Conclusions</w:t>
      </w:r>
    </w:p>
    <w:p w14:paraId="4C3DCF8F" w14:textId="77777777" w:rsidR="00984C98" w:rsidRDefault="00984C98" w:rsidP="00FA55F6">
      <w:r w:rsidRPr="00FE01E7">
        <w:t xml:space="preserve">Single oral dose administration of the 50 mg </w:t>
      </w:r>
      <w:r w:rsidR="002437C0">
        <w:t>EBR</w:t>
      </w:r>
      <w:r>
        <w:t xml:space="preserve"> premarket</w:t>
      </w:r>
      <w:r w:rsidRPr="00FE01E7">
        <w:t xml:space="preserve"> tablet formulation after a high-fat breakfast</w:t>
      </w:r>
      <w:r>
        <w:t xml:space="preserve"> </w:t>
      </w:r>
      <w:r w:rsidRPr="00FE01E7">
        <w:t>marginally reduces the AUC</w:t>
      </w:r>
      <w:r w:rsidRPr="00AE0D27">
        <w:rPr>
          <w:vertAlign w:val="subscript"/>
        </w:rPr>
        <w:t>0-∞</w:t>
      </w:r>
      <w:r w:rsidRPr="00FE01E7">
        <w:t>, AUC</w:t>
      </w:r>
      <w:r w:rsidRPr="00AE0D27">
        <w:rPr>
          <w:vertAlign w:val="subscript"/>
        </w:rPr>
        <w:t>0-t</w:t>
      </w:r>
      <w:r w:rsidRPr="00FE01E7">
        <w:t xml:space="preserve">, and </w:t>
      </w:r>
      <w:r w:rsidR="00114776">
        <w:t>C</w:t>
      </w:r>
      <w:r w:rsidR="00114776" w:rsidRPr="00114776">
        <w:rPr>
          <w:vertAlign w:val="subscript"/>
        </w:rPr>
        <w:t>max</w:t>
      </w:r>
      <w:r w:rsidRPr="00FE01E7">
        <w:t xml:space="preserve"> (</w:t>
      </w:r>
      <w:r w:rsidR="002437C0">
        <w:t>approximately</w:t>
      </w:r>
      <w:r w:rsidRPr="00FE01E7">
        <w:t>10</w:t>
      </w:r>
      <w:r>
        <w:t xml:space="preserve">% to </w:t>
      </w:r>
      <w:r w:rsidRPr="00FE01E7">
        <w:t>15%) relative to the fasted state.</w:t>
      </w:r>
      <w:r w:rsidR="00D80B0A">
        <w:t xml:space="preserve"> </w:t>
      </w:r>
      <w:r w:rsidRPr="00FE01E7">
        <w:t xml:space="preserve">The </w:t>
      </w:r>
      <w:r w:rsidR="00114776" w:rsidRPr="00183723">
        <w:t>T</w:t>
      </w:r>
      <w:r w:rsidR="00114776" w:rsidRPr="00114776">
        <w:rPr>
          <w:vertAlign w:val="subscript"/>
        </w:rPr>
        <w:t>max</w:t>
      </w:r>
      <w:r w:rsidRPr="00FE01E7">
        <w:t xml:space="preserve"> and apparent half</w:t>
      </w:r>
      <w:r>
        <w:t xml:space="preserve">-life </w:t>
      </w:r>
      <w:r w:rsidRPr="00FE01E7">
        <w:t>were similar under fed and fasted conditions.</w:t>
      </w:r>
    </w:p>
    <w:p w14:paraId="4C3DCF90" w14:textId="77777777" w:rsidR="007D1BF5" w:rsidRPr="007D1BF5" w:rsidRDefault="00984C98" w:rsidP="00FA55F6">
      <w:pPr>
        <w:pStyle w:val="Heading5"/>
      </w:pPr>
      <w:r w:rsidRPr="007D1BF5">
        <w:rPr>
          <w:rStyle w:val="Heading6Char"/>
          <w:bCs/>
          <w:i/>
        </w:rPr>
        <w:t>Study No. 5172-P072</w:t>
      </w:r>
    </w:p>
    <w:p w14:paraId="4C3DCF91" w14:textId="77777777" w:rsidR="00984C98" w:rsidRDefault="00984C98" w:rsidP="00FA55F6">
      <w:r w:rsidRPr="00FD44B5">
        <w:t xml:space="preserve">To evaluate the effect of </w:t>
      </w:r>
      <w:r>
        <w:t xml:space="preserve">the presence of </w:t>
      </w:r>
      <w:r w:rsidRPr="00FD44B5">
        <w:t xml:space="preserve">famotidine </w:t>
      </w:r>
      <w:r>
        <w:t xml:space="preserve">and of </w:t>
      </w:r>
      <w:r w:rsidRPr="00FD44B5">
        <w:t xml:space="preserve">pantoprazole on </w:t>
      </w:r>
      <w:r>
        <w:t>drug substance pharmacokinetics of the proposed combination tablet.</w:t>
      </w:r>
    </w:p>
    <w:p w14:paraId="4C3DCF92" w14:textId="77777777" w:rsidR="007D1BF5" w:rsidRPr="00FA55F6" w:rsidRDefault="00984C98" w:rsidP="00FA55F6">
      <w:pPr>
        <w:pStyle w:val="Heading6"/>
        <w:rPr>
          <w:rStyle w:val="Heading6Char"/>
          <w:rFonts w:eastAsia="Cambria"/>
          <w:bCs/>
          <w:i/>
        </w:rPr>
      </w:pPr>
      <w:r w:rsidRPr="00FA55F6">
        <w:rPr>
          <w:rStyle w:val="Heading6Char"/>
          <w:rFonts w:eastAsia="Cambria"/>
          <w:bCs/>
          <w:i/>
        </w:rPr>
        <w:t>Conclusions</w:t>
      </w:r>
    </w:p>
    <w:p w14:paraId="4C3DCF93" w14:textId="77777777" w:rsidR="00984C98" w:rsidRDefault="00984C98" w:rsidP="00FA55F6">
      <w:r w:rsidRPr="000854EF">
        <w:t xml:space="preserve">The pharmacokinetics of </w:t>
      </w:r>
      <w:r w:rsidR="002437C0">
        <w:t>GZR</w:t>
      </w:r>
      <w:r w:rsidRPr="000854EF">
        <w:t xml:space="preserve"> and </w:t>
      </w:r>
      <w:r w:rsidR="002437C0">
        <w:t>EBR</w:t>
      </w:r>
      <w:r w:rsidRPr="000854EF">
        <w:t xml:space="preserve"> administered</w:t>
      </w:r>
      <w:r>
        <w:t xml:space="preserve"> </w:t>
      </w:r>
      <w:r w:rsidRPr="000854EF">
        <w:t xml:space="preserve">as a single dose of </w:t>
      </w:r>
      <w:r w:rsidR="002437C0">
        <w:t>GZR</w:t>
      </w:r>
      <w:r>
        <w:t xml:space="preserve"> and </w:t>
      </w:r>
      <w:r w:rsidR="002437C0">
        <w:t>EBR</w:t>
      </w:r>
      <w:r>
        <w:t xml:space="preserve"> 100 mg/50 mg tablet</w:t>
      </w:r>
      <w:r w:rsidRPr="000854EF">
        <w:t xml:space="preserve"> are not meaningfully altered by</w:t>
      </w:r>
      <w:r>
        <w:t xml:space="preserve"> </w:t>
      </w:r>
      <w:r w:rsidRPr="000854EF">
        <w:t>co-administration with famotidine.</w:t>
      </w:r>
    </w:p>
    <w:p w14:paraId="4C3DCF94" w14:textId="77777777" w:rsidR="00984C98" w:rsidRDefault="00984C98" w:rsidP="00FA55F6">
      <w:r w:rsidRPr="000854EF">
        <w:t xml:space="preserve">The pharmacokinetics of </w:t>
      </w:r>
      <w:r w:rsidR="002437C0">
        <w:t>GZR</w:t>
      </w:r>
      <w:r w:rsidRPr="000854EF">
        <w:t xml:space="preserve"> and </w:t>
      </w:r>
      <w:r w:rsidR="002437C0">
        <w:t>EBR</w:t>
      </w:r>
      <w:r w:rsidRPr="000854EF">
        <w:t xml:space="preserve"> administered</w:t>
      </w:r>
      <w:r>
        <w:t xml:space="preserve"> </w:t>
      </w:r>
      <w:r w:rsidRPr="000854EF">
        <w:t xml:space="preserve">as a single dose of </w:t>
      </w:r>
      <w:r w:rsidR="002437C0">
        <w:t>GZR</w:t>
      </w:r>
      <w:r>
        <w:t xml:space="preserve"> and </w:t>
      </w:r>
      <w:r w:rsidR="002437C0">
        <w:t>EBR</w:t>
      </w:r>
      <w:r>
        <w:t xml:space="preserve"> 100 mg/50 mg tablet</w:t>
      </w:r>
      <w:r w:rsidRPr="000854EF">
        <w:t xml:space="preserve"> are not meaningfully altered by</w:t>
      </w:r>
      <w:r>
        <w:t xml:space="preserve"> </w:t>
      </w:r>
      <w:r w:rsidRPr="000854EF">
        <w:t>co-administration with multiple doses of pantoprazole.</w:t>
      </w:r>
    </w:p>
    <w:p w14:paraId="4C3DCF95" w14:textId="77777777" w:rsidR="007D1BF5" w:rsidRDefault="00984C98" w:rsidP="00FA55F6">
      <w:pPr>
        <w:pStyle w:val="Heading5"/>
      </w:pPr>
      <w:r w:rsidRPr="007D1BF5">
        <w:t>Study No. 5172-P055</w:t>
      </w:r>
    </w:p>
    <w:p w14:paraId="4C3DCF96" w14:textId="77777777" w:rsidR="00984C98" w:rsidRDefault="0063568C" w:rsidP="00FA55F6">
      <w:r>
        <w:t>A c</w:t>
      </w:r>
      <w:r w:rsidR="00984C98">
        <w:t>omparison of</w:t>
      </w:r>
      <w:r w:rsidR="00984C98" w:rsidRPr="003700CA">
        <w:t xml:space="preserve"> </w:t>
      </w:r>
      <w:r w:rsidR="00984C98">
        <w:t>drug substance pharmacokinetics after a single dose of the proposed combination tablet</w:t>
      </w:r>
      <w:r w:rsidR="00984C98" w:rsidRPr="003700CA">
        <w:t xml:space="preserve"> </w:t>
      </w:r>
      <w:r>
        <w:t>compared to</w:t>
      </w:r>
      <w:r w:rsidR="00984C98">
        <w:t xml:space="preserve"> a</w:t>
      </w:r>
      <w:r w:rsidR="00984C98" w:rsidRPr="003700CA">
        <w:t xml:space="preserve"> single </w:t>
      </w:r>
      <w:r w:rsidR="00984C98">
        <w:t xml:space="preserve">co-administered </w:t>
      </w:r>
      <w:r w:rsidR="00984C98" w:rsidRPr="003700CA">
        <w:t xml:space="preserve">dose of 50 mg </w:t>
      </w:r>
      <w:r w:rsidR="002437C0">
        <w:t>EBR</w:t>
      </w:r>
      <w:r w:rsidR="00984C98" w:rsidRPr="003700CA">
        <w:t xml:space="preserve"> </w:t>
      </w:r>
      <w:r w:rsidR="00984C98">
        <w:t xml:space="preserve">monotherapy </w:t>
      </w:r>
      <w:r w:rsidR="00984C98" w:rsidRPr="003700CA">
        <w:t xml:space="preserve">tablet and </w:t>
      </w:r>
      <w:r w:rsidR="00984C98">
        <w:t xml:space="preserve">a </w:t>
      </w:r>
      <w:r w:rsidR="00984C98" w:rsidRPr="003700CA">
        <w:t xml:space="preserve">100 mg </w:t>
      </w:r>
      <w:r w:rsidR="002437C0">
        <w:t>GZR</w:t>
      </w:r>
      <w:r w:rsidR="00984C98">
        <w:t xml:space="preserve"> monotherapy</w:t>
      </w:r>
      <w:r w:rsidR="00984C98" w:rsidRPr="003700CA">
        <w:t xml:space="preserve"> tablet.</w:t>
      </w:r>
    </w:p>
    <w:p w14:paraId="4C3DCF97" w14:textId="77777777" w:rsidR="007D1BF5" w:rsidRPr="00FA55F6" w:rsidRDefault="00984C98" w:rsidP="00FA55F6">
      <w:pPr>
        <w:pStyle w:val="Heading6"/>
        <w:rPr>
          <w:rStyle w:val="Heading6Char"/>
          <w:rFonts w:eastAsia="Cambria"/>
          <w:bCs/>
          <w:i/>
        </w:rPr>
      </w:pPr>
      <w:r w:rsidRPr="00FA55F6">
        <w:rPr>
          <w:rStyle w:val="Heading6Char"/>
          <w:rFonts w:eastAsia="Cambria"/>
          <w:bCs/>
          <w:i/>
        </w:rPr>
        <w:t>Conclusions</w:t>
      </w:r>
    </w:p>
    <w:p w14:paraId="4C3DCF98" w14:textId="77777777" w:rsidR="00984C98" w:rsidRPr="00B23E62" w:rsidRDefault="002437C0" w:rsidP="00FA55F6">
      <w:r>
        <w:t>EBR</w:t>
      </w:r>
      <w:r w:rsidR="00984C98" w:rsidRPr="00610AD1">
        <w:t xml:space="preserve"> AUC and </w:t>
      </w:r>
      <w:r w:rsidR="00114776">
        <w:t>C</w:t>
      </w:r>
      <w:r w:rsidR="00114776" w:rsidRPr="00114776">
        <w:rPr>
          <w:vertAlign w:val="subscript"/>
        </w:rPr>
        <w:t>max</w:t>
      </w:r>
      <w:r w:rsidR="00984C98" w:rsidRPr="00610AD1">
        <w:t xml:space="preserve"> are </w:t>
      </w:r>
      <w:r>
        <w:t>approximately</w:t>
      </w:r>
      <w:r w:rsidR="00984C98" w:rsidRPr="00610AD1">
        <w:t>15</w:t>
      </w:r>
      <w:r w:rsidR="00984C98">
        <w:t>%</w:t>
      </w:r>
      <w:r w:rsidR="00984C98" w:rsidRPr="00610AD1">
        <w:t xml:space="preserve"> to 18% higher following a single dose of a </w:t>
      </w:r>
      <w:r>
        <w:t>GZR</w:t>
      </w:r>
      <w:r w:rsidR="00984C98">
        <w:t xml:space="preserve"> and </w:t>
      </w:r>
      <w:r>
        <w:t>EBR</w:t>
      </w:r>
      <w:r w:rsidR="00984C98">
        <w:t xml:space="preserve"> </w:t>
      </w:r>
      <w:r w:rsidR="00984C98" w:rsidRPr="00610AD1">
        <w:t xml:space="preserve">100 mg/50 mg tablet compared with </w:t>
      </w:r>
      <w:r>
        <w:t>GZR</w:t>
      </w:r>
      <w:r w:rsidR="00984C98" w:rsidRPr="00610AD1">
        <w:t xml:space="preserve"> 100 mg tablet co</w:t>
      </w:r>
      <w:r w:rsidR="00984C98">
        <w:t>-</w:t>
      </w:r>
      <w:r w:rsidR="00984C98" w:rsidRPr="00610AD1">
        <w:t>administered</w:t>
      </w:r>
      <w:r w:rsidR="00984C98">
        <w:t xml:space="preserve"> </w:t>
      </w:r>
      <w:r w:rsidR="00984C98" w:rsidRPr="00610AD1">
        <w:t xml:space="preserve">with </w:t>
      </w:r>
      <w:r w:rsidR="00984C98">
        <w:t xml:space="preserve">an </w:t>
      </w:r>
      <w:r>
        <w:t>EBR</w:t>
      </w:r>
      <w:r w:rsidR="00984C98" w:rsidRPr="00610AD1">
        <w:t xml:space="preserve"> 50 mg tablet.</w:t>
      </w:r>
      <w:r w:rsidR="00984C98">
        <w:t xml:space="preserve"> (Treatment A: AUC</w:t>
      </w:r>
      <w:r w:rsidR="00984C98" w:rsidRPr="00610AD1">
        <w:rPr>
          <w:vertAlign w:val="subscript"/>
        </w:rPr>
        <w:t>0-t</w:t>
      </w:r>
      <w:r w:rsidR="00984C98">
        <w:t xml:space="preserve"> = 1810 nM.hr, </w:t>
      </w:r>
      <w:r w:rsidR="00114776">
        <w:t>C</w:t>
      </w:r>
      <w:r w:rsidR="00114776" w:rsidRPr="00114776">
        <w:rPr>
          <w:vertAlign w:val="subscript"/>
        </w:rPr>
        <w:t>max</w:t>
      </w:r>
      <w:r w:rsidR="00984C98">
        <w:t xml:space="preserve"> = 106 nM; Treatment B: AUC</w:t>
      </w:r>
      <w:r w:rsidR="00984C98" w:rsidRPr="00610AD1">
        <w:rPr>
          <w:vertAlign w:val="subscript"/>
        </w:rPr>
        <w:t>0-t</w:t>
      </w:r>
      <w:r w:rsidR="00984C98">
        <w:t xml:space="preserve"> = 2090 nM.hr, </w:t>
      </w:r>
      <w:r w:rsidR="00114776">
        <w:t>C</w:t>
      </w:r>
      <w:r w:rsidR="00114776" w:rsidRPr="00114776">
        <w:rPr>
          <w:vertAlign w:val="subscript"/>
        </w:rPr>
        <w:t>max</w:t>
      </w:r>
      <w:r w:rsidR="00984C98">
        <w:t xml:space="preserve"> = 125 nM)</w:t>
      </w:r>
    </w:p>
    <w:p w14:paraId="4C3DCF99" w14:textId="77777777" w:rsidR="00984C98" w:rsidRPr="00610AD1" w:rsidRDefault="002437C0" w:rsidP="00FA55F6">
      <w:r>
        <w:lastRenderedPageBreak/>
        <w:t>GZR</w:t>
      </w:r>
      <w:r w:rsidR="00984C98" w:rsidRPr="00610AD1">
        <w:t xml:space="preserve"> AUC and </w:t>
      </w:r>
      <w:r w:rsidR="00114776">
        <w:t>C</w:t>
      </w:r>
      <w:r w:rsidR="00114776" w:rsidRPr="00114776">
        <w:rPr>
          <w:vertAlign w:val="subscript"/>
        </w:rPr>
        <w:t>max</w:t>
      </w:r>
      <w:r w:rsidR="00984C98" w:rsidRPr="00610AD1">
        <w:t xml:space="preserve"> are </w:t>
      </w:r>
      <w:r w:rsidR="00984C98">
        <w:t>similar</w:t>
      </w:r>
      <w:r w:rsidR="00984C98" w:rsidRPr="00610AD1">
        <w:t xml:space="preserve"> following a single dose of a </w:t>
      </w:r>
      <w:r>
        <w:t>GZR</w:t>
      </w:r>
      <w:r w:rsidR="00984C98">
        <w:t xml:space="preserve"> and </w:t>
      </w:r>
      <w:r>
        <w:t>EBR</w:t>
      </w:r>
      <w:r w:rsidR="00984C98">
        <w:t xml:space="preserve"> </w:t>
      </w:r>
      <w:r w:rsidR="00984C98" w:rsidRPr="00610AD1">
        <w:t xml:space="preserve">100 mg/50 mg tablet compared with </w:t>
      </w:r>
      <w:r>
        <w:t>GZR</w:t>
      </w:r>
      <w:r w:rsidR="00984C98" w:rsidRPr="00610AD1">
        <w:t xml:space="preserve"> 100 mg tablet co</w:t>
      </w:r>
      <w:r w:rsidR="00984C98">
        <w:t>-</w:t>
      </w:r>
      <w:r w:rsidR="00984C98" w:rsidRPr="00610AD1">
        <w:t>administered</w:t>
      </w:r>
      <w:r w:rsidR="00984C98">
        <w:t xml:space="preserve"> </w:t>
      </w:r>
      <w:r w:rsidR="00984C98" w:rsidRPr="00610AD1">
        <w:t xml:space="preserve">with </w:t>
      </w:r>
      <w:r w:rsidR="00984C98">
        <w:t xml:space="preserve">an </w:t>
      </w:r>
      <w:r>
        <w:t>EBR</w:t>
      </w:r>
      <w:r w:rsidR="00984C98" w:rsidRPr="00610AD1">
        <w:t xml:space="preserve"> 50 mg tablet.</w:t>
      </w:r>
      <w:r w:rsidR="00984C98">
        <w:t xml:space="preserve"> (Treatment A: AUC</w:t>
      </w:r>
      <w:r w:rsidR="00984C98" w:rsidRPr="00610AD1">
        <w:rPr>
          <w:vertAlign w:val="subscript"/>
        </w:rPr>
        <w:t>0</w:t>
      </w:r>
      <w:r w:rsidR="00984C98">
        <w:rPr>
          <w:vertAlign w:val="subscript"/>
        </w:rPr>
        <w:noBreakHyphen/>
      </w:r>
      <w:r w:rsidR="00984C98" w:rsidRPr="00610AD1">
        <w:rPr>
          <w:vertAlign w:val="subscript"/>
        </w:rPr>
        <w:t>t</w:t>
      </w:r>
      <w:r w:rsidR="00984C98">
        <w:t xml:space="preserve"> = 327 nM.hr, </w:t>
      </w:r>
      <w:r w:rsidR="00114776">
        <w:t>C</w:t>
      </w:r>
      <w:r w:rsidR="00114776" w:rsidRPr="00114776">
        <w:rPr>
          <w:vertAlign w:val="subscript"/>
        </w:rPr>
        <w:t>max</w:t>
      </w:r>
      <w:r w:rsidR="00984C98">
        <w:t xml:space="preserve"> = 24.6 nM; Treatment B: AUC</w:t>
      </w:r>
      <w:r w:rsidR="00984C98" w:rsidRPr="00610AD1">
        <w:rPr>
          <w:vertAlign w:val="subscript"/>
        </w:rPr>
        <w:t>0-t</w:t>
      </w:r>
      <w:r w:rsidR="00984C98">
        <w:t xml:space="preserve"> = 293 nM.hr, </w:t>
      </w:r>
      <w:r w:rsidR="00114776">
        <w:t>C</w:t>
      </w:r>
      <w:r w:rsidR="00114776" w:rsidRPr="00114776">
        <w:rPr>
          <w:vertAlign w:val="subscript"/>
        </w:rPr>
        <w:t>max</w:t>
      </w:r>
      <w:r w:rsidR="00984C98">
        <w:t xml:space="preserve"> = 23.0 nM)</w:t>
      </w:r>
    </w:p>
    <w:p w14:paraId="4C3DCF9A" w14:textId="77777777" w:rsidR="00984C98" w:rsidRPr="00974AB5" w:rsidRDefault="00984C98" w:rsidP="00FA55F6">
      <w:r w:rsidRPr="00610AD1">
        <w:t xml:space="preserve">The within-subject variability of </w:t>
      </w:r>
      <w:r w:rsidR="00114776">
        <w:t>C</w:t>
      </w:r>
      <w:r w:rsidR="00114776" w:rsidRPr="00114776">
        <w:rPr>
          <w:vertAlign w:val="subscript"/>
        </w:rPr>
        <w:t>max</w:t>
      </w:r>
      <w:r w:rsidRPr="00610AD1">
        <w:t xml:space="preserve"> for </w:t>
      </w:r>
      <w:r w:rsidR="002437C0">
        <w:t>EBR</w:t>
      </w:r>
      <w:r w:rsidRPr="00610AD1">
        <w:t xml:space="preserve"> and </w:t>
      </w:r>
      <w:r w:rsidR="002437C0">
        <w:t>GZR</w:t>
      </w:r>
      <w:r w:rsidRPr="00610AD1">
        <w:t xml:space="preserve"> in the reference</w:t>
      </w:r>
      <w:r>
        <w:t xml:space="preserve"> treatment </w:t>
      </w:r>
      <w:r w:rsidRPr="00610AD1">
        <w:t xml:space="preserve">B </w:t>
      </w:r>
      <w:r>
        <w:t>wa</w:t>
      </w:r>
      <w:r w:rsidRPr="00610AD1">
        <w:t>s considered high</w:t>
      </w:r>
      <w:r>
        <w:t>.</w:t>
      </w:r>
    </w:p>
    <w:p w14:paraId="4C3DCF9B" w14:textId="77777777" w:rsidR="008E7846" w:rsidRPr="008751DC" w:rsidRDefault="008E7846" w:rsidP="008E7846">
      <w:pPr>
        <w:pStyle w:val="Heading3"/>
      </w:pPr>
      <w:bookmarkStart w:id="36" w:name="_Toc247691509"/>
      <w:bookmarkStart w:id="37" w:name="_Toc314842493"/>
      <w:bookmarkStart w:id="38" w:name="_Toc484510880"/>
      <w:bookmarkEnd w:id="35"/>
      <w:r>
        <w:t>Quality s</w:t>
      </w:r>
      <w:r w:rsidRPr="008751DC">
        <w:t>ummary</w:t>
      </w:r>
      <w:r>
        <w:t xml:space="preserve"> and conclusions</w:t>
      </w:r>
      <w:bookmarkEnd w:id="36"/>
      <w:bookmarkEnd w:id="37"/>
      <w:bookmarkEnd w:id="38"/>
    </w:p>
    <w:p w14:paraId="4C3DCF9C" w14:textId="77777777" w:rsidR="00984C98" w:rsidRPr="00877B35" w:rsidRDefault="00984C98" w:rsidP="00984C98">
      <w:r w:rsidRPr="00974AB5">
        <w:t xml:space="preserve">All pharmaceutical chemistry issues raised during the initial evaluation of this application have now been satisfactorily resolved, </w:t>
      </w:r>
      <w:r w:rsidRPr="00877B35">
        <w:t>apart from:</w:t>
      </w:r>
    </w:p>
    <w:p w14:paraId="2D65B7EF" w14:textId="77777777" w:rsidR="00655550" w:rsidRDefault="00984C98" w:rsidP="007D1BF5">
      <w:pPr>
        <w:pStyle w:val="ListBullet"/>
      </w:pPr>
      <w:r w:rsidRPr="00877B35">
        <w:t xml:space="preserve">Six overseas manufacturing sites do not have </w:t>
      </w:r>
      <w:r w:rsidR="007D1BF5" w:rsidRPr="00877B35">
        <w:t>Good Manufacturing Practice (</w:t>
      </w:r>
      <w:r w:rsidRPr="00877B35">
        <w:t>GMP</w:t>
      </w:r>
      <w:r w:rsidR="007D1BF5" w:rsidRPr="00877B35">
        <w:t>)</w:t>
      </w:r>
      <w:r w:rsidRPr="00877B35">
        <w:t xml:space="preserve"> clearances valid until the end of the anticipated decision phase for this submission.</w:t>
      </w:r>
    </w:p>
    <w:p w14:paraId="4C3DCF9E" w14:textId="17D6FAF1" w:rsidR="00984C98" w:rsidRPr="00877B35" w:rsidRDefault="00984C98" w:rsidP="007D1BF5">
      <w:pPr>
        <w:pStyle w:val="ListBullet"/>
      </w:pPr>
      <w:r w:rsidRPr="00877B35">
        <w:t xml:space="preserve">The site(s) of manufacture of the spray-dried intermediates to be included in the </w:t>
      </w:r>
      <w:r w:rsidR="007D1BF5" w:rsidRPr="00877B35">
        <w:t>Australian Register of Therapeutic Goods (</w:t>
      </w:r>
      <w:r w:rsidRPr="00877B35">
        <w:t>ARTG</w:t>
      </w:r>
      <w:r w:rsidR="007D1BF5" w:rsidRPr="00877B35">
        <w:t>)</w:t>
      </w:r>
      <w:r w:rsidRPr="00877B35">
        <w:t xml:space="preserve"> has not been finalised.</w:t>
      </w:r>
    </w:p>
    <w:p w14:paraId="4C3DCF9F" w14:textId="77777777" w:rsidR="00984C98" w:rsidRPr="00877B35" w:rsidRDefault="00984C98" w:rsidP="00984C98">
      <w:r w:rsidRPr="00877B35">
        <w:t xml:space="preserve">It is anticipated that the sponsor will take steps to resolve the above issues prior to the </w:t>
      </w:r>
      <w:r w:rsidR="007D1BF5" w:rsidRPr="00877B35">
        <w:t>D</w:t>
      </w:r>
      <w:r w:rsidRPr="00877B35">
        <w:t>elegate’s decision.</w:t>
      </w:r>
    </w:p>
    <w:p w14:paraId="4C3DCFA0" w14:textId="6A7BC430" w:rsidR="00984C98" w:rsidRPr="00974AB5" w:rsidRDefault="00984C98" w:rsidP="00984C98">
      <w:pPr>
        <w:contextualSpacing/>
      </w:pPr>
      <w:r w:rsidRPr="00877B35">
        <w:t>Pending resolution of the above issues,</w:t>
      </w:r>
      <w:r w:rsidRPr="007D1BF5">
        <w:t xml:space="preserve"> </w:t>
      </w:r>
      <w:r w:rsidRPr="00877B35">
        <w:rPr>
          <w:szCs w:val="24"/>
        </w:rPr>
        <w:t>the</w:t>
      </w:r>
      <w:r w:rsidRPr="00974AB5">
        <w:rPr>
          <w:szCs w:val="24"/>
        </w:rPr>
        <w:t xml:space="preserve"> proposed ‘</w:t>
      </w:r>
      <w:proofErr w:type="spellStart"/>
      <w:r w:rsidR="00D80B0A">
        <w:rPr>
          <w:szCs w:val="24"/>
        </w:rPr>
        <w:t>Zepatier</w:t>
      </w:r>
      <w:proofErr w:type="spellEnd"/>
      <w:r w:rsidRPr="00974AB5">
        <w:rPr>
          <w:szCs w:val="24"/>
          <w:vertAlign w:val="superscript"/>
        </w:rPr>
        <w:t>®</w:t>
      </w:r>
      <w:r w:rsidRPr="00974AB5">
        <w:rPr>
          <w:szCs w:val="24"/>
        </w:rPr>
        <w:t xml:space="preserve"> </w:t>
      </w:r>
      <w:r w:rsidR="002437C0" w:rsidRPr="00877B35">
        <w:t>EBR</w:t>
      </w:r>
      <w:r w:rsidRPr="00877B35">
        <w:t xml:space="preserve"> and </w:t>
      </w:r>
      <w:r w:rsidR="002437C0" w:rsidRPr="00877B35">
        <w:t>GZR</w:t>
      </w:r>
      <w:r w:rsidRPr="00877B35">
        <w:t xml:space="preserve"> 50 mg/100 mg</w:t>
      </w:r>
      <w:r w:rsidRPr="00974AB5">
        <w:t xml:space="preserve"> </w:t>
      </w:r>
      <w:r w:rsidRPr="00974AB5">
        <w:rPr>
          <w:szCs w:val="24"/>
        </w:rPr>
        <w:t>fixed dose combination tablet</w:t>
      </w:r>
      <w:r w:rsidR="006A59AC">
        <w:rPr>
          <w:szCs w:val="24"/>
        </w:rPr>
        <w:t xml:space="preserve"> i</w:t>
      </w:r>
      <w:r w:rsidRPr="00974AB5">
        <w:rPr>
          <w:szCs w:val="24"/>
        </w:rPr>
        <w:t xml:space="preserve">s recommended for registration with respect to </w:t>
      </w:r>
      <w:r w:rsidRPr="00974AB5">
        <w:t>pharmaceutical chemistry aspects</w:t>
      </w:r>
      <w:r w:rsidRPr="00974AB5">
        <w:rPr>
          <w:szCs w:val="24"/>
        </w:rPr>
        <w:t>.</w:t>
      </w:r>
    </w:p>
    <w:p w14:paraId="4C3DCFA1" w14:textId="77777777" w:rsidR="008E7846" w:rsidRDefault="008E7846" w:rsidP="008E7846">
      <w:pPr>
        <w:pStyle w:val="Heading2"/>
      </w:pPr>
      <w:bookmarkStart w:id="39" w:name="_Toc196046439"/>
      <w:bookmarkStart w:id="40" w:name="_Toc247691510"/>
      <w:bookmarkStart w:id="41" w:name="_Toc314842494"/>
      <w:bookmarkStart w:id="42" w:name="_Toc484510881"/>
      <w:r>
        <w:t>III. Nonclinical</w:t>
      </w:r>
      <w:bookmarkEnd w:id="39"/>
      <w:r>
        <w:t xml:space="preserve"> findings</w:t>
      </w:r>
      <w:bookmarkEnd w:id="40"/>
      <w:bookmarkEnd w:id="41"/>
      <w:bookmarkEnd w:id="42"/>
    </w:p>
    <w:p w14:paraId="4C3DCFA2" w14:textId="77777777" w:rsidR="008E7846" w:rsidRDefault="008E7846" w:rsidP="00940A89">
      <w:pPr>
        <w:pStyle w:val="Heading3"/>
      </w:pPr>
      <w:bookmarkStart w:id="43" w:name="_Toc247691511"/>
      <w:bookmarkStart w:id="44" w:name="_Toc314842495"/>
      <w:bookmarkStart w:id="45" w:name="_Toc484510882"/>
      <w:r>
        <w:t>Introduction</w:t>
      </w:r>
      <w:bookmarkEnd w:id="43"/>
      <w:bookmarkEnd w:id="44"/>
      <w:bookmarkEnd w:id="45"/>
    </w:p>
    <w:p w14:paraId="77F41FDD" w14:textId="77777777" w:rsidR="00655550" w:rsidRDefault="00984C98" w:rsidP="00984C98">
      <w:r>
        <w:t xml:space="preserve">The overall quality of the nonclinical dossier was good with all pivotal studies conducted according to </w:t>
      </w:r>
      <w:r w:rsidR="002456EE">
        <w:t>Good Laboratory practice (</w:t>
      </w:r>
      <w:r>
        <w:t>GLP</w:t>
      </w:r>
      <w:r w:rsidR="002456EE">
        <w:t>)</w:t>
      </w:r>
      <w:r>
        <w:t>.</w:t>
      </w:r>
    </w:p>
    <w:p w14:paraId="4C3DCFA4" w14:textId="324E1122" w:rsidR="008E7846" w:rsidRDefault="008E7846" w:rsidP="008E7846">
      <w:pPr>
        <w:pStyle w:val="Heading3"/>
      </w:pPr>
      <w:bookmarkStart w:id="46" w:name="_Toc247691512"/>
      <w:bookmarkStart w:id="47" w:name="_Toc314842496"/>
      <w:bookmarkStart w:id="48" w:name="_Toc484510883"/>
      <w:r w:rsidRPr="00020030">
        <w:t>Pharmacology</w:t>
      </w:r>
      <w:bookmarkEnd w:id="46"/>
      <w:bookmarkEnd w:id="47"/>
      <w:bookmarkEnd w:id="48"/>
    </w:p>
    <w:p w14:paraId="4C3DCFA5" w14:textId="77777777" w:rsidR="00984C98" w:rsidRDefault="00984C98" w:rsidP="002456EE">
      <w:pPr>
        <w:pStyle w:val="Heading4"/>
      </w:pPr>
      <w:r>
        <w:t>Primary pharmacology</w:t>
      </w:r>
    </w:p>
    <w:p w14:paraId="4C3DCFA6" w14:textId="77777777" w:rsidR="00984C98" w:rsidRDefault="002437C0" w:rsidP="002456EE">
      <w:pPr>
        <w:pStyle w:val="Heading5"/>
      </w:pPr>
      <w:r>
        <w:t>GZR</w:t>
      </w:r>
    </w:p>
    <w:p w14:paraId="4C3DCFA7" w14:textId="77777777" w:rsidR="00984C98" w:rsidRDefault="002437C0" w:rsidP="002456EE">
      <w:r>
        <w:t>GZR</w:t>
      </w:r>
      <w:r w:rsidR="00984C98">
        <w:t xml:space="preserve"> is a reversible inhibitor of the HCV NS3/4A protease with inhibitory activity against </w:t>
      </w:r>
      <w:r w:rsidR="00984C98" w:rsidRPr="00656A90">
        <w:t xml:space="preserve">enzymes from all genotypes but with </w:t>
      </w:r>
      <w:r w:rsidRPr="00656A90">
        <w:t>approximately</w:t>
      </w:r>
      <w:r w:rsidR="00984C98" w:rsidRPr="00656A90">
        <w:t>100</w:t>
      </w:r>
      <w:r w:rsidR="002456EE" w:rsidRPr="00656A90">
        <w:t xml:space="preserve"> </w:t>
      </w:r>
      <w:r w:rsidR="00984C98" w:rsidRPr="00656A90">
        <w:t>fold lower potency at the enzyme from the gt3a subtype (</w:t>
      </w:r>
      <w:r w:rsidR="002456EE" w:rsidRPr="00656A90">
        <w:t>compared to</w:t>
      </w:r>
      <w:r w:rsidR="00984C98" w:rsidRPr="00656A90">
        <w:t xml:space="preserve"> the gt1 variants). The </w:t>
      </w:r>
      <w:r w:rsidR="00656A90" w:rsidRPr="00656A90">
        <w:t>concentration required to inhibit 50% of activity (</w:t>
      </w:r>
      <w:r w:rsidR="00984C98" w:rsidRPr="00656A90">
        <w:t>ICR50R</w:t>
      </w:r>
      <w:r w:rsidR="00656A90" w:rsidRPr="00656A90">
        <w:t>)</w:t>
      </w:r>
      <w:r w:rsidR="00984C98" w:rsidRPr="00656A90">
        <w:t xml:space="preserve"> values at the gt1a, 1b, 2a, 2b, 4a, 5a and 6a variants were below the clinical free </w:t>
      </w:r>
      <w:r w:rsidR="00656A90" w:rsidRPr="00656A90">
        <w:t>plasma trough (</w:t>
      </w:r>
      <w:proofErr w:type="spellStart"/>
      <w:r w:rsidR="00984C98" w:rsidRPr="00656A90">
        <w:t>CRtroughR</w:t>
      </w:r>
      <w:proofErr w:type="spellEnd"/>
      <w:r w:rsidR="00656A90" w:rsidRPr="00656A90">
        <w:t>)</w:t>
      </w:r>
      <w:r w:rsidR="00984C98" w:rsidRPr="00656A90">
        <w:t xml:space="preserve"> levels (0.23 nMP0F P). The ICR50R value against the gt3a variant was above the free </w:t>
      </w:r>
      <w:proofErr w:type="spellStart"/>
      <w:r w:rsidR="00984C98" w:rsidRPr="00656A90">
        <w:t>CRtroughR</w:t>
      </w:r>
      <w:proofErr w:type="spellEnd"/>
      <w:r w:rsidR="00984C98" w:rsidRPr="00656A90">
        <w:t xml:space="preserve"> levels but below the </w:t>
      </w:r>
      <w:r w:rsidR="00656A90" w:rsidRPr="00656A90">
        <w:t>peak plasma (</w:t>
      </w:r>
      <w:proofErr w:type="spellStart"/>
      <w:r w:rsidR="00984C98" w:rsidRPr="00656A90">
        <w:t>CRmaxR</w:t>
      </w:r>
      <w:proofErr w:type="spellEnd"/>
      <w:r w:rsidR="00656A90" w:rsidRPr="00656A90">
        <w:t>)</w:t>
      </w:r>
      <w:r w:rsidR="00984C98" w:rsidRPr="00656A90">
        <w:t xml:space="preserve"> level. It is</w:t>
      </w:r>
      <w:r w:rsidR="00984C98">
        <w:t xml:space="preserve"> noted that the gt3a subtype contains a glutamine at position 168 (rather than the aspartate found in most other genotypes). Amino acid changes in this position have been shown to confer resistance to </w:t>
      </w:r>
      <w:r>
        <w:t>GZR</w:t>
      </w:r>
      <w:r w:rsidR="00984C98">
        <w:t xml:space="preserve">. While reduced efficacy of </w:t>
      </w:r>
      <w:r>
        <w:t>GZR</w:t>
      </w:r>
      <w:r w:rsidR="00984C98">
        <w:t xml:space="preserve"> may be seen in patients bearing this genotype, the lower efficacy may be compensated by the combination with </w:t>
      </w:r>
      <w:r>
        <w:t>EBR</w:t>
      </w:r>
      <w:r w:rsidR="00984C98">
        <w:t>.</w:t>
      </w:r>
    </w:p>
    <w:p w14:paraId="4C3DCFA8" w14:textId="77777777" w:rsidR="00984C98" w:rsidRDefault="00984C98" w:rsidP="002456EE">
      <w:r>
        <w:t xml:space="preserve">In replicon assays, </w:t>
      </w:r>
      <w:r w:rsidR="002437C0">
        <w:t>GZR</w:t>
      </w:r>
      <w:r>
        <w:t xml:space="preserve"> was effective against most known resistance mutations (including R155K); however there were significant shifts from wild type (&gt;100-fold lower potency) with A156T/V, D168A, Q41H/A156V, Y56H/D168N, A156S/D168A and A156V/D168V mutations. Gt1 variants with reduced susceptibility to </w:t>
      </w:r>
      <w:r w:rsidR="002437C0">
        <w:t>GZR</w:t>
      </w:r>
      <w:r>
        <w:t xml:space="preserve"> were also resistant to other </w:t>
      </w:r>
      <w:r>
        <w:lastRenderedPageBreak/>
        <w:t xml:space="preserve">macrocyclic inhibitors, indicating some cross-resistance. </w:t>
      </w:r>
      <w:r w:rsidR="002437C0">
        <w:t>GZR</w:t>
      </w:r>
      <w:r>
        <w:t xml:space="preserve"> retained activity against genotypes resistant to other NS3/4A inhibitors (S122A/G/R/T, S122A/G/R/T/N/R155K, I132V, R155K/D168A/E/V, </w:t>
      </w:r>
      <w:proofErr w:type="gramStart"/>
      <w:r>
        <w:t>I170E</w:t>
      </w:r>
      <w:proofErr w:type="gramEnd"/>
      <w:r>
        <w:t>). Common mutations arising in de novo resistance induction assays were located at positions 56 (Y56H; multiple genotypes), 71 (V71A; gt2a), 156 (A156T/V; gt1b, gt2a), 158 (V158I; gt6a) and 168 (D168A/G/V; gt1a, gt1b, gt4a; Q168R, gt3a; D168N/A/V, gt5a; D168E/H, gt6a).</w:t>
      </w:r>
    </w:p>
    <w:p w14:paraId="4C3DCFA9" w14:textId="77777777" w:rsidR="00984C98" w:rsidRDefault="00984C98" w:rsidP="002456EE">
      <w:r>
        <w:t xml:space="preserve">One primary pharmacology study in chimpanzees demonstrated that </w:t>
      </w:r>
      <w:r w:rsidR="002437C0">
        <w:t>GZR</w:t>
      </w:r>
      <w:r>
        <w:t xml:space="preserve"> (1 mg/kg PO </w:t>
      </w:r>
      <w:r w:rsidR="002456EE">
        <w:t>twice a day (BD)</w:t>
      </w:r>
      <w:r>
        <w:t xml:space="preserve">; approximately equivalent to the human dose on </w:t>
      </w:r>
      <w:proofErr w:type="gramStart"/>
      <w:r>
        <w:t>a</w:t>
      </w:r>
      <w:proofErr w:type="gramEnd"/>
      <w:r>
        <w:t xml:space="preserve"> mg/kg basis) reduced the viral load in animals infected with either the gt1a or the gt1b subtypes or the gt1a R155K mutant.</w:t>
      </w:r>
    </w:p>
    <w:p w14:paraId="4C3DCFAA" w14:textId="77777777" w:rsidR="00984C98" w:rsidRPr="002456EE" w:rsidRDefault="002437C0" w:rsidP="002456EE">
      <w:pPr>
        <w:pStyle w:val="Heading5"/>
      </w:pPr>
      <w:r>
        <w:t>EBR</w:t>
      </w:r>
    </w:p>
    <w:p w14:paraId="4C3DCFAB" w14:textId="77777777" w:rsidR="00984C98" w:rsidRDefault="002437C0" w:rsidP="00984C98">
      <w:r>
        <w:t>EBR</w:t>
      </w:r>
      <w:r w:rsidR="00984C98">
        <w:t xml:space="preserve"> is an inhibitor of HCV NS5A with inhibitory activity on subtypes 1a, 1b, 2a, 3a, 4a, 5a, 6 and 6d in replicon assays. The ICR50R values against these subtypes were well below the clinical free </w:t>
      </w:r>
      <w:proofErr w:type="spellStart"/>
      <w:r w:rsidR="00984C98">
        <w:t>CRtroughR</w:t>
      </w:r>
      <w:proofErr w:type="spellEnd"/>
      <w:r w:rsidR="00984C98">
        <w:t xml:space="preserve"> value (0.55 nMP1F P). Lower potency was observed against subtypes 2b, 3i and 3g with ICR50R values above the clinical free </w:t>
      </w:r>
      <w:proofErr w:type="spellStart"/>
      <w:r w:rsidR="00984C98">
        <w:t>CRmaxR</w:t>
      </w:r>
      <w:proofErr w:type="spellEnd"/>
      <w:r w:rsidR="00984C98">
        <w:t xml:space="preserve">. </w:t>
      </w:r>
      <w:r>
        <w:t>EBR</w:t>
      </w:r>
      <w:r w:rsidR="00984C98">
        <w:t xml:space="preserve"> may have low to minimal efficacy against these subtypes. It is unknown if the combination of </w:t>
      </w:r>
      <w:r>
        <w:t>EBR</w:t>
      </w:r>
      <w:r w:rsidR="00984C98">
        <w:t xml:space="preserve"> with </w:t>
      </w:r>
      <w:r>
        <w:t>GZR</w:t>
      </w:r>
      <w:r w:rsidR="00984C98">
        <w:t xml:space="preserve"> would be efficacious against subtypes 3i and 3g but the combination is likely to show some efficacy against subtype 2b due to </w:t>
      </w:r>
      <w:r>
        <w:t>GZR</w:t>
      </w:r>
      <w:r w:rsidR="00984C98">
        <w:t xml:space="preserve"> activity. Reduced potency (≥100-fold) was observed with mutations at position 28 (F28S, gt2a; M28, gt4b), 30 (Q30D/R, gt1a; A30D, gt3a; L30H, gt4a; S30, gt4b, gt6m/n/v), 31 (L31V, gt1a; L31M, gt2a, gt3a; L31F, gt3a, gt5a, gt6) and 93 (Y93H, gt1a, 2a, 3a; Y93N, gt1a; S93, gt4b, gt6m/n/v; H93, gt4b). Double mutations conferring resistance were Q30D/Y93N (gt1a) and A30D/R56K (gt3a). Mutations arising in resistance selection assays were seen at similar positions: 28 (L28F, </w:t>
      </w:r>
      <w:proofErr w:type="spellStart"/>
      <w:r w:rsidR="00984C98">
        <w:t>gta</w:t>
      </w:r>
      <w:proofErr w:type="spellEnd"/>
      <w:r w:rsidR="00984C98">
        <w:t xml:space="preserve">; F28S, gt6a), 30 (Q30D, Q30D/Y93N, gt1a; L30F/P/S, gt4a), 31 (L31F/Y93H/V121I, gt3a; M31V, gt4a; L31F, gt5a, gt6a), 69 (N69K, gt4a), 92 (E92K, gt3a), 93 (Y93H, gt1b, gt3a, gt4a; Y93H/V121I, gt1b) and 121 (V121I, gt1b). </w:t>
      </w:r>
      <w:r>
        <w:t>EBR</w:t>
      </w:r>
      <w:r w:rsidR="00984C98">
        <w:t xml:space="preserve">-resistant mutants were still sensitive to protease and polymerase inhibitors. No </w:t>
      </w:r>
      <w:proofErr w:type="gramStart"/>
      <w:r w:rsidR="00984C98">
        <w:t>proof of concept studies were</w:t>
      </w:r>
      <w:proofErr w:type="gramEnd"/>
      <w:r w:rsidR="00984C98">
        <w:t xml:space="preserve"> conducted in animal models of HCV. This is not considered a major deficiencyP2F P.</w:t>
      </w:r>
    </w:p>
    <w:p w14:paraId="4C3DCFAC" w14:textId="77777777" w:rsidR="00984C98" w:rsidRDefault="00984C98" w:rsidP="00F55B5D">
      <w:pPr>
        <w:pStyle w:val="Heading5"/>
      </w:pPr>
      <w:r>
        <w:t>Combination studies</w:t>
      </w:r>
    </w:p>
    <w:p w14:paraId="4C3DCFAD" w14:textId="77777777" w:rsidR="00984C98" w:rsidRDefault="00984C98" w:rsidP="00984C98">
      <w:r>
        <w:t xml:space="preserve">In replicon assays, the combination of </w:t>
      </w:r>
      <w:r w:rsidR="002437C0">
        <w:t>GZR</w:t>
      </w:r>
      <w:r>
        <w:t xml:space="preserve"> and </w:t>
      </w:r>
      <w:r w:rsidR="002437C0">
        <w:t>EBR</w:t>
      </w:r>
      <w:r>
        <w:t xml:space="preserve"> was at least </w:t>
      </w:r>
      <w:proofErr w:type="gramStart"/>
      <w:r>
        <w:t>additive</w:t>
      </w:r>
      <w:proofErr w:type="gramEnd"/>
      <w:r>
        <w:t xml:space="preserve">. Fewer numbers of resistant colonies were selected with the combination than for either </w:t>
      </w:r>
      <w:r w:rsidR="002437C0">
        <w:t>GZR</w:t>
      </w:r>
      <w:r>
        <w:t xml:space="preserve"> or </w:t>
      </w:r>
      <w:r w:rsidR="002437C0">
        <w:t>EBR</w:t>
      </w:r>
      <w:r>
        <w:t xml:space="preserve"> alone. Resistance to both agents was conferred by mutations in NS3 and NS5A, requiring at least two nucleotide mutations. Colonies resistance to </w:t>
      </w:r>
      <w:r w:rsidR="002437C0">
        <w:t>GZR</w:t>
      </w:r>
      <w:r>
        <w:t xml:space="preserve"> were still susceptible to </w:t>
      </w:r>
      <w:r w:rsidR="002437C0">
        <w:t>EBR</w:t>
      </w:r>
      <w:r>
        <w:t xml:space="preserve">, and vice versa. The combination of </w:t>
      </w:r>
      <w:r w:rsidR="002437C0">
        <w:t>GZR</w:t>
      </w:r>
      <w:r>
        <w:t xml:space="preserve"> or </w:t>
      </w:r>
      <w:r w:rsidR="002437C0">
        <w:t>EBR</w:t>
      </w:r>
      <w:r>
        <w:t xml:space="preserve"> with ribavirin or </w:t>
      </w:r>
      <w:proofErr w:type="spellStart"/>
      <w:r>
        <w:t>sofosbuvir</w:t>
      </w:r>
      <w:proofErr w:type="spellEnd"/>
      <w:r>
        <w:t xml:space="preserve">, an NS5B inhibitor, was additive to synergistic. The combination studies support the use of </w:t>
      </w:r>
      <w:proofErr w:type="spellStart"/>
      <w:r w:rsidR="00D80B0A">
        <w:t>Zepatier</w:t>
      </w:r>
      <w:proofErr w:type="spellEnd"/>
      <w:r>
        <w:t xml:space="preserve"> with ribavirin or </w:t>
      </w:r>
      <w:proofErr w:type="spellStart"/>
      <w:r>
        <w:t>sofosbuvir</w:t>
      </w:r>
      <w:proofErr w:type="spellEnd"/>
      <w:r>
        <w:t>.</w:t>
      </w:r>
    </w:p>
    <w:p w14:paraId="4C3DCFAE" w14:textId="77777777" w:rsidR="00984C98" w:rsidRDefault="00984C98" w:rsidP="00F55B5D">
      <w:pPr>
        <w:pStyle w:val="Heading4"/>
      </w:pPr>
      <w:r>
        <w:t>Secondary pharmacodynamics</w:t>
      </w:r>
    </w:p>
    <w:p w14:paraId="4C3DCFAF" w14:textId="77777777" w:rsidR="00984C98" w:rsidRDefault="00984C98" w:rsidP="00984C98">
      <w:r>
        <w:t xml:space="preserve">No clinically relevant inhibitory activity was observed with either </w:t>
      </w:r>
      <w:r w:rsidR="002437C0">
        <w:t>GZR</w:t>
      </w:r>
      <w:r>
        <w:t xml:space="preserve"> or </w:t>
      </w:r>
      <w:r w:rsidR="002437C0">
        <w:t>EBR</w:t>
      </w:r>
      <w:r>
        <w:t xml:space="preserve"> at &gt;100 receptors, ion channels and transporters (ICR50R values were &gt;600 times the clinical free </w:t>
      </w:r>
      <w:proofErr w:type="spellStart"/>
      <w:r>
        <w:t>CRmaxR</w:t>
      </w:r>
      <w:proofErr w:type="spellEnd"/>
      <w:r>
        <w:t xml:space="preserve">). Off-target effects with the </w:t>
      </w:r>
      <w:r w:rsidR="002437C0">
        <w:t>GZR</w:t>
      </w:r>
      <w:r>
        <w:t>/</w:t>
      </w:r>
      <w:r w:rsidR="002437C0">
        <w:t>EBR</w:t>
      </w:r>
      <w:r>
        <w:t xml:space="preserve"> combination are not predicted during clinical use.</w:t>
      </w:r>
    </w:p>
    <w:p w14:paraId="4C3DCFB0" w14:textId="77777777" w:rsidR="00984C98" w:rsidRDefault="00984C98" w:rsidP="00984C98">
      <w:r>
        <w:t xml:space="preserve">In in vitro assays, neither </w:t>
      </w:r>
      <w:r w:rsidR="002437C0">
        <w:t>GZR</w:t>
      </w:r>
      <w:r>
        <w:t xml:space="preserve"> nor </w:t>
      </w:r>
      <w:r w:rsidR="002437C0">
        <w:t>EBR</w:t>
      </w:r>
      <w:r>
        <w:t xml:space="preserve"> had anti-viral activity against HIV at concentrations far-exceeding the clinical free </w:t>
      </w:r>
      <w:proofErr w:type="spellStart"/>
      <w:r>
        <w:t>CRmaxR</w:t>
      </w:r>
      <w:proofErr w:type="spellEnd"/>
      <w:r>
        <w:t xml:space="preserve">. No antiviral activity was observed with </w:t>
      </w:r>
      <w:r w:rsidR="002437C0">
        <w:t>GZR</w:t>
      </w:r>
      <w:r>
        <w:t xml:space="preserve"> against HBV. </w:t>
      </w:r>
      <w:r w:rsidR="002437C0">
        <w:t>EBR</w:t>
      </w:r>
      <w:r>
        <w:t xml:space="preserve"> had no significant effect on the anti-HIV activity of </w:t>
      </w:r>
      <w:proofErr w:type="spellStart"/>
      <w:r>
        <w:t>tenofovir</w:t>
      </w:r>
      <w:proofErr w:type="spellEnd"/>
      <w:r>
        <w:t xml:space="preserve"> </w:t>
      </w:r>
      <w:proofErr w:type="spellStart"/>
      <w:r>
        <w:t>disoproxil</w:t>
      </w:r>
      <w:proofErr w:type="spellEnd"/>
      <w:r>
        <w:t xml:space="preserve">, </w:t>
      </w:r>
      <w:proofErr w:type="spellStart"/>
      <w:r>
        <w:t>emtricitabine</w:t>
      </w:r>
      <w:proofErr w:type="spellEnd"/>
      <w:r>
        <w:t xml:space="preserve">, </w:t>
      </w:r>
      <w:proofErr w:type="spellStart"/>
      <w:r>
        <w:t>efavirenz</w:t>
      </w:r>
      <w:proofErr w:type="spellEnd"/>
      <w:r>
        <w:t xml:space="preserve">, </w:t>
      </w:r>
      <w:proofErr w:type="spellStart"/>
      <w:r>
        <w:t>rilpivirine</w:t>
      </w:r>
      <w:proofErr w:type="spellEnd"/>
      <w:r>
        <w:t xml:space="preserve">, </w:t>
      </w:r>
      <w:proofErr w:type="spellStart"/>
      <w:r>
        <w:t>dolutegravir</w:t>
      </w:r>
      <w:proofErr w:type="spellEnd"/>
      <w:r>
        <w:t xml:space="preserve">, </w:t>
      </w:r>
      <w:proofErr w:type="spellStart"/>
      <w:r>
        <w:t>raltegravir</w:t>
      </w:r>
      <w:proofErr w:type="spellEnd"/>
      <w:r>
        <w:t xml:space="preserve">, </w:t>
      </w:r>
      <w:proofErr w:type="spellStart"/>
      <w:r>
        <w:t>atazanavir</w:t>
      </w:r>
      <w:proofErr w:type="spellEnd"/>
      <w:r>
        <w:t xml:space="preserve">, </w:t>
      </w:r>
      <w:proofErr w:type="spellStart"/>
      <w:r w:rsidRPr="006E6824">
        <w:t>darunavir</w:t>
      </w:r>
      <w:proofErr w:type="spellEnd"/>
      <w:r w:rsidRPr="006E6824">
        <w:t xml:space="preserve">, </w:t>
      </w:r>
      <w:proofErr w:type="spellStart"/>
      <w:r w:rsidRPr="006E6824">
        <w:t>maraviroc</w:t>
      </w:r>
      <w:proofErr w:type="spellEnd"/>
      <w:r w:rsidRPr="006E6824">
        <w:t xml:space="preserve"> and </w:t>
      </w:r>
      <w:proofErr w:type="spellStart"/>
      <w:r w:rsidRPr="006E6824">
        <w:t>enfuvirtide</w:t>
      </w:r>
      <w:proofErr w:type="spellEnd"/>
      <w:r w:rsidRPr="006E6824">
        <w:t xml:space="preserve">. With the exception of maraviroc, </w:t>
      </w:r>
      <w:r w:rsidR="002437C0" w:rsidRPr="006E6824">
        <w:t>GZR</w:t>
      </w:r>
      <w:r w:rsidRPr="006E6824">
        <w:t xml:space="preserve"> had no effect on the anti-HIV activity of these compounds. The </w:t>
      </w:r>
      <w:r w:rsidR="006E6824" w:rsidRPr="006E6824">
        <w:t xml:space="preserve">concentration required for </w:t>
      </w:r>
      <w:r w:rsidR="00656A90" w:rsidRPr="006E6824">
        <w:t>50% activity (</w:t>
      </w:r>
      <w:r w:rsidRPr="006E6824">
        <w:t>ECR50R</w:t>
      </w:r>
      <w:r w:rsidR="00656A90" w:rsidRPr="006E6824">
        <w:t>)</w:t>
      </w:r>
      <w:r w:rsidRPr="006E6824">
        <w:t xml:space="preserve"> for maraviroc increased 1.2 </w:t>
      </w:r>
      <w:r w:rsidR="00F55B5D" w:rsidRPr="006E6824">
        <w:t>times</w:t>
      </w:r>
      <w:r w:rsidRPr="006E6824">
        <w:t xml:space="preserve"> in the presence of 100 nM </w:t>
      </w:r>
      <w:r w:rsidR="002437C0" w:rsidRPr="006E6824">
        <w:t>GZR</w:t>
      </w:r>
      <w:r w:rsidRPr="006E6824">
        <w:t xml:space="preserve"> (43 times the clinical free </w:t>
      </w:r>
      <w:proofErr w:type="spellStart"/>
      <w:r w:rsidRPr="006E6824">
        <w:t>CRmaxR</w:t>
      </w:r>
      <w:proofErr w:type="spellEnd"/>
      <w:r w:rsidRPr="006E6824">
        <w:t>). Minimal effect is anticipated at clinically-relevant concentrations. None of these anti</w:t>
      </w:r>
      <w:r>
        <w:t xml:space="preserve">-HIV drugs affected the potency of </w:t>
      </w:r>
      <w:r w:rsidR="002437C0">
        <w:t>GZR</w:t>
      </w:r>
      <w:r>
        <w:t xml:space="preserve"> or </w:t>
      </w:r>
      <w:r w:rsidR="002437C0">
        <w:t>EBR</w:t>
      </w:r>
      <w:r>
        <w:t xml:space="preserve"> in HCV replicon assay.</w:t>
      </w:r>
    </w:p>
    <w:p w14:paraId="4C3DCFB1" w14:textId="77777777" w:rsidR="00984C98" w:rsidRDefault="00984C98" w:rsidP="00F55B5D">
      <w:pPr>
        <w:pStyle w:val="Heading4"/>
      </w:pPr>
      <w:r>
        <w:lastRenderedPageBreak/>
        <w:t>Safety pharmacology</w:t>
      </w:r>
    </w:p>
    <w:p w14:paraId="4C3DCFB2" w14:textId="77777777" w:rsidR="004334C7" w:rsidRPr="004334C7" w:rsidRDefault="00984C98" w:rsidP="00984C98">
      <w:r>
        <w:t>Specialised safety pharmacology studies covered the cardiovascular (</w:t>
      </w:r>
      <w:r w:rsidR="002437C0">
        <w:t>GZR</w:t>
      </w:r>
      <w:r>
        <w:t xml:space="preserve"> and </w:t>
      </w:r>
      <w:r w:rsidR="002437C0">
        <w:t>EBR</w:t>
      </w:r>
      <w:r>
        <w:t>) and the respiratory systems (</w:t>
      </w:r>
      <w:r w:rsidR="002437C0">
        <w:t>EBR</w:t>
      </w:r>
      <w:r>
        <w:t xml:space="preserve">). Functional observation battery analyses were included in repeat-dose toxicity studies in rats. </w:t>
      </w:r>
      <w:r w:rsidR="00F55B5D">
        <w:t>Central nervous system (</w:t>
      </w:r>
      <w:r>
        <w:t>CNS</w:t>
      </w:r>
      <w:r w:rsidR="00F55B5D">
        <w:t>)</w:t>
      </w:r>
      <w:r>
        <w:t xml:space="preserve"> function was unaffected in rats with 1000 mg/kg PO </w:t>
      </w:r>
      <w:r w:rsidR="002437C0">
        <w:t>GZR</w:t>
      </w:r>
      <w:r>
        <w:t xml:space="preserve"> (exposure ratio based on </w:t>
      </w:r>
      <w:proofErr w:type="spellStart"/>
      <w:r>
        <w:t>CRmaxR</w:t>
      </w:r>
      <w:proofErr w:type="spellEnd"/>
      <w:r>
        <w:t xml:space="preserve"> [</w:t>
      </w:r>
      <w:proofErr w:type="spellStart"/>
      <w:r>
        <w:t>ERR</w:t>
      </w:r>
      <w:r w:rsidR="00114776">
        <w:t>C</w:t>
      </w:r>
      <w:r w:rsidR="00114776" w:rsidRPr="00114776">
        <w:rPr>
          <w:vertAlign w:val="subscript"/>
        </w:rPr>
        <w:t>max</w:t>
      </w:r>
      <w:r>
        <w:t>R</w:t>
      </w:r>
      <w:proofErr w:type="spellEnd"/>
      <w:r>
        <w:t xml:space="preserve">] 33) or 1000 mg/kg PO </w:t>
      </w:r>
      <w:r w:rsidR="002437C0">
        <w:t>EBR</w:t>
      </w:r>
      <w:r>
        <w:t xml:space="preserve"> (</w:t>
      </w:r>
      <w:proofErr w:type="spellStart"/>
      <w:r>
        <w:t>ERR</w:t>
      </w:r>
      <w:r w:rsidR="00114776">
        <w:t>C</w:t>
      </w:r>
      <w:r w:rsidR="00114776" w:rsidRPr="00114776">
        <w:rPr>
          <w:vertAlign w:val="subscript"/>
        </w:rPr>
        <w:t>max</w:t>
      </w:r>
      <w:r>
        <w:t>R</w:t>
      </w:r>
      <w:proofErr w:type="spellEnd"/>
      <w:r>
        <w:t xml:space="preserve"> 10). In vitro, there was no clinically-relevant inhibition of </w:t>
      </w:r>
      <w:r w:rsidR="00F55B5D">
        <w:t>tail current (</w:t>
      </w:r>
      <w:r>
        <w:t>hERG KP+P</w:t>
      </w:r>
      <w:r w:rsidR="00F55B5D">
        <w:t>)</w:t>
      </w:r>
      <w:r>
        <w:t xml:space="preserve"> of the slowly activating, delayed rectifier potassium current (</w:t>
      </w:r>
      <w:proofErr w:type="spellStart"/>
      <w:r>
        <w:t>IRKsR</w:t>
      </w:r>
      <w:proofErr w:type="spellEnd"/>
      <w:r>
        <w:t>) or the cardiac sodium channel current (</w:t>
      </w:r>
      <w:proofErr w:type="spellStart"/>
      <w:r>
        <w:t>IRNaR</w:t>
      </w:r>
      <w:proofErr w:type="spellEnd"/>
      <w:r>
        <w:t xml:space="preserve">). No </w:t>
      </w:r>
      <w:r w:rsidR="00F55B5D">
        <w:t>electrocardiogram (</w:t>
      </w:r>
      <w:r>
        <w:t>ECG</w:t>
      </w:r>
      <w:r w:rsidR="00F55B5D">
        <w:t>)</w:t>
      </w:r>
      <w:r>
        <w:t xml:space="preserve"> abnormalities were noted in dogs with 5 mg/kg PO </w:t>
      </w:r>
      <w:r w:rsidR="002437C0">
        <w:t>GZR</w:t>
      </w:r>
      <w:r>
        <w:t xml:space="preserve"> (estimated </w:t>
      </w:r>
      <w:proofErr w:type="spellStart"/>
      <w:r>
        <w:t>CRmaxR</w:t>
      </w:r>
      <w:proofErr w:type="spellEnd"/>
      <w:r>
        <w:t xml:space="preserve"> 7.1 </w:t>
      </w:r>
      <w:proofErr w:type="spellStart"/>
      <w:r>
        <w:t>μM</w:t>
      </w:r>
      <w:proofErr w:type="spellEnd"/>
      <w:r>
        <w:t xml:space="preserve">; </w:t>
      </w:r>
      <w:r w:rsidR="006E6824">
        <w:t xml:space="preserve">exposure </w:t>
      </w:r>
      <w:r w:rsidR="006E6824" w:rsidRPr="006E6824">
        <w:t xml:space="preserve">ratio </w:t>
      </w:r>
      <w:r w:rsidR="006E6824">
        <w:t xml:space="preserve">at </w:t>
      </w:r>
      <w:proofErr w:type="spellStart"/>
      <w:r w:rsidR="006E6824">
        <w:t>CRmaxR</w:t>
      </w:r>
      <w:proofErr w:type="spellEnd"/>
      <w:r w:rsidR="006E6824" w:rsidRPr="006E6824">
        <w:t xml:space="preserve"> (</w:t>
      </w:r>
      <w:proofErr w:type="spellStart"/>
      <w:r w:rsidRPr="006E6824">
        <w:t>ERR</w:t>
      </w:r>
      <w:r w:rsidR="00114776" w:rsidRPr="006E6824">
        <w:t>C</w:t>
      </w:r>
      <w:r w:rsidR="00114776" w:rsidRPr="006E6824">
        <w:rPr>
          <w:vertAlign w:val="subscript"/>
        </w:rPr>
        <w:t>max</w:t>
      </w:r>
      <w:r w:rsidRPr="006E6824">
        <w:t>R</w:t>
      </w:r>
      <w:proofErr w:type="spellEnd"/>
      <w:r w:rsidR="006E6824" w:rsidRPr="006E6824">
        <w:t>)</w:t>
      </w:r>
      <w:r w:rsidRPr="006E6824">
        <w:t xml:space="preserve"> 31) or </w:t>
      </w:r>
      <w:r w:rsidR="00F8211D" w:rsidRPr="006E6824">
        <w:t xml:space="preserve">≤ </w:t>
      </w:r>
      <w:r w:rsidRPr="006E6824">
        <w:t xml:space="preserve">50 mg/kg PO </w:t>
      </w:r>
      <w:r w:rsidR="002437C0" w:rsidRPr="006E6824">
        <w:t>EBR</w:t>
      </w:r>
      <w:r w:rsidRPr="006E6824">
        <w:t xml:space="preserve"> (estimated </w:t>
      </w:r>
      <w:proofErr w:type="spellStart"/>
      <w:r w:rsidRPr="006E6824">
        <w:t>CRmaxR</w:t>
      </w:r>
      <w:proofErr w:type="spellEnd"/>
      <w:r w:rsidRPr="006E6824">
        <w:t xml:space="preserve"> 0.5 </w:t>
      </w:r>
      <w:proofErr w:type="spellStart"/>
      <w:r w:rsidRPr="006E6824">
        <w:t>μM</w:t>
      </w:r>
      <w:proofErr w:type="spellEnd"/>
      <w:r w:rsidRPr="006E6824">
        <w:t xml:space="preserve">; </w:t>
      </w:r>
      <w:proofErr w:type="spellStart"/>
      <w:r w:rsidRPr="006E6824">
        <w:t>ERR</w:t>
      </w:r>
      <w:r w:rsidR="00114776" w:rsidRPr="006E6824">
        <w:t>C</w:t>
      </w:r>
      <w:r w:rsidR="00114776" w:rsidRPr="006E6824">
        <w:rPr>
          <w:vertAlign w:val="subscript"/>
        </w:rPr>
        <w:t>max</w:t>
      </w:r>
      <w:r w:rsidRPr="006E6824">
        <w:t>R</w:t>
      </w:r>
      <w:proofErr w:type="spellEnd"/>
      <w:r w:rsidRPr="006E6824">
        <w:t xml:space="preserve"> 3). There was no evidence of respiratory</w:t>
      </w:r>
      <w:r>
        <w:t xml:space="preserve"> effects in dogs at very high </w:t>
      </w:r>
      <w:r w:rsidR="002437C0">
        <w:t>GZR</w:t>
      </w:r>
      <w:r>
        <w:t xml:space="preserve"> doses in repeat-dose toxicity studies and respiratory function was unaffected in dogs with </w:t>
      </w:r>
      <w:r w:rsidR="00F8211D">
        <w:t xml:space="preserve">≤ </w:t>
      </w:r>
      <w:r>
        <w:t xml:space="preserve">50 mg/kg PO </w:t>
      </w:r>
      <w:r w:rsidR="002437C0">
        <w:t>EBR</w:t>
      </w:r>
      <w:r>
        <w:t xml:space="preserve"> in the specialised safety pharmacology study. Overall, effects on CNS, cardiovascular and respiratory function are not predicted from animal studies.</w:t>
      </w:r>
    </w:p>
    <w:p w14:paraId="4C3DCFB3" w14:textId="77777777" w:rsidR="008E7846" w:rsidRDefault="008E7846" w:rsidP="008E7846">
      <w:pPr>
        <w:pStyle w:val="Heading3"/>
      </w:pPr>
      <w:bookmarkStart w:id="49" w:name="_Toc247691513"/>
      <w:bookmarkStart w:id="50" w:name="_Toc314842497"/>
      <w:bookmarkStart w:id="51" w:name="_Toc484510884"/>
      <w:r>
        <w:t>Pharmacokinetics</w:t>
      </w:r>
      <w:bookmarkEnd w:id="49"/>
      <w:bookmarkEnd w:id="50"/>
      <w:bookmarkEnd w:id="51"/>
    </w:p>
    <w:p w14:paraId="4C3DCFB4" w14:textId="77777777" w:rsidR="00984C98" w:rsidRDefault="00984C98" w:rsidP="003B13BE">
      <w:bookmarkStart w:id="52" w:name="_Toc247691514"/>
      <w:bookmarkStart w:id="53" w:name="_Toc314842498"/>
      <w:r>
        <w:t xml:space="preserve">Absorption of </w:t>
      </w:r>
      <w:r w:rsidR="002437C0">
        <w:t>GZR</w:t>
      </w:r>
      <w:r>
        <w:t xml:space="preserve"> by the oral route was fairly rapid in mice, rats, rabbits, dogs and human </w:t>
      </w:r>
      <w:r w:rsidRPr="00656A90">
        <w:t>subjects (</w:t>
      </w:r>
      <w:proofErr w:type="spellStart"/>
      <w:r w:rsidRPr="00656A90">
        <w:t>TRmaxR</w:t>
      </w:r>
      <w:proofErr w:type="spellEnd"/>
      <w:r w:rsidRPr="00656A90">
        <w:t xml:space="preserve"> 0.5–8 h</w:t>
      </w:r>
      <w:r>
        <w:t>), though oral bioavailability was low in rats, dogs and humans (10–40%). Exposure was generally greater than dose-proportional in all tested animal species and no consistent sex differences were observed. Following IV dosing to rats and dogs, plasma half-lives were fairly short (1.4</w:t>
      </w:r>
      <w:r w:rsidR="003B13BE">
        <w:t xml:space="preserve"> to </w:t>
      </w:r>
      <w:r>
        <w:t>3 h). Longer apparent half-lives were observed following oral dosing (</w:t>
      </w:r>
      <w:r w:rsidR="002437C0">
        <w:t>approximately</w:t>
      </w:r>
      <w:r>
        <w:t>8 h in rats and dogs and 31 h in human subjects). There was no evidence of accumulation with repeat dosing.</w:t>
      </w:r>
    </w:p>
    <w:p w14:paraId="4C3DCFB5" w14:textId="77777777" w:rsidR="00984C98" w:rsidRDefault="00984C98" w:rsidP="003B13BE">
      <w:r>
        <w:t xml:space="preserve">The rate of oral absorption of </w:t>
      </w:r>
      <w:r w:rsidR="002437C0">
        <w:t>EBR</w:t>
      </w:r>
      <w:r>
        <w:t xml:space="preserve"> was also fairly rapid (</w:t>
      </w:r>
      <w:proofErr w:type="spellStart"/>
      <w:r>
        <w:t>TRmaxR</w:t>
      </w:r>
      <w:proofErr w:type="spellEnd"/>
      <w:r>
        <w:t>=1</w:t>
      </w:r>
      <w:r w:rsidR="003B13BE">
        <w:t xml:space="preserve"> to </w:t>
      </w:r>
      <w:r>
        <w:t>5 h) in rats, dogs and humans. Oral bioavailability was low in rats (3</w:t>
      </w:r>
      <w:r w:rsidR="003B13BE">
        <w:t xml:space="preserve"> to </w:t>
      </w:r>
      <w:r>
        <w:t>9%) and moderate in dogs and human subjects (32</w:t>
      </w:r>
      <w:r w:rsidR="003B13BE">
        <w:t xml:space="preserve"> to </w:t>
      </w:r>
      <w:r>
        <w:t>35%). Following IV dosing to rats, dogs and monkeys, the plasma half-lives were short to moderate (4</w:t>
      </w:r>
      <w:r w:rsidR="003B13BE">
        <w:t xml:space="preserve"> to </w:t>
      </w:r>
      <w:r>
        <w:t>16 h). Clearance rates were similar in dogs, monkeys and humans (5</w:t>
      </w:r>
      <w:r w:rsidR="003B13BE">
        <w:t xml:space="preserve"> to </w:t>
      </w:r>
      <w:r>
        <w:t>10 mL/min/kg). Exposures in rats and dogs were less than dose proportional possibly due to solubility-limited absorption. There were no consistent sex differences in pharmacokinetic parameters in mice, rats and dogs and there was no clear evidence of accumulation in rats or dogs.</w:t>
      </w:r>
    </w:p>
    <w:p w14:paraId="4C3DCFB6" w14:textId="77777777" w:rsidR="00984C98" w:rsidRPr="006E6824" w:rsidRDefault="00984C98" w:rsidP="003B13BE">
      <w:r>
        <w:t xml:space="preserve">Plasma protein binding by </w:t>
      </w:r>
      <w:r w:rsidR="002437C0">
        <w:t>GZR</w:t>
      </w:r>
      <w:r>
        <w:t xml:space="preserve"> was high in humans and animal species (</w:t>
      </w:r>
      <w:r w:rsidR="002437C0">
        <w:t>approximately</w:t>
      </w:r>
      <w:r>
        <w:t xml:space="preserve">98%) with both serum albumin and alpha1-acid glycoprotein involved in binding. The volume of distribution was similar to or marginally above that of total body water in rats and dogs. Following oral dosing to rats, the tissue distribution of </w:t>
      </w:r>
      <w:r w:rsidR="002437C0">
        <w:t>GZR</w:t>
      </w:r>
      <w:r>
        <w:t xml:space="preserve"> </w:t>
      </w:r>
      <w:r w:rsidRPr="006E6824">
        <w:t xml:space="preserve">associated radioactivity was limited. </w:t>
      </w:r>
      <w:r w:rsidR="002437C0" w:rsidRPr="006E6824">
        <w:t>GZR</w:t>
      </w:r>
      <w:r w:rsidRPr="006E6824">
        <w:t xml:space="preserve"> distributed readily to the liver with liver/gall bladder exposures 26</w:t>
      </w:r>
      <w:r w:rsidR="003B13BE" w:rsidRPr="006E6824">
        <w:t xml:space="preserve"> to </w:t>
      </w:r>
      <w:r w:rsidRPr="006E6824">
        <w:t xml:space="preserve">560 times those found in plasma. Uptake into hepatocytes is likely mediated by </w:t>
      </w:r>
      <w:r w:rsidR="006E6824" w:rsidRPr="006E6824">
        <w:t>organic anion-transporting polypeptide B1 and B3 (</w:t>
      </w:r>
      <w:r w:rsidRPr="006E6824">
        <w:t>OATP1B1/OATP1B3</w:t>
      </w:r>
      <w:r w:rsidR="006E6824" w:rsidRPr="006E6824">
        <w:t xml:space="preserve">) </w:t>
      </w:r>
      <w:r w:rsidRPr="006E6824">
        <w:t>like transporters. There was minimal penetration of the blood-brain barrier. There was no evidence for a specific retention of radioactivity in pigmented tissues.</w:t>
      </w:r>
    </w:p>
    <w:p w14:paraId="5A90F070" w14:textId="77777777" w:rsidR="00655550" w:rsidRDefault="00984C98" w:rsidP="003B13BE">
      <w:r w:rsidRPr="006E6824">
        <w:t>Plasma protein binding by</w:t>
      </w:r>
      <w:r>
        <w:t xml:space="preserve"> </w:t>
      </w:r>
      <w:r w:rsidR="002437C0">
        <w:t>EBR</w:t>
      </w:r>
      <w:r>
        <w:t xml:space="preserve"> was very high in humans and laboratory animal species (&gt;99%). Plasma protein binding was shown to involve human serum albumin affinity and probably involves alpha1-acid glycoprotein binding. There was no evidence for partitioning into blood cells. The volume of distribution was larger than total body water in rats, dogs, monkeys and human subjects. Consistent with this, the tissue distribution of radioactivity in rats after PO administration of radiolabelled </w:t>
      </w:r>
      <w:r w:rsidR="002437C0">
        <w:t>EBR</w:t>
      </w:r>
      <w:r>
        <w:t xml:space="preserve"> was rapid and wide into most tissues. Organs with the highest level of radioactivity included those involved in absorption/elimination (including the liver) and the adrenal gland. There was limited penetration of the blood-brain barrier, possibly due to P glycoprotein transport. </w:t>
      </w:r>
      <w:r>
        <w:lastRenderedPageBreak/>
        <w:t>Elimination of radioactivity from the uveal tract was slow, suggesting some retention in this pigmented tissue. No such affinity was observed for pigmented skin.</w:t>
      </w:r>
    </w:p>
    <w:p w14:paraId="07BF58CA" w14:textId="77777777" w:rsidR="00655550" w:rsidRDefault="00984C98" w:rsidP="003B13BE">
      <w:r>
        <w:t xml:space="preserve">Metabolites of </w:t>
      </w:r>
      <w:r w:rsidR="002437C0">
        <w:t>GZR</w:t>
      </w:r>
      <w:r>
        <w:t xml:space="preserve"> were formed by hydroxylation, oxidative O-dealkylation, oxidative loss of the </w:t>
      </w:r>
      <w:proofErr w:type="spellStart"/>
      <w:r>
        <w:t>vinylcyclopropylamide</w:t>
      </w:r>
      <w:proofErr w:type="spellEnd"/>
      <w:r>
        <w:t xml:space="preserve">, conjugation with glutathione subsequent to oxidation and products thought to result from bacterial hydrolytic metabolism in human faeces. Unchanged drug was the only notable circulating drug-related species in rats, dogs and humans. The only human-specific metabolites were observed in the faeces, with some thought to result from bacterial metabolism. These metabolites are not expected to be toxicologically significant. In vitro studies demonstrated a significant role for </w:t>
      </w:r>
      <w:r w:rsidR="003B13BE">
        <w:t xml:space="preserve">cytochrome P450 isozyme </w:t>
      </w:r>
      <w:r>
        <w:t xml:space="preserve">CYP3A4 and a lesser role for CYP2D6 in the formation of oxidative metabolites. </w:t>
      </w:r>
      <w:r w:rsidR="002437C0">
        <w:t>GZR</w:t>
      </w:r>
      <w:r>
        <w:t xml:space="preserve"> was shown to possess the potential to form chemically reactive </w:t>
      </w:r>
      <w:r w:rsidRPr="006E6824">
        <w:t xml:space="preserve">metabolites capable of forming covalent bonds with proteins. The formation of reactive species increased in the presence of </w:t>
      </w:r>
      <w:r w:rsidR="006E6824" w:rsidRPr="006E6824">
        <w:t>Nicotinamide adenine dinucleotide phosphate (</w:t>
      </w:r>
      <w:r w:rsidRPr="006E6824">
        <w:t>NADPH</w:t>
      </w:r>
      <w:r w:rsidR="006E6824" w:rsidRPr="006E6824">
        <w:t>)</w:t>
      </w:r>
      <w:r w:rsidRPr="006E6824">
        <w:t xml:space="preserve"> and was reduced when glutathione was present suggesting that cellular antioxidants/</w:t>
      </w:r>
      <w:r>
        <w:t xml:space="preserve"> nucleophiles can serve a protective role.</w:t>
      </w:r>
    </w:p>
    <w:p w14:paraId="5A1ECCFE" w14:textId="77777777" w:rsidR="00655550" w:rsidRDefault="002437C0" w:rsidP="003B13BE">
      <w:r>
        <w:t>EBR</w:t>
      </w:r>
      <w:r w:rsidR="00984C98">
        <w:t xml:space="preserve"> metabolism was limited, with four metabolites identified in animal species (rats, rabbits and dogs) and human subjects across various matrices. Human metabolites were shown to be formed by CYP3A4. There were no human-specific metabolites. Unchanged drug was the only notable circulating drug-related species.</w:t>
      </w:r>
    </w:p>
    <w:p w14:paraId="3EABD17C" w14:textId="77777777" w:rsidR="00655550" w:rsidRDefault="00984C98" w:rsidP="003B13BE">
      <w:r>
        <w:t xml:space="preserve">Excretion of </w:t>
      </w:r>
      <w:r w:rsidR="002437C0">
        <w:t>GZR</w:t>
      </w:r>
      <w:r>
        <w:t xml:space="preserve"> and </w:t>
      </w:r>
      <w:r w:rsidR="002437C0">
        <w:t>EBR</w:t>
      </w:r>
      <w:r w:rsidR="003B13BE">
        <w:t xml:space="preserve"> </w:t>
      </w:r>
      <w:r>
        <w:t>related material was predominantly via the bile/faeces in humans, rats, rabbits and dogs. Urinary excretion was minimal to minor in all species.</w:t>
      </w:r>
    </w:p>
    <w:p w14:paraId="4C3DCFBB" w14:textId="6AAB0A02" w:rsidR="00984C98" w:rsidRDefault="00984C98" w:rsidP="003B13BE">
      <w:r>
        <w:t>Overall, the pharmacokinetic profiles in the laboratory animal species were sufficiently similar to allow them to serve as appropriate models for the assessment of drug toxicity in humans.</w:t>
      </w:r>
    </w:p>
    <w:p w14:paraId="4C3DCFBC" w14:textId="77777777" w:rsidR="00984C98" w:rsidRDefault="00984C98" w:rsidP="003B13BE">
      <w:pPr>
        <w:pStyle w:val="Heading4"/>
      </w:pPr>
      <w:r>
        <w:t>Pharmacokinetic drug interactions</w:t>
      </w:r>
    </w:p>
    <w:p w14:paraId="4C3DCFBD" w14:textId="77777777" w:rsidR="00984C98" w:rsidRDefault="002437C0" w:rsidP="00984C98">
      <w:r>
        <w:t>GZR</w:t>
      </w:r>
      <w:r w:rsidR="00984C98">
        <w:t xml:space="preserve"> is a substrate for CYP3A4, P-glycoprotein, OATP1B1 and OATP1B3. </w:t>
      </w:r>
      <w:r>
        <w:t>GZR</w:t>
      </w:r>
      <w:r w:rsidR="00984C98">
        <w:t xml:space="preserve"> exposures could therefore be affected by concomitant administration of drugs that inhibit or induce CYP3A4 (shown to be the primary metabolic enzyme), P-glycoprotein or inhibitors of OATP1B1 and OATP1B3. There was no clinically-relevant inhibition of </w:t>
      </w:r>
      <w:r w:rsidR="006E6824" w:rsidRPr="006E6824">
        <w:t xml:space="preserve">uridine diphosphate </w:t>
      </w:r>
      <w:proofErr w:type="spellStart"/>
      <w:r w:rsidR="006E6824" w:rsidRPr="006E6824">
        <w:t>glucuronosyl</w:t>
      </w:r>
      <w:proofErr w:type="spellEnd"/>
      <w:r w:rsidR="006E6824" w:rsidRPr="006E6824">
        <w:t xml:space="preserve"> </w:t>
      </w:r>
      <w:proofErr w:type="spellStart"/>
      <w:r w:rsidR="006E6824" w:rsidRPr="0063568C">
        <w:t>transferase</w:t>
      </w:r>
      <w:proofErr w:type="spellEnd"/>
      <w:r w:rsidR="006E6824" w:rsidRPr="0063568C">
        <w:t xml:space="preserve"> A1 (</w:t>
      </w:r>
      <w:r w:rsidR="00984C98" w:rsidRPr="0063568C">
        <w:t>UGT1A1</w:t>
      </w:r>
      <w:r w:rsidR="006E6824" w:rsidRPr="0063568C">
        <w:t>)</w:t>
      </w:r>
      <w:r w:rsidR="00984C98" w:rsidRPr="0063568C">
        <w:t xml:space="preserve">, CYP1A2, 2B6, 2C8, 2C9, 2C19, 2D6 or 3A4 enzymes, </w:t>
      </w:r>
      <w:r w:rsidR="00F94F4D" w:rsidRPr="0063568C">
        <w:t>bile salt export pump (</w:t>
      </w:r>
      <w:r w:rsidR="00984C98" w:rsidRPr="0063568C">
        <w:t>BSEP</w:t>
      </w:r>
      <w:r w:rsidR="00F94F4D" w:rsidRPr="0063568C">
        <w:t>)</w:t>
      </w:r>
      <w:r w:rsidR="00984C98" w:rsidRPr="0063568C">
        <w:t xml:space="preserve">, hepatic </w:t>
      </w:r>
      <w:r w:rsidR="00F94F4D" w:rsidRPr="0063568C">
        <w:t xml:space="preserve">multidrug resistance-associated proteins </w:t>
      </w:r>
      <w:r w:rsidR="0063568C" w:rsidRPr="0063568C">
        <w:t>2, 3 and 4 (</w:t>
      </w:r>
      <w:r w:rsidR="00984C98" w:rsidRPr="0063568C">
        <w:t>MRP2, MRP3, MRP4</w:t>
      </w:r>
      <w:r w:rsidR="0063568C" w:rsidRPr="0063568C">
        <w:t>)</w:t>
      </w:r>
      <w:r w:rsidR="00984C98" w:rsidRPr="0063568C">
        <w:t xml:space="preserve">, hepatic </w:t>
      </w:r>
      <w:r w:rsidR="0063568C" w:rsidRPr="0063568C">
        <w:t>breast cancer resistance protein (</w:t>
      </w:r>
      <w:r w:rsidR="00984C98" w:rsidRPr="0063568C">
        <w:t>BCRP</w:t>
      </w:r>
      <w:r w:rsidR="0063568C" w:rsidRPr="0063568C">
        <w:t>)</w:t>
      </w:r>
      <w:r w:rsidR="00984C98" w:rsidRPr="0063568C">
        <w:t xml:space="preserve"> or P glycoprotein transporters, or hepatocyte taurocholate uptake. Possible clinically-relevant inhibition of OATP1B1, OATP1B3, intestinal</w:t>
      </w:r>
      <w:r w:rsidR="00984C98">
        <w:t xml:space="preserve"> MRP2 and intestinal BCRP was indicated in in vitro studies. There was no significant induction of CYP3A4, 1A2 or 2B6 in human hepatocytes. </w:t>
      </w:r>
      <w:r>
        <w:t>GZR</w:t>
      </w:r>
      <w:r w:rsidR="00984C98">
        <w:t xml:space="preserve"> was not a time-dependent inhibitor of CYP3A or 2C8.</w:t>
      </w:r>
    </w:p>
    <w:p w14:paraId="4C3DCFBE" w14:textId="77777777" w:rsidR="00984C98" w:rsidRDefault="00984C98" w:rsidP="00984C98">
      <w:r>
        <w:t xml:space="preserve">In vitro, the HIV inhibitors, atazanavir, darunavir, lopinavir, and ritonavir, inhibited OATP1B-mediated </w:t>
      </w:r>
      <w:r w:rsidR="002437C0">
        <w:t>GZR</w:t>
      </w:r>
      <w:r>
        <w:t xml:space="preserve"> uptake into cells. Based on ICR50R values, this inhibition is considered clinically</w:t>
      </w:r>
      <w:r w:rsidR="001A5EE3">
        <w:t xml:space="preserve"> </w:t>
      </w:r>
      <w:r>
        <w:t>relevant.</w:t>
      </w:r>
    </w:p>
    <w:p w14:paraId="4C3DCFBF" w14:textId="77777777" w:rsidR="00984C98" w:rsidRDefault="002437C0" w:rsidP="00984C98">
      <w:r>
        <w:t>EBR</w:t>
      </w:r>
      <w:r w:rsidR="00984C98">
        <w:t xml:space="preserve"> is transported by P-glycoprotein and metabolised by CYP3A4.</w:t>
      </w:r>
      <w:r w:rsidR="00D80B0A">
        <w:t xml:space="preserve"> </w:t>
      </w:r>
      <w:r w:rsidR="00984C98">
        <w:t xml:space="preserve">Co-administration with inducers of these may affect </w:t>
      </w:r>
      <w:r>
        <w:t>EBR</w:t>
      </w:r>
      <w:r w:rsidR="00984C98">
        <w:t xml:space="preserve"> exposures. As </w:t>
      </w:r>
      <w:r>
        <w:t>EBR</w:t>
      </w:r>
      <w:r w:rsidR="00984C98">
        <w:t xml:space="preserve"> is not extensively metabolised, inhibitors of CYP3A are unlikely to significantly affect </w:t>
      </w:r>
      <w:r>
        <w:t>EBR</w:t>
      </w:r>
      <w:r w:rsidR="00984C98">
        <w:t xml:space="preserve"> exposures, though inhibitors of P-glycoprotein may alter </w:t>
      </w:r>
      <w:r>
        <w:t>EBR</w:t>
      </w:r>
      <w:r w:rsidR="00984C98">
        <w:t xml:space="preserve"> exposures. There was no clinically</w:t>
      </w:r>
      <w:r w:rsidR="001A5EE3">
        <w:t xml:space="preserve"> </w:t>
      </w:r>
      <w:r w:rsidR="00984C98">
        <w:t xml:space="preserve">relevant inhibition of CYP1A2, 2B6, 2C8, 2C9, 2C19, 2D6, 3A4 or UGT1A1 </w:t>
      </w:r>
      <w:r w:rsidR="00984C98" w:rsidRPr="001A5EE3">
        <w:t>activity or BSEP, systemic</w:t>
      </w:r>
      <w:r w:rsidR="00984C98">
        <w:t xml:space="preserve"> P glycoprotein, hepatic MRP2, MRP3 or MRP4 transporter activity. </w:t>
      </w:r>
      <w:r>
        <w:t>EBR</w:t>
      </w:r>
      <w:r w:rsidR="00984C98">
        <w:t xml:space="preserve"> was not a time dependent inhibitor of </w:t>
      </w:r>
      <w:proofErr w:type="gramStart"/>
      <w:r w:rsidR="00984C98">
        <w:t>CYP3A4,</w:t>
      </w:r>
      <w:proofErr w:type="gramEnd"/>
      <w:r w:rsidR="00984C98">
        <w:t xml:space="preserve"> did not induce CYP1A2, 2B6 or 3A4 expression/activity and was not a substrate for OATP1B1 or OATP1B3. Some inhibition of OATP1B1 may occur with the proposed clinical dose but the effect is unlikely to be significant. Inhibition of intestinal P glycoprotein, BCRP and intestinal MRP2 may occur in human subjects.</w:t>
      </w:r>
    </w:p>
    <w:p w14:paraId="4C3DCFC0" w14:textId="77777777" w:rsidR="004334C7" w:rsidRDefault="00984C98" w:rsidP="00984C98">
      <w:r>
        <w:lastRenderedPageBreak/>
        <w:t xml:space="preserve">In dogs, exposures to </w:t>
      </w:r>
      <w:r w:rsidR="002437C0">
        <w:t>GZR</w:t>
      </w:r>
      <w:r>
        <w:t xml:space="preserve"> were higher when this drug was provided in combination with </w:t>
      </w:r>
      <w:r w:rsidR="002437C0">
        <w:t>EBR</w:t>
      </w:r>
      <w:r>
        <w:t xml:space="preserve">. </w:t>
      </w:r>
      <w:r w:rsidR="002437C0">
        <w:t>EBR</w:t>
      </w:r>
      <w:r>
        <w:t xml:space="preserve"> exposures were unaffected by co-administration with </w:t>
      </w:r>
      <w:r w:rsidR="002437C0">
        <w:t>GZR</w:t>
      </w:r>
      <w:r>
        <w:t>.</w:t>
      </w:r>
    </w:p>
    <w:p w14:paraId="4C3DCFC1" w14:textId="77777777" w:rsidR="001B5C90" w:rsidRDefault="008E7846" w:rsidP="001A5EE3">
      <w:pPr>
        <w:pStyle w:val="Heading3"/>
      </w:pPr>
      <w:bookmarkStart w:id="54" w:name="_Toc484510885"/>
      <w:r w:rsidRPr="001A5EE3">
        <w:t>Toxicology</w:t>
      </w:r>
      <w:bookmarkEnd w:id="52"/>
      <w:bookmarkEnd w:id="53"/>
      <w:bookmarkEnd w:id="54"/>
    </w:p>
    <w:p w14:paraId="4C3DCFC2" w14:textId="77777777" w:rsidR="00984C98" w:rsidRPr="00984C98" w:rsidRDefault="00984C98" w:rsidP="001A5EE3">
      <w:pPr>
        <w:pStyle w:val="Heading4"/>
      </w:pPr>
      <w:bookmarkStart w:id="55" w:name="_Toc247691515"/>
      <w:bookmarkStart w:id="56" w:name="_Toc314842499"/>
      <w:r w:rsidRPr="00984C98">
        <w:t>Acute toxicity</w:t>
      </w:r>
    </w:p>
    <w:p w14:paraId="4C3DCFC3" w14:textId="77777777" w:rsidR="00984C98" w:rsidRPr="00984C98" w:rsidRDefault="00984C98" w:rsidP="001A5EE3">
      <w:r w:rsidRPr="00984C98">
        <w:t>No single-dose toxicity studies were submitted. This is not considered a deficiency. Toxicity was assessed in repeat-dose toxicity studies.</w:t>
      </w:r>
    </w:p>
    <w:p w14:paraId="4C3DCFC4" w14:textId="77777777" w:rsidR="00984C98" w:rsidRPr="00984C98" w:rsidRDefault="00984C98" w:rsidP="001A5EE3">
      <w:pPr>
        <w:pStyle w:val="Heading4"/>
      </w:pPr>
      <w:r w:rsidRPr="00984C98">
        <w:t>Repeat-dose toxicity</w:t>
      </w:r>
    </w:p>
    <w:p w14:paraId="4C3DCFC5" w14:textId="77777777" w:rsidR="00984C98" w:rsidRPr="00984C98" w:rsidRDefault="00984C98" w:rsidP="001A5EE3">
      <w:r w:rsidRPr="00984C98">
        <w:t xml:space="preserve">Repeat-dose toxicity studies with </w:t>
      </w:r>
      <w:r w:rsidR="002437C0">
        <w:t>GZR</w:t>
      </w:r>
      <w:r w:rsidRPr="00984C98">
        <w:t xml:space="preserve"> and </w:t>
      </w:r>
      <w:r w:rsidR="002437C0">
        <w:t>EBR</w:t>
      </w:r>
      <w:r w:rsidRPr="00984C98">
        <w:t xml:space="preserve"> were conducted in three species: mouse, rat and dog. All studies were conducted using the clinical (oral) route.</w:t>
      </w:r>
      <w:r w:rsidR="00D80B0A">
        <w:t xml:space="preserve"> </w:t>
      </w:r>
      <w:r w:rsidRPr="00984C98">
        <w:t xml:space="preserve">The durations of the pivotal studies, the species used and the group sizes were consistent with </w:t>
      </w:r>
      <w:r w:rsidR="0063568C" w:rsidRPr="0063568C">
        <w:t xml:space="preserve">International Council for Harmonisation of Technical Requirements for Pharmaceuticals for Human Use (ICH) </w:t>
      </w:r>
      <w:r w:rsidRPr="00984C98">
        <w:t>guidelines.</w:t>
      </w:r>
      <w:r w:rsidR="00D80B0A">
        <w:t xml:space="preserve"> </w:t>
      </w:r>
      <w:r w:rsidRPr="00984C98">
        <w:t>Doses used resulted in exposures that were significant multiples of those at the anticipated clinical dose.</w:t>
      </w:r>
    </w:p>
    <w:p w14:paraId="4C3DCFC6" w14:textId="77777777" w:rsidR="00984C98" w:rsidRPr="00984C98" w:rsidRDefault="001A5EE3" w:rsidP="001A5EE3">
      <w:pPr>
        <w:pStyle w:val="Heading5"/>
        <w:rPr>
          <w:rFonts w:eastAsia="Cambria"/>
        </w:rPr>
      </w:pPr>
      <w:r>
        <w:rPr>
          <w:rFonts w:eastAsia="Cambria"/>
        </w:rPr>
        <w:t>Relative exposure to</w:t>
      </w:r>
      <w:r w:rsidR="00984C98" w:rsidRPr="00984C98">
        <w:rPr>
          <w:rFonts w:eastAsia="Cambria"/>
        </w:rPr>
        <w:t xml:space="preserve"> </w:t>
      </w:r>
      <w:r w:rsidR="002437C0">
        <w:rPr>
          <w:rFonts w:eastAsia="Cambria"/>
        </w:rPr>
        <w:t>GZR</w:t>
      </w:r>
    </w:p>
    <w:p w14:paraId="4C3DCFC7" w14:textId="77777777" w:rsidR="00984C98" w:rsidRPr="00984C98" w:rsidRDefault="00984C98" w:rsidP="001A5EE3">
      <w:r w:rsidRPr="00984C98">
        <w:t>Exposure ratios have been calculated based on animal:</w:t>
      </w:r>
      <w:r w:rsidR="001A5EE3">
        <w:t xml:space="preserve"> </w:t>
      </w:r>
      <w:r w:rsidRPr="00984C98">
        <w:t xml:space="preserve">human plasma </w:t>
      </w:r>
      <w:proofErr w:type="spellStart"/>
      <w:r w:rsidRPr="00984C98">
        <w:t>CRmaxR</w:t>
      </w:r>
      <w:proofErr w:type="spellEnd"/>
      <w:r w:rsidRPr="00984C98">
        <w:t xml:space="preserve"> and AUCR</w:t>
      </w:r>
      <w:r w:rsidRPr="001A5EE3">
        <w:rPr>
          <w:vertAlign w:val="subscript"/>
        </w:rPr>
        <w:t xml:space="preserve">0–24 </w:t>
      </w:r>
      <w:proofErr w:type="spellStart"/>
      <w:r w:rsidRPr="001A5EE3">
        <w:rPr>
          <w:vertAlign w:val="subscript"/>
        </w:rPr>
        <w:t>h</w:t>
      </w:r>
      <w:r w:rsidRPr="00984C98">
        <w:t>R</w:t>
      </w:r>
      <w:proofErr w:type="spellEnd"/>
      <w:r w:rsidRPr="00984C98">
        <w:t xml:space="preserve"> </w:t>
      </w:r>
      <w:r w:rsidR="002437C0">
        <w:t>GZR</w:t>
      </w:r>
      <w:r w:rsidRPr="00984C98">
        <w:t xml:space="preserve"> values. Levels of exposure achieved in animal studies were high relative to the anticipated clinical exposure values and </w:t>
      </w:r>
      <w:r w:rsidR="001A5EE3">
        <w:t>No observable adverse effect level (</w:t>
      </w:r>
      <w:r w:rsidRPr="00984C98">
        <w:t>NOAEL</w:t>
      </w:r>
      <w:r w:rsidR="001A5EE3">
        <w:t>)</w:t>
      </w:r>
      <w:r w:rsidRPr="00984C98">
        <w:t xml:space="preserve"> values (highlighted) were at high relative exposure values.</w:t>
      </w:r>
    </w:p>
    <w:p w14:paraId="4C3DCFC8" w14:textId="77777777" w:rsidR="00984C98" w:rsidRPr="00984C98" w:rsidRDefault="001A5EE3" w:rsidP="001A5EE3">
      <w:pPr>
        <w:pStyle w:val="TableTitle"/>
      </w:pPr>
      <w:r>
        <w:t xml:space="preserve">Table 3: </w:t>
      </w:r>
      <w:r w:rsidR="00984C98" w:rsidRPr="00984C98">
        <w:t xml:space="preserve">Relative </w:t>
      </w:r>
      <w:r w:rsidR="002437C0">
        <w:t>GZR</w:t>
      </w:r>
      <w:r w:rsidR="00984C98" w:rsidRPr="00984C98">
        <w:t xml:space="preserve"> exposure in repeat-dose toxicity studies</w:t>
      </w:r>
    </w:p>
    <w:tbl>
      <w:tblPr>
        <w:tblStyle w:val="TableTGAblue"/>
        <w:tblW w:w="5020" w:type="pct"/>
        <w:tblLayout w:type="fixed"/>
        <w:tblLook w:val="01E0" w:firstRow="1" w:lastRow="1" w:firstColumn="1" w:lastColumn="1" w:noHBand="0" w:noVBand="0"/>
      </w:tblPr>
      <w:tblGrid>
        <w:gridCol w:w="1276"/>
        <w:gridCol w:w="1387"/>
        <w:gridCol w:w="1700"/>
        <w:gridCol w:w="1131"/>
        <w:gridCol w:w="1135"/>
        <w:gridCol w:w="1173"/>
        <w:gridCol w:w="953"/>
      </w:tblGrid>
      <w:tr w:rsidR="009D4403" w:rsidRPr="0075660C" w14:paraId="4C3DCFD0" w14:textId="77777777" w:rsidTr="003078E7">
        <w:trPr>
          <w:cnfStyle w:val="100000000000" w:firstRow="1" w:lastRow="0" w:firstColumn="0" w:lastColumn="0" w:oddVBand="0" w:evenVBand="0" w:oddHBand="0" w:evenHBand="0" w:firstRowFirstColumn="0" w:firstRowLastColumn="0" w:lastRowFirstColumn="0" w:lastRowLastColumn="0"/>
          <w:trHeight w:val="1056"/>
        </w:trPr>
        <w:tc>
          <w:tcPr>
            <w:tcW w:w="729" w:type="pct"/>
            <w:vMerge w:val="restart"/>
            <w:tcBorders>
              <w:right w:val="single" w:sz="4" w:space="0" w:color="FFFFFF" w:themeColor="background1"/>
            </w:tcBorders>
          </w:tcPr>
          <w:p w14:paraId="4C3DCFC9" w14:textId="77777777" w:rsidR="009D4403" w:rsidRPr="0075660C" w:rsidRDefault="009D4403" w:rsidP="00933822">
            <w:pPr>
              <w:ind w:right="67"/>
              <w:rPr>
                <w:sz w:val="20"/>
                <w:szCs w:val="20"/>
              </w:rPr>
            </w:pPr>
            <w:r w:rsidRPr="0075660C">
              <w:rPr>
                <w:sz w:val="20"/>
                <w:szCs w:val="20"/>
              </w:rPr>
              <w:t>Species</w:t>
            </w:r>
          </w:p>
        </w:tc>
        <w:tc>
          <w:tcPr>
            <w:tcW w:w="792" w:type="pct"/>
            <w:vMerge w:val="restart"/>
            <w:tcBorders>
              <w:left w:val="single" w:sz="4" w:space="0" w:color="FFFFFF" w:themeColor="background1"/>
              <w:right w:val="single" w:sz="4" w:space="0" w:color="FFFFFF" w:themeColor="background1"/>
            </w:tcBorders>
          </w:tcPr>
          <w:p w14:paraId="4C3DCFCA" w14:textId="77777777" w:rsidR="009D4403" w:rsidRPr="0075660C" w:rsidRDefault="009D4403" w:rsidP="0075660C">
            <w:pPr>
              <w:rPr>
                <w:sz w:val="20"/>
                <w:szCs w:val="20"/>
              </w:rPr>
            </w:pPr>
            <w:r w:rsidRPr="0075660C">
              <w:rPr>
                <w:sz w:val="20"/>
                <w:szCs w:val="20"/>
              </w:rPr>
              <w:t>Study duration</w:t>
            </w:r>
          </w:p>
        </w:tc>
        <w:tc>
          <w:tcPr>
            <w:tcW w:w="971" w:type="pct"/>
            <w:vMerge w:val="restart"/>
            <w:tcBorders>
              <w:left w:val="single" w:sz="4" w:space="0" w:color="FFFFFF" w:themeColor="background1"/>
              <w:right w:val="single" w:sz="4" w:space="0" w:color="FFFFFF" w:themeColor="background1"/>
            </w:tcBorders>
          </w:tcPr>
          <w:p w14:paraId="4C3DCFCB" w14:textId="68E2C0FD" w:rsidR="009D4403" w:rsidRPr="0075660C" w:rsidRDefault="009D4403" w:rsidP="0075660C">
            <w:pPr>
              <w:rPr>
                <w:sz w:val="20"/>
                <w:szCs w:val="20"/>
              </w:rPr>
            </w:pPr>
            <w:r w:rsidRPr="0075660C">
              <w:rPr>
                <w:sz w:val="20"/>
                <w:szCs w:val="20"/>
              </w:rPr>
              <w:t>Dose</w:t>
            </w:r>
            <w:r w:rsidR="0075660C" w:rsidRPr="0075660C">
              <w:rPr>
                <w:sz w:val="20"/>
                <w:szCs w:val="20"/>
              </w:rPr>
              <w:t xml:space="preserve"> </w:t>
            </w:r>
            <w:r w:rsidRPr="0075660C">
              <w:rPr>
                <w:sz w:val="20"/>
                <w:szCs w:val="20"/>
              </w:rPr>
              <w:t>mg/kg/day</w:t>
            </w:r>
          </w:p>
        </w:tc>
        <w:tc>
          <w:tcPr>
            <w:tcW w:w="646" w:type="pct"/>
            <w:vMerge w:val="restart"/>
            <w:tcBorders>
              <w:left w:val="single" w:sz="4" w:space="0" w:color="FFFFFF" w:themeColor="background1"/>
              <w:right w:val="single" w:sz="4" w:space="0" w:color="FFFFFF" w:themeColor="background1"/>
            </w:tcBorders>
          </w:tcPr>
          <w:p w14:paraId="4C3DCFCD" w14:textId="56A4865E" w:rsidR="009D4403" w:rsidRPr="0075660C" w:rsidRDefault="009D4403" w:rsidP="0075660C">
            <w:pPr>
              <w:rPr>
                <w:sz w:val="20"/>
                <w:szCs w:val="20"/>
              </w:rPr>
            </w:pPr>
            <w:proofErr w:type="spellStart"/>
            <w:r w:rsidRPr="0075660C">
              <w:rPr>
                <w:sz w:val="20"/>
                <w:szCs w:val="20"/>
              </w:rPr>
              <w:t>C</w:t>
            </w:r>
            <w:r w:rsidRPr="0075660C">
              <w:rPr>
                <w:rFonts w:ascii="ZWAdobeF" w:hAnsi="ZWAdobeF" w:cs="ZWAdobeF"/>
                <w:sz w:val="20"/>
                <w:szCs w:val="20"/>
              </w:rPr>
              <w:t>R</w:t>
            </w:r>
            <w:r w:rsidRPr="0075660C">
              <w:rPr>
                <w:sz w:val="20"/>
                <w:szCs w:val="20"/>
                <w:vertAlign w:val="subscript"/>
              </w:rPr>
              <w:t>max</w:t>
            </w:r>
            <w:proofErr w:type="spellEnd"/>
            <w:r w:rsidR="0075660C">
              <w:rPr>
                <w:sz w:val="20"/>
                <w:szCs w:val="20"/>
                <w:vertAlign w:val="subscript"/>
              </w:rPr>
              <w:t xml:space="preserve"> </w:t>
            </w:r>
            <w:proofErr w:type="spellStart"/>
            <w:r w:rsidRPr="0075660C">
              <w:rPr>
                <w:sz w:val="20"/>
                <w:szCs w:val="20"/>
              </w:rPr>
              <w:t>μM</w:t>
            </w:r>
            <w:proofErr w:type="spellEnd"/>
          </w:p>
        </w:tc>
        <w:tc>
          <w:tcPr>
            <w:tcW w:w="648" w:type="pct"/>
            <w:vMerge w:val="restart"/>
            <w:tcBorders>
              <w:left w:val="single" w:sz="4" w:space="0" w:color="FFFFFF" w:themeColor="background1"/>
            </w:tcBorders>
          </w:tcPr>
          <w:p w14:paraId="4C3DCFCE" w14:textId="6EAD00C2" w:rsidR="009D4403" w:rsidRPr="0075660C" w:rsidRDefault="009D4403" w:rsidP="0075660C">
            <w:pPr>
              <w:rPr>
                <w:sz w:val="20"/>
                <w:szCs w:val="20"/>
              </w:rPr>
            </w:pPr>
            <w:r w:rsidRPr="0075660C">
              <w:rPr>
                <w:sz w:val="20"/>
                <w:szCs w:val="20"/>
              </w:rPr>
              <w:t>AUC</w:t>
            </w:r>
            <w:r w:rsidRPr="0075660C">
              <w:rPr>
                <w:rFonts w:ascii="ZWAdobeF" w:hAnsi="ZWAdobeF" w:cs="ZWAdobeF"/>
                <w:sz w:val="20"/>
                <w:szCs w:val="20"/>
              </w:rPr>
              <w:t>R</w:t>
            </w:r>
            <w:r w:rsidR="0075660C">
              <w:rPr>
                <w:rFonts w:ascii="ZWAdobeF" w:hAnsi="ZWAdobeF" w:cs="ZWAdobeF"/>
                <w:sz w:val="20"/>
                <w:szCs w:val="20"/>
              </w:rPr>
              <w:t xml:space="preserve"> </w:t>
            </w:r>
            <w:r w:rsidRPr="0075660C">
              <w:rPr>
                <w:sz w:val="20"/>
                <w:szCs w:val="20"/>
                <w:vertAlign w:val="subscript"/>
              </w:rPr>
              <w:t>0</w:t>
            </w:r>
            <w:r w:rsidRPr="0075660C">
              <w:rPr>
                <w:sz w:val="20"/>
                <w:szCs w:val="20"/>
              </w:rPr>
              <w:t>–</w:t>
            </w:r>
            <w:r w:rsidRPr="0075660C">
              <w:rPr>
                <w:sz w:val="20"/>
                <w:szCs w:val="20"/>
                <w:vertAlign w:val="subscript"/>
              </w:rPr>
              <w:t>24</w:t>
            </w:r>
            <w:r w:rsidRPr="0075660C">
              <w:rPr>
                <w:w w:val="50"/>
                <w:sz w:val="20"/>
                <w:szCs w:val="20"/>
                <w:vertAlign w:val="subscript"/>
              </w:rPr>
              <w:t> </w:t>
            </w:r>
            <w:proofErr w:type="spellStart"/>
            <w:r w:rsidRPr="0075660C">
              <w:rPr>
                <w:sz w:val="20"/>
                <w:szCs w:val="20"/>
                <w:vertAlign w:val="subscript"/>
              </w:rPr>
              <w:t>h</w:t>
            </w:r>
            <w:r w:rsidRPr="0075660C">
              <w:rPr>
                <w:rFonts w:ascii="ZWAdobeF" w:hAnsi="ZWAdobeF" w:cs="ZWAdobeF"/>
                <w:sz w:val="20"/>
                <w:szCs w:val="20"/>
              </w:rPr>
              <w:t>R</w:t>
            </w:r>
            <w:proofErr w:type="spellEnd"/>
            <w:r w:rsidR="0075660C" w:rsidRPr="0075660C">
              <w:rPr>
                <w:rFonts w:ascii="ZWAdobeF" w:hAnsi="ZWAdobeF" w:cs="ZWAdobeF"/>
                <w:sz w:val="20"/>
                <w:szCs w:val="20"/>
              </w:rPr>
              <w:t xml:space="preserve"> </w:t>
            </w:r>
            <w:proofErr w:type="spellStart"/>
            <w:r w:rsidRPr="0075660C">
              <w:rPr>
                <w:sz w:val="20"/>
                <w:szCs w:val="20"/>
              </w:rPr>
              <w:t>μM∙h</w:t>
            </w:r>
            <w:proofErr w:type="spellEnd"/>
          </w:p>
        </w:tc>
        <w:tc>
          <w:tcPr>
            <w:tcW w:w="1214" w:type="pct"/>
            <w:gridSpan w:val="2"/>
          </w:tcPr>
          <w:p w14:paraId="4C3DCFCF" w14:textId="77777777" w:rsidR="009D4403" w:rsidRPr="0075660C" w:rsidRDefault="009D4403" w:rsidP="003078E7">
            <w:pPr>
              <w:ind w:left="34"/>
              <w:rPr>
                <w:sz w:val="20"/>
                <w:szCs w:val="20"/>
              </w:rPr>
            </w:pPr>
            <w:r w:rsidRPr="0075660C">
              <w:rPr>
                <w:sz w:val="20"/>
                <w:szCs w:val="20"/>
              </w:rPr>
              <w:t xml:space="preserve">Exposure </w:t>
            </w:r>
            <w:proofErr w:type="spellStart"/>
            <w:r w:rsidRPr="0075660C">
              <w:rPr>
                <w:sz w:val="20"/>
                <w:szCs w:val="20"/>
              </w:rPr>
              <w:t>ratio</w:t>
            </w:r>
            <w:r w:rsidRPr="0075660C">
              <w:rPr>
                <w:rFonts w:ascii="ZWAdobeF" w:hAnsi="ZWAdobeF" w:cs="ZWAdobeF"/>
                <w:sz w:val="20"/>
                <w:szCs w:val="20"/>
              </w:rPr>
              <w:t>P</w:t>
            </w:r>
            <w:proofErr w:type="spellEnd"/>
            <w:r w:rsidRPr="0075660C">
              <w:rPr>
                <w:sz w:val="20"/>
                <w:szCs w:val="20"/>
                <w:vertAlign w:val="superscript"/>
              </w:rPr>
              <w:t>#</w:t>
            </w:r>
          </w:p>
        </w:tc>
      </w:tr>
      <w:tr w:rsidR="006A59AC" w:rsidRPr="0075660C" w14:paraId="4C3DCFD8" w14:textId="77777777" w:rsidTr="003078E7">
        <w:trPr>
          <w:trHeight w:val="567"/>
        </w:trPr>
        <w:tc>
          <w:tcPr>
            <w:tcW w:w="729" w:type="pct"/>
            <w:vMerge/>
            <w:tcBorders>
              <w:right w:val="single" w:sz="4" w:space="0" w:color="FFFFFF" w:themeColor="background1"/>
            </w:tcBorders>
          </w:tcPr>
          <w:p w14:paraId="4C3DCFD1" w14:textId="77777777" w:rsidR="009D4403" w:rsidRPr="0075660C" w:rsidRDefault="009D4403" w:rsidP="00933822">
            <w:pPr>
              <w:ind w:right="67"/>
              <w:rPr>
                <w:b/>
                <w:sz w:val="20"/>
                <w:szCs w:val="20"/>
              </w:rPr>
            </w:pPr>
          </w:p>
        </w:tc>
        <w:tc>
          <w:tcPr>
            <w:tcW w:w="792" w:type="pct"/>
            <w:vMerge/>
            <w:tcBorders>
              <w:left w:val="single" w:sz="4" w:space="0" w:color="FFFFFF" w:themeColor="background1"/>
              <w:right w:val="single" w:sz="4" w:space="0" w:color="FFFFFF" w:themeColor="background1"/>
            </w:tcBorders>
          </w:tcPr>
          <w:p w14:paraId="4C3DCFD2" w14:textId="77777777" w:rsidR="009D4403" w:rsidRPr="0075660C" w:rsidRDefault="009D4403" w:rsidP="0075660C">
            <w:pPr>
              <w:rPr>
                <w:b/>
                <w:sz w:val="20"/>
                <w:szCs w:val="20"/>
              </w:rPr>
            </w:pPr>
          </w:p>
        </w:tc>
        <w:tc>
          <w:tcPr>
            <w:tcW w:w="971" w:type="pct"/>
            <w:vMerge/>
            <w:tcBorders>
              <w:left w:val="single" w:sz="4" w:space="0" w:color="FFFFFF" w:themeColor="background1"/>
              <w:right w:val="single" w:sz="4" w:space="0" w:color="FFFFFF" w:themeColor="background1"/>
            </w:tcBorders>
          </w:tcPr>
          <w:p w14:paraId="4C3DCFD3" w14:textId="77777777" w:rsidR="009D4403" w:rsidRPr="0075660C" w:rsidRDefault="009D4403" w:rsidP="0075660C">
            <w:pPr>
              <w:rPr>
                <w:b/>
                <w:sz w:val="20"/>
                <w:szCs w:val="20"/>
              </w:rPr>
            </w:pPr>
          </w:p>
        </w:tc>
        <w:tc>
          <w:tcPr>
            <w:tcW w:w="646" w:type="pct"/>
            <w:vMerge/>
            <w:tcBorders>
              <w:left w:val="single" w:sz="4" w:space="0" w:color="FFFFFF" w:themeColor="background1"/>
              <w:right w:val="single" w:sz="4" w:space="0" w:color="FFFFFF" w:themeColor="background1"/>
            </w:tcBorders>
          </w:tcPr>
          <w:p w14:paraId="4C3DCFD4" w14:textId="77777777" w:rsidR="009D4403" w:rsidRPr="0075660C" w:rsidRDefault="009D4403" w:rsidP="0075660C">
            <w:pPr>
              <w:rPr>
                <w:b/>
                <w:sz w:val="20"/>
                <w:szCs w:val="20"/>
              </w:rPr>
            </w:pPr>
          </w:p>
        </w:tc>
        <w:tc>
          <w:tcPr>
            <w:tcW w:w="648" w:type="pct"/>
            <w:vMerge/>
            <w:tcBorders>
              <w:left w:val="single" w:sz="4" w:space="0" w:color="FFFFFF" w:themeColor="background1"/>
            </w:tcBorders>
          </w:tcPr>
          <w:p w14:paraId="4C3DCFD5" w14:textId="77777777" w:rsidR="009D4403" w:rsidRPr="0075660C" w:rsidRDefault="009D4403" w:rsidP="0075660C">
            <w:pPr>
              <w:rPr>
                <w:b/>
                <w:sz w:val="20"/>
                <w:szCs w:val="20"/>
              </w:rPr>
            </w:pPr>
          </w:p>
        </w:tc>
        <w:tc>
          <w:tcPr>
            <w:tcW w:w="670" w:type="pct"/>
          </w:tcPr>
          <w:p w14:paraId="4C3DCFD6" w14:textId="77777777" w:rsidR="009D4403" w:rsidRPr="0075660C" w:rsidRDefault="009D4403" w:rsidP="003078E7">
            <w:pPr>
              <w:ind w:left="34"/>
              <w:rPr>
                <w:b/>
                <w:sz w:val="20"/>
                <w:szCs w:val="20"/>
              </w:rPr>
            </w:pPr>
            <w:proofErr w:type="spellStart"/>
            <w:r w:rsidRPr="0075660C">
              <w:rPr>
                <w:sz w:val="20"/>
                <w:szCs w:val="20"/>
              </w:rPr>
              <w:t>C</w:t>
            </w:r>
            <w:r w:rsidRPr="0075660C">
              <w:rPr>
                <w:rFonts w:ascii="ZWAdobeF" w:hAnsi="ZWAdobeF" w:cs="ZWAdobeF"/>
                <w:sz w:val="20"/>
                <w:szCs w:val="20"/>
              </w:rPr>
              <w:t>R</w:t>
            </w:r>
            <w:r w:rsidRPr="0075660C">
              <w:rPr>
                <w:sz w:val="20"/>
                <w:szCs w:val="20"/>
                <w:vertAlign w:val="subscript"/>
              </w:rPr>
              <w:t>max</w:t>
            </w:r>
            <w:proofErr w:type="spellEnd"/>
          </w:p>
        </w:tc>
        <w:tc>
          <w:tcPr>
            <w:tcW w:w="544" w:type="pct"/>
          </w:tcPr>
          <w:p w14:paraId="4C3DCFD7" w14:textId="77777777" w:rsidR="009D4403" w:rsidRPr="0075660C" w:rsidRDefault="009D4403" w:rsidP="003078E7">
            <w:pPr>
              <w:ind w:left="34"/>
              <w:rPr>
                <w:b/>
                <w:sz w:val="20"/>
                <w:szCs w:val="20"/>
              </w:rPr>
            </w:pPr>
            <w:r w:rsidRPr="0075660C">
              <w:rPr>
                <w:sz w:val="20"/>
                <w:szCs w:val="20"/>
              </w:rPr>
              <w:t>AUC</w:t>
            </w:r>
          </w:p>
        </w:tc>
      </w:tr>
      <w:tr w:rsidR="009D4403" w:rsidRPr="0075660C" w14:paraId="4C3DCFE0" w14:textId="77777777" w:rsidTr="003078E7">
        <w:trPr>
          <w:trHeight w:val="227"/>
        </w:trPr>
        <w:tc>
          <w:tcPr>
            <w:tcW w:w="729" w:type="pct"/>
            <w:vMerge w:val="restart"/>
          </w:tcPr>
          <w:p w14:paraId="4C3DCFD9" w14:textId="5286CD3F" w:rsidR="009D4403" w:rsidRPr="0075660C" w:rsidRDefault="009D4403" w:rsidP="00933822">
            <w:pPr>
              <w:ind w:right="67"/>
              <w:rPr>
                <w:kern w:val="2"/>
                <w:sz w:val="20"/>
                <w:szCs w:val="20"/>
              </w:rPr>
            </w:pPr>
            <w:r w:rsidRPr="0075660C">
              <w:rPr>
                <w:kern w:val="2"/>
                <w:sz w:val="20"/>
                <w:szCs w:val="20"/>
              </w:rPr>
              <w:t>Mouse</w:t>
            </w:r>
            <w:r w:rsidR="0075660C">
              <w:rPr>
                <w:kern w:val="2"/>
                <w:sz w:val="20"/>
                <w:szCs w:val="20"/>
              </w:rPr>
              <w:t xml:space="preserve"> </w:t>
            </w:r>
            <w:r w:rsidRPr="0075660C">
              <w:rPr>
                <w:kern w:val="2"/>
                <w:sz w:val="20"/>
                <w:szCs w:val="20"/>
              </w:rPr>
              <w:t>rasH2 wild-type</w:t>
            </w:r>
          </w:p>
        </w:tc>
        <w:tc>
          <w:tcPr>
            <w:tcW w:w="792" w:type="pct"/>
            <w:vMerge w:val="restart"/>
          </w:tcPr>
          <w:p w14:paraId="4C3DCFDA" w14:textId="77777777" w:rsidR="009D4403" w:rsidRPr="0075660C" w:rsidRDefault="009D4403" w:rsidP="0075660C">
            <w:pPr>
              <w:rPr>
                <w:kern w:val="2"/>
                <w:sz w:val="20"/>
                <w:szCs w:val="20"/>
              </w:rPr>
            </w:pPr>
            <w:r w:rsidRPr="0075660C">
              <w:rPr>
                <w:kern w:val="2"/>
                <w:sz w:val="20"/>
                <w:szCs w:val="20"/>
              </w:rPr>
              <w:t>4 weeks</w:t>
            </w:r>
          </w:p>
        </w:tc>
        <w:tc>
          <w:tcPr>
            <w:tcW w:w="971" w:type="pct"/>
          </w:tcPr>
          <w:p w14:paraId="4C3DCFDB" w14:textId="77777777" w:rsidR="009D4403" w:rsidRPr="0075660C" w:rsidRDefault="009D4403" w:rsidP="0075660C">
            <w:pPr>
              <w:rPr>
                <w:sz w:val="20"/>
                <w:szCs w:val="20"/>
              </w:rPr>
            </w:pPr>
            <w:r w:rsidRPr="0075660C">
              <w:rPr>
                <w:sz w:val="20"/>
                <w:szCs w:val="20"/>
              </w:rPr>
              <w:t>20</w:t>
            </w:r>
          </w:p>
        </w:tc>
        <w:tc>
          <w:tcPr>
            <w:tcW w:w="646" w:type="pct"/>
          </w:tcPr>
          <w:p w14:paraId="4C3DCFDC" w14:textId="77777777" w:rsidR="009D4403" w:rsidRPr="0075660C" w:rsidRDefault="009D4403" w:rsidP="0075660C">
            <w:pPr>
              <w:rPr>
                <w:sz w:val="20"/>
                <w:szCs w:val="20"/>
              </w:rPr>
            </w:pPr>
            <w:r w:rsidRPr="0075660C">
              <w:rPr>
                <w:sz w:val="20"/>
                <w:szCs w:val="20"/>
              </w:rPr>
              <w:t>2.07</w:t>
            </w:r>
          </w:p>
        </w:tc>
        <w:tc>
          <w:tcPr>
            <w:tcW w:w="648" w:type="pct"/>
          </w:tcPr>
          <w:p w14:paraId="4C3DCFDD" w14:textId="77777777" w:rsidR="009D4403" w:rsidRPr="0075660C" w:rsidRDefault="009D4403" w:rsidP="0075660C">
            <w:pPr>
              <w:rPr>
                <w:sz w:val="20"/>
                <w:szCs w:val="20"/>
              </w:rPr>
            </w:pPr>
            <w:r w:rsidRPr="0075660C">
              <w:rPr>
                <w:sz w:val="20"/>
                <w:szCs w:val="20"/>
              </w:rPr>
              <w:t>5.0</w:t>
            </w:r>
          </w:p>
        </w:tc>
        <w:tc>
          <w:tcPr>
            <w:tcW w:w="670" w:type="pct"/>
          </w:tcPr>
          <w:p w14:paraId="4C3DCFDE" w14:textId="77777777" w:rsidR="009D4403" w:rsidRPr="0075660C" w:rsidRDefault="009D4403" w:rsidP="003078E7">
            <w:pPr>
              <w:ind w:left="34"/>
              <w:rPr>
                <w:sz w:val="20"/>
                <w:szCs w:val="20"/>
              </w:rPr>
            </w:pPr>
            <w:r w:rsidRPr="0075660C">
              <w:rPr>
                <w:sz w:val="20"/>
                <w:szCs w:val="20"/>
              </w:rPr>
              <w:t>9</w:t>
            </w:r>
          </w:p>
        </w:tc>
        <w:tc>
          <w:tcPr>
            <w:tcW w:w="544" w:type="pct"/>
          </w:tcPr>
          <w:p w14:paraId="4C3DCFDF" w14:textId="77777777" w:rsidR="009D4403" w:rsidRPr="0075660C" w:rsidRDefault="009D4403" w:rsidP="003078E7">
            <w:pPr>
              <w:ind w:left="34"/>
              <w:rPr>
                <w:sz w:val="20"/>
                <w:szCs w:val="20"/>
              </w:rPr>
            </w:pPr>
            <w:r w:rsidRPr="0075660C">
              <w:rPr>
                <w:sz w:val="20"/>
                <w:szCs w:val="20"/>
              </w:rPr>
              <w:t>3</w:t>
            </w:r>
          </w:p>
        </w:tc>
      </w:tr>
      <w:tr w:rsidR="009D4403" w:rsidRPr="0075660C" w14:paraId="4C3DCFE8" w14:textId="77777777" w:rsidTr="003078E7">
        <w:trPr>
          <w:trHeight w:val="227"/>
        </w:trPr>
        <w:tc>
          <w:tcPr>
            <w:tcW w:w="729" w:type="pct"/>
            <w:vMerge/>
          </w:tcPr>
          <w:p w14:paraId="4C3DCFE1" w14:textId="77777777" w:rsidR="009D4403" w:rsidRPr="0075660C" w:rsidRDefault="009D4403" w:rsidP="00933822">
            <w:pPr>
              <w:ind w:right="67"/>
              <w:rPr>
                <w:kern w:val="2"/>
                <w:sz w:val="20"/>
                <w:szCs w:val="20"/>
              </w:rPr>
            </w:pPr>
          </w:p>
        </w:tc>
        <w:tc>
          <w:tcPr>
            <w:tcW w:w="792" w:type="pct"/>
            <w:vMerge/>
          </w:tcPr>
          <w:p w14:paraId="4C3DCFE2" w14:textId="77777777" w:rsidR="009D4403" w:rsidRPr="0075660C" w:rsidRDefault="009D4403" w:rsidP="0075660C">
            <w:pPr>
              <w:rPr>
                <w:kern w:val="2"/>
                <w:sz w:val="20"/>
                <w:szCs w:val="20"/>
              </w:rPr>
            </w:pPr>
          </w:p>
        </w:tc>
        <w:tc>
          <w:tcPr>
            <w:tcW w:w="971" w:type="pct"/>
          </w:tcPr>
          <w:p w14:paraId="4C3DCFE3" w14:textId="77777777" w:rsidR="009D4403" w:rsidRPr="0075660C" w:rsidRDefault="009D4403" w:rsidP="0075660C">
            <w:pPr>
              <w:rPr>
                <w:sz w:val="20"/>
                <w:szCs w:val="20"/>
              </w:rPr>
            </w:pPr>
            <w:r w:rsidRPr="0075660C">
              <w:rPr>
                <w:sz w:val="20"/>
                <w:szCs w:val="20"/>
              </w:rPr>
              <w:t>100</w:t>
            </w:r>
          </w:p>
        </w:tc>
        <w:tc>
          <w:tcPr>
            <w:tcW w:w="646" w:type="pct"/>
          </w:tcPr>
          <w:p w14:paraId="4C3DCFE4" w14:textId="77777777" w:rsidR="009D4403" w:rsidRPr="0075660C" w:rsidRDefault="009D4403" w:rsidP="0075660C">
            <w:pPr>
              <w:rPr>
                <w:sz w:val="20"/>
                <w:szCs w:val="20"/>
              </w:rPr>
            </w:pPr>
            <w:r w:rsidRPr="0075660C">
              <w:rPr>
                <w:sz w:val="20"/>
                <w:szCs w:val="20"/>
              </w:rPr>
              <w:t>40.8</w:t>
            </w:r>
          </w:p>
        </w:tc>
        <w:tc>
          <w:tcPr>
            <w:tcW w:w="648" w:type="pct"/>
          </w:tcPr>
          <w:p w14:paraId="4C3DCFE5" w14:textId="77777777" w:rsidR="009D4403" w:rsidRPr="0075660C" w:rsidRDefault="009D4403" w:rsidP="0075660C">
            <w:pPr>
              <w:rPr>
                <w:sz w:val="20"/>
                <w:szCs w:val="20"/>
              </w:rPr>
            </w:pPr>
            <w:r w:rsidRPr="0075660C">
              <w:rPr>
                <w:sz w:val="20"/>
                <w:szCs w:val="20"/>
              </w:rPr>
              <w:t>164</w:t>
            </w:r>
          </w:p>
        </w:tc>
        <w:tc>
          <w:tcPr>
            <w:tcW w:w="670" w:type="pct"/>
          </w:tcPr>
          <w:p w14:paraId="4C3DCFE6" w14:textId="77777777" w:rsidR="009D4403" w:rsidRPr="0075660C" w:rsidRDefault="009D4403" w:rsidP="003078E7">
            <w:pPr>
              <w:ind w:left="34"/>
              <w:rPr>
                <w:sz w:val="20"/>
                <w:szCs w:val="20"/>
              </w:rPr>
            </w:pPr>
            <w:r w:rsidRPr="0075660C">
              <w:rPr>
                <w:sz w:val="20"/>
                <w:szCs w:val="20"/>
              </w:rPr>
              <w:t>179</w:t>
            </w:r>
          </w:p>
        </w:tc>
        <w:tc>
          <w:tcPr>
            <w:tcW w:w="544" w:type="pct"/>
          </w:tcPr>
          <w:p w14:paraId="4C3DCFE7" w14:textId="77777777" w:rsidR="009D4403" w:rsidRPr="0075660C" w:rsidRDefault="009D4403" w:rsidP="003078E7">
            <w:pPr>
              <w:ind w:left="34"/>
              <w:rPr>
                <w:sz w:val="20"/>
                <w:szCs w:val="20"/>
              </w:rPr>
            </w:pPr>
            <w:r w:rsidRPr="0075660C">
              <w:rPr>
                <w:sz w:val="20"/>
                <w:szCs w:val="20"/>
              </w:rPr>
              <w:t>83</w:t>
            </w:r>
          </w:p>
        </w:tc>
      </w:tr>
      <w:tr w:rsidR="009D4403" w:rsidRPr="0075660C" w14:paraId="4C3DCFF0" w14:textId="77777777" w:rsidTr="003078E7">
        <w:trPr>
          <w:trHeight w:val="227"/>
        </w:trPr>
        <w:tc>
          <w:tcPr>
            <w:tcW w:w="729" w:type="pct"/>
            <w:vMerge/>
          </w:tcPr>
          <w:p w14:paraId="4C3DCFE9" w14:textId="77777777" w:rsidR="009D4403" w:rsidRPr="0075660C" w:rsidRDefault="009D4403" w:rsidP="00933822">
            <w:pPr>
              <w:ind w:right="67"/>
              <w:rPr>
                <w:kern w:val="2"/>
                <w:sz w:val="20"/>
                <w:szCs w:val="20"/>
              </w:rPr>
            </w:pPr>
          </w:p>
        </w:tc>
        <w:tc>
          <w:tcPr>
            <w:tcW w:w="792" w:type="pct"/>
            <w:vMerge/>
          </w:tcPr>
          <w:p w14:paraId="4C3DCFEA" w14:textId="77777777" w:rsidR="009D4403" w:rsidRPr="0075660C" w:rsidRDefault="009D4403" w:rsidP="0075660C">
            <w:pPr>
              <w:rPr>
                <w:kern w:val="2"/>
                <w:sz w:val="20"/>
                <w:szCs w:val="20"/>
              </w:rPr>
            </w:pPr>
          </w:p>
        </w:tc>
        <w:tc>
          <w:tcPr>
            <w:tcW w:w="971" w:type="pct"/>
          </w:tcPr>
          <w:p w14:paraId="4C3DCFEB" w14:textId="77777777" w:rsidR="009D4403" w:rsidRPr="0075660C" w:rsidRDefault="009D4403" w:rsidP="0075660C">
            <w:pPr>
              <w:rPr>
                <w:sz w:val="20"/>
                <w:szCs w:val="20"/>
              </w:rPr>
            </w:pPr>
            <w:r w:rsidRPr="0075660C">
              <w:rPr>
                <w:sz w:val="20"/>
                <w:szCs w:val="20"/>
              </w:rPr>
              <w:t>200</w:t>
            </w:r>
          </w:p>
        </w:tc>
        <w:tc>
          <w:tcPr>
            <w:tcW w:w="646" w:type="pct"/>
          </w:tcPr>
          <w:p w14:paraId="4C3DCFEC" w14:textId="77777777" w:rsidR="009D4403" w:rsidRPr="0075660C" w:rsidRDefault="009D4403" w:rsidP="0075660C">
            <w:pPr>
              <w:rPr>
                <w:sz w:val="20"/>
                <w:szCs w:val="20"/>
              </w:rPr>
            </w:pPr>
            <w:r w:rsidRPr="0075660C">
              <w:rPr>
                <w:sz w:val="20"/>
                <w:szCs w:val="20"/>
              </w:rPr>
              <w:t>72.3</w:t>
            </w:r>
          </w:p>
        </w:tc>
        <w:tc>
          <w:tcPr>
            <w:tcW w:w="648" w:type="pct"/>
          </w:tcPr>
          <w:p w14:paraId="4C3DCFED" w14:textId="77777777" w:rsidR="009D4403" w:rsidRPr="0075660C" w:rsidRDefault="009D4403" w:rsidP="0075660C">
            <w:pPr>
              <w:rPr>
                <w:sz w:val="20"/>
                <w:szCs w:val="20"/>
              </w:rPr>
            </w:pPr>
            <w:r w:rsidRPr="0075660C">
              <w:rPr>
                <w:sz w:val="20"/>
                <w:szCs w:val="20"/>
              </w:rPr>
              <w:t>334</w:t>
            </w:r>
          </w:p>
        </w:tc>
        <w:tc>
          <w:tcPr>
            <w:tcW w:w="670" w:type="pct"/>
          </w:tcPr>
          <w:p w14:paraId="4C3DCFEE" w14:textId="77777777" w:rsidR="009D4403" w:rsidRPr="0075660C" w:rsidRDefault="009D4403" w:rsidP="003078E7">
            <w:pPr>
              <w:ind w:left="34"/>
              <w:rPr>
                <w:sz w:val="20"/>
                <w:szCs w:val="20"/>
              </w:rPr>
            </w:pPr>
            <w:r w:rsidRPr="0075660C">
              <w:rPr>
                <w:sz w:val="20"/>
                <w:szCs w:val="20"/>
              </w:rPr>
              <w:t>317</w:t>
            </w:r>
          </w:p>
        </w:tc>
        <w:tc>
          <w:tcPr>
            <w:tcW w:w="544" w:type="pct"/>
          </w:tcPr>
          <w:p w14:paraId="4C3DCFEF" w14:textId="77777777" w:rsidR="009D4403" w:rsidRPr="0075660C" w:rsidRDefault="009D4403" w:rsidP="003078E7">
            <w:pPr>
              <w:ind w:left="34"/>
              <w:rPr>
                <w:sz w:val="20"/>
                <w:szCs w:val="20"/>
              </w:rPr>
            </w:pPr>
            <w:r w:rsidRPr="0075660C">
              <w:rPr>
                <w:sz w:val="20"/>
                <w:szCs w:val="20"/>
              </w:rPr>
              <w:t>169</w:t>
            </w:r>
          </w:p>
        </w:tc>
      </w:tr>
      <w:tr w:rsidR="009D4403" w:rsidRPr="0075660C" w14:paraId="4C3DCFF8" w14:textId="77777777" w:rsidTr="003078E7">
        <w:trPr>
          <w:trHeight w:val="227"/>
        </w:trPr>
        <w:tc>
          <w:tcPr>
            <w:tcW w:w="729" w:type="pct"/>
            <w:vMerge/>
          </w:tcPr>
          <w:p w14:paraId="4C3DCFF1" w14:textId="77777777" w:rsidR="009D4403" w:rsidRPr="0075660C" w:rsidRDefault="009D4403" w:rsidP="00933822">
            <w:pPr>
              <w:ind w:right="67"/>
              <w:rPr>
                <w:kern w:val="2"/>
                <w:sz w:val="20"/>
                <w:szCs w:val="20"/>
              </w:rPr>
            </w:pPr>
          </w:p>
        </w:tc>
        <w:tc>
          <w:tcPr>
            <w:tcW w:w="792" w:type="pct"/>
            <w:vMerge/>
          </w:tcPr>
          <w:p w14:paraId="4C3DCFF2" w14:textId="77777777" w:rsidR="009D4403" w:rsidRPr="0075660C" w:rsidRDefault="009D4403" w:rsidP="0075660C">
            <w:pPr>
              <w:rPr>
                <w:kern w:val="2"/>
                <w:sz w:val="20"/>
                <w:szCs w:val="20"/>
              </w:rPr>
            </w:pPr>
          </w:p>
        </w:tc>
        <w:tc>
          <w:tcPr>
            <w:tcW w:w="971" w:type="pct"/>
          </w:tcPr>
          <w:p w14:paraId="4C3DCFF3" w14:textId="77777777" w:rsidR="009D4403" w:rsidRPr="0075660C" w:rsidRDefault="009D4403" w:rsidP="0075660C">
            <w:pPr>
              <w:rPr>
                <w:sz w:val="20"/>
                <w:szCs w:val="20"/>
              </w:rPr>
            </w:pPr>
            <w:r w:rsidRPr="0075660C">
              <w:rPr>
                <w:sz w:val="20"/>
                <w:szCs w:val="20"/>
              </w:rPr>
              <w:t>500</w:t>
            </w:r>
          </w:p>
        </w:tc>
        <w:tc>
          <w:tcPr>
            <w:tcW w:w="646" w:type="pct"/>
          </w:tcPr>
          <w:p w14:paraId="4C3DCFF4" w14:textId="77777777" w:rsidR="009D4403" w:rsidRPr="0075660C" w:rsidRDefault="009D4403" w:rsidP="0075660C">
            <w:pPr>
              <w:rPr>
                <w:sz w:val="20"/>
                <w:szCs w:val="20"/>
              </w:rPr>
            </w:pPr>
            <w:r w:rsidRPr="0075660C">
              <w:rPr>
                <w:sz w:val="20"/>
                <w:szCs w:val="20"/>
              </w:rPr>
              <w:t>262</w:t>
            </w:r>
          </w:p>
        </w:tc>
        <w:tc>
          <w:tcPr>
            <w:tcW w:w="648" w:type="pct"/>
          </w:tcPr>
          <w:p w14:paraId="4C3DCFF5" w14:textId="77777777" w:rsidR="009D4403" w:rsidRPr="0075660C" w:rsidRDefault="009D4403" w:rsidP="0075660C">
            <w:pPr>
              <w:rPr>
                <w:sz w:val="20"/>
                <w:szCs w:val="20"/>
              </w:rPr>
            </w:pPr>
            <w:r w:rsidRPr="0075660C">
              <w:rPr>
                <w:sz w:val="20"/>
                <w:szCs w:val="20"/>
              </w:rPr>
              <w:t>2805</w:t>
            </w:r>
          </w:p>
        </w:tc>
        <w:tc>
          <w:tcPr>
            <w:tcW w:w="670" w:type="pct"/>
          </w:tcPr>
          <w:p w14:paraId="4C3DCFF6" w14:textId="77777777" w:rsidR="009D4403" w:rsidRPr="0075660C" w:rsidRDefault="009D4403" w:rsidP="003078E7">
            <w:pPr>
              <w:ind w:left="34"/>
              <w:rPr>
                <w:sz w:val="20"/>
                <w:szCs w:val="20"/>
              </w:rPr>
            </w:pPr>
            <w:r w:rsidRPr="0075660C">
              <w:rPr>
                <w:sz w:val="20"/>
                <w:szCs w:val="20"/>
              </w:rPr>
              <w:t>1149</w:t>
            </w:r>
          </w:p>
        </w:tc>
        <w:tc>
          <w:tcPr>
            <w:tcW w:w="544" w:type="pct"/>
          </w:tcPr>
          <w:p w14:paraId="4C3DCFF7" w14:textId="77777777" w:rsidR="009D4403" w:rsidRPr="0075660C" w:rsidRDefault="009D4403" w:rsidP="003078E7">
            <w:pPr>
              <w:ind w:left="34"/>
              <w:rPr>
                <w:sz w:val="20"/>
                <w:szCs w:val="20"/>
              </w:rPr>
            </w:pPr>
            <w:r w:rsidRPr="0075660C">
              <w:rPr>
                <w:sz w:val="20"/>
                <w:szCs w:val="20"/>
              </w:rPr>
              <w:t>1422</w:t>
            </w:r>
          </w:p>
        </w:tc>
      </w:tr>
      <w:tr w:rsidR="009D4403" w:rsidRPr="0075660C" w14:paraId="4C3DD001" w14:textId="77777777" w:rsidTr="003078E7">
        <w:trPr>
          <w:trHeight w:val="227"/>
        </w:trPr>
        <w:tc>
          <w:tcPr>
            <w:tcW w:w="729" w:type="pct"/>
            <w:vMerge w:val="restart"/>
          </w:tcPr>
          <w:p w14:paraId="4C3DCFFA" w14:textId="0675FC59" w:rsidR="009D4403" w:rsidRPr="0075660C" w:rsidRDefault="009D4403" w:rsidP="00933822">
            <w:pPr>
              <w:ind w:right="67"/>
              <w:rPr>
                <w:kern w:val="2"/>
                <w:sz w:val="20"/>
                <w:szCs w:val="20"/>
              </w:rPr>
            </w:pPr>
            <w:r w:rsidRPr="0075660C">
              <w:rPr>
                <w:kern w:val="2"/>
                <w:sz w:val="20"/>
                <w:szCs w:val="20"/>
              </w:rPr>
              <w:t>Mouse</w:t>
            </w:r>
            <w:r w:rsidR="0075660C">
              <w:rPr>
                <w:kern w:val="2"/>
                <w:sz w:val="20"/>
                <w:szCs w:val="20"/>
              </w:rPr>
              <w:t xml:space="preserve"> </w:t>
            </w:r>
            <w:r w:rsidRPr="0075660C">
              <w:rPr>
                <w:kern w:val="2"/>
                <w:sz w:val="20"/>
                <w:szCs w:val="20"/>
              </w:rPr>
              <w:t>CD1(ICR)</w:t>
            </w:r>
          </w:p>
        </w:tc>
        <w:tc>
          <w:tcPr>
            <w:tcW w:w="792" w:type="pct"/>
            <w:vMerge w:val="restart"/>
          </w:tcPr>
          <w:p w14:paraId="4C3DCFFB" w14:textId="77777777" w:rsidR="009D4403" w:rsidRPr="0075660C" w:rsidRDefault="009D4403" w:rsidP="0075660C">
            <w:pPr>
              <w:rPr>
                <w:kern w:val="2"/>
                <w:sz w:val="20"/>
                <w:szCs w:val="20"/>
              </w:rPr>
            </w:pPr>
            <w:r w:rsidRPr="0075660C">
              <w:rPr>
                <w:kern w:val="2"/>
                <w:sz w:val="20"/>
                <w:szCs w:val="20"/>
              </w:rPr>
              <w:t>3 months</w:t>
            </w:r>
          </w:p>
        </w:tc>
        <w:tc>
          <w:tcPr>
            <w:tcW w:w="971" w:type="pct"/>
          </w:tcPr>
          <w:p w14:paraId="4C3DCFFC" w14:textId="77777777" w:rsidR="009D4403" w:rsidRPr="0075660C" w:rsidRDefault="009D4403" w:rsidP="0075660C">
            <w:pPr>
              <w:rPr>
                <w:sz w:val="20"/>
                <w:szCs w:val="20"/>
              </w:rPr>
            </w:pPr>
            <w:r w:rsidRPr="0075660C">
              <w:rPr>
                <w:sz w:val="20"/>
                <w:szCs w:val="20"/>
              </w:rPr>
              <w:t>20</w:t>
            </w:r>
          </w:p>
        </w:tc>
        <w:tc>
          <w:tcPr>
            <w:tcW w:w="646" w:type="pct"/>
          </w:tcPr>
          <w:p w14:paraId="4C3DCFFD" w14:textId="77777777" w:rsidR="009D4403" w:rsidRPr="0075660C" w:rsidRDefault="009D4403" w:rsidP="0075660C">
            <w:pPr>
              <w:rPr>
                <w:sz w:val="20"/>
                <w:szCs w:val="20"/>
              </w:rPr>
            </w:pPr>
            <w:r w:rsidRPr="0075660C">
              <w:rPr>
                <w:sz w:val="20"/>
                <w:szCs w:val="20"/>
              </w:rPr>
              <w:t>1.52</w:t>
            </w:r>
          </w:p>
        </w:tc>
        <w:tc>
          <w:tcPr>
            <w:tcW w:w="648" w:type="pct"/>
          </w:tcPr>
          <w:p w14:paraId="4C3DCFFE" w14:textId="77777777" w:rsidR="009D4403" w:rsidRPr="0075660C" w:rsidRDefault="009D4403" w:rsidP="0075660C">
            <w:pPr>
              <w:rPr>
                <w:sz w:val="20"/>
                <w:szCs w:val="20"/>
              </w:rPr>
            </w:pPr>
            <w:r w:rsidRPr="0075660C">
              <w:rPr>
                <w:sz w:val="20"/>
                <w:szCs w:val="20"/>
              </w:rPr>
              <w:t>7.97</w:t>
            </w:r>
          </w:p>
        </w:tc>
        <w:tc>
          <w:tcPr>
            <w:tcW w:w="670" w:type="pct"/>
          </w:tcPr>
          <w:p w14:paraId="4C3DCFFF" w14:textId="77777777" w:rsidR="009D4403" w:rsidRPr="0075660C" w:rsidRDefault="009D4403" w:rsidP="003078E7">
            <w:pPr>
              <w:ind w:left="34"/>
              <w:rPr>
                <w:sz w:val="20"/>
                <w:szCs w:val="20"/>
              </w:rPr>
            </w:pPr>
            <w:r w:rsidRPr="0075660C">
              <w:rPr>
                <w:sz w:val="20"/>
                <w:szCs w:val="20"/>
              </w:rPr>
              <w:t>7</w:t>
            </w:r>
          </w:p>
        </w:tc>
        <w:tc>
          <w:tcPr>
            <w:tcW w:w="544" w:type="pct"/>
          </w:tcPr>
          <w:p w14:paraId="4C3DD000" w14:textId="77777777" w:rsidR="009D4403" w:rsidRPr="0075660C" w:rsidRDefault="009D4403" w:rsidP="003078E7">
            <w:pPr>
              <w:ind w:left="34"/>
              <w:rPr>
                <w:sz w:val="20"/>
                <w:szCs w:val="20"/>
              </w:rPr>
            </w:pPr>
            <w:r w:rsidRPr="0075660C">
              <w:rPr>
                <w:sz w:val="20"/>
                <w:szCs w:val="20"/>
              </w:rPr>
              <w:t>4</w:t>
            </w:r>
          </w:p>
        </w:tc>
      </w:tr>
      <w:tr w:rsidR="009D4403" w:rsidRPr="0075660C" w14:paraId="4C3DD009" w14:textId="77777777" w:rsidTr="003078E7">
        <w:trPr>
          <w:trHeight w:val="227"/>
        </w:trPr>
        <w:tc>
          <w:tcPr>
            <w:tcW w:w="729" w:type="pct"/>
            <w:vMerge/>
          </w:tcPr>
          <w:p w14:paraId="4C3DD002" w14:textId="77777777" w:rsidR="009D4403" w:rsidRPr="0075660C" w:rsidRDefault="009D4403" w:rsidP="00933822">
            <w:pPr>
              <w:ind w:right="67"/>
              <w:rPr>
                <w:kern w:val="2"/>
                <w:sz w:val="20"/>
                <w:szCs w:val="20"/>
              </w:rPr>
            </w:pPr>
          </w:p>
        </w:tc>
        <w:tc>
          <w:tcPr>
            <w:tcW w:w="792" w:type="pct"/>
            <w:vMerge/>
          </w:tcPr>
          <w:p w14:paraId="4C3DD003" w14:textId="77777777" w:rsidR="009D4403" w:rsidRPr="0075660C" w:rsidRDefault="009D4403" w:rsidP="0075660C">
            <w:pPr>
              <w:rPr>
                <w:kern w:val="2"/>
                <w:sz w:val="20"/>
                <w:szCs w:val="20"/>
              </w:rPr>
            </w:pPr>
          </w:p>
        </w:tc>
        <w:tc>
          <w:tcPr>
            <w:tcW w:w="971" w:type="pct"/>
          </w:tcPr>
          <w:p w14:paraId="4C3DD004" w14:textId="77777777" w:rsidR="009D4403" w:rsidRPr="0075660C" w:rsidRDefault="009D4403" w:rsidP="0075660C">
            <w:pPr>
              <w:rPr>
                <w:sz w:val="20"/>
                <w:szCs w:val="20"/>
              </w:rPr>
            </w:pPr>
            <w:r w:rsidRPr="0075660C">
              <w:rPr>
                <w:sz w:val="20"/>
                <w:szCs w:val="20"/>
              </w:rPr>
              <w:t>100</w:t>
            </w:r>
          </w:p>
        </w:tc>
        <w:tc>
          <w:tcPr>
            <w:tcW w:w="646" w:type="pct"/>
          </w:tcPr>
          <w:p w14:paraId="4C3DD005" w14:textId="77777777" w:rsidR="009D4403" w:rsidRPr="0075660C" w:rsidRDefault="009D4403" w:rsidP="0075660C">
            <w:pPr>
              <w:rPr>
                <w:sz w:val="20"/>
                <w:szCs w:val="20"/>
              </w:rPr>
            </w:pPr>
            <w:r w:rsidRPr="0075660C">
              <w:rPr>
                <w:sz w:val="20"/>
                <w:szCs w:val="20"/>
              </w:rPr>
              <w:t>45.1</w:t>
            </w:r>
          </w:p>
        </w:tc>
        <w:tc>
          <w:tcPr>
            <w:tcW w:w="648" w:type="pct"/>
          </w:tcPr>
          <w:p w14:paraId="4C3DD006" w14:textId="77777777" w:rsidR="009D4403" w:rsidRPr="0075660C" w:rsidRDefault="009D4403" w:rsidP="0075660C">
            <w:pPr>
              <w:rPr>
                <w:sz w:val="20"/>
                <w:szCs w:val="20"/>
              </w:rPr>
            </w:pPr>
            <w:r w:rsidRPr="0075660C">
              <w:rPr>
                <w:sz w:val="20"/>
                <w:szCs w:val="20"/>
              </w:rPr>
              <w:t>452</w:t>
            </w:r>
          </w:p>
        </w:tc>
        <w:tc>
          <w:tcPr>
            <w:tcW w:w="670" w:type="pct"/>
          </w:tcPr>
          <w:p w14:paraId="4C3DD007" w14:textId="77777777" w:rsidR="009D4403" w:rsidRPr="0075660C" w:rsidRDefault="009D4403" w:rsidP="003078E7">
            <w:pPr>
              <w:ind w:left="34"/>
              <w:rPr>
                <w:sz w:val="20"/>
                <w:szCs w:val="20"/>
              </w:rPr>
            </w:pPr>
            <w:r w:rsidRPr="0075660C">
              <w:rPr>
                <w:sz w:val="20"/>
                <w:szCs w:val="20"/>
              </w:rPr>
              <w:t>198</w:t>
            </w:r>
          </w:p>
        </w:tc>
        <w:tc>
          <w:tcPr>
            <w:tcW w:w="544" w:type="pct"/>
          </w:tcPr>
          <w:p w14:paraId="4C3DD008" w14:textId="77777777" w:rsidR="009D4403" w:rsidRPr="0075660C" w:rsidRDefault="009D4403" w:rsidP="003078E7">
            <w:pPr>
              <w:ind w:left="34"/>
              <w:rPr>
                <w:sz w:val="20"/>
                <w:szCs w:val="20"/>
              </w:rPr>
            </w:pPr>
            <w:r w:rsidRPr="0075660C">
              <w:rPr>
                <w:sz w:val="20"/>
                <w:szCs w:val="20"/>
              </w:rPr>
              <w:t>229</w:t>
            </w:r>
          </w:p>
        </w:tc>
      </w:tr>
      <w:tr w:rsidR="009D4403" w:rsidRPr="0075660C" w14:paraId="4C3DD011" w14:textId="77777777" w:rsidTr="003078E7">
        <w:trPr>
          <w:trHeight w:val="227"/>
        </w:trPr>
        <w:tc>
          <w:tcPr>
            <w:tcW w:w="729" w:type="pct"/>
            <w:vMerge/>
          </w:tcPr>
          <w:p w14:paraId="4C3DD00A" w14:textId="77777777" w:rsidR="009D4403" w:rsidRPr="0075660C" w:rsidRDefault="009D4403" w:rsidP="00933822">
            <w:pPr>
              <w:ind w:right="67"/>
              <w:rPr>
                <w:kern w:val="2"/>
                <w:sz w:val="20"/>
                <w:szCs w:val="20"/>
              </w:rPr>
            </w:pPr>
          </w:p>
        </w:tc>
        <w:tc>
          <w:tcPr>
            <w:tcW w:w="792" w:type="pct"/>
            <w:vMerge/>
          </w:tcPr>
          <w:p w14:paraId="4C3DD00B" w14:textId="77777777" w:rsidR="009D4403" w:rsidRPr="0075660C" w:rsidRDefault="009D4403" w:rsidP="0075660C">
            <w:pPr>
              <w:rPr>
                <w:kern w:val="2"/>
                <w:sz w:val="20"/>
                <w:szCs w:val="20"/>
              </w:rPr>
            </w:pPr>
          </w:p>
        </w:tc>
        <w:tc>
          <w:tcPr>
            <w:tcW w:w="971" w:type="pct"/>
          </w:tcPr>
          <w:p w14:paraId="4C3DD00C" w14:textId="77777777" w:rsidR="009D4403" w:rsidRPr="0075660C" w:rsidRDefault="009D4403" w:rsidP="0075660C">
            <w:pPr>
              <w:rPr>
                <w:sz w:val="20"/>
                <w:szCs w:val="20"/>
              </w:rPr>
            </w:pPr>
            <w:r w:rsidRPr="0075660C">
              <w:rPr>
                <w:sz w:val="20"/>
                <w:szCs w:val="20"/>
              </w:rPr>
              <w:t>200</w:t>
            </w:r>
          </w:p>
        </w:tc>
        <w:tc>
          <w:tcPr>
            <w:tcW w:w="646" w:type="pct"/>
          </w:tcPr>
          <w:p w14:paraId="4C3DD00D" w14:textId="77777777" w:rsidR="009D4403" w:rsidRPr="0075660C" w:rsidRDefault="009D4403" w:rsidP="0075660C">
            <w:pPr>
              <w:rPr>
                <w:sz w:val="20"/>
                <w:szCs w:val="20"/>
              </w:rPr>
            </w:pPr>
            <w:r w:rsidRPr="0075660C">
              <w:rPr>
                <w:sz w:val="20"/>
                <w:szCs w:val="20"/>
              </w:rPr>
              <w:t>59.2</w:t>
            </w:r>
          </w:p>
        </w:tc>
        <w:tc>
          <w:tcPr>
            <w:tcW w:w="648" w:type="pct"/>
          </w:tcPr>
          <w:p w14:paraId="4C3DD00E" w14:textId="77777777" w:rsidR="009D4403" w:rsidRPr="0075660C" w:rsidRDefault="009D4403" w:rsidP="0075660C">
            <w:pPr>
              <w:rPr>
                <w:sz w:val="20"/>
                <w:szCs w:val="20"/>
              </w:rPr>
            </w:pPr>
            <w:r w:rsidRPr="0075660C">
              <w:rPr>
                <w:sz w:val="20"/>
                <w:szCs w:val="20"/>
              </w:rPr>
              <w:t>820</w:t>
            </w:r>
          </w:p>
        </w:tc>
        <w:tc>
          <w:tcPr>
            <w:tcW w:w="670" w:type="pct"/>
          </w:tcPr>
          <w:p w14:paraId="4C3DD00F" w14:textId="77777777" w:rsidR="009D4403" w:rsidRPr="0075660C" w:rsidRDefault="009D4403" w:rsidP="003078E7">
            <w:pPr>
              <w:ind w:left="34"/>
              <w:rPr>
                <w:sz w:val="20"/>
                <w:szCs w:val="20"/>
              </w:rPr>
            </w:pPr>
            <w:r w:rsidRPr="0075660C">
              <w:rPr>
                <w:sz w:val="20"/>
                <w:szCs w:val="20"/>
              </w:rPr>
              <w:t>259</w:t>
            </w:r>
          </w:p>
        </w:tc>
        <w:tc>
          <w:tcPr>
            <w:tcW w:w="544" w:type="pct"/>
          </w:tcPr>
          <w:p w14:paraId="4C3DD010" w14:textId="77777777" w:rsidR="009D4403" w:rsidRPr="0075660C" w:rsidRDefault="009D4403" w:rsidP="003078E7">
            <w:pPr>
              <w:ind w:left="34"/>
              <w:rPr>
                <w:sz w:val="20"/>
                <w:szCs w:val="20"/>
              </w:rPr>
            </w:pPr>
            <w:r w:rsidRPr="0075660C">
              <w:rPr>
                <w:sz w:val="20"/>
                <w:szCs w:val="20"/>
              </w:rPr>
              <w:t>416</w:t>
            </w:r>
          </w:p>
        </w:tc>
      </w:tr>
      <w:tr w:rsidR="009D4403" w:rsidRPr="0075660C" w14:paraId="4C3DD019" w14:textId="77777777" w:rsidTr="003078E7">
        <w:trPr>
          <w:trHeight w:val="227"/>
        </w:trPr>
        <w:tc>
          <w:tcPr>
            <w:tcW w:w="729" w:type="pct"/>
            <w:vMerge/>
          </w:tcPr>
          <w:p w14:paraId="4C3DD012" w14:textId="77777777" w:rsidR="009D4403" w:rsidRPr="0075660C" w:rsidRDefault="009D4403" w:rsidP="00933822">
            <w:pPr>
              <w:ind w:right="67"/>
              <w:rPr>
                <w:kern w:val="2"/>
                <w:sz w:val="20"/>
                <w:szCs w:val="20"/>
              </w:rPr>
            </w:pPr>
          </w:p>
        </w:tc>
        <w:tc>
          <w:tcPr>
            <w:tcW w:w="792" w:type="pct"/>
            <w:vMerge/>
          </w:tcPr>
          <w:p w14:paraId="4C3DD013" w14:textId="77777777" w:rsidR="009D4403" w:rsidRPr="0075660C" w:rsidRDefault="009D4403" w:rsidP="0075660C">
            <w:pPr>
              <w:rPr>
                <w:kern w:val="2"/>
                <w:sz w:val="20"/>
                <w:szCs w:val="20"/>
              </w:rPr>
            </w:pPr>
          </w:p>
        </w:tc>
        <w:tc>
          <w:tcPr>
            <w:tcW w:w="971" w:type="pct"/>
          </w:tcPr>
          <w:p w14:paraId="4C3DD014" w14:textId="77777777" w:rsidR="009D4403" w:rsidRPr="0075660C" w:rsidRDefault="009D4403" w:rsidP="0075660C">
            <w:pPr>
              <w:rPr>
                <w:sz w:val="20"/>
                <w:szCs w:val="20"/>
              </w:rPr>
            </w:pPr>
            <w:r w:rsidRPr="0075660C">
              <w:rPr>
                <w:sz w:val="20"/>
                <w:szCs w:val="20"/>
              </w:rPr>
              <w:t>500</w:t>
            </w:r>
          </w:p>
        </w:tc>
        <w:tc>
          <w:tcPr>
            <w:tcW w:w="646" w:type="pct"/>
          </w:tcPr>
          <w:p w14:paraId="4C3DD015" w14:textId="77777777" w:rsidR="009D4403" w:rsidRPr="0075660C" w:rsidRDefault="009D4403" w:rsidP="0075660C">
            <w:pPr>
              <w:rPr>
                <w:sz w:val="20"/>
                <w:szCs w:val="20"/>
              </w:rPr>
            </w:pPr>
            <w:r w:rsidRPr="0075660C">
              <w:rPr>
                <w:sz w:val="20"/>
                <w:szCs w:val="20"/>
              </w:rPr>
              <w:t>129</w:t>
            </w:r>
          </w:p>
        </w:tc>
        <w:tc>
          <w:tcPr>
            <w:tcW w:w="648" w:type="pct"/>
          </w:tcPr>
          <w:p w14:paraId="4C3DD016" w14:textId="77777777" w:rsidR="009D4403" w:rsidRPr="0075660C" w:rsidRDefault="009D4403" w:rsidP="0075660C">
            <w:pPr>
              <w:rPr>
                <w:sz w:val="20"/>
                <w:szCs w:val="20"/>
              </w:rPr>
            </w:pPr>
            <w:r w:rsidRPr="0075660C">
              <w:rPr>
                <w:sz w:val="20"/>
                <w:szCs w:val="20"/>
              </w:rPr>
              <w:t>1470</w:t>
            </w:r>
          </w:p>
        </w:tc>
        <w:tc>
          <w:tcPr>
            <w:tcW w:w="670" w:type="pct"/>
          </w:tcPr>
          <w:p w14:paraId="4C3DD017" w14:textId="77777777" w:rsidR="009D4403" w:rsidRPr="0075660C" w:rsidRDefault="009D4403" w:rsidP="003078E7">
            <w:pPr>
              <w:ind w:left="34"/>
              <w:rPr>
                <w:sz w:val="20"/>
                <w:szCs w:val="20"/>
              </w:rPr>
            </w:pPr>
            <w:r w:rsidRPr="0075660C">
              <w:rPr>
                <w:sz w:val="20"/>
                <w:szCs w:val="20"/>
              </w:rPr>
              <w:t>566</w:t>
            </w:r>
          </w:p>
        </w:tc>
        <w:tc>
          <w:tcPr>
            <w:tcW w:w="544" w:type="pct"/>
          </w:tcPr>
          <w:p w14:paraId="4C3DD018" w14:textId="77777777" w:rsidR="009D4403" w:rsidRPr="0075660C" w:rsidRDefault="009D4403" w:rsidP="003078E7">
            <w:pPr>
              <w:ind w:left="34"/>
              <w:rPr>
                <w:sz w:val="20"/>
                <w:szCs w:val="20"/>
              </w:rPr>
            </w:pPr>
            <w:r w:rsidRPr="0075660C">
              <w:rPr>
                <w:sz w:val="20"/>
                <w:szCs w:val="20"/>
              </w:rPr>
              <w:t>745</w:t>
            </w:r>
          </w:p>
        </w:tc>
      </w:tr>
      <w:tr w:rsidR="009D4403" w:rsidRPr="0075660C" w14:paraId="4C3DD021" w14:textId="77777777" w:rsidTr="003078E7">
        <w:trPr>
          <w:trHeight w:val="227"/>
        </w:trPr>
        <w:tc>
          <w:tcPr>
            <w:tcW w:w="729" w:type="pct"/>
            <w:vMerge w:val="restart"/>
          </w:tcPr>
          <w:p w14:paraId="4C3DD01A" w14:textId="034130E4" w:rsidR="009D4403" w:rsidRPr="0075660C" w:rsidRDefault="009D4403" w:rsidP="00933822">
            <w:pPr>
              <w:ind w:right="67"/>
              <w:rPr>
                <w:kern w:val="2"/>
                <w:sz w:val="20"/>
                <w:szCs w:val="20"/>
              </w:rPr>
            </w:pPr>
            <w:r w:rsidRPr="0075660C">
              <w:rPr>
                <w:kern w:val="2"/>
                <w:sz w:val="20"/>
                <w:szCs w:val="20"/>
              </w:rPr>
              <w:t>Rat</w:t>
            </w:r>
            <w:r w:rsidR="0075660C">
              <w:rPr>
                <w:kern w:val="2"/>
                <w:sz w:val="20"/>
                <w:szCs w:val="20"/>
              </w:rPr>
              <w:t xml:space="preserve"> </w:t>
            </w:r>
            <w:proofErr w:type="spellStart"/>
            <w:r w:rsidRPr="0075660C">
              <w:rPr>
                <w:kern w:val="2"/>
                <w:sz w:val="20"/>
                <w:szCs w:val="20"/>
              </w:rPr>
              <w:t>Wistar</w:t>
            </w:r>
            <w:proofErr w:type="spellEnd"/>
          </w:p>
        </w:tc>
        <w:tc>
          <w:tcPr>
            <w:tcW w:w="792" w:type="pct"/>
            <w:vMerge w:val="restart"/>
          </w:tcPr>
          <w:p w14:paraId="4C3DD01B" w14:textId="77777777" w:rsidR="009D4403" w:rsidRPr="0075660C" w:rsidRDefault="009D4403" w:rsidP="0075660C">
            <w:pPr>
              <w:rPr>
                <w:kern w:val="2"/>
                <w:sz w:val="20"/>
                <w:szCs w:val="20"/>
              </w:rPr>
            </w:pPr>
            <w:r w:rsidRPr="0075660C">
              <w:rPr>
                <w:kern w:val="2"/>
                <w:sz w:val="20"/>
                <w:szCs w:val="20"/>
              </w:rPr>
              <w:t>4 weeks</w:t>
            </w:r>
          </w:p>
        </w:tc>
        <w:tc>
          <w:tcPr>
            <w:tcW w:w="971" w:type="pct"/>
          </w:tcPr>
          <w:p w14:paraId="4C3DD01C" w14:textId="77777777" w:rsidR="009D4403" w:rsidRPr="0075660C" w:rsidRDefault="009D4403" w:rsidP="0075660C">
            <w:pPr>
              <w:rPr>
                <w:sz w:val="20"/>
                <w:szCs w:val="20"/>
              </w:rPr>
            </w:pPr>
            <w:r w:rsidRPr="0075660C">
              <w:rPr>
                <w:sz w:val="20"/>
                <w:szCs w:val="20"/>
              </w:rPr>
              <w:t>50</w:t>
            </w:r>
          </w:p>
        </w:tc>
        <w:tc>
          <w:tcPr>
            <w:tcW w:w="646" w:type="pct"/>
          </w:tcPr>
          <w:p w14:paraId="4C3DD01D" w14:textId="77777777" w:rsidR="009D4403" w:rsidRPr="0075660C" w:rsidRDefault="009D4403" w:rsidP="0075660C">
            <w:pPr>
              <w:rPr>
                <w:sz w:val="20"/>
                <w:szCs w:val="20"/>
              </w:rPr>
            </w:pPr>
            <w:r w:rsidRPr="0075660C">
              <w:rPr>
                <w:sz w:val="20"/>
                <w:szCs w:val="20"/>
              </w:rPr>
              <w:t>11.6</w:t>
            </w:r>
          </w:p>
        </w:tc>
        <w:tc>
          <w:tcPr>
            <w:tcW w:w="648" w:type="pct"/>
          </w:tcPr>
          <w:p w14:paraId="4C3DD01E" w14:textId="77777777" w:rsidR="009D4403" w:rsidRPr="0075660C" w:rsidRDefault="009D4403" w:rsidP="0075660C">
            <w:pPr>
              <w:rPr>
                <w:sz w:val="20"/>
                <w:szCs w:val="20"/>
              </w:rPr>
            </w:pPr>
            <w:r w:rsidRPr="0075660C">
              <w:rPr>
                <w:sz w:val="20"/>
                <w:szCs w:val="20"/>
              </w:rPr>
              <w:t>32</w:t>
            </w:r>
          </w:p>
        </w:tc>
        <w:tc>
          <w:tcPr>
            <w:tcW w:w="670" w:type="pct"/>
          </w:tcPr>
          <w:p w14:paraId="4C3DD01F" w14:textId="77777777" w:rsidR="009D4403" w:rsidRPr="0075660C" w:rsidRDefault="009D4403" w:rsidP="003078E7">
            <w:pPr>
              <w:ind w:left="34"/>
              <w:rPr>
                <w:sz w:val="20"/>
                <w:szCs w:val="20"/>
              </w:rPr>
            </w:pPr>
            <w:r w:rsidRPr="0075660C">
              <w:rPr>
                <w:sz w:val="20"/>
                <w:szCs w:val="20"/>
              </w:rPr>
              <w:t>51</w:t>
            </w:r>
          </w:p>
        </w:tc>
        <w:tc>
          <w:tcPr>
            <w:tcW w:w="544" w:type="pct"/>
          </w:tcPr>
          <w:p w14:paraId="4C3DD020" w14:textId="77777777" w:rsidR="009D4403" w:rsidRPr="0075660C" w:rsidRDefault="009D4403" w:rsidP="003078E7">
            <w:pPr>
              <w:ind w:left="34"/>
              <w:rPr>
                <w:sz w:val="20"/>
                <w:szCs w:val="20"/>
              </w:rPr>
            </w:pPr>
            <w:r w:rsidRPr="0075660C">
              <w:rPr>
                <w:sz w:val="20"/>
                <w:szCs w:val="20"/>
              </w:rPr>
              <w:t>16</w:t>
            </w:r>
          </w:p>
        </w:tc>
      </w:tr>
      <w:tr w:rsidR="009D4403" w:rsidRPr="0075660C" w14:paraId="4C3DD029" w14:textId="77777777" w:rsidTr="003078E7">
        <w:trPr>
          <w:trHeight w:val="227"/>
        </w:trPr>
        <w:tc>
          <w:tcPr>
            <w:tcW w:w="729" w:type="pct"/>
            <w:vMerge/>
          </w:tcPr>
          <w:p w14:paraId="4C3DD022" w14:textId="77777777" w:rsidR="009D4403" w:rsidRPr="0075660C" w:rsidRDefault="009D4403" w:rsidP="00933822">
            <w:pPr>
              <w:ind w:right="67"/>
              <w:rPr>
                <w:kern w:val="2"/>
                <w:sz w:val="20"/>
                <w:szCs w:val="20"/>
              </w:rPr>
            </w:pPr>
          </w:p>
        </w:tc>
        <w:tc>
          <w:tcPr>
            <w:tcW w:w="792" w:type="pct"/>
            <w:vMerge/>
          </w:tcPr>
          <w:p w14:paraId="4C3DD023" w14:textId="77777777" w:rsidR="009D4403" w:rsidRPr="0075660C" w:rsidRDefault="009D4403" w:rsidP="0075660C">
            <w:pPr>
              <w:rPr>
                <w:kern w:val="2"/>
                <w:sz w:val="20"/>
                <w:szCs w:val="20"/>
              </w:rPr>
            </w:pPr>
          </w:p>
        </w:tc>
        <w:tc>
          <w:tcPr>
            <w:tcW w:w="971" w:type="pct"/>
          </w:tcPr>
          <w:p w14:paraId="4C3DD024" w14:textId="77777777" w:rsidR="009D4403" w:rsidRPr="0075660C" w:rsidRDefault="009D4403" w:rsidP="0075660C">
            <w:pPr>
              <w:rPr>
                <w:sz w:val="20"/>
                <w:szCs w:val="20"/>
              </w:rPr>
            </w:pPr>
            <w:r w:rsidRPr="0075660C">
              <w:rPr>
                <w:sz w:val="20"/>
                <w:szCs w:val="20"/>
              </w:rPr>
              <w:t>200</w:t>
            </w:r>
          </w:p>
        </w:tc>
        <w:tc>
          <w:tcPr>
            <w:tcW w:w="646" w:type="pct"/>
          </w:tcPr>
          <w:p w14:paraId="4C3DD025" w14:textId="77777777" w:rsidR="009D4403" w:rsidRPr="0075660C" w:rsidRDefault="009D4403" w:rsidP="0075660C">
            <w:pPr>
              <w:rPr>
                <w:sz w:val="20"/>
                <w:szCs w:val="20"/>
              </w:rPr>
            </w:pPr>
            <w:r w:rsidRPr="0075660C">
              <w:rPr>
                <w:sz w:val="20"/>
                <w:szCs w:val="20"/>
              </w:rPr>
              <w:t>27.7</w:t>
            </w:r>
          </w:p>
        </w:tc>
        <w:tc>
          <w:tcPr>
            <w:tcW w:w="648" w:type="pct"/>
          </w:tcPr>
          <w:p w14:paraId="4C3DD026" w14:textId="77777777" w:rsidR="009D4403" w:rsidRPr="0075660C" w:rsidRDefault="009D4403" w:rsidP="0075660C">
            <w:pPr>
              <w:rPr>
                <w:sz w:val="20"/>
                <w:szCs w:val="20"/>
              </w:rPr>
            </w:pPr>
            <w:r w:rsidRPr="0075660C">
              <w:rPr>
                <w:sz w:val="20"/>
                <w:szCs w:val="20"/>
              </w:rPr>
              <w:t>117</w:t>
            </w:r>
          </w:p>
        </w:tc>
        <w:tc>
          <w:tcPr>
            <w:tcW w:w="670" w:type="pct"/>
          </w:tcPr>
          <w:p w14:paraId="4C3DD027" w14:textId="77777777" w:rsidR="009D4403" w:rsidRPr="0075660C" w:rsidRDefault="009D4403" w:rsidP="003078E7">
            <w:pPr>
              <w:ind w:left="34"/>
              <w:rPr>
                <w:sz w:val="20"/>
                <w:szCs w:val="20"/>
              </w:rPr>
            </w:pPr>
            <w:r w:rsidRPr="0075660C">
              <w:rPr>
                <w:sz w:val="20"/>
                <w:szCs w:val="20"/>
              </w:rPr>
              <w:t>121</w:t>
            </w:r>
          </w:p>
        </w:tc>
        <w:tc>
          <w:tcPr>
            <w:tcW w:w="544" w:type="pct"/>
          </w:tcPr>
          <w:p w14:paraId="4C3DD028" w14:textId="77777777" w:rsidR="009D4403" w:rsidRPr="0075660C" w:rsidRDefault="009D4403" w:rsidP="003078E7">
            <w:pPr>
              <w:ind w:left="34"/>
              <w:rPr>
                <w:sz w:val="20"/>
                <w:szCs w:val="20"/>
              </w:rPr>
            </w:pPr>
            <w:r w:rsidRPr="0075660C">
              <w:rPr>
                <w:sz w:val="20"/>
                <w:szCs w:val="20"/>
              </w:rPr>
              <w:t>59</w:t>
            </w:r>
          </w:p>
        </w:tc>
      </w:tr>
      <w:tr w:rsidR="009D4403" w:rsidRPr="0075660C" w14:paraId="4C3DD031" w14:textId="77777777" w:rsidTr="003078E7">
        <w:trPr>
          <w:trHeight w:val="227"/>
        </w:trPr>
        <w:tc>
          <w:tcPr>
            <w:tcW w:w="729" w:type="pct"/>
            <w:vMerge/>
          </w:tcPr>
          <w:p w14:paraId="4C3DD02A" w14:textId="77777777" w:rsidR="009D4403" w:rsidRPr="0075660C" w:rsidRDefault="009D4403" w:rsidP="00933822">
            <w:pPr>
              <w:ind w:right="67"/>
              <w:rPr>
                <w:kern w:val="2"/>
                <w:sz w:val="20"/>
                <w:szCs w:val="20"/>
              </w:rPr>
            </w:pPr>
          </w:p>
        </w:tc>
        <w:tc>
          <w:tcPr>
            <w:tcW w:w="792" w:type="pct"/>
            <w:vMerge/>
          </w:tcPr>
          <w:p w14:paraId="4C3DD02B" w14:textId="77777777" w:rsidR="009D4403" w:rsidRPr="0075660C" w:rsidRDefault="009D4403" w:rsidP="0075660C">
            <w:pPr>
              <w:rPr>
                <w:kern w:val="2"/>
                <w:sz w:val="20"/>
                <w:szCs w:val="20"/>
              </w:rPr>
            </w:pPr>
          </w:p>
        </w:tc>
        <w:tc>
          <w:tcPr>
            <w:tcW w:w="971" w:type="pct"/>
          </w:tcPr>
          <w:p w14:paraId="4C3DD02C" w14:textId="77777777" w:rsidR="009D4403" w:rsidRPr="0075660C" w:rsidRDefault="009D4403" w:rsidP="0075660C">
            <w:pPr>
              <w:rPr>
                <w:sz w:val="20"/>
                <w:szCs w:val="20"/>
              </w:rPr>
            </w:pPr>
            <w:r w:rsidRPr="0075660C">
              <w:rPr>
                <w:sz w:val="20"/>
                <w:szCs w:val="20"/>
              </w:rPr>
              <w:t>200 (BD)</w:t>
            </w:r>
          </w:p>
        </w:tc>
        <w:tc>
          <w:tcPr>
            <w:tcW w:w="646" w:type="pct"/>
          </w:tcPr>
          <w:p w14:paraId="4C3DD02D" w14:textId="77777777" w:rsidR="009D4403" w:rsidRPr="0075660C" w:rsidRDefault="009D4403" w:rsidP="0075660C">
            <w:pPr>
              <w:rPr>
                <w:sz w:val="20"/>
                <w:szCs w:val="20"/>
              </w:rPr>
            </w:pPr>
            <w:r w:rsidRPr="0075660C">
              <w:rPr>
                <w:sz w:val="20"/>
                <w:szCs w:val="20"/>
              </w:rPr>
              <w:t>20.3</w:t>
            </w:r>
          </w:p>
        </w:tc>
        <w:tc>
          <w:tcPr>
            <w:tcW w:w="648" w:type="pct"/>
          </w:tcPr>
          <w:p w14:paraId="4C3DD02E" w14:textId="77777777" w:rsidR="009D4403" w:rsidRPr="0075660C" w:rsidRDefault="009D4403" w:rsidP="0075660C">
            <w:pPr>
              <w:rPr>
                <w:sz w:val="20"/>
                <w:szCs w:val="20"/>
              </w:rPr>
            </w:pPr>
            <w:r w:rsidRPr="0075660C">
              <w:rPr>
                <w:sz w:val="20"/>
                <w:szCs w:val="20"/>
              </w:rPr>
              <w:t>212</w:t>
            </w:r>
          </w:p>
        </w:tc>
        <w:tc>
          <w:tcPr>
            <w:tcW w:w="670" w:type="pct"/>
          </w:tcPr>
          <w:p w14:paraId="4C3DD02F" w14:textId="77777777" w:rsidR="009D4403" w:rsidRPr="0075660C" w:rsidRDefault="009D4403" w:rsidP="003078E7">
            <w:pPr>
              <w:ind w:left="34"/>
              <w:rPr>
                <w:sz w:val="20"/>
                <w:szCs w:val="20"/>
              </w:rPr>
            </w:pPr>
            <w:r w:rsidRPr="0075660C">
              <w:rPr>
                <w:sz w:val="20"/>
                <w:szCs w:val="20"/>
              </w:rPr>
              <w:t>89</w:t>
            </w:r>
          </w:p>
        </w:tc>
        <w:tc>
          <w:tcPr>
            <w:tcW w:w="544" w:type="pct"/>
          </w:tcPr>
          <w:p w14:paraId="4C3DD030" w14:textId="77777777" w:rsidR="009D4403" w:rsidRPr="0075660C" w:rsidRDefault="009D4403" w:rsidP="003078E7">
            <w:pPr>
              <w:ind w:left="34"/>
              <w:rPr>
                <w:sz w:val="20"/>
                <w:szCs w:val="20"/>
              </w:rPr>
            </w:pPr>
            <w:r w:rsidRPr="0075660C">
              <w:rPr>
                <w:sz w:val="20"/>
                <w:szCs w:val="20"/>
              </w:rPr>
              <w:t>107</w:t>
            </w:r>
          </w:p>
        </w:tc>
      </w:tr>
      <w:tr w:rsidR="009D4403" w:rsidRPr="0075660C" w14:paraId="4C3DD039" w14:textId="77777777" w:rsidTr="003078E7">
        <w:trPr>
          <w:trHeight w:val="227"/>
        </w:trPr>
        <w:tc>
          <w:tcPr>
            <w:tcW w:w="729" w:type="pct"/>
            <w:vMerge/>
          </w:tcPr>
          <w:p w14:paraId="4C3DD032" w14:textId="77777777" w:rsidR="009D4403" w:rsidRPr="0075660C" w:rsidRDefault="009D4403" w:rsidP="00933822">
            <w:pPr>
              <w:ind w:right="67"/>
              <w:rPr>
                <w:kern w:val="2"/>
                <w:sz w:val="20"/>
                <w:szCs w:val="20"/>
              </w:rPr>
            </w:pPr>
          </w:p>
        </w:tc>
        <w:tc>
          <w:tcPr>
            <w:tcW w:w="792" w:type="pct"/>
            <w:vMerge w:val="restart"/>
          </w:tcPr>
          <w:p w14:paraId="4C3DD033" w14:textId="77777777" w:rsidR="009D4403" w:rsidRPr="0075660C" w:rsidRDefault="009D4403" w:rsidP="0075660C">
            <w:pPr>
              <w:rPr>
                <w:kern w:val="2"/>
                <w:sz w:val="20"/>
                <w:szCs w:val="20"/>
              </w:rPr>
            </w:pPr>
            <w:r w:rsidRPr="0075660C">
              <w:rPr>
                <w:kern w:val="2"/>
                <w:sz w:val="20"/>
                <w:szCs w:val="20"/>
              </w:rPr>
              <w:t>6 months</w:t>
            </w:r>
          </w:p>
        </w:tc>
        <w:tc>
          <w:tcPr>
            <w:tcW w:w="971" w:type="pct"/>
          </w:tcPr>
          <w:p w14:paraId="4C3DD034" w14:textId="77777777" w:rsidR="009D4403" w:rsidRPr="0075660C" w:rsidRDefault="009D4403" w:rsidP="0075660C">
            <w:pPr>
              <w:rPr>
                <w:sz w:val="20"/>
                <w:szCs w:val="20"/>
              </w:rPr>
            </w:pPr>
            <w:r w:rsidRPr="0075660C">
              <w:rPr>
                <w:sz w:val="20"/>
                <w:szCs w:val="20"/>
              </w:rPr>
              <w:t>50</w:t>
            </w:r>
          </w:p>
        </w:tc>
        <w:tc>
          <w:tcPr>
            <w:tcW w:w="646" w:type="pct"/>
          </w:tcPr>
          <w:p w14:paraId="4C3DD035" w14:textId="77777777" w:rsidR="009D4403" w:rsidRPr="0075660C" w:rsidRDefault="009D4403" w:rsidP="0075660C">
            <w:pPr>
              <w:rPr>
                <w:sz w:val="20"/>
                <w:szCs w:val="20"/>
              </w:rPr>
            </w:pPr>
            <w:r w:rsidRPr="0075660C">
              <w:rPr>
                <w:sz w:val="20"/>
                <w:szCs w:val="20"/>
              </w:rPr>
              <w:t>25.0</w:t>
            </w:r>
          </w:p>
        </w:tc>
        <w:tc>
          <w:tcPr>
            <w:tcW w:w="648" w:type="pct"/>
          </w:tcPr>
          <w:p w14:paraId="4C3DD036" w14:textId="77777777" w:rsidR="009D4403" w:rsidRPr="0075660C" w:rsidRDefault="009D4403" w:rsidP="0075660C">
            <w:pPr>
              <w:rPr>
                <w:sz w:val="20"/>
                <w:szCs w:val="20"/>
              </w:rPr>
            </w:pPr>
            <w:r w:rsidRPr="0075660C">
              <w:rPr>
                <w:sz w:val="20"/>
                <w:szCs w:val="20"/>
              </w:rPr>
              <w:t>104</w:t>
            </w:r>
          </w:p>
        </w:tc>
        <w:tc>
          <w:tcPr>
            <w:tcW w:w="670" w:type="pct"/>
          </w:tcPr>
          <w:p w14:paraId="4C3DD037" w14:textId="77777777" w:rsidR="009D4403" w:rsidRPr="0075660C" w:rsidRDefault="009D4403" w:rsidP="003078E7">
            <w:pPr>
              <w:ind w:left="34"/>
              <w:rPr>
                <w:sz w:val="20"/>
                <w:szCs w:val="20"/>
              </w:rPr>
            </w:pPr>
            <w:r w:rsidRPr="0075660C">
              <w:rPr>
                <w:sz w:val="20"/>
                <w:szCs w:val="20"/>
              </w:rPr>
              <w:t>109</w:t>
            </w:r>
          </w:p>
        </w:tc>
        <w:tc>
          <w:tcPr>
            <w:tcW w:w="544" w:type="pct"/>
          </w:tcPr>
          <w:p w14:paraId="4C3DD038" w14:textId="77777777" w:rsidR="009D4403" w:rsidRPr="0075660C" w:rsidRDefault="009D4403" w:rsidP="003078E7">
            <w:pPr>
              <w:ind w:left="34"/>
              <w:rPr>
                <w:sz w:val="20"/>
                <w:szCs w:val="20"/>
              </w:rPr>
            </w:pPr>
            <w:r w:rsidRPr="0075660C">
              <w:rPr>
                <w:sz w:val="20"/>
                <w:szCs w:val="20"/>
              </w:rPr>
              <w:t>52</w:t>
            </w:r>
          </w:p>
        </w:tc>
      </w:tr>
      <w:tr w:rsidR="009D4403" w:rsidRPr="0075660C" w14:paraId="4C3DD041" w14:textId="77777777" w:rsidTr="003078E7">
        <w:trPr>
          <w:trHeight w:val="227"/>
        </w:trPr>
        <w:tc>
          <w:tcPr>
            <w:tcW w:w="729" w:type="pct"/>
            <w:vMerge/>
          </w:tcPr>
          <w:p w14:paraId="4C3DD03A" w14:textId="77777777" w:rsidR="009D4403" w:rsidRPr="0075660C" w:rsidRDefault="009D4403" w:rsidP="00933822">
            <w:pPr>
              <w:ind w:right="67"/>
              <w:rPr>
                <w:kern w:val="2"/>
                <w:sz w:val="20"/>
                <w:szCs w:val="20"/>
              </w:rPr>
            </w:pPr>
          </w:p>
        </w:tc>
        <w:tc>
          <w:tcPr>
            <w:tcW w:w="792" w:type="pct"/>
            <w:vMerge/>
          </w:tcPr>
          <w:p w14:paraId="4C3DD03B" w14:textId="77777777" w:rsidR="009D4403" w:rsidRPr="0075660C" w:rsidRDefault="009D4403" w:rsidP="0075660C">
            <w:pPr>
              <w:rPr>
                <w:kern w:val="2"/>
                <w:sz w:val="20"/>
                <w:szCs w:val="20"/>
              </w:rPr>
            </w:pPr>
          </w:p>
        </w:tc>
        <w:tc>
          <w:tcPr>
            <w:tcW w:w="971" w:type="pct"/>
          </w:tcPr>
          <w:p w14:paraId="4C3DD03C" w14:textId="77777777" w:rsidR="009D4403" w:rsidRPr="0075660C" w:rsidRDefault="009D4403" w:rsidP="0075660C">
            <w:pPr>
              <w:rPr>
                <w:sz w:val="20"/>
                <w:szCs w:val="20"/>
              </w:rPr>
            </w:pPr>
            <w:r w:rsidRPr="0075660C">
              <w:rPr>
                <w:sz w:val="20"/>
                <w:szCs w:val="20"/>
              </w:rPr>
              <w:t>200</w:t>
            </w:r>
          </w:p>
        </w:tc>
        <w:tc>
          <w:tcPr>
            <w:tcW w:w="646" w:type="pct"/>
          </w:tcPr>
          <w:p w14:paraId="4C3DD03D" w14:textId="77777777" w:rsidR="009D4403" w:rsidRPr="0075660C" w:rsidRDefault="009D4403" w:rsidP="0075660C">
            <w:pPr>
              <w:rPr>
                <w:sz w:val="20"/>
                <w:szCs w:val="20"/>
              </w:rPr>
            </w:pPr>
            <w:r w:rsidRPr="0075660C">
              <w:rPr>
                <w:sz w:val="20"/>
                <w:szCs w:val="20"/>
              </w:rPr>
              <w:t>46.5</w:t>
            </w:r>
          </w:p>
        </w:tc>
        <w:tc>
          <w:tcPr>
            <w:tcW w:w="648" w:type="pct"/>
          </w:tcPr>
          <w:p w14:paraId="4C3DD03E" w14:textId="77777777" w:rsidR="009D4403" w:rsidRPr="0075660C" w:rsidRDefault="009D4403" w:rsidP="0075660C">
            <w:pPr>
              <w:rPr>
                <w:sz w:val="20"/>
                <w:szCs w:val="20"/>
              </w:rPr>
            </w:pPr>
            <w:r w:rsidRPr="0075660C">
              <w:rPr>
                <w:sz w:val="20"/>
                <w:szCs w:val="20"/>
              </w:rPr>
              <w:t>370</w:t>
            </w:r>
          </w:p>
        </w:tc>
        <w:tc>
          <w:tcPr>
            <w:tcW w:w="670" w:type="pct"/>
          </w:tcPr>
          <w:p w14:paraId="4C3DD03F" w14:textId="77777777" w:rsidR="009D4403" w:rsidRPr="0075660C" w:rsidRDefault="009D4403" w:rsidP="003078E7">
            <w:pPr>
              <w:ind w:left="34"/>
              <w:rPr>
                <w:sz w:val="20"/>
                <w:szCs w:val="20"/>
              </w:rPr>
            </w:pPr>
            <w:r w:rsidRPr="0075660C">
              <w:rPr>
                <w:sz w:val="20"/>
                <w:szCs w:val="20"/>
              </w:rPr>
              <w:t>204</w:t>
            </w:r>
          </w:p>
        </w:tc>
        <w:tc>
          <w:tcPr>
            <w:tcW w:w="544" w:type="pct"/>
          </w:tcPr>
          <w:p w14:paraId="4C3DD040" w14:textId="77777777" w:rsidR="009D4403" w:rsidRPr="0075660C" w:rsidRDefault="009D4403" w:rsidP="003078E7">
            <w:pPr>
              <w:ind w:left="34"/>
              <w:rPr>
                <w:sz w:val="20"/>
                <w:szCs w:val="20"/>
              </w:rPr>
            </w:pPr>
            <w:r w:rsidRPr="0075660C">
              <w:rPr>
                <w:sz w:val="20"/>
                <w:szCs w:val="20"/>
              </w:rPr>
              <w:t>188</w:t>
            </w:r>
          </w:p>
        </w:tc>
      </w:tr>
      <w:tr w:rsidR="009D4403" w:rsidRPr="0075660C" w14:paraId="4C3DD049" w14:textId="77777777" w:rsidTr="003078E7">
        <w:trPr>
          <w:trHeight w:val="227"/>
        </w:trPr>
        <w:tc>
          <w:tcPr>
            <w:tcW w:w="729" w:type="pct"/>
            <w:vMerge/>
          </w:tcPr>
          <w:p w14:paraId="4C3DD042" w14:textId="77777777" w:rsidR="009D4403" w:rsidRPr="0075660C" w:rsidRDefault="009D4403" w:rsidP="00933822">
            <w:pPr>
              <w:ind w:right="67"/>
              <w:rPr>
                <w:kern w:val="2"/>
                <w:sz w:val="20"/>
                <w:szCs w:val="20"/>
              </w:rPr>
            </w:pPr>
          </w:p>
        </w:tc>
        <w:tc>
          <w:tcPr>
            <w:tcW w:w="792" w:type="pct"/>
            <w:vMerge/>
          </w:tcPr>
          <w:p w14:paraId="4C3DD043" w14:textId="77777777" w:rsidR="009D4403" w:rsidRPr="0075660C" w:rsidRDefault="009D4403" w:rsidP="0075660C">
            <w:pPr>
              <w:rPr>
                <w:kern w:val="2"/>
                <w:sz w:val="20"/>
                <w:szCs w:val="20"/>
              </w:rPr>
            </w:pPr>
          </w:p>
        </w:tc>
        <w:tc>
          <w:tcPr>
            <w:tcW w:w="971" w:type="pct"/>
          </w:tcPr>
          <w:p w14:paraId="4C3DD044" w14:textId="77777777" w:rsidR="009D4403" w:rsidRPr="0075660C" w:rsidRDefault="009D4403" w:rsidP="0075660C">
            <w:pPr>
              <w:rPr>
                <w:sz w:val="20"/>
                <w:szCs w:val="20"/>
              </w:rPr>
            </w:pPr>
            <w:r w:rsidRPr="0075660C">
              <w:rPr>
                <w:sz w:val="20"/>
                <w:szCs w:val="20"/>
              </w:rPr>
              <w:t>200 (BD)</w:t>
            </w:r>
          </w:p>
        </w:tc>
        <w:tc>
          <w:tcPr>
            <w:tcW w:w="646" w:type="pct"/>
          </w:tcPr>
          <w:p w14:paraId="4C3DD045" w14:textId="77777777" w:rsidR="009D4403" w:rsidRPr="0075660C" w:rsidRDefault="009D4403" w:rsidP="0075660C">
            <w:pPr>
              <w:rPr>
                <w:sz w:val="20"/>
                <w:szCs w:val="20"/>
              </w:rPr>
            </w:pPr>
            <w:r w:rsidRPr="0075660C">
              <w:rPr>
                <w:sz w:val="20"/>
                <w:szCs w:val="20"/>
              </w:rPr>
              <w:t>36</w:t>
            </w:r>
          </w:p>
        </w:tc>
        <w:tc>
          <w:tcPr>
            <w:tcW w:w="648" w:type="pct"/>
          </w:tcPr>
          <w:p w14:paraId="4C3DD046" w14:textId="77777777" w:rsidR="009D4403" w:rsidRPr="0075660C" w:rsidRDefault="009D4403" w:rsidP="0075660C">
            <w:pPr>
              <w:rPr>
                <w:sz w:val="20"/>
                <w:szCs w:val="20"/>
              </w:rPr>
            </w:pPr>
            <w:r w:rsidRPr="0075660C">
              <w:rPr>
                <w:sz w:val="20"/>
                <w:szCs w:val="20"/>
              </w:rPr>
              <w:t>445</w:t>
            </w:r>
          </w:p>
        </w:tc>
        <w:tc>
          <w:tcPr>
            <w:tcW w:w="670" w:type="pct"/>
          </w:tcPr>
          <w:p w14:paraId="4C3DD047" w14:textId="77777777" w:rsidR="009D4403" w:rsidRPr="0075660C" w:rsidRDefault="009D4403" w:rsidP="003078E7">
            <w:pPr>
              <w:ind w:left="34"/>
              <w:rPr>
                <w:sz w:val="20"/>
                <w:szCs w:val="20"/>
              </w:rPr>
            </w:pPr>
            <w:r w:rsidRPr="0075660C">
              <w:rPr>
                <w:sz w:val="20"/>
                <w:szCs w:val="20"/>
              </w:rPr>
              <w:t>158</w:t>
            </w:r>
          </w:p>
        </w:tc>
        <w:tc>
          <w:tcPr>
            <w:tcW w:w="544" w:type="pct"/>
          </w:tcPr>
          <w:p w14:paraId="4C3DD048" w14:textId="77777777" w:rsidR="009D4403" w:rsidRPr="0075660C" w:rsidRDefault="009D4403" w:rsidP="003078E7">
            <w:pPr>
              <w:ind w:left="34"/>
              <w:rPr>
                <w:sz w:val="20"/>
                <w:szCs w:val="20"/>
              </w:rPr>
            </w:pPr>
            <w:r w:rsidRPr="0075660C">
              <w:rPr>
                <w:sz w:val="20"/>
                <w:szCs w:val="20"/>
              </w:rPr>
              <w:t>226</w:t>
            </w:r>
          </w:p>
        </w:tc>
      </w:tr>
      <w:tr w:rsidR="009D4403" w:rsidRPr="0075660C" w14:paraId="4C3DD051" w14:textId="77777777" w:rsidTr="003078E7">
        <w:trPr>
          <w:trHeight w:val="227"/>
        </w:trPr>
        <w:tc>
          <w:tcPr>
            <w:tcW w:w="729" w:type="pct"/>
            <w:vMerge w:val="restart"/>
          </w:tcPr>
          <w:p w14:paraId="4C3DD04A" w14:textId="77777777" w:rsidR="009D4403" w:rsidRPr="0075660C" w:rsidRDefault="009D4403" w:rsidP="00933822">
            <w:pPr>
              <w:ind w:right="67"/>
              <w:rPr>
                <w:kern w:val="2"/>
                <w:sz w:val="20"/>
                <w:szCs w:val="20"/>
              </w:rPr>
            </w:pPr>
            <w:r w:rsidRPr="0075660C">
              <w:rPr>
                <w:kern w:val="2"/>
                <w:sz w:val="20"/>
                <w:szCs w:val="20"/>
              </w:rPr>
              <w:t>Dog</w:t>
            </w:r>
          </w:p>
        </w:tc>
        <w:tc>
          <w:tcPr>
            <w:tcW w:w="792" w:type="pct"/>
            <w:vMerge w:val="restart"/>
          </w:tcPr>
          <w:p w14:paraId="4C3DD04B" w14:textId="77777777" w:rsidR="009D4403" w:rsidRPr="0075660C" w:rsidRDefault="009D4403" w:rsidP="0075660C">
            <w:pPr>
              <w:rPr>
                <w:kern w:val="2"/>
                <w:sz w:val="20"/>
                <w:szCs w:val="20"/>
              </w:rPr>
            </w:pPr>
            <w:r w:rsidRPr="0075660C">
              <w:rPr>
                <w:kern w:val="2"/>
                <w:sz w:val="20"/>
                <w:szCs w:val="20"/>
              </w:rPr>
              <w:t>4 weeks</w:t>
            </w:r>
          </w:p>
        </w:tc>
        <w:tc>
          <w:tcPr>
            <w:tcW w:w="971" w:type="pct"/>
          </w:tcPr>
          <w:p w14:paraId="4C3DD04C" w14:textId="77777777" w:rsidR="009D4403" w:rsidRPr="0075660C" w:rsidRDefault="009D4403" w:rsidP="0075660C">
            <w:pPr>
              <w:rPr>
                <w:sz w:val="20"/>
                <w:szCs w:val="20"/>
              </w:rPr>
            </w:pPr>
            <w:r w:rsidRPr="0075660C">
              <w:rPr>
                <w:sz w:val="20"/>
                <w:szCs w:val="20"/>
              </w:rPr>
              <w:t>5</w:t>
            </w:r>
          </w:p>
        </w:tc>
        <w:tc>
          <w:tcPr>
            <w:tcW w:w="646" w:type="pct"/>
          </w:tcPr>
          <w:p w14:paraId="4C3DD04D" w14:textId="77777777" w:rsidR="009D4403" w:rsidRPr="0075660C" w:rsidRDefault="009D4403" w:rsidP="0075660C">
            <w:pPr>
              <w:rPr>
                <w:sz w:val="20"/>
                <w:szCs w:val="20"/>
              </w:rPr>
            </w:pPr>
            <w:r w:rsidRPr="0075660C">
              <w:rPr>
                <w:sz w:val="20"/>
                <w:szCs w:val="20"/>
              </w:rPr>
              <w:t>8.80</w:t>
            </w:r>
          </w:p>
        </w:tc>
        <w:tc>
          <w:tcPr>
            <w:tcW w:w="648" w:type="pct"/>
          </w:tcPr>
          <w:p w14:paraId="4C3DD04E" w14:textId="77777777" w:rsidR="009D4403" w:rsidRPr="0075660C" w:rsidRDefault="009D4403" w:rsidP="0075660C">
            <w:pPr>
              <w:rPr>
                <w:sz w:val="20"/>
                <w:szCs w:val="20"/>
              </w:rPr>
            </w:pPr>
            <w:r w:rsidRPr="0075660C">
              <w:rPr>
                <w:sz w:val="20"/>
                <w:szCs w:val="20"/>
              </w:rPr>
              <w:t>67</w:t>
            </w:r>
          </w:p>
        </w:tc>
        <w:tc>
          <w:tcPr>
            <w:tcW w:w="670" w:type="pct"/>
          </w:tcPr>
          <w:p w14:paraId="4C3DD04F" w14:textId="77777777" w:rsidR="009D4403" w:rsidRPr="0075660C" w:rsidRDefault="009D4403" w:rsidP="003078E7">
            <w:pPr>
              <w:ind w:left="34"/>
              <w:rPr>
                <w:sz w:val="20"/>
                <w:szCs w:val="20"/>
              </w:rPr>
            </w:pPr>
            <w:r w:rsidRPr="0075660C">
              <w:rPr>
                <w:sz w:val="20"/>
                <w:szCs w:val="20"/>
              </w:rPr>
              <w:t>39</w:t>
            </w:r>
          </w:p>
        </w:tc>
        <w:tc>
          <w:tcPr>
            <w:tcW w:w="544" w:type="pct"/>
          </w:tcPr>
          <w:p w14:paraId="4C3DD050" w14:textId="77777777" w:rsidR="009D4403" w:rsidRPr="0075660C" w:rsidRDefault="009D4403" w:rsidP="003078E7">
            <w:pPr>
              <w:ind w:left="34"/>
              <w:rPr>
                <w:sz w:val="20"/>
                <w:szCs w:val="20"/>
              </w:rPr>
            </w:pPr>
            <w:r w:rsidRPr="0075660C">
              <w:rPr>
                <w:sz w:val="20"/>
                <w:szCs w:val="20"/>
              </w:rPr>
              <w:t>34</w:t>
            </w:r>
          </w:p>
        </w:tc>
      </w:tr>
      <w:tr w:rsidR="009D4403" w:rsidRPr="0075660C" w14:paraId="4C3DD059" w14:textId="77777777" w:rsidTr="003078E7">
        <w:trPr>
          <w:trHeight w:val="227"/>
        </w:trPr>
        <w:tc>
          <w:tcPr>
            <w:tcW w:w="729" w:type="pct"/>
            <w:vMerge/>
          </w:tcPr>
          <w:p w14:paraId="4C3DD052" w14:textId="77777777" w:rsidR="009D4403" w:rsidRPr="0075660C" w:rsidRDefault="009D4403" w:rsidP="00933822">
            <w:pPr>
              <w:ind w:right="67"/>
              <w:rPr>
                <w:kern w:val="2"/>
                <w:sz w:val="20"/>
                <w:szCs w:val="20"/>
              </w:rPr>
            </w:pPr>
          </w:p>
        </w:tc>
        <w:tc>
          <w:tcPr>
            <w:tcW w:w="792" w:type="pct"/>
            <w:vMerge/>
          </w:tcPr>
          <w:p w14:paraId="4C3DD053" w14:textId="77777777" w:rsidR="009D4403" w:rsidRPr="0075660C" w:rsidRDefault="009D4403" w:rsidP="0075660C">
            <w:pPr>
              <w:rPr>
                <w:kern w:val="2"/>
                <w:sz w:val="20"/>
                <w:szCs w:val="20"/>
              </w:rPr>
            </w:pPr>
          </w:p>
        </w:tc>
        <w:tc>
          <w:tcPr>
            <w:tcW w:w="971" w:type="pct"/>
          </w:tcPr>
          <w:p w14:paraId="4C3DD054" w14:textId="77777777" w:rsidR="009D4403" w:rsidRPr="0075660C" w:rsidRDefault="009D4403" w:rsidP="0075660C">
            <w:pPr>
              <w:rPr>
                <w:sz w:val="20"/>
                <w:szCs w:val="20"/>
              </w:rPr>
            </w:pPr>
            <w:r w:rsidRPr="0075660C">
              <w:rPr>
                <w:sz w:val="20"/>
                <w:szCs w:val="20"/>
              </w:rPr>
              <w:t>20</w:t>
            </w:r>
          </w:p>
        </w:tc>
        <w:tc>
          <w:tcPr>
            <w:tcW w:w="646" w:type="pct"/>
          </w:tcPr>
          <w:p w14:paraId="4C3DD055" w14:textId="77777777" w:rsidR="009D4403" w:rsidRPr="0075660C" w:rsidRDefault="009D4403" w:rsidP="0075660C">
            <w:pPr>
              <w:rPr>
                <w:sz w:val="20"/>
                <w:szCs w:val="20"/>
              </w:rPr>
            </w:pPr>
            <w:r w:rsidRPr="0075660C">
              <w:rPr>
                <w:sz w:val="20"/>
                <w:szCs w:val="20"/>
              </w:rPr>
              <w:t>42.3</w:t>
            </w:r>
          </w:p>
        </w:tc>
        <w:tc>
          <w:tcPr>
            <w:tcW w:w="648" w:type="pct"/>
          </w:tcPr>
          <w:p w14:paraId="4C3DD056" w14:textId="77777777" w:rsidR="009D4403" w:rsidRPr="0075660C" w:rsidRDefault="009D4403" w:rsidP="0075660C">
            <w:pPr>
              <w:rPr>
                <w:sz w:val="20"/>
                <w:szCs w:val="20"/>
              </w:rPr>
            </w:pPr>
            <w:r w:rsidRPr="0075660C">
              <w:rPr>
                <w:sz w:val="20"/>
                <w:szCs w:val="20"/>
              </w:rPr>
              <w:t>497</w:t>
            </w:r>
          </w:p>
        </w:tc>
        <w:tc>
          <w:tcPr>
            <w:tcW w:w="670" w:type="pct"/>
          </w:tcPr>
          <w:p w14:paraId="4C3DD057" w14:textId="77777777" w:rsidR="009D4403" w:rsidRPr="0075660C" w:rsidRDefault="009D4403" w:rsidP="003078E7">
            <w:pPr>
              <w:ind w:left="34"/>
              <w:rPr>
                <w:sz w:val="20"/>
                <w:szCs w:val="20"/>
              </w:rPr>
            </w:pPr>
            <w:r w:rsidRPr="0075660C">
              <w:rPr>
                <w:sz w:val="20"/>
                <w:szCs w:val="20"/>
              </w:rPr>
              <w:t>185</w:t>
            </w:r>
          </w:p>
        </w:tc>
        <w:tc>
          <w:tcPr>
            <w:tcW w:w="544" w:type="pct"/>
          </w:tcPr>
          <w:p w14:paraId="4C3DD058" w14:textId="77777777" w:rsidR="009D4403" w:rsidRPr="0075660C" w:rsidRDefault="009D4403" w:rsidP="003078E7">
            <w:pPr>
              <w:ind w:left="34"/>
              <w:rPr>
                <w:sz w:val="20"/>
                <w:szCs w:val="20"/>
              </w:rPr>
            </w:pPr>
            <w:r w:rsidRPr="0075660C">
              <w:rPr>
                <w:sz w:val="20"/>
                <w:szCs w:val="20"/>
              </w:rPr>
              <w:t>252</w:t>
            </w:r>
          </w:p>
        </w:tc>
      </w:tr>
      <w:tr w:rsidR="009D4403" w:rsidRPr="0075660C" w14:paraId="4C3DD061" w14:textId="77777777" w:rsidTr="003078E7">
        <w:trPr>
          <w:trHeight w:val="227"/>
        </w:trPr>
        <w:tc>
          <w:tcPr>
            <w:tcW w:w="729" w:type="pct"/>
            <w:vMerge/>
          </w:tcPr>
          <w:p w14:paraId="4C3DD05A" w14:textId="77777777" w:rsidR="009D4403" w:rsidRPr="0075660C" w:rsidRDefault="009D4403" w:rsidP="00933822">
            <w:pPr>
              <w:ind w:right="67"/>
              <w:rPr>
                <w:kern w:val="2"/>
                <w:sz w:val="20"/>
                <w:szCs w:val="20"/>
              </w:rPr>
            </w:pPr>
          </w:p>
        </w:tc>
        <w:tc>
          <w:tcPr>
            <w:tcW w:w="792" w:type="pct"/>
            <w:vMerge/>
          </w:tcPr>
          <w:p w14:paraId="4C3DD05B" w14:textId="77777777" w:rsidR="009D4403" w:rsidRPr="0075660C" w:rsidRDefault="009D4403" w:rsidP="0075660C">
            <w:pPr>
              <w:rPr>
                <w:kern w:val="2"/>
                <w:sz w:val="20"/>
                <w:szCs w:val="20"/>
              </w:rPr>
            </w:pPr>
          </w:p>
        </w:tc>
        <w:tc>
          <w:tcPr>
            <w:tcW w:w="971" w:type="pct"/>
          </w:tcPr>
          <w:p w14:paraId="4C3DD05C" w14:textId="77777777" w:rsidR="009D4403" w:rsidRPr="0075660C" w:rsidRDefault="009D4403" w:rsidP="0075660C">
            <w:pPr>
              <w:rPr>
                <w:sz w:val="20"/>
                <w:szCs w:val="20"/>
              </w:rPr>
            </w:pPr>
            <w:r w:rsidRPr="0075660C">
              <w:rPr>
                <w:sz w:val="20"/>
                <w:szCs w:val="20"/>
              </w:rPr>
              <w:t>600</w:t>
            </w:r>
          </w:p>
        </w:tc>
        <w:tc>
          <w:tcPr>
            <w:tcW w:w="646" w:type="pct"/>
          </w:tcPr>
          <w:p w14:paraId="4C3DD05D" w14:textId="77777777" w:rsidR="009D4403" w:rsidRPr="0075660C" w:rsidRDefault="009D4403" w:rsidP="0075660C">
            <w:pPr>
              <w:rPr>
                <w:sz w:val="20"/>
                <w:szCs w:val="20"/>
              </w:rPr>
            </w:pPr>
            <w:r w:rsidRPr="0075660C">
              <w:rPr>
                <w:sz w:val="20"/>
                <w:szCs w:val="20"/>
              </w:rPr>
              <w:t>173</w:t>
            </w:r>
          </w:p>
        </w:tc>
        <w:tc>
          <w:tcPr>
            <w:tcW w:w="648" w:type="pct"/>
          </w:tcPr>
          <w:p w14:paraId="4C3DD05E" w14:textId="77777777" w:rsidR="009D4403" w:rsidRPr="0075660C" w:rsidRDefault="009D4403" w:rsidP="0075660C">
            <w:pPr>
              <w:rPr>
                <w:sz w:val="20"/>
                <w:szCs w:val="20"/>
              </w:rPr>
            </w:pPr>
            <w:r w:rsidRPr="0075660C">
              <w:rPr>
                <w:sz w:val="20"/>
                <w:szCs w:val="20"/>
              </w:rPr>
              <w:t>2930</w:t>
            </w:r>
          </w:p>
        </w:tc>
        <w:tc>
          <w:tcPr>
            <w:tcW w:w="670" w:type="pct"/>
          </w:tcPr>
          <w:p w14:paraId="4C3DD05F" w14:textId="77777777" w:rsidR="009D4403" w:rsidRPr="0075660C" w:rsidRDefault="009D4403" w:rsidP="003078E7">
            <w:pPr>
              <w:ind w:left="34"/>
              <w:rPr>
                <w:sz w:val="20"/>
                <w:szCs w:val="20"/>
              </w:rPr>
            </w:pPr>
            <w:r w:rsidRPr="0075660C">
              <w:rPr>
                <w:sz w:val="20"/>
                <w:szCs w:val="20"/>
              </w:rPr>
              <w:t>759</w:t>
            </w:r>
          </w:p>
        </w:tc>
        <w:tc>
          <w:tcPr>
            <w:tcW w:w="544" w:type="pct"/>
          </w:tcPr>
          <w:p w14:paraId="4C3DD060" w14:textId="77777777" w:rsidR="009D4403" w:rsidRPr="0075660C" w:rsidRDefault="009D4403" w:rsidP="003078E7">
            <w:pPr>
              <w:ind w:left="34"/>
              <w:rPr>
                <w:sz w:val="20"/>
                <w:szCs w:val="20"/>
              </w:rPr>
            </w:pPr>
            <w:r w:rsidRPr="0075660C">
              <w:rPr>
                <w:sz w:val="20"/>
                <w:szCs w:val="20"/>
              </w:rPr>
              <w:t>1486</w:t>
            </w:r>
          </w:p>
        </w:tc>
      </w:tr>
      <w:tr w:rsidR="009D4403" w:rsidRPr="0075660C" w14:paraId="4C3DD069" w14:textId="77777777" w:rsidTr="003078E7">
        <w:trPr>
          <w:trHeight w:val="227"/>
        </w:trPr>
        <w:tc>
          <w:tcPr>
            <w:tcW w:w="729" w:type="pct"/>
            <w:vMerge/>
          </w:tcPr>
          <w:p w14:paraId="4C3DD062" w14:textId="77777777" w:rsidR="009D4403" w:rsidRPr="0075660C" w:rsidRDefault="009D4403" w:rsidP="00933822">
            <w:pPr>
              <w:ind w:right="67"/>
              <w:rPr>
                <w:kern w:val="2"/>
                <w:sz w:val="20"/>
                <w:szCs w:val="20"/>
              </w:rPr>
            </w:pPr>
          </w:p>
        </w:tc>
        <w:tc>
          <w:tcPr>
            <w:tcW w:w="792" w:type="pct"/>
            <w:vMerge w:val="restart"/>
          </w:tcPr>
          <w:p w14:paraId="4C3DD063" w14:textId="77777777" w:rsidR="009D4403" w:rsidRPr="0075660C" w:rsidRDefault="009D4403" w:rsidP="0075660C">
            <w:pPr>
              <w:rPr>
                <w:kern w:val="2"/>
                <w:sz w:val="20"/>
                <w:szCs w:val="20"/>
              </w:rPr>
            </w:pPr>
            <w:r w:rsidRPr="0075660C">
              <w:rPr>
                <w:kern w:val="2"/>
                <w:sz w:val="20"/>
                <w:szCs w:val="20"/>
              </w:rPr>
              <w:t>9 months</w:t>
            </w:r>
          </w:p>
        </w:tc>
        <w:tc>
          <w:tcPr>
            <w:tcW w:w="971" w:type="pct"/>
          </w:tcPr>
          <w:p w14:paraId="4C3DD064" w14:textId="77777777" w:rsidR="009D4403" w:rsidRPr="0075660C" w:rsidRDefault="009D4403" w:rsidP="0075660C">
            <w:pPr>
              <w:rPr>
                <w:sz w:val="20"/>
                <w:szCs w:val="20"/>
              </w:rPr>
            </w:pPr>
            <w:r w:rsidRPr="0075660C">
              <w:rPr>
                <w:sz w:val="20"/>
                <w:szCs w:val="20"/>
              </w:rPr>
              <w:t>5</w:t>
            </w:r>
          </w:p>
        </w:tc>
        <w:tc>
          <w:tcPr>
            <w:tcW w:w="646" w:type="pct"/>
          </w:tcPr>
          <w:p w14:paraId="4C3DD065" w14:textId="77777777" w:rsidR="009D4403" w:rsidRPr="0075660C" w:rsidRDefault="009D4403" w:rsidP="0075660C">
            <w:pPr>
              <w:rPr>
                <w:sz w:val="20"/>
                <w:szCs w:val="20"/>
              </w:rPr>
            </w:pPr>
            <w:r w:rsidRPr="0075660C">
              <w:rPr>
                <w:sz w:val="20"/>
                <w:szCs w:val="20"/>
              </w:rPr>
              <w:t>10.9</w:t>
            </w:r>
          </w:p>
        </w:tc>
        <w:tc>
          <w:tcPr>
            <w:tcW w:w="648" w:type="pct"/>
          </w:tcPr>
          <w:p w14:paraId="4C3DD066" w14:textId="77777777" w:rsidR="009D4403" w:rsidRPr="0075660C" w:rsidRDefault="009D4403" w:rsidP="0075660C">
            <w:pPr>
              <w:rPr>
                <w:sz w:val="20"/>
                <w:szCs w:val="20"/>
              </w:rPr>
            </w:pPr>
            <w:r w:rsidRPr="0075660C">
              <w:rPr>
                <w:sz w:val="20"/>
                <w:szCs w:val="20"/>
              </w:rPr>
              <w:t>69</w:t>
            </w:r>
          </w:p>
        </w:tc>
        <w:tc>
          <w:tcPr>
            <w:tcW w:w="670" w:type="pct"/>
          </w:tcPr>
          <w:p w14:paraId="4C3DD067" w14:textId="77777777" w:rsidR="009D4403" w:rsidRPr="0075660C" w:rsidRDefault="009D4403" w:rsidP="003078E7">
            <w:pPr>
              <w:ind w:left="34"/>
              <w:rPr>
                <w:sz w:val="20"/>
                <w:szCs w:val="20"/>
              </w:rPr>
            </w:pPr>
            <w:r w:rsidRPr="0075660C">
              <w:rPr>
                <w:sz w:val="20"/>
                <w:szCs w:val="20"/>
              </w:rPr>
              <w:t>48</w:t>
            </w:r>
          </w:p>
        </w:tc>
        <w:tc>
          <w:tcPr>
            <w:tcW w:w="544" w:type="pct"/>
          </w:tcPr>
          <w:p w14:paraId="4C3DD068" w14:textId="77777777" w:rsidR="009D4403" w:rsidRPr="0075660C" w:rsidRDefault="009D4403" w:rsidP="003078E7">
            <w:pPr>
              <w:ind w:left="34"/>
              <w:rPr>
                <w:sz w:val="20"/>
                <w:szCs w:val="20"/>
              </w:rPr>
            </w:pPr>
            <w:r w:rsidRPr="0075660C">
              <w:rPr>
                <w:sz w:val="20"/>
                <w:szCs w:val="20"/>
              </w:rPr>
              <w:t>35</w:t>
            </w:r>
          </w:p>
        </w:tc>
      </w:tr>
      <w:tr w:rsidR="009D4403" w:rsidRPr="0075660C" w14:paraId="4C3DD071" w14:textId="77777777" w:rsidTr="003078E7">
        <w:trPr>
          <w:trHeight w:val="227"/>
        </w:trPr>
        <w:tc>
          <w:tcPr>
            <w:tcW w:w="729" w:type="pct"/>
            <w:vMerge/>
          </w:tcPr>
          <w:p w14:paraId="4C3DD06A" w14:textId="77777777" w:rsidR="009D4403" w:rsidRPr="0075660C" w:rsidRDefault="009D4403" w:rsidP="00933822">
            <w:pPr>
              <w:ind w:right="67"/>
              <w:rPr>
                <w:kern w:val="2"/>
                <w:sz w:val="20"/>
                <w:szCs w:val="20"/>
              </w:rPr>
            </w:pPr>
          </w:p>
        </w:tc>
        <w:tc>
          <w:tcPr>
            <w:tcW w:w="792" w:type="pct"/>
            <w:vMerge/>
          </w:tcPr>
          <w:p w14:paraId="4C3DD06B" w14:textId="77777777" w:rsidR="009D4403" w:rsidRPr="0075660C" w:rsidRDefault="009D4403" w:rsidP="0075660C">
            <w:pPr>
              <w:rPr>
                <w:kern w:val="2"/>
                <w:sz w:val="20"/>
                <w:szCs w:val="20"/>
              </w:rPr>
            </w:pPr>
          </w:p>
        </w:tc>
        <w:tc>
          <w:tcPr>
            <w:tcW w:w="971" w:type="pct"/>
          </w:tcPr>
          <w:p w14:paraId="4C3DD06C" w14:textId="77777777" w:rsidR="009D4403" w:rsidRPr="0075660C" w:rsidRDefault="009D4403" w:rsidP="0075660C">
            <w:pPr>
              <w:rPr>
                <w:sz w:val="20"/>
                <w:szCs w:val="20"/>
              </w:rPr>
            </w:pPr>
            <w:r w:rsidRPr="0075660C">
              <w:rPr>
                <w:sz w:val="20"/>
                <w:szCs w:val="20"/>
              </w:rPr>
              <w:t>15</w:t>
            </w:r>
          </w:p>
        </w:tc>
        <w:tc>
          <w:tcPr>
            <w:tcW w:w="646" w:type="pct"/>
          </w:tcPr>
          <w:p w14:paraId="4C3DD06D" w14:textId="77777777" w:rsidR="009D4403" w:rsidRPr="0075660C" w:rsidRDefault="009D4403" w:rsidP="0075660C">
            <w:pPr>
              <w:rPr>
                <w:sz w:val="20"/>
                <w:szCs w:val="20"/>
              </w:rPr>
            </w:pPr>
            <w:r w:rsidRPr="0075660C">
              <w:rPr>
                <w:sz w:val="20"/>
                <w:szCs w:val="20"/>
              </w:rPr>
              <w:t>34.4</w:t>
            </w:r>
          </w:p>
        </w:tc>
        <w:tc>
          <w:tcPr>
            <w:tcW w:w="648" w:type="pct"/>
          </w:tcPr>
          <w:p w14:paraId="4C3DD06E" w14:textId="77777777" w:rsidR="009D4403" w:rsidRPr="0075660C" w:rsidRDefault="009D4403" w:rsidP="0075660C">
            <w:pPr>
              <w:rPr>
                <w:sz w:val="20"/>
                <w:szCs w:val="20"/>
              </w:rPr>
            </w:pPr>
            <w:r w:rsidRPr="0075660C">
              <w:rPr>
                <w:sz w:val="20"/>
                <w:szCs w:val="20"/>
              </w:rPr>
              <w:t>367</w:t>
            </w:r>
          </w:p>
        </w:tc>
        <w:tc>
          <w:tcPr>
            <w:tcW w:w="670" w:type="pct"/>
          </w:tcPr>
          <w:p w14:paraId="4C3DD06F" w14:textId="77777777" w:rsidR="009D4403" w:rsidRPr="0075660C" w:rsidRDefault="009D4403" w:rsidP="003078E7">
            <w:pPr>
              <w:ind w:left="34"/>
              <w:rPr>
                <w:sz w:val="20"/>
                <w:szCs w:val="20"/>
              </w:rPr>
            </w:pPr>
            <w:r w:rsidRPr="0075660C">
              <w:rPr>
                <w:sz w:val="20"/>
                <w:szCs w:val="20"/>
              </w:rPr>
              <w:t>151</w:t>
            </w:r>
          </w:p>
        </w:tc>
        <w:tc>
          <w:tcPr>
            <w:tcW w:w="544" w:type="pct"/>
          </w:tcPr>
          <w:p w14:paraId="4C3DD070" w14:textId="77777777" w:rsidR="009D4403" w:rsidRPr="0075660C" w:rsidRDefault="009D4403" w:rsidP="003078E7">
            <w:pPr>
              <w:ind w:left="34"/>
              <w:rPr>
                <w:sz w:val="20"/>
                <w:szCs w:val="20"/>
              </w:rPr>
            </w:pPr>
            <w:r w:rsidRPr="0075660C">
              <w:rPr>
                <w:sz w:val="20"/>
                <w:szCs w:val="20"/>
              </w:rPr>
              <w:t>186</w:t>
            </w:r>
          </w:p>
        </w:tc>
      </w:tr>
      <w:tr w:rsidR="009D4403" w:rsidRPr="0075660C" w14:paraId="4C3DD079" w14:textId="77777777" w:rsidTr="003078E7">
        <w:trPr>
          <w:trHeight w:val="227"/>
        </w:trPr>
        <w:tc>
          <w:tcPr>
            <w:tcW w:w="729" w:type="pct"/>
            <w:vMerge/>
          </w:tcPr>
          <w:p w14:paraId="4C3DD072" w14:textId="77777777" w:rsidR="009D4403" w:rsidRPr="0075660C" w:rsidRDefault="009D4403" w:rsidP="00933822">
            <w:pPr>
              <w:ind w:right="67"/>
              <w:rPr>
                <w:kern w:val="2"/>
                <w:sz w:val="20"/>
                <w:szCs w:val="20"/>
              </w:rPr>
            </w:pPr>
          </w:p>
        </w:tc>
        <w:tc>
          <w:tcPr>
            <w:tcW w:w="792" w:type="pct"/>
            <w:vMerge/>
          </w:tcPr>
          <w:p w14:paraId="4C3DD073" w14:textId="77777777" w:rsidR="009D4403" w:rsidRPr="0075660C" w:rsidRDefault="009D4403" w:rsidP="0075660C">
            <w:pPr>
              <w:rPr>
                <w:kern w:val="2"/>
                <w:sz w:val="20"/>
                <w:szCs w:val="20"/>
              </w:rPr>
            </w:pPr>
          </w:p>
        </w:tc>
        <w:tc>
          <w:tcPr>
            <w:tcW w:w="971" w:type="pct"/>
          </w:tcPr>
          <w:p w14:paraId="4C3DD074" w14:textId="77777777" w:rsidR="009D4403" w:rsidRPr="0075660C" w:rsidRDefault="009D4403" w:rsidP="0075660C">
            <w:pPr>
              <w:rPr>
                <w:sz w:val="20"/>
                <w:szCs w:val="20"/>
              </w:rPr>
            </w:pPr>
            <w:r w:rsidRPr="0075660C">
              <w:rPr>
                <w:sz w:val="20"/>
                <w:szCs w:val="20"/>
              </w:rPr>
              <w:t>300</w:t>
            </w:r>
          </w:p>
        </w:tc>
        <w:tc>
          <w:tcPr>
            <w:tcW w:w="646" w:type="pct"/>
          </w:tcPr>
          <w:p w14:paraId="4C3DD075" w14:textId="77777777" w:rsidR="009D4403" w:rsidRPr="0075660C" w:rsidRDefault="009D4403" w:rsidP="0075660C">
            <w:pPr>
              <w:rPr>
                <w:sz w:val="20"/>
                <w:szCs w:val="20"/>
              </w:rPr>
            </w:pPr>
            <w:r w:rsidRPr="0075660C">
              <w:rPr>
                <w:sz w:val="20"/>
                <w:szCs w:val="20"/>
              </w:rPr>
              <w:t>163</w:t>
            </w:r>
          </w:p>
        </w:tc>
        <w:tc>
          <w:tcPr>
            <w:tcW w:w="648" w:type="pct"/>
          </w:tcPr>
          <w:p w14:paraId="4C3DD076" w14:textId="77777777" w:rsidR="009D4403" w:rsidRPr="0075660C" w:rsidRDefault="009D4403" w:rsidP="0075660C">
            <w:pPr>
              <w:rPr>
                <w:sz w:val="20"/>
                <w:szCs w:val="20"/>
              </w:rPr>
            </w:pPr>
            <w:r w:rsidRPr="0075660C">
              <w:rPr>
                <w:sz w:val="20"/>
                <w:szCs w:val="20"/>
              </w:rPr>
              <w:t>2620</w:t>
            </w:r>
          </w:p>
        </w:tc>
        <w:tc>
          <w:tcPr>
            <w:tcW w:w="670" w:type="pct"/>
          </w:tcPr>
          <w:p w14:paraId="4C3DD077" w14:textId="77777777" w:rsidR="009D4403" w:rsidRPr="0075660C" w:rsidRDefault="009D4403" w:rsidP="003078E7">
            <w:pPr>
              <w:ind w:left="34"/>
              <w:rPr>
                <w:sz w:val="20"/>
                <w:szCs w:val="20"/>
              </w:rPr>
            </w:pPr>
            <w:r w:rsidRPr="0075660C">
              <w:rPr>
                <w:sz w:val="20"/>
                <w:szCs w:val="20"/>
              </w:rPr>
              <w:t>715</w:t>
            </w:r>
          </w:p>
        </w:tc>
        <w:tc>
          <w:tcPr>
            <w:tcW w:w="544" w:type="pct"/>
          </w:tcPr>
          <w:p w14:paraId="4C3DD078" w14:textId="77777777" w:rsidR="009D4403" w:rsidRPr="0075660C" w:rsidRDefault="009D4403" w:rsidP="003078E7">
            <w:pPr>
              <w:ind w:left="34"/>
              <w:rPr>
                <w:sz w:val="20"/>
                <w:szCs w:val="20"/>
              </w:rPr>
            </w:pPr>
            <w:r w:rsidRPr="0075660C">
              <w:rPr>
                <w:sz w:val="20"/>
                <w:szCs w:val="20"/>
              </w:rPr>
              <w:t>1329</w:t>
            </w:r>
          </w:p>
        </w:tc>
      </w:tr>
      <w:tr w:rsidR="009D4403" w:rsidRPr="0075660C" w14:paraId="4C3DD080" w14:textId="77777777" w:rsidTr="003078E7">
        <w:trPr>
          <w:trHeight w:val="227"/>
        </w:trPr>
        <w:tc>
          <w:tcPr>
            <w:tcW w:w="729" w:type="pct"/>
          </w:tcPr>
          <w:p w14:paraId="4C3DD07A" w14:textId="6FC5CB98" w:rsidR="009D4403" w:rsidRPr="0075660C" w:rsidRDefault="009D4403" w:rsidP="00933822">
            <w:pPr>
              <w:ind w:right="67"/>
              <w:rPr>
                <w:kern w:val="2"/>
                <w:sz w:val="20"/>
                <w:szCs w:val="20"/>
              </w:rPr>
            </w:pPr>
            <w:r w:rsidRPr="0075660C">
              <w:rPr>
                <w:kern w:val="2"/>
                <w:sz w:val="20"/>
                <w:szCs w:val="20"/>
              </w:rPr>
              <w:t>Human</w:t>
            </w:r>
            <w:r w:rsidR="0075660C">
              <w:rPr>
                <w:kern w:val="2"/>
                <w:sz w:val="20"/>
                <w:szCs w:val="20"/>
              </w:rPr>
              <w:t xml:space="preserve"> </w:t>
            </w:r>
            <w:r w:rsidRPr="0075660C">
              <w:rPr>
                <w:kern w:val="2"/>
                <w:sz w:val="20"/>
                <w:szCs w:val="20"/>
              </w:rPr>
              <w:t>HCV positive patients</w:t>
            </w:r>
          </w:p>
        </w:tc>
        <w:tc>
          <w:tcPr>
            <w:tcW w:w="792" w:type="pct"/>
          </w:tcPr>
          <w:p w14:paraId="4C3DD07B" w14:textId="77777777" w:rsidR="009D4403" w:rsidRPr="0075660C" w:rsidRDefault="009D4403" w:rsidP="0075660C">
            <w:pPr>
              <w:rPr>
                <w:kern w:val="2"/>
                <w:sz w:val="20"/>
                <w:szCs w:val="20"/>
              </w:rPr>
            </w:pPr>
            <w:r w:rsidRPr="0075660C">
              <w:rPr>
                <w:kern w:val="2"/>
                <w:sz w:val="20"/>
                <w:szCs w:val="20"/>
              </w:rPr>
              <w:t>12 weeks</w:t>
            </w:r>
          </w:p>
        </w:tc>
        <w:tc>
          <w:tcPr>
            <w:tcW w:w="971" w:type="pct"/>
          </w:tcPr>
          <w:p w14:paraId="4C3DD07C" w14:textId="77777777" w:rsidR="009D4403" w:rsidRPr="0075660C" w:rsidRDefault="009D4403" w:rsidP="0075660C">
            <w:pPr>
              <w:rPr>
                <w:kern w:val="2"/>
                <w:sz w:val="20"/>
                <w:szCs w:val="20"/>
              </w:rPr>
            </w:pPr>
            <w:r w:rsidRPr="0075660C">
              <w:rPr>
                <w:kern w:val="2"/>
                <w:sz w:val="20"/>
                <w:szCs w:val="20"/>
              </w:rPr>
              <w:t>[100 mg]*</w:t>
            </w:r>
          </w:p>
        </w:tc>
        <w:tc>
          <w:tcPr>
            <w:tcW w:w="646" w:type="pct"/>
          </w:tcPr>
          <w:p w14:paraId="4C3DD07D" w14:textId="77777777" w:rsidR="009D4403" w:rsidRPr="0075660C" w:rsidRDefault="009D4403" w:rsidP="0075660C">
            <w:pPr>
              <w:rPr>
                <w:sz w:val="20"/>
                <w:szCs w:val="20"/>
              </w:rPr>
            </w:pPr>
            <w:r w:rsidRPr="0075660C">
              <w:rPr>
                <w:sz w:val="20"/>
                <w:szCs w:val="20"/>
              </w:rPr>
              <w:t>0.23</w:t>
            </w:r>
          </w:p>
        </w:tc>
        <w:tc>
          <w:tcPr>
            <w:tcW w:w="648" w:type="pct"/>
          </w:tcPr>
          <w:p w14:paraId="4C3DD07E" w14:textId="77777777" w:rsidR="009D4403" w:rsidRPr="0075660C" w:rsidRDefault="009D4403" w:rsidP="0075660C">
            <w:pPr>
              <w:rPr>
                <w:sz w:val="20"/>
                <w:szCs w:val="20"/>
              </w:rPr>
            </w:pPr>
            <w:r w:rsidRPr="0075660C">
              <w:rPr>
                <w:sz w:val="20"/>
                <w:szCs w:val="20"/>
              </w:rPr>
              <w:t>1.97</w:t>
            </w:r>
          </w:p>
        </w:tc>
        <w:tc>
          <w:tcPr>
            <w:tcW w:w="1214" w:type="pct"/>
            <w:gridSpan w:val="2"/>
          </w:tcPr>
          <w:p w14:paraId="4C3DD07F" w14:textId="77777777" w:rsidR="009D4403" w:rsidRPr="0075660C" w:rsidRDefault="009D4403" w:rsidP="003078E7">
            <w:pPr>
              <w:ind w:left="34"/>
              <w:rPr>
                <w:kern w:val="2"/>
                <w:sz w:val="20"/>
                <w:szCs w:val="20"/>
              </w:rPr>
            </w:pPr>
            <w:r w:rsidRPr="0075660C">
              <w:rPr>
                <w:kern w:val="2"/>
                <w:sz w:val="20"/>
                <w:szCs w:val="20"/>
              </w:rPr>
              <w:t>–</w:t>
            </w:r>
          </w:p>
        </w:tc>
      </w:tr>
    </w:tbl>
    <w:p w14:paraId="4C3DD081" w14:textId="77777777" w:rsidR="009D4403" w:rsidRPr="005113FA" w:rsidRDefault="009D4403" w:rsidP="00F140F0">
      <w:pPr>
        <w:pStyle w:val="TableDescription"/>
      </w:pPr>
      <w:r>
        <w:rPr>
          <w:rFonts w:ascii="ZWAdobeF" w:hAnsi="ZWAdobeF" w:cs="ZWAdobeF"/>
          <w:position w:val="-2"/>
          <w:sz w:val="2"/>
          <w:szCs w:val="2"/>
        </w:rPr>
        <w:t>P</w:t>
      </w:r>
      <w:r w:rsidRPr="005113FA">
        <w:rPr>
          <w:position w:val="-2"/>
          <w:vertAlign w:val="superscript"/>
        </w:rPr>
        <w:t>#</w:t>
      </w:r>
      <w:r>
        <w:rPr>
          <w:rFonts w:ascii="ZWAdobeF" w:hAnsi="ZWAdobeF" w:cs="ZWAdobeF"/>
          <w:position w:val="-2"/>
          <w:sz w:val="2"/>
          <w:szCs w:val="2"/>
        </w:rPr>
        <w:t>P</w:t>
      </w:r>
      <w:r>
        <w:t xml:space="preserve"> = animal: human</w:t>
      </w:r>
      <w:r w:rsidRPr="005113FA">
        <w:t xml:space="preserve">; *Administered in </w:t>
      </w:r>
      <w:r>
        <w:t xml:space="preserve">combination with 50 mg </w:t>
      </w:r>
      <w:proofErr w:type="spellStart"/>
      <w:r>
        <w:t>Elbasvir</w:t>
      </w:r>
      <w:proofErr w:type="spellEnd"/>
    </w:p>
    <w:p w14:paraId="4C3DD082" w14:textId="77777777" w:rsidR="00984C98" w:rsidRPr="00984C98" w:rsidRDefault="00984C98" w:rsidP="001A5EE3">
      <w:pPr>
        <w:pStyle w:val="Heading5"/>
        <w:rPr>
          <w:rFonts w:eastAsia="Cambria"/>
        </w:rPr>
      </w:pPr>
      <w:r w:rsidRPr="00984C98">
        <w:rPr>
          <w:rFonts w:eastAsia="Cambria"/>
        </w:rPr>
        <w:t>Relative exposure</w:t>
      </w:r>
      <w:r w:rsidR="009D4403">
        <w:rPr>
          <w:rFonts w:eastAsia="Cambria"/>
        </w:rPr>
        <w:t xml:space="preserve"> </w:t>
      </w:r>
      <w:r w:rsidR="001A5EE3">
        <w:rPr>
          <w:rFonts w:eastAsia="Cambria"/>
        </w:rPr>
        <w:t>to</w:t>
      </w:r>
      <w:r w:rsidRPr="00984C98">
        <w:rPr>
          <w:rFonts w:eastAsia="Cambria"/>
        </w:rPr>
        <w:t xml:space="preserve"> </w:t>
      </w:r>
      <w:r w:rsidR="002437C0">
        <w:rPr>
          <w:rFonts w:eastAsia="Cambria"/>
        </w:rPr>
        <w:t>EBR</w:t>
      </w:r>
    </w:p>
    <w:p w14:paraId="4C3DD083" w14:textId="77777777" w:rsidR="00984C98" w:rsidRPr="00984C98" w:rsidRDefault="00984C98" w:rsidP="001A5EE3">
      <w:r w:rsidRPr="00984C98">
        <w:t>Exposure ratios have been calculated based on animal:</w:t>
      </w:r>
      <w:r w:rsidR="001A5EE3">
        <w:t xml:space="preserve"> </w:t>
      </w:r>
      <w:r w:rsidRPr="00984C98">
        <w:t xml:space="preserve">human plasma </w:t>
      </w:r>
      <w:proofErr w:type="spellStart"/>
      <w:r w:rsidRPr="00984C98">
        <w:t>CRmaxR</w:t>
      </w:r>
      <w:proofErr w:type="spellEnd"/>
      <w:r w:rsidRPr="00984C98">
        <w:t xml:space="preserve"> and AUCR</w:t>
      </w:r>
      <w:r w:rsidRPr="001A5EE3">
        <w:rPr>
          <w:vertAlign w:val="subscript"/>
        </w:rPr>
        <w:t xml:space="preserve">0–24 </w:t>
      </w:r>
      <w:proofErr w:type="spellStart"/>
      <w:r w:rsidRPr="001A5EE3">
        <w:rPr>
          <w:vertAlign w:val="subscript"/>
        </w:rPr>
        <w:t>h</w:t>
      </w:r>
      <w:r w:rsidRPr="00984C98">
        <w:t>R</w:t>
      </w:r>
      <w:proofErr w:type="spellEnd"/>
      <w:r w:rsidRPr="00984C98">
        <w:t xml:space="preserve"> </w:t>
      </w:r>
      <w:r w:rsidR="002437C0">
        <w:t>EBR</w:t>
      </w:r>
      <w:r w:rsidRPr="00984C98">
        <w:t xml:space="preserve"> values. Reasonable levels of exposure were achieved in the toxicity studies relative to the anticipated clinical exposure values, noting that the maximum doses were the limit dose.</w:t>
      </w:r>
      <w:r w:rsidR="00D80B0A">
        <w:t xml:space="preserve"> </w:t>
      </w:r>
      <w:r w:rsidRPr="00984C98">
        <w:t>At the NOAEL values (highlighted) the safety margin is considered to be reasonable.</w:t>
      </w:r>
    </w:p>
    <w:p w14:paraId="4C3DD084" w14:textId="77777777" w:rsidR="00984C98" w:rsidRDefault="001A5EE3" w:rsidP="001A5EE3">
      <w:pPr>
        <w:pStyle w:val="TableTitle"/>
      </w:pPr>
      <w:r>
        <w:t xml:space="preserve">Table 4: </w:t>
      </w:r>
      <w:r w:rsidR="00984C98" w:rsidRPr="00984C98">
        <w:t xml:space="preserve">Relative </w:t>
      </w:r>
      <w:r w:rsidR="002437C0">
        <w:t>EBR</w:t>
      </w:r>
      <w:r w:rsidR="00984C98" w:rsidRPr="00984C98">
        <w:t xml:space="preserve"> exposure in repeat-dose toxicity studies</w:t>
      </w:r>
    </w:p>
    <w:tbl>
      <w:tblPr>
        <w:tblStyle w:val="TableTGAblue"/>
        <w:tblW w:w="9469" w:type="dxa"/>
        <w:tblLayout w:type="fixed"/>
        <w:tblLook w:val="01E0" w:firstRow="1" w:lastRow="1" w:firstColumn="1" w:lastColumn="1" w:noHBand="0" w:noVBand="0"/>
      </w:tblPr>
      <w:tblGrid>
        <w:gridCol w:w="1373"/>
        <w:gridCol w:w="1373"/>
        <w:gridCol w:w="1373"/>
        <w:gridCol w:w="1373"/>
        <w:gridCol w:w="1373"/>
        <w:gridCol w:w="1373"/>
        <w:gridCol w:w="1231"/>
      </w:tblGrid>
      <w:tr w:rsidR="009D4403" w:rsidRPr="002000A4" w14:paraId="4C3DD08C" w14:textId="77777777" w:rsidTr="002000A4">
        <w:trPr>
          <w:cnfStyle w:val="100000000000" w:firstRow="1" w:lastRow="0" w:firstColumn="0" w:lastColumn="0" w:oddVBand="0" w:evenVBand="0" w:oddHBand="0" w:evenHBand="0" w:firstRowFirstColumn="0" w:firstRowLastColumn="0" w:lastRowFirstColumn="0" w:lastRowLastColumn="0"/>
          <w:trHeight w:val="1006"/>
        </w:trPr>
        <w:tc>
          <w:tcPr>
            <w:tcW w:w="725" w:type="pct"/>
            <w:vMerge w:val="restart"/>
            <w:tcBorders>
              <w:right w:val="single" w:sz="4" w:space="0" w:color="FFFFFF" w:themeColor="background1"/>
            </w:tcBorders>
          </w:tcPr>
          <w:p w14:paraId="4C3DD085" w14:textId="77777777" w:rsidR="009D4403" w:rsidRPr="002000A4" w:rsidRDefault="009D4403" w:rsidP="002000A4">
            <w:pPr>
              <w:rPr>
                <w:sz w:val="20"/>
                <w:szCs w:val="20"/>
              </w:rPr>
            </w:pPr>
            <w:r w:rsidRPr="002000A4">
              <w:rPr>
                <w:sz w:val="20"/>
                <w:szCs w:val="20"/>
              </w:rPr>
              <w:t>Species</w:t>
            </w:r>
          </w:p>
        </w:tc>
        <w:tc>
          <w:tcPr>
            <w:tcW w:w="725" w:type="pct"/>
            <w:vMerge w:val="restart"/>
            <w:tcBorders>
              <w:left w:val="single" w:sz="4" w:space="0" w:color="FFFFFF" w:themeColor="background1"/>
              <w:right w:val="single" w:sz="4" w:space="0" w:color="FFFFFF" w:themeColor="background1"/>
            </w:tcBorders>
          </w:tcPr>
          <w:p w14:paraId="4C3DD086" w14:textId="77777777" w:rsidR="009D4403" w:rsidRPr="002000A4" w:rsidRDefault="009D4403" w:rsidP="002000A4">
            <w:pPr>
              <w:rPr>
                <w:sz w:val="20"/>
                <w:szCs w:val="20"/>
              </w:rPr>
            </w:pPr>
            <w:r w:rsidRPr="002000A4">
              <w:rPr>
                <w:sz w:val="20"/>
                <w:szCs w:val="20"/>
              </w:rPr>
              <w:t>Study duration</w:t>
            </w:r>
          </w:p>
        </w:tc>
        <w:tc>
          <w:tcPr>
            <w:tcW w:w="725" w:type="pct"/>
            <w:vMerge w:val="restart"/>
            <w:tcBorders>
              <w:left w:val="single" w:sz="4" w:space="0" w:color="FFFFFF" w:themeColor="background1"/>
              <w:right w:val="single" w:sz="4" w:space="0" w:color="FFFFFF" w:themeColor="background1"/>
            </w:tcBorders>
          </w:tcPr>
          <w:p w14:paraId="4C3DD087" w14:textId="42FFF00C" w:rsidR="009D4403" w:rsidRPr="002000A4" w:rsidRDefault="009D4403" w:rsidP="002000A4">
            <w:pPr>
              <w:rPr>
                <w:sz w:val="20"/>
                <w:szCs w:val="20"/>
              </w:rPr>
            </w:pPr>
            <w:r w:rsidRPr="002000A4">
              <w:rPr>
                <w:sz w:val="20"/>
                <w:szCs w:val="20"/>
              </w:rPr>
              <w:t>Dose</w:t>
            </w:r>
            <w:r w:rsidR="002000A4">
              <w:rPr>
                <w:sz w:val="20"/>
                <w:szCs w:val="20"/>
              </w:rPr>
              <w:t xml:space="preserve"> </w:t>
            </w:r>
            <w:r w:rsidRPr="002000A4">
              <w:rPr>
                <w:sz w:val="20"/>
                <w:szCs w:val="20"/>
              </w:rPr>
              <w:t>mg/kg/day</w:t>
            </w:r>
          </w:p>
        </w:tc>
        <w:tc>
          <w:tcPr>
            <w:tcW w:w="725" w:type="pct"/>
            <w:vMerge w:val="restart"/>
            <w:tcBorders>
              <w:left w:val="single" w:sz="4" w:space="0" w:color="FFFFFF" w:themeColor="background1"/>
              <w:right w:val="single" w:sz="4" w:space="0" w:color="FFFFFF" w:themeColor="background1"/>
            </w:tcBorders>
          </w:tcPr>
          <w:p w14:paraId="4C3DD089" w14:textId="3D89D90B" w:rsidR="009D4403" w:rsidRPr="002000A4" w:rsidRDefault="009D4403" w:rsidP="002000A4">
            <w:pPr>
              <w:rPr>
                <w:sz w:val="20"/>
                <w:szCs w:val="20"/>
              </w:rPr>
            </w:pPr>
            <w:proofErr w:type="spellStart"/>
            <w:r w:rsidRPr="002000A4">
              <w:rPr>
                <w:sz w:val="20"/>
                <w:szCs w:val="20"/>
              </w:rPr>
              <w:t>C</w:t>
            </w:r>
            <w:r w:rsidRPr="002000A4">
              <w:rPr>
                <w:rFonts w:ascii="ZWAdobeF" w:hAnsi="ZWAdobeF" w:cs="ZWAdobeF"/>
                <w:sz w:val="20"/>
                <w:szCs w:val="20"/>
              </w:rPr>
              <w:t>R</w:t>
            </w:r>
            <w:r w:rsidRPr="002000A4">
              <w:rPr>
                <w:sz w:val="20"/>
                <w:szCs w:val="20"/>
                <w:vertAlign w:val="subscript"/>
              </w:rPr>
              <w:t>max</w:t>
            </w:r>
            <w:proofErr w:type="spellEnd"/>
            <w:r w:rsidR="002000A4">
              <w:rPr>
                <w:sz w:val="20"/>
                <w:szCs w:val="20"/>
                <w:vertAlign w:val="subscript"/>
              </w:rPr>
              <w:t xml:space="preserve"> </w:t>
            </w:r>
            <w:proofErr w:type="spellStart"/>
            <w:r w:rsidRPr="002000A4">
              <w:rPr>
                <w:sz w:val="20"/>
                <w:szCs w:val="20"/>
              </w:rPr>
              <w:t>μM</w:t>
            </w:r>
            <w:proofErr w:type="spellEnd"/>
          </w:p>
        </w:tc>
        <w:tc>
          <w:tcPr>
            <w:tcW w:w="725" w:type="pct"/>
            <w:vMerge w:val="restart"/>
            <w:tcBorders>
              <w:left w:val="single" w:sz="4" w:space="0" w:color="FFFFFF" w:themeColor="background1"/>
            </w:tcBorders>
          </w:tcPr>
          <w:p w14:paraId="4C3DD08A" w14:textId="10740D2E" w:rsidR="009D4403" w:rsidRPr="002000A4" w:rsidRDefault="009D4403" w:rsidP="002000A4">
            <w:pPr>
              <w:rPr>
                <w:sz w:val="20"/>
                <w:szCs w:val="20"/>
              </w:rPr>
            </w:pPr>
            <w:r w:rsidRPr="002000A4">
              <w:rPr>
                <w:sz w:val="20"/>
                <w:szCs w:val="20"/>
              </w:rPr>
              <w:t>AUC</w:t>
            </w:r>
            <w:r w:rsidRPr="002000A4">
              <w:rPr>
                <w:rFonts w:ascii="ZWAdobeF" w:hAnsi="ZWAdobeF" w:cs="ZWAdobeF"/>
                <w:sz w:val="20"/>
                <w:szCs w:val="20"/>
              </w:rPr>
              <w:t>R</w:t>
            </w:r>
            <w:r w:rsidRPr="002000A4">
              <w:rPr>
                <w:sz w:val="20"/>
                <w:szCs w:val="20"/>
                <w:vertAlign w:val="subscript"/>
              </w:rPr>
              <w:t>0–24</w:t>
            </w:r>
            <w:r w:rsidRPr="002000A4">
              <w:rPr>
                <w:w w:val="50"/>
                <w:sz w:val="20"/>
                <w:szCs w:val="20"/>
                <w:vertAlign w:val="subscript"/>
              </w:rPr>
              <w:t> </w:t>
            </w:r>
            <w:proofErr w:type="spellStart"/>
            <w:r w:rsidRPr="002000A4">
              <w:rPr>
                <w:sz w:val="20"/>
                <w:szCs w:val="20"/>
                <w:vertAlign w:val="subscript"/>
              </w:rPr>
              <w:t>h</w:t>
            </w:r>
            <w:r w:rsidRPr="002000A4">
              <w:rPr>
                <w:rFonts w:ascii="ZWAdobeF" w:hAnsi="ZWAdobeF" w:cs="ZWAdobeF"/>
                <w:sz w:val="20"/>
                <w:szCs w:val="20"/>
              </w:rPr>
              <w:t>R</w:t>
            </w:r>
            <w:proofErr w:type="spellEnd"/>
            <w:r w:rsidR="002000A4">
              <w:rPr>
                <w:rFonts w:ascii="ZWAdobeF" w:hAnsi="ZWAdobeF" w:cs="ZWAdobeF"/>
                <w:sz w:val="20"/>
                <w:szCs w:val="20"/>
              </w:rPr>
              <w:t xml:space="preserve"> </w:t>
            </w:r>
            <w:proofErr w:type="spellStart"/>
            <w:r w:rsidRPr="002000A4">
              <w:rPr>
                <w:sz w:val="20"/>
                <w:szCs w:val="20"/>
              </w:rPr>
              <w:t>μM∙h</w:t>
            </w:r>
            <w:proofErr w:type="spellEnd"/>
          </w:p>
        </w:tc>
        <w:tc>
          <w:tcPr>
            <w:tcW w:w="725" w:type="pct"/>
            <w:gridSpan w:val="2"/>
          </w:tcPr>
          <w:p w14:paraId="4C3DD08B" w14:textId="77777777" w:rsidR="009D4403" w:rsidRPr="002000A4" w:rsidRDefault="009D4403" w:rsidP="002000A4">
            <w:pPr>
              <w:rPr>
                <w:sz w:val="20"/>
                <w:szCs w:val="20"/>
              </w:rPr>
            </w:pPr>
            <w:r w:rsidRPr="002000A4">
              <w:rPr>
                <w:sz w:val="20"/>
                <w:szCs w:val="20"/>
              </w:rPr>
              <w:t xml:space="preserve">Exposure </w:t>
            </w:r>
            <w:proofErr w:type="spellStart"/>
            <w:r w:rsidRPr="002000A4">
              <w:rPr>
                <w:sz w:val="20"/>
                <w:szCs w:val="20"/>
              </w:rPr>
              <w:t>ratio</w:t>
            </w:r>
            <w:r w:rsidRPr="002000A4">
              <w:rPr>
                <w:rFonts w:ascii="ZWAdobeF" w:hAnsi="ZWAdobeF" w:cs="ZWAdobeF"/>
                <w:sz w:val="20"/>
                <w:szCs w:val="20"/>
              </w:rPr>
              <w:t>P</w:t>
            </w:r>
            <w:proofErr w:type="spellEnd"/>
            <w:r w:rsidRPr="002000A4">
              <w:rPr>
                <w:sz w:val="20"/>
                <w:szCs w:val="20"/>
                <w:vertAlign w:val="superscript"/>
              </w:rPr>
              <w:t>#</w:t>
            </w:r>
          </w:p>
        </w:tc>
      </w:tr>
      <w:tr w:rsidR="00A951E8" w:rsidRPr="002000A4" w14:paraId="4C3DD094" w14:textId="77777777" w:rsidTr="002000A4">
        <w:tc>
          <w:tcPr>
            <w:tcW w:w="725" w:type="pct"/>
            <w:vMerge/>
            <w:tcBorders>
              <w:right w:val="single" w:sz="4" w:space="0" w:color="FFFFFF" w:themeColor="background1"/>
            </w:tcBorders>
          </w:tcPr>
          <w:p w14:paraId="4C3DD08D" w14:textId="77777777" w:rsidR="009D4403" w:rsidRPr="002000A4" w:rsidRDefault="009D4403" w:rsidP="002000A4">
            <w:pPr>
              <w:rPr>
                <w:b/>
                <w:sz w:val="20"/>
                <w:szCs w:val="20"/>
              </w:rPr>
            </w:pPr>
          </w:p>
        </w:tc>
        <w:tc>
          <w:tcPr>
            <w:tcW w:w="725" w:type="pct"/>
            <w:vMerge/>
            <w:tcBorders>
              <w:left w:val="single" w:sz="4" w:space="0" w:color="FFFFFF" w:themeColor="background1"/>
              <w:right w:val="single" w:sz="4" w:space="0" w:color="FFFFFF" w:themeColor="background1"/>
            </w:tcBorders>
          </w:tcPr>
          <w:p w14:paraId="4C3DD08E" w14:textId="77777777" w:rsidR="009D4403" w:rsidRPr="002000A4" w:rsidRDefault="009D4403" w:rsidP="002000A4">
            <w:pPr>
              <w:rPr>
                <w:b/>
                <w:sz w:val="20"/>
                <w:szCs w:val="20"/>
              </w:rPr>
            </w:pPr>
          </w:p>
        </w:tc>
        <w:tc>
          <w:tcPr>
            <w:tcW w:w="725" w:type="pct"/>
            <w:vMerge/>
            <w:tcBorders>
              <w:left w:val="single" w:sz="4" w:space="0" w:color="FFFFFF" w:themeColor="background1"/>
              <w:right w:val="single" w:sz="4" w:space="0" w:color="FFFFFF" w:themeColor="background1"/>
            </w:tcBorders>
          </w:tcPr>
          <w:p w14:paraId="4C3DD08F" w14:textId="77777777" w:rsidR="009D4403" w:rsidRPr="002000A4" w:rsidRDefault="009D4403" w:rsidP="002000A4">
            <w:pPr>
              <w:rPr>
                <w:b/>
                <w:sz w:val="20"/>
                <w:szCs w:val="20"/>
              </w:rPr>
            </w:pPr>
          </w:p>
        </w:tc>
        <w:tc>
          <w:tcPr>
            <w:tcW w:w="725" w:type="pct"/>
            <w:vMerge/>
            <w:tcBorders>
              <w:left w:val="single" w:sz="4" w:space="0" w:color="FFFFFF" w:themeColor="background1"/>
              <w:right w:val="single" w:sz="4" w:space="0" w:color="FFFFFF" w:themeColor="background1"/>
            </w:tcBorders>
          </w:tcPr>
          <w:p w14:paraId="4C3DD090" w14:textId="77777777" w:rsidR="009D4403" w:rsidRPr="002000A4" w:rsidRDefault="009D4403" w:rsidP="002000A4">
            <w:pPr>
              <w:rPr>
                <w:b/>
                <w:sz w:val="20"/>
                <w:szCs w:val="20"/>
              </w:rPr>
            </w:pPr>
          </w:p>
        </w:tc>
        <w:tc>
          <w:tcPr>
            <w:tcW w:w="725" w:type="pct"/>
            <w:vMerge/>
            <w:tcBorders>
              <w:left w:val="single" w:sz="4" w:space="0" w:color="FFFFFF" w:themeColor="background1"/>
            </w:tcBorders>
          </w:tcPr>
          <w:p w14:paraId="4C3DD091" w14:textId="77777777" w:rsidR="009D4403" w:rsidRPr="002000A4" w:rsidRDefault="009D4403" w:rsidP="002000A4">
            <w:pPr>
              <w:rPr>
                <w:b/>
                <w:sz w:val="20"/>
                <w:szCs w:val="20"/>
              </w:rPr>
            </w:pPr>
          </w:p>
        </w:tc>
        <w:tc>
          <w:tcPr>
            <w:tcW w:w="725" w:type="pct"/>
          </w:tcPr>
          <w:p w14:paraId="4C3DD092" w14:textId="77777777" w:rsidR="009D4403" w:rsidRPr="002000A4" w:rsidRDefault="009D4403" w:rsidP="002000A4">
            <w:pPr>
              <w:rPr>
                <w:b/>
                <w:sz w:val="20"/>
                <w:szCs w:val="20"/>
              </w:rPr>
            </w:pPr>
            <w:proofErr w:type="spellStart"/>
            <w:r w:rsidRPr="002000A4">
              <w:rPr>
                <w:sz w:val="20"/>
                <w:szCs w:val="20"/>
              </w:rPr>
              <w:t>C</w:t>
            </w:r>
            <w:r w:rsidRPr="002000A4">
              <w:rPr>
                <w:rFonts w:ascii="ZWAdobeF" w:hAnsi="ZWAdobeF" w:cs="ZWAdobeF"/>
                <w:sz w:val="20"/>
                <w:szCs w:val="20"/>
              </w:rPr>
              <w:t>R</w:t>
            </w:r>
            <w:r w:rsidRPr="002000A4">
              <w:rPr>
                <w:sz w:val="20"/>
                <w:szCs w:val="20"/>
                <w:vertAlign w:val="subscript"/>
              </w:rPr>
              <w:t>max</w:t>
            </w:r>
            <w:proofErr w:type="spellEnd"/>
          </w:p>
        </w:tc>
        <w:tc>
          <w:tcPr>
            <w:tcW w:w="725" w:type="pct"/>
          </w:tcPr>
          <w:p w14:paraId="4C3DD093" w14:textId="77777777" w:rsidR="009D4403" w:rsidRPr="002000A4" w:rsidRDefault="009D4403" w:rsidP="002000A4">
            <w:pPr>
              <w:rPr>
                <w:b/>
                <w:sz w:val="20"/>
                <w:szCs w:val="20"/>
              </w:rPr>
            </w:pPr>
            <w:r w:rsidRPr="002000A4">
              <w:rPr>
                <w:sz w:val="20"/>
                <w:szCs w:val="20"/>
              </w:rPr>
              <w:t>AUC</w:t>
            </w:r>
          </w:p>
        </w:tc>
      </w:tr>
      <w:tr w:rsidR="009D4403" w:rsidRPr="002000A4" w14:paraId="4C3DD09C" w14:textId="77777777" w:rsidTr="006A59AC">
        <w:trPr>
          <w:trHeight w:val="227"/>
        </w:trPr>
        <w:tc>
          <w:tcPr>
            <w:tcW w:w="725" w:type="pct"/>
            <w:vMerge w:val="restart"/>
          </w:tcPr>
          <w:p w14:paraId="4C3DD095" w14:textId="27849893" w:rsidR="009D4403" w:rsidRPr="002000A4" w:rsidRDefault="009D4403" w:rsidP="002000A4">
            <w:pPr>
              <w:rPr>
                <w:kern w:val="2"/>
                <w:sz w:val="20"/>
                <w:szCs w:val="20"/>
              </w:rPr>
            </w:pPr>
            <w:r w:rsidRPr="002000A4">
              <w:rPr>
                <w:kern w:val="2"/>
                <w:sz w:val="20"/>
                <w:szCs w:val="20"/>
              </w:rPr>
              <w:t>Mouse</w:t>
            </w:r>
            <w:r w:rsidR="002000A4">
              <w:rPr>
                <w:kern w:val="2"/>
                <w:sz w:val="20"/>
                <w:szCs w:val="20"/>
              </w:rPr>
              <w:t xml:space="preserve"> </w:t>
            </w:r>
            <w:r w:rsidRPr="002000A4">
              <w:rPr>
                <w:kern w:val="2"/>
                <w:sz w:val="20"/>
                <w:szCs w:val="20"/>
              </w:rPr>
              <w:t>rasH2 wild-type</w:t>
            </w:r>
          </w:p>
        </w:tc>
        <w:tc>
          <w:tcPr>
            <w:tcW w:w="725" w:type="pct"/>
            <w:vMerge w:val="restart"/>
          </w:tcPr>
          <w:p w14:paraId="4C3DD096" w14:textId="77777777" w:rsidR="009D4403" w:rsidRPr="002000A4" w:rsidRDefault="009D4403" w:rsidP="002000A4">
            <w:pPr>
              <w:rPr>
                <w:kern w:val="2"/>
                <w:sz w:val="20"/>
                <w:szCs w:val="20"/>
              </w:rPr>
            </w:pPr>
            <w:r w:rsidRPr="002000A4">
              <w:rPr>
                <w:kern w:val="2"/>
                <w:sz w:val="20"/>
                <w:szCs w:val="20"/>
              </w:rPr>
              <w:t>4 weeks</w:t>
            </w:r>
          </w:p>
        </w:tc>
        <w:tc>
          <w:tcPr>
            <w:tcW w:w="725" w:type="pct"/>
          </w:tcPr>
          <w:p w14:paraId="4C3DD097" w14:textId="77777777" w:rsidR="009D4403" w:rsidRPr="002000A4" w:rsidRDefault="009D4403" w:rsidP="002000A4">
            <w:pPr>
              <w:rPr>
                <w:sz w:val="20"/>
                <w:szCs w:val="20"/>
              </w:rPr>
            </w:pPr>
            <w:r w:rsidRPr="002000A4">
              <w:rPr>
                <w:sz w:val="20"/>
                <w:szCs w:val="20"/>
              </w:rPr>
              <w:t>10</w:t>
            </w:r>
          </w:p>
        </w:tc>
        <w:tc>
          <w:tcPr>
            <w:tcW w:w="725" w:type="pct"/>
          </w:tcPr>
          <w:p w14:paraId="4C3DD098" w14:textId="77777777" w:rsidR="009D4403" w:rsidRPr="002000A4" w:rsidRDefault="009D4403" w:rsidP="002000A4">
            <w:pPr>
              <w:rPr>
                <w:sz w:val="20"/>
                <w:szCs w:val="20"/>
              </w:rPr>
            </w:pPr>
            <w:r w:rsidRPr="002000A4">
              <w:rPr>
                <w:sz w:val="20"/>
                <w:szCs w:val="20"/>
              </w:rPr>
              <w:t>0.52</w:t>
            </w:r>
          </w:p>
        </w:tc>
        <w:tc>
          <w:tcPr>
            <w:tcW w:w="725" w:type="pct"/>
          </w:tcPr>
          <w:p w14:paraId="4C3DD099" w14:textId="77777777" w:rsidR="009D4403" w:rsidRPr="002000A4" w:rsidRDefault="009D4403" w:rsidP="002000A4">
            <w:pPr>
              <w:rPr>
                <w:sz w:val="20"/>
                <w:szCs w:val="20"/>
              </w:rPr>
            </w:pPr>
            <w:r w:rsidRPr="002000A4">
              <w:rPr>
                <w:sz w:val="20"/>
                <w:szCs w:val="20"/>
              </w:rPr>
              <w:t>2.90</w:t>
            </w:r>
          </w:p>
        </w:tc>
        <w:tc>
          <w:tcPr>
            <w:tcW w:w="725" w:type="pct"/>
          </w:tcPr>
          <w:p w14:paraId="4C3DD09A" w14:textId="77777777" w:rsidR="009D4403" w:rsidRPr="002000A4" w:rsidRDefault="009D4403" w:rsidP="002000A4">
            <w:pPr>
              <w:rPr>
                <w:sz w:val="20"/>
                <w:szCs w:val="20"/>
              </w:rPr>
            </w:pPr>
            <w:r w:rsidRPr="002000A4">
              <w:rPr>
                <w:sz w:val="20"/>
                <w:szCs w:val="20"/>
              </w:rPr>
              <w:t>3</w:t>
            </w:r>
          </w:p>
        </w:tc>
        <w:tc>
          <w:tcPr>
            <w:tcW w:w="725" w:type="pct"/>
          </w:tcPr>
          <w:p w14:paraId="4C3DD09B" w14:textId="77777777" w:rsidR="009D4403" w:rsidRPr="002000A4" w:rsidRDefault="009D4403" w:rsidP="002000A4">
            <w:pPr>
              <w:rPr>
                <w:sz w:val="20"/>
                <w:szCs w:val="20"/>
              </w:rPr>
            </w:pPr>
            <w:r w:rsidRPr="002000A4">
              <w:rPr>
                <w:sz w:val="20"/>
                <w:szCs w:val="20"/>
              </w:rPr>
              <w:t>1.2</w:t>
            </w:r>
          </w:p>
        </w:tc>
      </w:tr>
      <w:tr w:rsidR="009D4403" w:rsidRPr="002000A4" w14:paraId="4C3DD0A4" w14:textId="77777777" w:rsidTr="006A59AC">
        <w:trPr>
          <w:trHeight w:val="227"/>
        </w:trPr>
        <w:tc>
          <w:tcPr>
            <w:tcW w:w="725" w:type="pct"/>
            <w:vMerge/>
          </w:tcPr>
          <w:p w14:paraId="4C3DD09D" w14:textId="77777777" w:rsidR="009D4403" w:rsidRPr="002000A4" w:rsidRDefault="009D4403" w:rsidP="002000A4">
            <w:pPr>
              <w:rPr>
                <w:kern w:val="2"/>
                <w:sz w:val="20"/>
                <w:szCs w:val="20"/>
              </w:rPr>
            </w:pPr>
          </w:p>
        </w:tc>
        <w:tc>
          <w:tcPr>
            <w:tcW w:w="725" w:type="pct"/>
            <w:vMerge/>
          </w:tcPr>
          <w:p w14:paraId="4C3DD09E" w14:textId="77777777" w:rsidR="009D4403" w:rsidRPr="002000A4" w:rsidRDefault="009D4403" w:rsidP="002000A4">
            <w:pPr>
              <w:rPr>
                <w:kern w:val="2"/>
                <w:sz w:val="20"/>
                <w:szCs w:val="20"/>
              </w:rPr>
            </w:pPr>
          </w:p>
        </w:tc>
        <w:tc>
          <w:tcPr>
            <w:tcW w:w="725" w:type="pct"/>
          </w:tcPr>
          <w:p w14:paraId="4C3DD09F" w14:textId="77777777" w:rsidR="009D4403" w:rsidRPr="002000A4" w:rsidRDefault="009D4403" w:rsidP="002000A4">
            <w:pPr>
              <w:rPr>
                <w:sz w:val="20"/>
                <w:szCs w:val="20"/>
              </w:rPr>
            </w:pPr>
            <w:r w:rsidRPr="002000A4">
              <w:rPr>
                <w:sz w:val="20"/>
                <w:szCs w:val="20"/>
              </w:rPr>
              <w:t>50</w:t>
            </w:r>
          </w:p>
        </w:tc>
        <w:tc>
          <w:tcPr>
            <w:tcW w:w="725" w:type="pct"/>
          </w:tcPr>
          <w:p w14:paraId="4C3DD0A0" w14:textId="77777777" w:rsidR="009D4403" w:rsidRPr="002000A4" w:rsidRDefault="009D4403" w:rsidP="002000A4">
            <w:pPr>
              <w:rPr>
                <w:sz w:val="20"/>
                <w:szCs w:val="20"/>
              </w:rPr>
            </w:pPr>
            <w:r w:rsidRPr="002000A4">
              <w:rPr>
                <w:sz w:val="20"/>
                <w:szCs w:val="20"/>
              </w:rPr>
              <w:t>3.41</w:t>
            </w:r>
          </w:p>
        </w:tc>
        <w:tc>
          <w:tcPr>
            <w:tcW w:w="725" w:type="pct"/>
          </w:tcPr>
          <w:p w14:paraId="4C3DD0A1" w14:textId="77777777" w:rsidR="009D4403" w:rsidRPr="002000A4" w:rsidRDefault="009D4403" w:rsidP="002000A4">
            <w:pPr>
              <w:rPr>
                <w:sz w:val="20"/>
                <w:szCs w:val="20"/>
              </w:rPr>
            </w:pPr>
            <w:r w:rsidRPr="002000A4">
              <w:rPr>
                <w:sz w:val="20"/>
                <w:szCs w:val="20"/>
              </w:rPr>
              <w:t>17.4</w:t>
            </w:r>
          </w:p>
        </w:tc>
        <w:tc>
          <w:tcPr>
            <w:tcW w:w="725" w:type="pct"/>
          </w:tcPr>
          <w:p w14:paraId="4C3DD0A2" w14:textId="77777777" w:rsidR="009D4403" w:rsidRPr="002000A4" w:rsidRDefault="009D4403" w:rsidP="002000A4">
            <w:pPr>
              <w:rPr>
                <w:sz w:val="20"/>
                <w:szCs w:val="20"/>
              </w:rPr>
            </w:pPr>
            <w:r w:rsidRPr="002000A4">
              <w:rPr>
                <w:sz w:val="20"/>
                <w:szCs w:val="20"/>
              </w:rPr>
              <w:t>23</w:t>
            </w:r>
          </w:p>
        </w:tc>
        <w:tc>
          <w:tcPr>
            <w:tcW w:w="725" w:type="pct"/>
          </w:tcPr>
          <w:p w14:paraId="4C3DD0A3" w14:textId="77777777" w:rsidR="009D4403" w:rsidRPr="002000A4" w:rsidRDefault="009D4403" w:rsidP="002000A4">
            <w:pPr>
              <w:rPr>
                <w:sz w:val="20"/>
                <w:szCs w:val="20"/>
              </w:rPr>
            </w:pPr>
            <w:r w:rsidRPr="002000A4">
              <w:rPr>
                <w:sz w:val="20"/>
                <w:szCs w:val="20"/>
              </w:rPr>
              <w:t>7</w:t>
            </w:r>
          </w:p>
        </w:tc>
      </w:tr>
      <w:tr w:rsidR="009D4403" w:rsidRPr="002000A4" w14:paraId="4C3DD0AC" w14:textId="77777777" w:rsidTr="006A59AC">
        <w:trPr>
          <w:trHeight w:val="227"/>
        </w:trPr>
        <w:tc>
          <w:tcPr>
            <w:tcW w:w="725" w:type="pct"/>
            <w:vMerge/>
          </w:tcPr>
          <w:p w14:paraId="4C3DD0A5" w14:textId="77777777" w:rsidR="009D4403" w:rsidRPr="002000A4" w:rsidRDefault="009D4403" w:rsidP="002000A4">
            <w:pPr>
              <w:rPr>
                <w:kern w:val="2"/>
                <w:sz w:val="20"/>
                <w:szCs w:val="20"/>
              </w:rPr>
            </w:pPr>
          </w:p>
        </w:tc>
        <w:tc>
          <w:tcPr>
            <w:tcW w:w="725" w:type="pct"/>
            <w:vMerge/>
          </w:tcPr>
          <w:p w14:paraId="4C3DD0A6" w14:textId="77777777" w:rsidR="009D4403" w:rsidRPr="002000A4" w:rsidRDefault="009D4403" w:rsidP="002000A4">
            <w:pPr>
              <w:rPr>
                <w:kern w:val="2"/>
                <w:sz w:val="20"/>
                <w:szCs w:val="20"/>
              </w:rPr>
            </w:pPr>
          </w:p>
        </w:tc>
        <w:tc>
          <w:tcPr>
            <w:tcW w:w="725" w:type="pct"/>
          </w:tcPr>
          <w:p w14:paraId="4C3DD0A7" w14:textId="77777777" w:rsidR="009D4403" w:rsidRPr="002000A4" w:rsidRDefault="009D4403" w:rsidP="002000A4">
            <w:pPr>
              <w:rPr>
                <w:sz w:val="20"/>
                <w:szCs w:val="20"/>
              </w:rPr>
            </w:pPr>
            <w:r w:rsidRPr="002000A4">
              <w:rPr>
                <w:sz w:val="20"/>
                <w:szCs w:val="20"/>
              </w:rPr>
              <w:t>300</w:t>
            </w:r>
          </w:p>
        </w:tc>
        <w:tc>
          <w:tcPr>
            <w:tcW w:w="725" w:type="pct"/>
          </w:tcPr>
          <w:p w14:paraId="4C3DD0A8" w14:textId="77777777" w:rsidR="009D4403" w:rsidRPr="002000A4" w:rsidRDefault="009D4403" w:rsidP="002000A4">
            <w:pPr>
              <w:rPr>
                <w:sz w:val="20"/>
                <w:szCs w:val="20"/>
              </w:rPr>
            </w:pPr>
            <w:r w:rsidRPr="002000A4">
              <w:rPr>
                <w:sz w:val="20"/>
                <w:szCs w:val="20"/>
              </w:rPr>
              <w:t>7.06</w:t>
            </w:r>
          </w:p>
        </w:tc>
        <w:tc>
          <w:tcPr>
            <w:tcW w:w="725" w:type="pct"/>
          </w:tcPr>
          <w:p w14:paraId="4C3DD0A9" w14:textId="77777777" w:rsidR="009D4403" w:rsidRPr="002000A4" w:rsidRDefault="009D4403" w:rsidP="002000A4">
            <w:pPr>
              <w:rPr>
                <w:sz w:val="20"/>
                <w:szCs w:val="20"/>
              </w:rPr>
            </w:pPr>
            <w:r w:rsidRPr="002000A4">
              <w:rPr>
                <w:sz w:val="20"/>
                <w:szCs w:val="20"/>
              </w:rPr>
              <w:t>72.2</w:t>
            </w:r>
          </w:p>
        </w:tc>
        <w:tc>
          <w:tcPr>
            <w:tcW w:w="725" w:type="pct"/>
          </w:tcPr>
          <w:p w14:paraId="4C3DD0AA" w14:textId="77777777" w:rsidR="009D4403" w:rsidRPr="002000A4" w:rsidRDefault="009D4403" w:rsidP="002000A4">
            <w:pPr>
              <w:rPr>
                <w:sz w:val="20"/>
                <w:szCs w:val="20"/>
              </w:rPr>
            </w:pPr>
            <w:r w:rsidRPr="002000A4">
              <w:rPr>
                <w:sz w:val="20"/>
                <w:szCs w:val="20"/>
              </w:rPr>
              <w:t>47</w:t>
            </w:r>
          </w:p>
        </w:tc>
        <w:tc>
          <w:tcPr>
            <w:tcW w:w="725" w:type="pct"/>
          </w:tcPr>
          <w:p w14:paraId="4C3DD0AB" w14:textId="77777777" w:rsidR="009D4403" w:rsidRPr="002000A4" w:rsidRDefault="009D4403" w:rsidP="002000A4">
            <w:pPr>
              <w:rPr>
                <w:sz w:val="20"/>
                <w:szCs w:val="20"/>
              </w:rPr>
            </w:pPr>
            <w:r w:rsidRPr="002000A4">
              <w:rPr>
                <w:sz w:val="20"/>
                <w:szCs w:val="20"/>
              </w:rPr>
              <w:t>30</w:t>
            </w:r>
          </w:p>
        </w:tc>
      </w:tr>
      <w:tr w:rsidR="009D4403" w:rsidRPr="002000A4" w14:paraId="4C3DD0B4" w14:textId="77777777" w:rsidTr="006A59AC">
        <w:trPr>
          <w:trHeight w:val="227"/>
        </w:trPr>
        <w:tc>
          <w:tcPr>
            <w:tcW w:w="725" w:type="pct"/>
            <w:vMerge/>
          </w:tcPr>
          <w:p w14:paraId="4C3DD0AD" w14:textId="77777777" w:rsidR="009D4403" w:rsidRPr="002000A4" w:rsidRDefault="009D4403" w:rsidP="002000A4">
            <w:pPr>
              <w:rPr>
                <w:kern w:val="2"/>
                <w:sz w:val="20"/>
                <w:szCs w:val="20"/>
              </w:rPr>
            </w:pPr>
          </w:p>
        </w:tc>
        <w:tc>
          <w:tcPr>
            <w:tcW w:w="725" w:type="pct"/>
            <w:vMerge/>
          </w:tcPr>
          <w:p w14:paraId="4C3DD0AE" w14:textId="77777777" w:rsidR="009D4403" w:rsidRPr="002000A4" w:rsidRDefault="009D4403" w:rsidP="002000A4">
            <w:pPr>
              <w:rPr>
                <w:kern w:val="2"/>
                <w:sz w:val="20"/>
                <w:szCs w:val="20"/>
              </w:rPr>
            </w:pPr>
          </w:p>
        </w:tc>
        <w:tc>
          <w:tcPr>
            <w:tcW w:w="725" w:type="pct"/>
          </w:tcPr>
          <w:p w14:paraId="4C3DD0AF" w14:textId="77777777" w:rsidR="009D4403" w:rsidRPr="002000A4" w:rsidRDefault="009D4403" w:rsidP="002000A4">
            <w:pPr>
              <w:rPr>
                <w:sz w:val="20"/>
                <w:szCs w:val="20"/>
              </w:rPr>
            </w:pPr>
            <w:r w:rsidRPr="002000A4">
              <w:rPr>
                <w:sz w:val="20"/>
                <w:szCs w:val="20"/>
              </w:rPr>
              <w:t>1000</w:t>
            </w:r>
          </w:p>
        </w:tc>
        <w:tc>
          <w:tcPr>
            <w:tcW w:w="725" w:type="pct"/>
          </w:tcPr>
          <w:p w14:paraId="4C3DD0B0" w14:textId="77777777" w:rsidR="009D4403" w:rsidRPr="002000A4" w:rsidRDefault="009D4403" w:rsidP="002000A4">
            <w:pPr>
              <w:rPr>
                <w:sz w:val="20"/>
                <w:szCs w:val="20"/>
              </w:rPr>
            </w:pPr>
            <w:r w:rsidRPr="002000A4">
              <w:rPr>
                <w:sz w:val="20"/>
                <w:szCs w:val="20"/>
              </w:rPr>
              <w:t>10.3</w:t>
            </w:r>
          </w:p>
        </w:tc>
        <w:tc>
          <w:tcPr>
            <w:tcW w:w="725" w:type="pct"/>
          </w:tcPr>
          <w:p w14:paraId="4C3DD0B1" w14:textId="77777777" w:rsidR="009D4403" w:rsidRPr="002000A4" w:rsidRDefault="009D4403" w:rsidP="002000A4">
            <w:pPr>
              <w:rPr>
                <w:sz w:val="20"/>
                <w:szCs w:val="20"/>
              </w:rPr>
            </w:pPr>
            <w:r w:rsidRPr="002000A4">
              <w:rPr>
                <w:sz w:val="20"/>
                <w:szCs w:val="20"/>
              </w:rPr>
              <w:t>151</w:t>
            </w:r>
          </w:p>
        </w:tc>
        <w:tc>
          <w:tcPr>
            <w:tcW w:w="725" w:type="pct"/>
          </w:tcPr>
          <w:p w14:paraId="4C3DD0B2" w14:textId="77777777" w:rsidR="009D4403" w:rsidRPr="002000A4" w:rsidRDefault="009D4403" w:rsidP="002000A4">
            <w:pPr>
              <w:rPr>
                <w:sz w:val="20"/>
                <w:szCs w:val="20"/>
              </w:rPr>
            </w:pPr>
            <w:r w:rsidRPr="002000A4">
              <w:rPr>
                <w:sz w:val="20"/>
                <w:szCs w:val="20"/>
              </w:rPr>
              <w:t>68</w:t>
            </w:r>
          </w:p>
        </w:tc>
        <w:tc>
          <w:tcPr>
            <w:tcW w:w="725" w:type="pct"/>
          </w:tcPr>
          <w:p w14:paraId="4C3DD0B3" w14:textId="77777777" w:rsidR="009D4403" w:rsidRPr="002000A4" w:rsidRDefault="009D4403" w:rsidP="002000A4">
            <w:pPr>
              <w:rPr>
                <w:sz w:val="20"/>
                <w:szCs w:val="20"/>
              </w:rPr>
            </w:pPr>
            <w:r w:rsidRPr="002000A4">
              <w:rPr>
                <w:sz w:val="20"/>
                <w:szCs w:val="20"/>
              </w:rPr>
              <w:t>63</w:t>
            </w:r>
          </w:p>
        </w:tc>
      </w:tr>
      <w:tr w:rsidR="009D4403" w:rsidRPr="002000A4" w14:paraId="4C3DD0BC" w14:textId="77777777" w:rsidTr="006A59AC">
        <w:trPr>
          <w:trHeight w:val="227"/>
        </w:trPr>
        <w:tc>
          <w:tcPr>
            <w:tcW w:w="725" w:type="pct"/>
            <w:vMerge w:val="restart"/>
          </w:tcPr>
          <w:p w14:paraId="4C3DD0B5" w14:textId="743F5670" w:rsidR="009D4403" w:rsidRPr="002000A4" w:rsidRDefault="009D4403" w:rsidP="002000A4">
            <w:pPr>
              <w:rPr>
                <w:kern w:val="2"/>
                <w:sz w:val="20"/>
                <w:szCs w:val="20"/>
              </w:rPr>
            </w:pPr>
            <w:r w:rsidRPr="002000A4">
              <w:rPr>
                <w:kern w:val="2"/>
                <w:sz w:val="20"/>
                <w:szCs w:val="20"/>
              </w:rPr>
              <w:t>Rat</w:t>
            </w:r>
            <w:r w:rsidR="002000A4">
              <w:rPr>
                <w:kern w:val="2"/>
                <w:sz w:val="20"/>
                <w:szCs w:val="20"/>
              </w:rPr>
              <w:t xml:space="preserve"> </w:t>
            </w:r>
            <w:r w:rsidRPr="002000A4">
              <w:rPr>
                <w:kern w:val="2"/>
                <w:sz w:val="20"/>
                <w:szCs w:val="20"/>
              </w:rPr>
              <w:t>(</w:t>
            </w:r>
            <w:proofErr w:type="spellStart"/>
            <w:r w:rsidRPr="002000A4">
              <w:rPr>
                <w:kern w:val="2"/>
                <w:sz w:val="20"/>
                <w:szCs w:val="20"/>
              </w:rPr>
              <w:t>Wistar</w:t>
            </w:r>
            <w:proofErr w:type="spellEnd"/>
            <w:r w:rsidRPr="002000A4">
              <w:rPr>
                <w:kern w:val="2"/>
                <w:sz w:val="20"/>
                <w:szCs w:val="20"/>
              </w:rPr>
              <w:t>)</w:t>
            </w:r>
          </w:p>
        </w:tc>
        <w:tc>
          <w:tcPr>
            <w:tcW w:w="725" w:type="pct"/>
            <w:vMerge w:val="restart"/>
          </w:tcPr>
          <w:p w14:paraId="4C3DD0B6" w14:textId="77777777" w:rsidR="009D4403" w:rsidRPr="002000A4" w:rsidRDefault="009D4403" w:rsidP="002000A4">
            <w:pPr>
              <w:rPr>
                <w:kern w:val="2"/>
                <w:sz w:val="20"/>
                <w:szCs w:val="20"/>
              </w:rPr>
            </w:pPr>
            <w:r w:rsidRPr="002000A4">
              <w:rPr>
                <w:kern w:val="2"/>
                <w:sz w:val="20"/>
                <w:szCs w:val="20"/>
              </w:rPr>
              <w:t>3 months</w:t>
            </w:r>
          </w:p>
        </w:tc>
        <w:tc>
          <w:tcPr>
            <w:tcW w:w="725" w:type="pct"/>
          </w:tcPr>
          <w:p w14:paraId="4C3DD0B7" w14:textId="77777777" w:rsidR="009D4403" w:rsidRPr="002000A4" w:rsidRDefault="009D4403" w:rsidP="002000A4">
            <w:pPr>
              <w:rPr>
                <w:sz w:val="20"/>
                <w:szCs w:val="20"/>
              </w:rPr>
            </w:pPr>
            <w:r w:rsidRPr="002000A4">
              <w:rPr>
                <w:sz w:val="20"/>
                <w:szCs w:val="20"/>
              </w:rPr>
              <w:t>50</w:t>
            </w:r>
          </w:p>
        </w:tc>
        <w:tc>
          <w:tcPr>
            <w:tcW w:w="725" w:type="pct"/>
          </w:tcPr>
          <w:p w14:paraId="4C3DD0B8" w14:textId="77777777" w:rsidR="009D4403" w:rsidRPr="002000A4" w:rsidRDefault="009D4403" w:rsidP="002000A4">
            <w:pPr>
              <w:rPr>
                <w:sz w:val="20"/>
                <w:szCs w:val="20"/>
              </w:rPr>
            </w:pPr>
            <w:r w:rsidRPr="002000A4">
              <w:rPr>
                <w:sz w:val="20"/>
                <w:szCs w:val="20"/>
              </w:rPr>
              <w:t>0.50</w:t>
            </w:r>
          </w:p>
        </w:tc>
        <w:tc>
          <w:tcPr>
            <w:tcW w:w="725" w:type="pct"/>
          </w:tcPr>
          <w:p w14:paraId="4C3DD0B9" w14:textId="77777777" w:rsidR="009D4403" w:rsidRPr="002000A4" w:rsidRDefault="009D4403" w:rsidP="002000A4">
            <w:pPr>
              <w:rPr>
                <w:sz w:val="20"/>
                <w:szCs w:val="20"/>
              </w:rPr>
            </w:pPr>
            <w:r w:rsidRPr="002000A4">
              <w:rPr>
                <w:sz w:val="20"/>
                <w:szCs w:val="20"/>
              </w:rPr>
              <w:t>4.36</w:t>
            </w:r>
          </w:p>
        </w:tc>
        <w:tc>
          <w:tcPr>
            <w:tcW w:w="725" w:type="pct"/>
          </w:tcPr>
          <w:p w14:paraId="4C3DD0BA" w14:textId="77777777" w:rsidR="009D4403" w:rsidRPr="002000A4" w:rsidRDefault="009D4403" w:rsidP="002000A4">
            <w:pPr>
              <w:rPr>
                <w:sz w:val="20"/>
                <w:szCs w:val="20"/>
              </w:rPr>
            </w:pPr>
            <w:r w:rsidRPr="002000A4">
              <w:rPr>
                <w:sz w:val="20"/>
                <w:szCs w:val="20"/>
              </w:rPr>
              <w:t>3</w:t>
            </w:r>
          </w:p>
        </w:tc>
        <w:tc>
          <w:tcPr>
            <w:tcW w:w="725" w:type="pct"/>
          </w:tcPr>
          <w:p w14:paraId="4C3DD0BB" w14:textId="77777777" w:rsidR="009D4403" w:rsidRPr="002000A4" w:rsidRDefault="009D4403" w:rsidP="002000A4">
            <w:pPr>
              <w:rPr>
                <w:sz w:val="20"/>
                <w:szCs w:val="20"/>
              </w:rPr>
            </w:pPr>
            <w:r w:rsidRPr="002000A4">
              <w:rPr>
                <w:sz w:val="20"/>
                <w:szCs w:val="20"/>
              </w:rPr>
              <w:t>1.8</w:t>
            </w:r>
          </w:p>
        </w:tc>
      </w:tr>
      <w:tr w:rsidR="009D4403" w:rsidRPr="002000A4" w14:paraId="4C3DD0C4" w14:textId="77777777" w:rsidTr="006A59AC">
        <w:trPr>
          <w:trHeight w:val="227"/>
        </w:trPr>
        <w:tc>
          <w:tcPr>
            <w:tcW w:w="725" w:type="pct"/>
            <w:vMerge/>
          </w:tcPr>
          <w:p w14:paraId="4C3DD0BD" w14:textId="77777777" w:rsidR="009D4403" w:rsidRPr="002000A4" w:rsidRDefault="009D4403" w:rsidP="002000A4">
            <w:pPr>
              <w:rPr>
                <w:kern w:val="2"/>
                <w:sz w:val="20"/>
                <w:szCs w:val="20"/>
              </w:rPr>
            </w:pPr>
          </w:p>
        </w:tc>
        <w:tc>
          <w:tcPr>
            <w:tcW w:w="725" w:type="pct"/>
            <w:vMerge/>
          </w:tcPr>
          <w:p w14:paraId="4C3DD0BE" w14:textId="77777777" w:rsidR="009D4403" w:rsidRPr="002000A4" w:rsidRDefault="009D4403" w:rsidP="002000A4">
            <w:pPr>
              <w:rPr>
                <w:kern w:val="2"/>
                <w:sz w:val="20"/>
                <w:szCs w:val="20"/>
              </w:rPr>
            </w:pPr>
          </w:p>
        </w:tc>
        <w:tc>
          <w:tcPr>
            <w:tcW w:w="725" w:type="pct"/>
          </w:tcPr>
          <w:p w14:paraId="4C3DD0BF" w14:textId="77777777" w:rsidR="009D4403" w:rsidRPr="002000A4" w:rsidRDefault="009D4403" w:rsidP="002000A4">
            <w:pPr>
              <w:rPr>
                <w:sz w:val="20"/>
                <w:szCs w:val="20"/>
              </w:rPr>
            </w:pPr>
            <w:r w:rsidRPr="002000A4">
              <w:rPr>
                <w:sz w:val="20"/>
                <w:szCs w:val="20"/>
              </w:rPr>
              <w:t>300</w:t>
            </w:r>
          </w:p>
        </w:tc>
        <w:tc>
          <w:tcPr>
            <w:tcW w:w="725" w:type="pct"/>
          </w:tcPr>
          <w:p w14:paraId="4C3DD0C0" w14:textId="77777777" w:rsidR="009D4403" w:rsidRPr="002000A4" w:rsidRDefault="009D4403" w:rsidP="002000A4">
            <w:pPr>
              <w:rPr>
                <w:sz w:val="20"/>
                <w:szCs w:val="20"/>
              </w:rPr>
            </w:pPr>
            <w:r w:rsidRPr="002000A4">
              <w:rPr>
                <w:sz w:val="20"/>
                <w:szCs w:val="20"/>
              </w:rPr>
              <w:t>0.94</w:t>
            </w:r>
          </w:p>
        </w:tc>
        <w:tc>
          <w:tcPr>
            <w:tcW w:w="725" w:type="pct"/>
          </w:tcPr>
          <w:p w14:paraId="4C3DD0C1" w14:textId="77777777" w:rsidR="009D4403" w:rsidRPr="002000A4" w:rsidRDefault="009D4403" w:rsidP="002000A4">
            <w:pPr>
              <w:rPr>
                <w:sz w:val="20"/>
                <w:szCs w:val="20"/>
              </w:rPr>
            </w:pPr>
            <w:r w:rsidRPr="002000A4">
              <w:rPr>
                <w:sz w:val="20"/>
                <w:szCs w:val="20"/>
              </w:rPr>
              <w:t>10.1</w:t>
            </w:r>
          </w:p>
        </w:tc>
        <w:tc>
          <w:tcPr>
            <w:tcW w:w="725" w:type="pct"/>
          </w:tcPr>
          <w:p w14:paraId="4C3DD0C2" w14:textId="77777777" w:rsidR="009D4403" w:rsidRPr="002000A4" w:rsidRDefault="009D4403" w:rsidP="002000A4">
            <w:pPr>
              <w:rPr>
                <w:sz w:val="20"/>
                <w:szCs w:val="20"/>
              </w:rPr>
            </w:pPr>
            <w:r w:rsidRPr="002000A4">
              <w:rPr>
                <w:sz w:val="20"/>
                <w:szCs w:val="20"/>
              </w:rPr>
              <w:t>6</w:t>
            </w:r>
          </w:p>
        </w:tc>
        <w:tc>
          <w:tcPr>
            <w:tcW w:w="725" w:type="pct"/>
          </w:tcPr>
          <w:p w14:paraId="4C3DD0C3" w14:textId="77777777" w:rsidR="009D4403" w:rsidRPr="002000A4" w:rsidRDefault="009D4403" w:rsidP="002000A4">
            <w:pPr>
              <w:rPr>
                <w:sz w:val="20"/>
                <w:szCs w:val="20"/>
              </w:rPr>
            </w:pPr>
            <w:r w:rsidRPr="002000A4">
              <w:rPr>
                <w:sz w:val="20"/>
                <w:szCs w:val="20"/>
              </w:rPr>
              <w:t>4</w:t>
            </w:r>
          </w:p>
        </w:tc>
      </w:tr>
      <w:tr w:rsidR="009D4403" w:rsidRPr="002000A4" w14:paraId="4C3DD0CC" w14:textId="77777777" w:rsidTr="006A59AC">
        <w:trPr>
          <w:trHeight w:val="227"/>
        </w:trPr>
        <w:tc>
          <w:tcPr>
            <w:tcW w:w="725" w:type="pct"/>
            <w:vMerge/>
          </w:tcPr>
          <w:p w14:paraId="4C3DD0C5" w14:textId="77777777" w:rsidR="009D4403" w:rsidRPr="002000A4" w:rsidRDefault="009D4403" w:rsidP="002000A4">
            <w:pPr>
              <w:rPr>
                <w:kern w:val="2"/>
                <w:sz w:val="20"/>
                <w:szCs w:val="20"/>
              </w:rPr>
            </w:pPr>
          </w:p>
        </w:tc>
        <w:tc>
          <w:tcPr>
            <w:tcW w:w="725" w:type="pct"/>
            <w:vMerge/>
          </w:tcPr>
          <w:p w14:paraId="4C3DD0C6" w14:textId="77777777" w:rsidR="009D4403" w:rsidRPr="002000A4" w:rsidRDefault="009D4403" w:rsidP="002000A4">
            <w:pPr>
              <w:rPr>
                <w:kern w:val="2"/>
                <w:sz w:val="20"/>
                <w:szCs w:val="20"/>
              </w:rPr>
            </w:pPr>
          </w:p>
        </w:tc>
        <w:tc>
          <w:tcPr>
            <w:tcW w:w="725" w:type="pct"/>
          </w:tcPr>
          <w:p w14:paraId="4C3DD0C7" w14:textId="77777777" w:rsidR="009D4403" w:rsidRPr="002000A4" w:rsidRDefault="009D4403" w:rsidP="002000A4">
            <w:pPr>
              <w:rPr>
                <w:sz w:val="20"/>
                <w:szCs w:val="20"/>
              </w:rPr>
            </w:pPr>
            <w:r w:rsidRPr="002000A4">
              <w:rPr>
                <w:sz w:val="20"/>
                <w:szCs w:val="20"/>
              </w:rPr>
              <w:t>1000</w:t>
            </w:r>
          </w:p>
        </w:tc>
        <w:tc>
          <w:tcPr>
            <w:tcW w:w="725" w:type="pct"/>
          </w:tcPr>
          <w:p w14:paraId="4C3DD0C8" w14:textId="77777777" w:rsidR="009D4403" w:rsidRPr="002000A4" w:rsidRDefault="009D4403" w:rsidP="002000A4">
            <w:pPr>
              <w:rPr>
                <w:sz w:val="20"/>
                <w:szCs w:val="20"/>
              </w:rPr>
            </w:pPr>
            <w:r w:rsidRPr="002000A4">
              <w:rPr>
                <w:sz w:val="20"/>
                <w:szCs w:val="20"/>
              </w:rPr>
              <w:t>1.24</w:t>
            </w:r>
          </w:p>
        </w:tc>
        <w:tc>
          <w:tcPr>
            <w:tcW w:w="725" w:type="pct"/>
          </w:tcPr>
          <w:p w14:paraId="4C3DD0C9" w14:textId="77777777" w:rsidR="009D4403" w:rsidRPr="002000A4" w:rsidRDefault="009D4403" w:rsidP="002000A4">
            <w:pPr>
              <w:rPr>
                <w:sz w:val="20"/>
                <w:szCs w:val="20"/>
              </w:rPr>
            </w:pPr>
            <w:r w:rsidRPr="002000A4">
              <w:rPr>
                <w:sz w:val="20"/>
                <w:szCs w:val="20"/>
              </w:rPr>
              <w:t>17.3</w:t>
            </w:r>
          </w:p>
        </w:tc>
        <w:tc>
          <w:tcPr>
            <w:tcW w:w="725" w:type="pct"/>
          </w:tcPr>
          <w:p w14:paraId="4C3DD0CA" w14:textId="77777777" w:rsidR="009D4403" w:rsidRPr="002000A4" w:rsidRDefault="009D4403" w:rsidP="002000A4">
            <w:pPr>
              <w:rPr>
                <w:sz w:val="20"/>
                <w:szCs w:val="20"/>
              </w:rPr>
            </w:pPr>
            <w:r w:rsidRPr="002000A4">
              <w:rPr>
                <w:sz w:val="20"/>
                <w:szCs w:val="20"/>
              </w:rPr>
              <w:t>8</w:t>
            </w:r>
          </w:p>
        </w:tc>
        <w:tc>
          <w:tcPr>
            <w:tcW w:w="725" w:type="pct"/>
          </w:tcPr>
          <w:p w14:paraId="4C3DD0CB" w14:textId="77777777" w:rsidR="009D4403" w:rsidRPr="002000A4" w:rsidRDefault="009D4403" w:rsidP="002000A4">
            <w:pPr>
              <w:rPr>
                <w:sz w:val="20"/>
                <w:szCs w:val="20"/>
              </w:rPr>
            </w:pPr>
            <w:r w:rsidRPr="002000A4">
              <w:rPr>
                <w:sz w:val="20"/>
                <w:szCs w:val="20"/>
              </w:rPr>
              <w:t>7</w:t>
            </w:r>
          </w:p>
        </w:tc>
      </w:tr>
      <w:tr w:rsidR="009D4403" w:rsidRPr="002000A4" w14:paraId="4C3DD0D4" w14:textId="77777777" w:rsidTr="006A59AC">
        <w:trPr>
          <w:trHeight w:val="227"/>
        </w:trPr>
        <w:tc>
          <w:tcPr>
            <w:tcW w:w="725" w:type="pct"/>
            <w:vMerge/>
          </w:tcPr>
          <w:p w14:paraId="4C3DD0CD" w14:textId="77777777" w:rsidR="009D4403" w:rsidRPr="002000A4" w:rsidRDefault="009D4403" w:rsidP="002000A4">
            <w:pPr>
              <w:rPr>
                <w:kern w:val="2"/>
                <w:sz w:val="20"/>
                <w:szCs w:val="20"/>
              </w:rPr>
            </w:pPr>
          </w:p>
        </w:tc>
        <w:tc>
          <w:tcPr>
            <w:tcW w:w="725" w:type="pct"/>
            <w:vMerge w:val="restart"/>
          </w:tcPr>
          <w:p w14:paraId="4C3DD0CE" w14:textId="77777777" w:rsidR="009D4403" w:rsidRPr="002000A4" w:rsidRDefault="009D4403" w:rsidP="002000A4">
            <w:pPr>
              <w:rPr>
                <w:kern w:val="2"/>
                <w:sz w:val="20"/>
                <w:szCs w:val="20"/>
              </w:rPr>
            </w:pPr>
            <w:r w:rsidRPr="002000A4">
              <w:rPr>
                <w:kern w:val="2"/>
                <w:sz w:val="20"/>
                <w:szCs w:val="20"/>
              </w:rPr>
              <w:t>6 months</w:t>
            </w:r>
          </w:p>
        </w:tc>
        <w:tc>
          <w:tcPr>
            <w:tcW w:w="725" w:type="pct"/>
          </w:tcPr>
          <w:p w14:paraId="4C3DD0CF" w14:textId="77777777" w:rsidR="009D4403" w:rsidRPr="002000A4" w:rsidRDefault="009D4403" w:rsidP="002000A4">
            <w:pPr>
              <w:rPr>
                <w:sz w:val="20"/>
                <w:szCs w:val="20"/>
              </w:rPr>
            </w:pPr>
            <w:r w:rsidRPr="002000A4">
              <w:rPr>
                <w:sz w:val="20"/>
                <w:szCs w:val="20"/>
              </w:rPr>
              <w:t>30</w:t>
            </w:r>
          </w:p>
        </w:tc>
        <w:tc>
          <w:tcPr>
            <w:tcW w:w="725" w:type="pct"/>
          </w:tcPr>
          <w:p w14:paraId="4C3DD0D0" w14:textId="77777777" w:rsidR="009D4403" w:rsidRPr="002000A4" w:rsidRDefault="009D4403" w:rsidP="002000A4">
            <w:pPr>
              <w:rPr>
                <w:sz w:val="20"/>
                <w:szCs w:val="20"/>
              </w:rPr>
            </w:pPr>
            <w:r w:rsidRPr="002000A4">
              <w:rPr>
                <w:sz w:val="20"/>
                <w:szCs w:val="20"/>
              </w:rPr>
              <w:t>0.45</w:t>
            </w:r>
          </w:p>
        </w:tc>
        <w:tc>
          <w:tcPr>
            <w:tcW w:w="725" w:type="pct"/>
          </w:tcPr>
          <w:p w14:paraId="4C3DD0D1" w14:textId="77777777" w:rsidR="009D4403" w:rsidRPr="002000A4" w:rsidRDefault="009D4403" w:rsidP="002000A4">
            <w:pPr>
              <w:rPr>
                <w:sz w:val="20"/>
                <w:szCs w:val="20"/>
              </w:rPr>
            </w:pPr>
            <w:r w:rsidRPr="002000A4">
              <w:rPr>
                <w:sz w:val="20"/>
                <w:szCs w:val="20"/>
              </w:rPr>
              <w:t>3.64</w:t>
            </w:r>
          </w:p>
        </w:tc>
        <w:tc>
          <w:tcPr>
            <w:tcW w:w="725" w:type="pct"/>
          </w:tcPr>
          <w:p w14:paraId="4C3DD0D2" w14:textId="77777777" w:rsidR="009D4403" w:rsidRPr="002000A4" w:rsidRDefault="009D4403" w:rsidP="002000A4">
            <w:pPr>
              <w:rPr>
                <w:sz w:val="20"/>
                <w:szCs w:val="20"/>
              </w:rPr>
            </w:pPr>
            <w:r w:rsidRPr="002000A4">
              <w:rPr>
                <w:sz w:val="20"/>
                <w:szCs w:val="20"/>
              </w:rPr>
              <w:t>3</w:t>
            </w:r>
          </w:p>
        </w:tc>
        <w:tc>
          <w:tcPr>
            <w:tcW w:w="725" w:type="pct"/>
          </w:tcPr>
          <w:p w14:paraId="4C3DD0D3" w14:textId="77777777" w:rsidR="009D4403" w:rsidRPr="002000A4" w:rsidRDefault="009D4403" w:rsidP="002000A4">
            <w:pPr>
              <w:rPr>
                <w:sz w:val="20"/>
                <w:szCs w:val="20"/>
              </w:rPr>
            </w:pPr>
            <w:r w:rsidRPr="002000A4">
              <w:rPr>
                <w:sz w:val="20"/>
                <w:szCs w:val="20"/>
              </w:rPr>
              <w:t>1.5</w:t>
            </w:r>
          </w:p>
        </w:tc>
      </w:tr>
      <w:tr w:rsidR="009D4403" w:rsidRPr="002000A4" w14:paraId="4C3DD0DC" w14:textId="77777777" w:rsidTr="006A59AC">
        <w:trPr>
          <w:trHeight w:val="227"/>
        </w:trPr>
        <w:tc>
          <w:tcPr>
            <w:tcW w:w="725" w:type="pct"/>
            <w:vMerge/>
          </w:tcPr>
          <w:p w14:paraId="4C3DD0D5" w14:textId="77777777" w:rsidR="009D4403" w:rsidRPr="002000A4" w:rsidRDefault="009D4403" w:rsidP="002000A4">
            <w:pPr>
              <w:rPr>
                <w:kern w:val="2"/>
                <w:sz w:val="20"/>
                <w:szCs w:val="20"/>
              </w:rPr>
            </w:pPr>
          </w:p>
        </w:tc>
        <w:tc>
          <w:tcPr>
            <w:tcW w:w="725" w:type="pct"/>
            <w:vMerge/>
          </w:tcPr>
          <w:p w14:paraId="4C3DD0D6" w14:textId="77777777" w:rsidR="009D4403" w:rsidRPr="002000A4" w:rsidRDefault="009D4403" w:rsidP="002000A4">
            <w:pPr>
              <w:rPr>
                <w:kern w:val="2"/>
                <w:sz w:val="20"/>
                <w:szCs w:val="20"/>
              </w:rPr>
            </w:pPr>
          </w:p>
        </w:tc>
        <w:tc>
          <w:tcPr>
            <w:tcW w:w="725" w:type="pct"/>
          </w:tcPr>
          <w:p w14:paraId="4C3DD0D7" w14:textId="77777777" w:rsidR="009D4403" w:rsidRPr="002000A4" w:rsidRDefault="009D4403" w:rsidP="002000A4">
            <w:pPr>
              <w:rPr>
                <w:sz w:val="20"/>
                <w:szCs w:val="20"/>
              </w:rPr>
            </w:pPr>
            <w:r w:rsidRPr="002000A4">
              <w:rPr>
                <w:sz w:val="20"/>
                <w:szCs w:val="20"/>
              </w:rPr>
              <w:t>300</w:t>
            </w:r>
          </w:p>
        </w:tc>
        <w:tc>
          <w:tcPr>
            <w:tcW w:w="725" w:type="pct"/>
          </w:tcPr>
          <w:p w14:paraId="4C3DD0D8" w14:textId="77777777" w:rsidR="009D4403" w:rsidRPr="002000A4" w:rsidRDefault="009D4403" w:rsidP="002000A4">
            <w:pPr>
              <w:rPr>
                <w:sz w:val="20"/>
                <w:szCs w:val="20"/>
              </w:rPr>
            </w:pPr>
            <w:r w:rsidRPr="002000A4">
              <w:rPr>
                <w:sz w:val="20"/>
                <w:szCs w:val="20"/>
              </w:rPr>
              <w:t>1.16</w:t>
            </w:r>
          </w:p>
        </w:tc>
        <w:tc>
          <w:tcPr>
            <w:tcW w:w="725" w:type="pct"/>
          </w:tcPr>
          <w:p w14:paraId="4C3DD0D9" w14:textId="77777777" w:rsidR="009D4403" w:rsidRPr="002000A4" w:rsidRDefault="009D4403" w:rsidP="002000A4">
            <w:pPr>
              <w:rPr>
                <w:sz w:val="20"/>
                <w:szCs w:val="20"/>
              </w:rPr>
            </w:pPr>
            <w:r w:rsidRPr="002000A4">
              <w:rPr>
                <w:sz w:val="20"/>
                <w:szCs w:val="20"/>
              </w:rPr>
              <w:t>15.1</w:t>
            </w:r>
          </w:p>
        </w:tc>
        <w:tc>
          <w:tcPr>
            <w:tcW w:w="725" w:type="pct"/>
          </w:tcPr>
          <w:p w14:paraId="4C3DD0DA" w14:textId="77777777" w:rsidR="009D4403" w:rsidRPr="002000A4" w:rsidRDefault="009D4403" w:rsidP="002000A4">
            <w:pPr>
              <w:rPr>
                <w:sz w:val="20"/>
                <w:szCs w:val="20"/>
              </w:rPr>
            </w:pPr>
            <w:r w:rsidRPr="002000A4">
              <w:rPr>
                <w:sz w:val="20"/>
                <w:szCs w:val="20"/>
              </w:rPr>
              <w:t>8</w:t>
            </w:r>
          </w:p>
        </w:tc>
        <w:tc>
          <w:tcPr>
            <w:tcW w:w="725" w:type="pct"/>
          </w:tcPr>
          <w:p w14:paraId="4C3DD0DB" w14:textId="77777777" w:rsidR="009D4403" w:rsidRPr="002000A4" w:rsidRDefault="009D4403" w:rsidP="002000A4">
            <w:pPr>
              <w:rPr>
                <w:sz w:val="20"/>
                <w:szCs w:val="20"/>
              </w:rPr>
            </w:pPr>
            <w:r w:rsidRPr="002000A4">
              <w:rPr>
                <w:sz w:val="20"/>
                <w:szCs w:val="20"/>
              </w:rPr>
              <w:t>6</w:t>
            </w:r>
          </w:p>
        </w:tc>
      </w:tr>
      <w:tr w:rsidR="009D4403" w:rsidRPr="002000A4" w14:paraId="4C3DD0E4" w14:textId="77777777" w:rsidTr="006A59AC">
        <w:trPr>
          <w:trHeight w:val="227"/>
        </w:trPr>
        <w:tc>
          <w:tcPr>
            <w:tcW w:w="725" w:type="pct"/>
            <w:vMerge/>
          </w:tcPr>
          <w:p w14:paraId="4C3DD0DD" w14:textId="77777777" w:rsidR="009D4403" w:rsidRPr="002000A4" w:rsidRDefault="009D4403" w:rsidP="002000A4">
            <w:pPr>
              <w:rPr>
                <w:kern w:val="2"/>
                <w:sz w:val="20"/>
                <w:szCs w:val="20"/>
              </w:rPr>
            </w:pPr>
          </w:p>
        </w:tc>
        <w:tc>
          <w:tcPr>
            <w:tcW w:w="725" w:type="pct"/>
            <w:vMerge/>
          </w:tcPr>
          <w:p w14:paraId="4C3DD0DE" w14:textId="77777777" w:rsidR="009D4403" w:rsidRPr="002000A4" w:rsidRDefault="009D4403" w:rsidP="002000A4">
            <w:pPr>
              <w:rPr>
                <w:kern w:val="2"/>
                <w:sz w:val="20"/>
                <w:szCs w:val="20"/>
              </w:rPr>
            </w:pPr>
          </w:p>
        </w:tc>
        <w:tc>
          <w:tcPr>
            <w:tcW w:w="725" w:type="pct"/>
          </w:tcPr>
          <w:p w14:paraId="4C3DD0DF" w14:textId="77777777" w:rsidR="009D4403" w:rsidRPr="002000A4" w:rsidRDefault="009D4403" w:rsidP="002000A4">
            <w:pPr>
              <w:rPr>
                <w:sz w:val="20"/>
                <w:szCs w:val="20"/>
              </w:rPr>
            </w:pPr>
            <w:r w:rsidRPr="002000A4">
              <w:rPr>
                <w:sz w:val="20"/>
                <w:szCs w:val="20"/>
              </w:rPr>
              <w:t>1000</w:t>
            </w:r>
          </w:p>
        </w:tc>
        <w:tc>
          <w:tcPr>
            <w:tcW w:w="725" w:type="pct"/>
          </w:tcPr>
          <w:p w14:paraId="4C3DD0E0" w14:textId="77777777" w:rsidR="009D4403" w:rsidRPr="002000A4" w:rsidRDefault="009D4403" w:rsidP="002000A4">
            <w:pPr>
              <w:rPr>
                <w:sz w:val="20"/>
                <w:szCs w:val="20"/>
              </w:rPr>
            </w:pPr>
            <w:r w:rsidRPr="002000A4">
              <w:rPr>
                <w:sz w:val="20"/>
                <w:szCs w:val="20"/>
              </w:rPr>
              <w:t>1.55</w:t>
            </w:r>
          </w:p>
        </w:tc>
        <w:tc>
          <w:tcPr>
            <w:tcW w:w="725" w:type="pct"/>
          </w:tcPr>
          <w:p w14:paraId="4C3DD0E1" w14:textId="77777777" w:rsidR="009D4403" w:rsidRPr="002000A4" w:rsidRDefault="009D4403" w:rsidP="002000A4">
            <w:pPr>
              <w:rPr>
                <w:sz w:val="20"/>
                <w:szCs w:val="20"/>
              </w:rPr>
            </w:pPr>
            <w:r w:rsidRPr="002000A4">
              <w:rPr>
                <w:sz w:val="20"/>
                <w:szCs w:val="20"/>
              </w:rPr>
              <w:t>22.0</w:t>
            </w:r>
          </w:p>
        </w:tc>
        <w:tc>
          <w:tcPr>
            <w:tcW w:w="725" w:type="pct"/>
          </w:tcPr>
          <w:p w14:paraId="4C3DD0E2" w14:textId="77777777" w:rsidR="009D4403" w:rsidRPr="002000A4" w:rsidRDefault="009D4403" w:rsidP="002000A4">
            <w:pPr>
              <w:rPr>
                <w:sz w:val="20"/>
                <w:szCs w:val="20"/>
              </w:rPr>
            </w:pPr>
            <w:r w:rsidRPr="002000A4">
              <w:rPr>
                <w:sz w:val="20"/>
                <w:szCs w:val="20"/>
              </w:rPr>
              <w:t>10</w:t>
            </w:r>
          </w:p>
        </w:tc>
        <w:tc>
          <w:tcPr>
            <w:tcW w:w="725" w:type="pct"/>
          </w:tcPr>
          <w:p w14:paraId="4C3DD0E3" w14:textId="77777777" w:rsidR="009D4403" w:rsidRPr="002000A4" w:rsidRDefault="009D4403" w:rsidP="002000A4">
            <w:pPr>
              <w:rPr>
                <w:sz w:val="20"/>
                <w:szCs w:val="20"/>
              </w:rPr>
            </w:pPr>
            <w:r w:rsidRPr="002000A4">
              <w:rPr>
                <w:sz w:val="20"/>
                <w:szCs w:val="20"/>
              </w:rPr>
              <w:t>9</w:t>
            </w:r>
          </w:p>
        </w:tc>
      </w:tr>
      <w:tr w:rsidR="009D4403" w:rsidRPr="002000A4" w14:paraId="4C3DD0EC" w14:textId="77777777" w:rsidTr="006A59AC">
        <w:trPr>
          <w:trHeight w:val="227"/>
        </w:trPr>
        <w:tc>
          <w:tcPr>
            <w:tcW w:w="725" w:type="pct"/>
            <w:vMerge w:val="restart"/>
          </w:tcPr>
          <w:p w14:paraId="4C3DD0E5" w14:textId="77777777" w:rsidR="009D4403" w:rsidRPr="002000A4" w:rsidRDefault="009D4403" w:rsidP="002000A4">
            <w:pPr>
              <w:rPr>
                <w:kern w:val="2"/>
                <w:sz w:val="20"/>
                <w:szCs w:val="20"/>
              </w:rPr>
            </w:pPr>
            <w:r w:rsidRPr="002000A4">
              <w:rPr>
                <w:kern w:val="2"/>
                <w:sz w:val="20"/>
                <w:szCs w:val="20"/>
              </w:rPr>
              <w:t>Dog</w:t>
            </w:r>
          </w:p>
        </w:tc>
        <w:tc>
          <w:tcPr>
            <w:tcW w:w="725" w:type="pct"/>
            <w:vMerge w:val="restart"/>
          </w:tcPr>
          <w:p w14:paraId="4C3DD0E6" w14:textId="77777777" w:rsidR="009D4403" w:rsidRPr="002000A4" w:rsidRDefault="009D4403" w:rsidP="002000A4">
            <w:pPr>
              <w:rPr>
                <w:kern w:val="2"/>
                <w:sz w:val="20"/>
                <w:szCs w:val="20"/>
              </w:rPr>
            </w:pPr>
            <w:r w:rsidRPr="002000A4">
              <w:rPr>
                <w:kern w:val="2"/>
                <w:sz w:val="20"/>
                <w:szCs w:val="20"/>
              </w:rPr>
              <w:t>3 months</w:t>
            </w:r>
          </w:p>
        </w:tc>
        <w:tc>
          <w:tcPr>
            <w:tcW w:w="725" w:type="pct"/>
          </w:tcPr>
          <w:p w14:paraId="4C3DD0E7" w14:textId="77777777" w:rsidR="009D4403" w:rsidRPr="002000A4" w:rsidRDefault="009D4403" w:rsidP="002000A4">
            <w:pPr>
              <w:rPr>
                <w:sz w:val="20"/>
                <w:szCs w:val="20"/>
              </w:rPr>
            </w:pPr>
            <w:r w:rsidRPr="002000A4">
              <w:rPr>
                <w:sz w:val="20"/>
                <w:szCs w:val="20"/>
              </w:rPr>
              <w:t>2</w:t>
            </w:r>
          </w:p>
        </w:tc>
        <w:tc>
          <w:tcPr>
            <w:tcW w:w="725" w:type="pct"/>
          </w:tcPr>
          <w:p w14:paraId="4C3DD0E8" w14:textId="77777777" w:rsidR="009D4403" w:rsidRPr="002000A4" w:rsidRDefault="009D4403" w:rsidP="002000A4">
            <w:pPr>
              <w:rPr>
                <w:sz w:val="20"/>
                <w:szCs w:val="20"/>
              </w:rPr>
            </w:pPr>
            <w:r w:rsidRPr="002000A4">
              <w:rPr>
                <w:sz w:val="20"/>
                <w:szCs w:val="20"/>
              </w:rPr>
              <w:t>0.03</w:t>
            </w:r>
          </w:p>
        </w:tc>
        <w:tc>
          <w:tcPr>
            <w:tcW w:w="725" w:type="pct"/>
          </w:tcPr>
          <w:p w14:paraId="4C3DD0E9" w14:textId="77777777" w:rsidR="009D4403" w:rsidRPr="002000A4" w:rsidRDefault="009D4403" w:rsidP="002000A4">
            <w:pPr>
              <w:rPr>
                <w:sz w:val="20"/>
                <w:szCs w:val="20"/>
              </w:rPr>
            </w:pPr>
            <w:r w:rsidRPr="002000A4">
              <w:rPr>
                <w:sz w:val="20"/>
                <w:szCs w:val="20"/>
              </w:rPr>
              <w:t>0.13</w:t>
            </w:r>
          </w:p>
        </w:tc>
        <w:tc>
          <w:tcPr>
            <w:tcW w:w="725" w:type="pct"/>
          </w:tcPr>
          <w:p w14:paraId="4C3DD0EA" w14:textId="77777777" w:rsidR="009D4403" w:rsidRPr="002000A4" w:rsidRDefault="009D4403" w:rsidP="002000A4">
            <w:pPr>
              <w:rPr>
                <w:sz w:val="20"/>
                <w:szCs w:val="20"/>
              </w:rPr>
            </w:pPr>
            <w:r w:rsidRPr="002000A4">
              <w:rPr>
                <w:sz w:val="20"/>
                <w:szCs w:val="20"/>
              </w:rPr>
              <w:t>0.2</w:t>
            </w:r>
          </w:p>
        </w:tc>
        <w:tc>
          <w:tcPr>
            <w:tcW w:w="725" w:type="pct"/>
          </w:tcPr>
          <w:p w14:paraId="4C3DD0EB" w14:textId="77777777" w:rsidR="009D4403" w:rsidRPr="002000A4" w:rsidRDefault="009D4403" w:rsidP="002000A4">
            <w:pPr>
              <w:rPr>
                <w:sz w:val="20"/>
                <w:szCs w:val="20"/>
              </w:rPr>
            </w:pPr>
            <w:r w:rsidRPr="002000A4">
              <w:rPr>
                <w:sz w:val="20"/>
                <w:szCs w:val="20"/>
              </w:rPr>
              <w:t>0.1</w:t>
            </w:r>
          </w:p>
        </w:tc>
      </w:tr>
      <w:tr w:rsidR="009D4403" w:rsidRPr="002000A4" w14:paraId="4C3DD0F4" w14:textId="77777777" w:rsidTr="006A59AC">
        <w:trPr>
          <w:trHeight w:val="227"/>
        </w:trPr>
        <w:tc>
          <w:tcPr>
            <w:tcW w:w="725" w:type="pct"/>
            <w:vMerge/>
          </w:tcPr>
          <w:p w14:paraId="4C3DD0ED" w14:textId="77777777" w:rsidR="009D4403" w:rsidRPr="002000A4" w:rsidRDefault="009D4403" w:rsidP="002000A4">
            <w:pPr>
              <w:rPr>
                <w:kern w:val="2"/>
                <w:sz w:val="20"/>
                <w:szCs w:val="20"/>
              </w:rPr>
            </w:pPr>
          </w:p>
        </w:tc>
        <w:tc>
          <w:tcPr>
            <w:tcW w:w="725" w:type="pct"/>
            <w:vMerge/>
          </w:tcPr>
          <w:p w14:paraId="4C3DD0EE" w14:textId="77777777" w:rsidR="009D4403" w:rsidRPr="002000A4" w:rsidRDefault="009D4403" w:rsidP="002000A4">
            <w:pPr>
              <w:rPr>
                <w:kern w:val="2"/>
                <w:sz w:val="20"/>
                <w:szCs w:val="20"/>
              </w:rPr>
            </w:pPr>
          </w:p>
        </w:tc>
        <w:tc>
          <w:tcPr>
            <w:tcW w:w="725" w:type="pct"/>
          </w:tcPr>
          <w:p w14:paraId="4C3DD0EF" w14:textId="77777777" w:rsidR="009D4403" w:rsidRPr="002000A4" w:rsidRDefault="009D4403" w:rsidP="002000A4">
            <w:pPr>
              <w:rPr>
                <w:sz w:val="20"/>
                <w:szCs w:val="20"/>
              </w:rPr>
            </w:pPr>
            <w:r w:rsidRPr="002000A4">
              <w:rPr>
                <w:sz w:val="20"/>
                <w:szCs w:val="20"/>
              </w:rPr>
              <w:t>25</w:t>
            </w:r>
          </w:p>
        </w:tc>
        <w:tc>
          <w:tcPr>
            <w:tcW w:w="725" w:type="pct"/>
          </w:tcPr>
          <w:p w14:paraId="4C3DD0F0" w14:textId="77777777" w:rsidR="009D4403" w:rsidRPr="002000A4" w:rsidRDefault="009D4403" w:rsidP="002000A4">
            <w:pPr>
              <w:rPr>
                <w:sz w:val="20"/>
                <w:szCs w:val="20"/>
              </w:rPr>
            </w:pPr>
            <w:r w:rsidRPr="002000A4">
              <w:rPr>
                <w:sz w:val="20"/>
                <w:szCs w:val="20"/>
              </w:rPr>
              <w:t>0.53</w:t>
            </w:r>
          </w:p>
        </w:tc>
        <w:tc>
          <w:tcPr>
            <w:tcW w:w="725" w:type="pct"/>
          </w:tcPr>
          <w:p w14:paraId="4C3DD0F1" w14:textId="77777777" w:rsidR="009D4403" w:rsidRPr="002000A4" w:rsidRDefault="009D4403" w:rsidP="002000A4">
            <w:pPr>
              <w:rPr>
                <w:sz w:val="20"/>
                <w:szCs w:val="20"/>
              </w:rPr>
            </w:pPr>
            <w:r w:rsidRPr="002000A4">
              <w:rPr>
                <w:sz w:val="20"/>
                <w:szCs w:val="20"/>
              </w:rPr>
              <w:t>5.28</w:t>
            </w:r>
          </w:p>
        </w:tc>
        <w:tc>
          <w:tcPr>
            <w:tcW w:w="725" w:type="pct"/>
          </w:tcPr>
          <w:p w14:paraId="4C3DD0F2" w14:textId="77777777" w:rsidR="009D4403" w:rsidRPr="002000A4" w:rsidRDefault="009D4403" w:rsidP="002000A4">
            <w:pPr>
              <w:rPr>
                <w:sz w:val="20"/>
                <w:szCs w:val="20"/>
              </w:rPr>
            </w:pPr>
            <w:r w:rsidRPr="002000A4">
              <w:rPr>
                <w:sz w:val="20"/>
                <w:szCs w:val="20"/>
              </w:rPr>
              <w:t>4</w:t>
            </w:r>
          </w:p>
        </w:tc>
        <w:tc>
          <w:tcPr>
            <w:tcW w:w="725" w:type="pct"/>
          </w:tcPr>
          <w:p w14:paraId="4C3DD0F3" w14:textId="77777777" w:rsidR="009D4403" w:rsidRPr="002000A4" w:rsidRDefault="009D4403" w:rsidP="002000A4">
            <w:pPr>
              <w:rPr>
                <w:sz w:val="20"/>
                <w:szCs w:val="20"/>
              </w:rPr>
            </w:pPr>
            <w:r w:rsidRPr="002000A4">
              <w:rPr>
                <w:sz w:val="20"/>
                <w:szCs w:val="20"/>
              </w:rPr>
              <w:t>2.2</w:t>
            </w:r>
          </w:p>
        </w:tc>
      </w:tr>
      <w:tr w:rsidR="009D4403" w:rsidRPr="002000A4" w14:paraId="4C3DD0FC" w14:textId="77777777" w:rsidTr="006A59AC">
        <w:trPr>
          <w:trHeight w:val="227"/>
        </w:trPr>
        <w:tc>
          <w:tcPr>
            <w:tcW w:w="725" w:type="pct"/>
            <w:vMerge/>
          </w:tcPr>
          <w:p w14:paraId="4C3DD0F5" w14:textId="77777777" w:rsidR="009D4403" w:rsidRPr="002000A4" w:rsidRDefault="009D4403" w:rsidP="002000A4">
            <w:pPr>
              <w:rPr>
                <w:kern w:val="2"/>
                <w:sz w:val="20"/>
                <w:szCs w:val="20"/>
              </w:rPr>
            </w:pPr>
          </w:p>
        </w:tc>
        <w:tc>
          <w:tcPr>
            <w:tcW w:w="725" w:type="pct"/>
            <w:vMerge/>
          </w:tcPr>
          <w:p w14:paraId="4C3DD0F6" w14:textId="77777777" w:rsidR="009D4403" w:rsidRPr="002000A4" w:rsidRDefault="009D4403" w:rsidP="002000A4">
            <w:pPr>
              <w:rPr>
                <w:kern w:val="2"/>
                <w:sz w:val="20"/>
                <w:szCs w:val="20"/>
              </w:rPr>
            </w:pPr>
          </w:p>
        </w:tc>
        <w:tc>
          <w:tcPr>
            <w:tcW w:w="725" w:type="pct"/>
          </w:tcPr>
          <w:p w14:paraId="4C3DD0F7" w14:textId="77777777" w:rsidR="009D4403" w:rsidRPr="002000A4" w:rsidRDefault="009D4403" w:rsidP="002000A4">
            <w:pPr>
              <w:rPr>
                <w:sz w:val="20"/>
                <w:szCs w:val="20"/>
              </w:rPr>
            </w:pPr>
            <w:r w:rsidRPr="002000A4">
              <w:rPr>
                <w:sz w:val="20"/>
                <w:szCs w:val="20"/>
              </w:rPr>
              <w:t>1000</w:t>
            </w:r>
          </w:p>
        </w:tc>
        <w:tc>
          <w:tcPr>
            <w:tcW w:w="725" w:type="pct"/>
          </w:tcPr>
          <w:p w14:paraId="4C3DD0F8" w14:textId="77777777" w:rsidR="009D4403" w:rsidRPr="002000A4" w:rsidRDefault="009D4403" w:rsidP="002000A4">
            <w:pPr>
              <w:rPr>
                <w:sz w:val="20"/>
                <w:szCs w:val="20"/>
              </w:rPr>
            </w:pPr>
            <w:r w:rsidRPr="002000A4">
              <w:rPr>
                <w:sz w:val="20"/>
                <w:szCs w:val="20"/>
              </w:rPr>
              <w:t>1.16</w:t>
            </w:r>
          </w:p>
        </w:tc>
        <w:tc>
          <w:tcPr>
            <w:tcW w:w="725" w:type="pct"/>
          </w:tcPr>
          <w:p w14:paraId="4C3DD0F9" w14:textId="77777777" w:rsidR="009D4403" w:rsidRPr="002000A4" w:rsidRDefault="009D4403" w:rsidP="002000A4">
            <w:pPr>
              <w:rPr>
                <w:sz w:val="20"/>
                <w:szCs w:val="20"/>
              </w:rPr>
            </w:pPr>
            <w:r w:rsidRPr="002000A4">
              <w:rPr>
                <w:sz w:val="20"/>
                <w:szCs w:val="20"/>
              </w:rPr>
              <w:t>19.3</w:t>
            </w:r>
          </w:p>
        </w:tc>
        <w:tc>
          <w:tcPr>
            <w:tcW w:w="725" w:type="pct"/>
          </w:tcPr>
          <w:p w14:paraId="4C3DD0FA" w14:textId="77777777" w:rsidR="009D4403" w:rsidRPr="002000A4" w:rsidRDefault="009D4403" w:rsidP="002000A4">
            <w:pPr>
              <w:rPr>
                <w:sz w:val="20"/>
                <w:szCs w:val="20"/>
              </w:rPr>
            </w:pPr>
            <w:r w:rsidRPr="002000A4">
              <w:rPr>
                <w:sz w:val="20"/>
                <w:szCs w:val="20"/>
              </w:rPr>
              <w:t>8</w:t>
            </w:r>
          </w:p>
        </w:tc>
        <w:tc>
          <w:tcPr>
            <w:tcW w:w="725" w:type="pct"/>
          </w:tcPr>
          <w:p w14:paraId="4C3DD0FB" w14:textId="77777777" w:rsidR="009D4403" w:rsidRPr="002000A4" w:rsidRDefault="009D4403" w:rsidP="002000A4">
            <w:pPr>
              <w:rPr>
                <w:sz w:val="20"/>
                <w:szCs w:val="20"/>
              </w:rPr>
            </w:pPr>
            <w:r w:rsidRPr="002000A4">
              <w:rPr>
                <w:sz w:val="20"/>
                <w:szCs w:val="20"/>
              </w:rPr>
              <w:t>8</w:t>
            </w:r>
          </w:p>
        </w:tc>
      </w:tr>
      <w:tr w:rsidR="009D4403" w:rsidRPr="002000A4" w14:paraId="4C3DD104" w14:textId="77777777" w:rsidTr="006A59AC">
        <w:trPr>
          <w:trHeight w:val="227"/>
        </w:trPr>
        <w:tc>
          <w:tcPr>
            <w:tcW w:w="725" w:type="pct"/>
            <w:vMerge/>
          </w:tcPr>
          <w:p w14:paraId="4C3DD0FD" w14:textId="77777777" w:rsidR="009D4403" w:rsidRPr="002000A4" w:rsidRDefault="009D4403" w:rsidP="002000A4">
            <w:pPr>
              <w:rPr>
                <w:kern w:val="2"/>
                <w:sz w:val="20"/>
                <w:szCs w:val="20"/>
              </w:rPr>
            </w:pPr>
          </w:p>
        </w:tc>
        <w:tc>
          <w:tcPr>
            <w:tcW w:w="725" w:type="pct"/>
            <w:vMerge w:val="restart"/>
          </w:tcPr>
          <w:p w14:paraId="4C3DD0FE" w14:textId="77777777" w:rsidR="009D4403" w:rsidRPr="002000A4" w:rsidRDefault="009D4403" w:rsidP="002000A4">
            <w:pPr>
              <w:rPr>
                <w:kern w:val="2"/>
                <w:sz w:val="20"/>
                <w:szCs w:val="20"/>
              </w:rPr>
            </w:pPr>
            <w:r w:rsidRPr="002000A4">
              <w:rPr>
                <w:kern w:val="2"/>
                <w:sz w:val="20"/>
                <w:szCs w:val="20"/>
              </w:rPr>
              <w:t>9 months</w:t>
            </w:r>
          </w:p>
        </w:tc>
        <w:tc>
          <w:tcPr>
            <w:tcW w:w="725" w:type="pct"/>
          </w:tcPr>
          <w:p w14:paraId="4C3DD0FF" w14:textId="77777777" w:rsidR="009D4403" w:rsidRPr="002000A4" w:rsidRDefault="009D4403" w:rsidP="002000A4">
            <w:pPr>
              <w:rPr>
                <w:sz w:val="20"/>
                <w:szCs w:val="20"/>
              </w:rPr>
            </w:pPr>
            <w:r w:rsidRPr="002000A4">
              <w:rPr>
                <w:sz w:val="20"/>
                <w:szCs w:val="20"/>
              </w:rPr>
              <w:t>5</w:t>
            </w:r>
          </w:p>
        </w:tc>
        <w:tc>
          <w:tcPr>
            <w:tcW w:w="725" w:type="pct"/>
          </w:tcPr>
          <w:p w14:paraId="4C3DD100" w14:textId="77777777" w:rsidR="009D4403" w:rsidRPr="002000A4" w:rsidRDefault="009D4403" w:rsidP="002000A4">
            <w:pPr>
              <w:rPr>
                <w:sz w:val="20"/>
                <w:szCs w:val="20"/>
              </w:rPr>
            </w:pPr>
            <w:r w:rsidRPr="002000A4">
              <w:rPr>
                <w:sz w:val="20"/>
                <w:szCs w:val="20"/>
              </w:rPr>
              <w:t>0.08</w:t>
            </w:r>
          </w:p>
        </w:tc>
        <w:tc>
          <w:tcPr>
            <w:tcW w:w="725" w:type="pct"/>
          </w:tcPr>
          <w:p w14:paraId="4C3DD101" w14:textId="77777777" w:rsidR="009D4403" w:rsidRPr="002000A4" w:rsidRDefault="009D4403" w:rsidP="002000A4">
            <w:pPr>
              <w:rPr>
                <w:sz w:val="20"/>
                <w:szCs w:val="20"/>
              </w:rPr>
            </w:pPr>
            <w:r w:rsidRPr="002000A4">
              <w:rPr>
                <w:sz w:val="20"/>
                <w:szCs w:val="20"/>
              </w:rPr>
              <w:t>0.89</w:t>
            </w:r>
          </w:p>
        </w:tc>
        <w:tc>
          <w:tcPr>
            <w:tcW w:w="725" w:type="pct"/>
          </w:tcPr>
          <w:p w14:paraId="4C3DD102" w14:textId="77777777" w:rsidR="009D4403" w:rsidRPr="002000A4" w:rsidRDefault="009D4403" w:rsidP="002000A4">
            <w:pPr>
              <w:rPr>
                <w:sz w:val="20"/>
                <w:szCs w:val="20"/>
              </w:rPr>
            </w:pPr>
            <w:r w:rsidRPr="002000A4">
              <w:rPr>
                <w:sz w:val="20"/>
                <w:szCs w:val="20"/>
              </w:rPr>
              <w:t>0.5</w:t>
            </w:r>
          </w:p>
        </w:tc>
        <w:tc>
          <w:tcPr>
            <w:tcW w:w="725" w:type="pct"/>
          </w:tcPr>
          <w:p w14:paraId="4C3DD103" w14:textId="77777777" w:rsidR="009D4403" w:rsidRPr="002000A4" w:rsidRDefault="009D4403" w:rsidP="002000A4">
            <w:pPr>
              <w:rPr>
                <w:sz w:val="20"/>
                <w:szCs w:val="20"/>
              </w:rPr>
            </w:pPr>
            <w:r w:rsidRPr="002000A4">
              <w:rPr>
                <w:sz w:val="20"/>
                <w:szCs w:val="20"/>
              </w:rPr>
              <w:t>0.4</w:t>
            </w:r>
          </w:p>
        </w:tc>
      </w:tr>
      <w:tr w:rsidR="009D4403" w:rsidRPr="002000A4" w14:paraId="4C3DD10C" w14:textId="77777777" w:rsidTr="006A59AC">
        <w:trPr>
          <w:trHeight w:val="227"/>
        </w:trPr>
        <w:tc>
          <w:tcPr>
            <w:tcW w:w="725" w:type="pct"/>
            <w:vMerge/>
          </w:tcPr>
          <w:p w14:paraId="4C3DD105" w14:textId="77777777" w:rsidR="009D4403" w:rsidRPr="002000A4" w:rsidRDefault="009D4403" w:rsidP="002000A4">
            <w:pPr>
              <w:rPr>
                <w:kern w:val="2"/>
                <w:sz w:val="20"/>
                <w:szCs w:val="20"/>
              </w:rPr>
            </w:pPr>
          </w:p>
        </w:tc>
        <w:tc>
          <w:tcPr>
            <w:tcW w:w="725" w:type="pct"/>
            <w:vMerge/>
          </w:tcPr>
          <w:p w14:paraId="4C3DD106" w14:textId="77777777" w:rsidR="009D4403" w:rsidRPr="002000A4" w:rsidRDefault="009D4403" w:rsidP="002000A4">
            <w:pPr>
              <w:rPr>
                <w:kern w:val="2"/>
                <w:sz w:val="20"/>
                <w:szCs w:val="20"/>
              </w:rPr>
            </w:pPr>
          </w:p>
        </w:tc>
        <w:tc>
          <w:tcPr>
            <w:tcW w:w="725" w:type="pct"/>
          </w:tcPr>
          <w:p w14:paraId="4C3DD107" w14:textId="77777777" w:rsidR="009D4403" w:rsidRPr="002000A4" w:rsidRDefault="009D4403" w:rsidP="002000A4">
            <w:pPr>
              <w:rPr>
                <w:sz w:val="20"/>
                <w:szCs w:val="20"/>
              </w:rPr>
            </w:pPr>
            <w:r w:rsidRPr="002000A4">
              <w:rPr>
                <w:sz w:val="20"/>
                <w:szCs w:val="20"/>
              </w:rPr>
              <w:t>25</w:t>
            </w:r>
          </w:p>
        </w:tc>
        <w:tc>
          <w:tcPr>
            <w:tcW w:w="725" w:type="pct"/>
          </w:tcPr>
          <w:p w14:paraId="4C3DD108" w14:textId="77777777" w:rsidR="009D4403" w:rsidRPr="002000A4" w:rsidRDefault="009D4403" w:rsidP="002000A4">
            <w:pPr>
              <w:rPr>
                <w:sz w:val="20"/>
                <w:szCs w:val="20"/>
              </w:rPr>
            </w:pPr>
            <w:r w:rsidRPr="002000A4">
              <w:rPr>
                <w:sz w:val="20"/>
                <w:szCs w:val="20"/>
              </w:rPr>
              <w:t>0.47</w:t>
            </w:r>
          </w:p>
        </w:tc>
        <w:tc>
          <w:tcPr>
            <w:tcW w:w="725" w:type="pct"/>
          </w:tcPr>
          <w:p w14:paraId="4C3DD109" w14:textId="77777777" w:rsidR="009D4403" w:rsidRPr="002000A4" w:rsidRDefault="009D4403" w:rsidP="002000A4">
            <w:pPr>
              <w:rPr>
                <w:sz w:val="20"/>
                <w:szCs w:val="20"/>
              </w:rPr>
            </w:pPr>
            <w:r w:rsidRPr="002000A4">
              <w:rPr>
                <w:sz w:val="20"/>
                <w:szCs w:val="20"/>
              </w:rPr>
              <w:t>4.12</w:t>
            </w:r>
          </w:p>
        </w:tc>
        <w:tc>
          <w:tcPr>
            <w:tcW w:w="725" w:type="pct"/>
          </w:tcPr>
          <w:p w14:paraId="4C3DD10A" w14:textId="77777777" w:rsidR="009D4403" w:rsidRPr="002000A4" w:rsidRDefault="009D4403" w:rsidP="002000A4">
            <w:pPr>
              <w:rPr>
                <w:sz w:val="20"/>
                <w:szCs w:val="20"/>
              </w:rPr>
            </w:pPr>
            <w:r w:rsidRPr="002000A4">
              <w:rPr>
                <w:sz w:val="20"/>
                <w:szCs w:val="20"/>
              </w:rPr>
              <w:t>3</w:t>
            </w:r>
          </w:p>
        </w:tc>
        <w:tc>
          <w:tcPr>
            <w:tcW w:w="725" w:type="pct"/>
          </w:tcPr>
          <w:p w14:paraId="4C3DD10B" w14:textId="77777777" w:rsidR="009D4403" w:rsidRPr="002000A4" w:rsidRDefault="009D4403" w:rsidP="002000A4">
            <w:pPr>
              <w:rPr>
                <w:sz w:val="20"/>
                <w:szCs w:val="20"/>
              </w:rPr>
            </w:pPr>
            <w:r w:rsidRPr="002000A4">
              <w:rPr>
                <w:sz w:val="20"/>
                <w:szCs w:val="20"/>
              </w:rPr>
              <w:t>1.7</w:t>
            </w:r>
          </w:p>
        </w:tc>
      </w:tr>
      <w:tr w:rsidR="009D4403" w:rsidRPr="002000A4" w14:paraId="4C3DD114" w14:textId="77777777" w:rsidTr="006A59AC">
        <w:trPr>
          <w:trHeight w:val="227"/>
        </w:trPr>
        <w:tc>
          <w:tcPr>
            <w:tcW w:w="725" w:type="pct"/>
            <w:vMerge/>
          </w:tcPr>
          <w:p w14:paraId="4C3DD10D" w14:textId="77777777" w:rsidR="009D4403" w:rsidRPr="002000A4" w:rsidRDefault="009D4403" w:rsidP="002000A4">
            <w:pPr>
              <w:rPr>
                <w:kern w:val="2"/>
                <w:sz w:val="20"/>
                <w:szCs w:val="20"/>
              </w:rPr>
            </w:pPr>
          </w:p>
        </w:tc>
        <w:tc>
          <w:tcPr>
            <w:tcW w:w="725" w:type="pct"/>
            <w:vMerge/>
          </w:tcPr>
          <w:p w14:paraId="4C3DD10E" w14:textId="77777777" w:rsidR="009D4403" w:rsidRPr="002000A4" w:rsidRDefault="009D4403" w:rsidP="002000A4">
            <w:pPr>
              <w:rPr>
                <w:kern w:val="2"/>
                <w:sz w:val="20"/>
                <w:szCs w:val="20"/>
              </w:rPr>
            </w:pPr>
          </w:p>
        </w:tc>
        <w:tc>
          <w:tcPr>
            <w:tcW w:w="725" w:type="pct"/>
          </w:tcPr>
          <w:p w14:paraId="4C3DD10F" w14:textId="77777777" w:rsidR="009D4403" w:rsidRPr="002000A4" w:rsidRDefault="009D4403" w:rsidP="002000A4">
            <w:pPr>
              <w:rPr>
                <w:sz w:val="20"/>
                <w:szCs w:val="20"/>
              </w:rPr>
            </w:pPr>
            <w:r w:rsidRPr="002000A4">
              <w:rPr>
                <w:sz w:val="20"/>
                <w:szCs w:val="20"/>
              </w:rPr>
              <w:t>1000</w:t>
            </w:r>
          </w:p>
        </w:tc>
        <w:tc>
          <w:tcPr>
            <w:tcW w:w="725" w:type="pct"/>
          </w:tcPr>
          <w:p w14:paraId="4C3DD110" w14:textId="77777777" w:rsidR="009D4403" w:rsidRPr="002000A4" w:rsidRDefault="009D4403" w:rsidP="002000A4">
            <w:pPr>
              <w:rPr>
                <w:sz w:val="20"/>
                <w:szCs w:val="20"/>
              </w:rPr>
            </w:pPr>
            <w:r w:rsidRPr="002000A4">
              <w:rPr>
                <w:sz w:val="20"/>
                <w:szCs w:val="20"/>
              </w:rPr>
              <w:t>1.31</w:t>
            </w:r>
          </w:p>
        </w:tc>
        <w:tc>
          <w:tcPr>
            <w:tcW w:w="725" w:type="pct"/>
          </w:tcPr>
          <w:p w14:paraId="4C3DD111" w14:textId="77777777" w:rsidR="009D4403" w:rsidRPr="002000A4" w:rsidRDefault="009D4403" w:rsidP="002000A4">
            <w:pPr>
              <w:rPr>
                <w:sz w:val="20"/>
                <w:szCs w:val="20"/>
              </w:rPr>
            </w:pPr>
            <w:r w:rsidRPr="002000A4">
              <w:rPr>
                <w:sz w:val="20"/>
                <w:szCs w:val="20"/>
              </w:rPr>
              <w:t>16.6</w:t>
            </w:r>
          </w:p>
        </w:tc>
        <w:tc>
          <w:tcPr>
            <w:tcW w:w="725" w:type="pct"/>
          </w:tcPr>
          <w:p w14:paraId="4C3DD112" w14:textId="77777777" w:rsidR="009D4403" w:rsidRPr="002000A4" w:rsidRDefault="009D4403" w:rsidP="002000A4">
            <w:pPr>
              <w:rPr>
                <w:sz w:val="20"/>
                <w:szCs w:val="20"/>
              </w:rPr>
            </w:pPr>
            <w:r w:rsidRPr="002000A4">
              <w:rPr>
                <w:sz w:val="20"/>
                <w:szCs w:val="20"/>
              </w:rPr>
              <w:t>9</w:t>
            </w:r>
          </w:p>
        </w:tc>
        <w:tc>
          <w:tcPr>
            <w:tcW w:w="725" w:type="pct"/>
          </w:tcPr>
          <w:p w14:paraId="4C3DD113" w14:textId="77777777" w:rsidR="009D4403" w:rsidRPr="002000A4" w:rsidRDefault="009D4403" w:rsidP="002000A4">
            <w:pPr>
              <w:rPr>
                <w:sz w:val="20"/>
                <w:szCs w:val="20"/>
              </w:rPr>
            </w:pPr>
            <w:r w:rsidRPr="002000A4">
              <w:rPr>
                <w:sz w:val="20"/>
                <w:szCs w:val="20"/>
              </w:rPr>
              <w:t>7</w:t>
            </w:r>
          </w:p>
        </w:tc>
      </w:tr>
      <w:tr w:rsidR="009D4403" w:rsidRPr="002000A4" w14:paraId="4C3DD11B" w14:textId="77777777" w:rsidTr="006A59AC">
        <w:trPr>
          <w:trHeight w:val="227"/>
        </w:trPr>
        <w:tc>
          <w:tcPr>
            <w:tcW w:w="725" w:type="pct"/>
          </w:tcPr>
          <w:p w14:paraId="4C3DD115" w14:textId="127BEF7E" w:rsidR="009D4403" w:rsidRPr="002000A4" w:rsidRDefault="009D4403" w:rsidP="002000A4">
            <w:pPr>
              <w:rPr>
                <w:kern w:val="2"/>
                <w:sz w:val="20"/>
                <w:szCs w:val="20"/>
              </w:rPr>
            </w:pPr>
            <w:r w:rsidRPr="002000A4">
              <w:rPr>
                <w:kern w:val="2"/>
                <w:sz w:val="20"/>
                <w:szCs w:val="20"/>
              </w:rPr>
              <w:t>Human</w:t>
            </w:r>
            <w:r w:rsidR="002000A4">
              <w:rPr>
                <w:kern w:val="2"/>
                <w:sz w:val="20"/>
                <w:szCs w:val="20"/>
              </w:rPr>
              <w:t xml:space="preserve"> </w:t>
            </w:r>
            <w:r w:rsidRPr="002000A4">
              <w:rPr>
                <w:kern w:val="2"/>
                <w:sz w:val="20"/>
                <w:szCs w:val="20"/>
              </w:rPr>
              <w:t>HCV positive patients</w:t>
            </w:r>
          </w:p>
        </w:tc>
        <w:tc>
          <w:tcPr>
            <w:tcW w:w="725" w:type="pct"/>
          </w:tcPr>
          <w:p w14:paraId="4C3DD116" w14:textId="77777777" w:rsidR="009D4403" w:rsidRPr="002000A4" w:rsidRDefault="009D4403" w:rsidP="002000A4">
            <w:pPr>
              <w:rPr>
                <w:kern w:val="2"/>
                <w:sz w:val="20"/>
                <w:szCs w:val="20"/>
              </w:rPr>
            </w:pPr>
            <w:r w:rsidRPr="002000A4">
              <w:rPr>
                <w:kern w:val="2"/>
                <w:sz w:val="20"/>
                <w:szCs w:val="20"/>
              </w:rPr>
              <w:t>12 weeks</w:t>
            </w:r>
          </w:p>
        </w:tc>
        <w:tc>
          <w:tcPr>
            <w:tcW w:w="725" w:type="pct"/>
          </w:tcPr>
          <w:p w14:paraId="4C3DD117" w14:textId="77777777" w:rsidR="009D4403" w:rsidRPr="002000A4" w:rsidRDefault="009D4403" w:rsidP="002000A4">
            <w:pPr>
              <w:rPr>
                <w:kern w:val="2"/>
                <w:sz w:val="20"/>
                <w:szCs w:val="20"/>
              </w:rPr>
            </w:pPr>
            <w:r w:rsidRPr="002000A4">
              <w:rPr>
                <w:kern w:val="2"/>
                <w:sz w:val="20"/>
                <w:szCs w:val="20"/>
              </w:rPr>
              <w:t>[50 mg]*</w:t>
            </w:r>
          </w:p>
        </w:tc>
        <w:tc>
          <w:tcPr>
            <w:tcW w:w="725" w:type="pct"/>
          </w:tcPr>
          <w:p w14:paraId="4C3DD118" w14:textId="77777777" w:rsidR="009D4403" w:rsidRPr="002000A4" w:rsidRDefault="009D4403" w:rsidP="002000A4">
            <w:pPr>
              <w:rPr>
                <w:sz w:val="20"/>
                <w:szCs w:val="20"/>
              </w:rPr>
            </w:pPr>
            <w:r w:rsidRPr="002000A4">
              <w:rPr>
                <w:sz w:val="20"/>
                <w:szCs w:val="20"/>
              </w:rPr>
              <w:t>0.15</w:t>
            </w:r>
          </w:p>
        </w:tc>
        <w:tc>
          <w:tcPr>
            <w:tcW w:w="725" w:type="pct"/>
          </w:tcPr>
          <w:p w14:paraId="4C3DD119" w14:textId="77777777" w:rsidR="009D4403" w:rsidRPr="002000A4" w:rsidRDefault="009D4403" w:rsidP="002000A4">
            <w:pPr>
              <w:rPr>
                <w:sz w:val="20"/>
                <w:szCs w:val="20"/>
              </w:rPr>
            </w:pPr>
            <w:r w:rsidRPr="002000A4">
              <w:rPr>
                <w:sz w:val="20"/>
                <w:szCs w:val="20"/>
              </w:rPr>
              <w:t>2.38</w:t>
            </w:r>
          </w:p>
        </w:tc>
        <w:tc>
          <w:tcPr>
            <w:tcW w:w="725" w:type="pct"/>
            <w:gridSpan w:val="2"/>
          </w:tcPr>
          <w:p w14:paraId="4C3DD11A" w14:textId="77777777" w:rsidR="009D4403" w:rsidRPr="002000A4" w:rsidRDefault="009D4403" w:rsidP="002000A4">
            <w:pPr>
              <w:rPr>
                <w:kern w:val="2"/>
                <w:sz w:val="20"/>
                <w:szCs w:val="20"/>
              </w:rPr>
            </w:pPr>
            <w:r w:rsidRPr="002000A4">
              <w:rPr>
                <w:kern w:val="2"/>
                <w:sz w:val="20"/>
                <w:szCs w:val="20"/>
              </w:rPr>
              <w:t>–</w:t>
            </w:r>
          </w:p>
        </w:tc>
      </w:tr>
    </w:tbl>
    <w:p w14:paraId="4C3DD11C" w14:textId="77777777" w:rsidR="009D4403" w:rsidRPr="008A382B" w:rsidRDefault="009D4403" w:rsidP="00F140F0">
      <w:pPr>
        <w:pStyle w:val="TableDescription"/>
      </w:pPr>
      <w:r>
        <w:rPr>
          <w:rFonts w:ascii="ZWAdobeF" w:hAnsi="ZWAdobeF" w:cs="ZWAdobeF"/>
          <w:position w:val="-2"/>
          <w:sz w:val="2"/>
          <w:szCs w:val="2"/>
        </w:rPr>
        <w:t>P</w:t>
      </w:r>
      <w:r w:rsidRPr="008A382B">
        <w:rPr>
          <w:position w:val="-2"/>
          <w:vertAlign w:val="superscript"/>
        </w:rPr>
        <w:t>#</w:t>
      </w:r>
      <w:r>
        <w:rPr>
          <w:rFonts w:ascii="ZWAdobeF" w:hAnsi="ZWAdobeF" w:cs="ZWAdobeF"/>
          <w:position w:val="-2"/>
          <w:sz w:val="2"/>
          <w:szCs w:val="2"/>
        </w:rPr>
        <w:t>P</w:t>
      </w:r>
      <w:r w:rsidRPr="008A382B">
        <w:t xml:space="preserve"> = animal</w:t>
      </w:r>
      <w:proofErr w:type="gramStart"/>
      <w:r w:rsidRPr="008A382B">
        <w:t>:human</w:t>
      </w:r>
      <w:proofErr w:type="gramEnd"/>
      <w:r w:rsidRPr="008A382B">
        <w:t xml:space="preserve">; *Administered in combination with 100 mg </w:t>
      </w:r>
      <w:proofErr w:type="spellStart"/>
      <w:r w:rsidRPr="008A382B">
        <w:t>Grazoprevir</w:t>
      </w:r>
      <w:proofErr w:type="spellEnd"/>
      <w:r w:rsidRPr="008A382B">
        <w:t>;</w:t>
      </w:r>
    </w:p>
    <w:p w14:paraId="4C3DD11D" w14:textId="77777777" w:rsidR="00984C98" w:rsidRPr="00984C98" w:rsidRDefault="00984C98" w:rsidP="00A951E8">
      <w:pPr>
        <w:pStyle w:val="Heading4"/>
      </w:pPr>
      <w:r w:rsidRPr="00984C98">
        <w:t xml:space="preserve">Major toxicities </w:t>
      </w:r>
      <w:r w:rsidR="00A951E8">
        <w:t>of</w:t>
      </w:r>
      <w:r w:rsidRPr="00984C98">
        <w:t xml:space="preserve"> </w:t>
      </w:r>
      <w:r w:rsidR="002437C0">
        <w:t>GZR</w:t>
      </w:r>
    </w:p>
    <w:p w14:paraId="4C3DD11E" w14:textId="77777777" w:rsidR="00984C98" w:rsidRPr="00984C98" w:rsidRDefault="002437C0" w:rsidP="00A951E8">
      <w:r>
        <w:t>GZR</w:t>
      </w:r>
      <w:r w:rsidR="00984C98" w:rsidRPr="00984C98">
        <w:t xml:space="preserve"> showed generally low toxicity in all species. The effects that were seen did not show a clear relationship with dose and inconsistently varied with sex.</w:t>
      </w:r>
      <w:r w:rsidR="00D80B0A">
        <w:t xml:space="preserve"> </w:t>
      </w:r>
      <w:r w:rsidR="00984C98" w:rsidRPr="00984C98">
        <w:t>In the 3 month repeat-dose study in mice, increased liver weights were observed in male and female mice with the effect most pronounced at the highest dose. In the pivotal 9 month repeat-dose study in dogs inconsistent changes in liver weights occurred at the low and mid doses but there were marked increases in both males and females at the high dose (ERRAUCR 1329).</w:t>
      </w:r>
      <w:r w:rsidR="00D80B0A">
        <w:t xml:space="preserve"> </w:t>
      </w:r>
      <w:r w:rsidR="00984C98" w:rsidRPr="00984C98">
        <w:t>In neither species was this increase in weight accompanied by any consistent histopathological change though enlarged hepatocytes were apparent in mice at doses ≥200 mg/kg.</w:t>
      </w:r>
      <w:r w:rsidR="00D80B0A">
        <w:t xml:space="preserve"> </w:t>
      </w:r>
      <w:r w:rsidR="00984C98" w:rsidRPr="00984C98">
        <w:t>Changes in serum liver enzymes consistent with liver pathology were sporadic but elevations of bilirubin were seen consistently in both species.</w:t>
      </w:r>
      <w:r w:rsidR="00D80B0A">
        <w:t xml:space="preserve"> </w:t>
      </w:r>
      <w:r w:rsidR="00984C98" w:rsidRPr="00984C98">
        <w:t xml:space="preserve">In dogs </w:t>
      </w:r>
      <w:proofErr w:type="spellStart"/>
      <w:r w:rsidR="00984C98" w:rsidRPr="00984C98">
        <w:t>microlithiasis</w:t>
      </w:r>
      <w:proofErr w:type="spellEnd"/>
      <w:r w:rsidR="00984C98" w:rsidRPr="00984C98">
        <w:t xml:space="preserve"> was observed in both the gall bladder and bile duct but no pathological changes to the underlying tissue were observed.</w:t>
      </w:r>
      <w:r w:rsidR="00D80B0A">
        <w:t xml:space="preserve"> </w:t>
      </w:r>
      <w:r w:rsidR="00984C98" w:rsidRPr="00984C98">
        <w:t>Liver weights were only slightly increased in rats at all doses in the 26 week repeat-dose study but elevations in bilirubin were apparent in both sexes at the high dose (</w:t>
      </w:r>
      <w:proofErr w:type="spellStart"/>
      <w:r w:rsidR="00984C98" w:rsidRPr="00984C98">
        <w:t>ERRaucR</w:t>
      </w:r>
      <w:proofErr w:type="spellEnd"/>
      <w:r w:rsidR="00984C98" w:rsidRPr="00984C98">
        <w:t xml:space="preserve"> 226).</w:t>
      </w:r>
    </w:p>
    <w:p w14:paraId="4C3DD11F" w14:textId="77777777" w:rsidR="00984C98" w:rsidRPr="00984C98" w:rsidRDefault="00984C98" w:rsidP="00A951E8">
      <w:r w:rsidRPr="00984C98">
        <w:t>Haematological changes were seen in mice and dogs but were inconsistent: for example, in mice at 500 mg/kg for 4 weeks, total white blood cells decreased in females but increased in males but at the same dose after 12 weeks white blood cells decreased in males and increased in females.</w:t>
      </w:r>
      <w:r w:rsidR="00135670">
        <w:t xml:space="preserve">  </w:t>
      </w:r>
      <w:r w:rsidRPr="00984C98">
        <w:t>This and other haematological changes are unlikely to be of clinical significance.</w:t>
      </w:r>
    </w:p>
    <w:p w14:paraId="4C3DD120" w14:textId="77777777" w:rsidR="00984C98" w:rsidRPr="00984C98" w:rsidRDefault="00984C98" w:rsidP="00A951E8">
      <w:r w:rsidRPr="00984C98">
        <w:t xml:space="preserve">Other changes noted in some studies were focal haemorrhage in the glandular mucosa of the stomach in male rats (200 mg/kg </w:t>
      </w:r>
      <w:proofErr w:type="spellStart"/>
      <w:r w:rsidRPr="00984C98">
        <w:t>b.i.d</w:t>
      </w:r>
      <w:proofErr w:type="spellEnd"/>
      <w:r w:rsidRPr="00984C98">
        <w:t>.), likely due to high local exposures.</w:t>
      </w:r>
      <w:r w:rsidR="00D80B0A">
        <w:t xml:space="preserve"> </w:t>
      </w:r>
      <w:r w:rsidRPr="00984C98">
        <w:t xml:space="preserve">Reduced </w:t>
      </w:r>
      <w:r w:rsidRPr="00984C98">
        <w:lastRenderedPageBreak/>
        <w:t>testes weights and degeneration of the seminiferous tubules were observed in dogs (ERRAUCR 35) but not in other species.</w:t>
      </w:r>
      <w:r w:rsidR="00D80B0A">
        <w:t xml:space="preserve"> </w:t>
      </w:r>
      <w:r w:rsidRPr="00984C98">
        <w:t>No effects on male reproductive capacity were seen in the reproductive toxicity studies.</w:t>
      </w:r>
      <w:r w:rsidR="00D80B0A">
        <w:t xml:space="preserve"> </w:t>
      </w:r>
      <w:r w:rsidRPr="00984C98">
        <w:t>Degeneration of the epithelium of kidney tubules was seen in both mice strains at 50</w:t>
      </w:r>
      <w:r w:rsidR="004C1037">
        <w:t>0 mg</w:t>
      </w:r>
      <w:r w:rsidRPr="00984C98">
        <w:t>/kg (ERRAUCR 745–1422). None of these toxicity findings are expected to have clinical relevance at the proposed dose.</w:t>
      </w:r>
    </w:p>
    <w:p w14:paraId="4C3DD121" w14:textId="77777777" w:rsidR="00984C98" w:rsidRPr="00984C98" w:rsidRDefault="00984C98" w:rsidP="00A951E8">
      <w:pPr>
        <w:pStyle w:val="Heading4"/>
      </w:pPr>
      <w:r w:rsidRPr="00984C98">
        <w:t xml:space="preserve">Major toxicities </w:t>
      </w:r>
      <w:r w:rsidR="00A951E8">
        <w:t>of</w:t>
      </w:r>
      <w:r w:rsidRPr="00984C98">
        <w:t xml:space="preserve"> </w:t>
      </w:r>
      <w:r w:rsidR="002437C0">
        <w:t>EBR</w:t>
      </w:r>
    </w:p>
    <w:p w14:paraId="4C3DD122" w14:textId="77777777" w:rsidR="00984C98" w:rsidRPr="00984C98" w:rsidRDefault="002437C0" w:rsidP="00A951E8">
      <w:r>
        <w:t>EBR</w:t>
      </w:r>
      <w:r w:rsidR="00984C98" w:rsidRPr="00984C98">
        <w:t xml:space="preserve"> showed no significant toxicity in either mice or rats at any dose tested. Body weight was slightly reduced in rats at the highest doses tested but this was not accompanied by any other consistent observations.</w:t>
      </w:r>
      <w:r w:rsidR="00D80B0A">
        <w:t xml:space="preserve"> </w:t>
      </w:r>
      <w:r w:rsidR="00984C98" w:rsidRPr="00984C98">
        <w:t xml:space="preserve">In the 9 month study in dogs there was evidence of </w:t>
      </w:r>
      <w:proofErr w:type="spellStart"/>
      <w:r w:rsidR="00984C98" w:rsidRPr="00984C98">
        <w:t>phospholipidosis</w:t>
      </w:r>
      <w:proofErr w:type="spellEnd"/>
      <w:r w:rsidR="00984C98" w:rsidRPr="00984C98">
        <w:t xml:space="preserve"> in lymphoid tissue associated with the gastrointestinal tract characterized by the presence of large, foamy cells, morphologically consistent with macrophages in the follicular areas of the lymphoid tissues (ERRAUCR 7). The effect was reversed in 3 months without treatment.</w:t>
      </w:r>
    </w:p>
    <w:p w14:paraId="4C3DD123" w14:textId="77777777" w:rsidR="00984C98" w:rsidRPr="00984C98" w:rsidRDefault="00984C98" w:rsidP="00A951E8">
      <w:r w:rsidRPr="00984C98">
        <w:t xml:space="preserve">The prevailing idea is that drug-induced </w:t>
      </w:r>
      <w:proofErr w:type="spellStart"/>
      <w:r w:rsidRPr="00984C98">
        <w:t>phospholipidosis</w:t>
      </w:r>
      <w:proofErr w:type="spellEnd"/>
      <w:r w:rsidRPr="00984C98">
        <w:t xml:space="preserve"> is an adaptive response and does not indicate a toxic condition.</w:t>
      </w:r>
      <w:r w:rsidR="00D80B0A">
        <w:t xml:space="preserve"> </w:t>
      </w:r>
      <w:r w:rsidRPr="00984C98">
        <w:t>Definitive evidence for this theory is, however, still lacking except for isolated studies (e.g., Cartwright et al. 2009).</w:t>
      </w:r>
      <w:r w:rsidR="00D80B0A">
        <w:t xml:space="preserve"> </w:t>
      </w:r>
      <w:r w:rsidRPr="00984C98">
        <w:t xml:space="preserve">Various mechanisms may be involved in the production of </w:t>
      </w:r>
      <w:proofErr w:type="spellStart"/>
      <w:r w:rsidRPr="00984C98">
        <w:t>phospholipidosis</w:t>
      </w:r>
      <w:proofErr w:type="spellEnd"/>
      <w:r w:rsidRPr="00984C98">
        <w:t>.</w:t>
      </w:r>
      <w:r w:rsidR="00D80B0A">
        <w:t xml:space="preserve"> </w:t>
      </w:r>
      <w:r w:rsidRPr="00984C98">
        <w:t>These include impairment of lysosomal enzyme activity, increased phospholipid synthesis and impaired membrane recycling and lysosomal enzyme sorting dynamics.</w:t>
      </w:r>
      <w:r w:rsidR="00D80B0A">
        <w:t xml:space="preserve"> </w:t>
      </w:r>
      <w:r w:rsidRPr="00984C98">
        <w:t>These mechanisms are not mutually exclusive.</w:t>
      </w:r>
    </w:p>
    <w:p w14:paraId="4C3DD124" w14:textId="77777777" w:rsidR="00984C98" w:rsidRPr="00984C98" w:rsidRDefault="00984C98" w:rsidP="00A951E8">
      <w:pPr>
        <w:pStyle w:val="Heading4"/>
      </w:pPr>
      <w:r w:rsidRPr="00984C98">
        <w:t>Combination toxicity studies</w:t>
      </w:r>
    </w:p>
    <w:p w14:paraId="46DAEB22" w14:textId="77777777" w:rsidR="00655550" w:rsidRDefault="00984C98" w:rsidP="00A951E8">
      <w:r w:rsidRPr="00984C98">
        <w:t xml:space="preserve">One 4-week toxicity study in dogs examined the effect of </w:t>
      </w:r>
      <w:r w:rsidR="002437C0">
        <w:t>GZR</w:t>
      </w:r>
      <w:r w:rsidRPr="00984C98">
        <w:t xml:space="preserve"> and </w:t>
      </w:r>
      <w:r w:rsidR="002437C0">
        <w:t>EBR</w:t>
      </w:r>
      <w:r w:rsidRPr="00984C98">
        <w:t xml:space="preserve"> in combination.</w:t>
      </w:r>
      <w:r w:rsidR="00D80B0A">
        <w:t xml:space="preserve"> </w:t>
      </w:r>
      <w:r w:rsidRPr="00984C98">
        <w:t>No unexpected toxicities were observed.</w:t>
      </w:r>
      <w:r w:rsidR="00D80B0A">
        <w:t xml:space="preserve"> </w:t>
      </w:r>
      <w:r w:rsidRPr="00984C98">
        <w:t xml:space="preserve">The only notable effect was the appearance of signs of </w:t>
      </w:r>
      <w:proofErr w:type="spellStart"/>
      <w:r w:rsidRPr="00984C98">
        <w:t>phospholipidosis</w:t>
      </w:r>
      <w:proofErr w:type="spellEnd"/>
      <w:r w:rsidRPr="00984C98">
        <w:t xml:space="preserve"> in female animals receiving </w:t>
      </w:r>
      <w:r w:rsidR="002437C0">
        <w:t>EBR</w:t>
      </w:r>
      <w:r w:rsidRPr="00984C98">
        <w:t xml:space="preserve"> (25 mg/kg/day) alone and in combination with </w:t>
      </w:r>
      <w:r w:rsidR="002437C0">
        <w:t>GZR</w:t>
      </w:r>
      <w:r w:rsidRPr="00984C98">
        <w:t xml:space="preserve">. There were no new or exacerbated toxicity findings with the combination. The NOAEL was 5/25 mg/kg/day PO </w:t>
      </w:r>
      <w:r w:rsidR="002437C0">
        <w:t>GZR</w:t>
      </w:r>
      <w:r w:rsidRPr="00984C98">
        <w:t>/</w:t>
      </w:r>
      <w:r w:rsidR="002437C0">
        <w:t>EBR</w:t>
      </w:r>
      <w:r w:rsidRPr="00984C98">
        <w:t xml:space="preserve">, resulting in exposures (AUC) 31 and 3.3 times the clinical exposure for </w:t>
      </w:r>
      <w:r w:rsidR="002437C0">
        <w:t>GZR</w:t>
      </w:r>
      <w:r w:rsidRPr="00984C98">
        <w:t xml:space="preserve"> and </w:t>
      </w:r>
      <w:r w:rsidR="002437C0">
        <w:t>EBR</w:t>
      </w:r>
      <w:r w:rsidRPr="00984C98">
        <w:t>, respectively.</w:t>
      </w:r>
    </w:p>
    <w:p w14:paraId="4C3DD126" w14:textId="18F615D9" w:rsidR="00984C98" w:rsidRPr="00984C98" w:rsidRDefault="00984C98" w:rsidP="00A951E8">
      <w:r w:rsidRPr="00984C98">
        <w:t xml:space="preserve">No toxicity study was conducted with the registered drugs </w:t>
      </w:r>
      <w:proofErr w:type="spellStart"/>
      <w:r w:rsidRPr="00984C98">
        <w:t>sofosbuvir</w:t>
      </w:r>
      <w:proofErr w:type="spellEnd"/>
      <w:r w:rsidRPr="00984C98">
        <w:t xml:space="preserve"> or ribavirin combined with </w:t>
      </w:r>
      <w:r w:rsidR="002437C0">
        <w:t>GZR</w:t>
      </w:r>
      <w:r w:rsidRPr="00984C98">
        <w:t>/</w:t>
      </w:r>
      <w:r w:rsidR="002437C0">
        <w:t>EBR</w:t>
      </w:r>
      <w:r w:rsidRPr="00984C98">
        <w:t xml:space="preserve">. The </w:t>
      </w:r>
      <w:proofErr w:type="gramStart"/>
      <w:r w:rsidRPr="00984C98">
        <w:t>ICHM3(</w:t>
      </w:r>
      <w:proofErr w:type="gramEnd"/>
      <w:r w:rsidRPr="00984C98">
        <w:t xml:space="preserve">Questions &amp; answers (R2)) guidelineP3F P (TGA-adopted) states </w:t>
      </w:r>
      <w:r w:rsidR="00D34382">
        <w:t xml:space="preserve">‘  </w:t>
      </w:r>
      <w:r w:rsidRPr="00984C98">
        <w:t>Combination toxicity studies are also not generally warranted for antiviral agents for treatment of Hepatitis C.</w:t>
      </w:r>
      <w:r w:rsidR="00F140F0">
        <w:t>’</w:t>
      </w:r>
    </w:p>
    <w:p w14:paraId="4C3DD127" w14:textId="77777777" w:rsidR="00984C98" w:rsidRPr="00984C98" w:rsidRDefault="00984C98" w:rsidP="00A951E8">
      <w:pPr>
        <w:pStyle w:val="Heading4"/>
      </w:pPr>
      <w:r w:rsidRPr="00984C98">
        <w:t>Genotoxicity</w:t>
      </w:r>
    </w:p>
    <w:p w14:paraId="32CC609E" w14:textId="77777777" w:rsidR="00655550" w:rsidRDefault="002437C0" w:rsidP="00A951E8">
      <w:r>
        <w:t>GZR</w:t>
      </w:r>
      <w:r w:rsidR="00984C98" w:rsidRPr="00984C98">
        <w:t xml:space="preserve"> and </w:t>
      </w:r>
      <w:r>
        <w:t>EBR</w:t>
      </w:r>
      <w:r w:rsidR="00984C98" w:rsidRPr="00984C98">
        <w:t xml:space="preserve"> were both evaluated for their potential to induce reverse mutations in S. typhimurium and E. coli, their mutagenic potential in vitro in CHO cells, and their mutagenic potential in vivo in a rat bone marrow micronucleus study (Option 1 in ICH </w:t>
      </w:r>
      <w:proofErr w:type="gramStart"/>
      <w:r w:rsidR="00984C98" w:rsidRPr="00984C98">
        <w:t>S2(</w:t>
      </w:r>
      <w:proofErr w:type="gramEnd"/>
      <w:r w:rsidR="00984C98" w:rsidRPr="00984C98">
        <w:t>R1)</w:t>
      </w:r>
      <w:r w:rsidR="00CD22A7">
        <w:rPr>
          <w:rStyle w:val="FootnoteReference"/>
        </w:rPr>
        <w:footnoteReference w:id="1"/>
      </w:r>
      <w:r w:rsidR="00984C98" w:rsidRPr="00984C98">
        <w:t>).</w:t>
      </w:r>
      <w:r w:rsidR="00D80B0A">
        <w:t xml:space="preserve"> </w:t>
      </w:r>
      <w:r w:rsidR="00984C98" w:rsidRPr="00984C98">
        <w:t xml:space="preserve">Both </w:t>
      </w:r>
      <w:r>
        <w:t>GZR</w:t>
      </w:r>
      <w:r w:rsidR="00984C98" w:rsidRPr="00984C98">
        <w:t xml:space="preserve"> and </w:t>
      </w:r>
      <w:r>
        <w:t>EBR</w:t>
      </w:r>
      <w:r w:rsidR="00984C98" w:rsidRPr="00984C98">
        <w:t xml:space="preserve"> were negative in all the tests and are unlikely to pose a mutagenic or </w:t>
      </w:r>
      <w:proofErr w:type="spellStart"/>
      <w:r w:rsidR="00984C98" w:rsidRPr="00984C98">
        <w:t>clastogenic</w:t>
      </w:r>
      <w:proofErr w:type="spellEnd"/>
      <w:r w:rsidR="00984C98" w:rsidRPr="00984C98">
        <w:t xml:space="preserve"> risk to humans.</w:t>
      </w:r>
    </w:p>
    <w:p w14:paraId="4C3DD129" w14:textId="577B5DDA" w:rsidR="00984C98" w:rsidRPr="00984C98" w:rsidRDefault="00984C98" w:rsidP="00A951E8">
      <w:pPr>
        <w:pStyle w:val="Heading4"/>
      </w:pPr>
      <w:r w:rsidRPr="00984C98">
        <w:t>Carcinogenicity</w:t>
      </w:r>
    </w:p>
    <w:p w14:paraId="47C80BD3" w14:textId="77777777" w:rsidR="00655550" w:rsidRDefault="00984C98" w:rsidP="00A951E8">
      <w:r w:rsidRPr="00984C98">
        <w:t xml:space="preserve">As neither </w:t>
      </w:r>
      <w:r w:rsidR="002437C0">
        <w:t>GZR</w:t>
      </w:r>
      <w:r w:rsidRPr="00984C98">
        <w:t xml:space="preserve"> nor </w:t>
      </w:r>
      <w:r w:rsidR="002437C0">
        <w:t>EBR</w:t>
      </w:r>
      <w:r w:rsidRPr="00984C98">
        <w:t xml:space="preserve"> showed any evidence of genotoxic potential and the intended human use is less than 6 months, no carcinogenicity studies were conducted with either drug, in accordance with ICH S1AP4F P</w:t>
      </w:r>
      <w:r w:rsidR="00305E23">
        <w:rPr>
          <w:rStyle w:val="FootnoteReference"/>
        </w:rPr>
        <w:footnoteReference w:id="2"/>
      </w:r>
      <w:r w:rsidRPr="00984C98">
        <w:t>.</w:t>
      </w:r>
    </w:p>
    <w:p w14:paraId="4C3DD12B" w14:textId="65A360DE" w:rsidR="00984C98" w:rsidRPr="00984C98" w:rsidRDefault="00984C98" w:rsidP="00A951E8">
      <w:pPr>
        <w:pStyle w:val="Heading4"/>
      </w:pPr>
      <w:r w:rsidRPr="00984C98">
        <w:lastRenderedPageBreak/>
        <w:t>Reproductive toxicity</w:t>
      </w:r>
    </w:p>
    <w:p w14:paraId="4C3DD12C" w14:textId="77777777" w:rsidR="00984C98" w:rsidRPr="00984C98" w:rsidRDefault="00984C98" w:rsidP="00A951E8">
      <w:r w:rsidRPr="00984C98">
        <w:t xml:space="preserve">The reproductive toxicity of </w:t>
      </w:r>
      <w:r w:rsidR="002437C0">
        <w:t>GZR</w:t>
      </w:r>
      <w:r w:rsidRPr="00984C98">
        <w:t xml:space="preserve"> and </w:t>
      </w:r>
      <w:r w:rsidR="002437C0">
        <w:t>EBR</w:t>
      </w:r>
      <w:r w:rsidRPr="00984C98">
        <w:t xml:space="preserve"> was assessed separately in GLP compliant studies conducted in rats and rabbits. The studies investigated potential effects on male and female fertility in rats, embryofetal toxicity (rats and rabbits) and pre/postnatal development (rats). Adequate animal numbers were used in the pivotal studies and treatment periods were appropriate. Toxicokinetic data were obtained either from animals in the studies or from similarly</w:t>
      </w:r>
      <w:r w:rsidR="004C771B">
        <w:t xml:space="preserve"> </w:t>
      </w:r>
      <w:r w:rsidRPr="00984C98">
        <w:t xml:space="preserve">treated animals in accompanying studies. Exposures to </w:t>
      </w:r>
      <w:r w:rsidR="002437C0">
        <w:t>GZR</w:t>
      </w:r>
      <w:r w:rsidRPr="00984C98">
        <w:t xml:space="preserve"> were high, while exposures to </w:t>
      </w:r>
      <w:r w:rsidR="002437C0">
        <w:t>EBR</w:t>
      </w:r>
      <w:r w:rsidRPr="00984C98">
        <w:t xml:space="preserve"> were moderate to high (see tables below). The lower relative exposure achieved with </w:t>
      </w:r>
      <w:r w:rsidR="002437C0">
        <w:t>EBR</w:t>
      </w:r>
      <w:r w:rsidRPr="00984C98">
        <w:t xml:space="preserve"> is not considered a deficiency as the limit dose was selected as the highest tested dose.</w:t>
      </w:r>
    </w:p>
    <w:p w14:paraId="4C3DD12D" w14:textId="77777777" w:rsidR="00984C98" w:rsidRPr="004C771B" w:rsidRDefault="004C771B" w:rsidP="004C771B">
      <w:pPr>
        <w:pStyle w:val="TableTitle"/>
      </w:pPr>
      <w:r>
        <w:t xml:space="preserve">Table 5: </w:t>
      </w:r>
      <w:r w:rsidR="00984C98" w:rsidRPr="00984C98">
        <w:t xml:space="preserve">Relative exposure to </w:t>
      </w:r>
      <w:r w:rsidR="002437C0">
        <w:t>GZR</w:t>
      </w:r>
    </w:p>
    <w:tbl>
      <w:tblPr>
        <w:tblStyle w:val="TableTGAblue"/>
        <w:tblW w:w="9469" w:type="dxa"/>
        <w:tblLayout w:type="fixed"/>
        <w:tblLook w:val="01E0" w:firstRow="1" w:lastRow="1" w:firstColumn="1" w:lastColumn="1" w:noHBand="0" w:noVBand="0"/>
      </w:tblPr>
      <w:tblGrid>
        <w:gridCol w:w="2235"/>
        <w:gridCol w:w="1735"/>
        <w:gridCol w:w="1833"/>
        <w:gridCol w:w="1833"/>
        <w:gridCol w:w="1833"/>
      </w:tblGrid>
      <w:tr w:rsidR="004C771B" w:rsidRPr="00F140F0" w14:paraId="4C3DD133" w14:textId="77777777" w:rsidTr="004C771B">
        <w:trPr>
          <w:cnfStyle w:val="100000000000" w:firstRow="1" w:lastRow="0" w:firstColumn="0" w:lastColumn="0" w:oddVBand="0" w:evenVBand="0" w:oddHBand="0" w:evenHBand="0" w:firstRowFirstColumn="0" w:firstRowLastColumn="0" w:lastRowFirstColumn="0" w:lastRowLastColumn="0"/>
        </w:trPr>
        <w:tc>
          <w:tcPr>
            <w:tcW w:w="2235" w:type="dxa"/>
          </w:tcPr>
          <w:p w14:paraId="4C3DD12E" w14:textId="77777777" w:rsidR="004C771B" w:rsidRPr="00F140F0" w:rsidRDefault="004C771B" w:rsidP="00F140F0">
            <w:pPr>
              <w:rPr>
                <w:sz w:val="20"/>
                <w:szCs w:val="20"/>
              </w:rPr>
            </w:pPr>
            <w:r w:rsidRPr="00F140F0">
              <w:rPr>
                <w:sz w:val="20"/>
                <w:szCs w:val="20"/>
              </w:rPr>
              <w:t>Species</w:t>
            </w:r>
          </w:p>
        </w:tc>
        <w:tc>
          <w:tcPr>
            <w:tcW w:w="1735" w:type="dxa"/>
          </w:tcPr>
          <w:p w14:paraId="4C3DD12F" w14:textId="77777777" w:rsidR="004C771B" w:rsidRPr="00F140F0" w:rsidRDefault="004C771B" w:rsidP="00F140F0">
            <w:pPr>
              <w:rPr>
                <w:sz w:val="20"/>
                <w:szCs w:val="20"/>
              </w:rPr>
            </w:pPr>
            <w:r w:rsidRPr="00F140F0">
              <w:rPr>
                <w:sz w:val="20"/>
                <w:szCs w:val="20"/>
              </w:rPr>
              <w:t>Study</w:t>
            </w:r>
          </w:p>
        </w:tc>
        <w:tc>
          <w:tcPr>
            <w:tcW w:w="1833" w:type="dxa"/>
          </w:tcPr>
          <w:p w14:paraId="4C3DD130" w14:textId="7AE2003C" w:rsidR="004C771B" w:rsidRPr="00F140F0" w:rsidRDefault="004C771B" w:rsidP="002000A4">
            <w:pPr>
              <w:rPr>
                <w:sz w:val="20"/>
                <w:szCs w:val="20"/>
              </w:rPr>
            </w:pPr>
            <w:r w:rsidRPr="00F140F0">
              <w:rPr>
                <w:sz w:val="20"/>
                <w:szCs w:val="20"/>
              </w:rPr>
              <w:t>Dose</w:t>
            </w:r>
            <w:r w:rsidR="002000A4">
              <w:rPr>
                <w:sz w:val="20"/>
                <w:szCs w:val="20"/>
              </w:rPr>
              <w:t xml:space="preserve"> </w:t>
            </w:r>
            <w:r w:rsidRPr="00F140F0">
              <w:rPr>
                <w:sz w:val="20"/>
                <w:szCs w:val="20"/>
              </w:rPr>
              <w:t>mg/kg/day</w:t>
            </w:r>
          </w:p>
        </w:tc>
        <w:tc>
          <w:tcPr>
            <w:tcW w:w="1833" w:type="dxa"/>
          </w:tcPr>
          <w:p w14:paraId="4C3DD131" w14:textId="0BF0AF03" w:rsidR="004C771B" w:rsidRPr="00F140F0" w:rsidRDefault="004C771B" w:rsidP="002000A4">
            <w:pPr>
              <w:rPr>
                <w:sz w:val="20"/>
                <w:szCs w:val="20"/>
              </w:rPr>
            </w:pPr>
            <w:r w:rsidRPr="00F140F0">
              <w:rPr>
                <w:sz w:val="20"/>
                <w:szCs w:val="20"/>
              </w:rPr>
              <w:t>AUC</w:t>
            </w:r>
            <w:r w:rsidRPr="00F140F0">
              <w:rPr>
                <w:rFonts w:ascii="ZWAdobeF" w:hAnsi="ZWAdobeF" w:cs="ZWAdobeF"/>
                <w:sz w:val="20"/>
                <w:szCs w:val="20"/>
              </w:rPr>
              <w:t>R</w:t>
            </w:r>
            <w:r w:rsidRPr="00F140F0">
              <w:rPr>
                <w:sz w:val="20"/>
                <w:szCs w:val="20"/>
                <w:vertAlign w:val="subscript"/>
              </w:rPr>
              <w:t>0–24</w:t>
            </w:r>
            <w:r w:rsidRPr="00F140F0">
              <w:rPr>
                <w:w w:val="50"/>
                <w:sz w:val="20"/>
                <w:szCs w:val="20"/>
                <w:vertAlign w:val="subscript"/>
              </w:rPr>
              <w:t> </w:t>
            </w:r>
            <w:proofErr w:type="spellStart"/>
            <w:r w:rsidRPr="00F140F0">
              <w:rPr>
                <w:sz w:val="20"/>
                <w:szCs w:val="20"/>
                <w:vertAlign w:val="subscript"/>
              </w:rPr>
              <w:t>h</w:t>
            </w:r>
            <w:r w:rsidRPr="00F140F0">
              <w:rPr>
                <w:rFonts w:ascii="ZWAdobeF" w:hAnsi="ZWAdobeF" w:cs="ZWAdobeF"/>
                <w:sz w:val="20"/>
                <w:szCs w:val="20"/>
              </w:rPr>
              <w:t>R</w:t>
            </w:r>
            <w:proofErr w:type="spellEnd"/>
            <w:r w:rsidR="002000A4">
              <w:rPr>
                <w:rFonts w:ascii="ZWAdobeF" w:hAnsi="ZWAdobeF" w:cs="ZWAdobeF"/>
                <w:sz w:val="20"/>
                <w:szCs w:val="20"/>
              </w:rPr>
              <w:t xml:space="preserve"> </w:t>
            </w:r>
            <w:proofErr w:type="spellStart"/>
            <w:r w:rsidRPr="00F140F0">
              <w:rPr>
                <w:sz w:val="20"/>
                <w:szCs w:val="20"/>
              </w:rPr>
              <w:t>μM.h</w:t>
            </w:r>
            <w:proofErr w:type="spellEnd"/>
          </w:p>
        </w:tc>
        <w:tc>
          <w:tcPr>
            <w:tcW w:w="1833" w:type="dxa"/>
          </w:tcPr>
          <w:p w14:paraId="4C3DD132" w14:textId="77777777" w:rsidR="004C771B" w:rsidRPr="00F140F0" w:rsidRDefault="004C771B" w:rsidP="00F140F0">
            <w:pPr>
              <w:rPr>
                <w:sz w:val="20"/>
                <w:szCs w:val="20"/>
              </w:rPr>
            </w:pPr>
            <w:r w:rsidRPr="00F140F0">
              <w:rPr>
                <w:sz w:val="20"/>
                <w:szCs w:val="20"/>
              </w:rPr>
              <w:t xml:space="preserve">Exposure </w:t>
            </w:r>
            <w:proofErr w:type="spellStart"/>
            <w:r w:rsidRPr="00F140F0">
              <w:rPr>
                <w:sz w:val="20"/>
                <w:szCs w:val="20"/>
              </w:rPr>
              <w:t>ratio</w:t>
            </w:r>
            <w:r w:rsidRPr="00F140F0">
              <w:rPr>
                <w:rFonts w:ascii="ZWAdobeF" w:hAnsi="ZWAdobeF" w:cs="ZWAdobeF"/>
                <w:sz w:val="20"/>
                <w:szCs w:val="20"/>
              </w:rPr>
              <w:t>P</w:t>
            </w:r>
            <w:proofErr w:type="spellEnd"/>
            <w:r w:rsidRPr="00F140F0">
              <w:rPr>
                <w:sz w:val="20"/>
                <w:szCs w:val="20"/>
                <w:vertAlign w:val="superscript"/>
              </w:rPr>
              <w:t>#</w:t>
            </w:r>
          </w:p>
        </w:tc>
      </w:tr>
      <w:tr w:rsidR="004C771B" w:rsidRPr="00F140F0" w14:paraId="4C3DD139" w14:textId="77777777" w:rsidTr="004C771B">
        <w:trPr>
          <w:trHeight w:val="227"/>
        </w:trPr>
        <w:tc>
          <w:tcPr>
            <w:tcW w:w="2235" w:type="dxa"/>
            <w:vMerge w:val="restart"/>
          </w:tcPr>
          <w:p w14:paraId="4C3DD134" w14:textId="03862F31" w:rsidR="004C771B" w:rsidRPr="00F140F0" w:rsidRDefault="004C771B" w:rsidP="002000A4">
            <w:pPr>
              <w:rPr>
                <w:kern w:val="2"/>
                <w:sz w:val="20"/>
                <w:szCs w:val="20"/>
              </w:rPr>
            </w:pPr>
            <w:r w:rsidRPr="00F140F0">
              <w:rPr>
                <w:kern w:val="2"/>
                <w:sz w:val="20"/>
                <w:szCs w:val="20"/>
              </w:rPr>
              <w:t>Rat</w:t>
            </w:r>
            <w:r w:rsidR="002000A4">
              <w:rPr>
                <w:kern w:val="2"/>
                <w:sz w:val="20"/>
                <w:szCs w:val="20"/>
              </w:rPr>
              <w:t xml:space="preserve"> </w:t>
            </w:r>
            <w:proofErr w:type="spellStart"/>
            <w:r w:rsidRPr="00F140F0">
              <w:rPr>
                <w:kern w:val="2"/>
                <w:sz w:val="20"/>
                <w:szCs w:val="20"/>
              </w:rPr>
              <w:t>Crl:WI</w:t>
            </w:r>
            <w:proofErr w:type="spellEnd"/>
            <w:r w:rsidRPr="00F140F0">
              <w:rPr>
                <w:kern w:val="2"/>
                <w:sz w:val="20"/>
                <w:szCs w:val="20"/>
              </w:rPr>
              <w:t>(Han)</w:t>
            </w:r>
          </w:p>
        </w:tc>
        <w:tc>
          <w:tcPr>
            <w:tcW w:w="1735" w:type="dxa"/>
            <w:vMerge w:val="restart"/>
          </w:tcPr>
          <w:p w14:paraId="4C3DD135" w14:textId="77777777" w:rsidR="004C771B" w:rsidRPr="00F140F0" w:rsidRDefault="004C771B" w:rsidP="00F140F0">
            <w:pPr>
              <w:rPr>
                <w:i/>
                <w:kern w:val="2"/>
                <w:sz w:val="20"/>
                <w:szCs w:val="20"/>
                <w:vertAlign w:val="superscript"/>
              </w:rPr>
            </w:pPr>
            <w:proofErr w:type="spellStart"/>
            <w:r w:rsidRPr="00F140F0">
              <w:rPr>
                <w:kern w:val="2"/>
                <w:sz w:val="20"/>
                <w:szCs w:val="20"/>
              </w:rPr>
              <w:t>Fertility</w:t>
            </w:r>
            <w:r w:rsidRPr="00F140F0">
              <w:rPr>
                <w:rFonts w:ascii="ZWAdobeF" w:hAnsi="ZWAdobeF" w:cs="ZWAdobeF"/>
                <w:kern w:val="2"/>
                <w:sz w:val="20"/>
                <w:szCs w:val="20"/>
              </w:rPr>
              <w:t>P</w:t>
            </w:r>
            <w:r w:rsidRPr="00F140F0">
              <w:rPr>
                <w:i/>
                <w:kern w:val="2"/>
                <w:sz w:val="20"/>
                <w:szCs w:val="20"/>
                <w:vertAlign w:val="superscript"/>
              </w:rPr>
              <w:t>a</w:t>
            </w:r>
            <w:proofErr w:type="spellEnd"/>
          </w:p>
        </w:tc>
        <w:tc>
          <w:tcPr>
            <w:tcW w:w="1833" w:type="dxa"/>
          </w:tcPr>
          <w:p w14:paraId="4C3DD136" w14:textId="77777777" w:rsidR="004C771B" w:rsidRPr="00F140F0" w:rsidRDefault="004C771B" w:rsidP="00F140F0">
            <w:pPr>
              <w:rPr>
                <w:sz w:val="20"/>
                <w:szCs w:val="20"/>
              </w:rPr>
            </w:pPr>
            <w:r w:rsidRPr="00F140F0">
              <w:rPr>
                <w:sz w:val="20"/>
                <w:szCs w:val="20"/>
              </w:rPr>
              <w:t>50</w:t>
            </w:r>
            <w:r w:rsidR="00CD22A7" w:rsidRPr="00F140F0">
              <w:rPr>
                <w:sz w:val="20"/>
                <w:szCs w:val="20"/>
              </w:rPr>
              <w:t xml:space="preserve"> </w:t>
            </w:r>
            <w:r w:rsidRPr="00F140F0">
              <w:rPr>
                <w:sz w:val="20"/>
                <w:szCs w:val="20"/>
              </w:rPr>
              <w:t>PO</w:t>
            </w:r>
          </w:p>
        </w:tc>
        <w:tc>
          <w:tcPr>
            <w:tcW w:w="1833" w:type="dxa"/>
          </w:tcPr>
          <w:p w14:paraId="4C3DD137" w14:textId="77777777" w:rsidR="004C771B" w:rsidRPr="00F140F0" w:rsidRDefault="004C771B" w:rsidP="00F140F0">
            <w:pPr>
              <w:rPr>
                <w:sz w:val="20"/>
                <w:szCs w:val="20"/>
              </w:rPr>
            </w:pPr>
            <w:r w:rsidRPr="00F140F0">
              <w:rPr>
                <w:sz w:val="20"/>
                <w:szCs w:val="20"/>
              </w:rPr>
              <w:t>32</w:t>
            </w:r>
          </w:p>
        </w:tc>
        <w:tc>
          <w:tcPr>
            <w:tcW w:w="1833" w:type="dxa"/>
          </w:tcPr>
          <w:p w14:paraId="4C3DD138" w14:textId="77777777" w:rsidR="004C771B" w:rsidRPr="00F140F0" w:rsidRDefault="004C771B" w:rsidP="00F140F0">
            <w:pPr>
              <w:rPr>
                <w:sz w:val="20"/>
                <w:szCs w:val="20"/>
              </w:rPr>
            </w:pPr>
            <w:r w:rsidRPr="00F140F0">
              <w:rPr>
                <w:sz w:val="20"/>
                <w:szCs w:val="20"/>
              </w:rPr>
              <w:t>16</w:t>
            </w:r>
          </w:p>
        </w:tc>
      </w:tr>
      <w:tr w:rsidR="004C771B" w:rsidRPr="00F140F0" w14:paraId="4C3DD13F" w14:textId="77777777" w:rsidTr="004C771B">
        <w:trPr>
          <w:trHeight w:val="227"/>
        </w:trPr>
        <w:tc>
          <w:tcPr>
            <w:tcW w:w="2235" w:type="dxa"/>
            <w:vMerge/>
          </w:tcPr>
          <w:p w14:paraId="4C3DD13A" w14:textId="77777777" w:rsidR="004C771B" w:rsidRPr="00F140F0" w:rsidRDefault="004C771B" w:rsidP="00F140F0">
            <w:pPr>
              <w:rPr>
                <w:kern w:val="2"/>
                <w:sz w:val="20"/>
                <w:szCs w:val="20"/>
              </w:rPr>
            </w:pPr>
          </w:p>
        </w:tc>
        <w:tc>
          <w:tcPr>
            <w:tcW w:w="1735" w:type="dxa"/>
            <w:vMerge/>
          </w:tcPr>
          <w:p w14:paraId="4C3DD13B" w14:textId="77777777" w:rsidR="004C771B" w:rsidRPr="00F140F0" w:rsidRDefault="004C771B" w:rsidP="00F140F0">
            <w:pPr>
              <w:rPr>
                <w:kern w:val="2"/>
                <w:sz w:val="20"/>
                <w:szCs w:val="20"/>
              </w:rPr>
            </w:pPr>
          </w:p>
        </w:tc>
        <w:tc>
          <w:tcPr>
            <w:tcW w:w="1833" w:type="dxa"/>
          </w:tcPr>
          <w:p w14:paraId="4C3DD13C" w14:textId="77777777" w:rsidR="004C771B" w:rsidRPr="00F140F0" w:rsidRDefault="004C771B" w:rsidP="00F140F0">
            <w:pPr>
              <w:rPr>
                <w:sz w:val="20"/>
                <w:szCs w:val="20"/>
              </w:rPr>
            </w:pPr>
            <w:r w:rsidRPr="00F140F0">
              <w:rPr>
                <w:sz w:val="20"/>
                <w:szCs w:val="20"/>
              </w:rPr>
              <w:t>200</w:t>
            </w:r>
            <w:r w:rsidR="00CD22A7" w:rsidRPr="00F140F0">
              <w:rPr>
                <w:sz w:val="20"/>
                <w:szCs w:val="20"/>
              </w:rPr>
              <w:t xml:space="preserve"> </w:t>
            </w:r>
            <w:r w:rsidRPr="00F140F0">
              <w:rPr>
                <w:sz w:val="20"/>
                <w:szCs w:val="20"/>
              </w:rPr>
              <w:t>PO</w:t>
            </w:r>
          </w:p>
        </w:tc>
        <w:tc>
          <w:tcPr>
            <w:tcW w:w="1833" w:type="dxa"/>
          </w:tcPr>
          <w:p w14:paraId="4C3DD13D" w14:textId="77777777" w:rsidR="004C771B" w:rsidRPr="00F140F0" w:rsidRDefault="004C771B" w:rsidP="00F140F0">
            <w:pPr>
              <w:rPr>
                <w:sz w:val="20"/>
                <w:szCs w:val="20"/>
              </w:rPr>
            </w:pPr>
            <w:r w:rsidRPr="00F140F0">
              <w:rPr>
                <w:sz w:val="20"/>
                <w:szCs w:val="20"/>
              </w:rPr>
              <w:t>117</w:t>
            </w:r>
          </w:p>
        </w:tc>
        <w:tc>
          <w:tcPr>
            <w:tcW w:w="1833" w:type="dxa"/>
          </w:tcPr>
          <w:p w14:paraId="4C3DD13E" w14:textId="77777777" w:rsidR="004C771B" w:rsidRPr="00F140F0" w:rsidRDefault="004C771B" w:rsidP="00F140F0">
            <w:pPr>
              <w:rPr>
                <w:sz w:val="20"/>
                <w:szCs w:val="20"/>
              </w:rPr>
            </w:pPr>
            <w:r w:rsidRPr="00F140F0">
              <w:rPr>
                <w:sz w:val="20"/>
                <w:szCs w:val="20"/>
              </w:rPr>
              <w:t>59</w:t>
            </w:r>
          </w:p>
        </w:tc>
      </w:tr>
      <w:tr w:rsidR="004C771B" w:rsidRPr="00F140F0" w14:paraId="4C3DD145" w14:textId="77777777" w:rsidTr="004C771B">
        <w:trPr>
          <w:trHeight w:val="227"/>
        </w:trPr>
        <w:tc>
          <w:tcPr>
            <w:tcW w:w="2235" w:type="dxa"/>
            <w:vMerge/>
          </w:tcPr>
          <w:p w14:paraId="4C3DD140" w14:textId="77777777" w:rsidR="004C771B" w:rsidRPr="00F140F0" w:rsidRDefault="004C771B" w:rsidP="00F140F0">
            <w:pPr>
              <w:rPr>
                <w:kern w:val="2"/>
                <w:sz w:val="20"/>
                <w:szCs w:val="20"/>
              </w:rPr>
            </w:pPr>
          </w:p>
        </w:tc>
        <w:tc>
          <w:tcPr>
            <w:tcW w:w="1735" w:type="dxa"/>
            <w:vMerge/>
          </w:tcPr>
          <w:p w14:paraId="4C3DD141" w14:textId="77777777" w:rsidR="004C771B" w:rsidRPr="00F140F0" w:rsidRDefault="004C771B" w:rsidP="00F140F0">
            <w:pPr>
              <w:rPr>
                <w:kern w:val="2"/>
                <w:sz w:val="20"/>
                <w:szCs w:val="20"/>
              </w:rPr>
            </w:pPr>
          </w:p>
        </w:tc>
        <w:tc>
          <w:tcPr>
            <w:tcW w:w="1833" w:type="dxa"/>
          </w:tcPr>
          <w:p w14:paraId="4C3DD142" w14:textId="77777777" w:rsidR="004C771B" w:rsidRPr="00F140F0" w:rsidRDefault="00CD22A7" w:rsidP="00F140F0">
            <w:pPr>
              <w:rPr>
                <w:sz w:val="20"/>
                <w:szCs w:val="20"/>
              </w:rPr>
            </w:pPr>
            <w:r w:rsidRPr="00F140F0">
              <w:rPr>
                <w:sz w:val="20"/>
                <w:szCs w:val="20"/>
              </w:rPr>
              <w:t xml:space="preserve">200 (BD) </w:t>
            </w:r>
            <w:r w:rsidR="004C771B" w:rsidRPr="00F140F0">
              <w:rPr>
                <w:sz w:val="20"/>
                <w:szCs w:val="20"/>
              </w:rPr>
              <w:t>PO</w:t>
            </w:r>
          </w:p>
        </w:tc>
        <w:tc>
          <w:tcPr>
            <w:tcW w:w="1833" w:type="dxa"/>
          </w:tcPr>
          <w:p w14:paraId="4C3DD143" w14:textId="77777777" w:rsidR="004C771B" w:rsidRPr="00F140F0" w:rsidRDefault="004C771B" w:rsidP="00F140F0">
            <w:pPr>
              <w:rPr>
                <w:sz w:val="20"/>
                <w:szCs w:val="20"/>
              </w:rPr>
            </w:pPr>
            <w:r w:rsidRPr="00F140F0">
              <w:rPr>
                <w:sz w:val="20"/>
                <w:szCs w:val="20"/>
              </w:rPr>
              <w:t>212</w:t>
            </w:r>
          </w:p>
        </w:tc>
        <w:tc>
          <w:tcPr>
            <w:tcW w:w="1833" w:type="dxa"/>
          </w:tcPr>
          <w:p w14:paraId="4C3DD144" w14:textId="77777777" w:rsidR="004C771B" w:rsidRPr="00F140F0" w:rsidRDefault="004C771B" w:rsidP="00F140F0">
            <w:pPr>
              <w:rPr>
                <w:sz w:val="20"/>
                <w:szCs w:val="20"/>
              </w:rPr>
            </w:pPr>
            <w:r w:rsidRPr="00F140F0">
              <w:rPr>
                <w:sz w:val="20"/>
                <w:szCs w:val="20"/>
              </w:rPr>
              <w:t>107</w:t>
            </w:r>
          </w:p>
        </w:tc>
      </w:tr>
      <w:tr w:rsidR="004C771B" w:rsidRPr="00F140F0" w14:paraId="4C3DD14B" w14:textId="77777777" w:rsidTr="004C771B">
        <w:trPr>
          <w:trHeight w:val="227"/>
        </w:trPr>
        <w:tc>
          <w:tcPr>
            <w:tcW w:w="2235" w:type="dxa"/>
            <w:vMerge/>
          </w:tcPr>
          <w:p w14:paraId="4C3DD146" w14:textId="77777777" w:rsidR="004C771B" w:rsidRPr="00F140F0" w:rsidRDefault="004C771B" w:rsidP="00F140F0">
            <w:pPr>
              <w:rPr>
                <w:kern w:val="2"/>
                <w:sz w:val="20"/>
                <w:szCs w:val="20"/>
              </w:rPr>
            </w:pPr>
          </w:p>
        </w:tc>
        <w:tc>
          <w:tcPr>
            <w:tcW w:w="1735" w:type="dxa"/>
            <w:vMerge w:val="restart"/>
          </w:tcPr>
          <w:p w14:paraId="4C3DD147" w14:textId="77777777" w:rsidR="004C771B" w:rsidRPr="00F140F0" w:rsidRDefault="004C771B" w:rsidP="00F140F0">
            <w:pPr>
              <w:rPr>
                <w:kern w:val="2"/>
                <w:sz w:val="20"/>
                <w:szCs w:val="20"/>
              </w:rPr>
            </w:pPr>
            <w:r w:rsidRPr="00F140F0">
              <w:rPr>
                <w:kern w:val="2"/>
                <w:sz w:val="20"/>
                <w:szCs w:val="20"/>
              </w:rPr>
              <w:t>Embryofetal development</w:t>
            </w:r>
          </w:p>
        </w:tc>
        <w:tc>
          <w:tcPr>
            <w:tcW w:w="1833" w:type="dxa"/>
          </w:tcPr>
          <w:p w14:paraId="4C3DD148" w14:textId="77777777" w:rsidR="004C771B" w:rsidRPr="00F140F0" w:rsidRDefault="004C771B" w:rsidP="00F140F0">
            <w:pPr>
              <w:rPr>
                <w:sz w:val="20"/>
                <w:szCs w:val="20"/>
              </w:rPr>
            </w:pPr>
            <w:r w:rsidRPr="00F140F0">
              <w:rPr>
                <w:sz w:val="20"/>
                <w:szCs w:val="20"/>
              </w:rPr>
              <w:t>50</w:t>
            </w:r>
            <w:r w:rsidR="00CD22A7" w:rsidRPr="00F140F0">
              <w:rPr>
                <w:sz w:val="20"/>
                <w:szCs w:val="20"/>
              </w:rPr>
              <w:t xml:space="preserve"> </w:t>
            </w:r>
            <w:r w:rsidRPr="00F140F0">
              <w:rPr>
                <w:sz w:val="20"/>
                <w:szCs w:val="20"/>
              </w:rPr>
              <w:t>PO</w:t>
            </w:r>
          </w:p>
        </w:tc>
        <w:tc>
          <w:tcPr>
            <w:tcW w:w="1833" w:type="dxa"/>
          </w:tcPr>
          <w:p w14:paraId="4C3DD149" w14:textId="77777777" w:rsidR="004C771B" w:rsidRPr="00F140F0" w:rsidRDefault="004C771B" w:rsidP="00F140F0">
            <w:pPr>
              <w:rPr>
                <w:sz w:val="20"/>
                <w:szCs w:val="20"/>
              </w:rPr>
            </w:pPr>
            <w:r w:rsidRPr="00F140F0">
              <w:rPr>
                <w:sz w:val="20"/>
                <w:szCs w:val="20"/>
              </w:rPr>
              <w:t>160</w:t>
            </w:r>
          </w:p>
        </w:tc>
        <w:tc>
          <w:tcPr>
            <w:tcW w:w="1833" w:type="dxa"/>
          </w:tcPr>
          <w:p w14:paraId="4C3DD14A" w14:textId="77777777" w:rsidR="004C771B" w:rsidRPr="00F140F0" w:rsidRDefault="004C771B" w:rsidP="00F140F0">
            <w:pPr>
              <w:rPr>
                <w:sz w:val="20"/>
                <w:szCs w:val="20"/>
              </w:rPr>
            </w:pPr>
            <w:r w:rsidRPr="00F140F0">
              <w:rPr>
                <w:kern w:val="2"/>
                <w:sz w:val="20"/>
                <w:szCs w:val="20"/>
              </w:rPr>
              <w:t>81</w:t>
            </w:r>
          </w:p>
        </w:tc>
      </w:tr>
      <w:tr w:rsidR="004C771B" w:rsidRPr="00F140F0" w14:paraId="4C3DD151" w14:textId="77777777" w:rsidTr="004C771B">
        <w:trPr>
          <w:trHeight w:val="227"/>
        </w:trPr>
        <w:tc>
          <w:tcPr>
            <w:tcW w:w="2235" w:type="dxa"/>
            <w:vMerge/>
          </w:tcPr>
          <w:p w14:paraId="4C3DD14C" w14:textId="77777777" w:rsidR="004C771B" w:rsidRPr="00F140F0" w:rsidRDefault="004C771B" w:rsidP="00F140F0">
            <w:pPr>
              <w:rPr>
                <w:kern w:val="2"/>
                <w:sz w:val="20"/>
                <w:szCs w:val="20"/>
              </w:rPr>
            </w:pPr>
          </w:p>
        </w:tc>
        <w:tc>
          <w:tcPr>
            <w:tcW w:w="1735" w:type="dxa"/>
            <w:vMerge/>
          </w:tcPr>
          <w:p w14:paraId="4C3DD14D" w14:textId="77777777" w:rsidR="004C771B" w:rsidRPr="00F140F0" w:rsidRDefault="004C771B" w:rsidP="00F140F0">
            <w:pPr>
              <w:rPr>
                <w:kern w:val="2"/>
                <w:sz w:val="20"/>
                <w:szCs w:val="20"/>
              </w:rPr>
            </w:pPr>
          </w:p>
        </w:tc>
        <w:tc>
          <w:tcPr>
            <w:tcW w:w="1833" w:type="dxa"/>
          </w:tcPr>
          <w:p w14:paraId="4C3DD14E" w14:textId="77777777" w:rsidR="004C771B" w:rsidRPr="00F140F0" w:rsidRDefault="004C771B" w:rsidP="00F140F0">
            <w:pPr>
              <w:rPr>
                <w:sz w:val="20"/>
                <w:szCs w:val="20"/>
              </w:rPr>
            </w:pPr>
            <w:r w:rsidRPr="00F140F0">
              <w:rPr>
                <w:sz w:val="20"/>
                <w:szCs w:val="20"/>
              </w:rPr>
              <w:t>200</w:t>
            </w:r>
            <w:r w:rsidR="00CD22A7" w:rsidRPr="00F140F0">
              <w:rPr>
                <w:sz w:val="20"/>
                <w:szCs w:val="20"/>
              </w:rPr>
              <w:t xml:space="preserve"> </w:t>
            </w:r>
            <w:r w:rsidRPr="00F140F0">
              <w:rPr>
                <w:sz w:val="20"/>
                <w:szCs w:val="20"/>
              </w:rPr>
              <w:t>PO</w:t>
            </w:r>
          </w:p>
        </w:tc>
        <w:tc>
          <w:tcPr>
            <w:tcW w:w="1833" w:type="dxa"/>
          </w:tcPr>
          <w:p w14:paraId="4C3DD14F" w14:textId="77777777" w:rsidR="004C771B" w:rsidRPr="00F140F0" w:rsidRDefault="004C771B" w:rsidP="00F140F0">
            <w:pPr>
              <w:rPr>
                <w:sz w:val="20"/>
                <w:szCs w:val="20"/>
              </w:rPr>
            </w:pPr>
            <w:r w:rsidRPr="00F140F0">
              <w:rPr>
                <w:sz w:val="20"/>
                <w:szCs w:val="20"/>
              </w:rPr>
              <w:t>133</w:t>
            </w:r>
          </w:p>
        </w:tc>
        <w:tc>
          <w:tcPr>
            <w:tcW w:w="1833" w:type="dxa"/>
          </w:tcPr>
          <w:p w14:paraId="4C3DD150" w14:textId="77777777" w:rsidR="004C771B" w:rsidRPr="00F140F0" w:rsidRDefault="004C771B" w:rsidP="00F140F0">
            <w:pPr>
              <w:rPr>
                <w:sz w:val="20"/>
                <w:szCs w:val="20"/>
              </w:rPr>
            </w:pPr>
            <w:r w:rsidRPr="00F140F0">
              <w:rPr>
                <w:kern w:val="2"/>
                <w:sz w:val="20"/>
                <w:szCs w:val="20"/>
              </w:rPr>
              <w:t>67</w:t>
            </w:r>
          </w:p>
        </w:tc>
      </w:tr>
      <w:tr w:rsidR="004C771B" w:rsidRPr="00F140F0" w14:paraId="4C3DD157" w14:textId="77777777" w:rsidTr="004C771B">
        <w:trPr>
          <w:trHeight w:val="227"/>
        </w:trPr>
        <w:tc>
          <w:tcPr>
            <w:tcW w:w="2235" w:type="dxa"/>
            <w:vMerge/>
          </w:tcPr>
          <w:p w14:paraId="4C3DD152" w14:textId="77777777" w:rsidR="004C771B" w:rsidRPr="00F140F0" w:rsidRDefault="004C771B" w:rsidP="00F140F0">
            <w:pPr>
              <w:rPr>
                <w:kern w:val="2"/>
                <w:sz w:val="20"/>
                <w:szCs w:val="20"/>
              </w:rPr>
            </w:pPr>
          </w:p>
        </w:tc>
        <w:tc>
          <w:tcPr>
            <w:tcW w:w="1735" w:type="dxa"/>
            <w:vMerge/>
          </w:tcPr>
          <w:p w14:paraId="4C3DD153" w14:textId="77777777" w:rsidR="004C771B" w:rsidRPr="00F140F0" w:rsidRDefault="004C771B" w:rsidP="00F140F0">
            <w:pPr>
              <w:rPr>
                <w:kern w:val="2"/>
                <w:sz w:val="20"/>
                <w:szCs w:val="20"/>
              </w:rPr>
            </w:pPr>
          </w:p>
        </w:tc>
        <w:tc>
          <w:tcPr>
            <w:tcW w:w="1833" w:type="dxa"/>
          </w:tcPr>
          <w:p w14:paraId="4C3DD154" w14:textId="77777777" w:rsidR="004C771B" w:rsidRPr="00F140F0" w:rsidRDefault="00CD22A7" w:rsidP="00F140F0">
            <w:pPr>
              <w:rPr>
                <w:sz w:val="20"/>
                <w:szCs w:val="20"/>
              </w:rPr>
            </w:pPr>
            <w:r w:rsidRPr="00F140F0">
              <w:rPr>
                <w:sz w:val="20"/>
                <w:szCs w:val="20"/>
              </w:rPr>
              <w:t xml:space="preserve">200 (BD) </w:t>
            </w:r>
            <w:r w:rsidR="004C771B" w:rsidRPr="00F140F0">
              <w:rPr>
                <w:sz w:val="20"/>
                <w:szCs w:val="20"/>
              </w:rPr>
              <w:t>PO</w:t>
            </w:r>
          </w:p>
        </w:tc>
        <w:tc>
          <w:tcPr>
            <w:tcW w:w="1833" w:type="dxa"/>
          </w:tcPr>
          <w:p w14:paraId="4C3DD155" w14:textId="77777777" w:rsidR="004C771B" w:rsidRPr="00F140F0" w:rsidRDefault="004C771B" w:rsidP="00F140F0">
            <w:pPr>
              <w:rPr>
                <w:sz w:val="20"/>
                <w:szCs w:val="20"/>
              </w:rPr>
            </w:pPr>
            <w:r w:rsidRPr="00F140F0">
              <w:rPr>
                <w:sz w:val="20"/>
                <w:szCs w:val="20"/>
              </w:rPr>
              <w:t>217</w:t>
            </w:r>
          </w:p>
        </w:tc>
        <w:tc>
          <w:tcPr>
            <w:tcW w:w="1833" w:type="dxa"/>
          </w:tcPr>
          <w:p w14:paraId="4C3DD156" w14:textId="77777777" w:rsidR="004C771B" w:rsidRPr="00F140F0" w:rsidRDefault="004C771B" w:rsidP="00F140F0">
            <w:pPr>
              <w:rPr>
                <w:sz w:val="20"/>
                <w:szCs w:val="20"/>
              </w:rPr>
            </w:pPr>
            <w:r w:rsidRPr="00F140F0">
              <w:rPr>
                <w:kern w:val="2"/>
                <w:sz w:val="20"/>
                <w:szCs w:val="20"/>
              </w:rPr>
              <w:t>110</w:t>
            </w:r>
          </w:p>
        </w:tc>
      </w:tr>
      <w:tr w:rsidR="004C771B" w:rsidRPr="00F140F0" w14:paraId="4C3DD15D" w14:textId="77777777" w:rsidTr="004C771B">
        <w:trPr>
          <w:trHeight w:val="227"/>
        </w:trPr>
        <w:tc>
          <w:tcPr>
            <w:tcW w:w="2235" w:type="dxa"/>
            <w:vMerge w:val="restart"/>
          </w:tcPr>
          <w:p w14:paraId="2E512098" w14:textId="77777777" w:rsidR="002000A4" w:rsidRDefault="004C771B" w:rsidP="002000A4">
            <w:pPr>
              <w:rPr>
                <w:kern w:val="2"/>
                <w:sz w:val="20"/>
                <w:szCs w:val="20"/>
              </w:rPr>
            </w:pPr>
            <w:r w:rsidRPr="00F140F0">
              <w:rPr>
                <w:kern w:val="2"/>
                <w:sz w:val="20"/>
                <w:szCs w:val="20"/>
              </w:rPr>
              <w:t>Rabbit</w:t>
            </w:r>
            <w:r w:rsidR="002000A4">
              <w:rPr>
                <w:kern w:val="2"/>
                <w:sz w:val="20"/>
                <w:szCs w:val="20"/>
              </w:rPr>
              <w:t xml:space="preserve"> </w:t>
            </w:r>
          </w:p>
          <w:p w14:paraId="4C3DD158" w14:textId="795C4540" w:rsidR="004C771B" w:rsidRPr="00F140F0" w:rsidRDefault="004C771B" w:rsidP="002000A4">
            <w:pPr>
              <w:rPr>
                <w:kern w:val="2"/>
                <w:sz w:val="20"/>
                <w:szCs w:val="20"/>
              </w:rPr>
            </w:pPr>
            <w:r w:rsidRPr="00F140F0">
              <w:rPr>
                <w:kern w:val="2"/>
                <w:sz w:val="20"/>
                <w:szCs w:val="20"/>
              </w:rPr>
              <w:t>Dutch belted</w:t>
            </w:r>
          </w:p>
        </w:tc>
        <w:tc>
          <w:tcPr>
            <w:tcW w:w="1735" w:type="dxa"/>
            <w:vMerge w:val="restart"/>
          </w:tcPr>
          <w:p w14:paraId="4C3DD159" w14:textId="77777777" w:rsidR="004C771B" w:rsidRPr="00F140F0" w:rsidRDefault="004C771B" w:rsidP="00F140F0">
            <w:pPr>
              <w:rPr>
                <w:kern w:val="2"/>
                <w:sz w:val="20"/>
                <w:szCs w:val="20"/>
              </w:rPr>
            </w:pPr>
            <w:r w:rsidRPr="00F140F0">
              <w:rPr>
                <w:kern w:val="2"/>
                <w:sz w:val="20"/>
                <w:szCs w:val="20"/>
              </w:rPr>
              <w:t>Embryofetal development</w:t>
            </w:r>
          </w:p>
        </w:tc>
        <w:tc>
          <w:tcPr>
            <w:tcW w:w="1833" w:type="dxa"/>
          </w:tcPr>
          <w:p w14:paraId="4C3DD15A" w14:textId="77777777" w:rsidR="004C771B" w:rsidRPr="00F140F0" w:rsidRDefault="004C771B" w:rsidP="00F140F0">
            <w:pPr>
              <w:rPr>
                <w:sz w:val="20"/>
                <w:szCs w:val="20"/>
              </w:rPr>
            </w:pPr>
            <w:r w:rsidRPr="00F140F0">
              <w:rPr>
                <w:sz w:val="20"/>
                <w:szCs w:val="20"/>
              </w:rPr>
              <w:t>25</w:t>
            </w:r>
            <w:r w:rsidR="00CD22A7" w:rsidRPr="00F140F0">
              <w:rPr>
                <w:sz w:val="20"/>
                <w:szCs w:val="20"/>
              </w:rPr>
              <w:t xml:space="preserve"> </w:t>
            </w:r>
            <w:r w:rsidRPr="00F140F0">
              <w:rPr>
                <w:sz w:val="20"/>
                <w:szCs w:val="20"/>
              </w:rPr>
              <w:t>IV</w:t>
            </w:r>
          </w:p>
        </w:tc>
        <w:tc>
          <w:tcPr>
            <w:tcW w:w="1833" w:type="dxa"/>
          </w:tcPr>
          <w:p w14:paraId="4C3DD15B" w14:textId="77777777" w:rsidR="004C771B" w:rsidRPr="00F140F0" w:rsidRDefault="004C771B" w:rsidP="00F140F0">
            <w:pPr>
              <w:rPr>
                <w:sz w:val="20"/>
                <w:szCs w:val="20"/>
              </w:rPr>
            </w:pPr>
            <w:r w:rsidRPr="00F140F0">
              <w:rPr>
                <w:sz w:val="20"/>
                <w:szCs w:val="20"/>
              </w:rPr>
              <w:t>6.14</w:t>
            </w:r>
          </w:p>
        </w:tc>
        <w:tc>
          <w:tcPr>
            <w:tcW w:w="1833" w:type="dxa"/>
          </w:tcPr>
          <w:p w14:paraId="4C3DD15C" w14:textId="77777777" w:rsidR="004C771B" w:rsidRPr="00F140F0" w:rsidRDefault="004C771B" w:rsidP="00F140F0">
            <w:pPr>
              <w:rPr>
                <w:sz w:val="20"/>
                <w:szCs w:val="20"/>
              </w:rPr>
            </w:pPr>
            <w:r w:rsidRPr="00F140F0">
              <w:rPr>
                <w:kern w:val="2"/>
                <w:sz w:val="20"/>
                <w:szCs w:val="20"/>
              </w:rPr>
              <w:t>3</w:t>
            </w:r>
          </w:p>
        </w:tc>
      </w:tr>
      <w:tr w:rsidR="004C771B" w:rsidRPr="00F140F0" w14:paraId="4C3DD163" w14:textId="77777777" w:rsidTr="004C771B">
        <w:trPr>
          <w:trHeight w:val="227"/>
        </w:trPr>
        <w:tc>
          <w:tcPr>
            <w:tcW w:w="2235" w:type="dxa"/>
            <w:vMerge/>
          </w:tcPr>
          <w:p w14:paraId="4C3DD15E" w14:textId="77777777" w:rsidR="004C771B" w:rsidRPr="00F140F0" w:rsidRDefault="004C771B" w:rsidP="00F140F0">
            <w:pPr>
              <w:rPr>
                <w:kern w:val="2"/>
                <w:sz w:val="20"/>
                <w:szCs w:val="20"/>
              </w:rPr>
            </w:pPr>
          </w:p>
        </w:tc>
        <w:tc>
          <w:tcPr>
            <w:tcW w:w="1735" w:type="dxa"/>
            <w:vMerge/>
          </w:tcPr>
          <w:p w14:paraId="4C3DD15F" w14:textId="77777777" w:rsidR="004C771B" w:rsidRPr="00F140F0" w:rsidRDefault="004C771B" w:rsidP="00F140F0">
            <w:pPr>
              <w:rPr>
                <w:kern w:val="2"/>
                <w:sz w:val="20"/>
                <w:szCs w:val="20"/>
              </w:rPr>
            </w:pPr>
          </w:p>
        </w:tc>
        <w:tc>
          <w:tcPr>
            <w:tcW w:w="1833" w:type="dxa"/>
          </w:tcPr>
          <w:p w14:paraId="4C3DD160" w14:textId="77777777" w:rsidR="004C771B" w:rsidRPr="00F140F0" w:rsidRDefault="004C771B" w:rsidP="00F140F0">
            <w:pPr>
              <w:rPr>
                <w:sz w:val="20"/>
                <w:szCs w:val="20"/>
              </w:rPr>
            </w:pPr>
            <w:r w:rsidRPr="00F140F0">
              <w:rPr>
                <w:sz w:val="20"/>
                <w:szCs w:val="20"/>
              </w:rPr>
              <w:t>50</w:t>
            </w:r>
            <w:r w:rsidR="00CD22A7" w:rsidRPr="00F140F0">
              <w:rPr>
                <w:sz w:val="20"/>
                <w:szCs w:val="20"/>
              </w:rPr>
              <w:t xml:space="preserve"> </w:t>
            </w:r>
            <w:r w:rsidRPr="00F140F0">
              <w:rPr>
                <w:sz w:val="20"/>
                <w:szCs w:val="20"/>
              </w:rPr>
              <w:t>IV</w:t>
            </w:r>
          </w:p>
        </w:tc>
        <w:tc>
          <w:tcPr>
            <w:tcW w:w="1833" w:type="dxa"/>
          </w:tcPr>
          <w:p w14:paraId="4C3DD161" w14:textId="77777777" w:rsidR="004C771B" w:rsidRPr="00F140F0" w:rsidRDefault="004C771B" w:rsidP="00F140F0">
            <w:pPr>
              <w:rPr>
                <w:sz w:val="20"/>
                <w:szCs w:val="20"/>
              </w:rPr>
            </w:pPr>
            <w:r w:rsidRPr="00F140F0">
              <w:rPr>
                <w:sz w:val="20"/>
                <w:szCs w:val="20"/>
              </w:rPr>
              <w:t>24.4</w:t>
            </w:r>
          </w:p>
        </w:tc>
        <w:tc>
          <w:tcPr>
            <w:tcW w:w="1833" w:type="dxa"/>
          </w:tcPr>
          <w:p w14:paraId="4C3DD162" w14:textId="77777777" w:rsidR="004C771B" w:rsidRPr="00F140F0" w:rsidRDefault="004C771B" w:rsidP="00F140F0">
            <w:pPr>
              <w:rPr>
                <w:sz w:val="20"/>
                <w:szCs w:val="20"/>
              </w:rPr>
            </w:pPr>
            <w:r w:rsidRPr="00F140F0">
              <w:rPr>
                <w:sz w:val="20"/>
                <w:szCs w:val="20"/>
              </w:rPr>
              <w:t>12</w:t>
            </w:r>
          </w:p>
        </w:tc>
      </w:tr>
      <w:tr w:rsidR="004C771B" w:rsidRPr="00F140F0" w14:paraId="4C3DD169" w14:textId="77777777" w:rsidTr="004C771B">
        <w:trPr>
          <w:trHeight w:val="227"/>
        </w:trPr>
        <w:tc>
          <w:tcPr>
            <w:tcW w:w="2235" w:type="dxa"/>
            <w:vMerge/>
          </w:tcPr>
          <w:p w14:paraId="4C3DD164" w14:textId="77777777" w:rsidR="004C771B" w:rsidRPr="00F140F0" w:rsidRDefault="004C771B" w:rsidP="00F140F0">
            <w:pPr>
              <w:rPr>
                <w:kern w:val="2"/>
                <w:sz w:val="20"/>
                <w:szCs w:val="20"/>
              </w:rPr>
            </w:pPr>
          </w:p>
        </w:tc>
        <w:tc>
          <w:tcPr>
            <w:tcW w:w="1735" w:type="dxa"/>
            <w:vMerge/>
          </w:tcPr>
          <w:p w14:paraId="4C3DD165" w14:textId="77777777" w:rsidR="004C771B" w:rsidRPr="00F140F0" w:rsidRDefault="004C771B" w:rsidP="00F140F0">
            <w:pPr>
              <w:rPr>
                <w:kern w:val="2"/>
                <w:sz w:val="20"/>
                <w:szCs w:val="20"/>
              </w:rPr>
            </w:pPr>
          </w:p>
        </w:tc>
        <w:tc>
          <w:tcPr>
            <w:tcW w:w="1833" w:type="dxa"/>
          </w:tcPr>
          <w:p w14:paraId="4C3DD166" w14:textId="77777777" w:rsidR="004C771B" w:rsidRPr="00F140F0" w:rsidRDefault="004C771B" w:rsidP="00F140F0">
            <w:pPr>
              <w:rPr>
                <w:sz w:val="20"/>
                <w:szCs w:val="20"/>
              </w:rPr>
            </w:pPr>
            <w:r w:rsidRPr="00F140F0">
              <w:rPr>
                <w:sz w:val="20"/>
                <w:szCs w:val="20"/>
              </w:rPr>
              <w:t>100</w:t>
            </w:r>
            <w:r w:rsidR="00CD22A7" w:rsidRPr="00F140F0">
              <w:rPr>
                <w:sz w:val="20"/>
                <w:szCs w:val="20"/>
              </w:rPr>
              <w:t xml:space="preserve"> </w:t>
            </w:r>
            <w:r w:rsidRPr="00F140F0">
              <w:rPr>
                <w:sz w:val="20"/>
                <w:szCs w:val="20"/>
              </w:rPr>
              <w:t>IV</w:t>
            </w:r>
          </w:p>
        </w:tc>
        <w:tc>
          <w:tcPr>
            <w:tcW w:w="1833" w:type="dxa"/>
          </w:tcPr>
          <w:p w14:paraId="4C3DD167" w14:textId="77777777" w:rsidR="004C771B" w:rsidRPr="00F140F0" w:rsidRDefault="004C771B" w:rsidP="00F140F0">
            <w:pPr>
              <w:rPr>
                <w:sz w:val="20"/>
                <w:szCs w:val="20"/>
              </w:rPr>
            </w:pPr>
            <w:r w:rsidRPr="00F140F0">
              <w:rPr>
                <w:sz w:val="20"/>
                <w:szCs w:val="20"/>
              </w:rPr>
              <w:t>76.1</w:t>
            </w:r>
          </w:p>
        </w:tc>
        <w:tc>
          <w:tcPr>
            <w:tcW w:w="1833" w:type="dxa"/>
          </w:tcPr>
          <w:p w14:paraId="4C3DD168" w14:textId="77777777" w:rsidR="004C771B" w:rsidRPr="00F140F0" w:rsidRDefault="004C771B" w:rsidP="00F140F0">
            <w:pPr>
              <w:rPr>
                <w:sz w:val="20"/>
                <w:szCs w:val="20"/>
              </w:rPr>
            </w:pPr>
            <w:r w:rsidRPr="00F140F0">
              <w:rPr>
                <w:sz w:val="20"/>
                <w:szCs w:val="20"/>
              </w:rPr>
              <w:t>37</w:t>
            </w:r>
          </w:p>
        </w:tc>
      </w:tr>
      <w:tr w:rsidR="004C771B" w:rsidRPr="00F140F0" w14:paraId="4C3DD16F" w14:textId="77777777" w:rsidTr="004C771B">
        <w:trPr>
          <w:trHeight w:val="227"/>
        </w:trPr>
        <w:tc>
          <w:tcPr>
            <w:tcW w:w="2235" w:type="dxa"/>
            <w:vMerge/>
          </w:tcPr>
          <w:p w14:paraId="4C3DD16A" w14:textId="77777777" w:rsidR="004C771B" w:rsidRPr="00F140F0" w:rsidRDefault="004C771B" w:rsidP="00F140F0">
            <w:pPr>
              <w:rPr>
                <w:kern w:val="2"/>
                <w:sz w:val="20"/>
                <w:szCs w:val="20"/>
              </w:rPr>
            </w:pPr>
          </w:p>
        </w:tc>
        <w:tc>
          <w:tcPr>
            <w:tcW w:w="1735" w:type="dxa"/>
            <w:vMerge/>
          </w:tcPr>
          <w:p w14:paraId="4C3DD16B" w14:textId="77777777" w:rsidR="004C771B" w:rsidRPr="00F140F0" w:rsidRDefault="004C771B" w:rsidP="00F140F0">
            <w:pPr>
              <w:rPr>
                <w:kern w:val="2"/>
                <w:sz w:val="20"/>
                <w:szCs w:val="20"/>
              </w:rPr>
            </w:pPr>
          </w:p>
        </w:tc>
        <w:tc>
          <w:tcPr>
            <w:tcW w:w="1833" w:type="dxa"/>
          </w:tcPr>
          <w:p w14:paraId="4C3DD16C" w14:textId="77777777" w:rsidR="004C771B" w:rsidRPr="00F140F0" w:rsidRDefault="004C771B" w:rsidP="00F140F0">
            <w:pPr>
              <w:rPr>
                <w:sz w:val="20"/>
                <w:szCs w:val="20"/>
              </w:rPr>
            </w:pPr>
            <w:r w:rsidRPr="00F140F0">
              <w:rPr>
                <w:sz w:val="20"/>
                <w:szCs w:val="20"/>
              </w:rPr>
              <w:t>50</w:t>
            </w:r>
            <w:r w:rsidR="00CD22A7" w:rsidRPr="00F140F0">
              <w:rPr>
                <w:sz w:val="20"/>
                <w:szCs w:val="20"/>
              </w:rPr>
              <w:t xml:space="preserve"> </w:t>
            </w:r>
            <w:r w:rsidRPr="00F140F0">
              <w:rPr>
                <w:sz w:val="20"/>
                <w:szCs w:val="20"/>
              </w:rPr>
              <w:t>PO</w:t>
            </w:r>
          </w:p>
        </w:tc>
        <w:tc>
          <w:tcPr>
            <w:tcW w:w="1833" w:type="dxa"/>
          </w:tcPr>
          <w:p w14:paraId="4C3DD16D" w14:textId="77777777" w:rsidR="004C771B" w:rsidRPr="00F140F0" w:rsidRDefault="004C771B" w:rsidP="00F140F0">
            <w:pPr>
              <w:rPr>
                <w:sz w:val="20"/>
                <w:szCs w:val="20"/>
              </w:rPr>
            </w:pPr>
            <w:r w:rsidRPr="00F140F0">
              <w:rPr>
                <w:sz w:val="20"/>
                <w:szCs w:val="20"/>
              </w:rPr>
              <w:t>0.507</w:t>
            </w:r>
          </w:p>
        </w:tc>
        <w:tc>
          <w:tcPr>
            <w:tcW w:w="1833" w:type="dxa"/>
          </w:tcPr>
          <w:p w14:paraId="4C3DD16E" w14:textId="77777777" w:rsidR="004C771B" w:rsidRPr="00F140F0" w:rsidRDefault="004C771B" w:rsidP="00F140F0">
            <w:pPr>
              <w:rPr>
                <w:sz w:val="20"/>
                <w:szCs w:val="20"/>
              </w:rPr>
            </w:pPr>
            <w:r w:rsidRPr="00F140F0">
              <w:rPr>
                <w:sz w:val="20"/>
                <w:szCs w:val="20"/>
              </w:rPr>
              <w:t>0.3</w:t>
            </w:r>
          </w:p>
        </w:tc>
      </w:tr>
      <w:tr w:rsidR="004C771B" w:rsidRPr="00F140F0" w14:paraId="4C3DD175" w14:textId="77777777" w:rsidTr="004C771B">
        <w:trPr>
          <w:trHeight w:val="227"/>
        </w:trPr>
        <w:tc>
          <w:tcPr>
            <w:tcW w:w="2235" w:type="dxa"/>
            <w:vMerge/>
          </w:tcPr>
          <w:p w14:paraId="4C3DD170" w14:textId="77777777" w:rsidR="004C771B" w:rsidRPr="00F140F0" w:rsidRDefault="004C771B" w:rsidP="00F140F0">
            <w:pPr>
              <w:rPr>
                <w:kern w:val="2"/>
                <w:sz w:val="20"/>
                <w:szCs w:val="20"/>
              </w:rPr>
            </w:pPr>
          </w:p>
        </w:tc>
        <w:tc>
          <w:tcPr>
            <w:tcW w:w="1735" w:type="dxa"/>
            <w:vMerge/>
          </w:tcPr>
          <w:p w14:paraId="4C3DD171" w14:textId="77777777" w:rsidR="004C771B" w:rsidRPr="00F140F0" w:rsidRDefault="004C771B" w:rsidP="00F140F0">
            <w:pPr>
              <w:rPr>
                <w:kern w:val="2"/>
                <w:sz w:val="20"/>
                <w:szCs w:val="20"/>
              </w:rPr>
            </w:pPr>
          </w:p>
        </w:tc>
        <w:tc>
          <w:tcPr>
            <w:tcW w:w="1833" w:type="dxa"/>
          </w:tcPr>
          <w:p w14:paraId="4C3DD172" w14:textId="77777777" w:rsidR="004C771B" w:rsidRPr="00F140F0" w:rsidRDefault="004C771B" w:rsidP="00F140F0">
            <w:pPr>
              <w:rPr>
                <w:sz w:val="20"/>
                <w:szCs w:val="20"/>
              </w:rPr>
            </w:pPr>
            <w:r w:rsidRPr="00F140F0">
              <w:rPr>
                <w:sz w:val="20"/>
                <w:szCs w:val="20"/>
              </w:rPr>
              <w:t>200</w:t>
            </w:r>
            <w:r w:rsidR="00CD22A7" w:rsidRPr="00F140F0">
              <w:rPr>
                <w:sz w:val="20"/>
                <w:szCs w:val="20"/>
              </w:rPr>
              <w:t xml:space="preserve"> </w:t>
            </w:r>
            <w:r w:rsidRPr="00F140F0">
              <w:rPr>
                <w:sz w:val="20"/>
                <w:szCs w:val="20"/>
              </w:rPr>
              <w:t>PO</w:t>
            </w:r>
          </w:p>
        </w:tc>
        <w:tc>
          <w:tcPr>
            <w:tcW w:w="1833" w:type="dxa"/>
          </w:tcPr>
          <w:p w14:paraId="4C3DD173" w14:textId="77777777" w:rsidR="004C771B" w:rsidRPr="00F140F0" w:rsidRDefault="004C771B" w:rsidP="00F140F0">
            <w:pPr>
              <w:rPr>
                <w:sz w:val="20"/>
                <w:szCs w:val="20"/>
              </w:rPr>
            </w:pPr>
            <w:r w:rsidRPr="00F140F0">
              <w:rPr>
                <w:sz w:val="20"/>
                <w:szCs w:val="20"/>
              </w:rPr>
              <w:t>1.08</w:t>
            </w:r>
          </w:p>
        </w:tc>
        <w:tc>
          <w:tcPr>
            <w:tcW w:w="1833" w:type="dxa"/>
          </w:tcPr>
          <w:p w14:paraId="4C3DD174" w14:textId="77777777" w:rsidR="004C771B" w:rsidRPr="00F140F0" w:rsidRDefault="004C771B" w:rsidP="00F140F0">
            <w:pPr>
              <w:rPr>
                <w:sz w:val="20"/>
                <w:szCs w:val="20"/>
              </w:rPr>
            </w:pPr>
            <w:r w:rsidRPr="00F140F0">
              <w:rPr>
                <w:kern w:val="2"/>
                <w:sz w:val="20"/>
                <w:szCs w:val="20"/>
              </w:rPr>
              <w:t>0.5</w:t>
            </w:r>
          </w:p>
        </w:tc>
      </w:tr>
      <w:tr w:rsidR="004C771B" w:rsidRPr="00F140F0" w14:paraId="4C3DD17B" w14:textId="77777777" w:rsidTr="004C771B">
        <w:trPr>
          <w:trHeight w:val="227"/>
        </w:trPr>
        <w:tc>
          <w:tcPr>
            <w:tcW w:w="2235" w:type="dxa"/>
            <w:vMerge/>
          </w:tcPr>
          <w:p w14:paraId="4C3DD176" w14:textId="77777777" w:rsidR="004C771B" w:rsidRPr="00F140F0" w:rsidRDefault="004C771B" w:rsidP="00F140F0">
            <w:pPr>
              <w:rPr>
                <w:kern w:val="2"/>
                <w:sz w:val="20"/>
                <w:szCs w:val="20"/>
              </w:rPr>
            </w:pPr>
          </w:p>
        </w:tc>
        <w:tc>
          <w:tcPr>
            <w:tcW w:w="1735" w:type="dxa"/>
            <w:vMerge/>
          </w:tcPr>
          <w:p w14:paraId="4C3DD177" w14:textId="77777777" w:rsidR="004C771B" w:rsidRPr="00F140F0" w:rsidRDefault="004C771B" w:rsidP="00F140F0">
            <w:pPr>
              <w:rPr>
                <w:kern w:val="2"/>
                <w:sz w:val="20"/>
                <w:szCs w:val="20"/>
              </w:rPr>
            </w:pPr>
          </w:p>
        </w:tc>
        <w:tc>
          <w:tcPr>
            <w:tcW w:w="1833" w:type="dxa"/>
          </w:tcPr>
          <w:p w14:paraId="4C3DD178" w14:textId="77777777" w:rsidR="004C771B" w:rsidRPr="00F140F0" w:rsidRDefault="004C771B" w:rsidP="00F140F0">
            <w:pPr>
              <w:rPr>
                <w:sz w:val="20"/>
                <w:szCs w:val="20"/>
              </w:rPr>
            </w:pPr>
            <w:r w:rsidRPr="00F140F0">
              <w:rPr>
                <w:sz w:val="20"/>
                <w:szCs w:val="20"/>
              </w:rPr>
              <w:t>200 (BD)</w:t>
            </w:r>
            <w:r w:rsidRPr="00F140F0">
              <w:rPr>
                <w:sz w:val="20"/>
                <w:szCs w:val="20"/>
              </w:rPr>
              <w:tab/>
              <w:t>PO</w:t>
            </w:r>
          </w:p>
        </w:tc>
        <w:tc>
          <w:tcPr>
            <w:tcW w:w="1833" w:type="dxa"/>
          </w:tcPr>
          <w:p w14:paraId="4C3DD179" w14:textId="77777777" w:rsidR="004C771B" w:rsidRPr="00F140F0" w:rsidRDefault="004C771B" w:rsidP="00F140F0">
            <w:pPr>
              <w:rPr>
                <w:sz w:val="20"/>
                <w:szCs w:val="20"/>
              </w:rPr>
            </w:pPr>
            <w:r w:rsidRPr="00F140F0">
              <w:rPr>
                <w:sz w:val="20"/>
                <w:szCs w:val="20"/>
              </w:rPr>
              <w:t>3.61</w:t>
            </w:r>
          </w:p>
        </w:tc>
        <w:tc>
          <w:tcPr>
            <w:tcW w:w="1833" w:type="dxa"/>
          </w:tcPr>
          <w:p w14:paraId="4C3DD17A" w14:textId="77777777" w:rsidR="004C771B" w:rsidRPr="00F140F0" w:rsidRDefault="004C771B" w:rsidP="00F140F0">
            <w:pPr>
              <w:rPr>
                <w:sz w:val="20"/>
                <w:szCs w:val="20"/>
              </w:rPr>
            </w:pPr>
            <w:r w:rsidRPr="00F140F0">
              <w:rPr>
                <w:kern w:val="2"/>
                <w:sz w:val="20"/>
                <w:szCs w:val="20"/>
              </w:rPr>
              <w:t>1.8</w:t>
            </w:r>
          </w:p>
        </w:tc>
      </w:tr>
      <w:tr w:rsidR="004C771B" w:rsidRPr="00F140F0" w14:paraId="4C3DD181" w14:textId="77777777" w:rsidTr="004C771B">
        <w:trPr>
          <w:trHeight w:val="227"/>
        </w:trPr>
        <w:tc>
          <w:tcPr>
            <w:tcW w:w="2235" w:type="dxa"/>
          </w:tcPr>
          <w:p w14:paraId="4C3DD17C" w14:textId="77777777" w:rsidR="004C771B" w:rsidRPr="00F140F0" w:rsidRDefault="004C771B" w:rsidP="00F140F0">
            <w:pPr>
              <w:rPr>
                <w:kern w:val="2"/>
                <w:sz w:val="20"/>
                <w:szCs w:val="20"/>
              </w:rPr>
            </w:pPr>
            <w:r w:rsidRPr="00F140F0">
              <w:rPr>
                <w:kern w:val="2"/>
                <w:sz w:val="20"/>
                <w:szCs w:val="20"/>
              </w:rPr>
              <w:t>Human HCV positive patients</w:t>
            </w:r>
          </w:p>
        </w:tc>
        <w:tc>
          <w:tcPr>
            <w:tcW w:w="1735" w:type="dxa"/>
          </w:tcPr>
          <w:p w14:paraId="4C3DD17D" w14:textId="77777777" w:rsidR="004C771B" w:rsidRPr="00F140F0" w:rsidRDefault="004C771B" w:rsidP="00F140F0">
            <w:pPr>
              <w:rPr>
                <w:kern w:val="2"/>
                <w:sz w:val="20"/>
                <w:szCs w:val="20"/>
              </w:rPr>
            </w:pPr>
            <w:r w:rsidRPr="00F140F0">
              <w:rPr>
                <w:kern w:val="2"/>
                <w:sz w:val="20"/>
                <w:szCs w:val="20"/>
              </w:rPr>
              <w:t>12 weeks</w:t>
            </w:r>
          </w:p>
        </w:tc>
        <w:tc>
          <w:tcPr>
            <w:tcW w:w="1833" w:type="dxa"/>
          </w:tcPr>
          <w:p w14:paraId="4C3DD17E" w14:textId="77777777" w:rsidR="004C771B" w:rsidRPr="00F140F0" w:rsidRDefault="004C771B" w:rsidP="00F140F0">
            <w:pPr>
              <w:rPr>
                <w:kern w:val="2"/>
                <w:sz w:val="20"/>
                <w:szCs w:val="20"/>
              </w:rPr>
            </w:pPr>
            <w:r w:rsidRPr="00F140F0">
              <w:rPr>
                <w:kern w:val="2"/>
                <w:sz w:val="20"/>
                <w:szCs w:val="20"/>
              </w:rPr>
              <w:t>[100 mg]*</w:t>
            </w:r>
          </w:p>
        </w:tc>
        <w:tc>
          <w:tcPr>
            <w:tcW w:w="1833" w:type="dxa"/>
          </w:tcPr>
          <w:p w14:paraId="4C3DD17F" w14:textId="77777777" w:rsidR="004C771B" w:rsidRPr="00F140F0" w:rsidRDefault="004C771B" w:rsidP="00F140F0">
            <w:pPr>
              <w:rPr>
                <w:kern w:val="2"/>
                <w:sz w:val="20"/>
                <w:szCs w:val="20"/>
              </w:rPr>
            </w:pPr>
            <w:r w:rsidRPr="00F140F0">
              <w:rPr>
                <w:sz w:val="20"/>
                <w:szCs w:val="20"/>
              </w:rPr>
              <w:t>1.97</w:t>
            </w:r>
          </w:p>
        </w:tc>
        <w:tc>
          <w:tcPr>
            <w:tcW w:w="1833" w:type="dxa"/>
          </w:tcPr>
          <w:p w14:paraId="4C3DD180" w14:textId="77777777" w:rsidR="004C771B" w:rsidRPr="00F140F0" w:rsidRDefault="004C771B" w:rsidP="00F140F0">
            <w:pPr>
              <w:rPr>
                <w:kern w:val="2"/>
                <w:sz w:val="20"/>
                <w:szCs w:val="20"/>
              </w:rPr>
            </w:pPr>
            <w:r w:rsidRPr="00F140F0">
              <w:rPr>
                <w:kern w:val="2"/>
                <w:sz w:val="20"/>
                <w:szCs w:val="20"/>
              </w:rPr>
              <w:t>–</w:t>
            </w:r>
          </w:p>
        </w:tc>
      </w:tr>
    </w:tbl>
    <w:p w14:paraId="4C3DD182" w14:textId="77777777" w:rsidR="004C771B" w:rsidRPr="00E508D9" w:rsidRDefault="004C771B" w:rsidP="004C771B">
      <w:pPr>
        <w:pStyle w:val="TableDescription"/>
      </w:pPr>
      <w:r>
        <w:rPr>
          <w:rFonts w:ascii="ZWAdobeF" w:hAnsi="ZWAdobeF" w:cs="ZWAdobeF"/>
          <w:position w:val="-2"/>
          <w:sz w:val="2"/>
          <w:szCs w:val="2"/>
        </w:rPr>
        <w:t>P</w:t>
      </w:r>
      <w:r w:rsidRPr="003B3868">
        <w:rPr>
          <w:position w:val="-2"/>
          <w:vertAlign w:val="superscript"/>
        </w:rPr>
        <w:t>#</w:t>
      </w:r>
      <w:r>
        <w:rPr>
          <w:rFonts w:ascii="ZWAdobeF" w:hAnsi="ZWAdobeF" w:cs="ZWAdobeF"/>
          <w:position w:val="-2"/>
          <w:sz w:val="2"/>
          <w:szCs w:val="2"/>
        </w:rPr>
        <w:t>P</w:t>
      </w:r>
      <w:r w:rsidRPr="003B3868">
        <w:t xml:space="preserve"> = animal:</w:t>
      </w:r>
      <w:r>
        <w:t xml:space="preserve"> </w:t>
      </w:r>
      <w:r w:rsidRPr="003B3868">
        <w:t>human plasma AUC</w:t>
      </w:r>
      <w:r>
        <w:rPr>
          <w:rFonts w:ascii="ZWAdobeF" w:hAnsi="ZWAdobeF" w:cs="ZWAdobeF"/>
          <w:sz w:val="2"/>
          <w:szCs w:val="2"/>
        </w:rPr>
        <w:t>R</w:t>
      </w:r>
      <w:r w:rsidRPr="003B3868">
        <w:rPr>
          <w:vertAlign w:val="subscript"/>
        </w:rPr>
        <w:t>0–24</w:t>
      </w:r>
      <w:r w:rsidRPr="003B3868">
        <w:rPr>
          <w:w w:val="50"/>
          <w:vertAlign w:val="subscript"/>
        </w:rPr>
        <w:t> </w:t>
      </w:r>
      <w:proofErr w:type="spellStart"/>
      <w:proofErr w:type="gramStart"/>
      <w:r w:rsidRPr="003B3868">
        <w:rPr>
          <w:vertAlign w:val="subscript"/>
        </w:rPr>
        <w:t>h</w:t>
      </w:r>
      <w:r>
        <w:rPr>
          <w:rFonts w:ascii="ZWAdobeF" w:hAnsi="ZWAdobeF" w:cs="ZWAdobeF"/>
          <w:sz w:val="2"/>
          <w:szCs w:val="2"/>
        </w:rPr>
        <w:t>R</w:t>
      </w:r>
      <w:proofErr w:type="spellEnd"/>
      <w:r w:rsidRPr="003B3868">
        <w:t xml:space="preserve"> ;</w:t>
      </w:r>
      <w:proofErr w:type="gramEnd"/>
      <w:r w:rsidRPr="003B3868">
        <w:t xml:space="preserve"> *Administered in </w:t>
      </w:r>
      <w:r>
        <w:t xml:space="preserve">combination with 50 mg </w:t>
      </w:r>
      <w:proofErr w:type="spellStart"/>
      <w:r>
        <w:t>elbasvir</w:t>
      </w:r>
      <w:proofErr w:type="spellEnd"/>
      <w:r>
        <w:t xml:space="preserve">; </w:t>
      </w:r>
      <w:proofErr w:type="spellStart"/>
      <w:r>
        <w:rPr>
          <w:rFonts w:ascii="ZWAdobeF" w:hAnsi="ZWAdobeF" w:cs="ZWAdobeF"/>
          <w:sz w:val="2"/>
          <w:szCs w:val="2"/>
        </w:rPr>
        <w:t>P</w:t>
      </w:r>
      <w:r>
        <w:rPr>
          <w:vertAlign w:val="superscript"/>
        </w:rPr>
        <w:t>a</w:t>
      </w:r>
      <w:r>
        <w:rPr>
          <w:rFonts w:ascii="ZWAdobeF" w:hAnsi="ZWAdobeF" w:cs="ZWAdobeF"/>
          <w:sz w:val="2"/>
          <w:szCs w:val="2"/>
        </w:rPr>
        <w:t>P</w:t>
      </w:r>
      <w:r>
        <w:t>estimated</w:t>
      </w:r>
      <w:proofErr w:type="spellEnd"/>
      <w:r>
        <w:t xml:space="preserve"> from data in Study TT #09-1120 (4 week repeat-dose toxicity study)</w:t>
      </w:r>
    </w:p>
    <w:p w14:paraId="4C3DD183" w14:textId="77777777" w:rsidR="00984C98" w:rsidRDefault="004C771B" w:rsidP="004C771B">
      <w:pPr>
        <w:pStyle w:val="TableTitle"/>
      </w:pPr>
      <w:r>
        <w:t xml:space="preserve">Table 6: </w:t>
      </w:r>
      <w:r w:rsidR="00984C98" w:rsidRPr="00984C98">
        <w:t xml:space="preserve">Relative exposure to </w:t>
      </w:r>
      <w:r w:rsidR="002437C0">
        <w:t>EBR</w:t>
      </w:r>
    </w:p>
    <w:tbl>
      <w:tblPr>
        <w:tblStyle w:val="TableTGAblue"/>
        <w:tblW w:w="9469" w:type="dxa"/>
        <w:tblLayout w:type="fixed"/>
        <w:tblLook w:val="01E0" w:firstRow="1" w:lastRow="1" w:firstColumn="1" w:lastColumn="1" w:noHBand="0" w:noVBand="0"/>
      </w:tblPr>
      <w:tblGrid>
        <w:gridCol w:w="1986"/>
        <w:gridCol w:w="1984"/>
        <w:gridCol w:w="1833"/>
        <w:gridCol w:w="1833"/>
        <w:gridCol w:w="1833"/>
      </w:tblGrid>
      <w:tr w:rsidR="004C771B" w:rsidRPr="00F140F0" w14:paraId="4C3DD189" w14:textId="77777777" w:rsidTr="004C771B">
        <w:trPr>
          <w:cnfStyle w:val="100000000000" w:firstRow="1" w:lastRow="0" w:firstColumn="0" w:lastColumn="0" w:oddVBand="0" w:evenVBand="0" w:oddHBand="0" w:evenHBand="0" w:firstRowFirstColumn="0" w:firstRowLastColumn="0" w:lastRowFirstColumn="0" w:lastRowLastColumn="0"/>
        </w:trPr>
        <w:tc>
          <w:tcPr>
            <w:tcW w:w="1986" w:type="dxa"/>
          </w:tcPr>
          <w:p w14:paraId="4C3DD184" w14:textId="77777777" w:rsidR="004C771B" w:rsidRPr="00F140F0" w:rsidRDefault="004C771B" w:rsidP="00F140F0">
            <w:pPr>
              <w:rPr>
                <w:sz w:val="20"/>
                <w:szCs w:val="20"/>
              </w:rPr>
            </w:pPr>
            <w:r w:rsidRPr="00F140F0">
              <w:rPr>
                <w:sz w:val="20"/>
                <w:szCs w:val="20"/>
              </w:rPr>
              <w:t>Species</w:t>
            </w:r>
          </w:p>
        </w:tc>
        <w:tc>
          <w:tcPr>
            <w:tcW w:w="1984" w:type="dxa"/>
          </w:tcPr>
          <w:p w14:paraId="4C3DD185" w14:textId="77777777" w:rsidR="004C771B" w:rsidRPr="00F140F0" w:rsidRDefault="004C771B" w:rsidP="00F140F0">
            <w:pPr>
              <w:rPr>
                <w:sz w:val="20"/>
                <w:szCs w:val="20"/>
              </w:rPr>
            </w:pPr>
            <w:r w:rsidRPr="00F140F0">
              <w:rPr>
                <w:sz w:val="20"/>
                <w:szCs w:val="20"/>
              </w:rPr>
              <w:t>Study</w:t>
            </w:r>
          </w:p>
        </w:tc>
        <w:tc>
          <w:tcPr>
            <w:tcW w:w="1833" w:type="dxa"/>
          </w:tcPr>
          <w:p w14:paraId="4C3DD186" w14:textId="77777777" w:rsidR="004C771B" w:rsidRPr="00F140F0" w:rsidRDefault="004C771B" w:rsidP="00F140F0">
            <w:pPr>
              <w:rPr>
                <w:sz w:val="20"/>
                <w:szCs w:val="20"/>
              </w:rPr>
            </w:pPr>
            <w:r w:rsidRPr="00F140F0">
              <w:rPr>
                <w:sz w:val="20"/>
                <w:szCs w:val="20"/>
              </w:rPr>
              <w:t>Dose</w:t>
            </w:r>
            <w:r w:rsidRPr="00F140F0">
              <w:rPr>
                <w:sz w:val="20"/>
                <w:szCs w:val="20"/>
              </w:rPr>
              <w:br/>
              <w:t>mg/kg/day PO</w:t>
            </w:r>
          </w:p>
        </w:tc>
        <w:tc>
          <w:tcPr>
            <w:tcW w:w="1833" w:type="dxa"/>
          </w:tcPr>
          <w:p w14:paraId="4C3DD187" w14:textId="77777777" w:rsidR="004C771B" w:rsidRPr="00F140F0" w:rsidRDefault="004C771B" w:rsidP="00F140F0">
            <w:pPr>
              <w:rPr>
                <w:sz w:val="20"/>
                <w:szCs w:val="20"/>
              </w:rPr>
            </w:pPr>
            <w:r w:rsidRPr="00F140F0">
              <w:rPr>
                <w:sz w:val="20"/>
                <w:szCs w:val="20"/>
              </w:rPr>
              <w:t>AUC</w:t>
            </w:r>
            <w:r w:rsidRPr="00F140F0">
              <w:rPr>
                <w:rFonts w:ascii="ZWAdobeF" w:hAnsi="ZWAdobeF" w:cs="ZWAdobeF"/>
                <w:sz w:val="20"/>
                <w:szCs w:val="20"/>
              </w:rPr>
              <w:t>R</w:t>
            </w:r>
            <w:r w:rsidRPr="00F140F0">
              <w:rPr>
                <w:sz w:val="20"/>
                <w:szCs w:val="20"/>
                <w:vertAlign w:val="subscript"/>
              </w:rPr>
              <w:t>0–24</w:t>
            </w:r>
            <w:r w:rsidRPr="00F140F0">
              <w:rPr>
                <w:w w:val="50"/>
                <w:sz w:val="20"/>
                <w:szCs w:val="20"/>
                <w:vertAlign w:val="subscript"/>
              </w:rPr>
              <w:t> </w:t>
            </w:r>
            <w:proofErr w:type="spellStart"/>
            <w:r w:rsidRPr="00F140F0">
              <w:rPr>
                <w:sz w:val="20"/>
                <w:szCs w:val="20"/>
                <w:vertAlign w:val="subscript"/>
              </w:rPr>
              <w:t>h</w:t>
            </w:r>
            <w:r w:rsidRPr="00F140F0">
              <w:rPr>
                <w:rFonts w:ascii="ZWAdobeF" w:hAnsi="ZWAdobeF" w:cs="ZWAdobeF"/>
                <w:sz w:val="20"/>
                <w:szCs w:val="20"/>
              </w:rPr>
              <w:t>R</w:t>
            </w:r>
            <w:proofErr w:type="spellEnd"/>
            <w:r w:rsidRPr="00F140F0">
              <w:rPr>
                <w:sz w:val="20"/>
                <w:szCs w:val="20"/>
              </w:rPr>
              <w:br/>
            </w:r>
            <w:proofErr w:type="spellStart"/>
            <w:r w:rsidRPr="00F140F0">
              <w:rPr>
                <w:sz w:val="20"/>
                <w:szCs w:val="20"/>
              </w:rPr>
              <w:t>μM.h</w:t>
            </w:r>
            <w:proofErr w:type="spellEnd"/>
          </w:p>
        </w:tc>
        <w:tc>
          <w:tcPr>
            <w:tcW w:w="1833" w:type="dxa"/>
          </w:tcPr>
          <w:p w14:paraId="4C3DD188" w14:textId="77777777" w:rsidR="004C771B" w:rsidRPr="00F140F0" w:rsidRDefault="004C771B" w:rsidP="00F140F0">
            <w:pPr>
              <w:rPr>
                <w:sz w:val="20"/>
                <w:szCs w:val="20"/>
              </w:rPr>
            </w:pPr>
            <w:r w:rsidRPr="00F140F0">
              <w:rPr>
                <w:sz w:val="20"/>
                <w:szCs w:val="20"/>
              </w:rPr>
              <w:t xml:space="preserve">Exposure </w:t>
            </w:r>
            <w:proofErr w:type="spellStart"/>
            <w:r w:rsidRPr="00F140F0">
              <w:rPr>
                <w:sz w:val="20"/>
                <w:szCs w:val="20"/>
              </w:rPr>
              <w:t>ratio</w:t>
            </w:r>
            <w:r w:rsidRPr="00F140F0">
              <w:rPr>
                <w:rFonts w:ascii="ZWAdobeF" w:hAnsi="ZWAdobeF" w:cs="ZWAdobeF"/>
                <w:sz w:val="20"/>
                <w:szCs w:val="20"/>
              </w:rPr>
              <w:t>P</w:t>
            </w:r>
            <w:proofErr w:type="spellEnd"/>
            <w:r w:rsidRPr="00F140F0">
              <w:rPr>
                <w:sz w:val="20"/>
                <w:szCs w:val="20"/>
                <w:vertAlign w:val="superscript"/>
              </w:rPr>
              <w:t>#</w:t>
            </w:r>
          </w:p>
        </w:tc>
      </w:tr>
      <w:tr w:rsidR="004C771B" w:rsidRPr="00F140F0" w14:paraId="4C3DD18F" w14:textId="77777777" w:rsidTr="004C771B">
        <w:trPr>
          <w:trHeight w:val="227"/>
        </w:trPr>
        <w:tc>
          <w:tcPr>
            <w:tcW w:w="1986" w:type="dxa"/>
            <w:vMerge w:val="restart"/>
          </w:tcPr>
          <w:p w14:paraId="4C3DD18A" w14:textId="2FE3DE88" w:rsidR="004C771B" w:rsidRPr="00F140F0" w:rsidRDefault="004C771B" w:rsidP="002000A4">
            <w:pPr>
              <w:rPr>
                <w:kern w:val="2"/>
                <w:sz w:val="20"/>
                <w:szCs w:val="20"/>
              </w:rPr>
            </w:pPr>
            <w:r w:rsidRPr="00F140F0">
              <w:rPr>
                <w:kern w:val="2"/>
                <w:sz w:val="20"/>
                <w:szCs w:val="20"/>
              </w:rPr>
              <w:t>Rat</w:t>
            </w:r>
            <w:r w:rsidR="002000A4">
              <w:rPr>
                <w:kern w:val="2"/>
                <w:sz w:val="20"/>
                <w:szCs w:val="20"/>
              </w:rPr>
              <w:t xml:space="preserve"> </w:t>
            </w:r>
            <w:r w:rsidRPr="00F140F0">
              <w:rPr>
                <w:kern w:val="2"/>
                <w:sz w:val="20"/>
                <w:szCs w:val="20"/>
              </w:rPr>
              <w:t>(</w:t>
            </w:r>
            <w:proofErr w:type="spellStart"/>
            <w:r w:rsidRPr="00F140F0">
              <w:rPr>
                <w:kern w:val="2"/>
                <w:sz w:val="20"/>
                <w:szCs w:val="20"/>
              </w:rPr>
              <w:t>Crl:WI</w:t>
            </w:r>
            <w:proofErr w:type="spellEnd"/>
            <w:r w:rsidRPr="00F140F0">
              <w:rPr>
                <w:kern w:val="2"/>
                <w:sz w:val="20"/>
                <w:szCs w:val="20"/>
              </w:rPr>
              <w:t>(Han))</w:t>
            </w:r>
          </w:p>
        </w:tc>
        <w:tc>
          <w:tcPr>
            <w:tcW w:w="1984" w:type="dxa"/>
            <w:vMerge w:val="restart"/>
          </w:tcPr>
          <w:p w14:paraId="4C3DD18B" w14:textId="77777777" w:rsidR="004C771B" w:rsidRPr="00F140F0" w:rsidRDefault="004C771B" w:rsidP="00F140F0">
            <w:pPr>
              <w:rPr>
                <w:kern w:val="2"/>
                <w:sz w:val="20"/>
                <w:szCs w:val="20"/>
              </w:rPr>
            </w:pPr>
            <w:r w:rsidRPr="00F140F0">
              <w:rPr>
                <w:kern w:val="2"/>
                <w:sz w:val="20"/>
                <w:szCs w:val="20"/>
              </w:rPr>
              <w:t>Fertility</w:t>
            </w:r>
          </w:p>
        </w:tc>
        <w:tc>
          <w:tcPr>
            <w:tcW w:w="1833" w:type="dxa"/>
          </w:tcPr>
          <w:p w14:paraId="4C3DD18C" w14:textId="77777777" w:rsidR="004C771B" w:rsidRPr="00F140F0" w:rsidRDefault="004C771B" w:rsidP="00F140F0">
            <w:pPr>
              <w:rPr>
                <w:sz w:val="20"/>
                <w:szCs w:val="20"/>
              </w:rPr>
            </w:pPr>
            <w:r w:rsidRPr="00F140F0">
              <w:rPr>
                <w:kern w:val="2"/>
                <w:sz w:val="20"/>
                <w:szCs w:val="20"/>
              </w:rPr>
              <w:t>50</w:t>
            </w:r>
          </w:p>
        </w:tc>
        <w:tc>
          <w:tcPr>
            <w:tcW w:w="1833" w:type="dxa"/>
          </w:tcPr>
          <w:p w14:paraId="4C3DD18D" w14:textId="77777777" w:rsidR="004C771B" w:rsidRPr="00F140F0" w:rsidRDefault="004C771B" w:rsidP="00F140F0">
            <w:pPr>
              <w:rPr>
                <w:sz w:val="20"/>
                <w:szCs w:val="20"/>
              </w:rPr>
            </w:pPr>
            <w:r w:rsidRPr="00F140F0">
              <w:rPr>
                <w:sz w:val="20"/>
                <w:szCs w:val="20"/>
              </w:rPr>
              <w:t>4.36</w:t>
            </w:r>
          </w:p>
        </w:tc>
        <w:tc>
          <w:tcPr>
            <w:tcW w:w="1833" w:type="dxa"/>
          </w:tcPr>
          <w:p w14:paraId="4C3DD18E" w14:textId="77777777" w:rsidR="004C771B" w:rsidRPr="00F140F0" w:rsidRDefault="004C771B" w:rsidP="00F140F0">
            <w:pPr>
              <w:rPr>
                <w:sz w:val="20"/>
                <w:szCs w:val="20"/>
              </w:rPr>
            </w:pPr>
            <w:r w:rsidRPr="00F140F0">
              <w:rPr>
                <w:sz w:val="20"/>
                <w:szCs w:val="20"/>
              </w:rPr>
              <w:t>1.8</w:t>
            </w:r>
          </w:p>
        </w:tc>
      </w:tr>
      <w:tr w:rsidR="004C771B" w:rsidRPr="00F140F0" w14:paraId="4C3DD195" w14:textId="77777777" w:rsidTr="004C771B">
        <w:trPr>
          <w:trHeight w:val="227"/>
        </w:trPr>
        <w:tc>
          <w:tcPr>
            <w:tcW w:w="1986" w:type="dxa"/>
            <w:vMerge/>
          </w:tcPr>
          <w:p w14:paraId="4C3DD190" w14:textId="77777777" w:rsidR="004C771B" w:rsidRPr="00F140F0" w:rsidRDefault="004C771B" w:rsidP="00F140F0">
            <w:pPr>
              <w:rPr>
                <w:kern w:val="2"/>
                <w:sz w:val="20"/>
                <w:szCs w:val="20"/>
              </w:rPr>
            </w:pPr>
          </w:p>
        </w:tc>
        <w:tc>
          <w:tcPr>
            <w:tcW w:w="1984" w:type="dxa"/>
            <w:vMerge/>
          </w:tcPr>
          <w:p w14:paraId="4C3DD191" w14:textId="77777777" w:rsidR="004C771B" w:rsidRPr="00F140F0" w:rsidRDefault="004C771B" w:rsidP="00F140F0">
            <w:pPr>
              <w:rPr>
                <w:kern w:val="2"/>
                <w:sz w:val="20"/>
                <w:szCs w:val="20"/>
              </w:rPr>
            </w:pPr>
          </w:p>
        </w:tc>
        <w:tc>
          <w:tcPr>
            <w:tcW w:w="1833" w:type="dxa"/>
          </w:tcPr>
          <w:p w14:paraId="4C3DD192" w14:textId="77777777" w:rsidR="004C771B" w:rsidRPr="00F140F0" w:rsidRDefault="004C771B" w:rsidP="00F140F0">
            <w:pPr>
              <w:rPr>
                <w:sz w:val="20"/>
                <w:szCs w:val="20"/>
              </w:rPr>
            </w:pPr>
            <w:r w:rsidRPr="00F140F0">
              <w:rPr>
                <w:kern w:val="2"/>
                <w:sz w:val="20"/>
                <w:szCs w:val="20"/>
              </w:rPr>
              <w:t>300</w:t>
            </w:r>
          </w:p>
        </w:tc>
        <w:tc>
          <w:tcPr>
            <w:tcW w:w="1833" w:type="dxa"/>
          </w:tcPr>
          <w:p w14:paraId="4C3DD193" w14:textId="77777777" w:rsidR="004C771B" w:rsidRPr="00F140F0" w:rsidRDefault="004C771B" w:rsidP="00F140F0">
            <w:pPr>
              <w:rPr>
                <w:sz w:val="20"/>
                <w:szCs w:val="20"/>
              </w:rPr>
            </w:pPr>
            <w:r w:rsidRPr="00F140F0">
              <w:rPr>
                <w:sz w:val="20"/>
                <w:szCs w:val="20"/>
              </w:rPr>
              <w:t>10.1</w:t>
            </w:r>
          </w:p>
        </w:tc>
        <w:tc>
          <w:tcPr>
            <w:tcW w:w="1833" w:type="dxa"/>
          </w:tcPr>
          <w:p w14:paraId="4C3DD194" w14:textId="77777777" w:rsidR="004C771B" w:rsidRPr="00F140F0" w:rsidRDefault="004C771B" w:rsidP="00F140F0">
            <w:pPr>
              <w:rPr>
                <w:sz w:val="20"/>
                <w:szCs w:val="20"/>
              </w:rPr>
            </w:pPr>
            <w:r w:rsidRPr="00F140F0">
              <w:rPr>
                <w:sz w:val="20"/>
                <w:szCs w:val="20"/>
              </w:rPr>
              <w:t>4</w:t>
            </w:r>
          </w:p>
        </w:tc>
      </w:tr>
      <w:tr w:rsidR="004C771B" w:rsidRPr="00F140F0" w14:paraId="4C3DD19B" w14:textId="77777777" w:rsidTr="004C771B">
        <w:trPr>
          <w:trHeight w:val="227"/>
        </w:trPr>
        <w:tc>
          <w:tcPr>
            <w:tcW w:w="1986" w:type="dxa"/>
            <w:vMerge/>
          </w:tcPr>
          <w:p w14:paraId="4C3DD196" w14:textId="77777777" w:rsidR="004C771B" w:rsidRPr="00F140F0" w:rsidRDefault="004C771B" w:rsidP="00F140F0">
            <w:pPr>
              <w:rPr>
                <w:kern w:val="2"/>
                <w:sz w:val="20"/>
                <w:szCs w:val="20"/>
              </w:rPr>
            </w:pPr>
          </w:p>
        </w:tc>
        <w:tc>
          <w:tcPr>
            <w:tcW w:w="1984" w:type="dxa"/>
            <w:vMerge/>
          </w:tcPr>
          <w:p w14:paraId="4C3DD197" w14:textId="77777777" w:rsidR="004C771B" w:rsidRPr="00F140F0" w:rsidRDefault="004C771B" w:rsidP="00F140F0">
            <w:pPr>
              <w:rPr>
                <w:kern w:val="2"/>
                <w:sz w:val="20"/>
                <w:szCs w:val="20"/>
              </w:rPr>
            </w:pPr>
          </w:p>
        </w:tc>
        <w:tc>
          <w:tcPr>
            <w:tcW w:w="1833" w:type="dxa"/>
          </w:tcPr>
          <w:p w14:paraId="4C3DD198" w14:textId="77777777" w:rsidR="004C771B" w:rsidRPr="00F140F0" w:rsidRDefault="004C771B" w:rsidP="00F140F0">
            <w:pPr>
              <w:rPr>
                <w:sz w:val="20"/>
                <w:szCs w:val="20"/>
              </w:rPr>
            </w:pPr>
            <w:r w:rsidRPr="00F140F0">
              <w:rPr>
                <w:kern w:val="2"/>
                <w:sz w:val="20"/>
                <w:szCs w:val="20"/>
              </w:rPr>
              <w:t>1000</w:t>
            </w:r>
          </w:p>
        </w:tc>
        <w:tc>
          <w:tcPr>
            <w:tcW w:w="1833" w:type="dxa"/>
          </w:tcPr>
          <w:p w14:paraId="4C3DD199" w14:textId="77777777" w:rsidR="004C771B" w:rsidRPr="00F140F0" w:rsidRDefault="004C771B" w:rsidP="00F140F0">
            <w:pPr>
              <w:rPr>
                <w:sz w:val="20"/>
                <w:szCs w:val="20"/>
              </w:rPr>
            </w:pPr>
            <w:r w:rsidRPr="00F140F0">
              <w:rPr>
                <w:sz w:val="20"/>
                <w:szCs w:val="20"/>
              </w:rPr>
              <w:t>17.3</w:t>
            </w:r>
          </w:p>
        </w:tc>
        <w:tc>
          <w:tcPr>
            <w:tcW w:w="1833" w:type="dxa"/>
          </w:tcPr>
          <w:p w14:paraId="4C3DD19A" w14:textId="77777777" w:rsidR="004C771B" w:rsidRPr="00F140F0" w:rsidRDefault="004C771B" w:rsidP="00F140F0">
            <w:pPr>
              <w:rPr>
                <w:sz w:val="20"/>
                <w:szCs w:val="20"/>
              </w:rPr>
            </w:pPr>
            <w:r w:rsidRPr="00F140F0">
              <w:rPr>
                <w:sz w:val="20"/>
                <w:szCs w:val="20"/>
              </w:rPr>
              <w:t>7</w:t>
            </w:r>
          </w:p>
        </w:tc>
      </w:tr>
      <w:tr w:rsidR="004C771B" w:rsidRPr="00F140F0" w14:paraId="4C3DD1A1" w14:textId="77777777" w:rsidTr="004C771B">
        <w:trPr>
          <w:trHeight w:val="227"/>
        </w:trPr>
        <w:tc>
          <w:tcPr>
            <w:tcW w:w="1986" w:type="dxa"/>
            <w:vMerge/>
          </w:tcPr>
          <w:p w14:paraId="4C3DD19C" w14:textId="77777777" w:rsidR="004C771B" w:rsidRPr="00F140F0" w:rsidRDefault="004C771B" w:rsidP="00F140F0">
            <w:pPr>
              <w:rPr>
                <w:kern w:val="2"/>
                <w:sz w:val="20"/>
                <w:szCs w:val="20"/>
              </w:rPr>
            </w:pPr>
          </w:p>
        </w:tc>
        <w:tc>
          <w:tcPr>
            <w:tcW w:w="1984" w:type="dxa"/>
            <w:vMerge w:val="restart"/>
          </w:tcPr>
          <w:p w14:paraId="4C3DD19D" w14:textId="77777777" w:rsidR="004C771B" w:rsidRPr="00F140F0" w:rsidRDefault="004C771B" w:rsidP="00F140F0">
            <w:pPr>
              <w:rPr>
                <w:kern w:val="2"/>
                <w:sz w:val="20"/>
                <w:szCs w:val="20"/>
              </w:rPr>
            </w:pPr>
            <w:r w:rsidRPr="00F140F0">
              <w:rPr>
                <w:kern w:val="2"/>
                <w:sz w:val="20"/>
                <w:szCs w:val="20"/>
              </w:rPr>
              <w:t>Embryofetal development</w:t>
            </w:r>
          </w:p>
        </w:tc>
        <w:tc>
          <w:tcPr>
            <w:tcW w:w="1833" w:type="dxa"/>
          </w:tcPr>
          <w:p w14:paraId="4C3DD19E" w14:textId="77777777" w:rsidR="004C771B" w:rsidRPr="00F140F0" w:rsidRDefault="004C771B" w:rsidP="00F140F0">
            <w:pPr>
              <w:rPr>
                <w:sz w:val="20"/>
                <w:szCs w:val="20"/>
              </w:rPr>
            </w:pPr>
            <w:r w:rsidRPr="00F140F0">
              <w:rPr>
                <w:kern w:val="2"/>
                <w:sz w:val="20"/>
                <w:szCs w:val="20"/>
              </w:rPr>
              <w:t>50</w:t>
            </w:r>
          </w:p>
        </w:tc>
        <w:tc>
          <w:tcPr>
            <w:tcW w:w="1833" w:type="dxa"/>
          </w:tcPr>
          <w:p w14:paraId="4C3DD19F" w14:textId="77777777" w:rsidR="004C771B" w:rsidRPr="00F140F0" w:rsidRDefault="004C771B" w:rsidP="00F140F0">
            <w:pPr>
              <w:rPr>
                <w:sz w:val="20"/>
                <w:szCs w:val="20"/>
              </w:rPr>
            </w:pPr>
            <w:r w:rsidRPr="00F140F0">
              <w:rPr>
                <w:sz w:val="20"/>
                <w:szCs w:val="20"/>
              </w:rPr>
              <w:t>4.85</w:t>
            </w:r>
          </w:p>
        </w:tc>
        <w:tc>
          <w:tcPr>
            <w:tcW w:w="1833" w:type="dxa"/>
          </w:tcPr>
          <w:p w14:paraId="4C3DD1A0" w14:textId="77777777" w:rsidR="004C771B" w:rsidRPr="00F140F0" w:rsidRDefault="004C771B" w:rsidP="00F140F0">
            <w:pPr>
              <w:rPr>
                <w:sz w:val="20"/>
                <w:szCs w:val="20"/>
              </w:rPr>
            </w:pPr>
            <w:r w:rsidRPr="00F140F0">
              <w:rPr>
                <w:kern w:val="2"/>
                <w:sz w:val="20"/>
                <w:szCs w:val="20"/>
              </w:rPr>
              <w:t>2</w:t>
            </w:r>
          </w:p>
        </w:tc>
      </w:tr>
      <w:tr w:rsidR="004C771B" w:rsidRPr="00F140F0" w14:paraId="4C3DD1A7" w14:textId="77777777" w:rsidTr="004C771B">
        <w:trPr>
          <w:trHeight w:val="227"/>
        </w:trPr>
        <w:tc>
          <w:tcPr>
            <w:tcW w:w="1986" w:type="dxa"/>
            <w:vMerge/>
          </w:tcPr>
          <w:p w14:paraId="4C3DD1A2" w14:textId="77777777" w:rsidR="004C771B" w:rsidRPr="00F140F0" w:rsidRDefault="004C771B" w:rsidP="00F140F0">
            <w:pPr>
              <w:rPr>
                <w:kern w:val="2"/>
                <w:sz w:val="20"/>
                <w:szCs w:val="20"/>
              </w:rPr>
            </w:pPr>
          </w:p>
        </w:tc>
        <w:tc>
          <w:tcPr>
            <w:tcW w:w="1984" w:type="dxa"/>
            <w:vMerge/>
          </w:tcPr>
          <w:p w14:paraId="4C3DD1A3" w14:textId="77777777" w:rsidR="004C771B" w:rsidRPr="00F140F0" w:rsidRDefault="004C771B" w:rsidP="00F140F0">
            <w:pPr>
              <w:rPr>
                <w:kern w:val="2"/>
                <w:sz w:val="20"/>
                <w:szCs w:val="20"/>
              </w:rPr>
            </w:pPr>
          </w:p>
        </w:tc>
        <w:tc>
          <w:tcPr>
            <w:tcW w:w="1833" w:type="dxa"/>
          </w:tcPr>
          <w:p w14:paraId="4C3DD1A4" w14:textId="77777777" w:rsidR="004C771B" w:rsidRPr="00F140F0" w:rsidRDefault="004C771B" w:rsidP="00F140F0">
            <w:pPr>
              <w:rPr>
                <w:sz w:val="20"/>
                <w:szCs w:val="20"/>
              </w:rPr>
            </w:pPr>
            <w:r w:rsidRPr="00F140F0">
              <w:rPr>
                <w:kern w:val="2"/>
                <w:sz w:val="20"/>
                <w:szCs w:val="20"/>
              </w:rPr>
              <w:t>300</w:t>
            </w:r>
          </w:p>
        </w:tc>
        <w:tc>
          <w:tcPr>
            <w:tcW w:w="1833" w:type="dxa"/>
          </w:tcPr>
          <w:p w14:paraId="4C3DD1A5" w14:textId="77777777" w:rsidR="004C771B" w:rsidRPr="00F140F0" w:rsidRDefault="004C771B" w:rsidP="00F140F0">
            <w:pPr>
              <w:rPr>
                <w:sz w:val="20"/>
                <w:szCs w:val="20"/>
              </w:rPr>
            </w:pPr>
            <w:r w:rsidRPr="00F140F0">
              <w:rPr>
                <w:sz w:val="20"/>
                <w:szCs w:val="20"/>
              </w:rPr>
              <w:t>11.4</w:t>
            </w:r>
          </w:p>
        </w:tc>
        <w:tc>
          <w:tcPr>
            <w:tcW w:w="1833" w:type="dxa"/>
          </w:tcPr>
          <w:p w14:paraId="4C3DD1A6" w14:textId="77777777" w:rsidR="004C771B" w:rsidRPr="00F140F0" w:rsidRDefault="004C771B" w:rsidP="00F140F0">
            <w:pPr>
              <w:rPr>
                <w:sz w:val="20"/>
                <w:szCs w:val="20"/>
              </w:rPr>
            </w:pPr>
            <w:r w:rsidRPr="00F140F0">
              <w:rPr>
                <w:kern w:val="2"/>
                <w:sz w:val="20"/>
                <w:szCs w:val="20"/>
              </w:rPr>
              <w:t>5</w:t>
            </w:r>
          </w:p>
        </w:tc>
      </w:tr>
      <w:tr w:rsidR="004C771B" w:rsidRPr="00F140F0" w14:paraId="4C3DD1AD" w14:textId="77777777" w:rsidTr="004C771B">
        <w:trPr>
          <w:trHeight w:val="227"/>
        </w:trPr>
        <w:tc>
          <w:tcPr>
            <w:tcW w:w="1986" w:type="dxa"/>
            <w:vMerge/>
          </w:tcPr>
          <w:p w14:paraId="4C3DD1A8" w14:textId="77777777" w:rsidR="004C771B" w:rsidRPr="00F140F0" w:rsidRDefault="004C771B" w:rsidP="00F140F0">
            <w:pPr>
              <w:rPr>
                <w:kern w:val="2"/>
                <w:sz w:val="20"/>
                <w:szCs w:val="20"/>
              </w:rPr>
            </w:pPr>
          </w:p>
        </w:tc>
        <w:tc>
          <w:tcPr>
            <w:tcW w:w="1984" w:type="dxa"/>
            <w:vMerge/>
          </w:tcPr>
          <w:p w14:paraId="4C3DD1A9" w14:textId="77777777" w:rsidR="004C771B" w:rsidRPr="00F140F0" w:rsidRDefault="004C771B" w:rsidP="00F140F0">
            <w:pPr>
              <w:rPr>
                <w:kern w:val="2"/>
                <w:sz w:val="20"/>
                <w:szCs w:val="20"/>
              </w:rPr>
            </w:pPr>
          </w:p>
        </w:tc>
        <w:tc>
          <w:tcPr>
            <w:tcW w:w="1833" w:type="dxa"/>
          </w:tcPr>
          <w:p w14:paraId="4C3DD1AA" w14:textId="77777777" w:rsidR="004C771B" w:rsidRPr="00F140F0" w:rsidRDefault="004C771B" w:rsidP="00F140F0">
            <w:pPr>
              <w:rPr>
                <w:sz w:val="20"/>
                <w:szCs w:val="20"/>
              </w:rPr>
            </w:pPr>
            <w:r w:rsidRPr="00F140F0">
              <w:rPr>
                <w:kern w:val="2"/>
                <w:sz w:val="20"/>
                <w:szCs w:val="20"/>
              </w:rPr>
              <w:t>1000</w:t>
            </w:r>
          </w:p>
        </w:tc>
        <w:tc>
          <w:tcPr>
            <w:tcW w:w="1833" w:type="dxa"/>
          </w:tcPr>
          <w:p w14:paraId="4C3DD1AB" w14:textId="77777777" w:rsidR="004C771B" w:rsidRPr="00F140F0" w:rsidRDefault="004C771B" w:rsidP="00F140F0">
            <w:pPr>
              <w:rPr>
                <w:sz w:val="20"/>
                <w:szCs w:val="20"/>
              </w:rPr>
            </w:pPr>
            <w:r w:rsidRPr="00F140F0">
              <w:rPr>
                <w:sz w:val="20"/>
                <w:szCs w:val="20"/>
              </w:rPr>
              <w:t>21.8</w:t>
            </w:r>
          </w:p>
        </w:tc>
        <w:tc>
          <w:tcPr>
            <w:tcW w:w="1833" w:type="dxa"/>
          </w:tcPr>
          <w:p w14:paraId="4C3DD1AC" w14:textId="77777777" w:rsidR="004C771B" w:rsidRPr="00F140F0" w:rsidRDefault="004C771B" w:rsidP="00F140F0">
            <w:pPr>
              <w:rPr>
                <w:sz w:val="20"/>
                <w:szCs w:val="20"/>
              </w:rPr>
            </w:pPr>
            <w:r w:rsidRPr="00F140F0">
              <w:rPr>
                <w:kern w:val="2"/>
                <w:sz w:val="20"/>
                <w:szCs w:val="20"/>
              </w:rPr>
              <w:t>9</w:t>
            </w:r>
          </w:p>
        </w:tc>
      </w:tr>
      <w:tr w:rsidR="004C771B" w:rsidRPr="00F140F0" w14:paraId="4C3DD1B4" w14:textId="77777777" w:rsidTr="004C771B">
        <w:trPr>
          <w:trHeight w:val="227"/>
        </w:trPr>
        <w:tc>
          <w:tcPr>
            <w:tcW w:w="1986" w:type="dxa"/>
            <w:vMerge w:val="restart"/>
          </w:tcPr>
          <w:p w14:paraId="5761919B" w14:textId="77777777" w:rsidR="002000A4" w:rsidRDefault="004C771B" w:rsidP="00F140F0">
            <w:pPr>
              <w:rPr>
                <w:kern w:val="2"/>
                <w:sz w:val="20"/>
                <w:szCs w:val="20"/>
              </w:rPr>
            </w:pPr>
            <w:r w:rsidRPr="00F140F0">
              <w:rPr>
                <w:kern w:val="2"/>
                <w:sz w:val="20"/>
                <w:szCs w:val="20"/>
              </w:rPr>
              <w:t>Rabbit</w:t>
            </w:r>
          </w:p>
          <w:p w14:paraId="4C3DD1AF" w14:textId="2082F855" w:rsidR="004C771B" w:rsidRPr="00F140F0" w:rsidRDefault="004C771B" w:rsidP="002000A4">
            <w:pPr>
              <w:rPr>
                <w:kern w:val="2"/>
                <w:sz w:val="20"/>
                <w:szCs w:val="20"/>
              </w:rPr>
            </w:pPr>
            <w:r w:rsidRPr="00F140F0">
              <w:rPr>
                <w:kern w:val="2"/>
                <w:sz w:val="20"/>
                <w:szCs w:val="20"/>
              </w:rPr>
              <w:t>(Dutch</w:t>
            </w:r>
            <w:r w:rsidR="002000A4">
              <w:rPr>
                <w:kern w:val="2"/>
                <w:sz w:val="20"/>
                <w:szCs w:val="20"/>
              </w:rPr>
              <w:t xml:space="preserve"> </w:t>
            </w:r>
            <w:r w:rsidRPr="00F140F0">
              <w:rPr>
                <w:kern w:val="2"/>
                <w:sz w:val="20"/>
                <w:szCs w:val="20"/>
              </w:rPr>
              <w:t>belted)</w:t>
            </w:r>
          </w:p>
        </w:tc>
        <w:tc>
          <w:tcPr>
            <w:tcW w:w="1984" w:type="dxa"/>
            <w:vMerge w:val="restart"/>
          </w:tcPr>
          <w:p w14:paraId="4C3DD1B0" w14:textId="77777777" w:rsidR="004C771B" w:rsidRPr="00F140F0" w:rsidRDefault="004C771B" w:rsidP="00F140F0">
            <w:pPr>
              <w:rPr>
                <w:kern w:val="2"/>
                <w:sz w:val="20"/>
                <w:szCs w:val="20"/>
              </w:rPr>
            </w:pPr>
            <w:r w:rsidRPr="00F140F0">
              <w:rPr>
                <w:kern w:val="2"/>
                <w:sz w:val="20"/>
                <w:szCs w:val="20"/>
              </w:rPr>
              <w:t>Embryofetal development</w:t>
            </w:r>
          </w:p>
        </w:tc>
        <w:tc>
          <w:tcPr>
            <w:tcW w:w="1833" w:type="dxa"/>
          </w:tcPr>
          <w:p w14:paraId="4C3DD1B1" w14:textId="77777777" w:rsidR="004C771B" w:rsidRPr="00F140F0" w:rsidRDefault="004C771B" w:rsidP="00F140F0">
            <w:pPr>
              <w:rPr>
                <w:kern w:val="2"/>
                <w:sz w:val="20"/>
                <w:szCs w:val="20"/>
              </w:rPr>
            </w:pPr>
            <w:r w:rsidRPr="00F140F0">
              <w:rPr>
                <w:kern w:val="2"/>
                <w:sz w:val="20"/>
                <w:szCs w:val="20"/>
              </w:rPr>
              <w:t>30</w:t>
            </w:r>
          </w:p>
        </w:tc>
        <w:tc>
          <w:tcPr>
            <w:tcW w:w="1833" w:type="dxa"/>
          </w:tcPr>
          <w:p w14:paraId="4C3DD1B2" w14:textId="77777777" w:rsidR="004C771B" w:rsidRPr="00F140F0" w:rsidRDefault="004C771B" w:rsidP="00F140F0">
            <w:pPr>
              <w:rPr>
                <w:kern w:val="2"/>
                <w:sz w:val="20"/>
                <w:szCs w:val="20"/>
              </w:rPr>
            </w:pPr>
            <w:r w:rsidRPr="00F140F0">
              <w:rPr>
                <w:kern w:val="2"/>
                <w:sz w:val="20"/>
                <w:szCs w:val="20"/>
              </w:rPr>
              <w:t>1.27</w:t>
            </w:r>
          </w:p>
        </w:tc>
        <w:tc>
          <w:tcPr>
            <w:tcW w:w="1833" w:type="dxa"/>
          </w:tcPr>
          <w:p w14:paraId="4C3DD1B3" w14:textId="77777777" w:rsidR="004C771B" w:rsidRPr="00F140F0" w:rsidRDefault="004C771B" w:rsidP="00F140F0">
            <w:pPr>
              <w:rPr>
                <w:kern w:val="2"/>
                <w:sz w:val="20"/>
                <w:szCs w:val="20"/>
              </w:rPr>
            </w:pPr>
            <w:r w:rsidRPr="00F140F0">
              <w:rPr>
                <w:kern w:val="2"/>
                <w:sz w:val="20"/>
                <w:szCs w:val="20"/>
              </w:rPr>
              <w:t>0.5</w:t>
            </w:r>
          </w:p>
        </w:tc>
      </w:tr>
      <w:tr w:rsidR="004C771B" w:rsidRPr="00F140F0" w14:paraId="4C3DD1BA" w14:textId="77777777" w:rsidTr="004C771B">
        <w:trPr>
          <w:trHeight w:val="227"/>
        </w:trPr>
        <w:tc>
          <w:tcPr>
            <w:tcW w:w="1986" w:type="dxa"/>
            <w:vMerge/>
          </w:tcPr>
          <w:p w14:paraId="4C3DD1B5" w14:textId="77777777" w:rsidR="004C771B" w:rsidRPr="00F140F0" w:rsidRDefault="004C771B" w:rsidP="00F140F0">
            <w:pPr>
              <w:rPr>
                <w:kern w:val="2"/>
                <w:sz w:val="20"/>
                <w:szCs w:val="20"/>
              </w:rPr>
            </w:pPr>
          </w:p>
        </w:tc>
        <w:tc>
          <w:tcPr>
            <w:tcW w:w="1984" w:type="dxa"/>
            <w:vMerge/>
          </w:tcPr>
          <w:p w14:paraId="4C3DD1B6" w14:textId="77777777" w:rsidR="004C771B" w:rsidRPr="00F140F0" w:rsidRDefault="004C771B" w:rsidP="00F140F0">
            <w:pPr>
              <w:rPr>
                <w:kern w:val="2"/>
                <w:sz w:val="20"/>
                <w:szCs w:val="20"/>
              </w:rPr>
            </w:pPr>
          </w:p>
        </w:tc>
        <w:tc>
          <w:tcPr>
            <w:tcW w:w="1833" w:type="dxa"/>
          </w:tcPr>
          <w:p w14:paraId="4C3DD1B7" w14:textId="77777777" w:rsidR="004C771B" w:rsidRPr="00F140F0" w:rsidRDefault="004C771B" w:rsidP="00F140F0">
            <w:pPr>
              <w:rPr>
                <w:sz w:val="20"/>
                <w:szCs w:val="20"/>
              </w:rPr>
            </w:pPr>
            <w:r w:rsidRPr="00F140F0">
              <w:rPr>
                <w:kern w:val="2"/>
                <w:sz w:val="20"/>
                <w:szCs w:val="20"/>
              </w:rPr>
              <w:t>100</w:t>
            </w:r>
          </w:p>
        </w:tc>
        <w:tc>
          <w:tcPr>
            <w:tcW w:w="1833" w:type="dxa"/>
          </w:tcPr>
          <w:p w14:paraId="4C3DD1B8" w14:textId="77777777" w:rsidR="004C771B" w:rsidRPr="00F140F0" w:rsidRDefault="004C771B" w:rsidP="00F140F0">
            <w:pPr>
              <w:rPr>
                <w:sz w:val="20"/>
                <w:szCs w:val="20"/>
              </w:rPr>
            </w:pPr>
            <w:r w:rsidRPr="00F140F0">
              <w:rPr>
                <w:sz w:val="20"/>
                <w:szCs w:val="20"/>
              </w:rPr>
              <w:t>4.16</w:t>
            </w:r>
          </w:p>
        </w:tc>
        <w:tc>
          <w:tcPr>
            <w:tcW w:w="1833" w:type="dxa"/>
          </w:tcPr>
          <w:p w14:paraId="4C3DD1B9" w14:textId="77777777" w:rsidR="004C771B" w:rsidRPr="00F140F0" w:rsidRDefault="004C771B" w:rsidP="00F140F0">
            <w:pPr>
              <w:rPr>
                <w:sz w:val="20"/>
                <w:szCs w:val="20"/>
              </w:rPr>
            </w:pPr>
            <w:r w:rsidRPr="00F140F0">
              <w:rPr>
                <w:kern w:val="2"/>
                <w:sz w:val="20"/>
                <w:szCs w:val="20"/>
              </w:rPr>
              <w:t>2</w:t>
            </w:r>
          </w:p>
        </w:tc>
      </w:tr>
      <w:tr w:rsidR="004C771B" w:rsidRPr="00F140F0" w14:paraId="4C3DD1C0" w14:textId="77777777" w:rsidTr="004C771B">
        <w:trPr>
          <w:trHeight w:val="227"/>
        </w:trPr>
        <w:tc>
          <w:tcPr>
            <w:tcW w:w="1986" w:type="dxa"/>
            <w:vMerge/>
          </w:tcPr>
          <w:p w14:paraId="4C3DD1BB" w14:textId="77777777" w:rsidR="004C771B" w:rsidRPr="00F140F0" w:rsidRDefault="004C771B" w:rsidP="00F140F0">
            <w:pPr>
              <w:rPr>
                <w:kern w:val="2"/>
                <w:sz w:val="20"/>
                <w:szCs w:val="20"/>
              </w:rPr>
            </w:pPr>
          </w:p>
        </w:tc>
        <w:tc>
          <w:tcPr>
            <w:tcW w:w="1984" w:type="dxa"/>
            <w:vMerge/>
          </w:tcPr>
          <w:p w14:paraId="4C3DD1BC" w14:textId="77777777" w:rsidR="004C771B" w:rsidRPr="00F140F0" w:rsidRDefault="004C771B" w:rsidP="00F140F0">
            <w:pPr>
              <w:rPr>
                <w:kern w:val="2"/>
                <w:sz w:val="20"/>
                <w:szCs w:val="20"/>
              </w:rPr>
            </w:pPr>
          </w:p>
        </w:tc>
        <w:tc>
          <w:tcPr>
            <w:tcW w:w="1833" w:type="dxa"/>
          </w:tcPr>
          <w:p w14:paraId="4C3DD1BD" w14:textId="77777777" w:rsidR="004C771B" w:rsidRPr="00F140F0" w:rsidRDefault="004C771B" w:rsidP="00F140F0">
            <w:pPr>
              <w:rPr>
                <w:sz w:val="20"/>
                <w:szCs w:val="20"/>
              </w:rPr>
            </w:pPr>
            <w:r w:rsidRPr="00F140F0">
              <w:rPr>
                <w:kern w:val="2"/>
                <w:sz w:val="20"/>
                <w:szCs w:val="20"/>
              </w:rPr>
              <w:t>1000</w:t>
            </w:r>
          </w:p>
        </w:tc>
        <w:tc>
          <w:tcPr>
            <w:tcW w:w="1833" w:type="dxa"/>
          </w:tcPr>
          <w:p w14:paraId="4C3DD1BE" w14:textId="77777777" w:rsidR="004C771B" w:rsidRPr="00F140F0" w:rsidRDefault="004C771B" w:rsidP="00F140F0">
            <w:pPr>
              <w:rPr>
                <w:sz w:val="20"/>
                <w:szCs w:val="20"/>
              </w:rPr>
            </w:pPr>
            <w:r w:rsidRPr="00F140F0">
              <w:rPr>
                <w:sz w:val="20"/>
                <w:szCs w:val="20"/>
              </w:rPr>
              <w:t>39.4</w:t>
            </w:r>
          </w:p>
        </w:tc>
        <w:tc>
          <w:tcPr>
            <w:tcW w:w="1833" w:type="dxa"/>
          </w:tcPr>
          <w:p w14:paraId="4C3DD1BF" w14:textId="77777777" w:rsidR="004C771B" w:rsidRPr="00F140F0" w:rsidRDefault="004C771B" w:rsidP="00F140F0">
            <w:pPr>
              <w:rPr>
                <w:sz w:val="20"/>
                <w:szCs w:val="20"/>
              </w:rPr>
            </w:pPr>
            <w:r w:rsidRPr="00F140F0">
              <w:rPr>
                <w:kern w:val="2"/>
                <w:sz w:val="20"/>
                <w:szCs w:val="20"/>
              </w:rPr>
              <w:t>17</w:t>
            </w:r>
          </w:p>
        </w:tc>
      </w:tr>
      <w:tr w:rsidR="004C771B" w:rsidRPr="00F140F0" w14:paraId="4C3DD1C6" w14:textId="77777777" w:rsidTr="004C771B">
        <w:trPr>
          <w:trHeight w:val="227"/>
        </w:trPr>
        <w:tc>
          <w:tcPr>
            <w:tcW w:w="1986" w:type="dxa"/>
          </w:tcPr>
          <w:p w14:paraId="4C3DD1C1" w14:textId="7CC4BB9F" w:rsidR="004C771B" w:rsidRPr="00F140F0" w:rsidRDefault="004C771B" w:rsidP="002000A4">
            <w:pPr>
              <w:rPr>
                <w:kern w:val="2"/>
                <w:sz w:val="20"/>
                <w:szCs w:val="20"/>
              </w:rPr>
            </w:pPr>
            <w:r w:rsidRPr="00F140F0">
              <w:rPr>
                <w:kern w:val="2"/>
                <w:sz w:val="20"/>
                <w:szCs w:val="20"/>
              </w:rPr>
              <w:t>Human</w:t>
            </w:r>
            <w:r w:rsidR="002000A4">
              <w:rPr>
                <w:kern w:val="2"/>
                <w:sz w:val="20"/>
                <w:szCs w:val="20"/>
              </w:rPr>
              <w:t xml:space="preserve"> </w:t>
            </w:r>
            <w:r w:rsidRPr="00F140F0">
              <w:rPr>
                <w:kern w:val="2"/>
                <w:sz w:val="20"/>
                <w:szCs w:val="20"/>
              </w:rPr>
              <w:t>(HCV positive patients)</w:t>
            </w:r>
          </w:p>
        </w:tc>
        <w:tc>
          <w:tcPr>
            <w:tcW w:w="1984" w:type="dxa"/>
          </w:tcPr>
          <w:p w14:paraId="4C3DD1C2" w14:textId="77777777" w:rsidR="004C771B" w:rsidRPr="00F140F0" w:rsidRDefault="004C771B" w:rsidP="00F140F0">
            <w:pPr>
              <w:rPr>
                <w:kern w:val="2"/>
                <w:sz w:val="20"/>
                <w:szCs w:val="20"/>
              </w:rPr>
            </w:pPr>
            <w:r w:rsidRPr="00F140F0">
              <w:rPr>
                <w:kern w:val="2"/>
                <w:sz w:val="20"/>
                <w:szCs w:val="20"/>
              </w:rPr>
              <w:t>12 weeks</w:t>
            </w:r>
          </w:p>
        </w:tc>
        <w:tc>
          <w:tcPr>
            <w:tcW w:w="1833" w:type="dxa"/>
          </w:tcPr>
          <w:p w14:paraId="4C3DD1C3" w14:textId="77777777" w:rsidR="004C771B" w:rsidRPr="00F140F0" w:rsidRDefault="004C771B" w:rsidP="00F140F0">
            <w:pPr>
              <w:rPr>
                <w:kern w:val="2"/>
                <w:sz w:val="20"/>
                <w:szCs w:val="20"/>
              </w:rPr>
            </w:pPr>
            <w:r w:rsidRPr="00F140F0">
              <w:rPr>
                <w:kern w:val="2"/>
                <w:sz w:val="20"/>
                <w:szCs w:val="20"/>
              </w:rPr>
              <w:t>[50 mg]*</w:t>
            </w:r>
          </w:p>
        </w:tc>
        <w:tc>
          <w:tcPr>
            <w:tcW w:w="1833" w:type="dxa"/>
          </w:tcPr>
          <w:p w14:paraId="4C3DD1C4" w14:textId="77777777" w:rsidR="004C771B" w:rsidRPr="00F140F0" w:rsidRDefault="004C771B" w:rsidP="00F140F0">
            <w:pPr>
              <w:rPr>
                <w:kern w:val="2"/>
                <w:sz w:val="20"/>
                <w:szCs w:val="20"/>
              </w:rPr>
            </w:pPr>
            <w:r w:rsidRPr="00F140F0">
              <w:rPr>
                <w:sz w:val="20"/>
                <w:szCs w:val="20"/>
              </w:rPr>
              <w:t>2.38</w:t>
            </w:r>
          </w:p>
        </w:tc>
        <w:tc>
          <w:tcPr>
            <w:tcW w:w="1833" w:type="dxa"/>
          </w:tcPr>
          <w:p w14:paraId="4C3DD1C5" w14:textId="77777777" w:rsidR="004C771B" w:rsidRPr="00F140F0" w:rsidRDefault="004C771B" w:rsidP="00F140F0">
            <w:pPr>
              <w:rPr>
                <w:kern w:val="2"/>
                <w:sz w:val="20"/>
                <w:szCs w:val="20"/>
              </w:rPr>
            </w:pPr>
            <w:r w:rsidRPr="00F140F0">
              <w:rPr>
                <w:kern w:val="2"/>
                <w:sz w:val="20"/>
                <w:szCs w:val="20"/>
              </w:rPr>
              <w:t>̶</w:t>
            </w:r>
          </w:p>
        </w:tc>
      </w:tr>
    </w:tbl>
    <w:p w14:paraId="4C3DD1C7" w14:textId="77777777" w:rsidR="004C771B" w:rsidRPr="00B40A58" w:rsidRDefault="004C771B" w:rsidP="004C771B">
      <w:pPr>
        <w:pStyle w:val="TableDescription"/>
      </w:pPr>
      <w:r>
        <w:rPr>
          <w:rFonts w:ascii="ZWAdobeF" w:hAnsi="ZWAdobeF" w:cs="ZWAdobeF"/>
          <w:position w:val="-2"/>
          <w:sz w:val="2"/>
          <w:szCs w:val="2"/>
        </w:rPr>
        <w:t>P</w:t>
      </w:r>
      <w:r w:rsidRPr="00062873">
        <w:rPr>
          <w:position w:val="-2"/>
          <w:vertAlign w:val="superscript"/>
        </w:rPr>
        <w:t>#</w:t>
      </w:r>
      <w:r>
        <w:rPr>
          <w:rFonts w:ascii="ZWAdobeF" w:hAnsi="ZWAdobeF" w:cs="ZWAdobeF"/>
          <w:position w:val="-2"/>
          <w:sz w:val="2"/>
          <w:szCs w:val="2"/>
        </w:rPr>
        <w:t>P</w:t>
      </w:r>
      <w:r w:rsidRPr="00062873">
        <w:t xml:space="preserve"> = animal:</w:t>
      </w:r>
      <w:r>
        <w:t xml:space="preserve"> </w:t>
      </w:r>
      <w:r w:rsidRPr="00062873">
        <w:t>human plasma AUC</w:t>
      </w:r>
      <w:r>
        <w:rPr>
          <w:rFonts w:ascii="ZWAdobeF" w:hAnsi="ZWAdobeF" w:cs="ZWAdobeF"/>
          <w:sz w:val="2"/>
          <w:szCs w:val="2"/>
        </w:rPr>
        <w:t>R</w:t>
      </w:r>
      <w:r w:rsidRPr="00062873">
        <w:rPr>
          <w:vertAlign w:val="subscript"/>
        </w:rPr>
        <w:t>0–24</w:t>
      </w:r>
      <w:r w:rsidRPr="00062873">
        <w:rPr>
          <w:w w:val="50"/>
          <w:vertAlign w:val="subscript"/>
        </w:rPr>
        <w:t> </w:t>
      </w:r>
      <w:proofErr w:type="spellStart"/>
      <w:proofErr w:type="gramStart"/>
      <w:r w:rsidRPr="00062873">
        <w:rPr>
          <w:vertAlign w:val="subscript"/>
        </w:rPr>
        <w:t>h</w:t>
      </w:r>
      <w:r>
        <w:rPr>
          <w:rFonts w:ascii="ZWAdobeF" w:hAnsi="ZWAdobeF" w:cs="ZWAdobeF"/>
          <w:sz w:val="2"/>
          <w:szCs w:val="2"/>
        </w:rPr>
        <w:t>R</w:t>
      </w:r>
      <w:proofErr w:type="spellEnd"/>
      <w:r w:rsidRPr="00062873">
        <w:t xml:space="preserve"> ;</w:t>
      </w:r>
      <w:proofErr w:type="gramEnd"/>
      <w:r w:rsidRPr="00062873">
        <w:t xml:space="preserve"> *Administered in comb</w:t>
      </w:r>
      <w:r>
        <w:t xml:space="preserve">ination with 100 mg </w:t>
      </w:r>
      <w:proofErr w:type="spellStart"/>
      <w:r>
        <w:t>grazoprevir</w:t>
      </w:r>
      <w:proofErr w:type="spellEnd"/>
      <w:r>
        <w:t xml:space="preserve">; </w:t>
      </w:r>
      <w:proofErr w:type="spellStart"/>
      <w:r>
        <w:rPr>
          <w:rFonts w:ascii="ZWAdobeF" w:hAnsi="ZWAdobeF" w:cs="ZWAdobeF"/>
          <w:sz w:val="2"/>
          <w:szCs w:val="2"/>
        </w:rPr>
        <w:t>P</w:t>
      </w:r>
      <w:r>
        <w:rPr>
          <w:vertAlign w:val="superscript"/>
        </w:rPr>
        <w:t>a</w:t>
      </w:r>
      <w:r>
        <w:rPr>
          <w:rFonts w:ascii="ZWAdobeF" w:hAnsi="ZWAdobeF" w:cs="ZWAdobeF"/>
          <w:sz w:val="2"/>
          <w:szCs w:val="2"/>
        </w:rPr>
        <w:t>P</w:t>
      </w:r>
      <w:r>
        <w:t>estimated</w:t>
      </w:r>
      <w:proofErr w:type="spellEnd"/>
      <w:r>
        <w:t xml:space="preserve"> from data in Study TT #11-6024 (4 week repeat-dose toxicity study)</w:t>
      </w:r>
    </w:p>
    <w:p w14:paraId="55F6468E" w14:textId="77777777" w:rsidR="00655550" w:rsidRDefault="00984C98" w:rsidP="00A951E8">
      <w:r w:rsidRPr="00984C98">
        <w:t xml:space="preserve">Functional fertility was unaffected in male and female rats given either agent. The NOEL was 200 mg/kg bid PO </w:t>
      </w:r>
      <w:r w:rsidR="002437C0">
        <w:t>GZR</w:t>
      </w:r>
      <w:r w:rsidRPr="00984C98">
        <w:t xml:space="preserve"> (ERRAUCR 107) and 1000 mg/kg/day (ERRAUCR 7). A small decrease in sperm counts (14%) was observed at the highest tested </w:t>
      </w:r>
      <w:r w:rsidR="002437C0">
        <w:t>EBR</w:t>
      </w:r>
      <w:r w:rsidRPr="00984C98">
        <w:t xml:space="preserve"> dose but this had no effect on reproductive performance.</w:t>
      </w:r>
    </w:p>
    <w:p w14:paraId="4C3DD1C9" w14:textId="607A7C0F" w:rsidR="00984C98" w:rsidRPr="00984C98" w:rsidRDefault="00984C98" w:rsidP="00A951E8">
      <w:r w:rsidRPr="00984C98">
        <w:t xml:space="preserve">Only limited placental transfer of </w:t>
      </w:r>
      <w:r w:rsidR="002437C0">
        <w:t>GZR</w:t>
      </w:r>
      <w:r w:rsidRPr="00984C98">
        <w:t xml:space="preserve"> and </w:t>
      </w:r>
      <w:r w:rsidR="002437C0">
        <w:t>EBR</w:t>
      </w:r>
      <w:r w:rsidRPr="00984C98">
        <w:t xml:space="preserve"> was demonstrated in rats and rabbits. No adverse embryofetal effects were observed in either rats or rabbits at the highest tested doses of </w:t>
      </w:r>
      <w:r w:rsidR="002437C0">
        <w:t>GZR</w:t>
      </w:r>
      <w:r w:rsidRPr="00984C98">
        <w:t xml:space="preserve"> (ERRAUCR 110 and 37 in rats and rabbits, respectively) and </w:t>
      </w:r>
      <w:r w:rsidR="002437C0">
        <w:t>EBR</w:t>
      </w:r>
      <w:r w:rsidRPr="00984C98">
        <w:t xml:space="preserve"> (ERRAUCR 9 and 17 in rats and rabbits, respectively). Excretion of </w:t>
      </w:r>
      <w:r w:rsidR="002437C0">
        <w:t>GZR</w:t>
      </w:r>
      <w:r w:rsidRPr="00984C98">
        <w:t xml:space="preserve"> and </w:t>
      </w:r>
      <w:r w:rsidR="002437C0">
        <w:t>EBR</w:t>
      </w:r>
      <w:r w:rsidRPr="00984C98">
        <w:t xml:space="preserve"> into milk was demonstrated in lactating rats. There was no effect on postnatal development in rats with either </w:t>
      </w:r>
      <w:r w:rsidR="002437C0">
        <w:t>GZR</w:t>
      </w:r>
      <w:r w:rsidRPr="00984C98">
        <w:t xml:space="preserve"> (</w:t>
      </w:r>
      <w:r w:rsidR="00F8211D">
        <w:t xml:space="preserve">≤ </w:t>
      </w:r>
      <w:r w:rsidRPr="00984C98">
        <w:t xml:space="preserve">200 mg/kg bid PO; estimated ERRAUCR 110) or </w:t>
      </w:r>
      <w:r w:rsidR="002437C0">
        <w:t>EBR</w:t>
      </w:r>
      <w:r w:rsidRPr="00984C98">
        <w:t xml:space="preserve"> (</w:t>
      </w:r>
      <w:r w:rsidR="00F8211D">
        <w:t>≤ </w:t>
      </w:r>
      <w:r w:rsidRPr="00984C98">
        <w:t>1000 mg/kg/day PO; estimated ERRAUCR 9).</w:t>
      </w:r>
    </w:p>
    <w:p w14:paraId="4C3DD1CA" w14:textId="77777777" w:rsidR="00984C98" w:rsidRPr="00984C98" w:rsidRDefault="00984C98" w:rsidP="00A951E8">
      <w:pPr>
        <w:pStyle w:val="Heading5"/>
        <w:rPr>
          <w:rFonts w:eastAsia="Cambria"/>
        </w:rPr>
      </w:pPr>
      <w:r w:rsidRPr="00984C98">
        <w:rPr>
          <w:rFonts w:eastAsia="Cambria"/>
        </w:rPr>
        <w:t>Pregnancy classification</w:t>
      </w:r>
    </w:p>
    <w:p w14:paraId="4C3DD1CB" w14:textId="77777777" w:rsidR="00984C98" w:rsidRPr="00984C98" w:rsidRDefault="00984C98" w:rsidP="00A951E8">
      <w:r w:rsidRPr="00984C98">
        <w:t>The sponsor has proposed Pregnancy Category B1</w:t>
      </w:r>
      <w:r w:rsidR="00F8211D">
        <w:rPr>
          <w:rStyle w:val="FootnoteReference"/>
        </w:rPr>
        <w:footnoteReference w:id="3"/>
      </w:r>
      <w:r w:rsidRPr="00984C98">
        <w:t xml:space="preserve"> which is appropriate, given no adverse effects were observed in the embryofetal development and pre/postnatal studies. Ribavirin has an Australian pregnancy category of X</w:t>
      </w:r>
      <w:r w:rsidR="00F8211D">
        <w:rPr>
          <w:rStyle w:val="FootnoteReference"/>
        </w:rPr>
        <w:footnoteReference w:id="4"/>
      </w:r>
      <w:r w:rsidRPr="00984C98">
        <w:t xml:space="preserve">, based on teratogenicity in multiple animal species, and this category will be applicable to the combination of </w:t>
      </w:r>
      <w:proofErr w:type="spellStart"/>
      <w:r w:rsidR="00D80B0A">
        <w:t>Zepatier</w:t>
      </w:r>
      <w:proofErr w:type="spellEnd"/>
      <w:r w:rsidRPr="00984C98">
        <w:t xml:space="preserve"> and ribavirin. Sofosbuvir has an Australian pregnancy category of B1.</w:t>
      </w:r>
    </w:p>
    <w:p w14:paraId="4C3DD1CC" w14:textId="77777777" w:rsidR="00984C98" w:rsidRPr="00984C98" w:rsidRDefault="00984C98" w:rsidP="00A951E8">
      <w:pPr>
        <w:pStyle w:val="Heading5"/>
        <w:rPr>
          <w:rFonts w:eastAsia="Cambria"/>
        </w:rPr>
      </w:pPr>
      <w:r w:rsidRPr="00984C98">
        <w:rPr>
          <w:rFonts w:eastAsia="Cambria"/>
        </w:rPr>
        <w:t>Local tolerance/skin sensiti</w:t>
      </w:r>
      <w:r w:rsidR="00F8211D">
        <w:rPr>
          <w:rFonts w:eastAsia="Cambria"/>
        </w:rPr>
        <w:t>s</w:t>
      </w:r>
      <w:r w:rsidRPr="00984C98">
        <w:rPr>
          <w:rFonts w:eastAsia="Cambria"/>
        </w:rPr>
        <w:t>ation</w:t>
      </w:r>
    </w:p>
    <w:p w14:paraId="4C3DD1CD" w14:textId="77777777" w:rsidR="00984C98" w:rsidRPr="00984C98" w:rsidRDefault="002437C0" w:rsidP="00A951E8">
      <w:r>
        <w:t>GZR</w:t>
      </w:r>
      <w:r w:rsidR="00984C98" w:rsidRPr="00984C98">
        <w:t xml:space="preserve"> showed no evidence of skin irritation following topical application to the skin of rabbit and </w:t>
      </w:r>
      <w:r>
        <w:t>EBR</w:t>
      </w:r>
      <w:r w:rsidR="00984C98" w:rsidRPr="00984C98">
        <w:t xml:space="preserve"> was not an irritant in the in vitro </w:t>
      </w:r>
      <w:proofErr w:type="spellStart"/>
      <w:r w:rsidR="00984C98" w:rsidRPr="00984C98">
        <w:t>EpiDerm</w:t>
      </w:r>
      <w:proofErr w:type="spellEnd"/>
      <w:r w:rsidR="00984C98" w:rsidRPr="00984C98">
        <w:t xml:space="preserve"> assay. </w:t>
      </w:r>
      <w:proofErr w:type="gramStart"/>
      <w:r w:rsidR="00984C98" w:rsidRPr="00984C98">
        <w:t xml:space="preserve">Neither </w:t>
      </w:r>
      <w:r>
        <w:t>GZR</w:t>
      </w:r>
      <w:r w:rsidR="00984C98" w:rsidRPr="00984C98">
        <w:t xml:space="preserve"> or</w:t>
      </w:r>
      <w:proofErr w:type="gramEnd"/>
      <w:r w:rsidR="00984C98" w:rsidRPr="00984C98">
        <w:t xml:space="preserve"> </w:t>
      </w:r>
      <w:r>
        <w:t>EBR</w:t>
      </w:r>
      <w:r w:rsidR="00984C98" w:rsidRPr="00984C98">
        <w:t xml:space="preserve"> were eye irritants in the in vitro bovine corneal opacity assay. There was no evidence of</w:t>
      </w:r>
      <w:r w:rsidR="00F8211D">
        <w:t xml:space="preserve"> skin sensitis</w:t>
      </w:r>
      <w:r w:rsidR="00984C98" w:rsidRPr="00984C98">
        <w:t xml:space="preserve">ation by </w:t>
      </w:r>
      <w:r>
        <w:t>GZR</w:t>
      </w:r>
      <w:r w:rsidR="00984C98" w:rsidRPr="00984C98">
        <w:t xml:space="preserve"> or </w:t>
      </w:r>
      <w:r>
        <w:t>EBR</w:t>
      </w:r>
      <w:r w:rsidR="00984C98" w:rsidRPr="00984C98">
        <w:t xml:space="preserve"> in the local lymph node assay in mice.</w:t>
      </w:r>
    </w:p>
    <w:p w14:paraId="4C3DD1CE" w14:textId="77777777" w:rsidR="00984C98" w:rsidRPr="00A951E8" w:rsidRDefault="00984C98" w:rsidP="00A951E8">
      <w:pPr>
        <w:pStyle w:val="Heading5"/>
        <w:rPr>
          <w:rFonts w:eastAsia="Cambria"/>
        </w:rPr>
      </w:pPr>
      <w:r w:rsidRPr="00984C98">
        <w:rPr>
          <w:rFonts w:eastAsia="Cambria"/>
        </w:rPr>
        <w:lastRenderedPageBreak/>
        <w:t>Phototoxicity</w:t>
      </w:r>
    </w:p>
    <w:p w14:paraId="4C3DD1CF" w14:textId="77777777" w:rsidR="00984C98" w:rsidRPr="00984C98" w:rsidRDefault="00984C98" w:rsidP="00A951E8">
      <w:r w:rsidRPr="00984C98">
        <w:t xml:space="preserve">There was no evidence of phototoxicity (either skin or ocular) in rats given </w:t>
      </w:r>
      <w:r w:rsidR="002437C0">
        <w:t>EBR</w:t>
      </w:r>
      <w:r w:rsidRPr="00984C98">
        <w:t xml:space="preserve"> or </w:t>
      </w:r>
      <w:r w:rsidR="002437C0">
        <w:t>GZR</w:t>
      </w:r>
      <w:r w:rsidRPr="00984C98">
        <w:t xml:space="preserve">, despite there being some retention of </w:t>
      </w:r>
      <w:r w:rsidR="002437C0">
        <w:t>EBR</w:t>
      </w:r>
      <w:r w:rsidRPr="00984C98">
        <w:t>-related material in the uveal tract.</w:t>
      </w:r>
    </w:p>
    <w:p w14:paraId="4C3DD1D0" w14:textId="77777777" w:rsidR="00984C98" w:rsidRPr="00984C98" w:rsidRDefault="00984C98" w:rsidP="00A951E8">
      <w:pPr>
        <w:pStyle w:val="Heading5"/>
        <w:rPr>
          <w:rFonts w:eastAsia="Cambria"/>
        </w:rPr>
      </w:pPr>
      <w:r w:rsidRPr="00984C98">
        <w:rPr>
          <w:rFonts w:eastAsia="Cambria"/>
        </w:rPr>
        <w:t>Mechanistic studies</w:t>
      </w:r>
    </w:p>
    <w:p w14:paraId="13F51D6F" w14:textId="77777777" w:rsidR="00655550" w:rsidRDefault="00984C98" w:rsidP="00A951E8">
      <w:r w:rsidRPr="00984C98">
        <w:t xml:space="preserve">Several mechanistic studies were conducted with </w:t>
      </w:r>
      <w:r w:rsidR="002437C0">
        <w:t>GZR</w:t>
      </w:r>
      <w:r w:rsidRPr="00984C98">
        <w:t xml:space="preserve"> in mice.</w:t>
      </w:r>
      <w:r w:rsidR="00D80B0A">
        <w:t xml:space="preserve"> </w:t>
      </w:r>
      <w:r w:rsidRPr="00984C98">
        <w:t xml:space="preserve">The aim of these studies was to develop an animal model for late elevation of transaminases noted in a subset of patients </w:t>
      </w:r>
      <w:r w:rsidR="0063568C">
        <w:t xml:space="preserve">who were </w:t>
      </w:r>
      <w:r w:rsidRPr="00984C98">
        <w:t xml:space="preserve">co-administered high doses of </w:t>
      </w:r>
      <w:r w:rsidR="002437C0">
        <w:t>GZR</w:t>
      </w:r>
      <w:r w:rsidRPr="00984C98">
        <w:t xml:space="preserve"> with </w:t>
      </w:r>
      <w:proofErr w:type="spellStart"/>
      <w:r w:rsidRPr="00984C98">
        <w:t>pegylated</w:t>
      </w:r>
      <w:proofErr w:type="spellEnd"/>
      <w:r w:rsidRPr="00984C98">
        <w:t>-interferon and ribavirin in clinical protocol PN003. The findings in these mechanistic studies were essentially similar to those of the repeat-dose toxicity studies in mice.</w:t>
      </w:r>
      <w:r w:rsidR="00D80B0A">
        <w:t xml:space="preserve"> </w:t>
      </w:r>
      <w:r w:rsidRPr="00984C98">
        <w:t xml:space="preserve">Some small differences in sensitivity to </w:t>
      </w:r>
      <w:r w:rsidRPr="0063568C">
        <w:t>effects on the liver were noted between different mouse strains.</w:t>
      </w:r>
      <w:r w:rsidR="00D80B0A" w:rsidRPr="0063568C">
        <w:t xml:space="preserve"> </w:t>
      </w:r>
      <w:r w:rsidRPr="0063568C">
        <w:t xml:space="preserve">Changes in bile acids, transcriptional endpoints for bile acid transport and metabolism genes, </w:t>
      </w:r>
      <w:r w:rsidR="0063568C" w:rsidRPr="0063568C">
        <w:t>serum amyloid A (</w:t>
      </w:r>
      <w:r w:rsidRPr="0063568C">
        <w:t>SAA</w:t>
      </w:r>
      <w:r w:rsidR="0063568C" w:rsidRPr="0063568C">
        <w:t>)</w:t>
      </w:r>
      <w:r w:rsidRPr="0063568C">
        <w:t xml:space="preserve"> and cytokines were measured in these studies.</w:t>
      </w:r>
      <w:r w:rsidR="00D80B0A" w:rsidRPr="0063568C">
        <w:t xml:space="preserve"> </w:t>
      </w:r>
      <w:r w:rsidRPr="0063568C">
        <w:t>Some changes were noted but the toxicological</w:t>
      </w:r>
      <w:r w:rsidRPr="00984C98">
        <w:t xml:space="preserve"> significance of the changes seen is uncertain.</w:t>
      </w:r>
    </w:p>
    <w:p w14:paraId="4C3DD1D2" w14:textId="63FDA022" w:rsidR="00984C98" w:rsidRPr="00984C98" w:rsidRDefault="00984C98" w:rsidP="00A951E8">
      <w:pPr>
        <w:pStyle w:val="Heading5"/>
        <w:rPr>
          <w:rFonts w:eastAsia="Cambria"/>
        </w:rPr>
      </w:pPr>
      <w:r w:rsidRPr="00984C98">
        <w:rPr>
          <w:rFonts w:eastAsia="Cambria"/>
        </w:rPr>
        <w:t>Impurities</w:t>
      </w:r>
    </w:p>
    <w:p w14:paraId="4C3DD1D3" w14:textId="77777777" w:rsidR="00984C98" w:rsidRPr="00984C98" w:rsidRDefault="00984C98" w:rsidP="00A951E8">
      <w:r w:rsidRPr="00984C98">
        <w:t xml:space="preserve">The proposed specifications for a number of impurities in the drug substance for </w:t>
      </w:r>
      <w:r w:rsidR="002437C0">
        <w:t>GZR</w:t>
      </w:r>
      <w:r w:rsidRPr="00984C98">
        <w:t xml:space="preserve"> and </w:t>
      </w:r>
      <w:r w:rsidR="002437C0">
        <w:t>EBR</w:t>
      </w:r>
      <w:r w:rsidRPr="00984C98">
        <w:t xml:space="preserve"> have been adequately qualified.</w:t>
      </w:r>
    </w:p>
    <w:p w14:paraId="4C3DD1D4" w14:textId="77777777" w:rsidR="00984C98" w:rsidRPr="00984C98" w:rsidRDefault="00A951E8" w:rsidP="00A951E8">
      <w:pPr>
        <w:pStyle w:val="Heading5"/>
        <w:rPr>
          <w:rFonts w:eastAsia="Cambria"/>
        </w:rPr>
      </w:pPr>
      <w:r>
        <w:rPr>
          <w:rFonts w:eastAsia="Cambria"/>
        </w:rPr>
        <w:t>P</w:t>
      </w:r>
      <w:r w:rsidR="00984C98" w:rsidRPr="00984C98">
        <w:rPr>
          <w:rFonts w:eastAsia="Cambria"/>
        </w:rPr>
        <w:t>aediatric use</w:t>
      </w:r>
    </w:p>
    <w:p w14:paraId="4C3DD1D5" w14:textId="77777777" w:rsidR="00984C98" w:rsidRDefault="00984C98" w:rsidP="00A951E8">
      <w:r w:rsidRPr="00984C98">
        <w:t xml:space="preserve">The </w:t>
      </w:r>
      <w:r w:rsidR="002437C0">
        <w:t>GZR</w:t>
      </w:r>
      <w:r w:rsidRPr="00984C98">
        <w:t>/</w:t>
      </w:r>
      <w:r w:rsidR="002437C0">
        <w:t>EBR</w:t>
      </w:r>
      <w:r w:rsidRPr="00984C98">
        <w:t xml:space="preserve"> FDC is not proposed for paediatric use and no specific studies in juvenile animals were submitted.</w:t>
      </w:r>
    </w:p>
    <w:p w14:paraId="4C3DD1D6" w14:textId="77777777" w:rsidR="008E7846" w:rsidRDefault="008E7846" w:rsidP="00F8211D">
      <w:pPr>
        <w:pStyle w:val="Heading3"/>
      </w:pPr>
      <w:bookmarkStart w:id="57" w:name="_Toc484510886"/>
      <w:r>
        <w:t>Nonclinical summary</w:t>
      </w:r>
      <w:bookmarkEnd w:id="55"/>
      <w:bookmarkEnd w:id="56"/>
      <w:bookmarkEnd w:id="57"/>
    </w:p>
    <w:p w14:paraId="147F0DF3" w14:textId="77777777" w:rsidR="00655550" w:rsidRDefault="00984C98" w:rsidP="00F8211D">
      <w:pPr>
        <w:pStyle w:val="ListBullet"/>
      </w:pPr>
      <w:bookmarkStart w:id="58" w:name="_Toc196046462"/>
      <w:bookmarkStart w:id="59" w:name="_Toc247691516"/>
      <w:bookmarkStart w:id="60" w:name="_Toc314842500"/>
      <w:bookmarkStart w:id="61" w:name="_Toc163441353"/>
      <w:bookmarkStart w:id="62" w:name="_Toc163441348"/>
      <w:r w:rsidRPr="00F8211D">
        <w:t>The overall quality of the nonclinical dossier was good, with all pivotal studies conducted according to GLP.</w:t>
      </w:r>
    </w:p>
    <w:p w14:paraId="4C3DD1D8" w14:textId="3D76E013" w:rsidR="00984C98" w:rsidRPr="00F8211D" w:rsidRDefault="00984C98" w:rsidP="00F8211D">
      <w:pPr>
        <w:pStyle w:val="ListBullet"/>
      </w:pPr>
      <w:r w:rsidRPr="00F8211D">
        <w:t xml:space="preserve">In vitro, </w:t>
      </w:r>
      <w:r w:rsidR="002437C0" w:rsidRPr="00F8211D">
        <w:t>GZR</w:t>
      </w:r>
      <w:r w:rsidRPr="00F8211D">
        <w:t xml:space="preserve"> was an inhibitor of the HCV NS3/4A protease with inhibitory activity against enzymes from all genotypes but with </w:t>
      </w:r>
      <w:r w:rsidR="002437C0" w:rsidRPr="00F8211D">
        <w:t>approximately</w:t>
      </w:r>
      <w:r w:rsidRPr="00F8211D">
        <w:t>100</w:t>
      </w:r>
      <w:r w:rsidR="00305E23">
        <w:t xml:space="preserve"> </w:t>
      </w:r>
      <w:r w:rsidRPr="00F8211D">
        <w:t>fold lower potency at the enzyme from the gt3a subtype (</w:t>
      </w:r>
      <w:r w:rsidR="00305E23">
        <w:t>compared to</w:t>
      </w:r>
      <w:r w:rsidRPr="00F8211D">
        <w:t xml:space="preserve"> the gt1 variants). Mutations at 56, 156, 158 and 168 in NS3 conferred resistance to </w:t>
      </w:r>
      <w:r w:rsidR="002437C0" w:rsidRPr="00F8211D">
        <w:t>GZR</w:t>
      </w:r>
      <w:r w:rsidRPr="00F8211D">
        <w:t xml:space="preserve">. </w:t>
      </w:r>
      <w:r w:rsidR="002437C0" w:rsidRPr="00F8211D">
        <w:t>GZR</w:t>
      </w:r>
      <w:r w:rsidRPr="00F8211D">
        <w:t xml:space="preserve"> retained activity against some genotypes that are resistant to other NS3/4A inhibitors. In chimpanzees, </w:t>
      </w:r>
      <w:r w:rsidR="002437C0" w:rsidRPr="00F8211D">
        <w:t>GZR</w:t>
      </w:r>
      <w:r w:rsidRPr="00F8211D">
        <w:t xml:space="preserve"> (at approximately the clinical dose) reduced the viral load in animals infected with either the gt1a or the gt1b subtypes or the gt1a R155K mutant. </w:t>
      </w:r>
      <w:r w:rsidR="002437C0" w:rsidRPr="00F8211D">
        <w:t>EBR</w:t>
      </w:r>
      <w:r w:rsidRPr="00F8211D">
        <w:t xml:space="preserve"> is an inhibitor of HCV NS5A with nanomolar inhibitory activity on subtypes 1a, 1b, 2a, 3a, 4a, 5a, 6 and 6d in replicon assays. Lower potency was observed against subtypes 2b, 3i and 3g. Mutations at 28, 30, 31, and 93 in NS5A conferred resistance to </w:t>
      </w:r>
      <w:r w:rsidR="002437C0" w:rsidRPr="00F8211D">
        <w:t>EBR</w:t>
      </w:r>
      <w:r w:rsidRPr="00F8211D">
        <w:t>.</w:t>
      </w:r>
    </w:p>
    <w:p w14:paraId="4C3DD1D9" w14:textId="77777777" w:rsidR="00984C98" w:rsidRPr="00F8211D" w:rsidRDefault="00984C98" w:rsidP="00F8211D">
      <w:pPr>
        <w:pStyle w:val="ListBullet"/>
      </w:pPr>
      <w:r w:rsidRPr="00F8211D">
        <w:t xml:space="preserve">In replicon assays, the combination of </w:t>
      </w:r>
      <w:r w:rsidR="002437C0" w:rsidRPr="00F8211D">
        <w:t>GZR</w:t>
      </w:r>
      <w:r w:rsidRPr="00F8211D">
        <w:t xml:space="preserve"> and </w:t>
      </w:r>
      <w:r w:rsidR="002437C0" w:rsidRPr="00F8211D">
        <w:t>EBR</w:t>
      </w:r>
      <w:r w:rsidRPr="00F8211D">
        <w:t xml:space="preserve"> was at least </w:t>
      </w:r>
      <w:proofErr w:type="gramStart"/>
      <w:r w:rsidRPr="00F8211D">
        <w:t>additive</w:t>
      </w:r>
      <w:proofErr w:type="gramEnd"/>
      <w:r w:rsidRPr="00F8211D">
        <w:t xml:space="preserve"> and fewer resistant colonies were selected with the combination than for either agent alone. The combination of </w:t>
      </w:r>
      <w:r w:rsidR="002437C0" w:rsidRPr="00F8211D">
        <w:t>EBR</w:t>
      </w:r>
      <w:r w:rsidRPr="00F8211D">
        <w:t xml:space="preserve"> with ribavirin and the combination of either </w:t>
      </w:r>
      <w:r w:rsidR="002437C0" w:rsidRPr="00F8211D">
        <w:t>GZR</w:t>
      </w:r>
      <w:r w:rsidRPr="00F8211D">
        <w:t xml:space="preserve"> or </w:t>
      </w:r>
      <w:r w:rsidR="002437C0" w:rsidRPr="00F8211D">
        <w:t>EBR</w:t>
      </w:r>
      <w:r w:rsidRPr="00F8211D">
        <w:t xml:space="preserve"> with </w:t>
      </w:r>
      <w:proofErr w:type="spellStart"/>
      <w:r w:rsidRPr="00F8211D">
        <w:t>sofosbuvir</w:t>
      </w:r>
      <w:proofErr w:type="spellEnd"/>
      <w:r w:rsidRPr="00F8211D">
        <w:t xml:space="preserve"> were additive to synergistic.</w:t>
      </w:r>
    </w:p>
    <w:p w14:paraId="4C3DD1DA" w14:textId="77777777" w:rsidR="00984C98" w:rsidRPr="00F8211D" w:rsidRDefault="00984C98" w:rsidP="00F8211D">
      <w:pPr>
        <w:pStyle w:val="ListBullet"/>
      </w:pPr>
      <w:r w:rsidRPr="00F8211D">
        <w:t xml:space="preserve">No clinically relevant inhibitory activity was observed with either </w:t>
      </w:r>
      <w:r w:rsidR="002437C0" w:rsidRPr="00F8211D">
        <w:t>GZR</w:t>
      </w:r>
      <w:r w:rsidRPr="00F8211D">
        <w:t xml:space="preserve"> or </w:t>
      </w:r>
      <w:r w:rsidR="002437C0" w:rsidRPr="00F8211D">
        <w:t>EBR</w:t>
      </w:r>
      <w:r w:rsidRPr="00F8211D">
        <w:t xml:space="preserve"> at &gt;100 receptors, ion channels and transporters. Off-target effects with the </w:t>
      </w:r>
      <w:r w:rsidR="002437C0" w:rsidRPr="00F8211D">
        <w:t>GZR</w:t>
      </w:r>
      <w:r w:rsidRPr="00F8211D">
        <w:t>/</w:t>
      </w:r>
      <w:r w:rsidR="002437C0" w:rsidRPr="00F8211D">
        <w:t>EBR</w:t>
      </w:r>
      <w:r w:rsidRPr="00F8211D">
        <w:t xml:space="preserve"> combination are not predicted during clinical use. In in vitro assays, neither </w:t>
      </w:r>
      <w:r w:rsidR="002437C0" w:rsidRPr="00F8211D">
        <w:t>GZR</w:t>
      </w:r>
      <w:r w:rsidRPr="00F8211D">
        <w:t xml:space="preserve"> nor </w:t>
      </w:r>
      <w:r w:rsidR="002437C0" w:rsidRPr="00F8211D">
        <w:t>EBR</w:t>
      </w:r>
      <w:r w:rsidRPr="00F8211D">
        <w:t xml:space="preserve"> had anti-viral activity against HIV. No antiviral activity was observed with </w:t>
      </w:r>
      <w:r w:rsidR="002437C0" w:rsidRPr="00F8211D">
        <w:t>GZR</w:t>
      </w:r>
      <w:r w:rsidRPr="00F8211D">
        <w:t xml:space="preserve"> against HBV. Neither </w:t>
      </w:r>
      <w:r w:rsidR="002437C0" w:rsidRPr="00F8211D">
        <w:t>EBR</w:t>
      </w:r>
      <w:r w:rsidRPr="00F8211D">
        <w:t xml:space="preserve"> nor </w:t>
      </w:r>
      <w:r w:rsidR="002437C0" w:rsidRPr="00F8211D">
        <w:t>GZR</w:t>
      </w:r>
      <w:r w:rsidRPr="00F8211D">
        <w:t xml:space="preserve"> had any relevant effect on the anti-viral activity of a number of HIV drugs. None of these anti-HIV drugs affected the potency of </w:t>
      </w:r>
      <w:r w:rsidR="002437C0" w:rsidRPr="00F8211D">
        <w:t>GZR</w:t>
      </w:r>
      <w:r w:rsidRPr="00F8211D">
        <w:t xml:space="preserve"> or </w:t>
      </w:r>
      <w:r w:rsidR="002437C0" w:rsidRPr="00F8211D">
        <w:t>EBR</w:t>
      </w:r>
      <w:r w:rsidRPr="00F8211D">
        <w:t xml:space="preserve"> in HCV replicon assay.</w:t>
      </w:r>
    </w:p>
    <w:p w14:paraId="4C3DD1DB" w14:textId="77777777" w:rsidR="00984C98" w:rsidRPr="00F8211D" w:rsidRDefault="00984C98" w:rsidP="00F8211D">
      <w:pPr>
        <w:pStyle w:val="ListBullet"/>
      </w:pPr>
      <w:r w:rsidRPr="00F8211D">
        <w:lastRenderedPageBreak/>
        <w:t xml:space="preserve">Based on findings in the combined set of safety studies, neither </w:t>
      </w:r>
      <w:r w:rsidR="002437C0" w:rsidRPr="00F8211D">
        <w:t>EBR</w:t>
      </w:r>
      <w:r w:rsidRPr="00F8211D">
        <w:t xml:space="preserve"> nor </w:t>
      </w:r>
      <w:r w:rsidR="002437C0" w:rsidRPr="00F8211D">
        <w:t>GZR</w:t>
      </w:r>
      <w:r w:rsidRPr="00F8211D">
        <w:t xml:space="preserve"> are expected to have any adverse effects on CNS, respiratory, gastrointestinal or cardiovascular function during clinical use.</w:t>
      </w:r>
    </w:p>
    <w:p w14:paraId="4C3DD1DC" w14:textId="77777777" w:rsidR="00984C98" w:rsidRPr="00F8211D" w:rsidRDefault="00984C98" w:rsidP="00F8211D">
      <w:pPr>
        <w:pStyle w:val="ListBullet"/>
      </w:pPr>
      <w:r w:rsidRPr="00F8211D">
        <w:t xml:space="preserve">Oral bioavailability of </w:t>
      </w:r>
      <w:r w:rsidR="002437C0" w:rsidRPr="00F8211D">
        <w:t>GZR</w:t>
      </w:r>
      <w:r w:rsidRPr="00F8211D">
        <w:t xml:space="preserve"> and </w:t>
      </w:r>
      <w:r w:rsidR="002437C0" w:rsidRPr="00F8211D">
        <w:t>EBR</w:t>
      </w:r>
      <w:r w:rsidRPr="00F8211D">
        <w:t xml:space="preserve"> was low to moderate in animals and human subjects. Both actives are P-glycoprotein substrates. Plasma protein binding by </w:t>
      </w:r>
      <w:r w:rsidR="002437C0" w:rsidRPr="00F8211D">
        <w:t>GZR</w:t>
      </w:r>
      <w:r w:rsidRPr="00F8211D">
        <w:t xml:space="preserve"> and </w:t>
      </w:r>
      <w:r w:rsidR="002437C0" w:rsidRPr="00F8211D">
        <w:t>EBR</w:t>
      </w:r>
      <w:r w:rsidRPr="00F8211D">
        <w:t xml:space="preserve"> was high to very high. Tissue distribution of </w:t>
      </w:r>
      <w:r w:rsidR="002437C0" w:rsidRPr="00F8211D">
        <w:t>GZR</w:t>
      </w:r>
      <w:r w:rsidR="00305E23">
        <w:t xml:space="preserve"> </w:t>
      </w:r>
      <w:r w:rsidRPr="00F8211D">
        <w:t xml:space="preserve">related material in rats was limited, though very high levels were observed in the liver, likely due to uptake by OATP1B-like transporters. Tissue distribution of </w:t>
      </w:r>
      <w:r w:rsidR="002437C0" w:rsidRPr="00F8211D">
        <w:t>EBR</w:t>
      </w:r>
      <w:r w:rsidR="00305E23">
        <w:t xml:space="preserve"> </w:t>
      </w:r>
      <w:r w:rsidRPr="00F8211D">
        <w:t xml:space="preserve">related material in rats was rapid and wide. Elimination of radioactivity from the uveal tract was slow, suggesting some retention in this pigmented tissue but no phototoxic reactions were observed in a specific study to assess this. In vitro studies indicated a major role for CYP3A4 in the metabolism of </w:t>
      </w:r>
      <w:r w:rsidR="002437C0" w:rsidRPr="00F8211D">
        <w:t>GZR</w:t>
      </w:r>
      <w:r w:rsidRPr="00F8211D">
        <w:t xml:space="preserve"> and </w:t>
      </w:r>
      <w:r w:rsidR="002437C0" w:rsidRPr="00F8211D">
        <w:t>EBR</w:t>
      </w:r>
      <w:r w:rsidRPr="00F8211D">
        <w:t xml:space="preserve">, though overall metabolism of the latter compound was limited. Excretion of </w:t>
      </w:r>
      <w:r w:rsidR="002437C0" w:rsidRPr="00F8211D">
        <w:t>GZR</w:t>
      </w:r>
      <w:r w:rsidRPr="00F8211D">
        <w:t xml:space="preserve"> and </w:t>
      </w:r>
      <w:r w:rsidR="002437C0" w:rsidRPr="00F8211D">
        <w:t>EBR</w:t>
      </w:r>
      <w:r w:rsidRPr="00F8211D">
        <w:t xml:space="preserve"> and/or their metabolites was predominantly via the biliary/faecal route in animals and humans.</w:t>
      </w:r>
    </w:p>
    <w:p w14:paraId="4C3DD1DD" w14:textId="77777777" w:rsidR="00984C98" w:rsidRPr="00F8211D" w:rsidRDefault="002437C0" w:rsidP="00F8211D">
      <w:pPr>
        <w:pStyle w:val="ListBullet"/>
      </w:pPr>
      <w:r w:rsidRPr="00F8211D">
        <w:t>GZR</w:t>
      </w:r>
      <w:r w:rsidR="00984C98" w:rsidRPr="00F8211D">
        <w:t xml:space="preserve"> exposures may be affected by concomitant administration of drugs that inhibit or induce CYP3A4 (shown to be the primary metabolic enzyme), P-glycoprotein or inhibitors of OATP1B1 and OATP1B3. In vitro, the HIV inhibitors, atazanavir, darunavir, lopinavir, and ritonavir, inhibited OATP1B-mediated </w:t>
      </w:r>
      <w:r w:rsidRPr="00F8211D">
        <w:t>GZR</w:t>
      </w:r>
      <w:r w:rsidR="00984C98" w:rsidRPr="00F8211D">
        <w:t xml:space="preserve"> uptake into cells at clinically</w:t>
      </w:r>
      <w:r w:rsidR="00305E23">
        <w:t xml:space="preserve"> </w:t>
      </w:r>
      <w:r w:rsidR="00984C98" w:rsidRPr="00F8211D">
        <w:t xml:space="preserve">relevant concentrations. </w:t>
      </w:r>
      <w:r w:rsidRPr="00F8211D">
        <w:t>GZR</w:t>
      </w:r>
      <w:r w:rsidR="00984C98" w:rsidRPr="00F8211D">
        <w:t xml:space="preserve"> has the potential to alter the exposures of compounds that are OATP1B1 or OATP1B3 substrates or orally-administered compounds that are substrates of MRP2 or BCRP.</w:t>
      </w:r>
    </w:p>
    <w:p w14:paraId="4C3DD1DE" w14:textId="77777777" w:rsidR="00984C98" w:rsidRPr="00F8211D" w:rsidRDefault="00984C98" w:rsidP="00F8211D">
      <w:pPr>
        <w:pStyle w:val="ListBullet"/>
      </w:pPr>
      <w:r w:rsidRPr="00F8211D">
        <w:t xml:space="preserve">Co-administration of </w:t>
      </w:r>
      <w:r w:rsidR="002437C0" w:rsidRPr="00F8211D">
        <w:t>EBR</w:t>
      </w:r>
      <w:r w:rsidRPr="00F8211D">
        <w:t xml:space="preserve"> with P-glycoprotein or CYP3A4 inducers or P-glycoprotein inhibitors may alter </w:t>
      </w:r>
      <w:r w:rsidR="002437C0" w:rsidRPr="00F8211D">
        <w:t>EBR</w:t>
      </w:r>
      <w:r w:rsidRPr="00F8211D">
        <w:t xml:space="preserve"> exposures. </w:t>
      </w:r>
      <w:r w:rsidR="002437C0" w:rsidRPr="00F8211D">
        <w:t>EBR</w:t>
      </w:r>
      <w:r w:rsidRPr="00F8211D">
        <w:t xml:space="preserve"> has the potential to alter the exposures of orally</w:t>
      </w:r>
      <w:r w:rsidR="00305E23">
        <w:t xml:space="preserve"> </w:t>
      </w:r>
      <w:r w:rsidRPr="00F8211D">
        <w:t>administered compounds that are substrates of P glycoprotein, BCRP and MRP2.</w:t>
      </w:r>
    </w:p>
    <w:p w14:paraId="5E98110D" w14:textId="77777777" w:rsidR="00655550" w:rsidRDefault="00984C98" w:rsidP="00F8211D">
      <w:pPr>
        <w:pStyle w:val="ListBullet"/>
      </w:pPr>
      <w:r w:rsidRPr="00F8211D">
        <w:t>Repeat-dose toxicity studies were performed in mice (3 months), rats (6 months) and dogs (9 months) using the oral route.</w:t>
      </w:r>
      <w:r w:rsidR="00D80B0A" w:rsidRPr="00F8211D">
        <w:t xml:space="preserve"> </w:t>
      </w:r>
      <w:r w:rsidRPr="00F8211D">
        <w:t>Adequate exposures were achieved. No clinically</w:t>
      </w:r>
      <w:r w:rsidR="00305E23">
        <w:t xml:space="preserve"> </w:t>
      </w:r>
      <w:r w:rsidRPr="00F8211D">
        <w:t>relevant findings were observed. A 4</w:t>
      </w:r>
      <w:r w:rsidR="00305E23">
        <w:t xml:space="preserve"> </w:t>
      </w:r>
      <w:r w:rsidRPr="00F8211D">
        <w:t>week study in dogs with the combination showed no new or unexpected toxicity.</w:t>
      </w:r>
      <w:r w:rsidR="00135670">
        <w:t xml:space="preserve">  </w:t>
      </w:r>
      <w:r w:rsidRPr="00F8211D">
        <w:t xml:space="preserve">The lack of combination toxicity studies with </w:t>
      </w:r>
      <w:proofErr w:type="spellStart"/>
      <w:r w:rsidR="00D80B0A" w:rsidRPr="00F8211D">
        <w:t>Zepatier</w:t>
      </w:r>
      <w:r w:rsidRPr="00F8211D">
        <w:t>P®P</w:t>
      </w:r>
      <w:proofErr w:type="spellEnd"/>
      <w:r w:rsidRPr="00F8211D">
        <w:t xml:space="preserve"> and ribavirin or </w:t>
      </w:r>
      <w:proofErr w:type="spellStart"/>
      <w:r w:rsidRPr="00F8211D">
        <w:t>sofosbuvir</w:t>
      </w:r>
      <w:proofErr w:type="spellEnd"/>
      <w:r w:rsidRPr="00F8211D">
        <w:t xml:space="preserve"> is acceptable.</w:t>
      </w:r>
    </w:p>
    <w:p w14:paraId="5B273633" w14:textId="77777777" w:rsidR="00655550" w:rsidRDefault="00984C98" w:rsidP="00F8211D">
      <w:pPr>
        <w:pStyle w:val="ListBullet"/>
      </w:pPr>
      <w:r w:rsidRPr="00F8211D">
        <w:t xml:space="preserve">Both </w:t>
      </w:r>
      <w:r w:rsidR="002437C0" w:rsidRPr="00F8211D">
        <w:t>GZR</w:t>
      </w:r>
      <w:r w:rsidRPr="00F8211D">
        <w:t xml:space="preserve"> and </w:t>
      </w:r>
      <w:r w:rsidR="002437C0" w:rsidRPr="00F8211D">
        <w:t>EBR</w:t>
      </w:r>
      <w:r w:rsidRPr="00F8211D">
        <w:t xml:space="preserve"> were negative in all genotoxicity tests conducted and are unlikely to pose a mutagenic or </w:t>
      </w:r>
      <w:proofErr w:type="spellStart"/>
      <w:r w:rsidRPr="00F8211D">
        <w:t>clastogenic</w:t>
      </w:r>
      <w:proofErr w:type="spellEnd"/>
      <w:r w:rsidRPr="00F8211D">
        <w:t xml:space="preserve"> risk to humans.</w:t>
      </w:r>
    </w:p>
    <w:p w14:paraId="4C3DD1E1" w14:textId="0AD2FC56" w:rsidR="00984C98" w:rsidRPr="00F8211D" w:rsidRDefault="00984C98" w:rsidP="00F8211D">
      <w:pPr>
        <w:pStyle w:val="ListBullet"/>
      </w:pPr>
      <w:r w:rsidRPr="00F8211D">
        <w:t xml:space="preserve">No carcinogenicity studies were conducted with </w:t>
      </w:r>
      <w:r w:rsidR="002437C0" w:rsidRPr="00F8211D">
        <w:t>GZR</w:t>
      </w:r>
      <w:r w:rsidRPr="00F8211D">
        <w:t xml:space="preserve"> or </w:t>
      </w:r>
      <w:r w:rsidR="002437C0" w:rsidRPr="00F8211D">
        <w:t>EBR</w:t>
      </w:r>
      <w:r w:rsidRPr="00F8211D">
        <w:t>, which is acceptable.</w:t>
      </w:r>
    </w:p>
    <w:p w14:paraId="4C3DD1E2" w14:textId="77777777" w:rsidR="00984C98" w:rsidRPr="00F8211D" w:rsidRDefault="00984C98" w:rsidP="00F8211D">
      <w:pPr>
        <w:pStyle w:val="ListBullet"/>
      </w:pPr>
      <w:r w:rsidRPr="00F8211D">
        <w:t>A standard set of GLP-compliant reproductive toxicity studies was submitted and examined fertility (in rats), embryofetal toxicity (rats and rabbits) and pre/postnatal development (rats). There were no drug</w:t>
      </w:r>
      <w:r w:rsidR="00305E23">
        <w:t xml:space="preserve"> </w:t>
      </w:r>
      <w:r w:rsidRPr="00F8211D">
        <w:t xml:space="preserve">related findings. Only limited placental transfer of </w:t>
      </w:r>
      <w:r w:rsidR="002437C0" w:rsidRPr="00F8211D">
        <w:t>GZR</w:t>
      </w:r>
      <w:r w:rsidRPr="00F8211D">
        <w:t xml:space="preserve"> and </w:t>
      </w:r>
      <w:r w:rsidR="002437C0" w:rsidRPr="00F8211D">
        <w:t>EBR</w:t>
      </w:r>
      <w:r w:rsidRPr="00F8211D">
        <w:t xml:space="preserve"> was demonstrated in rats and rabbits. Excretion of </w:t>
      </w:r>
      <w:r w:rsidR="002437C0" w:rsidRPr="00F8211D">
        <w:t>GZR</w:t>
      </w:r>
      <w:r w:rsidRPr="00F8211D">
        <w:t xml:space="preserve"> and </w:t>
      </w:r>
      <w:r w:rsidR="002437C0" w:rsidRPr="00F8211D">
        <w:t>EBR</w:t>
      </w:r>
      <w:r w:rsidRPr="00F8211D">
        <w:t xml:space="preserve"> into milk was demonstrated in lactating rats.</w:t>
      </w:r>
    </w:p>
    <w:p w14:paraId="4C3DD1E3" w14:textId="77777777" w:rsidR="00984C98" w:rsidRPr="00F8211D" w:rsidRDefault="00984C98" w:rsidP="00F8211D">
      <w:pPr>
        <w:pStyle w:val="ListBullet"/>
      </w:pPr>
      <w:r w:rsidRPr="00F8211D">
        <w:t>Neither compound produced phototoxic reactions in pigmented rats.</w:t>
      </w:r>
    </w:p>
    <w:p w14:paraId="4C3DD1E4" w14:textId="77777777" w:rsidR="00984C98" w:rsidRPr="00984C98" w:rsidRDefault="00984C98" w:rsidP="00F8211D">
      <w:pPr>
        <w:pStyle w:val="ListBullet"/>
      </w:pPr>
      <w:r w:rsidRPr="00F8211D">
        <w:t xml:space="preserve">The proposed specifications for a number of impurities and residual solvents in the drug substance for </w:t>
      </w:r>
      <w:r w:rsidR="002437C0" w:rsidRPr="00F8211D">
        <w:t>GZR</w:t>
      </w:r>
      <w:r w:rsidRPr="00F8211D">
        <w:t xml:space="preserve"> and </w:t>
      </w:r>
      <w:r w:rsidR="002437C0" w:rsidRPr="00F8211D">
        <w:t>EBR</w:t>
      </w:r>
      <w:r w:rsidRPr="00F8211D">
        <w:t xml:space="preserve"> have been adequately qualified.</w:t>
      </w:r>
    </w:p>
    <w:p w14:paraId="4C3DD1E5" w14:textId="1B9C3F8C" w:rsidR="00984C98" w:rsidRPr="00984C98" w:rsidRDefault="00F8211D" w:rsidP="00F8211D">
      <w:pPr>
        <w:pStyle w:val="Heading3"/>
      </w:pPr>
      <w:bookmarkStart w:id="63" w:name="_Toc484510887"/>
      <w:r>
        <w:t xml:space="preserve">Nonclinical </w:t>
      </w:r>
      <w:r w:rsidR="00F140F0">
        <w:t>conclusions a</w:t>
      </w:r>
      <w:r w:rsidR="00F140F0" w:rsidRPr="00984C98">
        <w:t>nd recommendation</w:t>
      </w:r>
      <w:bookmarkEnd w:id="63"/>
    </w:p>
    <w:p w14:paraId="4AFC32EA" w14:textId="77777777" w:rsidR="00655550" w:rsidRDefault="00984C98" w:rsidP="00984C98">
      <w:pPr>
        <w:pStyle w:val="ListBullet"/>
      </w:pPr>
      <w:r w:rsidRPr="00984C98">
        <w:t xml:space="preserve">Primary pharmacology studies support the use of the combination of </w:t>
      </w:r>
      <w:r w:rsidR="002437C0">
        <w:t>GZR</w:t>
      </w:r>
      <w:r w:rsidRPr="00984C98">
        <w:t xml:space="preserve"> and </w:t>
      </w:r>
      <w:r w:rsidR="002437C0">
        <w:t>EBR</w:t>
      </w:r>
      <w:r w:rsidRPr="00984C98">
        <w:t xml:space="preserve"> against a wide range of HCV genotypes. Combination studies support the use of these agents with ribavirin or </w:t>
      </w:r>
      <w:proofErr w:type="spellStart"/>
      <w:r w:rsidRPr="00984C98">
        <w:t>sofosbuvir</w:t>
      </w:r>
      <w:proofErr w:type="spellEnd"/>
      <w:r w:rsidRPr="00984C98">
        <w:t>.</w:t>
      </w:r>
    </w:p>
    <w:p w14:paraId="4C3DD1E7" w14:textId="0A571CE5" w:rsidR="00984C98" w:rsidRPr="00984C98" w:rsidRDefault="00984C98" w:rsidP="00984C98">
      <w:pPr>
        <w:pStyle w:val="ListBullet"/>
      </w:pPr>
      <w:r w:rsidRPr="00984C98">
        <w:t>No clinically relevant hazards were identified in safety/toxicity studies.</w:t>
      </w:r>
    </w:p>
    <w:p w14:paraId="789A6ADA" w14:textId="77777777" w:rsidR="00655550" w:rsidRDefault="00984C98" w:rsidP="00984C98">
      <w:pPr>
        <w:pStyle w:val="ListBullet"/>
      </w:pPr>
      <w:r w:rsidRPr="00984C98">
        <w:t>A number of pharmacokinetic drug interactions are possible.</w:t>
      </w:r>
    </w:p>
    <w:p w14:paraId="4C3DD1E9" w14:textId="483A1DEA" w:rsidR="00984C98" w:rsidRPr="00984C98" w:rsidRDefault="00984C98" w:rsidP="00984C98">
      <w:pPr>
        <w:pStyle w:val="ListBullet"/>
      </w:pPr>
      <w:r w:rsidRPr="00984C98">
        <w:lastRenderedPageBreak/>
        <w:t xml:space="preserve">There was no evidence of reproductive toxicity of either </w:t>
      </w:r>
      <w:r w:rsidR="002437C0">
        <w:t>GZR</w:t>
      </w:r>
      <w:r w:rsidRPr="00984C98">
        <w:t xml:space="preserve"> or </w:t>
      </w:r>
      <w:r w:rsidR="002437C0">
        <w:t>EBR</w:t>
      </w:r>
      <w:r w:rsidRPr="00984C98">
        <w:t xml:space="preserve"> and Pregnancy category B1 is appropriate. Category X is applicable when used in combination with ribavirin.</w:t>
      </w:r>
    </w:p>
    <w:p w14:paraId="09861460" w14:textId="77777777" w:rsidR="00655550" w:rsidRDefault="00984C98" w:rsidP="00984C98">
      <w:pPr>
        <w:pStyle w:val="ListBullet"/>
      </w:pPr>
      <w:r w:rsidRPr="00984C98">
        <w:t xml:space="preserve">There are no nonclinical objections to the registration of </w:t>
      </w:r>
      <w:proofErr w:type="spellStart"/>
      <w:r w:rsidR="00D80B0A">
        <w:t>Zepatier</w:t>
      </w:r>
      <w:proofErr w:type="spellEnd"/>
      <w:r w:rsidRPr="00984C98">
        <w:t xml:space="preserve"> for the proposed indication.</w:t>
      </w:r>
    </w:p>
    <w:p w14:paraId="4C3DD1EB" w14:textId="57022D06" w:rsidR="00984C98" w:rsidRDefault="00305E23" w:rsidP="00984C98">
      <w:pPr>
        <w:pStyle w:val="ListBullet"/>
      </w:pPr>
      <w:r>
        <w:t xml:space="preserve">Changes to the </w:t>
      </w:r>
      <w:r w:rsidR="00984C98" w:rsidRPr="00984C98">
        <w:t>draft nonclinical</w:t>
      </w:r>
      <w:r w:rsidR="00E13CD8">
        <w:t xml:space="preserve"> sections of the </w:t>
      </w:r>
      <w:r w:rsidR="00984C98" w:rsidRPr="00984C98">
        <w:t xml:space="preserve">Product Information </w:t>
      </w:r>
      <w:r>
        <w:t>were recommended but these are beyond the scope of this AusPAR</w:t>
      </w:r>
      <w:r w:rsidR="00984C98" w:rsidRPr="00984C98">
        <w:t>.</w:t>
      </w:r>
    </w:p>
    <w:p w14:paraId="4C3DD1EC" w14:textId="77777777" w:rsidR="008E7846" w:rsidRPr="00254787" w:rsidRDefault="008E7846" w:rsidP="00FF429F">
      <w:pPr>
        <w:pStyle w:val="Heading2"/>
      </w:pPr>
      <w:bookmarkStart w:id="64" w:name="_Toc484510888"/>
      <w:r>
        <w:t xml:space="preserve">IV. </w:t>
      </w:r>
      <w:r w:rsidRPr="00254787">
        <w:t>Clinical</w:t>
      </w:r>
      <w:bookmarkEnd w:id="58"/>
      <w:r>
        <w:t xml:space="preserve"> </w:t>
      </w:r>
      <w:r w:rsidR="003A7F6C">
        <w:t>f</w:t>
      </w:r>
      <w:r>
        <w:t>indings</w:t>
      </w:r>
      <w:bookmarkEnd w:id="59"/>
      <w:bookmarkEnd w:id="60"/>
      <w:bookmarkEnd w:id="64"/>
    </w:p>
    <w:p w14:paraId="4C3DD1ED" w14:textId="77777777" w:rsidR="00C80137" w:rsidRDefault="00C80137" w:rsidP="00D425BB">
      <w:bookmarkStart w:id="65"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4C3DD1EE" w14:textId="77777777" w:rsidR="008E7846" w:rsidRDefault="008E7846" w:rsidP="008E7846">
      <w:pPr>
        <w:pStyle w:val="Heading3"/>
      </w:pPr>
      <w:bookmarkStart w:id="66" w:name="_Toc247691517"/>
      <w:bookmarkStart w:id="67" w:name="_Toc314842501"/>
      <w:bookmarkStart w:id="68" w:name="_Toc484510889"/>
      <w:r w:rsidRPr="00254787">
        <w:t>Introduction</w:t>
      </w:r>
      <w:bookmarkEnd w:id="65"/>
      <w:bookmarkEnd w:id="66"/>
      <w:bookmarkEnd w:id="67"/>
      <w:bookmarkEnd w:id="68"/>
    </w:p>
    <w:p w14:paraId="4C3DD1EF" w14:textId="77777777" w:rsidR="00605AD4" w:rsidRPr="00CD22A7" w:rsidRDefault="00605AD4" w:rsidP="00CD22A7">
      <w:pPr>
        <w:pStyle w:val="Heading4"/>
      </w:pPr>
      <w:bookmarkStart w:id="69" w:name="_Toc196046464"/>
      <w:bookmarkStart w:id="70" w:name="_Toc247691518"/>
      <w:bookmarkStart w:id="71" w:name="_Toc314842502"/>
      <w:r w:rsidRPr="00605AD4">
        <w:t xml:space="preserve">Clinical </w:t>
      </w:r>
      <w:r w:rsidR="00EF59DC">
        <w:t>r</w:t>
      </w:r>
      <w:r w:rsidRPr="00605AD4">
        <w:t>ationale</w:t>
      </w:r>
    </w:p>
    <w:p w14:paraId="5F443D94" w14:textId="77777777" w:rsidR="00655550" w:rsidRDefault="00D15388" w:rsidP="00CD22A7">
      <w:pPr>
        <w:rPr>
          <w:color w:val="000000"/>
        </w:rPr>
      </w:pPr>
      <w:r w:rsidRPr="007B79A6">
        <w:t xml:space="preserve">Hepatitis C is the most prevalent blood-borne virus in Australia and it is estimated there are </w:t>
      </w:r>
      <w:r w:rsidR="002437C0">
        <w:t>approximately</w:t>
      </w:r>
      <w:r w:rsidRPr="007B79A6">
        <w:t>230,</w:t>
      </w:r>
      <w:r w:rsidR="00CD22A7">
        <w:t xml:space="preserve"> </w:t>
      </w:r>
      <w:r w:rsidRPr="007B79A6">
        <w:t xml:space="preserve">000 Australians living with Chronic Hepatitis C (CHC) infection. Despite recent TGA registration of several oral DAA regimens for treatment of HCV infection there remains significant unmet medical need and a lack of therapeutic options for several patient subgroups </w:t>
      </w:r>
      <w:r w:rsidR="00CD22A7">
        <w:t>for example,</w:t>
      </w:r>
      <w:r w:rsidRPr="007B79A6">
        <w:t xml:space="preserve"> interferon and ribavirin-free regimens for patients with severe renal disease on haemodialysis and patients with HCV genotype 4 or 6. </w:t>
      </w:r>
      <w:r w:rsidRPr="007B79A6">
        <w:rPr>
          <w:color w:val="000000"/>
        </w:rPr>
        <w:t>Until 2011, the standard of care treatment for chronic hepatitis C (CHC) infection was</w:t>
      </w:r>
      <w:r>
        <w:rPr>
          <w:color w:val="000000"/>
        </w:rPr>
        <w:t xml:space="preserve"> </w:t>
      </w:r>
      <w:proofErr w:type="spellStart"/>
      <w:r w:rsidRPr="007B79A6">
        <w:rPr>
          <w:color w:val="000000"/>
        </w:rPr>
        <w:t>peginterferon</w:t>
      </w:r>
      <w:proofErr w:type="spellEnd"/>
      <w:r w:rsidRPr="007B79A6">
        <w:rPr>
          <w:color w:val="000000"/>
        </w:rPr>
        <w:t xml:space="preserve"> </w:t>
      </w:r>
      <w:proofErr w:type="spellStart"/>
      <w:r w:rsidRPr="007B79A6">
        <w:rPr>
          <w:color w:val="000000"/>
        </w:rPr>
        <w:t>alfa</w:t>
      </w:r>
      <w:proofErr w:type="spellEnd"/>
      <w:r w:rsidRPr="007B79A6">
        <w:rPr>
          <w:color w:val="000000"/>
        </w:rPr>
        <w:t xml:space="preserve"> (peg-IFN) plus ribavirin (RBV) (together, abbreviated as PR) for 24 to 48</w:t>
      </w:r>
      <w:r>
        <w:rPr>
          <w:color w:val="000000"/>
        </w:rPr>
        <w:t xml:space="preserve"> weeks and</w:t>
      </w:r>
      <w:r w:rsidRPr="007B79A6">
        <w:rPr>
          <w:color w:val="000000"/>
        </w:rPr>
        <w:t xml:space="preserve"> this therapy resulted in SVR in 40</w:t>
      </w:r>
      <w:r w:rsidR="00CD22A7">
        <w:rPr>
          <w:color w:val="000000"/>
        </w:rPr>
        <w:t xml:space="preserve"> to </w:t>
      </w:r>
      <w:r w:rsidRPr="007B79A6">
        <w:rPr>
          <w:color w:val="000000"/>
        </w:rPr>
        <w:t>50% and 60</w:t>
      </w:r>
      <w:r w:rsidR="00CD22A7">
        <w:rPr>
          <w:color w:val="000000"/>
        </w:rPr>
        <w:t xml:space="preserve"> to </w:t>
      </w:r>
      <w:r w:rsidRPr="007B79A6">
        <w:rPr>
          <w:color w:val="000000"/>
        </w:rPr>
        <w:t>70%</w:t>
      </w:r>
      <w:r>
        <w:rPr>
          <w:color w:val="000000"/>
        </w:rPr>
        <w:t xml:space="preserve"> </w:t>
      </w:r>
      <w:r w:rsidRPr="007B79A6">
        <w:rPr>
          <w:color w:val="000000"/>
        </w:rPr>
        <w:t xml:space="preserve">of treated GT1/GT4 and GT2/GT3 patients, respectively. However, </w:t>
      </w:r>
      <w:r>
        <w:rPr>
          <w:color w:val="000000"/>
        </w:rPr>
        <w:t>net benefit of this therapy was limited by major AEs and poor tolerability.</w:t>
      </w:r>
    </w:p>
    <w:p w14:paraId="5B0E75C5" w14:textId="77777777" w:rsidR="00655550" w:rsidRDefault="00D15388" w:rsidP="00CD22A7">
      <w:pPr>
        <w:rPr>
          <w:color w:val="000000"/>
        </w:rPr>
      </w:pPr>
      <w:r>
        <w:rPr>
          <w:color w:val="000000"/>
        </w:rPr>
        <w:t xml:space="preserve">A better </w:t>
      </w:r>
      <w:r w:rsidRPr="007B79A6">
        <w:rPr>
          <w:color w:val="000000"/>
        </w:rPr>
        <w:t>understanding of the biology of HCV led to the development of DAAs, medicines that directly target HCV proteins critical to viral replication.</w:t>
      </w:r>
      <w:r>
        <w:rPr>
          <w:color w:val="000000"/>
        </w:rPr>
        <w:t xml:space="preserve"> </w:t>
      </w:r>
      <w:r w:rsidRPr="007B79A6">
        <w:rPr>
          <w:color w:val="000000"/>
        </w:rPr>
        <w:t>These DAAs inhibit one of three major viral proteins: the NS3/4a protease, the NS5A</w:t>
      </w:r>
      <w:r>
        <w:rPr>
          <w:color w:val="000000"/>
        </w:rPr>
        <w:t xml:space="preserve"> </w:t>
      </w:r>
      <w:r w:rsidRPr="007B79A6">
        <w:rPr>
          <w:color w:val="000000"/>
        </w:rPr>
        <w:t>protein, and NS5B RNA polymerase. Due to genotype-specific differences among these</w:t>
      </w:r>
      <w:r>
        <w:rPr>
          <w:color w:val="000000"/>
        </w:rPr>
        <w:t xml:space="preserve"> </w:t>
      </w:r>
      <w:r w:rsidRPr="007B79A6">
        <w:rPr>
          <w:color w:val="000000"/>
        </w:rPr>
        <w:t>proteins, the potency of DAAs may vary by genotype.</w:t>
      </w:r>
      <w:r>
        <w:rPr>
          <w:color w:val="000000"/>
        </w:rPr>
        <w:t xml:space="preserve"> </w:t>
      </w:r>
      <w:r w:rsidRPr="007B79A6">
        <w:rPr>
          <w:color w:val="000000"/>
        </w:rPr>
        <w:t xml:space="preserve">The first generation of DAAs, including the NS3/4A protease inhibitors (PIs) </w:t>
      </w:r>
      <w:proofErr w:type="spellStart"/>
      <w:r w:rsidRPr="007B79A6">
        <w:rPr>
          <w:color w:val="000000"/>
        </w:rPr>
        <w:t>boceprevir</w:t>
      </w:r>
      <w:proofErr w:type="spellEnd"/>
      <w:r w:rsidRPr="007B79A6">
        <w:rPr>
          <w:color w:val="000000"/>
        </w:rPr>
        <w:t>,</w:t>
      </w:r>
      <w:r>
        <w:rPr>
          <w:color w:val="000000"/>
        </w:rPr>
        <w:t xml:space="preserve"> </w:t>
      </w:r>
      <w:proofErr w:type="spellStart"/>
      <w:r w:rsidRPr="007B79A6">
        <w:rPr>
          <w:color w:val="000000"/>
        </w:rPr>
        <w:t>telaprevir</w:t>
      </w:r>
      <w:proofErr w:type="spellEnd"/>
      <w:r w:rsidRPr="007B79A6">
        <w:rPr>
          <w:color w:val="000000"/>
        </w:rPr>
        <w:t xml:space="preserve"> and </w:t>
      </w:r>
      <w:proofErr w:type="spellStart"/>
      <w:r w:rsidRPr="007B79A6">
        <w:rPr>
          <w:color w:val="000000"/>
        </w:rPr>
        <w:t>simeprevir</w:t>
      </w:r>
      <w:proofErr w:type="spellEnd"/>
      <w:r w:rsidRPr="007B79A6">
        <w:rPr>
          <w:color w:val="000000"/>
        </w:rPr>
        <w:t xml:space="preserve">, were evaluated as add-ons to PR. </w:t>
      </w:r>
      <w:r>
        <w:rPr>
          <w:color w:val="000000"/>
        </w:rPr>
        <w:t>However, t</w:t>
      </w:r>
      <w:r w:rsidRPr="007B79A6">
        <w:rPr>
          <w:color w:val="000000"/>
        </w:rPr>
        <w:t>hese agents were GT1-specific</w:t>
      </w:r>
      <w:r>
        <w:rPr>
          <w:color w:val="000000"/>
        </w:rPr>
        <w:t xml:space="preserve"> and also </w:t>
      </w:r>
      <w:r w:rsidRPr="007B79A6">
        <w:rPr>
          <w:color w:val="000000"/>
        </w:rPr>
        <w:t xml:space="preserve">had low potency against commonly-found viral variants. </w:t>
      </w:r>
      <w:r>
        <w:rPr>
          <w:color w:val="000000"/>
        </w:rPr>
        <w:t>N</w:t>
      </w:r>
      <w:r w:rsidRPr="007B79A6">
        <w:rPr>
          <w:color w:val="000000"/>
        </w:rPr>
        <w:t>evertheless,</w:t>
      </w:r>
      <w:r>
        <w:rPr>
          <w:color w:val="000000"/>
        </w:rPr>
        <w:t xml:space="preserve"> </w:t>
      </w:r>
      <w:r w:rsidRPr="007B79A6">
        <w:rPr>
          <w:color w:val="000000"/>
        </w:rPr>
        <w:t>these PI/PR regimens increased the proportion of GT1 patients that achieved SVR</w:t>
      </w:r>
      <w:r>
        <w:rPr>
          <w:color w:val="000000"/>
        </w:rPr>
        <w:t xml:space="preserve"> with 80% achieving SVR12 a</w:t>
      </w:r>
      <w:r w:rsidRPr="007B79A6">
        <w:rPr>
          <w:color w:val="000000"/>
        </w:rPr>
        <w:t>mong</w:t>
      </w:r>
      <w:r>
        <w:rPr>
          <w:color w:val="000000"/>
        </w:rPr>
        <w:t xml:space="preserve"> </w:t>
      </w:r>
      <w:r w:rsidRPr="007B79A6">
        <w:rPr>
          <w:color w:val="000000"/>
        </w:rPr>
        <w:t>treatment-naï</w:t>
      </w:r>
      <w:r>
        <w:rPr>
          <w:color w:val="000000"/>
        </w:rPr>
        <w:t>ve (TN), non-cirrhotic patients.</w:t>
      </w:r>
    </w:p>
    <w:p w14:paraId="4C3DD1F2" w14:textId="57FB3433" w:rsidR="00D15388" w:rsidRPr="007B79A6" w:rsidRDefault="00D15388" w:rsidP="00CD22A7">
      <w:pPr>
        <w:rPr>
          <w:color w:val="000000"/>
        </w:rPr>
      </w:pPr>
      <w:r w:rsidRPr="00237667">
        <w:rPr>
          <w:rFonts w:eastAsia="TimesNewRoman" w:cs="TimesNewRoman"/>
        </w:rPr>
        <w:t>Since 2013, other DAAs have become available and there is now clear evidence that</w:t>
      </w:r>
      <w:r>
        <w:rPr>
          <w:rFonts w:eastAsia="TimesNewRoman" w:cs="TimesNewRoman"/>
        </w:rPr>
        <w:t xml:space="preserve"> </w:t>
      </w:r>
      <w:r w:rsidRPr="00237667">
        <w:rPr>
          <w:rFonts w:eastAsia="TimesNewRoman" w:cs="TimesNewRoman"/>
        </w:rPr>
        <w:t>interferon-free regimens, consisting of combinations of DAAs targeting different targets in</w:t>
      </w:r>
      <w:r>
        <w:rPr>
          <w:rFonts w:eastAsia="TimesNewRoman" w:cs="TimesNewRoman"/>
        </w:rPr>
        <w:t xml:space="preserve"> </w:t>
      </w:r>
      <w:r w:rsidRPr="00237667">
        <w:rPr>
          <w:rFonts w:eastAsia="TimesNewRoman" w:cs="TimesNewRoman"/>
        </w:rPr>
        <w:t>the HCV life cycle, can be highly effective in clearing chronic HCV infection</w:t>
      </w:r>
      <w:r w:rsidRPr="00237667">
        <w:rPr>
          <w:color w:val="000000"/>
        </w:rPr>
        <w:t xml:space="preserve"> Although these interferon-free regimens were better tolerated, adverse events (AE) related to RBV (</w:t>
      </w:r>
      <w:r w:rsidR="00CD22A7">
        <w:rPr>
          <w:color w:val="000000"/>
        </w:rPr>
        <w:t>for example</w:t>
      </w:r>
      <w:r w:rsidRPr="00237667">
        <w:rPr>
          <w:color w:val="000000"/>
        </w:rPr>
        <w:t>, anaemia, fatigue, gastrointestinal symptoms) remained. Therapy required administration of multiple tablets daily, as well as stringent pregnancy precautions</w:t>
      </w:r>
      <w:r w:rsidRPr="007B79A6">
        <w:rPr>
          <w:color w:val="000000"/>
        </w:rPr>
        <w:t>.</w:t>
      </w:r>
      <w:r>
        <w:rPr>
          <w:color w:val="000000"/>
        </w:rPr>
        <w:t xml:space="preserve"> </w:t>
      </w:r>
      <w:r w:rsidRPr="007B79A6">
        <w:rPr>
          <w:color w:val="000000"/>
        </w:rPr>
        <w:t>An understanding of HCV biology and the results of the cl</w:t>
      </w:r>
      <w:r>
        <w:rPr>
          <w:color w:val="000000"/>
        </w:rPr>
        <w:t xml:space="preserve">inical studies with single DAAs </w:t>
      </w:r>
      <w:r w:rsidRPr="007B79A6">
        <w:rPr>
          <w:color w:val="000000"/>
        </w:rPr>
        <w:t>suggest that a highly efficacious interferon-free regimen for treatment of HCV infection</w:t>
      </w:r>
      <w:r>
        <w:rPr>
          <w:color w:val="000000"/>
        </w:rPr>
        <w:t xml:space="preserve"> </w:t>
      </w:r>
      <w:r w:rsidRPr="007B79A6">
        <w:rPr>
          <w:color w:val="000000"/>
        </w:rPr>
        <w:t>requires combined therapy with at least two highly potent direct acting antivirals targeting</w:t>
      </w:r>
      <w:r>
        <w:rPr>
          <w:color w:val="000000"/>
        </w:rPr>
        <w:t xml:space="preserve"> </w:t>
      </w:r>
      <w:r w:rsidRPr="007B79A6">
        <w:rPr>
          <w:color w:val="000000"/>
        </w:rPr>
        <w:t>the HCV life-cycle. For example, an 8 or 12</w:t>
      </w:r>
      <w:r w:rsidR="000C2F8E">
        <w:rPr>
          <w:color w:val="000000"/>
        </w:rPr>
        <w:t xml:space="preserve"> </w:t>
      </w:r>
      <w:r w:rsidRPr="007B79A6">
        <w:rPr>
          <w:color w:val="000000"/>
        </w:rPr>
        <w:t xml:space="preserve">week regimen combining </w:t>
      </w:r>
      <w:proofErr w:type="spellStart"/>
      <w:r w:rsidRPr="007B79A6">
        <w:rPr>
          <w:color w:val="000000"/>
        </w:rPr>
        <w:t>sofosbuvir</w:t>
      </w:r>
      <w:proofErr w:type="spellEnd"/>
      <w:r w:rsidRPr="007B79A6">
        <w:rPr>
          <w:color w:val="000000"/>
        </w:rPr>
        <w:t xml:space="preserve"> and the</w:t>
      </w:r>
      <w:r>
        <w:rPr>
          <w:color w:val="000000"/>
        </w:rPr>
        <w:t xml:space="preserve"> </w:t>
      </w:r>
      <w:r w:rsidRPr="007B79A6">
        <w:rPr>
          <w:color w:val="000000"/>
        </w:rPr>
        <w:t xml:space="preserve">NS5A protein inhibitor (NS5AI) </w:t>
      </w:r>
      <w:proofErr w:type="spellStart"/>
      <w:r w:rsidRPr="007B79A6">
        <w:rPr>
          <w:color w:val="000000"/>
        </w:rPr>
        <w:t>ledipasvir</w:t>
      </w:r>
      <w:proofErr w:type="spellEnd"/>
      <w:r w:rsidRPr="007B79A6">
        <w:rPr>
          <w:color w:val="000000"/>
        </w:rPr>
        <w:t xml:space="preserve"> has been demonstrated to result in SVR12 in</w:t>
      </w:r>
      <w:r>
        <w:rPr>
          <w:color w:val="000000"/>
        </w:rPr>
        <w:t xml:space="preserve"> </w:t>
      </w:r>
      <w:r w:rsidRPr="007B79A6">
        <w:rPr>
          <w:color w:val="000000"/>
        </w:rPr>
        <w:t>&gt;90% of TN non-cirrhotic subjects. Among cirrhotics who failed prior PR-based therapies, a</w:t>
      </w:r>
      <w:r>
        <w:rPr>
          <w:color w:val="000000"/>
        </w:rPr>
        <w:t xml:space="preserve"> </w:t>
      </w:r>
      <w:r w:rsidRPr="007B79A6">
        <w:rPr>
          <w:color w:val="000000"/>
        </w:rPr>
        <w:t>24</w:t>
      </w:r>
      <w:r w:rsidR="000C2F8E">
        <w:rPr>
          <w:color w:val="000000"/>
        </w:rPr>
        <w:t xml:space="preserve"> </w:t>
      </w:r>
      <w:r w:rsidRPr="007B79A6">
        <w:rPr>
          <w:color w:val="000000"/>
        </w:rPr>
        <w:t xml:space="preserve">week duration, or addition of ribavirin, is needed to achieve SVR12 in </w:t>
      </w:r>
      <w:r w:rsidRPr="007B79A6">
        <w:rPr>
          <w:color w:val="000000"/>
        </w:rPr>
        <w:lastRenderedPageBreak/>
        <w:t>&gt;90% of treated</w:t>
      </w:r>
      <w:r>
        <w:rPr>
          <w:color w:val="000000"/>
        </w:rPr>
        <w:t xml:space="preserve"> </w:t>
      </w:r>
      <w:r w:rsidRPr="007B79A6">
        <w:rPr>
          <w:color w:val="000000"/>
        </w:rPr>
        <w:t>patients. Given the diversity of the HCV population as well as the virus types that cause the disease,</w:t>
      </w:r>
      <w:r>
        <w:rPr>
          <w:color w:val="000000"/>
        </w:rPr>
        <w:t xml:space="preserve"> </w:t>
      </w:r>
      <w:r w:rsidRPr="007B79A6">
        <w:rPr>
          <w:color w:val="000000"/>
        </w:rPr>
        <w:t>there is a need for several effective and well-tolerated regimens for treatment of HCV</w:t>
      </w:r>
      <w:r>
        <w:rPr>
          <w:color w:val="000000"/>
        </w:rPr>
        <w:t xml:space="preserve"> </w:t>
      </w:r>
      <w:r w:rsidRPr="007B79A6">
        <w:rPr>
          <w:color w:val="000000"/>
        </w:rPr>
        <w:t>infection.</w:t>
      </w:r>
    </w:p>
    <w:p w14:paraId="4C3DD1F3" w14:textId="73CBF931" w:rsidR="000C2F8E" w:rsidRDefault="002437C0" w:rsidP="00CD22A7">
      <w:pPr>
        <w:rPr>
          <w:color w:val="000000"/>
        </w:rPr>
      </w:pPr>
      <w:r>
        <w:rPr>
          <w:color w:val="000000"/>
        </w:rPr>
        <w:t>GZR</w:t>
      </w:r>
      <w:r w:rsidR="00D15388" w:rsidRPr="007B79A6">
        <w:rPr>
          <w:color w:val="000000"/>
        </w:rPr>
        <w:t xml:space="preserve"> is a once</w:t>
      </w:r>
      <w:r w:rsidR="000C2F8E">
        <w:rPr>
          <w:color w:val="000000"/>
        </w:rPr>
        <w:t xml:space="preserve"> </w:t>
      </w:r>
      <w:r w:rsidR="00D15388" w:rsidRPr="007B79A6">
        <w:rPr>
          <w:color w:val="000000"/>
        </w:rPr>
        <w:t xml:space="preserve">daily with a high potency against GT1, GT2, </w:t>
      </w:r>
      <w:r w:rsidR="00ED41DC">
        <w:rPr>
          <w:color w:val="000000"/>
        </w:rPr>
        <w:t>GT4</w:t>
      </w:r>
      <w:r w:rsidR="00D15388" w:rsidRPr="007B79A6">
        <w:rPr>
          <w:color w:val="000000"/>
        </w:rPr>
        <w:t xml:space="preserve">GT6, with somewhat less potency against GT3; </w:t>
      </w:r>
      <w:r w:rsidR="00D15388" w:rsidRPr="000C2F8E">
        <w:rPr>
          <w:iCs/>
          <w:color w:val="000000"/>
        </w:rPr>
        <w:t>in vitro</w:t>
      </w:r>
      <w:r w:rsidR="00D15388" w:rsidRPr="007B79A6">
        <w:rPr>
          <w:color w:val="000000"/>
        </w:rPr>
        <w:t xml:space="preserve">, it retains high potency against resistance associated variants (RAVs) that are commonly detected among individuals who fail therapies with first generation PIs such as </w:t>
      </w:r>
      <w:proofErr w:type="spellStart"/>
      <w:r w:rsidR="00D15388" w:rsidRPr="007B79A6">
        <w:rPr>
          <w:color w:val="000000"/>
        </w:rPr>
        <w:t>boceprevir</w:t>
      </w:r>
      <w:proofErr w:type="spellEnd"/>
      <w:r w:rsidR="00D15388" w:rsidRPr="007B79A6">
        <w:rPr>
          <w:color w:val="000000"/>
        </w:rPr>
        <w:t xml:space="preserve">, </w:t>
      </w:r>
      <w:proofErr w:type="spellStart"/>
      <w:r w:rsidR="00D15388" w:rsidRPr="007B79A6">
        <w:rPr>
          <w:color w:val="000000"/>
        </w:rPr>
        <w:t>telaprevir</w:t>
      </w:r>
      <w:proofErr w:type="spellEnd"/>
      <w:r w:rsidR="00D15388" w:rsidRPr="007B79A6">
        <w:rPr>
          <w:color w:val="000000"/>
        </w:rPr>
        <w:t xml:space="preserve">, and </w:t>
      </w:r>
      <w:proofErr w:type="spellStart"/>
      <w:r w:rsidR="00D15388" w:rsidRPr="007B79A6">
        <w:rPr>
          <w:color w:val="000000"/>
        </w:rPr>
        <w:t>simeprevir</w:t>
      </w:r>
      <w:proofErr w:type="spellEnd"/>
      <w:r w:rsidR="00D15388" w:rsidRPr="007B79A6">
        <w:rPr>
          <w:color w:val="000000"/>
        </w:rPr>
        <w:t>. However, efficacy was lower in cirrhotics and in patients with</w:t>
      </w:r>
      <w:r w:rsidR="00D15388">
        <w:rPr>
          <w:color w:val="000000"/>
        </w:rPr>
        <w:t xml:space="preserve"> </w:t>
      </w:r>
      <w:r w:rsidR="00D15388" w:rsidRPr="007B79A6">
        <w:rPr>
          <w:color w:val="000000"/>
        </w:rPr>
        <w:t>GT1a infection</w:t>
      </w:r>
      <w:r w:rsidR="000C2F8E">
        <w:rPr>
          <w:color w:val="000000"/>
        </w:rPr>
        <w:t>.</w:t>
      </w:r>
    </w:p>
    <w:p w14:paraId="3E1E505C" w14:textId="77777777" w:rsidR="00655550" w:rsidRDefault="002437C0" w:rsidP="00CD22A7">
      <w:pPr>
        <w:rPr>
          <w:color w:val="000000"/>
        </w:rPr>
      </w:pPr>
      <w:r>
        <w:rPr>
          <w:color w:val="000000"/>
        </w:rPr>
        <w:t>EBR</w:t>
      </w:r>
      <w:r w:rsidR="00D15388" w:rsidRPr="007B79A6">
        <w:rPr>
          <w:color w:val="000000"/>
        </w:rPr>
        <w:t xml:space="preserve"> is a once</w:t>
      </w:r>
      <w:r w:rsidR="000C2F8E">
        <w:rPr>
          <w:color w:val="000000"/>
        </w:rPr>
        <w:t xml:space="preserve"> </w:t>
      </w:r>
      <w:r w:rsidR="00D15388" w:rsidRPr="007B79A6">
        <w:rPr>
          <w:color w:val="000000"/>
        </w:rPr>
        <w:t xml:space="preserve">daily NS5AI with high </w:t>
      </w:r>
      <w:r w:rsidR="00D15388" w:rsidRPr="0063568C">
        <w:rPr>
          <w:color w:val="000000"/>
        </w:rPr>
        <w:t xml:space="preserve">potency against GT1, GT2a, GT3, GT4, GT5 and GT6; </w:t>
      </w:r>
      <w:r w:rsidR="00D15388" w:rsidRPr="0063568C">
        <w:rPr>
          <w:iCs/>
          <w:color w:val="000000"/>
        </w:rPr>
        <w:t>in vitro</w:t>
      </w:r>
      <w:r w:rsidR="00D15388" w:rsidRPr="0063568C">
        <w:rPr>
          <w:color w:val="000000"/>
        </w:rPr>
        <w:t xml:space="preserve">, it retains potency in the presence of RAVs associated with failure of other NS5A inhibitors such as </w:t>
      </w:r>
      <w:proofErr w:type="spellStart"/>
      <w:r w:rsidR="00D15388" w:rsidRPr="0063568C">
        <w:rPr>
          <w:color w:val="000000"/>
        </w:rPr>
        <w:t>daclatasvir</w:t>
      </w:r>
      <w:proofErr w:type="spellEnd"/>
      <w:r w:rsidR="00D15388" w:rsidRPr="0063568C">
        <w:rPr>
          <w:color w:val="000000"/>
        </w:rPr>
        <w:t xml:space="preserve"> and </w:t>
      </w:r>
      <w:proofErr w:type="spellStart"/>
      <w:r w:rsidR="00D15388" w:rsidRPr="0063568C">
        <w:rPr>
          <w:color w:val="000000"/>
        </w:rPr>
        <w:t>ledipasvir</w:t>
      </w:r>
      <w:proofErr w:type="spellEnd"/>
      <w:r w:rsidR="00D15388" w:rsidRPr="0063568C">
        <w:rPr>
          <w:color w:val="000000"/>
        </w:rPr>
        <w:t>. Pre-clinical data suggested that co-administration of GZR with EBR would create a highly potent regimen</w:t>
      </w:r>
      <w:r w:rsidR="00D15388" w:rsidRPr="007B79A6">
        <w:rPr>
          <w:color w:val="000000"/>
        </w:rPr>
        <w:t xml:space="preserve"> for HCV GT1 patients</w:t>
      </w:r>
      <w:r w:rsidR="00D15388">
        <w:rPr>
          <w:color w:val="000000"/>
        </w:rPr>
        <w:t xml:space="preserve"> with </w:t>
      </w:r>
      <w:r w:rsidR="00D15388" w:rsidRPr="007B79A6">
        <w:rPr>
          <w:color w:val="000000"/>
        </w:rPr>
        <w:t>potential utility in GT3 patients.</w:t>
      </w:r>
      <w:r w:rsidR="00D80B0A">
        <w:rPr>
          <w:color w:val="000000"/>
        </w:rPr>
        <w:t xml:space="preserve"> </w:t>
      </w:r>
      <w:r w:rsidR="00D15388" w:rsidRPr="007B79A6">
        <w:rPr>
          <w:color w:val="000000"/>
        </w:rPr>
        <w:t>A fixed-dose combination (FDC) of GZR/EBR has been developed, to improve compliance and convenience with a simple daily dosing regimen, low pill burden of one tablet, low potential for medication error and no potential for off-label use of individual components</w:t>
      </w:r>
      <w:r w:rsidR="00D15388">
        <w:rPr>
          <w:color w:val="000000"/>
        </w:rPr>
        <w:t>.</w:t>
      </w:r>
    </w:p>
    <w:p w14:paraId="40205403" w14:textId="77777777" w:rsidR="00655550" w:rsidRDefault="00D15388" w:rsidP="00CD22A7">
      <w:r w:rsidRPr="007B79A6">
        <w:t xml:space="preserve">HCV genotype (GT) 1 is the most prevalent genotype in Australia accounting for approximately 55% of infections. The remaining genotype distributions are 5.2% GT2, 36.8% GT3, 1.9% GT4 and 1.6% GT6. In Australia, there is currently no approved therapeutic regimen for treatment of HCV GT4 or GT6 infection that does not require concomitant administration of ribavirin or </w:t>
      </w:r>
      <w:proofErr w:type="spellStart"/>
      <w:r w:rsidRPr="007B79A6">
        <w:t>pegylated</w:t>
      </w:r>
      <w:proofErr w:type="spellEnd"/>
      <w:r w:rsidRPr="007B79A6">
        <w:t xml:space="preserve"> interferon. These drugs have poor tolerability and the treatment burden is well documented, resulting in</w:t>
      </w:r>
      <w:r>
        <w:t xml:space="preserve"> </w:t>
      </w:r>
      <w:r w:rsidR="000C2F8E">
        <w:t>adverse events (</w:t>
      </w:r>
      <w:r>
        <w:t>AEs</w:t>
      </w:r>
      <w:r w:rsidR="000C2F8E">
        <w:t>)</w:t>
      </w:r>
      <w:r w:rsidRPr="007B79A6">
        <w:t xml:space="preserve">, discontinuation of treatment and failure to achieve ‘cure’. </w:t>
      </w:r>
      <w:proofErr w:type="spellStart"/>
      <w:r w:rsidR="00D80B0A">
        <w:t>Zepatier</w:t>
      </w:r>
      <w:proofErr w:type="spellEnd"/>
      <w:r w:rsidRPr="007B79A6">
        <w:t xml:space="preserve"> would address this unmet medical need as it offers </w:t>
      </w:r>
      <w:proofErr w:type="spellStart"/>
      <w:r w:rsidRPr="007B79A6">
        <w:t>peginterferon</w:t>
      </w:r>
      <w:proofErr w:type="spellEnd"/>
      <w:r w:rsidRPr="007B79A6">
        <w:t xml:space="preserve"> and ribavirin-free dosing in these patients. This application presents clinical data in HCV GT4</w:t>
      </w:r>
      <w:r>
        <w:t xml:space="preserve"> and GT6</w:t>
      </w:r>
      <w:r w:rsidR="000C2F8E">
        <w:t xml:space="preserve"> </w:t>
      </w:r>
      <w:r>
        <w:t>infected patients.</w:t>
      </w:r>
    </w:p>
    <w:p w14:paraId="4C3DD1F6" w14:textId="2BFDBBF4" w:rsidR="00D15388" w:rsidRDefault="00D15388" w:rsidP="00CD22A7">
      <w:r w:rsidRPr="007B79A6">
        <w:t>HCV has a significant adverse effect on the progression of renal disease and outcomes of renal transplants. HCV infection and Chronic Kidney Disease (CKD) results in a burden of</w:t>
      </w:r>
      <w:r w:rsidR="00D80B0A">
        <w:t xml:space="preserve"> </w:t>
      </w:r>
      <w:r w:rsidRPr="007B79A6">
        <w:t>mortality that is greater than the sum of morbidity and mortality caused by each condition alone. There is currently no registered treatment for patients with chronic HCV infection with severe renal impairment receiving haemodialysis. The DAAs currently approved for treatment of HCV infection in Australia are not suitable for use in patients with severe renal disease as these agents are either</w:t>
      </w:r>
      <w:r>
        <w:t xml:space="preserve"> </w:t>
      </w:r>
      <w:r w:rsidRPr="007B79A6">
        <w:t>excreted primarily through the renal pathway (</w:t>
      </w:r>
      <w:r w:rsidR="000C2F8E">
        <w:t xml:space="preserve">Sofosbuvir </w:t>
      </w:r>
      <w:r w:rsidRPr="007B79A6">
        <w:t xml:space="preserve">based regimens or require co-administration of </w:t>
      </w:r>
      <w:proofErr w:type="spellStart"/>
      <w:r w:rsidRPr="007B79A6">
        <w:t>pegylated</w:t>
      </w:r>
      <w:proofErr w:type="spellEnd"/>
      <w:r w:rsidRPr="007B79A6">
        <w:t xml:space="preserve"> interferon and/or ribavirin. In addition to their tolerability limitations, ribavirin exacerbates renal-failure related anaemia. </w:t>
      </w:r>
      <w:r>
        <w:t>The efficacy and safety of GZR/EBR FDC (</w:t>
      </w:r>
      <w:proofErr w:type="spellStart"/>
      <w:r w:rsidR="00D80B0A">
        <w:t>Zepatier</w:t>
      </w:r>
      <w:proofErr w:type="spellEnd"/>
      <w:r>
        <w:t>) has been evaluated in a study (P052</w:t>
      </w:r>
      <w:r w:rsidR="000C2F8E">
        <w:t>) in 225 HCV patients with CKD S</w:t>
      </w:r>
      <w:r>
        <w:t>tage 4 or 5 of whom 76% were receiving haemodialysis</w:t>
      </w:r>
      <w:r w:rsidRPr="007B79A6">
        <w:t>.</w:t>
      </w:r>
    </w:p>
    <w:p w14:paraId="48FB6B6E" w14:textId="77777777" w:rsidR="00655550" w:rsidRDefault="00D15388" w:rsidP="00CD22A7">
      <w:r>
        <w:t>The proposed FDC of GZR+EBR (100/5</w:t>
      </w:r>
      <w:r w:rsidR="004C1037">
        <w:t>0 mg</w:t>
      </w:r>
      <w:r>
        <w:t>) hopes to address the unmet medical needs for subgroups of HCV</w:t>
      </w:r>
      <w:r w:rsidR="000C2F8E">
        <w:t xml:space="preserve"> </w:t>
      </w:r>
      <w:r>
        <w:t>infected subjects such as those with CKD and other ‘hard to cure’ patients such as with</w:t>
      </w:r>
      <w:r w:rsidR="00877B35">
        <w:t xml:space="preserve"> compensated</w:t>
      </w:r>
      <w:r>
        <w:t xml:space="preserve"> cirrhosis, HIV co-infection, GT4 and GT6.</w:t>
      </w:r>
    </w:p>
    <w:p w14:paraId="4C3DD1F8" w14:textId="3343BECC" w:rsidR="00605AD4" w:rsidRDefault="00605AD4" w:rsidP="00605AD4">
      <w:pPr>
        <w:pStyle w:val="Heading4"/>
      </w:pPr>
      <w:r w:rsidRPr="00605AD4">
        <w:t>Guidance</w:t>
      </w:r>
    </w:p>
    <w:p w14:paraId="4C3DD1F9" w14:textId="77777777" w:rsidR="00D15388" w:rsidRPr="00EE33AC" w:rsidRDefault="000C2F8E" w:rsidP="00CD22A7">
      <w:r>
        <w:t>The sponsor</w:t>
      </w:r>
      <w:r w:rsidR="00D15388" w:rsidRPr="00EE33AC">
        <w:t xml:space="preserve"> has sought TGA’s support in accelerating the review and registration process based on unmet clinical need in Australia for: treatment of Chronic Hepatitis C in patients with severe renal disease, including those receiving haemodialysis, and</w:t>
      </w:r>
      <w:r w:rsidR="00D15388" w:rsidRPr="00EE33AC">
        <w:rPr>
          <w:rFonts w:cs="ArialMT"/>
        </w:rPr>
        <w:t xml:space="preserve"> </w:t>
      </w:r>
      <w:r w:rsidR="00D15388" w:rsidRPr="00EE33AC">
        <w:t>the limited therapeutic options for patients with HCV genotypes 4 and 6.</w:t>
      </w:r>
    </w:p>
    <w:p w14:paraId="4C3DD1FA" w14:textId="77B91E84" w:rsidR="00D15388" w:rsidRDefault="00D15388" w:rsidP="00CD22A7">
      <w:r w:rsidRPr="009213E5">
        <w:t xml:space="preserve">Breakthrough Therapy designation was granted on October 18, 2013 for </w:t>
      </w:r>
      <w:r w:rsidR="00B56917">
        <w:t>GZR</w:t>
      </w:r>
      <w:r w:rsidRPr="009213E5">
        <w:t>/</w:t>
      </w:r>
      <w:r w:rsidR="00B56917">
        <w:t>EBR</w:t>
      </w:r>
      <w:r w:rsidR="00CD165F">
        <w:t xml:space="preserve"> </w:t>
      </w:r>
      <w:r w:rsidRPr="009213E5">
        <w:t>for the treatment of chronic HCV GT1 infection. This designation was rescinded on April 1,</w:t>
      </w:r>
      <w:r>
        <w:t xml:space="preserve"> </w:t>
      </w:r>
      <w:r w:rsidRPr="009213E5">
        <w:t>2015, based on the recent approval of treatment regimens demonstrating SVR12 rates of 94</w:t>
      </w:r>
      <w:r w:rsidR="000C2F8E">
        <w:t xml:space="preserve"> to </w:t>
      </w:r>
      <w:r w:rsidRPr="009213E5">
        <w:t>100% with overall favourable safety profiles in this population. Breakthrough Therapy</w:t>
      </w:r>
      <w:r>
        <w:t xml:space="preserve"> </w:t>
      </w:r>
      <w:r w:rsidRPr="009213E5">
        <w:t xml:space="preserve">designation was granted on April 1, 2015 for </w:t>
      </w:r>
      <w:r w:rsidR="0033129C">
        <w:t>GZR</w:t>
      </w:r>
      <w:r w:rsidRPr="009213E5">
        <w:t>/</w:t>
      </w:r>
      <w:r w:rsidR="0033129C">
        <w:t>EBR</w:t>
      </w:r>
      <w:r w:rsidRPr="009213E5">
        <w:t xml:space="preserve"> for the treatment of</w:t>
      </w:r>
      <w:r>
        <w:t xml:space="preserve"> </w:t>
      </w:r>
      <w:r w:rsidRPr="009213E5">
        <w:t xml:space="preserve">chronic HCV </w:t>
      </w:r>
      <w:r w:rsidRPr="009213E5">
        <w:lastRenderedPageBreak/>
        <w:t>GT-1 infection in patients with advanced CKD disease on haemodialysis.</w:t>
      </w:r>
      <w:r>
        <w:t xml:space="preserve"> </w:t>
      </w:r>
      <w:r w:rsidRPr="009213E5">
        <w:t xml:space="preserve">Breakthrough Therapy designation was also granted on April 1, 2015 for </w:t>
      </w:r>
      <w:r w:rsidR="0033129C">
        <w:t>GZR</w:t>
      </w:r>
      <w:r w:rsidRPr="009213E5">
        <w:t>/</w:t>
      </w:r>
      <w:r w:rsidR="0033129C">
        <w:t>EBR</w:t>
      </w:r>
      <w:r w:rsidRPr="009213E5">
        <w:t xml:space="preserve"> for the treatment of patients with chronic HCV GT-4 infection.</w:t>
      </w:r>
    </w:p>
    <w:p w14:paraId="4C3DD1FB" w14:textId="77777777" w:rsidR="00D15388" w:rsidRDefault="00D15388" w:rsidP="00CD22A7">
      <w:r w:rsidRPr="009213E5">
        <w:t>Regulatory advice on the Clinical Development Program was obtained from the CHMP via a</w:t>
      </w:r>
      <w:r>
        <w:t xml:space="preserve"> </w:t>
      </w:r>
      <w:r w:rsidRPr="009213E5">
        <w:t xml:space="preserve">Scientific Advice Procedure on April 29, 2014. The proposed Phase </w:t>
      </w:r>
      <w:r w:rsidR="001B6FB6">
        <w:t>III</w:t>
      </w:r>
      <w:r w:rsidRPr="009213E5">
        <w:t xml:space="preserve"> trials were judged acceptable in terms of patient population, dose selection/treatment</w:t>
      </w:r>
      <w:r>
        <w:t xml:space="preserve"> </w:t>
      </w:r>
      <w:r w:rsidRPr="009213E5">
        <w:t>duration, primary efficacy endpoint and time</w:t>
      </w:r>
      <w:r>
        <w:t xml:space="preserve"> </w:t>
      </w:r>
      <w:r w:rsidRPr="009213E5">
        <w:t>point for assessment, statistical analysis</w:t>
      </w:r>
      <w:r>
        <w:t xml:space="preserve"> </w:t>
      </w:r>
      <w:r w:rsidRPr="009213E5">
        <w:t>approach and criteria for success. Plans for development of a fixed-dose combination tablet</w:t>
      </w:r>
      <w:r>
        <w:t xml:space="preserve"> </w:t>
      </w:r>
      <w:r w:rsidRPr="009213E5">
        <w:t>were acceptable.</w:t>
      </w:r>
    </w:p>
    <w:p w14:paraId="4C3DD1FC" w14:textId="543E9A40" w:rsidR="00D15388" w:rsidRPr="00D15388" w:rsidRDefault="00D15388" w:rsidP="00CD22A7">
      <w:r w:rsidRPr="009C6C79">
        <w:t>The TGA ha</w:t>
      </w:r>
      <w:r>
        <w:t>d</w:t>
      </w:r>
      <w:r w:rsidRPr="009C6C79">
        <w:t xml:space="preserve"> communicated that a Risk Management Plan is a requirement for this submission, and requested the submission of the current EU-RMP with an Australian Specific Annex. Th</w:t>
      </w:r>
      <w:r>
        <w:t xml:space="preserve">is has been </w:t>
      </w:r>
      <w:r w:rsidRPr="009C6C79">
        <w:t>provided in this application</w:t>
      </w:r>
      <w:r w:rsidR="00F140F0">
        <w:t>.</w:t>
      </w:r>
    </w:p>
    <w:p w14:paraId="4C3DD1FD" w14:textId="77777777" w:rsidR="00605AD4" w:rsidRDefault="00605AD4" w:rsidP="00605AD4">
      <w:pPr>
        <w:pStyle w:val="Heading4"/>
      </w:pPr>
      <w:r w:rsidRPr="00605AD4">
        <w:t>Contents of the clinical dossier</w:t>
      </w:r>
    </w:p>
    <w:p w14:paraId="4C3DD1FE" w14:textId="77777777" w:rsidR="00D15388" w:rsidRPr="00793C57" w:rsidRDefault="00D15388" w:rsidP="00CD22A7">
      <w:r w:rsidRPr="00793C57">
        <w:t>The submission contained the following clinical information:</w:t>
      </w:r>
    </w:p>
    <w:p w14:paraId="4C3DD1FF" w14:textId="77777777" w:rsidR="00D15388" w:rsidRDefault="00D15388" w:rsidP="00CD22A7">
      <w:pPr>
        <w:pStyle w:val="ListBullet"/>
      </w:pPr>
      <w:r>
        <w:t>Fifty-nine</w:t>
      </w:r>
      <w:r w:rsidRPr="00456C73">
        <w:t xml:space="preserve"> clinical pharmacology studies, including </w:t>
      </w:r>
      <w:r>
        <w:t xml:space="preserve">59 </w:t>
      </w:r>
      <w:r w:rsidRPr="00456C73">
        <w:t xml:space="preserve">that provided pharmacokinetic data and </w:t>
      </w:r>
      <w:r>
        <w:t>4</w:t>
      </w:r>
      <w:r w:rsidRPr="00456C73">
        <w:t xml:space="preserve"> that provided pharmacodynamic data.</w:t>
      </w:r>
    </w:p>
    <w:p w14:paraId="4C3DD200" w14:textId="77777777" w:rsidR="00D15388" w:rsidRPr="00456C73" w:rsidRDefault="00D15388" w:rsidP="00CD22A7">
      <w:pPr>
        <w:pStyle w:val="ListBullet"/>
      </w:pPr>
      <w:r>
        <w:t>Two</w:t>
      </w:r>
      <w:r w:rsidRPr="00456C73">
        <w:t xml:space="preserve"> population pharmacokinetic analyses</w:t>
      </w:r>
      <w:r>
        <w:t>.</w:t>
      </w:r>
    </w:p>
    <w:p w14:paraId="4C3DD201" w14:textId="77777777" w:rsidR="00D15388" w:rsidRDefault="00D15388" w:rsidP="00CD22A7">
      <w:pPr>
        <w:pStyle w:val="ListBullet"/>
      </w:pPr>
      <w:r w:rsidRPr="00E8551F">
        <w:t xml:space="preserve">Nine </w:t>
      </w:r>
      <w:r>
        <w:t xml:space="preserve">core </w:t>
      </w:r>
      <w:r w:rsidRPr="00E8551F">
        <w:t>efficacy/safety studies</w:t>
      </w:r>
      <w:r>
        <w:t xml:space="preserve"> as listed </w:t>
      </w:r>
      <w:r w:rsidR="001B6FB6">
        <w:t>in Attachment 2.</w:t>
      </w:r>
    </w:p>
    <w:p w14:paraId="0FC06F2F" w14:textId="77777777" w:rsidR="00655550" w:rsidRDefault="00D15388" w:rsidP="001B6FB6">
      <w:pPr>
        <w:pStyle w:val="ListBullet"/>
      </w:pPr>
      <w:r w:rsidRPr="006463FD">
        <w:t xml:space="preserve">Six supportive studies including </w:t>
      </w:r>
      <w:r>
        <w:t>three</w:t>
      </w:r>
      <w:r w:rsidRPr="006463FD">
        <w:t xml:space="preserve"> dose-finding Phase </w:t>
      </w:r>
      <w:r w:rsidR="001B6FB6">
        <w:t>II</w:t>
      </w:r>
      <w:r w:rsidRPr="006463FD">
        <w:t xml:space="preserve"> studies</w:t>
      </w:r>
      <w:r>
        <w:t xml:space="preserve"> (</w:t>
      </w:r>
      <w:r w:rsidRPr="006463FD">
        <w:t>P003, P038, P035</w:t>
      </w:r>
      <w:r>
        <w:t>) and three</w:t>
      </w:r>
      <w:r w:rsidRPr="006463FD">
        <w:t xml:space="preserve"> other </w:t>
      </w:r>
      <w:r>
        <w:t xml:space="preserve">supportive </w:t>
      </w:r>
      <w:r w:rsidRPr="006463FD">
        <w:t>studies</w:t>
      </w:r>
      <w:r>
        <w:t xml:space="preserve"> (</w:t>
      </w:r>
      <w:r w:rsidRPr="006463FD">
        <w:t>P058, P039 and P047</w:t>
      </w:r>
      <w:r>
        <w:t>).</w:t>
      </w:r>
    </w:p>
    <w:p w14:paraId="1FABE9FC" w14:textId="77777777" w:rsidR="00655550" w:rsidRDefault="00D15388" w:rsidP="001B6FB6">
      <w:pPr>
        <w:pStyle w:val="Comment"/>
      </w:pPr>
      <w:r w:rsidRPr="001B6FB6">
        <w:rPr>
          <w:b/>
        </w:rPr>
        <w:t>Comment</w:t>
      </w:r>
      <w:r w:rsidRPr="006B5C4B">
        <w:t xml:space="preserve">: </w:t>
      </w:r>
      <w:r w:rsidR="001B6FB6">
        <w:t>P035 was the main Phase II</w:t>
      </w:r>
      <w:r w:rsidRPr="006B5C4B">
        <w:t xml:space="preserve"> study for determining the dose of EBR, the treatment duration and the patient population to</w:t>
      </w:r>
      <w:r w:rsidR="001B6FB6">
        <w:t xml:space="preserve"> be evaluated in the core Phase II</w:t>
      </w:r>
      <w:r w:rsidRPr="006B5C4B">
        <w:t>/</w:t>
      </w:r>
      <w:r w:rsidR="001B6FB6">
        <w:t>III</w:t>
      </w:r>
      <w:r w:rsidRPr="006B5C4B">
        <w:t xml:space="preserve"> studies and this study has been discussed in </w:t>
      </w:r>
      <w:r w:rsidR="001B6FB6">
        <w:t>Attachment 2</w:t>
      </w:r>
      <w:r w:rsidRPr="006B5C4B">
        <w:t>.</w:t>
      </w:r>
    </w:p>
    <w:p w14:paraId="4C3DD204" w14:textId="64760BB4" w:rsidR="00D15388" w:rsidRDefault="00D15388" w:rsidP="001B6FB6">
      <w:pPr>
        <w:pStyle w:val="ListBullet"/>
      </w:pPr>
      <w:r>
        <w:t xml:space="preserve">Two ongoing studies: </w:t>
      </w:r>
      <w:r w:rsidRPr="006463FD">
        <w:rPr>
          <w:u w:val="single"/>
        </w:rPr>
        <w:t>Study P062</w:t>
      </w:r>
      <w:r>
        <w:t xml:space="preserve"> in HCV infected subjects on opiate substitution treatment and </w:t>
      </w:r>
      <w:r w:rsidRPr="006463FD">
        <w:rPr>
          <w:u w:val="single"/>
        </w:rPr>
        <w:t>Study P065</w:t>
      </w:r>
      <w:r>
        <w:t xml:space="preserve"> in HCV-infected subjects with inherited blood disease (IBD). Another ongoing, long-term follow-up study (</w:t>
      </w:r>
      <w:r w:rsidRPr="006F2200">
        <w:rPr>
          <w:u w:val="single"/>
        </w:rPr>
        <w:t>P017</w:t>
      </w:r>
      <w:r>
        <w:t xml:space="preserve">) </w:t>
      </w:r>
      <w:r w:rsidRPr="00B108AB">
        <w:rPr>
          <w:color w:val="000000"/>
        </w:rPr>
        <w:t>to evaluate the durability of virologic response</w:t>
      </w:r>
      <w:r>
        <w:rPr>
          <w:color w:val="000000"/>
        </w:rPr>
        <w:t xml:space="preserve"> </w:t>
      </w:r>
      <w:r w:rsidRPr="00B108AB">
        <w:rPr>
          <w:color w:val="000000"/>
        </w:rPr>
        <w:t>and/or viral resistance patterns among subjects with chronic Hepatitis C who have been</w:t>
      </w:r>
      <w:r>
        <w:rPr>
          <w:color w:val="000000"/>
        </w:rPr>
        <w:t xml:space="preserve"> </w:t>
      </w:r>
      <w:r w:rsidRPr="00B108AB">
        <w:rPr>
          <w:color w:val="000000"/>
        </w:rPr>
        <w:t>previously treated with GZR in a prior clinical trial</w:t>
      </w:r>
      <w:r>
        <w:rPr>
          <w:color w:val="000000"/>
        </w:rPr>
        <w:t>s (P035 and P047)</w:t>
      </w:r>
      <w:r w:rsidRPr="00793C57">
        <w:t>.</w:t>
      </w:r>
    </w:p>
    <w:p w14:paraId="4C3DD205" w14:textId="77777777" w:rsidR="00D15388" w:rsidRPr="00D15388" w:rsidRDefault="001B6FB6" w:rsidP="001B6FB6">
      <w:pPr>
        <w:pStyle w:val="ListBullet"/>
      </w:pPr>
      <w:r>
        <w:t>P</w:t>
      </w:r>
      <w:r w:rsidR="00D15388" w:rsidRPr="00793C57">
        <w:t xml:space="preserve">ooled analyses, </w:t>
      </w:r>
      <w:r w:rsidR="00D15388" w:rsidRPr="006463FD">
        <w:t>meta-analyses,</w:t>
      </w:r>
      <w:r w:rsidR="00D80B0A">
        <w:t xml:space="preserve"> </w:t>
      </w:r>
      <w:r w:rsidR="00D15388" w:rsidRPr="006463FD">
        <w:t>Integrated Summary of Efficacy, Integrated Summary of Safety.</w:t>
      </w:r>
    </w:p>
    <w:p w14:paraId="4C3DD206" w14:textId="77777777" w:rsidR="00605AD4" w:rsidRDefault="00605AD4" w:rsidP="00605AD4">
      <w:pPr>
        <w:pStyle w:val="Heading4"/>
      </w:pPr>
      <w:r w:rsidRPr="00605AD4">
        <w:t>Paediatric data</w:t>
      </w:r>
    </w:p>
    <w:p w14:paraId="1C284B8A" w14:textId="77777777" w:rsidR="00655550" w:rsidRDefault="00D15388" w:rsidP="001B6FB6">
      <w:r w:rsidRPr="009213E5">
        <w:t>The submission did not include paediatric data.</w:t>
      </w:r>
    </w:p>
    <w:p w14:paraId="4C3DD208" w14:textId="213C2A1D" w:rsidR="00D15388" w:rsidRDefault="00D15388" w:rsidP="001B6FB6">
      <w:r w:rsidRPr="009213E5">
        <w:t>An agreed-upon P</w:t>
      </w:r>
      <w:r>
        <w:t>a</w:t>
      </w:r>
      <w:r w:rsidRPr="009213E5">
        <w:t>ediatric Study Plan (PSP) was submitted on January 21, 2015 to the FDA, and included</w:t>
      </w:r>
      <w:r>
        <w:t xml:space="preserve"> </w:t>
      </w:r>
      <w:r w:rsidRPr="009213E5">
        <w:t>a deferral of paediatric assessments until after approval of the NDA in adults, and a waiver for</w:t>
      </w:r>
      <w:r>
        <w:t xml:space="preserve"> </w:t>
      </w:r>
      <w:r w:rsidRPr="009213E5">
        <w:t>p</w:t>
      </w:r>
      <w:r>
        <w:t>a</w:t>
      </w:r>
      <w:r w:rsidRPr="009213E5">
        <w:t>ediatric assessments in patients less than 3 years of age</w:t>
      </w:r>
      <w:r>
        <w:t>.</w:t>
      </w:r>
    </w:p>
    <w:p w14:paraId="4C3DD209" w14:textId="6060CF54" w:rsidR="00D15388" w:rsidRDefault="00D15388" w:rsidP="001B6FB6">
      <w:r w:rsidRPr="009213E5">
        <w:t>On December 12, 2014, the Paediatric Committee of the European Medicines Agency</w:t>
      </w:r>
      <w:r>
        <w:t xml:space="preserve"> </w:t>
      </w:r>
      <w:r w:rsidRPr="009213E5">
        <w:t xml:space="preserve">granted a positive opinion for the Paediatric Investigation Plan for </w:t>
      </w:r>
      <w:r w:rsidR="00B56917">
        <w:t>GZR</w:t>
      </w:r>
      <w:r w:rsidRPr="009213E5">
        <w:t>/</w:t>
      </w:r>
      <w:r w:rsidR="00B56917">
        <w:t>EBR</w:t>
      </w:r>
      <w:r w:rsidRPr="009213E5">
        <w:t>,</w:t>
      </w:r>
      <w:r>
        <w:t xml:space="preserve"> </w:t>
      </w:r>
      <w:r w:rsidRPr="009213E5">
        <w:t>including a waiver for subjects less than 3 years of age and deferral of proposed studies.</w:t>
      </w:r>
    </w:p>
    <w:p w14:paraId="4C3DD20A" w14:textId="77777777" w:rsidR="00605AD4" w:rsidRDefault="00605AD4" w:rsidP="00605AD4">
      <w:pPr>
        <w:pStyle w:val="Heading4"/>
      </w:pPr>
      <w:r w:rsidRPr="00605AD4">
        <w:t>Good clinical practice</w:t>
      </w:r>
    </w:p>
    <w:p w14:paraId="3F3B5DD6" w14:textId="77777777" w:rsidR="00655550" w:rsidRDefault="00D15388" w:rsidP="005F1163">
      <w:r w:rsidRPr="00D15388">
        <w:t xml:space="preserve">All the clinical studies were conducted in conformance with </w:t>
      </w:r>
      <w:r w:rsidR="005F1163">
        <w:t>Good Clinical Practice (</w:t>
      </w:r>
      <w:r w:rsidRPr="00D15388">
        <w:t>GCP</w:t>
      </w:r>
      <w:r w:rsidR="005F1163">
        <w:t>)</w:t>
      </w:r>
      <w:r w:rsidRPr="00D15388">
        <w:t xml:space="preserve"> standards and applicable country and/or local statutes and regulations regarding ethical committee review, informed consent, and the protection of human subjects participating </w:t>
      </w:r>
      <w:r w:rsidRPr="00D15388">
        <w:lastRenderedPageBreak/>
        <w:t>in biomedical research. The only e</w:t>
      </w:r>
      <w:r w:rsidR="005F1163">
        <w:t>xception was the ongoing Phase II</w:t>
      </w:r>
      <w:r w:rsidRPr="00D15388">
        <w:t xml:space="preserve"> study P059 in which some minor GCP non-compliance issues were observed (discussed in </w:t>
      </w:r>
      <w:r w:rsidR="005F1163">
        <w:t>Attachment 2</w:t>
      </w:r>
      <w:r w:rsidRPr="00D15388">
        <w:t>).</w:t>
      </w:r>
    </w:p>
    <w:p w14:paraId="4C3DD20C" w14:textId="50E6BF07" w:rsidR="008E7846" w:rsidRDefault="008E7846" w:rsidP="00605AD4">
      <w:pPr>
        <w:pStyle w:val="Heading3"/>
      </w:pPr>
      <w:bookmarkStart w:id="72" w:name="_Toc484510890"/>
      <w:r w:rsidRPr="00254787">
        <w:t>Pharmacokinetics</w:t>
      </w:r>
      <w:bookmarkEnd w:id="61"/>
      <w:bookmarkEnd w:id="69"/>
      <w:bookmarkEnd w:id="70"/>
      <w:bookmarkEnd w:id="71"/>
      <w:bookmarkEnd w:id="72"/>
    </w:p>
    <w:p w14:paraId="4C3DD20D" w14:textId="77777777" w:rsidR="00D15388" w:rsidRPr="00D15388" w:rsidRDefault="00D15388" w:rsidP="00D15388">
      <w:pPr>
        <w:pStyle w:val="Heading4"/>
      </w:pPr>
      <w:r>
        <w:t>Studies providing pharmacokinetic data</w:t>
      </w:r>
    </w:p>
    <w:p w14:paraId="4C3DD20E" w14:textId="77777777" w:rsidR="00D15388" w:rsidRDefault="00D15388" w:rsidP="00D15388">
      <w:pPr>
        <w:spacing w:line="240" w:lineRule="auto"/>
      </w:pPr>
      <w:r>
        <w:t xml:space="preserve">Table </w:t>
      </w:r>
      <w:r w:rsidR="005F1163">
        <w:t>7</w:t>
      </w:r>
      <w:r>
        <w:t xml:space="preserve"> (below)</w:t>
      </w:r>
      <w:r w:rsidRPr="00440C06">
        <w:t xml:space="preserve"> shows the studies relating to each pharmacokinetic topic.</w:t>
      </w:r>
    </w:p>
    <w:p w14:paraId="4C3DD20F" w14:textId="77777777" w:rsidR="00D15388" w:rsidRPr="00440C06" w:rsidRDefault="00D15388" w:rsidP="005F1163">
      <w:pPr>
        <w:pStyle w:val="TableTitle"/>
      </w:pPr>
      <w:bookmarkStart w:id="73" w:name="_Ref272426277"/>
      <w:bookmarkStart w:id="74" w:name="_Toc290888740"/>
      <w:bookmarkStart w:id="75" w:name="_Ref448401534"/>
      <w:r w:rsidRPr="00440C06">
        <w:t xml:space="preserve">Table </w:t>
      </w:r>
      <w:bookmarkEnd w:id="73"/>
      <w:r w:rsidR="005F1163">
        <w:t>7:</w:t>
      </w:r>
      <w:r w:rsidRPr="00440C06">
        <w:t xml:space="preserve"> Submitted pharmacokinetic studies</w:t>
      </w:r>
      <w:bookmarkEnd w:id="74"/>
      <w:bookmarkEnd w:id="75"/>
    </w:p>
    <w:tbl>
      <w:tblPr>
        <w:tblStyle w:val="TableTGAblue"/>
        <w:tblW w:w="9180" w:type="dxa"/>
        <w:tblLayout w:type="fixed"/>
        <w:tblLook w:val="04A0" w:firstRow="1" w:lastRow="0" w:firstColumn="1" w:lastColumn="0" w:noHBand="0" w:noVBand="1"/>
      </w:tblPr>
      <w:tblGrid>
        <w:gridCol w:w="1384"/>
        <w:gridCol w:w="1559"/>
        <w:gridCol w:w="1418"/>
        <w:gridCol w:w="4819"/>
      </w:tblGrid>
      <w:tr w:rsidR="005F1163" w:rsidRPr="002000A4" w14:paraId="4C3DD214" w14:textId="77777777" w:rsidTr="003078E7">
        <w:trPr>
          <w:cnfStyle w:val="100000000000" w:firstRow="1" w:lastRow="0" w:firstColumn="0" w:lastColumn="0" w:oddVBand="0" w:evenVBand="0" w:oddHBand="0" w:evenHBand="0" w:firstRowFirstColumn="0" w:firstRowLastColumn="0" w:lastRowFirstColumn="0" w:lastRowLastColumn="0"/>
        </w:trPr>
        <w:tc>
          <w:tcPr>
            <w:tcW w:w="1384" w:type="dxa"/>
          </w:tcPr>
          <w:p w14:paraId="4C3DD210" w14:textId="77777777" w:rsidR="005F1163" w:rsidRPr="002000A4" w:rsidRDefault="005F1163" w:rsidP="003078E7">
            <w:pPr>
              <w:ind w:right="34"/>
              <w:rPr>
                <w:sz w:val="20"/>
                <w:szCs w:val="20"/>
              </w:rPr>
            </w:pPr>
            <w:r w:rsidRPr="002000A4">
              <w:rPr>
                <w:sz w:val="20"/>
                <w:szCs w:val="20"/>
              </w:rPr>
              <w:t>PK topic</w:t>
            </w:r>
          </w:p>
        </w:tc>
        <w:tc>
          <w:tcPr>
            <w:tcW w:w="1559" w:type="dxa"/>
          </w:tcPr>
          <w:p w14:paraId="4C3DD211" w14:textId="77777777" w:rsidR="005F1163" w:rsidRPr="002000A4" w:rsidRDefault="005F1163" w:rsidP="003078E7">
            <w:pPr>
              <w:ind w:left="34" w:right="34"/>
              <w:rPr>
                <w:sz w:val="20"/>
                <w:szCs w:val="20"/>
              </w:rPr>
            </w:pPr>
            <w:r w:rsidRPr="002000A4">
              <w:rPr>
                <w:sz w:val="20"/>
                <w:szCs w:val="20"/>
              </w:rPr>
              <w:t>Subtopic</w:t>
            </w:r>
          </w:p>
        </w:tc>
        <w:tc>
          <w:tcPr>
            <w:tcW w:w="1418" w:type="dxa"/>
          </w:tcPr>
          <w:p w14:paraId="4C3DD212" w14:textId="77777777" w:rsidR="005F1163" w:rsidRPr="002000A4" w:rsidRDefault="005F1163" w:rsidP="003078E7">
            <w:pPr>
              <w:ind w:left="33" w:right="34"/>
              <w:rPr>
                <w:sz w:val="20"/>
                <w:szCs w:val="20"/>
              </w:rPr>
            </w:pPr>
            <w:r w:rsidRPr="002000A4">
              <w:rPr>
                <w:sz w:val="20"/>
                <w:szCs w:val="20"/>
              </w:rPr>
              <w:t>Study ID</w:t>
            </w:r>
          </w:p>
        </w:tc>
        <w:tc>
          <w:tcPr>
            <w:tcW w:w="4819" w:type="dxa"/>
          </w:tcPr>
          <w:p w14:paraId="4C3DD213" w14:textId="77777777" w:rsidR="005F1163" w:rsidRPr="002000A4" w:rsidRDefault="005F1163" w:rsidP="002000A4">
            <w:pPr>
              <w:rPr>
                <w:sz w:val="20"/>
                <w:szCs w:val="20"/>
              </w:rPr>
            </w:pPr>
            <w:r w:rsidRPr="002000A4">
              <w:rPr>
                <w:sz w:val="20"/>
                <w:szCs w:val="20"/>
              </w:rPr>
              <w:t>*</w:t>
            </w:r>
          </w:p>
        </w:tc>
      </w:tr>
      <w:tr w:rsidR="004A28A8" w:rsidRPr="002000A4" w14:paraId="4C3DD21A" w14:textId="77777777" w:rsidTr="003078E7">
        <w:tc>
          <w:tcPr>
            <w:tcW w:w="1384" w:type="dxa"/>
            <w:vMerge w:val="restart"/>
          </w:tcPr>
          <w:p w14:paraId="4C3DD216" w14:textId="225EAF56" w:rsidR="004A28A8" w:rsidRPr="002000A4" w:rsidRDefault="004A28A8" w:rsidP="003078E7">
            <w:pPr>
              <w:ind w:right="34"/>
              <w:rPr>
                <w:sz w:val="20"/>
                <w:szCs w:val="20"/>
              </w:rPr>
            </w:pPr>
            <w:r w:rsidRPr="002000A4">
              <w:rPr>
                <w:sz w:val="20"/>
                <w:szCs w:val="20"/>
              </w:rPr>
              <w:t>PK in healthy adults</w:t>
            </w:r>
          </w:p>
        </w:tc>
        <w:tc>
          <w:tcPr>
            <w:tcW w:w="1559" w:type="dxa"/>
            <w:vMerge w:val="restart"/>
          </w:tcPr>
          <w:p w14:paraId="4C3DD217" w14:textId="77777777" w:rsidR="004A28A8" w:rsidRPr="002000A4" w:rsidRDefault="004A28A8" w:rsidP="003078E7">
            <w:pPr>
              <w:ind w:left="34" w:right="34"/>
              <w:rPr>
                <w:sz w:val="20"/>
                <w:szCs w:val="20"/>
              </w:rPr>
            </w:pPr>
            <w:r w:rsidRPr="002000A4">
              <w:rPr>
                <w:sz w:val="20"/>
                <w:szCs w:val="20"/>
              </w:rPr>
              <w:t>General PK</w:t>
            </w:r>
          </w:p>
        </w:tc>
        <w:tc>
          <w:tcPr>
            <w:tcW w:w="1418" w:type="dxa"/>
          </w:tcPr>
          <w:p w14:paraId="4C3DD218" w14:textId="77777777" w:rsidR="004A28A8" w:rsidRPr="002000A4" w:rsidRDefault="004A28A8" w:rsidP="003078E7">
            <w:pPr>
              <w:ind w:left="33" w:right="34"/>
              <w:rPr>
                <w:sz w:val="20"/>
                <w:szCs w:val="20"/>
              </w:rPr>
            </w:pPr>
            <w:r w:rsidRPr="002000A4">
              <w:rPr>
                <w:sz w:val="20"/>
                <w:szCs w:val="20"/>
              </w:rPr>
              <w:t>5172-P069</w:t>
            </w:r>
          </w:p>
        </w:tc>
        <w:tc>
          <w:tcPr>
            <w:tcW w:w="4819" w:type="dxa"/>
          </w:tcPr>
          <w:p w14:paraId="4C3DD219" w14:textId="77777777" w:rsidR="004A28A8" w:rsidRPr="002000A4" w:rsidRDefault="004A28A8" w:rsidP="002000A4">
            <w:pPr>
              <w:rPr>
                <w:sz w:val="20"/>
                <w:szCs w:val="20"/>
              </w:rPr>
            </w:pPr>
            <w:r w:rsidRPr="002000A4">
              <w:rPr>
                <w:rFonts w:eastAsia="TimesNewRoman"/>
                <w:sz w:val="20"/>
                <w:szCs w:val="20"/>
              </w:rPr>
              <w:t>Effect of a high fat meal on the GZR and EBR PKs following a single dose of the FDC tablet</w:t>
            </w:r>
          </w:p>
        </w:tc>
      </w:tr>
      <w:tr w:rsidR="004A28A8" w:rsidRPr="002000A4" w14:paraId="4C3DD21F" w14:textId="77777777" w:rsidTr="003078E7">
        <w:tc>
          <w:tcPr>
            <w:tcW w:w="1384" w:type="dxa"/>
            <w:vMerge/>
          </w:tcPr>
          <w:p w14:paraId="4C3DD21B" w14:textId="77777777" w:rsidR="004A28A8" w:rsidRPr="002000A4" w:rsidRDefault="004A28A8" w:rsidP="003078E7">
            <w:pPr>
              <w:ind w:right="34"/>
              <w:rPr>
                <w:sz w:val="20"/>
                <w:szCs w:val="20"/>
              </w:rPr>
            </w:pPr>
          </w:p>
        </w:tc>
        <w:tc>
          <w:tcPr>
            <w:tcW w:w="1559" w:type="dxa"/>
            <w:vMerge/>
          </w:tcPr>
          <w:p w14:paraId="4C3DD21C" w14:textId="77777777" w:rsidR="004A28A8" w:rsidRPr="002000A4" w:rsidRDefault="004A28A8" w:rsidP="003078E7">
            <w:pPr>
              <w:ind w:left="34" w:right="34"/>
              <w:rPr>
                <w:sz w:val="20"/>
                <w:szCs w:val="20"/>
              </w:rPr>
            </w:pPr>
          </w:p>
        </w:tc>
        <w:tc>
          <w:tcPr>
            <w:tcW w:w="1418" w:type="dxa"/>
          </w:tcPr>
          <w:p w14:paraId="4C3DD21D" w14:textId="77777777" w:rsidR="004A28A8" w:rsidRPr="002000A4" w:rsidRDefault="004A28A8" w:rsidP="003078E7">
            <w:pPr>
              <w:ind w:left="33" w:right="34"/>
              <w:rPr>
                <w:sz w:val="20"/>
                <w:szCs w:val="20"/>
              </w:rPr>
            </w:pPr>
            <w:r w:rsidRPr="002000A4">
              <w:rPr>
                <w:sz w:val="20"/>
                <w:szCs w:val="20"/>
              </w:rPr>
              <w:t>5172-P055</w:t>
            </w:r>
          </w:p>
        </w:tc>
        <w:tc>
          <w:tcPr>
            <w:tcW w:w="4819" w:type="dxa"/>
          </w:tcPr>
          <w:p w14:paraId="4C3DD21E" w14:textId="77777777" w:rsidR="004A28A8" w:rsidRPr="002000A4" w:rsidRDefault="004A28A8" w:rsidP="002000A4">
            <w:pPr>
              <w:rPr>
                <w:rFonts w:eastAsia="TimesNewRoman"/>
                <w:sz w:val="20"/>
                <w:szCs w:val="20"/>
              </w:rPr>
            </w:pPr>
            <w:r w:rsidRPr="002000A4">
              <w:rPr>
                <w:rFonts w:eastAsia="TimesNewRoman"/>
                <w:sz w:val="20"/>
                <w:szCs w:val="20"/>
              </w:rPr>
              <w:t>GZR and EBR PKs following a single dose of FDC2 cf. free combination</w:t>
            </w:r>
          </w:p>
        </w:tc>
      </w:tr>
      <w:tr w:rsidR="004A28A8" w:rsidRPr="002000A4" w14:paraId="4C3DD224" w14:textId="77777777" w:rsidTr="003078E7">
        <w:tc>
          <w:tcPr>
            <w:tcW w:w="1384" w:type="dxa"/>
            <w:vMerge/>
          </w:tcPr>
          <w:p w14:paraId="4C3DD220" w14:textId="77777777" w:rsidR="004A28A8" w:rsidRPr="002000A4" w:rsidRDefault="004A28A8" w:rsidP="003078E7">
            <w:pPr>
              <w:ind w:right="34"/>
              <w:rPr>
                <w:sz w:val="20"/>
                <w:szCs w:val="20"/>
              </w:rPr>
            </w:pPr>
          </w:p>
        </w:tc>
        <w:tc>
          <w:tcPr>
            <w:tcW w:w="1559" w:type="dxa"/>
            <w:vMerge/>
          </w:tcPr>
          <w:p w14:paraId="4C3DD221" w14:textId="77777777" w:rsidR="004A28A8" w:rsidRPr="002000A4" w:rsidRDefault="004A28A8" w:rsidP="003078E7">
            <w:pPr>
              <w:ind w:left="34" w:right="34"/>
              <w:rPr>
                <w:sz w:val="20"/>
                <w:szCs w:val="20"/>
              </w:rPr>
            </w:pPr>
          </w:p>
        </w:tc>
        <w:tc>
          <w:tcPr>
            <w:tcW w:w="1418" w:type="dxa"/>
          </w:tcPr>
          <w:p w14:paraId="4C3DD222" w14:textId="77777777" w:rsidR="004A28A8" w:rsidRPr="002000A4" w:rsidRDefault="004A28A8" w:rsidP="003078E7">
            <w:pPr>
              <w:ind w:left="33" w:right="34"/>
              <w:rPr>
                <w:sz w:val="20"/>
                <w:szCs w:val="20"/>
              </w:rPr>
            </w:pPr>
            <w:r w:rsidRPr="002000A4">
              <w:rPr>
                <w:sz w:val="20"/>
                <w:szCs w:val="20"/>
              </w:rPr>
              <w:t>5172-P040</w:t>
            </w:r>
          </w:p>
        </w:tc>
        <w:tc>
          <w:tcPr>
            <w:tcW w:w="4819" w:type="dxa"/>
          </w:tcPr>
          <w:p w14:paraId="4C3DD223" w14:textId="77777777" w:rsidR="004A28A8" w:rsidRPr="002000A4" w:rsidRDefault="004A28A8" w:rsidP="002000A4">
            <w:pPr>
              <w:rPr>
                <w:sz w:val="20"/>
                <w:szCs w:val="20"/>
              </w:rPr>
            </w:pPr>
            <w:r w:rsidRPr="002000A4">
              <w:rPr>
                <w:rFonts w:eastAsia="TimesNewRoman"/>
                <w:sz w:val="20"/>
                <w:szCs w:val="20"/>
              </w:rPr>
              <w:t xml:space="preserve">GZR F following </w:t>
            </w:r>
            <w:r w:rsidRPr="002000A4">
              <w:rPr>
                <w:rFonts w:eastAsia="TimesNewRoman"/>
                <w:sz w:val="20"/>
                <w:szCs w:val="20"/>
                <w:vertAlign w:val="superscript"/>
              </w:rPr>
              <w:t>14</w:t>
            </w:r>
            <w:r w:rsidRPr="002000A4">
              <w:rPr>
                <w:rFonts w:eastAsia="TimesNewRoman"/>
                <w:sz w:val="20"/>
                <w:szCs w:val="20"/>
              </w:rPr>
              <w:t>C-micro-dosing</w:t>
            </w:r>
          </w:p>
        </w:tc>
      </w:tr>
      <w:tr w:rsidR="004A28A8" w:rsidRPr="002000A4" w14:paraId="4C3DD229" w14:textId="77777777" w:rsidTr="003078E7">
        <w:tc>
          <w:tcPr>
            <w:tcW w:w="1384" w:type="dxa"/>
            <w:vMerge/>
          </w:tcPr>
          <w:p w14:paraId="4C3DD225" w14:textId="77777777" w:rsidR="004A28A8" w:rsidRPr="002000A4" w:rsidRDefault="004A28A8" w:rsidP="003078E7">
            <w:pPr>
              <w:ind w:right="34"/>
              <w:rPr>
                <w:sz w:val="20"/>
                <w:szCs w:val="20"/>
              </w:rPr>
            </w:pPr>
          </w:p>
        </w:tc>
        <w:tc>
          <w:tcPr>
            <w:tcW w:w="1559" w:type="dxa"/>
            <w:vMerge/>
          </w:tcPr>
          <w:p w14:paraId="4C3DD226" w14:textId="77777777" w:rsidR="004A28A8" w:rsidRPr="002000A4" w:rsidRDefault="004A28A8" w:rsidP="003078E7">
            <w:pPr>
              <w:ind w:left="34" w:right="34"/>
              <w:rPr>
                <w:sz w:val="20"/>
                <w:szCs w:val="20"/>
              </w:rPr>
            </w:pPr>
          </w:p>
        </w:tc>
        <w:tc>
          <w:tcPr>
            <w:tcW w:w="1418" w:type="dxa"/>
          </w:tcPr>
          <w:p w14:paraId="4C3DD227" w14:textId="77777777" w:rsidR="004A28A8" w:rsidRPr="002000A4" w:rsidRDefault="004A28A8" w:rsidP="003078E7">
            <w:pPr>
              <w:ind w:left="33" w:right="34"/>
              <w:rPr>
                <w:sz w:val="20"/>
                <w:szCs w:val="20"/>
              </w:rPr>
            </w:pPr>
            <w:r w:rsidRPr="002000A4">
              <w:rPr>
                <w:sz w:val="20"/>
                <w:szCs w:val="20"/>
              </w:rPr>
              <w:t>8742-P020</w:t>
            </w:r>
          </w:p>
        </w:tc>
        <w:tc>
          <w:tcPr>
            <w:tcW w:w="4819" w:type="dxa"/>
          </w:tcPr>
          <w:p w14:paraId="4C3DD228" w14:textId="77777777" w:rsidR="004A28A8" w:rsidRPr="002000A4" w:rsidRDefault="004A28A8" w:rsidP="002000A4">
            <w:pPr>
              <w:rPr>
                <w:sz w:val="20"/>
                <w:szCs w:val="20"/>
              </w:rPr>
            </w:pPr>
            <w:r w:rsidRPr="002000A4">
              <w:rPr>
                <w:rFonts w:eastAsia="TimesNewRoman"/>
                <w:sz w:val="20"/>
                <w:szCs w:val="20"/>
              </w:rPr>
              <w:t>F of a single dose of EBR relative to [</w:t>
            </w:r>
            <w:r w:rsidRPr="002000A4">
              <w:rPr>
                <w:rFonts w:eastAsia="TimesNewRoman"/>
                <w:sz w:val="20"/>
                <w:szCs w:val="20"/>
                <w:vertAlign w:val="superscript"/>
              </w:rPr>
              <w:t>13</w:t>
            </w:r>
            <w:r w:rsidRPr="002000A4">
              <w:rPr>
                <w:rFonts w:eastAsia="TimesNewRoman"/>
                <w:sz w:val="20"/>
                <w:szCs w:val="20"/>
              </w:rPr>
              <w:t xml:space="preserve">C10, </w:t>
            </w:r>
            <w:r w:rsidRPr="002000A4">
              <w:rPr>
                <w:rFonts w:eastAsia="TimesNewRoman"/>
                <w:sz w:val="20"/>
                <w:szCs w:val="20"/>
                <w:vertAlign w:val="superscript"/>
              </w:rPr>
              <w:t>15</w:t>
            </w:r>
            <w:r w:rsidRPr="002000A4">
              <w:rPr>
                <w:rFonts w:eastAsia="TimesNewRoman"/>
                <w:sz w:val="20"/>
                <w:szCs w:val="20"/>
              </w:rPr>
              <w:t>N2] EBR administered as an IV micro-dose.</w:t>
            </w:r>
          </w:p>
        </w:tc>
      </w:tr>
      <w:tr w:rsidR="004A28A8" w:rsidRPr="002000A4" w14:paraId="4C3DD22E" w14:textId="77777777" w:rsidTr="003078E7">
        <w:tc>
          <w:tcPr>
            <w:tcW w:w="1384" w:type="dxa"/>
            <w:vMerge/>
          </w:tcPr>
          <w:p w14:paraId="4C3DD22A" w14:textId="77777777" w:rsidR="004A28A8" w:rsidRPr="002000A4" w:rsidRDefault="004A28A8" w:rsidP="003078E7">
            <w:pPr>
              <w:ind w:right="34"/>
              <w:rPr>
                <w:sz w:val="20"/>
                <w:szCs w:val="20"/>
              </w:rPr>
            </w:pPr>
          </w:p>
        </w:tc>
        <w:tc>
          <w:tcPr>
            <w:tcW w:w="1559" w:type="dxa"/>
            <w:vMerge/>
          </w:tcPr>
          <w:p w14:paraId="4C3DD22B" w14:textId="77777777" w:rsidR="004A28A8" w:rsidRPr="002000A4" w:rsidRDefault="004A28A8" w:rsidP="003078E7">
            <w:pPr>
              <w:ind w:left="34" w:right="34"/>
              <w:rPr>
                <w:sz w:val="20"/>
                <w:szCs w:val="20"/>
              </w:rPr>
            </w:pPr>
          </w:p>
        </w:tc>
        <w:tc>
          <w:tcPr>
            <w:tcW w:w="1418" w:type="dxa"/>
          </w:tcPr>
          <w:p w14:paraId="4C3DD22C" w14:textId="77777777" w:rsidR="004A28A8" w:rsidRPr="002000A4" w:rsidRDefault="004A28A8" w:rsidP="003078E7">
            <w:pPr>
              <w:ind w:left="33" w:right="34"/>
              <w:rPr>
                <w:sz w:val="20"/>
                <w:szCs w:val="20"/>
              </w:rPr>
            </w:pPr>
            <w:r w:rsidRPr="002000A4">
              <w:rPr>
                <w:sz w:val="20"/>
                <w:szCs w:val="20"/>
              </w:rPr>
              <w:t>5172-P</w:t>
            </w:r>
            <w:r w:rsidRPr="002000A4">
              <w:rPr>
                <w:bCs/>
                <w:color w:val="000000"/>
                <w:sz w:val="20"/>
                <w:szCs w:val="20"/>
              </w:rPr>
              <w:t>045</w:t>
            </w:r>
          </w:p>
        </w:tc>
        <w:tc>
          <w:tcPr>
            <w:tcW w:w="4819" w:type="dxa"/>
          </w:tcPr>
          <w:p w14:paraId="4C3DD22D" w14:textId="77777777" w:rsidR="004A28A8" w:rsidRPr="002000A4" w:rsidRDefault="004A28A8" w:rsidP="002000A4">
            <w:pPr>
              <w:rPr>
                <w:sz w:val="20"/>
                <w:szCs w:val="20"/>
              </w:rPr>
            </w:pPr>
            <w:r w:rsidRPr="002000A4">
              <w:rPr>
                <w:sz w:val="20"/>
                <w:szCs w:val="20"/>
              </w:rPr>
              <w:t>PKs of GZR PMF1 cf. PKs of capsule formulation</w:t>
            </w:r>
          </w:p>
        </w:tc>
      </w:tr>
      <w:tr w:rsidR="004A28A8" w:rsidRPr="002000A4" w14:paraId="4C3DD233" w14:textId="77777777" w:rsidTr="003078E7">
        <w:tc>
          <w:tcPr>
            <w:tcW w:w="1384" w:type="dxa"/>
            <w:vMerge/>
          </w:tcPr>
          <w:p w14:paraId="4C3DD22F" w14:textId="77777777" w:rsidR="004A28A8" w:rsidRPr="002000A4" w:rsidRDefault="004A28A8" w:rsidP="003078E7">
            <w:pPr>
              <w:ind w:right="34"/>
              <w:rPr>
                <w:sz w:val="20"/>
                <w:szCs w:val="20"/>
              </w:rPr>
            </w:pPr>
          </w:p>
        </w:tc>
        <w:tc>
          <w:tcPr>
            <w:tcW w:w="1559" w:type="dxa"/>
            <w:vMerge/>
          </w:tcPr>
          <w:p w14:paraId="4C3DD230" w14:textId="77777777" w:rsidR="004A28A8" w:rsidRPr="002000A4" w:rsidRDefault="004A28A8" w:rsidP="003078E7">
            <w:pPr>
              <w:ind w:left="34" w:right="34"/>
              <w:rPr>
                <w:sz w:val="20"/>
                <w:szCs w:val="20"/>
              </w:rPr>
            </w:pPr>
          </w:p>
        </w:tc>
        <w:tc>
          <w:tcPr>
            <w:tcW w:w="1418" w:type="dxa"/>
          </w:tcPr>
          <w:p w14:paraId="4C3DD231" w14:textId="77777777" w:rsidR="004A28A8" w:rsidRPr="002000A4" w:rsidRDefault="004A28A8" w:rsidP="003078E7">
            <w:pPr>
              <w:ind w:left="33" w:right="34"/>
              <w:rPr>
                <w:sz w:val="20"/>
                <w:szCs w:val="20"/>
              </w:rPr>
            </w:pPr>
            <w:r w:rsidRPr="002000A4">
              <w:rPr>
                <w:sz w:val="20"/>
                <w:szCs w:val="20"/>
              </w:rPr>
              <w:t>5172-P002v1</w:t>
            </w:r>
          </w:p>
        </w:tc>
        <w:tc>
          <w:tcPr>
            <w:tcW w:w="4819" w:type="dxa"/>
          </w:tcPr>
          <w:p w14:paraId="4C3DD232" w14:textId="77777777" w:rsidR="004A28A8" w:rsidRPr="002000A4" w:rsidRDefault="004A28A8" w:rsidP="002000A4">
            <w:pPr>
              <w:rPr>
                <w:sz w:val="20"/>
                <w:szCs w:val="20"/>
              </w:rPr>
            </w:pPr>
            <w:r w:rsidRPr="002000A4">
              <w:rPr>
                <w:rFonts w:eastAsia="TimesNewRoman"/>
                <w:iCs/>
                <w:sz w:val="20"/>
                <w:szCs w:val="20"/>
              </w:rPr>
              <w:t>PKs</w:t>
            </w:r>
            <w:r w:rsidRPr="002000A4">
              <w:rPr>
                <w:rFonts w:eastAsia="TimesNewRoman"/>
                <w:sz w:val="20"/>
                <w:szCs w:val="20"/>
              </w:rPr>
              <w:t xml:space="preserve"> of 3 candidate PMFs of GZR relative to the FFP tablet</w:t>
            </w:r>
          </w:p>
        </w:tc>
      </w:tr>
      <w:tr w:rsidR="004A28A8" w:rsidRPr="002000A4" w14:paraId="4C3DD238" w14:textId="77777777" w:rsidTr="003078E7">
        <w:tc>
          <w:tcPr>
            <w:tcW w:w="1384" w:type="dxa"/>
            <w:vMerge/>
          </w:tcPr>
          <w:p w14:paraId="4C3DD234" w14:textId="77777777" w:rsidR="004A28A8" w:rsidRPr="002000A4" w:rsidRDefault="004A28A8" w:rsidP="003078E7">
            <w:pPr>
              <w:ind w:right="34"/>
              <w:rPr>
                <w:sz w:val="20"/>
                <w:szCs w:val="20"/>
              </w:rPr>
            </w:pPr>
          </w:p>
        </w:tc>
        <w:tc>
          <w:tcPr>
            <w:tcW w:w="1559" w:type="dxa"/>
            <w:vMerge/>
          </w:tcPr>
          <w:p w14:paraId="4C3DD235" w14:textId="77777777" w:rsidR="004A28A8" w:rsidRPr="002000A4" w:rsidRDefault="004A28A8" w:rsidP="003078E7">
            <w:pPr>
              <w:ind w:left="34" w:right="34"/>
              <w:rPr>
                <w:sz w:val="20"/>
                <w:szCs w:val="20"/>
              </w:rPr>
            </w:pPr>
          </w:p>
        </w:tc>
        <w:tc>
          <w:tcPr>
            <w:tcW w:w="1418" w:type="dxa"/>
          </w:tcPr>
          <w:p w14:paraId="4C3DD236" w14:textId="77777777" w:rsidR="004A28A8" w:rsidRPr="002000A4" w:rsidRDefault="004A28A8" w:rsidP="003078E7">
            <w:pPr>
              <w:ind w:left="33" w:right="34"/>
              <w:rPr>
                <w:sz w:val="20"/>
                <w:szCs w:val="20"/>
              </w:rPr>
            </w:pPr>
            <w:r w:rsidRPr="002000A4">
              <w:rPr>
                <w:sz w:val="20"/>
                <w:szCs w:val="20"/>
              </w:rPr>
              <w:t>5172-P</w:t>
            </w:r>
            <w:r w:rsidRPr="002000A4">
              <w:rPr>
                <w:bCs/>
                <w:color w:val="000000"/>
                <w:sz w:val="20"/>
                <w:szCs w:val="20"/>
              </w:rPr>
              <w:t>008</w:t>
            </w:r>
          </w:p>
        </w:tc>
        <w:tc>
          <w:tcPr>
            <w:tcW w:w="4819" w:type="dxa"/>
          </w:tcPr>
          <w:p w14:paraId="4C3DD237" w14:textId="77777777" w:rsidR="004A28A8" w:rsidRPr="002000A4" w:rsidRDefault="004A28A8" w:rsidP="002000A4">
            <w:pPr>
              <w:rPr>
                <w:sz w:val="20"/>
                <w:szCs w:val="20"/>
              </w:rPr>
            </w:pPr>
            <w:r w:rsidRPr="002000A4">
              <w:rPr>
                <w:rFonts w:eastAsia="TimesNewRoman"/>
                <w:sz w:val="20"/>
                <w:szCs w:val="20"/>
              </w:rPr>
              <w:t>PKs of GZR from two different PMF versus the Phase I FFP</w:t>
            </w:r>
          </w:p>
        </w:tc>
      </w:tr>
      <w:tr w:rsidR="004A28A8" w:rsidRPr="002000A4" w14:paraId="4C3DD23D" w14:textId="77777777" w:rsidTr="003078E7">
        <w:tc>
          <w:tcPr>
            <w:tcW w:w="1384" w:type="dxa"/>
            <w:vMerge/>
          </w:tcPr>
          <w:p w14:paraId="4C3DD239" w14:textId="77777777" w:rsidR="004A28A8" w:rsidRPr="002000A4" w:rsidRDefault="004A28A8" w:rsidP="003078E7">
            <w:pPr>
              <w:ind w:right="34"/>
              <w:rPr>
                <w:sz w:val="20"/>
                <w:szCs w:val="20"/>
              </w:rPr>
            </w:pPr>
          </w:p>
        </w:tc>
        <w:tc>
          <w:tcPr>
            <w:tcW w:w="1559" w:type="dxa"/>
            <w:vMerge/>
          </w:tcPr>
          <w:p w14:paraId="4C3DD23A" w14:textId="77777777" w:rsidR="004A28A8" w:rsidRPr="002000A4" w:rsidRDefault="004A28A8" w:rsidP="003078E7">
            <w:pPr>
              <w:ind w:left="34" w:right="34"/>
              <w:rPr>
                <w:sz w:val="20"/>
                <w:szCs w:val="20"/>
              </w:rPr>
            </w:pPr>
          </w:p>
        </w:tc>
        <w:tc>
          <w:tcPr>
            <w:tcW w:w="1418" w:type="dxa"/>
          </w:tcPr>
          <w:p w14:paraId="4C3DD23B" w14:textId="77777777" w:rsidR="004A28A8" w:rsidRPr="002000A4" w:rsidRDefault="004A28A8" w:rsidP="003078E7">
            <w:pPr>
              <w:ind w:left="33" w:right="34"/>
              <w:rPr>
                <w:sz w:val="20"/>
                <w:szCs w:val="20"/>
              </w:rPr>
            </w:pPr>
            <w:r w:rsidRPr="002000A4">
              <w:rPr>
                <w:sz w:val="20"/>
                <w:szCs w:val="20"/>
              </w:rPr>
              <w:t>5172-P027</w:t>
            </w:r>
          </w:p>
        </w:tc>
        <w:tc>
          <w:tcPr>
            <w:tcW w:w="4819" w:type="dxa"/>
          </w:tcPr>
          <w:p w14:paraId="4C3DD23C" w14:textId="77777777" w:rsidR="004A28A8" w:rsidRPr="002000A4" w:rsidRDefault="004A28A8" w:rsidP="002000A4">
            <w:pPr>
              <w:rPr>
                <w:sz w:val="20"/>
                <w:szCs w:val="20"/>
              </w:rPr>
            </w:pPr>
            <w:r w:rsidRPr="002000A4">
              <w:rPr>
                <w:rFonts w:eastAsia="TimesNewRoman"/>
                <w:sz w:val="20"/>
                <w:szCs w:val="20"/>
              </w:rPr>
              <w:t>PK profile of 100 mg GZR with and without famotidine</w:t>
            </w:r>
          </w:p>
        </w:tc>
      </w:tr>
      <w:tr w:rsidR="004A28A8" w:rsidRPr="002000A4" w14:paraId="4C3DD242" w14:textId="77777777" w:rsidTr="003078E7">
        <w:tc>
          <w:tcPr>
            <w:tcW w:w="1384" w:type="dxa"/>
            <w:vMerge/>
          </w:tcPr>
          <w:p w14:paraId="4C3DD23E" w14:textId="77777777" w:rsidR="004A28A8" w:rsidRPr="002000A4" w:rsidRDefault="004A28A8" w:rsidP="003078E7">
            <w:pPr>
              <w:ind w:right="34"/>
              <w:rPr>
                <w:sz w:val="20"/>
                <w:szCs w:val="20"/>
              </w:rPr>
            </w:pPr>
          </w:p>
        </w:tc>
        <w:tc>
          <w:tcPr>
            <w:tcW w:w="1559" w:type="dxa"/>
            <w:vMerge/>
          </w:tcPr>
          <w:p w14:paraId="4C3DD23F" w14:textId="77777777" w:rsidR="004A28A8" w:rsidRPr="002000A4" w:rsidRDefault="004A28A8" w:rsidP="003078E7">
            <w:pPr>
              <w:ind w:left="34" w:right="34"/>
              <w:rPr>
                <w:sz w:val="20"/>
                <w:szCs w:val="20"/>
              </w:rPr>
            </w:pPr>
          </w:p>
        </w:tc>
        <w:tc>
          <w:tcPr>
            <w:tcW w:w="1418" w:type="dxa"/>
          </w:tcPr>
          <w:p w14:paraId="4C3DD240" w14:textId="77777777" w:rsidR="004A28A8" w:rsidRPr="002000A4" w:rsidRDefault="004A28A8" w:rsidP="003078E7">
            <w:pPr>
              <w:ind w:left="33" w:right="34"/>
              <w:rPr>
                <w:sz w:val="20"/>
                <w:szCs w:val="20"/>
              </w:rPr>
            </w:pPr>
            <w:r w:rsidRPr="002000A4">
              <w:rPr>
                <w:sz w:val="20"/>
                <w:szCs w:val="20"/>
              </w:rPr>
              <w:t>5172-P001v01</w:t>
            </w:r>
          </w:p>
        </w:tc>
        <w:tc>
          <w:tcPr>
            <w:tcW w:w="4819" w:type="dxa"/>
          </w:tcPr>
          <w:p w14:paraId="4C3DD241" w14:textId="77777777" w:rsidR="004A28A8" w:rsidRPr="002000A4" w:rsidRDefault="004A28A8" w:rsidP="002000A4">
            <w:pPr>
              <w:rPr>
                <w:sz w:val="20"/>
                <w:szCs w:val="20"/>
              </w:rPr>
            </w:pPr>
            <w:r w:rsidRPr="002000A4">
              <w:rPr>
                <w:rFonts w:eastAsia="TimesNewRoman"/>
                <w:sz w:val="20"/>
                <w:szCs w:val="20"/>
              </w:rPr>
              <w:t xml:space="preserve">PKs following single-rising oral doses of GZR and food effect. In addition, DDIs b/w single dose </w:t>
            </w:r>
            <w:proofErr w:type="spellStart"/>
            <w:r w:rsidRPr="002000A4">
              <w:rPr>
                <w:rFonts w:eastAsia="TimesNewRoman"/>
                <w:sz w:val="20"/>
                <w:szCs w:val="20"/>
              </w:rPr>
              <w:t>ketonazole</w:t>
            </w:r>
            <w:proofErr w:type="spellEnd"/>
            <w:r w:rsidRPr="002000A4">
              <w:rPr>
                <w:rFonts w:eastAsia="TimesNewRoman"/>
                <w:sz w:val="20"/>
                <w:szCs w:val="20"/>
              </w:rPr>
              <w:t xml:space="preserve"> and single dose of 200 mg GZR</w:t>
            </w:r>
          </w:p>
        </w:tc>
      </w:tr>
      <w:tr w:rsidR="004A28A8" w:rsidRPr="002000A4" w14:paraId="4C3DD247" w14:textId="77777777" w:rsidTr="003078E7">
        <w:tc>
          <w:tcPr>
            <w:tcW w:w="1384" w:type="dxa"/>
            <w:vMerge/>
          </w:tcPr>
          <w:p w14:paraId="4C3DD243" w14:textId="77777777" w:rsidR="004A28A8" w:rsidRPr="002000A4" w:rsidRDefault="004A28A8" w:rsidP="003078E7">
            <w:pPr>
              <w:ind w:right="34"/>
              <w:rPr>
                <w:sz w:val="20"/>
                <w:szCs w:val="20"/>
              </w:rPr>
            </w:pPr>
          </w:p>
        </w:tc>
        <w:tc>
          <w:tcPr>
            <w:tcW w:w="1559" w:type="dxa"/>
            <w:vMerge/>
          </w:tcPr>
          <w:p w14:paraId="4C3DD244" w14:textId="77777777" w:rsidR="004A28A8" w:rsidRPr="002000A4" w:rsidRDefault="004A28A8" w:rsidP="003078E7">
            <w:pPr>
              <w:ind w:left="34" w:right="34"/>
              <w:rPr>
                <w:sz w:val="20"/>
                <w:szCs w:val="20"/>
              </w:rPr>
            </w:pPr>
          </w:p>
        </w:tc>
        <w:tc>
          <w:tcPr>
            <w:tcW w:w="1418" w:type="dxa"/>
          </w:tcPr>
          <w:p w14:paraId="4C3DD245" w14:textId="77777777" w:rsidR="004A28A8" w:rsidRPr="002000A4" w:rsidRDefault="004A28A8" w:rsidP="003078E7">
            <w:pPr>
              <w:ind w:left="33" w:right="34"/>
              <w:rPr>
                <w:sz w:val="20"/>
                <w:szCs w:val="20"/>
              </w:rPr>
            </w:pPr>
            <w:r w:rsidRPr="002000A4">
              <w:rPr>
                <w:bCs/>
                <w:color w:val="000000"/>
                <w:sz w:val="20"/>
                <w:szCs w:val="20"/>
              </w:rPr>
              <w:t>8742-P005</w:t>
            </w:r>
          </w:p>
        </w:tc>
        <w:tc>
          <w:tcPr>
            <w:tcW w:w="4819" w:type="dxa"/>
          </w:tcPr>
          <w:p w14:paraId="4C3DD246" w14:textId="77777777" w:rsidR="004A28A8" w:rsidRPr="002000A4" w:rsidRDefault="004A28A8" w:rsidP="002000A4">
            <w:pPr>
              <w:rPr>
                <w:sz w:val="20"/>
                <w:szCs w:val="20"/>
              </w:rPr>
            </w:pPr>
            <w:r w:rsidRPr="002000A4">
              <w:rPr>
                <w:rFonts w:eastAsia="TimesNewRoman"/>
                <w:sz w:val="20"/>
                <w:szCs w:val="20"/>
              </w:rPr>
              <w:t>PK profiles of 100 mg EBR with and without famotidine</w:t>
            </w:r>
          </w:p>
        </w:tc>
      </w:tr>
      <w:tr w:rsidR="004A28A8" w:rsidRPr="002000A4" w14:paraId="4C3DD24C" w14:textId="77777777" w:rsidTr="003078E7">
        <w:tc>
          <w:tcPr>
            <w:tcW w:w="1384" w:type="dxa"/>
            <w:vMerge/>
          </w:tcPr>
          <w:p w14:paraId="4C3DD248" w14:textId="77777777" w:rsidR="004A28A8" w:rsidRPr="002000A4" w:rsidRDefault="004A28A8" w:rsidP="003078E7">
            <w:pPr>
              <w:ind w:right="34"/>
              <w:rPr>
                <w:sz w:val="20"/>
                <w:szCs w:val="20"/>
              </w:rPr>
            </w:pPr>
          </w:p>
        </w:tc>
        <w:tc>
          <w:tcPr>
            <w:tcW w:w="1559" w:type="dxa"/>
            <w:vMerge/>
          </w:tcPr>
          <w:p w14:paraId="4C3DD249" w14:textId="77777777" w:rsidR="004A28A8" w:rsidRPr="002000A4" w:rsidRDefault="004A28A8" w:rsidP="003078E7">
            <w:pPr>
              <w:ind w:left="34" w:right="34"/>
              <w:rPr>
                <w:sz w:val="20"/>
                <w:szCs w:val="20"/>
              </w:rPr>
            </w:pPr>
          </w:p>
        </w:tc>
        <w:tc>
          <w:tcPr>
            <w:tcW w:w="1418" w:type="dxa"/>
          </w:tcPr>
          <w:p w14:paraId="4C3DD24A" w14:textId="77777777" w:rsidR="004A28A8" w:rsidRPr="002000A4" w:rsidRDefault="004A28A8" w:rsidP="003078E7">
            <w:pPr>
              <w:ind w:left="33" w:right="34"/>
              <w:rPr>
                <w:sz w:val="20"/>
                <w:szCs w:val="20"/>
              </w:rPr>
            </w:pPr>
            <w:r w:rsidRPr="002000A4">
              <w:rPr>
                <w:rFonts w:eastAsia="TimesNewRoman"/>
                <w:sz w:val="20"/>
                <w:szCs w:val="20"/>
              </w:rPr>
              <w:t>8742-P001v01</w:t>
            </w:r>
          </w:p>
        </w:tc>
        <w:tc>
          <w:tcPr>
            <w:tcW w:w="4819" w:type="dxa"/>
          </w:tcPr>
          <w:p w14:paraId="4C3DD24B" w14:textId="77777777" w:rsidR="004A28A8" w:rsidRPr="002000A4" w:rsidRDefault="004A28A8" w:rsidP="002000A4">
            <w:pPr>
              <w:rPr>
                <w:sz w:val="20"/>
                <w:szCs w:val="20"/>
              </w:rPr>
            </w:pPr>
            <w:r w:rsidRPr="002000A4">
              <w:rPr>
                <w:rFonts w:eastAsia="TimesNewRoman"/>
                <w:sz w:val="20"/>
                <w:szCs w:val="20"/>
              </w:rPr>
              <w:t xml:space="preserve">PKs of EBR after single and </w:t>
            </w:r>
            <w:proofErr w:type="spellStart"/>
            <w:r w:rsidRPr="002000A4">
              <w:rPr>
                <w:rFonts w:eastAsia="TimesNewRoman"/>
                <w:sz w:val="20"/>
                <w:szCs w:val="20"/>
              </w:rPr>
              <w:t>multi oral</w:t>
            </w:r>
            <w:proofErr w:type="spellEnd"/>
            <w:r w:rsidRPr="002000A4">
              <w:rPr>
                <w:rFonts w:eastAsia="TimesNewRoman"/>
                <w:sz w:val="20"/>
                <w:szCs w:val="20"/>
              </w:rPr>
              <w:t xml:space="preserve"> dose administrations</w:t>
            </w:r>
          </w:p>
        </w:tc>
      </w:tr>
      <w:tr w:rsidR="004A28A8" w:rsidRPr="002000A4" w14:paraId="4C3DD251" w14:textId="77777777" w:rsidTr="003078E7">
        <w:tc>
          <w:tcPr>
            <w:tcW w:w="1384" w:type="dxa"/>
            <w:vMerge/>
          </w:tcPr>
          <w:p w14:paraId="4C3DD24D" w14:textId="77777777" w:rsidR="004A28A8" w:rsidRPr="002000A4" w:rsidRDefault="004A28A8" w:rsidP="003078E7">
            <w:pPr>
              <w:ind w:right="34"/>
              <w:rPr>
                <w:sz w:val="20"/>
                <w:szCs w:val="20"/>
              </w:rPr>
            </w:pPr>
          </w:p>
        </w:tc>
        <w:tc>
          <w:tcPr>
            <w:tcW w:w="1559" w:type="dxa"/>
            <w:vMerge/>
          </w:tcPr>
          <w:p w14:paraId="4C3DD24E" w14:textId="77777777" w:rsidR="004A28A8" w:rsidRPr="002000A4" w:rsidRDefault="004A28A8" w:rsidP="003078E7">
            <w:pPr>
              <w:ind w:left="34" w:right="34"/>
              <w:rPr>
                <w:sz w:val="20"/>
                <w:szCs w:val="20"/>
              </w:rPr>
            </w:pPr>
          </w:p>
        </w:tc>
        <w:tc>
          <w:tcPr>
            <w:tcW w:w="1418" w:type="dxa"/>
          </w:tcPr>
          <w:p w14:paraId="4C3DD24F" w14:textId="77777777" w:rsidR="004A28A8" w:rsidRPr="002000A4" w:rsidRDefault="004A28A8" w:rsidP="003078E7">
            <w:pPr>
              <w:ind w:left="33" w:right="34"/>
              <w:rPr>
                <w:sz w:val="20"/>
                <w:szCs w:val="20"/>
              </w:rPr>
            </w:pPr>
            <w:r w:rsidRPr="002000A4">
              <w:rPr>
                <w:bCs/>
                <w:color w:val="000000"/>
                <w:sz w:val="20"/>
                <w:szCs w:val="20"/>
              </w:rPr>
              <w:t>8742-P0018</w:t>
            </w:r>
          </w:p>
        </w:tc>
        <w:tc>
          <w:tcPr>
            <w:tcW w:w="4819" w:type="dxa"/>
          </w:tcPr>
          <w:p w14:paraId="4C3DD250" w14:textId="77777777" w:rsidR="004A28A8" w:rsidRPr="002000A4" w:rsidRDefault="004A28A8" w:rsidP="002000A4">
            <w:pPr>
              <w:rPr>
                <w:sz w:val="20"/>
                <w:szCs w:val="20"/>
              </w:rPr>
            </w:pPr>
            <w:r w:rsidRPr="002000A4">
              <w:rPr>
                <w:rFonts w:eastAsiaTheme="minorHAnsi"/>
                <w:sz w:val="20"/>
                <w:szCs w:val="20"/>
              </w:rPr>
              <w:t>Effect of a high-fat meal on the PKs of EBR PMF2</w:t>
            </w:r>
          </w:p>
        </w:tc>
      </w:tr>
      <w:tr w:rsidR="004A28A8" w:rsidRPr="002000A4" w14:paraId="4C3DD256" w14:textId="77777777" w:rsidTr="003078E7">
        <w:tc>
          <w:tcPr>
            <w:tcW w:w="1384" w:type="dxa"/>
            <w:vMerge/>
          </w:tcPr>
          <w:p w14:paraId="4C3DD252" w14:textId="77777777" w:rsidR="004A28A8" w:rsidRPr="002000A4" w:rsidRDefault="004A28A8" w:rsidP="003078E7">
            <w:pPr>
              <w:ind w:right="34"/>
              <w:rPr>
                <w:sz w:val="20"/>
                <w:szCs w:val="20"/>
              </w:rPr>
            </w:pPr>
          </w:p>
        </w:tc>
        <w:tc>
          <w:tcPr>
            <w:tcW w:w="1559" w:type="dxa"/>
            <w:vMerge/>
          </w:tcPr>
          <w:p w14:paraId="4C3DD253" w14:textId="77777777" w:rsidR="004A28A8" w:rsidRPr="002000A4" w:rsidRDefault="004A28A8" w:rsidP="003078E7">
            <w:pPr>
              <w:ind w:left="34" w:right="34"/>
              <w:rPr>
                <w:sz w:val="20"/>
                <w:szCs w:val="20"/>
              </w:rPr>
            </w:pPr>
          </w:p>
        </w:tc>
        <w:tc>
          <w:tcPr>
            <w:tcW w:w="1418" w:type="dxa"/>
          </w:tcPr>
          <w:p w14:paraId="4C3DD254" w14:textId="77777777" w:rsidR="004A28A8" w:rsidRPr="002000A4" w:rsidRDefault="004A28A8" w:rsidP="003078E7">
            <w:pPr>
              <w:ind w:left="33" w:right="34"/>
              <w:rPr>
                <w:sz w:val="20"/>
                <w:szCs w:val="20"/>
              </w:rPr>
            </w:pPr>
            <w:r w:rsidRPr="002000A4">
              <w:rPr>
                <w:bCs/>
                <w:color w:val="000000"/>
                <w:sz w:val="20"/>
                <w:szCs w:val="20"/>
              </w:rPr>
              <w:t>8742-P006v01</w:t>
            </w:r>
          </w:p>
        </w:tc>
        <w:tc>
          <w:tcPr>
            <w:tcW w:w="4819" w:type="dxa"/>
          </w:tcPr>
          <w:p w14:paraId="4C3DD255" w14:textId="77777777" w:rsidR="004A28A8" w:rsidRPr="002000A4" w:rsidRDefault="004A28A8" w:rsidP="002000A4">
            <w:pPr>
              <w:rPr>
                <w:sz w:val="20"/>
                <w:szCs w:val="20"/>
              </w:rPr>
            </w:pPr>
            <w:r w:rsidRPr="002000A4">
              <w:rPr>
                <w:rFonts w:eastAsia="TimesNewRoman"/>
                <w:sz w:val="20"/>
                <w:szCs w:val="20"/>
              </w:rPr>
              <w:t>PKs following 50 mg EBR for 28 consecutive days</w:t>
            </w:r>
          </w:p>
        </w:tc>
      </w:tr>
      <w:tr w:rsidR="004A28A8" w:rsidRPr="002000A4" w14:paraId="4C3DD25B" w14:textId="77777777" w:rsidTr="003078E7">
        <w:tc>
          <w:tcPr>
            <w:tcW w:w="1384" w:type="dxa"/>
            <w:vMerge/>
          </w:tcPr>
          <w:p w14:paraId="4C3DD257" w14:textId="77777777" w:rsidR="004A28A8" w:rsidRPr="002000A4" w:rsidRDefault="004A28A8" w:rsidP="003078E7">
            <w:pPr>
              <w:ind w:right="34"/>
              <w:rPr>
                <w:sz w:val="20"/>
                <w:szCs w:val="20"/>
              </w:rPr>
            </w:pPr>
          </w:p>
        </w:tc>
        <w:tc>
          <w:tcPr>
            <w:tcW w:w="1559" w:type="dxa"/>
            <w:vMerge/>
          </w:tcPr>
          <w:p w14:paraId="4C3DD258" w14:textId="77777777" w:rsidR="004A28A8" w:rsidRPr="002000A4" w:rsidRDefault="004A28A8" w:rsidP="003078E7">
            <w:pPr>
              <w:ind w:left="34" w:right="34"/>
              <w:rPr>
                <w:sz w:val="20"/>
                <w:szCs w:val="20"/>
              </w:rPr>
            </w:pPr>
          </w:p>
        </w:tc>
        <w:tc>
          <w:tcPr>
            <w:tcW w:w="1418" w:type="dxa"/>
          </w:tcPr>
          <w:p w14:paraId="4C3DD259" w14:textId="77777777" w:rsidR="004A28A8" w:rsidRPr="002000A4" w:rsidRDefault="004A28A8" w:rsidP="003078E7">
            <w:pPr>
              <w:ind w:left="33" w:right="34"/>
              <w:rPr>
                <w:sz w:val="20"/>
                <w:szCs w:val="20"/>
              </w:rPr>
            </w:pPr>
            <w:r w:rsidRPr="002000A4">
              <w:rPr>
                <w:sz w:val="20"/>
                <w:szCs w:val="20"/>
              </w:rPr>
              <w:t>5172-</w:t>
            </w:r>
            <w:r w:rsidRPr="002000A4">
              <w:rPr>
                <w:bCs/>
                <w:color w:val="000000"/>
                <w:sz w:val="20"/>
                <w:szCs w:val="20"/>
              </w:rPr>
              <w:t>P050</w:t>
            </w:r>
          </w:p>
        </w:tc>
        <w:tc>
          <w:tcPr>
            <w:tcW w:w="4819" w:type="dxa"/>
          </w:tcPr>
          <w:p w14:paraId="4C3DD25A" w14:textId="77777777" w:rsidR="004A28A8" w:rsidRPr="002000A4" w:rsidRDefault="004A28A8" w:rsidP="002000A4">
            <w:pPr>
              <w:rPr>
                <w:sz w:val="20"/>
                <w:szCs w:val="20"/>
              </w:rPr>
            </w:pPr>
            <w:r w:rsidRPr="002000A4">
              <w:rPr>
                <w:rFonts w:eastAsia="TimesNewRoman"/>
                <w:sz w:val="20"/>
                <w:szCs w:val="20"/>
              </w:rPr>
              <w:t>PKs of multiple daily doses of GZR and EBR co-administered to subjects with ESRD on HD days to those obtained on non HD days and in healthy subjects</w:t>
            </w:r>
          </w:p>
        </w:tc>
      </w:tr>
      <w:tr w:rsidR="004A28A8" w:rsidRPr="002000A4" w14:paraId="4C3DD260" w14:textId="77777777" w:rsidTr="003078E7">
        <w:tc>
          <w:tcPr>
            <w:tcW w:w="1384" w:type="dxa"/>
            <w:vMerge/>
          </w:tcPr>
          <w:p w14:paraId="4C3DD25C" w14:textId="77777777" w:rsidR="004A28A8" w:rsidRPr="002000A4" w:rsidRDefault="004A28A8" w:rsidP="003078E7">
            <w:pPr>
              <w:ind w:right="34"/>
              <w:rPr>
                <w:sz w:val="20"/>
                <w:szCs w:val="20"/>
              </w:rPr>
            </w:pPr>
          </w:p>
        </w:tc>
        <w:tc>
          <w:tcPr>
            <w:tcW w:w="1559" w:type="dxa"/>
            <w:vMerge/>
          </w:tcPr>
          <w:p w14:paraId="4C3DD25D" w14:textId="77777777" w:rsidR="004A28A8" w:rsidRPr="002000A4" w:rsidRDefault="004A28A8" w:rsidP="003078E7">
            <w:pPr>
              <w:ind w:left="34" w:right="34"/>
              <w:rPr>
                <w:sz w:val="20"/>
                <w:szCs w:val="20"/>
              </w:rPr>
            </w:pPr>
          </w:p>
        </w:tc>
        <w:tc>
          <w:tcPr>
            <w:tcW w:w="1418" w:type="dxa"/>
          </w:tcPr>
          <w:p w14:paraId="4C3DD25E" w14:textId="77777777" w:rsidR="004A28A8" w:rsidRPr="002000A4" w:rsidRDefault="004A28A8" w:rsidP="003078E7">
            <w:pPr>
              <w:ind w:left="33" w:right="34"/>
              <w:rPr>
                <w:sz w:val="20"/>
                <w:szCs w:val="20"/>
              </w:rPr>
            </w:pPr>
            <w:r w:rsidRPr="002000A4">
              <w:rPr>
                <w:sz w:val="20"/>
                <w:szCs w:val="20"/>
              </w:rPr>
              <w:t>5172-P007</w:t>
            </w:r>
          </w:p>
        </w:tc>
        <w:tc>
          <w:tcPr>
            <w:tcW w:w="4819" w:type="dxa"/>
          </w:tcPr>
          <w:p w14:paraId="4C3DD25F" w14:textId="77777777" w:rsidR="004A28A8" w:rsidRPr="002000A4" w:rsidRDefault="004A28A8" w:rsidP="002000A4">
            <w:pPr>
              <w:rPr>
                <w:sz w:val="20"/>
                <w:szCs w:val="20"/>
              </w:rPr>
            </w:pPr>
            <w:r w:rsidRPr="002000A4">
              <w:rPr>
                <w:rFonts w:eastAsia="TimesNewRoman"/>
                <w:sz w:val="20"/>
                <w:szCs w:val="20"/>
              </w:rPr>
              <w:t>Elimination and mass balance of GZR following a single oral dose of [</w:t>
            </w:r>
            <w:r w:rsidRPr="002000A4">
              <w:rPr>
                <w:rFonts w:eastAsia="TimesNewRoman"/>
                <w:sz w:val="20"/>
                <w:szCs w:val="20"/>
                <w:vertAlign w:val="superscript"/>
              </w:rPr>
              <w:t>14</w:t>
            </w:r>
            <w:r w:rsidRPr="002000A4">
              <w:rPr>
                <w:rFonts w:eastAsia="TimesNewRoman"/>
                <w:sz w:val="20"/>
                <w:szCs w:val="20"/>
              </w:rPr>
              <w:t>C]GZR</w:t>
            </w:r>
          </w:p>
        </w:tc>
      </w:tr>
      <w:tr w:rsidR="004A28A8" w:rsidRPr="002000A4" w14:paraId="4C3DD265" w14:textId="77777777" w:rsidTr="003078E7">
        <w:tc>
          <w:tcPr>
            <w:tcW w:w="1384" w:type="dxa"/>
            <w:vMerge/>
          </w:tcPr>
          <w:p w14:paraId="4C3DD261" w14:textId="77777777" w:rsidR="004A28A8" w:rsidRPr="002000A4" w:rsidRDefault="004A28A8" w:rsidP="003078E7">
            <w:pPr>
              <w:ind w:right="34"/>
              <w:rPr>
                <w:sz w:val="20"/>
                <w:szCs w:val="20"/>
              </w:rPr>
            </w:pPr>
          </w:p>
        </w:tc>
        <w:tc>
          <w:tcPr>
            <w:tcW w:w="1559" w:type="dxa"/>
            <w:vMerge/>
          </w:tcPr>
          <w:p w14:paraId="4C3DD262" w14:textId="77777777" w:rsidR="004A28A8" w:rsidRPr="002000A4" w:rsidRDefault="004A28A8" w:rsidP="003078E7">
            <w:pPr>
              <w:ind w:left="34" w:right="34"/>
              <w:rPr>
                <w:sz w:val="20"/>
                <w:szCs w:val="20"/>
              </w:rPr>
            </w:pPr>
          </w:p>
        </w:tc>
        <w:tc>
          <w:tcPr>
            <w:tcW w:w="1418" w:type="dxa"/>
          </w:tcPr>
          <w:p w14:paraId="4C3DD263" w14:textId="52E0AC23" w:rsidR="004A28A8" w:rsidRPr="002000A4" w:rsidRDefault="000845C6" w:rsidP="003078E7">
            <w:pPr>
              <w:ind w:left="33" w:right="34"/>
              <w:rPr>
                <w:sz w:val="20"/>
                <w:szCs w:val="20"/>
              </w:rPr>
            </w:pPr>
            <w:r w:rsidRPr="002000A4">
              <w:rPr>
                <w:bCs/>
                <w:color w:val="000000"/>
                <w:sz w:val="20"/>
                <w:szCs w:val="20"/>
              </w:rPr>
              <w:t>8742</w:t>
            </w:r>
            <w:r w:rsidR="004A28A8" w:rsidRPr="002000A4">
              <w:rPr>
                <w:bCs/>
                <w:color w:val="000000"/>
                <w:sz w:val="20"/>
                <w:szCs w:val="20"/>
              </w:rPr>
              <w:t>-P014</w:t>
            </w:r>
          </w:p>
        </w:tc>
        <w:tc>
          <w:tcPr>
            <w:tcW w:w="4819" w:type="dxa"/>
          </w:tcPr>
          <w:p w14:paraId="4C3DD264" w14:textId="77777777" w:rsidR="004A28A8" w:rsidRPr="002000A4" w:rsidRDefault="004A28A8" w:rsidP="002000A4">
            <w:pPr>
              <w:rPr>
                <w:sz w:val="20"/>
                <w:szCs w:val="20"/>
              </w:rPr>
            </w:pPr>
            <w:r w:rsidRPr="002000A4">
              <w:rPr>
                <w:rFonts w:eastAsiaTheme="minorHAnsi"/>
                <w:sz w:val="20"/>
                <w:szCs w:val="20"/>
              </w:rPr>
              <w:t>Elimination and mass balance of EBR following a single oral</w:t>
            </w:r>
            <w:r w:rsidRPr="002000A4">
              <w:rPr>
                <w:rFonts w:eastAsia="TimesNewRomanPSMT"/>
                <w:sz w:val="20"/>
                <w:szCs w:val="20"/>
              </w:rPr>
              <w:t xml:space="preserve"> dose of [</w:t>
            </w:r>
            <w:r w:rsidRPr="002000A4">
              <w:rPr>
                <w:rFonts w:eastAsiaTheme="minorHAnsi"/>
                <w:sz w:val="20"/>
                <w:szCs w:val="20"/>
                <w:vertAlign w:val="superscript"/>
              </w:rPr>
              <w:t>14</w:t>
            </w:r>
            <w:r w:rsidRPr="002000A4">
              <w:rPr>
                <w:rFonts w:eastAsiaTheme="minorHAnsi"/>
                <w:sz w:val="20"/>
                <w:szCs w:val="20"/>
              </w:rPr>
              <w:t>C]EBR</w:t>
            </w:r>
          </w:p>
        </w:tc>
      </w:tr>
      <w:tr w:rsidR="004A28A8" w:rsidRPr="002000A4" w14:paraId="4C3DD26A" w14:textId="77777777" w:rsidTr="003078E7">
        <w:tc>
          <w:tcPr>
            <w:tcW w:w="1384" w:type="dxa"/>
            <w:vMerge/>
          </w:tcPr>
          <w:p w14:paraId="4C3DD266" w14:textId="77777777" w:rsidR="004A28A8" w:rsidRPr="002000A4" w:rsidRDefault="004A28A8" w:rsidP="003078E7">
            <w:pPr>
              <w:ind w:right="34"/>
              <w:rPr>
                <w:sz w:val="20"/>
                <w:szCs w:val="20"/>
              </w:rPr>
            </w:pPr>
          </w:p>
        </w:tc>
        <w:tc>
          <w:tcPr>
            <w:tcW w:w="1559" w:type="dxa"/>
            <w:vMerge/>
          </w:tcPr>
          <w:p w14:paraId="4C3DD267" w14:textId="77777777" w:rsidR="004A28A8" w:rsidRPr="002000A4" w:rsidRDefault="004A28A8" w:rsidP="003078E7">
            <w:pPr>
              <w:ind w:left="34" w:right="34"/>
              <w:rPr>
                <w:sz w:val="20"/>
                <w:szCs w:val="20"/>
              </w:rPr>
            </w:pPr>
          </w:p>
        </w:tc>
        <w:tc>
          <w:tcPr>
            <w:tcW w:w="1418" w:type="dxa"/>
          </w:tcPr>
          <w:p w14:paraId="4C3DD268" w14:textId="77777777" w:rsidR="004A28A8" w:rsidRPr="002000A4" w:rsidRDefault="004A28A8" w:rsidP="003078E7">
            <w:pPr>
              <w:ind w:left="33" w:right="34"/>
              <w:rPr>
                <w:sz w:val="20"/>
                <w:szCs w:val="20"/>
              </w:rPr>
            </w:pPr>
            <w:r w:rsidRPr="002000A4">
              <w:rPr>
                <w:sz w:val="20"/>
                <w:szCs w:val="20"/>
              </w:rPr>
              <w:t>045496</w:t>
            </w:r>
          </w:p>
        </w:tc>
        <w:tc>
          <w:tcPr>
            <w:tcW w:w="4819" w:type="dxa"/>
          </w:tcPr>
          <w:p w14:paraId="4C3DD269" w14:textId="77777777" w:rsidR="004A28A8" w:rsidRPr="002000A4" w:rsidRDefault="004A28A8" w:rsidP="002000A4">
            <w:pPr>
              <w:rPr>
                <w:sz w:val="20"/>
                <w:szCs w:val="20"/>
              </w:rPr>
            </w:pPr>
            <w:r w:rsidRPr="002000A4">
              <w:rPr>
                <w:rFonts w:eastAsiaTheme="minorHAnsi"/>
                <w:sz w:val="20"/>
                <w:szCs w:val="20"/>
              </w:rPr>
              <w:t>popPK model of GZR PKs in healthy subjects and HCV infected patients</w:t>
            </w:r>
          </w:p>
        </w:tc>
      </w:tr>
      <w:tr w:rsidR="004A28A8" w:rsidRPr="002000A4" w14:paraId="4C3DD26F" w14:textId="77777777" w:rsidTr="003078E7">
        <w:tc>
          <w:tcPr>
            <w:tcW w:w="1384" w:type="dxa"/>
            <w:vMerge/>
          </w:tcPr>
          <w:p w14:paraId="4C3DD26B" w14:textId="77777777" w:rsidR="004A28A8" w:rsidRPr="002000A4" w:rsidRDefault="004A28A8" w:rsidP="003078E7">
            <w:pPr>
              <w:ind w:right="34"/>
              <w:rPr>
                <w:sz w:val="20"/>
                <w:szCs w:val="20"/>
              </w:rPr>
            </w:pPr>
          </w:p>
        </w:tc>
        <w:tc>
          <w:tcPr>
            <w:tcW w:w="1559" w:type="dxa"/>
            <w:vMerge/>
          </w:tcPr>
          <w:p w14:paraId="4C3DD26C" w14:textId="77777777" w:rsidR="004A28A8" w:rsidRPr="002000A4" w:rsidRDefault="004A28A8" w:rsidP="003078E7">
            <w:pPr>
              <w:ind w:left="34" w:right="34"/>
              <w:rPr>
                <w:sz w:val="20"/>
                <w:szCs w:val="20"/>
              </w:rPr>
            </w:pPr>
          </w:p>
        </w:tc>
        <w:tc>
          <w:tcPr>
            <w:tcW w:w="1418" w:type="dxa"/>
          </w:tcPr>
          <w:p w14:paraId="4C3DD26D" w14:textId="77777777" w:rsidR="004A28A8" w:rsidRPr="002000A4" w:rsidRDefault="004A28A8" w:rsidP="003078E7">
            <w:pPr>
              <w:ind w:left="33" w:right="34"/>
              <w:rPr>
                <w:sz w:val="20"/>
                <w:szCs w:val="20"/>
              </w:rPr>
            </w:pPr>
            <w:r w:rsidRPr="002000A4">
              <w:rPr>
                <w:bCs/>
                <w:color w:val="000000"/>
                <w:sz w:val="20"/>
                <w:szCs w:val="20"/>
              </w:rPr>
              <w:t>044ZSQ</w:t>
            </w:r>
          </w:p>
        </w:tc>
        <w:tc>
          <w:tcPr>
            <w:tcW w:w="4819" w:type="dxa"/>
          </w:tcPr>
          <w:p w14:paraId="4C3DD26E" w14:textId="77777777" w:rsidR="004A28A8" w:rsidRPr="002000A4" w:rsidRDefault="004A28A8" w:rsidP="002000A4">
            <w:pPr>
              <w:rPr>
                <w:sz w:val="20"/>
                <w:szCs w:val="20"/>
              </w:rPr>
            </w:pPr>
            <w:r w:rsidRPr="002000A4">
              <w:rPr>
                <w:rFonts w:eastAsiaTheme="minorHAnsi"/>
                <w:sz w:val="20"/>
                <w:szCs w:val="20"/>
              </w:rPr>
              <w:t>popPK model of EBR PKs in healthy subjects and HCV infected patients</w:t>
            </w:r>
          </w:p>
        </w:tc>
      </w:tr>
      <w:tr w:rsidR="004A28A8" w:rsidRPr="002000A4" w14:paraId="4C3DD274" w14:textId="77777777" w:rsidTr="003078E7">
        <w:tc>
          <w:tcPr>
            <w:tcW w:w="1384" w:type="dxa"/>
            <w:vMerge w:val="restart"/>
          </w:tcPr>
          <w:p w14:paraId="4C3DD270" w14:textId="77777777" w:rsidR="004A28A8" w:rsidRPr="002000A4" w:rsidRDefault="004A28A8" w:rsidP="003078E7">
            <w:pPr>
              <w:ind w:right="34"/>
              <w:rPr>
                <w:sz w:val="20"/>
                <w:szCs w:val="20"/>
              </w:rPr>
            </w:pPr>
            <w:r w:rsidRPr="002000A4">
              <w:rPr>
                <w:sz w:val="20"/>
                <w:szCs w:val="20"/>
              </w:rPr>
              <w:t>Target population§</w:t>
            </w:r>
          </w:p>
        </w:tc>
        <w:tc>
          <w:tcPr>
            <w:tcW w:w="1559" w:type="dxa"/>
            <w:vMerge w:val="restart"/>
          </w:tcPr>
          <w:p w14:paraId="4C3DD271" w14:textId="77777777" w:rsidR="004A28A8" w:rsidRPr="002000A4" w:rsidRDefault="004A28A8" w:rsidP="003078E7">
            <w:pPr>
              <w:ind w:left="34" w:right="34"/>
              <w:rPr>
                <w:sz w:val="20"/>
                <w:szCs w:val="20"/>
              </w:rPr>
            </w:pPr>
            <w:r w:rsidRPr="002000A4">
              <w:rPr>
                <w:sz w:val="20"/>
                <w:szCs w:val="20"/>
              </w:rPr>
              <w:t>HCV patients</w:t>
            </w:r>
          </w:p>
        </w:tc>
        <w:tc>
          <w:tcPr>
            <w:tcW w:w="1418" w:type="dxa"/>
          </w:tcPr>
          <w:p w14:paraId="4C3DD272" w14:textId="77777777" w:rsidR="004A28A8" w:rsidRPr="002000A4" w:rsidRDefault="004A28A8" w:rsidP="003078E7">
            <w:pPr>
              <w:ind w:left="33" w:right="34"/>
              <w:rPr>
                <w:sz w:val="20"/>
                <w:szCs w:val="20"/>
              </w:rPr>
            </w:pPr>
            <w:r w:rsidRPr="002000A4">
              <w:rPr>
                <w:bCs/>
                <w:color w:val="000000"/>
                <w:sz w:val="20"/>
                <w:szCs w:val="20"/>
              </w:rPr>
              <w:t>5172-P004v02</w:t>
            </w:r>
          </w:p>
        </w:tc>
        <w:tc>
          <w:tcPr>
            <w:tcW w:w="4819" w:type="dxa"/>
          </w:tcPr>
          <w:p w14:paraId="4C3DD273" w14:textId="77777777" w:rsidR="004A28A8" w:rsidRPr="002000A4" w:rsidRDefault="004A28A8" w:rsidP="002000A4">
            <w:pPr>
              <w:rPr>
                <w:sz w:val="20"/>
                <w:szCs w:val="20"/>
              </w:rPr>
            </w:pPr>
            <w:r w:rsidRPr="002000A4">
              <w:rPr>
                <w:sz w:val="20"/>
                <w:szCs w:val="20"/>
              </w:rPr>
              <w:t xml:space="preserve">PKs and anti-viral activity </w:t>
            </w:r>
            <w:r w:rsidRPr="002000A4">
              <w:rPr>
                <w:rFonts w:eastAsia="TimesNewRoman"/>
                <w:sz w:val="20"/>
                <w:szCs w:val="20"/>
              </w:rPr>
              <w:t>of GZR administered for 7 consecutive days to HCV-infected male patients</w:t>
            </w:r>
          </w:p>
        </w:tc>
      </w:tr>
      <w:tr w:rsidR="004A28A8" w:rsidRPr="002000A4" w14:paraId="4C3DD279" w14:textId="77777777" w:rsidTr="003078E7">
        <w:tc>
          <w:tcPr>
            <w:tcW w:w="1384" w:type="dxa"/>
            <w:vMerge/>
          </w:tcPr>
          <w:p w14:paraId="4C3DD275" w14:textId="77777777" w:rsidR="004A28A8" w:rsidRPr="002000A4" w:rsidRDefault="004A28A8" w:rsidP="003078E7">
            <w:pPr>
              <w:ind w:right="34"/>
              <w:rPr>
                <w:sz w:val="20"/>
                <w:szCs w:val="20"/>
              </w:rPr>
            </w:pPr>
          </w:p>
        </w:tc>
        <w:tc>
          <w:tcPr>
            <w:tcW w:w="1559" w:type="dxa"/>
            <w:vMerge/>
          </w:tcPr>
          <w:p w14:paraId="4C3DD276" w14:textId="77777777" w:rsidR="004A28A8" w:rsidRPr="002000A4" w:rsidRDefault="004A28A8" w:rsidP="003078E7">
            <w:pPr>
              <w:ind w:left="34" w:right="34"/>
              <w:rPr>
                <w:sz w:val="20"/>
                <w:szCs w:val="20"/>
              </w:rPr>
            </w:pPr>
          </w:p>
        </w:tc>
        <w:tc>
          <w:tcPr>
            <w:tcW w:w="1418" w:type="dxa"/>
          </w:tcPr>
          <w:p w14:paraId="4C3DD277" w14:textId="77777777" w:rsidR="004A28A8" w:rsidRPr="002000A4" w:rsidRDefault="004A28A8" w:rsidP="003078E7">
            <w:pPr>
              <w:ind w:left="33" w:right="34"/>
              <w:rPr>
                <w:sz w:val="20"/>
                <w:szCs w:val="20"/>
              </w:rPr>
            </w:pPr>
            <w:r w:rsidRPr="002000A4">
              <w:rPr>
                <w:bCs/>
                <w:color w:val="000000"/>
                <w:sz w:val="20"/>
                <w:szCs w:val="20"/>
              </w:rPr>
              <w:t>8742-P002v02</w:t>
            </w:r>
          </w:p>
        </w:tc>
        <w:tc>
          <w:tcPr>
            <w:tcW w:w="4819" w:type="dxa"/>
          </w:tcPr>
          <w:p w14:paraId="4C3DD278" w14:textId="77777777" w:rsidR="004A28A8" w:rsidRPr="002000A4" w:rsidRDefault="004A28A8" w:rsidP="002000A4">
            <w:pPr>
              <w:rPr>
                <w:sz w:val="20"/>
                <w:szCs w:val="20"/>
              </w:rPr>
            </w:pPr>
            <w:r w:rsidRPr="002000A4">
              <w:rPr>
                <w:sz w:val="20"/>
                <w:szCs w:val="20"/>
              </w:rPr>
              <w:t xml:space="preserve">PKs and anti-viral activity </w:t>
            </w:r>
            <w:r w:rsidRPr="002000A4">
              <w:rPr>
                <w:rFonts w:eastAsia="TimesNewRoman"/>
                <w:sz w:val="20"/>
                <w:szCs w:val="20"/>
              </w:rPr>
              <w:t>of GZR administered for 5 consecutive days to HCV-infected male patients</w:t>
            </w:r>
          </w:p>
        </w:tc>
      </w:tr>
      <w:tr w:rsidR="004A28A8" w:rsidRPr="002000A4" w14:paraId="4C3DD27E" w14:textId="77777777" w:rsidTr="003078E7">
        <w:tc>
          <w:tcPr>
            <w:tcW w:w="1384" w:type="dxa"/>
            <w:vMerge w:val="restart"/>
          </w:tcPr>
          <w:p w14:paraId="4C3DD27A" w14:textId="77777777" w:rsidR="004A28A8" w:rsidRPr="002000A4" w:rsidRDefault="004A28A8" w:rsidP="003078E7">
            <w:pPr>
              <w:ind w:right="34"/>
              <w:rPr>
                <w:sz w:val="20"/>
                <w:szCs w:val="20"/>
              </w:rPr>
            </w:pPr>
            <w:r w:rsidRPr="002000A4">
              <w:rPr>
                <w:sz w:val="20"/>
                <w:szCs w:val="20"/>
              </w:rPr>
              <w:t>Special populations</w:t>
            </w:r>
          </w:p>
        </w:tc>
        <w:tc>
          <w:tcPr>
            <w:tcW w:w="1559" w:type="dxa"/>
            <w:vMerge w:val="restart"/>
          </w:tcPr>
          <w:p w14:paraId="4C3DD27B" w14:textId="77777777" w:rsidR="004A28A8" w:rsidRPr="002000A4" w:rsidRDefault="004A28A8" w:rsidP="003078E7">
            <w:pPr>
              <w:ind w:left="34" w:right="34"/>
              <w:rPr>
                <w:sz w:val="20"/>
                <w:szCs w:val="20"/>
              </w:rPr>
            </w:pPr>
            <w:r w:rsidRPr="002000A4">
              <w:rPr>
                <w:sz w:val="20"/>
                <w:szCs w:val="20"/>
              </w:rPr>
              <w:t>Hepatic impairment</w:t>
            </w:r>
          </w:p>
        </w:tc>
        <w:tc>
          <w:tcPr>
            <w:tcW w:w="1418" w:type="dxa"/>
          </w:tcPr>
          <w:p w14:paraId="4C3DD27C" w14:textId="77777777" w:rsidR="004A28A8" w:rsidRPr="002000A4" w:rsidRDefault="004A28A8" w:rsidP="003078E7">
            <w:pPr>
              <w:ind w:left="33" w:right="34"/>
              <w:rPr>
                <w:sz w:val="20"/>
                <w:szCs w:val="20"/>
              </w:rPr>
            </w:pPr>
            <w:r w:rsidRPr="002000A4">
              <w:rPr>
                <w:sz w:val="20"/>
                <w:szCs w:val="20"/>
              </w:rPr>
              <w:t>5172-P013</w:t>
            </w:r>
          </w:p>
        </w:tc>
        <w:tc>
          <w:tcPr>
            <w:tcW w:w="4819" w:type="dxa"/>
          </w:tcPr>
          <w:p w14:paraId="4C3DD27D" w14:textId="77777777" w:rsidR="004A28A8" w:rsidRPr="002000A4" w:rsidRDefault="004A28A8" w:rsidP="002000A4">
            <w:pPr>
              <w:rPr>
                <w:sz w:val="20"/>
                <w:szCs w:val="20"/>
              </w:rPr>
            </w:pPr>
            <w:r w:rsidRPr="002000A4">
              <w:rPr>
                <w:rFonts w:eastAsia="TimesNewRoman"/>
                <w:sz w:val="20"/>
                <w:szCs w:val="20"/>
              </w:rPr>
              <w:t>PKs of GZR following 10 days dosing to patients with mild-, moderate- and severe-hepatic insufficiency without hepatitis C and healthy subjects</w:t>
            </w:r>
          </w:p>
        </w:tc>
      </w:tr>
      <w:tr w:rsidR="004A28A8" w:rsidRPr="002000A4" w14:paraId="4C3DD283" w14:textId="77777777" w:rsidTr="003078E7">
        <w:tc>
          <w:tcPr>
            <w:tcW w:w="1384" w:type="dxa"/>
            <w:vMerge/>
          </w:tcPr>
          <w:p w14:paraId="4C3DD27F" w14:textId="77777777" w:rsidR="004A28A8" w:rsidRPr="002000A4" w:rsidRDefault="004A28A8" w:rsidP="003078E7">
            <w:pPr>
              <w:ind w:right="34"/>
              <w:rPr>
                <w:sz w:val="20"/>
                <w:szCs w:val="20"/>
              </w:rPr>
            </w:pPr>
          </w:p>
        </w:tc>
        <w:tc>
          <w:tcPr>
            <w:tcW w:w="1559" w:type="dxa"/>
            <w:vMerge/>
          </w:tcPr>
          <w:p w14:paraId="4C3DD280" w14:textId="77777777" w:rsidR="004A28A8" w:rsidRPr="002000A4" w:rsidRDefault="004A28A8" w:rsidP="003078E7">
            <w:pPr>
              <w:ind w:left="34" w:right="34"/>
              <w:rPr>
                <w:sz w:val="20"/>
                <w:szCs w:val="20"/>
              </w:rPr>
            </w:pPr>
          </w:p>
        </w:tc>
        <w:tc>
          <w:tcPr>
            <w:tcW w:w="1418" w:type="dxa"/>
          </w:tcPr>
          <w:p w14:paraId="4C3DD281" w14:textId="77777777" w:rsidR="004A28A8" w:rsidRPr="002000A4" w:rsidRDefault="004A28A8" w:rsidP="003078E7">
            <w:pPr>
              <w:ind w:left="33" w:right="34"/>
              <w:rPr>
                <w:sz w:val="20"/>
                <w:szCs w:val="20"/>
              </w:rPr>
            </w:pPr>
            <w:r w:rsidRPr="002000A4">
              <w:rPr>
                <w:bCs/>
                <w:color w:val="000000"/>
                <w:sz w:val="20"/>
                <w:szCs w:val="20"/>
              </w:rPr>
              <w:t>8742-P009</w:t>
            </w:r>
          </w:p>
        </w:tc>
        <w:tc>
          <w:tcPr>
            <w:tcW w:w="4819" w:type="dxa"/>
          </w:tcPr>
          <w:p w14:paraId="4C3DD282" w14:textId="77777777" w:rsidR="004A28A8" w:rsidRPr="002000A4" w:rsidRDefault="004A28A8" w:rsidP="002000A4">
            <w:pPr>
              <w:rPr>
                <w:sz w:val="20"/>
                <w:szCs w:val="20"/>
              </w:rPr>
            </w:pPr>
            <w:r w:rsidRPr="002000A4">
              <w:rPr>
                <w:rFonts w:eastAsia="TimesNewRoman"/>
                <w:sz w:val="20"/>
                <w:szCs w:val="20"/>
              </w:rPr>
              <w:t>PKs of EBR following a single dose to patients with mild-, moderate- and severe-hepatic insufficiency and healthy subjects</w:t>
            </w:r>
          </w:p>
        </w:tc>
      </w:tr>
      <w:tr w:rsidR="004A28A8" w:rsidRPr="002000A4" w14:paraId="4C3DD288" w14:textId="77777777" w:rsidTr="003078E7">
        <w:tc>
          <w:tcPr>
            <w:tcW w:w="1384" w:type="dxa"/>
            <w:vMerge/>
          </w:tcPr>
          <w:p w14:paraId="4C3DD284" w14:textId="77777777" w:rsidR="004A28A8" w:rsidRPr="002000A4" w:rsidRDefault="004A28A8" w:rsidP="003078E7">
            <w:pPr>
              <w:ind w:right="34"/>
              <w:rPr>
                <w:sz w:val="20"/>
                <w:szCs w:val="20"/>
              </w:rPr>
            </w:pPr>
          </w:p>
        </w:tc>
        <w:tc>
          <w:tcPr>
            <w:tcW w:w="1559" w:type="dxa"/>
            <w:vMerge w:val="restart"/>
          </w:tcPr>
          <w:p w14:paraId="4C3DD285" w14:textId="77777777" w:rsidR="004A28A8" w:rsidRPr="002000A4" w:rsidRDefault="004A28A8" w:rsidP="003078E7">
            <w:pPr>
              <w:ind w:left="34" w:right="34"/>
              <w:rPr>
                <w:sz w:val="20"/>
                <w:szCs w:val="20"/>
              </w:rPr>
            </w:pPr>
            <w:r w:rsidRPr="002000A4">
              <w:rPr>
                <w:sz w:val="20"/>
                <w:szCs w:val="20"/>
              </w:rPr>
              <w:t>Age</w:t>
            </w:r>
          </w:p>
        </w:tc>
        <w:tc>
          <w:tcPr>
            <w:tcW w:w="1418" w:type="dxa"/>
          </w:tcPr>
          <w:p w14:paraId="4C3DD286" w14:textId="77777777" w:rsidR="004A28A8" w:rsidRPr="002000A4" w:rsidRDefault="004A28A8" w:rsidP="003078E7">
            <w:pPr>
              <w:ind w:left="33" w:right="34"/>
              <w:rPr>
                <w:sz w:val="20"/>
                <w:szCs w:val="20"/>
              </w:rPr>
            </w:pPr>
            <w:r w:rsidRPr="002000A4">
              <w:rPr>
                <w:bCs/>
                <w:color w:val="000000"/>
                <w:sz w:val="20"/>
                <w:szCs w:val="20"/>
              </w:rPr>
              <w:t>5172-P014</w:t>
            </w:r>
          </w:p>
        </w:tc>
        <w:tc>
          <w:tcPr>
            <w:tcW w:w="4819" w:type="dxa"/>
          </w:tcPr>
          <w:p w14:paraId="4C3DD287" w14:textId="77777777" w:rsidR="004A28A8" w:rsidRPr="002000A4" w:rsidRDefault="004A28A8" w:rsidP="002000A4">
            <w:pPr>
              <w:rPr>
                <w:sz w:val="20"/>
                <w:szCs w:val="20"/>
              </w:rPr>
            </w:pPr>
            <w:r w:rsidRPr="002000A4">
              <w:rPr>
                <w:rFonts w:eastAsia="TimesNewRoman"/>
                <w:sz w:val="20"/>
                <w:szCs w:val="20"/>
              </w:rPr>
              <w:t>PKs of multi-dose GZR in healthy elderly male and female subjects</w:t>
            </w:r>
          </w:p>
        </w:tc>
      </w:tr>
      <w:tr w:rsidR="004A28A8" w:rsidRPr="002000A4" w14:paraId="4C3DD28D" w14:textId="77777777" w:rsidTr="003078E7">
        <w:tc>
          <w:tcPr>
            <w:tcW w:w="1384" w:type="dxa"/>
            <w:vMerge/>
          </w:tcPr>
          <w:p w14:paraId="4C3DD289" w14:textId="77777777" w:rsidR="004A28A8" w:rsidRPr="002000A4" w:rsidRDefault="004A28A8" w:rsidP="003078E7">
            <w:pPr>
              <w:ind w:right="34"/>
              <w:rPr>
                <w:sz w:val="20"/>
                <w:szCs w:val="20"/>
              </w:rPr>
            </w:pPr>
          </w:p>
        </w:tc>
        <w:tc>
          <w:tcPr>
            <w:tcW w:w="1559" w:type="dxa"/>
            <w:vMerge/>
          </w:tcPr>
          <w:p w14:paraId="4C3DD28A" w14:textId="77777777" w:rsidR="004A28A8" w:rsidRPr="002000A4" w:rsidRDefault="004A28A8" w:rsidP="003078E7">
            <w:pPr>
              <w:ind w:left="34" w:right="34"/>
              <w:rPr>
                <w:sz w:val="20"/>
                <w:szCs w:val="20"/>
              </w:rPr>
            </w:pPr>
          </w:p>
        </w:tc>
        <w:tc>
          <w:tcPr>
            <w:tcW w:w="1418" w:type="dxa"/>
          </w:tcPr>
          <w:p w14:paraId="4C3DD28B" w14:textId="77777777" w:rsidR="004A28A8" w:rsidRPr="002000A4" w:rsidRDefault="004A28A8" w:rsidP="003078E7">
            <w:pPr>
              <w:ind w:left="33" w:right="34"/>
              <w:rPr>
                <w:sz w:val="20"/>
                <w:szCs w:val="20"/>
              </w:rPr>
            </w:pPr>
            <w:r w:rsidRPr="002000A4">
              <w:rPr>
                <w:sz w:val="20"/>
                <w:szCs w:val="20"/>
              </w:rPr>
              <w:t>8742-P004</w:t>
            </w:r>
          </w:p>
        </w:tc>
        <w:tc>
          <w:tcPr>
            <w:tcW w:w="4819" w:type="dxa"/>
          </w:tcPr>
          <w:p w14:paraId="4C3DD28C" w14:textId="77777777" w:rsidR="004A28A8" w:rsidRPr="002000A4" w:rsidRDefault="004A28A8" w:rsidP="002000A4">
            <w:pPr>
              <w:rPr>
                <w:sz w:val="20"/>
                <w:szCs w:val="20"/>
              </w:rPr>
            </w:pPr>
            <w:r w:rsidRPr="002000A4">
              <w:rPr>
                <w:rFonts w:eastAsia="TimesNewRoman"/>
                <w:sz w:val="20"/>
                <w:szCs w:val="20"/>
              </w:rPr>
              <w:t>PKs of a single oral dose of EBR in healthy elderly male, healthy elderly female and healthy young male subjects</w:t>
            </w:r>
          </w:p>
        </w:tc>
      </w:tr>
      <w:tr w:rsidR="004A28A8" w:rsidRPr="002000A4" w14:paraId="4C3DD292" w14:textId="77777777" w:rsidTr="003078E7">
        <w:tc>
          <w:tcPr>
            <w:tcW w:w="1384" w:type="dxa"/>
            <w:vMerge/>
          </w:tcPr>
          <w:p w14:paraId="4C3DD28E" w14:textId="77777777" w:rsidR="004A28A8" w:rsidRPr="002000A4" w:rsidRDefault="004A28A8" w:rsidP="003078E7">
            <w:pPr>
              <w:ind w:right="34"/>
              <w:rPr>
                <w:sz w:val="20"/>
                <w:szCs w:val="20"/>
              </w:rPr>
            </w:pPr>
          </w:p>
        </w:tc>
        <w:tc>
          <w:tcPr>
            <w:tcW w:w="1559" w:type="dxa"/>
            <w:vMerge w:val="restart"/>
          </w:tcPr>
          <w:p w14:paraId="4C3DD28F" w14:textId="77777777" w:rsidR="004A28A8" w:rsidRPr="002000A4" w:rsidRDefault="004A28A8" w:rsidP="003078E7">
            <w:pPr>
              <w:ind w:left="34" w:right="34"/>
              <w:rPr>
                <w:sz w:val="20"/>
                <w:szCs w:val="20"/>
              </w:rPr>
            </w:pPr>
            <w:r w:rsidRPr="002000A4">
              <w:rPr>
                <w:sz w:val="20"/>
                <w:szCs w:val="20"/>
              </w:rPr>
              <w:t>Race</w:t>
            </w:r>
          </w:p>
        </w:tc>
        <w:tc>
          <w:tcPr>
            <w:tcW w:w="1418" w:type="dxa"/>
          </w:tcPr>
          <w:p w14:paraId="4C3DD290" w14:textId="77777777" w:rsidR="004A28A8" w:rsidRPr="002000A4" w:rsidRDefault="004A28A8" w:rsidP="003078E7">
            <w:pPr>
              <w:ind w:left="33" w:right="34"/>
              <w:rPr>
                <w:sz w:val="20"/>
                <w:szCs w:val="20"/>
              </w:rPr>
            </w:pPr>
            <w:r w:rsidRPr="002000A4">
              <w:rPr>
                <w:sz w:val="20"/>
                <w:szCs w:val="20"/>
              </w:rPr>
              <w:t>5172-P009</w:t>
            </w:r>
          </w:p>
        </w:tc>
        <w:tc>
          <w:tcPr>
            <w:tcW w:w="4819" w:type="dxa"/>
          </w:tcPr>
          <w:p w14:paraId="4C3DD291" w14:textId="77777777" w:rsidR="004A28A8" w:rsidRPr="002000A4" w:rsidRDefault="004A28A8" w:rsidP="002000A4">
            <w:pPr>
              <w:rPr>
                <w:sz w:val="20"/>
                <w:szCs w:val="20"/>
              </w:rPr>
            </w:pPr>
            <w:r w:rsidRPr="002000A4">
              <w:rPr>
                <w:sz w:val="20"/>
                <w:szCs w:val="20"/>
              </w:rPr>
              <w:t>PKs of</w:t>
            </w:r>
            <w:r w:rsidRPr="002000A4">
              <w:rPr>
                <w:rFonts w:eastAsia="TimesNewRoman"/>
                <w:sz w:val="20"/>
                <w:szCs w:val="20"/>
              </w:rPr>
              <w:t xml:space="preserve"> GZR following single and multiple QD oral doses to healthy young Japanese subjects</w:t>
            </w:r>
          </w:p>
        </w:tc>
      </w:tr>
      <w:tr w:rsidR="004A28A8" w:rsidRPr="002000A4" w14:paraId="4C3DD297" w14:textId="77777777" w:rsidTr="003078E7">
        <w:tc>
          <w:tcPr>
            <w:tcW w:w="1384" w:type="dxa"/>
            <w:vMerge/>
          </w:tcPr>
          <w:p w14:paraId="4C3DD293" w14:textId="77777777" w:rsidR="004A28A8" w:rsidRPr="002000A4" w:rsidRDefault="004A28A8" w:rsidP="003078E7">
            <w:pPr>
              <w:ind w:right="34"/>
              <w:rPr>
                <w:sz w:val="20"/>
                <w:szCs w:val="20"/>
              </w:rPr>
            </w:pPr>
          </w:p>
        </w:tc>
        <w:tc>
          <w:tcPr>
            <w:tcW w:w="1559" w:type="dxa"/>
            <w:vMerge/>
          </w:tcPr>
          <w:p w14:paraId="4C3DD294" w14:textId="77777777" w:rsidR="004A28A8" w:rsidRPr="002000A4" w:rsidRDefault="004A28A8" w:rsidP="003078E7">
            <w:pPr>
              <w:ind w:left="34" w:right="34"/>
              <w:rPr>
                <w:sz w:val="20"/>
                <w:szCs w:val="20"/>
              </w:rPr>
            </w:pPr>
          </w:p>
        </w:tc>
        <w:tc>
          <w:tcPr>
            <w:tcW w:w="1418" w:type="dxa"/>
          </w:tcPr>
          <w:p w14:paraId="4C3DD295" w14:textId="77777777" w:rsidR="004A28A8" w:rsidRPr="002000A4" w:rsidRDefault="004A28A8" w:rsidP="003078E7">
            <w:pPr>
              <w:ind w:left="33" w:right="34"/>
              <w:rPr>
                <w:sz w:val="20"/>
                <w:szCs w:val="20"/>
              </w:rPr>
            </w:pPr>
            <w:r w:rsidRPr="002000A4">
              <w:rPr>
                <w:sz w:val="20"/>
                <w:szCs w:val="20"/>
              </w:rPr>
              <w:t>7009-P050</w:t>
            </w:r>
          </w:p>
        </w:tc>
        <w:tc>
          <w:tcPr>
            <w:tcW w:w="4819" w:type="dxa"/>
          </w:tcPr>
          <w:p w14:paraId="4C3DD296" w14:textId="77777777" w:rsidR="004A28A8" w:rsidRPr="002000A4" w:rsidRDefault="004A28A8" w:rsidP="002000A4">
            <w:pPr>
              <w:rPr>
                <w:sz w:val="20"/>
                <w:szCs w:val="20"/>
              </w:rPr>
            </w:pPr>
            <w:r w:rsidRPr="002000A4">
              <w:rPr>
                <w:sz w:val="20"/>
                <w:szCs w:val="20"/>
              </w:rPr>
              <w:t>PK</w:t>
            </w:r>
            <w:r w:rsidRPr="002000A4">
              <w:rPr>
                <w:rFonts w:eastAsia="TimesNewRoman"/>
                <w:sz w:val="20"/>
                <w:szCs w:val="20"/>
              </w:rPr>
              <w:t>s of EBR following a single oral dose to healthy Japanese subjects</w:t>
            </w:r>
          </w:p>
        </w:tc>
      </w:tr>
      <w:tr w:rsidR="004A28A8" w:rsidRPr="002000A4" w14:paraId="4C3DD29C" w14:textId="77777777" w:rsidTr="003078E7">
        <w:tc>
          <w:tcPr>
            <w:tcW w:w="1384" w:type="dxa"/>
            <w:vMerge/>
          </w:tcPr>
          <w:p w14:paraId="4C3DD298" w14:textId="77777777" w:rsidR="004A28A8" w:rsidRPr="002000A4" w:rsidRDefault="004A28A8" w:rsidP="003078E7">
            <w:pPr>
              <w:ind w:right="34"/>
              <w:rPr>
                <w:sz w:val="20"/>
                <w:szCs w:val="20"/>
              </w:rPr>
            </w:pPr>
          </w:p>
        </w:tc>
        <w:tc>
          <w:tcPr>
            <w:tcW w:w="1559" w:type="dxa"/>
            <w:vMerge/>
          </w:tcPr>
          <w:p w14:paraId="4C3DD299" w14:textId="77777777" w:rsidR="004A28A8" w:rsidRPr="002000A4" w:rsidRDefault="004A28A8" w:rsidP="003078E7">
            <w:pPr>
              <w:ind w:left="34" w:right="34"/>
              <w:rPr>
                <w:sz w:val="20"/>
                <w:szCs w:val="20"/>
              </w:rPr>
            </w:pPr>
          </w:p>
        </w:tc>
        <w:tc>
          <w:tcPr>
            <w:tcW w:w="1418" w:type="dxa"/>
          </w:tcPr>
          <w:p w14:paraId="4C3DD29A" w14:textId="77777777" w:rsidR="004A28A8" w:rsidRPr="002000A4" w:rsidRDefault="004A28A8" w:rsidP="003078E7">
            <w:pPr>
              <w:ind w:left="33" w:right="34"/>
              <w:rPr>
                <w:sz w:val="20"/>
                <w:szCs w:val="20"/>
              </w:rPr>
            </w:pPr>
            <w:r w:rsidRPr="002000A4">
              <w:rPr>
                <w:bCs/>
                <w:color w:val="000000"/>
                <w:sz w:val="20"/>
                <w:szCs w:val="20"/>
              </w:rPr>
              <w:t>5172-P042</w:t>
            </w:r>
          </w:p>
        </w:tc>
        <w:tc>
          <w:tcPr>
            <w:tcW w:w="4819" w:type="dxa"/>
          </w:tcPr>
          <w:p w14:paraId="4C3DD29B" w14:textId="77777777" w:rsidR="004A28A8" w:rsidRPr="002000A4" w:rsidRDefault="004A28A8" w:rsidP="002000A4">
            <w:pPr>
              <w:rPr>
                <w:sz w:val="20"/>
                <w:szCs w:val="20"/>
              </w:rPr>
            </w:pPr>
            <w:r w:rsidRPr="002000A4">
              <w:rPr>
                <w:rFonts w:eastAsiaTheme="minorHAnsi"/>
                <w:sz w:val="20"/>
                <w:szCs w:val="20"/>
              </w:rPr>
              <w:t>PKs of GZR following multiple doses of GZR in healthy Chinese subjects</w:t>
            </w:r>
          </w:p>
        </w:tc>
      </w:tr>
      <w:tr w:rsidR="004A28A8" w:rsidRPr="002000A4" w14:paraId="4C3DD2A1" w14:textId="77777777" w:rsidTr="003078E7">
        <w:tc>
          <w:tcPr>
            <w:tcW w:w="1384" w:type="dxa"/>
            <w:vMerge w:val="restart"/>
          </w:tcPr>
          <w:p w14:paraId="4C3DD29D" w14:textId="77777777" w:rsidR="004A28A8" w:rsidRPr="002000A4" w:rsidRDefault="004A28A8" w:rsidP="003078E7">
            <w:pPr>
              <w:ind w:right="34"/>
              <w:rPr>
                <w:sz w:val="20"/>
                <w:szCs w:val="20"/>
              </w:rPr>
            </w:pPr>
            <w:r w:rsidRPr="002000A4">
              <w:rPr>
                <w:sz w:val="20"/>
                <w:szCs w:val="20"/>
              </w:rPr>
              <w:t>Interaction Studies</w:t>
            </w:r>
          </w:p>
        </w:tc>
        <w:tc>
          <w:tcPr>
            <w:tcW w:w="1559" w:type="dxa"/>
          </w:tcPr>
          <w:p w14:paraId="4C3DD29E" w14:textId="77777777" w:rsidR="004A28A8" w:rsidRPr="002000A4" w:rsidRDefault="004A28A8" w:rsidP="003078E7">
            <w:pPr>
              <w:ind w:left="34" w:right="34"/>
              <w:rPr>
                <w:sz w:val="20"/>
                <w:szCs w:val="20"/>
              </w:rPr>
            </w:pPr>
            <w:r w:rsidRPr="002000A4">
              <w:rPr>
                <w:sz w:val="20"/>
                <w:szCs w:val="20"/>
              </w:rPr>
              <w:t>Active components</w:t>
            </w:r>
          </w:p>
        </w:tc>
        <w:tc>
          <w:tcPr>
            <w:tcW w:w="1418" w:type="dxa"/>
          </w:tcPr>
          <w:p w14:paraId="4C3DD29F" w14:textId="77777777" w:rsidR="004A28A8" w:rsidRPr="002000A4" w:rsidRDefault="004A28A8" w:rsidP="003078E7">
            <w:pPr>
              <w:ind w:left="33" w:right="34"/>
              <w:rPr>
                <w:sz w:val="20"/>
                <w:szCs w:val="20"/>
              </w:rPr>
            </w:pPr>
            <w:r w:rsidRPr="002000A4">
              <w:rPr>
                <w:bCs/>
                <w:color w:val="000000"/>
                <w:sz w:val="20"/>
                <w:szCs w:val="20"/>
              </w:rPr>
              <w:t>8742-P008</w:t>
            </w:r>
          </w:p>
        </w:tc>
        <w:tc>
          <w:tcPr>
            <w:tcW w:w="4819" w:type="dxa"/>
          </w:tcPr>
          <w:p w14:paraId="4C3DD2A0" w14:textId="77777777" w:rsidR="004A28A8" w:rsidRPr="002000A4" w:rsidRDefault="004A28A8" w:rsidP="002000A4">
            <w:pPr>
              <w:rPr>
                <w:sz w:val="20"/>
                <w:szCs w:val="20"/>
              </w:rPr>
            </w:pPr>
            <w:r w:rsidRPr="002000A4">
              <w:rPr>
                <w:sz w:val="20"/>
                <w:szCs w:val="20"/>
              </w:rPr>
              <w:t>DDIs between single and multiple doses of GZR and EBR</w:t>
            </w:r>
          </w:p>
        </w:tc>
      </w:tr>
      <w:tr w:rsidR="004A28A8" w:rsidRPr="002000A4" w14:paraId="4C3DD2A6" w14:textId="77777777" w:rsidTr="003078E7">
        <w:tc>
          <w:tcPr>
            <w:tcW w:w="1384" w:type="dxa"/>
            <w:vMerge/>
          </w:tcPr>
          <w:p w14:paraId="4C3DD2A2" w14:textId="77777777" w:rsidR="004A28A8" w:rsidRPr="002000A4" w:rsidRDefault="004A28A8" w:rsidP="003078E7">
            <w:pPr>
              <w:ind w:right="34"/>
              <w:rPr>
                <w:sz w:val="20"/>
                <w:szCs w:val="20"/>
              </w:rPr>
            </w:pPr>
          </w:p>
        </w:tc>
        <w:tc>
          <w:tcPr>
            <w:tcW w:w="1559" w:type="dxa"/>
            <w:vMerge w:val="restart"/>
          </w:tcPr>
          <w:p w14:paraId="4C3DD2A3" w14:textId="77777777" w:rsidR="004A28A8" w:rsidRPr="002000A4" w:rsidRDefault="004A28A8" w:rsidP="003078E7">
            <w:pPr>
              <w:ind w:left="34" w:right="34"/>
              <w:rPr>
                <w:sz w:val="20"/>
                <w:szCs w:val="20"/>
              </w:rPr>
            </w:pPr>
            <w:r w:rsidRPr="002000A4">
              <w:rPr>
                <w:bCs/>
                <w:color w:val="000000"/>
                <w:sz w:val="20"/>
                <w:szCs w:val="20"/>
              </w:rPr>
              <w:t>CYP3A substrates and s</w:t>
            </w:r>
            <w:r w:rsidRPr="002000A4">
              <w:rPr>
                <w:rFonts w:eastAsia="TimesNewRoman"/>
                <w:sz w:val="20"/>
                <w:szCs w:val="20"/>
              </w:rPr>
              <w:t>trong CYP3A inhibitors</w:t>
            </w:r>
          </w:p>
        </w:tc>
        <w:tc>
          <w:tcPr>
            <w:tcW w:w="1418" w:type="dxa"/>
          </w:tcPr>
          <w:p w14:paraId="4C3DD2A4" w14:textId="77777777" w:rsidR="004A28A8" w:rsidRPr="002000A4" w:rsidRDefault="004A28A8" w:rsidP="003078E7">
            <w:pPr>
              <w:ind w:left="33" w:right="34"/>
              <w:rPr>
                <w:sz w:val="20"/>
                <w:szCs w:val="20"/>
              </w:rPr>
            </w:pPr>
            <w:r w:rsidRPr="002000A4">
              <w:rPr>
                <w:bCs/>
                <w:color w:val="000000"/>
                <w:sz w:val="20"/>
                <w:szCs w:val="20"/>
              </w:rPr>
              <w:t>5172-P053</w:t>
            </w:r>
          </w:p>
        </w:tc>
        <w:tc>
          <w:tcPr>
            <w:tcW w:w="4819" w:type="dxa"/>
          </w:tcPr>
          <w:p w14:paraId="4C3DD2A5" w14:textId="65EFBA06" w:rsidR="004A28A8" w:rsidRPr="002000A4" w:rsidRDefault="004A28A8" w:rsidP="002000A4">
            <w:pPr>
              <w:rPr>
                <w:sz w:val="20"/>
                <w:szCs w:val="20"/>
              </w:rPr>
            </w:pPr>
            <w:r w:rsidRPr="002000A4">
              <w:rPr>
                <w:bCs/>
                <w:color w:val="000000"/>
                <w:sz w:val="20"/>
                <w:szCs w:val="20"/>
              </w:rPr>
              <w:t xml:space="preserve">DDI b/w free-combination of GZR FFP and </w:t>
            </w:r>
            <w:r w:rsidR="00F93DAF" w:rsidRPr="002000A4">
              <w:rPr>
                <w:bCs/>
                <w:color w:val="000000"/>
                <w:sz w:val="20"/>
                <w:szCs w:val="20"/>
              </w:rPr>
              <w:t>EBR FFP</w:t>
            </w:r>
            <w:r w:rsidRPr="002000A4">
              <w:rPr>
                <w:bCs/>
                <w:color w:val="000000"/>
                <w:sz w:val="20"/>
                <w:szCs w:val="20"/>
              </w:rPr>
              <w:t xml:space="preserve"> (200 mg/50 mg QD) and </w:t>
            </w:r>
            <w:r w:rsidRPr="002000A4">
              <w:rPr>
                <w:rFonts w:eastAsia="TimesNewRoman"/>
                <w:sz w:val="20"/>
                <w:szCs w:val="20"/>
              </w:rPr>
              <w:t>rilpivirine</w:t>
            </w:r>
          </w:p>
        </w:tc>
      </w:tr>
      <w:tr w:rsidR="004A28A8" w:rsidRPr="002000A4" w14:paraId="4C3DD2AB" w14:textId="77777777" w:rsidTr="003078E7">
        <w:tc>
          <w:tcPr>
            <w:tcW w:w="1384" w:type="dxa"/>
            <w:vMerge/>
          </w:tcPr>
          <w:p w14:paraId="4C3DD2A7" w14:textId="77777777" w:rsidR="004A28A8" w:rsidRPr="002000A4" w:rsidRDefault="004A28A8" w:rsidP="003078E7">
            <w:pPr>
              <w:ind w:right="34"/>
              <w:rPr>
                <w:sz w:val="20"/>
                <w:szCs w:val="20"/>
              </w:rPr>
            </w:pPr>
          </w:p>
        </w:tc>
        <w:tc>
          <w:tcPr>
            <w:tcW w:w="1559" w:type="dxa"/>
            <w:vMerge/>
          </w:tcPr>
          <w:p w14:paraId="4C3DD2A8" w14:textId="77777777" w:rsidR="004A28A8" w:rsidRPr="002000A4" w:rsidRDefault="004A28A8" w:rsidP="003078E7">
            <w:pPr>
              <w:ind w:left="34" w:right="34"/>
              <w:rPr>
                <w:sz w:val="20"/>
                <w:szCs w:val="20"/>
              </w:rPr>
            </w:pPr>
          </w:p>
        </w:tc>
        <w:tc>
          <w:tcPr>
            <w:tcW w:w="1418" w:type="dxa"/>
          </w:tcPr>
          <w:p w14:paraId="4C3DD2A9" w14:textId="77777777" w:rsidR="004A28A8" w:rsidRPr="002000A4" w:rsidRDefault="004A28A8" w:rsidP="003078E7">
            <w:pPr>
              <w:ind w:left="33" w:right="34"/>
              <w:rPr>
                <w:sz w:val="20"/>
                <w:szCs w:val="20"/>
              </w:rPr>
            </w:pPr>
            <w:r w:rsidRPr="002000A4">
              <w:rPr>
                <w:bCs/>
                <w:color w:val="000000"/>
                <w:sz w:val="20"/>
                <w:szCs w:val="20"/>
              </w:rPr>
              <w:t>5172-P029</w:t>
            </w:r>
          </w:p>
        </w:tc>
        <w:tc>
          <w:tcPr>
            <w:tcW w:w="4819" w:type="dxa"/>
          </w:tcPr>
          <w:p w14:paraId="4C3DD2AA" w14:textId="77777777" w:rsidR="004A28A8" w:rsidRPr="002000A4" w:rsidRDefault="004A28A8" w:rsidP="002000A4">
            <w:pPr>
              <w:rPr>
                <w:sz w:val="20"/>
                <w:szCs w:val="20"/>
              </w:rPr>
            </w:pPr>
            <w:r w:rsidRPr="002000A4">
              <w:rPr>
                <w:bCs/>
                <w:color w:val="000000"/>
                <w:sz w:val="20"/>
                <w:szCs w:val="20"/>
              </w:rPr>
              <w:t xml:space="preserve">DDI b/w </w:t>
            </w:r>
            <w:r w:rsidRPr="002000A4">
              <w:rPr>
                <w:rFonts w:eastAsia="TimesNewRoman"/>
                <w:sz w:val="20"/>
                <w:szCs w:val="20"/>
              </w:rPr>
              <w:t>200 mg GZR QD and</w:t>
            </w:r>
            <w:r w:rsidRPr="002000A4">
              <w:rPr>
                <w:bCs/>
                <w:color w:val="000000"/>
                <w:sz w:val="20"/>
                <w:szCs w:val="20"/>
              </w:rPr>
              <w:t xml:space="preserve"> either LPV/RTV (</w:t>
            </w:r>
            <w:r w:rsidRPr="002000A4">
              <w:rPr>
                <w:rFonts w:eastAsia="TimesNewRoman"/>
                <w:sz w:val="20"/>
                <w:szCs w:val="20"/>
              </w:rPr>
              <w:t>400/100 mg BID), ATV/RTV (300/100 mg BID) or DRV/RTV (600/100 mg BID)</w:t>
            </w:r>
          </w:p>
        </w:tc>
      </w:tr>
      <w:tr w:rsidR="004A28A8" w:rsidRPr="002000A4" w14:paraId="4C3DD2B0" w14:textId="77777777" w:rsidTr="003078E7">
        <w:tc>
          <w:tcPr>
            <w:tcW w:w="1384" w:type="dxa"/>
            <w:vMerge/>
          </w:tcPr>
          <w:p w14:paraId="4C3DD2AC" w14:textId="77777777" w:rsidR="004A28A8" w:rsidRPr="002000A4" w:rsidRDefault="004A28A8" w:rsidP="003078E7">
            <w:pPr>
              <w:ind w:right="34"/>
              <w:rPr>
                <w:sz w:val="20"/>
                <w:szCs w:val="20"/>
              </w:rPr>
            </w:pPr>
          </w:p>
        </w:tc>
        <w:tc>
          <w:tcPr>
            <w:tcW w:w="1559" w:type="dxa"/>
            <w:vMerge/>
          </w:tcPr>
          <w:p w14:paraId="4C3DD2AD" w14:textId="77777777" w:rsidR="004A28A8" w:rsidRPr="002000A4" w:rsidRDefault="004A28A8" w:rsidP="003078E7">
            <w:pPr>
              <w:ind w:left="34" w:right="34"/>
              <w:rPr>
                <w:sz w:val="20"/>
                <w:szCs w:val="20"/>
              </w:rPr>
            </w:pPr>
          </w:p>
        </w:tc>
        <w:tc>
          <w:tcPr>
            <w:tcW w:w="1418" w:type="dxa"/>
          </w:tcPr>
          <w:p w14:paraId="4C3DD2AE" w14:textId="77777777" w:rsidR="004A28A8" w:rsidRPr="002000A4" w:rsidRDefault="004A28A8" w:rsidP="003078E7">
            <w:pPr>
              <w:ind w:left="33" w:right="34"/>
              <w:rPr>
                <w:sz w:val="20"/>
                <w:szCs w:val="20"/>
              </w:rPr>
            </w:pPr>
            <w:r w:rsidRPr="002000A4">
              <w:rPr>
                <w:bCs/>
                <w:color w:val="000000"/>
                <w:sz w:val="20"/>
                <w:szCs w:val="20"/>
              </w:rPr>
              <w:t>8742-P017</w:t>
            </w:r>
          </w:p>
        </w:tc>
        <w:tc>
          <w:tcPr>
            <w:tcW w:w="4819" w:type="dxa"/>
          </w:tcPr>
          <w:p w14:paraId="4C3DD2AF" w14:textId="77777777" w:rsidR="004A28A8" w:rsidRPr="002000A4" w:rsidRDefault="004A28A8" w:rsidP="002000A4">
            <w:pPr>
              <w:rPr>
                <w:sz w:val="20"/>
                <w:szCs w:val="20"/>
              </w:rPr>
            </w:pPr>
            <w:r w:rsidRPr="002000A4">
              <w:rPr>
                <w:bCs/>
                <w:color w:val="000000"/>
                <w:sz w:val="20"/>
                <w:szCs w:val="20"/>
              </w:rPr>
              <w:t xml:space="preserve">DDI b/w </w:t>
            </w:r>
            <w:r w:rsidRPr="002000A4">
              <w:rPr>
                <w:rFonts w:eastAsia="TimesNewRoman"/>
                <w:sz w:val="20"/>
                <w:szCs w:val="20"/>
              </w:rPr>
              <w:t>50 mg EBR QD and</w:t>
            </w:r>
            <w:r w:rsidRPr="002000A4">
              <w:rPr>
                <w:bCs/>
                <w:color w:val="000000"/>
                <w:sz w:val="20"/>
                <w:szCs w:val="20"/>
              </w:rPr>
              <w:t xml:space="preserve"> either LPV/RTV (</w:t>
            </w:r>
            <w:r w:rsidRPr="002000A4">
              <w:rPr>
                <w:rFonts w:eastAsia="TimesNewRoman"/>
                <w:sz w:val="20"/>
                <w:szCs w:val="20"/>
              </w:rPr>
              <w:t>400/100 mg BID), ATV/RTV (300/100 mg BID) or DRV/RTV (600/100 mg BID)</w:t>
            </w:r>
          </w:p>
        </w:tc>
      </w:tr>
      <w:tr w:rsidR="004A28A8" w:rsidRPr="002000A4" w14:paraId="4C3DD2B5" w14:textId="77777777" w:rsidTr="003078E7">
        <w:tc>
          <w:tcPr>
            <w:tcW w:w="1384" w:type="dxa"/>
            <w:vMerge/>
          </w:tcPr>
          <w:p w14:paraId="4C3DD2B1" w14:textId="77777777" w:rsidR="004A28A8" w:rsidRPr="002000A4" w:rsidRDefault="004A28A8" w:rsidP="003078E7">
            <w:pPr>
              <w:ind w:right="34"/>
              <w:rPr>
                <w:sz w:val="20"/>
                <w:szCs w:val="20"/>
              </w:rPr>
            </w:pPr>
          </w:p>
        </w:tc>
        <w:tc>
          <w:tcPr>
            <w:tcW w:w="1559" w:type="dxa"/>
            <w:vMerge w:val="restart"/>
          </w:tcPr>
          <w:p w14:paraId="4C3DD2B2" w14:textId="77777777" w:rsidR="004A28A8" w:rsidRPr="002000A4" w:rsidRDefault="004A28A8" w:rsidP="003078E7">
            <w:pPr>
              <w:ind w:left="34" w:right="34"/>
              <w:rPr>
                <w:sz w:val="20"/>
                <w:szCs w:val="20"/>
              </w:rPr>
            </w:pPr>
            <w:r w:rsidRPr="002000A4">
              <w:rPr>
                <w:bCs/>
                <w:color w:val="000000"/>
                <w:sz w:val="20"/>
                <w:szCs w:val="20"/>
              </w:rPr>
              <w:t>CYP3A4 substrates</w:t>
            </w:r>
          </w:p>
        </w:tc>
        <w:tc>
          <w:tcPr>
            <w:tcW w:w="1418" w:type="dxa"/>
          </w:tcPr>
          <w:p w14:paraId="4C3DD2B3" w14:textId="77777777" w:rsidR="004A28A8" w:rsidRPr="002000A4" w:rsidRDefault="004A28A8" w:rsidP="003078E7">
            <w:pPr>
              <w:ind w:left="33" w:right="34"/>
              <w:rPr>
                <w:sz w:val="20"/>
                <w:szCs w:val="20"/>
              </w:rPr>
            </w:pPr>
            <w:r w:rsidRPr="002000A4">
              <w:rPr>
                <w:bCs/>
                <w:color w:val="000000"/>
                <w:sz w:val="20"/>
                <w:szCs w:val="20"/>
              </w:rPr>
              <w:t xml:space="preserve">5172-P073 </w:t>
            </w:r>
          </w:p>
        </w:tc>
        <w:tc>
          <w:tcPr>
            <w:tcW w:w="4819" w:type="dxa"/>
          </w:tcPr>
          <w:p w14:paraId="4C3DD2B4" w14:textId="162A579B" w:rsidR="004A28A8" w:rsidRPr="002000A4" w:rsidRDefault="004A28A8" w:rsidP="002000A4">
            <w:pPr>
              <w:rPr>
                <w:sz w:val="20"/>
                <w:szCs w:val="20"/>
              </w:rPr>
            </w:pPr>
            <w:r w:rsidRPr="002000A4">
              <w:rPr>
                <w:sz w:val="20"/>
                <w:szCs w:val="20"/>
              </w:rPr>
              <w:t xml:space="preserve">DDIs b/w a </w:t>
            </w:r>
            <w:r w:rsidRPr="002000A4">
              <w:rPr>
                <w:bCs/>
                <w:color w:val="000000"/>
                <w:sz w:val="20"/>
                <w:szCs w:val="20"/>
              </w:rPr>
              <w:t>single-dose of 400 mg cyclosporine</w:t>
            </w:r>
            <w:r w:rsidR="0033129C" w:rsidRPr="002000A4">
              <w:rPr>
                <w:bCs/>
                <w:color w:val="000000"/>
                <w:sz w:val="20"/>
                <w:szCs w:val="20"/>
              </w:rPr>
              <w:t xml:space="preserve">, </w:t>
            </w:r>
            <w:proofErr w:type="spellStart"/>
            <w:r w:rsidR="0033129C" w:rsidRPr="002000A4">
              <w:rPr>
                <w:bCs/>
                <w:color w:val="000000"/>
                <w:sz w:val="20"/>
                <w:szCs w:val="20"/>
              </w:rPr>
              <w:t>tacrolimus</w:t>
            </w:r>
            <w:proofErr w:type="spellEnd"/>
            <w:r w:rsidR="0033129C" w:rsidRPr="002000A4">
              <w:rPr>
                <w:bCs/>
                <w:color w:val="000000"/>
                <w:sz w:val="20"/>
                <w:szCs w:val="20"/>
              </w:rPr>
              <w:t>, MMF and prednisone,</w:t>
            </w:r>
            <w:r w:rsidRPr="002000A4">
              <w:rPr>
                <w:bCs/>
                <w:color w:val="000000"/>
                <w:sz w:val="20"/>
                <w:szCs w:val="20"/>
              </w:rPr>
              <w:t xml:space="preserve"> and multiple doses of the free-combination of </w:t>
            </w:r>
            <w:r w:rsidRPr="002000A4">
              <w:rPr>
                <w:bCs/>
                <w:sz w:val="20"/>
                <w:szCs w:val="20"/>
              </w:rPr>
              <w:t>GZR FFP and EBR PMF2 (200 mg/50 mg QD)</w:t>
            </w:r>
          </w:p>
        </w:tc>
      </w:tr>
      <w:tr w:rsidR="004A28A8" w:rsidRPr="002000A4" w14:paraId="4C3DD2BA" w14:textId="77777777" w:rsidTr="003078E7">
        <w:tc>
          <w:tcPr>
            <w:tcW w:w="1384" w:type="dxa"/>
            <w:vMerge/>
          </w:tcPr>
          <w:p w14:paraId="4C3DD2B6" w14:textId="77777777" w:rsidR="004A28A8" w:rsidRPr="002000A4" w:rsidRDefault="004A28A8" w:rsidP="003078E7">
            <w:pPr>
              <w:ind w:right="34"/>
              <w:rPr>
                <w:sz w:val="20"/>
                <w:szCs w:val="20"/>
              </w:rPr>
            </w:pPr>
          </w:p>
        </w:tc>
        <w:tc>
          <w:tcPr>
            <w:tcW w:w="1559" w:type="dxa"/>
            <w:vMerge/>
          </w:tcPr>
          <w:p w14:paraId="4C3DD2B7" w14:textId="77777777" w:rsidR="004A28A8" w:rsidRPr="002000A4" w:rsidRDefault="004A28A8" w:rsidP="003078E7">
            <w:pPr>
              <w:ind w:left="34" w:right="34"/>
              <w:rPr>
                <w:sz w:val="20"/>
                <w:szCs w:val="20"/>
              </w:rPr>
            </w:pPr>
          </w:p>
        </w:tc>
        <w:tc>
          <w:tcPr>
            <w:tcW w:w="1418" w:type="dxa"/>
          </w:tcPr>
          <w:p w14:paraId="4C3DD2B8" w14:textId="77777777" w:rsidR="004A28A8" w:rsidRPr="002000A4" w:rsidRDefault="004A28A8" w:rsidP="003078E7">
            <w:pPr>
              <w:ind w:left="33" w:right="34"/>
              <w:rPr>
                <w:sz w:val="20"/>
                <w:szCs w:val="20"/>
              </w:rPr>
            </w:pPr>
            <w:r w:rsidRPr="002000A4">
              <w:rPr>
                <w:bCs/>
                <w:color w:val="000000"/>
                <w:sz w:val="20"/>
                <w:szCs w:val="20"/>
              </w:rPr>
              <w:t>5172-P076</w:t>
            </w:r>
          </w:p>
        </w:tc>
        <w:tc>
          <w:tcPr>
            <w:tcW w:w="4819" w:type="dxa"/>
          </w:tcPr>
          <w:p w14:paraId="4C3DD2B9" w14:textId="77777777" w:rsidR="004A28A8" w:rsidRPr="002000A4" w:rsidRDefault="004A28A8" w:rsidP="002000A4">
            <w:pPr>
              <w:rPr>
                <w:sz w:val="20"/>
                <w:szCs w:val="20"/>
              </w:rPr>
            </w:pPr>
            <w:r w:rsidRPr="002000A4">
              <w:rPr>
                <w:sz w:val="20"/>
                <w:szCs w:val="20"/>
              </w:rPr>
              <w:t xml:space="preserve">DDIs b/w a </w:t>
            </w:r>
            <w:r w:rsidRPr="002000A4">
              <w:rPr>
                <w:bCs/>
                <w:color w:val="000000"/>
                <w:sz w:val="20"/>
                <w:szCs w:val="20"/>
              </w:rPr>
              <w:t xml:space="preserve">single-dose of 10 mg atorvastatin and multiple doses of the free-combination of </w:t>
            </w:r>
            <w:r w:rsidRPr="002000A4">
              <w:rPr>
                <w:bCs/>
                <w:sz w:val="20"/>
                <w:szCs w:val="20"/>
              </w:rPr>
              <w:t>GZR FFP and EBR PMF2 (200 mg/50 mg QD)</w:t>
            </w:r>
          </w:p>
        </w:tc>
      </w:tr>
      <w:tr w:rsidR="004A28A8" w:rsidRPr="002000A4" w14:paraId="4C3DD2BF" w14:textId="77777777" w:rsidTr="003078E7">
        <w:tc>
          <w:tcPr>
            <w:tcW w:w="1384" w:type="dxa"/>
            <w:vMerge/>
          </w:tcPr>
          <w:p w14:paraId="4C3DD2BB" w14:textId="77777777" w:rsidR="004A28A8" w:rsidRPr="002000A4" w:rsidRDefault="004A28A8" w:rsidP="003078E7">
            <w:pPr>
              <w:ind w:right="34"/>
              <w:rPr>
                <w:sz w:val="20"/>
                <w:szCs w:val="20"/>
              </w:rPr>
            </w:pPr>
          </w:p>
        </w:tc>
        <w:tc>
          <w:tcPr>
            <w:tcW w:w="1559" w:type="dxa"/>
            <w:vMerge/>
          </w:tcPr>
          <w:p w14:paraId="4C3DD2BC" w14:textId="77777777" w:rsidR="004A28A8" w:rsidRPr="002000A4" w:rsidRDefault="004A28A8" w:rsidP="003078E7">
            <w:pPr>
              <w:ind w:left="34" w:right="34"/>
              <w:rPr>
                <w:sz w:val="20"/>
                <w:szCs w:val="20"/>
              </w:rPr>
            </w:pPr>
          </w:p>
        </w:tc>
        <w:tc>
          <w:tcPr>
            <w:tcW w:w="1418" w:type="dxa"/>
          </w:tcPr>
          <w:p w14:paraId="4C3DD2BD" w14:textId="77777777" w:rsidR="004A28A8" w:rsidRPr="002000A4" w:rsidRDefault="004A28A8" w:rsidP="003078E7">
            <w:pPr>
              <w:ind w:left="33" w:right="34"/>
              <w:rPr>
                <w:sz w:val="20"/>
                <w:szCs w:val="20"/>
              </w:rPr>
            </w:pPr>
            <w:r w:rsidRPr="002000A4">
              <w:rPr>
                <w:bCs/>
                <w:color w:val="000000"/>
                <w:sz w:val="20"/>
                <w:szCs w:val="20"/>
              </w:rPr>
              <w:t>5172-P030</w:t>
            </w:r>
          </w:p>
        </w:tc>
        <w:tc>
          <w:tcPr>
            <w:tcW w:w="4819" w:type="dxa"/>
          </w:tcPr>
          <w:p w14:paraId="4C3DD2BE" w14:textId="77777777" w:rsidR="004A28A8" w:rsidRPr="002000A4" w:rsidRDefault="004A28A8" w:rsidP="002000A4">
            <w:pPr>
              <w:rPr>
                <w:sz w:val="20"/>
                <w:szCs w:val="20"/>
              </w:rPr>
            </w:pPr>
            <w:r w:rsidRPr="002000A4">
              <w:rPr>
                <w:sz w:val="20"/>
                <w:szCs w:val="20"/>
              </w:rPr>
              <w:t xml:space="preserve">DDIs b/w </w:t>
            </w:r>
            <w:r w:rsidRPr="002000A4">
              <w:rPr>
                <w:bCs/>
                <w:color w:val="000000"/>
                <w:sz w:val="20"/>
                <w:szCs w:val="20"/>
              </w:rPr>
              <w:t xml:space="preserve">multiple doses of 200 mg </w:t>
            </w:r>
            <w:r w:rsidRPr="002000A4">
              <w:rPr>
                <w:rFonts w:eastAsia="TimesNewRoman"/>
                <w:sz w:val="20"/>
                <w:szCs w:val="20"/>
              </w:rPr>
              <w:t>GZR QD and either methadone or buprenorphine/naloxone</w:t>
            </w:r>
          </w:p>
        </w:tc>
      </w:tr>
      <w:tr w:rsidR="004A28A8" w:rsidRPr="002000A4" w14:paraId="4C3DD2C4" w14:textId="77777777" w:rsidTr="003078E7">
        <w:tc>
          <w:tcPr>
            <w:tcW w:w="1384" w:type="dxa"/>
            <w:vMerge/>
          </w:tcPr>
          <w:p w14:paraId="4C3DD2C0" w14:textId="77777777" w:rsidR="004A28A8" w:rsidRPr="002000A4" w:rsidRDefault="004A28A8" w:rsidP="003078E7">
            <w:pPr>
              <w:ind w:right="34"/>
              <w:rPr>
                <w:sz w:val="20"/>
                <w:szCs w:val="20"/>
              </w:rPr>
            </w:pPr>
          </w:p>
        </w:tc>
        <w:tc>
          <w:tcPr>
            <w:tcW w:w="1559" w:type="dxa"/>
            <w:vMerge/>
          </w:tcPr>
          <w:p w14:paraId="4C3DD2C1" w14:textId="77777777" w:rsidR="004A28A8" w:rsidRPr="002000A4" w:rsidRDefault="004A28A8" w:rsidP="003078E7">
            <w:pPr>
              <w:ind w:left="34" w:right="34"/>
              <w:rPr>
                <w:sz w:val="20"/>
                <w:szCs w:val="20"/>
              </w:rPr>
            </w:pPr>
          </w:p>
        </w:tc>
        <w:tc>
          <w:tcPr>
            <w:tcW w:w="1418" w:type="dxa"/>
          </w:tcPr>
          <w:p w14:paraId="4C3DD2C2" w14:textId="77777777" w:rsidR="004A28A8" w:rsidRPr="002000A4" w:rsidRDefault="004A28A8" w:rsidP="003078E7">
            <w:pPr>
              <w:ind w:left="33" w:right="34"/>
              <w:rPr>
                <w:sz w:val="20"/>
                <w:szCs w:val="20"/>
              </w:rPr>
            </w:pPr>
            <w:r w:rsidRPr="002000A4">
              <w:rPr>
                <w:bCs/>
                <w:color w:val="000000"/>
                <w:sz w:val="20"/>
                <w:szCs w:val="20"/>
              </w:rPr>
              <w:t xml:space="preserve">5172-P032 </w:t>
            </w:r>
          </w:p>
        </w:tc>
        <w:tc>
          <w:tcPr>
            <w:tcW w:w="4819" w:type="dxa"/>
          </w:tcPr>
          <w:p w14:paraId="4C3DD2C3" w14:textId="77777777" w:rsidR="004A28A8" w:rsidRPr="002000A4" w:rsidRDefault="004A28A8" w:rsidP="002000A4">
            <w:pPr>
              <w:rPr>
                <w:sz w:val="20"/>
                <w:szCs w:val="20"/>
              </w:rPr>
            </w:pPr>
            <w:r w:rsidRPr="002000A4">
              <w:rPr>
                <w:sz w:val="20"/>
                <w:szCs w:val="20"/>
              </w:rPr>
              <w:t xml:space="preserve">DDIs b/w </w:t>
            </w:r>
            <w:r w:rsidRPr="002000A4">
              <w:rPr>
                <w:bCs/>
                <w:color w:val="000000"/>
                <w:sz w:val="20"/>
                <w:szCs w:val="20"/>
              </w:rPr>
              <w:t xml:space="preserve">multiple doses of 200 mg </w:t>
            </w:r>
            <w:r w:rsidRPr="002000A4">
              <w:rPr>
                <w:rFonts w:eastAsia="TimesNewRoman"/>
                <w:sz w:val="20"/>
                <w:szCs w:val="20"/>
              </w:rPr>
              <w:t>GZR QD and</w:t>
            </w:r>
            <w:r w:rsidRPr="002000A4">
              <w:rPr>
                <w:rFonts w:eastAsiaTheme="minorHAnsi"/>
                <w:sz w:val="20"/>
                <w:szCs w:val="20"/>
              </w:rPr>
              <w:t xml:space="preserve"> midazolam (2 mg) or atorvastatin (20 mg) or </w:t>
            </w:r>
            <w:proofErr w:type="spellStart"/>
            <w:r w:rsidRPr="002000A4">
              <w:rPr>
                <w:rFonts w:eastAsiaTheme="minorHAnsi"/>
                <w:sz w:val="20"/>
                <w:szCs w:val="20"/>
              </w:rPr>
              <w:t>pitavastatin</w:t>
            </w:r>
            <w:proofErr w:type="spellEnd"/>
            <w:r w:rsidRPr="002000A4">
              <w:rPr>
                <w:rFonts w:eastAsiaTheme="minorHAnsi"/>
                <w:sz w:val="20"/>
                <w:szCs w:val="20"/>
              </w:rPr>
              <w:t xml:space="preserve"> (1 mg)</w:t>
            </w:r>
          </w:p>
        </w:tc>
      </w:tr>
      <w:tr w:rsidR="004A28A8" w:rsidRPr="002000A4" w14:paraId="4C3DD2C9" w14:textId="77777777" w:rsidTr="003078E7">
        <w:tc>
          <w:tcPr>
            <w:tcW w:w="1384" w:type="dxa"/>
            <w:vMerge/>
          </w:tcPr>
          <w:p w14:paraId="4C3DD2C5" w14:textId="77777777" w:rsidR="004A28A8" w:rsidRPr="002000A4" w:rsidRDefault="004A28A8" w:rsidP="003078E7">
            <w:pPr>
              <w:ind w:right="34"/>
              <w:rPr>
                <w:sz w:val="20"/>
                <w:szCs w:val="20"/>
              </w:rPr>
            </w:pPr>
          </w:p>
        </w:tc>
        <w:tc>
          <w:tcPr>
            <w:tcW w:w="1559" w:type="dxa"/>
            <w:vMerge/>
          </w:tcPr>
          <w:p w14:paraId="4C3DD2C6" w14:textId="77777777" w:rsidR="004A28A8" w:rsidRPr="002000A4" w:rsidRDefault="004A28A8" w:rsidP="003078E7">
            <w:pPr>
              <w:ind w:left="34" w:right="34"/>
              <w:rPr>
                <w:sz w:val="20"/>
                <w:szCs w:val="20"/>
              </w:rPr>
            </w:pPr>
          </w:p>
        </w:tc>
        <w:tc>
          <w:tcPr>
            <w:tcW w:w="1418" w:type="dxa"/>
          </w:tcPr>
          <w:p w14:paraId="4C3DD2C7" w14:textId="77777777" w:rsidR="004A28A8" w:rsidRPr="002000A4" w:rsidRDefault="004A28A8" w:rsidP="003078E7">
            <w:pPr>
              <w:ind w:left="33" w:right="34"/>
              <w:rPr>
                <w:sz w:val="20"/>
                <w:szCs w:val="20"/>
              </w:rPr>
            </w:pPr>
            <w:r w:rsidRPr="002000A4">
              <w:rPr>
                <w:sz w:val="20"/>
                <w:szCs w:val="20"/>
              </w:rPr>
              <w:t>5172-P046</w:t>
            </w:r>
          </w:p>
        </w:tc>
        <w:tc>
          <w:tcPr>
            <w:tcW w:w="4819" w:type="dxa"/>
          </w:tcPr>
          <w:p w14:paraId="4C3DD2C8" w14:textId="46D4E771" w:rsidR="004A28A8" w:rsidRPr="002000A4" w:rsidRDefault="004A28A8" w:rsidP="002000A4">
            <w:pPr>
              <w:rPr>
                <w:sz w:val="20"/>
                <w:szCs w:val="20"/>
              </w:rPr>
            </w:pPr>
            <w:r w:rsidRPr="002000A4">
              <w:rPr>
                <w:sz w:val="20"/>
                <w:szCs w:val="20"/>
              </w:rPr>
              <w:t xml:space="preserve">DDIs b/w </w:t>
            </w:r>
            <w:r w:rsidRPr="002000A4">
              <w:rPr>
                <w:rFonts w:eastAsia="TimesNewRoman"/>
                <w:sz w:val="20"/>
                <w:szCs w:val="20"/>
              </w:rPr>
              <w:t xml:space="preserve">multiple doses of 200 mg GZR </w:t>
            </w:r>
            <w:r w:rsidR="0033129C" w:rsidRPr="002000A4">
              <w:rPr>
                <w:rFonts w:eastAsia="TimesNewRoman"/>
                <w:sz w:val="20"/>
                <w:szCs w:val="20"/>
              </w:rPr>
              <w:t xml:space="preserve">QD </w:t>
            </w:r>
            <w:r w:rsidRPr="002000A4">
              <w:rPr>
                <w:rFonts w:eastAsia="TimesNewRoman"/>
                <w:sz w:val="20"/>
                <w:szCs w:val="20"/>
              </w:rPr>
              <w:t>and a single-dose of OC (EE 0.03 mg/LNG 0.15 mg)</w:t>
            </w:r>
          </w:p>
        </w:tc>
      </w:tr>
      <w:tr w:rsidR="004A28A8" w:rsidRPr="002000A4" w14:paraId="4C3DD2CE" w14:textId="77777777" w:rsidTr="003078E7">
        <w:tc>
          <w:tcPr>
            <w:tcW w:w="1384" w:type="dxa"/>
            <w:vMerge/>
          </w:tcPr>
          <w:p w14:paraId="4C3DD2CA" w14:textId="77777777" w:rsidR="004A28A8" w:rsidRPr="002000A4" w:rsidRDefault="004A28A8" w:rsidP="003078E7">
            <w:pPr>
              <w:ind w:right="34"/>
              <w:rPr>
                <w:sz w:val="20"/>
                <w:szCs w:val="20"/>
              </w:rPr>
            </w:pPr>
          </w:p>
        </w:tc>
        <w:tc>
          <w:tcPr>
            <w:tcW w:w="1559" w:type="dxa"/>
            <w:vMerge/>
          </w:tcPr>
          <w:p w14:paraId="4C3DD2CB" w14:textId="77777777" w:rsidR="004A28A8" w:rsidRPr="002000A4" w:rsidRDefault="004A28A8" w:rsidP="003078E7">
            <w:pPr>
              <w:ind w:left="34" w:right="34"/>
              <w:rPr>
                <w:sz w:val="20"/>
                <w:szCs w:val="20"/>
              </w:rPr>
            </w:pPr>
          </w:p>
        </w:tc>
        <w:tc>
          <w:tcPr>
            <w:tcW w:w="1418" w:type="dxa"/>
          </w:tcPr>
          <w:p w14:paraId="4C3DD2CC" w14:textId="77777777" w:rsidR="004A28A8" w:rsidRPr="002000A4" w:rsidRDefault="004A28A8" w:rsidP="003078E7">
            <w:pPr>
              <w:ind w:left="33" w:right="34"/>
              <w:rPr>
                <w:sz w:val="20"/>
                <w:szCs w:val="20"/>
              </w:rPr>
            </w:pPr>
            <w:r w:rsidRPr="002000A4">
              <w:rPr>
                <w:bCs/>
                <w:color w:val="000000"/>
                <w:sz w:val="20"/>
                <w:szCs w:val="20"/>
              </w:rPr>
              <w:t>5172-P070</w:t>
            </w:r>
          </w:p>
        </w:tc>
        <w:tc>
          <w:tcPr>
            <w:tcW w:w="4819" w:type="dxa"/>
          </w:tcPr>
          <w:p w14:paraId="4C3DD2CD" w14:textId="77777777" w:rsidR="004A28A8" w:rsidRPr="002000A4" w:rsidRDefault="004A28A8" w:rsidP="002000A4">
            <w:pPr>
              <w:rPr>
                <w:sz w:val="20"/>
                <w:szCs w:val="20"/>
              </w:rPr>
            </w:pPr>
            <w:r w:rsidRPr="002000A4">
              <w:rPr>
                <w:rFonts w:eastAsia="TimesNewRoman"/>
                <w:sz w:val="20"/>
                <w:szCs w:val="20"/>
              </w:rPr>
              <w:t xml:space="preserve">DDIs b/w multiple oral doses of 200 mg GZR QD and </w:t>
            </w:r>
            <w:proofErr w:type="spellStart"/>
            <w:r w:rsidRPr="002000A4">
              <w:rPr>
                <w:rFonts w:eastAsia="TimesNewRoman"/>
                <w:sz w:val="20"/>
                <w:szCs w:val="20"/>
              </w:rPr>
              <w:t>montelukast</w:t>
            </w:r>
            <w:proofErr w:type="spellEnd"/>
            <w:r w:rsidRPr="002000A4">
              <w:rPr>
                <w:rFonts w:eastAsia="TimesNewRoman"/>
                <w:sz w:val="20"/>
                <w:szCs w:val="20"/>
              </w:rPr>
              <w:t xml:space="preserve"> (10 mg)</w:t>
            </w:r>
          </w:p>
        </w:tc>
      </w:tr>
      <w:tr w:rsidR="004A28A8" w:rsidRPr="002000A4" w14:paraId="4C3DD2D3" w14:textId="77777777" w:rsidTr="003078E7">
        <w:tc>
          <w:tcPr>
            <w:tcW w:w="1384" w:type="dxa"/>
            <w:vMerge/>
          </w:tcPr>
          <w:p w14:paraId="4C3DD2CF" w14:textId="77777777" w:rsidR="004A28A8" w:rsidRPr="002000A4" w:rsidRDefault="004A28A8" w:rsidP="003078E7">
            <w:pPr>
              <w:ind w:right="34"/>
              <w:rPr>
                <w:sz w:val="20"/>
                <w:szCs w:val="20"/>
              </w:rPr>
            </w:pPr>
          </w:p>
        </w:tc>
        <w:tc>
          <w:tcPr>
            <w:tcW w:w="1559" w:type="dxa"/>
            <w:vMerge/>
          </w:tcPr>
          <w:p w14:paraId="4C3DD2D0" w14:textId="77777777" w:rsidR="004A28A8" w:rsidRPr="002000A4" w:rsidRDefault="004A28A8" w:rsidP="003078E7">
            <w:pPr>
              <w:ind w:left="34" w:right="34"/>
              <w:rPr>
                <w:sz w:val="20"/>
                <w:szCs w:val="20"/>
              </w:rPr>
            </w:pPr>
          </w:p>
        </w:tc>
        <w:tc>
          <w:tcPr>
            <w:tcW w:w="1418" w:type="dxa"/>
          </w:tcPr>
          <w:p w14:paraId="4C3DD2D1" w14:textId="77777777" w:rsidR="004A28A8" w:rsidRPr="002000A4" w:rsidRDefault="004A28A8" w:rsidP="003078E7">
            <w:pPr>
              <w:ind w:left="33" w:right="34"/>
              <w:rPr>
                <w:sz w:val="20"/>
                <w:szCs w:val="20"/>
              </w:rPr>
            </w:pPr>
            <w:r w:rsidRPr="002000A4">
              <w:rPr>
                <w:bCs/>
                <w:color w:val="000000"/>
                <w:sz w:val="20"/>
                <w:szCs w:val="20"/>
              </w:rPr>
              <w:t>8742-P010</w:t>
            </w:r>
          </w:p>
        </w:tc>
        <w:tc>
          <w:tcPr>
            <w:tcW w:w="4819" w:type="dxa"/>
          </w:tcPr>
          <w:p w14:paraId="4C3DD2D2" w14:textId="77777777" w:rsidR="004A28A8" w:rsidRPr="002000A4" w:rsidRDefault="004A28A8" w:rsidP="002000A4">
            <w:pPr>
              <w:rPr>
                <w:sz w:val="20"/>
                <w:szCs w:val="20"/>
              </w:rPr>
            </w:pPr>
            <w:r w:rsidRPr="002000A4">
              <w:rPr>
                <w:rFonts w:eastAsia="TimesNewRoman"/>
                <w:sz w:val="20"/>
                <w:szCs w:val="20"/>
              </w:rPr>
              <w:t>DDIs b/w multiple doses of 50 mg EBR QD and methadone</w:t>
            </w:r>
          </w:p>
        </w:tc>
      </w:tr>
      <w:tr w:rsidR="004A28A8" w:rsidRPr="002000A4" w14:paraId="4C3DD2D8" w14:textId="77777777" w:rsidTr="003078E7">
        <w:tc>
          <w:tcPr>
            <w:tcW w:w="1384" w:type="dxa"/>
            <w:vMerge/>
          </w:tcPr>
          <w:p w14:paraId="4C3DD2D4" w14:textId="77777777" w:rsidR="004A28A8" w:rsidRPr="002000A4" w:rsidRDefault="004A28A8" w:rsidP="003078E7">
            <w:pPr>
              <w:ind w:right="34"/>
              <w:rPr>
                <w:sz w:val="20"/>
                <w:szCs w:val="20"/>
              </w:rPr>
            </w:pPr>
          </w:p>
        </w:tc>
        <w:tc>
          <w:tcPr>
            <w:tcW w:w="1559" w:type="dxa"/>
            <w:vMerge/>
          </w:tcPr>
          <w:p w14:paraId="4C3DD2D5" w14:textId="77777777" w:rsidR="004A28A8" w:rsidRPr="002000A4" w:rsidRDefault="004A28A8" w:rsidP="003078E7">
            <w:pPr>
              <w:ind w:left="34" w:right="34"/>
              <w:rPr>
                <w:sz w:val="20"/>
                <w:szCs w:val="20"/>
              </w:rPr>
            </w:pPr>
          </w:p>
        </w:tc>
        <w:tc>
          <w:tcPr>
            <w:tcW w:w="1418" w:type="dxa"/>
          </w:tcPr>
          <w:p w14:paraId="4C3DD2D6" w14:textId="77777777" w:rsidR="004A28A8" w:rsidRPr="002000A4" w:rsidRDefault="004A28A8" w:rsidP="003078E7">
            <w:pPr>
              <w:ind w:left="33" w:right="34"/>
              <w:rPr>
                <w:sz w:val="20"/>
                <w:szCs w:val="20"/>
              </w:rPr>
            </w:pPr>
            <w:r w:rsidRPr="002000A4">
              <w:rPr>
                <w:bCs/>
                <w:color w:val="000000"/>
                <w:sz w:val="20"/>
                <w:szCs w:val="20"/>
              </w:rPr>
              <w:t>8742-P021</w:t>
            </w:r>
          </w:p>
        </w:tc>
        <w:tc>
          <w:tcPr>
            <w:tcW w:w="4819" w:type="dxa"/>
          </w:tcPr>
          <w:p w14:paraId="4C3DD2D7" w14:textId="77777777" w:rsidR="004A28A8" w:rsidRPr="002000A4" w:rsidRDefault="004A28A8" w:rsidP="002000A4">
            <w:pPr>
              <w:rPr>
                <w:sz w:val="20"/>
                <w:szCs w:val="20"/>
              </w:rPr>
            </w:pPr>
            <w:r w:rsidRPr="002000A4">
              <w:rPr>
                <w:sz w:val="20"/>
                <w:szCs w:val="20"/>
              </w:rPr>
              <w:t xml:space="preserve">DDIs b/w a single dose </w:t>
            </w:r>
            <w:r w:rsidRPr="002000A4">
              <w:rPr>
                <w:rFonts w:eastAsia="TimesNewRoman"/>
                <w:sz w:val="20"/>
                <w:szCs w:val="20"/>
              </w:rPr>
              <w:t>buprenorphine/naloxone (8 mg/2 mg) and single oral dose of 50 mg EBR.</w:t>
            </w:r>
          </w:p>
        </w:tc>
      </w:tr>
      <w:tr w:rsidR="004A28A8" w:rsidRPr="002000A4" w14:paraId="4C3DD2DD" w14:textId="77777777" w:rsidTr="003078E7">
        <w:tc>
          <w:tcPr>
            <w:tcW w:w="1384" w:type="dxa"/>
            <w:vMerge/>
          </w:tcPr>
          <w:p w14:paraId="4C3DD2D9" w14:textId="77777777" w:rsidR="004A28A8" w:rsidRPr="002000A4" w:rsidRDefault="004A28A8" w:rsidP="003078E7">
            <w:pPr>
              <w:ind w:right="34"/>
              <w:rPr>
                <w:sz w:val="20"/>
                <w:szCs w:val="20"/>
              </w:rPr>
            </w:pPr>
          </w:p>
        </w:tc>
        <w:tc>
          <w:tcPr>
            <w:tcW w:w="1559" w:type="dxa"/>
            <w:vMerge/>
          </w:tcPr>
          <w:p w14:paraId="4C3DD2DA" w14:textId="77777777" w:rsidR="004A28A8" w:rsidRPr="002000A4" w:rsidRDefault="004A28A8" w:rsidP="003078E7">
            <w:pPr>
              <w:ind w:left="34" w:right="34"/>
              <w:rPr>
                <w:sz w:val="20"/>
                <w:szCs w:val="20"/>
              </w:rPr>
            </w:pPr>
          </w:p>
        </w:tc>
        <w:tc>
          <w:tcPr>
            <w:tcW w:w="1418" w:type="dxa"/>
          </w:tcPr>
          <w:p w14:paraId="4C3DD2DB" w14:textId="77777777" w:rsidR="004A28A8" w:rsidRPr="002000A4" w:rsidRDefault="004A28A8" w:rsidP="003078E7">
            <w:pPr>
              <w:ind w:left="33" w:right="34"/>
              <w:rPr>
                <w:sz w:val="20"/>
                <w:szCs w:val="20"/>
              </w:rPr>
            </w:pPr>
            <w:r w:rsidRPr="002000A4">
              <w:rPr>
                <w:bCs/>
                <w:color w:val="000000"/>
                <w:sz w:val="20"/>
                <w:szCs w:val="20"/>
              </w:rPr>
              <w:t>8742-P013</w:t>
            </w:r>
          </w:p>
        </w:tc>
        <w:tc>
          <w:tcPr>
            <w:tcW w:w="4819" w:type="dxa"/>
          </w:tcPr>
          <w:p w14:paraId="4C3DD2DC" w14:textId="77777777" w:rsidR="004A28A8" w:rsidRPr="002000A4" w:rsidRDefault="004A28A8" w:rsidP="002000A4">
            <w:pPr>
              <w:rPr>
                <w:sz w:val="20"/>
                <w:szCs w:val="20"/>
              </w:rPr>
            </w:pPr>
            <w:r w:rsidRPr="002000A4">
              <w:rPr>
                <w:sz w:val="20"/>
                <w:szCs w:val="20"/>
              </w:rPr>
              <w:t xml:space="preserve">DDIs b/w </w:t>
            </w:r>
            <w:r w:rsidRPr="002000A4">
              <w:rPr>
                <w:rFonts w:eastAsiaTheme="minorHAnsi"/>
                <w:sz w:val="20"/>
                <w:szCs w:val="20"/>
              </w:rPr>
              <w:t>multiple doses of 50 mg EBR QD and a single dose of OC (0.03 mg EE/0.15 mg LNG)</w:t>
            </w:r>
          </w:p>
        </w:tc>
      </w:tr>
      <w:tr w:rsidR="004A28A8" w:rsidRPr="002000A4" w14:paraId="4C3DD2E2" w14:textId="77777777" w:rsidTr="003078E7">
        <w:tc>
          <w:tcPr>
            <w:tcW w:w="1384" w:type="dxa"/>
            <w:vMerge/>
          </w:tcPr>
          <w:p w14:paraId="4C3DD2DE" w14:textId="77777777" w:rsidR="004A28A8" w:rsidRPr="002000A4" w:rsidRDefault="004A28A8" w:rsidP="003078E7">
            <w:pPr>
              <w:ind w:right="34"/>
              <w:rPr>
                <w:sz w:val="20"/>
                <w:szCs w:val="20"/>
              </w:rPr>
            </w:pPr>
          </w:p>
        </w:tc>
        <w:tc>
          <w:tcPr>
            <w:tcW w:w="1559" w:type="dxa"/>
            <w:vMerge w:val="restart"/>
          </w:tcPr>
          <w:p w14:paraId="4C3DD2DF" w14:textId="77777777" w:rsidR="004A28A8" w:rsidRPr="002000A4" w:rsidRDefault="004A28A8" w:rsidP="003078E7">
            <w:pPr>
              <w:ind w:left="34" w:right="34"/>
              <w:rPr>
                <w:sz w:val="20"/>
                <w:szCs w:val="20"/>
              </w:rPr>
            </w:pPr>
            <w:r w:rsidRPr="002000A4">
              <w:rPr>
                <w:rFonts w:eastAsia="TimesNewRoman"/>
                <w:sz w:val="20"/>
                <w:szCs w:val="20"/>
              </w:rPr>
              <w:t>Strong CYP3A4 inhibitors</w:t>
            </w:r>
          </w:p>
        </w:tc>
        <w:tc>
          <w:tcPr>
            <w:tcW w:w="1418" w:type="dxa"/>
          </w:tcPr>
          <w:p w14:paraId="4C3DD2E0" w14:textId="77777777" w:rsidR="004A28A8" w:rsidRPr="002000A4" w:rsidRDefault="004A28A8" w:rsidP="003078E7">
            <w:pPr>
              <w:ind w:left="33" w:right="34"/>
              <w:rPr>
                <w:sz w:val="20"/>
                <w:szCs w:val="20"/>
              </w:rPr>
            </w:pPr>
            <w:r w:rsidRPr="002000A4">
              <w:rPr>
                <w:rFonts w:eastAsia="TimesNewRoman"/>
                <w:sz w:val="20"/>
                <w:szCs w:val="20"/>
              </w:rPr>
              <w:t>5172-P006v01</w:t>
            </w:r>
          </w:p>
        </w:tc>
        <w:tc>
          <w:tcPr>
            <w:tcW w:w="4819" w:type="dxa"/>
          </w:tcPr>
          <w:p w14:paraId="4C3DD2E1" w14:textId="77777777" w:rsidR="004A28A8" w:rsidRPr="002000A4" w:rsidRDefault="004A28A8" w:rsidP="002000A4">
            <w:pPr>
              <w:rPr>
                <w:sz w:val="20"/>
                <w:szCs w:val="20"/>
              </w:rPr>
            </w:pPr>
            <w:r w:rsidRPr="002000A4">
              <w:rPr>
                <w:sz w:val="20"/>
                <w:szCs w:val="20"/>
              </w:rPr>
              <w:t xml:space="preserve">DDIs b/w </w:t>
            </w:r>
            <w:r w:rsidRPr="002000A4">
              <w:rPr>
                <w:rFonts w:eastAsia="TimesNewRoman"/>
                <w:sz w:val="20"/>
                <w:szCs w:val="20"/>
              </w:rPr>
              <w:t>multiple doses of 100 mg RTV BID and a single-dose of 200 mg GZR</w:t>
            </w:r>
          </w:p>
        </w:tc>
      </w:tr>
      <w:tr w:rsidR="004A28A8" w:rsidRPr="002000A4" w14:paraId="4C3DD2E7" w14:textId="77777777" w:rsidTr="003078E7">
        <w:tc>
          <w:tcPr>
            <w:tcW w:w="1384" w:type="dxa"/>
            <w:vMerge/>
          </w:tcPr>
          <w:p w14:paraId="4C3DD2E3" w14:textId="77777777" w:rsidR="004A28A8" w:rsidRPr="002000A4" w:rsidRDefault="004A28A8" w:rsidP="003078E7">
            <w:pPr>
              <w:ind w:right="34"/>
              <w:rPr>
                <w:sz w:val="20"/>
                <w:szCs w:val="20"/>
              </w:rPr>
            </w:pPr>
          </w:p>
        </w:tc>
        <w:tc>
          <w:tcPr>
            <w:tcW w:w="1559" w:type="dxa"/>
            <w:vMerge/>
          </w:tcPr>
          <w:p w14:paraId="4C3DD2E4" w14:textId="77777777" w:rsidR="004A28A8" w:rsidRPr="002000A4" w:rsidRDefault="004A28A8" w:rsidP="003078E7">
            <w:pPr>
              <w:ind w:left="34" w:right="34"/>
              <w:rPr>
                <w:sz w:val="20"/>
                <w:szCs w:val="20"/>
              </w:rPr>
            </w:pPr>
          </w:p>
        </w:tc>
        <w:tc>
          <w:tcPr>
            <w:tcW w:w="1418" w:type="dxa"/>
          </w:tcPr>
          <w:p w14:paraId="4C3DD2E5" w14:textId="77777777" w:rsidR="004A28A8" w:rsidRPr="002000A4" w:rsidRDefault="004A28A8" w:rsidP="003078E7">
            <w:pPr>
              <w:ind w:left="33" w:right="34"/>
              <w:rPr>
                <w:sz w:val="20"/>
                <w:szCs w:val="20"/>
              </w:rPr>
            </w:pPr>
            <w:r w:rsidRPr="002000A4">
              <w:rPr>
                <w:bCs/>
                <w:color w:val="000000"/>
                <w:sz w:val="20"/>
                <w:szCs w:val="20"/>
              </w:rPr>
              <w:t>8742-P003</w:t>
            </w:r>
          </w:p>
        </w:tc>
        <w:tc>
          <w:tcPr>
            <w:tcW w:w="4819" w:type="dxa"/>
          </w:tcPr>
          <w:p w14:paraId="4C3DD2E6" w14:textId="77777777" w:rsidR="004A28A8" w:rsidRPr="002000A4" w:rsidRDefault="004A28A8" w:rsidP="002000A4">
            <w:pPr>
              <w:rPr>
                <w:sz w:val="20"/>
                <w:szCs w:val="20"/>
              </w:rPr>
            </w:pPr>
            <w:r w:rsidRPr="002000A4">
              <w:rPr>
                <w:sz w:val="20"/>
                <w:szCs w:val="20"/>
              </w:rPr>
              <w:t xml:space="preserve">DDIs b/w </w:t>
            </w:r>
            <w:r w:rsidRPr="002000A4">
              <w:rPr>
                <w:rFonts w:eastAsiaTheme="minorHAnsi"/>
                <w:sz w:val="20"/>
                <w:szCs w:val="20"/>
              </w:rPr>
              <w:t>multiple doses of 400 mg ketoconazole and a single-dose of 50 mg EBR</w:t>
            </w:r>
          </w:p>
        </w:tc>
      </w:tr>
      <w:tr w:rsidR="004A28A8" w:rsidRPr="002000A4" w14:paraId="4C3DD2EC" w14:textId="77777777" w:rsidTr="003078E7">
        <w:tc>
          <w:tcPr>
            <w:tcW w:w="1384" w:type="dxa"/>
            <w:vMerge w:val="restart"/>
          </w:tcPr>
          <w:p w14:paraId="4C3DD2E8" w14:textId="77777777" w:rsidR="004A28A8" w:rsidRPr="002000A4" w:rsidRDefault="004A28A8" w:rsidP="003078E7">
            <w:pPr>
              <w:ind w:right="34"/>
              <w:rPr>
                <w:sz w:val="20"/>
                <w:szCs w:val="20"/>
              </w:rPr>
            </w:pPr>
          </w:p>
        </w:tc>
        <w:tc>
          <w:tcPr>
            <w:tcW w:w="1559" w:type="dxa"/>
            <w:vMerge w:val="restart"/>
          </w:tcPr>
          <w:p w14:paraId="4C3DD2E9" w14:textId="77777777" w:rsidR="004A28A8" w:rsidRPr="002000A4" w:rsidRDefault="004A28A8" w:rsidP="003078E7">
            <w:pPr>
              <w:ind w:left="34" w:right="34"/>
              <w:rPr>
                <w:sz w:val="20"/>
                <w:szCs w:val="20"/>
              </w:rPr>
            </w:pPr>
            <w:r w:rsidRPr="002000A4">
              <w:rPr>
                <w:bCs/>
                <w:sz w:val="20"/>
                <w:szCs w:val="20"/>
              </w:rPr>
              <w:t>CYP3A4 - inducers</w:t>
            </w:r>
          </w:p>
        </w:tc>
        <w:tc>
          <w:tcPr>
            <w:tcW w:w="1418" w:type="dxa"/>
          </w:tcPr>
          <w:p w14:paraId="4C3DD2EA" w14:textId="77777777" w:rsidR="004A28A8" w:rsidRPr="002000A4" w:rsidRDefault="004A28A8" w:rsidP="003078E7">
            <w:pPr>
              <w:ind w:left="33" w:right="34"/>
              <w:rPr>
                <w:sz w:val="20"/>
                <w:szCs w:val="20"/>
              </w:rPr>
            </w:pPr>
            <w:r w:rsidRPr="002000A4">
              <w:rPr>
                <w:bCs/>
                <w:color w:val="000000"/>
                <w:sz w:val="20"/>
                <w:szCs w:val="20"/>
              </w:rPr>
              <w:t>5172-P031</w:t>
            </w:r>
          </w:p>
        </w:tc>
        <w:tc>
          <w:tcPr>
            <w:tcW w:w="4819" w:type="dxa"/>
          </w:tcPr>
          <w:p w14:paraId="4C3DD2EB" w14:textId="77777777" w:rsidR="004A28A8" w:rsidRPr="002000A4" w:rsidRDefault="004A28A8" w:rsidP="002000A4">
            <w:pPr>
              <w:rPr>
                <w:sz w:val="20"/>
                <w:szCs w:val="20"/>
              </w:rPr>
            </w:pPr>
            <w:r w:rsidRPr="002000A4">
              <w:rPr>
                <w:bCs/>
                <w:color w:val="000000"/>
                <w:sz w:val="20"/>
                <w:szCs w:val="20"/>
              </w:rPr>
              <w:t xml:space="preserve">DDIs b/w GZR (200 mg QD) and </w:t>
            </w:r>
            <w:proofErr w:type="spellStart"/>
            <w:r w:rsidRPr="002000A4">
              <w:rPr>
                <w:bCs/>
                <w:sz w:val="20"/>
                <w:szCs w:val="20"/>
              </w:rPr>
              <w:t>rifampin</w:t>
            </w:r>
            <w:proofErr w:type="spellEnd"/>
            <w:r w:rsidRPr="002000A4">
              <w:rPr>
                <w:bCs/>
                <w:sz w:val="20"/>
                <w:szCs w:val="20"/>
              </w:rPr>
              <w:t xml:space="preserve"> (600 mg QD or SD) or efavirenz (600 mg QD)</w:t>
            </w:r>
          </w:p>
        </w:tc>
      </w:tr>
      <w:tr w:rsidR="004A28A8" w:rsidRPr="002000A4" w14:paraId="4C3DD2F1" w14:textId="77777777" w:rsidTr="003078E7">
        <w:tc>
          <w:tcPr>
            <w:tcW w:w="1384" w:type="dxa"/>
            <w:vMerge/>
          </w:tcPr>
          <w:p w14:paraId="4C3DD2ED" w14:textId="77777777" w:rsidR="004A28A8" w:rsidRPr="002000A4" w:rsidRDefault="004A28A8" w:rsidP="003078E7">
            <w:pPr>
              <w:ind w:right="34"/>
              <w:rPr>
                <w:sz w:val="20"/>
                <w:szCs w:val="20"/>
              </w:rPr>
            </w:pPr>
          </w:p>
        </w:tc>
        <w:tc>
          <w:tcPr>
            <w:tcW w:w="1559" w:type="dxa"/>
            <w:vMerge/>
          </w:tcPr>
          <w:p w14:paraId="4C3DD2EE" w14:textId="77777777" w:rsidR="004A28A8" w:rsidRPr="002000A4" w:rsidRDefault="004A28A8" w:rsidP="003078E7">
            <w:pPr>
              <w:ind w:left="34" w:right="34"/>
              <w:rPr>
                <w:sz w:val="20"/>
                <w:szCs w:val="20"/>
              </w:rPr>
            </w:pPr>
          </w:p>
        </w:tc>
        <w:tc>
          <w:tcPr>
            <w:tcW w:w="1418" w:type="dxa"/>
          </w:tcPr>
          <w:p w14:paraId="4C3DD2EF" w14:textId="77777777" w:rsidR="004A28A8" w:rsidRPr="002000A4" w:rsidRDefault="004A28A8" w:rsidP="003078E7">
            <w:pPr>
              <w:ind w:left="33" w:right="34"/>
              <w:rPr>
                <w:sz w:val="20"/>
                <w:szCs w:val="20"/>
              </w:rPr>
            </w:pPr>
            <w:r w:rsidRPr="002000A4">
              <w:rPr>
                <w:bCs/>
                <w:color w:val="000000"/>
                <w:sz w:val="20"/>
                <w:szCs w:val="20"/>
              </w:rPr>
              <w:t>8742-P011</w:t>
            </w:r>
          </w:p>
        </w:tc>
        <w:tc>
          <w:tcPr>
            <w:tcW w:w="4819" w:type="dxa"/>
          </w:tcPr>
          <w:p w14:paraId="4C3DD2F0" w14:textId="77777777" w:rsidR="004A28A8" w:rsidRPr="002000A4" w:rsidRDefault="004A28A8" w:rsidP="002000A4">
            <w:pPr>
              <w:rPr>
                <w:sz w:val="20"/>
                <w:szCs w:val="20"/>
              </w:rPr>
            </w:pPr>
            <w:r w:rsidRPr="002000A4">
              <w:rPr>
                <w:sz w:val="20"/>
                <w:szCs w:val="20"/>
              </w:rPr>
              <w:t xml:space="preserve">DDIs b/w a </w:t>
            </w:r>
            <w:r w:rsidRPr="002000A4">
              <w:rPr>
                <w:rFonts w:eastAsia="TimesNewRoman"/>
                <w:sz w:val="20"/>
                <w:szCs w:val="20"/>
              </w:rPr>
              <w:t xml:space="preserve">single IV or oral dose of </w:t>
            </w:r>
            <w:proofErr w:type="spellStart"/>
            <w:r w:rsidRPr="002000A4">
              <w:rPr>
                <w:rFonts w:eastAsia="TimesNewRoman"/>
                <w:sz w:val="20"/>
                <w:szCs w:val="20"/>
              </w:rPr>
              <w:t>rifampin</w:t>
            </w:r>
            <w:proofErr w:type="spellEnd"/>
            <w:r w:rsidRPr="002000A4">
              <w:rPr>
                <w:rFonts w:eastAsia="TimesNewRoman"/>
                <w:sz w:val="20"/>
                <w:szCs w:val="20"/>
              </w:rPr>
              <w:t xml:space="preserve"> (600 mg) and a single oral dose of EBR (50 mg)</w:t>
            </w:r>
          </w:p>
        </w:tc>
      </w:tr>
      <w:tr w:rsidR="004A28A8" w:rsidRPr="002000A4" w14:paraId="4C3DD2F6" w14:textId="77777777" w:rsidTr="003078E7">
        <w:tc>
          <w:tcPr>
            <w:tcW w:w="1384" w:type="dxa"/>
            <w:vMerge/>
          </w:tcPr>
          <w:p w14:paraId="4C3DD2F2" w14:textId="77777777" w:rsidR="004A28A8" w:rsidRPr="002000A4" w:rsidRDefault="004A28A8" w:rsidP="003078E7">
            <w:pPr>
              <w:ind w:right="34"/>
              <w:rPr>
                <w:sz w:val="20"/>
                <w:szCs w:val="20"/>
              </w:rPr>
            </w:pPr>
          </w:p>
        </w:tc>
        <w:tc>
          <w:tcPr>
            <w:tcW w:w="1559" w:type="dxa"/>
            <w:vMerge/>
          </w:tcPr>
          <w:p w14:paraId="4C3DD2F3" w14:textId="77777777" w:rsidR="004A28A8" w:rsidRPr="002000A4" w:rsidRDefault="004A28A8" w:rsidP="003078E7">
            <w:pPr>
              <w:ind w:left="34" w:right="34"/>
              <w:rPr>
                <w:sz w:val="20"/>
                <w:szCs w:val="20"/>
              </w:rPr>
            </w:pPr>
          </w:p>
        </w:tc>
        <w:tc>
          <w:tcPr>
            <w:tcW w:w="1418" w:type="dxa"/>
          </w:tcPr>
          <w:p w14:paraId="4C3DD2F4" w14:textId="77777777" w:rsidR="004A28A8" w:rsidRPr="002000A4" w:rsidRDefault="004A28A8" w:rsidP="003078E7">
            <w:pPr>
              <w:ind w:left="33" w:right="34"/>
              <w:rPr>
                <w:sz w:val="20"/>
                <w:szCs w:val="20"/>
              </w:rPr>
            </w:pPr>
            <w:r w:rsidRPr="002000A4">
              <w:rPr>
                <w:bCs/>
                <w:color w:val="000000"/>
                <w:sz w:val="20"/>
                <w:szCs w:val="20"/>
              </w:rPr>
              <w:t>8742-P016</w:t>
            </w:r>
          </w:p>
        </w:tc>
        <w:tc>
          <w:tcPr>
            <w:tcW w:w="4819" w:type="dxa"/>
          </w:tcPr>
          <w:p w14:paraId="4C3DD2F5" w14:textId="77777777" w:rsidR="004A28A8" w:rsidRPr="002000A4" w:rsidRDefault="004A28A8" w:rsidP="002000A4">
            <w:pPr>
              <w:rPr>
                <w:sz w:val="20"/>
                <w:szCs w:val="20"/>
              </w:rPr>
            </w:pPr>
            <w:r w:rsidRPr="002000A4">
              <w:rPr>
                <w:rFonts w:eastAsia="TimesNewRoman"/>
                <w:sz w:val="20"/>
                <w:szCs w:val="20"/>
              </w:rPr>
              <w:t>DDIs b/w multiple oral doses of EBR (50 mg QD) and multiple doses of efavirenz (600 mg QD)</w:t>
            </w:r>
          </w:p>
        </w:tc>
      </w:tr>
      <w:tr w:rsidR="004A28A8" w:rsidRPr="002000A4" w14:paraId="4C3DD2FB" w14:textId="77777777" w:rsidTr="003078E7">
        <w:tc>
          <w:tcPr>
            <w:tcW w:w="1384" w:type="dxa"/>
            <w:vMerge/>
          </w:tcPr>
          <w:p w14:paraId="4C3DD2F7" w14:textId="77777777" w:rsidR="004A28A8" w:rsidRPr="002000A4" w:rsidRDefault="004A28A8" w:rsidP="003078E7">
            <w:pPr>
              <w:ind w:right="34"/>
              <w:rPr>
                <w:sz w:val="20"/>
                <w:szCs w:val="20"/>
              </w:rPr>
            </w:pPr>
          </w:p>
        </w:tc>
        <w:tc>
          <w:tcPr>
            <w:tcW w:w="1559" w:type="dxa"/>
          </w:tcPr>
          <w:p w14:paraId="4C3DD2F8" w14:textId="49D26B79" w:rsidR="004A28A8" w:rsidRPr="002000A4" w:rsidRDefault="0033129C" w:rsidP="003078E7">
            <w:pPr>
              <w:ind w:left="34" w:right="34"/>
              <w:rPr>
                <w:sz w:val="20"/>
                <w:szCs w:val="20"/>
              </w:rPr>
            </w:pPr>
            <w:r w:rsidRPr="002000A4">
              <w:rPr>
                <w:sz w:val="20"/>
                <w:szCs w:val="20"/>
              </w:rPr>
              <w:t>HMG CoA reductase inhibitors</w:t>
            </w:r>
            <w:r w:rsidR="004A28A8" w:rsidRPr="002000A4">
              <w:rPr>
                <w:sz w:val="20"/>
                <w:szCs w:val="20"/>
              </w:rPr>
              <w:t>.</w:t>
            </w:r>
          </w:p>
        </w:tc>
        <w:tc>
          <w:tcPr>
            <w:tcW w:w="1418" w:type="dxa"/>
          </w:tcPr>
          <w:p w14:paraId="4C3DD2F9" w14:textId="77777777" w:rsidR="004A28A8" w:rsidRPr="002000A4" w:rsidRDefault="004A28A8" w:rsidP="003078E7">
            <w:pPr>
              <w:ind w:left="33" w:right="34"/>
              <w:rPr>
                <w:sz w:val="20"/>
                <w:szCs w:val="20"/>
              </w:rPr>
            </w:pPr>
            <w:r w:rsidRPr="002000A4">
              <w:rPr>
                <w:sz w:val="20"/>
                <w:szCs w:val="20"/>
              </w:rPr>
              <w:t>5172-P054</w:t>
            </w:r>
          </w:p>
        </w:tc>
        <w:tc>
          <w:tcPr>
            <w:tcW w:w="4819" w:type="dxa"/>
          </w:tcPr>
          <w:p w14:paraId="4C3DD2FA" w14:textId="77777777" w:rsidR="004A28A8" w:rsidRPr="002000A4" w:rsidRDefault="004A28A8" w:rsidP="002000A4">
            <w:pPr>
              <w:rPr>
                <w:sz w:val="20"/>
                <w:szCs w:val="20"/>
              </w:rPr>
            </w:pPr>
            <w:r w:rsidRPr="002000A4">
              <w:rPr>
                <w:sz w:val="20"/>
                <w:szCs w:val="20"/>
              </w:rPr>
              <w:t xml:space="preserve">DDIs b/w a single 10 mg dose of </w:t>
            </w:r>
            <w:proofErr w:type="spellStart"/>
            <w:r w:rsidRPr="002000A4">
              <w:rPr>
                <w:sz w:val="20"/>
                <w:szCs w:val="20"/>
              </w:rPr>
              <w:t>rosuvastatin</w:t>
            </w:r>
            <w:proofErr w:type="spellEnd"/>
            <w:r w:rsidRPr="002000A4">
              <w:rPr>
                <w:sz w:val="20"/>
                <w:szCs w:val="20"/>
              </w:rPr>
              <w:t xml:space="preserve"> or a single dose of pravastatin and multiple doses of GZR (200 mg QD) alone or with multiple doses of GZR/EBR (200 mg/50 mg QD) </w:t>
            </w:r>
          </w:p>
        </w:tc>
      </w:tr>
      <w:tr w:rsidR="004A28A8" w:rsidRPr="002000A4" w14:paraId="4C3DD300" w14:textId="77777777" w:rsidTr="003078E7">
        <w:tc>
          <w:tcPr>
            <w:tcW w:w="1384" w:type="dxa"/>
            <w:vMerge/>
          </w:tcPr>
          <w:p w14:paraId="4C3DD2FC" w14:textId="77777777" w:rsidR="004A28A8" w:rsidRPr="002000A4" w:rsidRDefault="004A28A8" w:rsidP="003078E7">
            <w:pPr>
              <w:ind w:right="34"/>
              <w:rPr>
                <w:sz w:val="20"/>
                <w:szCs w:val="20"/>
              </w:rPr>
            </w:pPr>
          </w:p>
        </w:tc>
        <w:tc>
          <w:tcPr>
            <w:tcW w:w="1559" w:type="dxa"/>
          </w:tcPr>
          <w:p w14:paraId="4C3DD2FD" w14:textId="77777777" w:rsidR="004A28A8" w:rsidRPr="002000A4" w:rsidRDefault="004A28A8" w:rsidP="003078E7">
            <w:pPr>
              <w:ind w:left="34" w:right="34"/>
              <w:rPr>
                <w:sz w:val="20"/>
                <w:szCs w:val="20"/>
              </w:rPr>
            </w:pPr>
            <w:r w:rsidRPr="002000A4">
              <w:rPr>
                <w:sz w:val="20"/>
                <w:szCs w:val="20"/>
              </w:rPr>
              <w:t>CYP2C19 – substrate</w:t>
            </w:r>
          </w:p>
        </w:tc>
        <w:tc>
          <w:tcPr>
            <w:tcW w:w="1418" w:type="dxa"/>
          </w:tcPr>
          <w:p w14:paraId="4C3DD2FE" w14:textId="77777777" w:rsidR="004A28A8" w:rsidRPr="002000A4" w:rsidRDefault="004A28A8" w:rsidP="003078E7">
            <w:pPr>
              <w:ind w:left="33" w:right="34"/>
              <w:rPr>
                <w:sz w:val="20"/>
                <w:szCs w:val="20"/>
              </w:rPr>
            </w:pPr>
            <w:r w:rsidRPr="002000A4">
              <w:rPr>
                <w:bCs/>
                <w:color w:val="000000"/>
                <w:sz w:val="20"/>
                <w:szCs w:val="20"/>
              </w:rPr>
              <w:t>5172-P072</w:t>
            </w:r>
          </w:p>
        </w:tc>
        <w:tc>
          <w:tcPr>
            <w:tcW w:w="4819" w:type="dxa"/>
          </w:tcPr>
          <w:p w14:paraId="4C3DD2FF" w14:textId="77777777" w:rsidR="004A28A8" w:rsidRPr="002000A4" w:rsidRDefault="004A28A8" w:rsidP="002000A4">
            <w:pPr>
              <w:rPr>
                <w:sz w:val="20"/>
                <w:szCs w:val="20"/>
              </w:rPr>
            </w:pPr>
            <w:r w:rsidRPr="002000A4">
              <w:rPr>
                <w:bCs/>
                <w:color w:val="000000"/>
                <w:sz w:val="20"/>
                <w:szCs w:val="20"/>
              </w:rPr>
              <w:t xml:space="preserve">DDIs b/w </w:t>
            </w:r>
            <w:r w:rsidRPr="002000A4">
              <w:rPr>
                <w:rFonts w:eastAsia="TimesNewRoman"/>
                <w:sz w:val="20"/>
                <w:szCs w:val="20"/>
              </w:rPr>
              <w:t>multiple oral doses of pantoprazole (40 mg QD) or famotidine (20 mg) and multiple oral doses of a 100 mg GZR/50 mg EBR FDC tablet</w:t>
            </w:r>
          </w:p>
        </w:tc>
      </w:tr>
      <w:tr w:rsidR="004A28A8" w:rsidRPr="002000A4" w14:paraId="4C3DD305" w14:textId="77777777" w:rsidTr="003078E7">
        <w:tc>
          <w:tcPr>
            <w:tcW w:w="1384" w:type="dxa"/>
            <w:vMerge/>
          </w:tcPr>
          <w:p w14:paraId="4C3DD301" w14:textId="77777777" w:rsidR="004A28A8" w:rsidRPr="002000A4" w:rsidRDefault="004A28A8" w:rsidP="003078E7">
            <w:pPr>
              <w:ind w:right="34"/>
              <w:rPr>
                <w:sz w:val="20"/>
                <w:szCs w:val="20"/>
              </w:rPr>
            </w:pPr>
          </w:p>
        </w:tc>
        <w:tc>
          <w:tcPr>
            <w:tcW w:w="1559" w:type="dxa"/>
          </w:tcPr>
          <w:p w14:paraId="4C3DD302" w14:textId="77777777" w:rsidR="004A28A8" w:rsidRPr="002000A4" w:rsidRDefault="004A28A8" w:rsidP="003078E7">
            <w:pPr>
              <w:ind w:left="34" w:right="34"/>
              <w:rPr>
                <w:sz w:val="20"/>
                <w:szCs w:val="20"/>
              </w:rPr>
            </w:pPr>
            <w:r w:rsidRPr="002000A4">
              <w:rPr>
                <w:sz w:val="20"/>
                <w:szCs w:val="20"/>
              </w:rPr>
              <w:t>UGT1A1 – substrates</w:t>
            </w:r>
          </w:p>
        </w:tc>
        <w:tc>
          <w:tcPr>
            <w:tcW w:w="1418" w:type="dxa"/>
          </w:tcPr>
          <w:p w14:paraId="4C3DD303" w14:textId="77777777" w:rsidR="004A28A8" w:rsidRPr="002000A4" w:rsidRDefault="004A28A8" w:rsidP="003078E7">
            <w:pPr>
              <w:ind w:left="33" w:right="34"/>
              <w:rPr>
                <w:sz w:val="20"/>
                <w:szCs w:val="20"/>
              </w:rPr>
            </w:pPr>
            <w:r w:rsidRPr="002000A4">
              <w:rPr>
                <w:bCs/>
                <w:color w:val="000000"/>
                <w:sz w:val="20"/>
                <w:szCs w:val="20"/>
              </w:rPr>
              <w:t>5172-P057</w:t>
            </w:r>
          </w:p>
        </w:tc>
        <w:tc>
          <w:tcPr>
            <w:tcW w:w="4819" w:type="dxa"/>
          </w:tcPr>
          <w:p w14:paraId="4C3DD304" w14:textId="77777777" w:rsidR="004A28A8" w:rsidRPr="002000A4" w:rsidRDefault="004A28A8" w:rsidP="002000A4">
            <w:pPr>
              <w:rPr>
                <w:sz w:val="20"/>
                <w:szCs w:val="20"/>
              </w:rPr>
            </w:pPr>
            <w:r w:rsidRPr="002000A4">
              <w:rPr>
                <w:bCs/>
                <w:color w:val="000000"/>
                <w:sz w:val="20"/>
                <w:szCs w:val="20"/>
              </w:rPr>
              <w:t xml:space="preserve">DDIs b/w a </w:t>
            </w:r>
            <w:r w:rsidRPr="002000A4">
              <w:rPr>
                <w:rFonts w:eastAsia="TimesNewRoman"/>
                <w:sz w:val="20"/>
                <w:szCs w:val="20"/>
              </w:rPr>
              <w:t>single oral 50 mg dose of dolutegravir and multiple oral doses of GZR and EBR (200 mg/50 mg QD).</w:t>
            </w:r>
          </w:p>
        </w:tc>
      </w:tr>
      <w:tr w:rsidR="004A28A8" w:rsidRPr="002000A4" w14:paraId="4C3DD30A" w14:textId="77777777" w:rsidTr="003078E7">
        <w:tc>
          <w:tcPr>
            <w:tcW w:w="1384" w:type="dxa"/>
            <w:vMerge/>
          </w:tcPr>
          <w:p w14:paraId="4C3DD306" w14:textId="77777777" w:rsidR="004A28A8" w:rsidRPr="002000A4" w:rsidRDefault="004A28A8" w:rsidP="003078E7">
            <w:pPr>
              <w:ind w:right="34"/>
              <w:rPr>
                <w:sz w:val="20"/>
                <w:szCs w:val="20"/>
              </w:rPr>
            </w:pPr>
          </w:p>
        </w:tc>
        <w:tc>
          <w:tcPr>
            <w:tcW w:w="1559" w:type="dxa"/>
            <w:vMerge w:val="restart"/>
          </w:tcPr>
          <w:p w14:paraId="4C3DD307" w14:textId="77777777" w:rsidR="004A28A8" w:rsidRPr="002000A4" w:rsidRDefault="004A28A8" w:rsidP="003078E7">
            <w:pPr>
              <w:ind w:left="34" w:right="34"/>
              <w:rPr>
                <w:sz w:val="20"/>
                <w:szCs w:val="20"/>
              </w:rPr>
            </w:pPr>
            <w:r w:rsidRPr="002000A4">
              <w:rPr>
                <w:sz w:val="20"/>
                <w:szCs w:val="20"/>
              </w:rPr>
              <w:t>BCRP- and P-gp-substrates</w:t>
            </w:r>
          </w:p>
        </w:tc>
        <w:tc>
          <w:tcPr>
            <w:tcW w:w="1418" w:type="dxa"/>
          </w:tcPr>
          <w:p w14:paraId="4C3DD308" w14:textId="77777777" w:rsidR="004A28A8" w:rsidRPr="002000A4" w:rsidRDefault="004A28A8" w:rsidP="003078E7">
            <w:pPr>
              <w:ind w:left="33" w:right="34"/>
              <w:rPr>
                <w:sz w:val="20"/>
                <w:szCs w:val="20"/>
              </w:rPr>
            </w:pPr>
            <w:r w:rsidRPr="002000A4">
              <w:rPr>
                <w:bCs/>
                <w:color w:val="000000"/>
                <w:sz w:val="20"/>
                <w:szCs w:val="20"/>
              </w:rPr>
              <w:t>5172-P063</w:t>
            </w:r>
          </w:p>
        </w:tc>
        <w:tc>
          <w:tcPr>
            <w:tcW w:w="4819" w:type="dxa"/>
          </w:tcPr>
          <w:p w14:paraId="4C3DD309" w14:textId="77777777" w:rsidR="004A28A8" w:rsidRPr="002000A4" w:rsidRDefault="004A28A8" w:rsidP="002000A4">
            <w:pPr>
              <w:rPr>
                <w:sz w:val="20"/>
                <w:szCs w:val="20"/>
              </w:rPr>
            </w:pPr>
            <w:r w:rsidRPr="002000A4">
              <w:rPr>
                <w:sz w:val="20"/>
                <w:szCs w:val="20"/>
              </w:rPr>
              <w:t xml:space="preserve">DDIs b/w </w:t>
            </w:r>
            <w:r w:rsidRPr="002000A4">
              <w:rPr>
                <w:rFonts w:eastAsia="TimesNewRoman"/>
                <w:sz w:val="20"/>
                <w:szCs w:val="20"/>
              </w:rPr>
              <w:t xml:space="preserve">multiple oral doses of GZR and EBR (200 mg/50 mg QD) and a single oral 400 mg dose </w:t>
            </w:r>
            <w:proofErr w:type="spellStart"/>
            <w:r w:rsidRPr="002000A4">
              <w:rPr>
                <w:rFonts w:eastAsia="TimesNewRoman"/>
                <w:sz w:val="20"/>
                <w:szCs w:val="20"/>
              </w:rPr>
              <w:t>sofosbuvir</w:t>
            </w:r>
            <w:proofErr w:type="spellEnd"/>
          </w:p>
        </w:tc>
      </w:tr>
      <w:tr w:rsidR="004A28A8" w:rsidRPr="002000A4" w14:paraId="4C3DD30F" w14:textId="77777777" w:rsidTr="003078E7">
        <w:tc>
          <w:tcPr>
            <w:tcW w:w="1384" w:type="dxa"/>
            <w:vMerge/>
          </w:tcPr>
          <w:p w14:paraId="4C3DD30B" w14:textId="77777777" w:rsidR="004A28A8" w:rsidRPr="002000A4" w:rsidRDefault="004A28A8" w:rsidP="003078E7">
            <w:pPr>
              <w:ind w:right="34"/>
              <w:rPr>
                <w:sz w:val="20"/>
                <w:szCs w:val="20"/>
              </w:rPr>
            </w:pPr>
          </w:p>
        </w:tc>
        <w:tc>
          <w:tcPr>
            <w:tcW w:w="1559" w:type="dxa"/>
            <w:vMerge/>
          </w:tcPr>
          <w:p w14:paraId="4C3DD30C" w14:textId="77777777" w:rsidR="004A28A8" w:rsidRPr="002000A4" w:rsidRDefault="004A28A8" w:rsidP="003078E7">
            <w:pPr>
              <w:ind w:left="34" w:right="34"/>
              <w:rPr>
                <w:sz w:val="20"/>
                <w:szCs w:val="20"/>
              </w:rPr>
            </w:pPr>
          </w:p>
        </w:tc>
        <w:tc>
          <w:tcPr>
            <w:tcW w:w="1418" w:type="dxa"/>
          </w:tcPr>
          <w:p w14:paraId="4C3DD30D" w14:textId="77777777" w:rsidR="004A28A8" w:rsidRPr="002000A4" w:rsidRDefault="004A28A8" w:rsidP="003078E7">
            <w:pPr>
              <w:ind w:left="33" w:right="34"/>
              <w:rPr>
                <w:sz w:val="20"/>
                <w:szCs w:val="20"/>
              </w:rPr>
            </w:pPr>
            <w:r w:rsidRPr="002000A4">
              <w:rPr>
                <w:bCs/>
                <w:color w:val="000000"/>
                <w:sz w:val="20"/>
                <w:szCs w:val="20"/>
              </w:rPr>
              <w:t>8742-P023</w:t>
            </w:r>
          </w:p>
        </w:tc>
        <w:tc>
          <w:tcPr>
            <w:tcW w:w="4819" w:type="dxa"/>
          </w:tcPr>
          <w:p w14:paraId="4C3DD30E" w14:textId="77777777" w:rsidR="004A28A8" w:rsidRPr="002000A4" w:rsidRDefault="004A28A8" w:rsidP="002000A4">
            <w:pPr>
              <w:rPr>
                <w:sz w:val="20"/>
                <w:szCs w:val="20"/>
              </w:rPr>
            </w:pPr>
            <w:r w:rsidRPr="002000A4">
              <w:rPr>
                <w:sz w:val="20"/>
                <w:szCs w:val="20"/>
              </w:rPr>
              <w:t xml:space="preserve">DDIs b/w </w:t>
            </w:r>
            <w:r w:rsidRPr="002000A4">
              <w:rPr>
                <w:rFonts w:eastAsia="TimesNewRoman"/>
                <w:sz w:val="20"/>
                <w:szCs w:val="20"/>
              </w:rPr>
              <w:t>multiple oral doses of EBR (50 mg QD) and a single dose of 0.25 mg digoxin</w:t>
            </w:r>
          </w:p>
        </w:tc>
      </w:tr>
      <w:tr w:rsidR="004A28A8" w:rsidRPr="002000A4" w14:paraId="4C3DD314" w14:textId="77777777" w:rsidTr="003078E7">
        <w:tc>
          <w:tcPr>
            <w:tcW w:w="1384" w:type="dxa"/>
            <w:vMerge/>
          </w:tcPr>
          <w:p w14:paraId="4C3DD310" w14:textId="77777777" w:rsidR="004A28A8" w:rsidRPr="002000A4" w:rsidRDefault="004A28A8" w:rsidP="003078E7">
            <w:pPr>
              <w:ind w:right="34"/>
              <w:rPr>
                <w:sz w:val="20"/>
                <w:szCs w:val="20"/>
              </w:rPr>
            </w:pPr>
          </w:p>
        </w:tc>
        <w:tc>
          <w:tcPr>
            <w:tcW w:w="1559" w:type="dxa"/>
          </w:tcPr>
          <w:p w14:paraId="4C3DD311" w14:textId="77777777" w:rsidR="004A28A8" w:rsidRPr="002000A4" w:rsidRDefault="004A28A8" w:rsidP="003078E7">
            <w:pPr>
              <w:ind w:left="34" w:right="34"/>
              <w:rPr>
                <w:sz w:val="20"/>
                <w:szCs w:val="20"/>
              </w:rPr>
            </w:pPr>
            <w:r w:rsidRPr="002000A4">
              <w:rPr>
                <w:bCs/>
                <w:sz w:val="20"/>
                <w:szCs w:val="20"/>
              </w:rPr>
              <w:t>HIV nucleoside reverse transcriptase inhibitor</w:t>
            </w:r>
          </w:p>
        </w:tc>
        <w:tc>
          <w:tcPr>
            <w:tcW w:w="1418" w:type="dxa"/>
          </w:tcPr>
          <w:p w14:paraId="4C3DD312" w14:textId="77777777" w:rsidR="004A28A8" w:rsidRPr="002000A4" w:rsidRDefault="004A28A8" w:rsidP="003078E7">
            <w:pPr>
              <w:ind w:left="33" w:right="34"/>
              <w:rPr>
                <w:sz w:val="20"/>
                <w:szCs w:val="20"/>
              </w:rPr>
            </w:pPr>
            <w:r w:rsidRPr="002000A4">
              <w:rPr>
                <w:bCs/>
                <w:color w:val="000000"/>
                <w:sz w:val="20"/>
                <w:szCs w:val="20"/>
              </w:rPr>
              <w:t>5172-P026</w:t>
            </w:r>
          </w:p>
        </w:tc>
        <w:tc>
          <w:tcPr>
            <w:tcW w:w="4819" w:type="dxa"/>
          </w:tcPr>
          <w:p w14:paraId="4C3DD313" w14:textId="77777777" w:rsidR="004A28A8" w:rsidRPr="002000A4" w:rsidRDefault="004A28A8" w:rsidP="002000A4">
            <w:pPr>
              <w:rPr>
                <w:sz w:val="20"/>
                <w:szCs w:val="20"/>
              </w:rPr>
            </w:pPr>
            <w:r w:rsidRPr="002000A4">
              <w:rPr>
                <w:rFonts w:eastAsia="TimesNewRoman"/>
                <w:sz w:val="20"/>
                <w:szCs w:val="20"/>
              </w:rPr>
              <w:t>DDIs b/w multiple oral doses of GZR (200 mg QD) and</w:t>
            </w:r>
            <w:r w:rsidRPr="002000A4">
              <w:rPr>
                <w:bCs/>
                <w:color w:val="000000"/>
                <w:sz w:val="20"/>
                <w:szCs w:val="20"/>
              </w:rPr>
              <w:t xml:space="preserve"> </w:t>
            </w:r>
            <w:r w:rsidRPr="002000A4">
              <w:rPr>
                <w:rFonts w:eastAsia="TimesNewRoman"/>
                <w:sz w:val="20"/>
                <w:szCs w:val="20"/>
              </w:rPr>
              <w:t>tenofovir (300 mg QD)</w:t>
            </w:r>
          </w:p>
        </w:tc>
      </w:tr>
      <w:tr w:rsidR="004A28A8" w:rsidRPr="002000A4" w14:paraId="4C3DD319" w14:textId="77777777" w:rsidTr="003078E7">
        <w:tc>
          <w:tcPr>
            <w:tcW w:w="1384" w:type="dxa"/>
            <w:vMerge/>
          </w:tcPr>
          <w:p w14:paraId="4C3DD315" w14:textId="77777777" w:rsidR="004A28A8" w:rsidRPr="002000A4" w:rsidRDefault="004A28A8" w:rsidP="003078E7">
            <w:pPr>
              <w:ind w:right="34"/>
              <w:rPr>
                <w:sz w:val="20"/>
                <w:szCs w:val="20"/>
              </w:rPr>
            </w:pPr>
          </w:p>
        </w:tc>
        <w:tc>
          <w:tcPr>
            <w:tcW w:w="1559" w:type="dxa"/>
            <w:vMerge w:val="restart"/>
          </w:tcPr>
          <w:p w14:paraId="4C3DD316" w14:textId="77777777" w:rsidR="004A28A8" w:rsidRPr="002000A4" w:rsidRDefault="004A28A8" w:rsidP="003078E7">
            <w:pPr>
              <w:ind w:left="34" w:right="34"/>
              <w:rPr>
                <w:sz w:val="20"/>
                <w:szCs w:val="20"/>
              </w:rPr>
            </w:pPr>
            <w:r w:rsidRPr="002000A4">
              <w:rPr>
                <w:bCs/>
                <w:sz w:val="20"/>
                <w:szCs w:val="20"/>
              </w:rPr>
              <w:t>Inhibitors of NS5A</w:t>
            </w:r>
          </w:p>
        </w:tc>
        <w:tc>
          <w:tcPr>
            <w:tcW w:w="1418" w:type="dxa"/>
          </w:tcPr>
          <w:p w14:paraId="4C3DD317" w14:textId="77777777" w:rsidR="004A28A8" w:rsidRPr="002000A4" w:rsidRDefault="004A28A8" w:rsidP="003078E7">
            <w:pPr>
              <w:ind w:left="33" w:right="34"/>
              <w:rPr>
                <w:sz w:val="20"/>
                <w:szCs w:val="20"/>
              </w:rPr>
            </w:pPr>
            <w:r w:rsidRPr="002000A4">
              <w:rPr>
                <w:bCs/>
                <w:color w:val="000000"/>
                <w:sz w:val="20"/>
                <w:szCs w:val="20"/>
              </w:rPr>
              <w:t>5172-P023</w:t>
            </w:r>
          </w:p>
        </w:tc>
        <w:tc>
          <w:tcPr>
            <w:tcW w:w="4819" w:type="dxa"/>
          </w:tcPr>
          <w:p w14:paraId="4C3DD318" w14:textId="77777777" w:rsidR="004A28A8" w:rsidRPr="002000A4" w:rsidRDefault="004A28A8" w:rsidP="002000A4">
            <w:pPr>
              <w:rPr>
                <w:sz w:val="20"/>
                <w:szCs w:val="20"/>
              </w:rPr>
            </w:pPr>
            <w:r w:rsidRPr="002000A4">
              <w:rPr>
                <w:rFonts w:eastAsia="TimesNewRoman"/>
                <w:sz w:val="20"/>
                <w:szCs w:val="20"/>
              </w:rPr>
              <w:t>DDIs b/w multiple oral doses of GZR (400 mg QD) and</w:t>
            </w:r>
            <w:r w:rsidRPr="002000A4">
              <w:rPr>
                <w:bCs/>
                <w:color w:val="000000"/>
                <w:sz w:val="20"/>
                <w:szCs w:val="20"/>
              </w:rPr>
              <w:t xml:space="preserve"> </w:t>
            </w:r>
            <w:r w:rsidRPr="002000A4">
              <w:rPr>
                <w:sz w:val="20"/>
                <w:szCs w:val="20"/>
              </w:rPr>
              <w:t>GS-5885 (90 mg QD).</w:t>
            </w:r>
          </w:p>
        </w:tc>
      </w:tr>
      <w:tr w:rsidR="004A28A8" w:rsidRPr="002000A4" w14:paraId="4C3DD31E" w14:textId="77777777" w:rsidTr="003078E7">
        <w:tc>
          <w:tcPr>
            <w:tcW w:w="1384" w:type="dxa"/>
            <w:vMerge/>
          </w:tcPr>
          <w:p w14:paraId="4C3DD31A" w14:textId="77777777" w:rsidR="004A28A8" w:rsidRPr="002000A4" w:rsidRDefault="004A28A8" w:rsidP="003078E7">
            <w:pPr>
              <w:ind w:right="34"/>
              <w:rPr>
                <w:sz w:val="20"/>
                <w:szCs w:val="20"/>
              </w:rPr>
            </w:pPr>
          </w:p>
        </w:tc>
        <w:tc>
          <w:tcPr>
            <w:tcW w:w="1559" w:type="dxa"/>
            <w:vMerge/>
          </w:tcPr>
          <w:p w14:paraId="4C3DD31B" w14:textId="77777777" w:rsidR="004A28A8" w:rsidRPr="002000A4" w:rsidRDefault="004A28A8" w:rsidP="003078E7">
            <w:pPr>
              <w:ind w:left="34" w:right="34"/>
              <w:rPr>
                <w:sz w:val="20"/>
                <w:szCs w:val="20"/>
              </w:rPr>
            </w:pPr>
          </w:p>
        </w:tc>
        <w:tc>
          <w:tcPr>
            <w:tcW w:w="1418" w:type="dxa"/>
          </w:tcPr>
          <w:p w14:paraId="4C3DD31C" w14:textId="77777777" w:rsidR="004A28A8" w:rsidRPr="002000A4" w:rsidRDefault="004A28A8" w:rsidP="003078E7">
            <w:pPr>
              <w:ind w:left="33" w:right="34"/>
              <w:rPr>
                <w:sz w:val="20"/>
                <w:szCs w:val="20"/>
              </w:rPr>
            </w:pPr>
            <w:r w:rsidRPr="002000A4">
              <w:rPr>
                <w:bCs/>
                <w:color w:val="000000"/>
                <w:sz w:val="20"/>
                <w:szCs w:val="20"/>
              </w:rPr>
              <w:t>5172-P036</w:t>
            </w:r>
          </w:p>
        </w:tc>
        <w:tc>
          <w:tcPr>
            <w:tcW w:w="4819" w:type="dxa"/>
          </w:tcPr>
          <w:p w14:paraId="4C3DD31D" w14:textId="77777777" w:rsidR="004A28A8" w:rsidRPr="002000A4" w:rsidRDefault="004A28A8" w:rsidP="002000A4">
            <w:pPr>
              <w:rPr>
                <w:sz w:val="20"/>
                <w:szCs w:val="20"/>
              </w:rPr>
            </w:pPr>
            <w:r w:rsidRPr="002000A4">
              <w:rPr>
                <w:bCs/>
                <w:color w:val="000000"/>
                <w:sz w:val="20"/>
                <w:szCs w:val="20"/>
              </w:rPr>
              <w:t xml:space="preserve">DDIs b/w </w:t>
            </w:r>
            <w:r w:rsidRPr="002000A4">
              <w:rPr>
                <w:rFonts w:eastAsia="TimesNewRoman"/>
                <w:sz w:val="20"/>
                <w:szCs w:val="20"/>
              </w:rPr>
              <w:t>multiple oral doses of GZR (200 mg QD) and</w:t>
            </w:r>
            <w:r w:rsidRPr="002000A4">
              <w:rPr>
                <w:sz w:val="20"/>
                <w:szCs w:val="20"/>
              </w:rPr>
              <w:t xml:space="preserve"> 60 mg </w:t>
            </w:r>
            <w:proofErr w:type="spellStart"/>
            <w:r w:rsidRPr="002000A4">
              <w:rPr>
                <w:sz w:val="20"/>
                <w:szCs w:val="20"/>
              </w:rPr>
              <w:t>daclatasvir</w:t>
            </w:r>
            <w:proofErr w:type="spellEnd"/>
          </w:p>
        </w:tc>
      </w:tr>
      <w:tr w:rsidR="004A28A8" w:rsidRPr="002000A4" w14:paraId="4C3DD323" w14:textId="77777777" w:rsidTr="003078E7">
        <w:tc>
          <w:tcPr>
            <w:tcW w:w="1384" w:type="dxa"/>
            <w:vMerge/>
          </w:tcPr>
          <w:p w14:paraId="4C3DD31F" w14:textId="77777777" w:rsidR="004A28A8" w:rsidRPr="002000A4" w:rsidRDefault="004A28A8" w:rsidP="003078E7">
            <w:pPr>
              <w:ind w:right="34"/>
              <w:rPr>
                <w:sz w:val="20"/>
                <w:szCs w:val="20"/>
              </w:rPr>
            </w:pPr>
          </w:p>
        </w:tc>
        <w:tc>
          <w:tcPr>
            <w:tcW w:w="1559" w:type="dxa"/>
            <w:vMerge/>
          </w:tcPr>
          <w:p w14:paraId="4C3DD320" w14:textId="77777777" w:rsidR="004A28A8" w:rsidRPr="002000A4" w:rsidRDefault="004A28A8" w:rsidP="003078E7">
            <w:pPr>
              <w:ind w:left="34" w:right="34"/>
              <w:rPr>
                <w:sz w:val="20"/>
                <w:szCs w:val="20"/>
              </w:rPr>
            </w:pPr>
          </w:p>
        </w:tc>
        <w:tc>
          <w:tcPr>
            <w:tcW w:w="1418" w:type="dxa"/>
          </w:tcPr>
          <w:p w14:paraId="4C3DD321" w14:textId="77777777" w:rsidR="004A28A8" w:rsidRPr="002000A4" w:rsidRDefault="004A28A8" w:rsidP="003078E7">
            <w:pPr>
              <w:ind w:left="33" w:right="34"/>
              <w:rPr>
                <w:sz w:val="20"/>
                <w:szCs w:val="20"/>
              </w:rPr>
            </w:pPr>
            <w:r w:rsidRPr="002000A4">
              <w:rPr>
                <w:bCs/>
                <w:color w:val="000000"/>
                <w:sz w:val="20"/>
                <w:szCs w:val="20"/>
              </w:rPr>
              <w:t>8408-P004</w:t>
            </w:r>
          </w:p>
        </w:tc>
        <w:tc>
          <w:tcPr>
            <w:tcW w:w="4819" w:type="dxa"/>
          </w:tcPr>
          <w:p w14:paraId="4C3DD322" w14:textId="77777777" w:rsidR="004A28A8" w:rsidRPr="002000A4" w:rsidRDefault="004A28A8" w:rsidP="002000A4">
            <w:pPr>
              <w:rPr>
                <w:sz w:val="20"/>
                <w:szCs w:val="20"/>
              </w:rPr>
            </w:pPr>
            <w:r w:rsidRPr="002000A4">
              <w:rPr>
                <w:bCs/>
                <w:color w:val="000000"/>
                <w:sz w:val="20"/>
                <w:szCs w:val="20"/>
              </w:rPr>
              <w:t xml:space="preserve">DDIs b/w </w:t>
            </w:r>
            <w:r w:rsidRPr="002000A4">
              <w:rPr>
                <w:rFonts w:eastAsia="TimesNewRoman"/>
                <w:sz w:val="20"/>
                <w:szCs w:val="20"/>
              </w:rPr>
              <w:t>multiple oral doses of GZR (200 mg QD) and</w:t>
            </w:r>
            <w:r w:rsidRPr="002000A4">
              <w:rPr>
                <w:bCs/>
                <w:color w:val="000000"/>
                <w:sz w:val="20"/>
                <w:szCs w:val="20"/>
              </w:rPr>
              <w:t xml:space="preserve"> MK8408 (60 mg QD)</w:t>
            </w:r>
          </w:p>
        </w:tc>
      </w:tr>
      <w:tr w:rsidR="004A28A8" w:rsidRPr="002000A4" w14:paraId="4C3DD328" w14:textId="77777777" w:rsidTr="003078E7">
        <w:tc>
          <w:tcPr>
            <w:tcW w:w="1384" w:type="dxa"/>
            <w:vMerge/>
          </w:tcPr>
          <w:p w14:paraId="4C3DD324" w14:textId="77777777" w:rsidR="004A28A8" w:rsidRPr="002000A4" w:rsidRDefault="004A28A8" w:rsidP="003078E7">
            <w:pPr>
              <w:ind w:right="34"/>
              <w:rPr>
                <w:sz w:val="20"/>
                <w:szCs w:val="20"/>
              </w:rPr>
            </w:pPr>
          </w:p>
        </w:tc>
        <w:tc>
          <w:tcPr>
            <w:tcW w:w="1559" w:type="dxa"/>
          </w:tcPr>
          <w:p w14:paraId="4C3DD325" w14:textId="77777777" w:rsidR="004A28A8" w:rsidRPr="002000A4" w:rsidRDefault="004A28A8" w:rsidP="003078E7">
            <w:pPr>
              <w:ind w:left="34" w:right="34"/>
              <w:rPr>
                <w:sz w:val="20"/>
                <w:szCs w:val="20"/>
              </w:rPr>
            </w:pPr>
            <w:r w:rsidRPr="002000A4">
              <w:rPr>
                <w:sz w:val="20"/>
                <w:szCs w:val="20"/>
              </w:rPr>
              <w:t>Inhibitor of NS3/4A</w:t>
            </w:r>
          </w:p>
        </w:tc>
        <w:tc>
          <w:tcPr>
            <w:tcW w:w="1418" w:type="dxa"/>
          </w:tcPr>
          <w:p w14:paraId="4C3DD326" w14:textId="77777777" w:rsidR="004A28A8" w:rsidRPr="002000A4" w:rsidRDefault="004A28A8" w:rsidP="003078E7">
            <w:pPr>
              <w:ind w:left="33" w:right="34"/>
              <w:rPr>
                <w:sz w:val="20"/>
                <w:szCs w:val="20"/>
              </w:rPr>
            </w:pPr>
            <w:r w:rsidRPr="002000A4">
              <w:rPr>
                <w:bCs/>
                <w:color w:val="000000"/>
                <w:sz w:val="20"/>
                <w:szCs w:val="20"/>
              </w:rPr>
              <w:t xml:space="preserve">2748-P004 </w:t>
            </w:r>
          </w:p>
        </w:tc>
        <w:tc>
          <w:tcPr>
            <w:tcW w:w="4819" w:type="dxa"/>
          </w:tcPr>
          <w:p w14:paraId="4C3DD327" w14:textId="77777777" w:rsidR="004A28A8" w:rsidRPr="002000A4" w:rsidRDefault="004A28A8" w:rsidP="002000A4">
            <w:pPr>
              <w:rPr>
                <w:sz w:val="20"/>
                <w:szCs w:val="20"/>
              </w:rPr>
            </w:pPr>
            <w:r w:rsidRPr="002000A4">
              <w:rPr>
                <w:bCs/>
                <w:color w:val="000000"/>
                <w:sz w:val="20"/>
                <w:szCs w:val="20"/>
              </w:rPr>
              <w:t xml:space="preserve">DDIs b/w </w:t>
            </w:r>
            <w:r w:rsidRPr="002000A4">
              <w:rPr>
                <w:rFonts w:eastAsia="TimesNewRoman"/>
                <w:sz w:val="20"/>
                <w:szCs w:val="20"/>
              </w:rPr>
              <w:t>multiple oral doses of EBR (50 mg QD) and</w:t>
            </w:r>
            <w:r w:rsidRPr="002000A4">
              <w:rPr>
                <w:bCs/>
                <w:color w:val="000000"/>
                <w:sz w:val="20"/>
                <w:szCs w:val="20"/>
              </w:rPr>
              <w:t xml:space="preserve"> </w:t>
            </w:r>
            <w:r w:rsidRPr="002000A4">
              <w:rPr>
                <w:rFonts w:eastAsia="TimesNewRoman"/>
                <w:sz w:val="20"/>
                <w:szCs w:val="20"/>
              </w:rPr>
              <w:t>MK-2748</w:t>
            </w:r>
            <w:r w:rsidRPr="002000A4">
              <w:rPr>
                <w:bCs/>
                <w:color w:val="000000"/>
                <w:sz w:val="20"/>
                <w:szCs w:val="20"/>
              </w:rPr>
              <w:t xml:space="preserve"> (400 mg QD)</w:t>
            </w:r>
          </w:p>
        </w:tc>
      </w:tr>
      <w:tr w:rsidR="004A28A8" w:rsidRPr="002000A4" w14:paraId="4C3DD32D" w14:textId="77777777" w:rsidTr="003078E7">
        <w:tc>
          <w:tcPr>
            <w:tcW w:w="1384" w:type="dxa"/>
            <w:vMerge/>
          </w:tcPr>
          <w:p w14:paraId="4C3DD329" w14:textId="77777777" w:rsidR="004A28A8" w:rsidRPr="002000A4" w:rsidRDefault="004A28A8" w:rsidP="003078E7">
            <w:pPr>
              <w:ind w:right="34"/>
              <w:rPr>
                <w:sz w:val="20"/>
                <w:szCs w:val="20"/>
              </w:rPr>
            </w:pPr>
          </w:p>
        </w:tc>
        <w:tc>
          <w:tcPr>
            <w:tcW w:w="1559" w:type="dxa"/>
            <w:vMerge w:val="restart"/>
          </w:tcPr>
          <w:p w14:paraId="4C3DD32A" w14:textId="77777777" w:rsidR="004A28A8" w:rsidRPr="002000A4" w:rsidRDefault="004A28A8" w:rsidP="003078E7">
            <w:pPr>
              <w:ind w:left="34" w:right="34"/>
              <w:rPr>
                <w:sz w:val="20"/>
                <w:szCs w:val="20"/>
              </w:rPr>
            </w:pPr>
            <w:r w:rsidRPr="002000A4">
              <w:rPr>
                <w:bCs/>
                <w:sz w:val="20"/>
                <w:szCs w:val="20"/>
              </w:rPr>
              <w:t>Inhibitors of NS5B</w:t>
            </w:r>
          </w:p>
        </w:tc>
        <w:tc>
          <w:tcPr>
            <w:tcW w:w="1418" w:type="dxa"/>
          </w:tcPr>
          <w:p w14:paraId="4C3DD32B" w14:textId="77777777" w:rsidR="004A28A8" w:rsidRPr="002000A4" w:rsidRDefault="004A28A8" w:rsidP="003078E7">
            <w:pPr>
              <w:ind w:left="33" w:right="34"/>
              <w:rPr>
                <w:sz w:val="20"/>
                <w:szCs w:val="20"/>
              </w:rPr>
            </w:pPr>
            <w:r w:rsidRPr="002000A4">
              <w:rPr>
                <w:bCs/>
                <w:color w:val="000000"/>
                <w:sz w:val="20"/>
                <w:szCs w:val="20"/>
              </w:rPr>
              <w:t>3682-P007</w:t>
            </w:r>
          </w:p>
        </w:tc>
        <w:tc>
          <w:tcPr>
            <w:tcW w:w="4819" w:type="dxa"/>
          </w:tcPr>
          <w:p w14:paraId="4C3DD32C" w14:textId="77777777" w:rsidR="004A28A8" w:rsidRPr="002000A4" w:rsidRDefault="004A28A8" w:rsidP="002000A4">
            <w:pPr>
              <w:rPr>
                <w:sz w:val="20"/>
                <w:szCs w:val="20"/>
              </w:rPr>
            </w:pPr>
            <w:r w:rsidRPr="002000A4">
              <w:rPr>
                <w:bCs/>
                <w:color w:val="000000"/>
                <w:sz w:val="20"/>
                <w:szCs w:val="20"/>
              </w:rPr>
              <w:t xml:space="preserve">DDIs following </w:t>
            </w:r>
            <w:r w:rsidRPr="002000A4">
              <w:rPr>
                <w:rFonts w:eastAsia="TimesNewRoman"/>
                <w:sz w:val="20"/>
                <w:szCs w:val="20"/>
              </w:rPr>
              <w:t>multiple oral doses of GZR/EBR (200 mg QD/50 mg QD) and</w:t>
            </w:r>
            <w:r w:rsidRPr="002000A4">
              <w:rPr>
                <w:bCs/>
                <w:color w:val="000000"/>
                <w:sz w:val="20"/>
                <w:szCs w:val="20"/>
              </w:rPr>
              <w:t xml:space="preserve"> </w:t>
            </w:r>
            <w:r w:rsidRPr="002000A4">
              <w:rPr>
                <w:sz w:val="20"/>
                <w:szCs w:val="20"/>
              </w:rPr>
              <w:t>MK-3682 (300 mg QD)</w:t>
            </w:r>
          </w:p>
        </w:tc>
      </w:tr>
      <w:tr w:rsidR="004A28A8" w:rsidRPr="002000A4" w14:paraId="4C3DD332" w14:textId="77777777" w:rsidTr="003078E7">
        <w:tc>
          <w:tcPr>
            <w:tcW w:w="1384" w:type="dxa"/>
            <w:vMerge/>
          </w:tcPr>
          <w:p w14:paraId="4C3DD32E" w14:textId="77777777" w:rsidR="004A28A8" w:rsidRPr="002000A4" w:rsidRDefault="004A28A8" w:rsidP="003078E7">
            <w:pPr>
              <w:ind w:right="34"/>
              <w:rPr>
                <w:sz w:val="20"/>
                <w:szCs w:val="20"/>
              </w:rPr>
            </w:pPr>
          </w:p>
        </w:tc>
        <w:tc>
          <w:tcPr>
            <w:tcW w:w="1559" w:type="dxa"/>
            <w:vMerge/>
          </w:tcPr>
          <w:p w14:paraId="4C3DD32F" w14:textId="77777777" w:rsidR="004A28A8" w:rsidRPr="002000A4" w:rsidRDefault="004A28A8" w:rsidP="003078E7">
            <w:pPr>
              <w:ind w:left="34" w:right="34"/>
              <w:rPr>
                <w:sz w:val="20"/>
                <w:szCs w:val="20"/>
              </w:rPr>
            </w:pPr>
          </w:p>
        </w:tc>
        <w:tc>
          <w:tcPr>
            <w:tcW w:w="1418" w:type="dxa"/>
          </w:tcPr>
          <w:p w14:paraId="4C3DD330" w14:textId="77777777" w:rsidR="004A28A8" w:rsidRPr="002000A4" w:rsidRDefault="004A28A8" w:rsidP="003078E7">
            <w:pPr>
              <w:ind w:left="33" w:right="34"/>
              <w:rPr>
                <w:sz w:val="20"/>
                <w:szCs w:val="20"/>
              </w:rPr>
            </w:pPr>
            <w:r w:rsidRPr="002000A4">
              <w:rPr>
                <w:bCs/>
                <w:color w:val="000000"/>
                <w:sz w:val="20"/>
                <w:szCs w:val="20"/>
              </w:rPr>
              <w:t>3682-P008</w:t>
            </w:r>
          </w:p>
        </w:tc>
        <w:tc>
          <w:tcPr>
            <w:tcW w:w="4819" w:type="dxa"/>
          </w:tcPr>
          <w:p w14:paraId="4C3DD331" w14:textId="77777777" w:rsidR="004A28A8" w:rsidRPr="002000A4" w:rsidRDefault="004A28A8" w:rsidP="002000A4">
            <w:pPr>
              <w:rPr>
                <w:sz w:val="20"/>
                <w:szCs w:val="20"/>
              </w:rPr>
            </w:pPr>
            <w:r w:rsidRPr="002000A4">
              <w:rPr>
                <w:sz w:val="20"/>
                <w:szCs w:val="20"/>
              </w:rPr>
              <w:t xml:space="preserve">DDIS b/w </w:t>
            </w:r>
            <w:r w:rsidRPr="002000A4">
              <w:rPr>
                <w:rFonts w:eastAsiaTheme="minorHAnsi"/>
                <w:sz w:val="20"/>
                <w:szCs w:val="20"/>
              </w:rPr>
              <w:t>steady state levels of MK-3682 (300 mg QD) and steady state levels of GZR (200 mg QD) and MK-8408 (60 mg QD)</w:t>
            </w:r>
          </w:p>
        </w:tc>
      </w:tr>
      <w:tr w:rsidR="004A28A8" w:rsidRPr="002000A4" w14:paraId="4C3DD337" w14:textId="77777777" w:rsidTr="003078E7">
        <w:tc>
          <w:tcPr>
            <w:tcW w:w="1384" w:type="dxa"/>
            <w:vMerge/>
          </w:tcPr>
          <w:p w14:paraId="4C3DD333" w14:textId="77777777" w:rsidR="004A28A8" w:rsidRPr="002000A4" w:rsidRDefault="004A28A8" w:rsidP="003078E7">
            <w:pPr>
              <w:ind w:right="34"/>
              <w:rPr>
                <w:sz w:val="20"/>
                <w:szCs w:val="20"/>
              </w:rPr>
            </w:pPr>
          </w:p>
        </w:tc>
        <w:tc>
          <w:tcPr>
            <w:tcW w:w="1559" w:type="dxa"/>
          </w:tcPr>
          <w:p w14:paraId="4C3DD334" w14:textId="77777777" w:rsidR="004A28A8" w:rsidRPr="002000A4" w:rsidRDefault="004A28A8" w:rsidP="003078E7">
            <w:pPr>
              <w:ind w:left="34" w:right="34"/>
              <w:rPr>
                <w:sz w:val="20"/>
                <w:szCs w:val="20"/>
              </w:rPr>
            </w:pPr>
            <w:r w:rsidRPr="002000A4">
              <w:rPr>
                <w:rFonts w:eastAsia="TimesNewRoman"/>
                <w:sz w:val="20"/>
                <w:szCs w:val="20"/>
              </w:rPr>
              <w:t>Phosphate–binder drugs</w:t>
            </w:r>
          </w:p>
        </w:tc>
        <w:tc>
          <w:tcPr>
            <w:tcW w:w="1418" w:type="dxa"/>
          </w:tcPr>
          <w:p w14:paraId="4C3DD335" w14:textId="77777777" w:rsidR="004A28A8" w:rsidRPr="002000A4" w:rsidRDefault="004A28A8" w:rsidP="003078E7">
            <w:pPr>
              <w:ind w:left="33" w:right="34"/>
              <w:rPr>
                <w:sz w:val="20"/>
                <w:szCs w:val="20"/>
              </w:rPr>
            </w:pPr>
            <w:r w:rsidRPr="002000A4">
              <w:rPr>
                <w:bCs/>
                <w:color w:val="000000"/>
                <w:sz w:val="20"/>
                <w:szCs w:val="20"/>
              </w:rPr>
              <w:t>5172-P056</w:t>
            </w:r>
          </w:p>
        </w:tc>
        <w:tc>
          <w:tcPr>
            <w:tcW w:w="4819" w:type="dxa"/>
          </w:tcPr>
          <w:p w14:paraId="4C3DD336" w14:textId="77777777" w:rsidR="004A28A8" w:rsidRPr="002000A4" w:rsidRDefault="004A28A8" w:rsidP="002000A4">
            <w:pPr>
              <w:rPr>
                <w:sz w:val="20"/>
                <w:szCs w:val="20"/>
              </w:rPr>
            </w:pPr>
            <w:r w:rsidRPr="002000A4">
              <w:rPr>
                <w:rFonts w:eastAsia="TimesNewRoman"/>
                <w:sz w:val="20"/>
                <w:szCs w:val="20"/>
              </w:rPr>
              <w:t xml:space="preserve">DDIs b/w a single oral dose of 100 mg GZR and 50 mg EBR and either calcium acetate or </w:t>
            </w:r>
            <w:proofErr w:type="spellStart"/>
            <w:r w:rsidRPr="002000A4">
              <w:rPr>
                <w:rFonts w:eastAsia="TimesNewRoman"/>
                <w:sz w:val="20"/>
                <w:szCs w:val="20"/>
              </w:rPr>
              <w:t>sevelamer</w:t>
            </w:r>
            <w:proofErr w:type="spellEnd"/>
            <w:r w:rsidRPr="002000A4">
              <w:rPr>
                <w:rFonts w:eastAsia="TimesNewRoman"/>
                <w:sz w:val="20"/>
                <w:szCs w:val="20"/>
              </w:rPr>
              <w:t xml:space="preserve"> carbonate</w:t>
            </w:r>
          </w:p>
        </w:tc>
      </w:tr>
    </w:tbl>
    <w:p w14:paraId="4C3DD338" w14:textId="77777777" w:rsidR="00D15388" w:rsidRPr="002A5558" w:rsidRDefault="00D15388" w:rsidP="009B19E8">
      <w:pPr>
        <w:pStyle w:val="TableDescription"/>
      </w:pPr>
      <w:r w:rsidRPr="002A5558">
        <w:rPr>
          <w:rFonts w:cstheme="minorHAnsi"/>
        </w:rPr>
        <w:t>cf. - compared with</w:t>
      </w:r>
      <w:r w:rsidR="009B19E8">
        <w:rPr>
          <w:rFonts w:cstheme="minorHAnsi"/>
        </w:rPr>
        <w:t xml:space="preserve">; </w:t>
      </w:r>
      <w:r w:rsidRPr="002A5558">
        <w:rPr>
          <w:rFonts w:cstheme="minorHAnsi"/>
        </w:rPr>
        <w:t>b/w – between</w:t>
      </w:r>
      <w:r w:rsidRPr="002A5558">
        <w:rPr>
          <w:rFonts w:cstheme="minorHAnsi"/>
        </w:rPr>
        <w:br/>
      </w:r>
      <w:r w:rsidRPr="002A5558">
        <w:t>* Indicates the primary aim of the study.</w:t>
      </w:r>
      <w:r w:rsidRPr="002A5558">
        <w:br/>
        <w:t>§ Subjects who would be eligible to receive the drug if approved for the proposed indication.</w:t>
      </w:r>
    </w:p>
    <w:p w14:paraId="4C3DD339" w14:textId="77777777" w:rsidR="00D15388" w:rsidRPr="00440C06" w:rsidRDefault="00D15388" w:rsidP="00D15388">
      <w:pPr>
        <w:spacing w:line="240" w:lineRule="auto"/>
      </w:pPr>
      <w:r w:rsidRPr="00440C06">
        <w:t>None of the pharmacokinetic studies had deficiencies that excluded their results from consideration.</w:t>
      </w:r>
    </w:p>
    <w:p w14:paraId="4C3DD33A" w14:textId="77777777" w:rsidR="00605AD4" w:rsidRDefault="00605AD4" w:rsidP="00605AD4">
      <w:pPr>
        <w:pStyle w:val="Heading4"/>
      </w:pPr>
      <w:r>
        <w:t>Evaluator’s conclusions on pharmacokinetics</w:t>
      </w:r>
    </w:p>
    <w:p w14:paraId="03C370F9" w14:textId="77777777" w:rsidR="00655550" w:rsidRDefault="00D80B0A" w:rsidP="009B19E8">
      <w:proofErr w:type="spellStart"/>
      <w:r>
        <w:t>Zepatier</w:t>
      </w:r>
      <w:proofErr w:type="spellEnd"/>
      <w:r w:rsidR="00E36CA5" w:rsidRPr="00440C06">
        <w:t xml:space="preserve"> FDC tablets containing 100 mg GZR and 50 mg EBR are intended for oral dosing.</w:t>
      </w:r>
    </w:p>
    <w:p w14:paraId="4C3DD33C" w14:textId="638BC2F7" w:rsidR="004D0781" w:rsidRDefault="004D0781" w:rsidP="009B19E8">
      <w:r>
        <w:lastRenderedPageBreak/>
        <w:t>For full details of the evaluator’s summary of pharmacokinetics see Attachment 2.</w:t>
      </w:r>
    </w:p>
    <w:p w14:paraId="4C3DD33D" w14:textId="77777777" w:rsidR="00925667" w:rsidRPr="00925667" w:rsidRDefault="00E36CA5" w:rsidP="00925667">
      <w:pPr>
        <w:pStyle w:val="Heading5"/>
      </w:pPr>
      <w:r w:rsidRPr="00440C06">
        <w:t>Limitations of the PK studies</w:t>
      </w:r>
    </w:p>
    <w:p w14:paraId="4C3DD33E" w14:textId="77777777" w:rsidR="00E36CA5" w:rsidRPr="00440C06" w:rsidRDefault="00E36CA5" w:rsidP="00925667">
      <w:pPr>
        <w:pStyle w:val="ListBullet"/>
      </w:pPr>
      <w:r w:rsidRPr="00440C06">
        <w:t>No dedicated PK studies examined bioavailability following multiple doses of the FDC tablet.</w:t>
      </w:r>
    </w:p>
    <w:p w14:paraId="39075171" w14:textId="77777777" w:rsidR="00655550" w:rsidRDefault="00E36CA5" w:rsidP="00925667">
      <w:pPr>
        <w:pStyle w:val="ListBullet"/>
      </w:pPr>
      <w:r w:rsidRPr="00440C06">
        <w:t>No dedicated PK studies examined the dose proportionality of the FDC tablet.</w:t>
      </w:r>
    </w:p>
    <w:p w14:paraId="7D47BCFB" w14:textId="77777777" w:rsidR="00655550" w:rsidRDefault="00E36CA5" w:rsidP="00925667">
      <w:pPr>
        <w:pStyle w:val="ListBullet"/>
      </w:pPr>
      <w:r w:rsidRPr="00440C06">
        <w:t>No studies specifically examined the volume of distribution following dosing with the FDC.</w:t>
      </w:r>
    </w:p>
    <w:p w14:paraId="4C3DD341" w14:textId="68CC3630" w:rsidR="00E36CA5" w:rsidRPr="00440C06" w:rsidRDefault="00E36CA5" w:rsidP="00925667">
      <w:pPr>
        <w:pStyle w:val="ListBullet"/>
      </w:pPr>
      <w:r w:rsidRPr="00440C06">
        <w:t xml:space="preserve">The drug-drug interactions </w:t>
      </w:r>
      <w:r w:rsidR="0088381F">
        <w:t xml:space="preserve">(DDIs) </w:t>
      </w:r>
      <w:r w:rsidRPr="00440C06">
        <w:t xml:space="preserve">studies primarily examined GZR or EBR when given alone or as a free combination. Therefore, in most cases </w:t>
      </w:r>
      <w:r w:rsidRPr="0088381F">
        <w:t>the DDIs with</w:t>
      </w:r>
      <w:r w:rsidRPr="00440C06">
        <w:t xml:space="preserve"> the FDC tablet are unknown.</w:t>
      </w:r>
    </w:p>
    <w:p w14:paraId="4C3DD342" w14:textId="77777777" w:rsidR="00E36CA5" w:rsidRPr="00440C06" w:rsidRDefault="00E36CA5" w:rsidP="00925667">
      <w:pPr>
        <w:pStyle w:val="ListBullet"/>
      </w:pPr>
      <w:r w:rsidRPr="00440C06">
        <w:t>A number of DDI studies examined the interaction following only single doses of GZR and/or EBR rather than at steady-state levels.</w:t>
      </w:r>
    </w:p>
    <w:p w14:paraId="4C3DD343" w14:textId="77777777" w:rsidR="00E36CA5" w:rsidRPr="00440C06" w:rsidRDefault="00E36CA5" w:rsidP="00925667">
      <w:pPr>
        <w:pStyle w:val="ListBullet"/>
      </w:pPr>
      <w:r w:rsidRPr="00440C06">
        <w:t>Many of the studies which examined the DDIs interaction between GZR and other drugs used a higher dose of GZR (200 mg) than the dose proposed for marketing (100 mg).</w:t>
      </w:r>
    </w:p>
    <w:p w14:paraId="4C3DD344" w14:textId="77777777" w:rsidR="00E36CA5" w:rsidRPr="00440C06" w:rsidRDefault="00E36CA5" w:rsidP="00925667">
      <w:pPr>
        <w:pStyle w:val="ListBullet"/>
      </w:pPr>
      <w:r w:rsidRPr="00440C06">
        <w:rPr>
          <w:rFonts w:cstheme="minorHAnsi"/>
          <w:bCs/>
          <w:color w:val="000000"/>
        </w:rPr>
        <w:t>The direct interaction between GZR and ERB was examined using doses that do not correspond (200 mg/20 mg QD) with the proposed dose for marketing (100 mg/50 mg QD).</w:t>
      </w:r>
    </w:p>
    <w:p w14:paraId="4C3DD345" w14:textId="77777777" w:rsidR="008E7846" w:rsidRDefault="008E7846" w:rsidP="008E7846">
      <w:pPr>
        <w:pStyle w:val="Heading3"/>
      </w:pPr>
      <w:bookmarkStart w:id="76" w:name="_Toc196046481"/>
      <w:bookmarkStart w:id="77" w:name="_Toc247691520"/>
      <w:bookmarkStart w:id="78" w:name="_Toc314842503"/>
      <w:bookmarkStart w:id="79" w:name="_Toc484510891"/>
      <w:r w:rsidRPr="00254787">
        <w:t>Pharmacodynamics</w:t>
      </w:r>
      <w:bookmarkEnd w:id="62"/>
      <w:bookmarkEnd w:id="76"/>
      <w:bookmarkEnd w:id="77"/>
      <w:bookmarkEnd w:id="78"/>
      <w:bookmarkEnd w:id="79"/>
    </w:p>
    <w:p w14:paraId="4C3DD346" w14:textId="77777777" w:rsidR="00605AD4" w:rsidRDefault="00605AD4" w:rsidP="00605AD4">
      <w:pPr>
        <w:pStyle w:val="Heading4"/>
      </w:pPr>
      <w:r>
        <w:t>Studies providing pharmacodynamic data</w:t>
      </w:r>
    </w:p>
    <w:p w14:paraId="4C3DD347" w14:textId="77777777" w:rsidR="00E36CA5" w:rsidRPr="00440C06" w:rsidRDefault="00E36CA5" w:rsidP="00E36CA5">
      <w:pPr>
        <w:spacing w:line="240" w:lineRule="auto"/>
      </w:pPr>
      <w:r>
        <w:t xml:space="preserve">Table </w:t>
      </w:r>
      <w:r w:rsidR="00925667">
        <w:t>8</w:t>
      </w:r>
      <w:r w:rsidRPr="00440C06">
        <w:t xml:space="preserve"> shows the studies relating to each pharmacodynamic topic.</w:t>
      </w:r>
    </w:p>
    <w:p w14:paraId="4C3DD348" w14:textId="77777777" w:rsidR="00E36CA5" w:rsidRDefault="00E36CA5" w:rsidP="00925667">
      <w:pPr>
        <w:pStyle w:val="Comment"/>
      </w:pPr>
      <w:r w:rsidRPr="00925667">
        <w:rPr>
          <w:b/>
        </w:rPr>
        <w:t>Comment</w:t>
      </w:r>
      <w:r w:rsidRPr="001B44E2">
        <w:t>: Two studies (</w:t>
      </w:r>
      <w:r w:rsidRPr="00594A74">
        <w:rPr>
          <w:bCs/>
          <w:sz w:val="20"/>
          <w:szCs w:val="20"/>
        </w:rPr>
        <w:t>5172-P004v02 and 8742-P002v02</w:t>
      </w:r>
      <w:r w:rsidRPr="001B44E2">
        <w:rPr>
          <w:bCs/>
          <w:sz w:val="20"/>
          <w:szCs w:val="20"/>
        </w:rPr>
        <w:t>),</w:t>
      </w:r>
      <w:r w:rsidRPr="001B44E2">
        <w:t xml:space="preserve"> which provided PK as well as primary and secondary PD data in the target population have been summarised</w:t>
      </w:r>
      <w:r w:rsidR="00925667">
        <w:t xml:space="preserve"> above and IN attachment 2</w:t>
      </w:r>
      <w:r w:rsidRPr="001B44E2">
        <w:t>.</w:t>
      </w:r>
    </w:p>
    <w:p w14:paraId="4C3DD349" w14:textId="77777777" w:rsidR="00E36CA5" w:rsidRPr="00440C06" w:rsidRDefault="00E36CA5" w:rsidP="00925667">
      <w:pPr>
        <w:pStyle w:val="TableTitle"/>
      </w:pPr>
      <w:bookmarkStart w:id="80" w:name="_Ref269985397"/>
      <w:bookmarkStart w:id="81" w:name="_Toc290888742"/>
      <w:r w:rsidRPr="00440C06">
        <w:t>Table</w:t>
      </w:r>
      <w:r>
        <w:t xml:space="preserve"> </w:t>
      </w:r>
      <w:bookmarkEnd w:id="80"/>
      <w:r w:rsidR="00925667">
        <w:t xml:space="preserve">8: </w:t>
      </w:r>
      <w:r w:rsidRPr="00440C06">
        <w:t>Submitted pharmacodynamic studies</w:t>
      </w:r>
      <w:bookmarkEnd w:id="81"/>
    </w:p>
    <w:tbl>
      <w:tblPr>
        <w:tblStyle w:val="TableTGAblue"/>
        <w:tblW w:w="8897" w:type="dxa"/>
        <w:tblLayout w:type="fixed"/>
        <w:tblLook w:val="04A0" w:firstRow="1" w:lastRow="0" w:firstColumn="1" w:lastColumn="0" w:noHBand="0" w:noVBand="1"/>
      </w:tblPr>
      <w:tblGrid>
        <w:gridCol w:w="1951"/>
        <w:gridCol w:w="1418"/>
        <w:gridCol w:w="1417"/>
        <w:gridCol w:w="4111"/>
      </w:tblGrid>
      <w:tr w:rsidR="00925667" w:rsidRPr="00440C06" w14:paraId="4C3DD34E" w14:textId="77777777" w:rsidTr="00CA5C2C">
        <w:trPr>
          <w:cnfStyle w:val="100000000000" w:firstRow="1" w:lastRow="0" w:firstColumn="0" w:lastColumn="0" w:oddVBand="0" w:evenVBand="0" w:oddHBand="0" w:evenHBand="0" w:firstRowFirstColumn="0" w:firstRowLastColumn="0" w:lastRowFirstColumn="0" w:lastRowLastColumn="0"/>
        </w:trPr>
        <w:tc>
          <w:tcPr>
            <w:tcW w:w="1951" w:type="dxa"/>
          </w:tcPr>
          <w:p w14:paraId="4C3DD34A" w14:textId="77777777" w:rsidR="00925667" w:rsidRPr="00925667" w:rsidRDefault="00925667" w:rsidP="00F140F0">
            <w:r w:rsidRPr="00925667">
              <w:t>PD Topic</w:t>
            </w:r>
          </w:p>
        </w:tc>
        <w:tc>
          <w:tcPr>
            <w:tcW w:w="1418" w:type="dxa"/>
          </w:tcPr>
          <w:p w14:paraId="4C3DD34B" w14:textId="77777777" w:rsidR="00925667" w:rsidRPr="00925667" w:rsidRDefault="00925667" w:rsidP="001168B2">
            <w:pPr>
              <w:ind w:right="34"/>
            </w:pPr>
            <w:r w:rsidRPr="00925667">
              <w:t>Subtopic</w:t>
            </w:r>
          </w:p>
        </w:tc>
        <w:tc>
          <w:tcPr>
            <w:tcW w:w="1417" w:type="dxa"/>
          </w:tcPr>
          <w:p w14:paraId="4C3DD34C" w14:textId="77777777" w:rsidR="00925667" w:rsidRPr="00925667" w:rsidRDefault="00925667" w:rsidP="00F140F0">
            <w:r w:rsidRPr="00925667">
              <w:t>Study ID</w:t>
            </w:r>
          </w:p>
        </w:tc>
        <w:tc>
          <w:tcPr>
            <w:tcW w:w="4111" w:type="dxa"/>
          </w:tcPr>
          <w:p w14:paraId="4C3DD34D" w14:textId="77777777" w:rsidR="00925667" w:rsidRPr="00925667" w:rsidRDefault="00925667" w:rsidP="00F140F0">
            <w:r w:rsidRPr="00925667">
              <w:t>*</w:t>
            </w:r>
          </w:p>
        </w:tc>
      </w:tr>
      <w:tr w:rsidR="00925667" w:rsidRPr="00440C06" w14:paraId="4C3DD353" w14:textId="77777777" w:rsidTr="00CA5C2C">
        <w:tc>
          <w:tcPr>
            <w:tcW w:w="1951" w:type="dxa"/>
            <w:vMerge w:val="restart"/>
          </w:tcPr>
          <w:p w14:paraId="4C3DD34F" w14:textId="77777777" w:rsidR="00925667" w:rsidRPr="00925667" w:rsidRDefault="00925667" w:rsidP="00F140F0">
            <w:r w:rsidRPr="00925667">
              <w:t>Secondary Pharmacology</w:t>
            </w:r>
          </w:p>
        </w:tc>
        <w:tc>
          <w:tcPr>
            <w:tcW w:w="1418" w:type="dxa"/>
            <w:vMerge w:val="restart"/>
          </w:tcPr>
          <w:p w14:paraId="4C3DD350" w14:textId="77777777" w:rsidR="00925667" w:rsidRPr="00925667" w:rsidRDefault="00925667" w:rsidP="00F140F0">
            <w:r w:rsidRPr="00925667">
              <w:t>Effect on QTc</w:t>
            </w:r>
          </w:p>
        </w:tc>
        <w:tc>
          <w:tcPr>
            <w:tcW w:w="1417" w:type="dxa"/>
          </w:tcPr>
          <w:p w14:paraId="4C3DD351" w14:textId="77777777" w:rsidR="00925667" w:rsidRPr="00925667" w:rsidRDefault="00925667" w:rsidP="00F140F0">
            <w:r w:rsidRPr="00925667">
              <w:t>5172-P049</w:t>
            </w:r>
          </w:p>
        </w:tc>
        <w:tc>
          <w:tcPr>
            <w:tcW w:w="4111" w:type="dxa"/>
          </w:tcPr>
          <w:p w14:paraId="4C3DD352" w14:textId="77777777" w:rsidR="00925667" w:rsidRPr="00925667" w:rsidRDefault="00925667" w:rsidP="00F140F0">
            <w:r w:rsidRPr="00925667">
              <w:t>To evaluate effects of a single supratherapeutic oral dose of GZR on QTc interval in healthy subjects</w:t>
            </w:r>
          </w:p>
        </w:tc>
      </w:tr>
      <w:tr w:rsidR="00925667" w:rsidRPr="00440C06" w14:paraId="4C3DD358" w14:textId="77777777" w:rsidTr="00CA5C2C">
        <w:tc>
          <w:tcPr>
            <w:tcW w:w="1951" w:type="dxa"/>
            <w:vMerge/>
          </w:tcPr>
          <w:p w14:paraId="4C3DD354" w14:textId="77777777" w:rsidR="00925667" w:rsidRPr="00925667" w:rsidRDefault="00925667" w:rsidP="00F140F0"/>
        </w:tc>
        <w:tc>
          <w:tcPr>
            <w:tcW w:w="1418" w:type="dxa"/>
            <w:vMerge/>
          </w:tcPr>
          <w:p w14:paraId="4C3DD355" w14:textId="77777777" w:rsidR="00925667" w:rsidRPr="00925667" w:rsidRDefault="00925667" w:rsidP="00F140F0"/>
        </w:tc>
        <w:tc>
          <w:tcPr>
            <w:tcW w:w="1417" w:type="dxa"/>
          </w:tcPr>
          <w:p w14:paraId="4C3DD356" w14:textId="77777777" w:rsidR="00925667" w:rsidRPr="00925667" w:rsidRDefault="00925667" w:rsidP="00F140F0">
            <w:r w:rsidRPr="00925667">
              <w:t xml:space="preserve">8742-P015 </w:t>
            </w:r>
          </w:p>
        </w:tc>
        <w:tc>
          <w:tcPr>
            <w:tcW w:w="4111" w:type="dxa"/>
          </w:tcPr>
          <w:p w14:paraId="4C3DD357" w14:textId="77777777" w:rsidR="00925667" w:rsidRPr="00925667" w:rsidRDefault="00925667" w:rsidP="00F140F0">
            <w:r w:rsidRPr="00925667">
              <w:t>To evaluate effects of a supra-therapeutic dose of EBR on the QTc interval in healthy subjects</w:t>
            </w:r>
          </w:p>
        </w:tc>
      </w:tr>
    </w:tbl>
    <w:p w14:paraId="4C3DD359" w14:textId="77777777" w:rsidR="00E36CA5" w:rsidRPr="00903243" w:rsidRDefault="00E36CA5" w:rsidP="00925667">
      <w:pPr>
        <w:pStyle w:val="TableDescription"/>
      </w:pPr>
      <w:r w:rsidRPr="00903243">
        <w:t>* Indicates the primary aim of the study.</w:t>
      </w:r>
    </w:p>
    <w:p w14:paraId="4C3DD35A" w14:textId="77777777" w:rsidR="00E36CA5" w:rsidRPr="00E36CA5" w:rsidRDefault="00E36CA5" w:rsidP="00E36CA5">
      <w:r w:rsidRPr="00440C06">
        <w:t>None of the pharmacodynamic studies had deficiencies that excluded their results from consideration.</w:t>
      </w:r>
    </w:p>
    <w:p w14:paraId="4C3DD35B" w14:textId="77777777" w:rsidR="00605AD4" w:rsidRDefault="00605AD4" w:rsidP="00605AD4">
      <w:pPr>
        <w:pStyle w:val="Heading4"/>
      </w:pPr>
      <w:r>
        <w:t>Evaluator’s conclusions on pharmacodynamics</w:t>
      </w:r>
    </w:p>
    <w:p w14:paraId="4C3DD35C" w14:textId="77777777" w:rsidR="004D0781" w:rsidRDefault="004D0781" w:rsidP="004D0781">
      <w:pPr>
        <w:autoSpaceDE w:val="0"/>
        <w:autoSpaceDN w:val="0"/>
        <w:adjustRightInd w:val="0"/>
        <w:spacing w:line="240" w:lineRule="auto"/>
      </w:pPr>
      <w:r>
        <w:t>For full details of the evaluator’s summary of pharmacodynamics see Attachment 2.</w:t>
      </w:r>
    </w:p>
    <w:p w14:paraId="4C3DD35D" w14:textId="77777777" w:rsidR="00925667" w:rsidRDefault="00E36CA5" w:rsidP="00925667">
      <w:pPr>
        <w:pStyle w:val="Heading5"/>
      </w:pPr>
      <w:r w:rsidRPr="00440C06">
        <w:lastRenderedPageBreak/>
        <w:t>Limitations of the PD studies</w:t>
      </w:r>
    </w:p>
    <w:p w14:paraId="4C3DD35E" w14:textId="77777777" w:rsidR="00E36CA5" w:rsidRPr="00440C06" w:rsidRDefault="00E36CA5" w:rsidP="00925667">
      <w:pPr>
        <w:pStyle w:val="ListBullet"/>
      </w:pPr>
      <w:r w:rsidRPr="00440C06">
        <w:t>No dedicated PD studies examined the PD effects of the FDC tablet proposed for marketing.</w:t>
      </w:r>
    </w:p>
    <w:p w14:paraId="4C3DD35F" w14:textId="15B9FFAD" w:rsidR="00E36CA5" w:rsidRPr="00E36CA5" w:rsidRDefault="00E36CA5" w:rsidP="00925667">
      <w:pPr>
        <w:pStyle w:val="ListBullet"/>
      </w:pPr>
      <w:r w:rsidRPr="00440C06">
        <w:rPr>
          <w:rFonts w:eastAsia="TimesNewRoman" w:cstheme="minorHAnsi"/>
        </w:rPr>
        <w:t>No dedicated PD studies examined PD interactions with the FDC tablet or GZR or EBR when administered alone</w:t>
      </w:r>
      <w:r w:rsidR="00F140F0">
        <w:rPr>
          <w:rFonts w:eastAsia="TimesNewRoman" w:cstheme="minorHAnsi"/>
        </w:rPr>
        <w:t>.</w:t>
      </w:r>
    </w:p>
    <w:p w14:paraId="4C3DD360" w14:textId="77777777" w:rsidR="008E7846" w:rsidRDefault="00605AD4" w:rsidP="00605AD4">
      <w:pPr>
        <w:pStyle w:val="Heading3"/>
      </w:pPr>
      <w:bookmarkStart w:id="82" w:name="_Toc484510892"/>
      <w:r>
        <w:t>Dosage selection for the pivotal studies</w:t>
      </w:r>
      <w:bookmarkEnd w:id="82"/>
    </w:p>
    <w:p w14:paraId="4C3DD361" w14:textId="77777777" w:rsidR="004D0781" w:rsidRDefault="00E36CA5" w:rsidP="00925667">
      <w:r>
        <w:t>The i</w:t>
      </w:r>
      <w:r w:rsidR="00925667">
        <w:t>nitial Phase II</w:t>
      </w:r>
      <w:r w:rsidRPr="004943C4">
        <w:t xml:space="preserve"> studies provided information that determined the doses of GZR and EBR, the duration of treatment</w:t>
      </w:r>
      <w:r>
        <w:t xml:space="preserve">, </w:t>
      </w:r>
      <w:r w:rsidRPr="004943C4">
        <w:t>regimen</w:t>
      </w:r>
      <w:r>
        <w:t xml:space="preserve">, i.e., </w:t>
      </w:r>
      <w:r w:rsidRPr="004943C4">
        <w:t>with or without RBV</w:t>
      </w:r>
      <w:r>
        <w:t xml:space="preserve"> and the patient </w:t>
      </w:r>
      <w:r w:rsidR="004D0781">
        <w:t xml:space="preserve">populations </w:t>
      </w:r>
      <w:r w:rsidR="004D0781" w:rsidRPr="004943C4">
        <w:t xml:space="preserve">for the </w:t>
      </w:r>
      <w:r w:rsidR="004D0781">
        <w:t xml:space="preserve">pivotal or core studies which are discussed </w:t>
      </w:r>
      <w:r w:rsidR="00925667">
        <w:t>in Section Efficacy below and in Attachment 2</w:t>
      </w:r>
      <w:r w:rsidR="004D0781">
        <w:t>.</w:t>
      </w:r>
    </w:p>
    <w:p w14:paraId="4C3DD362" w14:textId="77777777" w:rsidR="00E36CA5" w:rsidRDefault="004D0781" w:rsidP="00925667">
      <w:r w:rsidRPr="004D0781">
        <w:t xml:space="preserve">For full details of the evaluator’s summary of </w:t>
      </w:r>
      <w:r>
        <w:t>dosage selection for the pivotal studies</w:t>
      </w:r>
      <w:r w:rsidRPr="004D0781">
        <w:t xml:space="preserve"> see Attachment 2.</w:t>
      </w:r>
      <w:r w:rsidR="00E36CA5">
        <w:t xml:space="preserve"> </w:t>
      </w:r>
      <w:r w:rsidR="00E36CA5" w:rsidRPr="005848AF">
        <w:t>The results formed the basis for the selection of the GZR100 mg and the EBR 50 mg doses</w:t>
      </w:r>
      <w:r w:rsidR="00E36CA5">
        <w:t xml:space="preserve"> and the 12</w:t>
      </w:r>
      <w:r w:rsidR="001F6297">
        <w:t xml:space="preserve"> </w:t>
      </w:r>
      <w:r w:rsidR="00E36CA5">
        <w:t xml:space="preserve">week treatment duration in the pivotal Phase </w:t>
      </w:r>
      <w:r w:rsidR="00925667">
        <w:t>III</w:t>
      </w:r>
      <w:r w:rsidR="00E36CA5">
        <w:t xml:space="preserve"> studies.</w:t>
      </w:r>
    </w:p>
    <w:p w14:paraId="1461A9F1" w14:textId="77777777" w:rsidR="00655550" w:rsidRDefault="00E36CA5" w:rsidP="00925667">
      <w:r w:rsidRPr="004943C4">
        <w:t xml:space="preserve">Results </w:t>
      </w:r>
      <w:r>
        <w:t xml:space="preserve">from the studies also determined the HCV genotypes which were evaluated further in the Phase </w:t>
      </w:r>
      <w:r w:rsidR="001F6297">
        <w:t>II</w:t>
      </w:r>
      <w:r>
        <w:t>/</w:t>
      </w:r>
      <w:r w:rsidR="001F6297">
        <w:t>III</w:t>
      </w:r>
      <w:r>
        <w:t xml:space="preserve"> clinical trials. </w:t>
      </w:r>
      <w:r w:rsidRPr="00791C36">
        <w:t xml:space="preserve">The </w:t>
      </w:r>
      <w:r w:rsidRPr="001F6297">
        <w:t xml:space="preserve">Phase </w:t>
      </w:r>
      <w:r w:rsidR="001F6297" w:rsidRPr="001F6297">
        <w:t>III</w:t>
      </w:r>
      <w:r w:rsidRPr="001F6297">
        <w:t xml:space="preserve"> program focused primarily on evaluation of a 12 week regimen of FDC of GZR/EBR, generally administered without RBV. Results of the Phase </w:t>
      </w:r>
      <w:r w:rsidR="001F6297" w:rsidRPr="001F6297">
        <w:t>II</w:t>
      </w:r>
      <w:r w:rsidRPr="001F6297">
        <w:t xml:space="preserve"> studies described supported inclusion of GT1, GT4 and GT6</w:t>
      </w:r>
      <w:r w:rsidR="001F6297" w:rsidRPr="001F6297">
        <w:t xml:space="preserve"> </w:t>
      </w:r>
      <w:r w:rsidRPr="001F6297">
        <w:t xml:space="preserve">infected subjects in these Phase </w:t>
      </w:r>
      <w:r w:rsidR="001F6297" w:rsidRPr="001F6297">
        <w:t>III</w:t>
      </w:r>
      <w:r w:rsidRPr="001F6297">
        <w:t xml:space="preserve"> studies as follows:</w:t>
      </w:r>
    </w:p>
    <w:p w14:paraId="4C3DD364" w14:textId="4429D874" w:rsidR="00E36CA5" w:rsidRPr="00791C36" w:rsidRDefault="00E36CA5" w:rsidP="00925667">
      <w:pPr>
        <w:pStyle w:val="ListBullet"/>
      </w:pPr>
      <w:r w:rsidRPr="007131CF">
        <w:rPr>
          <w:b/>
          <w:bCs/>
        </w:rPr>
        <w:t xml:space="preserve">GT1 </w:t>
      </w:r>
      <w:proofErr w:type="gramStart"/>
      <w:r w:rsidRPr="007131CF">
        <w:t>In</w:t>
      </w:r>
      <w:proofErr w:type="gramEnd"/>
      <w:r w:rsidRPr="007131CF">
        <w:t xml:space="preserve"> </w:t>
      </w:r>
      <w:r w:rsidR="001F6297" w:rsidRPr="007131CF">
        <w:t>S</w:t>
      </w:r>
      <w:r w:rsidRPr="007131CF">
        <w:t>tudy</w:t>
      </w:r>
      <w:r>
        <w:t xml:space="preserve"> </w:t>
      </w:r>
      <w:r w:rsidRPr="00791C36">
        <w:t>035, 127/136 (93.4%) GT1-infected subjects (including mono-infected</w:t>
      </w:r>
      <w:r>
        <w:t xml:space="preserve"> </w:t>
      </w:r>
      <w:r w:rsidRPr="00791C36">
        <w:t xml:space="preserve">and HIV co-infected, treatment-naïve or prior PR failures, </w:t>
      </w:r>
      <w:proofErr w:type="spellStart"/>
      <w:r w:rsidRPr="00791C36">
        <w:t>cirrhotics</w:t>
      </w:r>
      <w:proofErr w:type="spellEnd"/>
      <w:r w:rsidRPr="00791C36">
        <w:t xml:space="preserve"> and </w:t>
      </w:r>
      <w:proofErr w:type="spellStart"/>
      <w:r w:rsidRPr="00791C36">
        <w:t>noncirrhotics</w:t>
      </w:r>
      <w:proofErr w:type="spellEnd"/>
      <w:r w:rsidRPr="00791C36">
        <w:t>)</w:t>
      </w:r>
      <w:r>
        <w:t xml:space="preserve"> </w:t>
      </w:r>
      <w:r w:rsidRPr="00791C36">
        <w:t>achieved SVR12. These results provided the rationale for including GT1</w:t>
      </w:r>
      <w:r>
        <w:t xml:space="preserve"> </w:t>
      </w:r>
      <w:r w:rsidRPr="00791C36">
        <w:t xml:space="preserve">infected subjects in Phase </w:t>
      </w:r>
      <w:r w:rsidR="001F6297">
        <w:t>III</w:t>
      </w:r>
      <w:r w:rsidRPr="00791C36">
        <w:t xml:space="preserve"> studies.</w:t>
      </w:r>
    </w:p>
    <w:p w14:paraId="4C3DD365" w14:textId="77777777" w:rsidR="00E36CA5" w:rsidRPr="00791C36" w:rsidRDefault="00E36CA5" w:rsidP="00925667">
      <w:pPr>
        <w:pStyle w:val="ListBullet"/>
      </w:pPr>
      <w:r w:rsidRPr="00791C36">
        <w:rPr>
          <w:b/>
          <w:bCs/>
        </w:rPr>
        <w:t xml:space="preserve">GT2 </w:t>
      </w:r>
      <w:proofErr w:type="gramStart"/>
      <w:r w:rsidRPr="00791C36">
        <w:t>In</w:t>
      </w:r>
      <w:proofErr w:type="gramEnd"/>
      <w:r w:rsidRPr="00791C36">
        <w:t xml:space="preserve"> </w:t>
      </w:r>
      <w:r w:rsidR="001F6297">
        <w:t>S</w:t>
      </w:r>
      <w:r>
        <w:t xml:space="preserve">tudy </w:t>
      </w:r>
      <w:r w:rsidRPr="00791C36">
        <w:t>047, efficacy of GZR + EBR + RBV was high among subjects whose</w:t>
      </w:r>
      <w:r>
        <w:t xml:space="preserve"> </w:t>
      </w:r>
      <w:r w:rsidRPr="00791C36">
        <w:t xml:space="preserve">GT2 infection consists of </w:t>
      </w:r>
      <w:proofErr w:type="spellStart"/>
      <w:r w:rsidRPr="00791C36">
        <w:t>virions</w:t>
      </w:r>
      <w:proofErr w:type="spellEnd"/>
      <w:r w:rsidRPr="00791C36">
        <w:t xml:space="preserve"> with NS5A L31 variant; efficacy was insufficient</w:t>
      </w:r>
      <w:r>
        <w:t xml:space="preserve"> </w:t>
      </w:r>
      <w:r w:rsidRPr="00791C36">
        <w:t xml:space="preserve">among subjects whose GT2 infection consists of </w:t>
      </w:r>
      <w:proofErr w:type="spellStart"/>
      <w:r w:rsidRPr="00791C36">
        <w:t>virions</w:t>
      </w:r>
      <w:proofErr w:type="spellEnd"/>
      <w:r w:rsidRPr="00791C36">
        <w:t xml:space="preserve"> with NS5A M31 variant. As</w:t>
      </w:r>
      <w:r>
        <w:t xml:space="preserve"> </w:t>
      </w:r>
      <w:r w:rsidRPr="00791C36">
        <w:t>pre</w:t>
      </w:r>
      <w:r>
        <w:t>-</w:t>
      </w:r>
      <w:r w:rsidRPr="00791C36">
        <w:t>screening of HCV GT2-infected subjects is impractical, a decision was made not to</w:t>
      </w:r>
      <w:r>
        <w:t xml:space="preserve"> </w:t>
      </w:r>
      <w:r w:rsidRPr="00791C36">
        <w:t>include evaluations of efficacy of GZR/EBR among GT2-infected subjects</w:t>
      </w:r>
      <w:r w:rsidR="001F6297">
        <w:t xml:space="preserve"> in the core Phase III studies</w:t>
      </w:r>
      <w:r w:rsidRPr="00791C36">
        <w:t>.</w:t>
      </w:r>
    </w:p>
    <w:p w14:paraId="6ED4BE99" w14:textId="77777777" w:rsidR="00655550" w:rsidRDefault="00E36CA5" w:rsidP="00925667">
      <w:pPr>
        <w:pStyle w:val="ListBullet"/>
      </w:pPr>
      <w:r w:rsidRPr="00791C36">
        <w:rPr>
          <w:b/>
          <w:bCs/>
        </w:rPr>
        <w:t xml:space="preserve">GT3 </w:t>
      </w:r>
      <w:r>
        <w:t xml:space="preserve">In </w:t>
      </w:r>
      <w:r w:rsidR="001F6297">
        <w:t>S</w:t>
      </w:r>
      <w:r>
        <w:t>tudy</w:t>
      </w:r>
      <w:r w:rsidRPr="00791C36">
        <w:t xml:space="preserve"> 035D, 9/20 (45.0%) non-cirrhotic, treatment naïve subjects achieved</w:t>
      </w:r>
      <w:r>
        <w:t xml:space="preserve"> </w:t>
      </w:r>
      <w:r w:rsidRPr="00791C36">
        <w:t>SVR12 following administration of GZR + EBR + RBV for 12 weeks. Thus, GT3</w:t>
      </w:r>
      <w:r w:rsidR="001F6297">
        <w:t xml:space="preserve"> </w:t>
      </w:r>
      <w:r w:rsidRPr="00791C36">
        <w:t xml:space="preserve">infected subjects were not included in Phase </w:t>
      </w:r>
      <w:r w:rsidR="001F6297">
        <w:t>III</w:t>
      </w:r>
      <w:r w:rsidRPr="00791C36">
        <w:t xml:space="preserve"> studies; however, Protocol 074, a study of</w:t>
      </w:r>
      <w:r>
        <w:t xml:space="preserve"> </w:t>
      </w:r>
      <w:r w:rsidRPr="00791C36">
        <w:t xml:space="preserve">GZR/EBR with </w:t>
      </w:r>
      <w:proofErr w:type="spellStart"/>
      <w:r w:rsidRPr="00791C36">
        <w:t>sofosbuvir</w:t>
      </w:r>
      <w:proofErr w:type="spellEnd"/>
      <w:r w:rsidRPr="00791C36">
        <w:t xml:space="preserve"> (which is active against GT3 infection), was conducted.</w:t>
      </w:r>
    </w:p>
    <w:p w14:paraId="4C3DD367" w14:textId="1B925A2E" w:rsidR="00E36CA5" w:rsidRPr="00791C36" w:rsidRDefault="00E36CA5" w:rsidP="00925667">
      <w:pPr>
        <w:pStyle w:val="ListBullet"/>
      </w:pPr>
      <w:r w:rsidRPr="00791C36">
        <w:rPr>
          <w:b/>
          <w:bCs/>
        </w:rPr>
        <w:t xml:space="preserve">GT4 </w:t>
      </w:r>
      <w:proofErr w:type="gramStart"/>
      <w:r w:rsidRPr="00791C36">
        <w:t>In</w:t>
      </w:r>
      <w:proofErr w:type="gramEnd"/>
      <w:r w:rsidRPr="00791C36">
        <w:t xml:space="preserve"> </w:t>
      </w:r>
      <w:r w:rsidR="001F6297">
        <w:t>S</w:t>
      </w:r>
      <w:r>
        <w:t xml:space="preserve">tudy </w:t>
      </w:r>
      <w:r w:rsidRPr="00791C36">
        <w:t xml:space="preserve">047, 9/10 (90.0%) of treatment-naïve non-cirrhotic, </w:t>
      </w:r>
      <w:r w:rsidR="00ED41DC">
        <w:t>GT4</w:t>
      </w:r>
      <w:r w:rsidRPr="00791C36">
        <w:t>infected</w:t>
      </w:r>
      <w:r>
        <w:t xml:space="preserve"> </w:t>
      </w:r>
      <w:r w:rsidRPr="00791C36">
        <w:t xml:space="preserve">subjects (primarily 4a, 4d, and 4-other) achieved SVR12 following administration of GZR + EBR for 12 weeks; no virologic failures were observed. These results provided the rationale for including </w:t>
      </w:r>
      <w:r w:rsidR="00ED41DC">
        <w:t>GT4</w:t>
      </w:r>
      <w:r w:rsidR="001F6297">
        <w:t>infected subjects in Phase III</w:t>
      </w:r>
      <w:r w:rsidRPr="00791C36">
        <w:t xml:space="preserve"> studies</w:t>
      </w:r>
      <w:r w:rsidR="00F140F0">
        <w:t>.</w:t>
      </w:r>
    </w:p>
    <w:p w14:paraId="4C3DD368" w14:textId="77777777" w:rsidR="00E36CA5" w:rsidRPr="00791C36" w:rsidRDefault="00E36CA5" w:rsidP="00925667">
      <w:pPr>
        <w:pStyle w:val="ListBullet"/>
      </w:pPr>
      <w:r w:rsidRPr="00791C36">
        <w:rPr>
          <w:b/>
          <w:bCs/>
        </w:rPr>
        <w:t xml:space="preserve">GT5 </w:t>
      </w:r>
      <w:proofErr w:type="gramStart"/>
      <w:r w:rsidRPr="00791C36">
        <w:t>In</w:t>
      </w:r>
      <w:proofErr w:type="gramEnd"/>
      <w:r w:rsidRPr="00791C36">
        <w:t xml:space="preserve"> </w:t>
      </w:r>
      <w:r w:rsidR="001F6297">
        <w:t>S</w:t>
      </w:r>
      <w:r>
        <w:t xml:space="preserve">tudy </w:t>
      </w:r>
      <w:r w:rsidRPr="00791C36">
        <w:t>047, 1/4 (25.0%) of non-cirrhotic, treatment-naïve GT5-infected</w:t>
      </w:r>
      <w:r>
        <w:t xml:space="preserve"> </w:t>
      </w:r>
      <w:r w:rsidRPr="00791C36">
        <w:t>subjects achieved SVR12 following administration of GZR + EBR for 12 weeks.</w:t>
      </w:r>
      <w:r>
        <w:t xml:space="preserve"> </w:t>
      </w:r>
      <w:r w:rsidRPr="00791C36">
        <w:t>Although 4/4 subjects who received GZR + EBR + RB</w:t>
      </w:r>
      <w:r w:rsidR="001F6297">
        <w:t>V achieved SVR12, as Phase III</w:t>
      </w:r>
      <w:r>
        <w:t xml:space="preserve"> </w:t>
      </w:r>
      <w:r w:rsidRPr="00791C36">
        <w:t>studies were focused on GZR/EBR (no RBV), GT5-infected subjects were not included</w:t>
      </w:r>
      <w:r>
        <w:t xml:space="preserve"> </w:t>
      </w:r>
      <w:r w:rsidR="001F6297">
        <w:t>in the Phase III</w:t>
      </w:r>
      <w:r w:rsidRPr="00791C36">
        <w:t xml:space="preserve"> studies.</w:t>
      </w:r>
    </w:p>
    <w:p w14:paraId="4C3DD369" w14:textId="77777777" w:rsidR="00E36CA5" w:rsidRPr="00E36CA5" w:rsidRDefault="00E36CA5" w:rsidP="00925667">
      <w:pPr>
        <w:pStyle w:val="ListBullet"/>
      </w:pPr>
      <w:r w:rsidRPr="00791C36">
        <w:rPr>
          <w:b/>
          <w:bCs/>
        </w:rPr>
        <w:t xml:space="preserve">GT6 </w:t>
      </w:r>
      <w:proofErr w:type="gramStart"/>
      <w:r w:rsidRPr="00791C36">
        <w:t>In</w:t>
      </w:r>
      <w:proofErr w:type="gramEnd"/>
      <w:r w:rsidRPr="00791C36">
        <w:t xml:space="preserve"> </w:t>
      </w:r>
      <w:r w:rsidR="001F6297">
        <w:t>S</w:t>
      </w:r>
      <w:r>
        <w:t xml:space="preserve">tudy </w:t>
      </w:r>
      <w:r w:rsidRPr="00791C36">
        <w:t xml:space="preserve">047, 3/4 (75.0%) of non-cirrhotic, treatment-naïve </w:t>
      </w:r>
      <w:r w:rsidR="00ED41DC">
        <w:t>GT6 infected</w:t>
      </w:r>
      <w:r>
        <w:t xml:space="preserve"> </w:t>
      </w:r>
      <w:r w:rsidRPr="00791C36">
        <w:t xml:space="preserve">subjects achieved SVR12 following administration of GZR + EBR for 12 weeks. </w:t>
      </w:r>
      <w:r>
        <w:t xml:space="preserve">Hence, </w:t>
      </w:r>
      <w:r w:rsidRPr="00791C36">
        <w:t>GT6-</w:t>
      </w:r>
      <w:r>
        <w:t xml:space="preserve"> </w:t>
      </w:r>
      <w:r w:rsidRPr="00791C36">
        <w:t xml:space="preserve">infected subjects were included in the Phase </w:t>
      </w:r>
      <w:r w:rsidR="001F6297">
        <w:t>III</w:t>
      </w:r>
      <w:r w:rsidRPr="00791C36">
        <w:t xml:space="preserve"> studies.</w:t>
      </w:r>
    </w:p>
    <w:p w14:paraId="4C3DD36A" w14:textId="77777777" w:rsidR="008E7846" w:rsidRPr="00254787" w:rsidRDefault="008E7846" w:rsidP="008E7846">
      <w:pPr>
        <w:pStyle w:val="Heading3"/>
      </w:pPr>
      <w:bookmarkStart w:id="83" w:name="_Toc163441372"/>
      <w:bookmarkStart w:id="84" w:name="_Toc196046485"/>
      <w:bookmarkStart w:id="85" w:name="_Toc247691521"/>
      <w:bookmarkStart w:id="86" w:name="_Toc314842504"/>
      <w:bookmarkStart w:id="87" w:name="_Toc484510893"/>
      <w:r w:rsidRPr="00254787">
        <w:lastRenderedPageBreak/>
        <w:t>Efficacy</w:t>
      </w:r>
      <w:bookmarkEnd w:id="83"/>
      <w:bookmarkEnd w:id="84"/>
      <w:bookmarkEnd w:id="85"/>
      <w:bookmarkEnd w:id="86"/>
      <w:bookmarkEnd w:id="87"/>
    </w:p>
    <w:p w14:paraId="4C3DD36B" w14:textId="77777777" w:rsidR="00605AD4" w:rsidRDefault="00605AD4" w:rsidP="00605AD4">
      <w:pPr>
        <w:pStyle w:val="Heading4"/>
      </w:pPr>
      <w:bookmarkStart w:id="88" w:name="_Toc184439992"/>
      <w:bookmarkStart w:id="89" w:name="_Toc184440279"/>
      <w:bookmarkStart w:id="90" w:name="_Toc184444657"/>
      <w:bookmarkStart w:id="91" w:name="_Toc196046487"/>
      <w:r>
        <w:t>Studies providing efficacy data</w:t>
      </w:r>
    </w:p>
    <w:p w14:paraId="4C3DD36C" w14:textId="77777777" w:rsidR="004A28A8" w:rsidRDefault="004A28A8" w:rsidP="0060026A">
      <w:pPr>
        <w:pStyle w:val="ListBullet"/>
        <w:numPr>
          <w:ilvl w:val="0"/>
          <w:numId w:val="1"/>
        </w:numPr>
      </w:pPr>
      <w:r w:rsidRPr="00E8551F">
        <w:t xml:space="preserve">Nine </w:t>
      </w:r>
      <w:r>
        <w:t xml:space="preserve">core </w:t>
      </w:r>
      <w:r w:rsidRPr="00E8551F">
        <w:t>efficacy/safety studies</w:t>
      </w:r>
      <w:r>
        <w:t xml:space="preserve"> as listed in Attachment 2.</w:t>
      </w:r>
    </w:p>
    <w:p w14:paraId="4C3DD36D" w14:textId="77777777" w:rsidR="004A28A8" w:rsidRDefault="004A28A8" w:rsidP="0060026A">
      <w:pPr>
        <w:pStyle w:val="ListBullet"/>
        <w:numPr>
          <w:ilvl w:val="0"/>
          <w:numId w:val="1"/>
        </w:numPr>
      </w:pPr>
      <w:r w:rsidRPr="006463FD">
        <w:t xml:space="preserve">Six supportive studies including </w:t>
      </w:r>
      <w:r>
        <w:t>three</w:t>
      </w:r>
      <w:r w:rsidRPr="006463FD">
        <w:t xml:space="preserve"> dose-finding Phase </w:t>
      </w:r>
      <w:r>
        <w:t>II</w:t>
      </w:r>
      <w:r w:rsidRPr="006463FD">
        <w:t xml:space="preserve"> studies</w:t>
      </w:r>
      <w:r>
        <w:t xml:space="preserve"> (</w:t>
      </w:r>
      <w:r w:rsidRPr="006463FD">
        <w:t>P003, P038, P035</w:t>
      </w:r>
      <w:r>
        <w:t>) and three</w:t>
      </w:r>
      <w:r w:rsidRPr="006463FD">
        <w:t xml:space="preserve"> other </w:t>
      </w:r>
      <w:r>
        <w:t xml:space="preserve">supportive </w:t>
      </w:r>
      <w:r w:rsidRPr="006463FD">
        <w:t>studies</w:t>
      </w:r>
      <w:r>
        <w:t xml:space="preserve"> (</w:t>
      </w:r>
      <w:r w:rsidRPr="006463FD">
        <w:t>P058, P039 and P047</w:t>
      </w:r>
      <w:r>
        <w:t>).</w:t>
      </w:r>
    </w:p>
    <w:p w14:paraId="4C3DD36E" w14:textId="77777777" w:rsidR="004A28A8" w:rsidRDefault="004A28A8" w:rsidP="004A28A8">
      <w:pPr>
        <w:pStyle w:val="ListBullet"/>
      </w:pPr>
      <w:r>
        <w:t xml:space="preserve">Two ongoing </w:t>
      </w:r>
      <w:r w:rsidRPr="004A28A8">
        <w:t xml:space="preserve">studies: Study P062 in HCV infected subjects on opiate substitution treatment and Study P065 in HCV-infected subjects with inherited blood disease (IBD). Another ongoing, long-term follow-up study (P017) </w:t>
      </w:r>
      <w:r w:rsidRPr="004A28A8">
        <w:rPr>
          <w:color w:val="000000"/>
        </w:rPr>
        <w:t>to evaluate the durability of virologic response and/or viral resistance</w:t>
      </w:r>
      <w:r w:rsidRPr="00B108AB">
        <w:rPr>
          <w:color w:val="000000"/>
        </w:rPr>
        <w:t xml:space="preserve"> patterns among subjects with chronic Hepatitis C who have been</w:t>
      </w:r>
      <w:r>
        <w:rPr>
          <w:color w:val="000000"/>
        </w:rPr>
        <w:t xml:space="preserve"> </w:t>
      </w:r>
      <w:r w:rsidRPr="00B108AB">
        <w:rPr>
          <w:color w:val="000000"/>
        </w:rPr>
        <w:t>previously treated with GZR in a prior clinical trial</w:t>
      </w:r>
      <w:r>
        <w:rPr>
          <w:color w:val="000000"/>
        </w:rPr>
        <w:t>s (P035 and P047)</w:t>
      </w:r>
      <w:r w:rsidRPr="00793C57">
        <w:t>.</w:t>
      </w:r>
    </w:p>
    <w:p w14:paraId="4C3DD36F" w14:textId="77777777" w:rsidR="00E36CA5" w:rsidRPr="003472AC" w:rsidRDefault="00605AD4" w:rsidP="001F6297">
      <w:pPr>
        <w:pStyle w:val="Heading4"/>
      </w:pPr>
      <w:r>
        <w:t xml:space="preserve">Evaluator’s conclusions </w:t>
      </w:r>
      <w:r w:rsidRPr="001F6297">
        <w:t>on</w:t>
      </w:r>
      <w:r>
        <w:t xml:space="preserve"> efficacy</w:t>
      </w:r>
      <w:r w:rsidR="001F6297">
        <w:t xml:space="preserve"> </w:t>
      </w:r>
      <w:bookmarkStart w:id="92" w:name="_Ref271126605"/>
      <w:bookmarkStart w:id="93" w:name="_Toc272414657"/>
      <w:bookmarkStart w:id="94" w:name="_Toc290846282"/>
      <w:bookmarkStart w:id="95" w:name="_Toc448473588"/>
      <w:r w:rsidR="00E36CA5" w:rsidRPr="003472AC">
        <w:t xml:space="preserve">of </w:t>
      </w:r>
      <w:proofErr w:type="spellStart"/>
      <w:r w:rsidR="00D80B0A">
        <w:t>Zepatier</w:t>
      </w:r>
      <w:proofErr w:type="spellEnd"/>
      <w:r w:rsidR="00E36CA5" w:rsidRPr="003472AC">
        <w:t xml:space="preserve"> for </w:t>
      </w:r>
      <w:bookmarkEnd w:id="92"/>
      <w:bookmarkEnd w:id="93"/>
      <w:bookmarkEnd w:id="94"/>
      <w:r w:rsidR="00E36CA5" w:rsidRPr="003472AC">
        <w:t>treatment of chronic hepatitis C infection in adults</w:t>
      </w:r>
      <w:bookmarkEnd w:id="95"/>
    </w:p>
    <w:p w14:paraId="2031971A" w14:textId="77777777" w:rsidR="00655550" w:rsidRDefault="00E36CA5" w:rsidP="004A28A8">
      <w:r>
        <w:rPr>
          <w:rFonts w:cs="ArialMT"/>
        </w:rPr>
        <w:t>A</w:t>
      </w:r>
      <w:r w:rsidRPr="00725115">
        <w:rPr>
          <w:rFonts w:cs="ArialMT"/>
        </w:rPr>
        <w:t xml:space="preserve">ll the clinical studies </w:t>
      </w:r>
      <w:r>
        <w:rPr>
          <w:rFonts w:cs="ArialMT"/>
        </w:rPr>
        <w:t xml:space="preserve">in this submission </w:t>
      </w:r>
      <w:r w:rsidRPr="00725115">
        <w:rPr>
          <w:rFonts w:cs="ArialMT"/>
        </w:rPr>
        <w:t>were well</w:t>
      </w:r>
      <w:r w:rsidR="002165BD">
        <w:rPr>
          <w:rFonts w:cs="ArialMT"/>
        </w:rPr>
        <w:t xml:space="preserve"> </w:t>
      </w:r>
      <w:r w:rsidRPr="00725115">
        <w:rPr>
          <w:rFonts w:cs="ArialMT"/>
        </w:rPr>
        <w:t xml:space="preserve">conducted in compliance with the TGA-adopted </w:t>
      </w:r>
      <w:r w:rsidRPr="00725115">
        <w:t>EU guideline</w:t>
      </w:r>
      <w:r>
        <w:t>s</w:t>
      </w:r>
      <w:r w:rsidRPr="00725115">
        <w:t xml:space="preserve"> on the Clinical Evaluation of DAA Intended for Treatment of Chronic HCV</w:t>
      </w:r>
      <w:r w:rsidR="002165BD">
        <w:rPr>
          <w:rStyle w:val="FootnoteReference"/>
        </w:rPr>
        <w:footnoteReference w:id="5"/>
      </w:r>
      <w:r w:rsidRPr="00725115">
        <w:t>.</w:t>
      </w:r>
    </w:p>
    <w:p w14:paraId="74516979" w14:textId="77777777" w:rsidR="00655550" w:rsidRDefault="00E36CA5" w:rsidP="004A28A8">
      <w:r w:rsidRPr="00D02807">
        <w:t xml:space="preserve">Results of initial </w:t>
      </w:r>
      <w:r w:rsidR="004A28A8">
        <w:t>Phase II</w:t>
      </w:r>
      <w:r w:rsidRPr="00D02807">
        <w:t xml:space="preserve"> trials supported selection of a broad population for later </w:t>
      </w:r>
      <w:r w:rsidR="004A28A8">
        <w:t>Phase II</w:t>
      </w:r>
      <w:r w:rsidRPr="00D02807">
        <w:t xml:space="preserve"> and</w:t>
      </w:r>
      <w:r>
        <w:t xml:space="preserve"> </w:t>
      </w:r>
      <w:r w:rsidR="004A28A8">
        <w:t>Phase III</w:t>
      </w:r>
      <w:r w:rsidRPr="00D02807">
        <w:t xml:space="preserve"> studies: GT1, 4 and 6; TN and TE (subjects who failed a prior PR or DAA+ PR regimen); mono and HIV/HCV co-infected subjects; cirrhotics and non-cirrhotics; and subject</w:t>
      </w:r>
      <w:r w:rsidR="002165BD">
        <w:t>s with CKD S</w:t>
      </w:r>
      <w:r w:rsidRPr="003472AC">
        <w:t>tages 4-5.</w:t>
      </w:r>
      <w:r>
        <w:t xml:space="preserve"> </w:t>
      </w:r>
      <w:r w:rsidR="004A28A8">
        <w:t>Phase II</w:t>
      </w:r>
      <w:r w:rsidRPr="003472AC">
        <w:t xml:space="preserve"> studies were conducted to select the dose of each medicine for </w:t>
      </w:r>
      <w:r w:rsidR="004A28A8">
        <w:t>Phase III</w:t>
      </w:r>
      <w:r w:rsidRPr="003472AC">
        <w:t xml:space="preserve"> (P003 and P038 for GZR, and P035 for EBR), to evaluate the effect of treatment duration on efficacy (P035), and to evaluate the need for ribavirin (RBV) in the regimen (P035 and P047). The effect of treatment duration and the need for RBV were further evaluated in subjects that had failed prior therapy with PR in </w:t>
      </w:r>
      <w:r w:rsidR="004A28A8">
        <w:t>Phase III</w:t>
      </w:r>
      <w:r w:rsidRPr="003472AC">
        <w:t xml:space="preserve"> (P068). Additional </w:t>
      </w:r>
      <w:r w:rsidR="004A28A8">
        <w:t>Phase II</w:t>
      </w:r>
      <w:r w:rsidRPr="003472AC">
        <w:t xml:space="preserve"> trials evaluated the efficacy and safety of GZR and EBR in a broader variety of patient populations, including those infected with HCV genotypes other than GT1 (GT3 in P035, and GT2, 4, 5 and 6 in P047), in subjects who had failed prior DAA therapy (P048) and in</w:t>
      </w:r>
      <w:r>
        <w:t xml:space="preserve"> </w:t>
      </w:r>
      <w:r w:rsidRPr="003472AC">
        <w:t>cirrhotic subjects with moderate hepatic insufficiency (Child-Pugh class B) (P059). In addition, P074 evaluated the triple combination of DAA (Sofosbuvir + GZR/EBR) in GT1 and GT3 HCV infected subjects with and without cirrhosis, with different durations of treatment.</w:t>
      </w:r>
    </w:p>
    <w:p w14:paraId="5589338F" w14:textId="77777777" w:rsidR="00655550" w:rsidRDefault="004A28A8" w:rsidP="004A28A8">
      <w:pPr>
        <w:rPr>
          <w:rFonts w:cs="ArialMT"/>
        </w:rPr>
      </w:pPr>
      <w:r>
        <w:t>Phase II</w:t>
      </w:r>
      <w:r w:rsidR="00E36CA5" w:rsidRPr="003472AC">
        <w:t>/</w:t>
      </w:r>
      <w:r w:rsidR="002165BD">
        <w:t>III</w:t>
      </w:r>
      <w:r w:rsidR="00E36CA5" w:rsidRPr="003472AC">
        <w:t xml:space="preserve"> and </w:t>
      </w:r>
      <w:r>
        <w:t>Phase III</w:t>
      </w:r>
      <w:r w:rsidR="00E36CA5" w:rsidRPr="003472AC">
        <w:t xml:space="preserve"> studies were designed to confirm the safety and efficacy of GZR with EBR in key populations, including both treatment-naïve (</w:t>
      </w:r>
      <w:r w:rsidR="002165BD">
        <w:t>S</w:t>
      </w:r>
      <w:r w:rsidR="00E36CA5" w:rsidRPr="003472AC">
        <w:t>tudies</w:t>
      </w:r>
      <w:r w:rsidR="00D80B0A">
        <w:t xml:space="preserve"> </w:t>
      </w:r>
      <w:r w:rsidR="00E36CA5">
        <w:t>P</w:t>
      </w:r>
      <w:r w:rsidR="00E36CA5" w:rsidRPr="003472AC">
        <w:t xml:space="preserve">060, </w:t>
      </w:r>
      <w:r w:rsidR="00E36CA5">
        <w:t>P</w:t>
      </w:r>
      <w:r w:rsidR="00E36CA5" w:rsidRPr="003472AC">
        <w:t xml:space="preserve">061 and </w:t>
      </w:r>
      <w:r w:rsidR="00E36CA5">
        <w:t>P</w:t>
      </w:r>
      <w:r w:rsidR="00E36CA5" w:rsidRPr="003472AC">
        <w:t>052) and PR treatment-experienced (</w:t>
      </w:r>
      <w:r w:rsidR="002165BD">
        <w:t>S</w:t>
      </w:r>
      <w:r w:rsidR="00E36CA5" w:rsidRPr="003472AC">
        <w:t xml:space="preserve">tudy </w:t>
      </w:r>
      <w:r w:rsidR="00E36CA5">
        <w:t>P</w:t>
      </w:r>
      <w:r w:rsidR="00E36CA5" w:rsidRPr="003472AC">
        <w:t xml:space="preserve">068) subjects, HCV/HIV co-infected subjects (P061 and P068), and HCV-infected subjects with advanced chronic kidney disease (P052). Each of the </w:t>
      </w:r>
      <w:r>
        <w:t>Phase III</w:t>
      </w:r>
      <w:r w:rsidR="00E36CA5" w:rsidRPr="003472AC">
        <w:t xml:space="preserve"> studies included subjects with or without compensated cirrhosis.</w:t>
      </w:r>
      <w:r w:rsidR="00E36CA5">
        <w:t xml:space="preserve"> </w:t>
      </w:r>
      <w:r w:rsidR="00E36CA5" w:rsidRPr="00793C57">
        <w:rPr>
          <w:rFonts w:cs="ArialMT"/>
        </w:rPr>
        <w:t xml:space="preserve">At the time the clinical program for </w:t>
      </w:r>
      <w:proofErr w:type="spellStart"/>
      <w:r w:rsidR="00D80B0A">
        <w:rPr>
          <w:rFonts w:cs="ArialMT"/>
        </w:rPr>
        <w:t>Zepatier</w:t>
      </w:r>
      <w:proofErr w:type="spellEnd"/>
      <w:r w:rsidR="00E36CA5" w:rsidRPr="00793C57">
        <w:rPr>
          <w:rFonts w:cs="ArialMT"/>
        </w:rPr>
        <w:t xml:space="preserve"> commenced, there</w:t>
      </w:r>
      <w:r w:rsidR="00E36CA5">
        <w:rPr>
          <w:rFonts w:cs="ArialMT"/>
        </w:rPr>
        <w:t xml:space="preserve"> </w:t>
      </w:r>
      <w:r w:rsidR="00E36CA5" w:rsidRPr="00793C57">
        <w:rPr>
          <w:rFonts w:cs="ArialMT"/>
        </w:rPr>
        <w:t>were no approved interferon-free regimens for treatment of HCV, so an immediate versus deferred treatment</w:t>
      </w:r>
      <w:r w:rsidR="00E36CA5">
        <w:rPr>
          <w:rFonts w:cs="ArialMT"/>
        </w:rPr>
        <w:t xml:space="preserve"> </w:t>
      </w:r>
      <w:r w:rsidR="00E36CA5" w:rsidRPr="00793C57">
        <w:rPr>
          <w:rFonts w:cs="ArialMT"/>
        </w:rPr>
        <w:t xml:space="preserve">(placebo-controlled) study design was adopted </w:t>
      </w:r>
      <w:r w:rsidR="00E36CA5">
        <w:rPr>
          <w:rFonts w:cs="ArialMT"/>
        </w:rPr>
        <w:t xml:space="preserve">in the </w:t>
      </w:r>
      <w:r>
        <w:rPr>
          <w:rFonts w:cs="ArialMT"/>
        </w:rPr>
        <w:t>Phase II</w:t>
      </w:r>
      <w:r w:rsidR="002165BD">
        <w:rPr>
          <w:rFonts w:cs="ArialMT"/>
        </w:rPr>
        <w:t>/III</w:t>
      </w:r>
      <w:r w:rsidR="00E36CA5">
        <w:rPr>
          <w:rFonts w:cs="ArialMT"/>
        </w:rPr>
        <w:t xml:space="preserve"> controlled studies (P060, P052) </w:t>
      </w:r>
      <w:r w:rsidR="00E36CA5" w:rsidRPr="00793C57">
        <w:rPr>
          <w:rFonts w:cs="ArialMT"/>
        </w:rPr>
        <w:t xml:space="preserve">to overcome the tolerability and feasibility challenges of treating the control arm with </w:t>
      </w:r>
      <w:proofErr w:type="spellStart"/>
      <w:r w:rsidR="00E36CA5" w:rsidRPr="00793C57">
        <w:rPr>
          <w:rFonts w:cs="ArialMT"/>
        </w:rPr>
        <w:t>peginterferon</w:t>
      </w:r>
      <w:proofErr w:type="spellEnd"/>
      <w:r w:rsidR="00E36CA5" w:rsidRPr="00793C57">
        <w:rPr>
          <w:rFonts w:cs="ArialMT"/>
        </w:rPr>
        <w:t xml:space="preserve"> (administered via injection).</w:t>
      </w:r>
    </w:p>
    <w:p w14:paraId="4C3DD373" w14:textId="72482A3C" w:rsidR="00E36CA5" w:rsidRPr="003472AC" w:rsidRDefault="00E36CA5" w:rsidP="004A28A8">
      <w:r w:rsidRPr="003472AC">
        <w:t xml:space="preserve">Overall, the comprehensive clinical </w:t>
      </w:r>
      <w:r w:rsidR="004A28A8">
        <w:t>Phase II</w:t>
      </w:r>
      <w:r w:rsidRPr="003472AC">
        <w:t xml:space="preserve"> and </w:t>
      </w:r>
      <w:r w:rsidR="002165BD">
        <w:t>III</w:t>
      </w:r>
      <w:r w:rsidRPr="003472AC">
        <w:t xml:space="preserve"> program for GZR with EBR enrolled and treated 1715 HCV GT1-, </w:t>
      </w:r>
      <w:r w:rsidR="00ED41DC">
        <w:t>GT4</w:t>
      </w:r>
      <w:r w:rsidRPr="003472AC">
        <w:t xml:space="preserve">, and </w:t>
      </w:r>
      <w:r w:rsidR="00ED41DC">
        <w:t>GT6 infected</w:t>
      </w:r>
      <w:r w:rsidRPr="003472AC">
        <w:t xml:space="preserve"> subjects, along with 82 HCV GT3-infected subjects. These studies enrolled a</w:t>
      </w:r>
      <w:r>
        <w:t xml:space="preserve"> diverse population of subjects and ef</w:t>
      </w:r>
      <w:r w:rsidRPr="003472AC">
        <w:t>ficacy was evaluated across the spectrum of HCV infected individuals including approximately:</w:t>
      </w:r>
    </w:p>
    <w:p w14:paraId="4C3DD374" w14:textId="3330D8B2" w:rsidR="00E36CA5" w:rsidRPr="003472AC" w:rsidRDefault="00E36CA5" w:rsidP="004A28A8">
      <w:pPr>
        <w:pStyle w:val="ListBullet"/>
      </w:pPr>
      <w:r w:rsidRPr="003472AC">
        <w:lastRenderedPageBreak/>
        <w:t>54% GT1a, 35% GT1b, 5% GT3- 5%</w:t>
      </w:r>
      <w:r>
        <w:t>,</w:t>
      </w:r>
      <w:r w:rsidRPr="003472AC">
        <w:t xml:space="preserve"> </w:t>
      </w:r>
      <w:r w:rsidR="00ED41DC">
        <w:t>GT4</w:t>
      </w:r>
      <w:r w:rsidRPr="003472AC">
        <w:t xml:space="preserve"> and 1% </w:t>
      </w:r>
      <w:r w:rsidR="00ED41DC">
        <w:t>GT6 infected</w:t>
      </w:r>
      <w:r w:rsidR="00F140F0" w:rsidRPr="003472AC">
        <w:t>;</w:t>
      </w:r>
    </w:p>
    <w:p w14:paraId="4C3DD375" w14:textId="77777777" w:rsidR="00E36CA5" w:rsidRPr="003472AC" w:rsidRDefault="00E36CA5" w:rsidP="004A28A8">
      <w:pPr>
        <w:pStyle w:val="ListBullet"/>
      </w:pPr>
      <w:r w:rsidRPr="003472AC">
        <w:t>64% treatment-naïve and 36% treatment-experienced subjects (including 79 subjects that had failed prior therapy with a first generation HCV protease inhibitor + PR);</w:t>
      </w:r>
    </w:p>
    <w:p w14:paraId="4C3DD376" w14:textId="77777777" w:rsidR="00E36CA5" w:rsidRPr="003472AC" w:rsidRDefault="00E36CA5" w:rsidP="004A28A8">
      <w:pPr>
        <w:pStyle w:val="ListBullet"/>
      </w:pPr>
      <w:r w:rsidRPr="003472AC">
        <w:t>28% subjects with compensated cirrhosis;</w:t>
      </w:r>
    </w:p>
    <w:p w14:paraId="4C3DD377" w14:textId="77777777" w:rsidR="00E36CA5" w:rsidRPr="003472AC" w:rsidRDefault="00E36CA5" w:rsidP="004A28A8">
      <w:pPr>
        <w:pStyle w:val="ListBullet"/>
      </w:pPr>
      <w:r w:rsidRPr="003472AC">
        <w:t>122 subjects with CKD Stages 4/5, including those on haemodialysis;</w:t>
      </w:r>
    </w:p>
    <w:p w14:paraId="4C3DD378" w14:textId="77777777" w:rsidR="00E36CA5" w:rsidRPr="003472AC" w:rsidRDefault="00E36CA5" w:rsidP="004A28A8">
      <w:pPr>
        <w:pStyle w:val="ListBullet"/>
      </w:pPr>
      <w:r w:rsidRPr="003472AC">
        <w:t>296 HIV/HCV co-infected subjects;</w:t>
      </w:r>
    </w:p>
    <w:p w14:paraId="4C3DD379" w14:textId="77777777" w:rsidR="00E36CA5" w:rsidRPr="005112BD" w:rsidRDefault="00E36CA5" w:rsidP="004A28A8">
      <w:pPr>
        <w:pStyle w:val="ListBullet"/>
        <w:rPr>
          <w:b/>
          <w:u w:val="single"/>
        </w:rPr>
      </w:pPr>
      <w:r w:rsidRPr="003472AC">
        <w:t>Diverse racial/ethnic backgrounds: 15% Black, 8% Asian and 9% were Hispanic</w:t>
      </w:r>
      <w:r>
        <w:t>.</w:t>
      </w:r>
    </w:p>
    <w:p w14:paraId="4C3DD37A" w14:textId="77777777" w:rsidR="00E36CA5" w:rsidRDefault="00E36CA5" w:rsidP="004A28A8">
      <w:r w:rsidRPr="00415E9B">
        <w:t xml:space="preserve">Each of the </w:t>
      </w:r>
      <w:r w:rsidR="004A28A8">
        <w:t>Phase II</w:t>
      </w:r>
      <w:r w:rsidRPr="00415E9B">
        <w:t xml:space="preserve"> and </w:t>
      </w:r>
      <w:r w:rsidR="004A28A8">
        <w:t>Phase III</w:t>
      </w:r>
      <w:r w:rsidRPr="00415E9B">
        <w:t xml:space="preserve"> efficacy studies of GZR with EBR achieved their primary</w:t>
      </w:r>
      <w:r>
        <w:t xml:space="preserve"> </w:t>
      </w:r>
      <w:r w:rsidRPr="00415E9B">
        <w:t xml:space="preserve">efficacy endpoint </w:t>
      </w:r>
      <w:r>
        <w:t>with</w:t>
      </w:r>
      <w:r w:rsidRPr="00415E9B">
        <w:t xml:space="preserve"> high</w:t>
      </w:r>
      <w:r>
        <w:t xml:space="preserve"> and</w:t>
      </w:r>
      <w:r w:rsidRPr="00415E9B">
        <w:t xml:space="preserve"> consistent efficacy observed across the populations</w:t>
      </w:r>
      <w:r>
        <w:t xml:space="preserve"> </w:t>
      </w:r>
      <w:r w:rsidRPr="00415E9B">
        <w:t>evaluated.</w:t>
      </w:r>
    </w:p>
    <w:p w14:paraId="113202E6" w14:textId="75A6FA75" w:rsidR="00655550" w:rsidRDefault="00E36CA5" w:rsidP="004A28A8">
      <w:pPr>
        <w:pStyle w:val="Heading4"/>
      </w:pPr>
      <w:r w:rsidRPr="00415E9B">
        <w:t>Efficacy of a 12 week regimen of GZR/EBR ±RBV among GT1, GT4 and</w:t>
      </w:r>
      <w:r>
        <w:t xml:space="preserve"> </w:t>
      </w:r>
      <w:r w:rsidRPr="00415E9B">
        <w:t>GT6</w:t>
      </w:r>
      <w:r w:rsidR="002165BD">
        <w:t xml:space="preserve"> </w:t>
      </w:r>
      <w:r w:rsidR="00F140F0" w:rsidRPr="00415E9B">
        <w:t xml:space="preserve">infected </w:t>
      </w:r>
      <w:r w:rsidR="00F140F0" w:rsidRPr="008C2C75">
        <w:t>treatment naïve subj</w:t>
      </w:r>
      <w:r w:rsidRPr="008C2C75">
        <w:t>ects</w:t>
      </w:r>
      <w:r>
        <w:t>:</w:t>
      </w:r>
    </w:p>
    <w:p w14:paraId="652237A5" w14:textId="77777777" w:rsidR="00655550" w:rsidRDefault="00E36CA5" w:rsidP="004A28A8">
      <w:r w:rsidRPr="008C2C75">
        <w:t>The 12 week (no RBV) regimen was highly efficacious among GT1a, GT4, and GT6</w:t>
      </w:r>
      <w:r w:rsidR="002165BD">
        <w:t xml:space="preserve"> </w:t>
      </w:r>
      <w:r w:rsidRPr="008C2C75">
        <w:t>infected subjects. Overall, 711/752 subjects (94.5%, 95% CI</w:t>
      </w:r>
      <w:r>
        <w:t>: 92.7 to 96.1%) achieved SVR12</w:t>
      </w:r>
      <w:r w:rsidRPr="008C2C75">
        <w:t xml:space="preserve"> and only 25/752 (3.3% of subjects) experienced virologic failure. Addition of RBV to the regimen did not improve efficacy overall or in any sub-population.</w:t>
      </w:r>
      <w:r>
        <w:t xml:space="preserve"> </w:t>
      </w:r>
      <w:r w:rsidRPr="008C2C75">
        <w:t>Efficacy was high</w:t>
      </w:r>
      <w:r>
        <w:t xml:space="preserve"> a</w:t>
      </w:r>
      <w:r w:rsidRPr="008C2C75">
        <w:t>mong GT1a, GT1b, and GT4</w:t>
      </w:r>
      <w:r w:rsidR="002165BD">
        <w:t xml:space="preserve"> </w:t>
      </w:r>
      <w:r w:rsidRPr="008C2C75">
        <w:t xml:space="preserve">infected subjects. Activity was also observed among </w:t>
      </w:r>
      <w:r w:rsidR="00ED41DC">
        <w:t>GT6 infected</w:t>
      </w:r>
      <w:r w:rsidRPr="008C2C75">
        <w:t xml:space="preserve"> subjects</w:t>
      </w:r>
      <w:r>
        <w:t>. The main efficacy results in this pool of TN HCV subjects w</w:t>
      </w:r>
      <w:r w:rsidR="002165BD">
        <w:t>ere</w:t>
      </w:r>
      <w:r>
        <w:t>:</w:t>
      </w:r>
    </w:p>
    <w:p w14:paraId="4C3DD37D" w14:textId="46A5E3D5" w:rsidR="00E36CA5" w:rsidRDefault="00E36CA5" w:rsidP="004A28A8">
      <w:pPr>
        <w:pStyle w:val="ListBullet"/>
      </w:pPr>
      <w:r w:rsidRPr="008C2C75">
        <w:t>399/426 (93.7%; 95% CI</w:t>
      </w:r>
      <w:r>
        <w:t>:</w:t>
      </w:r>
      <w:r w:rsidRPr="008C2C75">
        <w:t xml:space="preserve"> 90.9 to 95.8%) of </w:t>
      </w:r>
      <w:r w:rsidR="000D6449">
        <w:t>GT1a infected</w:t>
      </w:r>
      <w:r w:rsidRPr="008C2C75">
        <w:t xml:space="preserve"> subjects achieved SVR12; </w:t>
      </w:r>
      <w:r>
        <w:t>v</w:t>
      </w:r>
      <w:r w:rsidRPr="008C2C75">
        <w:t>irologic failure occurred among 19/426 (4.5%) of subjects</w:t>
      </w:r>
      <w:r>
        <w:t>.</w:t>
      </w:r>
    </w:p>
    <w:p w14:paraId="4C3DD37E" w14:textId="77777777" w:rsidR="00E36CA5" w:rsidRDefault="00E36CA5" w:rsidP="004A28A8">
      <w:pPr>
        <w:pStyle w:val="ListBullet"/>
      </w:pPr>
      <w:r w:rsidRPr="008C2C75">
        <w:t>243/252 (96.4%; 95% CI</w:t>
      </w:r>
      <w:r>
        <w:t>:</w:t>
      </w:r>
      <w:r w:rsidRPr="008C2C75">
        <w:t xml:space="preserve"> 93.3 to 98.4%) of GT1b-infected subjects achieved SVR12;</w:t>
      </w:r>
      <w:r>
        <w:t xml:space="preserve"> </w:t>
      </w:r>
      <w:r w:rsidRPr="008C2C75">
        <w:t>virologic failure occurred among 2/252 (0.8%) of subjects.</w:t>
      </w:r>
    </w:p>
    <w:p w14:paraId="4C3DD37F" w14:textId="77777777" w:rsidR="00E36CA5" w:rsidRPr="008C2C75" w:rsidRDefault="00E36CA5" w:rsidP="004A28A8">
      <w:pPr>
        <w:pStyle w:val="ListBullet"/>
      </w:pPr>
      <w:r w:rsidRPr="008C2C75">
        <w:t>All 3 subjects infected</w:t>
      </w:r>
      <w:r>
        <w:t xml:space="preserve"> </w:t>
      </w:r>
      <w:r w:rsidRPr="008C2C75">
        <w:t>with GT1 subtypes other than GT1a or GT1b achieved SVR12.</w:t>
      </w:r>
    </w:p>
    <w:p w14:paraId="4C3DD380" w14:textId="77777777" w:rsidR="00E36CA5" w:rsidRDefault="00E36CA5" w:rsidP="004A28A8">
      <w:pPr>
        <w:pStyle w:val="ListBullet"/>
      </w:pPr>
      <w:r w:rsidRPr="008C2C75">
        <w:t>22/23 (95.7%: 95% CI</w:t>
      </w:r>
      <w:r>
        <w:t>:</w:t>
      </w:r>
      <w:r w:rsidRPr="008C2C75">
        <w:t xml:space="preserve"> 78.1, 99.9%) of GT4a-infected, 28/29 (96.6%, 95% CI</w:t>
      </w:r>
      <w:r>
        <w:t>:</w:t>
      </w:r>
      <w:r w:rsidRPr="008C2C75">
        <w:t xml:space="preserve"> 82.2,</w:t>
      </w:r>
      <w:r>
        <w:t xml:space="preserve"> </w:t>
      </w:r>
      <w:r w:rsidRPr="008C2C75">
        <w:t>99.9%) of GT4d and 4/4 (100%; 95% CI</w:t>
      </w:r>
      <w:r>
        <w:t>:</w:t>
      </w:r>
      <w:r w:rsidRPr="008C2C75">
        <w:t xml:space="preserve"> 39.8, 100.0%) of GT4</w:t>
      </w:r>
      <w:r w:rsidR="002165BD">
        <w:t xml:space="preserve">. </w:t>
      </w:r>
      <w:r w:rsidRPr="008C2C75">
        <w:t>Other-infected</w:t>
      </w:r>
      <w:r>
        <w:t xml:space="preserve"> </w:t>
      </w:r>
      <w:r w:rsidRPr="008C2C75">
        <w:t xml:space="preserve">subjects achieved SVR12. Overall, 54/56 (96.4%) of treatment naïve </w:t>
      </w:r>
      <w:r w:rsidR="00ED41DC">
        <w:t>GT4</w:t>
      </w:r>
      <w:r w:rsidRPr="008C2C75">
        <w:t>infected</w:t>
      </w:r>
      <w:r>
        <w:t xml:space="preserve"> </w:t>
      </w:r>
      <w:r w:rsidRPr="008C2C75">
        <w:t xml:space="preserve">subjects achieved SVR12; virologic failure occurred </w:t>
      </w:r>
      <w:r>
        <w:t>in only</w:t>
      </w:r>
      <w:r w:rsidRPr="008C2C75">
        <w:t xml:space="preserve"> 1/56 (1.8%) of </w:t>
      </w:r>
      <w:r w:rsidR="00ED41DC">
        <w:t>GT4</w:t>
      </w:r>
      <w:r>
        <w:t xml:space="preserve"> </w:t>
      </w:r>
      <w:r w:rsidRPr="008C2C75">
        <w:t>infected subjects.</w:t>
      </w:r>
    </w:p>
    <w:p w14:paraId="4C3DD381" w14:textId="77777777" w:rsidR="00E36CA5" w:rsidRDefault="00E36CA5" w:rsidP="004A28A8">
      <w:pPr>
        <w:pStyle w:val="ListBullet"/>
      </w:pPr>
      <w:r w:rsidRPr="008C2C75">
        <w:t>5/6 (83.3%; 95% CI</w:t>
      </w:r>
      <w:r>
        <w:t>:</w:t>
      </w:r>
      <w:r w:rsidRPr="008C2C75">
        <w:t xml:space="preserve"> 35.9, 99.6%) of GT6a-infected, 7/9 (77.8%;</w:t>
      </w:r>
      <w:r w:rsidR="002165BD">
        <w:t xml:space="preserve"> </w:t>
      </w:r>
      <w:r w:rsidRPr="008C2C75">
        <w:t>95% CI</w:t>
      </w:r>
      <w:r>
        <w:t>:</w:t>
      </w:r>
      <w:r w:rsidRPr="008C2C75">
        <w:t xml:space="preserve"> 40.0, 97.2%) of GT6-Other-infected subjects achieved SVR12. Overall, 12/15</w:t>
      </w:r>
      <w:r>
        <w:t xml:space="preserve"> </w:t>
      </w:r>
      <w:r w:rsidRPr="008C2C75">
        <w:t xml:space="preserve">(80%) of </w:t>
      </w:r>
      <w:r w:rsidR="00ED41DC">
        <w:t>GT6 infected</w:t>
      </w:r>
      <w:r w:rsidRPr="008C2C75">
        <w:t xml:space="preserve"> subjects achieved SVR12; virologic failure occurred among</w:t>
      </w:r>
      <w:r>
        <w:t xml:space="preserve"> </w:t>
      </w:r>
      <w:r w:rsidRPr="008C2C75">
        <w:t>3/15 (20.0%) subjects.</w:t>
      </w:r>
    </w:p>
    <w:p w14:paraId="4C3DD382" w14:textId="77777777" w:rsidR="00E36CA5" w:rsidRPr="00415E9B" w:rsidRDefault="00E36CA5" w:rsidP="004A28A8">
      <w:pPr>
        <w:rPr>
          <w:b/>
          <w:u w:val="single"/>
        </w:rPr>
      </w:pPr>
      <w:r w:rsidRPr="008C2C75">
        <w:t>Baseline demographics (age, gender, race/ethnicity), presence of HIV co-infection, and</w:t>
      </w:r>
      <w:r>
        <w:t xml:space="preserve"> </w:t>
      </w:r>
      <w:r w:rsidRPr="008C2C75">
        <w:t>geographic region did not substantially impact the efficacy of the 12 week (no RBV)</w:t>
      </w:r>
      <w:r>
        <w:t xml:space="preserve"> </w:t>
      </w:r>
      <w:r w:rsidRPr="008C2C75">
        <w:t>regimen.</w:t>
      </w:r>
      <w:r>
        <w:t xml:space="preserve"> </w:t>
      </w:r>
      <w:r w:rsidRPr="008C2C75">
        <w:t>Efficacy was also comparable among cirrhotics and non-cirrhotics. In particular, SVR12 was</w:t>
      </w:r>
      <w:r>
        <w:t xml:space="preserve"> </w:t>
      </w:r>
      <w:r w:rsidRPr="008C2C75">
        <w:t>achieved in 135/139 (97.8%; 95 CI</w:t>
      </w:r>
      <w:r>
        <w:t>:</w:t>
      </w:r>
      <w:r w:rsidRPr="008C2C75">
        <w:t xml:space="preserve"> 93.8 to 99.4%) of GT1 GT4 and GT6</w:t>
      </w:r>
      <w:r w:rsidR="002165BD">
        <w:t xml:space="preserve"> </w:t>
      </w:r>
      <w:r w:rsidRPr="008C2C75">
        <w:t>infected</w:t>
      </w:r>
      <w:r>
        <w:t xml:space="preserve"> </w:t>
      </w:r>
      <w:r w:rsidRPr="008C2C75">
        <w:t xml:space="preserve">cirrhotics, a population </w:t>
      </w:r>
      <w:r>
        <w:t>in</w:t>
      </w:r>
      <w:r w:rsidRPr="008C2C75">
        <w:t xml:space="preserve"> immediate need for clearance of HCV infection. Only 2/138</w:t>
      </w:r>
      <w:r>
        <w:t xml:space="preserve"> </w:t>
      </w:r>
      <w:r w:rsidRPr="008C2C75">
        <w:t xml:space="preserve">(1.4%) cirrhotic </w:t>
      </w:r>
      <w:proofErr w:type="gramStart"/>
      <w:r w:rsidRPr="008C2C75">
        <w:t>subject</w:t>
      </w:r>
      <w:r w:rsidR="0088381F">
        <w:t>s</w:t>
      </w:r>
      <w:proofErr w:type="gramEnd"/>
      <w:r w:rsidRPr="008C2C75">
        <w:t xml:space="preserve"> experienced virologic failure. Efficacy among GT1a cirrhotics, a</w:t>
      </w:r>
      <w:r>
        <w:t xml:space="preserve"> </w:t>
      </w:r>
      <w:r w:rsidRPr="008C2C75">
        <w:t>traditionally harder-to-cure population was also high: SVR12 was achieved in 73/76 (96.1%)</w:t>
      </w:r>
      <w:r>
        <w:t xml:space="preserve"> </w:t>
      </w:r>
      <w:r w:rsidRPr="008C2C75">
        <w:t>of GT1a cirrhotics; only 2/76 (2.6%) experienced a virologic failure</w:t>
      </w:r>
      <w:r>
        <w:t>.</w:t>
      </w:r>
    </w:p>
    <w:p w14:paraId="432BF183" w14:textId="77777777" w:rsidR="00655550" w:rsidRDefault="00E36CA5" w:rsidP="004A28A8">
      <w:r w:rsidRPr="008C2C75">
        <w:t>Two</w:t>
      </w:r>
      <w:r>
        <w:t xml:space="preserve"> </w:t>
      </w:r>
      <w:r w:rsidRPr="008C2C75">
        <w:t>factors were identified that impacted efficacy of the 12 week (no RBV) among GT1a</w:t>
      </w:r>
      <w:r>
        <w:t xml:space="preserve"> </w:t>
      </w:r>
      <w:r w:rsidRPr="008C2C75">
        <w:t>infected</w:t>
      </w:r>
      <w:r>
        <w:t xml:space="preserve"> </w:t>
      </w:r>
      <w:r w:rsidRPr="008C2C75">
        <w:t xml:space="preserve">subjects but not among GT1b- or </w:t>
      </w:r>
      <w:r w:rsidR="00ED41DC">
        <w:t>GT4</w:t>
      </w:r>
      <w:r w:rsidRPr="008C2C75">
        <w:t>infected subjects:</w:t>
      </w:r>
    </w:p>
    <w:p w14:paraId="462EAEE8" w14:textId="77777777" w:rsidR="00655550" w:rsidRDefault="00E36CA5" w:rsidP="002165BD">
      <w:pPr>
        <w:pStyle w:val="Numberbullet0"/>
      </w:pPr>
      <w:r w:rsidRPr="008C2C75">
        <w:t>Baseline viral load (VL)</w:t>
      </w:r>
      <w:r>
        <w:t xml:space="preserve"> with slightly lesser efficacy in GT1a subjects with baseline VL</w:t>
      </w:r>
      <w:r w:rsidRPr="008C2C75">
        <w:t xml:space="preserve"> &gt;800,000 IU/mL</w:t>
      </w:r>
      <w:r>
        <w:t xml:space="preserve"> compared to &lt; 800,000 IU/ml [SVR12:</w:t>
      </w:r>
      <w:r w:rsidRPr="005112BD">
        <w:t xml:space="preserve"> </w:t>
      </w:r>
      <w:r>
        <w:t>92.1% (278/302) v</w:t>
      </w:r>
      <w:r w:rsidR="002165BD">
        <w:t>ersu</w:t>
      </w:r>
      <w:r>
        <w:t>s 97.6% (121/124)];</w:t>
      </w:r>
    </w:p>
    <w:p w14:paraId="4C3DD385" w14:textId="07DD0C54" w:rsidR="002165BD" w:rsidRDefault="002165BD" w:rsidP="002165BD">
      <w:pPr>
        <w:pStyle w:val="Numberbullet0"/>
      </w:pPr>
      <w:r>
        <w:lastRenderedPageBreak/>
        <w:t>T</w:t>
      </w:r>
      <w:r w:rsidR="00E36CA5" w:rsidRPr="007F33FF">
        <w:t xml:space="preserve">he presence of baseline NS5A RAVs that cause a &gt;5-fold shift in the potency of EBR </w:t>
      </w:r>
      <w:r w:rsidR="00E36CA5" w:rsidRPr="002165BD">
        <w:rPr>
          <w:iCs/>
        </w:rPr>
        <w:t>in vitro</w:t>
      </w:r>
      <w:r w:rsidR="00E36CA5" w:rsidRPr="007F33FF">
        <w:rPr>
          <w:i/>
          <w:iCs/>
        </w:rPr>
        <w:t xml:space="preserve"> </w:t>
      </w:r>
      <w:r w:rsidR="00E36CA5" w:rsidRPr="007F33FF">
        <w:t xml:space="preserve">among </w:t>
      </w:r>
      <w:r w:rsidR="000D6449">
        <w:t>GT1a infected</w:t>
      </w:r>
      <w:r w:rsidR="00E36CA5" w:rsidRPr="007F33FF">
        <w:t xml:space="preserve"> subjects was associated with a substantial reduction in efficacy, from an SVR12 of 98.4% </w:t>
      </w:r>
      <w:r w:rsidR="00E36CA5">
        <w:t xml:space="preserve">to 55.2% </w:t>
      </w:r>
      <w:r w:rsidR="00E36CA5" w:rsidRPr="007F33FF">
        <w:t xml:space="preserve">in subjects without </w:t>
      </w:r>
      <w:r w:rsidR="00E36CA5">
        <w:t xml:space="preserve">and with </w:t>
      </w:r>
      <w:r w:rsidR="00E36CA5" w:rsidRPr="007F33FF">
        <w:t>baseline GT1a RAVs</w:t>
      </w:r>
      <w:r w:rsidR="00E36CA5">
        <w:t>, respectively.</w:t>
      </w:r>
    </w:p>
    <w:p w14:paraId="4C3DD386" w14:textId="77777777" w:rsidR="00E36CA5" w:rsidRDefault="00E36CA5" w:rsidP="004A28A8">
      <w:r w:rsidRPr="007F33FF">
        <w:t>Overall, a small subpopulation of subjects with baseline NS5A RAVs with &gt; 5-fold potency shift to EBR and baseline HCV RNA &gt;800,000 IU/mL</w:t>
      </w:r>
      <w:r w:rsidR="002165BD">
        <w:t>,</w:t>
      </w:r>
      <w:r w:rsidRPr="007F33FF">
        <w:t xml:space="preserve"> representing 26/491 or 5.3% of the </w:t>
      </w:r>
      <w:proofErr w:type="spellStart"/>
      <w:r w:rsidRPr="007F33FF">
        <w:t>population</w:t>
      </w:r>
      <w:r w:rsidR="002165BD">
        <w:t>,</w:t>
      </w:r>
      <w:r w:rsidRPr="007F33FF">
        <w:t>was</w:t>
      </w:r>
      <w:proofErr w:type="spellEnd"/>
      <w:r w:rsidRPr="007F33FF">
        <w:t xml:space="preserve"> the source of 56.5% (13/23) of all GT1a virologic failures. In the remaining GT1a population, 455/465 (97.8%) subjects achieved SVR12. Hence, a 12 week regimen of GZR/EBR (no RBV) may be appropriate for majority of TN </w:t>
      </w:r>
      <w:r w:rsidR="000D6449">
        <w:t>GT1a infected</w:t>
      </w:r>
      <w:r w:rsidRPr="007F33FF">
        <w:t xml:space="preserve"> subjects.</w:t>
      </w:r>
    </w:p>
    <w:p w14:paraId="723EA04A" w14:textId="77777777" w:rsidR="00655550" w:rsidRDefault="00E36CA5" w:rsidP="004A28A8">
      <w:pPr>
        <w:rPr>
          <w:color w:val="000000"/>
        </w:rPr>
      </w:pPr>
      <w:r w:rsidRPr="007F33FF">
        <w:rPr>
          <w:color w:val="000000"/>
        </w:rPr>
        <w:t>Among TN, non-cirrhotic GT1b-infected subjects, a 12 week regimen of GZR and EBR (no</w:t>
      </w:r>
      <w:r>
        <w:rPr>
          <w:color w:val="000000"/>
        </w:rPr>
        <w:t xml:space="preserve"> </w:t>
      </w:r>
      <w:r w:rsidRPr="007F33FF">
        <w:rPr>
          <w:color w:val="000000"/>
        </w:rPr>
        <w:t>RBV), SVR12 was achieved in 13/13 (100%) subjects (95% CI 75.3, 100%). Given this high</w:t>
      </w:r>
      <w:r>
        <w:rPr>
          <w:color w:val="000000"/>
        </w:rPr>
        <w:t xml:space="preserve"> </w:t>
      </w:r>
      <w:r w:rsidRPr="007F33FF">
        <w:rPr>
          <w:color w:val="000000"/>
        </w:rPr>
        <w:t>degree of efficacy a shorter duration of therapy was also evaluated. With an 8 week regimen</w:t>
      </w:r>
      <w:r>
        <w:rPr>
          <w:color w:val="000000"/>
        </w:rPr>
        <w:t xml:space="preserve"> </w:t>
      </w:r>
      <w:r w:rsidRPr="007F33FF">
        <w:rPr>
          <w:color w:val="000000"/>
        </w:rPr>
        <w:t>of GZR and EBR, 29/31 (93.5%) subjects (95% CI 78.6, 99.2) achieved SVR12. Virologic</w:t>
      </w:r>
      <w:r>
        <w:rPr>
          <w:color w:val="000000"/>
        </w:rPr>
        <w:t xml:space="preserve"> </w:t>
      </w:r>
      <w:r w:rsidRPr="007F33FF">
        <w:rPr>
          <w:color w:val="000000"/>
        </w:rPr>
        <w:t>failure rates for TN, non-cirrhotic GT1b subjects treated for 8 weeks was comparable to that</w:t>
      </w:r>
      <w:r>
        <w:rPr>
          <w:color w:val="000000"/>
        </w:rPr>
        <w:t xml:space="preserve"> </w:t>
      </w:r>
      <w:r w:rsidRPr="007F33FF">
        <w:rPr>
          <w:color w:val="000000"/>
        </w:rPr>
        <w:t>achieved with 12 weeks of treatment. There was no apparent association of baseline factors</w:t>
      </w:r>
      <w:r>
        <w:rPr>
          <w:color w:val="000000"/>
        </w:rPr>
        <w:t xml:space="preserve"> </w:t>
      </w:r>
      <w:r w:rsidRPr="007F33FF">
        <w:rPr>
          <w:color w:val="000000"/>
        </w:rPr>
        <w:t>that predicted failure. Of note, 3 of the 4 subjects who relapsed in the 8 week treatment arms</w:t>
      </w:r>
      <w:r>
        <w:rPr>
          <w:color w:val="000000"/>
        </w:rPr>
        <w:t xml:space="preserve"> </w:t>
      </w:r>
      <w:r w:rsidRPr="007F33FF">
        <w:rPr>
          <w:color w:val="000000"/>
        </w:rPr>
        <w:t>had no detectable NS3 or NS5A RAVs at the time of failure, suggesting that subjects that fail</w:t>
      </w:r>
      <w:r>
        <w:rPr>
          <w:color w:val="000000"/>
        </w:rPr>
        <w:t xml:space="preserve"> </w:t>
      </w:r>
      <w:r w:rsidRPr="007F33FF">
        <w:rPr>
          <w:color w:val="000000"/>
        </w:rPr>
        <w:t xml:space="preserve">a shorter regimen </w:t>
      </w:r>
      <w:r>
        <w:rPr>
          <w:color w:val="000000"/>
        </w:rPr>
        <w:t xml:space="preserve">may </w:t>
      </w:r>
      <w:r w:rsidRPr="007F33FF">
        <w:rPr>
          <w:color w:val="000000"/>
        </w:rPr>
        <w:t>still have multiple options for retreatment.</w:t>
      </w:r>
      <w:r>
        <w:rPr>
          <w:color w:val="000000"/>
        </w:rPr>
        <w:t xml:space="preserve"> As these results are based on data in very few subjects, it still seems prudent to use the same 12</w:t>
      </w:r>
      <w:r w:rsidR="001D1DD4">
        <w:rPr>
          <w:color w:val="000000"/>
        </w:rPr>
        <w:t xml:space="preserve"> </w:t>
      </w:r>
      <w:r>
        <w:rPr>
          <w:color w:val="000000"/>
        </w:rPr>
        <w:t>week treatment regimen in GT1b</w:t>
      </w:r>
      <w:r w:rsidR="001D1DD4">
        <w:rPr>
          <w:color w:val="000000"/>
        </w:rPr>
        <w:t xml:space="preserve"> </w:t>
      </w:r>
      <w:r>
        <w:rPr>
          <w:color w:val="000000"/>
        </w:rPr>
        <w:t>infected patients.</w:t>
      </w:r>
    </w:p>
    <w:p w14:paraId="4C3DD388" w14:textId="07F8E38F" w:rsidR="00E36CA5" w:rsidRPr="007F33FF" w:rsidRDefault="00E36CA5" w:rsidP="004A28A8">
      <w:r w:rsidRPr="007F33FF">
        <w:t xml:space="preserve">The observed efficacy of GZR/EBR (no RBV) was lower among </w:t>
      </w:r>
      <w:r w:rsidR="00ED41DC">
        <w:t>GT6 infected</w:t>
      </w:r>
      <w:r>
        <w:t xml:space="preserve"> </w:t>
      </w:r>
      <w:r w:rsidRPr="007F33FF">
        <w:t xml:space="preserve">subjects compared with GT1- or </w:t>
      </w:r>
      <w:r w:rsidR="00ED41DC">
        <w:t>GT4</w:t>
      </w:r>
      <w:r w:rsidRPr="007F33FF">
        <w:t>infected subjects. However, the GZR/EBR regimen</w:t>
      </w:r>
      <w:r>
        <w:t xml:space="preserve"> </w:t>
      </w:r>
      <w:r w:rsidRPr="007F33FF">
        <w:t xml:space="preserve">was </w:t>
      </w:r>
      <w:r>
        <w:t xml:space="preserve">still </w:t>
      </w:r>
      <w:r w:rsidRPr="007F33FF">
        <w:t>active in this population. As no all-oral regimen is currently indicated in this population,</w:t>
      </w:r>
      <w:r>
        <w:t xml:space="preserve"> </w:t>
      </w:r>
      <w:r w:rsidRPr="007F33FF">
        <w:t>the availability of a regimen with higher efficacy and better tolerability compared to PR</w:t>
      </w:r>
      <w:r>
        <w:t xml:space="preserve"> </w:t>
      </w:r>
      <w:r w:rsidRPr="007F33FF">
        <w:t>against GT6 infection provides an important option for this population. It is important to note that a relatively small population of GT6</w:t>
      </w:r>
      <w:r w:rsidR="001D1DD4">
        <w:t xml:space="preserve"> </w:t>
      </w:r>
      <w:r w:rsidRPr="007F33FF">
        <w:t>infected subjects enrolled in the</w:t>
      </w:r>
      <w:r>
        <w:t xml:space="preserve"> </w:t>
      </w:r>
      <w:r w:rsidRPr="007F33FF">
        <w:t>program</w:t>
      </w:r>
      <w:r>
        <w:t xml:space="preserve"> was likely</w:t>
      </w:r>
      <w:r w:rsidRPr="007F33FF">
        <w:t xml:space="preserve"> due to the low prevalence of GT6 infection in the North American and European</w:t>
      </w:r>
      <w:r>
        <w:t xml:space="preserve"> </w:t>
      </w:r>
      <w:r w:rsidRPr="007F33FF">
        <w:t>HCV population</w:t>
      </w:r>
      <w:r w:rsidR="004A28A8">
        <w:t>.</w:t>
      </w:r>
    </w:p>
    <w:p w14:paraId="4C3DD389" w14:textId="77777777" w:rsidR="004A28A8" w:rsidRDefault="00E36CA5" w:rsidP="004A28A8">
      <w:pPr>
        <w:pStyle w:val="Heading4"/>
      </w:pPr>
      <w:r w:rsidRPr="005733F6">
        <w:t>Efficacy of GZR/EBR (±RBV) among GT1, GT4, GT6</w:t>
      </w:r>
      <w:r w:rsidR="000D6449">
        <w:t xml:space="preserve"> infected s</w:t>
      </w:r>
      <w:r w:rsidRPr="005733F6">
        <w:t xml:space="preserve">ubjects </w:t>
      </w:r>
      <w:r w:rsidR="000D6449">
        <w:t>w</w:t>
      </w:r>
      <w:r w:rsidRPr="005733F6">
        <w:t xml:space="preserve">ho </w:t>
      </w:r>
      <w:r w:rsidR="000D6449">
        <w:t>failed p</w:t>
      </w:r>
      <w:r w:rsidRPr="005733F6">
        <w:t>rior PR-</w:t>
      </w:r>
      <w:r w:rsidR="000D6449">
        <w:t>c</w:t>
      </w:r>
      <w:r w:rsidRPr="005733F6">
        <w:t xml:space="preserve">ontaining </w:t>
      </w:r>
      <w:r w:rsidR="000D6449">
        <w:t>r</w:t>
      </w:r>
      <w:r w:rsidRPr="005733F6">
        <w:t>egimens</w:t>
      </w:r>
    </w:p>
    <w:p w14:paraId="4C3DD38A" w14:textId="77777777" w:rsidR="00E36CA5" w:rsidRPr="005733F6" w:rsidRDefault="00E36CA5" w:rsidP="004A28A8">
      <w:r w:rsidRPr="005733F6">
        <w:t xml:space="preserve">High efficacy was also observed in treatment experienced (TE) subjects, including those that had failed prior treatment with PR and also those who had failed a first generation HCV protease inhibitor + PR (PI+PR) regimen. In TE subjects, the effects of adding RBV to the regimen and extending treatment duration were </w:t>
      </w:r>
      <w:r>
        <w:t xml:space="preserve">also </w:t>
      </w:r>
      <w:r w:rsidRPr="005733F6">
        <w:t>evaluated. Overall, efficacy was highest in</w:t>
      </w:r>
      <w:r>
        <w:t xml:space="preserve"> </w:t>
      </w:r>
      <w:r w:rsidRPr="005733F6">
        <w:t>the 16/18 week (+ RBV) arm. However, high efficacy was observed in the following subgroups of TE subjects receiving the 12 week (no RBV) regimen:</w:t>
      </w:r>
    </w:p>
    <w:p w14:paraId="54B7220D" w14:textId="77777777" w:rsidR="00655550" w:rsidRDefault="00E36CA5" w:rsidP="0060026A">
      <w:pPr>
        <w:pStyle w:val="Numberbullet0"/>
        <w:numPr>
          <w:ilvl w:val="0"/>
          <w:numId w:val="15"/>
        </w:numPr>
      </w:pPr>
      <w:proofErr w:type="gramStart"/>
      <w:r w:rsidRPr="005733F6">
        <w:t>a</w:t>
      </w:r>
      <w:proofErr w:type="gramEnd"/>
      <w:r w:rsidRPr="005733F6">
        <w:t xml:space="preserve"> 12 week regimen of GZR/EBR 100 mg/50 mg (no RBV) resulted</w:t>
      </w:r>
      <w:r>
        <w:t xml:space="preserve"> </w:t>
      </w:r>
      <w:r w:rsidRPr="005733F6">
        <w:t>in</w:t>
      </w:r>
      <w:r>
        <w:t xml:space="preserve"> </w:t>
      </w:r>
      <w:r w:rsidRPr="005733F6">
        <w:t>SVR12 among 96.5% (55/57) of GT1b/other-infected subjects in the TE-PEP, regardless of the prior response category. Virologic failures occurred among 3.5% of subject,</w:t>
      </w:r>
    </w:p>
    <w:p w14:paraId="4C3DD38C" w14:textId="679831B0" w:rsidR="00E36CA5" w:rsidRDefault="00E36CA5" w:rsidP="0060026A">
      <w:pPr>
        <w:pStyle w:val="Numberbullet0"/>
        <w:numPr>
          <w:ilvl w:val="0"/>
          <w:numId w:val="15"/>
        </w:numPr>
      </w:pPr>
      <w:proofErr w:type="gramStart"/>
      <w:r w:rsidRPr="005733F6">
        <w:t>a</w:t>
      </w:r>
      <w:proofErr w:type="gramEnd"/>
      <w:r w:rsidRPr="005733F6">
        <w:t xml:space="preserve"> 12 week regimen of GZR/EBR 100 mg/50 mg (no RBV) resulted in SVR12 among 46/47 (97.9%) of prior-</w:t>
      </w:r>
      <w:proofErr w:type="spellStart"/>
      <w:r w:rsidRPr="005733F6">
        <w:t>relapser</w:t>
      </w:r>
      <w:proofErr w:type="spellEnd"/>
      <w:r w:rsidRPr="005733F6">
        <w:t xml:space="preserve"> subjects, regardless of genotype. The only failure was a subject who discontinued for administrative reasons. Hence, no prior-</w:t>
      </w:r>
      <w:proofErr w:type="spellStart"/>
      <w:r w:rsidRPr="005733F6">
        <w:t>relapsers</w:t>
      </w:r>
      <w:proofErr w:type="spellEnd"/>
      <w:r w:rsidRPr="005733F6">
        <w:t xml:space="preserve"> experienced </w:t>
      </w:r>
      <w:proofErr w:type="spellStart"/>
      <w:r w:rsidRPr="005733F6">
        <w:t>virologic</w:t>
      </w:r>
      <w:proofErr w:type="spellEnd"/>
      <w:r w:rsidRPr="005733F6">
        <w:t xml:space="preserve"> failure with this regimen.</w:t>
      </w:r>
    </w:p>
    <w:p w14:paraId="4C3DD38D" w14:textId="77777777" w:rsidR="00E36CA5" w:rsidRPr="005733F6" w:rsidRDefault="00E36CA5" w:rsidP="004A28A8">
      <w:r w:rsidRPr="005733F6">
        <w:t>Of note, both of these populations included cirrhotics and non-cirrhotics, subjects with high</w:t>
      </w:r>
      <w:r>
        <w:t xml:space="preserve"> </w:t>
      </w:r>
      <w:r w:rsidRPr="005733F6">
        <w:t>viral load, subjects with CKD Stages 4/5, subjects with IL-28 TT genotype and HIV co</w:t>
      </w:r>
      <w:r>
        <w:t>-</w:t>
      </w:r>
      <w:r w:rsidRPr="005733F6">
        <w:t>infected</w:t>
      </w:r>
      <w:r>
        <w:t xml:space="preserve"> </w:t>
      </w:r>
      <w:r w:rsidRPr="005733F6">
        <w:t>subjects. Thus, this population included subjects with demographic and disease</w:t>
      </w:r>
      <w:r>
        <w:t xml:space="preserve"> </w:t>
      </w:r>
      <w:r w:rsidRPr="005733F6">
        <w:t xml:space="preserve">features previously associated with low responsiveness to therapy. </w:t>
      </w:r>
      <w:r>
        <w:t>Furthermore</w:t>
      </w:r>
      <w:r w:rsidRPr="005733F6">
        <w:t>, presence of</w:t>
      </w:r>
      <w:r>
        <w:t xml:space="preserve"> </w:t>
      </w:r>
      <w:r w:rsidRPr="005733F6">
        <w:t>baseline NS5A RAVs conferring &gt;5-fold shift in the potency of EBR did not impact the</w:t>
      </w:r>
      <w:r>
        <w:t xml:space="preserve"> </w:t>
      </w:r>
      <w:r w:rsidRPr="005733F6">
        <w:t>efficacy of 12 week regimen in this population.</w:t>
      </w:r>
    </w:p>
    <w:p w14:paraId="4C3DD38E" w14:textId="77777777" w:rsidR="00E36CA5" w:rsidRPr="005733F6" w:rsidRDefault="00E36CA5" w:rsidP="004A28A8">
      <w:r w:rsidRPr="005733F6">
        <w:lastRenderedPageBreak/>
        <w:t>GT1a, GT4 or GT6</w:t>
      </w:r>
      <w:r w:rsidR="000D6449">
        <w:t xml:space="preserve"> </w:t>
      </w:r>
      <w:r w:rsidRPr="005733F6">
        <w:t>infected subjects who experienced on-treatment failure during their prior</w:t>
      </w:r>
      <w:r>
        <w:t xml:space="preserve"> </w:t>
      </w:r>
      <w:r w:rsidRPr="005733F6">
        <w:t>treatment regimen (PR null responders, PR partial responders, PR+DAA non-responders,</w:t>
      </w:r>
      <w:r>
        <w:t xml:space="preserve"> </w:t>
      </w:r>
      <w:r w:rsidRPr="005733F6">
        <w:t>virologic breakthrough and virologic rebound) were less likely to achieve SVR12 following</w:t>
      </w:r>
      <w:r>
        <w:t xml:space="preserve"> </w:t>
      </w:r>
      <w:r w:rsidRPr="005733F6">
        <w:t>administration of a 12 week regimen of GZR/EBR (no RBV); however, in these subjects, no</w:t>
      </w:r>
      <w:r>
        <w:t xml:space="preserve"> </w:t>
      </w:r>
      <w:r w:rsidRPr="005733F6">
        <w:t>virologic failures occurred in the 16/18 week (+ RBV) arm, including subjects with high</w:t>
      </w:r>
      <w:r>
        <w:t xml:space="preserve"> </w:t>
      </w:r>
      <w:r w:rsidRPr="005733F6">
        <w:t>baseline viral load and/or cirrhosis. These results support a dosing regimen of 16 weeks of</w:t>
      </w:r>
      <w:r>
        <w:t xml:space="preserve"> </w:t>
      </w:r>
      <w:r w:rsidRPr="005733F6">
        <w:t xml:space="preserve">GZR/EBR (+ RBV) in GT1a, GT4 or </w:t>
      </w:r>
      <w:r w:rsidR="00ED41DC">
        <w:t>GT6 infected</w:t>
      </w:r>
      <w:r w:rsidRPr="005733F6">
        <w:t xml:space="preserve"> subjects who experienced on-treatment</w:t>
      </w:r>
      <w:r>
        <w:t xml:space="preserve"> </w:t>
      </w:r>
      <w:r w:rsidRPr="005733F6">
        <w:t>failure durin</w:t>
      </w:r>
      <w:r>
        <w:t>g their prior treatment regimen.</w:t>
      </w:r>
    </w:p>
    <w:p w14:paraId="37215A52" w14:textId="77777777" w:rsidR="00655550" w:rsidRDefault="00E36CA5" w:rsidP="004A28A8">
      <w:r w:rsidRPr="003C70ED">
        <w:t xml:space="preserve">Treatment with GZR and EBR had a positive impact on </w:t>
      </w:r>
      <w:r w:rsidR="0088381F" w:rsidRPr="0088381F">
        <w:t>Health-related quality of life (HRQOL)</w:t>
      </w:r>
      <w:r w:rsidRPr="003C70ED">
        <w:t>, fatigue levels, and</w:t>
      </w:r>
      <w:r>
        <w:t xml:space="preserve"> </w:t>
      </w:r>
      <w:r w:rsidRPr="003C70ED">
        <w:t xml:space="preserve">impairment while working and </w:t>
      </w:r>
      <w:r w:rsidRPr="0088381F">
        <w:t xml:space="preserve">performing other daily activities, when assessing mean change from baseline in </w:t>
      </w:r>
      <w:r w:rsidR="0088381F" w:rsidRPr="0088381F">
        <w:t>Patient reported outcomes (</w:t>
      </w:r>
      <w:r w:rsidRPr="0088381F">
        <w:t>PRO</w:t>
      </w:r>
      <w:r w:rsidR="0088381F" w:rsidRPr="0088381F">
        <w:t>)</w:t>
      </w:r>
      <w:r w:rsidRPr="0088381F">
        <w:t xml:space="preserve"> scores within the GZR and EBR (without RBV) groups. Differences in mean change from baseline in PRO scores between GZR and EBR and placebo groups were</w:t>
      </w:r>
      <w:r w:rsidRPr="003C70ED">
        <w:t xml:space="preserve"> not apparent (P052 and </w:t>
      </w:r>
      <w:r>
        <w:t>P</w:t>
      </w:r>
      <w:r w:rsidRPr="003C70ED">
        <w:t>060), except with improvements in</w:t>
      </w:r>
      <w:r>
        <w:t xml:space="preserve"> </w:t>
      </w:r>
      <w:r w:rsidRPr="003C70ED">
        <w:t>mental components of general health and overall health among treatment-naïve subjects</w:t>
      </w:r>
      <w:r>
        <w:t xml:space="preserve"> </w:t>
      </w:r>
      <w:r w:rsidRPr="003C70ED">
        <w:t>(P060). As expected, the addition of RBV to GZR and EBR had a negative impact on</w:t>
      </w:r>
      <w:r>
        <w:t xml:space="preserve"> </w:t>
      </w:r>
      <w:r w:rsidRPr="003C70ED">
        <w:t xml:space="preserve">PROs (P035 and </w:t>
      </w:r>
      <w:r>
        <w:t>P</w:t>
      </w:r>
      <w:r w:rsidRPr="003C70ED">
        <w:t>068). Treatment-experienced subjects treated with GZR/EBR</w:t>
      </w:r>
      <w:r>
        <w:t xml:space="preserve"> </w:t>
      </w:r>
      <w:r w:rsidRPr="003C70ED">
        <w:t>(P068) had better physical and mental components of general health, less fatigue, and</w:t>
      </w:r>
      <w:r>
        <w:t xml:space="preserve"> </w:t>
      </w:r>
      <w:r w:rsidRPr="003C70ED">
        <w:t>less impairment while working and performing other daily activities than subjects treated</w:t>
      </w:r>
      <w:r>
        <w:t xml:space="preserve"> </w:t>
      </w:r>
      <w:r w:rsidRPr="003C70ED">
        <w:t>with GZR/EBR with RBV.</w:t>
      </w:r>
      <w:r>
        <w:t xml:space="preserve"> However, interpretation of the PROs results in the open-label studies (P035, P068) was limited due to inherent bias of the open-label nature of these studies.</w:t>
      </w:r>
    </w:p>
    <w:p w14:paraId="3E8D227A" w14:textId="77777777" w:rsidR="00655550" w:rsidRDefault="00E36CA5" w:rsidP="004A28A8">
      <w:pPr>
        <w:rPr>
          <w:color w:val="000000"/>
        </w:rPr>
      </w:pPr>
      <w:r w:rsidRPr="003C70ED">
        <w:rPr>
          <w:color w:val="000000"/>
        </w:rPr>
        <w:t xml:space="preserve">P048/C-Salvage demonstrated the high efficacy of GZR and EBR in subjects who had failed a first generation HCV protease inhibitor + PR (PI+PR) regimen. High rates of SVR12 were achieved regardless of the presence of signature RAVs at baseline overall or among the subjects who had previous virologic failure. Variants in the NS3/4A gene at amino acid loci prone to resistance selection by HCV protease inhibitors were common (44%), but efficacy remained high. This observation is explained by the substantial differences between GZR and earlier PIs with respect to </w:t>
      </w:r>
      <w:r w:rsidRPr="000D6449">
        <w:rPr>
          <w:iCs/>
          <w:color w:val="000000"/>
        </w:rPr>
        <w:t>in vitro</w:t>
      </w:r>
      <w:r w:rsidRPr="003C70ED">
        <w:rPr>
          <w:i/>
          <w:iCs/>
          <w:color w:val="000000"/>
        </w:rPr>
        <w:t xml:space="preserve"> </w:t>
      </w:r>
      <w:r w:rsidRPr="003C70ED">
        <w:rPr>
          <w:color w:val="000000"/>
        </w:rPr>
        <w:t xml:space="preserve">potency; in particular GZR maintains potency against many of the signature RAVs associated with failure to first </w:t>
      </w:r>
      <w:r w:rsidRPr="009B2564">
        <w:rPr>
          <w:color w:val="000000"/>
        </w:rPr>
        <w:t>generation PIs. Baseline NS3/4A variants associated with a &gt;</w:t>
      </w:r>
      <w:r w:rsidR="000D6449" w:rsidRPr="009B2564">
        <w:rPr>
          <w:color w:val="000000"/>
        </w:rPr>
        <w:t xml:space="preserve"> </w:t>
      </w:r>
      <w:r w:rsidRPr="009B2564">
        <w:rPr>
          <w:color w:val="000000"/>
        </w:rPr>
        <w:t>5-fold shift in potency to GZR were present in only</w:t>
      </w:r>
      <w:r w:rsidRPr="003C70ED">
        <w:rPr>
          <w:color w:val="000000"/>
        </w:rPr>
        <w:t xml:space="preserve"> 4/78 (5.1%) subjects, and 3 of these 4 subjects achieved SVR12. Among GT1a</w:t>
      </w:r>
      <w:r w:rsidR="000D6449">
        <w:rPr>
          <w:color w:val="000000"/>
        </w:rPr>
        <w:t xml:space="preserve"> </w:t>
      </w:r>
      <w:r w:rsidRPr="003C70ED">
        <w:rPr>
          <w:color w:val="000000"/>
        </w:rPr>
        <w:t xml:space="preserve">infected subjects, presence of </w:t>
      </w:r>
      <w:r w:rsidRPr="0088381F">
        <w:rPr>
          <w:color w:val="000000"/>
        </w:rPr>
        <w:t>Q80K/R variants did not impact efficacy, again distinguishing GZR from earlier PIs. These results demonstrate that subjects who have failed a prior PI+</w:t>
      </w:r>
      <w:r w:rsidR="0088381F" w:rsidRPr="0088381F">
        <w:rPr>
          <w:color w:val="000000"/>
        </w:rPr>
        <w:t xml:space="preserve"> </w:t>
      </w:r>
      <w:proofErr w:type="spellStart"/>
      <w:r w:rsidR="0088381F" w:rsidRPr="0088381F">
        <w:rPr>
          <w:rFonts w:asciiTheme="minorHAnsi" w:hAnsiTheme="minorHAnsi"/>
          <w:color w:val="000000"/>
          <w:sz w:val="20"/>
          <w:szCs w:val="20"/>
        </w:rPr>
        <w:t>Peginterferon</w:t>
      </w:r>
      <w:proofErr w:type="spellEnd"/>
      <w:r w:rsidR="0088381F" w:rsidRPr="0088381F">
        <w:rPr>
          <w:rFonts w:asciiTheme="minorHAnsi" w:hAnsiTheme="minorHAnsi"/>
          <w:color w:val="000000"/>
          <w:sz w:val="20"/>
          <w:szCs w:val="20"/>
        </w:rPr>
        <w:t xml:space="preserve"> </w:t>
      </w:r>
      <w:proofErr w:type="spellStart"/>
      <w:r w:rsidR="0088381F" w:rsidRPr="0088381F">
        <w:rPr>
          <w:rFonts w:asciiTheme="minorHAnsi" w:hAnsiTheme="minorHAnsi"/>
          <w:color w:val="000000"/>
          <w:sz w:val="20"/>
          <w:szCs w:val="20"/>
        </w:rPr>
        <w:t>alfa</w:t>
      </w:r>
      <w:proofErr w:type="spellEnd"/>
      <w:r w:rsidR="0088381F" w:rsidRPr="0088381F">
        <w:rPr>
          <w:rFonts w:asciiTheme="minorHAnsi" w:hAnsiTheme="minorHAnsi"/>
          <w:color w:val="000000"/>
          <w:sz w:val="20"/>
          <w:szCs w:val="20"/>
        </w:rPr>
        <w:t xml:space="preserve"> + ribavirin </w:t>
      </w:r>
      <w:r w:rsidR="0088381F" w:rsidRPr="0088381F">
        <w:rPr>
          <w:color w:val="000000"/>
        </w:rPr>
        <w:t>(</w:t>
      </w:r>
      <w:r w:rsidRPr="0088381F">
        <w:rPr>
          <w:color w:val="000000"/>
        </w:rPr>
        <w:t>PR</w:t>
      </w:r>
      <w:r w:rsidR="0088381F" w:rsidRPr="0088381F">
        <w:rPr>
          <w:color w:val="000000"/>
        </w:rPr>
        <w:t>)</w:t>
      </w:r>
      <w:r w:rsidRPr="0088381F">
        <w:rPr>
          <w:color w:val="000000"/>
        </w:rPr>
        <w:t xml:space="preserve"> regimen respond similar to those who have failed PR alone, supporting similar dosing recommendations</w:t>
      </w:r>
      <w:r w:rsidRPr="003C70ED">
        <w:rPr>
          <w:color w:val="000000"/>
        </w:rPr>
        <w:t xml:space="preserve"> for these subjects.</w:t>
      </w:r>
    </w:p>
    <w:p w14:paraId="4C3DD391" w14:textId="6FE49AF1" w:rsidR="004A28A8" w:rsidRDefault="00E36CA5" w:rsidP="004A28A8">
      <w:pPr>
        <w:pStyle w:val="Heading4"/>
      </w:pPr>
      <w:r w:rsidRPr="003C70ED">
        <w:t xml:space="preserve">Efficacy of GZR/EBR (no RBV) among </w:t>
      </w:r>
      <w:r w:rsidR="00AA46C6" w:rsidRPr="003C70ED">
        <w:t>pa</w:t>
      </w:r>
      <w:r w:rsidRPr="003C70ED">
        <w:t>tients with CKD Stage 4/5</w:t>
      </w:r>
    </w:p>
    <w:p w14:paraId="421899E7" w14:textId="77777777" w:rsidR="00655550" w:rsidRDefault="00E36CA5" w:rsidP="004A28A8">
      <w:r>
        <w:t>S</w:t>
      </w:r>
      <w:r w:rsidRPr="003C70ED">
        <w:t>tudy P052/C-SURFER demonstrated high efficacy of a 12 week regimen of GZR + EBR</w:t>
      </w:r>
      <w:r>
        <w:t xml:space="preserve"> </w:t>
      </w:r>
      <w:r w:rsidRPr="003C70ED">
        <w:t xml:space="preserve">in CKD 4-5 </w:t>
      </w:r>
      <w:r>
        <w:t xml:space="preserve">HCV-infected patients, </w:t>
      </w:r>
      <w:r w:rsidRPr="003C70ED">
        <w:t>a population for which there is an unmet medical need for safe and effective anti-</w:t>
      </w:r>
      <w:r>
        <w:t xml:space="preserve"> </w:t>
      </w:r>
      <w:r w:rsidRPr="003C70ED">
        <w:t>HCV therapy. High response rates were observed across several subgroups,</w:t>
      </w:r>
      <w:r>
        <w:t xml:space="preserve"> </w:t>
      </w:r>
      <w:r w:rsidRPr="003C70ED">
        <w:t>including subjects on haemodialysis and not on haemodialysis, GT1a and GT1b-infected</w:t>
      </w:r>
      <w:r>
        <w:t xml:space="preserve"> </w:t>
      </w:r>
      <w:r w:rsidRPr="003C70ED">
        <w:t>subjects, treatment-naïve subjects and those who prior interferon treatment failures and,</w:t>
      </w:r>
      <w:r>
        <w:t xml:space="preserve"> </w:t>
      </w:r>
      <w:r w:rsidRPr="003C70ED">
        <w:t>notably, those with characteristics historically associated with poor response to HCV therapy.</w:t>
      </w:r>
      <w:r>
        <w:t xml:space="preserve"> </w:t>
      </w:r>
      <w:r w:rsidRPr="003C70ED">
        <w:t xml:space="preserve">In particular, SVR12 was achieved in 100% of </w:t>
      </w:r>
      <w:r w:rsidR="000D6449">
        <w:t>GT1a infected</w:t>
      </w:r>
      <w:r w:rsidRPr="003C70ED">
        <w:t xml:space="preserve"> subjects,</w:t>
      </w:r>
      <w:r>
        <w:t xml:space="preserve"> </w:t>
      </w:r>
      <w:r w:rsidRPr="003C70ED">
        <w:t>100% of African</w:t>
      </w:r>
      <w:r>
        <w:t xml:space="preserve"> </w:t>
      </w:r>
      <w:r w:rsidRPr="003C70ED">
        <w:t xml:space="preserve">American subjects, 98.9% of subjects with the </w:t>
      </w:r>
      <w:r w:rsidRPr="000D6449">
        <w:rPr>
          <w:iCs/>
        </w:rPr>
        <w:t>IL28B</w:t>
      </w:r>
      <w:r w:rsidRPr="003C70ED">
        <w:rPr>
          <w:i/>
          <w:iCs/>
        </w:rPr>
        <w:t xml:space="preserve"> </w:t>
      </w:r>
      <w:r w:rsidRPr="003C70ED">
        <w:t>non-CC genotype, 97.6% of subjects</w:t>
      </w:r>
      <w:r>
        <w:t xml:space="preserve"> </w:t>
      </w:r>
      <w:r w:rsidRPr="003C70ED">
        <w:t>with diabetes and all 6 subjects with cirrhosis. Efficacy was similar in TN and TE subjects.</w:t>
      </w:r>
    </w:p>
    <w:p w14:paraId="3B23ADFD" w14:textId="77777777" w:rsidR="00655550" w:rsidRDefault="00E36CA5" w:rsidP="004A28A8">
      <w:r>
        <w:t xml:space="preserve">The sponsors claim that due to the </w:t>
      </w:r>
      <w:r w:rsidRPr="003C70ED">
        <w:t>consistency of</w:t>
      </w:r>
      <w:r>
        <w:t xml:space="preserve"> </w:t>
      </w:r>
      <w:r w:rsidRPr="003C70ED">
        <w:t>efficacy of GZR and EBR in GT1, GT4 and GT6</w:t>
      </w:r>
      <w:r w:rsidR="000D6449">
        <w:t xml:space="preserve"> </w:t>
      </w:r>
      <w:r w:rsidRPr="003C70ED">
        <w:t>infected subjects observed in various</w:t>
      </w:r>
      <w:r>
        <w:t xml:space="preserve"> </w:t>
      </w:r>
      <w:r w:rsidRPr="003C70ED">
        <w:t>subgroups throughout the clinical development program, it is anticipated that efficacy in</w:t>
      </w:r>
      <w:r>
        <w:t xml:space="preserve"> </w:t>
      </w:r>
      <w:r w:rsidRPr="003C70ED">
        <w:t>GT4</w:t>
      </w:r>
      <w:r w:rsidR="00135670">
        <w:t xml:space="preserve"> </w:t>
      </w:r>
      <w:r w:rsidRPr="003C70ED">
        <w:t>and GT6</w:t>
      </w:r>
      <w:r w:rsidR="000D6449">
        <w:t xml:space="preserve"> </w:t>
      </w:r>
      <w:r w:rsidRPr="003C70ED">
        <w:t>infected subjects with advanced CKD would be similar to that in subjects</w:t>
      </w:r>
      <w:r>
        <w:t xml:space="preserve"> </w:t>
      </w:r>
      <w:r w:rsidRPr="003C70ED">
        <w:t>with normal renal function infected with these genotypes</w:t>
      </w:r>
      <w:r>
        <w:t xml:space="preserve">. </w:t>
      </w:r>
      <w:r w:rsidRPr="003C70ED">
        <w:t xml:space="preserve">Based on these considerations </w:t>
      </w:r>
      <w:r>
        <w:t xml:space="preserve">the </w:t>
      </w:r>
      <w:r w:rsidRPr="003C70ED">
        <w:t xml:space="preserve">recommended </w:t>
      </w:r>
      <w:r>
        <w:t xml:space="preserve">RBV-free </w:t>
      </w:r>
      <w:r w:rsidRPr="003C70ED">
        <w:t>dosing regimen in</w:t>
      </w:r>
      <w:r>
        <w:t xml:space="preserve"> </w:t>
      </w:r>
      <w:r w:rsidRPr="003C70ED">
        <w:lastRenderedPageBreak/>
        <w:t>patients with advanced CKD, includ</w:t>
      </w:r>
      <w:r>
        <w:t xml:space="preserve">ing those on </w:t>
      </w:r>
      <w:r w:rsidRPr="005338EE">
        <w:t>dialysis, would be 12 weeks of GZR/EBR (100/5</w:t>
      </w:r>
      <w:r w:rsidR="004C1037">
        <w:t>0 mg</w:t>
      </w:r>
      <w:r w:rsidRPr="005338EE">
        <w:t xml:space="preserve"> QD) in treatment-naive GT1-, </w:t>
      </w:r>
      <w:r w:rsidR="00ED41DC">
        <w:t>GT4</w:t>
      </w:r>
      <w:r w:rsidRPr="005338EE">
        <w:t xml:space="preserve"> or </w:t>
      </w:r>
      <w:r w:rsidR="00ED41DC">
        <w:t>GT6 infected</w:t>
      </w:r>
      <w:r w:rsidRPr="005338EE">
        <w:t xml:space="preserve"> subjects, all GT1b-infected subjects and GT1a, GT4</w:t>
      </w:r>
      <w:r w:rsidR="00135670">
        <w:t xml:space="preserve">  </w:t>
      </w:r>
      <w:r w:rsidRPr="005338EE">
        <w:t>and GT6</w:t>
      </w:r>
      <w:r w:rsidR="00135670">
        <w:t xml:space="preserve">  </w:t>
      </w:r>
      <w:r w:rsidRPr="005338EE">
        <w:t xml:space="preserve">infected subject who relapsed after a prior interferon-based regimen. </w:t>
      </w:r>
      <w:r>
        <w:t>Due to lack of an oral, RBV</w:t>
      </w:r>
      <w:r w:rsidR="000D6449">
        <w:t xml:space="preserve"> </w:t>
      </w:r>
      <w:r>
        <w:t>free treatment option in these patients, the above justification provided by the sponsor is acceptable, although efficacy/ safety of GZR+EBR has not actually been evaluated in CKD patients with HCV GT4 or GT6.</w:t>
      </w:r>
    </w:p>
    <w:p w14:paraId="4C3DD394" w14:textId="44D504BD" w:rsidR="004A28A8" w:rsidRDefault="00E36CA5" w:rsidP="004A28A8">
      <w:pPr>
        <w:pStyle w:val="Heading4"/>
      </w:pPr>
      <w:r w:rsidRPr="00C56216">
        <w:t>Impact of baseline RAVs in TN subjects</w:t>
      </w:r>
    </w:p>
    <w:p w14:paraId="4C3DD395" w14:textId="77777777" w:rsidR="00E36CA5" w:rsidRPr="003C70ED" w:rsidRDefault="00E36CA5" w:rsidP="004A28A8">
      <w:r w:rsidRPr="000765B3">
        <w:t>T</w:t>
      </w:r>
      <w:r w:rsidRPr="003C70ED">
        <w:t>here was no evident association between baseline NS3</w:t>
      </w:r>
      <w:r>
        <w:t xml:space="preserve"> </w:t>
      </w:r>
      <w:r w:rsidRPr="003C70ED">
        <w:t xml:space="preserve">RAVs and virologic failure in either </w:t>
      </w:r>
      <w:r w:rsidR="000D6449">
        <w:t>GT1a</w:t>
      </w:r>
      <w:r w:rsidRPr="003C70ED">
        <w:t xml:space="preserve"> or GT1b-infected subjects overall or in key</w:t>
      </w:r>
      <w:r>
        <w:t xml:space="preserve"> </w:t>
      </w:r>
      <w:r w:rsidRPr="003C70ED">
        <w:t>subgroups. The Q80K mutation, which has been associated with decreased efficacy among GT1a</w:t>
      </w:r>
      <w:r>
        <w:t xml:space="preserve"> </w:t>
      </w:r>
      <w:r w:rsidRPr="003C70ED">
        <w:t>infected</w:t>
      </w:r>
      <w:r>
        <w:t xml:space="preserve"> </w:t>
      </w:r>
      <w:r w:rsidRPr="003C70ED">
        <w:t xml:space="preserve">subjects treated with </w:t>
      </w:r>
      <w:proofErr w:type="spellStart"/>
      <w:r w:rsidRPr="003C70ED">
        <w:t>simeprevir</w:t>
      </w:r>
      <w:proofErr w:type="spellEnd"/>
      <w:r w:rsidRPr="003C70ED">
        <w:t>/PR</w:t>
      </w:r>
      <w:r w:rsidRPr="003C70ED">
        <w:rPr>
          <w:color w:val="0000FF"/>
        </w:rPr>
        <w:t xml:space="preserve">, </w:t>
      </w:r>
      <w:r w:rsidRPr="003C70ED">
        <w:t>was detected more</w:t>
      </w:r>
      <w:r>
        <w:t xml:space="preserve"> </w:t>
      </w:r>
      <w:r w:rsidRPr="003C70ED">
        <w:t xml:space="preserve">than a third </w:t>
      </w:r>
      <w:r w:rsidR="000D6449">
        <w:t xml:space="preserve">GT1a </w:t>
      </w:r>
      <w:r w:rsidRPr="003C70ED">
        <w:t>infected TN subjects, but there was no association between the presence of</w:t>
      </w:r>
      <w:r>
        <w:t xml:space="preserve"> </w:t>
      </w:r>
      <w:r w:rsidRPr="003C70ED">
        <w:t>baseline Q80K and treatment response. NS5A RAVs were less prevalent than NS3 RAVs among GT1-infected subjects:</w:t>
      </w:r>
      <w:r>
        <w:t xml:space="preserve"> </w:t>
      </w:r>
      <w:r w:rsidRPr="003C70ED">
        <w:t>approximately 9% of GT1-infected subjects had NS5A RAVs, and approximately 3% of</w:t>
      </w:r>
      <w:r>
        <w:t xml:space="preserve"> </w:t>
      </w:r>
      <w:r w:rsidRPr="003C70ED">
        <w:t>GT1</w:t>
      </w:r>
      <w:r w:rsidR="000D6449">
        <w:t xml:space="preserve"> </w:t>
      </w:r>
      <w:r w:rsidRPr="003C70ED">
        <w:t xml:space="preserve">infected subjects had NS5A RAVs which conferred &gt;5-fold resistance to EBR. This impact was most apparent in </w:t>
      </w:r>
      <w:r w:rsidR="000D6449">
        <w:t>GT1a infected</w:t>
      </w:r>
      <w:r w:rsidRPr="003C70ED">
        <w:t xml:space="preserve"> subjects with baseline viral loads &gt;800,000</w:t>
      </w:r>
      <w:r>
        <w:t xml:space="preserve"> </w:t>
      </w:r>
      <w:r w:rsidRPr="003C70ED">
        <w:t>IU/mL, though it should be noted that this subgroup represents only 5.3% of the total cohort</w:t>
      </w:r>
      <w:r>
        <w:t xml:space="preserve"> </w:t>
      </w:r>
      <w:r w:rsidRPr="003C70ED">
        <w:t>of TN subjects with HCV GT1a infection. There was a very modest (and not statistically</w:t>
      </w:r>
      <w:r>
        <w:t xml:space="preserve"> </w:t>
      </w:r>
      <w:r w:rsidRPr="003C70ED">
        <w:t xml:space="preserve">significant) negative impact of baseline NS5A RAVs on SVR12 in TN GT1b subjects. The impact of NS3 and NS5A RAVs in </w:t>
      </w:r>
      <w:r w:rsidR="00ED41DC">
        <w:t>GT4</w:t>
      </w:r>
      <w:r w:rsidRPr="003C70ED">
        <w:t xml:space="preserve"> and </w:t>
      </w:r>
      <w:r w:rsidR="00ED41DC">
        <w:t>GT6 infected</w:t>
      </w:r>
      <w:r w:rsidRPr="003C70ED">
        <w:t xml:space="preserve"> subjects was similar to that</w:t>
      </w:r>
      <w:r>
        <w:t xml:space="preserve"> </w:t>
      </w:r>
      <w:r w:rsidRPr="003C70ED">
        <w:t>observed in GT1</w:t>
      </w:r>
      <w:r w:rsidR="00ED41DC">
        <w:t xml:space="preserve"> </w:t>
      </w:r>
      <w:r w:rsidRPr="003C70ED">
        <w:t>infected subjects.</w:t>
      </w:r>
    </w:p>
    <w:p w14:paraId="4C3DD396" w14:textId="77777777" w:rsidR="004A28A8" w:rsidRDefault="00E36CA5" w:rsidP="004A28A8">
      <w:pPr>
        <w:pStyle w:val="Heading4"/>
      </w:pPr>
      <w:r w:rsidRPr="00C56216">
        <w:t>Impact of baseline RAVs in TE subjects</w:t>
      </w:r>
    </w:p>
    <w:p w14:paraId="5B4E85B1" w14:textId="77777777" w:rsidR="00655550" w:rsidRDefault="00E36CA5" w:rsidP="004A28A8">
      <w:r w:rsidRPr="003C70ED">
        <w:t>There was a higher prevalence of baseline</w:t>
      </w:r>
      <w:r>
        <w:t xml:space="preserve"> </w:t>
      </w:r>
      <w:r w:rsidRPr="003C70ED">
        <w:t xml:space="preserve">NS3 RAVs in </w:t>
      </w:r>
      <w:r w:rsidR="000D6449">
        <w:t>GT1a infected</w:t>
      </w:r>
      <w:r w:rsidRPr="003C70ED">
        <w:t xml:space="preserve"> subjects than in subjects infected with GT1b, and a slightly</w:t>
      </w:r>
      <w:r>
        <w:t xml:space="preserve"> </w:t>
      </w:r>
      <w:r w:rsidRPr="003C70ED">
        <w:t xml:space="preserve">lower proportion of </w:t>
      </w:r>
      <w:r w:rsidR="000D6449">
        <w:t>GT1a infected</w:t>
      </w:r>
      <w:r w:rsidRPr="003C70ED">
        <w:t xml:space="preserve"> subjects who had baseline NS3 RAVs achieved SVR12</w:t>
      </w:r>
      <w:r>
        <w:t xml:space="preserve"> </w:t>
      </w:r>
      <w:r w:rsidRPr="003C70ED">
        <w:t>compared with GT1b-infected subjects. However, since 9/11 (82%) of GT1-infected patients</w:t>
      </w:r>
      <w:r>
        <w:t xml:space="preserve"> </w:t>
      </w:r>
      <w:r w:rsidRPr="003C70ED">
        <w:t>with baseline NS3 RAVs who experienced virologic failure also had baseline NS5A RAVs, it</w:t>
      </w:r>
      <w:r>
        <w:t xml:space="preserve"> </w:t>
      </w:r>
      <w:r w:rsidRPr="003C70ED">
        <w:t>is not clear that the baseline NS3 RAVs were a critical driver of virologic failure.</w:t>
      </w:r>
      <w:r>
        <w:t xml:space="preserve"> </w:t>
      </w:r>
      <w:r w:rsidRPr="003C70ED">
        <w:t>As in TN subjects, the presence of baseline NS5A RAVs that cause a &gt;5-fold shift in the</w:t>
      </w:r>
      <w:r>
        <w:t xml:space="preserve"> </w:t>
      </w:r>
      <w:r w:rsidRPr="003C70ED">
        <w:t xml:space="preserve">potency of </w:t>
      </w:r>
      <w:r w:rsidRPr="00ED41DC">
        <w:t xml:space="preserve">EBR </w:t>
      </w:r>
      <w:r w:rsidRPr="00ED41DC">
        <w:rPr>
          <w:iCs/>
        </w:rPr>
        <w:t>in vitro</w:t>
      </w:r>
      <w:r w:rsidRPr="003C70ED">
        <w:rPr>
          <w:i/>
          <w:iCs/>
        </w:rPr>
        <w:t xml:space="preserve"> </w:t>
      </w:r>
      <w:r w:rsidRPr="003C70ED">
        <w:t xml:space="preserve">among TE </w:t>
      </w:r>
      <w:r w:rsidR="000D6449">
        <w:t>GT1a infected</w:t>
      </w:r>
      <w:r w:rsidRPr="003C70ED">
        <w:t xml:space="preserve"> subjects was associated with a substantial</w:t>
      </w:r>
      <w:r>
        <w:t xml:space="preserve"> </w:t>
      </w:r>
      <w:r w:rsidRPr="003C70ED">
        <w:t>reduction in efficacy. Subjects with baseline RAVs that confer &gt; 5-fold shift in potency to</w:t>
      </w:r>
      <w:r>
        <w:t xml:space="preserve"> </w:t>
      </w:r>
      <w:r w:rsidRPr="003C70ED">
        <w:t xml:space="preserve">EBR accounted for only 7.8% (26/334) of </w:t>
      </w:r>
      <w:r w:rsidR="000D6449">
        <w:t>GT1a infected</w:t>
      </w:r>
      <w:r w:rsidRPr="003C70ED">
        <w:t xml:space="preserve"> subjects, but comprised 76.5%</w:t>
      </w:r>
      <w:r>
        <w:t xml:space="preserve"> </w:t>
      </w:r>
      <w:r w:rsidRPr="003C70ED">
        <w:t>(13/17) of all GT1a virologic failures.</w:t>
      </w:r>
      <w:r>
        <w:t xml:space="preserve"> </w:t>
      </w:r>
      <w:r w:rsidRPr="003C70ED">
        <w:t xml:space="preserve">The impact of NS3 and NS5A RAVs in </w:t>
      </w:r>
      <w:r w:rsidR="00ED41DC">
        <w:t>GT4</w:t>
      </w:r>
      <w:r w:rsidRPr="003C70ED">
        <w:t xml:space="preserve"> and </w:t>
      </w:r>
      <w:r w:rsidR="00ED41DC">
        <w:t>GT6 infected</w:t>
      </w:r>
      <w:r w:rsidRPr="003C70ED">
        <w:t xml:space="preserve"> subjects was similar to that</w:t>
      </w:r>
      <w:r>
        <w:t xml:space="preserve"> </w:t>
      </w:r>
      <w:r w:rsidRPr="003C70ED">
        <w:t xml:space="preserve">observed in </w:t>
      </w:r>
      <w:r w:rsidR="000D6449">
        <w:t>GT1a infected</w:t>
      </w:r>
      <w:r w:rsidRPr="003C70ED">
        <w:t xml:space="preserve"> subjects.</w:t>
      </w:r>
    </w:p>
    <w:p w14:paraId="4C3DD398" w14:textId="62D688E4" w:rsidR="004A28A8" w:rsidRDefault="00E36CA5" w:rsidP="004A28A8">
      <w:pPr>
        <w:pStyle w:val="Heading4"/>
      </w:pPr>
      <w:r w:rsidRPr="00C56216">
        <w:t>Post-baseline RAVs</w:t>
      </w:r>
    </w:p>
    <w:p w14:paraId="4C3DD399" w14:textId="77777777" w:rsidR="00E36CA5" w:rsidRPr="003C70ED" w:rsidRDefault="00E36CA5" w:rsidP="004A28A8">
      <w:r w:rsidRPr="003C70ED">
        <w:t>In both TN and TE subjects, treatment-emergent RAVs in the NS3 and/or NS5A genes were</w:t>
      </w:r>
      <w:r>
        <w:t xml:space="preserve"> </w:t>
      </w:r>
      <w:r w:rsidRPr="003C70ED">
        <w:t>commonly observed in subjects experiencing virologic failure, although there were</w:t>
      </w:r>
      <w:r>
        <w:t xml:space="preserve"> </w:t>
      </w:r>
      <w:r w:rsidRPr="003C70ED">
        <w:t>differences according to genotype. NS3 RAVs conferring &gt;5-fold shift in GZR potency were</w:t>
      </w:r>
      <w:r>
        <w:t xml:space="preserve"> </w:t>
      </w:r>
      <w:r w:rsidRPr="003C70ED">
        <w:t>more commonly observed in GT1a subjects than in GT1b-infected subjects, although the</w:t>
      </w:r>
      <w:r>
        <w:t xml:space="preserve"> </w:t>
      </w:r>
      <w:r w:rsidRPr="003C70ED">
        <w:t>small number of GT1b failures precludes definitive conclusions. NS5A RAVs conferring</w:t>
      </w:r>
      <w:r>
        <w:t xml:space="preserve"> </w:t>
      </w:r>
      <w:r w:rsidRPr="003C70ED">
        <w:t>&gt;5-fold shift in EBR potency were observed in equal proportions in GT1a failures and GT1b</w:t>
      </w:r>
      <w:r>
        <w:t xml:space="preserve"> </w:t>
      </w:r>
      <w:r w:rsidRPr="003C70ED">
        <w:t xml:space="preserve">failures. Treatment-emergent RAVs were also noted in the GT4 and </w:t>
      </w:r>
      <w:r w:rsidR="00ED41DC">
        <w:t>GT6 infected</w:t>
      </w:r>
      <w:r w:rsidRPr="003C70ED">
        <w:t xml:space="preserve"> subjects</w:t>
      </w:r>
      <w:r>
        <w:t xml:space="preserve"> </w:t>
      </w:r>
      <w:r w:rsidRPr="003C70ED">
        <w:t>that experienced virologic failure, though the small number of failures with these genotypes</w:t>
      </w:r>
      <w:r>
        <w:t xml:space="preserve"> </w:t>
      </w:r>
      <w:r w:rsidRPr="003C70ED">
        <w:t>also precludes definitive conclusions.</w:t>
      </w:r>
    </w:p>
    <w:p w14:paraId="4C3DD39A" w14:textId="77777777" w:rsidR="004A28A8" w:rsidRDefault="00E36CA5" w:rsidP="004A28A8">
      <w:pPr>
        <w:pStyle w:val="Heading4"/>
      </w:pPr>
      <w:r w:rsidRPr="003C70ED">
        <w:t xml:space="preserve">Durability of </w:t>
      </w:r>
      <w:r w:rsidR="00ED41DC">
        <w:t>e</w:t>
      </w:r>
      <w:r w:rsidRPr="003C70ED">
        <w:t xml:space="preserve">fficacy, and </w:t>
      </w:r>
      <w:r w:rsidR="00ED41DC">
        <w:t>long-t</w:t>
      </w:r>
      <w:r w:rsidRPr="003C70ED">
        <w:t xml:space="preserve">erm </w:t>
      </w:r>
      <w:r w:rsidR="00ED41DC">
        <w:t>impact of virologic f</w:t>
      </w:r>
      <w:r w:rsidRPr="003C70ED">
        <w:t>ailure</w:t>
      </w:r>
    </w:p>
    <w:p w14:paraId="4C3DD39B" w14:textId="77777777" w:rsidR="00E36CA5" w:rsidRDefault="00E36CA5" w:rsidP="004A28A8">
      <w:r w:rsidRPr="003C70ED">
        <w:t>At the time of this submission, only limited data are available on the durability of efficacy</w:t>
      </w:r>
      <w:r>
        <w:t xml:space="preserve"> as SVR24 (secondary efficacy endpoints for many studies) data was not available for </w:t>
      </w:r>
      <w:r w:rsidR="00ED41DC">
        <w:lastRenderedPageBreak/>
        <w:t>S</w:t>
      </w:r>
      <w:r>
        <w:t>tudies P060, P052 and P068. Furthermore, primary efficacy (SVR12) results for studies P058 in Japanese HCV subjects and study P059 in HCV patients with cirrhosis (CP score 7-9) were also not available and will only be provided in future study reports.</w:t>
      </w:r>
      <w:r w:rsidR="00D80B0A">
        <w:t xml:space="preserve"> </w:t>
      </w:r>
      <w:r>
        <w:t>The ongoing, long-term follow-up study P017 was designed to evaluate long term development of resistance</w:t>
      </w:r>
      <w:r w:rsidR="00ED41DC">
        <w:t xml:space="preserve"> and so on</w:t>
      </w:r>
      <w:r>
        <w:t xml:space="preserve"> in over 300 subjects treated with GZR/EBR</w:t>
      </w:r>
      <w:r w:rsidR="00ED41DC">
        <w:t xml:space="preserve"> ± </w:t>
      </w:r>
      <w:r>
        <w:t xml:space="preserve">RBV with follow-up for 5 years. </w:t>
      </w:r>
      <w:r>
        <w:rPr>
          <w:color w:val="000000"/>
        </w:rPr>
        <w:t xml:space="preserve">Overall, </w:t>
      </w:r>
      <w:r w:rsidRPr="00B108AB">
        <w:rPr>
          <w:color w:val="000000"/>
        </w:rPr>
        <w:t>it is not possible to determine the persistence of NS3 and NS5A RAVs</w:t>
      </w:r>
      <w:r>
        <w:rPr>
          <w:color w:val="000000"/>
        </w:rPr>
        <w:t xml:space="preserve"> </w:t>
      </w:r>
      <w:r w:rsidRPr="00B108AB">
        <w:rPr>
          <w:color w:val="000000"/>
        </w:rPr>
        <w:t xml:space="preserve">that emerge among subjects who fail to achieve SVR following </w:t>
      </w:r>
      <w:r>
        <w:rPr>
          <w:color w:val="000000"/>
        </w:rPr>
        <w:t>GZR+EBR treatment due to</w:t>
      </w:r>
      <w:r w:rsidRPr="00B108AB">
        <w:rPr>
          <w:color w:val="000000"/>
        </w:rPr>
        <w:t xml:space="preserve"> the small number of failures to date and the short follow-up</w:t>
      </w:r>
      <w:r>
        <w:rPr>
          <w:color w:val="000000"/>
        </w:rPr>
        <w:t xml:space="preserve"> duration.</w:t>
      </w:r>
    </w:p>
    <w:p w14:paraId="4C3DD39C" w14:textId="77777777" w:rsidR="004A28A8" w:rsidRDefault="00ED41DC" w:rsidP="004A28A8">
      <w:pPr>
        <w:pStyle w:val="Heading4"/>
      </w:pPr>
      <w:r>
        <w:t xml:space="preserve">GZR/EBR + </w:t>
      </w:r>
      <w:proofErr w:type="spellStart"/>
      <w:r>
        <w:t>s</w:t>
      </w:r>
      <w:r w:rsidR="00E36CA5" w:rsidRPr="00E22AE4">
        <w:t>ofosbuvir</w:t>
      </w:r>
      <w:proofErr w:type="spellEnd"/>
      <w:r w:rsidR="00E36CA5" w:rsidRPr="00E22AE4">
        <w:t xml:space="preserve"> amon</w:t>
      </w:r>
      <w:r>
        <w:t>g treatment-naïve GT3-infected s</w:t>
      </w:r>
      <w:r w:rsidR="00E36CA5" w:rsidRPr="00E22AE4">
        <w:t xml:space="preserve">ubjects </w:t>
      </w:r>
      <w:r>
        <w:t>w</w:t>
      </w:r>
      <w:r w:rsidR="00E36CA5" w:rsidRPr="00E22AE4">
        <w:t xml:space="preserve">ith and </w:t>
      </w:r>
      <w:r>
        <w:t>w</w:t>
      </w:r>
      <w:r w:rsidR="00E36CA5" w:rsidRPr="00E22AE4">
        <w:t xml:space="preserve">ithout </w:t>
      </w:r>
      <w:r>
        <w:t>c</w:t>
      </w:r>
      <w:r w:rsidR="00E36CA5" w:rsidRPr="00E22AE4">
        <w:t>irrhosis</w:t>
      </w:r>
    </w:p>
    <w:p w14:paraId="4C3DD39D" w14:textId="77777777" w:rsidR="00E36CA5" w:rsidRPr="003C70ED" w:rsidRDefault="00E36CA5" w:rsidP="004A28A8">
      <w:r w:rsidRPr="004076E0">
        <w:t>With other</w:t>
      </w:r>
      <w:r w:rsidRPr="003C70ED">
        <w:t xml:space="preserve"> DAA regimens, efficacy for the HCV GT3 infected populations has been less</w:t>
      </w:r>
      <w:r>
        <w:t xml:space="preserve"> </w:t>
      </w:r>
      <w:r w:rsidRPr="003C70ED">
        <w:t>robust than the GT1 infected population and a longer duration of treatment may be necessary</w:t>
      </w:r>
      <w:r>
        <w:t xml:space="preserve"> </w:t>
      </w:r>
      <w:r w:rsidRPr="003C70ED">
        <w:t>for some regimens. Patients with HCV GT3 infection have been well studied in SOF</w:t>
      </w:r>
      <w:r>
        <w:t xml:space="preserve"> </w:t>
      </w:r>
      <w:r w:rsidRPr="003C70ED">
        <w:t>containing regimens. For SOF + RBV high efficacy requires extending duration from 12 to</w:t>
      </w:r>
      <w:r>
        <w:t xml:space="preserve"> </w:t>
      </w:r>
      <w:r w:rsidRPr="003C70ED">
        <w:t>24 weeks. P074/C-SWIFT was conducted to evaluate the regimen combining 3</w:t>
      </w:r>
      <w:r>
        <w:t xml:space="preserve"> </w:t>
      </w:r>
      <w:r w:rsidRPr="003C70ED">
        <w:t xml:space="preserve">different direct acting antiviral with </w:t>
      </w:r>
      <w:r>
        <w:t>different mechanisms of actions (</w:t>
      </w:r>
      <w:r w:rsidRPr="003C70ED">
        <w:t>GZR+EBR+SOF</w:t>
      </w:r>
      <w:r>
        <w:t>)</w:t>
      </w:r>
      <w:r w:rsidRPr="003C70ED">
        <w:t xml:space="preserve"> in GT3-infected subjects. The results of this trial demonstrated that high efficacy was obtained in GT3 TN subjects</w:t>
      </w:r>
      <w:r>
        <w:t xml:space="preserve"> </w:t>
      </w:r>
      <w:r w:rsidRPr="003C70ED">
        <w:t>with and without cirrhosis treated for 8 or 12 weeks; SVR12 was achieved in 14/15 (93.3%)</w:t>
      </w:r>
      <w:r>
        <w:t xml:space="preserve"> </w:t>
      </w:r>
      <w:r w:rsidRPr="003C70ED">
        <w:t>and 14/14 (100%) non-cirrhotic subjects treated for 8 or 12 weeks, respectively, and in 10/12</w:t>
      </w:r>
      <w:r>
        <w:t xml:space="preserve"> </w:t>
      </w:r>
      <w:r w:rsidRPr="003C70ED">
        <w:t>(83.3%) of cirrhotic subjects treated for 12 weeks. The efficacy was comparable to that</w:t>
      </w:r>
      <w:r>
        <w:t xml:space="preserve"> </w:t>
      </w:r>
      <w:r w:rsidRPr="003C70ED">
        <w:t>observed with the approved regimen of SOF + PR administered for 24 weeks.</w:t>
      </w:r>
    </w:p>
    <w:p w14:paraId="3715459E" w14:textId="77777777" w:rsidR="00655550" w:rsidRDefault="00E36CA5" w:rsidP="004A28A8">
      <w:r w:rsidRPr="003472AC">
        <w:t>There are 3 ongoing trials hoping to provide evidence for efficacy and safety of proposed FDC GZ</w:t>
      </w:r>
      <w:r>
        <w:t>R</w:t>
      </w:r>
      <w:r w:rsidRPr="003472AC">
        <w:t>/EBR 100/ 50</w:t>
      </w:r>
      <w:r w:rsidR="00ED41DC">
        <w:t xml:space="preserve"> </w:t>
      </w:r>
      <w:r w:rsidRPr="003472AC">
        <w:t xml:space="preserve">mg in certain patient populations prone to chronic HCV: The </w:t>
      </w:r>
      <w:r w:rsidR="004A28A8">
        <w:t>Phase II</w:t>
      </w:r>
      <w:r w:rsidRPr="003472AC">
        <w:t xml:space="preserve"> trial (P059) is being conducted in HCV patients with cirrhosis, the </w:t>
      </w:r>
      <w:r w:rsidR="004A28A8">
        <w:t>Phase III</w:t>
      </w:r>
      <w:r w:rsidRPr="003472AC">
        <w:t xml:space="preserve"> </w:t>
      </w:r>
      <w:r w:rsidR="00ED41DC">
        <w:t>S</w:t>
      </w:r>
      <w:r w:rsidRPr="003472AC">
        <w:t xml:space="preserve">tudy P062 is being conducted in HCV patients receiving opiate substitution therapy while </w:t>
      </w:r>
      <w:r w:rsidR="00ED41DC">
        <w:t>S</w:t>
      </w:r>
      <w:r w:rsidRPr="003472AC">
        <w:t>tudy P065 is being conducted in HCV patients with Inherited blood disorders (IBD). These studies hope to provide important data in these patient subgroups with an unmet medical need who continue to be treated with older HCV PR based regimens despite availability of more effective and tolerable DAA based treatment regimens. However, these trials were ongoing at the time of the submission and efficacy data from these trials are not yet available.</w:t>
      </w:r>
    </w:p>
    <w:p w14:paraId="4C3DD39F" w14:textId="6E6BC298" w:rsidR="00E36CA5" w:rsidRPr="00E36CA5" w:rsidRDefault="00E36CA5" w:rsidP="004A28A8">
      <w:r w:rsidRPr="000B4671">
        <w:t>Overall, the comprehensive clinical program provided adequate evidence of efficacy of the FDC GZR/EBR (100/50</w:t>
      </w:r>
      <w:r w:rsidR="00ED41DC">
        <w:t xml:space="preserve"> </w:t>
      </w:r>
      <w:r w:rsidRPr="000B4671">
        <w:t>mg) for the proposed indication.</w:t>
      </w:r>
    </w:p>
    <w:p w14:paraId="4C3DD3A0" w14:textId="77777777" w:rsidR="008E7846" w:rsidRPr="002E238E" w:rsidRDefault="008E7846" w:rsidP="008E7846">
      <w:pPr>
        <w:pStyle w:val="Heading3"/>
      </w:pPr>
      <w:bookmarkStart w:id="96" w:name="_Toc163441378"/>
      <w:bookmarkStart w:id="97" w:name="_Toc196046495"/>
      <w:bookmarkStart w:id="98" w:name="_Toc247691522"/>
      <w:bookmarkStart w:id="99" w:name="_Toc314842505"/>
      <w:bookmarkStart w:id="100" w:name="_Toc484510894"/>
      <w:bookmarkEnd w:id="88"/>
      <w:bookmarkEnd w:id="89"/>
      <w:bookmarkEnd w:id="90"/>
      <w:bookmarkEnd w:id="91"/>
      <w:r w:rsidRPr="002E238E">
        <w:t>Safety</w:t>
      </w:r>
      <w:bookmarkEnd w:id="96"/>
      <w:bookmarkEnd w:id="97"/>
      <w:bookmarkEnd w:id="98"/>
      <w:bookmarkEnd w:id="99"/>
      <w:bookmarkEnd w:id="100"/>
    </w:p>
    <w:p w14:paraId="4C3DD3A1" w14:textId="77777777" w:rsidR="00605AD4" w:rsidRDefault="00605AD4" w:rsidP="00605AD4">
      <w:pPr>
        <w:pStyle w:val="Heading4"/>
      </w:pPr>
      <w:bookmarkStart w:id="101" w:name="_Toc247691524"/>
      <w:bookmarkStart w:id="102" w:name="_Toc314842508"/>
      <w:bookmarkStart w:id="103" w:name="_Toc196046504"/>
      <w:bookmarkStart w:id="104" w:name="_Toc163441390"/>
      <w:r w:rsidRPr="00605AD4">
        <w:t>Studies providing safety data</w:t>
      </w:r>
    </w:p>
    <w:p w14:paraId="4C3DD3A2" w14:textId="77777777" w:rsidR="00E36CA5" w:rsidRDefault="00E36CA5" w:rsidP="00ED41DC">
      <w:bookmarkStart w:id="105" w:name="_Ref268776745"/>
      <w:r w:rsidRPr="003472AC">
        <w:t>The following studies provided evaluable safety data:</w:t>
      </w:r>
    </w:p>
    <w:bookmarkEnd w:id="105"/>
    <w:p w14:paraId="4C3DD3A3" w14:textId="49F48E16" w:rsidR="00ED41DC" w:rsidRDefault="00E36CA5" w:rsidP="00ED41DC">
      <w:pPr>
        <w:pStyle w:val="Heading5"/>
      </w:pPr>
      <w:r w:rsidRPr="00305CC5">
        <w:t xml:space="preserve">Pivotal </w:t>
      </w:r>
      <w:r w:rsidR="00AA46C6" w:rsidRPr="00305CC5">
        <w:t>e</w:t>
      </w:r>
      <w:r w:rsidRPr="00305CC5">
        <w:t>fficacy studies</w:t>
      </w:r>
    </w:p>
    <w:p w14:paraId="4C3DD3A4" w14:textId="77777777" w:rsidR="00E36CA5" w:rsidRDefault="00E36CA5" w:rsidP="00ED41DC">
      <w:pPr>
        <w:rPr>
          <w:rFonts w:eastAsia="TimesNewRoman" w:cs="TimesNewRoman"/>
        </w:rPr>
      </w:pPr>
      <w:r w:rsidRPr="00305CC5">
        <w:rPr>
          <w:rFonts w:eastAsia="TimesNewRoman" w:cs="TimesNewRoman"/>
        </w:rPr>
        <w:t xml:space="preserve">Six </w:t>
      </w:r>
      <w:r w:rsidR="004A28A8">
        <w:rPr>
          <w:rFonts w:eastAsia="TimesNewRoman" w:cs="TimesNewRoman"/>
        </w:rPr>
        <w:t>Phase III</w:t>
      </w:r>
      <w:r w:rsidRPr="00305CC5">
        <w:rPr>
          <w:rFonts w:eastAsia="TimesNewRoman" w:cs="TimesNewRoman"/>
        </w:rPr>
        <w:t xml:space="preserve"> studies evaluated combined therapy with GZR and EBR among 1687</w:t>
      </w:r>
      <w:r>
        <w:rPr>
          <w:rFonts w:eastAsia="TimesNewRoman" w:cs="TimesNewRoman"/>
        </w:rPr>
        <w:t xml:space="preserve"> </w:t>
      </w:r>
      <w:r w:rsidRPr="00305CC5">
        <w:rPr>
          <w:rFonts w:eastAsia="TimesNewRoman" w:cs="TimesNewRoman"/>
        </w:rPr>
        <w:t xml:space="preserve">subjects. Of the six </w:t>
      </w:r>
      <w:r w:rsidR="004A28A8">
        <w:rPr>
          <w:rFonts w:eastAsia="TimesNewRoman" w:cs="TimesNewRoman"/>
        </w:rPr>
        <w:t>Phase III</w:t>
      </w:r>
      <w:r w:rsidRPr="00305CC5">
        <w:rPr>
          <w:rFonts w:eastAsia="TimesNewRoman" w:cs="TimesNewRoman"/>
        </w:rPr>
        <w:t xml:space="preserve"> studies, 1 study (P052) administered the study drug as</w:t>
      </w:r>
      <w:r>
        <w:rPr>
          <w:rFonts w:eastAsia="TimesNewRoman" w:cs="TimesNewRoman"/>
        </w:rPr>
        <w:t xml:space="preserve"> </w:t>
      </w:r>
      <w:r w:rsidRPr="00305CC5">
        <w:rPr>
          <w:rFonts w:eastAsia="TimesNewRoman" w:cs="TimesNewRoman"/>
        </w:rPr>
        <w:t>two separate tablets (GZR + EBR in the immediate treatment group) and 5 studies (P060, P061, P062,</w:t>
      </w:r>
      <w:r>
        <w:rPr>
          <w:rFonts w:eastAsia="TimesNewRoman" w:cs="TimesNewRoman"/>
        </w:rPr>
        <w:t xml:space="preserve"> P</w:t>
      </w:r>
      <w:r w:rsidRPr="00305CC5">
        <w:rPr>
          <w:rFonts w:eastAsia="TimesNewRoman" w:cs="TimesNewRoman"/>
        </w:rPr>
        <w:t>065</w:t>
      </w:r>
      <w:r>
        <w:rPr>
          <w:rFonts w:eastAsia="TimesNewRoman" w:cs="TimesNewRoman"/>
        </w:rPr>
        <w:t xml:space="preserve"> </w:t>
      </w:r>
      <w:r w:rsidRPr="00305CC5">
        <w:rPr>
          <w:rFonts w:eastAsia="TimesNewRoman" w:cs="TimesNewRoman"/>
        </w:rPr>
        <w:t>and P068) administered the study drug</w:t>
      </w:r>
      <w:r>
        <w:rPr>
          <w:rFonts w:eastAsia="TimesNewRoman" w:cs="TimesNewRoman"/>
        </w:rPr>
        <w:t xml:space="preserve"> </w:t>
      </w:r>
      <w:r w:rsidRPr="00305CC5">
        <w:rPr>
          <w:rFonts w:eastAsia="TimesNewRoman" w:cs="TimesNewRoman"/>
        </w:rPr>
        <w:t>as a fixed-dose combination (GZB/EBR</w:t>
      </w:r>
      <w:r>
        <w:rPr>
          <w:rFonts w:eastAsia="TimesNewRoman" w:cs="TimesNewRoman"/>
        </w:rPr>
        <w:t xml:space="preserve">). However, </w:t>
      </w:r>
      <w:r w:rsidR="00135670">
        <w:rPr>
          <w:rFonts w:eastAsia="TimesNewRoman" w:cs="TimesNewRoman"/>
        </w:rPr>
        <w:t>S</w:t>
      </w:r>
      <w:r>
        <w:rPr>
          <w:rFonts w:eastAsia="TimesNewRoman" w:cs="TimesNewRoman"/>
        </w:rPr>
        <w:t xml:space="preserve">tudies P062 and P065 are ongoing with limited safety data provided in the current submission which has been summarised separately. AEs, treatment-related AEs, deaths/ </w:t>
      </w:r>
      <w:r w:rsidR="00135670">
        <w:rPr>
          <w:rFonts w:eastAsia="TimesNewRoman" w:cs="TimesNewRoman"/>
        </w:rPr>
        <w:t>serious AEs (</w:t>
      </w:r>
      <w:r>
        <w:rPr>
          <w:rFonts w:eastAsia="TimesNewRoman" w:cs="TimesNewRoman"/>
        </w:rPr>
        <w:t>SAEs</w:t>
      </w:r>
      <w:r w:rsidR="00135670">
        <w:rPr>
          <w:rFonts w:eastAsia="TimesNewRoman" w:cs="TimesNewRoman"/>
        </w:rPr>
        <w:t>)</w:t>
      </w:r>
      <w:r>
        <w:rPr>
          <w:rFonts w:eastAsia="TimesNewRoman" w:cs="TimesNewRoman"/>
        </w:rPr>
        <w:t xml:space="preserve">, discontinuations due to AEs have been evaluated individually for the other 4 </w:t>
      </w:r>
      <w:r w:rsidR="004A28A8">
        <w:rPr>
          <w:rFonts w:eastAsia="TimesNewRoman" w:cs="TimesNewRoman"/>
        </w:rPr>
        <w:t>Phase III</w:t>
      </w:r>
      <w:r>
        <w:rPr>
          <w:rFonts w:eastAsia="TimesNewRoman" w:cs="TimesNewRoman"/>
        </w:rPr>
        <w:t xml:space="preserve"> studies</w:t>
      </w:r>
      <w:r w:rsidR="00135670">
        <w:rPr>
          <w:rFonts w:eastAsia="TimesNewRoman" w:cs="TimesNewRoman"/>
        </w:rPr>
        <w:t>.</w:t>
      </w:r>
      <w:r w:rsidR="00A04811" w:rsidRPr="00A04811">
        <w:t xml:space="preserve"> </w:t>
      </w:r>
      <w:r w:rsidR="00A04811">
        <w:t>Details of the following studies and t</w:t>
      </w:r>
      <w:r w:rsidR="00A04811" w:rsidRPr="00F4432D">
        <w:t>he safety data collected for the individually summari</w:t>
      </w:r>
      <w:r w:rsidR="00A04811">
        <w:t>s</w:t>
      </w:r>
      <w:r w:rsidR="00A04811" w:rsidRPr="00F4432D">
        <w:t>ed studies/study arms and the 4 main study pools</w:t>
      </w:r>
      <w:r w:rsidR="00A04811">
        <w:t xml:space="preserve"> are summarised in Attachment 2:</w:t>
      </w:r>
    </w:p>
    <w:p w14:paraId="4C3DD3A5" w14:textId="77777777" w:rsidR="00ED41DC" w:rsidRPr="00FA55F6" w:rsidRDefault="00E36CA5" w:rsidP="00A04811">
      <w:pPr>
        <w:pStyle w:val="ListBullet"/>
      </w:pPr>
      <w:r w:rsidRPr="00FA55F6">
        <w:lastRenderedPageBreak/>
        <w:t>Dose-response and non-pivotal efficacy studies</w:t>
      </w:r>
    </w:p>
    <w:p w14:paraId="4C3DD3A6" w14:textId="77777777" w:rsidR="00E36CA5" w:rsidRPr="00FA55F6" w:rsidRDefault="00E36CA5" w:rsidP="00A04811">
      <w:pPr>
        <w:pStyle w:val="ListBullet"/>
        <w:rPr>
          <w:bCs/>
        </w:rPr>
      </w:pPr>
      <w:r w:rsidRPr="00FA55F6">
        <w:rPr>
          <w:bCs/>
        </w:rPr>
        <w:t>Protocol 060/ Protocol 061/ Protocol 068 12</w:t>
      </w:r>
      <w:r w:rsidR="00135670" w:rsidRPr="00FA55F6">
        <w:t xml:space="preserve"> </w:t>
      </w:r>
      <w:r w:rsidRPr="00FA55F6">
        <w:rPr>
          <w:bCs/>
        </w:rPr>
        <w:t>Week Safety Pool</w:t>
      </w:r>
    </w:p>
    <w:p w14:paraId="4C3DD3A7" w14:textId="77777777" w:rsidR="00E36CA5" w:rsidRPr="00FA55F6" w:rsidRDefault="00E36CA5" w:rsidP="00A04811">
      <w:pPr>
        <w:pStyle w:val="ListBullet"/>
        <w:rPr>
          <w:bCs/>
        </w:rPr>
      </w:pPr>
      <w:r w:rsidRPr="00FA55F6">
        <w:rPr>
          <w:bCs/>
        </w:rPr>
        <w:t>Integrated Safety Pool (ISP)</w:t>
      </w:r>
    </w:p>
    <w:p w14:paraId="4C3DD3A8" w14:textId="77777777" w:rsidR="00E36CA5" w:rsidRPr="00FA55F6" w:rsidRDefault="00E36CA5" w:rsidP="00A04811">
      <w:pPr>
        <w:pStyle w:val="ListBullet"/>
        <w:rPr>
          <w:bCs/>
        </w:rPr>
      </w:pPr>
      <w:r w:rsidRPr="00FA55F6">
        <w:rPr>
          <w:bCs/>
        </w:rPr>
        <w:t>Hepatic Safety Pool (HSP)</w:t>
      </w:r>
    </w:p>
    <w:p w14:paraId="4C3DD3A9" w14:textId="77777777" w:rsidR="00E36CA5" w:rsidRPr="00FA55F6" w:rsidRDefault="00E36CA5" w:rsidP="00A04811">
      <w:pPr>
        <w:pStyle w:val="ListBullet"/>
        <w:rPr>
          <w:bCs/>
        </w:rPr>
      </w:pPr>
      <w:r w:rsidRPr="00FA55F6">
        <w:rPr>
          <w:bCs/>
        </w:rPr>
        <w:t>PK/</w:t>
      </w:r>
      <w:r w:rsidR="00D34382" w:rsidRPr="00FA55F6">
        <w:t xml:space="preserve">’ </w:t>
      </w:r>
      <w:r w:rsidRPr="00FA55F6">
        <w:rPr>
          <w:bCs/>
        </w:rPr>
        <w:t>Late ALT/AST Elevation Event</w:t>
      </w:r>
      <w:r w:rsidR="00D34382" w:rsidRPr="00FA55F6">
        <w:t xml:space="preserve">’ </w:t>
      </w:r>
      <w:r w:rsidRPr="00FA55F6">
        <w:rPr>
          <w:bCs/>
        </w:rPr>
        <w:t>Pool (PKP)</w:t>
      </w:r>
    </w:p>
    <w:p w14:paraId="4C3DD3AA" w14:textId="77777777" w:rsidR="00605AD4" w:rsidRDefault="00605AD4" w:rsidP="00605AD4">
      <w:pPr>
        <w:pStyle w:val="Heading4"/>
      </w:pPr>
      <w:r w:rsidRPr="00605AD4">
        <w:t>Patient exposure</w:t>
      </w:r>
    </w:p>
    <w:p w14:paraId="51CFB06B" w14:textId="77777777" w:rsidR="00655550" w:rsidRDefault="00E36CA5" w:rsidP="00A04811">
      <w:r>
        <w:t>S</w:t>
      </w:r>
      <w:r w:rsidRPr="00D300F0">
        <w:t>afety data was available from 2806 HCV-infected subjects in the</w:t>
      </w:r>
      <w:r>
        <w:t xml:space="preserve"> </w:t>
      </w:r>
      <w:r w:rsidR="004A28A8">
        <w:t>Phase II</w:t>
      </w:r>
      <w:r w:rsidRPr="00D300F0">
        <w:t xml:space="preserve"> and </w:t>
      </w:r>
      <w:r w:rsidR="00A04811">
        <w:t>III</w:t>
      </w:r>
      <w:r w:rsidRPr="00D300F0">
        <w:t xml:space="preserve"> studies, as well as from 1234 healthy volunteers, 66 non-HCV-infected</w:t>
      </w:r>
      <w:r>
        <w:t xml:space="preserve"> </w:t>
      </w:r>
      <w:r w:rsidRPr="00D300F0">
        <w:t xml:space="preserve">patients with liver or kidney dysfunction, and 139 HCV-infected patients in 58 </w:t>
      </w:r>
      <w:proofErr w:type="gramStart"/>
      <w:r w:rsidRPr="00D300F0">
        <w:t>Phase</w:t>
      </w:r>
      <w:proofErr w:type="gramEnd"/>
      <w:r w:rsidRPr="00D300F0">
        <w:t xml:space="preserve"> </w:t>
      </w:r>
      <w:r w:rsidR="00A04811">
        <w:t>I</w:t>
      </w:r>
      <w:r>
        <w:t xml:space="preserve"> clinical pharmacology studies.</w:t>
      </w:r>
    </w:p>
    <w:p w14:paraId="4C3DD3AC" w14:textId="461C96BD" w:rsidR="00A04811" w:rsidRDefault="004A28A8" w:rsidP="00A04811">
      <w:pPr>
        <w:pStyle w:val="Heading5"/>
      </w:pPr>
      <w:r>
        <w:t>Phase II</w:t>
      </w:r>
      <w:r w:rsidR="00E36CA5" w:rsidRPr="00CF3816">
        <w:t xml:space="preserve"> and </w:t>
      </w:r>
      <w:r w:rsidR="00A04811">
        <w:t>III</w:t>
      </w:r>
      <w:r w:rsidR="00E36CA5" w:rsidRPr="00CF3816">
        <w:t xml:space="preserve"> studies</w:t>
      </w:r>
    </w:p>
    <w:p w14:paraId="1FFC98BD" w14:textId="77777777" w:rsidR="00655550" w:rsidRDefault="00E36CA5" w:rsidP="00A04811">
      <w:r w:rsidRPr="00A04811">
        <w:t>The extent of GZR</w:t>
      </w:r>
      <w:r w:rsidRPr="00A04811">
        <w:rPr>
          <w:vertAlign w:val="superscript"/>
        </w:rPr>
        <w:footnoteReference w:id="6"/>
      </w:r>
      <w:r w:rsidRPr="00A04811">
        <w:t xml:space="preserve"> exposure for all 1389 subjects who were treated with GZR single entity (SE) in the arms of </w:t>
      </w:r>
      <w:r w:rsidR="00A04811" w:rsidRPr="00A04811">
        <w:t>S</w:t>
      </w:r>
      <w:r w:rsidRPr="00A04811">
        <w:t xml:space="preserve">tudies P003, P035, P038, P039, P047, P048, P052, P058 and P059 which </w:t>
      </w:r>
      <w:r w:rsidR="00A04811" w:rsidRPr="00A04811">
        <w:t>had completed exposure wa</w:t>
      </w:r>
      <w:r w:rsidRPr="00A04811">
        <w:t xml:space="preserve">s summarised. The extent of GZR and EBR exposure for all 1097 subjects who were treated with GZR/EBR in the arms of P060, P061, P068 and P074 which had completed </w:t>
      </w:r>
      <w:r w:rsidR="00A04811" w:rsidRPr="00A04811">
        <w:t>exposure wa</w:t>
      </w:r>
      <w:r w:rsidRPr="00A04811">
        <w:t>s summarised. The extent of EBR exposure for all 944 subjects who were treated with EBR SE in the arms of studies P035, P047, P048, P052, P058 and P05</w:t>
      </w:r>
      <w:r w:rsidR="00A04811" w:rsidRPr="00A04811">
        <w:t>9 which had completed exposure wa</w:t>
      </w:r>
      <w:r w:rsidRPr="00A04811">
        <w:t>s summarised.</w:t>
      </w:r>
    </w:p>
    <w:p w14:paraId="4C3DD3AE" w14:textId="27AFD7F5" w:rsidR="00E36CA5" w:rsidRDefault="00E36CA5" w:rsidP="00A04811">
      <w:r w:rsidRPr="00731144">
        <w:t>The total number of subjects in studies/arms receiving GZR 100 mg with EBR 50 mg in the</w:t>
      </w:r>
      <w:r>
        <w:t xml:space="preserve"> </w:t>
      </w:r>
      <w:r w:rsidR="004A28A8">
        <w:t>Phase II</w:t>
      </w:r>
      <w:r w:rsidRPr="00731144">
        <w:t xml:space="preserve"> and </w:t>
      </w:r>
      <w:r w:rsidR="00A04811">
        <w:t>III</w:t>
      </w:r>
      <w:r w:rsidRPr="00731144">
        <w:t xml:space="preserve"> studies is 1955 (858 SE + 1097 FDC). </w:t>
      </w:r>
      <w:r w:rsidR="00A04811" w:rsidRPr="007131CF">
        <w:t>A</w:t>
      </w:r>
      <w:r w:rsidRPr="007131CF">
        <w:t xml:space="preserve"> </w:t>
      </w:r>
      <w:r w:rsidRPr="00731144">
        <w:t>summar</w:t>
      </w:r>
      <w:r w:rsidR="00A04811">
        <w:t>y of</w:t>
      </w:r>
      <w:r w:rsidRPr="00731144">
        <w:t xml:space="preserve"> the extent of</w:t>
      </w:r>
      <w:r>
        <w:t xml:space="preserve"> </w:t>
      </w:r>
      <w:r w:rsidRPr="00731144">
        <w:t>GZR 100 mg and EBR 5</w:t>
      </w:r>
      <w:r w:rsidR="004C1037">
        <w:t>0 mg</w:t>
      </w:r>
      <w:r w:rsidRPr="00731144">
        <w:t xml:space="preserve"> exposure for all 858 subjects who were assigned to treatment with GZR 100 mg and EBR 5</w:t>
      </w:r>
      <w:r w:rsidR="004C1037">
        <w:t>0 mg</w:t>
      </w:r>
      <w:r w:rsidR="00D80B0A">
        <w:t xml:space="preserve"> </w:t>
      </w:r>
      <w:r w:rsidRPr="00731144">
        <w:t xml:space="preserve">SE in the arms of P035, </w:t>
      </w:r>
      <w:r>
        <w:t>P</w:t>
      </w:r>
      <w:r w:rsidRPr="00731144">
        <w:t xml:space="preserve">047, </w:t>
      </w:r>
      <w:r>
        <w:t>P</w:t>
      </w:r>
      <w:r w:rsidRPr="00731144">
        <w:t xml:space="preserve">048, </w:t>
      </w:r>
      <w:r>
        <w:t>P</w:t>
      </w:r>
      <w:r w:rsidRPr="00731144">
        <w:t xml:space="preserve">052, </w:t>
      </w:r>
      <w:r>
        <w:t>P</w:t>
      </w:r>
      <w:r w:rsidRPr="00731144">
        <w:t xml:space="preserve">058 and </w:t>
      </w:r>
      <w:r>
        <w:t>P</w:t>
      </w:r>
      <w:r w:rsidRPr="00731144">
        <w:t>059 which had completed</w:t>
      </w:r>
      <w:r>
        <w:t xml:space="preserve"> </w:t>
      </w:r>
      <w:r w:rsidRPr="00731144">
        <w:t>exposure</w:t>
      </w:r>
      <w:r w:rsidR="00A04811">
        <w:t xml:space="preserve"> was given</w:t>
      </w:r>
      <w:r w:rsidRPr="00731144">
        <w:t>.</w:t>
      </w:r>
      <w:r>
        <w:t xml:space="preserve"> </w:t>
      </w:r>
      <w:r w:rsidRPr="00731144">
        <w:t xml:space="preserve">The mean (range) number of days exposed to study drug for subjects </w:t>
      </w:r>
      <w:r>
        <w:t xml:space="preserve">treated with </w:t>
      </w:r>
      <w:r w:rsidRPr="00731144">
        <w:t>GZR 100 mg + EBR 50 mg was 87.3 days for GZR SE and 87.4 days for EBR SE. The</w:t>
      </w:r>
      <w:r>
        <w:t xml:space="preserve"> </w:t>
      </w:r>
      <w:r w:rsidRPr="00731144">
        <w:t xml:space="preserve">mean (range) number of days for subjects on </w:t>
      </w:r>
      <w:r>
        <w:t xml:space="preserve">FDC </w:t>
      </w:r>
      <w:r w:rsidRPr="00731144">
        <w:t>GZR/EBR was 85.0 days.</w:t>
      </w:r>
    </w:p>
    <w:p w14:paraId="4C3DD3AF" w14:textId="77777777" w:rsidR="00A04811" w:rsidRDefault="00E36CA5" w:rsidP="00A04811">
      <w:pPr>
        <w:pStyle w:val="Heading5"/>
      </w:pPr>
      <w:r w:rsidRPr="00CF3816">
        <w:t>Exposure in the 060, 061 and 068 studies 12 week safety population pool</w:t>
      </w:r>
    </w:p>
    <w:p w14:paraId="4C3DD3B0" w14:textId="77777777" w:rsidR="00E36CA5" w:rsidRPr="009E55F5" w:rsidRDefault="00E36CA5" w:rsidP="00A04811">
      <w:pPr>
        <w:rPr>
          <w:b/>
        </w:rPr>
      </w:pPr>
      <w:r w:rsidRPr="00CF3816">
        <w:t>The mean (range) number of days for the 743 subjects on GZR/EBR in this</w:t>
      </w:r>
      <w:r w:rsidR="00A04811">
        <w:t xml:space="preserve"> population was 84.6 (4 to 106)</w:t>
      </w:r>
      <w:r w:rsidRPr="00CF3816">
        <w:t xml:space="preserve">; </w:t>
      </w:r>
      <w:r w:rsidRPr="00CF3816">
        <w:rPr>
          <w:color w:val="000000"/>
        </w:rPr>
        <w:t xml:space="preserve">639 subjects were exposed to GZR/EBR without RBV exposure and the remaining 104 subjects in this pool were exposed to RBV in addition to exposure to GZR/EBR. </w:t>
      </w:r>
      <w:r w:rsidRPr="00CF3816">
        <w:t>Of the 743 subjects in the P</w:t>
      </w:r>
      <w:r>
        <w:t>0</w:t>
      </w:r>
      <w:r w:rsidRPr="00CF3816">
        <w:t>60/ P061/ P068 12-Week Safety</w:t>
      </w:r>
      <w:r>
        <w:t xml:space="preserve"> </w:t>
      </w:r>
      <w:r w:rsidRPr="00CF3816">
        <w:t>Population Pool, 98.9% of subjects completed study medication, and 98.9% completed the</w:t>
      </w:r>
      <w:r>
        <w:t xml:space="preserve"> </w:t>
      </w:r>
      <w:r w:rsidRPr="00CF3816">
        <w:t>trial up to follow-up Week 12.</w:t>
      </w:r>
      <w:r w:rsidRPr="009E55F5">
        <w:rPr>
          <w:rFonts w:ascii="TimesNewRoman"/>
          <w:sz w:val="24"/>
          <w:szCs w:val="24"/>
        </w:rPr>
        <w:t xml:space="preserve"> </w:t>
      </w:r>
      <w:r w:rsidRPr="009E55F5">
        <w:t>Majority of the 743 treated with GZR/EBR</w:t>
      </w:r>
      <w:r w:rsidRPr="009E55F5">
        <w:rPr>
          <w:u w:val="single"/>
        </w:rPr>
        <w:t>+</w:t>
      </w:r>
      <w:r w:rsidRPr="009E55F5">
        <w:t>RBV in this safety pool were male, aged 18-64 years, White with HCV genotype 1a or 1b, baseline HCV RNA &gt; 800,000IU/ml, non-cirrhotic and treatment naïve (all 104 subjects who received GZR/EBR +RBV were treatment experienced)</w:t>
      </w:r>
      <w:r w:rsidR="00A04811">
        <w:t>.</w:t>
      </w:r>
    </w:p>
    <w:p w14:paraId="4C3DD3B1" w14:textId="67F3EE6F" w:rsidR="00A04811" w:rsidRDefault="00E36CA5" w:rsidP="00A04811">
      <w:pPr>
        <w:pStyle w:val="Heading5"/>
      </w:pPr>
      <w:r w:rsidRPr="00A66466">
        <w:t xml:space="preserve">Integrated </w:t>
      </w:r>
      <w:r w:rsidR="00AA46C6" w:rsidRPr="00A66466">
        <w:t xml:space="preserve">safety pool </w:t>
      </w:r>
      <w:r w:rsidRPr="00A66466">
        <w:t>(ISP)</w:t>
      </w:r>
    </w:p>
    <w:p w14:paraId="4C3DD3B2" w14:textId="77777777" w:rsidR="00E36CA5" w:rsidRPr="00A66466" w:rsidRDefault="00E36CA5" w:rsidP="00A04811">
      <w:pPr>
        <w:rPr>
          <w:color w:val="000000"/>
        </w:rPr>
      </w:pPr>
      <w:r w:rsidRPr="00CF3816">
        <w:rPr>
          <w:color w:val="000000"/>
        </w:rPr>
        <w:t xml:space="preserve">The total number of subjects in the ISP </w:t>
      </w:r>
      <w:r>
        <w:rPr>
          <w:color w:val="000000"/>
        </w:rPr>
        <w:t xml:space="preserve">was </w:t>
      </w:r>
      <w:r w:rsidRPr="00CF3816">
        <w:rPr>
          <w:color w:val="000000"/>
        </w:rPr>
        <w:t>1690 (736 SE + 954 FDC).</w:t>
      </w:r>
      <w:r>
        <w:rPr>
          <w:color w:val="000000"/>
        </w:rPr>
        <w:t xml:space="preserve"> </w:t>
      </w:r>
      <w:r w:rsidR="00A04811" w:rsidRPr="00A04811">
        <w:t>A</w:t>
      </w:r>
      <w:r w:rsidRPr="00A04811">
        <w:t xml:space="preserve"> s</w:t>
      </w:r>
      <w:r>
        <w:rPr>
          <w:color w:val="000000"/>
        </w:rPr>
        <w:t>ummar</w:t>
      </w:r>
      <w:r w:rsidR="00A04811">
        <w:rPr>
          <w:color w:val="000000"/>
        </w:rPr>
        <w:t>y of</w:t>
      </w:r>
      <w:r>
        <w:rPr>
          <w:color w:val="000000"/>
        </w:rPr>
        <w:t xml:space="preserve"> </w:t>
      </w:r>
      <w:r w:rsidRPr="00CF3816">
        <w:rPr>
          <w:color w:val="000000"/>
        </w:rPr>
        <w:t xml:space="preserve">the extent of GZR </w:t>
      </w:r>
      <w:r>
        <w:rPr>
          <w:color w:val="000000"/>
        </w:rPr>
        <w:t xml:space="preserve">and EBR </w:t>
      </w:r>
      <w:r w:rsidRPr="00CF3816">
        <w:rPr>
          <w:color w:val="000000"/>
        </w:rPr>
        <w:t>exposure for all 736 subjects in the ISP who were</w:t>
      </w:r>
      <w:r>
        <w:rPr>
          <w:color w:val="000000"/>
        </w:rPr>
        <w:t xml:space="preserve"> </w:t>
      </w:r>
      <w:r w:rsidRPr="00CF3816">
        <w:rPr>
          <w:color w:val="000000"/>
        </w:rPr>
        <w:t>assigned to treatment with GZR and EBR SE</w:t>
      </w:r>
      <w:r w:rsidR="00A04811">
        <w:rPr>
          <w:color w:val="000000"/>
        </w:rPr>
        <w:t xml:space="preserve"> was given</w:t>
      </w:r>
      <w:r w:rsidRPr="00CF3816">
        <w:rPr>
          <w:color w:val="000000"/>
        </w:rPr>
        <w:t>. The mean duration of any dose was 88.1 days</w:t>
      </w:r>
      <w:r>
        <w:rPr>
          <w:color w:val="000000"/>
        </w:rPr>
        <w:t xml:space="preserve">; </w:t>
      </w:r>
      <w:r w:rsidRPr="00CF3816">
        <w:rPr>
          <w:color w:val="000000"/>
        </w:rPr>
        <w:t>of the 736 subjects exposed to GZR SE in the</w:t>
      </w:r>
      <w:r>
        <w:rPr>
          <w:color w:val="000000"/>
        </w:rPr>
        <w:t xml:space="preserve"> </w:t>
      </w:r>
      <w:r w:rsidRPr="00CF3816">
        <w:rPr>
          <w:color w:val="000000"/>
        </w:rPr>
        <w:t xml:space="preserve">ISP, 289 subjects were exposed to GZR and </w:t>
      </w:r>
      <w:r w:rsidRPr="00CF3816">
        <w:rPr>
          <w:color w:val="000000"/>
        </w:rPr>
        <w:lastRenderedPageBreak/>
        <w:t xml:space="preserve">EBR </w:t>
      </w:r>
      <w:r>
        <w:rPr>
          <w:color w:val="000000"/>
        </w:rPr>
        <w:t xml:space="preserve">SE without RBV exposure, while </w:t>
      </w:r>
      <w:r w:rsidRPr="00CF3816">
        <w:rPr>
          <w:color w:val="000000"/>
        </w:rPr>
        <w:t>the remaining 447 subjects in this pool exposed to GZR SE</w:t>
      </w:r>
      <w:r>
        <w:rPr>
          <w:color w:val="000000"/>
        </w:rPr>
        <w:t xml:space="preserve"> </w:t>
      </w:r>
      <w:r w:rsidRPr="00CF3816">
        <w:rPr>
          <w:color w:val="000000"/>
        </w:rPr>
        <w:t>were also exposed to RBV.</w:t>
      </w:r>
      <w:r w:rsidRPr="00CF3816">
        <w:t xml:space="preserve"> </w:t>
      </w:r>
      <w:r w:rsidR="00A04811" w:rsidRPr="00A04811">
        <w:t>A</w:t>
      </w:r>
      <w:r w:rsidRPr="00A04811">
        <w:t xml:space="preserve"> summar</w:t>
      </w:r>
      <w:r w:rsidR="00A04811" w:rsidRPr="00A04811">
        <w:t>y</w:t>
      </w:r>
      <w:r w:rsidR="00A04811">
        <w:t xml:space="preserve"> of</w:t>
      </w:r>
      <w:r>
        <w:t xml:space="preserve"> </w:t>
      </w:r>
      <w:r w:rsidRPr="00CF3816">
        <w:t>the extent of GZR/EBR exposure for all 954 subjects in the ISP</w:t>
      </w:r>
      <w:r>
        <w:t xml:space="preserve"> </w:t>
      </w:r>
      <w:r w:rsidRPr="00CF3816">
        <w:t>who were assigned to treatment with GZR/EBR</w:t>
      </w:r>
      <w:r w:rsidR="00A04811">
        <w:t xml:space="preserve"> was given</w:t>
      </w:r>
      <w:r w:rsidRPr="00CF3816">
        <w:t>. The mean duration of any dose of</w:t>
      </w:r>
      <w:r>
        <w:t xml:space="preserve"> </w:t>
      </w:r>
      <w:r w:rsidRPr="00CF3816">
        <w:t>GZR/EBR FDC was 90.3 days</w:t>
      </w:r>
      <w:r>
        <w:t xml:space="preserve">; </w:t>
      </w:r>
      <w:r w:rsidRPr="00CF3816">
        <w:rPr>
          <w:color w:val="000000"/>
        </w:rPr>
        <w:t>of the 954 subjects exposed to GZR/EBR in the</w:t>
      </w:r>
      <w:r>
        <w:rPr>
          <w:color w:val="000000"/>
        </w:rPr>
        <w:t xml:space="preserve"> </w:t>
      </w:r>
      <w:r w:rsidRPr="00CF3816">
        <w:rPr>
          <w:color w:val="000000"/>
        </w:rPr>
        <w:t xml:space="preserve">ISP, 744 subjects were exposed </w:t>
      </w:r>
      <w:r>
        <w:rPr>
          <w:color w:val="000000"/>
        </w:rPr>
        <w:t xml:space="preserve">to GZR/EBR without RBV exposure, while </w:t>
      </w:r>
      <w:r w:rsidRPr="00CF3816">
        <w:rPr>
          <w:color w:val="000000"/>
        </w:rPr>
        <w:t xml:space="preserve">the remaining 210 </w:t>
      </w:r>
      <w:r w:rsidRPr="00A66466">
        <w:rPr>
          <w:color w:val="000000"/>
        </w:rPr>
        <w:t>subjects in this pool exposed to GZR/EBR were also exposed to RBV.</w:t>
      </w:r>
    </w:p>
    <w:p w14:paraId="4C3DD3B3" w14:textId="77777777" w:rsidR="00E36CA5" w:rsidRDefault="00E36CA5" w:rsidP="00A04811">
      <w:r>
        <w:t xml:space="preserve">The rates of completion of study treatment and follow-up at </w:t>
      </w:r>
      <w:r w:rsidR="00A04811">
        <w:t>W</w:t>
      </w:r>
      <w:r>
        <w:t>eek 12 was slightly higher a</w:t>
      </w:r>
      <w:r w:rsidRPr="00A66466">
        <w:t>mong subjects who received GZR/EBR without RBV</w:t>
      </w:r>
      <w:r>
        <w:t xml:space="preserve"> (95-100%) compared to those who received GZR/EBR with RBV (88-100%). Although the overall </w:t>
      </w:r>
      <w:r w:rsidRPr="00A66466">
        <w:t>frequenc</w:t>
      </w:r>
      <w:r>
        <w:t xml:space="preserve">y </w:t>
      </w:r>
      <w:r w:rsidRPr="00A66466">
        <w:t>of discontinuations due to AE w</w:t>
      </w:r>
      <w:r>
        <w:t xml:space="preserve">as </w:t>
      </w:r>
      <w:r w:rsidRPr="00A66466">
        <w:t>low</w:t>
      </w:r>
      <w:r>
        <w:t xml:space="preserve">, </w:t>
      </w:r>
      <w:r w:rsidRPr="00A66466">
        <w:t>there were</w:t>
      </w:r>
      <w:r>
        <w:t xml:space="preserve"> </w:t>
      </w:r>
      <w:r w:rsidRPr="00A66466">
        <w:t>numerically more discontinuations observed in the 16 and 18 week arms with RBV with</w:t>
      </w:r>
      <w:r>
        <w:t xml:space="preserve"> </w:t>
      </w:r>
      <w:r w:rsidRPr="00A66466">
        <w:t>3.8% (4/106) and 2.3% (2/86), respectively, compared to 0.6% (5/834) in the 12-week no</w:t>
      </w:r>
      <w:r>
        <w:t xml:space="preserve"> </w:t>
      </w:r>
      <w:r w:rsidRPr="00A66466">
        <w:t>RBV and 0% in both 16- and 18-wk with no RBV arms</w:t>
      </w:r>
      <w:r w:rsidR="00444B57">
        <w:t>.</w:t>
      </w:r>
    </w:p>
    <w:p w14:paraId="4C3DD3B4" w14:textId="77777777" w:rsidR="00E36CA5" w:rsidRPr="006B1381" w:rsidRDefault="00E36CA5" w:rsidP="00A04811">
      <w:pPr>
        <w:rPr>
          <w:color w:val="000000"/>
        </w:rPr>
      </w:pPr>
      <w:r w:rsidRPr="006B1381">
        <w:t>Majority of the subjects in the ISP were male (61.4%), White (75.5%) with median age of 54 years (range 18-82 years) and 11.1%</w:t>
      </w:r>
      <w:r>
        <w:t xml:space="preserve"> </w:t>
      </w:r>
      <w:r w:rsidRPr="006B1381">
        <w:t>of subjects were &gt;65 years of age. The majority of subjects had GT1 HCV (87.2%), whereas</w:t>
      </w:r>
      <w:r>
        <w:t xml:space="preserve"> </w:t>
      </w:r>
      <w:r w:rsidRPr="006B1381">
        <w:t>smaller proportions had GT2 (1.8%), GT3 (2.4%), GT4 (6.1%), GT5 (0.5%), and GT6</w:t>
      </w:r>
      <w:r>
        <w:t xml:space="preserve"> </w:t>
      </w:r>
      <w:r w:rsidRPr="006B1381">
        <w:t xml:space="preserve">(1.5%) </w:t>
      </w:r>
      <w:proofErr w:type="gramStart"/>
      <w:r w:rsidRPr="006B1381">
        <w:t>HCV.</w:t>
      </w:r>
      <w:proofErr w:type="gramEnd"/>
      <w:r w:rsidRPr="006B1381">
        <w:t xml:space="preserve"> 51.2% of subjects had GT1a, and 36.0% had GT1b, and 0.5% had non</w:t>
      </w:r>
      <w:r>
        <w:t xml:space="preserve"> </w:t>
      </w:r>
      <w:proofErr w:type="spellStart"/>
      <w:r w:rsidRPr="006B1381">
        <w:t>subtypeable</w:t>
      </w:r>
      <w:proofErr w:type="spellEnd"/>
      <w:r w:rsidRPr="006B1381">
        <w:t xml:space="preserve"> GT1 infection. 25.3% of subjects had </w:t>
      </w:r>
      <w:r>
        <w:t xml:space="preserve">baseline </w:t>
      </w:r>
      <w:r w:rsidRPr="006B1381">
        <w:t xml:space="preserve">HCV RNA </w:t>
      </w:r>
      <w:r w:rsidR="00F8211D">
        <w:t xml:space="preserve">≤ </w:t>
      </w:r>
      <w:r w:rsidRPr="006B1381">
        <w:t xml:space="preserve">800,000 IU/mL and approximately half of subjects (49.7%) had </w:t>
      </w:r>
      <w:r>
        <w:t xml:space="preserve">baseline </w:t>
      </w:r>
      <w:r w:rsidRPr="006B1381">
        <w:t xml:space="preserve">HCV RNA </w:t>
      </w:r>
      <w:r w:rsidR="00F8211D">
        <w:t xml:space="preserve">≤ </w:t>
      </w:r>
      <w:r w:rsidRPr="006B1381">
        <w:t>2,000,000 IU/mL</w:t>
      </w:r>
      <w:r>
        <w:t xml:space="preserve">; </w:t>
      </w:r>
      <w:r w:rsidRPr="006B1381">
        <w:t>27.0% of all subjects had cirrhosis, 38.2%</w:t>
      </w:r>
      <w:r>
        <w:t xml:space="preserve"> were HCV treatment-experienced</w:t>
      </w:r>
      <w:r w:rsidRPr="006B1381">
        <w:t xml:space="preserve"> and 17.6% of</w:t>
      </w:r>
      <w:r>
        <w:t xml:space="preserve"> </w:t>
      </w:r>
      <w:r w:rsidRPr="006B1381">
        <w:t>all subjects were co-infected with HIV and HCV.</w:t>
      </w:r>
      <w:r>
        <w:t xml:space="preserve"> </w:t>
      </w:r>
      <w:r w:rsidRPr="006B1381">
        <w:t>The group of subjects that received placebo for 12 weeks was similar to the group of subjects</w:t>
      </w:r>
      <w:r>
        <w:t xml:space="preserve"> </w:t>
      </w:r>
      <w:r w:rsidRPr="006B1381">
        <w:t>in the ISP who received GZR with EBR. A slightly lower proportion (53.3%) was male, and</w:t>
      </w:r>
      <w:r>
        <w:t xml:space="preserve"> </w:t>
      </w:r>
      <w:r w:rsidRPr="006B1381">
        <w:t xml:space="preserve">a higher proportion (17.1%) was </w:t>
      </w:r>
      <w:r>
        <w:t>Black</w:t>
      </w:r>
      <w:r w:rsidRPr="006B1381">
        <w:t>. No subjects had GT 2 or GT3</w:t>
      </w:r>
      <w:r>
        <w:t xml:space="preserve"> </w:t>
      </w:r>
      <w:r w:rsidRPr="006B1381">
        <w:t>infection. A lower proportion of subjects (37.1%) had HCV RNA &lt;800,000 IU/mL at</w:t>
      </w:r>
      <w:r>
        <w:t xml:space="preserve"> </w:t>
      </w:r>
      <w:r w:rsidRPr="006B1381">
        <w:t>Baseline. A slightly lower proportion (21.0%) subjects had cirrhosis, no subjects were HCV treatment experienced, and no subjects we</w:t>
      </w:r>
      <w:r w:rsidR="00444B57">
        <w:t>re co-infected with HIV and HCV.</w:t>
      </w:r>
    </w:p>
    <w:p w14:paraId="4C3DD3B5" w14:textId="1EA90D32" w:rsidR="00444B57" w:rsidRDefault="00E36CA5" w:rsidP="009B2564">
      <w:pPr>
        <w:pStyle w:val="Heading5"/>
      </w:pPr>
      <w:r w:rsidRPr="009A22CB">
        <w:t xml:space="preserve">Hepatic </w:t>
      </w:r>
      <w:r w:rsidR="00AA46C6" w:rsidRPr="009A22CB">
        <w:t xml:space="preserve">safety pool </w:t>
      </w:r>
      <w:r w:rsidRPr="009A22CB">
        <w:t>(HSP)</w:t>
      </w:r>
    </w:p>
    <w:p w14:paraId="4C3DD3B6" w14:textId="77777777" w:rsidR="00E36CA5" w:rsidRPr="006B1381" w:rsidRDefault="00444B57" w:rsidP="00A04811">
      <w:r w:rsidRPr="00444B57">
        <w:t>A</w:t>
      </w:r>
      <w:r w:rsidR="00E36CA5" w:rsidRPr="00444B57">
        <w:t xml:space="preserve"> summar</w:t>
      </w:r>
      <w:r w:rsidRPr="00444B57">
        <w:t>y of</w:t>
      </w:r>
      <w:r w:rsidR="00E36CA5" w:rsidRPr="00444B57">
        <w:t xml:space="preserve"> the extent of GZR/EBR exposure for all 1016 subjects in the Hepatic Safety Pool who were assigned</w:t>
      </w:r>
      <w:r w:rsidR="00E36CA5" w:rsidRPr="009A22CB">
        <w:t xml:space="preserve"> to treatment with </w:t>
      </w:r>
      <w:r w:rsidR="00E36CA5">
        <w:t xml:space="preserve">FDC </w:t>
      </w:r>
      <w:r w:rsidR="00E36CA5" w:rsidRPr="009A22CB">
        <w:t>GZR/EBR</w:t>
      </w:r>
      <w:r>
        <w:t xml:space="preserve"> was given</w:t>
      </w:r>
      <w:r w:rsidR="00E36CA5" w:rsidRPr="009A22CB">
        <w:t xml:space="preserve">. The total number of subjects who received any dose of GZR in the Hepatic Safety Pool </w:t>
      </w:r>
      <w:r w:rsidR="00E36CA5">
        <w:t>wa</w:t>
      </w:r>
      <w:r w:rsidR="00E36CA5" w:rsidRPr="009A22CB">
        <w:t>s</w:t>
      </w:r>
      <w:r w:rsidR="00E36CA5">
        <w:t xml:space="preserve"> </w:t>
      </w:r>
      <w:r w:rsidR="00E36CA5" w:rsidRPr="009A22CB">
        <w:t xml:space="preserve">2405 (1389 </w:t>
      </w:r>
      <w:r w:rsidR="00E36CA5">
        <w:t>SE</w:t>
      </w:r>
      <w:r w:rsidR="00E36CA5" w:rsidRPr="009A22CB">
        <w:t>+ 1016</w:t>
      </w:r>
      <w:r w:rsidR="00E36CA5">
        <w:t xml:space="preserve"> FDC</w:t>
      </w:r>
      <w:r w:rsidR="00E36CA5" w:rsidRPr="009A22CB">
        <w:t>). This number includes subjects originally assigned to treatment with GZR without EBR, GZR+EBR, or GZR/EBR as well as those originally randomi</w:t>
      </w:r>
      <w:r w:rsidR="00E36CA5">
        <w:t>se</w:t>
      </w:r>
      <w:r w:rsidR="00E36CA5" w:rsidRPr="009A22CB">
        <w:t xml:space="preserve">d to placebo who then received GZR/EBR. The mean (range) number of days for subjects on </w:t>
      </w:r>
      <w:r w:rsidR="00E36CA5">
        <w:t xml:space="preserve">GZR 100 mg </w:t>
      </w:r>
      <w:r w:rsidR="00E36CA5" w:rsidRPr="006B1381">
        <w:t>and EBR 5</w:t>
      </w:r>
      <w:r w:rsidR="004C1037">
        <w:t>0 mg</w:t>
      </w:r>
      <w:r w:rsidR="00E36CA5" w:rsidRPr="006B1381">
        <w:t xml:space="preserve"> was 82.7 and 86.8, respectively. The mean (range) number of days for subjects on </w:t>
      </w:r>
      <w:r w:rsidR="00E36CA5">
        <w:t xml:space="preserve">FDC </w:t>
      </w:r>
      <w:r w:rsidR="00E36CA5" w:rsidRPr="006B1381">
        <w:t>GZR/EBR was 88.8. The disposition of subjects in the Hepatic Safety Pool during the treatment and follow-up</w:t>
      </w:r>
      <w:r w:rsidR="00E36CA5">
        <w:t xml:space="preserve"> </w:t>
      </w:r>
      <w:r>
        <w:t>phases wa</w:t>
      </w:r>
      <w:r w:rsidR="00E36CA5" w:rsidRPr="006B1381">
        <w:t>s summarised</w:t>
      </w:r>
      <w:r>
        <w:t>.</w:t>
      </w:r>
      <w:r w:rsidR="00E36CA5" w:rsidRPr="006B1381">
        <w:t xml:space="preserve"> Demographic and baseline disease characteristics were representative</w:t>
      </w:r>
      <w:r w:rsidR="00E36CA5">
        <w:t xml:space="preserve"> </w:t>
      </w:r>
      <w:r w:rsidR="00E36CA5" w:rsidRPr="006B1381">
        <w:t>of subjects with chronic HCV</w:t>
      </w:r>
      <w:r w:rsidR="00E36CA5">
        <w:t xml:space="preserve"> and </w:t>
      </w:r>
      <w:r w:rsidR="00E36CA5" w:rsidRPr="006B1381">
        <w:t>were comparable to those of the</w:t>
      </w:r>
      <w:r w:rsidR="00E36CA5">
        <w:t xml:space="preserve"> </w:t>
      </w:r>
      <w:r w:rsidR="00E36CA5" w:rsidRPr="006B1381">
        <w:t>subjects in the Integrated Safety Population Pool.</w:t>
      </w:r>
    </w:p>
    <w:p w14:paraId="4C3DD3B7" w14:textId="4DAA4D6B" w:rsidR="00444B57" w:rsidRDefault="00E36CA5" w:rsidP="00444B57">
      <w:pPr>
        <w:pStyle w:val="Heading5"/>
        <w:rPr>
          <w:rFonts w:eastAsia="TimesNewRoman,Bold"/>
        </w:rPr>
      </w:pPr>
      <w:r w:rsidRPr="006B1381">
        <w:rPr>
          <w:rFonts w:eastAsia="TimesNewRoman,Bold"/>
        </w:rPr>
        <w:t>PK/</w:t>
      </w:r>
      <w:r w:rsidR="001168B2">
        <w:rPr>
          <w:rFonts w:eastAsia="TimesNewRoman,Bold"/>
        </w:rPr>
        <w:t>’</w:t>
      </w:r>
      <w:r w:rsidRPr="006B1381">
        <w:rPr>
          <w:rFonts w:eastAsia="TimesNewRoman,Bold"/>
        </w:rPr>
        <w:t xml:space="preserve">Late ALT/AST </w:t>
      </w:r>
      <w:r w:rsidR="00AA46C6" w:rsidRPr="006B1381">
        <w:rPr>
          <w:rFonts w:eastAsia="TimesNewRoman,Bold"/>
        </w:rPr>
        <w:t>elevation event</w:t>
      </w:r>
      <w:r w:rsidR="00AA46C6">
        <w:rPr>
          <w:rFonts w:eastAsia="TimesNewRoman,Bold"/>
        </w:rPr>
        <w:t>’</w:t>
      </w:r>
      <w:r w:rsidR="00AA46C6" w:rsidRPr="006B1381">
        <w:rPr>
          <w:rFonts w:eastAsia="TimesNewRoman,Bold"/>
        </w:rPr>
        <w:t xml:space="preserve"> pool </w:t>
      </w:r>
      <w:r w:rsidRPr="006B1381">
        <w:rPr>
          <w:rFonts w:eastAsia="TimesNewRoman,Bold"/>
        </w:rPr>
        <w:t>(PKP)</w:t>
      </w:r>
    </w:p>
    <w:p w14:paraId="4C3DD3B8" w14:textId="77777777" w:rsidR="00E36CA5" w:rsidRPr="00E36CA5" w:rsidRDefault="00E36CA5" w:rsidP="00A04811">
      <w:r w:rsidRPr="006B1381">
        <w:t xml:space="preserve">The mean duration of exposure to </w:t>
      </w:r>
      <w:r>
        <w:t>GZR</w:t>
      </w:r>
      <w:r w:rsidRPr="006B1381">
        <w:t>/EBR for the 1101 subjects in this safety pool was 89.1 days</w:t>
      </w:r>
      <w:r w:rsidR="00444B57">
        <w:rPr>
          <w:b/>
        </w:rPr>
        <w:t xml:space="preserve">. </w:t>
      </w:r>
      <w:r w:rsidRPr="006B1381">
        <w:t>Similar to the HSP, the demographic and baseline characteristics of the PKP</w:t>
      </w:r>
      <w:r>
        <w:t xml:space="preserve"> </w:t>
      </w:r>
      <w:r w:rsidRPr="006B1381">
        <w:t>were comparable to the characteristics of the subjects in the ISP.</w:t>
      </w:r>
    </w:p>
    <w:p w14:paraId="4C3DD3B9" w14:textId="77777777" w:rsidR="00605AD4" w:rsidRDefault="00605AD4" w:rsidP="00605AD4">
      <w:pPr>
        <w:pStyle w:val="Heading4"/>
      </w:pPr>
      <w:r w:rsidRPr="00605AD4">
        <w:t>Safety issues with the potential for major regulatory impact</w:t>
      </w:r>
    </w:p>
    <w:p w14:paraId="4C3DD3BA" w14:textId="77777777" w:rsidR="00E36CA5" w:rsidRPr="005B2715" w:rsidRDefault="00E36CA5" w:rsidP="00444B57">
      <w:pPr>
        <w:pStyle w:val="Heading5"/>
      </w:pPr>
      <w:bookmarkStart w:id="106" w:name="_Toc272414681"/>
      <w:bookmarkStart w:id="107" w:name="_Toc290846319"/>
      <w:bookmarkStart w:id="108" w:name="_Toc448473627"/>
      <w:r w:rsidRPr="005B2715">
        <w:t>Liver toxicity</w:t>
      </w:r>
      <w:bookmarkEnd w:id="106"/>
      <w:bookmarkEnd w:id="107"/>
      <w:bookmarkEnd w:id="108"/>
    </w:p>
    <w:p w14:paraId="141A775A" w14:textId="77777777" w:rsidR="00655550" w:rsidRDefault="00E36CA5" w:rsidP="00444B57">
      <w:r w:rsidRPr="005B2715">
        <w:t xml:space="preserve">Based on the investigation of safety signals observed in </w:t>
      </w:r>
      <w:r w:rsidR="00444B57">
        <w:t>S</w:t>
      </w:r>
      <w:r>
        <w:t>tudy P</w:t>
      </w:r>
      <w:r w:rsidRPr="005B2715">
        <w:t>003, a program of hepatic</w:t>
      </w:r>
      <w:r>
        <w:t xml:space="preserve"> </w:t>
      </w:r>
      <w:r w:rsidRPr="005B2715">
        <w:t xml:space="preserve">safety monitoring was instituted in all subsequent studies that evaluated GZR. This program, developed in consultation with the FDA, included frequent, comprehensive laboratory testing, and defined 3 types of hepatic safety events: Late ALT/AST Elevation </w:t>
      </w:r>
      <w:r w:rsidRPr="005B2715">
        <w:lastRenderedPageBreak/>
        <w:t>Events: the typical GZR-related hepatic safety signal; Hepatic Events of Clinical Interest (ECI)</w:t>
      </w:r>
      <w:r w:rsidRPr="005B2715">
        <w:rPr>
          <w:rStyle w:val="FootnoteReference"/>
          <w:rFonts w:asciiTheme="majorHAnsi" w:eastAsia="TimesNewRoman" w:hAnsiTheme="majorHAnsi" w:cs="TimesNewRoman"/>
        </w:rPr>
        <w:footnoteReference w:id="7"/>
      </w:r>
      <w:r w:rsidRPr="005B2715">
        <w:t xml:space="preserve">; and Hepatic Discontinuation Criteria: if a subject met one of these criteria, study therapy would be stopped. This has been discussed in detail in </w:t>
      </w:r>
      <w:r w:rsidR="00444B57">
        <w:t>Attachment 2</w:t>
      </w:r>
      <w:r w:rsidRPr="005B2715">
        <w:t>.</w:t>
      </w:r>
    </w:p>
    <w:p w14:paraId="4C3DD3BC" w14:textId="387C501F" w:rsidR="00E36CA5" w:rsidRPr="00C6571C" w:rsidRDefault="00E36CA5" w:rsidP="00444B57">
      <w:r w:rsidRPr="005B2715">
        <w:t>An increased rate of Late ALT/AST Elevation Events was associated</w:t>
      </w:r>
      <w:r w:rsidRPr="00C6571C">
        <w:t xml:space="preserve"> with doses of</w:t>
      </w:r>
      <w:r>
        <w:t xml:space="preserve"> </w:t>
      </w:r>
      <w:r w:rsidRPr="00C6571C">
        <w:t>GZR above 100 mg administered with PR.</w:t>
      </w:r>
      <w:r>
        <w:t xml:space="preserve"> </w:t>
      </w:r>
      <w:r w:rsidRPr="00C6571C">
        <w:t>The majority of subjects who discontinued study medication for protocol-defined</w:t>
      </w:r>
      <w:r>
        <w:t xml:space="preserve"> </w:t>
      </w:r>
      <w:r w:rsidRPr="00C6571C">
        <w:t>hepatic laboratory discontinuation criteria had Late ALT/AST Elevation Events. No</w:t>
      </w:r>
      <w:r>
        <w:t xml:space="preserve"> </w:t>
      </w:r>
      <w:r w:rsidRPr="00C6571C">
        <w:t>subjects without Late ALT/AST Elevation Events and/or hepatic laboratory ECIs</w:t>
      </w:r>
      <w:r>
        <w:t xml:space="preserve"> </w:t>
      </w:r>
      <w:r w:rsidRPr="00C6571C">
        <w:t>discontinued study medication for protocol-defined hepatic laboratory discontinuation</w:t>
      </w:r>
      <w:r>
        <w:t xml:space="preserve"> </w:t>
      </w:r>
      <w:r w:rsidRPr="00C6571C">
        <w:t>criteria.</w:t>
      </w:r>
      <w:r>
        <w:t xml:space="preserve"> Overall, </w:t>
      </w:r>
      <w:r w:rsidRPr="00C6571C">
        <w:t xml:space="preserve">Late ALT/AST Elevation Events </w:t>
      </w:r>
      <w:r>
        <w:t xml:space="preserve">were not clinically significant and </w:t>
      </w:r>
      <w:r w:rsidRPr="00C6571C">
        <w:t>were not accompanied by abnormalities of other</w:t>
      </w:r>
      <w:r>
        <w:t xml:space="preserve"> </w:t>
      </w:r>
      <w:r w:rsidRPr="00C6571C">
        <w:t>tests of hepatic function or by liver-related symptoms. The risk of Late ALT/AST Elevation Events was increased moderately by</w:t>
      </w:r>
      <w:r>
        <w:t xml:space="preserve"> intrinsic and extrinsic factors which </w:t>
      </w:r>
      <w:r w:rsidRPr="00C6571C">
        <w:t>were evaluated using a</w:t>
      </w:r>
      <w:r>
        <w:t xml:space="preserve"> </w:t>
      </w:r>
      <w:r w:rsidRPr="00C6571C">
        <w:t>PK/</w:t>
      </w:r>
      <w:r w:rsidR="00D34382">
        <w:t xml:space="preserve">’ </w:t>
      </w:r>
      <w:r w:rsidRPr="00C6571C">
        <w:t>Late ALT/AST Elevation Event</w:t>
      </w:r>
      <w:r w:rsidR="00D34382">
        <w:t>’</w:t>
      </w:r>
      <w:r w:rsidRPr="00C6571C">
        <w:t xml:space="preserve"> analysis, and rates of late ALT/AST elevation events were observed to be higher in</w:t>
      </w:r>
      <w:r>
        <w:t xml:space="preserve"> </w:t>
      </w:r>
      <w:r w:rsidRPr="00C6571C">
        <w:t xml:space="preserve">females, Asians, the elderly, and those with low </w:t>
      </w:r>
      <w:r w:rsidR="00444B57">
        <w:t>body mass index (</w:t>
      </w:r>
      <w:r w:rsidRPr="00C6571C">
        <w:t>BMI</w:t>
      </w:r>
      <w:r w:rsidR="00444B57">
        <w:t>)</w:t>
      </w:r>
      <w:r w:rsidRPr="00C6571C">
        <w:t>; however, the</w:t>
      </w:r>
      <w:r>
        <w:t xml:space="preserve"> </w:t>
      </w:r>
      <w:r w:rsidRPr="00C6571C">
        <w:t>rates in each of these subgroups was &lt;2.5%.</w:t>
      </w:r>
      <w:r>
        <w:t xml:space="preserve"> I</w:t>
      </w:r>
      <w:r w:rsidRPr="00C6571C">
        <w:t>n a limited number of settings (CP-C cirrhosis, concomitant</w:t>
      </w:r>
      <w:r>
        <w:t xml:space="preserve"> </w:t>
      </w:r>
      <w:r w:rsidRPr="00C6571C">
        <w:t>cyclosporine use) where GZR exposure is increased by &gt;14-fold, the</w:t>
      </w:r>
      <w:r>
        <w:t xml:space="preserve"> </w:t>
      </w:r>
      <w:r w:rsidRPr="00C6571C">
        <w:t>risk of Late ALT/AST Elevation Events is increased to &gt;5%</w:t>
      </w:r>
      <w:r>
        <w:t xml:space="preserve">. </w:t>
      </w:r>
      <w:r w:rsidRPr="00C6571C">
        <w:t>Of the 25 subjects with Late ALT/AST Elevation Events, 23 subjects had</w:t>
      </w:r>
      <w:r>
        <w:t xml:space="preserve"> </w:t>
      </w:r>
      <w:r w:rsidRPr="00C6571C">
        <w:t>ALT elevations &gt;5x ULN, and 2 subjects just had an AST elevation &gt;5x</w:t>
      </w:r>
      <w:r>
        <w:t xml:space="preserve"> </w:t>
      </w:r>
      <w:r w:rsidRPr="00C6571C">
        <w:t>ULN. The 2 subjects with just an AST elevation &gt;5x ULN likely had increased AST due to skeletal muscle breakdown, rather than hepatic injury,</w:t>
      </w:r>
    </w:p>
    <w:p w14:paraId="4C3DD3BD" w14:textId="77777777" w:rsidR="00E36CA5" w:rsidRPr="00C6571C" w:rsidRDefault="00E36CA5" w:rsidP="00444B57">
      <w:r w:rsidRPr="00C6571C">
        <w:t>Hepatic laboratory ECIs, a less-specific measure of GZR</w:t>
      </w:r>
      <w:r w:rsidR="00444B57">
        <w:t xml:space="preserve"> </w:t>
      </w:r>
      <w:r w:rsidRPr="00C6571C">
        <w:t>related hepatotoxicity, were</w:t>
      </w:r>
      <w:r>
        <w:t xml:space="preserve"> </w:t>
      </w:r>
      <w:r w:rsidRPr="00C6571C">
        <w:t>infrequent</w:t>
      </w:r>
      <w:r>
        <w:t>, m</w:t>
      </w:r>
      <w:r w:rsidRPr="00C6571C">
        <w:t>ajority of these were transient and not associated with symptoms or</w:t>
      </w:r>
      <w:r>
        <w:t xml:space="preserve"> </w:t>
      </w:r>
      <w:r w:rsidRPr="00C6571C">
        <w:t>other liver-r</w:t>
      </w:r>
      <w:r>
        <w:t xml:space="preserve">elated laboratory abnormalities; these </w:t>
      </w:r>
      <w:r w:rsidRPr="00C6571C">
        <w:t>resolved in all subjects, except for 2 CKD subjects</w:t>
      </w:r>
      <w:r>
        <w:t xml:space="preserve"> </w:t>
      </w:r>
      <w:r w:rsidRPr="00C6571C">
        <w:t>with persistent alkaline phosphatase elevations which were likely caused by</w:t>
      </w:r>
      <w:r>
        <w:t xml:space="preserve"> </w:t>
      </w:r>
      <w:r w:rsidRPr="00C6571C">
        <w:t>underlying renal disease.</w:t>
      </w:r>
      <w:r>
        <w:t xml:space="preserve"> </w:t>
      </w:r>
      <w:r w:rsidRPr="00C6571C">
        <w:t>No subject who did not have a Late ALT/AST Elevation Event or a hepatic laboratory</w:t>
      </w:r>
      <w:r>
        <w:t xml:space="preserve"> </w:t>
      </w:r>
      <w:r w:rsidRPr="00C6571C">
        <w:t>ECI discontinued study medication due to hepatic laboratory abnormalities.</w:t>
      </w:r>
    </w:p>
    <w:p w14:paraId="7389FAF2" w14:textId="77777777" w:rsidR="00655550" w:rsidRDefault="00E36CA5" w:rsidP="00444B57">
      <w:r>
        <w:t xml:space="preserve">Only 1 </w:t>
      </w:r>
      <w:r w:rsidRPr="001B68C2">
        <w:t>subject who received GZR 100 mg had concomitant ALT/AST &gt;3x ULN and total</w:t>
      </w:r>
      <w:r>
        <w:t xml:space="preserve"> </w:t>
      </w:r>
      <w:r w:rsidRPr="001B68C2">
        <w:t>bilirubin &gt;2x ULN</w:t>
      </w:r>
      <w:r>
        <w:t xml:space="preserve">; </w:t>
      </w:r>
      <w:r w:rsidRPr="001B68C2">
        <w:t>this subject was asymptomatic, and the temporal pattern of ALT/AST and total bilirubin</w:t>
      </w:r>
      <w:r>
        <w:t xml:space="preserve"> </w:t>
      </w:r>
      <w:r w:rsidRPr="001B68C2">
        <w:t>elevations was not consistent with hepatocellular injury</w:t>
      </w:r>
      <w:r>
        <w:t>.</w:t>
      </w:r>
    </w:p>
    <w:p w14:paraId="4C3DD3BF" w14:textId="5661731D" w:rsidR="00E36CA5" w:rsidRDefault="00E36CA5" w:rsidP="00444B57">
      <w:pPr>
        <w:rPr>
          <w:color w:val="000000"/>
        </w:rPr>
      </w:pPr>
      <w:r w:rsidRPr="001B68C2">
        <w:rPr>
          <w:color w:val="000000"/>
        </w:rPr>
        <w:t>Populations at increased risk of Late ALT/AST Elevation Events have been identified based</w:t>
      </w:r>
      <w:r>
        <w:rPr>
          <w:color w:val="000000"/>
        </w:rPr>
        <w:t xml:space="preserve"> </w:t>
      </w:r>
      <w:r w:rsidRPr="001B68C2">
        <w:rPr>
          <w:color w:val="000000"/>
        </w:rPr>
        <w:t>upon PK data, PK/PD modelling and also analysis of the clinical data.</w:t>
      </w:r>
      <w:r>
        <w:rPr>
          <w:color w:val="000000"/>
        </w:rPr>
        <w:t xml:space="preserve"> </w:t>
      </w:r>
      <w:r w:rsidRPr="001B68C2">
        <w:rPr>
          <w:color w:val="000000"/>
        </w:rPr>
        <w:t>The risk of Late ALT/AST Elevation Events is increased in the presence of intrinsic factors</w:t>
      </w:r>
      <w:r>
        <w:rPr>
          <w:color w:val="000000"/>
        </w:rPr>
        <w:t xml:space="preserve"> </w:t>
      </w:r>
      <w:r w:rsidRPr="001B68C2">
        <w:rPr>
          <w:color w:val="000000"/>
        </w:rPr>
        <w:t>known to increase GZR exposure. Modest increases in GZR exposure are expected in some</w:t>
      </w:r>
      <w:r>
        <w:rPr>
          <w:color w:val="000000"/>
        </w:rPr>
        <w:t xml:space="preserve"> </w:t>
      </w:r>
      <w:r w:rsidRPr="001B68C2">
        <w:rPr>
          <w:color w:val="000000"/>
        </w:rPr>
        <w:t>populations, including females, Asians, cirrhotics and CKD patients who are not on dialysis.</w:t>
      </w:r>
      <w:r>
        <w:rPr>
          <w:color w:val="000000"/>
        </w:rPr>
        <w:t xml:space="preserve"> </w:t>
      </w:r>
      <w:r w:rsidRPr="001B68C2">
        <w:rPr>
          <w:color w:val="000000"/>
        </w:rPr>
        <w:t>The population pharmacokinetic model predicts that GZR steady-state exposures (AUC) are</w:t>
      </w:r>
      <w:r>
        <w:rPr>
          <w:color w:val="000000"/>
        </w:rPr>
        <w:t xml:space="preserve"> </w:t>
      </w:r>
      <w:r w:rsidRPr="001B68C2">
        <w:rPr>
          <w:color w:val="000000"/>
        </w:rPr>
        <w:t>approximately 1.7</w:t>
      </w:r>
      <w:r w:rsidR="00BA0422">
        <w:rPr>
          <w:color w:val="000000"/>
        </w:rPr>
        <w:t xml:space="preserve"> </w:t>
      </w:r>
      <w:r w:rsidRPr="001B68C2">
        <w:rPr>
          <w:color w:val="000000"/>
        </w:rPr>
        <w:t>fold higher for elderly (67 years old)</w:t>
      </w:r>
      <w:r w:rsidR="00135670">
        <w:rPr>
          <w:color w:val="000000"/>
        </w:rPr>
        <w:t xml:space="preserve"> versus </w:t>
      </w:r>
      <w:r w:rsidRPr="001B68C2">
        <w:rPr>
          <w:color w:val="000000"/>
        </w:rPr>
        <w:t>young (31 years old) patients,</w:t>
      </w:r>
      <w:r>
        <w:rPr>
          <w:color w:val="000000"/>
        </w:rPr>
        <w:t xml:space="preserve"> </w:t>
      </w:r>
      <w:r w:rsidRPr="001B68C2">
        <w:rPr>
          <w:color w:val="000000"/>
        </w:rPr>
        <w:t>1.15</w:t>
      </w:r>
      <w:r w:rsidR="00BA0422">
        <w:rPr>
          <w:color w:val="000000"/>
        </w:rPr>
        <w:t xml:space="preserve"> </w:t>
      </w:r>
      <w:r w:rsidRPr="001B68C2">
        <w:rPr>
          <w:color w:val="000000"/>
        </w:rPr>
        <w:t>fold higher for low weight (53 kg)</w:t>
      </w:r>
      <w:r w:rsidR="00135670">
        <w:rPr>
          <w:color w:val="000000"/>
        </w:rPr>
        <w:t xml:space="preserve"> versus </w:t>
      </w:r>
      <w:r w:rsidRPr="001B68C2">
        <w:rPr>
          <w:color w:val="000000"/>
        </w:rPr>
        <w:t>medium weight (77 kg) patients, 1.4-fold higher</w:t>
      </w:r>
      <w:r>
        <w:rPr>
          <w:color w:val="000000"/>
        </w:rPr>
        <w:t xml:space="preserve"> </w:t>
      </w:r>
      <w:r w:rsidRPr="001B68C2">
        <w:rPr>
          <w:color w:val="000000"/>
        </w:rPr>
        <w:t>for females</w:t>
      </w:r>
      <w:r w:rsidR="00135670">
        <w:rPr>
          <w:color w:val="000000"/>
        </w:rPr>
        <w:t xml:space="preserve"> versus </w:t>
      </w:r>
      <w:r w:rsidRPr="001B68C2">
        <w:rPr>
          <w:color w:val="000000"/>
        </w:rPr>
        <w:t>males, 1.6-fold higher for Asians</w:t>
      </w:r>
      <w:r w:rsidR="00135670">
        <w:rPr>
          <w:color w:val="000000"/>
        </w:rPr>
        <w:t xml:space="preserve"> versus </w:t>
      </w:r>
      <w:r w:rsidR="00BA0422">
        <w:rPr>
          <w:color w:val="000000"/>
        </w:rPr>
        <w:t>W</w:t>
      </w:r>
      <w:r w:rsidRPr="001B68C2">
        <w:rPr>
          <w:color w:val="000000"/>
        </w:rPr>
        <w:t>hites, 1.6</w:t>
      </w:r>
      <w:r w:rsidR="00BA0422">
        <w:rPr>
          <w:color w:val="000000"/>
        </w:rPr>
        <w:t xml:space="preserve"> </w:t>
      </w:r>
      <w:r w:rsidRPr="001B68C2">
        <w:rPr>
          <w:color w:val="000000"/>
        </w:rPr>
        <w:t>fold for CP-A/compensated</w:t>
      </w:r>
      <w:r>
        <w:rPr>
          <w:color w:val="000000"/>
        </w:rPr>
        <w:t xml:space="preserve"> </w:t>
      </w:r>
      <w:proofErr w:type="spellStart"/>
      <w:r w:rsidRPr="001B68C2">
        <w:rPr>
          <w:color w:val="000000"/>
        </w:rPr>
        <w:t>cirrhotics</w:t>
      </w:r>
      <w:proofErr w:type="spellEnd"/>
      <w:r w:rsidR="00135670">
        <w:rPr>
          <w:color w:val="000000"/>
        </w:rPr>
        <w:t xml:space="preserve"> versus </w:t>
      </w:r>
      <w:proofErr w:type="spellStart"/>
      <w:r w:rsidRPr="001B68C2">
        <w:rPr>
          <w:color w:val="000000"/>
        </w:rPr>
        <w:t>noncirrhotics</w:t>
      </w:r>
      <w:proofErr w:type="spellEnd"/>
      <w:r w:rsidRPr="001B68C2">
        <w:rPr>
          <w:color w:val="000000"/>
        </w:rPr>
        <w:t>, and 1.</w:t>
      </w:r>
      <w:r>
        <w:rPr>
          <w:color w:val="000000"/>
        </w:rPr>
        <w:t xml:space="preserve"> </w:t>
      </w:r>
      <w:r w:rsidRPr="001B68C2">
        <w:rPr>
          <w:color w:val="000000"/>
        </w:rPr>
        <w:t>4</w:t>
      </w:r>
      <w:r w:rsidR="00BA0422">
        <w:rPr>
          <w:color w:val="000000"/>
        </w:rPr>
        <w:t xml:space="preserve"> </w:t>
      </w:r>
      <w:r w:rsidRPr="001B68C2">
        <w:rPr>
          <w:color w:val="000000"/>
        </w:rPr>
        <w:t>fold higher in non-dialysis-dependent CKD patients</w:t>
      </w:r>
      <w:r>
        <w:rPr>
          <w:color w:val="000000"/>
        </w:rPr>
        <w:t xml:space="preserve"> </w:t>
      </w:r>
      <w:r w:rsidRPr="001B68C2">
        <w:rPr>
          <w:color w:val="000000"/>
        </w:rPr>
        <w:t>compared to patients without CKD.</w:t>
      </w:r>
      <w:r>
        <w:rPr>
          <w:color w:val="000000"/>
        </w:rPr>
        <w:t xml:space="preserve"> </w:t>
      </w:r>
      <w:r w:rsidRPr="001B68C2">
        <w:rPr>
          <w:color w:val="000000"/>
        </w:rPr>
        <w:t>The highest GZR exposures are likely to occur in Asian, female patients with cirrhosis; the</w:t>
      </w:r>
      <w:r>
        <w:rPr>
          <w:color w:val="000000"/>
        </w:rPr>
        <w:t xml:space="preserve"> </w:t>
      </w:r>
      <w:r w:rsidRPr="001B68C2">
        <w:rPr>
          <w:color w:val="000000"/>
        </w:rPr>
        <w:t>population pharmacokinetic model predicts GZR exposures to be approximately 3</w:t>
      </w:r>
      <w:r w:rsidR="00BA0422">
        <w:rPr>
          <w:color w:val="000000"/>
        </w:rPr>
        <w:t xml:space="preserve"> </w:t>
      </w:r>
      <w:r w:rsidRPr="001B68C2">
        <w:rPr>
          <w:color w:val="000000"/>
        </w:rPr>
        <w:t>fold</w:t>
      </w:r>
      <w:r>
        <w:rPr>
          <w:color w:val="000000"/>
        </w:rPr>
        <w:t xml:space="preserve"> </w:t>
      </w:r>
      <w:r w:rsidRPr="001B68C2">
        <w:rPr>
          <w:color w:val="000000"/>
        </w:rPr>
        <w:t>higher in this patient population. Adding in additional effects of low weight (</w:t>
      </w:r>
      <w:r w:rsidR="00BA0422">
        <w:rPr>
          <w:color w:val="000000"/>
        </w:rPr>
        <w:t>such as</w:t>
      </w:r>
      <w:r w:rsidRPr="001B68C2">
        <w:rPr>
          <w:color w:val="000000"/>
        </w:rPr>
        <w:t xml:space="preserve"> 53 kg) and</w:t>
      </w:r>
      <w:r>
        <w:rPr>
          <w:color w:val="000000"/>
        </w:rPr>
        <w:t xml:space="preserve"> </w:t>
      </w:r>
      <w:r w:rsidRPr="001B68C2">
        <w:rPr>
          <w:color w:val="000000"/>
        </w:rPr>
        <w:t>increased age (</w:t>
      </w:r>
      <w:r w:rsidR="00BA0422">
        <w:rPr>
          <w:color w:val="000000"/>
        </w:rPr>
        <w:t>for example</w:t>
      </w:r>
      <w:r w:rsidRPr="001B68C2">
        <w:rPr>
          <w:color w:val="000000"/>
        </w:rPr>
        <w:t xml:space="preserve"> 67 y</w:t>
      </w:r>
      <w:r>
        <w:rPr>
          <w:color w:val="000000"/>
        </w:rPr>
        <w:t>ea</w:t>
      </w:r>
      <w:r w:rsidRPr="001B68C2">
        <w:rPr>
          <w:color w:val="000000"/>
        </w:rPr>
        <w:t>rs) predicts a 4.4-fold increase in GZR for an elderly, low-weight,</w:t>
      </w:r>
      <w:r>
        <w:rPr>
          <w:color w:val="000000"/>
        </w:rPr>
        <w:t xml:space="preserve"> </w:t>
      </w:r>
      <w:r w:rsidRPr="001B68C2">
        <w:rPr>
          <w:color w:val="000000"/>
        </w:rPr>
        <w:t>cirrhotic, Asian, female patient, compared to a young, medium weight, non</w:t>
      </w:r>
      <w:r w:rsidR="00BA0422">
        <w:rPr>
          <w:color w:val="000000"/>
        </w:rPr>
        <w:t>-</w:t>
      </w:r>
      <w:r w:rsidRPr="001B68C2">
        <w:rPr>
          <w:color w:val="000000"/>
        </w:rPr>
        <w:t xml:space="preserve">cirrhotic </w:t>
      </w:r>
      <w:r w:rsidR="00BA0422">
        <w:rPr>
          <w:color w:val="000000"/>
        </w:rPr>
        <w:t>W</w:t>
      </w:r>
      <w:r w:rsidRPr="001B68C2">
        <w:rPr>
          <w:color w:val="000000"/>
        </w:rPr>
        <w:t>hite</w:t>
      </w:r>
      <w:r>
        <w:rPr>
          <w:color w:val="000000"/>
        </w:rPr>
        <w:t xml:space="preserve"> </w:t>
      </w:r>
      <w:r w:rsidRPr="001B68C2">
        <w:rPr>
          <w:color w:val="000000"/>
        </w:rPr>
        <w:t>male patient.</w:t>
      </w:r>
    </w:p>
    <w:p w14:paraId="64ABE907" w14:textId="77777777" w:rsidR="00655550" w:rsidRDefault="00E36CA5" w:rsidP="00CE22E6">
      <w:pPr>
        <w:pStyle w:val="Comment"/>
        <w:ind w:left="1134" w:hanging="1134"/>
      </w:pPr>
      <w:r w:rsidRPr="00444B57">
        <w:rPr>
          <w:b/>
        </w:rPr>
        <w:lastRenderedPageBreak/>
        <w:t>Comment</w:t>
      </w:r>
      <w:r w:rsidRPr="00126C69">
        <w:t>:</w:t>
      </w:r>
      <w:r w:rsidR="00CE22E6">
        <w:t xml:space="preserve"> </w:t>
      </w:r>
      <w:r w:rsidRPr="00126C69">
        <w:t xml:space="preserve">The proposed </w:t>
      </w:r>
      <w:r w:rsidR="00BA0422">
        <w:t xml:space="preserve">draft </w:t>
      </w:r>
      <w:r w:rsidR="00CE22E6" w:rsidRPr="00CE22E6">
        <w:t xml:space="preserve">Product Information </w:t>
      </w:r>
      <w:r w:rsidRPr="00126C69">
        <w:t>contains adequate information regarding hepatic laboratory testing which should be performed prior to therapy and periodically thereafter.</w:t>
      </w:r>
    </w:p>
    <w:p w14:paraId="4C3DD3C1" w14:textId="0F6D06D6" w:rsidR="00E36CA5" w:rsidRPr="00EE33AC" w:rsidRDefault="00E36CA5" w:rsidP="00444B57">
      <w:pPr>
        <w:pStyle w:val="Heading5"/>
      </w:pPr>
      <w:bookmarkStart w:id="109" w:name="_Toc272414682"/>
      <w:bookmarkStart w:id="110" w:name="_Toc290846320"/>
      <w:bookmarkStart w:id="111" w:name="_Toc448473628"/>
      <w:r w:rsidRPr="00EE33AC">
        <w:t>Haematological toxicity</w:t>
      </w:r>
      <w:bookmarkEnd w:id="109"/>
      <w:bookmarkEnd w:id="110"/>
      <w:bookmarkEnd w:id="111"/>
    </w:p>
    <w:p w14:paraId="4CC69AB6" w14:textId="77777777" w:rsidR="00655550" w:rsidRDefault="00E36CA5" w:rsidP="00444B57">
      <w:r w:rsidRPr="00B91308">
        <w:t>H</w:t>
      </w:r>
      <w:r>
        <w:t>a</w:t>
      </w:r>
      <w:r w:rsidRPr="00B91308">
        <w:t xml:space="preserve">emoglobin decreases were infrequent in the GZR with </w:t>
      </w:r>
      <w:r w:rsidRPr="009B2564">
        <w:t>EBR (no RBV) regimen but were more frequent in the GZR with EBR (+ RBV) regimen, consistent with the well</w:t>
      </w:r>
      <w:r w:rsidR="00BA0422" w:rsidRPr="009B2564">
        <w:t>-</w:t>
      </w:r>
      <w:r w:rsidRPr="009B2564">
        <w:t>known</w:t>
      </w:r>
      <w:r>
        <w:t xml:space="preserve"> side effects of RBV. </w:t>
      </w:r>
      <w:r w:rsidRPr="00B91308">
        <w:t xml:space="preserve">In the GZR with EBR (no RBV) regimen, no subjects had a Grade 3 or 4 </w:t>
      </w:r>
      <w:r w:rsidR="00BA0422">
        <w:t>haemoglobin (</w:t>
      </w:r>
      <w:r w:rsidRPr="00B91308">
        <w:t>Hg</w:t>
      </w:r>
      <w:r w:rsidR="00BA0422">
        <w:t>)</w:t>
      </w:r>
      <w:r>
        <w:t xml:space="preserve"> </w:t>
      </w:r>
      <w:r w:rsidRPr="00B91308">
        <w:t>decrease; 0.2% (2/1033) had worsening by ≥</w:t>
      </w:r>
      <w:r w:rsidR="00BA0422">
        <w:t xml:space="preserve"> </w:t>
      </w:r>
      <w:r w:rsidRPr="00B91308">
        <w:t>2 grades.</w:t>
      </w:r>
      <w:r>
        <w:t xml:space="preserve"> </w:t>
      </w:r>
      <w:r w:rsidRPr="00B91308">
        <w:t>In the GZR with EBR (+ RBV) regimen, 2.7% (19/656) had a Grade 3 decrease,</w:t>
      </w:r>
      <w:r>
        <w:t xml:space="preserve"> </w:t>
      </w:r>
      <w:r w:rsidRPr="00B91308">
        <w:t>and no su</w:t>
      </w:r>
      <w:r>
        <w:t>bjects had a Grade 4 decrease and 1</w:t>
      </w:r>
      <w:r w:rsidRPr="00B91308">
        <w:t>1.7% (77/656) had worsening by ≥</w:t>
      </w:r>
      <w:r w:rsidR="00BA0422">
        <w:t xml:space="preserve"> </w:t>
      </w:r>
      <w:r w:rsidRPr="00B91308">
        <w:t>2 grades.</w:t>
      </w:r>
      <w:r>
        <w:t xml:space="preserve"> </w:t>
      </w:r>
      <w:r w:rsidRPr="00B91308">
        <w:t>The majority of decreases occurred during the first 4 weeks of treatment</w:t>
      </w:r>
      <w:r>
        <w:t xml:space="preserve"> which </w:t>
      </w:r>
      <w:r w:rsidRPr="00B91308">
        <w:t xml:space="preserve">overlapped </w:t>
      </w:r>
      <w:r>
        <w:t xml:space="preserve">with </w:t>
      </w:r>
      <w:r w:rsidRPr="00B91308">
        <w:t>the time</w:t>
      </w:r>
      <w:r>
        <w:t xml:space="preserve"> </w:t>
      </w:r>
      <w:r w:rsidRPr="00B91308">
        <w:t>course of bilirubin elevations.</w:t>
      </w:r>
      <w:r>
        <w:t xml:space="preserve"> </w:t>
      </w:r>
      <w:r w:rsidRPr="00B91308">
        <w:t>Mean haemoglobin levels did not change in the GZR with EBR (no RBV) regimen,</w:t>
      </w:r>
      <w:r>
        <w:t xml:space="preserve"> </w:t>
      </w:r>
      <w:r w:rsidRPr="00B91308">
        <w:t>but they decreased in the GZR with EBR (+ RBV) regimen. H</w:t>
      </w:r>
      <w:r>
        <w:t>a</w:t>
      </w:r>
      <w:r w:rsidRPr="00B91308">
        <w:t>emoglobin levels</w:t>
      </w:r>
      <w:r>
        <w:t xml:space="preserve"> </w:t>
      </w:r>
      <w:r w:rsidRPr="00B91308">
        <w:t>declined approximately 2.4 gm/dL during the first 8 weeks of study treatment in</w:t>
      </w:r>
      <w:r>
        <w:t xml:space="preserve"> </w:t>
      </w:r>
      <w:r w:rsidRPr="00B91308">
        <w:t>the GZR with EBR (+RBV) 16 week regimen. The magnitude and timing of</w:t>
      </w:r>
      <w:r>
        <w:t xml:space="preserve"> </w:t>
      </w:r>
      <w:r w:rsidR="00BA0422">
        <w:t>Hb</w:t>
      </w:r>
      <w:r w:rsidRPr="00B91308">
        <w:t xml:space="preserve"> decrease are consistent with what has been observed with other anti-</w:t>
      </w:r>
      <w:r>
        <w:t xml:space="preserve"> </w:t>
      </w:r>
      <w:r w:rsidRPr="00B91308">
        <w:t>HCV regimens that utili</w:t>
      </w:r>
      <w:r>
        <w:t>se</w:t>
      </w:r>
      <w:r w:rsidRPr="00B91308">
        <w:t xml:space="preserve"> RBV</w:t>
      </w:r>
      <w:r>
        <w:t>.</w:t>
      </w:r>
    </w:p>
    <w:p w14:paraId="4C3DD3C3" w14:textId="32178E9B" w:rsidR="00605AD4" w:rsidRPr="00605AD4" w:rsidRDefault="00605AD4" w:rsidP="00444B57">
      <w:pPr>
        <w:pStyle w:val="Heading4"/>
      </w:pPr>
      <w:r w:rsidRPr="00605AD4">
        <w:t>Evaluator’s conclusions on safety</w:t>
      </w:r>
    </w:p>
    <w:p w14:paraId="3D1EFD3C" w14:textId="77777777" w:rsidR="00655550" w:rsidRDefault="00E36CA5" w:rsidP="00444B57">
      <w:r w:rsidRPr="00B4233A">
        <w:rPr>
          <w:rFonts w:eastAsia="TimesNewRoman,Bold" w:cs="TimesNewRoman,Bold"/>
          <w:bCs/>
        </w:rPr>
        <w:t xml:space="preserve">The safety profile of GZR/EBR has been well defined in an extensive clinical development program. </w:t>
      </w:r>
      <w:r w:rsidRPr="00B4233A">
        <w:t xml:space="preserve">In Phase </w:t>
      </w:r>
      <w:r w:rsidR="00BA0422">
        <w:t>I-III</w:t>
      </w:r>
      <w:r w:rsidRPr="00B4233A">
        <w:t xml:space="preserve"> studies, 1234 healthy volunteers, 66 non-HCV-infected persons with liver or kidney impairment and 2704 HCV-infected subjects have been treated with any dose or regimen of GZR and/or EBR.</w:t>
      </w:r>
    </w:p>
    <w:p w14:paraId="4C3DD3C5" w14:textId="7A2A201D" w:rsidR="00E36CA5" w:rsidRDefault="00E36CA5" w:rsidP="00444B57">
      <w:r>
        <w:t xml:space="preserve">The </w:t>
      </w:r>
      <w:r w:rsidRPr="00B4233A">
        <w:t>ISP pool is the primary pool used for evaluation of AEs and laboratory evaluations</w:t>
      </w:r>
      <w:r>
        <w:t xml:space="preserve"> and</w:t>
      </w:r>
      <w:r w:rsidRPr="00287995">
        <w:t xml:space="preserve"> consists of subjects in </w:t>
      </w:r>
      <w:r w:rsidR="004A28A8">
        <w:t>Phase II</w:t>
      </w:r>
      <w:r w:rsidRPr="00287995">
        <w:t>/</w:t>
      </w:r>
      <w:r w:rsidR="00BA0422">
        <w:t>III</w:t>
      </w:r>
      <w:r w:rsidRPr="00287995">
        <w:t xml:space="preserve"> </w:t>
      </w:r>
      <w:r>
        <w:t xml:space="preserve">studies </w:t>
      </w:r>
      <w:r w:rsidRPr="00287995">
        <w:t>who</w:t>
      </w:r>
      <w:r>
        <w:t xml:space="preserve"> </w:t>
      </w:r>
      <w:r w:rsidRPr="00287995">
        <w:t>received at least 8 weeks of therapy with GZR 100 mg with EBR 50 mg. The pool</w:t>
      </w:r>
      <w:r>
        <w:t xml:space="preserve"> </w:t>
      </w:r>
      <w:r w:rsidRPr="00287995">
        <w:t>does not include CKD subjects from P052, since these subjects have a distinct</w:t>
      </w:r>
      <w:r>
        <w:t xml:space="preserve"> </w:t>
      </w:r>
      <w:r w:rsidRPr="00287995">
        <w:t>safety profile, and the pool does not contain subjects from P074, in which</w:t>
      </w:r>
      <w:r>
        <w:t xml:space="preserve"> </w:t>
      </w:r>
      <w:proofErr w:type="spellStart"/>
      <w:r w:rsidRPr="00287995">
        <w:t>sofosbuvir</w:t>
      </w:r>
      <w:proofErr w:type="spellEnd"/>
      <w:r w:rsidRPr="00287995">
        <w:t xml:space="preserve"> was co-administered. </w:t>
      </w:r>
      <w:r w:rsidRPr="00B4233A">
        <w:t>The ISP includes 1690 HCV-infected</w:t>
      </w:r>
      <w:r>
        <w:t xml:space="preserve"> </w:t>
      </w:r>
      <w:r w:rsidRPr="00B4233A">
        <w:t>subjects who received the doses proposed for marketing (100 mg GZR and 50 mg EBR) for 8</w:t>
      </w:r>
      <w:r>
        <w:t xml:space="preserve"> </w:t>
      </w:r>
      <w:r w:rsidRPr="00B4233A">
        <w:t>weeks (91 subjects), 12 weeks (939 subjects), 16 weeks (214 subjects), or 18 weeks (149 subjects) and it is therefore the most relevant population for overall safety. Slightly more than one-third (657/1690 [38.9%]) of subjects in the ISP received RBV.</w:t>
      </w:r>
      <w:r w:rsidRPr="00B4233A">
        <w:rPr>
          <w:rFonts w:eastAsia="TimesNewRoman,Bold" w:cs="TimesNewRoman,Bold"/>
          <w:bCs/>
        </w:rPr>
        <w:t xml:space="preserve"> The ISP is representative of the overall HCV-infected population, and it included important subsets of HCV-infected individuals</w:t>
      </w:r>
      <w:r w:rsidRPr="00B4233A">
        <w:t xml:space="preserve">. In the ISP, 457/1690 (27.0%) of subjects were cirrhotic and 298/1690 (17.6%) subjects had HCV/HIV co-infection. Additionally, diverse ethnic groups were included in the ISP; the population consisted predominantly of </w:t>
      </w:r>
      <w:r>
        <w:t>W</w:t>
      </w:r>
      <w:r w:rsidRPr="00B4233A">
        <w:t xml:space="preserve">hites (75.5%), </w:t>
      </w:r>
      <w:r>
        <w:t>Blacks (12.9%)</w:t>
      </w:r>
      <w:r w:rsidRPr="00B4233A">
        <w:t xml:space="preserve"> and Asians (9.8%). </w:t>
      </w:r>
      <w:r w:rsidRPr="00287995">
        <w:t>This pool provides the most relevant profile</w:t>
      </w:r>
      <w:r>
        <w:t xml:space="preserve"> for FDC of GZR/EBR</w:t>
      </w:r>
      <w:r w:rsidRPr="00287995">
        <w:t xml:space="preserve"> at doses</w:t>
      </w:r>
      <w:r>
        <w:t xml:space="preserve"> </w:t>
      </w:r>
      <w:r w:rsidRPr="00287995">
        <w:t>and durations proposed for marketing</w:t>
      </w:r>
      <w:r>
        <w:t>.</w:t>
      </w:r>
    </w:p>
    <w:p w14:paraId="4F501394" w14:textId="77777777" w:rsidR="00655550" w:rsidRDefault="00E36CA5" w:rsidP="00444B57">
      <w:r w:rsidRPr="00B4233A">
        <w:t>The general safety profile of the ISP demonstrated good tolerability of GZR 100 mg with EBR 50 mg</w:t>
      </w:r>
      <w:r>
        <w:t xml:space="preserve">. </w:t>
      </w:r>
      <w:r w:rsidRPr="00C74160">
        <w:t>There were few deaths, non-fatal SAEs, or AEs leading to discontinuation; very few</w:t>
      </w:r>
      <w:r>
        <w:t xml:space="preserve"> </w:t>
      </w:r>
      <w:r w:rsidRPr="00C74160">
        <w:t>of these events were assessed as related to treatment.</w:t>
      </w:r>
      <w:r>
        <w:t xml:space="preserve"> </w:t>
      </w:r>
      <w:r w:rsidRPr="00C74160">
        <w:t>Few AEs occurred at a rate &gt;10%; the majority were mild, and very few were severe.</w:t>
      </w:r>
      <w:r>
        <w:t xml:space="preserve"> </w:t>
      </w:r>
      <w:r w:rsidRPr="00C74160">
        <w:t>The most common AEs overall were headache (18.0%) and fatigue (16.2%).</w:t>
      </w:r>
      <w:r>
        <w:t xml:space="preserve"> </w:t>
      </w:r>
      <w:r w:rsidRPr="00C74160">
        <w:t>The most common drug-related AEs were headache (11.5%) and fatigue (12.0%).</w:t>
      </w:r>
      <w:r>
        <w:t xml:space="preserve"> </w:t>
      </w:r>
      <w:r w:rsidRPr="00C74160">
        <w:t>Safety profiles were similar in important subpopulations:</w:t>
      </w:r>
      <w:r>
        <w:t xml:space="preserve"> </w:t>
      </w:r>
      <w:r w:rsidRPr="00C74160">
        <w:t>Cirrhotics and non</w:t>
      </w:r>
      <w:r w:rsidR="00BA0422">
        <w:t>-</w:t>
      </w:r>
      <w:r w:rsidRPr="00C74160">
        <w:t>cir</w:t>
      </w:r>
      <w:r>
        <w:t>r</w:t>
      </w:r>
      <w:r w:rsidRPr="00C74160">
        <w:t>hotics had similar AE profiles.</w:t>
      </w:r>
      <w:r>
        <w:t xml:space="preserve"> </w:t>
      </w:r>
      <w:r w:rsidRPr="00C74160">
        <w:t>HCV/HIV co-infected and HCV mono-infected subjects had similar profiles;</w:t>
      </w:r>
      <w:r>
        <w:t xml:space="preserve"> H</w:t>
      </w:r>
      <w:r w:rsidRPr="00C74160">
        <w:t>CV mono-infected subjects had a slightly higher incidence of AEs.</w:t>
      </w:r>
      <w:r>
        <w:t xml:space="preserve"> </w:t>
      </w:r>
      <w:r w:rsidRPr="00C74160">
        <w:t>A RBV-free regimen has a safety advantage, compared to a RBV-containing regimen.</w:t>
      </w:r>
      <w:r>
        <w:t xml:space="preserve"> </w:t>
      </w:r>
      <w:r w:rsidRPr="00C74160">
        <w:t>The incidence of well-known RBV-related AEs (an</w:t>
      </w:r>
      <w:r>
        <w:t>a</w:t>
      </w:r>
      <w:r w:rsidRPr="00C74160">
        <w:t>emia, fatigue, dyspnoea,</w:t>
      </w:r>
      <w:r>
        <w:t xml:space="preserve"> </w:t>
      </w:r>
      <w:r w:rsidRPr="00C74160">
        <w:t>rash, and pruritus) was increased in subjects who received RBV</w:t>
      </w:r>
      <w:r w:rsidR="00BA0422">
        <w:t xml:space="preserve"> </w:t>
      </w:r>
      <w:r w:rsidRPr="00C74160">
        <w:t>containing</w:t>
      </w:r>
      <w:r>
        <w:t xml:space="preserve"> </w:t>
      </w:r>
      <w:r w:rsidRPr="00C74160">
        <w:t>regimens. Despite this, GZR with EBR (+ RBV) was generally well-tolerated</w:t>
      </w:r>
      <w:r>
        <w:t xml:space="preserve"> </w:t>
      </w:r>
      <w:r w:rsidRPr="00C74160">
        <w:t>with few discontinuations.</w:t>
      </w:r>
      <w:r>
        <w:t xml:space="preserve"> </w:t>
      </w:r>
      <w:r w:rsidRPr="00C74160">
        <w:t>Safety profiles did not meaningfully differ according to the duration of the treatment</w:t>
      </w:r>
      <w:r>
        <w:t xml:space="preserve"> </w:t>
      </w:r>
      <w:r w:rsidRPr="00C74160">
        <w:t xml:space="preserve">regimen GZR 100 mg with EBR 50 mg is safe and well-tolerated, </w:t>
      </w:r>
      <w:r w:rsidRPr="00C74160">
        <w:lastRenderedPageBreak/>
        <w:t>with and without RBV co</w:t>
      </w:r>
      <w:r>
        <w:t>-</w:t>
      </w:r>
      <w:r w:rsidRPr="00C74160">
        <w:t>administration,</w:t>
      </w:r>
      <w:r>
        <w:t xml:space="preserve"> </w:t>
      </w:r>
      <w:r w:rsidRPr="00C74160">
        <w:t>for durations of 8, 12, 16, or 18 weeks.</w:t>
      </w:r>
      <w:r>
        <w:t xml:space="preserve"> </w:t>
      </w:r>
      <w:r w:rsidRPr="00C74160">
        <w:t xml:space="preserve">GZR 100 mg with EBR 50 mg is safe and </w:t>
      </w:r>
      <w:r w:rsidRPr="004C3829">
        <w:t>well-tolerated, with and without RBV co</w:t>
      </w:r>
      <w:r>
        <w:t>-</w:t>
      </w:r>
      <w:r w:rsidRPr="004C3829">
        <w:t>administration regardless of the presence of cirrhosis or HCV/HIV co-infection.</w:t>
      </w:r>
    </w:p>
    <w:p w14:paraId="3BD03657" w14:textId="77777777" w:rsidR="00655550" w:rsidRDefault="00E36CA5" w:rsidP="00444B57">
      <w:r w:rsidRPr="00BF7E2F">
        <w:t>AEs were similar in important subpopulations</w:t>
      </w:r>
      <w:r>
        <w:t xml:space="preserve"> with</w:t>
      </w:r>
      <w:r w:rsidRPr="00BF7E2F">
        <w:t xml:space="preserve"> no differences in AE profiles</w:t>
      </w:r>
      <w:r>
        <w:t xml:space="preserve"> </w:t>
      </w:r>
      <w:r w:rsidRPr="00BF7E2F">
        <w:t>based on age, gender, or race/ethnicity. Compared to subjects in the ISP (RBV-free treatment</w:t>
      </w:r>
      <w:r>
        <w:t xml:space="preserve"> </w:t>
      </w:r>
      <w:r w:rsidRPr="00BF7E2F">
        <w:t>regimens), CKD 4-5 subjects in P052 had a higher overall rate of AEs. However, this</w:t>
      </w:r>
      <w:r>
        <w:t xml:space="preserve"> </w:t>
      </w:r>
      <w:r w:rsidRPr="00BF7E2F">
        <w:t xml:space="preserve">increased rate was most likely due to underlying renal disease, since </w:t>
      </w:r>
      <w:r>
        <w:t xml:space="preserve">AE rates were similar </w:t>
      </w:r>
      <w:r w:rsidRPr="00BF7E2F">
        <w:t>between subjects who received GZR+EBR and placebo; furthermore, compared to</w:t>
      </w:r>
      <w:r>
        <w:t xml:space="preserve"> </w:t>
      </w:r>
      <w:r w:rsidRPr="00BF7E2F">
        <w:t>subjects in the ISP, CKD subjects had a similar profile of individual AEs. Compared to</w:t>
      </w:r>
      <w:r>
        <w:t xml:space="preserve"> </w:t>
      </w:r>
      <w:r w:rsidRPr="00BF7E2F">
        <w:t>non</w:t>
      </w:r>
      <w:r w:rsidR="009963BB">
        <w:noBreakHyphen/>
      </w:r>
      <w:r w:rsidRPr="00BF7E2F">
        <w:t>cirrhotics, cirrhotics had a slightly higher, although comparable, incidence of AEs noted</w:t>
      </w:r>
      <w:r>
        <w:t xml:space="preserve"> </w:t>
      </w:r>
      <w:r w:rsidRPr="00BF7E2F">
        <w:t>in the P060/P</w:t>
      </w:r>
      <w:r>
        <w:t>0</w:t>
      </w:r>
      <w:r w:rsidRPr="00BF7E2F">
        <w:t>61/P068 12</w:t>
      </w:r>
      <w:r w:rsidR="009963BB">
        <w:t xml:space="preserve"> </w:t>
      </w:r>
      <w:r w:rsidRPr="00BF7E2F">
        <w:t>Week Pool, but rates of AEs were similar</w:t>
      </w:r>
      <w:r>
        <w:t xml:space="preserve"> </w:t>
      </w:r>
      <w:r w:rsidRPr="00BF7E2F">
        <w:t>in the larger ISP. This slightly higher incidence of AEs in the smaller pool was likely</w:t>
      </w:r>
      <w:r>
        <w:t xml:space="preserve"> </w:t>
      </w:r>
      <w:r w:rsidRPr="00BF7E2F">
        <w:t>reflective of underlying comorbidities related to cirrhosis, rather than due to GZR with EB</w:t>
      </w:r>
      <w:r>
        <w:t xml:space="preserve">R. </w:t>
      </w:r>
      <w:r w:rsidRPr="002A5DDB">
        <w:t xml:space="preserve">In the </w:t>
      </w:r>
      <w:r w:rsidR="004A28A8">
        <w:t>Phase III</w:t>
      </w:r>
      <w:r w:rsidRPr="002A5DDB">
        <w:t xml:space="preserve"> pivotal, placebo-controlled </w:t>
      </w:r>
      <w:r w:rsidR="009963BB">
        <w:t>S</w:t>
      </w:r>
      <w:r w:rsidRPr="002A5DDB">
        <w:t>tudy P060, once daily fixed-dose oral regimen of</w:t>
      </w:r>
      <w:r>
        <w:t xml:space="preserve"> </w:t>
      </w:r>
      <w:r w:rsidRPr="002A5DDB">
        <w:t>GZR/</w:t>
      </w:r>
      <w:r>
        <w:t xml:space="preserve"> </w:t>
      </w:r>
      <w:r w:rsidRPr="002A5DDB">
        <w:t>EBR 100/5</w:t>
      </w:r>
      <w:r w:rsidR="004C1037">
        <w:t>0 mg</w:t>
      </w:r>
      <w:r w:rsidRPr="002A5DDB">
        <w:t xml:space="preserve"> for 12 weeks was generally well-tolerated in </w:t>
      </w:r>
      <w:r>
        <w:t xml:space="preserve">421 </w:t>
      </w:r>
      <w:r w:rsidRPr="002A5DDB">
        <w:t>TN cirrhotic and non-cirrhotic</w:t>
      </w:r>
      <w:r>
        <w:t xml:space="preserve"> </w:t>
      </w:r>
      <w:r w:rsidRPr="002A5DDB">
        <w:t>subjects with HCV GT1, GT4, or GT6 infection. Drug-related SAEs and</w:t>
      </w:r>
      <w:r>
        <w:t xml:space="preserve"> </w:t>
      </w:r>
      <w:r w:rsidRPr="002A5DDB">
        <w:t>discontinuations for AEs were uncommon</w:t>
      </w:r>
      <w:r>
        <w:t>.</w:t>
      </w:r>
      <w:r w:rsidRPr="00BF7E2F">
        <w:t xml:space="preserve"> </w:t>
      </w:r>
      <w:r>
        <w:t xml:space="preserve">Importantly in </w:t>
      </w:r>
      <w:r w:rsidRPr="00BF7E2F">
        <w:t>P060, no relevant differences were observed between GZR/EBR and</w:t>
      </w:r>
      <w:r>
        <w:t xml:space="preserve"> </w:t>
      </w:r>
      <w:r w:rsidRPr="00BF7E2F">
        <w:t>placebo (deferred treatment) groups.</w:t>
      </w:r>
    </w:p>
    <w:p w14:paraId="45672EE0" w14:textId="77777777" w:rsidR="00655550" w:rsidRDefault="00E36CA5" w:rsidP="00444B57">
      <w:r>
        <w:t>T</w:t>
      </w:r>
      <w:r w:rsidRPr="009E1C56">
        <w:t>reatment with GZR with EBR does not</w:t>
      </w:r>
      <w:r>
        <w:t xml:space="preserve"> </w:t>
      </w:r>
      <w:r w:rsidRPr="009E1C56">
        <w:t>meaningfully affect the safety profile in subjects with CKD</w:t>
      </w:r>
      <w:r>
        <w:t xml:space="preserve"> as t</w:t>
      </w:r>
      <w:r w:rsidRPr="009E1C56">
        <w:t>he rates of AEs, deaths, SAEs,</w:t>
      </w:r>
      <w:r>
        <w:t xml:space="preserve"> </w:t>
      </w:r>
      <w:r w:rsidRPr="009E1C56">
        <w:t>and discontinuations did not meaningfully differ based on renal function. As such, no dosage</w:t>
      </w:r>
      <w:r>
        <w:t xml:space="preserve"> </w:t>
      </w:r>
      <w:r w:rsidRPr="009E1C56">
        <w:t>adjustment of GZR/EBR is warranted in HCV-infected patients with renal impairment</w:t>
      </w:r>
      <w:r>
        <w:t xml:space="preserve"> r</w:t>
      </w:r>
      <w:r w:rsidRPr="009E1C56">
        <w:t>egardless of dialysis status</w:t>
      </w:r>
      <w:r>
        <w:t>.</w:t>
      </w:r>
    </w:p>
    <w:p w14:paraId="4C3DD3C9" w14:textId="3DC18DBC" w:rsidR="00E36CA5" w:rsidRPr="00287995" w:rsidRDefault="00E36CA5" w:rsidP="00444B57">
      <w:pPr>
        <w:rPr>
          <w:color w:val="000000"/>
        </w:rPr>
      </w:pPr>
      <w:r w:rsidRPr="00243DD3">
        <w:rPr>
          <w:rFonts w:eastAsia="TimesNewRoman,Bold" w:cs="TimesNewRoman,Bold"/>
          <w:bCs/>
          <w:color w:val="000000"/>
        </w:rPr>
        <w:t xml:space="preserve">The safety advantages of a RBV-free regimen were clearly shown in terms of a reduced rate of RBV-related AEs and haemoglobin abnormalities. </w:t>
      </w:r>
      <w:r w:rsidRPr="00243DD3">
        <w:rPr>
          <w:color w:val="000000"/>
        </w:rPr>
        <w:t>The rates of common AEs and drug-related AEs were more common with RBV co</w:t>
      </w:r>
      <w:r w:rsidR="009963BB">
        <w:rPr>
          <w:color w:val="000000"/>
        </w:rPr>
        <w:noBreakHyphen/>
      </w:r>
      <w:r w:rsidRPr="00243DD3">
        <w:rPr>
          <w:color w:val="000000"/>
        </w:rPr>
        <w:t>administration</w:t>
      </w:r>
      <w:r w:rsidRPr="00287995">
        <w:rPr>
          <w:color w:val="000000"/>
        </w:rPr>
        <w:t>.</w:t>
      </w:r>
    </w:p>
    <w:p w14:paraId="4C3DD3CA" w14:textId="77777777" w:rsidR="00E36CA5" w:rsidRDefault="00E36CA5" w:rsidP="00444B57">
      <w:r w:rsidRPr="00287995">
        <w:t>The hepatic safety profile of GZR/EBR has been thoroughly evaluated in the clinical</w:t>
      </w:r>
      <w:r>
        <w:t xml:space="preserve"> development program. I</w:t>
      </w:r>
      <w:r w:rsidRPr="00287995">
        <w:t>n the GZR development program, dose/exposure-related elevations in ALT/AST were first</w:t>
      </w:r>
      <w:r>
        <w:t xml:space="preserve"> </w:t>
      </w:r>
      <w:r w:rsidRPr="00287995">
        <w:t xml:space="preserve">noted in </w:t>
      </w:r>
      <w:r>
        <w:t xml:space="preserve">study </w:t>
      </w:r>
      <w:r w:rsidRPr="00287995">
        <w:t>P003, predominantly at doses of 400</w:t>
      </w:r>
      <w:r w:rsidR="009963BB">
        <w:t xml:space="preserve"> to</w:t>
      </w:r>
      <w:r w:rsidRPr="00287995">
        <w:t xml:space="preserve"> 800 mg/day.</w:t>
      </w:r>
      <w:r>
        <w:t xml:space="preserve"> The Hepatic Safety Pool (HSP) </w:t>
      </w:r>
      <w:r w:rsidRPr="00287995">
        <w:t xml:space="preserve">pool consists of </w:t>
      </w:r>
      <w:r>
        <w:t xml:space="preserve">2405 </w:t>
      </w:r>
      <w:r w:rsidRPr="00287995">
        <w:t xml:space="preserve">subjects in </w:t>
      </w:r>
      <w:r w:rsidR="004A28A8">
        <w:t>Phase II</w:t>
      </w:r>
      <w:r w:rsidRPr="00287995">
        <w:t>/</w:t>
      </w:r>
      <w:r w:rsidR="009963BB">
        <w:t>III</w:t>
      </w:r>
      <w:r>
        <w:t xml:space="preserve"> </w:t>
      </w:r>
      <w:r w:rsidRPr="00287995">
        <w:t>who received at least 8 weeks of therapy with G</w:t>
      </w:r>
      <w:r>
        <w:t xml:space="preserve">ZR, regardless of GZR dose and </w:t>
      </w:r>
      <w:r w:rsidRPr="00287995">
        <w:t>provides the most comprehensive picture of hepatic safety and defines hepatic</w:t>
      </w:r>
      <w:r>
        <w:t xml:space="preserve"> </w:t>
      </w:r>
      <w:r w:rsidRPr="00287995">
        <w:t>safety risks associated with higher doses of GZR.</w:t>
      </w:r>
      <w:r>
        <w:t xml:space="preserve"> </w:t>
      </w:r>
      <w:r w:rsidRPr="00BF7E2F">
        <w:t xml:space="preserve">In the HSP, 36/2405 (1.5%) subjects had a Late ALT/AST Elevation Event, hepatic laboratory ECI, and/or discontinued study medication due to protocol-specified hepatic laboratory discontinuation criteria. Of these 36 subjects, 25/2405 (1.0%) had a Late ALT/AST Elevation Event, 26/2405 (1.1%) had a hepatic laboratory ECI, and 7 (0.3%) discontinued study medication due to protocol-specified hepatic laboratory abnormality discontinuation criteria. There was an increase in the rate of Late ALT/AST Elevation Events and hepatic laboratory ECIs in subjects who received doses of GZR greater than 100 mg administered with PR. Overall, the most frequent hepatic laboratory criterion fulfilled was </w:t>
      </w:r>
      <w:r w:rsidR="00D34382">
        <w:t>‘</w:t>
      </w:r>
      <w:r w:rsidRPr="00BF7E2F">
        <w:t>ALT or AST &gt;3x baseline and &gt;100 IU/L</w:t>
      </w:r>
      <w:r w:rsidR="00D34382">
        <w:t>’</w:t>
      </w:r>
      <w:r w:rsidRPr="00BF7E2F">
        <w:t xml:space="preserve"> which occurred in 19/26 subjects who met ECI criteria</w:t>
      </w:r>
      <w:r w:rsidR="009963BB">
        <w:t>.</w:t>
      </w:r>
    </w:p>
    <w:p w14:paraId="4C3DD3CB" w14:textId="77777777" w:rsidR="00E36CA5" w:rsidRDefault="00E36CA5" w:rsidP="00444B57">
      <w:r w:rsidRPr="00287995">
        <w:t>PK/</w:t>
      </w:r>
      <w:r w:rsidR="00D34382">
        <w:t>’</w:t>
      </w:r>
      <w:r w:rsidRPr="00287995">
        <w:t>Late ALT/A</w:t>
      </w:r>
      <w:r>
        <w:t>ST Elevation Event</w:t>
      </w:r>
      <w:r w:rsidR="00D34382">
        <w:t>’</w:t>
      </w:r>
      <w:r>
        <w:t xml:space="preserve"> Pool (PKP), was</w:t>
      </w:r>
      <w:r w:rsidRPr="00287995">
        <w:t xml:space="preserve"> similar to the</w:t>
      </w:r>
      <w:r>
        <w:t xml:space="preserve"> HSP and consisted of 2236 subjects.</w:t>
      </w:r>
      <w:r w:rsidR="00D80B0A">
        <w:t xml:space="preserve"> </w:t>
      </w:r>
      <w:r>
        <w:t>The PKP describes</w:t>
      </w:r>
      <w:r w:rsidRPr="00287995">
        <w:t xml:space="preserve"> the correlation between GZR exposure and risk of late</w:t>
      </w:r>
      <w:r>
        <w:t xml:space="preserve"> </w:t>
      </w:r>
      <w:r w:rsidRPr="00287995">
        <w:t>ALT/AST Elevation Events.</w:t>
      </w:r>
      <w:r w:rsidR="00D80B0A">
        <w:t xml:space="preserve"> </w:t>
      </w:r>
      <w:r w:rsidRPr="00287995">
        <w:t>Late ALT/AST Elevation Events, a specific measure of GZR-related hepatic</w:t>
      </w:r>
      <w:r>
        <w:t xml:space="preserve"> </w:t>
      </w:r>
      <w:r w:rsidRPr="00287995">
        <w:t>safety, occurred in a dose-related manner, and they occurred in &lt;1% of subjects</w:t>
      </w:r>
      <w:r>
        <w:t xml:space="preserve"> </w:t>
      </w:r>
      <w:r w:rsidRPr="00287995">
        <w:t>who received the proposed dose of GZR 100 mg.</w:t>
      </w:r>
      <w:r>
        <w:t xml:space="preserve"> </w:t>
      </w:r>
      <w:r w:rsidRPr="00287995">
        <w:t>These events generally occurred at or after TW8, and were transient, with</w:t>
      </w:r>
      <w:r>
        <w:t xml:space="preserve"> </w:t>
      </w:r>
      <w:r w:rsidRPr="00287995">
        <w:t>most resolving while continuing tre</w:t>
      </w:r>
      <w:r>
        <w:t xml:space="preserve">atment and the remaining events </w:t>
      </w:r>
      <w:r w:rsidRPr="00287995">
        <w:t xml:space="preserve">resolving after discontinuation of treatment. These events were not of clinical concern </w:t>
      </w:r>
      <w:r>
        <w:t>as they were</w:t>
      </w:r>
      <w:r w:rsidRPr="00287995">
        <w:t xml:space="preserve"> not accompanied by abnormalities of other tests of</w:t>
      </w:r>
      <w:r>
        <w:t xml:space="preserve"> </w:t>
      </w:r>
      <w:r w:rsidRPr="00287995">
        <w:t>hepatic function or by liver</w:t>
      </w:r>
      <w:r w:rsidR="009963BB">
        <w:t xml:space="preserve"> </w:t>
      </w:r>
      <w:r w:rsidRPr="00287995">
        <w:t>related symptoms.</w:t>
      </w:r>
      <w:r>
        <w:t xml:space="preserve"> </w:t>
      </w:r>
      <w:r w:rsidRPr="00287995">
        <w:t>The risk of Late ALT/AST Elevation Events was increased moderately by</w:t>
      </w:r>
      <w:r>
        <w:t xml:space="preserve"> </w:t>
      </w:r>
      <w:r w:rsidRPr="00287995">
        <w:t>intrinsic and extrinsic factors</w:t>
      </w:r>
      <w:r>
        <w:t xml:space="preserve">; </w:t>
      </w:r>
      <w:r w:rsidRPr="00287995">
        <w:t>GZR exposure is expected to be increased by &gt;12-fold (with geometric</w:t>
      </w:r>
      <w:r>
        <w:t xml:space="preserve"> </w:t>
      </w:r>
      <w:r w:rsidRPr="00287995">
        <w:t xml:space="preserve">mean ratio [90% CIs] of 11.68 [6.10, 22.35] in </w:t>
      </w:r>
      <w:r w:rsidRPr="00287995">
        <w:lastRenderedPageBreak/>
        <w:t>patients with Child-Pugh C</w:t>
      </w:r>
      <w:r>
        <w:t xml:space="preserve"> </w:t>
      </w:r>
      <w:r w:rsidRPr="00287995">
        <w:t>cirrhosis. The risk of Late ALT/AST Elevation Events is predicted to be</w:t>
      </w:r>
      <w:r>
        <w:t xml:space="preserve"> </w:t>
      </w:r>
      <w:r w:rsidRPr="00287995">
        <w:t>&gt;5% in this population, especially in the context of the underlying</w:t>
      </w:r>
      <w:r>
        <w:t xml:space="preserve"> </w:t>
      </w:r>
      <w:r w:rsidRPr="00287995">
        <w:t>advanced liver disease. Labelling will address specific patient populations</w:t>
      </w:r>
      <w:r>
        <w:t xml:space="preserve"> </w:t>
      </w:r>
      <w:r w:rsidRPr="00287995">
        <w:t>and DDIs that are pertinent to the risk of Late ALT/AST Elevation Events.</w:t>
      </w:r>
      <w:r>
        <w:t xml:space="preserve"> </w:t>
      </w:r>
      <w:r w:rsidRPr="00287995">
        <w:t>Increase in ALT is the most specific hepatic laboratory parameter for</w:t>
      </w:r>
      <w:r>
        <w:t xml:space="preserve"> </w:t>
      </w:r>
      <w:r w:rsidRPr="00287995">
        <w:t>assessing hepatic safety of GZR with EBR. Periodic monitoring of ALT is</w:t>
      </w:r>
      <w:r>
        <w:t xml:space="preserve"> </w:t>
      </w:r>
      <w:r w:rsidRPr="00287995">
        <w:t>recommended in the proposed label</w:t>
      </w:r>
      <w:r>
        <w:t>.</w:t>
      </w:r>
    </w:p>
    <w:p w14:paraId="4C3DD3CC" w14:textId="77777777" w:rsidR="00E36CA5" w:rsidRPr="00BF7E2F" w:rsidRDefault="00E36CA5" w:rsidP="00444B57">
      <w:r w:rsidRPr="00287995">
        <w:rPr>
          <w:color w:val="000000"/>
        </w:rPr>
        <w:t xml:space="preserve">Among the 2704 subjects in the </w:t>
      </w:r>
      <w:r w:rsidR="004A28A8">
        <w:rPr>
          <w:color w:val="000000"/>
        </w:rPr>
        <w:t>Phase II</w:t>
      </w:r>
      <w:r w:rsidRPr="00287995">
        <w:rPr>
          <w:color w:val="000000"/>
        </w:rPr>
        <w:t>/</w:t>
      </w:r>
      <w:r w:rsidR="009963BB">
        <w:rPr>
          <w:color w:val="000000"/>
        </w:rPr>
        <w:t>III</w:t>
      </w:r>
      <w:r w:rsidRPr="00287995">
        <w:rPr>
          <w:color w:val="000000"/>
        </w:rPr>
        <w:t xml:space="preserve"> program, no </w:t>
      </w:r>
      <w:r>
        <w:rPr>
          <w:color w:val="000000"/>
        </w:rPr>
        <w:t xml:space="preserve">other </w:t>
      </w:r>
      <w:r w:rsidRPr="00287995">
        <w:rPr>
          <w:color w:val="000000"/>
        </w:rPr>
        <w:t xml:space="preserve">obvious laboratory safety concern associated with GZR or GZR with EBR was identified. Moreover, among the 1690 subjects in the Integrated Safety Population Pool (which represents a subset of the protocols and subjects in the from those included in the </w:t>
      </w:r>
      <w:r w:rsidR="004A28A8">
        <w:rPr>
          <w:color w:val="000000"/>
        </w:rPr>
        <w:t>Phase II</w:t>
      </w:r>
      <w:r w:rsidRPr="00BF7E2F">
        <w:rPr>
          <w:color w:val="000000"/>
        </w:rPr>
        <w:t>/</w:t>
      </w:r>
      <w:r w:rsidR="009963BB">
        <w:rPr>
          <w:color w:val="000000"/>
        </w:rPr>
        <w:t>III</w:t>
      </w:r>
      <w:r w:rsidRPr="00BF7E2F">
        <w:rPr>
          <w:color w:val="000000"/>
        </w:rPr>
        <w:t xml:space="preserve"> program, no obvious laboratory safety concern associated with GZR 100 mg with EBR 50 mg was identified.</w:t>
      </w:r>
      <w:r w:rsidRPr="00BF7E2F">
        <w:t xml:space="preserve"> Laboratory abnormalities (in particular, the incidence of ALT/AST, total bilirubin, and haemoglobin abnormalities) were generally similar among subjects treated for 8, 12, 16 or 18</w:t>
      </w:r>
      <w:r w:rsidR="009963BB">
        <w:t xml:space="preserve"> </w:t>
      </w:r>
      <w:r w:rsidRPr="00BF7E2F">
        <w:t>weeks.</w:t>
      </w:r>
    </w:p>
    <w:p w14:paraId="4C3DD3CD" w14:textId="77777777" w:rsidR="00605AD4" w:rsidRPr="00605AD4" w:rsidRDefault="00E36CA5" w:rsidP="00444B57">
      <w:r>
        <w:t>Overall, safety of proposed FDC of SZR/EBR (100/5</w:t>
      </w:r>
      <w:r w:rsidR="004C1037">
        <w:t>0 mg</w:t>
      </w:r>
      <w:r>
        <w:t xml:space="preserve"> QD) was adequately evaluated with no major safety concerns with the exception of a </w:t>
      </w:r>
      <w:r w:rsidRPr="00BF7E2F">
        <w:t xml:space="preserve">pattern of ALT/AST elevations </w:t>
      </w:r>
      <w:r>
        <w:t xml:space="preserve">associated with GZR administration </w:t>
      </w:r>
      <w:r w:rsidRPr="00BF7E2F">
        <w:t xml:space="preserve">occurring late in the course of therapy. The rate and severity of these events are dose-dependent. Among subjects who received GZR 100 mg, these </w:t>
      </w:r>
      <w:r>
        <w:t>l</w:t>
      </w:r>
      <w:r w:rsidRPr="00BF7E2F">
        <w:t xml:space="preserve">ate ALT/AST </w:t>
      </w:r>
      <w:r>
        <w:t>e</w:t>
      </w:r>
      <w:r w:rsidRPr="00BF7E2F">
        <w:t xml:space="preserve">levation </w:t>
      </w:r>
      <w:r>
        <w:t>e</w:t>
      </w:r>
      <w:r w:rsidRPr="00BF7E2F">
        <w:t>vents were</w:t>
      </w:r>
      <w:r>
        <w:t xml:space="preserve"> i</w:t>
      </w:r>
      <w:r w:rsidRPr="00BF7E2F">
        <w:t>nfrequent</w:t>
      </w:r>
      <w:r>
        <w:t xml:space="preserve"> (occurring in </w:t>
      </w:r>
      <w:r w:rsidRPr="00BF7E2F">
        <w:t xml:space="preserve">&lt;1% of </w:t>
      </w:r>
      <w:r w:rsidRPr="003E2F12">
        <w:t>subjects</w:t>
      </w:r>
      <w:r>
        <w:t>), m</w:t>
      </w:r>
      <w:r w:rsidRPr="003E2F12">
        <w:t>onitorable</w:t>
      </w:r>
      <w:r>
        <w:t xml:space="preserve"> (</w:t>
      </w:r>
      <w:r w:rsidRPr="003E2F12">
        <w:t>with a consistent timing of initial detection</w:t>
      </w:r>
      <w:r>
        <w:t>), g</w:t>
      </w:r>
      <w:r w:rsidRPr="003E2F12">
        <w:t>enerally reversible with continued therapy</w:t>
      </w:r>
      <w:r>
        <w:t xml:space="preserve"> and v</w:t>
      </w:r>
      <w:r w:rsidRPr="003E2F12">
        <w:t>ery infrequently associated with abnormalities associated with liver dysfunction.</w:t>
      </w:r>
      <w:r>
        <w:t xml:space="preserve"> Other concerns are lack of safety data in HCV patients with severe hepatic insufficiency, liver transplant, </w:t>
      </w:r>
      <w:proofErr w:type="gramStart"/>
      <w:r>
        <w:t>HBV</w:t>
      </w:r>
      <w:proofErr w:type="gramEnd"/>
      <w:r>
        <w:t>/HCV co-infection.</w:t>
      </w:r>
    </w:p>
    <w:p w14:paraId="4C3DD3CE" w14:textId="7D430A15" w:rsidR="00605AD4" w:rsidRPr="00605AD4" w:rsidRDefault="00605AD4" w:rsidP="00605AD4">
      <w:pPr>
        <w:pStyle w:val="Heading3"/>
        <w:rPr>
          <w:rFonts w:eastAsia="Cambria"/>
        </w:rPr>
      </w:pPr>
      <w:bookmarkStart w:id="112" w:name="_Toc484510895"/>
      <w:r w:rsidRPr="00605AD4">
        <w:rPr>
          <w:rFonts w:eastAsia="Cambria"/>
        </w:rPr>
        <w:t xml:space="preserve">First </w:t>
      </w:r>
      <w:r w:rsidR="00AA46C6" w:rsidRPr="00605AD4">
        <w:rPr>
          <w:rFonts w:eastAsia="Cambria"/>
        </w:rPr>
        <w:t>round benefit-risk assessment</w:t>
      </w:r>
      <w:bookmarkEnd w:id="112"/>
    </w:p>
    <w:p w14:paraId="4C3DD3CF" w14:textId="77777777" w:rsidR="00E36CA5" w:rsidRPr="00BF7E2F" w:rsidRDefault="00E36CA5" w:rsidP="009963BB">
      <w:pPr>
        <w:pStyle w:val="Heading4"/>
      </w:pPr>
      <w:bookmarkStart w:id="113" w:name="_Toc236802592"/>
      <w:bookmarkStart w:id="114" w:name="_Toc241374331"/>
      <w:bookmarkStart w:id="115" w:name="_Ref272160836"/>
      <w:bookmarkStart w:id="116" w:name="_Toc272414693"/>
      <w:bookmarkStart w:id="117" w:name="_Toc290846331"/>
      <w:bookmarkStart w:id="118" w:name="_Toc448473644"/>
      <w:r w:rsidRPr="00BF7E2F">
        <w:t>First round assessment of benefits</w:t>
      </w:r>
      <w:bookmarkEnd w:id="113"/>
      <w:bookmarkEnd w:id="114"/>
      <w:bookmarkEnd w:id="115"/>
      <w:bookmarkEnd w:id="116"/>
      <w:bookmarkEnd w:id="117"/>
      <w:bookmarkEnd w:id="118"/>
    </w:p>
    <w:p w14:paraId="4C3DD3D0" w14:textId="77777777" w:rsidR="00E36CA5" w:rsidRPr="00BF7E2F" w:rsidRDefault="00E36CA5" w:rsidP="009963BB">
      <w:r w:rsidRPr="00BF7E2F">
        <w:t xml:space="preserve">The benefits of </w:t>
      </w:r>
      <w:proofErr w:type="spellStart"/>
      <w:r w:rsidR="00D80B0A">
        <w:t>Zepatier</w:t>
      </w:r>
      <w:proofErr w:type="spellEnd"/>
      <w:r w:rsidRPr="00BF7E2F">
        <w:t xml:space="preserve"> in the proposed usage are:</w:t>
      </w:r>
    </w:p>
    <w:p w14:paraId="4C3DD3D1" w14:textId="77777777" w:rsidR="00E36CA5" w:rsidRPr="00BF7E2F" w:rsidRDefault="00E36CA5" w:rsidP="009963BB">
      <w:pPr>
        <w:pStyle w:val="ListBullet"/>
      </w:pPr>
      <w:r w:rsidRPr="00BF7E2F">
        <w:rPr>
          <w:rFonts w:cs="ArialMT"/>
        </w:rPr>
        <w:t xml:space="preserve">offers a </w:t>
      </w:r>
      <w:r w:rsidRPr="00BF7E2F">
        <w:t>single tablet, once-daily oral regimen</w:t>
      </w:r>
    </w:p>
    <w:p w14:paraId="4C3DD3D2" w14:textId="77777777" w:rsidR="00E36CA5" w:rsidRDefault="00E36CA5" w:rsidP="009963BB">
      <w:pPr>
        <w:pStyle w:val="ListBullet"/>
        <w:rPr>
          <w:rFonts w:cs="ArialMT"/>
          <w:color w:val="000000"/>
        </w:rPr>
      </w:pPr>
      <w:r w:rsidRPr="00BF7E2F">
        <w:rPr>
          <w:rFonts w:cs="ArialMT"/>
          <w:color w:val="000000"/>
        </w:rPr>
        <w:t xml:space="preserve">provides a </w:t>
      </w:r>
      <w:r w:rsidRPr="00BF7E2F">
        <w:rPr>
          <w:rFonts w:cs="Arial-BoldMT"/>
          <w:bCs/>
          <w:color w:val="000000"/>
        </w:rPr>
        <w:t xml:space="preserve">simple, well tolerated ribavirin and interferon-free regimen </w:t>
      </w:r>
      <w:r w:rsidRPr="00BF7E2F">
        <w:rPr>
          <w:rFonts w:cs="ArialMT"/>
          <w:color w:val="000000"/>
        </w:rPr>
        <w:t xml:space="preserve">for patients infected with HCV GT </w:t>
      </w:r>
      <w:r>
        <w:rPr>
          <w:rFonts w:cs="ArialMT"/>
          <w:color w:val="000000"/>
        </w:rPr>
        <w:t xml:space="preserve">1, </w:t>
      </w:r>
      <w:r w:rsidRPr="00BF7E2F">
        <w:rPr>
          <w:rFonts w:cs="ArialMT"/>
          <w:color w:val="000000"/>
        </w:rPr>
        <w:t>3, 4 and 6</w:t>
      </w:r>
    </w:p>
    <w:p w14:paraId="4C3DD3D3" w14:textId="77777777" w:rsidR="00E36CA5" w:rsidRDefault="00E36CA5" w:rsidP="009963BB">
      <w:pPr>
        <w:pStyle w:val="ListBullet"/>
        <w:rPr>
          <w:rFonts w:cs="Arial-BoldMT"/>
          <w:bCs/>
          <w:color w:val="000000"/>
        </w:rPr>
      </w:pPr>
      <w:r w:rsidRPr="00BF7E2F">
        <w:rPr>
          <w:rFonts w:cs="ArialMT"/>
          <w:color w:val="000000"/>
        </w:rPr>
        <w:t xml:space="preserve">treats HCV infected patients including </w:t>
      </w:r>
      <w:r w:rsidRPr="00BF7E2F">
        <w:rPr>
          <w:rFonts w:cs="Arial-BoldMT"/>
          <w:bCs/>
          <w:color w:val="000000"/>
        </w:rPr>
        <w:t xml:space="preserve">hard-to-treat populations </w:t>
      </w:r>
      <w:r w:rsidRPr="00BF7E2F">
        <w:rPr>
          <w:rFonts w:cs="ArialMT"/>
          <w:color w:val="000000"/>
        </w:rPr>
        <w:t>such as those with</w:t>
      </w:r>
      <w:r w:rsidRPr="00BF7E2F">
        <w:rPr>
          <w:rFonts w:eastAsia="Wingdings-Regular" w:cs="Wingdings-Regular"/>
          <w:color w:val="000000"/>
        </w:rPr>
        <w:t xml:space="preserve"> </w:t>
      </w:r>
      <w:r w:rsidRPr="00BF7E2F">
        <w:rPr>
          <w:rFonts w:cs="Arial-BoldMT"/>
          <w:bCs/>
          <w:color w:val="000000"/>
        </w:rPr>
        <w:t>HIV co-infection, Chronic Kidney Diseas</w:t>
      </w:r>
      <w:r w:rsidRPr="00BF7E2F">
        <w:rPr>
          <w:rFonts w:cs="ArialMT"/>
          <w:color w:val="000000"/>
        </w:rPr>
        <w:t>e, and</w:t>
      </w:r>
      <w:r w:rsidR="00D80B0A">
        <w:rPr>
          <w:rFonts w:cs="ArialMT"/>
          <w:color w:val="000000"/>
        </w:rPr>
        <w:t xml:space="preserve"> </w:t>
      </w:r>
      <w:r w:rsidRPr="00BF7E2F">
        <w:rPr>
          <w:rFonts w:cs="Arial-BoldMT"/>
          <w:bCs/>
          <w:color w:val="000000"/>
        </w:rPr>
        <w:t>HCV genotype 3, 4 and 6 infection</w:t>
      </w:r>
    </w:p>
    <w:p w14:paraId="4C3DD3D4" w14:textId="77777777" w:rsidR="00E36CA5" w:rsidRPr="00243DD3" w:rsidRDefault="00E36CA5" w:rsidP="009963BB">
      <w:pPr>
        <w:pStyle w:val="ListBullet"/>
        <w:rPr>
          <w:rFonts w:cs="ArialMT"/>
          <w:color w:val="000000"/>
        </w:rPr>
      </w:pPr>
      <w:r w:rsidRPr="00BF723A">
        <w:rPr>
          <w:rFonts w:cs="ArialMT"/>
          <w:color w:val="000000"/>
        </w:rPr>
        <w:t xml:space="preserve">Provides a </w:t>
      </w:r>
      <w:r w:rsidRPr="00243DD3">
        <w:rPr>
          <w:rFonts w:cs="Arial-BoldMT"/>
          <w:bCs/>
          <w:color w:val="000000"/>
        </w:rPr>
        <w:t xml:space="preserve">12 week dosing regimen without ribavirin for most patients </w:t>
      </w:r>
      <w:r w:rsidRPr="00243DD3">
        <w:rPr>
          <w:rFonts w:cs="ArialMT"/>
          <w:color w:val="000000"/>
        </w:rPr>
        <w:t xml:space="preserve">(GT 1, 4 and 6 Treatment Naïve and Treatment-Experienced </w:t>
      </w:r>
      <w:proofErr w:type="spellStart"/>
      <w:r w:rsidRPr="00243DD3">
        <w:rPr>
          <w:rFonts w:cs="ArialMT"/>
          <w:color w:val="000000"/>
        </w:rPr>
        <w:t>Relapsers</w:t>
      </w:r>
      <w:proofErr w:type="spellEnd"/>
      <w:r w:rsidRPr="00243DD3">
        <w:rPr>
          <w:rFonts w:cs="ArialMT"/>
          <w:color w:val="000000"/>
        </w:rPr>
        <w:t>, and GT1b Treatment-Experienced On-Treatment-Virologic-Failures (OTVF))</w:t>
      </w:r>
    </w:p>
    <w:p w14:paraId="4C3DD3D5" w14:textId="77777777" w:rsidR="00E36CA5" w:rsidRDefault="00E36CA5" w:rsidP="009963BB">
      <w:pPr>
        <w:pStyle w:val="ListBullet"/>
        <w:rPr>
          <w:rFonts w:cs="ArialMT"/>
          <w:color w:val="000000"/>
        </w:rPr>
      </w:pPr>
      <w:r w:rsidRPr="00BF723A">
        <w:rPr>
          <w:rFonts w:cs="ArialMT"/>
          <w:color w:val="000000"/>
        </w:rPr>
        <w:t>8 week regimen may be considered for Treatment Naïve GT1b patients</w:t>
      </w:r>
    </w:p>
    <w:p w14:paraId="4C3DD3D6" w14:textId="77777777" w:rsidR="00E36CA5" w:rsidRDefault="00E36CA5" w:rsidP="009963BB">
      <w:pPr>
        <w:pStyle w:val="ListBullet"/>
        <w:rPr>
          <w:rFonts w:cs="ArialMT"/>
          <w:color w:val="000000"/>
        </w:rPr>
      </w:pPr>
      <w:r w:rsidRPr="00BF723A">
        <w:t xml:space="preserve">12 week regimen with concomitant administration of </w:t>
      </w:r>
      <w:proofErr w:type="spellStart"/>
      <w:r w:rsidRPr="00BF723A">
        <w:t>sofosbuvir</w:t>
      </w:r>
      <w:proofErr w:type="spellEnd"/>
      <w:r w:rsidRPr="00BF723A">
        <w:t xml:space="preserve"> </w:t>
      </w:r>
      <w:r>
        <w:t xml:space="preserve">was effective in treating HCV </w:t>
      </w:r>
      <w:r w:rsidRPr="00BF723A">
        <w:rPr>
          <w:rFonts w:cs="ArialMT"/>
          <w:color w:val="000000"/>
        </w:rPr>
        <w:t xml:space="preserve">GT3 </w:t>
      </w:r>
      <w:r>
        <w:rPr>
          <w:rFonts w:cs="ArialMT"/>
          <w:color w:val="000000"/>
        </w:rPr>
        <w:t xml:space="preserve">infected TN </w:t>
      </w:r>
      <w:r w:rsidRPr="00BF723A">
        <w:rPr>
          <w:rFonts w:cs="ArialMT"/>
          <w:color w:val="000000"/>
        </w:rPr>
        <w:t>patients</w:t>
      </w:r>
    </w:p>
    <w:p w14:paraId="4C3DD3D7" w14:textId="77777777" w:rsidR="00E36CA5" w:rsidRPr="00BF723A" w:rsidRDefault="00E36CA5" w:rsidP="009963BB">
      <w:pPr>
        <w:pStyle w:val="ListBullet"/>
      </w:pPr>
      <w:r w:rsidRPr="00BF723A">
        <w:rPr>
          <w:rFonts w:cs="ArialMT"/>
          <w:color w:val="000000"/>
        </w:rPr>
        <w:t>16 week regimen with concomitant administration of ribavirin is recommended for GT1a, 4 and 6 Treatment-Experienced OTVF</w:t>
      </w:r>
    </w:p>
    <w:p w14:paraId="4C3DD3D8" w14:textId="77777777" w:rsidR="00E36CA5" w:rsidRPr="007B79A6" w:rsidRDefault="00E36CA5" w:rsidP="009963BB">
      <w:pPr>
        <w:pStyle w:val="ListBullet"/>
      </w:pPr>
      <w:r>
        <w:t xml:space="preserve">In </w:t>
      </w:r>
      <w:r w:rsidR="00ED41DC">
        <w:t>GT4</w:t>
      </w:r>
      <w:r>
        <w:t xml:space="preserve"> infected </w:t>
      </w:r>
      <w:r w:rsidRPr="007B79A6">
        <w:t>(treatment-naïve/treatment experienced, ± HIV co-infection, ± cirrhosis)</w:t>
      </w:r>
      <w:r>
        <w:t xml:space="preserve"> HCV patients, </w:t>
      </w:r>
      <w:r w:rsidRPr="007B79A6">
        <w:t xml:space="preserve">treatment with </w:t>
      </w:r>
      <w:r>
        <w:t>GZR+EBR (100/5</w:t>
      </w:r>
      <w:r w:rsidR="004C1037">
        <w:t>0 mg</w:t>
      </w:r>
      <w:r>
        <w:t xml:space="preserve">) </w:t>
      </w:r>
      <w:r w:rsidRPr="007B79A6">
        <w:t xml:space="preserve">for 12 weeks </w:t>
      </w:r>
      <w:r>
        <w:t>was highly effective (</w:t>
      </w:r>
      <w:r w:rsidRPr="007B79A6">
        <w:t xml:space="preserve">SVR12 </w:t>
      </w:r>
      <w:r>
        <w:t>up to 96%) and well tolerated. Although only small number</w:t>
      </w:r>
      <w:r w:rsidR="00686628">
        <w:t>s</w:t>
      </w:r>
      <w:r>
        <w:t xml:space="preserve"> of GT6 subjects were evaluated in the Phase</w:t>
      </w:r>
      <w:r w:rsidR="00686628">
        <w:t xml:space="preserve"> II</w:t>
      </w:r>
      <w:r>
        <w:t>/</w:t>
      </w:r>
      <w:r w:rsidR="00686628">
        <w:t>III</w:t>
      </w:r>
      <w:r>
        <w:t xml:space="preserve"> studies, there was </w:t>
      </w:r>
      <w:r w:rsidRPr="007B79A6">
        <w:t xml:space="preserve">strong data </w:t>
      </w:r>
      <w:r>
        <w:t xml:space="preserve">to support use </w:t>
      </w:r>
      <w:r w:rsidRPr="007B79A6">
        <w:t>for GT6 (SVR12 of 80%).</w:t>
      </w:r>
    </w:p>
    <w:p w14:paraId="4C3DD3D9" w14:textId="77777777" w:rsidR="00E36CA5" w:rsidRPr="00243DD3" w:rsidRDefault="00686628" w:rsidP="009963BB">
      <w:pPr>
        <w:pStyle w:val="ListBullet"/>
        <w:rPr>
          <w:rFonts w:cs="Arial-BoldMT"/>
          <w:bCs/>
          <w:color w:val="000000"/>
        </w:rPr>
      </w:pPr>
      <w:r>
        <w:rPr>
          <w:rFonts w:cs="ArialMT"/>
        </w:rPr>
        <w:lastRenderedPageBreak/>
        <w:t>The well-conducted S</w:t>
      </w:r>
      <w:r w:rsidR="00E36CA5">
        <w:rPr>
          <w:rFonts w:cs="ArialMT"/>
        </w:rPr>
        <w:t xml:space="preserve">tudy P052 </w:t>
      </w:r>
      <w:r w:rsidR="00E36CA5" w:rsidRPr="007B79A6">
        <w:rPr>
          <w:rFonts w:cs="ArialMT"/>
        </w:rPr>
        <w:t>demonstrate</w:t>
      </w:r>
      <w:r w:rsidR="00E36CA5">
        <w:rPr>
          <w:rFonts w:cs="ArialMT"/>
        </w:rPr>
        <w:t>d</w:t>
      </w:r>
      <w:r w:rsidR="00E36CA5" w:rsidRPr="007B79A6">
        <w:rPr>
          <w:rFonts w:cs="ArialMT"/>
        </w:rPr>
        <w:t xml:space="preserve"> that 12 weeks of treatment with </w:t>
      </w:r>
      <w:r w:rsidR="00E36CA5">
        <w:t>GZR+EBR (100/50</w:t>
      </w:r>
      <w:r>
        <w:t xml:space="preserve"> </w:t>
      </w:r>
      <w:r w:rsidR="00E36CA5">
        <w:t>mg) wa</w:t>
      </w:r>
      <w:r w:rsidR="00E36CA5" w:rsidRPr="007B79A6">
        <w:rPr>
          <w:rFonts w:cs="ArialMT"/>
        </w:rPr>
        <w:t xml:space="preserve">s well tolerated </w:t>
      </w:r>
      <w:r w:rsidR="00E36CA5">
        <w:rPr>
          <w:rFonts w:cs="ArialMT"/>
        </w:rPr>
        <w:t>and highly efficacious (SVR12</w:t>
      </w:r>
      <w:r w:rsidR="00E36CA5" w:rsidRPr="007B79A6">
        <w:rPr>
          <w:rFonts w:cs="ArialMT"/>
        </w:rPr>
        <w:t xml:space="preserve"> of 94%) in </w:t>
      </w:r>
      <w:r w:rsidR="00E36CA5">
        <w:rPr>
          <w:rFonts w:cs="ArialMT"/>
        </w:rPr>
        <w:t xml:space="preserve">225 </w:t>
      </w:r>
      <w:r w:rsidR="00E36CA5" w:rsidRPr="007B79A6">
        <w:rPr>
          <w:rFonts w:cs="ArialMT"/>
        </w:rPr>
        <w:t xml:space="preserve">advanced CKD patients, including patients on haemodialysis, thus avoiding the need for </w:t>
      </w:r>
      <w:proofErr w:type="spellStart"/>
      <w:r w:rsidR="00E36CA5" w:rsidRPr="007B79A6">
        <w:rPr>
          <w:rFonts w:cs="ArialMT"/>
        </w:rPr>
        <w:t>peginterferon</w:t>
      </w:r>
      <w:proofErr w:type="spellEnd"/>
      <w:r w:rsidR="00E36CA5" w:rsidRPr="007B79A6">
        <w:rPr>
          <w:rFonts w:cs="ArialMT"/>
        </w:rPr>
        <w:t xml:space="preserve">, ribavirin or </w:t>
      </w:r>
      <w:proofErr w:type="spellStart"/>
      <w:r w:rsidR="00E36CA5" w:rsidRPr="007B79A6">
        <w:rPr>
          <w:rFonts w:cs="ArialMT"/>
        </w:rPr>
        <w:t>sofosbuvir</w:t>
      </w:r>
      <w:proofErr w:type="spellEnd"/>
      <w:r w:rsidR="00E36CA5" w:rsidRPr="007B79A6">
        <w:rPr>
          <w:rFonts w:cs="ArialMT"/>
        </w:rPr>
        <w:t xml:space="preserve"> in treating these patients and addressing this urgent unmet need</w:t>
      </w:r>
      <w:r w:rsidR="00E36CA5">
        <w:rPr>
          <w:rFonts w:cs="ArialMT"/>
        </w:rPr>
        <w:t>.</w:t>
      </w:r>
    </w:p>
    <w:p w14:paraId="4C3DD3DA" w14:textId="77777777" w:rsidR="00E36CA5" w:rsidRPr="00BF7E2F" w:rsidRDefault="00E36CA5" w:rsidP="00686628">
      <w:pPr>
        <w:pStyle w:val="Heading4"/>
      </w:pPr>
      <w:bookmarkStart w:id="119" w:name="_Toc236802596"/>
      <w:bookmarkStart w:id="120" w:name="_Toc241374334"/>
      <w:bookmarkStart w:id="121" w:name="_Ref272160964"/>
      <w:bookmarkStart w:id="122" w:name="_Toc272414694"/>
      <w:bookmarkStart w:id="123" w:name="_Toc290846332"/>
      <w:bookmarkStart w:id="124" w:name="_Toc448473645"/>
      <w:r w:rsidRPr="00BF7E2F">
        <w:t>First round assessment of risks</w:t>
      </w:r>
      <w:bookmarkEnd w:id="119"/>
      <w:bookmarkEnd w:id="120"/>
      <w:bookmarkEnd w:id="121"/>
      <w:bookmarkEnd w:id="122"/>
      <w:bookmarkEnd w:id="123"/>
      <w:bookmarkEnd w:id="124"/>
    </w:p>
    <w:p w14:paraId="4C3DD3DB" w14:textId="77777777" w:rsidR="00E36CA5" w:rsidRPr="00033390" w:rsidRDefault="00E36CA5" w:rsidP="00686628">
      <w:r w:rsidRPr="00BF7E2F">
        <w:t xml:space="preserve">The </w:t>
      </w:r>
      <w:r w:rsidRPr="00033390">
        <w:t xml:space="preserve">risks of </w:t>
      </w:r>
      <w:proofErr w:type="spellStart"/>
      <w:r w:rsidR="00D80B0A">
        <w:t>Zepatier</w:t>
      </w:r>
      <w:proofErr w:type="spellEnd"/>
      <w:r w:rsidRPr="00033390">
        <w:t xml:space="preserve"> in the proposed usage are:</w:t>
      </w:r>
    </w:p>
    <w:p w14:paraId="5DEF3414" w14:textId="77777777" w:rsidR="00655550" w:rsidRDefault="00E36CA5" w:rsidP="00686628">
      <w:pPr>
        <w:pStyle w:val="ListBullet"/>
      </w:pPr>
      <w:r w:rsidRPr="00033390">
        <w:t xml:space="preserve">Lack of adequate data to demonstrate durability/maintenance of efficacy; SVR24 results for core </w:t>
      </w:r>
      <w:r w:rsidR="00686628">
        <w:t>S</w:t>
      </w:r>
      <w:r w:rsidRPr="00033390">
        <w:t xml:space="preserve">tudies P060, P052 and P068 </w:t>
      </w:r>
      <w:r>
        <w:t>were</w:t>
      </w:r>
      <w:r w:rsidRPr="00033390">
        <w:t xml:space="preserve"> not available for evaluation in th</w:t>
      </w:r>
      <w:r>
        <w:t>e current</w:t>
      </w:r>
      <w:r w:rsidRPr="00033390">
        <w:t xml:space="preserve"> submission. Furthermore, the current dossier also does not </w:t>
      </w:r>
      <w:r>
        <w:t>provide</w:t>
      </w:r>
      <w:r w:rsidRPr="00033390">
        <w:t xml:space="preserve"> adequate efficacy results from ongoing </w:t>
      </w:r>
      <w:r w:rsidR="00686628">
        <w:t>S</w:t>
      </w:r>
      <w:r w:rsidRPr="00033390">
        <w:t>tudies P058, P059, P017, P062 and P065.</w:t>
      </w:r>
    </w:p>
    <w:p w14:paraId="738F6032" w14:textId="77777777" w:rsidR="00655550" w:rsidRDefault="00E36CA5" w:rsidP="00686628">
      <w:pPr>
        <w:pStyle w:val="ListBullet"/>
      </w:pPr>
      <w:r w:rsidRPr="00F013DF">
        <w:t>Development of NS3 and/or NS5A RAVs in subjects with virologic failure ha</w:t>
      </w:r>
      <w:r w:rsidR="00686628">
        <w:t>s</w:t>
      </w:r>
      <w:r w:rsidRPr="00F013DF">
        <w:t xml:space="preserve"> been characterised. NS3 RAVs are likely to revert to wild-type virus and have limited impact on retreatment options. NS5A RAVs are likely to persist for a longer period of time, based on experience with other NS5A inhibitors. The implications on re-treatment have not yet been determined. However, the incidence of virologic failure was generally &lt;4%.</w:t>
      </w:r>
    </w:p>
    <w:p w14:paraId="4C3DD3DE" w14:textId="3CADD349" w:rsidR="00E36CA5" w:rsidRPr="00033390" w:rsidRDefault="00E36CA5" w:rsidP="00686628">
      <w:pPr>
        <w:pStyle w:val="ListBullet"/>
      </w:pPr>
      <w:r w:rsidRPr="00033390">
        <w:t>Increased risk of Late ALT/AST Elevation Events, especially in patients with Child-Pugh C cirrhosis. However, periodic monitoring of ALT is recommended in the proposed label.</w:t>
      </w:r>
    </w:p>
    <w:p w14:paraId="4C3DD3DF" w14:textId="77777777" w:rsidR="00E36CA5" w:rsidRPr="00033390" w:rsidRDefault="00E36CA5" w:rsidP="00686628">
      <w:pPr>
        <w:pStyle w:val="ListBullet"/>
      </w:pPr>
      <w:r w:rsidRPr="00033390">
        <w:t>Risk of drug interactions although labelling will address specific patient populations and DDIs that are pertinent to the risk of Late ALT/AST Elevation Events.</w:t>
      </w:r>
    </w:p>
    <w:p w14:paraId="4C3DD3E0" w14:textId="77777777" w:rsidR="00E36CA5" w:rsidRPr="00033390" w:rsidRDefault="00E36CA5" w:rsidP="00686628">
      <w:pPr>
        <w:pStyle w:val="ListBullet"/>
      </w:pPr>
      <w:r w:rsidRPr="00033390">
        <w:t xml:space="preserve"> </w:t>
      </w:r>
      <w:proofErr w:type="spellStart"/>
      <w:r w:rsidRPr="00033390">
        <w:t>Hyperbilirubinemia</w:t>
      </w:r>
      <w:proofErr w:type="spellEnd"/>
      <w:r w:rsidRPr="00033390">
        <w:t xml:space="preserve"> has been observed in regimens of GZR with EBR (+ RBV) and reflects the well-know</w:t>
      </w:r>
      <w:r w:rsidR="00686628">
        <w:t>n</w:t>
      </w:r>
      <w:r w:rsidRPr="00033390">
        <w:t xml:space="preserve"> h</w:t>
      </w:r>
      <w:r>
        <w:t>a</w:t>
      </w:r>
      <w:r w:rsidRPr="00033390">
        <w:t>emolytic effects of RBV.</w:t>
      </w:r>
    </w:p>
    <w:p w14:paraId="4C3DD3E1" w14:textId="77777777" w:rsidR="00E36CA5" w:rsidRPr="00033390" w:rsidRDefault="00E36CA5" w:rsidP="00686628">
      <w:pPr>
        <w:pStyle w:val="ListBullet"/>
      </w:pPr>
      <w:r w:rsidRPr="00033390">
        <w:t>Lack of efficacy/ safety data in patients with severe hepatic impairment (CP-C cirrhosis), liver transplant patients and HBV/HCV co-infection.</w:t>
      </w:r>
    </w:p>
    <w:p w14:paraId="32CCC139" w14:textId="77777777" w:rsidR="00655550" w:rsidRDefault="00E36CA5" w:rsidP="00686628">
      <w:pPr>
        <w:pStyle w:val="ListBullet"/>
      </w:pPr>
      <w:r w:rsidRPr="00033390">
        <w:t>Lack of efficacy/ safety data in pregnancy/lactation and paediatric patients.</w:t>
      </w:r>
    </w:p>
    <w:p w14:paraId="4C3DD3E3" w14:textId="5E6A65B5" w:rsidR="00E36CA5" w:rsidRPr="00BF7E2F" w:rsidRDefault="00E36CA5" w:rsidP="00686628">
      <w:pPr>
        <w:pStyle w:val="Heading4"/>
      </w:pPr>
      <w:bookmarkStart w:id="125" w:name="_Toc236802597"/>
      <w:bookmarkStart w:id="126" w:name="_Toc241374335"/>
      <w:bookmarkStart w:id="127" w:name="_Toc272414695"/>
      <w:bookmarkStart w:id="128" w:name="_Toc290846333"/>
      <w:bookmarkStart w:id="129" w:name="_Toc448473646"/>
      <w:r w:rsidRPr="00BF7E2F">
        <w:t>First round assessment of benefit-risk balance</w:t>
      </w:r>
      <w:bookmarkEnd w:id="125"/>
      <w:bookmarkEnd w:id="126"/>
      <w:bookmarkEnd w:id="127"/>
      <w:bookmarkEnd w:id="128"/>
      <w:bookmarkEnd w:id="129"/>
    </w:p>
    <w:p w14:paraId="28F1A133" w14:textId="77777777" w:rsidR="00655550" w:rsidRDefault="00E36CA5" w:rsidP="00686628">
      <w:r w:rsidRPr="00C236C0">
        <w:t>Chronic hepatitis C virus (HCV) infection is a global public health challenge, affecting up to</w:t>
      </w:r>
      <w:r>
        <w:t xml:space="preserve"> </w:t>
      </w:r>
      <w:r w:rsidRPr="00C236C0">
        <w:t>170 million people worldwide. Globally, up to 4 million people worldwide, annually, are estimated to have incident HCV</w:t>
      </w:r>
      <w:r>
        <w:t xml:space="preserve"> </w:t>
      </w:r>
      <w:r w:rsidRPr="00C236C0">
        <w:t>infection</w:t>
      </w:r>
      <w:r w:rsidRPr="00C236C0">
        <w:rPr>
          <w:color w:val="0000FF"/>
        </w:rPr>
        <w:t xml:space="preserve">. </w:t>
      </w:r>
      <w:r w:rsidRPr="00C236C0">
        <w:t>Approximately, 55</w:t>
      </w:r>
      <w:r w:rsidR="00686628">
        <w:t xml:space="preserve"> to </w:t>
      </w:r>
      <w:r w:rsidRPr="00C236C0">
        <w:t>85% of newly infected</w:t>
      </w:r>
      <w:r>
        <w:t xml:space="preserve"> </w:t>
      </w:r>
      <w:r w:rsidRPr="00C236C0">
        <w:t xml:space="preserve">persons progress to develop chronic infection. </w:t>
      </w:r>
      <w:r w:rsidRPr="00F23509">
        <w:t>Since 2013, other DAAs have become available, and there is now clear evidence that</w:t>
      </w:r>
      <w:r>
        <w:t xml:space="preserve"> </w:t>
      </w:r>
      <w:r w:rsidRPr="00F23509">
        <w:t>interferon-free regimens, consisting of combinations of DAAs targeting different targets in</w:t>
      </w:r>
      <w:r>
        <w:t xml:space="preserve"> </w:t>
      </w:r>
      <w:r w:rsidRPr="00F23509">
        <w:t>the HCV life cycle, can be highly effective in clearing chronic HCV infection</w:t>
      </w:r>
      <w:r>
        <w:t xml:space="preserve">. </w:t>
      </w:r>
      <w:r w:rsidRPr="00F23509">
        <w:t>While these regimens represent substantial improvements in the therapeutic options for</w:t>
      </w:r>
      <w:r>
        <w:t xml:space="preserve"> </w:t>
      </w:r>
      <w:r w:rsidRPr="00F23509">
        <w:t>HCV-infected patients, they continue to have important deficits:</w:t>
      </w:r>
      <w:r>
        <w:t>-</w:t>
      </w:r>
    </w:p>
    <w:p w14:paraId="4C3DD3E5" w14:textId="741D73D5" w:rsidR="00E36CA5" w:rsidRDefault="00E36CA5" w:rsidP="00686628">
      <w:pPr>
        <w:pStyle w:val="ListBullet"/>
      </w:pPr>
      <w:r w:rsidRPr="00F23509">
        <w:t>Some regimens require use of RBV, a medicine that is associated with substantial adverse</w:t>
      </w:r>
      <w:r>
        <w:t xml:space="preserve"> </w:t>
      </w:r>
      <w:r w:rsidRPr="00F23509">
        <w:t>experiences (even in an interferon-free setting), that is taken twice</w:t>
      </w:r>
      <w:r w:rsidR="00686628">
        <w:t xml:space="preserve"> </w:t>
      </w:r>
      <w:r w:rsidRPr="00F23509">
        <w:t>daily, with food, and</w:t>
      </w:r>
      <w:r>
        <w:t xml:space="preserve"> </w:t>
      </w:r>
      <w:r w:rsidRPr="00F23509">
        <w:t>that requires close monitoring and strong pregnancy precautions;</w:t>
      </w:r>
    </w:p>
    <w:p w14:paraId="4C3DD3E6" w14:textId="77777777" w:rsidR="00E36CA5" w:rsidRDefault="00E36CA5" w:rsidP="00686628">
      <w:pPr>
        <w:pStyle w:val="ListBullet"/>
      </w:pPr>
      <w:r w:rsidRPr="00F23509">
        <w:t>Some regimens have suboptimal efficacy (</w:t>
      </w:r>
      <w:r w:rsidR="00686628">
        <w:t>for example</w:t>
      </w:r>
      <w:r w:rsidRPr="00F23509">
        <w:t xml:space="preserve"> SVR12 below 90%) or require prolonged</w:t>
      </w:r>
      <w:r>
        <w:t xml:space="preserve"> </w:t>
      </w:r>
      <w:r w:rsidRPr="00F23509">
        <w:t>therapy among important subpopulations, including those at urgent need for therapy (</w:t>
      </w:r>
      <w:r w:rsidR="00686628">
        <w:t>for example,</w:t>
      </w:r>
      <w:r>
        <w:t xml:space="preserve"> </w:t>
      </w:r>
      <w:r w:rsidRPr="00F23509">
        <w:t>prior PR-null responders with cirrhosis, GT3-infected patients);</w:t>
      </w:r>
    </w:p>
    <w:p w14:paraId="22CFAE1A" w14:textId="77777777" w:rsidR="00655550" w:rsidRDefault="00E36CA5" w:rsidP="00686628">
      <w:pPr>
        <w:pStyle w:val="ListBullet"/>
      </w:pPr>
      <w:r w:rsidRPr="00F23509">
        <w:lastRenderedPageBreak/>
        <w:t>Regimens that include RBV or NIs are not optimal for use in patients with advanced</w:t>
      </w:r>
      <w:r>
        <w:t xml:space="preserve"> </w:t>
      </w:r>
      <w:r w:rsidRPr="00F23509">
        <w:t>CKD; such patients are particularly impacted by HCV infection, in that HCV infection</w:t>
      </w:r>
      <w:r>
        <w:t xml:space="preserve"> </w:t>
      </w:r>
      <w:r w:rsidRPr="00F23509">
        <w:t>increases all-cause mortality in patients with advanced CKD relative to absence of HCV</w:t>
      </w:r>
      <w:r>
        <w:t xml:space="preserve"> </w:t>
      </w:r>
      <w:r w:rsidRPr="00F23509">
        <w:t>infection and HCV-infection substantially worsens outcomes following renal transplant.</w:t>
      </w:r>
    </w:p>
    <w:p w14:paraId="632A2FF0" w14:textId="77777777" w:rsidR="00655550" w:rsidRDefault="00E36CA5" w:rsidP="00686628">
      <w:r>
        <w:t>T</w:t>
      </w:r>
      <w:r w:rsidRPr="00F23509">
        <w:t>he selection of the appropriate regimen and duration of therapy depends on several patient factors including genotype, sub-genotype, mono-infection versus HCV/HIV co-infection, prior treatment experience (</w:t>
      </w:r>
      <w:r w:rsidR="00686628">
        <w:t>such as</w:t>
      </w:r>
      <w:r w:rsidRPr="00F23509">
        <w:t xml:space="preserve"> PR null-respon</w:t>
      </w:r>
      <w:r w:rsidR="00686628">
        <w:t>ders), advanced liver disease (for example</w:t>
      </w:r>
      <w:r w:rsidRPr="00F23509">
        <w:t xml:space="preserve"> compensated cirrhosis, decompensated </w:t>
      </w:r>
      <w:r w:rsidRPr="009B2564">
        <w:t>cirrhosis), advanced chronic kidney disease (CKD) and presence of liver or kidney transplant. Table 9 lists all oral regimens</w:t>
      </w:r>
      <w:r>
        <w:t xml:space="preserve"> which are available for treating HCV infection.</w:t>
      </w:r>
    </w:p>
    <w:p w14:paraId="4C3DD3E9" w14:textId="1456DB5D" w:rsidR="009B2564" w:rsidRDefault="009B2564" w:rsidP="009B2564">
      <w:pPr>
        <w:pStyle w:val="TableTitle"/>
      </w:pPr>
      <w:r>
        <w:t>Table 9: Summary of HCV all oral regiments by population, durations and need for ribavirin</w:t>
      </w:r>
    </w:p>
    <w:p w14:paraId="4C3DD3EA" w14:textId="77777777" w:rsidR="009B2564" w:rsidRDefault="009B2564" w:rsidP="00AA46C6">
      <w:r>
        <w:rPr>
          <w:noProof/>
          <w:lang w:eastAsia="en-AU"/>
        </w:rPr>
        <w:drawing>
          <wp:inline distT="0" distB="0" distL="0" distR="0" wp14:anchorId="4C3DD643" wp14:editId="4C3DD644">
            <wp:extent cx="4792006" cy="3781353"/>
            <wp:effectExtent l="0" t="0" r="8890" b="0"/>
            <wp:docPr id="9" name="Picture 9" descr="Table 9: Summary of HCV all oral regiments by population, durations and need for ribavi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l="2676" r="8486"/>
                    <a:stretch/>
                  </pic:blipFill>
                  <pic:spPr bwMode="auto">
                    <a:xfrm>
                      <a:off x="0" y="0"/>
                      <a:ext cx="4797263" cy="3785501"/>
                    </a:xfrm>
                    <a:prstGeom prst="rect">
                      <a:avLst/>
                    </a:prstGeom>
                    <a:ln>
                      <a:noFill/>
                    </a:ln>
                    <a:extLst>
                      <a:ext uri="{53640926-AAD7-44D8-BBD7-CCE9431645EC}">
                        <a14:shadowObscured xmlns:a14="http://schemas.microsoft.com/office/drawing/2010/main"/>
                      </a:ext>
                    </a:extLst>
                  </pic:spPr>
                </pic:pic>
              </a:graphicData>
            </a:graphic>
          </wp:inline>
        </w:drawing>
      </w:r>
    </w:p>
    <w:p w14:paraId="4C3DD3EB" w14:textId="47C03CD8" w:rsidR="00E36CA5" w:rsidRDefault="002437C0" w:rsidP="00686628">
      <w:r>
        <w:t>GZR</w:t>
      </w:r>
      <w:r w:rsidR="00E36CA5" w:rsidRPr="00997DB1">
        <w:t xml:space="preserve"> is a once</w:t>
      </w:r>
      <w:r w:rsidR="00686628">
        <w:t xml:space="preserve"> </w:t>
      </w:r>
      <w:r w:rsidR="00E36CA5" w:rsidRPr="009B2564">
        <w:t xml:space="preserve">daily PI with a high potency against GT1, GT2, </w:t>
      </w:r>
      <w:r w:rsidR="00ED41DC" w:rsidRPr="009B2564">
        <w:t>GT4</w:t>
      </w:r>
      <w:r w:rsidR="00E36CA5" w:rsidRPr="009B2564">
        <w:t xml:space="preserve">GT6, with somewhat less potency against GT3; </w:t>
      </w:r>
      <w:r w:rsidR="00E36CA5" w:rsidRPr="009B2564">
        <w:rPr>
          <w:iCs/>
        </w:rPr>
        <w:t>in vitro</w:t>
      </w:r>
      <w:r w:rsidR="00E36CA5" w:rsidRPr="009B2564">
        <w:t>,</w:t>
      </w:r>
      <w:r w:rsidR="00E36CA5" w:rsidRPr="00686628">
        <w:t xml:space="preserve"> it</w:t>
      </w:r>
      <w:r w:rsidR="00E36CA5" w:rsidRPr="00997DB1">
        <w:t xml:space="preserve"> retains high potency against resistance associated variants (RAVs) that are commonly detected among individuals who fail therapies with first generation PIs such as </w:t>
      </w:r>
      <w:proofErr w:type="spellStart"/>
      <w:r w:rsidR="00E36CA5" w:rsidRPr="00997DB1">
        <w:t>boceprevir</w:t>
      </w:r>
      <w:proofErr w:type="spellEnd"/>
      <w:r w:rsidR="00E36CA5" w:rsidRPr="00997DB1">
        <w:t xml:space="preserve">, </w:t>
      </w:r>
      <w:proofErr w:type="spellStart"/>
      <w:r w:rsidR="00E36CA5" w:rsidRPr="00997DB1">
        <w:t>telaprevir</w:t>
      </w:r>
      <w:proofErr w:type="spellEnd"/>
      <w:r w:rsidR="00E36CA5" w:rsidRPr="00997DB1">
        <w:t xml:space="preserve"> and </w:t>
      </w:r>
      <w:proofErr w:type="spellStart"/>
      <w:r w:rsidR="00E36CA5" w:rsidRPr="00997DB1">
        <w:t>simeprevir</w:t>
      </w:r>
      <w:proofErr w:type="spellEnd"/>
      <w:r w:rsidR="00E36CA5" w:rsidRPr="00997DB1">
        <w:t xml:space="preserve">. </w:t>
      </w:r>
      <w:r>
        <w:t>EBR</w:t>
      </w:r>
      <w:r w:rsidR="00E36CA5" w:rsidRPr="00997DB1">
        <w:t xml:space="preserve"> (MK-8742 or EBR) is a once-daily NS5AI with high potency against GT1, GT2a, GT3, GT4, GT5, and GT6; </w:t>
      </w:r>
      <w:r w:rsidR="00E36CA5" w:rsidRPr="00686628">
        <w:rPr>
          <w:iCs/>
        </w:rPr>
        <w:t>in vitro</w:t>
      </w:r>
      <w:r w:rsidR="00E36CA5" w:rsidRPr="00686628">
        <w:t>,</w:t>
      </w:r>
      <w:r w:rsidR="00E36CA5" w:rsidRPr="00997DB1">
        <w:t xml:space="preserve"> it retains potency in the presence of RAVs associated with failure of other NS5A inhibitors such as </w:t>
      </w:r>
      <w:proofErr w:type="spellStart"/>
      <w:r w:rsidR="00E36CA5" w:rsidRPr="00997DB1">
        <w:t>daclatasvir</w:t>
      </w:r>
      <w:proofErr w:type="spellEnd"/>
      <w:r w:rsidR="00E36CA5" w:rsidRPr="00997DB1">
        <w:t xml:space="preserve"> and </w:t>
      </w:r>
      <w:proofErr w:type="spellStart"/>
      <w:r w:rsidR="00E36CA5" w:rsidRPr="00997DB1">
        <w:t>ledipasvir</w:t>
      </w:r>
      <w:proofErr w:type="spellEnd"/>
      <w:r w:rsidR="00E36CA5" w:rsidRPr="00997DB1">
        <w:t>. Pre-clinical data suggested that co-administration of GZR with EBR would create a highly</w:t>
      </w:r>
      <w:r w:rsidR="00E36CA5">
        <w:t xml:space="preserve"> </w:t>
      </w:r>
      <w:r w:rsidR="00E36CA5" w:rsidRPr="00997DB1">
        <w:t>potent regimen for HCV GT1 patients, as well as potential utility in GT3 patients.</w:t>
      </w:r>
      <w:r w:rsidR="00D80B0A">
        <w:t xml:space="preserve"> </w:t>
      </w:r>
      <w:r w:rsidR="00E36CA5" w:rsidRPr="00997DB1">
        <w:t>A fixed-dose combination (FDC) of GZR/EBR has been developed, to improve compliance and convenience with a simple daily dosing regimen, low pill burden of one tablet, low potential for medication error and no potential for off-label use of individual components</w:t>
      </w:r>
      <w:r w:rsidR="00E36CA5">
        <w:t xml:space="preserve">. </w:t>
      </w:r>
      <w:r w:rsidR="00E36CA5" w:rsidRPr="00D71D44">
        <w:t xml:space="preserve">The efficacy and safety was extensively evaluated in </w:t>
      </w:r>
      <w:proofErr w:type="spellStart"/>
      <w:r w:rsidR="00E36CA5" w:rsidRPr="00D71D44">
        <w:t>Phase</w:t>
      </w:r>
      <w:r w:rsidR="0012176F">
        <w:t>II</w:t>
      </w:r>
      <w:proofErr w:type="spellEnd"/>
      <w:r w:rsidR="00E36CA5" w:rsidRPr="00D71D44">
        <w:t>, Phase</w:t>
      </w:r>
      <w:r w:rsidR="00686628">
        <w:t xml:space="preserve"> II</w:t>
      </w:r>
      <w:r w:rsidR="00E36CA5" w:rsidRPr="00D71D44">
        <w:t>/</w:t>
      </w:r>
      <w:r w:rsidR="00686628">
        <w:t>III</w:t>
      </w:r>
      <w:r w:rsidR="00E36CA5" w:rsidRPr="00D71D44">
        <w:t xml:space="preserve"> and </w:t>
      </w:r>
      <w:r w:rsidR="004A28A8">
        <w:t>Phase III</w:t>
      </w:r>
      <w:r w:rsidR="00E36CA5" w:rsidRPr="00D71D44">
        <w:t xml:space="preserve"> clinical trials including a diverse population of GT1 to </w:t>
      </w:r>
      <w:r w:rsidR="00ED41DC">
        <w:t>GT6 infected</w:t>
      </w:r>
      <w:r w:rsidR="00E36CA5" w:rsidRPr="00D71D44">
        <w:t xml:space="preserve"> subjects,</w:t>
      </w:r>
      <w:r w:rsidR="00E36CA5">
        <w:t xml:space="preserve"> </w:t>
      </w:r>
      <w:r w:rsidR="00E36CA5" w:rsidRPr="00D71D44">
        <w:t>including treatment-naïve and treatment-experienced, HCV mono- and HCV/HIV co</w:t>
      </w:r>
      <w:r w:rsidR="0012176F">
        <w:t>-</w:t>
      </w:r>
      <w:r w:rsidR="00E36CA5" w:rsidRPr="00D71D44">
        <w:t>infected,</w:t>
      </w:r>
      <w:r w:rsidR="00E36CA5">
        <w:t xml:space="preserve"> </w:t>
      </w:r>
      <w:r w:rsidR="00E36CA5" w:rsidRPr="00D71D44">
        <w:t>and non-cirrhotic and cirrhotic subjects were enrolled in these studies. A distinctive</w:t>
      </w:r>
      <w:r w:rsidR="00E36CA5">
        <w:t xml:space="preserve"> </w:t>
      </w:r>
      <w:r w:rsidR="00E36CA5" w:rsidRPr="00D71D44">
        <w:t xml:space="preserve">feature of the program was the evaluation of HCV-infected patients </w:t>
      </w:r>
      <w:r w:rsidR="00E36CA5" w:rsidRPr="00D71D44">
        <w:lastRenderedPageBreak/>
        <w:t>with end-stage renal</w:t>
      </w:r>
      <w:r w:rsidR="00E36CA5">
        <w:t xml:space="preserve"> </w:t>
      </w:r>
      <w:r w:rsidR="00E36CA5" w:rsidRPr="00D71D44">
        <w:t xml:space="preserve">disease on haemodialysis, a population for which interferon-free treatment options are </w:t>
      </w:r>
      <w:r w:rsidR="00E36CA5">
        <w:t>not available.</w:t>
      </w:r>
    </w:p>
    <w:p w14:paraId="4C3DD3EC" w14:textId="77777777" w:rsidR="00E36CA5" w:rsidRPr="00997DB1" w:rsidRDefault="00E36CA5" w:rsidP="00686628">
      <w:pPr>
        <w:rPr>
          <w:rFonts w:cs="ArialMT"/>
        </w:rPr>
      </w:pPr>
      <w:r>
        <w:rPr>
          <w:rFonts w:cs="ArialMT"/>
        </w:rPr>
        <w:t>T</w:t>
      </w:r>
      <w:r w:rsidRPr="00997DB1">
        <w:rPr>
          <w:rFonts w:cs="ArialMT"/>
        </w:rPr>
        <w:t xml:space="preserve">he pivotal efficacy studies </w:t>
      </w:r>
      <w:r>
        <w:rPr>
          <w:rFonts w:cs="ArialMT"/>
        </w:rPr>
        <w:t xml:space="preserve">have consistently </w:t>
      </w:r>
      <w:r w:rsidRPr="00997DB1">
        <w:rPr>
          <w:rFonts w:cs="ArialMT"/>
        </w:rPr>
        <w:t>demonstrate</w:t>
      </w:r>
      <w:r>
        <w:rPr>
          <w:rFonts w:cs="ArialMT"/>
        </w:rPr>
        <w:t>d</w:t>
      </w:r>
      <w:r w:rsidRPr="00997DB1">
        <w:rPr>
          <w:rFonts w:cs="ArialMT"/>
        </w:rPr>
        <w:t xml:space="preserve"> that </w:t>
      </w:r>
      <w:proofErr w:type="spellStart"/>
      <w:r w:rsidR="00D80B0A">
        <w:rPr>
          <w:rFonts w:cs="ArialMT"/>
        </w:rPr>
        <w:t>Zepatier</w:t>
      </w:r>
      <w:proofErr w:type="spellEnd"/>
      <w:r w:rsidRPr="00997DB1">
        <w:rPr>
          <w:rFonts w:cs="ArialMT"/>
        </w:rPr>
        <w:t xml:space="preserve"> is efficacious </w:t>
      </w:r>
      <w:r>
        <w:rPr>
          <w:rFonts w:cs="ArialMT"/>
        </w:rPr>
        <w:t xml:space="preserve">with high </w:t>
      </w:r>
      <w:r w:rsidRPr="00997DB1">
        <w:rPr>
          <w:rFonts w:cs="ArialMT"/>
        </w:rPr>
        <w:t>SVR 12. Key results include:</w:t>
      </w:r>
    </w:p>
    <w:p w14:paraId="4C3DD3ED" w14:textId="22BE1170" w:rsidR="00E36CA5" w:rsidRPr="00997DB1" w:rsidRDefault="00E36CA5" w:rsidP="0012176F">
      <w:pPr>
        <w:pStyle w:val="ListBullet"/>
      </w:pPr>
      <w:r w:rsidRPr="00997DB1">
        <w:t>94</w:t>
      </w:r>
      <w:r w:rsidR="0012176F">
        <w:t xml:space="preserve"> to </w:t>
      </w:r>
      <w:r w:rsidRPr="00997DB1">
        <w:t>96% SVR12 rates in GT1 and GT4 Treatment Naïve subjects</w:t>
      </w:r>
      <w:r w:rsidR="00AA46C6">
        <w:t>.</w:t>
      </w:r>
    </w:p>
    <w:p w14:paraId="4C3DD3EE" w14:textId="0FE6C271" w:rsidR="00E36CA5" w:rsidRPr="00997DB1" w:rsidRDefault="00E36CA5" w:rsidP="0012176F">
      <w:pPr>
        <w:pStyle w:val="ListBullet"/>
      </w:pPr>
      <w:r w:rsidRPr="00997DB1">
        <w:t>80% SVR12 rates in GT6 Treatment Naïve subjects</w:t>
      </w:r>
      <w:r w:rsidR="00AA46C6">
        <w:t>.</w:t>
      </w:r>
    </w:p>
    <w:p w14:paraId="4C3DD3EF" w14:textId="77777777" w:rsidR="00E36CA5" w:rsidRPr="00997DB1" w:rsidRDefault="00E36CA5" w:rsidP="0012176F">
      <w:pPr>
        <w:pStyle w:val="ListBullet"/>
      </w:pPr>
      <w:r w:rsidRPr="00997DB1">
        <w:t>Potential to reduce treatment duration to 8 weeks in Treatment Naïve GT1b</w:t>
      </w:r>
      <w:r>
        <w:t xml:space="preserve"> </w:t>
      </w:r>
      <w:r w:rsidRPr="00997DB1">
        <w:t>infected</w:t>
      </w:r>
      <w:r>
        <w:t xml:space="preserve"> </w:t>
      </w:r>
      <w:r w:rsidRPr="00997DB1">
        <w:t>subjects who do not have significant fibrosis or cirrhosis.</w:t>
      </w:r>
    </w:p>
    <w:p w14:paraId="4C3DD3F0" w14:textId="77777777" w:rsidR="00E36CA5" w:rsidRPr="00997DB1" w:rsidRDefault="00E36CA5" w:rsidP="0012176F">
      <w:pPr>
        <w:pStyle w:val="ListBullet"/>
      </w:pPr>
      <w:r w:rsidRPr="00997DB1">
        <w:t xml:space="preserve">100% SVR12 rates in GT1, 4 and 6 Treatment Experienced </w:t>
      </w:r>
      <w:proofErr w:type="spellStart"/>
      <w:r w:rsidRPr="00997DB1">
        <w:t>relapsers</w:t>
      </w:r>
      <w:proofErr w:type="spellEnd"/>
      <w:r w:rsidRPr="00997DB1">
        <w:t xml:space="preserve"> following 12</w:t>
      </w:r>
      <w:r>
        <w:t xml:space="preserve"> </w:t>
      </w:r>
      <w:r w:rsidRPr="00997DB1">
        <w:t>weeks of treatment with a ribavirin free regimen.</w:t>
      </w:r>
    </w:p>
    <w:p w14:paraId="4C3DD3F1" w14:textId="77777777" w:rsidR="00E36CA5" w:rsidRPr="00997DB1" w:rsidRDefault="00E36CA5" w:rsidP="0012176F">
      <w:pPr>
        <w:pStyle w:val="ListBullet"/>
      </w:pPr>
      <w:r w:rsidRPr="00997DB1">
        <w:t>96% SVR in GT1a, 4 or 6 Treatment Experienced on-treatment virologic failures</w:t>
      </w:r>
      <w:r>
        <w:t xml:space="preserve"> </w:t>
      </w:r>
      <w:r w:rsidRPr="00997DB1">
        <w:t>when treated for 16 weeks with ribavirin. When infected with GT1b, only 12 weeks</w:t>
      </w:r>
      <w:r>
        <w:t xml:space="preserve"> </w:t>
      </w:r>
      <w:r w:rsidRPr="00997DB1">
        <w:t>of treatment without ribavirin resulted in 100% SVR12 for Treatment Experienced</w:t>
      </w:r>
      <w:r>
        <w:t xml:space="preserve"> </w:t>
      </w:r>
      <w:r w:rsidRPr="00997DB1">
        <w:t>on-treatment virologic failures.</w:t>
      </w:r>
    </w:p>
    <w:p w14:paraId="4C3DD3F2" w14:textId="77777777" w:rsidR="00E36CA5" w:rsidRPr="00997DB1" w:rsidRDefault="00E36CA5" w:rsidP="0012176F">
      <w:pPr>
        <w:pStyle w:val="ListBullet"/>
      </w:pPr>
      <w:r w:rsidRPr="00997DB1">
        <w:t>93% SVR12 in GT3 Treatment Naïve cirrhotic and non-cirrhotic patients when</w:t>
      </w:r>
      <w:r>
        <w:t xml:space="preserve"> </w:t>
      </w:r>
      <w:r w:rsidRPr="00997DB1">
        <w:t xml:space="preserve">treated for 12 weeks with </w:t>
      </w:r>
      <w:proofErr w:type="spellStart"/>
      <w:r w:rsidRPr="00997DB1">
        <w:t>sofosbuvir</w:t>
      </w:r>
      <w:proofErr w:type="spellEnd"/>
      <w:r w:rsidRPr="00997DB1">
        <w:t xml:space="preserve"> and </w:t>
      </w:r>
      <w:proofErr w:type="spellStart"/>
      <w:r w:rsidR="00D80B0A">
        <w:t>Zepatier</w:t>
      </w:r>
      <w:proofErr w:type="spellEnd"/>
      <w:r w:rsidRPr="00997DB1">
        <w:t>.</w:t>
      </w:r>
    </w:p>
    <w:p w14:paraId="4C3DD3F3" w14:textId="77777777" w:rsidR="00E36CA5" w:rsidRPr="00997DB1" w:rsidRDefault="00E36CA5" w:rsidP="0012176F">
      <w:pPr>
        <w:pStyle w:val="ListBullet"/>
      </w:pPr>
      <w:r w:rsidRPr="00997DB1">
        <w:t>Treatment responses are comparable across subgroups, including cirrhotics,</w:t>
      </w:r>
      <w:r>
        <w:t xml:space="preserve"> </w:t>
      </w:r>
      <w:r w:rsidRPr="00997DB1">
        <w:t>HIV/HCV co-infected and subjects with advance CKD.</w:t>
      </w:r>
    </w:p>
    <w:p w14:paraId="4C3DD3F4" w14:textId="77777777" w:rsidR="00E36CA5" w:rsidRPr="00997DB1" w:rsidRDefault="00E36CA5" w:rsidP="0012176F">
      <w:pPr>
        <w:pStyle w:val="ListBullet"/>
      </w:pPr>
      <w:r w:rsidRPr="00997DB1">
        <w:t>94% SVR in patients with advanced CKD (including those on haemodialysis),</w:t>
      </w:r>
      <w:r>
        <w:t xml:space="preserve"> </w:t>
      </w:r>
      <w:r w:rsidRPr="00997DB1">
        <w:t>addressed unmet clinical need. The dosing recommendations are comparable to</w:t>
      </w:r>
      <w:r>
        <w:t xml:space="preserve"> </w:t>
      </w:r>
      <w:r w:rsidRPr="00997DB1">
        <w:t>non-CKD subjects (with the exclusion of ribavirin).</w:t>
      </w:r>
    </w:p>
    <w:p w14:paraId="4C3DD3F5" w14:textId="77777777" w:rsidR="00E36CA5" w:rsidRPr="00997DB1" w:rsidRDefault="00E36CA5" w:rsidP="0012176F">
      <w:pPr>
        <w:pStyle w:val="ListBullet"/>
      </w:pPr>
      <w:r w:rsidRPr="00997DB1">
        <w:t>High rates of efficacy persist for at least 24 weeks (94% of Treatment Experienced</w:t>
      </w:r>
      <w:r>
        <w:t xml:space="preserve"> </w:t>
      </w:r>
      <w:r w:rsidRPr="00997DB1">
        <w:t>and 92% of Treatment Naïve subjects achieved SVR 24). At time of submission,</w:t>
      </w:r>
      <w:r>
        <w:t xml:space="preserve"> </w:t>
      </w:r>
      <w:r w:rsidRPr="00997DB1">
        <w:t>longer term follow</w:t>
      </w:r>
      <w:r w:rsidR="0012176F">
        <w:t>-</w:t>
      </w:r>
      <w:r w:rsidRPr="00997DB1">
        <w:t>up is ongoing</w:t>
      </w:r>
      <w:r>
        <w:t>.</w:t>
      </w:r>
    </w:p>
    <w:p w14:paraId="4C3DD3F6" w14:textId="77777777" w:rsidR="00E36CA5" w:rsidRPr="00997DB1" w:rsidRDefault="00E36CA5" w:rsidP="0012176F">
      <w:r w:rsidRPr="00997DB1">
        <w:t xml:space="preserve">The safety and tolerability profile of </w:t>
      </w:r>
      <w:proofErr w:type="spellStart"/>
      <w:r w:rsidR="00D80B0A">
        <w:t>Zepatier</w:t>
      </w:r>
      <w:proofErr w:type="spellEnd"/>
      <w:r w:rsidRPr="00997DB1">
        <w:t xml:space="preserve"> has been well defined and found to be</w:t>
      </w:r>
      <w:r>
        <w:t xml:space="preserve"> </w:t>
      </w:r>
      <w:r w:rsidRPr="00997DB1">
        <w:t>generally favourable in an extensive clinical development program. Comparable safety</w:t>
      </w:r>
      <w:r>
        <w:t xml:space="preserve"> </w:t>
      </w:r>
      <w:r w:rsidRPr="00997DB1">
        <w:t xml:space="preserve">was observed in all subpopulations </w:t>
      </w:r>
      <w:r w:rsidR="0012176F">
        <w:t>such as</w:t>
      </w:r>
      <w:r w:rsidRPr="00997DB1">
        <w:t xml:space="preserve"> cirrhotics, HIV co</w:t>
      </w:r>
      <w:r w:rsidR="0012176F">
        <w:t>-</w:t>
      </w:r>
      <w:r w:rsidRPr="00997DB1">
        <w:t>infection</w:t>
      </w:r>
      <w:r w:rsidR="0012176F">
        <w:t xml:space="preserve"> and</w:t>
      </w:r>
      <w:r w:rsidRPr="00997DB1">
        <w:t xml:space="preserve"> CKD. Importantly, in</w:t>
      </w:r>
      <w:r>
        <w:t xml:space="preserve"> </w:t>
      </w:r>
      <w:r w:rsidRPr="00997DB1">
        <w:t>the placebo controlled studies no relevant differences were observed between the</w:t>
      </w:r>
      <w:r>
        <w:t xml:space="preserve"> active </w:t>
      </w:r>
      <w:r w:rsidRPr="00997DB1">
        <w:t>treatment and placebo (deferred treatment) groups. Also, the safety profiles did not</w:t>
      </w:r>
      <w:r>
        <w:t xml:space="preserve"> </w:t>
      </w:r>
      <w:r w:rsidRPr="00997DB1">
        <w:t>meaningfully differ according to the duration of treatment (12 v</w:t>
      </w:r>
      <w:r w:rsidR="0012176F">
        <w:t>ersu</w:t>
      </w:r>
      <w:r w:rsidRPr="00997DB1">
        <w:t>s 16 weeks). The most</w:t>
      </w:r>
      <w:r w:rsidR="00D80B0A">
        <w:t xml:space="preserve"> </w:t>
      </w:r>
      <w:r>
        <w:t>f</w:t>
      </w:r>
      <w:r w:rsidRPr="00997DB1">
        <w:t>requent AEs reported (&gt;10%) were headache, asthenia, fatigue and nausea. Notably</w:t>
      </w:r>
      <w:r>
        <w:t xml:space="preserve"> </w:t>
      </w:r>
      <w:r w:rsidRPr="00997DB1">
        <w:t>these AEs occurred at a similar frequency in the active and placebo treatments.</w:t>
      </w:r>
      <w:r>
        <w:t xml:space="preserve"> </w:t>
      </w:r>
      <w:r w:rsidRPr="00997DB1">
        <w:t>There were no deaths assessed as being related to the study drug</w:t>
      </w:r>
      <w:r w:rsidR="0012176F">
        <w:t xml:space="preserve"> </w:t>
      </w:r>
      <w:r w:rsidRPr="00997DB1">
        <w:t>or were there any</w:t>
      </w:r>
      <w:r>
        <w:t xml:space="preserve"> </w:t>
      </w:r>
      <w:r w:rsidRPr="00997DB1">
        <w:t>CNS or cardiovascular events associated with therapy. Non-fatal serious AEs related to</w:t>
      </w:r>
      <w:r>
        <w:t xml:space="preserve"> </w:t>
      </w:r>
      <w:r w:rsidRPr="00997DB1">
        <w:t>study drug occurred at 0</w:t>
      </w:r>
      <w:r w:rsidR="0012176F">
        <w:t xml:space="preserve"> to </w:t>
      </w:r>
      <w:r w:rsidRPr="00997DB1">
        <w:t xml:space="preserve">0.5% </w:t>
      </w:r>
      <w:proofErr w:type="gramStart"/>
      <w:r w:rsidRPr="00997DB1">
        <w:t>frequency</w:t>
      </w:r>
      <w:proofErr w:type="gramEnd"/>
      <w:r w:rsidRPr="00997DB1">
        <w:t>. These were reported as abdominal pain or</w:t>
      </w:r>
      <w:r>
        <w:t xml:space="preserve"> </w:t>
      </w:r>
      <w:r w:rsidRPr="00997DB1">
        <w:t xml:space="preserve">overdose (per protocol, overdose </w:t>
      </w:r>
      <w:r w:rsidR="0012176F">
        <w:t>for example,</w:t>
      </w:r>
      <w:r w:rsidRPr="00997DB1">
        <w:t xml:space="preserve"> taking two tablets daily, was classed as a serious</w:t>
      </w:r>
      <w:r>
        <w:t xml:space="preserve"> </w:t>
      </w:r>
      <w:r w:rsidRPr="00997DB1">
        <w:t>AE regardless of severity).</w:t>
      </w:r>
    </w:p>
    <w:p w14:paraId="4C3DD3F7" w14:textId="77777777" w:rsidR="00E36CA5" w:rsidRPr="00997DB1" w:rsidRDefault="00E36CA5" w:rsidP="0012176F">
      <w:pPr>
        <w:rPr>
          <w:rFonts w:eastAsia="TimesNewRoman" w:cs="TimesNewRoman"/>
        </w:rPr>
      </w:pPr>
      <w:r w:rsidRPr="00997DB1">
        <w:rPr>
          <w:rFonts w:eastAsia="TimesNewRoman" w:cs="TimesNewRoman"/>
        </w:rPr>
        <w:t>The safety of GZR/EBR, with or without RBV, has been evaluated in a large and diverse population.</w:t>
      </w:r>
      <w:r>
        <w:rPr>
          <w:rFonts w:eastAsia="TimesNewRoman" w:cs="TimesNewRoman"/>
        </w:rPr>
        <w:t xml:space="preserve"> </w:t>
      </w:r>
      <w:r w:rsidRPr="00997DB1">
        <w:rPr>
          <w:rFonts w:eastAsia="TimesNewRoman" w:cs="TimesNewRoman"/>
        </w:rPr>
        <w:t xml:space="preserve">GZR/EBR, with or without RBV, has a generally favourable safety profile There were very few deaths, SAEs or discontinuations; in particular, treatment-related events of significance were infrequent and demonstrated no consistent pattern. Common AEs </w:t>
      </w:r>
      <w:r>
        <w:rPr>
          <w:rFonts w:eastAsia="TimesNewRoman" w:cs="TimesNewRoman"/>
        </w:rPr>
        <w:t>were fatigue, headache</w:t>
      </w:r>
      <w:r w:rsidRPr="00997DB1">
        <w:rPr>
          <w:rFonts w:eastAsia="TimesNewRoman" w:cs="TimesNewRoman"/>
        </w:rPr>
        <w:t xml:space="preserve"> and nausea w</w:t>
      </w:r>
      <w:r>
        <w:rPr>
          <w:rFonts w:eastAsia="TimesNewRoman" w:cs="TimesNewRoman"/>
        </w:rPr>
        <w:t xml:space="preserve">hich </w:t>
      </w:r>
      <w:r w:rsidRPr="00997DB1">
        <w:rPr>
          <w:rFonts w:eastAsia="TimesNewRoman" w:cs="TimesNewRoman"/>
        </w:rPr>
        <w:t>occurred at a similar frequency on active and placebo treatments. RBV-containing regimens were associated with an expected increase in frequency of drug-related AEs of asthenia, anaemia, pruritus, rash and dyspnoea. Tolerability did not differ substantially according to baseline factors such as age, gender, race/ethnicity, presence of cirrhosis, presence of HCV/HIV co-infection, or the presence of advanced CKD (Stage 4-5).</w:t>
      </w:r>
      <w:r>
        <w:rPr>
          <w:rFonts w:eastAsia="TimesNewRoman" w:cs="TimesNewRoman"/>
        </w:rPr>
        <w:t xml:space="preserve"> </w:t>
      </w:r>
      <w:r w:rsidR="0012176F">
        <w:rPr>
          <w:rFonts w:eastAsia="TimesNewRoman" w:cs="TimesNewRoman"/>
        </w:rPr>
        <w:t>T</w:t>
      </w:r>
      <w:r w:rsidRPr="00997DB1">
        <w:rPr>
          <w:rFonts w:eastAsia="TimesNewRoman" w:cs="TimesNewRoman"/>
        </w:rPr>
        <w:t>olerability was not affected by treatment duration (12</w:t>
      </w:r>
      <w:r w:rsidR="00135670">
        <w:rPr>
          <w:rFonts w:eastAsia="TimesNewRoman" w:cs="TimesNewRoman"/>
        </w:rPr>
        <w:t xml:space="preserve"> versus </w:t>
      </w:r>
      <w:r w:rsidRPr="00997DB1">
        <w:rPr>
          <w:rFonts w:eastAsia="TimesNewRoman" w:cs="TimesNewRoman"/>
        </w:rPr>
        <w:t>16 weeks).</w:t>
      </w:r>
    </w:p>
    <w:p w14:paraId="4C3DD3F8" w14:textId="77777777" w:rsidR="00E36CA5" w:rsidRPr="00997DB1" w:rsidRDefault="00E36CA5" w:rsidP="0012176F">
      <w:pPr>
        <w:rPr>
          <w:rFonts w:eastAsia="TimesNewRoman" w:cs="TimesNewRoman"/>
        </w:rPr>
      </w:pPr>
      <w:r w:rsidRPr="00997DB1">
        <w:rPr>
          <w:rFonts w:eastAsia="TimesNewRoman" w:cs="TimesNewRoman"/>
        </w:rPr>
        <w:lastRenderedPageBreak/>
        <w:t>Late ALT/AST Elevation Events, a specific measure of GZR</w:t>
      </w:r>
      <w:r w:rsidR="0012176F">
        <w:rPr>
          <w:rFonts w:eastAsia="TimesNewRoman" w:cs="TimesNewRoman"/>
        </w:rPr>
        <w:t xml:space="preserve"> </w:t>
      </w:r>
      <w:r w:rsidRPr="00997DB1">
        <w:rPr>
          <w:rFonts w:eastAsia="TimesNewRoman" w:cs="TimesNewRoman"/>
        </w:rPr>
        <w:t>related hepatic safety, occurred in a dose-related manner, and they occurred in &lt;1% of subjects who received the proposed dose of GZR 100 mg. These events generally occurred at or after TW8, and were transient,</w:t>
      </w:r>
      <w:r w:rsidRPr="00243DD3">
        <w:rPr>
          <w:rFonts w:eastAsia="TimesNewRoman" w:cs="TimesNewRoman"/>
        </w:rPr>
        <w:t xml:space="preserve"> </w:t>
      </w:r>
      <w:r w:rsidRPr="00997DB1">
        <w:rPr>
          <w:rFonts w:eastAsia="TimesNewRoman" w:cs="TimesNewRoman"/>
        </w:rPr>
        <w:t>not accompanied by abnormalities of other tests of hepatic function, or by liver-related symptoms</w:t>
      </w:r>
      <w:r>
        <w:rPr>
          <w:rFonts w:eastAsia="TimesNewRoman" w:cs="TimesNewRoman"/>
        </w:rPr>
        <w:t xml:space="preserve"> and </w:t>
      </w:r>
      <w:r w:rsidRPr="00997DB1">
        <w:rPr>
          <w:rFonts w:eastAsia="TimesNewRoman" w:cs="TimesNewRoman"/>
        </w:rPr>
        <w:t xml:space="preserve">most </w:t>
      </w:r>
      <w:r>
        <w:rPr>
          <w:rFonts w:eastAsia="TimesNewRoman" w:cs="TimesNewRoman"/>
        </w:rPr>
        <w:t xml:space="preserve">of these events </w:t>
      </w:r>
      <w:r w:rsidRPr="00997DB1">
        <w:rPr>
          <w:rFonts w:eastAsia="TimesNewRoman" w:cs="TimesNewRoman"/>
        </w:rPr>
        <w:t>resolv</w:t>
      </w:r>
      <w:r>
        <w:rPr>
          <w:rFonts w:eastAsia="TimesNewRoman" w:cs="TimesNewRoman"/>
        </w:rPr>
        <w:t>ed</w:t>
      </w:r>
      <w:r w:rsidRPr="00997DB1">
        <w:rPr>
          <w:rFonts w:eastAsia="TimesNewRoman" w:cs="TimesNewRoman"/>
        </w:rPr>
        <w:t xml:space="preserve"> while continuing treatment </w:t>
      </w:r>
      <w:r>
        <w:rPr>
          <w:rFonts w:eastAsia="TimesNewRoman" w:cs="TimesNewRoman"/>
        </w:rPr>
        <w:t xml:space="preserve">or </w:t>
      </w:r>
      <w:r w:rsidRPr="00997DB1">
        <w:rPr>
          <w:rFonts w:eastAsia="TimesNewRoman" w:cs="TimesNewRoman"/>
        </w:rPr>
        <w:t xml:space="preserve">after discontinuation of treatment. </w:t>
      </w:r>
      <w:r w:rsidRPr="00997DB1">
        <w:rPr>
          <w:rFonts w:eastAsia="TimesNewRoman" w:cs="TimesNewRoman"/>
          <w:color w:val="000000"/>
        </w:rPr>
        <w:t xml:space="preserve">Among the 2704 subjects in the </w:t>
      </w:r>
      <w:r w:rsidR="004A28A8">
        <w:rPr>
          <w:rFonts w:eastAsia="TimesNewRoman" w:cs="TimesNewRoman"/>
          <w:color w:val="000000"/>
        </w:rPr>
        <w:t>Phase II</w:t>
      </w:r>
      <w:r w:rsidR="0012176F">
        <w:rPr>
          <w:rFonts w:eastAsia="TimesNewRoman" w:cs="TimesNewRoman"/>
          <w:color w:val="000000"/>
        </w:rPr>
        <w:t>/III</w:t>
      </w:r>
      <w:r w:rsidRPr="00997DB1">
        <w:rPr>
          <w:rFonts w:eastAsia="TimesNewRoman" w:cs="TimesNewRoman"/>
          <w:color w:val="000000"/>
        </w:rPr>
        <w:t xml:space="preserve"> program, no obvious laboratory safety concern associated with GZR or GZR with EBR was identified. Moreover, among the 1690 subjects in the I</w:t>
      </w:r>
      <w:r>
        <w:rPr>
          <w:rFonts w:eastAsia="TimesNewRoman" w:cs="TimesNewRoman"/>
          <w:color w:val="000000"/>
        </w:rPr>
        <w:t>SP</w:t>
      </w:r>
      <w:r w:rsidRPr="00997DB1">
        <w:rPr>
          <w:rFonts w:eastAsia="TimesNewRoman" w:cs="TimesNewRoman"/>
          <w:color w:val="000000"/>
        </w:rPr>
        <w:t xml:space="preserve">, no </w:t>
      </w:r>
      <w:r>
        <w:rPr>
          <w:rFonts w:eastAsia="TimesNewRoman" w:cs="TimesNewRoman"/>
          <w:color w:val="000000"/>
        </w:rPr>
        <w:t xml:space="preserve">other </w:t>
      </w:r>
      <w:r w:rsidRPr="00997DB1">
        <w:rPr>
          <w:rFonts w:eastAsia="TimesNewRoman" w:cs="TimesNewRoman"/>
          <w:color w:val="000000"/>
        </w:rPr>
        <w:t>obvious laboratory safety concern</w:t>
      </w:r>
      <w:r>
        <w:rPr>
          <w:rFonts w:eastAsia="TimesNewRoman" w:cs="TimesNewRoman"/>
          <w:color w:val="000000"/>
        </w:rPr>
        <w:t>s</w:t>
      </w:r>
      <w:r w:rsidRPr="00997DB1">
        <w:rPr>
          <w:rFonts w:eastAsia="TimesNewRoman" w:cs="TimesNewRoman"/>
          <w:color w:val="000000"/>
        </w:rPr>
        <w:t xml:space="preserve"> associated with GZR 100 mg </w:t>
      </w:r>
      <w:r>
        <w:rPr>
          <w:rFonts w:eastAsia="TimesNewRoman" w:cs="TimesNewRoman"/>
          <w:color w:val="000000"/>
        </w:rPr>
        <w:t xml:space="preserve">and </w:t>
      </w:r>
      <w:r w:rsidRPr="00997DB1">
        <w:rPr>
          <w:rFonts w:eastAsia="TimesNewRoman" w:cs="TimesNewRoman"/>
          <w:color w:val="000000"/>
        </w:rPr>
        <w:t>EBR 50 mg was identified.</w:t>
      </w:r>
      <w:r w:rsidRPr="00997DB1">
        <w:rPr>
          <w:rFonts w:eastAsia="TimesNewRoman" w:cs="TimesNewRoman"/>
        </w:rPr>
        <w:t xml:space="preserve"> Laboratory abnormalities (in particular, the incidence of ALT/AST, total bilirubin, and haemoglobin abnormalities) were generally similar among subjects treated for 8, 12, 16 or 18</w:t>
      </w:r>
      <w:r w:rsidR="0012176F">
        <w:rPr>
          <w:rFonts w:eastAsia="TimesNewRoman" w:cs="TimesNewRoman"/>
        </w:rPr>
        <w:t xml:space="preserve"> </w:t>
      </w:r>
      <w:r w:rsidRPr="00997DB1">
        <w:rPr>
          <w:rFonts w:eastAsia="TimesNewRoman" w:cs="TimesNewRoman"/>
        </w:rPr>
        <w:t>weeks</w:t>
      </w:r>
      <w:r>
        <w:rPr>
          <w:rFonts w:eastAsia="TimesNewRoman" w:cs="TimesNewRoman"/>
        </w:rPr>
        <w:t>.</w:t>
      </w:r>
    </w:p>
    <w:p w14:paraId="4C3DD3F9" w14:textId="77777777" w:rsidR="00E36CA5" w:rsidRDefault="00E36CA5" w:rsidP="0012176F">
      <w:r w:rsidRPr="007B79A6">
        <w:t xml:space="preserve">In Australia, there is currently no approved therapeutic regimen for treatment of HCV GT4 or GT6 infection that does not require concomitant administration of ribavirin or </w:t>
      </w:r>
      <w:proofErr w:type="spellStart"/>
      <w:r w:rsidRPr="007B79A6">
        <w:t>pegylated</w:t>
      </w:r>
      <w:proofErr w:type="spellEnd"/>
      <w:r w:rsidRPr="007B79A6">
        <w:t xml:space="preserve"> interferon. These drugs have poor tolerability and the treatment burden is well documented, resulting in</w:t>
      </w:r>
      <w:r>
        <w:t xml:space="preserve"> AEs</w:t>
      </w:r>
      <w:r w:rsidRPr="007B79A6">
        <w:t xml:space="preserve">, discontinuation of treatment and failure to achieve ‘cure’. </w:t>
      </w:r>
      <w:proofErr w:type="spellStart"/>
      <w:r w:rsidR="00D80B0A">
        <w:t>Zepatier</w:t>
      </w:r>
      <w:proofErr w:type="spellEnd"/>
      <w:r w:rsidRPr="007B79A6">
        <w:t xml:space="preserve"> would address this unmet medical need as it offers </w:t>
      </w:r>
      <w:proofErr w:type="spellStart"/>
      <w:r w:rsidRPr="007B79A6">
        <w:t>peginterferon</w:t>
      </w:r>
      <w:proofErr w:type="spellEnd"/>
      <w:r w:rsidRPr="007B79A6">
        <w:t xml:space="preserve"> and ribavirin-free dosing in these patients. This application presents </w:t>
      </w:r>
      <w:r>
        <w:t xml:space="preserve">adequate </w:t>
      </w:r>
      <w:r w:rsidRPr="007B79A6">
        <w:t xml:space="preserve">clinical data </w:t>
      </w:r>
      <w:r>
        <w:t xml:space="preserve">to support use </w:t>
      </w:r>
      <w:r w:rsidRPr="007B79A6">
        <w:t xml:space="preserve">in HCV </w:t>
      </w:r>
      <w:r w:rsidR="00ED41DC">
        <w:t>GT4</w:t>
      </w:r>
      <w:r>
        <w:t xml:space="preserve"> and </w:t>
      </w:r>
      <w:r w:rsidR="00ED41DC">
        <w:t>GT6 infected</w:t>
      </w:r>
      <w:r>
        <w:t xml:space="preserve"> patients, although number of patients evaluated was small which was likely related to low incidence of these HCV genotypes.</w:t>
      </w:r>
    </w:p>
    <w:p w14:paraId="4C3DD3FA" w14:textId="77777777" w:rsidR="00E36CA5" w:rsidRPr="007B79A6" w:rsidRDefault="00E36CA5" w:rsidP="0012176F">
      <w:r w:rsidRPr="007B79A6">
        <w:t>HCV has a significant adverse effect on the progression of renal disease and outcomes of renal transplants. HCV infection and Chronic Kidney Disease (CKD) results in a burden of mortality that is greater than the sum of morbidity and mortality caused by each condition alone. There is currently no registered treatment for patients with chronic HCV infection with severe renal impairment receiving haemodialysis. The DAAs currently approved for treatment of HCV infection in Australia are not suitable for use in patients with severe renal disease as these agents are either</w:t>
      </w:r>
      <w:r>
        <w:t xml:space="preserve"> </w:t>
      </w:r>
      <w:r w:rsidRPr="007B79A6">
        <w:t>excreted primarily through the renal pathway (</w:t>
      </w:r>
      <w:proofErr w:type="spellStart"/>
      <w:r w:rsidR="00043C61">
        <w:t>sofosbuvir</w:t>
      </w:r>
      <w:proofErr w:type="spellEnd"/>
      <w:r w:rsidR="00043C61">
        <w:t xml:space="preserve"> </w:t>
      </w:r>
      <w:r w:rsidRPr="007B79A6">
        <w:t xml:space="preserve">based regimens or require co-administration of </w:t>
      </w:r>
      <w:proofErr w:type="spellStart"/>
      <w:r w:rsidRPr="007B79A6">
        <w:t>pegylated</w:t>
      </w:r>
      <w:proofErr w:type="spellEnd"/>
      <w:r w:rsidRPr="007B79A6">
        <w:t xml:space="preserve"> interferon and/or ribavirin</w:t>
      </w:r>
      <w:r w:rsidR="00043C61">
        <w:t>)</w:t>
      </w:r>
      <w:r w:rsidRPr="007B79A6">
        <w:t>. In addition to their tolerability limitations, ribavirin exacerbates renal</w:t>
      </w:r>
      <w:r w:rsidR="00043C61">
        <w:t xml:space="preserve"> </w:t>
      </w:r>
      <w:r w:rsidRPr="007B79A6">
        <w:t xml:space="preserve">failure related anaemia. </w:t>
      </w:r>
      <w:r>
        <w:t>The efficacy and safety of GZR/EBR FDC (</w:t>
      </w:r>
      <w:proofErr w:type="spellStart"/>
      <w:r w:rsidR="00D80B0A">
        <w:t>Zepatier</w:t>
      </w:r>
      <w:proofErr w:type="spellEnd"/>
      <w:r>
        <w:t>) has been evaluated in a study (P052</w:t>
      </w:r>
      <w:r w:rsidR="00043C61">
        <w:t>) in 225 HCV patients with CKD S</w:t>
      </w:r>
      <w:r>
        <w:t>tage 4 or 5 of whom 76% were receiving haemodialysis</w:t>
      </w:r>
      <w:r w:rsidRPr="007B79A6">
        <w:t>.</w:t>
      </w:r>
    </w:p>
    <w:p w14:paraId="4C3DD3FB" w14:textId="77777777" w:rsidR="00E36CA5" w:rsidRPr="00997DB1" w:rsidRDefault="00E36CA5" w:rsidP="0012176F">
      <w:r w:rsidRPr="00997DB1">
        <w:t>The proposed Indication is as follows:</w:t>
      </w:r>
    </w:p>
    <w:p w14:paraId="4C3DD3FC" w14:textId="53370C4A" w:rsidR="00043C61" w:rsidRDefault="00D34382" w:rsidP="00043C61">
      <w:pPr>
        <w:autoSpaceDE w:val="0"/>
        <w:autoSpaceDN w:val="0"/>
        <w:adjustRightInd w:val="0"/>
        <w:spacing w:line="240" w:lineRule="auto"/>
        <w:ind w:left="720"/>
        <w:rPr>
          <w:i/>
        </w:rPr>
      </w:pPr>
      <w:r w:rsidRPr="00043C61">
        <w:rPr>
          <w:i/>
        </w:rPr>
        <w:t>‘</w:t>
      </w:r>
      <w:proofErr w:type="spellStart"/>
      <w:r w:rsidR="00D80B0A" w:rsidRPr="00043C61">
        <w:rPr>
          <w:i/>
        </w:rPr>
        <w:t>Zepatier</w:t>
      </w:r>
      <w:proofErr w:type="spellEnd"/>
      <w:r w:rsidR="00E36CA5" w:rsidRPr="00043C61">
        <w:rPr>
          <w:i/>
        </w:rPr>
        <w:t xml:space="preserve"> is indicated for the treatment of Chronic Hepatitis C infection in adults (see </w:t>
      </w:r>
      <w:r w:rsidR="00043C61" w:rsidRPr="00043C61">
        <w:rPr>
          <w:i/>
        </w:rPr>
        <w:t xml:space="preserve">Dosage </w:t>
      </w:r>
      <w:r w:rsidR="00043C61">
        <w:rPr>
          <w:i/>
        </w:rPr>
        <w:t>a</w:t>
      </w:r>
      <w:r w:rsidR="00043C61" w:rsidRPr="00043C61">
        <w:rPr>
          <w:i/>
        </w:rPr>
        <w:t xml:space="preserve">nd Administration </w:t>
      </w:r>
      <w:r w:rsidR="00E36CA5" w:rsidRPr="00043C61">
        <w:rPr>
          <w:i/>
        </w:rPr>
        <w:t xml:space="preserve">and </w:t>
      </w:r>
      <w:r w:rsidR="00043C61" w:rsidRPr="00043C61">
        <w:rPr>
          <w:i/>
        </w:rPr>
        <w:t>Clinical Trials</w:t>
      </w:r>
      <w:r w:rsidR="00E36CA5" w:rsidRPr="00043C61">
        <w:rPr>
          <w:i/>
        </w:rPr>
        <w:t xml:space="preserve">). (See </w:t>
      </w:r>
      <w:r w:rsidR="00043C61" w:rsidRPr="00043C61">
        <w:rPr>
          <w:i/>
        </w:rPr>
        <w:t xml:space="preserve">Clinical Trials </w:t>
      </w:r>
      <w:r w:rsidR="00E36CA5" w:rsidRPr="00043C61">
        <w:rPr>
          <w:i/>
        </w:rPr>
        <w:t>for information on HCV genotype-specific activity.)</w:t>
      </w:r>
      <w:r w:rsidRPr="00043C61">
        <w:rPr>
          <w:i/>
        </w:rPr>
        <w:t>’</w:t>
      </w:r>
    </w:p>
    <w:p w14:paraId="4C3DD3FD" w14:textId="77777777" w:rsidR="00E36CA5" w:rsidRPr="00997DB1" w:rsidRDefault="00E36CA5" w:rsidP="00043C61">
      <w:r w:rsidRPr="00997DB1">
        <w:t xml:space="preserve">The sponsor contends a non-genotype specific Indication </w:t>
      </w:r>
      <w:proofErr w:type="gramStart"/>
      <w:r w:rsidR="00D34382" w:rsidRPr="00043C61">
        <w:rPr>
          <w:i/>
        </w:rPr>
        <w:t xml:space="preserve">‘  </w:t>
      </w:r>
      <w:r w:rsidRPr="00043C61">
        <w:rPr>
          <w:i/>
        </w:rPr>
        <w:t>for</w:t>
      </w:r>
      <w:proofErr w:type="gramEnd"/>
      <w:r w:rsidRPr="00043C61">
        <w:rPr>
          <w:i/>
        </w:rPr>
        <w:t xml:space="preserve"> treatment of Hepatitis C</w:t>
      </w:r>
      <w:r w:rsidR="00D34382" w:rsidRPr="00043C61">
        <w:rPr>
          <w:i/>
        </w:rPr>
        <w:t>’</w:t>
      </w:r>
      <w:r w:rsidR="00043C61">
        <w:t xml:space="preserve"> </w:t>
      </w:r>
      <w:r w:rsidRPr="00997DB1">
        <w:t>is</w:t>
      </w:r>
      <w:r>
        <w:t xml:space="preserve"> </w:t>
      </w:r>
      <w:r w:rsidRPr="00997DB1">
        <w:t>justified based on the available data against the background of a rapidly evolving HCV</w:t>
      </w:r>
      <w:r>
        <w:t xml:space="preserve"> </w:t>
      </w:r>
      <w:r w:rsidRPr="00997DB1">
        <w:t>therapeutic landscape.</w:t>
      </w:r>
    </w:p>
    <w:p w14:paraId="4D87A7DE" w14:textId="77777777" w:rsidR="00655550" w:rsidRDefault="00E36CA5" w:rsidP="00043C61">
      <w:pPr>
        <w:pStyle w:val="ListBullet"/>
      </w:pPr>
      <w:r w:rsidRPr="00997DB1">
        <w:t xml:space="preserve">This would allow </w:t>
      </w:r>
      <w:r>
        <w:t>GZR/EBR</w:t>
      </w:r>
      <w:r w:rsidRPr="00997DB1">
        <w:t xml:space="preserve"> to be used in combination with emerging</w:t>
      </w:r>
      <w:r>
        <w:t xml:space="preserve"> </w:t>
      </w:r>
      <w:r w:rsidRPr="00997DB1">
        <w:t>therapies and thus not limit treatment options for current and future patients with</w:t>
      </w:r>
      <w:r>
        <w:t xml:space="preserve"> </w:t>
      </w:r>
      <w:r w:rsidRPr="00997DB1">
        <w:t>the greatest unmet need.</w:t>
      </w:r>
    </w:p>
    <w:p w14:paraId="4C3DD3FF" w14:textId="647DEA05" w:rsidR="00E36CA5" w:rsidRPr="00997DB1" w:rsidRDefault="00E36CA5" w:rsidP="00043C61">
      <w:pPr>
        <w:pStyle w:val="ListBullet"/>
      </w:pPr>
      <w:r w:rsidRPr="00997DB1">
        <w:t xml:space="preserve">Furthermore a non-genotype specific </w:t>
      </w:r>
      <w:r w:rsidR="00043C61">
        <w:t>i</w:t>
      </w:r>
      <w:r w:rsidRPr="00997DB1">
        <w:t>ndication would ensure patients with HCV</w:t>
      </w:r>
      <w:r>
        <w:t xml:space="preserve"> </w:t>
      </w:r>
      <w:r w:rsidRPr="00997DB1">
        <w:t xml:space="preserve">GT 2 and 5 </w:t>
      </w:r>
      <w:proofErr w:type="gramStart"/>
      <w:r w:rsidRPr="00997DB1">
        <w:t>infection</w:t>
      </w:r>
      <w:proofErr w:type="gramEnd"/>
      <w:r w:rsidRPr="00997DB1">
        <w:t xml:space="preserve"> who may have other co-morbidities preventing them</w:t>
      </w:r>
      <w:r>
        <w:t xml:space="preserve"> </w:t>
      </w:r>
      <w:r w:rsidRPr="00997DB1">
        <w:t xml:space="preserve">receiving existing treatments, have access to a </w:t>
      </w:r>
      <w:proofErr w:type="spellStart"/>
      <w:r w:rsidRPr="00997DB1">
        <w:t>peginterferon</w:t>
      </w:r>
      <w:proofErr w:type="spellEnd"/>
      <w:r w:rsidRPr="00997DB1">
        <w:t>/ribavirin free</w:t>
      </w:r>
      <w:r>
        <w:t xml:space="preserve"> </w:t>
      </w:r>
      <w:r w:rsidRPr="00997DB1">
        <w:t>regimen.</w:t>
      </w:r>
    </w:p>
    <w:p w14:paraId="4C3DD400" w14:textId="77777777" w:rsidR="00E36CA5" w:rsidRDefault="00E36CA5" w:rsidP="00043C61">
      <w:r>
        <w:t>The above justification provided by the sponsor seems appropriate considering t</w:t>
      </w:r>
      <w:r w:rsidRPr="00997DB1">
        <w:t xml:space="preserve">he proposed </w:t>
      </w:r>
      <w:r w:rsidR="00043C61">
        <w:t>i</w:t>
      </w:r>
      <w:r w:rsidRPr="00997DB1">
        <w:t xml:space="preserve">ndication clearly cross references other sections of the </w:t>
      </w:r>
      <w:r w:rsidR="00CE22E6" w:rsidRPr="00CE22E6">
        <w:t>Product Information</w:t>
      </w:r>
      <w:r w:rsidRPr="00997DB1">
        <w:t xml:space="preserve"> where detailed</w:t>
      </w:r>
      <w:r>
        <w:t xml:space="preserve"> </w:t>
      </w:r>
      <w:r w:rsidRPr="00997DB1">
        <w:t>information on studied combinations, HCV patien</w:t>
      </w:r>
      <w:r>
        <w:t xml:space="preserve">t subgroups (genotypes, disease state </w:t>
      </w:r>
      <w:r w:rsidRPr="00997DB1">
        <w:t>characteristics, prior treatment history) and recommended treatment durations are</w:t>
      </w:r>
      <w:r>
        <w:t xml:space="preserve"> </w:t>
      </w:r>
      <w:r w:rsidRPr="00997DB1">
        <w:t>located.</w:t>
      </w:r>
      <w:r w:rsidR="00D80B0A">
        <w:t xml:space="preserve"> </w:t>
      </w:r>
      <w:r w:rsidRPr="00997DB1">
        <w:t>The long term consequences of CHC infection if left untreated include cirrhosis,</w:t>
      </w:r>
      <w:r>
        <w:t xml:space="preserve"> </w:t>
      </w:r>
      <w:r w:rsidRPr="00997DB1">
        <w:t xml:space="preserve">liver disease, hepatocellular carcinoma and may result in liver </w:t>
      </w:r>
      <w:r w:rsidRPr="00997DB1">
        <w:lastRenderedPageBreak/>
        <w:t>transplantation. To date,</w:t>
      </w:r>
      <w:r>
        <w:t xml:space="preserve"> </w:t>
      </w:r>
      <w:r w:rsidRPr="00997DB1">
        <w:t>there has been resistance to treatment in some patients due to the poor tolerability of</w:t>
      </w:r>
      <w:r>
        <w:t xml:space="preserve"> </w:t>
      </w:r>
      <w:r w:rsidRPr="00997DB1">
        <w:t>existing interferon and ribavirin based regimens. The advent of interferon</w:t>
      </w:r>
      <w:r w:rsidR="00043C61">
        <w:t xml:space="preserve"> </w:t>
      </w:r>
      <w:r w:rsidRPr="00997DB1">
        <w:t>free regimens</w:t>
      </w:r>
      <w:r>
        <w:t xml:space="preserve"> </w:t>
      </w:r>
      <w:r w:rsidRPr="00997DB1">
        <w:t>offers patients simple, all-oral therapies, with the potential to halt liver disease progression</w:t>
      </w:r>
      <w:r>
        <w:t xml:space="preserve"> </w:t>
      </w:r>
      <w:r w:rsidRPr="00997DB1">
        <w:t>in less than three or four months of treatment</w:t>
      </w:r>
      <w:r>
        <w:t>.</w:t>
      </w:r>
    </w:p>
    <w:p w14:paraId="4C3DD401" w14:textId="77777777" w:rsidR="00E36CA5" w:rsidRDefault="00E36CA5" w:rsidP="00043C61">
      <w:r>
        <w:t xml:space="preserve">The benefit-risk profile of </w:t>
      </w:r>
      <w:proofErr w:type="spellStart"/>
      <w:r w:rsidR="00D80B0A">
        <w:t>Zepatier</w:t>
      </w:r>
      <w:proofErr w:type="spellEnd"/>
      <w:r>
        <w:t xml:space="preserve"> given the proposed use is favourable.</w:t>
      </w:r>
    </w:p>
    <w:p w14:paraId="4C3DD402" w14:textId="62393DB9" w:rsidR="00605AD4" w:rsidRPr="00605AD4" w:rsidRDefault="00605AD4" w:rsidP="00605AD4">
      <w:pPr>
        <w:pStyle w:val="Heading3"/>
        <w:rPr>
          <w:rFonts w:eastAsia="Cambria"/>
        </w:rPr>
      </w:pPr>
      <w:bookmarkStart w:id="130" w:name="_Toc484510896"/>
      <w:r w:rsidRPr="00605AD4">
        <w:rPr>
          <w:rFonts w:eastAsia="Cambria"/>
        </w:rPr>
        <w:t xml:space="preserve">First </w:t>
      </w:r>
      <w:r w:rsidR="00AA46C6" w:rsidRPr="00605AD4">
        <w:rPr>
          <w:rFonts w:eastAsia="Cambria"/>
        </w:rPr>
        <w:t>round recommendation regarding authorisation</w:t>
      </w:r>
      <w:bookmarkEnd w:id="130"/>
    </w:p>
    <w:p w14:paraId="4C3DD403" w14:textId="77777777" w:rsidR="00043C61" w:rsidRDefault="00E36CA5" w:rsidP="00043C61">
      <w:r w:rsidRPr="00F00F19">
        <w:t xml:space="preserve">It is recommended that the application for marketing approval of </w:t>
      </w:r>
      <w:proofErr w:type="spellStart"/>
      <w:r w:rsidR="00D80B0A">
        <w:t>Zepatier</w:t>
      </w:r>
      <w:proofErr w:type="spellEnd"/>
      <w:r w:rsidRPr="00F00F19">
        <w:t xml:space="preserve"> be approved for the proposed indication:</w:t>
      </w:r>
    </w:p>
    <w:p w14:paraId="4C3DD404" w14:textId="77777777" w:rsidR="00E36CA5" w:rsidRPr="00043C61" w:rsidRDefault="00D34382" w:rsidP="00043C61">
      <w:pPr>
        <w:ind w:left="720"/>
      </w:pPr>
      <w:proofErr w:type="gramStart"/>
      <w:r w:rsidRPr="00043C61">
        <w:rPr>
          <w:i/>
        </w:rPr>
        <w:t xml:space="preserve">‘  </w:t>
      </w:r>
      <w:proofErr w:type="spellStart"/>
      <w:r w:rsidR="00D80B0A" w:rsidRPr="00043C61">
        <w:rPr>
          <w:i/>
        </w:rPr>
        <w:t>Zepatier</w:t>
      </w:r>
      <w:proofErr w:type="spellEnd"/>
      <w:proofErr w:type="gramEnd"/>
      <w:r w:rsidR="00E36CA5" w:rsidRPr="00043C61">
        <w:rPr>
          <w:i/>
        </w:rPr>
        <w:t xml:space="preserve"> is indicated for the treatment of Chronic Hepatitis C infection in adults (see </w:t>
      </w:r>
      <w:r w:rsidR="00043C61" w:rsidRPr="00043C61">
        <w:rPr>
          <w:i/>
        </w:rPr>
        <w:t xml:space="preserve">Dosage and Administration </w:t>
      </w:r>
      <w:r w:rsidR="00E36CA5" w:rsidRPr="00043C61">
        <w:rPr>
          <w:i/>
        </w:rPr>
        <w:t xml:space="preserve">and </w:t>
      </w:r>
      <w:r w:rsidR="00043C61" w:rsidRPr="00043C61">
        <w:rPr>
          <w:i/>
        </w:rPr>
        <w:t>Clinical Trials</w:t>
      </w:r>
      <w:r w:rsidR="00E36CA5" w:rsidRPr="00043C61">
        <w:rPr>
          <w:i/>
        </w:rPr>
        <w:t xml:space="preserve">). (See </w:t>
      </w:r>
      <w:r w:rsidR="00043C61" w:rsidRPr="00043C61">
        <w:rPr>
          <w:i/>
        </w:rPr>
        <w:t xml:space="preserve">Clinical Trials </w:t>
      </w:r>
      <w:r w:rsidR="00E36CA5" w:rsidRPr="00043C61">
        <w:rPr>
          <w:i/>
        </w:rPr>
        <w:t>for information on HCV genotype-specific activity).</w:t>
      </w:r>
    </w:p>
    <w:p w14:paraId="4C3DD405" w14:textId="77777777" w:rsidR="00E36CA5" w:rsidRPr="00605AD4" w:rsidRDefault="00E36CA5" w:rsidP="00043C61">
      <w:r>
        <w:t xml:space="preserve">However, the approval is subject to incorporation of suggested changes to the proposed </w:t>
      </w:r>
      <w:r w:rsidR="00CE22E6" w:rsidRPr="00CE22E6">
        <w:t>Product Information</w:t>
      </w:r>
      <w:r>
        <w:t xml:space="preserve"> and a satisfactory response to clinical questions </w:t>
      </w:r>
      <w:r w:rsidR="00043C61">
        <w:t>below.</w:t>
      </w:r>
    </w:p>
    <w:p w14:paraId="4C3DD406" w14:textId="356BC666" w:rsidR="00605AD4" w:rsidRPr="00605AD4" w:rsidRDefault="00605AD4" w:rsidP="00605AD4">
      <w:pPr>
        <w:pStyle w:val="Heading3"/>
        <w:rPr>
          <w:rFonts w:eastAsia="Cambria"/>
        </w:rPr>
      </w:pPr>
      <w:bookmarkStart w:id="131" w:name="_Toc484510897"/>
      <w:r w:rsidRPr="00605AD4">
        <w:rPr>
          <w:rFonts w:eastAsia="Cambria"/>
        </w:rPr>
        <w:t xml:space="preserve">Clinical </w:t>
      </w:r>
      <w:r w:rsidR="0064202B" w:rsidRPr="00605AD4">
        <w:rPr>
          <w:rFonts w:eastAsia="Cambria"/>
        </w:rPr>
        <w:t>q</w:t>
      </w:r>
      <w:r w:rsidRPr="00605AD4">
        <w:rPr>
          <w:rFonts w:eastAsia="Cambria"/>
        </w:rPr>
        <w:t>uestions</w:t>
      </w:r>
      <w:bookmarkEnd w:id="131"/>
    </w:p>
    <w:p w14:paraId="4C3DD407" w14:textId="77777777" w:rsidR="00E36CA5" w:rsidRPr="00BE424E" w:rsidRDefault="00E36CA5" w:rsidP="00043C61">
      <w:pPr>
        <w:pStyle w:val="Heading4"/>
      </w:pPr>
      <w:bookmarkStart w:id="132" w:name="_Toc272414702"/>
      <w:bookmarkStart w:id="133" w:name="_Toc290846342"/>
      <w:bookmarkStart w:id="134" w:name="_Toc448473655"/>
      <w:r w:rsidRPr="00BE424E">
        <w:t>Pharmacokinetics</w:t>
      </w:r>
      <w:bookmarkEnd w:id="132"/>
      <w:bookmarkEnd w:id="133"/>
      <w:bookmarkEnd w:id="134"/>
    </w:p>
    <w:p w14:paraId="4C3DD408" w14:textId="77777777" w:rsidR="00E36CA5" w:rsidRPr="00833236" w:rsidRDefault="00E36CA5" w:rsidP="0060026A">
      <w:pPr>
        <w:pStyle w:val="Numberbullet0"/>
        <w:numPr>
          <w:ilvl w:val="0"/>
          <w:numId w:val="16"/>
        </w:numPr>
      </w:pPr>
      <w:r w:rsidRPr="00833236">
        <w:t>Why were the following drug-drug interactions only examined following a single dose of EBR when it would it have not been more meaningful to examine the interaction with EBR at steady-state:</w:t>
      </w:r>
    </w:p>
    <w:p w14:paraId="4C3DD409" w14:textId="77777777" w:rsidR="00043C61" w:rsidRPr="00833236" w:rsidRDefault="00E36CA5" w:rsidP="002000A4">
      <w:pPr>
        <w:pStyle w:val="ListBullet2"/>
      </w:pPr>
      <w:r w:rsidRPr="00833236">
        <w:t>buprenorphine/naloxone (Study 8742-P021)</w:t>
      </w:r>
    </w:p>
    <w:p w14:paraId="4C3DD40A" w14:textId="77777777" w:rsidR="00043C61" w:rsidRPr="00833236" w:rsidRDefault="00E36CA5" w:rsidP="002000A4">
      <w:pPr>
        <w:pStyle w:val="ListBullet2"/>
      </w:pPr>
      <w:r w:rsidRPr="00833236">
        <w:t>ketoconazole (Study 8742-P003</w:t>
      </w:r>
      <w:r w:rsidR="00043C61" w:rsidRPr="00833236">
        <w:t>)</w:t>
      </w:r>
    </w:p>
    <w:p w14:paraId="4C3DD40B" w14:textId="77777777" w:rsidR="00043C61" w:rsidRPr="00833236" w:rsidRDefault="00043C61" w:rsidP="002000A4">
      <w:pPr>
        <w:pStyle w:val="ListBullet2"/>
      </w:pPr>
      <w:proofErr w:type="spellStart"/>
      <w:r w:rsidRPr="00833236">
        <w:t>r</w:t>
      </w:r>
      <w:r w:rsidR="00E36CA5" w:rsidRPr="00833236">
        <w:t>ifampin</w:t>
      </w:r>
      <w:proofErr w:type="spellEnd"/>
      <w:r w:rsidR="00E36CA5" w:rsidRPr="00833236">
        <w:t xml:space="preserve"> (Study 8742-P011); and</w:t>
      </w:r>
    </w:p>
    <w:p w14:paraId="4C3DD40C" w14:textId="77777777" w:rsidR="00E36CA5" w:rsidRPr="00833236" w:rsidRDefault="00E36CA5" w:rsidP="002000A4">
      <w:pPr>
        <w:pStyle w:val="ListBullet2"/>
        <w:rPr>
          <w:i/>
        </w:rPr>
      </w:pPr>
      <w:proofErr w:type="gramStart"/>
      <w:r w:rsidRPr="00833236">
        <w:t>raltegravir</w:t>
      </w:r>
      <w:proofErr w:type="gramEnd"/>
      <w:r w:rsidRPr="00833236">
        <w:t xml:space="preserve"> (Study 8742-P016).</w:t>
      </w:r>
    </w:p>
    <w:p w14:paraId="4C3DD40D" w14:textId="77777777" w:rsidR="00E36CA5" w:rsidRPr="00833236" w:rsidRDefault="00E36CA5" w:rsidP="0060026A">
      <w:pPr>
        <w:pStyle w:val="Numberbullet0"/>
        <w:numPr>
          <w:ilvl w:val="0"/>
          <w:numId w:val="16"/>
        </w:numPr>
      </w:pPr>
      <w:r w:rsidRPr="00833236">
        <w:t>Why were the following drug-drug interactions only examined following a single dose of GZR when it would it have not been more meaningful to examine the interaction with GZR at steady-state:</w:t>
      </w:r>
    </w:p>
    <w:p w14:paraId="4C3DD40E" w14:textId="77777777" w:rsidR="00833236" w:rsidRPr="00833236" w:rsidRDefault="00E36CA5" w:rsidP="002000A4">
      <w:pPr>
        <w:pStyle w:val="ListBullet2"/>
      </w:pPr>
      <w:r w:rsidRPr="00833236">
        <w:t>RTV (Study 5172-P006); and</w:t>
      </w:r>
    </w:p>
    <w:p w14:paraId="4C3DD40F" w14:textId="77777777" w:rsidR="00E36CA5" w:rsidRPr="00833236" w:rsidRDefault="00E36CA5" w:rsidP="002000A4">
      <w:pPr>
        <w:pStyle w:val="ListBullet2"/>
      </w:pPr>
      <w:proofErr w:type="gramStart"/>
      <w:r w:rsidRPr="00833236">
        <w:rPr>
          <w:rFonts w:eastAsia="TimesNewRoman"/>
        </w:rPr>
        <w:t>ketoconazole</w:t>
      </w:r>
      <w:proofErr w:type="gramEnd"/>
      <w:r w:rsidRPr="00833236">
        <w:t xml:space="preserve"> (Study 5172-P001).</w:t>
      </w:r>
    </w:p>
    <w:p w14:paraId="4C3DD410" w14:textId="77777777" w:rsidR="00E36CA5" w:rsidRPr="00833236" w:rsidRDefault="00E36CA5" w:rsidP="0060026A">
      <w:pPr>
        <w:pStyle w:val="Numberbullet0"/>
        <w:numPr>
          <w:ilvl w:val="0"/>
          <w:numId w:val="16"/>
        </w:numPr>
      </w:pPr>
      <w:r w:rsidRPr="00833236">
        <w:t xml:space="preserve">Why was </w:t>
      </w:r>
      <w:r w:rsidRPr="00833236">
        <w:rPr>
          <w:rFonts w:cstheme="minorHAnsi"/>
        </w:rPr>
        <w:t>Study 5172-P045 conducted as</w:t>
      </w:r>
      <w:r w:rsidRPr="00833236">
        <w:t xml:space="preserve"> a single dose study as the interaction with famotidine should have at least been examined following multiple doses of the FDC?</w:t>
      </w:r>
    </w:p>
    <w:p w14:paraId="4C3DD411" w14:textId="77777777" w:rsidR="00E36CA5" w:rsidRPr="00833236" w:rsidRDefault="00E36CA5" w:rsidP="0060026A">
      <w:pPr>
        <w:pStyle w:val="Numberbullet0"/>
        <w:numPr>
          <w:ilvl w:val="0"/>
          <w:numId w:val="16"/>
        </w:numPr>
        <w:rPr>
          <w:rFonts w:cstheme="minorHAnsi"/>
        </w:rPr>
      </w:pPr>
      <w:r w:rsidRPr="00833236">
        <w:t>Why do the results of Study</w:t>
      </w:r>
      <w:r w:rsidRPr="00833236">
        <w:rPr>
          <w:u w:val="single"/>
        </w:rPr>
        <w:t xml:space="preserve"> </w:t>
      </w:r>
      <w:r w:rsidRPr="00833236">
        <w:rPr>
          <w:rFonts w:cstheme="minorHAnsi"/>
        </w:rPr>
        <w:t>5172-P072 indicating a lack of interaction between the FDC and famotidine differ from the results of Study 5172-P045 which indicate that for EBR at least exposure is increased (35%) in the presence of famotidine?</w:t>
      </w:r>
    </w:p>
    <w:p w14:paraId="4C3DD412" w14:textId="5B55F33E" w:rsidR="00E36CA5" w:rsidRPr="00833236" w:rsidRDefault="00E36CA5" w:rsidP="0060026A">
      <w:pPr>
        <w:pStyle w:val="Numberbullet0"/>
        <w:numPr>
          <w:ilvl w:val="0"/>
          <w:numId w:val="16"/>
        </w:numPr>
      </w:pPr>
      <w:r w:rsidRPr="00833236">
        <w:rPr>
          <w:rFonts w:cstheme="minorHAnsi"/>
        </w:rPr>
        <w:t>Why was the direct interaction between GZR and ERB examined using doses of 200 mg and 20 mg, respectively, rather than with the proposed dose for marketing (100 mg/50 mg QD</w:t>
      </w:r>
      <w:r w:rsidR="00F93DAF" w:rsidRPr="00833236">
        <w:rPr>
          <w:rFonts w:cstheme="minorHAnsi"/>
        </w:rPr>
        <w:t>)</w:t>
      </w:r>
      <w:r w:rsidR="00F93DAF">
        <w:rPr>
          <w:rFonts w:cstheme="minorHAnsi"/>
        </w:rPr>
        <w:t>?</w:t>
      </w:r>
    </w:p>
    <w:p w14:paraId="4C3DD413" w14:textId="77777777" w:rsidR="00E36CA5" w:rsidRPr="00833236" w:rsidRDefault="00E36CA5" w:rsidP="0060026A">
      <w:pPr>
        <w:pStyle w:val="Numberbullet0"/>
        <w:numPr>
          <w:ilvl w:val="0"/>
          <w:numId w:val="16"/>
        </w:numPr>
        <w:rPr>
          <w:rFonts w:cstheme="minorHAnsi"/>
        </w:rPr>
      </w:pPr>
      <w:r w:rsidRPr="00833236">
        <w:rPr>
          <w:rFonts w:cstheme="minorHAnsi"/>
        </w:rPr>
        <w:t>In Study 5172-P032, why does GZR co-administration have such divergent effects on the exposure of the two CYP3A4 substrates atorvastatin and midazolam?</w:t>
      </w:r>
    </w:p>
    <w:p w14:paraId="4C3DD414" w14:textId="77777777" w:rsidR="00E36CA5" w:rsidRPr="00833236" w:rsidRDefault="00E36CA5" w:rsidP="0060026A">
      <w:pPr>
        <w:pStyle w:val="Numberbullet0"/>
        <w:numPr>
          <w:ilvl w:val="0"/>
          <w:numId w:val="16"/>
        </w:numPr>
      </w:pPr>
      <w:r w:rsidRPr="00833236">
        <w:rPr>
          <w:rFonts w:eastAsia="TimesNewRoman" w:cstheme="minorHAnsi"/>
        </w:rPr>
        <w:t>Given that in vitro</w:t>
      </w:r>
      <w:r w:rsidRPr="00833236">
        <w:rPr>
          <w:rFonts w:eastAsia="TimesNewRoman" w:cstheme="minorHAnsi"/>
          <w:i/>
        </w:rPr>
        <w:t xml:space="preserve"> </w:t>
      </w:r>
      <w:r w:rsidRPr="00833236">
        <w:rPr>
          <w:rFonts w:eastAsia="TimesNewRoman"/>
        </w:rPr>
        <w:t xml:space="preserve">studies have identified that GZR is primarily metabolised by CYP3A and that </w:t>
      </w:r>
      <w:proofErr w:type="spellStart"/>
      <w:r w:rsidRPr="00833236">
        <w:rPr>
          <w:rFonts w:eastAsia="TimesNewRoman"/>
        </w:rPr>
        <w:t>rifampin</w:t>
      </w:r>
      <w:proofErr w:type="spellEnd"/>
      <w:r w:rsidRPr="00833236">
        <w:rPr>
          <w:rFonts w:eastAsia="TimesNewRoman"/>
        </w:rPr>
        <w:t xml:space="preserve"> is a potent CYP3A inducer, can the sponsor please clarify the single dose results (</w:t>
      </w:r>
      <w:r w:rsidRPr="00833236">
        <w:rPr>
          <w:rFonts w:cstheme="minorHAnsi"/>
        </w:rPr>
        <w:t xml:space="preserve">Study 5172-P031) </w:t>
      </w:r>
      <w:r w:rsidRPr="00833236">
        <w:rPr>
          <w:rFonts w:eastAsia="TimesNewRoman"/>
        </w:rPr>
        <w:t xml:space="preserve">in which </w:t>
      </w:r>
      <w:proofErr w:type="spellStart"/>
      <w:r w:rsidRPr="00833236">
        <w:rPr>
          <w:rFonts w:eastAsia="TimesNewRoman"/>
        </w:rPr>
        <w:t>rifampin</w:t>
      </w:r>
      <w:proofErr w:type="spellEnd"/>
      <w:r w:rsidRPr="00833236">
        <w:rPr>
          <w:rFonts w:eastAsia="TimesNewRoman"/>
        </w:rPr>
        <w:t xml:space="preserve"> co-administration resulted in an increase in GZR exposure? In addition can the sponsor clarify why at steady-state </w:t>
      </w:r>
      <w:r w:rsidRPr="00833236">
        <w:rPr>
          <w:rFonts w:eastAsia="TimesNewRoman"/>
        </w:rPr>
        <w:lastRenderedPageBreak/>
        <w:t xml:space="preserve">levels of </w:t>
      </w:r>
      <w:proofErr w:type="spellStart"/>
      <w:r w:rsidRPr="00833236">
        <w:rPr>
          <w:rFonts w:eastAsia="TimesNewRoman"/>
        </w:rPr>
        <w:t>rifampin</w:t>
      </w:r>
      <w:proofErr w:type="spellEnd"/>
      <w:r w:rsidRPr="00833236">
        <w:rPr>
          <w:rFonts w:eastAsia="TimesNewRoman"/>
        </w:rPr>
        <w:t xml:space="preserve"> and GZR co-administration with </w:t>
      </w:r>
      <w:proofErr w:type="spellStart"/>
      <w:r w:rsidRPr="00833236">
        <w:rPr>
          <w:rFonts w:eastAsia="TimesNewRoman"/>
        </w:rPr>
        <w:t>rifampin</w:t>
      </w:r>
      <w:proofErr w:type="spellEnd"/>
      <w:r w:rsidRPr="00833236">
        <w:rPr>
          <w:rFonts w:eastAsia="TimesNewRoman"/>
        </w:rPr>
        <w:t xml:space="preserve"> is having little effect on GZR exposure, whereas, co-administration of efavirenz (another CYP3A4 inducer) results in a significant decrease in GZR exposure?</w:t>
      </w:r>
    </w:p>
    <w:p w14:paraId="4C3DD415" w14:textId="77777777" w:rsidR="00E36CA5" w:rsidRPr="00BE424E" w:rsidRDefault="00E36CA5" w:rsidP="00833236">
      <w:pPr>
        <w:pStyle w:val="Heading4"/>
      </w:pPr>
      <w:bookmarkStart w:id="135" w:name="_Toc272414704"/>
      <w:bookmarkStart w:id="136" w:name="_Toc290846344"/>
      <w:bookmarkStart w:id="137" w:name="_Toc448473657"/>
      <w:r w:rsidRPr="00BE424E">
        <w:t>Efficacy</w:t>
      </w:r>
      <w:bookmarkEnd w:id="135"/>
      <w:bookmarkEnd w:id="136"/>
      <w:bookmarkEnd w:id="137"/>
    </w:p>
    <w:p w14:paraId="746637F5" w14:textId="77777777" w:rsidR="00655550" w:rsidRDefault="00E36CA5" w:rsidP="00833236">
      <w:pPr>
        <w:pStyle w:val="Numberbullet0"/>
      </w:pPr>
      <w:r w:rsidRPr="00833236">
        <w:t xml:space="preserve">The CSR for pivotal </w:t>
      </w:r>
      <w:r w:rsidR="004A28A8" w:rsidRPr="00833236">
        <w:t>Phase III</w:t>
      </w:r>
      <w:r w:rsidRPr="00833236">
        <w:t xml:space="preserve"> study P060 mentions that the secondary endpoint (SVR24) will be provided later. The CSR for pivotal Phase2/3 study P052 mentions that the following results will be summarised in a later report: SVR24 for the immediate treatment group SVR4, SVR12 and SVR24 for the deferred treatment arm, and for the combined population of the immediate treatment group, the deferred treatment group, and the intensive PK group. Biomarkers for safety signals and impact of HCV treatment on </w:t>
      </w:r>
      <w:proofErr w:type="spellStart"/>
      <w:r w:rsidRPr="00833236">
        <w:t>cryoglobulinemia</w:t>
      </w:r>
      <w:proofErr w:type="spellEnd"/>
      <w:r w:rsidRPr="00833236">
        <w:t xml:space="preserve"> will also be summarised in a later report. In </w:t>
      </w:r>
      <w:r w:rsidR="004A28A8" w:rsidRPr="00833236">
        <w:t>Phase III</w:t>
      </w:r>
      <w:r w:rsidRPr="00833236">
        <w:t xml:space="preserve"> study P068, the secondary efficacy endpoint of SVR24 will be reported later when final results of study are available as many subjects have not yet reached the Week 24 follow-up visit. In </w:t>
      </w:r>
      <w:r w:rsidR="004A28A8" w:rsidRPr="00833236">
        <w:t>Phase II</w:t>
      </w:r>
      <w:r w:rsidRPr="00833236">
        <w:t>/3 study P059 in 30 patients with cirrhosis (CP score 7-9), only 4 week data was submitted in current dossier. The primary (SVR12), secondary and exploratory endpoints will be summarised in a future study report.</w:t>
      </w:r>
      <w:r w:rsidR="00D80B0A" w:rsidRPr="00833236">
        <w:t xml:space="preserve"> </w:t>
      </w:r>
      <w:r w:rsidRPr="00833236">
        <w:t xml:space="preserve">For the ongoing </w:t>
      </w:r>
      <w:r w:rsidR="004A28A8" w:rsidRPr="00833236">
        <w:t>Phase II</w:t>
      </w:r>
      <w:r w:rsidRPr="00833236">
        <w:t xml:space="preserve"> study P058 in 62 Japanese subjects, only SVR4 rates available (100% results with 5</w:t>
      </w:r>
      <w:r w:rsidR="004C1037">
        <w:t>0 mg</w:t>
      </w:r>
      <w:r w:rsidRPr="00833236">
        <w:t xml:space="preserve"> and 10</w:t>
      </w:r>
      <w:r w:rsidR="004C1037">
        <w:t>0 mg</w:t>
      </w:r>
      <w:r w:rsidRPr="00833236">
        <w:t xml:space="preserve"> GZR doses in combination with EBR 5</w:t>
      </w:r>
      <w:r w:rsidR="004C1037">
        <w:t>0 mg</w:t>
      </w:r>
      <w:r w:rsidRPr="00833236">
        <w:t>).</w:t>
      </w:r>
    </w:p>
    <w:p w14:paraId="3D141C13" w14:textId="77777777" w:rsidR="00655550" w:rsidRDefault="00E36CA5" w:rsidP="00833236">
      <w:pPr>
        <w:pStyle w:val="ListBullet2"/>
      </w:pPr>
      <w:r w:rsidRPr="00833236">
        <w:t>Other ongoing studies include the open-label study P017 with follow-up periods of up to 5 years; study P062 in HCV infected subjects on opiate substitution therapy and study P065 in HCV infected subjects with inherited blood disease (IBD).</w:t>
      </w:r>
    </w:p>
    <w:p w14:paraId="774E7EB7" w14:textId="77777777" w:rsidR="00655550" w:rsidRDefault="00833236" w:rsidP="00833236">
      <w:pPr>
        <w:pStyle w:val="ListBullet2"/>
      </w:pPr>
      <w:r w:rsidRPr="00833236">
        <w:t>T</w:t>
      </w:r>
      <w:r w:rsidR="00E36CA5" w:rsidRPr="00833236">
        <w:t xml:space="preserve">here is not much evidence on durability/maintenance of efficacy following treatment with </w:t>
      </w:r>
      <w:proofErr w:type="spellStart"/>
      <w:r w:rsidR="00D80B0A" w:rsidRPr="00833236">
        <w:t>Zepatier</w:t>
      </w:r>
      <w:proofErr w:type="spellEnd"/>
      <w:r w:rsidR="00E36CA5" w:rsidRPr="00833236">
        <w:t>. On completion of the above-mentioned ongoing studies, the final CSRs should be provided for evaluation.</w:t>
      </w:r>
    </w:p>
    <w:p w14:paraId="4C3DD419" w14:textId="4785E928" w:rsidR="00E36CA5" w:rsidRPr="00833236" w:rsidRDefault="00E36CA5" w:rsidP="00CE22E6">
      <w:pPr>
        <w:pStyle w:val="Numberbullet0"/>
      </w:pPr>
      <w:r w:rsidRPr="00833236">
        <w:t xml:space="preserve">The CSR of study P052 in HCV subjects with CKD did not mention if the study treatments were given without regard to food intake as proposed in the </w:t>
      </w:r>
      <w:r w:rsidR="00833236">
        <w:t xml:space="preserve">draft </w:t>
      </w:r>
      <w:r w:rsidR="00CE22E6" w:rsidRPr="00CE22E6">
        <w:t>Product Information</w:t>
      </w:r>
      <w:r w:rsidRPr="00833236">
        <w:t>. Could the sponsors please clarify this</w:t>
      </w:r>
      <w:r w:rsidR="00833236">
        <w:t>?</w:t>
      </w:r>
    </w:p>
    <w:p w14:paraId="4C3DD41A" w14:textId="77777777" w:rsidR="00E36CA5" w:rsidRPr="00833236" w:rsidRDefault="00E36CA5" w:rsidP="00833236">
      <w:pPr>
        <w:pStyle w:val="Numberbullet0"/>
      </w:pPr>
      <w:r w:rsidRPr="00833236">
        <w:rPr>
          <w:color w:val="000000"/>
        </w:rPr>
        <w:t xml:space="preserve">The CSR of pivotal </w:t>
      </w:r>
      <w:r w:rsidR="004A28A8" w:rsidRPr="00833236">
        <w:rPr>
          <w:color w:val="000000"/>
        </w:rPr>
        <w:t>Phase III</w:t>
      </w:r>
      <w:r w:rsidRPr="00833236">
        <w:rPr>
          <w:color w:val="000000"/>
        </w:rPr>
        <w:t xml:space="preserve"> study P060 mentions that RAVs were assessed for any subject with VF and detectable virus above 1000 IU/mL after failure was observed. </w:t>
      </w:r>
      <w:r w:rsidR="00833236">
        <w:rPr>
          <w:color w:val="000000"/>
        </w:rPr>
        <w:t>T</w:t>
      </w:r>
      <w:r w:rsidRPr="00833236">
        <w:rPr>
          <w:color w:val="000000"/>
        </w:rPr>
        <w:t xml:space="preserve">hese subjects were also offered participation in a 3 year long-term follow-up P017, to determine the persistence of RAVs and to determine time course of reversion to wild-type. Viral resistance testing, using population sequencing methodology, focused on the entire NS3/4A and NS5A regions for all subjects at baseline and for those who met the subject virologic failure criteria. However, the CSR for P017 only mentions data on 388 subjects enrolled from </w:t>
      </w:r>
      <w:r w:rsidR="00833236">
        <w:rPr>
          <w:color w:val="000000"/>
        </w:rPr>
        <w:t>S</w:t>
      </w:r>
      <w:r w:rsidRPr="00833236">
        <w:rPr>
          <w:color w:val="000000"/>
        </w:rPr>
        <w:t>tudy P035 and P047. Could the sponsors clarify if any of the subjects from Study P060 were actually enrolled in the long-term study P017?</w:t>
      </w:r>
    </w:p>
    <w:p w14:paraId="4C3DD41B" w14:textId="77777777" w:rsidR="00E36CA5" w:rsidRPr="00BE424E" w:rsidRDefault="00E36CA5" w:rsidP="00833236">
      <w:pPr>
        <w:pStyle w:val="Heading4"/>
      </w:pPr>
      <w:bookmarkStart w:id="138" w:name="_Toc272414705"/>
      <w:bookmarkStart w:id="139" w:name="_Toc290846345"/>
      <w:bookmarkStart w:id="140" w:name="_Toc448473658"/>
      <w:r w:rsidRPr="00BE424E">
        <w:t>Safety</w:t>
      </w:r>
      <w:bookmarkEnd w:id="138"/>
      <w:bookmarkEnd w:id="139"/>
      <w:bookmarkEnd w:id="140"/>
    </w:p>
    <w:p w14:paraId="4C3DD41C" w14:textId="77777777" w:rsidR="00E36CA5" w:rsidRPr="00BE424E" w:rsidRDefault="00D34382" w:rsidP="00833236">
      <w:pPr>
        <w:pStyle w:val="Numberbullet0"/>
      </w:pPr>
      <w:r>
        <w:t>‘</w:t>
      </w:r>
      <w:r w:rsidR="00E36CA5" w:rsidRPr="00BE424E">
        <w:t>Worsening (increased) ALT and/or AST Grade from baseline occurred more frequently in the GZR+EBR immediate treatment group compared to the placebo deferred treatment group. 3/111 (2.7%) and 25/113 (22.1%), respectively, of subjects in the GZR+EBR immediate treatment and placebo deferred treatment groups developed worsened ALT</w:t>
      </w:r>
      <w:r w:rsidR="00D80B0A">
        <w:t xml:space="preserve"> </w:t>
      </w:r>
      <w:r w:rsidR="00E36CA5" w:rsidRPr="00BE424E">
        <w:t>Grade while on treatment; 2/111 (1.8%) and 18/113 (15.9%), respectively, of subjects in the GZR+EBR immediate treatment and placebo deferred treatment groups developed worsened AST Grade while on treatment.</w:t>
      </w:r>
      <w:r>
        <w:t>’</w:t>
      </w:r>
      <w:r w:rsidR="00E36CA5">
        <w:t>.</w:t>
      </w:r>
    </w:p>
    <w:p w14:paraId="1AD89180" w14:textId="77777777" w:rsidR="00655550" w:rsidRDefault="00E36CA5" w:rsidP="004C2FE4">
      <w:pPr>
        <w:pStyle w:val="Comment"/>
        <w:ind w:left="1134" w:hanging="1134"/>
      </w:pPr>
      <w:r w:rsidRPr="00833236">
        <w:rPr>
          <w:b/>
        </w:rPr>
        <w:lastRenderedPageBreak/>
        <w:t>Comment</w:t>
      </w:r>
      <w:r w:rsidRPr="00D45123">
        <w:t>:</w:t>
      </w:r>
      <w:r w:rsidR="00833236">
        <w:t xml:space="preserve"> </w:t>
      </w:r>
      <w:r w:rsidR="004C2FE4">
        <w:t xml:space="preserve"> </w:t>
      </w:r>
      <w:r w:rsidRPr="00D45123">
        <w:t xml:space="preserve">The above statement should read that worsening (increased) ALT and/or AST Grade from baseline occurred </w:t>
      </w:r>
      <w:proofErr w:type="gramStart"/>
      <w:r w:rsidRPr="00D45123">
        <w:rPr>
          <w:strike/>
        </w:rPr>
        <w:t>more</w:t>
      </w:r>
      <w:r w:rsidRPr="00D45123">
        <w:t xml:space="preserve"> </w:t>
      </w:r>
      <w:r w:rsidRPr="00D45123">
        <w:rPr>
          <w:b/>
        </w:rPr>
        <w:t>less</w:t>
      </w:r>
      <w:proofErr w:type="gramEnd"/>
      <w:r w:rsidR="00D80B0A">
        <w:rPr>
          <w:b/>
        </w:rPr>
        <w:t xml:space="preserve"> </w:t>
      </w:r>
      <w:r w:rsidRPr="00D45123">
        <w:t>frequently in the GZR+EBR immediate treatment group compared to the placebo deferred treatment group based on the values provided in the subsequent sentences. Could the sponsors please provide clarification</w:t>
      </w:r>
      <w:r w:rsidR="00833236">
        <w:t>?</w:t>
      </w:r>
    </w:p>
    <w:p w14:paraId="4C3DD41E" w14:textId="196034DC" w:rsidR="00E36CA5" w:rsidRPr="00D45123" w:rsidRDefault="00E36CA5" w:rsidP="004C2FE4">
      <w:pPr>
        <w:pStyle w:val="Comment"/>
        <w:ind w:left="1134" w:hanging="1134"/>
      </w:pPr>
      <w:r w:rsidRPr="00833236">
        <w:rPr>
          <w:b/>
        </w:rPr>
        <w:t>Comment</w:t>
      </w:r>
      <w:r w:rsidRPr="00D45123">
        <w:t xml:space="preserve">: </w:t>
      </w:r>
      <w:r w:rsidR="004C2FE4">
        <w:t xml:space="preserve"> </w:t>
      </w:r>
      <w:r w:rsidRPr="00D45123">
        <w:t>Study P059 evaluated GZR 50</w:t>
      </w:r>
      <w:r w:rsidR="00833236">
        <w:t xml:space="preserve"> </w:t>
      </w:r>
      <w:r w:rsidRPr="00D45123">
        <w:t>mg with EBR 50</w:t>
      </w:r>
      <w:r w:rsidR="00833236">
        <w:t xml:space="preserve"> </w:t>
      </w:r>
      <w:r w:rsidRPr="00D45123">
        <w:t>mg (not 100</w:t>
      </w:r>
      <w:r w:rsidR="00833236">
        <w:t xml:space="preserve"> </w:t>
      </w:r>
      <w:r w:rsidRPr="00D45123">
        <w:t>mg as mentioned in the SCS</w:t>
      </w:r>
      <w:r w:rsidR="00833236">
        <w:t>)</w:t>
      </w:r>
      <w:r w:rsidRPr="00D45123">
        <w:t>. Could the</w:t>
      </w:r>
      <w:r w:rsidR="00833236">
        <w:t xml:space="preserve"> sponsors provide clarification?</w:t>
      </w:r>
    </w:p>
    <w:p w14:paraId="4C3DD41F" w14:textId="62670C3A" w:rsidR="00605AD4" w:rsidRPr="00605AD4" w:rsidRDefault="00605AD4" w:rsidP="00605AD4">
      <w:pPr>
        <w:pStyle w:val="Heading3"/>
        <w:rPr>
          <w:rFonts w:eastAsia="Cambria"/>
        </w:rPr>
      </w:pPr>
      <w:bookmarkStart w:id="141" w:name="_Toc484510898"/>
      <w:r w:rsidRPr="00605AD4">
        <w:rPr>
          <w:rFonts w:eastAsia="Cambria"/>
        </w:rPr>
        <w:t xml:space="preserve">Second </w:t>
      </w:r>
      <w:r w:rsidR="00AA46C6" w:rsidRPr="00605AD4">
        <w:rPr>
          <w:rFonts w:eastAsia="Cambria"/>
        </w:rPr>
        <w:t xml:space="preserve">round evaluation </w:t>
      </w:r>
      <w:r w:rsidRPr="00605AD4">
        <w:rPr>
          <w:rFonts w:eastAsia="Cambria"/>
        </w:rPr>
        <w:t>of clinical data submitted in response to questions</w:t>
      </w:r>
      <w:bookmarkEnd w:id="141"/>
    </w:p>
    <w:p w14:paraId="4C3DD420" w14:textId="77777777" w:rsidR="006136D7" w:rsidRPr="00605AD4" w:rsidRDefault="006136D7" w:rsidP="006136D7">
      <w:r>
        <w:t>For details of the sponsor’s responses and the evaluation of these responses please see Attachment 2.</w:t>
      </w:r>
    </w:p>
    <w:p w14:paraId="4C3DD421" w14:textId="4BA362CB" w:rsidR="00605AD4" w:rsidRPr="00605AD4" w:rsidRDefault="00605AD4" w:rsidP="00546154">
      <w:pPr>
        <w:pStyle w:val="Heading3"/>
        <w:rPr>
          <w:rFonts w:eastAsia="Cambria"/>
        </w:rPr>
      </w:pPr>
      <w:bookmarkStart w:id="142" w:name="_Toc484510899"/>
      <w:r w:rsidRPr="00605AD4">
        <w:rPr>
          <w:rFonts w:eastAsia="Cambria"/>
        </w:rPr>
        <w:t xml:space="preserve">Second </w:t>
      </w:r>
      <w:r w:rsidR="00AA46C6" w:rsidRPr="00605AD4">
        <w:rPr>
          <w:rFonts w:eastAsia="Cambria"/>
        </w:rPr>
        <w:t>round benefit-risk assessment</w:t>
      </w:r>
      <w:bookmarkEnd w:id="142"/>
    </w:p>
    <w:p w14:paraId="4C3DD422" w14:textId="77777777" w:rsidR="00E36CA5" w:rsidRPr="00BE424E" w:rsidRDefault="00E36CA5" w:rsidP="00E33F74">
      <w:pPr>
        <w:pStyle w:val="Heading4"/>
      </w:pPr>
      <w:bookmarkStart w:id="143" w:name="_Toc272414709"/>
      <w:bookmarkStart w:id="144" w:name="_Toc290846349"/>
      <w:bookmarkStart w:id="145" w:name="_Toc448473667"/>
      <w:r w:rsidRPr="00BE424E">
        <w:t>Second round assessment of benefits</w:t>
      </w:r>
      <w:bookmarkEnd w:id="143"/>
      <w:bookmarkEnd w:id="144"/>
      <w:bookmarkEnd w:id="145"/>
    </w:p>
    <w:p w14:paraId="4C3DD423" w14:textId="77777777" w:rsidR="00E36CA5" w:rsidRPr="00365BEC" w:rsidRDefault="00E36CA5" w:rsidP="00E33F74">
      <w:r w:rsidRPr="00365BEC">
        <w:t>After consideration of responses to clinical questions and oth</w:t>
      </w:r>
      <w:r>
        <w:t xml:space="preserve">er information submitted by the </w:t>
      </w:r>
      <w:r w:rsidRPr="00365BEC">
        <w:t xml:space="preserve">sponsors, the benefits of </w:t>
      </w:r>
      <w:proofErr w:type="spellStart"/>
      <w:r w:rsidR="00D80B0A">
        <w:t>Zepatier</w:t>
      </w:r>
      <w:proofErr w:type="spellEnd"/>
      <w:r w:rsidRPr="00365BEC">
        <w:t xml:space="preserve"> in the proposed indication are modified as follows:</w:t>
      </w:r>
    </w:p>
    <w:p w14:paraId="4C3DD424" w14:textId="77777777" w:rsidR="00E36CA5" w:rsidRPr="00365BEC" w:rsidRDefault="00E36CA5" w:rsidP="00E33F74">
      <w:r w:rsidRPr="00365BEC">
        <w:t xml:space="preserve">The benefits of </w:t>
      </w:r>
      <w:proofErr w:type="spellStart"/>
      <w:r w:rsidR="00D80B0A">
        <w:t>Zepatier</w:t>
      </w:r>
      <w:proofErr w:type="spellEnd"/>
      <w:r w:rsidRPr="00365BEC">
        <w:t xml:space="preserve"> in the proposed usage are:</w:t>
      </w:r>
    </w:p>
    <w:p w14:paraId="4C3DD425" w14:textId="59956DAF" w:rsidR="00E36CA5" w:rsidRPr="00365BEC" w:rsidRDefault="00AA46C6" w:rsidP="002000A4">
      <w:pPr>
        <w:pStyle w:val="ListBullet"/>
      </w:pPr>
      <w:r>
        <w:rPr>
          <w:rFonts w:cs="ArialMT"/>
        </w:rPr>
        <w:t>O</w:t>
      </w:r>
      <w:r w:rsidR="00E36CA5" w:rsidRPr="00365BEC">
        <w:rPr>
          <w:rFonts w:cs="ArialMT"/>
        </w:rPr>
        <w:t xml:space="preserve">ffers a </w:t>
      </w:r>
      <w:r w:rsidR="00E36CA5" w:rsidRPr="00365BEC">
        <w:t>single tablet, once-daily oral regimen</w:t>
      </w:r>
      <w:r>
        <w:t>.</w:t>
      </w:r>
    </w:p>
    <w:p w14:paraId="4C3DD426" w14:textId="2CB4B863" w:rsidR="00E36CA5" w:rsidRPr="00365BEC" w:rsidRDefault="00AA46C6" w:rsidP="00E33F74">
      <w:pPr>
        <w:pStyle w:val="ListBullet"/>
        <w:rPr>
          <w:rFonts w:cs="ArialMT"/>
          <w:color w:val="000000"/>
        </w:rPr>
      </w:pPr>
      <w:r>
        <w:rPr>
          <w:rFonts w:cs="ArialMT"/>
          <w:color w:val="000000"/>
        </w:rPr>
        <w:t>P</w:t>
      </w:r>
      <w:r w:rsidR="00E36CA5" w:rsidRPr="00365BEC">
        <w:rPr>
          <w:rFonts w:cs="ArialMT"/>
          <w:color w:val="000000"/>
        </w:rPr>
        <w:t xml:space="preserve">rovides a </w:t>
      </w:r>
      <w:r w:rsidR="00E36CA5" w:rsidRPr="00365BEC">
        <w:rPr>
          <w:rFonts w:cs="Arial-BoldMT"/>
          <w:bCs/>
          <w:color w:val="000000"/>
        </w:rPr>
        <w:t xml:space="preserve">simple, well tolerated ribavirin and interferon-free regimen </w:t>
      </w:r>
      <w:r w:rsidR="00E36CA5" w:rsidRPr="00365BEC">
        <w:rPr>
          <w:rFonts w:cs="ArialMT"/>
          <w:color w:val="000000"/>
        </w:rPr>
        <w:t>for patients infected with HCV GT 1, 3, 4 and 6</w:t>
      </w:r>
      <w:r>
        <w:rPr>
          <w:rFonts w:cs="ArialMT"/>
          <w:color w:val="000000"/>
        </w:rPr>
        <w:t>.</w:t>
      </w:r>
    </w:p>
    <w:p w14:paraId="4C3DD427" w14:textId="45C3944E" w:rsidR="00E36CA5" w:rsidRPr="00365BEC" w:rsidRDefault="00AA46C6" w:rsidP="00E33F74">
      <w:pPr>
        <w:pStyle w:val="ListBullet"/>
        <w:rPr>
          <w:rFonts w:cs="Arial-BoldMT"/>
          <w:bCs/>
          <w:color w:val="000000"/>
        </w:rPr>
      </w:pPr>
      <w:r>
        <w:rPr>
          <w:rFonts w:cs="ArialMT"/>
          <w:color w:val="000000"/>
        </w:rPr>
        <w:t>T</w:t>
      </w:r>
      <w:r w:rsidR="00E36CA5" w:rsidRPr="00365BEC">
        <w:rPr>
          <w:rFonts w:cs="ArialMT"/>
          <w:color w:val="000000"/>
        </w:rPr>
        <w:t xml:space="preserve">reats HCV infected patients including </w:t>
      </w:r>
      <w:r w:rsidR="00E36CA5" w:rsidRPr="00365BEC">
        <w:rPr>
          <w:rFonts w:cs="Arial-BoldMT"/>
          <w:bCs/>
          <w:color w:val="000000"/>
        </w:rPr>
        <w:t xml:space="preserve">hard-to-treat populations </w:t>
      </w:r>
      <w:r w:rsidR="00E36CA5" w:rsidRPr="00365BEC">
        <w:rPr>
          <w:rFonts w:cs="ArialMT"/>
          <w:color w:val="000000"/>
        </w:rPr>
        <w:t>such as those with</w:t>
      </w:r>
      <w:r w:rsidR="00E36CA5" w:rsidRPr="00365BEC">
        <w:rPr>
          <w:rFonts w:eastAsia="Wingdings-Regular" w:cs="Wingdings-Regular"/>
          <w:color w:val="000000"/>
        </w:rPr>
        <w:t xml:space="preserve"> </w:t>
      </w:r>
      <w:r w:rsidR="00E36CA5" w:rsidRPr="00365BEC">
        <w:rPr>
          <w:rFonts w:cs="Arial-BoldMT"/>
          <w:bCs/>
          <w:color w:val="000000"/>
        </w:rPr>
        <w:t>HIV co-infection, Chronic Kidney Diseas</w:t>
      </w:r>
      <w:r w:rsidR="00E36CA5" w:rsidRPr="00365BEC">
        <w:rPr>
          <w:rFonts w:cs="ArialMT"/>
          <w:color w:val="000000"/>
        </w:rPr>
        <w:t>e, and</w:t>
      </w:r>
      <w:r w:rsidR="00D80B0A">
        <w:rPr>
          <w:rFonts w:cs="ArialMT"/>
          <w:color w:val="000000"/>
        </w:rPr>
        <w:t xml:space="preserve"> </w:t>
      </w:r>
      <w:r w:rsidR="00E36CA5" w:rsidRPr="00365BEC">
        <w:rPr>
          <w:rFonts w:cs="Arial-BoldMT"/>
          <w:bCs/>
          <w:color w:val="000000"/>
        </w:rPr>
        <w:t xml:space="preserve">HCV genotype 3, 4 and 6 </w:t>
      </w:r>
      <w:proofErr w:type="gramStart"/>
      <w:r w:rsidR="00E36CA5" w:rsidRPr="00365BEC">
        <w:rPr>
          <w:rFonts w:cs="Arial-BoldMT"/>
          <w:bCs/>
          <w:color w:val="000000"/>
        </w:rPr>
        <w:t>infection</w:t>
      </w:r>
      <w:proofErr w:type="gramEnd"/>
      <w:r>
        <w:rPr>
          <w:rFonts w:cs="Arial-BoldMT"/>
          <w:bCs/>
          <w:color w:val="000000"/>
        </w:rPr>
        <w:t>.</w:t>
      </w:r>
    </w:p>
    <w:p w14:paraId="4C3DD428" w14:textId="155926F8" w:rsidR="00E36CA5" w:rsidRPr="00365BEC" w:rsidRDefault="00E36CA5" w:rsidP="00E33F74">
      <w:pPr>
        <w:pStyle w:val="ListBullet"/>
        <w:rPr>
          <w:rFonts w:cs="ArialMT"/>
          <w:color w:val="000000"/>
        </w:rPr>
      </w:pPr>
      <w:r w:rsidRPr="00365BEC">
        <w:rPr>
          <w:rFonts w:cs="ArialMT"/>
          <w:color w:val="000000"/>
        </w:rPr>
        <w:t xml:space="preserve">Provides a </w:t>
      </w:r>
      <w:r w:rsidRPr="00365BEC">
        <w:rPr>
          <w:rFonts w:cs="Arial-BoldMT"/>
          <w:bCs/>
          <w:color w:val="000000"/>
        </w:rPr>
        <w:t xml:space="preserve">12 week dosing regimen - without ribavirin - for most patients </w:t>
      </w:r>
      <w:r w:rsidRPr="00365BEC">
        <w:rPr>
          <w:rFonts w:cs="ArialMT"/>
          <w:color w:val="000000"/>
        </w:rPr>
        <w:t xml:space="preserve">(GT 1, 4 and 6 Treatment Naïve and Treatment-Experienced </w:t>
      </w:r>
      <w:proofErr w:type="spellStart"/>
      <w:r w:rsidRPr="00365BEC">
        <w:rPr>
          <w:rFonts w:cs="ArialMT"/>
          <w:color w:val="000000"/>
        </w:rPr>
        <w:t>Relapsers</w:t>
      </w:r>
      <w:proofErr w:type="spellEnd"/>
      <w:r w:rsidRPr="00365BEC">
        <w:rPr>
          <w:rFonts w:cs="ArialMT"/>
          <w:color w:val="000000"/>
        </w:rPr>
        <w:t xml:space="preserve"> and GT1b Treatment-Experienced On-Treatment-</w:t>
      </w:r>
      <w:proofErr w:type="spellStart"/>
      <w:r w:rsidRPr="00365BEC">
        <w:rPr>
          <w:rFonts w:cs="ArialMT"/>
          <w:color w:val="000000"/>
        </w:rPr>
        <w:t>Virologic</w:t>
      </w:r>
      <w:proofErr w:type="spellEnd"/>
      <w:r w:rsidRPr="00365BEC">
        <w:rPr>
          <w:rFonts w:cs="ArialMT"/>
          <w:color w:val="000000"/>
        </w:rPr>
        <w:t>-Failures (OTVF))</w:t>
      </w:r>
      <w:r w:rsidR="00AA46C6">
        <w:rPr>
          <w:rFonts w:cs="ArialMT"/>
          <w:color w:val="000000"/>
        </w:rPr>
        <w:t>.</w:t>
      </w:r>
    </w:p>
    <w:p w14:paraId="4C3DD429" w14:textId="6F907EB0" w:rsidR="00E36CA5" w:rsidRPr="00365BEC" w:rsidRDefault="00E36CA5" w:rsidP="00E33F74">
      <w:pPr>
        <w:pStyle w:val="ListBullet"/>
        <w:rPr>
          <w:rFonts w:cs="ArialMT"/>
          <w:color w:val="000000"/>
        </w:rPr>
      </w:pPr>
      <w:r w:rsidRPr="00365BEC">
        <w:rPr>
          <w:rFonts w:cs="ArialMT"/>
          <w:color w:val="000000"/>
        </w:rPr>
        <w:t>8 week regimen may be considered fo</w:t>
      </w:r>
      <w:r w:rsidR="00E33F74">
        <w:rPr>
          <w:rFonts w:cs="ArialMT"/>
          <w:color w:val="000000"/>
        </w:rPr>
        <w:t>r Treatment Naïve GT1b patients</w:t>
      </w:r>
      <w:r w:rsidR="00AA46C6">
        <w:rPr>
          <w:rFonts w:cs="ArialMT"/>
          <w:color w:val="000000"/>
        </w:rPr>
        <w:t>.</w:t>
      </w:r>
    </w:p>
    <w:p w14:paraId="4C3DD42A" w14:textId="148FE6A8" w:rsidR="00E36CA5" w:rsidRPr="00365BEC" w:rsidRDefault="00E36CA5" w:rsidP="00E33F74">
      <w:pPr>
        <w:pStyle w:val="ListBullet"/>
        <w:rPr>
          <w:rFonts w:cs="ArialMT"/>
          <w:color w:val="000000"/>
        </w:rPr>
      </w:pPr>
      <w:r w:rsidRPr="00365BEC">
        <w:t xml:space="preserve">12 week regimen with concomitant administration of </w:t>
      </w:r>
      <w:proofErr w:type="spellStart"/>
      <w:r w:rsidRPr="00365BEC">
        <w:t>sofosbuvir</w:t>
      </w:r>
      <w:proofErr w:type="spellEnd"/>
      <w:r w:rsidRPr="00365BEC">
        <w:t xml:space="preserve"> was effective in treating HCV </w:t>
      </w:r>
      <w:r w:rsidRPr="00365BEC">
        <w:rPr>
          <w:rFonts w:cs="ArialMT"/>
          <w:color w:val="000000"/>
        </w:rPr>
        <w:t>GT3 infected TN patients</w:t>
      </w:r>
      <w:r w:rsidR="00AA46C6">
        <w:rPr>
          <w:rFonts w:cs="ArialMT"/>
          <w:color w:val="000000"/>
        </w:rPr>
        <w:t>.</w:t>
      </w:r>
    </w:p>
    <w:p w14:paraId="4C3DD42B" w14:textId="4389B274" w:rsidR="00E36CA5" w:rsidRPr="00365BEC" w:rsidRDefault="00E36CA5" w:rsidP="00E33F74">
      <w:pPr>
        <w:pStyle w:val="ListBullet"/>
      </w:pPr>
      <w:r w:rsidRPr="00365BEC">
        <w:rPr>
          <w:rFonts w:cs="ArialMT"/>
          <w:color w:val="000000"/>
        </w:rPr>
        <w:t>16 week regimen with concomitant administration of ribavirin is recommended for GT1a, 4 and 6 Treatment-Experienced OTVF</w:t>
      </w:r>
      <w:r w:rsidR="00AA46C6">
        <w:rPr>
          <w:rFonts w:cs="ArialMT"/>
          <w:color w:val="000000"/>
        </w:rPr>
        <w:t>.</w:t>
      </w:r>
    </w:p>
    <w:p w14:paraId="4C3DD42C" w14:textId="04CCE569" w:rsidR="00E36CA5" w:rsidRPr="00365BEC" w:rsidRDefault="00E36CA5" w:rsidP="00E33F74">
      <w:pPr>
        <w:pStyle w:val="ListBullet"/>
      </w:pPr>
      <w:r w:rsidRPr="00365BEC">
        <w:t xml:space="preserve">In </w:t>
      </w:r>
      <w:r w:rsidR="00ED41DC">
        <w:t>GT4</w:t>
      </w:r>
      <w:r w:rsidRPr="00365BEC">
        <w:t xml:space="preserve"> infected (treatment-naïve/treatment experienced, ± HIV co-infection, ± cirrhosis) HCV patients, treatment with GZR+EBR (100/50</w:t>
      </w:r>
      <w:r w:rsidR="00E33F74">
        <w:t xml:space="preserve"> </w:t>
      </w:r>
      <w:r w:rsidRPr="00365BEC">
        <w:t>mg) for 12 weeks was highly effective (SVR12 up to 96%) and well tolerated. Although only small number of GT6 subjects was evaluated in the Phase</w:t>
      </w:r>
      <w:r w:rsidR="00E33F74">
        <w:t xml:space="preserve"> II</w:t>
      </w:r>
      <w:r w:rsidRPr="00365BEC">
        <w:t>/</w:t>
      </w:r>
      <w:r w:rsidR="00E33F74">
        <w:t>III</w:t>
      </w:r>
      <w:r w:rsidRPr="00365BEC">
        <w:t xml:space="preserve"> studies, there was strong data to support use for GT6 (SVR12 of 80%)</w:t>
      </w:r>
      <w:r w:rsidR="00AA46C6">
        <w:t>.</w:t>
      </w:r>
    </w:p>
    <w:p w14:paraId="4C3DD42D" w14:textId="5611D2B2" w:rsidR="00E36CA5" w:rsidRPr="00365BEC" w:rsidRDefault="00E36CA5" w:rsidP="00E33F74">
      <w:pPr>
        <w:pStyle w:val="ListBullet"/>
        <w:rPr>
          <w:rFonts w:cs="Arial-BoldMT"/>
          <w:bCs/>
          <w:color w:val="000000"/>
        </w:rPr>
      </w:pPr>
      <w:r w:rsidRPr="00365BEC">
        <w:rPr>
          <w:rFonts w:cs="ArialMT"/>
        </w:rPr>
        <w:t xml:space="preserve">The well-conducted </w:t>
      </w:r>
      <w:r w:rsidR="00E33F74">
        <w:rPr>
          <w:rFonts w:cs="ArialMT"/>
        </w:rPr>
        <w:t>S</w:t>
      </w:r>
      <w:r w:rsidRPr="00365BEC">
        <w:rPr>
          <w:rFonts w:cs="ArialMT"/>
        </w:rPr>
        <w:t xml:space="preserve">tudy P052 demonstrated that 12 weeks of treatment with </w:t>
      </w:r>
      <w:r w:rsidRPr="00365BEC">
        <w:t>GZR+EBR (100/5</w:t>
      </w:r>
      <w:r w:rsidR="004C1037">
        <w:t>0 mg</w:t>
      </w:r>
      <w:r w:rsidRPr="00365BEC">
        <w:t>) wa</w:t>
      </w:r>
      <w:r w:rsidRPr="00365BEC">
        <w:rPr>
          <w:rFonts w:cs="ArialMT"/>
        </w:rPr>
        <w:t xml:space="preserve">s well tolerated and highly efficacious (SVR12 of 94%) in 225 advanced CKD patients, including patients on haemodialysis, thus avoiding the need for </w:t>
      </w:r>
      <w:proofErr w:type="spellStart"/>
      <w:r w:rsidRPr="00365BEC">
        <w:rPr>
          <w:rFonts w:cs="ArialMT"/>
        </w:rPr>
        <w:t>peginterferon</w:t>
      </w:r>
      <w:proofErr w:type="spellEnd"/>
      <w:r w:rsidRPr="00365BEC">
        <w:rPr>
          <w:rFonts w:cs="ArialMT"/>
        </w:rPr>
        <w:t xml:space="preserve">, ribavirin or </w:t>
      </w:r>
      <w:proofErr w:type="spellStart"/>
      <w:r w:rsidRPr="00365BEC">
        <w:rPr>
          <w:rFonts w:cs="ArialMT"/>
        </w:rPr>
        <w:t>sofosbuvir</w:t>
      </w:r>
      <w:proofErr w:type="spellEnd"/>
      <w:r w:rsidRPr="00365BEC">
        <w:rPr>
          <w:rFonts w:cs="ArialMT"/>
        </w:rPr>
        <w:t xml:space="preserve"> in treating these patients and addressing this urgent unmet need</w:t>
      </w:r>
      <w:r w:rsidR="00AA46C6">
        <w:rPr>
          <w:rFonts w:cs="ArialMT"/>
        </w:rPr>
        <w:t>.</w:t>
      </w:r>
    </w:p>
    <w:p w14:paraId="4C3DD42E" w14:textId="77777777" w:rsidR="00E36CA5" w:rsidRPr="00365BEC" w:rsidRDefault="00E36CA5" w:rsidP="00E33F74">
      <w:pPr>
        <w:pStyle w:val="ListBullet"/>
        <w:rPr>
          <w:rFonts w:eastAsiaTheme="minorHAnsi"/>
        </w:rPr>
      </w:pPr>
      <w:r w:rsidRPr="00365BEC">
        <w:rPr>
          <w:rFonts w:eastAsiaTheme="minorHAnsi"/>
        </w:rPr>
        <w:t xml:space="preserve">A </w:t>
      </w:r>
      <w:r w:rsidR="00E33F74">
        <w:rPr>
          <w:rFonts w:eastAsiaTheme="minorHAnsi"/>
        </w:rPr>
        <w:t>summary of the SVR24 data from S</w:t>
      </w:r>
      <w:r w:rsidRPr="00365BEC">
        <w:rPr>
          <w:rFonts w:eastAsiaTheme="minorHAnsi"/>
        </w:rPr>
        <w:t xml:space="preserve">tudies P052, P058, P059, P060, P061 and P068, were provided </w:t>
      </w:r>
      <w:r w:rsidR="00E33F74">
        <w:rPr>
          <w:rFonts w:eastAsiaTheme="minorHAnsi"/>
        </w:rPr>
        <w:t>by the sponsor</w:t>
      </w:r>
      <w:r w:rsidRPr="00365BEC">
        <w:rPr>
          <w:rFonts w:eastAsiaTheme="minorHAnsi"/>
        </w:rPr>
        <w:t xml:space="preserve">. Overall, maintenance of efficacy of </w:t>
      </w:r>
      <w:proofErr w:type="spellStart"/>
      <w:r w:rsidR="00D80B0A">
        <w:rPr>
          <w:rFonts w:eastAsiaTheme="minorHAnsi"/>
        </w:rPr>
        <w:t>Zepatier</w:t>
      </w:r>
      <w:proofErr w:type="spellEnd"/>
      <w:r w:rsidRPr="00365BEC">
        <w:rPr>
          <w:rFonts w:eastAsiaTheme="minorHAnsi"/>
        </w:rPr>
        <w:t xml:space="preserve"> was </w:t>
      </w:r>
      <w:r w:rsidRPr="00365BEC">
        <w:rPr>
          <w:rFonts w:eastAsiaTheme="minorHAnsi"/>
        </w:rPr>
        <w:lastRenderedPageBreak/>
        <w:t>demonstrated as SVR24 rates were high, with very few relapses observed between SVR12 and SVR24.</w:t>
      </w:r>
    </w:p>
    <w:p w14:paraId="4C3DD42F" w14:textId="77777777" w:rsidR="00E36CA5" w:rsidRPr="00BE424E" w:rsidRDefault="00E36CA5" w:rsidP="00E33F74">
      <w:pPr>
        <w:pStyle w:val="Heading4"/>
      </w:pPr>
      <w:bookmarkStart w:id="146" w:name="_Toc272414710"/>
      <w:bookmarkStart w:id="147" w:name="_Toc290846350"/>
      <w:bookmarkStart w:id="148" w:name="_Toc448473668"/>
      <w:r w:rsidRPr="00BE424E">
        <w:t>Second round assessment of risks</w:t>
      </w:r>
      <w:bookmarkEnd w:id="146"/>
      <w:bookmarkEnd w:id="147"/>
      <w:bookmarkEnd w:id="148"/>
    </w:p>
    <w:p w14:paraId="4C3DD430" w14:textId="77777777" w:rsidR="00E36CA5" w:rsidRPr="00365BEC" w:rsidRDefault="00E36CA5" w:rsidP="00E33F74">
      <w:r w:rsidRPr="00365BEC">
        <w:t xml:space="preserve">After consideration of responses to clinical questions and other information submitted by the sponsors, the risks of </w:t>
      </w:r>
      <w:proofErr w:type="spellStart"/>
      <w:r w:rsidR="00D80B0A">
        <w:t>Zepatier</w:t>
      </w:r>
      <w:proofErr w:type="spellEnd"/>
      <w:r w:rsidRPr="00365BEC">
        <w:t xml:space="preserve"> in the proposed indication are modified as follows:-</w:t>
      </w:r>
    </w:p>
    <w:p w14:paraId="4C3DD431" w14:textId="77777777" w:rsidR="00E36CA5" w:rsidRPr="00365BEC" w:rsidRDefault="00E36CA5" w:rsidP="00E33F74">
      <w:r w:rsidRPr="00365BEC">
        <w:t xml:space="preserve">The risks of </w:t>
      </w:r>
      <w:proofErr w:type="spellStart"/>
      <w:r w:rsidR="00D80B0A">
        <w:t>Zepatier</w:t>
      </w:r>
      <w:proofErr w:type="spellEnd"/>
      <w:r w:rsidRPr="00365BEC">
        <w:t xml:space="preserve"> in the proposed usage are:</w:t>
      </w:r>
    </w:p>
    <w:p w14:paraId="568906E6" w14:textId="549DC60A" w:rsidR="00655550" w:rsidRDefault="00E36CA5" w:rsidP="00E33F74">
      <w:pPr>
        <w:pStyle w:val="ListBullet"/>
      </w:pPr>
      <w:r w:rsidRPr="00365BEC">
        <w:t>Development of NS3 and/or NS5A RAVs in subjects with virologic failure has been characterised. NS3 RAVs are likely to revert to wild-type virus and have limited impact on retreatment options. NS5A RAVs are likely to persist for a longer period of time, based on experience with other NS5A inhibitors. The implications on re-treatment have not yet been determined. However, the incidence of virologic failure was generally &lt;4%</w:t>
      </w:r>
      <w:r w:rsidR="00AA46C6">
        <w:t>.</w:t>
      </w:r>
    </w:p>
    <w:p w14:paraId="4C3DD433" w14:textId="43C343F3" w:rsidR="00E36CA5" w:rsidRPr="00365BEC" w:rsidRDefault="00E36CA5" w:rsidP="00E33F74">
      <w:pPr>
        <w:pStyle w:val="ListBullet"/>
        <w:rPr>
          <w:rFonts w:eastAsia="TimesNewRoman"/>
        </w:rPr>
      </w:pPr>
      <w:r w:rsidRPr="00365BEC">
        <w:rPr>
          <w:rFonts w:eastAsia="TimesNewRoman"/>
        </w:rPr>
        <w:t>Increased risk of Late ALT/AST Elevation Events, especially in patients with Child-Pugh C cirrhosis. However, periodic monitoring of ALT is recommended in the proposed label</w:t>
      </w:r>
      <w:r w:rsidR="00AA46C6">
        <w:rPr>
          <w:rFonts w:eastAsia="TimesNewRoman"/>
        </w:rPr>
        <w:t>.</w:t>
      </w:r>
    </w:p>
    <w:p w14:paraId="4C3DD434" w14:textId="3512A4B5" w:rsidR="00E36CA5" w:rsidRPr="00365BEC" w:rsidRDefault="00E36CA5" w:rsidP="00E33F74">
      <w:pPr>
        <w:pStyle w:val="ListBullet"/>
        <w:rPr>
          <w:rFonts w:eastAsia="TimesNewRoman"/>
        </w:rPr>
      </w:pPr>
      <w:r w:rsidRPr="00365BEC">
        <w:rPr>
          <w:rFonts w:eastAsia="TimesNewRoman"/>
        </w:rPr>
        <w:t>Risk of drug interactions although labelling will address specific patient populations and DDIs that are pertinent to the risk of Late ALT/AST Elevation Events</w:t>
      </w:r>
      <w:r w:rsidR="00AA46C6">
        <w:rPr>
          <w:rFonts w:eastAsia="TimesNewRoman"/>
        </w:rPr>
        <w:t>.</w:t>
      </w:r>
    </w:p>
    <w:p w14:paraId="4C3DD435" w14:textId="27458F05" w:rsidR="00E36CA5" w:rsidRPr="00365BEC" w:rsidRDefault="00E36CA5" w:rsidP="00E33F74">
      <w:pPr>
        <w:pStyle w:val="ListBullet"/>
        <w:rPr>
          <w:rFonts w:eastAsia="TimesNewRoman"/>
        </w:rPr>
      </w:pPr>
      <w:proofErr w:type="spellStart"/>
      <w:r w:rsidRPr="00365BEC">
        <w:t>Hyperbilirubinemia</w:t>
      </w:r>
      <w:proofErr w:type="spellEnd"/>
      <w:r w:rsidRPr="00365BEC">
        <w:t xml:space="preserve"> has been observed in regimens of GZR with EBR (+ RBV) and reflects the well-know</w:t>
      </w:r>
      <w:r w:rsidR="00E33F74">
        <w:t>n</w:t>
      </w:r>
      <w:r w:rsidRPr="00365BEC">
        <w:t xml:space="preserve"> haemolytic effects of RBV</w:t>
      </w:r>
      <w:r w:rsidR="00AA46C6">
        <w:t>.</w:t>
      </w:r>
    </w:p>
    <w:p w14:paraId="4C3DD436" w14:textId="328C6F6F" w:rsidR="00E36CA5" w:rsidRPr="00365BEC" w:rsidRDefault="00E36CA5" w:rsidP="00E33F74">
      <w:pPr>
        <w:pStyle w:val="ListBullet"/>
        <w:rPr>
          <w:rFonts w:eastAsia="TimesNewRoman"/>
        </w:rPr>
      </w:pPr>
      <w:r w:rsidRPr="00365BEC">
        <w:t>Lack of efficacy/ safety data in patients with severe hepatic impairment (CP-C cirrhosis), liver transplant patients and HBV/HCV co-infection</w:t>
      </w:r>
      <w:r w:rsidR="00AA46C6">
        <w:t>.</w:t>
      </w:r>
    </w:p>
    <w:p w14:paraId="4C3DD437" w14:textId="509BCD24" w:rsidR="00E36CA5" w:rsidRPr="00365BEC" w:rsidRDefault="00E36CA5" w:rsidP="00E33F74">
      <w:pPr>
        <w:pStyle w:val="ListBullet"/>
        <w:rPr>
          <w:rFonts w:eastAsia="TimesNewRoman"/>
        </w:rPr>
      </w:pPr>
      <w:r w:rsidRPr="00365BEC">
        <w:t>Lack of efficacy/safety data in pregnancy/ lactation and paediatric patients</w:t>
      </w:r>
      <w:r w:rsidR="00AA46C6">
        <w:t>.</w:t>
      </w:r>
    </w:p>
    <w:p w14:paraId="4C3DD438" w14:textId="77777777" w:rsidR="00E36CA5" w:rsidRPr="00BE424E" w:rsidRDefault="00E36CA5" w:rsidP="00BB080F">
      <w:pPr>
        <w:pStyle w:val="Heading4"/>
      </w:pPr>
      <w:bookmarkStart w:id="149" w:name="_Toc272414711"/>
      <w:bookmarkStart w:id="150" w:name="_Toc290846351"/>
      <w:bookmarkStart w:id="151" w:name="_Toc448473669"/>
      <w:r w:rsidRPr="00BE424E">
        <w:t>Second round assessment of benefit-risk balance</w:t>
      </w:r>
      <w:bookmarkEnd w:id="149"/>
      <w:bookmarkEnd w:id="150"/>
      <w:bookmarkEnd w:id="151"/>
    </w:p>
    <w:p w14:paraId="4C3DD439" w14:textId="77777777" w:rsidR="00E36CA5" w:rsidRPr="00365BEC" w:rsidRDefault="00E36CA5" w:rsidP="00E36CA5">
      <w:pPr>
        <w:spacing w:line="240" w:lineRule="auto"/>
      </w:pPr>
      <w:r w:rsidRPr="00365BEC">
        <w:t xml:space="preserve">After consideration of responses to clinical questions and other information submitted by the sponsors, the benefit-risk profile of </w:t>
      </w:r>
      <w:proofErr w:type="spellStart"/>
      <w:r w:rsidR="00D80B0A">
        <w:t>Zepatier</w:t>
      </w:r>
      <w:proofErr w:type="spellEnd"/>
      <w:r w:rsidRPr="00365BEC">
        <w:t xml:space="preserve"> in the proposed indication remains favourable.</w:t>
      </w:r>
    </w:p>
    <w:p w14:paraId="162B04C5" w14:textId="77777777" w:rsidR="00655550" w:rsidRDefault="00BB080F" w:rsidP="00BB080F">
      <w:pPr>
        <w:pStyle w:val="Heading4"/>
      </w:pPr>
      <w:bookmarkStart w:id="152" w:name="_Ref272160677"/>
      <w:bookmarkStart w:id="153" w:name="_Toc272414713"/>
      <w:bookmarkStart w:id="154" w:name="_Toc290846352"/>
      <w:bookmarkStart w:id="155" w:name="_Toc448473670"/>
      <w:r w:rsidRPr="00BE424E">
        <w:t xml:space="preserve">Second </w:t>
      </w:r>
      <w:r>
        <w:t>r</w:t>
      </w:r>
      <w:r w:rsidRPr="00BE424E">
        <w:t xml:space="preserve">ound </w:t>
      </w:r>
      <w:r>
        <w:t>r</w:t>
      </w:r>
      <w:r w:rsidRPr="00BE424E">
        <w:t xml:space="preserve">ecommendation </w:t>
      </w:r>
      <w:r>
        <w:t>r</w:t>
      </w:r>
      <w:r w:rsidRPr="00BE424E">
        <w:t>eg</w:t>
      </w:r>
      <w:r>
        <w:t>arding a</w:t>
      </w:r>
      <w:r w:rsidRPr="00BE424E">
        <w:t>uthorisation</w:t>
      </w:r>
      <w:bookmarkEnd w:id="152"/>
      <w:bookmarkEnd w:id="153"/>
      <w:bookmarkEnd w:id="154"/>
      <w:bookmarkEnd w:id="155"/>
    </w:p>
    <w:p w14:paraId="4C3DD43B" w14:textId="61DA7E45" w:rsidR="00BB080F" w:rsidRDefault="00E36CA5" w:rsidP="00E36CA5">
      <w:pPr>
        <w:autoSpaceDE w:val="0"/>
        <w:autoSpaceDN w:val="0"/>
        <w:adjustRightInd w:val="0"/>
        <w:spacing w:line="240" w:lineRule="auto"/>
        <w:rPr>
          <w:rFonts w:cs="Arial-ItalicMT"/>
          <w:iCs/>
        </w:rPr>
      </w:pPr>
      <w:r w:rsidRPr="00365BEC">
        <w:rPr>
          <w:rFonts w:cs="Arial-ItalicMT"/>
          <w:iCs/>
        </w:rPr>
        <w:t xml:space="preserve">It is recommended that </w:t>
      </w:r>
      <w:proofErr w:type="spellStart"/>
      <w:r w:rsidR="00D80B0A">
        <w:rPr>
          <w:rFonts w:cs="Arial-ItalicMT"/>
          <w:iCs/>
        </w:rPr>
        <w:t>Zepatier</w:t>
      </w:r>
      <w:proofErr w:type="spellEnd"/>
      <w:r w:rsidRPr="00365BEC">
        <w:rPr>
          <w:rFonts w:cs="Arial-ItalicMT"/>
          <w:iCs/>
        </w:rPr>
        <w:t xml:space="preserve"> be approved </w:t>
      </w:r>
      <w:r>
        <w:rPr>
          <w:rFonts w:cs="Arial-ItalicMT"/>
          <w:iCs/>
        </w:rPr>
        <w:t>for the proposed indication of:</w:t>
      </w:r>
    </w:p>
    <w:p w14:paraId="4C3DD43C" w14:textId="77777777" w:rsidR="00E36CA5" w:rsidRPr="00365BEC" w:rsidRDefault="00D34382" w:rsidP="00BB080F">
      <w:pPr>
        <w:autoSpaceDE w:val="0"/>
        <w:autoSpaceDN w:val="0"/>
        <w:adjustRightInd w:val="0"/>
        <w:spacing w:line="240" w:lineRule="auto"/>
        <w:ind w:left="720"/>
        <w:rPr>
          <w:rFonts w:cs="Arial-ItalicMT"/>
          <w:iCs/>
        </w:rPr>
      </w:pPr>
      <w:r w:rsidRPr="00BB080F">
        <w:rPr>
          <w:rFonts w:cs="Arial-ItalicMT"/>
          <w:i/>
          <w:iCs/>
        </w:rPr>
        <w:t>‘</w:t>
      </w:r>
      <w:proofErr w:type="spellStart"/>
      <w:r w:rsidR="00D80B0A" w:rsidRPr="00BB080F">
        <w:rPr>
          <w:rFonts w:cs="Arial-ItalicMT"/>
          <w:i/>
          <w:iCs/>
        </w:rPr>
        <w:t>Zepatier</w:t>
      </w:r>
      <w:proofErr w:type="spellEnd"/>
      <w:r w:rsidR="00E36CA5" w:rsidRPr="00BB080F">
        <w:rPr>
          <w:rFonts w:cs="Arial-ItalicMT"/>
          <w:i/>
          <w:iCs/>
        </w:rPr>
        <w:t xml:space="preserve"> is indicated for the treatment of Chronic Hepatitis C infection in adults (see </w:t>
      </w:r>
      <w:r w:rsidR="00BB080F" w:rsidRPr="00BB080F">
        <w:rPr>
          <w:rFonts w:cs="Arial-ItalicMT"/>
          <w:i/>
          <w:iCs/>
        </w:rPr>
        <w:t xml:space="preserve">Dosage and Administration </w:t>
      </w:r>
      <w:r w:rsidR="00E36CA5" w:rsidRPr="00BB080F">
        <w:rPr>
          <w:rFonts w:cs="Arial-ItalicMT"/>
          <w:i/>
          <w:iCs/>
        </w:rPr>
        <w:t xml:space="preserve">and </w:t>
      </w:r>
      <w:r w:rsidR="00BB080F" w:rsidRPr="00BB080F">
        <w:rPr>
          <w:rFonts w:cs="Arial-ItalicMT"/>
          <w:i/>
          <w:iCs/>
        </w:rPr>
        <w:t>Clinical Trials</w:t>
      </w:r>
      <w:r w:rsidR="00E36CA5" w:rsidRPr="00BB080F">
        <w:rPr>
          <w:rFonts w:cs="Arial-ItalicMT"/>
          <w:i/>
          <w:iCs/>
        </w:rPr>
        <w:t xml:space="preserve">). (See </w:t>
      </w:r>
      <w:r w:rsidR="00BB080F" w:rsidRPr="00BB080F">
        <w:rPr>
          <w:rFonts w:cs="Arial-ItalicMT"/>
          <w:i/>
          <w:iCs/>
        </w:rPr>
        <w:t xml:space="preserve">Clinical Trials </w:t>
      </w:r>
      <w:r w:rsidR="00E36CA5" w:rsidRPr="00BB080F">
        <w:rPr>
          <w:rFonts w:cs="Arial-ItalicMT"/>
          <w:i/>
          <w:iCs/>
        </w:rPr>
        <w:t>for information on HCV genotype-specific activity.)</w:t>
      </w:r>
      <w:r>
        <w:rPr>
          <w:rFonts w:cs="Arial-ItalicMT"/>
          <w:iCs/>
        </w:rPr>
        <w:t>’</w:t>
      </w:r>
    </w:p>
    <w:p w14:paraId="4C3DD43D" w14:textId="77777777" w:rsidR="00E36CA5" w:rsidRPr="00365BEC" w:rsidRDefault="00E36CA5" w:rsidP="00E36CA5">
      <w:pPr>
        <w:autoSpaceDE w:val="0"/>
        <w:autoSpaceDN w:val="0"/>
        <w:adjustRightInd w:val="0"/>
        <w:spacing w:line="240" w:lineRule="auto"/>
      </w:pPr>
      <w:r w:rsidRPr="00365BEC">
        <w:rPr>
          <w:rFonts w:cs="Arial-ItalicMT"/>
          <w:iCs/>
        </w:rPr>
        <w:t>Approval is subject to incorporation of some mi</w:t>
      </w:r>
      <w:r w:rsidR="00BB080F">
        <w:rPr>
          <w:rFonts w:cs="Arial-ItalicMT"/>
          <w:iCs/>
        </w:rPr>
        <w:t xml:space="preserve">nor changes to the proposed </w:t>
      </w:r>
      <w:r w:rsidR="00CE22E6" w:rsidRPr="00CE22E6">
        <w:rPr>
          <w:rFonts w:cs="Arial-ItalicMT"/>
          <w:iCs/>
        </w:rPr>
        <w:t>Product Information</w:t>
      </w:r>
      <w:r w:rsidRPr="00365BEC">
        <w:rPr>
          <w:rFonts w:cs="Arial-ItalicMT"/>
          <w:iCs/>
        </w:rPr>
        <w:t>.</w:t>
      </w:r>
    </w:p>
    <w:p w14:paraId="4C3DD43E" w14:textId="77777777" w:rsidR="008E7846" w:rsidRPr="00E41208" w:rsidRDefault="008E7846" w:rsidP="00546154">
      <w:pPr>
        <w:pStyle w:val="Heading2"/>
      </w:pPr>
      <w:bookmarkStart w:id="156" w:name="_Toc484510900"/>
      <w:r w:rsidRPr="00E41208">
        <w:t xml:space="preserve">V. Pharmacovigilance </w:t>
      </w:r>
      <w:r>
        <w:t>f</w:t>
      </w:r>
      <w:r w:rsidRPr="00E41208">
        <w:t>indings</w:t>
      </w:r>
      <w:bookmarkEnd w:id="101"/>
      <w:bookmarkEnd w:id="102"/>
      <w:bookmarkEnd w:id="156"/>
    </w:p>
    <w:p w14:paraId="4C3DD43F" w14:textId="77777777" w:rsidR="008E7846" w:rsidRDefault="00386150" w:rsidP="008E7846">
      <w:pPr>
        <w:pStyle w:val="Heading3"/>
        <w:rPr>
          <w:lang w:eastAsia="en-AU"/>
        </w:rPr>
      </w:pPr>
      <w:bookmarkStart w:id="157" w:name="_Toc247691526"/>
      <w:bookmarkStart w:id="158" w:name="_Toc314842509"/>
      <w:bookmarkStart w:id="159" w:name="_Toc484510901"/>
      <w:r>
        <w:rPr>
          <w:lang w:eastAsia="en-AU"/>
        </w:rPr>
        <w:t>Risk m</w:t>
      </w:r>
      <w:r w:rsidR="008E7846">
        <w:rPr>
          <w:lang w:eastAsia="en-AU"/>
        </w:rPr>
        <w:t xml:space="preserve">anagement </w:t>
      </w:r>
      <w:r>
        <w:rPr>
          <w:lang w:eastAsia="en-AU"/>
        </w:rPr>
        <w:t>p</w:t>
      </w:r>
      <w:r w:rsidR="008E7846">
        <w:rPr>
          <w:lang w:eastAsia="en-AU"/>
        </w:rPr>
        <w:t>lan</w:t>
      </w:r>
      <w:bookmarkEnd w:id="157"/>
      <w:bookmarkEnd w:id="158"/>
      <w:bookmarkEnd w:id="159"/>
    </w:p>
    <w:p w14:paraId="4C3DD440" w14:textId="77777777" w:rsidR="008E7846" w:rsidRDefault="008E7846" w:rsidP="00BB080F">
      <w:pPr>
        <w:rPr>
          <w:lang w:eastAsia="en-AU"/>
        </w:rPr>
      </w:pPr>
      <w:r>
        <w:rPr>
          <w:lang w:eastAsia="en-AU"/>
        </w:rPr>
        <w:t>The sponsor submitted a Risk Management Plan</w:t>
      </w:r>
      <w:r w:rsidR="006F25B8">
        <w:rPr>
          <w:lang w:eastAsia="en-AU"/>
        </w:rPr>
        <w:t xml:space="preserve"> </w:t>
      </w:r>
      <w:r w:rsidR="006F25B8" w:rsidRPr="006F25B8">
        <w:rPr>
          <w:lang w:eastAsia="en-AU"/>
        </w:rPr>
        <w:t>(</w:t>
      </w:r>
      <w:r w:rsidR="00984C98" w:rsidRPr="00984C98">
        <w:rPr>
          <w:lang w:eastAsia="en-AU"/>
        </w:rPr>
        <w:t>EU-RMP Version 1.0 (dated 17 June 2015, DLP 27 March 2015) and Australian Specific Annex Version 0.1 (dated August 2015)</w:t>
      </w:r>
      <w:r w:rsidR="006F25B8" w:rsidRPr="006F25B8">
        <w:rPr>
          <w:lang w:eastAsia="en-AU"/>
        </w:rPr>
        <w:t>)</w:t>
      </w:r>
      <w:r w:rsidRPr="006F25B8">
        <w:t xml:space="preserve"> </w:t>
      </w:r>
      <w:r>
        <w:rPr>
          <w:lang w:eastAsia="en-AU"/>
        </w:rPr>
        <w:t xml:space="preserve">which was reviewed by the </w:t>
      </w:r>
      <w:r w:rsidR="00FC1FCA">
        <w:rPr>
          <w:lang w:eastAsia="en-AU"/>
        </w:rPr>
        <w:t>RMP evaluator.</w:t>
      </w:r>
    </w:p>
    <w:p w14:paraId="4C3DD441" w14:textId="77777777" w:rsidR="008E7846" w:rsidRDefault="003A7F6C" w:rsidP="008E7846">
      <w:pPr>
        <w:pStyle w:val="Heading4"/>
        <w:rPr>
          <w:lang w:eastAsia="en-AU"/>
        </w:rPr>
      </w:pPr>
      <w:r>
        <w:rPr>
          <w:lang w:eastAsia="en-AU"/>
        </w:rPr>
        <w:lastRenderedPageBreak/>
        <w:t>Safety s</w:t>
      </w:r>
      <w:r w:rsidR="008E7846">
        <w:rPr>
          <w:lang w:eastAsia="en-AU"/>
        </w:rPr>
        <w:t>pecification</w:t>
      </w:r>
    </w:p>
    <w:p w14:paraId="4C3DD442" w14:textId="77777777"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on</w:t>
      </w:r>
      <w:r w:rsidR="00BB080F">
        <w:rPr>
          <w:lang w:eastAsia="en-AU"/>
        </w:rPr>
        <w:t xml:space="preserve">cerns which are shown at Table </w:t>
      </w:r>
      <w:r w:rsidR="004C2FE4">
        <w:rPr>
          <w:lang w:eastAsia="en-AU"/>
        </w:rPr>
        <w:t>10</w:t>
      </w:r>
      <w:r>
        <w:rPr>
          <w:lang w:eastAsia="en-AU"/>
        </w:rPr>
        <w:t>.</w:t>
      </w:r>
    </w:p>
    <w:p w14:paraId="4C3DD443" w14:textId="77777777" w:rsidR="00984C98" w:rsidRDefault="00984C98" w:rsidP="00324471">
      <w:pPr>
        <w:pStyle w:val="TableTitle"/>
        <w:keepLines/>
      </w:pPr>
      <w:r w:rsidRPr="00394133">
        <w:t xml:space="preserve">Table </w:t>
      </w:r>
      <w:r w:rsidR="004C2FE4" w:rsidRPr="00394133">
        <w:t>10</w:t>
      </w:r>
      <w:r w:rsidR="00BB080F" w:rsidRPr="00394133">
        <w:t>:</w:t>
      </w:r>
      <w:r w:rsidRPr="00394133">
        <w:t xml:space="preserve"> Ongoing safety concerns provided by the sponsor in their RMP submission</w:t>
      </w:r>
    </w:p>
    <w:tbl>
      <w:tblPr>
        <w:tblStyle w:val="TableTGAblue1"/>
        <w:tblW w:w="0" w:type="auto"/>
        <w:tblLook w:val="04A0" w:firstRow="1" w:lastRow="0" w:firstColumn="1" w:lastColumn="0" w:noHBand="0" w:noVBand="1"/>
      </w:tblPr>
      <w:tblGrid>
        <w:gridCol w:w="2376"/>
        <w:gridCol w:w="6344"/>
      </w:tblGrid>
      <w:tr w:rsidR="002F02CE" w:rsidRPr="0052315D" w14:paraId="4C3DD446" w14:textId="77777777" w:rsidTr="00187096">
        <w:trPr>
          <w:cnfStyle w:val="100000000000" w:firstRow="1" w:lastRow="0" w:firstColumn="0" w:lastColumn="0" w:oddVBand="0" w:evenVBand="0" w:oddHBand="0" w:evenHBand="0" w:firstRowFirstColumn="0" w:firstRowLastColumn="0" w:lastRowFirstColumn="0" w:lastRowLastColumn="0"/>
          <w:trHeight w:val="270"/>
          <w:tblHeader/>
        </w:trPr>
        <w:tc>
          <w:tcPr>
            <w:tcW w:w="2376" w:type="dxa"/>
            <w:hideMark/>
          </w:tcPr>
          <w:p w14:paraId="4C3DD444" w14:textId="77777777" w:rsidR="002F02CE" w:rsidRPr="00394133" w:rsidRDefault="002F02CE" w:rsidP="00AA46C6">
            <w:pPr>
              <w:rPr>
                <w:lang w:eastAsia="en-AU"/>
              </w:rPr>
            </w:pPr>
            <w:r w:rsidRPr="00394133">
              <w:rPr>
                <w:lang w:eastAsia="en-AU"/>
              </w:rPr>
              <w:t>Safety specification</w:t>
            </w:r>
          </w:p>
        </w:tc>
        <w:tc>
          <w:tcPr>
            <w:tcW w:w="6344" w:type="dxa"/>
          </w:tcPr>
          <w:p w14:paraId="4C3DD445" w14:textId="77777777" w:rsidR="002F02CE" w:rsidRPr="0052315D" w:rsidRDefault="00394133" w:rsidP="00AA46C6">
            <w:r>
              <w:t>Details</w:t>
            </w:r>
          </w:p>
        </w:tc>
      </w:tr>
      <w:tr w:rsidR="00394133" w:rsidRPr="0052315D" w14:paraId="4C3DD450" w14:textId="77777777" w:rsidTr="00394133">
        <w:trPr>
          <w:trHeight w:val="270"/>
        </w:trPr>
        <w:tc>
          <w:tcPr>
            <w:tcW w:w="2376" w:type="dxa"/>
          </w:tcPr>
          <w:p w14:paraId="4C3DD447" w14:textId="77777777" w:rsidR="00394133" w:rsidRPr="007870B3" w:rsidRDefault="00394133" w:rsidP="00AA46C6">
            <w:pPr>
              <w:rPr>
                <w:lang w:eastAsia="en-AU"/>
              </w:rPr>
            </w:pPr>
            <w:r>
              <w:t>Important identified risks</w:t>
            </w:r>
          </w:p>
        </w:tc>
        <w:tc>
          <w:tcPr>
            <w:tcW w:w="6344" w:type="dxa"/>
          </w:tcPr>
          <w:p w14:paraId="4C3DD448" w14:textId="77777777" w:rsidR="00394133" w:rsidRDefault="00394133" w:rsidP="00AA46C6">
            <w:r>
              <w:t>Late ALT elevation</w:t>
            </w:r>
          </w:p>
          <w:p w14:paraId="4C3DD449" w14:textId="77777777" w:rsidR="00394133" w:rsidRDefault="00394133" w:rsidP="00AA46C6">
            <w:r>
              <w:t>Hyperbilirubinaemia</w:t>
            </w:r>
          </w:p>
          <w:p w14:paraId="4C3DD44A" w14:textId="77777777" w:rsidR="00394133" w:rsidRDefault="00394133" w:rsidP="00AA46C6">
            <w:r>
              <w:t>Drug resistance development</w:t>
            </w:r>
          </w:p>
          <w:p w14:paraId="4C3DD44B" w14:textId="77777777" w:rsidR="00394133" w:rsidRDefault="00394133" w:rsidP="00AA46C6">
            <w:r>
              <w:t>Drug interaction with</w:t>
            </w:r>
          </w:p>
          <w:p w14:paraId="4C3DD44C" w14:textId="77777777" w:rsidR="00394133" w:rsidRPr="00394133" w:rsidRDefault="00394133" w:rsidP="00AA46C6">
            <w:r w:rsidRPr="00394133">
              <w:t>Moderate or strong CYP3A/P-gp inducers</w:t>
            </w:r>
          </w:p>
          <w:p w14:paraId="4C3DD44D" w14:textId="77777777" w:rsidR="00394133" w:rsidRPr="00394133" w:rsidRDefault="00394133" w:rsidP="00AA46C6">
            <w:r w:rsidRPr="00394133">
              <w:t>HIV protease inhibitors</w:t>
            </w:r>
          </w:p>
          <w:p w14:paraId="4C3DD44E" w14:textId="56980F71" w:rsidR="00394133" w:rsidRPr="00394133" w:rsidRDefault="00394133" w:rsidP="00AA46C6">
            <w:r w:rsidRPr="00394133">
              <w:t xml:space="preserve">Atorvastatin, </w:t>
            </w:r>
            <w:proofErr w:type="spellStart"/>
            <w:r w:rsidRPr="00394133">
              <w:t>rosuvastatin</w:t>
            </w:r>
            <w:proofErr w:type="spellEnd"/>
            <w:r w:rsidRPr="00394133">
              <w:t xml:space="preserve">, lovastatin, simvastatin, </w:t>
            </w:r>
            <w:proofErr w:type="spellStart"/>
            <w:r w:rsidRPr="00394133">
              <w:t>fluvastatin</w:t>
            </w:r>
            <w:proofErr w:type="spellEnd"/>
          </w:p>
          <w:p w14:paraId="4C3DD44F" w14:textId="77777777" w:rsidR="00394133" w:rsidRPr="0052315D" w:rsidRDefault="00394133" w:rsidP="00AA46C6">
            <w:r w:rsidRPr="00394133">
              <w:t xml:space="preserve">St John’s </w:t>
            </w:r>
            <w:proofErr w:type="spellStart"/>
            <w:r w:rsidRPr="00394133">
              <w:t>wort</w:t>
            </w:r>
            <w:proofErr w:type="spellEnd"/>
            <w:r w:rsidRPr="00394133">
              <w:t xml:space="preserve"> (</w:t>
            </w:r>
            <w:proofErr w:type="spellStart"/>
            <w:r w:rsidRPr="00394133">
              <w:t>Hypercium</w:t>
            </w:r>
            <w:proofErr w:type="spellEnd"/>
            <w:r w:rsidRPr="00394133">
              <w:t xml:space="preserve"> </w:t>
            </w:r>
            <w:proofErr w:type="spellStart"/>
            <w:r w:rsidRPr="00394133">
              <w:t>perforatum</w:t>
            </w:r>
            <w:proofErr w:type="spellEnd"/>
            <w:r w:rsidRPr="00394133">
              <w:t>)</w:t>
            </w:r>
          </w:p>
        </w:tc>
      </w:tr>
      <w:tr w:rsidR="002F02CE" w:rsidRPr="0052315D" w14:paraId="4C3DD453" w14:textId="77777777" w:rsidTr="00394133">
        <w:trPr>
          <w:trHeight w:val="270"/>
        </w:trPr>
        <w:tc>
          <w:tcPr>
            <w:tcW w:w="2376" w:type="dxa"/>
          </w:tcPr>
          <w:p w14:paraId="4C3DD451" w14:textId="77777777" w:rsidR="002F02CE" w:rsidRPr="007870B3" w:rsidRDefault="002F02CE" w:rsidP="00AA46C6">
            <w:pPr>
              <w:rPr>
                <w:lang w:eastAsia="en-AU"/>
              </w:rPr>
            </w:pPr>
            <w:r>
              <w:t>Important potential risks</w:t>
            </w:r>
          </w:p>
        </w:tc>
        <w:tc>
          <w:tcPr>
            <w:tcW w:w="6344" w:type="dxa"/>
          </w:tcPr>
          <w:p w14:paraId="4C3DD452" w14:textId="77777777" w:rsidR="002F02CE" w:rsidRPr="0052315D" w:rsidRDefault="002F02CE" w:rsidP="00AA46C6">
            <w:r>
              <w:t>None</w:t>
            </w:r>
          </w:p>
        </w:tc>
      </w:tr>
      <w:tr w:rsidR="002F02CE" w:rsidRPr="0052315D" w14:paraId="4C3DD45B" w14:textId="77777777" w:rsidTr="00394133">
        <w:trPr>
          <w:trHeight w:val="270"/>
        </w:trPr>
        <w:tc>
          <w:tcPr>
            <w:tcW w:w="2376" w:type="dxa"/>
          </w:tcPr>
          <w:p w14:paraId="4C3DD454" w14:textId="77777777" w:rsidR="002F02CE" w:rsidRDefault="002F02CE" w:rsidP="00AA46C6">
            <w:r>
              <w:t>Missing information</w:t>
            </w:r>
          </w:p>
        </w:tc>
        <w:tc>
          <w:tcPr>
            <w:tcW w:w="6344" w:type="dxa"/>
          </w:tcPr>
          <w:p w14:paraId="4C3DD455" w14:textId="77777777" w:rsidR="002F02CE" w:rsidRDefault="002F02CE" w:rsidP="00AA46C6">
            <w:r>
              <w:t>Exposure in pediatric patients</w:t>
            </w:r>
          </w:p>
          <w:p w14:paraId="4C3DD456" w14:textId="77777777" w:rsidR="002F02CE" w:rsidRDefault="002F02CE" w:rsidP="00AA46C6">
            <w:r>
              <w:t>Exposure in pregnant lactating women</w:t>
            </w:r>
          </w:p>
          <w:p w14:paraId="4C3DD457" w14:textId="77777777" w:rsidR="002F02CE" w:rsidRDefault="00394133" w:rsidP="00AA46C6">
            <w:r>
              <w:t>Exposure in patients with</w:t>
            </w:r>
          </w:p>
          <w:p w14:paraId="4C3DD458" w14:textId="77777777" w:rsidR="00394133" w:rsidRDefault="00394133" w:rsidP="00AA46C6">
            <w:r>
              <w:t xml:space="preserve">Moderate (Child-Pugh </w:t>
            </w:r>
            <w:r w:rsidRPr="007131CF">
              <w:rPr>
                <w:strike/>
              </w:rPr>
              <w:t>C</w:t>
            </w:r>
            <w:r>
              <w:t>)</w:t>
            </w:r>
            <w:r w:rsidR="00126935">
              <w:t>B</w:t>
            </w:r>
            <w:r>
              <w:t xml:space="preserve"> hepatic impairment</w:t>
            </w:r>
          </w:p>
          <w:p w14:paraId="4C3DD459" w14:textId="77777777" w:rsidR="00394133" w:rsidRDefault="00394133" w:rsidP="00AA46C6">
            <w:r>
              <w:t>Severe (Child-Pugh C) hepatic impairment</w:t>
            </w:r>
          </w:p>
          <w:p w14:paraId="4C3DD45A" w14:textId="77777777" w:rsidR="00394133" w:rsidRDefault="00394133" w:rsidP="00AA46C6">
            <w:r>
              <w:t>Exposure in liver transplant patients</w:t>
            </w:r>
          </w:p>
        </w:tc>
      </w:tr>
    </w:tbl>
    <w:p w14:paraId="4C3DD45C"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4C3DD45D" w14:textId="77777777" w:rsidR="00D15388" w:rsidRPr="006009E9" w:rsidRDefault="00D15388" w:rsidP="00BB080F">
      <w:r w:rsidRPr="006009E9">
        <w:t xml:space="preserve">The sponsor proposes routine </w:t>
      </w:r>
      <w:r>
        <w:t xml:space="preserve">pharmacovigilance activities </w:t>
      </w:r>
      <w:r w:rsidRPr="009226E0">
        <w:t>for all safety concerns</w:t>
      </w:r>
      <w:r w:rsidRPr="006009E9">
        <w:t xml:space="preserve"> </w:t>
      </w:r>
      <w:r>
        <w:t xml:space="preserve">and </w:t>
      </w:r>
      <w:r w:rsidRPr="00D509E3">
        <w:t xml:space="preserve">additional pharmacovigilance activities for selected </w:t>
      </w:r>
      <w:r>
        <w:t xml:space="preserve">safety concerns and </w:t>
      </w:r>
      <w:r w:rsidRPr="00D509E3">
        <w:t xml:space="preserve">missing information items </w:t>
      </w:r>
      <w:r>
        <w:t>(‘Drug resistance development’; ‘Exposure in pediatric patients’)</w:t>
      </w:r>
      <w:r w:rsidRPr="006009E9">
        <w:t>.</w:t>
      </w:r>
    </w:p>
    <w:p w14:paraId="4C3DD45E"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4C3DD45F" w14:textId="77777777" w:rsidR="00D15388" w:rsidRDefault="00D15388" w:rsidP="00D15388">
      <w:pPr>
        <w:rPr>
          <w:b/>
          <w:bCs/>
          <w:lang w:eastAsia="en-AU"/>
        </w:rPr>
      </w:pPr>
      <w:bookmarkStart w:id="160" w:name="_Toc247691527"/>
      <w:r w:rsidRPr="00D15388">
        <w:rPr>
          <w:lang w:eastAsia="en-AU"/>
        </w:rPr>
        <w:t>The sponsor proposes only routine risk minimisation activities for all safety concerns and missing information.</w:t>
      </w:r>
    </w:p>
    <w:p w14:paraId="65D436CD" w14:textId="77777777" w:rsidR="00655550" w:rsidRDefault="006F25B8" w:rsidP="006F25B8">
      <w:pPr>
        <w:pStyle w:val="Heading4"/>
        <w:rPr>
          <w:lang w:eastAsia="en-AU"/>
        </w:rPr>
      </w:pPr>
      <w:r w:rsidRPr="006F25B8">
        <w:rPr>
          <w:lang w:eastAsia="en-AU"/>
        </w:rPr>
        <w:t>Reconciliation of issues outlined in the RMP report</w:t>
      </w:r>
    </w:p>
    <w:p w14:paraId="4C3DD461" w14:textId="0B62BC08" w:rsidR="006F25B8" w:rsidRDefault="006F25B8" w:rsidP="006F25B8">
      <w:pPr>
        <w:rPr>
          <w:lang w:eastAsia="en-AU"/>
        </w:rPr>
      </w:pPr>
      <w:r>
        <w:rPr>
          <w:lang w:eastAsia="en-AU"/>
        </w:rPr>
        <w:t xml:space="preserve">Table </w:t>
      </w:r>
      <w:r w:rsidR="00BB080F">
        <w:rPr>
          <w:lang w:eastAsia="en-AU"/>
        </w:rPr>
        <w:t>1</w:t>
      </w:r>
      <w:r w:rsidR="004C2FE4">
        <w:rPr>
          <w:lang w:eastAsia="en-AU"/>
        </w:rPr>
        <w:t>1</w:t>
      </w:r>
      <w:r>
        <w:rPr>
          <w:lang w:eastAsia="en-AU"/>
        </w:rPr>
        <w:t xml:space="preserve"> summarises the first round evaluation of the RMP, the sponsor’s responses to issues raised and the evaluat</w:t>
      </w:r>
      <w:r w:rsidR="00D15388">
        <w:rPr>
          <w:lang w:eastAsia="en-AU"/>
        </w:rPr>
        <w:t>ion of the sponsor’s responses.</w:t>
      </w:r>
    </w:p>
    <w:p w14:paraId="4C3DD462" w14:textId="77777777" w:rsidR="00D15388" w:rsidRPr="00502C09" w:rsidRDefault="004C2FE4" w:rsidP="00AA46C6">
      <w:pPr>
        <w:pStyle w:val="TableTitle"/>
        <w:pageBreakBefore/>
      </w:pPr>
      <w:r>
        <w:lastRenderedPageBreak/>
        <w:t>Table 11</w:t>
      </w:r>
      <w:r w:rsidR="00BB080F">
        <w:t xml:space="preserve">: </w:t>
      </w:r>
      <w:r w:rsidR="00D15388" w:rsidRPr="00502C09">
        <w:t>Reconciliation of issues outlin</w:t>
      </w:r>
      <w:r w:rsidR="00BB080F">
        <w:t>ed in the RMP Evaluation Report</w:t>
      </w:r>
    </w:p>
    <w:tbl>
      <w:tblPr>
        <w:tblStyle w:val="TableTGAblue"/>
        <w:tblW w:w="5000" w:type="pct"/>
        <w:jc w:val="center"/>
        <w:tblLayout w:type="fixed"/>
        <w:tblCellMar>
          <w:top w:w="28" w:type="dxa"/>
          <w:bottom w:w="28" w:type="dxa"/>
        </w:tblCellMar>
        <w:tblLook w:val="04A0" w:firstRow="1" w:lastRow="0" w:firstColumn="1" w:lastColumn="0" w:noHBand="0" w:noVBand="1"/>
      </w:tblPr>
      <w:tblGrid>
        <w:gridCol w:w="8720"/>
      </w:tblGrid>
      <w:tr w:rsidR="00D15388" w:rsidRPr="002000A4" w14:paraId="4C3DD464" w14:textId="77777777" w:rsidTr="00BB080F">
        <w:trPr>
          <w:cnfStyle w:val="100000000000" w:firstRow="1" w:lastRow="0" w:firstColumn="0" w:lastColumn="0" w:oddVBand="0" w:evenVBand="0" w:oddHBand="0" w:evenHBand="0" w:firstRowFirstColumn="0" w:firstRowLastColumn="0" w:lastRowFirstColumn="0" w:lastRowLastColumn="0"/>
          <w:cantSplit/>
          <w:trHeight w:val="260"/>
          <w:jc w:val="center"/>
        </w:trPr>
        <w:tc>
          <w:tcPr>
            <w:tcW w:w="5000" w:type="pct"/>
            <w:noWrap/>
          </w:tcPr>
          <w:p w14:paraId="4C3DD463" w14:textId="77777777" w:rsidR="00D15388" w:rsidRPr="002000A4" w:rsidRDefault="00D15388" w:rsidP="002000A4">
            <w:pPr>
              <w:rPr>
                <w:sz w:val="20"/>
                <w:szCs w:val="20"/>
              </w:rPr>
            </w:pPr>
            <w:r w:rsidRPr="002000A4">
              <w:rPr>
                <w:sz w:val="20"/>
                <w:szCs w:val="20"/>
              </w:rPr>
              <w:t>Sponsor’s response to Round 1 recommendations with RMP evaluator’s comment</w:t>
            </w:r>
          </w:p>
        </w:tc>
      </w:tr>
      <w:tr w:rsidR="00D15388" w:rsidRPr="002000A4" w14:paraId="4C3DD466" w14:textId="77777777" w:rsidTr="00D15388">
        <w:trPr>
          <w:jc w:val="center"/>
        </w:trPr>
        <w:tc>
          <w:tcPr>
            <w:tcW w:w="5000" w:type="pct"/>
            <w:tcBorders>
              <w:top w:val="single" w:sz="8" w:space="0" w:color="000000" w:themeColor="text1"/>
              <w:left w:val="single" w:sz="8" w:space="0" w:color="000000" w:themeColor="text1"/>
              <w:bottom w:val="dotted" w:sz="2" w:space="0" w:color="auto"/>
              <w:right w:val="single" w:sz="8" w:space="0" w:color="000000" w:themeColor="text1"/>
            </w:tcBorders>
            <w:noWrap/>
          </w:tcPr>
          <w:p w14:paraId="4C3DD465" w14:textId="77777777" w:rsidR="00D15388" w:rsidRPr="002000A4" w:rsidRDefault="00D15388" w:rsidP="002000A4">
            <w:pPr>
              <w:rPr>
                <w:sz w:val="20"/>
                <w:szCs w:val="20"/>
              </w:rPr>
            </w:pPr>
            <w:r w:rsidRPr="002000A4">
              <w:rPr>
                <w:sz w:val="20"/>
                <w:szCs w:val="20"/>
              </w:rPr>
              <w:t>TGA recommendation 1.1: Safety considerations may be raised by the nonclinical and clinical evaluators through the consolidated section 31 request and/or the Nonclinical and Clinical Evaluation Reports respectively.</w:t>
            </w:r>
            <w:r w:rsidR="00D80B0A" w:rsidRPr="002000A4">
              <w:rPr>
                <w:sz w:val="20"/>
                <w:szCs w:val="20"/>
              </w:rPr>
              <w:t xml:space="preserve"> </w:t>
            </w:r>
            <w:r w:rsidRPr="002000A4">
              <w:rPr>
                <w:sz w:val="20"/>
                <w:szCs w:val="20"/>
              </w:rPr>
              <w:t>It is important to ensure that the information provided in response to these includes a consideration of the relevance for the Risk Management Plan, and any specific information needed to address this issue in the RMP.</w:t>
            </w:r>
            <w:r w:rsidR="00D80B0A" w:rsidRPr="002000A4">
              <w:rPr>
                <w:sz w:val="20"/>
                <w:szCs w:val="20"/>
              </w:rPr>
              <w:t xml:space="preserve"> </w:t>
            </w:r>
            <w:r w:rsidRPr="002000A4">
              <w:rPr>
                <w:sz w:val="20"/>
                <w:szCs w:val="20"/>
              </w:rPr>
              <w:t>For any safety considerations so raised, please provide information that is relevant and necessary to address the issue in the RMP</w:t>
            </w:r>
          </w:p>
        </w:tc>
      </w:tr>
      <w:tr w:rsidR="00D15388" w:rsidRPr="002000A4" w14:paraId="4C3DD468"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67" w14:textId="77777777" w:rsidR="00D15388" w:rsidRPr="002000A4" w:rsidRDefault="00D15388" w:rsidP="002000A4">
            <w:pPr>
              <w:rPr>
                <w:i/>
                <w:sz w:val="20"/>
                <w:szCs w:val="20"/>
              </w:rPr>
            </w:pPr>
            <w:r w:rsidRPr="002000A4">
              <w:rPr>
                <w:i/>
                <w:sz w:val="20"/>
                <w:szCs w:val="20"/>
              </w:rPr>
              <w:t xml:space="preserve">Sponsor’s response: The sponsor has agreed to evaluate the relevant impact to the RMP regarding any safety considerations from the nonclinical and clinical evaluators. </w:t>
            </w:r>
          </w:p>
        </w:tc>
      </w:tr>
      <w:tr w:rsidR="00D15388" w:rsidRPr="002000A4" w14:paraId="4C3DD46A"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69" w14:textId="77777777" w:rsidR="00D15388" w:rsidRPr="002000A4" w:rsidRDefault="00D15388" w:rsidP="002000A4">
            <w:pPr>
              <w:rPr>
                <w:sz w:val="20"/>
                <w:szCs w:val="20"/>
              </w:rPr>
            </w:pPr>
            <w:r w:rsidRPr="002000A4">
              <w:rPr>
                <w:sz w:val="20"/>
                <w:szCs w:val="20"/>
              </w:rPr>
              <w:t>RMP Evaluator comment: This is acceptable and the RMP Evaluator notes that no safety concerns were raised in the Clinical and Nonclinical Evaluation Reports.</w:t>
            </w:r>
          </w:p>
        </w:tc>
      </w:tr>
      <w:tr w:rsidR="00D15388" w:rsidRPr="002000A4" w14:paraId="4C3DD472"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shd w:val="clear" w:color="auto" w:fill="FFFFFF" w:themeFill="background1"/>
            <w:noWrap/>
          </w:tcPr>
          <w:p w14:paraId="4C3DD46B" w14:textId="77777777" w:rsidR="00D15388" w:rsidRPr="002000A4" w:rsidRDefault="00D15388" w:rsidP="002000A4">
            <w:pPr>
              <w:rPr>
                <w:sz w:val="20"/>
                <w:szCs w:val="20"/>
              </w:rPr>
            </w:pPr>
            <w:r w:rsidRPr="002000A4">
              <w:rPr>
                <w:sz w:val="20"/>
                <w:szCs w:val="20"/>
              </w:rPr>
              <w:t>TGA recommendation 1.2: Unless the sponsor can provide compelling justification against any of the following</w:t>
            </w:r>
            <w:r w:rsidR="00FC39DE" w:rsidRPr="002000A4">
              <w:rPr>
                <w:sz w:val="20"/>
                <w:szCs w:val="20"/>
              </w:rPr>
              <w:t xml:space="preserve"> </w:t>
            </w:r>
            <w:r w:rsidRPr="002000A4">
              <w:rPr>
                <w:sz w:val="20"/>
                <w:szCs w:val="20"/>
              </w:rPr>
              <w:t>recommendations, the following should be considered: The sponsor should provide a summary of the data available for the following items, and where data is lacking or sparse add those as missing information:</w:t>
            </w:r>
          </w:p>
          <w:p w14:paraId="4C3DD46C" w14:textId="77777777" w:rsidR="00D15388" w:rsidRPr="002000A4" w:rsidRDefault="00D15388" w:rsidP="002000A4">
            <w:pPr>
              <w:rPr>
                <w:sz w:val="20"/>
                <w:szCs w:val="20"/>
              </w:rPr>
            </w:pPr>
            <w:r w:rsidRPr="002000A4">
              <w:rPr>
                <w:sz w:val="20"/>
                <w:szCs w:val="20"/>
              </w:rPr>
              <w:t>Long-term safety;</w:t>
            </w:r>
          </w:p>
          <w:p w14:paraId="4C3DD46D" w14:textId="77777777" w:rsidR="00D15388" w:rsidRPr="002000A4" w:rsidRDefault="00D15388" w:rsidP="002000A4">
            <w:pPr>
              <w:rPr>
                <w:sz w:val="20"/>
                <w:szCs w:val="20"/>
              </w:rPr>
            </w:pPr>
            <w:r w:rsidRPr="002000A4">
              <w:rPr>
                <w:sz w:val="20"/>
                <w:szCs w:val="20"/>
              </w:rPr>
              <w:t>Australian Indigenous populations;</w:t>
            </w:r>
          </w:p>
          <w:p w14:paraId="4C3DD46E" w14:textId="77777777" w:rsidR="00D15388" w:rsidRPr="002000A4" w:rsidRDefault="00D15388" w:rsidP="002000A4">
            <w:pPr>
              <w:rPr>
                <w:sz w:val="20"/>
                <w:szCs w:val="20"/>
              </w:rPr>
            </w:pPr>
            <w:r w:rsidRPr="002000A4">
              <w:rPr>
                <w:sz w:val="20"/>
                <w:szCs w:val="20"/>
              </w:rPr>
              <w:t>Carcinogenicity data;</w:t>
            </w:r>
          </w:p>
          <w:p w14:paraId="4C3DD46F" w14:textId="77777777" w:rsidR="00D15388" w:rsidRPr="002000A4" w:rsidRDefault="00D15388" w:rsidP="002000A4">
            <w:pPr>
              <w:rPr>
                <w:sz w:val="20"/>
                <w:szCs w:val="20"/>
              </w:rPr>
            </w:pPr>
            <w:r w:rsidRPr="002000A4">
              <w:rPr>
                <w:sz w:val="20"/>
                <w:szCs w:val="20"/>
              </w:rPr>
              <w:t>Effectiveness of hormonal contraception;</w:t>
            </w:r>
          </w:p>
          <w:p w14:paraId="4C3DD470" w14:textId="77777777" w:rsidR="00D15388" w:rsidRPr="002000A4" w:rsidRDefault="00D15388" w:rsidP="002000A4">
            <w:pPr>
              <w:rPr>
                <w:sz w:val="20"/>
                <w:szCs w:val="20"/>
              </w:rPr>
            </w:pPr>
            <w:r w:rsidRPr="002000A4">
              <w:rPr>
                <w:sz w:val="20"/>
                <w:szCs w:val="20"/>
              </w:rPr>
              <w:t>Patients on opiate substitution therapy; and</w:t>
            </w:r>
          </w:p>
          <w:p w14:paraId="4C3DD471" w14:textId="77777777" w:rsidR="00D15388" w:rsidRPr="002000A4" w:rsidRDefault="00D15388" w:rsidP="002000A4">
            <w:pPr>
              <w:rPr>
                <w:sz w:val="20"/>
                <w:szCs w:val="20"/>
              </w:rPr>
            </w:pPr>
            <w:r w:rsidRPr="002000A4">
              <w:rPr>
                <w:sz w:val="20"/>
                <w:szCs w:val="20"/>
              </w:rPr>
              <w:t>Patients with severe renal impairment.</w:t>
            </w:r>
          </w:p>
        </w:tc>
      </w:tr>
      <w:tr w:rsidR="00D15388" w:rsidRPr="002000A4" w14:paraId="4C3DD47A"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73" w14:textId="77777777" w:rsidR="00D15388" w:rsidRPr="002000A4" w:rsidRDefault="00D15388" w:rsidP="002000A4">
            <w:pPr>
              <w:rPr>
                <w:i/>
                <w:sz w:val="20"/>
                <w:szCs w:val="20"/>
              </w:rPr>
            </w:pPr>
            <w:r w:rsidRPr="002000A4">
              <w:rPr>
                <w:i/>
                <w:sz w:val="20"/>
                <w:szCs w:val="20"/>
              </w:rPr>
              <w:t>Sponsor’s response: The sponsor stated that the above items are not required to be included as missing information in the EU RMP v1.2</w:t>
            </w:r>
            <w:r w:rsidR="00FC39DE" w:rsidRPr="002000A4">
              <w:rPr>
                <w:i/>
                <w:sz w:val="20"/>
                <w:szCs w:val="20"/>
              </w:rPr>
              <w:t xml:space="preserve"> </w:t>
            </w:r>
            <w:r w:rsidRPr="002000A4">
              <w:rPr>
                <w:i/>
                <w:sz w:val="20"/>
                <w:szCs w:val="20"/>
              </w:rPr>
              <w:t>based on the comments received from the European CHMP. Specific responses to the missing information is as follows:</w:t>
            </w:r>
          </w:p>
          <w:p w14:paraId="4C3DD474" w14:textId="77777777" w:rsidR="00D15388" w:rsidRPr="002000A4" w:rsidRDefault="00D15388" w:rsidP="002000A4">
            <w:pPr>
              <w:rPr>
                <w:i/>
                <w:sz w:val="20"/>
                <w:szCs w:val="20"/>
              </w:rPr>
            </w:pPr>
            <w:r w:rsidRPr="002000A4">
              <w:rPr>
                <w:i/>
                <w:sz w:val="20"/>
                <w:szCs w:val="20"/>
              </w:rPr>
              <w:t>The sponsor has agreed to submit an interim report of long term safety study P017 (A Long-Term Follow-up Study to Evaluate the Durability of Virologic</w:t>
            </w:r>
            <w:r w:rsidR="00FC39DE" w:rsidRPr="002000A4">
              <w:rPr>
                <w:i/>
                <w:sz w:val="20"/>
                <w:szCs w:val="20"/>
              </w:rPr>
              <w:t xml:space="preserve"> </w:t>
            </w:r>
            <w:r w:rsidRPr="002000A4">
              <w:rPr>
                <w:i/>
                <w:sz w:val="20"/>
                <w:szCs w:val="20"/>
              </w:rPr>
              <w:t>Response and/or Viral Resistance Patterns of Subjects With Chronic Hepatitis C Who Have Been previously Treated with MK-5172 in a Prior Clinical Trial) to CHMP by 3Q</w:t>
            </w:r>
            <w:r w:rsidR="00FC39DE" w:rsidRPr="002000A4">
              <w:rPr>
                <w:i/>
                <w:sz w:val="20"/>
                <w:szCs w:val="20"/>
              </w:rPr>
              <w:t xml:space="preserve"> </w:t>
            </w:r>
            <w:r w:rsidRPr="002000A4">
              <w:rPr>
                <w:i/>
                <w:sz w:val="20"/>
                <w:szCs w:val="20"/>
              </w:rPr>
              <w:t xml:space="preserve">2016, which will </w:t>
            </w:r>
            <w:proofErr w:type="spellStart"/>
            <w:r w:rsidRPr="002000A4">
              <w:rPr>
                <w:i/>
                <w:sz w:val="20"/>
                <w:szCs w:val="20"/>
              </w:rPr>
              <w:t>fulfill</w:t>
            </w:r>
            <w:proofErr w:type="spellEnd"/>
            <w:r w:rsidRPr="002000A4">
              <w:rPr>
                <w:i/>
                <w:sz w:val="20"/>
                <w:szCs w:val="20"/>
              </w:rPr>
              <w:t xml:space="preserve"> EMA’s requirement of PAMs (Post-Authorisation Measures) for long term safety data. The Final Report due 2Q 2021.</w:t>
            </w:r>
          </w:p>
          <w:p w14:paraId="4C3DD475" w14:textId="77777777" w:rsidR="00D15388" w:rsidRPr="002000A4" w:rsidRDefault="00D15388" w:rsidP="002000A4">
            <w:pPr>
              <w:rPr>
                <w:i/>
                <w:sz w:val="20"/>
                <w:szCs w:val="20"/>
              </w:rPr>
            </w:pPr>
            <w:r w:rsidRPr="002000A4">
              <w:rPr>
                <w:i/>
                <w:sz w:val="20"/>
                <w:szCs w:val="20"/>
              </w:rPr>
              <w:t>The sponsor states that it is not an EU requirement to list Australian Indigenous populations as missing information.</w:t>
            </w:r>
          </w:p>
          <w:p w14:paraId="4C3DD476" w14:textId="77777777" w:rsidR="00D15388" w:rsidRPr="002000A4" w:rsidRDefault="00D15388" w:rsidP="002000A4">
            <w:pPr>
              <w:rPr>
                <w:i/>
                <w:sz w:val="20"/>
                <w:szCs w:val="20"/>
              </w:rPr>
            </w:pPr>
            <w:r w:rsidRPr="002000A4">
              <w:rPr>
                <w:i/>
                <w:sz w:val="20"/>
                <w:szCs w:val="20"/>
              </w:rPr>
              <w:t>The sponsor advises that in accordance with ICH S1A guidance, carcinogenicity studies were not conducted given that the human use of GZR/EBR is less than 6 months in treatment duration and that there is an absence of a genotoxic signal in the battery of genotoxicity studies and no evidence of a proliferative signal in the chronic toxicity studies.</w:t>
            </w:r>
          </w:p>
          <w:p w14:paraId="4C3DD477" w14:textId="77777777" w:rsidR="00D15388" w:rsidRPr="002000A4" w:rsidRDefault="00D15388" w:rsidP="002000A4">
            <w:pPr>
              <w:rPr>
                <w:i/>
                <w:sz w:val="20"/>
                <w:szCs w:val="20"/>
              </w:rPr>
            </w:pPr>
            <w:r w:rsidRPr="002000A4">
              <w:rPr>
                <w:i/>
                <w:sz w:val="20"/>
                <w:szCs w:val="20"/>
              </w:rPr>
              <w:t>The Sponsor considers that the drug-drug interaction (DDI) results of GZR and EBR with Nordette®-28 (</w:t>
            </w:r>
            <w:proofErr w:type="spellStart"/>
            <w:r w:rsidRPr="002000A4">
              <w:rPr>
                <w:i/>
                <w:sz w:val="20"/>
                <w:szCs w:val="20"/>
              </w:rPr>
              <w:t>Ethinyl</w:t>
            </w:r>
            <w:proofErr w:type="spellEnd"/>
            <w:r w:rsidRPr="002000A4">
              <w:rPr>
                <w:i/>
                <w:sz w:val="20"/>
                <w:szCs w:val="20"/>
              </w:rPr>
              <w:t xml:space="preserve"> </w:t>
            </w:r>
            <w:proofErr w:type="spellStart"/>
            <w:r w:rsidRPr="002000A4">
              <w:rPr>
                <w:i/>
                <w:sz w:val="20"/>
                <w:szCs w:val="20"/>
              </w:rPr>
              <w:t>Estradiol</w:t>
            </w:r>
            <w:proofErr w:type="spellEnd"/>
            <w:r w:rsidRPr="002000A4">
              <w:rPr>
                <w:i/>
                <w:sz w:val="20"/>
                <w:szCs w:val="20"/>
              </w:rPr>
              <w:t xml:space="preserve"> [EE] 0.03 mg/</w:t>
            </w:r>
            <w:proofErr w:type="spellStart"/>
            <w:r w:rsidRPr="002000A4">
              <w:rPr>
                <w:i/>
                <w:sz w:val="20"/>
                <w:szCs w:val="20"/>
              </w:rPr>
              <w:t>levonorgesterol</w:t>
            </w:r>
            <w:proofErr w:type="spellEnd"/>
            <w:r w:rsidRPr="002000A4">
              <w:rPr>
                <w:i/>
                <w:sz w:val="20"/>
                <w:szCs w:val="20"/>
              </w:rPr>
              <w:t xml:space="preserve"> [LNG] 0.15 mg) demonstrate a lack of interaction and supports that effectiveness of oral contraceptives will be maintained when coadministered with GZR/EBR.</w:t>
            </w:r>
          </w:p>
          <w:p w14:paraId="4C3DD478" w14:textId="77777777" w:rsidR="00D15388" w:rsidRPr="002000A4" w:rsidRDefault="00D15388" w:rsidP="002000A4">
            <w:pPr>
              <w:rPr>
                <w:i/>
                <w:sz w:val="20"/>
                <w:szCs w:val="20"/>
              </w:rPr>
            </w:pPr>
            <w:r w:rsidRPr="002000A4">
              <w:rPr>
                <w:i/>
                <w:sz w:val="20"/>
                <w:szCs w:val="20"/>
              </w:rPr>
              <w:t xml:space="preserve">The sponsor states that Study MK-5172-062 (C-EDGE CO-STAR, Study of Efficacy and Safety of </w:t>
            </w:r>
            <w:r w:rsidR="002437C0" w:rsidRPr="002000A4">
              <w:rPr>
                <w:i/>
                <w:sz w:val="20"/>
                <w:szCs w:val="20"/>
              </w:rPr>
              <w:t>GZR</w:t>
            </w:r>
            <w:r w:rsidRPr="002000A4">
              <w:rPr>
                <w:i/>
                <w:sz w:val="20"/>
                <w:szCs w:val="20"/>
              </w:rPr>
              <w:t xml:space="preserve"> and </w:t>
            </w:r>
            <w:r w:rsidR="002437C0" w:rsidRPr="002000A4">
              <w:rPr>
                <w:i/>
                <w:sz w:val="20"/>
                <w:szCs w:val="20"/>
              </w:rPr>
              <w:t>EBR</w:t>
            </w:r>
            <w:r w:rsidRPr="002000A4">
              <w:rPr>
                <w:i/>
                <w:sz w:val="20"/>
                <w:szCs w:val="20"/>
              </w:rPr>
              <w:t xml:space="preserve"> in the Treatment of Chronic Hepatitis C Virus Genotype 1, 4 or 6 Infection in Treatment Naïve Participants who are on Opiate Substitution Therapy) was completed in December 2015, therefore this is not missing information. </w:t>
            </w:r>
            <w:r w:rsidR="00FC39DE" w:rsidRPr="002000A4">
              <w:rPr>
                <w:i/>
                <w:sz w:val="20"/>
                <w:szCs w:val="20"/>
              </w:rPr>
              <w:t>The sponsor</w:t>
            </w:r>
            <w:r w:rsidRPr="002000A4">
              <w:rPr>
                <w:i/>
                <w:sz w:val="20"/>
                <w:szCs w:val="20"/>
              </w:rPr>
              <w:t xml:space="preserve"> intends to submit the CSR describing clinical </w:t>
            </w:r>
            <w:r w:rsidRPr="002000A4">
              <w:rPr>
                <w:i/>
                <w:sz w:val="20"/>
                <w:szCs w:val="20"/>
              </w:rPr>
              <w:lastRenderedPageBreak/>
              <w:t>data from this study, and consequent labelling updates, to the TGA for review.</w:t>
            </w:r>
          </w:p>
          <w:p w14:paraId="4C3DD479" w14:textId="77777777" w:rsidR="00D15388" w:rsidRPr="002000A4" w:rsidRDefault="00D15388" w:rsidP="002000A4">
            <w:pPr>
              <w:rPr>
                <w:sz w:val="20"/>
                <w:szCs w:val="20"/>
              </w:rPr>
            </w:pPr>
            <w:r w:rsidRPr="002000A4">
              <w:rPr>
                <w:i/>
                <w:sz w:val="20"/>
                <w:szCs w:val="20"/>
              </w:rPr>
              <w:t>The sponsor notes that Study results from Protocol 052 have been submitted to TGA within this application dossier. P052 enrolled only subjects with CKD Stages 4 and 5 (individuals with severe renal impairment), including h</w:t>
            </w:r>
            <w:r w:rsidR="00FC39DE" w:rsidRPr="002000A4">
              <w:rPr>
                <w:i/>
                <w:sz w:val="20"/>
                <w:szCs w:val="20"/>
              </w:rPr>
              <w:t>a</w:t>
            </w:r>
            <w:r w:rsidRPr="002000A4">
              <w:rPr>
                <w:i/>
                <w:sz w:val="20"/>
                <w:szCs w:val="20"/>
              </w:rPr>
              <w:t>emodialysis dependent subjects. CKD stage 4 is defined as estimated Glomerular Filtration Rate (eGFR) of 15-29 mL/min/1.73m</w:t>
            </w:r>
            <w:r w:rsidRPr="002000A4">
              <w:rPr>
                <w:i/>
                <w:sz w:val="20"/>
                <w:szCs w:val="20"/>
                <w:vertAlign w:val="superscript"/>
              </w:rPr>
              <w:t>2</w:t>
            </w:r>
            <w:r w:rsidRPr="002000A4">
              <w:rPr>
                <w:i/>
                <w:sz w:val="20"/>
                <w:szCs w:val="20"/>
              </w:rPr>
              <w:t>.</w:t>
            </w:r>
          </w:p>
        </w:tc>
      </w:tr>
      <w:tr w:rsidR="00D15388" w:rsidRPr="002000A4" w14:paraId="4C3DD47C"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7B" w14:textId="77777777" w:rsidR="00D15388" w:rsidRPr="002000A4" w:rsidRDefault="00D15388" w:rsidP="002000A4">
            <w:pPr>
              <w:rPr>
                <w:sz w:val="20"/>
                <w:szCs w:val="20"/>
              </w:rPr>
            </w:pPr>
            <w:r w:rsidRPr="002000A4">
              <w:rPr>
                <w:sz w:val="20"/>
                <w:szCs w:val="20"/>
              </w:rPr>
              <w:lastRenderedPageBreak/>
              <w:t xml:space="preserve">RMP Evaluator comment: The </w:t>
            </w:r>
            <w:r w:rsidR="00FC39DE" w:rsidRPr="002000A4">
              <w:rPr>
                <w:sz w:val="20"/>
                <w:szCs w:val="20"/>
              </w:rPr>
              <w:t>s</w:t>
            </w:r>
            <w:r w:rsidRPr="002000A4">
              <w:rPr>
                <w:sz w:val="20"/>
                <w:szCs w:val="20"/>
              </w:rPr>
              <w:t xml:space="preserve">ponsor has indicated that data is being collected to address long term safety, and this is considered to support the recommendation to include </w:t>
            </w:r>
            <w:proofErr w:type="gramStart"/>
            <w:r w:rsidR="00D34382" w:rsidRPr="002000A4">
              <w:rPr>
                <w:sz w:val="20"/>
                <w:szCs w:val="20"/>
              </w:rPr>
              <w:t xml:space="preserve">‘  </w:t>
            </w:r>
            <w:r w:rsidRPr="002000A4">
              <w:rPr>
                <w:sz w:val="20"/>
                <w:szCs w:val="20"/>
              </w:rPr>
              <w:t>long</w:t>
            </w:r>
            <w:proofErr w:type="gramEnd"/>
            <w:r w:rsidRPr="002000A4">
              <w:rPr>
                <w:sz w:val="20"/>
                <w:szCs w:val="20"/>
              </w:rPr>
              <w:t xml:space="preserve"> term safety</w:t>
            </w:r>
            <w:r w:rsidR="00D34382" w:rsidRPr="002000A4">
              <w:rPr>
                <w:sz w:val="20"/>
                <w:szCs w:val="20"/>
              </w:rPr>
              <w:t xml:space="preserve">’  </w:t>
            </w:r>
            <w:r w:rsidRPr="002000A4">
              <w:rPr>
                <w:sz w:val="20"/>
                <w:szCs w:val="20"/>
              </w:rPr>
              <w:t xml:space="preserve"> as missing information. It is noted that there is no data in Australian Indigenous populations and that this is not an EU RMP requirement, as it is uniquely Australian. Therefore, the appropriate place for the </w:t>
            </w:r>
            <w:r w:rsidR="00FC39DE" w:rsidRPr="002000A4">
              <w:rPr>
                <w:sz w:val="20"/>
                <w:szCs w:val="20"/>
              </w:rPr>
              <w:t>s</w:t>
            </w:r>
            <w:r w:rsidRPr="002000A4">
              <w:rPr>
                <w:sz w:val="20"/>
                <w:szCs w:val="20"/>
              </w:rPr>
              <w:t xml:space="preserve">ponsor to include this as missing information would be the ASA. The sponsor’s response regarding carcinogenicity is acceptable given the duration of treatment. The </w:t>
            </w:r>
            <w:r w:rsidR="00FC39DE" w:rsidRPr="002000A4">
              <w:rPr>
                <w:sz w:val="20"/>
                <w:szCs w:val="20"/>
              </w:rPr>
              <w:t>s</w:t>
            </w:r>
            <w:r w:rsidRPr="002000A4">
              <w:rPr>
                <w:sz w:val="20"/>
                <w:szCs w:val="20"/>
              </w:rPr>
              <w:t>ponsor has provided data for the following missing information for d</w:t>
            </w:r>
            <w:r w:rsidR="00FC39DE" w:rsidRPr="002000A4">
              <w:rPr>
                <w:sz w:val="20"/>
                <w:szCs w:val="20"/>
              </w:rPr>
              <w:t>)</w:t>
            </w:r>
            <w:r w:rsidRPr="002000A4">
              <w:rPr>
                <w:sz w:val="20"/>
                <w:szCs w:val="20"/>
              </w:rPr>
              <w:t>, e</w:t>
            </w:r>
            <w:r w:rsidR="00FC39DE" w:rsidRPr="002000A4">
              <w:rPr>
                <w:sz w:val="20"/>
                <w:szCs w:val="20"/>
              </w:rPr>
              <w:t>)</w:t>
            </w:r>
            <w:r w:rsidRPr="002000A4">
              <w:rPr>
                <w:sz w:val="20"/>
                <w:szCs w:val="20"/>
              </w:rPr>
              <w:t xml:space="preserve"> and f</w:t>
            </w:r>
            <w:r w:rsidR="00FC39DE" w:rsidRPr="002000A4">
              <w:rPr>
                <w:sz w:val="20"/>
                <w:szCs w:val="20"/>
              </w:rPr>
              <w:t>)</w:t>
            </w:r>
            <w:r w:rsidRPr="002000A4">
              <w:rPr>
                <w:sz w:val="20"/>
                <w:szCs w:val="20"/>
              </w:rPr>
              <w:t>, which removes the need to include these safety concerns as missing information.</w:t>
            </w:r>
          </w:p>
        </w:tc>
      </w:tr>
      <w:tr w:rsidR="00D15388" w:rsidRPr="002000A4" w14:paraId="4C3DD47E"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7D" w14:textId="77777777" w:rsidR="00D15388" w:rsidRPr="002000A4" w:rsidRDefault="00D15388" w:rsidP="002000A4">
            <w:pPr>
              <w:rPr>
                <w:sz w:val="20"/>
                <w:szCs w:val="20"/>
              </w:rPr>
            </w:pPr>
            <w:r w:rsidRPr="002000A4">
              <w:rPr>
                <w:sz w:val="20"/>
                <w:szCs w:val="20"/>
              </w:rPr>
              <w:t>TGA recommendation 1.3: In the interest of internal consistency, the name of the safety concern/missing information item in the pharmacovigilance plan should exactly match the name of the safety concern/missing information item in the safety specification.</w:t>
            </w:r>
          </w:p>
        </w:tc>
      </w:tr>
      <w:tr w:rsidR="00D15388" w:rsidRPr="002000A4" w14:paraId="4C3DD480" w14:textId="77777777" w:rsidTr="00D15388">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7F" w14:textId="77777777" w:rsidR="00D15388" w:rsidRPr="002000A4" w:rsidRDefault="00D15388" w:rsidP="002000A4">
            <w:pPr>
              <w:rPr>
                <w:i/>
                <w:sz w:val="20"/>
                <w:szCs w:val="20"/>
              </w:rPr>
            </w:pPr>
            <w:r w:rsidRPr="002000A4">
              <w:rPr>
                <w:i/>
                <w:sz w:val="20"/>
                <w:szCs w:val="20"/>
              </w:rPr>
              <w:t>Sponsor’s response:</w:t>
            </w:r>
            <w:r w:rsidRPr="002000A4">
              <w:rPr>
                <w:sz w:val="20"/>
                <w:szCs w:val="20"/>
              </w:rPr>
              <w:t xml:space="preserve"> </w:t>
            </w:r>
            <w:r w:rsidRPr="002000A4">
              <w:rPr>
                <w:i/>
                <w:sz w:val="20"/>
                <w:szCs w:val="20"/>
              </w:rPr>
              <w:t>The sponsor intends to update the name of the safety concern/missing information item in the pharmacovigilance plan to match the name of the safety concern/missing information item in the safety specification. The sponsor states that the majority of these updates are available in EU RMP version 1.2 and updates will be ongoing. The Australian Specific Annex will be amended to accommodate EU RMP version 1.2 and the TGA RMP Evaluation comments at Milestone 5.</w:t>
            </w:r>
          </w:p>
        </w:tc>
      </w:tr>
      <w:tr w:rsidR="00D15388" w:rsidRPr="002000A4" w14:paraId="4C3DD482" w14:textId="77777777" w:rsidTr="00D15388">
        <w:trPr>
          <w:trHeight w:val="11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81" w14:textId="77777777" w:rsidR="00D15388" w:rsidRPr="002000A4" w:rsidRDefault="00D15388" w:rsidP="002000A4">
            <w:pPr>
              <w:rPr>
                <w:sz w:val="20"/>
                <w:szCs w:val="20"/>
              </w:rPr>
            </w:pPr>
            <w:r w:rsidRPr="002000A4">
              <w:rPr>
                <w:sz w:val="20"/>
                <w:szCs w:val="20"/>
              </w:rPr>
              <w:t xml:space="preserve">RMP Evaluator comment: The </w:t>
            </w:r>
            <w:r w:rsidR="00FC39DE" w:rsidRPr="002000A4">
              <w:rPr>
                <w:sz w:val="20"/>
                <w:szCs w:val="20"/>
              </w:rPr>
              <w:t>s</w:t>
            </w:r>
            <w:r w:rsidRPr="002000A4">
              <w:rPr>
                <w:sz w:val="20"/>
                <w:szCs w:val="20"/>
              </w:rPr>
              <w:t>ponso</w:t>
            </w:r>
            <w:r w:rsidR="00FC39DE" w:rsidRPr="002000A4">
              <w:rPr>
                <w:sz w:val="20"/>
                <w:szCs w:val="20"/>
              </w:rPr>
              <w:t>r’s response has addressed the e</w:t>
            </w:r>
            <w:r w:rsidRPr="002000A4">
              <w:rPr>
                <w:sz w:val="20"/>
                <w:szCs w:val="20"/>
              </w:rPr>
              <w:t>valuators’ concerns. The commitment to submit a revised ASA in the pre-ACPM response has been noted.</w:t>
            </w:r>
          </w:p>
        </w:tc>
      </w:tr>
      <w:tr w:rsidR="00D15388" w:rsidRPr="002000A4" w14:paraId="4C3DD484" w14:textId="77777777" w:rsidTr="00D15388">
        <w:trPr>
          <w:trHeight w:val="14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83" w14:textId="77777777" w:rsidR="00D15388" w:rsidRPr="002000A4" w:rsidRDefault="00D15388" w:rsidP="002000A4">
            <w:pPr>
              <w:rPr>
                <w:i/>
                <w:sz w:val="20"/>
                <w:szCs w:val="20"/>
              </w:rPr>
            </w:pPr>
            <w:r w:rsidRPr="002000A4">
              <w:rPr>
                <w:sz w:val="20"/>
                <w:szCs w:val="20"/>
              </w:rPr>
              <w:t>TGA recommendation 1.4: The sponsor should provide a summary of the evidence relating to the effectiveness of concomitantly administrated oral contraceptives, or in the absence of such data propose relevant additional activities to investigate this.</w:t>
            </w:r>
          </w:p>
        </w:tc>
      </w:tr>
      <w:tr w:rsidR="00D15388" w:rsidRPr="002000A4" w14:paraId="4C3DD486" w14:textId="77777777" w:rsidTr="00D15388">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85" w14:textId="77777777" w:rsidR="00D15388" w:rsidRPr="002000A4" w:rsidRDefault="00D15388" w:rsidP="002000A4">
            <w:pPr>
              <w:rPr>
                <w:i/>
                <w:sz w:val="20"/>
                <w:szCs w:val="20"/>
              </w:rPr>
            </w:pPr>
            <w:r w:rsidRPr="002000A4">
              <w:rPr>
                <w:i/>
                <w:sz w:val="20"/>
                <w:szCs w:val="20"/>
              </w:rPr>
              <w:t xml:space="preserve">Sponsor’s response: The sponsor states that the effect of GZR or EBR on Nordette®-28 was evaluated in separate studies (8742-P013 and 5172-P046). There was no evidence of decreased plasma concentration of EE or LNG, which demonstrate a lack of interaction. Therefore, the effectiveness of oral contraceptives will be maintained when coadministered with GZR/EBR. The sponsor notes oral contraceptive use was allowed in the </w:t>
            </w:r>
            <w:r w:rsidR="004A28A8" w:rsidRPr="002000A4">
              <w:rPr>
                <w:i/>
                <w:sz w:val="20"/>
                <w:szCs w:val="20"/>
              </w:rPr>
              <w:t>Phase II</w:t>
            </w:r>
            <w:r w:rsidRPr="002000A4">
              <w:rPr>
                <w:i/>
                <w:sz w:val="20"/>
                <w:szCs w:val="20"/>
              </w:rPr>
              <w:t xml:space="preserve"> and </w:t>
            </w:r>
            <w:r w:rsidR="00FC39DE" w:rsidRPr="002000A4">
              <w:rPr>
                <w:i/>
                <w:sz w:val="20"/>
                <w:szCs w:val="20"/>
              </w:rPr>
              <w:t>III</w:t>
            </w:r>
            <w:r w:rsidRPr="002000A4">
              <w:rPr>
                <w:i/>
                <w:sz w:val="20"/>
                <w:szCs w:val="20"/>
              </w:rPr>
              <w:t xml:space="preserve"> program.</w:t>
            </w:r>
          </w:p>
        </w:tc>
      </w:tr>
      <w:tr w:rsidR="00D15388" w:rsidRPr="002000A4" w14:paraId="4C3DD488" w14:textId="77777777" w:rsidTr="00D15388">
        <w:trPr>
          <w:trHeight w:val="13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87" w14:textId="77777777" w:rsidR="00D15388" w:rsidRPr="002000A4" w:rsidRDefault="00D15388" w:rsidP="002000A4">
            <w:pPr>
              <w:rPr>
                <w:sz w:val="20"/>
                <w:szCs w:val="20"/>
              </w:rPr>
            </w:pPr>
            <w:r w:rsidRPr="002000A4">
              <w:rPr>
                <w:sz w:val="20"/>
                <w:szCs w:val="20"/>
              </w:rPr>
              <w:t xml:space="preserve">RMP Evaluator comment: This is acceptable on </w:t>
            </w:r>
            <w:r w:rsidRPr="002000A4">
              <w:rPr>
                <w:sz w:val="20"/>
                <w:szCs w:val="20"/>
                <w:shd w:val="clear" w:color="auto" w:fill="FFFFCC"/>
              </w:rPr>
              <w:t xml:space="preserve">the basis of the clinical experience with concomitant medications in the </w:t>
            </w:r>
            <w:r w:rsidR="004A28A8" w:rsidRPr="002000A4">
              <w:rPr>
                <w:sz w:val="20"/>
                <w:szCs w:val="20"/>
                <w:shd w:val="clear" w:color="auto" w:fill="FFFFCC"/>
              </w:rPr>
              <w:t>Phase II</w:t>
            </w:r>
            <w:r w:rsidRPr="002000A4">
              <w:rPr>
                <w:sz w:val="20"/>
                <w:szCs w:val="20"/>
                <w:shd w:val="clear" w:color="auto" w:fill="FFFFCC"/>
              </w:rPr>
              <w:t xml:space="preserve"> and </w:t>
            </w:r>
            <w:r w:rsidR="00FC39DE" w:rsidRPr="002000A4">
              <w:rPr>
                <w:sz w:val="20"/>
                <w:szCs w:val="20"/>
                <w:shd w:val="clear" w:color="auto" w:fill="FFFFCC"/>
              </w:rPr>
              <w:t>III</w:t>
            </w:r>
            <w:r w:rsidRPr="002000A4">
              <w:rPr>
                <w:sz w:val="20"/>
                <w:szCs w:val="20"/>
                <w:shd w:val="clear" w:color="auto" w:fill="FFFFCC"/>
              </w:rPr>
              <w:t xml:space="preserve"> studies (see also the Clinical Evaluation Report).</w:t>
            </w:r>
          </w:p>
        </w:tc>
      </w:tr>
      <w:tr w:rsidR="00D15388" w:rsidRPr="002000A4" w14:paraId="4C3DD48A" w14:textId="77777777" w:rsidTr="00D15388">
        <w:trPr>
          <w:trHeight w:val="12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89" w14:textId="77777777" w:rsidR="00D15388" w:rsidRPr="002000A4" w:rsidRDefault="00D15388" w:rsidP="002000A4">
            <w:pPr>
              <w:rPr>
                <w:i/>
                <w:sz w:val="20"/>
                <w:szCs w:val="20"/>
              </w:rPr>
            </w:pPr>
            <w:r w:rsidRPr="002000A4">
              <w:rPr>
                <w:sz w:val="20"/>
                <w:szCs w:val="20"/>
              </w:rPr>
              <w:t>TGA recommendation 1.5: The following Missing Information item would benefit from additional pharmacovigilance activities in the pharmacovigilance plan: Exposure in patients with HBV/HCV co-infection.</w:t>
            </w:r>
          </w:p>
        </w:tc>
      </w:tr>
      <w:tr w:rsidR="00D15388" w:rsidRPr="002000A4" w14:paraId="4C3DD48D" w14:textId="77777777" w:rsidTr="00D15388">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8B" w14:textId="77777777" w:rsidR="00D15388" w:rsidRPr="002000A4" w:rsidRDefault="00D15388" w:rsidP="002000A4">
            <w:pPr>
              <w:rPr>
                <w:i/>
                <w:sz w:val="20"/>
                <w:szCs w:val="20"/>
              </w:rPr>
            </w:pPr>
            <w:r w:rsidRPr="002000A4">
              <w:rPr>
                <w:i/>
                <w:sz w:val="20"/>
                <w:szCs w:val="20"/>
              </w:rPr>
              <w:t>Sponsor’s response:</w:t>
            </w:r>
            <w:r w:rsidRPr="002000A4">
              <w:rPr>
                <w:sz w:val="20"/>
                <w:szCs w:val="20"/>
              </w:rPr>
              <w:t xml:space="preserve"> </w:t>
            </w:r>
            <w:r w:rsidRPr="002000A4">
              <w:rPr>
                <w:i/>
                <w:sz w:val="20"/>
                <w:szCs w:val="20"/>
              </w:rPr>
              <w:t>Following marketing,</w:t>
            </w:r>
            <w:r w:rsidRPr="002000A4">
              <w:rPr>
                <w:sz w:val="20"/>
                <w:szCs w:val="20"/>
              </w:rPr>
              <w:t xml:space="preserve"> </w:t>
            </w:r>
            <w:r w:rsidRPr="002000A4">
              <w:rPr>
                <w:i/>
                <w:sz w:val="20"/>
                <w:szCs w:val="20"/>
              </w:rPr>
              <w:t>pharmacovig</w:t>
            </w:r>
            <w:r w:rsidR="00FC39DE" w:rsidRPr="002000A4">
              <w:rPr>
                <w:i/>
                <w:sz w:val="20"/>
                <w:szCs w:val="20"/>
              </w:rPr>
              <w:t>i</w:t>
            </w:r>
            <w:r w:rsidRPr="002000A4">
              <w:rPr>
                <w:i/>
                <w:sz w:val="20"/>
                <w:szCs w:val="20"/>
              </w:rPr>
              <w:t>l</w:t>
            </w:r>
            <w:r w:rsidR="00FC39DE" w:rsidRPr="002000A4">
              <w:rPr>
                <w:i/>
                <w:sz w:val="20"/>
                <w:szCs w:val="20"/>
              </w:rPr>
              <w:t>a</w:t>
            </w:r>
            <w:r w:rsidRPr="002000A4">
              <w:rPr>
                <w:i/>
                <w:sz w:val="20"/>
                <w:szCs w:val="20"/>
              </w:rPr>
              <w:t>nce activit</w:t>
            </w:r>
            <w:r w:rsidR="00FC39DE" w:rsidRPr="002000A4">
              <w:rPr>
                <w:i/>
                <w:sz w:val="20"/>
                <w:szCs w:val="20"/>
              </w:rPr>
              <w:t>i</w:t>
            </w:r>
            <w:r w:rsidRPr="002000A4">
              <w:rPr>
                <w:i/>
                <w:sz w:val="20"/>
                <w:szCs w:val="20"/>
              </w:rPr>
              <w:t>es would include a comprehensive review of all patients with HBV/HCV co</w:t>
            </w:r>
            <w:r w:rsidR="00FC39DE" w:rsidRPr="002000A4">
              <w:rPr>
                <w:i/>
                <w:sz w:val="20"/>
                <w:szCs w:val="20"/>
              </w:rPr>
              <w:t>-</w:t>
            </w:r>
            <w:r w:rsidRPr="002000A4">
              <w:rPr>
                <w:i/>
                <w:sz w:val="20"/>
                <w:szCs w:val="20"/>
              </w:rPr>
              <w:t>infection.</w:t>
            </w:r>
          </w:p>
          <w:p w14:paraId="4C3DD48C" w14:textId="77777777" w:rsidR="00D15388" w:rsidRPr="002000A4" w:rsidRDefault="00D15388" w:rsidP="002000A4">
            <w:pPr>
              <w:rPr>
                <w:i/>
                <w:sz w:val="20"/>
                <w:szCs w:val="20"/>
              </w:rPr>
            </w:pPr>
            <w:r w:rsidRPr="002000A4">
              <w:rPr>
                <w:i/>
                <w:sz w:val="20"/>
                <w:szCs w:val="20"/>
              </w:rPr>
              <w:t>Specifically, the reports would be reviewed individually and in aggregate for trends associated with reported adverse events in HBV/HCV co-infection patients that</w:t>
            </w:r>
            <w:r w:rsidR="00FC39DE" w:rsidRPr="002000A4">
              <w:rPr>
                <w:i/>
                <w:sz w:val="20"/>
                <w:szCs w:val="20"/>
              </w:rPr>
              <w:t xml:space="preserve"> </w:t>
            </w:r>
            <w:r w:rsidRPr="002000A4">
              <w:rPr>
                <w:i/>
                <w:sz w:val="20"/>
                <w:szCs w:val="20"/>
              </w:rPr>
              <w:t xml:space="preserve">received </w:t>
            </w:r>
            <w:proofErr w:type="spellStart"/>
            <w:r w:rsidRPr="002000A4">
              <w:rPr>
                <w:i/>
                <w:sz w:val="20"/>
                <w:szCs w:val="20"/>
              </w:rPr>
              <w:t>Zepatier</w:t>
            </w:r>
            <w:proofErr w:type="spellEnd"/>
            <w:r w:rsidRPr="002000A4">
              <w:rPr>
                <w:i/>
                <w:sz w:val="20"/>
                <w:szCs w:val="20"/>
              </w:rPr>
              <w:t xml:space="preserve">. The methodology would align with standard reviews of all past medical histories and current medical conditions; identification of those with co-infection with HBV and the adverse event safety profile </w:t>
            </w:r>
            <w:r w:rsidRPr="002000A4">
              <w:rPr>
                <w:i/>
                <w:sz w:val="20"/>
                <w:szCs w:val="20"/>
              </w:rPr>
              <w:lastRenderedPageBreak/>
              <w:t>would be reviewed for any trends or potential signals.</w:t>
            </w:r>
          </w:p>
        </w:tc>
      </w:tr>
      <w:tr w:rsidR="00D15388" w:rsidRPr="002000A4" w14:paraId="4C3DD48F" w14:textId="77777777" w:rsidTr="00D15388">
        <w:trPr>
          <w:trHeight w:val="15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8E" w14:textId="77777777" w:rsidR="00D15388" w:rsidRPr="002000A4" w:rsidRDefault="00D15388" w:rsidP="002000A4">
            <w:pPr>
              <w:rPr>
                <w:sz w:val="20"/>
                <w:szCs w:val="20"/>
              </w:rPr>
            </w:pPr>
            <w:r w:rsidRPr="002000A4">
              <w:rPr>
                <w:sz w:val="20"/>
                <w:szCs w:val="20"/>
              </w:rPr>
              <w:lastRenderedPageBreak/>
              <w:t>RMP Evaluator comment: It is noted that the sponsor proposes routine pharmacovigilance activities to monitor patients with HBV/HCV co</w:t>
            </w:r>
            <w:r w:rsidR="00FC39DE" w:rsidRPr="002000A4">
              <w:rPr>
                <w:sz w:val="20"/>
                <w:szCs w:val="20"/>
              </w:rPr>
              <w:t>-</w:t>
            </w:r>
            <w:r w:rsidRPr="002000A4">
              <w:rPr>
                <w:sz w:val="20"/>
                <w:szCs w:val="20"/>
              </w:rPr>
              <w:t xml:space="preserve">infection and does not propose additional pharmacovigilance activities. The sponsor plans to monitor the safety of </w:t>
            </w:r>
            <w:proofErr w:type="spellStart"/>
            <w:r w:rsidRPr="002000A4">
              <w:rPr>
                <w:sz w:val="20"/>
                <w:szCs w:val="20"/>
              </w:rPr>
              <w:t>Zepatier</w:t>
            </w:r>
            <w:proofErr w:type="spellEnd"/>
            <w:r w:rsidRPr="002000A4">
              <w:rPr>
                <w:sz w:val="20"/>
                <w:szCs w:val="20"/>
              </w:rPr>
              <w:t xml:space="preserve"> via the Merck Adverse Event Reporting Worldwide Adverse Experience System (MARRS) database. This is acceptable. It is also noted that HBV co-infection is discussed in the proposed </w:t>
            </w:r>
            <w:r w:rsidR="00CE22E6" w:rsidRPr="002000A4">
              <w:rPr>
                <w:sz w:val="20"/>
                <w:szCs w:val="20"/>
              </w:rPr>
              <w:t>Product Information</w:t>
            </w:r>
            <w:r w:rsidRPr="002000A4">
              <w:rPr>
                <w:sz w:val="20"/>
                <w:szCs w:val="20"/>
              </w:rPr>
              <w:t>.</w:t>
            </w:r>
          </w:p>
        </w:tc>
      </w:tr>
      <w:tr w:rsidR="00D15388" w:rsidRPr="002000A4" w14:paraId="4C3DD491" w14:textId="77777777" w:rsidTr="00D15388">
        <w:trPr>
          <w:trHeight w:val="10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90" w14:textId="77777777" w:rsidR="00D15388" w:rsidRPr="002000A4" w:rsidRDefault="00D15388" w:rsidP="002000A4">
            <w:pPr>
              <w:rPr>
                <w:i/>
                <w:sz w:val="20"/>
                <w:szCs w:val="20"/>
              </w:rPr>
            </w:pPr>
            <w:r w:rsidRPr="002000A4">
              <w:rPr>
                <w:sz w:val="20"/>
                <w:szCs w:val="20"/>
              </w:rPr>
              <w:t>TGA recommendation 1.6: It is noted that the sponsor is already conducting or planning to conduct other activities relevant to the pharmacovigilance plan. These additional pharmacovigilance activities should be added to the pharmacovigilance plan.</w:t>
            </w:r>
          </w:p>
        </w:tc>
      </w:tr>
      <w:tr w:rsidR="00D15388" w:rsidRPr="002000A4" w14:paraId="4C3DD493" w14:textId="77777777" w:rsidTr="00D15388">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92" w14:textId="77777777" w:rsidR="00D15388" w:rsidRPr="002000A4" w:rsidRDefault="00D15388" w:rsidP="002000A4">
            <w:pPr>
              <w:rPr>
                <w:i/>
                <w:sz w:val="20"/>
                <w:szCs w:val="20"/>
              </w:rPr>
            </w:pPr>
            <w:r w:rsidRPr="002000A4">
              <w:rPr>
                <w:i/>
                <w:sz w:val="20"/>
                <w:szCs w:val="20"/>
              </w:rPr>
              <w:t xml:space="preserve">Sponsor’s response: The sponsor noted that the studies listed in Table 4 </w:t>
            </w:r>
            <w:r w:rsidR="00FC39DE" w:rsidRPr="002000A4">
              <w:rPr>
                <w:i/>
                <w:sz w:val="20"/>
                <w:szCs w:val="20"/>
              </w:rPr>
              <w:t xml:space="preserve">[not in this AusPAR] </w:t>
            </w:r>
            <w:r w:rsidRPr="002000A4">
              <w:rPr>
                <w:i/>
                <w:sz w:val="20"/>
                <w:szCs w:val="20"/>
              </w:rPr>
              <w:t>are not designed to address the safety concerns or measure the effectiveness of the risk minimization measures, therefore the sponsor respectfully disagrees with including the listed studies in the pharmacovigilance plan in the EU RMP. The sponsor has agreed to update the RMP if new safety findings are observed in these studies.</w:t>
            </w:r>
          </w:p>
        </w:tc>
      </w:tr>
      <w:tr w:rsidR="00D15388" w:rsidRPr="002000A4" w14:paraId="4C3DD495" w14:textId="77777777" w:rsidTr="00D15388">
        <w:trPr>
          <w:trHeight w:val="16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94" w14:textId="77777777" w:rsidR="00D15388" w:rsidRPr="002000A4" w:rsidRDefault="00D15388" w:rsidP="002000A4">
            <w:pPr>
              <w:rPr>
                <w:sz w:val="20"/>
                <w:szCs w:val="20"/>
              </w:rPr>
            </w:pPr>
            <w:r w:rsidRPr="002000A4">
              <w:rPr>
                <w:sz w:val="20"/>
                <w:szCs w:val="20"/>
              </w:rPr>
              <w:t>RMP Evaluator comment: The sponsor’s response is noted.</w:t>
            </w:r>
          </w:p>
        </w:tc>
      </w:tr>
      <w:tr w:rsidR="00D15388" w:rsidRPr="002000A4" w14:paraId="4C3DD497" w14:textId="77777777" w:rsidTr="00D15388">
        <w:trPr>
          <w:trHeight w:val="10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96" w14:textId="77777777" w:rsidR="00D15388" w:rsidRPr="002000A4" w:rsidRDefault="00D15388" w:rsidP="002000A4">
            <w:pPr>
              <w:rPr>
                <w:i/>
                <w:sz w:val="20"/>
                <w:szCs w:val="20"/>
              </w:rPr>
            </w:pPr>
            <w:r w:rsidRPr="002000A4">
              <w:rPr>
                <w:sz w:val="20"/>
                <w:szCs w:val="20"/>
              </w:rPr>
              <w:t>TGA recommendation 1.7: Not all study protocols listed in the pharmacovigilance plan have been attached to the submission. The sponsor should provide the missing protocols, once available.</w:t>
            </w:r>
          </w:p>
        </w:tc>
      </w:tr>
      <w:tr w:rsidR="00D15388" w:rsidRPr="002000A4" w14:paraId="4C3DD499" w14:textId="77777777" w:rsidTr="00D15388">
        <w:trPr>
          <w:trHeight w:val="6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98" w14:textId="77777777" w:rsidR="00D15388" w:rsidRPr="002000A4" w:rsidRDefault="00D15388" w:rsidP="002000A4">
            <w:pPr>
              <w:rPr>
                <w:i/>
                <w:sz w:val="20"/>
                <w:szCs w:val="20"/>
              </w:rPr>
            </w:pPr>
            <w:r w:rsidRPr="002000A4">
              <w:rPr>
                <w:i/>
                <w:sz w:val="20"/>
                <w:szCs w:val="20"/>
              </w:rPr>
              <w:t xml:space="preserve">Sponsor’s response: The sponsor states that the protocol for </w:t>
            </w:r>
            <w:r w:rsidR="00FC39DE" w:rsidRPr="002000A4">
              <w:rPr>
                <w:i/>
                <w:sz w:val="20"/>
                <w:szCs w:val="20"/>
              </w:rPr>
              <w:t>S</w:t>
            </w:r>
            <w:r w:rsidRPr="002000A4">
              <w:rPr>
                <w:i/>
                <w:sz w:val="20"/>
                <w:szCs w:val="20"/>
              </w:rPr>
              <w:t>tudy P017 ‘A Long Term Follow Up to Evaluate Durability of Virological Response of Subjects with HCV who have been Treated with MK-5172A in a Prior Trial’ has been finali</w:t>
            </w:r>
            <w:r w:rsidR="00FC39DE" w:rsidRPr="002000A4">
              <w:rPr>
                <w:i/>
                <w:sz w:val="20"/>
                <w:szCs w:val="20"/>
              </w:rPr>
              <w:t>s</w:t>
            </w:r>
            <w:r w:rsidRPr="002000A4">
              <w:rPr>
                <w:i/>
                <w:sz w:val="20"/>
                <w:szCs w:val="20"/>
              </w:rPr>
              <w:t xml:space="preserve">ed. The protocol for </w:t>
            </w:r>
            <w:r w:rsidR="00FC39DE" w:rsidRPr="002000A4">
              <w:rPr>
                <w:i/>
                <w:sz w:val="20"/>
                <w:szCs w:val="20"/>
              </w:rPr>
              <w:t>S</w:t>
            </w:r>
            <w:r w:rsidRPr="002000A4">
              <w:rPr>
                <w:i/>
                <w:sz w:val="20"/>
                <w:szCs w:val="20"/>
              </w:rPr>
              <w:t xml:space="preserve">tudy P079 has not yet been finalised. This is a three part combined Phase </w:t>
            </w:r>
            <w:r w:rsidR="00FC39DE" w:rsidRPr="002000A4">
              <w:rPr>
                <w:i/>
                <w:sz w:val="20"/>
                <w:szCs w:val="20"/>
              </w:rPr>
              <w:t>I</w:t>
            </w:r>
            <w:r w:rsidRPr="002000A4">
              <w:rPr>
                <w:i/>
                <w:sz w:val="20"/>
                <w:szCs w:val="20"/>
              </w:rPr>
              <w:t xml:space="preserve"> PK and </w:t>
            </w:r>
            <w:r w:rsidR="004A28A8" w:rsidRPr="002000A4">
              <w:rPr>
                <w:i/>
                <w:sz w:val="20"/>
                <w:szCs w:val="20"/>
              </w:rPr>
              <w:t>Phase III</w:t>
            </w:r>
            <w:r w:rsidRPr="002000A4">
              <w:rPr>
                <w:i/>
                <w:sz w:val="20"/>
                <w:szCs w:val="20"/>
              </w:rPr>
              <w:t xml:space="preserve"> clinical treatment study in paediatric subjects aged 3 to18 years with HCV infection. Once the protocol is available it can be provided to TGA on request.</w:t>
            </w:r>
          </w:p>
        </w:tc>
      </w:tr>
      <w:tr w:rsidR="00D15388" w:rsidRPr="002000A4" w14:paraId="4C3DD49B"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9A" w14:textId="77777777" w:rsidR="00D15388" w:rsidRPr="002000A4" w:rsidRDefault="00D15388" w:rsidP="002000A4">
            <w:pPr>
              <w:rPr>
                <w:sz w:val="20"/>
                <w:szCs w:val="20"/>
              </w:rPr>
            </w:pPr>
            <w:r w:rsidRPr="002000A4">
              <w:rPr>
                <w:sz w:val="20"/>
                <w:szCs w:val="20"/>
              </w:rPr>
              <w:t>RMP Evaluator comment: This is acceptable</w:t>
            </w:r>
            <w:r w:rsidR="00FC39DE" w:rsidRPr="002000A4">
              <w:rPr>
                <w:sz w:val="20"/>
                <w:szCs w:val="20"/>
              </w:rPr>
              <w:t>;</w:t>
            </w:r>
            <w:r w:rsidRPr="002000A4">
              <w:rPr>
                <w:sz w:val="20"/>
                <w:szCs w:val="20"/>
              </w:rPr>
              <w:t xml:space="preserve"> the </w:t>
            </w:r>
            <w:r w:rsidR="00FC39DE" w:rsidRPr="002000A4">
              <w:rPr>
                <w:sz w:val="20"/>
                <w:szCs w:val="20"/>
              </w:rPr>
              <w:t>s</w:t>
            </w:r>
            <w:r w:rsidRPr="002000A4">
              <w:rPr>
                <w:sz w:val="20"/>
                <w:szCs w:val="20"/>
              </w:rPr>
              <w:t>ponsor’s commitment to submit the protocol when finalised has been noted.</w:t>
            </w:r>
          </w:p>
        </w:tc>
      </w:tr>
      <w:tr w:rsidR="00D15388" w:rsidRPr="002000A4" w14:paraId="4C3DD49E"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9C" w14:textId="77777777" w:rsidR="00D15388" w:rsidRPr="002000A4" w:rsidRDefault="00D15388" w:rsidP="002000A4">
            <w:pPr>
              <w:rPr>
                <w:sz w:val="20"/>
                <w:szCs w:val="20"/>
              </w:rPr>
            </w:pPr>
            <w:r w:rsidRPr="002000A4">
              <w:rPr>
                <w:sz w:val="20"/>
                <w:szCs w:val="20"/>
              </w:rPr>
              <w:t>TGA recommendation 1.8: The following studies seem to have been completed:</w:t>
            </w:r>
          </w:p>
          <w:p w14:paraId="4C3DD49D" w14:textId="77777777" w:rsidR="00D15388" w:rsidRPr="002000A4" w:rsidRDefault="00D15388" w:rsidP="002000A4">
            <w:pPr>
              <w:rPr>
                <w:i/>
                <w:sz w:val="20"/>
                <w:szCs w:val="20"/>
              </w:rPr>
            </w:pPr>
            <w:r w:rsidRPr="002000A4">
              <w:rPr>
                <w:sz w:val="20"/>
                <w:szCs w:val="20"/>
              </w:rPr>
              <w:t xml:space="preserve">MK-5172-062(C-EDGE CO-STAR); MK-5172-058; and MK-5172-065. The sponsor should use the findings of the above studies to further inform the content of the RMP and make appropriate changes to the RMP and the </w:t>
            </w:r>
            <w:r w:rsidR="00CE22E6" w:rsidRPr="002000A4">
              <w:rPr>
                <w:sz w:val="20"/>
                <w:szCs w:val="20"/>
              </w:rPr>
              <w:t>Product Information</w:t>
            </w:r>
            <w:r w:rsidRPr="002000A4">
              <w:rPr>
                <w:sz w:val="20"/>
                <w:szCs w:val="20"/>
              </w:rPr>
              <w:t xml:space="preserve"> document (in particular with regard to adverse events).</w:t>
            </w:r>
          </w:p>
        </w:tc>
      </w:tr>
      <w:tr w:rsidR="00D15388" w:rsidRPr="002000A4" w14:paraId="4C3DD4A0"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9F" w14:textId="77777777" w:rsidR="00D15388" w:rsidRPr="002000A4" w:rsidRDefault="00D15388" w:rsidP="002000A4">
            <w:pPr>
              <w:rPr>
                <w:i/>
                <w:sz w:val="20"/>
                <w:szCs w:val="20"/>
              </w:rPr>
            </w:pPr>
            <w:r w:rsidRPr="002000A4">
              <w:rPr>
                <w:i/>
                <w:sz w:val="20"/>
                <w:szCs w:val="20"/>
              </w:rPr>
              <w:t xml:space="preserve">Sponsor’s response: The sponsor states that there have been no new safety concerns identified for </w:t>
            </w:r>
            <w:r w:rsidR="002437C0" w:rsidRPr="002000A4">
              <w:rPr>
                <w:i/>
                <w:sz w:val="20"/>
                <w:szCs w:val="20"/>
              </w:rPr>
              <w:t>EBR</w:t>
            </w:r>
            <w:r w:rsidRPr="002000A4">
              <w:rPr>
                <w:i/>
                <w:sz w:val="20"/>
                <w:szCs w:val="20"/>
              </w:rPr>
              <w:t xml:space="preserve"> and </w:t>
            </w:r>
            <w:r w:rsidR="002437C0" w:rsidRPr="002000A4">
              <w:rPr>
                <w:i/>
                <w:sz w:val="20"/>
                <w:szCs w:val="20"/>
              </w:rPr>
              <w:t>GZR</w:t>
            </w:r>
            <w:r w:rsidRPr="002000A4">
              <w:rPr>
                <w:i/>
                <w:sz w:val="20"/>
                <w:szCs w:val="20"/>
              </w:rPr>
              <w:t xml:space="preserve"> from the available data from MK-5172-062, MK-5172-058 and MK-5172-065 studies at this time. The sponsor agrees to make appropriate update to the RMP and </w:t>
            </w:r>
            <w:r w:rsidR="00CE22E6" w:rsidRPr="002000A4">
              <w:rPr>
                <w:i/>
                <w:sz w:val="20"/>
                <w:szCs w:val="20"/>
              </w:rPr>
              <w:t>Product Information</w:t>
            </w:r>
            <w:r w:rsidRPr="002000A4">
              <w:rPr>
                <w:i/>
                <w:sz w:val="20"/>
                <w:szCs w:val="20"/>
              </w:rPr>
              <w:t xml:space="preserve"> upon completion of the final analysis of these data. The RMP will be updated if the studies identify any new safety signals, and the </w:t>
            </w:r>
            <w:r w:rsidR="009B2564" w:rsidRPr="002000A4">
              <w:rPr>
                <w:i/>
                <w:sz w:val="20"/>
                <w:szCs w:val="20"/>
              </w:rPr>
              <w:t>Product Information</w:t>
            </w:r>
            <w:r w:rsidRPr="002000A4">
              <w:rPr>
                <w:i/>
                <w:sz w:val="20"/>
                <w:szCs w:val="20"/>
              </w:rPr>
              <w:t xml:space="preserve"> will be updated in the </w:t>
            </w:r>
            <w:r w:rsidR="006433E3" w:rsidRPr="002000A4">
              <w:rPr>
                <w:i/>
                <w:sz w:val="20"/>
                <w:szCs w:val="20"/>
              </w:rPr>
              <w:t xml:space="preserve">Clinical Trials </w:t>
            </w:r>
            <w:r w:rsidRPr="002000A4">
              <w:rPr>
                <w:i/>
                <w:sz w:val="20"/>
                <w:szCs w:val="20"/>
              </w:rPr>
              <w:t xml:space="preserve">and </w:t>
            </w:r>
            <w:r w:rsidR="006433E3" w:rsidRPr="002000A4">
              <w:rPr>
                <w:i/>
                <w:sz w:val="20"/>
                <w:szCs w:val="20"/>
              </w:rPr>
              <w:t>Adverse Events</w:t>
            </w:r>
            <w:r w:rsidRPr="002000A4">
              <w:rPr>
                <w:i/>
                <w:sz w:val="20"/>
                <w:szCs w:val="20"/>
              </w:rPr>
              <w:t xml:space="preserve"> sections reflect the findings of </w:t>
            </w:r>
            <w:r w:rsidR="006433E3" w:rsidRPr="002000A4">
              <w:rPr>
                <w:i/>
                <w:sz w:val="20"/>
                <w:szCs w:val="20"/>
              </w:rPr>
              <w:t>S</w:t>
            </w:r>
            <w:r w:rsidRPr="002000A4">
              <w:rPr>
                <w:i/>
                <w:sz w:val="20"/>
                <w:szCs w:val="20"/>
              </w:rPr>
              <w:t>tudies 062 and 065 in their totality.</w:t>
            </w:r>
          </w:p>
        </w:tc>
      </w:tr>
      <w:tr w:rsidR="00D15388" w:rsidRPr="002000A4" w14:paraId="4C3DD4A2" w14:textId="77777777" w:rsidTr="00D15388">
        <w:trPr>
          <w:trHeight w:val="22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A1" w14:textId="77777777" w:rsidR="00D15388" w:rsidRPr="002000A4" w:rsidRDefault="00D15388" w:rsidP="002000A4">
            <w:pPr>
              <w:rPr>
                <w:sz w:val="20"/>
                <w:szCs w:val="20"/>
              </w:rPr>
            </w:pPr>
            <w:r w:rsidRPr="002000A4">
              <w:rPr>
                <w:sz w:val="20"/>
                <w:szCs w:val="20"/>
              </w:rPr>
              <w:t xml:space="preserve">RMP Evaluator comment: The sponsor’s commitment to update the </w:t>
            </w:r>
            <w:r w:rsidR="00CE22E6" w:rsidRPr="002000A4">
              <w:rPr>
                <w:sz w:val="20"/>
                <w:szCs w:val="20"/>
              </w:rPr>
              <w:t>Product Information</w:t>
            </w:r>
            <w:r w:rsidRPr="002000A4">
              <w:rPr>
                <w:sz w:val="20"/>
                <w:szCs w:val="20"/>
              </w:rPr>
              <w:t xml:space="preserve"> and RMP with these data is acceptable.</w:t>
            </w:r>
          </w:p>
        </w:tc>
      </w:tr>
      <w:tr w:rsidR="00D15388" w:rsidRPr="002000A4" w14:paraId="4C3DD4A4" w14:textId="77777777" w:rsidTr="00D15388">
        <w:trPr>
          <w:trHeight w:val="1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A3" w14:textId="77777777" w:rsidR="00D15388" w:rsidRPr="002000A4" w:rsidRDefault="00D15388" w:rsidP="002000A4">
            <w:pPr>
              <w:rPr>
                <w:i/>
                <w:sz w:val="20"/>
                <w:szCs w:val="20"/>
              </w:rPr>
            </w:pPr>
            <w:r w:rsidRPr="002000A4">
              <w:rPr>
                <w:sz w:val="20"/>
                <w:szCs w:val="20"/>
              </w:rPr>
              <w:t xml:space="preserve">TGA recommendation 1.9: The sponsor should prepare educational materials for to specifically </w:t>
            </w:r>
            <w:r w:rsidRPr="002000A4">
              <w:rPr>
                <w:sz w:val="20"/>
                <w:szCs w:val="20"/>
              </w:rPr>
              <w:lastRenderedPageBreak/>
              <w:t>inform prescribers about this medicine, including the indicated HCV genotypes, the most relevant drug-drug interactions, and dosing regimens (including a reiteration of the risks associated with ribavirin). These materials could take the form of a brochure or a Dear Healthcare Professional Letter. The sponsor should make these materials available to the TGA prior to approval.</w:t>
            </w:r>
          </w:p>
        </w:tc>
      </w:tr>
      <w:tr w:rsidR="00D15388" w:rsidRPr="002000A4" w14:paraId="4C3DD4A6"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A5" w14:textId="77777777" w:rsidR="00D15388" w:rsidRPr="002000A4" w:rsidRDefault="00D15388" w:rsidP="002000A4">
            <w:pPr>
              <w:rPr>
                <w:i/>
                <w:sz w:val="20"/>
                <w:szCs w:val="20"/>
              </w:rPr>
            </w:pPr>
            <w:r w:rsidRPr="002000A4">
              <w:rPr>
                <w:i/>
                <w:sz w:val="20"/>
                <w:szCs w:val="20"/>
              </w:rPr>
              <w:lastRenderedPageBreak/>
              <w:t xml:space="preserve">Sponsor’s response: The sponsor states that a Dear Healthcare Professional Letter will be prepared to educate prescribers about this medicine including the indicated HCV genotypes, the most relevant drug-drug interactions, and dosing regimens (including a reiteration of the risks associated with ribavirin). In addition, all educational materials will follow the Australian Medicines Australia Code of Conduct, and so must reflect the content of the approved </w:t>
            </w:r>
            <w:r w:rsidR="00CE22E6" w:rsidRPr="002000A4">
              <w:rPr>
                <w:i/>
                <w:sz w:val="20"/>
                <w:szCs w:val="20"/>
              </w:rPr>
              <w:t>Product Information</w:t>
            </w:r>
            <w:r w:rsidRPr="002000A4">
              <w:rPr>
                <w:i/>
                <w:sz w:val="20"/>
                <w:szCs w:val="20"/>
              </w:rPr>
              <w:t xml:space="preserve">. The </w:t>
            </w:r>
            <w:r w:rsidR="006433E3" w:rsidRPr="002000A4">
              <w:rPr>
                <w:i/>
                <w:sz w:val="20"/>
                <w:szCs w:val="20"/>
              </w:rPr>
              <w:t>s</w:t>
            </w:r>
            <w:r w:rsidRPr="002000A4">
              <w:rPr>
                <w:i/>
                <w:sz w:val="20"/>
                <w:szCs w:val="20"/>
              </w:rPr>
              <w:t xml:space="preserve">ponsor contends it would be premature to prepare these documents until the outcome of this application in known and an approved </w:t>
            </w:r>
            <w:r w:rsidR="00CE22E6" w:rsidRPr="002000A4">
              <w:rPr>
                <w:i/>
                <w:sz w:val="20"/>
                <w:szCs w:val="20"/>
              </w:rPr>
              <w:t xml:space="preserve">Product Information </w:t>
            </w:r>
            <w:r w:rsidRPr="002000A4">
              <w:rPr>
                <w:i/>
                <w:sz w:val="20"/>
                <w:szCs w:val="20"/>
              </w:rPr>
              <w:t>has been received.</w:t>
            </w:r>
          </w:p>
        </w:tc>
      </w:tr>
      <w:tr w:rsidR="00D15388" w:rsidRPr="002000A4" w14:paraId="4C3DD4A8" w14:textId="77777777" w:rsidTr="00D15388">
        <w:trPr>
          <w:trHeight w:val="18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A7" w14:textId="77777777" w:rsidR="00D15388" w:rsidRPr="002000A4" w:rsidRDefault="00D15388" w:rsidP="002000A4">
            <w:pPr>
              <w:rPr>
                <w:sz w:val="20"/>
                <w:szCs w:val="20"/>
              </w:rPr>
            </w:pPr>
            <w:r w:rsidRPr="002000A4">
              <w:rPr>
                <w:sz w:val="20"/>
                <w:szCs w:val="20"/>
              </w:rPr>
              <w:t xml:space="preserve">RMP Evaluator comment: This is acceptable. The </w:t>
            </w:r>
            <w:r w:rsidR="006433E3" w:rsidRPr="002000A4">
              <w:rPr>
                <w:sz w:val="20"/>
                <w:szCs w:val="20"/>
              </w:rPr>
              <w:t>s</w:t>
            </w:r>
            <w:r w:rsidRPr="002000A4">
              <w:rPr>
                <w:sz w:val="20"/>
                <w:szCs w:val="20"/>
              </w:rPr>
              <w:t>ponsor should submit these materials to the TGA for approval once they have been drafted, and also include them as an appendix to the ASA.</w:t>
            </w:r>
          </w:p>
        </w:tc>
      </w:tr>
      <w:tr w:rsidR="00D15388" w:rsidRPr="002000A4" w14:paraId="4C3DD4AA" w14:textId="77777777" w:rsidTr="00D15388">
        <w:trPr>
          <w:trHeight w:val="18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A9" w14:textId="77777777" w:rsidR="00D15388" w:rsidRPr="002000A4" w:rsidRDefault="00D15388" w:rsidP="002000A4">
            <w:pPr>
              <w:rPr>
                <w:i/>
                <w:sz w:val="20"/>
                <w:szCs w:val="20"/>
              </w:rPr>
            </w:pPr>
            <w:r w:rsidRPr="002000A4">
              <w:rPr>
                <w:sz w:val="20"/>
                <w:szCs w:val="20"/>
              </w:rPr>
              <w:t xml:space="preserve">TGA recommendation 1.10: In the ‘Indications’ section, the indicated HCV genotypes should be clearly stated rather than solely making reference to the ‘Clinical trials’ section, which does not clearly indicate for which HCV genotypes </w:t>
            </w:r>
            <w:proofErr w:type="spellStart"/>
            <w:r w:rsidRPr="002000A4">
              <w:rPr>
                <w:sz w:val="20"/>
                <w:szCs w:val="20"/>
              </w:rPr>
              <w:t>Zepatier</w:t>
            </w:r>
            <w:proofErr w:type="spellEnd"/>
            <w:r w:rsidRPr="002000A4">
              <w:rPr>
                <w:sz w:val="20"/>
                <w:szCs w:val="20"/>
              </w:rPr>
              <w:t xml:space="preserve">, is indicated. On this basis, and considering the </w:t>
            </w:r>
            <w:r w:rsidR="006433E3" w:rsidRPr="002000A4">
              <w:rPr>
                <w:sz w:val="20"/>
                <w:szCs w:val="20"/>
              </w:rPr>
              <w:t>c</w:t>
            </w:r>
            <w:r w:rsidRPr="002000A4">
              <w:rPr>
                <w:sz w:val="20"/>
                <w:szCs w:val="20"/>
              </w:rPr>
              <w:t xml:space="preserve">linical </w:t>
            </w:r>
            <w:r w:rsidR="006433E3" w:rsidRPr="002000A4">
              <w:rPr>
                <w:sz w:val="20"/>
                <w:szCs w:val="20"/>
              </w:rPr>
              <w:t>e</w:t>
            </w:r>
            <w:r w:rsidRPr="002000A4">
              <w:rPr>
                <w:sz w:val="20"/>
                <w:szCs w:val="20"/>
              </w:rPr>
              <w:t>valuator’s advice, no change to the indications is considered necessary.</w:t>
            </w:r>
          </w:p>
        </w:tc>
      </w:tr>
      <w:tr w:rsidR="00D15388" w:rsidRPr="002000A4" w14:paraId="4C3DD4AC" w14:textId="77777777" w:rsidTr="00D15388">
        <w:trPr>
          <w:trHeight w:val="18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AB" w14:textId="77777777" w:rsidR="00D15388" w:rsidRPr="002000A4" w:rsidRDefault="00D15388" w:rsidP="002000A4">
            <w:pPr>
              <w:rPr>
                <w:i/>
                <w:sz w:val="20"/>
                <w:szCs w:val="20"/>
              </w:rPr>
            </w:pPr>
            <w:r w:rsidRPr="002000A4">
              <w:rPr>
                <w:i/>
                <w:sz w:val="20"/>
                <w:szCs w:val="20"/>
              </w:rPr>
              <w:t xml:space="preserve">Sponsor’s response: The </w:t>
            </w:r>
            <w:r w:rsidR="006433E3" w:rsidRPr="002000A4">
              <w:rPr>
                <w:i/>
                <w:sz w:val="20"/>
                <w:szCs w:val="20"/>
              </w:rPr>
              <w:t>s</w:t>
            </w:r>
            <w:r w:rsidRPr="002000A4">
              <w:rPr>
                <w:i/>
                <w:sz w:val="20"/>
                <w:szCs w:val="20"/>
              </w:rPr>
              <w:t xml:space="preserve">ponsor agrees with the </w:t>
            </w:r>
            <w:r w:rsidR="006433E3" w:rsidRPr="002000A4">
              <w:rPr>
                <w:i/>
                <w:sz w:val="20"/>
                <w:szCs w:val="20"/>
              </w:rPr>
              <w:t>c</w:t>
            </w:r>
            <w:r w:rsidRPr="002000A4">
              <w:rPr>
                <w:i/>
                <w:sz w:val="20"/>
                <w:szCs w:val="20"/>
              </w:rPr>
              <w:t xml:space="preserve">linical </w:t>
            </w:r>
            <w:r w:rsidR="006433E3" w:rsidRPr="002000A4">
              <w:rPr>
                <w:i/>
                <w:sz w:val="20"/>
                <w:szCs w:val="20"/>
              </w:rPr>
              <w:t>e</w:t>
            </w:r>
            <w:r w:rsidRPr="002000A4">
              <w:rPr>
                <w:i/>
                <w:sz w:val="20"/>
                <w:szCs w:val="20"/>
              </w:rPr>
              <w:t>valuator’s conclusion that the proposed Indication is appropriate, which refers to the Clinical Trials section for information regarding HCV-genotype-specific activity.</w:t>
            </w:r>
          </w:p>
        </w:tc>
      </w:tr>
      <w:tr w:rsidR="00D15388" w:rsidRPr="002000A4" w14:paraId="4C3DD4AE" w14:textId="77777777" w:rsidTr="00D15388">
        <w:trPr>
          <w:trHeight w:val="180"/>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AD" w14:textId="77777777" w:rsidR="00D15388" w:rsidRPr="002000A4" w:rsidRDefault="00D15388" w:rsidP="002000A4">
            <w:pPr>
              <w:rPr>
                <w:sz w:val="20"/>
                <w:szCs w:val="20"/>
              </w:rPr>
            </w:pPr>
            <w:r w:rsidRPr="002000A4">
              <w:rPr>
                <w:sz w:val="20"/>
                <w:szCs w:val="20"/>
              </w:rPr>
              <w:t xml:space="preserve">RMP Evaluator comment: The RMP evaluator notes that </w:t>
            </w:r>
            <w:proofErr w:type="spellStart"/>
            <w:r w:rsidRPr="002000A4">
              <w:rPr>
                <w:sz w:val="20"/>
                <w:szCs w:val="20"/>
              </w:rPr>
              <w:t>Harvoni</w:t>
            </w:r>
            <w:proofErr w:type="spellEnd"/>
            <w:r w:rsidRPr="002000A4">
              <w:rPr>
                <w:sz w:val="20"/>
                <w:szCs w:val="20"/>
              </w:rPr>
              <w:t xml:space="preserve"> and </w:t>
            </w:r>
            <w:proofErr w:type="spellStart"/>
            <w:r w:rsidRPr="002000A4">
              <w:rPr>
                <w:sz w:val="20"/>
                <w:szCs w:val="20"/>
              </w:rPr>
              <w:t>Viekira</w:t>
            </w:r>
            <w:proofErr w:type="spellEnd"/>
            <w:r w:rsidRPr="002000A4">
              <w:rPr>
                <w:sz w:val="20"/>
                <w:szCs w:val="20"/>
              </w:rPr>
              <w:t xml:space="preserve"> Pak specify in the indication they are used for the treatment of HCV Genotype 1, but </w:t>
            </w:r>
            <w:proofErr w:type="spellStart"/>
            <w:r w:rsidRPr="002000A4">
              <w:rPr>
                <w:sz w:val="20"/>
                <w:szCs w:val="20"/>
              </w:rPr>
              <w:t>Sovaldi</w:t>
            </w:r>
            <w:proofErr w:type="spellEnd"/>
            <w:r w:rsidRPr="002000A4">
              <w:rPr>
                <w:sz w:val="20"/>
                <w:szCs w:val="20"/>
              </w:rPr>
              <w:t xml:space="preserve"> and </w:t>
            </w:r>
            <w:proofErr w:type="spellStart"/>
            <w:r w:rsidRPr="002000A4">
              <w:rPr>
                <w:sz w:val="20"/>
                <w:szCs w:val="20"/>
              </w:rPr>
              <w:t>Daklinza</w:t>
            </w:r>
            <w:proofErr w:type="spellEnd"/>
            <w:r w:rsidRPr="002000A4">
              <w:rPr>
                <w:sz w:val="20"/>
                <w:szCs w:val="20"/>
              </w:rPr>
              <w:t xml:space="preserve">, which are used to treat multiple genotypes refer to the Clinical Trials section for information regarding genotype. On this basis, and considering the </w:t>
            </w:r>
            <w:r w:rsidR="006433E3" w:rsidRPr="002000A4">
              <w:rPr>
                <w:sz w:val="20"/>
                <w:szCs w:val="20"/>
              </w:rPr>
              <w:t>c</w:t>
            </w:r>
            <w:r w:rsidRPr="002000A4">
              <w:rPr>
                <w:sz w:val="20"/>
                <w:szCs w:val="20"/>
              </w:rPr>
              <w:t xml:space="preserve">linical </w:t>
            </w:r>
            <w:r w:rsidR="006433E3" w:rsidRPr="002000A4">
              <w:rPr>
                <w:sz w:val="20"/>
                <w:szCs w:val="20"/>
              </w:rPr>
              <w:t>e</w:t>
            </w:r>
            <w:r w:rsidRPr="002000A4">
              <w:rPr>
                <w:sz w:val="20"/>
                <w:szCs w:val="20"/>
              </w:rPr>
              <w:t>valuator’s advice, no change to the indications is considered necessary</w:t>
            </w:r>
          </w:p>
        </w:tc>
      </w:tr>
      <w:tr w:rsidR="00D15388" w:rsidRPr="002000A4" w14:paraId="4C3DD4B0" w14:textId="77777777" w:rsidTr="00D15388">
        <w:trPr>
          <w:trHeight w:val="170"/>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AF" w14:textId="77777777" w:rsidR="00D15388" w:rsidRPr="002000A4" w:rsidRDefault="00D15388" w:rsidP="002000A4">
            <w:pPr>
              <w:rPr>
                <w:i/>
                <w:sz w:val="20"/>
                <w:szCs w:val="20"/>
              </w:rPr>
            </w:pPr>
            <w:r w:rsidRPr="002000A4">
              <w:rPr>
                <w:sz w:val="20"/>
                <w:szCs w:val="20"/>
              </w:rPr>
              <w:t>TGA recommendation 1.11:</w:t>
            </w:r>
            <w:r w:rsidRPr="002000A4">
              <w:rPr>
                <w:i/>
                <w:sz w:val="20"/>
                <w:szCs w:val="20"/>
              </w:rPr>
              <w:t xml:space="preserve"> </w:t>
            </w:r>
            <w:r w:rsidRPr="002000A4">
              <w:rPr>
                <w:sz w:val="20"/>
                <w:szCs w:val="20"/>
              </w:rPr>
              <w:t>In the ‘Contraindications’ section, the sponsor should consider including the same contraindications as in the current US FDA product label.</w:t>
            </w:r>
          </w:p>
        </w:tc>
      </w:tr>
      <w:tr w:rsidR="00D15388" w:rsidRPr="002000A4" w14:paraId="4C3DD4B2" w14:textId="77777777" w:rsidTr="00D15388">
        <w:trPr>
          <w:trHeight w:val="110"/>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B1" w14:textId="77777777" w:rsidR="00D15388" w:rsidRPr="002000A4" w:rsidRDefault="00D15388" w:rsidP="002000A4">
            <w:pPr>
              <w:rPr>
                <w:i/>
                <w:sz w:val="20"/>
                <w:szCs w:val="20"/>
              </w:rPr>
            </w:pPr>
            <w:r w:rsidRPr="002000A4">
              <w:rPr>
                <w:i/>
                <w:sz w:val="20"/>
                <w:szCs w:val="20"/>
              </w:rPr>
              <w:t xml:space="preserve">Sponsor’s response: The sponsor states that the Australian </w:t>
            </w:r>
            <w:r w:rsidR="00CE22E6" w:rsidRPr="002000A4">
              <w:rPr>
                <w:i/>
                <w:sz w:val="20"/>
                <w:szCs w:val="20"/>
              </w:rPr>
              <w:t>Product Information</w:t>
            </w:r>
            <w:r w:rsidRPr="002000A4">
              <w:rPr>
                <w:i/>
                <w:sz w:val="20"/>
                <w:szCs w:val="20"/>
              </w:rPr>
              <w:t xml:space="preserve"> now includes the same contraindications as the current FDA label. </w:t>
            </w:r>
          </w:p>
        </w:tc>
      </w:tr>
      <w:tr w:rsidR="00D15388" w:rsidRPr="002000A4" w14:paraId="4C3DD4B4"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B3" w14:textId="77777777" w:rsidR="00D15388" w:rsidRPr="002000A4" w:rsidRDefault="00D15388" w:rsidP="002000A4">
            <w:pPr>
              <w:rPr>
                <w:sz w:val="20"/>
                <w:szCs w:val="20"/>
              </w:rPr>
            </w:pPr>
            <w:r w:rsidRPr="002000A4">
              <w:rPr>
                <w:sz w:val="20"/>
                <w:szCs w:val="20"/>
              </w:rPr>
              <w:t>RMP Evaluator comment: The changes are noted.</w:t>
            </w:r>
          </w:p>
        </w:tc>
      </w:tr>
      <w:tr w:rsidR="00D15388" w:rsidRPr="002000A4" w14:paraId="4C3DD4B6"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B5" w14:textId="77777777" w:rsidR="00D15388" w:rsidRPr="002000A4" w:rsidRDefault="00D15388" w:rsidP="002000A4">
            <w:pPr>
              <w:rPr>
                <w:i/>
                <w:sz w:val="20"/>
                <w:szCs w:val="20"/>
              </w:rPr>
            </w:pPr>
            <w:r w:rsidRPr="002000A4">
              <w:rPr>
                <w:sz w:val="20"/>
                <w:szCs w:val="20"/>
              </w:rPr>
              <w:t xml:space="preserve">TGA recommendation 1.12: In the ‘Precautions’ or ‘Interactions’ section, the sponsor should include expected interactions of </w:t>
            </w:r>
            <w:proofErr w:type="spellStart"/>
            <w:r w:rsidRPr="002000A4">
              <w:rPr>
                <w:sz w:val="20"/>
                <w:szCs w:val="20"/>
              </w:rPr>
              <w:t>Zepatier</w:t>
            </w:r>
            <w:proofErr w:type="spellEnd"/>
            <w:r w:rsidRPr="002000A4">
              <w:rPr>
                <w:sz w:val="20"/>
                <w:szCs w:val="20"/>
              </w:rPr>
              <w:t>, as found in the proposed SmPC document.</w:t>
            </w:r>
          </w:p>
        </w:tc>
      </w:tr>
      <w:tr w:rsidR="00D15388" w:rsidRPr="002000A4" w14:paraId="4C3DD4B8"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B7" w14:textId="77777777" w:rsidR="00D15388" w:rsidRPr="002000A4" w:rsidRDefault="00D15388" w:rsidP="002000A4">
            <w:pPr>
              <w:rPr>
                <w:i/>
                <w:sz w:val="20"/>
                <w:szCs w:val="20"/>
              </w:rPr>
            </w:pPr>
            <w:r w:rsidRPr="002000A4">
              <w:rPr>
                <w:i/>
                <w:sz w:val="20"/>
                <w:szCs w:val="20"/>
              </w:rPr>
              <w:t xml:space="preserve">Sponsor’s response: The </w:t>
            </w:r>
            <w:r w:rsidR="006433E3" w:rsidRPr="002000A4">
              <w:rPr>
                <w:i/>
                <w:sz w:val="20"/>
                <w:szCs w:val="20"/>
              </w:rPr>
              <w:t>s</w:t>
            </w:r>
            <w:r w:rsidRPr="002000A4">
              <w:rPr>
                <w:i/>
                <w:sz w:val="20"/>
                <w:szCs w:val="20"/>
              </w:rPr>
              <w:t xml:space="preserve">ponsor states the US format has been adopted over the EU format as this most closely matches the Australian </w:t>
            </w:r>
            <w:r w:rsidR="00CE22E6" w:rsidRPr="002000A4">
              <w:rPr>
                <w:i/>
                <w:sz w:val="20"/>
                <w:szCs w:val="20"/>
              </w:rPr>
              <w:t>Product Information</w:t>
            </w:r>
            <w:r w:rsidRPr="002000A4">
              <w:rPr>
                <w:i/>
                <w:sz w:val="20"/>
                <w:szCs w:val="20"/>
              </w:rPr>
              <w:t xml:space="preserve"> format, wherein PK data appear in </w:t>
            </w:r>
            <w:r w:rsidR="006433E3" w:rsidRPr="002000A4">
              <w:rPr>
                <w:i/>
                <w:sz w:val="20"/>
                <w:szCs w:val="20"/>
              </w:rPr>
              <w:t xml:space="preserve">Pharmacology </w:t>
            </w:r>
            <w:r w:rsidRPr="002000A4">
              <w:rPr>
                <w:i/>
                <w:sz w:val="20"/>
                <w:szCs w:val="20"/>
              </w:rPr>
              <w:t xml:space="preserve">section and clinically meaningful interactions are described in </w:t>
            </w:r>
            <w:r w:rsidR="006433E3" w:rsidRPr="002000A4">
              <w:rPr>
                <w:i/>
                <w:sz w:val="20"/>
                <w:szCs w:val="20"/>
              </w:rPr>
              <w:t>Interactions with Other Medicines in Table 9. The s</w:t>
            </w:r>
            <w:r w:rsidRPr="002000A4">
              <w:rPr>
                <w:i/>
                <w:sz w:val="20"/>
                <w:szCs w:val="20"/>
              </w:rPr>
              <w:t>ponsor contends the US/Australian format is concise and easier to read for the end user.</w:t>
            </w:r>
          </w:p>
        </w:tc>
      </w:tr>
      <w:tr w:rsidR="00D15388" w:rsidRPr="002000A4" w14:paraId="4C3DD4BA"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B9" w14:textId="0FE44BEC" w:rsidR="00D15388" w:rsidRPr="002000A4" w:rsidRDefault="00D15388" w:rsidP="002000A4">
            <w:pPr>
              <w:rPr>
                <w:sz w:val="20"/>
                <w:szCs w:val="20"/>
              </w:rPr>
            </w:pPr>
            <w:r w:rsidRPr="002000A4">
              <w:rPr>
                <w:sz w:val="20"/>
                <w:szCs w:val="20"/>
              </w:rPr>
              <w:t xml:space="preserve">RMP Evaluator comment: The EU table is lengthy and provides information about drugs where dose adjustment is not necessary as well as contraindications. The US version is shorter. However, the table does not include the drugs which are contraindicated such as rifampicin, </w:t>
            </w:r>
            <w:r w:rsidRPr="002000A4">
              <w:rPr>
                <w:sz w:val="20"/>
                <w:szCs w:val="20"/>
              </w:rPr>
              <w:lastRenderedPageBreak/>
              <w:t xml:space="preserve">carbamazepine, phenytoin or ritonavir- these are listed under </w:t>
            </w:r>
            <w:r w:rsidR="006433E3" w:rsidRPr="002000A4">
              <w:rPr>
                <w:sz w:val="20"/>
                <w:szCs w:val="20"/>
              </w:rPr>
              <w:t>Contraindications</w:t>
            </w:r>
            <w:r w:rsidRPr="002000A4">
              <w:rPr>
                <w:sz w:val="20"/>
                <w:szCs w:val="20"/>
              </w:rPr>
              <w:t xml:space="preserve">. The US </w:t>
            </w:r>
            <w:r w:rsidR="00A44AA6" w:rsidRPr="002000A4">
              <w:rPr>
                <w:sz w:val="20"/>
                <w:szCs w:val="20"/>
              </w:rPr>
              <w:t>Label</w:t>
            </w:r>
            <w:r w:rsidRPr="002000A4">
              <w:rPr>
                <w:sz w:val="20"/>
                <w:szCs w:val="20"/>
              </w:rPr>
              <w:t xml:space="preserve"> has a table which list the drugs which are contraindicated with </w:t>
            </w:r>
            <w:proofErr w:type="spellStart"/>
            <w:r w:rsidRPr="002000A4">
              <w:rPr>
                <w:sz w:val="20"/>
                <w:szCs w:val="20"/>
              </w:rPr>
              <w:t>Zepatier</w:t>
            </w:r>
            <w:proofErr w:type="spellEnd"/>
            <w:r w:rsidRPr="002000A4">
              <w:rPr>
                <w:sz w:val="20"/>
                <w:szCs w:val="20"/>
              </w:rPr>
              <w:t xml:space="preserve"> which could be useful, under </w:t>
            </w:r>
            <w:r w:rsidR="006433E3" w:rsidRPr="002000A4">
              <w:rPr>
                <w:sz w:val="20"/>
                <w:szCs w:val="20"/>
              </w:rPr>
              <w:t>Contraindications</w:t>
            </w:r>
            <w:r w:rsidRPr="002000A4">
              <w:rPr>
                <w:sz w:val="20"/>
                <w:szCs w:val="20"/>
              </w:rPr>
              <w:t xml:space="preserve">. In addition the US </w:t>
            </w:r>
            <w:r w:rsidR="00593337" w:rsidRPr="002000A4">
              <w:rPr>
                <w:sz w:val="20"/>
                <w:szCs w:val="20"/>
              </w:rPr>
              <w:t xml:space="preserve">Prescriber Information </w:t>
            </w:r>
            <w:r w:rsidRPr="002000A4">
              <w:rPr>
                <w:sz w:val="20"/>
                <w:szCs w:val="20"/>
              </w:rPr>
              <w:t xml:space="preserve">lists </w:t>
            </w:r>
            <w:proofErr w:type="spellStart"/>
            <w:r w:rsidRPr="002000A4">
              <w:rPr>
                <w:sz w:val="20"/>
                <w:szCs w:val="20"/>
              </w:rPr>
              <w:t>tacrolimus</w:t>
            </w:r>
            <w:proofErr w:type="spellEnd"/>
            <w:r w:rsidRPr="002000A4">
              <w:rPr>
                <w:sz w:val="20"/>
                <w:szCs w:val="20"/>
              </w:rPr>
              <w:t xml:space="preserve"> with a drug interaction but the Eu</w:t>
            </w:r>
            <w:r w:rsidR="006433E3" w:rsidRPr="002000A4">
              <w:rPr>
                <w:sz w:val="20"/>
                <w:szCs w:val="20"/>
              </w:rPr>
              <w:t xml:space="preserve">ropean Summary of Product Characteristics (EU </w:t>
            </w:r>
            <w:r w:rsidRPr="002000A4">
              <w:rPr>
                <w:sz w:val="20"/>
                <w:szCs w:val="20"/>
              </w:rPr>
              <w:t>SmPC</w:t>
            </w:r>
            <w:r w:rsidR="006433E3" w:rsidRPr="002000A4">
              <w:rPr>
                <w:sz w:val="20"/>
                <w:szCs w:val="20"/>
              </w:rPr>
              <w:t>)</w:t>
            </w:r>
            <w:r w:rsidRPr="002000A4">
              <w:rPr>
                <w:sz w:val="20"/>
                <w:szCs w:val="20"/>
              </w:rPr>
              <w:t xml:space="preserve"> (version in Annex 2) does not (no dose adjustment required). The </w:t>
            </w:r>
            <w:r w:rsidR="006433E3" w:rsidRPr="002000A4">
              <w:rPr>
                <w:sz w:val="20"/>
                <w:szCs w:val="20"/>
              </w:rPr>
              <w:t>s</w:t>
            </w:r>
            <w:r w:rsidRPr="002000A4">
              <w:rPr>
                <w:sz w:val="20"/>
                <w:szCs w:val="20"/>
              </w:rPr>
              <w:t xml:space="preserve">ponsor should: (i) include the CYP3A4 inducers which are contraindicated in Table 9 of the </w:t>
            </w:r>
            <w:r w:rsidR="00CE22E6" w:rsidRPr="002000A4">
              <w:rPr>
                <w:sz w:val="20"/>
                <w:szCs w:val="20"/>
              </w:rPr>
              <w:t>Product Information</w:t>
            </w:r>
            <w:r w:rsidRPr="002000A4">
              <w:rPr>
                <w:sz w:val="20"/>
                <w:szCs w:val="20"/>
              </w:rPr>
              <w:t xml:space="preserve"> and (ii) include a table of contraindicated medicines under the </w:t>
            </w:r>
            <w:r w:rsidR="00D34382" w:rsidRPr="002000A4">
              <w:rPr>
                <w:sz w:val="20"/>
                <w:szCs w:val="20"/>
              </w:rPr>
              <w:t xml:space="preserve">‘  </w:t>
            </w:r>
            <w:r w:rsidRPr="002000A4">
              <w:rPr>
                <w:sz w:val="20"/>
                <w:szCs w:val="20"/>
              </w:rPr>
              <w:t>Contraindications</w:t>
            </w:r>
            <w:r w:rsidR="00D34382" w:rsidRPr="002000A4">
              <w:rPr>
                <w:sz w:val="20"/>
                <w:szCs w:val="20"/>
              </w:rPr>
              <w:t xml:space="preserve">’  </w:t>
            </w:r>
            <w:r w:rsidRPr="002000A4">
              <w:rPr>
                <w:sz w:val="20"/>
                <w:szCs w:val="20"/>
              </w:rPr>
              <w:t xml:space="preserve"> section of the </w:t>
            </w:r>
            <w:r w:rsidR="00CE22E6" w:rsidRPr="002000A4">
              <w:rPr>
                <w:sz w:val="20"/>
                <w:szCs w:val="20"/>
              </w:rPr>
              <w:t>Product Information</w:t>
            </w:r>
            <w:r w:rsidRPr="002000A4">
              <w:rPr>
                <w:sz w:val="20"/>
                <w:szCs w:val="20"/>
              </w:rPr>
              <w:t xml:space="preserve">, similar to that provided in the US </w:t>
            </w:r>
            <w:r w:rsidR="00593337" w:rsidRPr="002000A4">
              <w:rPr>
                <w:sz w:val="20"/>
                <w:szCs w:val="20"/>
              </w:rPr>
              <w:t>Prescriber Information</w:t>
            </w:r>
            <w:r w:rsidRPr="002000A4">
              <w:rPr>
                <w:sz w:val="20"/>
                <w:szCs w:val="20"/>
              </w:rPr>
              <w:t>.</w:t>
            </w:r>
          </w:p>
        </w:tc>
      </w:tr>
      <w:tr w:rsidR="00D15388" w:rsidRPr="002000A4" w14:paraId="4C3DD4BC"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BB" w14:textId="77777777" w:rsidR="00D15388" w:rsidRPr="002000A4" w:rsidRDefault="00D15388" w:rsidP="002000A4">
            <w:pPr>
              <w:rPr>
                <w:i/>
                <w:sz w:val="20"/>
                <w:szCs w:val="20"/>
              </w:rPr>
            </w:pPr>
            <w:r w:rsidRPr="002000A4">
              <w:rPr>
                <w:sz w:val="20"/>
                <w:szCs w:val="20"/>
              </w:rPr>
              <w:lastRenderedPageBreak/>
              <w:t>TGA recommendation 1.13: In the ‘Precautions’ section or in another relevant section, the sponsor should include a statement on management of patients with baseline NS5A polymorphisms.</w:t>
            </w:r>
          </w:p>
        </w:tc>
      </w:tr>
      <w:tr w:rsidR="00D15388" w:rsidRPr="002000A4" w14:paraId="4C3DD4BE"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BD" w14:textId="77777777" w:rsidR="00D15388" w:rsidRPr="002000A4" w:rsidRDefault="00D15388" w:rsidP="002000A4">
            <w:pPr>
              <w:rPr>
                <w:i/>
                <w:sz w:val="20"/>
                <w:szCs w:val="20"/>
              </w:rPr>
            </w:pPr>
            <w:r w:rsidRPr="002000A4">
              <w:rPr>
                <w:i/>
                <w:sz w:val="20"/>
                <w:szCs w:val="20"/>
              </w:rPr>
              <w:t xml:space="preserve">Sponsor’s response: The sponsor states that the prevalence and impact of baseline NS5A polymorphisms on treatment response is addressed in the Microbiology section of the </w:t>
            </w:r>
            <w:r w:rsidR="00CE22E6" w:rsidRPr="002000A4">
              <w:rPr>
                <w:i/>
                <w:sz w:val="20"/>
                <w:szCs w:val="20"/>
              </w:rPr>
              <w:t>Product Information</w:t>
            </w:r>
            <w:r w:rsidRPr="002000A4">
              <w:rPr>
                <w:i/>
                <w:sz w:val="20"/>
                <w:szCs w:val="20"/>
              </w:rPr>
              <w:t>.</w:t>
            </w:r>
          </w:p>
        </w:tc>
      </w:tr>
      <w:tr w:rsidR="00D15388" w:rsidRPr="002000A4" w14:paraId="4C3DD4C0"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BF" w14:textId="77777777" w:rsidR="00D15388" w:rsidRPr="002000A4" w:rsidRDefault="00D15388" w:rsidP="002000A4">
            <w:pPr>
              <w:rPr>
                <w:sz w:val="20"/>
                <w:szCs w:val="20"/>
              </w:rPr>
            </w:pPr>
            <w:r w:rsidRPr="002000A4">
              <w:rPr>
                <w:sz w:val="20"/>
                <w:szCs w:val="20"/>
              </w:rPr>
              <w:t>RMP Evaluator comment: This is acceptable as the information is co-located with information on other genetic variants of HCV.</w:t>
            </w:r>
          </w:p>
        </w:tc>
      </w:tr>
      <w:tr w:rsidR="00D15388" w:rsidRPr="002000A4" w14:paraId="4C3DD4C2"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C1" w14:textId="77777777" w:rsidR="00D15388" w:rsidRPr="002000A4" w:rsidRDefault="00D15388" w:rsidP="002000A4">
            <w:pPr>
              <w:rPr>
                <w:i/>
                <w:sz w:val="20"/>
                <w:szCs w:val="20"/>
              </w:rPr>
            </w:pPr>
            <w:r w:rsidRPr="002000A4">
              <w:rPr>
                <w:sz w:val="20"/>
                <w:szCs w:val="20"/>
              </w:rPr>
              <w:t>TGA recommendation 1.14: In the ‘Precautions’ section, the sponsor should provide numerical values of the increase in plasma concentrations in subjects over 65 years of age.</w:t>
            </w:r>
          </w:p>
        </w:tc>
      </w:tr>
      <w:tr w:rsidR="00D15388" w:rsidRPr="002000A4" w14:paraId="4C3DD4C4"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C3" w14:textId="77777777" w:rsidR="00D15388" w:rsidRPr="002000A4" w:rsidRDefault="00D15388" w:rsidP="002000A4">
            <w:pPr>
              <w:rPr>
                <w:i/>
                <w:sz w:val="20"/>
                <w:szCs w:val="20"/>
              </w:rPr>
            </w:pPr>
            <w:r w:rsidRPr="002000A4">
              <w:rPr>
                <w:i/>
                <w:sz w:val="20"/>
                <w:szCs w:val="20"/>
              </w:rPr>
              <w:t xml:space="preserve">Sponsor’s response: Numerical values of the increase in plasma concentration in subjects over 65 years of age are stated in the Pharmacokinetics section of the </w:t>
            </w:r>
            <w:r w:rsidR="00CE22E6" w:rsidRPr="002000A4">
              <w:rPr>
                <w:i/>
                <w:sz w:val="20"/>
                <w:szCs w:val="20"/>
              </w:rPr>
              <w:t>Product Information</w:t>
            </w:r>
            <w:r w:rsidRPr="002000A4">
              <w:rPr>
                <w:i/>
                <w:sz w:val="20"/>
                <w:szCs w:val="20"/>
              </w:rPr>
              <w:t xml:space="preserve">. The sponsor noted that there is no requirement for dose adjustment in this population and therefore does not need to be included under </w:t>
            </w:r>
            <w:r w:rsidR="006433E3" w:rsidRPr="002000A4">
              <w:rPr>
                <w:i/>
                <w:sz w:val="20"/>
                <w:szCs w:val="20"/>
              </w:rPr>
              <w:t>Precautions</w:t>
            </w:r>
            <w:r w:rsidRPr="002000A4">
              <w:rPr>
                <w:i/>
                <w:sz w:val="20"/>
                <w:szCs w:val="20"/>
              </w:rPr>
              <w:t>.</w:t>
            </w:r>
          </w:p>
        </w:tc>
      </w:tr>
      <w:tr w:rsidR="00D15388" w:rsidRPr="002000A4" w14:paraId="4C3DD4C6"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C5" w14:textId="77777777" w:rsidR="00D15388" w:rsidRPr="002000A4" w:rsidRDefault="00D15388" w:rsidP="002000A4">
            <w:pPr>
              <w:rPr>
                <w:sz w:val="20"/>
                <w:szCs w:val="20"/>
              </w:rPr>
            </w:pPr>
            <w:r w:rsidRPr="002000A4">
              <w:rPr>
                <w:sz w:val="20"/>
                <w:szCs w:val="20"/>
              </w:rPr>
              <w:t>RMP Evaluator comment: This is acceptable and the section appropriate.</w:t>
            </w:r>
          </w:p>
        </w:tc>
      </w:tr>
      <w:tr w:rsidR="00D15388" w:rsidRPr="002000A4" w14:paraId="4C3DD4C8"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C7" w14:textId="77777777" w:rsidR="00D15388" w:rsidRPr="002000A4" w:rsidRDefault="00D15388" w:rsidP="002000A4">
            <w:pPr>
              <w:rPr>
                <w:sz w:val="20"/>
                <w:szCs w:val="20"/>
              </w:rPr>
            </w:pPr>
            <w:r w:rsidRPr="002000A4">
              <w:rPr>
                <w:sz w:val="20"/>
                <w:szCs w:val="20"/>
              </w:rPr>
              <w:t>TGA recommendation 1.15: In the ‘Precautions’ section, the sponsor should provide numerical values of the increase in plasma concentrations in Asian patients.</w:t>
            </w:r>
          </w:p>
        </w:tc>
      </w:tr>
      <w:tr w:rsidR="00D15388" w:rsidRPr="002000A4" w14:paraId="4C3DD4CA"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C9" w14:textId="77777777" w:rsidR="00D15388" w:rsidRPr="002000A4" w:rsidRDefault="00D15388" w:rsidP="002000A4">
            <w:pPr>
              <w:rPr>
                <w:i/>
                <w:sz w:val="20"/>
                <w:szCs w:val="20"/>
              </w:rPr>
            </w:pPr>
            <w:r w:rsidRPr="002000A4">
              <w:rPr>
                <w:i/>
                <w:sz w:val="20"/>
                <w:szCs w:val="20"/>
              </w:rPr>
              <w:t xml:space="preserve">Sponsor’s response: Numerical values of the increase in plasma concentration in Asian patients are stated in the Pharmacokinetics section of the </w:t>
            </w:r>
            <w:r w:rsidR="00CE22E6" w:rsidRPr="002000A4">
              <w:rPr>
                <w:i/>
                <w:sz w:val="20"/>
                <w:szCs w:val="20"/>
              </w:rPr>
              <w:t>Product Information</w:t>
            </w:r>
            <w:r w:rsidRPr="002000A4">
              <w:rPr>
                <w:i/>
                <w:sz w:val="20"/>
                <w:szCs w:val="20"/>
              </w:rPr>
              <w:t xml:space="preserve">. The sponsor noted that there is no requirement for dose adjustment in this population and therefore does not need to be included under </w:t>
            </w:r>
            <w:r w:rsidR="006433E3" w:rsidRPr="002000A4">
              <w:rPr>
                <w:i/>
                <w:sz w:val="20"/>
                <w:szCs w:val="20"/>
              </w:rPr>
              <w:t>Precautions</w:t>
            </w:r>
            <w:r w:rsidRPr="002000A4">
              <w:rPr>
                <w:i/>
                <w:sz w:val="20"/>
                <w:szCs w:val="20"/>
              </w:rPr>
              <w:t>.</w:t>
            </w:r>
          </w:p>
        </w:tc>
      </w:tr>
      <w:tr w:rsidR="00D15388" w:rsidRPr="002000A4" w14:paraId="4C3DD4CC"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noWrap/>
          </w:tcPr>
          <w:p w14:paraId="4C3DD4CB" w14:textId="77777777" w:rsidR="00D15388" w:rsidRPr="002000A4" w:rsidRDefault="00D15388" w:rsidP="002000A4">
            <w:pPr>
              <w:rPr>
                <w:sz w:val="20"/>
                <w:szCs w:val="20"/>
              </w:rPr>
            </w:pPr>
            <w:r w:rsidRPr="002000A4">
              <w:rPr>
                <w:sz w:val="20"/>
                <w:szCs w:val="20"/>
              </w:rPr>
              <w:t>RMP Evaluator comment: This is acceptable.</w:t>
            </w:r>
          </w:p>
        </w:tc>
      </w:tr>
      <w:tr w:rsidR="00D15388" w:rsidRPr="002000A4" w14:paraId="4C3DD4CE"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CD" w14:textId="77777777" w:rsidR="00D15388" w:rsidRPr="002000A4" w:rsidRDefault="00D15388" w:rsidP="002000A4">
            <w:pPr>
              <w:rPr>
                <w:sz w:val="20"/>
                <w:szCs w:val="20"/>
              </w:rPr>
            </w:pPr>
            <w:r w:rsidRPr="002000A4">
              <w:rPr>
                <w:sz w:val="20"/>
                <w:szCs w:val="20"/>
              </w:rPr>
              <w:t xml:space="preserve">TGA recommendation 1.16: In the ‘Precautions’ section, the </w:t>
            </w:r>
            <w:r w:rsidR="00CE22E6" w:rsidRPr="002000A4">
              <w:rPr>
                <w:sz w:val="20"/>
                <w:szCs w:val="20"/>
              </w:rPr>
              <w:t>Product Information</w:t>
            </w:r>
            <w:r w:rsidRPr="002000A4">
              <w:rPr>
                <w:sz w:val="20"/>
                <w:szCs w:val="20"/>
              </w:rPr>
              <w:t xml:space="preserve"> should include a statement on the potential for ALT/AST elevation in Asian patients.</w:t>
            </w:r>
          </w:p>
        </w:tc>
      </w:tr>
      <w:tr w:rsidR="00D15388" w:rsidRPr="002000A4" w14:paraId="4C3DD4D0"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CF" w14:textId="77777777" w:rsidR="00D15388" w:rsidRPr="002000A4" w:rsidRDefault="00D15388" w:rsidP="002000A4">
            <w:pPr>
              <w:rPr>
                <w:i/>
                <w:sz w:val="20"/>
                <w:szCs w:val="20"/>
              </w:rPr>
            </w:pPr>
            <w:r w:rsidRPr="002000A4">
              <w:rPr>
                <w:i/>
                <w:sz w:val="20"/>
                <w:szCs w:val="20"/>
              </w:rPr>
              <w:t xml:space="preserve">Sponsor’s response: The sponsor has added a statement on the potential for ALT/AST elevation in Asian patients in the </w:t>
            </w:r>
            <w:r w:rsidR="006433E3" w:rsidRPr="002000A4">
              <w:rPr>
                <w:i/>
                <w:sz w:val="20"/>
                <w:szCs w:val="20"/>
              </w:rPr>
              <w:t xml:space="preserve">Precautions </w:t>
            </w:r>
            <w:r w:rsidRPr="002000A4">
              <w:rPr>
                <w:i/>
                <w:sz w:val="20"/>
                <w:szCs w:val="20"/>
              </w:rPr>
              <w:t xml:space="preserve">section of the </w:t>
            </w:r>
            <w:r w:rsidR="00CE22E6" w:rsidRPr="002000A4">
              <w:rPr>
                <w:i/>
                <w:sz w:val="20"/>
                <w:szCs w:val="20"/>
              </w:rPr>
              <w:t>Product Information</w:t>
            </w:r>
            <w:r w:rsidRPr="002000A4">
              <w:rPr>
                <w:i/>
                <w:sz w:val="20"/>
                <w:szCs w:val="20"/>
              </w:rPr>
              <w:t xml:space="preserve"> as follows: </w:t>
            </w:r>
            <w:r w:rsidR="00D34382" w:rsidRPr="002000A4">
              <w:rPr>
                <w:i/>
                <w:sz w:val="20"/>
                <w:szCs w:val="20"/>
              </w:rPr>
              <w:t xml:space="preserve">‘  </w:t>
            </w:r>
            <w:r w:rsidRPr="002000A4">
              <w:rPr>
                <w:i/>
                <w:sz w:val="20"/>
                <w:szCs w:val="20"/>
              </w:rPr>
              <w:t>Higher rates of late ALT elevations occurred in females (2% [11/652]), Asians (2% [4/165]), and subjects aged ≥65 years (2% [3/187])</w:t>
            </w:r>
            <w:r w:rsidR="00D34382" w:rsidRPr="002000A4">
              <w:rPr>
                <w:i/>
                <w:sz w:val="20"/>
                <w:szCs w:val="20"/>
              </w:rPr>
              <w:t xml:space="preserve">’  </w:t>
            </w:r>
          </w:p>
        </w:tc>
      </w:tr>
      <w:tr w:rsidR="00D15388" w:rsidRPr="002000A4" w14:paraId="4C3DD4D2"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D1" w14:textId="77777777" w:rsidR="00D15388" w:rsidRPr="002000A4" w:rsidRDefault="00D15388" w:rsidP="002000A4">
            <w:pPr>
              <w:rPr>
                <w:sz w:val="20"/>
                <w:szCs w:val="20"/>
              </w:rPr>
            </w:pPr>
            <w:r w:rsidRPr="002000A4">
              <w:rPr>
                <w:sz w:val="20"/>
                <w:szCs w:val="20"/>
              </w:rPr>
              <w:t>RMP Evaluator comment: This is acceptable as the risk of ALT elevation is clearly communicated.</w:t>
            </w:r>
          </w:p>
        </w:tc>
      </w:tr>
      <w:tr w:rsidR="00D15388" w:rsidRPr="002000A4" w14:paraId="4C3DD4D4"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D3" w14:textId="77777777" w:rsidR="00D15388" w:rsidRPr="002000A4" w:rsidRDefault="00D15388" w:rsidP="002000A4">
            <w:pPr>
              <w:rPr>
                <w:sz w:val="20"/>
                <w:szCs w:val="20"/>
              </w:rPr>
            </w:pPr>
            <w:r w:rsidRPr="002000A4">
              <w:rPr>
                <w:sz w:val="20"/>
                <w:szCs w:val="20"/>
              </w:rPr>
              <w:t xml:space="preserve">TGA recommendation 1.17: In the ‘Adverse events ‘section, the </w:t>
            </w:r>
            <w:r w:rsidR="00CE22E6" w:rsidRPr="002000A4">
              <w:rPr>
                <w:sz w:val="20"/>
                <w:szCs w:val="20"/>
              </w:rPr>
              <w:t>Product Information</w:t>
            </w:r>
            <w:r w:rsidRPr="002000A4">
              <w:rPr>
                <w:sz w:val="20"/>
                <w:szCs w:val="20"/>
              </w:rPr>
              <w:t xml:space="preserve"> should </w:t>
            </w:r>
            <w:r w:rsidRPr="002000A4">
              <w:rPr>
                <w:sz w:val="20"/>
                <w:szCs w:val="20"/>
              </w:rPr>
              <w:lastRenderedPageBreak/>
              <w:t>contain pooled information on adverse events from all relevant studies.</w:t>
            </w:r>
          </w:p>
        </w:tc>
      </w:tr>
      <w:tr w:rsidR="00D15388" w:rsidRPr="002000A4" w14:paraId="4C3DD4D6"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D5" w14:textId="77777777" w:rsidR="00D15388" w:rsidRPr="002000A4" w:rsidRDefault="00D15388" w:rsidP="002000A4">
            <w:pPr>
              <w:rPr>
                <w:i/>
                <w:sz w:val="20"/>
                <w:szCs w:val="20"/>
              </w:rPr>
            </w:pPr>
            <w:r w:rsidRPr="002000A4">
              <w:rPr>
                <w:i/>
                <w:sz w:val="20"/>
                <w:szCs w:val="20"/>
              </w:rPr>
              <w:lastRenderedPageBreak/>
              <w:t xml:space="preserve">Sponsor’s response: The sponsor states that the current presentation of the adverse reaction data in the </w:t>
            </w:r>
            <w:r w:rsidR="00CE22E6" w:rsidRPr="002000A4">
              <w:rPr>
                <w:i/>
                <w:sz w:val="20"/>
                <w:szCs w:val="20"/>
              </w:rPr>
              <w:t>Product Information</w:t>
            </w:r>
            <w:r w:rsidRPr="002000A4">
              <w:rPr>
                <w:i/>
                <w:sz w:val="20"/>
                <w:szCs w:val="20"/>
              </w:rPr>
              <w:t xml:space="preserve"> is the most informative because it represents the adverse reactions observed in clinical trials that correspond to the proposed posology, and is based on the population</w:t>
            </w:r>
            <w:r w:rsidR="006433E3" w:rsidRPr="002000A4">
              <w:rPr>
                <w:i/>
                <w:sz w:val="20"/>
                <w:szCs w:val="20"/>
              </w:rPr>
              <w:t>s and dosing regimens studied. T</w:t>
            </w:r>
            <w:r w:rsidRPr="002000A4">
              <w:rPr>
                <w:i/>
                <w:sz w:val="20"/>
                <w:szCs w:val="20"/>
              </w:rPr>
              <w:t xml:space="preserve">wo placebo-controlled trials providing insights on the safety profile of </w:t>
            </w:r>
            <w:proofErr w:type="spellStart"/>
            <w:r w:rsidR="00D80B0A" w:rsidRPr="002000A4">
              <w:rPr>
                <w:i/>
                <w:sz w:val="20"/>
                <w:szCs w:val="20"/>
              </w:rPr>
              <w:t>Zepatier</w:t>
            </w:r>
            <w:proofErr w:type="spellEnd"/>
            <w:r w:rsidRPr="002000A4">
              <w:rPr>
                <w:i/>
                <w:sz w:val="20"/>
                <w:szCs w:val="20"/>
              </w:rPr>
              <w:t xml:space="preserve">, one in the treatment naïve population (C-EDGE TN) and the other in the advanced chronic kidney disease population (C-SURFER). The adverse reaction data are presented separately in the </w:t>
            </w:r>
            <w:r w:rsidR="00CE22E6" w:rsidRPr="002000A4">
              <w:rPr>
                <w:i/>
                <w:sz w:val="20"/>
                <w:szCs w:val="20"/>
              </w:rPr>
              <w:t>Product Information</w:t>
            </w:r>
            <w:r w:rsidRPr="002000A4">
              <w:rPr>
                <w:i/>
                <w:sz w:val="20"/>
                <w:szCs w:val="20"/>
              </w:rPr>
              <w:t xml:space="preserve"> because these studies were conducted in different populations and with different dosing regimens. Table 10 presents adverse reaction data in C-EDGE TN and the pooled data for </w:t>
            </w:r>
            <w:proofErr w:type="spellStart"/>
            <w:r w:rsidR="00D80B0A" w:rsidRPr="002000A4">
              <w:rPr>
                <w:i/>
                <w:sz w:val="20"/>
                <w:szCs w:val="20"/>
              </w:rPr>
              <w:t>Zepatier</w:t>
            </w:r>
            <w:proofErr w:type="spellEnd"/>
            <w:r w:rsidRPr="002000A4">
              <w:rPr>
                <w:i/>
                <w:sz w:val="20"/>
                <w:szCs w:val="20"/>
              </w:rPr>
              <w:t xml:space="preserve"> alone for 12 weeks.</w:t>
            </w:r>
          </w:p>
        </w:tc>
      </w:tr>
      <w:tr w:rsidR="00D15388" w:rsidRPr="002000A4" w14:paraId="4C3DD4D8"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D7" w14:textId="77777777" w:rsidR="00D15388" w:rsidRPr="002000A4" w:rsidRDefault="00D15388" w:rsidP="002000A4">
            <w:pPr>
              <w:rPr>
                <w:sz w:val="20"/>
                <w:szCs w:val="20"/>
              </w:rPr>
            </w:pPr>
            <w:r w:rsidRPr="002000A4">
              <w:rPr>
                <w:sz w:val="20"/>
                <w:szCs w:val="20"/>
              </w:rPr>
              <w:t xml:space="preserve">RMP Evaluator comment: The sponsor’s response appears reasonable. The sponsor should note that the </w:t>
            </w:r>
            <w:r w:rsidR="006433E3" w:rsidRPr="002000A4">
              <w:rPr>
                <w:sz w:val="20"/>
                <w:szCs w:val="20"/>
              </w:rPr>
              <w:t>c</w:t>
            </w:r>
            <w:r w:rsidRPr="002000A4">
              <w:rPr>
                <w:sz w:val="20"/>
                <w:szCs w:val="20"/>
              </w:rPr>
              <w:t xml:space="preserve">linical Delegate determines the adequacy of </w:t>
            </w:r>
            <w:r w:rsidR="00CE22E6" w:rsidRPr="002000A4">
              <w:rPr>
                <w:sz w:val="20"/>
                <w:szCs w:val="20"/>
              </w:rPr>
              <w:t>Product Information</w:t>
            </w:r>
            <w:r w:rsidRPr="002000A4">
              <w:rPr>
                <w:sz w:val="20"/>
                <w:szCs w:val="20"/>
              </w:rPr>
              <w:t xml:space="preserve"> statements.</w:t>
            </w:r>
          </w:p>
        </w:tc>
      </w:tr>
      <w:tr w:rsidR="00D15388" w:rsidRPr="002000A4" w14:paraId="4C3DD4DA"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D9" w14:textId="77777777" w:rsidR="00D15388" w:rsidRPr="002000A4" w:rsidRDefault="00D15388" w:rsidP="002000A4">
            <w:pPr>
              <w:rPr>
                <w:i/>
                <w:sz w:val="20"/>
                <w:szCs w:val="20"/>
              </w:rPr>
            </w:pPr>
            <w:r w:rsidRPr="002000A4">
              <w:rPr>
                <w:sz w:val="20"/>
                <w:szCs w:val="20"/>
              </w:rPr>
              <w:t xml:space="preserve">TGA recommendation 1.18: In the ‘Adverse Events’ section, the </w:t>
            </w:r>
            <w:r w:rsidR="00CE22E6" w:rsidRPr="002000A4">
              <w:rPr>
                <w:sz w:val="20"/>
                <w:szCs w:val="20"/>
              </w:rPr>
              <w:t>Product Information</w:t>
            </w:r>
            <w:r w:rsidRPr="002000A4">
              <w:rPr>
                <w:sz w:val="20"/>
                <w:szCs w:val="20"/>
              </w:rPr>
              <w:t xml:space="preserve"> should additionally present pooled adverse events in a table that allows easy visualization of the adverse events according to body system and frequency.</w:t>
            </w:r>
          </w:p>
        </w:tc>
      </w:tr>
      <w:tr w:rsidR="00D15388" w:rsidRPr="002000A4" w14:paraId="4C3DD4DC"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DB" w14:textId="77777777" w:rsidR="00D15388" w:rsidRPr="002000A4" w:rsidRDefault="00D15388" w:rsidP="002000A4">
            <w:pPr>
              <w:rPr>
                <w:i/>
                <w:sz w:val="20"/>
                <w:szCs w:val="20"/>
              </w:rPr>
            </w:pPr>
            <w:r w:rsidRPr="002000A4">
              <w:rPr>
                <w:i/>
                <w:sz w:val="20"/>
                <w:szCs w:val="20"/>
              </w:rPr>
              <w:t xml:space="preserve">Sponsor’s response: The sponsor believes </w:t>
            </w:r>
            <w:r w:rsidR="006433E3" w:rsidRPr="002000A4">
              <w:rPr>
                <w:i/>
                <w:sz w:val="20"/>
                <w:szCs w:val="20"/>
              </w:rPr>
              <w:t xml:space="preserve">Adverse Events </w:t>
            </w:r>
            <w:r w:rsidRPr="002000A4">
              <w:rPr>
                <w:i/>
                <w:sz w:val="20"/>
                <w:szCs w:val="20"/>
              </w:rPr>
              <w:t xml:space="preserve">section of the </w:t>
            </w:r>
            <w:r w:rsidR="00CE22E6" w:rsidRPr="002000A4">
              <w:rPr>
                <w:i/>
                <w:sz w:val="20"/>
                <w:szCs w:val="20"/>
              </w:rPr>
              <w:t>Product Information</w:t>
            </w:r>
            <w:r w:rsidRPr="002000A4">
              <w:rPr>
                <w:i/>
                <w:sz w:val="20"/>
                <w:szCs w:val="20"/>
              </w:rPr>
              <w:t xml:space="preserve"> clearly describes the effect of placebo controlled trials for the reasons provided in Response 1.17.</w:t>
            </w:r>
          </w:p>
        </w:tc>
      </w:tr>
      <w:tr w:rsidR="00D15388" w:rsidRPr="002000A4" w14:paraId="4C3DD4DE" w14:textId="77777777" w:rsidTr="00D15388">
        <w:trPr>
          <w:jc w:val="center"/>
        </w:trPr>
        <w:tc>
          <w:tcPr>
            <w:tcW w:w="5000" w:type="pct"/>
            <w:tcBorders>
              <w:top w:val="dotted" w:sz="2" w:space="0" w:color="auto"/>
              <w:left w:val="single" w:sz="8" w:space="0" w:color="000000" w:themeColor="text1"/>
              <w:bottom w:val="double" w:sz="4" w:space="0" w:color="auto"/>
              <w:right w:val="single" w:sz="8" w:space="0" w:color="000000" w:themeColor="text1"/>
            </w:tcBorders>
            <w:shd w:val="clear" w:color="auto" w:fill="FFFFCC"/>
            <w:noWrap/>
          </w:tcPr>
          <w:p w14:paraId="4C3DD4DD" w14:textId="77777777" w:rsidR="00D15388" w:rsidRPr="002000A4" w:rsidRDefault="00D15388" w:rsidP="002000A4">
            <w:pPr>
              <w:rPr>
                <w:sz w:val="20"/>
                <w:szCs w:val="20"/>
              </w:rPr>
            </w:pPr>
            <w:r w:rsidRPr="002000A4">
              <w:rPr>
                <w:sz w:val="20"/>
                <w:szCs w:val="20"/>
              </w:rPr>
              <w:t>RMP Evaluator comment: See response above (to TGA recommendation 1.17)</w:t>
            </w:r>
          </w:p>
        </w:tc>
      </w:tr>
      <w:tr w:rsidR="00D15388" w:rsidRPr="002000A4" w14:paraId="4C3DD4E0" w14:textId="77777777" w:rsidTr="00D15388">
        <w:trPr>
          <w:jc w:val="center"/>
        </w:trPr>
        <w:tc>
          <w:tcPr>
            <w:tcW w:w="5000" w:type="pct"/>
            <w:tcBorders>
              <w:top w:val="double" w:sz="4" w:space="0" w:color="auto"/>
              <w:left w:val="single" w:sz="8" w:space="0" w:color="000000" w:themeColor="text1"/>
              <w:bottom w:val="dotted" w:sz="2" w:space="0" w:color="auto"/>
              <w:right w:val="single" w:sz="8" w:space="0" w:color="000000" w:themeColor="text1"/>
            </w:tcBorders>
            <w:noWrap/>
          </w:tcPr>
          <w:p w14:paraId="4C3DD4DF" w14:textId="77777777" w:rsidR="00D15388" w:rsidRPr="002000A4" w:rsidRDefault="00D15388" w:rsidP="002000A4">
            <w:pPr>
              <w:rPr>
                <w:i/>
                <w:sz w:val="20"/>
                <w:szCs w:val="20"/>
              </w:rPr>
            </w:pPr>
            <w:r w:rsidRPr="002000A4">
              <w:rPr>
                <w:sz w:val="20"/>
                <w:szCs w:val="20"/>
              </w:rPr>
              <w:t xml:space="preserve">TGA recommendation 1.19: In regard to the proposed routine risk minimisation activities, it is recommended to the Delegate that the draft consumer medicines information </w:t>
            </w:r>
            <w:r w:rsidR="0060026A" w:rsidRPr="002000A4">
              <w:rPr>
                <w:sz w:val="20"/>
                <w:szCs w:val="20"/>
              </w:rPr>
              <w:t xml:space="preserve">(CMI) </w:t>
            </w:r>
            <w:r w:rsidRPr="002000A4">
              <w:rPr>
                <w:sz w:val="20"/>
                <w:szCs w:val="20"/>
              </w:rPr>
              <w:t>document be revised to accommodate the changes made to the product information document.</w:t>
            </w:r>
          </w:p>
        </w:tc>
      </w:tr>
      <w:tr w:rsidR="00D15388" w:rsidRPr="002000A4" w14:paraId="4C3DD4E2" w14:textId="77777777" w:rsidTr="00D15388">
        <w:trPr>
          <w:jc w:val="center"/>
        </w:trPr>
        <w:tc>
          <w:tcPr>
            <w:tcW w:w="5000" w:type="pct"/>
            <w:tcBorders>
              <w:top w:val="dotted" w:sz="2" w:space="0" w:color="auto"/>
              <w:left w:val="single" w:sz="8" w:space="0" w:color="000000" w:themeColor="text1"/>
              <w:bottom w:val="dotted" w:sz="2" w:space="0" w:color="auto"/>
              <w:right w:val="single" w:sz="8" w:space="0" w:color="000000" w:themeColor="text1"/>
            </w:tcBorders>
            <w:noWrap/>
          </w:tcPr>
          <w:p w14:paraId="4C3DD4E1" w14:textId="77777777" w:rsidR="00D15388" w:rsidRPr="002000A4" w:rsidRDefault="00D15388" w:rsidP="002000A4">
            <w:pPr>
              <w:rPr>
                <w:i/>
                <w:sz w:val="20"/>
                <w:szCs w:val="20"/>
              </w:rPr>
            </w:pPr>
            <w:r w:rsidRPr="002000A4">
              <w:rPr>
                <w:i/>
                <w:sz w:val="20"/>
                <w:szCs w:val="20"/>
              </w:rPr>
              <w:t xml:space="preserve">Sponsor’s response: The </w:t>
            </w:r>
            <w:r w:rsidR="0060026A" w:rsidRPr="002000A4">
              <w:rPr>
                <w:i/>
                <w:sz w:val="20"/>
                <w:szCs w:val="20"/>
              </w:rPr>
              <w:t>CMI</w:t>
            </w:r>
            <w:r w:rsidRPr="002000A4">
              <w:rPr>
                <w:i/>
                <w:sz w:val="20"/>
                <w:szCs w:val="20"/>
              </w:rPr>
              <w:t xml:space="preserve"> has been revised to reflect changes proposed in the </w:t>
            </w:r>
            <w:r w:rsidR="0060026A" w:rsidRPr="002000A4">
              <w:rPr>
                <w:i/>
                <w:sz w:val="20"/>
                <w:szCs w:val="20"/>
              </w:rPr>
              <w:t>c</w:t>
            </w:r>
            <w:r w:rsidRPr="002000A4">
              <w:rPr>
                <w:i/>
                <w:sz w:val="20"/>
                <w:szCs w:val="20"/>
              </w:rPr>
              <w:t xml:space="preserve">linical </w:t>
            </w:r>
            <w:r w:rsidR="0060026A" w:rsidRPr="002000A4">
              <w:rPr>
                <w:i/>
                <w:sz w:val="20"/>
                <w:szCs w:val="20"/>
              </w:rPr>
              <w:t>e</w:t>
            </w:r>
            <w:r w:rsidRPr="002000A4">
              <w:rPr>
                <w:i/>
                <w:sz w:val="20"/>
                <w:szCs w:val="20"/>
              </w:rPr>
              <w:t>valuation. The CMI may be revised further to accommodate changes made to the Product Information document following the recommendations of the Delegate’s Overview and Pre-ACPM Response.</w:t>
            </w:r>
          </w:p>
        </w:tc>
      </w:tr>
      <w:tr w:rsidR="00D15388" w:rsidRPr="002000A4" w14:paraId="4C3DD4E4" w14:textId="77777777" w:rsidTr="00D15388">
        <w:trPr>
          <w:jc w:val="center"/>
        </w:trPr>
        <w:tc>
          <w:tcPr>
            <w:tcW w:w="5000" w:type="pct"/>
            <w:tcBorders>
              <w:top w:val="dotted" w:sz="2" w:space="0" w:color="auto"/>
              <w:left w:val="single" w:sz="8" w:space="0" w:color="000000" w:themeColor="text1"/>
              <w:bottom w:val="single" w:sz="8" w:space="0" w:color="000000" w:themeColor="text1"/>
              <w:right w:val="single" w:sz="8" w:space="0" w:color="000000" w:themeColor="text1"/>
            </w:tcBorders>
            <w:shd w:val="clear" w:color="auto" w:fill="FFFFCC"/>
            <w:noWrap/>
          </w:tcPr>
          <w:p w14:paraId="4C3DD4E3" w14:textId="77777777" w:rsidR="00D15388" w:rsidRPr="002000A4" w:rsidRDefault="00D15388" w:rsidP="002000A4">
            <w:pPr>
              <w:rPr>
                <w:sz w:val="20"/>
                <w:szCs w:val="20"/>
              </w:rPr>
            </w:pPr>
            <w:r w:rsidRPr="002000A4">
              <w:rPr>
                <w:sz w:val="20"/>
                <w:szCs w:val="20"/>
              </w:rPr>
              <w:t xml:space="preserve">RMP Evaluator comment: This is acceptable and the sponsor’s commitment to further update the CMI to reflect any </w:t>
            </w:r>
            <w:r w:rsidR="00CE22E6" w:rsidRPr="002000A4">
              <w:rPr>
                <w:sz w:val="20"/>
                <w:szCs w:val="20"/>
              </w:rPr>
              <w:t>Product Information</w:t>
            </w:r>
            <w:r w:rsidRPr="002000A4">
              <w:rPr>
                <w:sz w:val="20"/>
                <w:szCs w:val="20"/>
              </w:rPr>
              <w:t xml:space="preserve"> changes is noted.</w:t>
            </w:r>
          </w:p>
        </w:tc>
      </w:tr>
    </w:tbl>
    <w:p w14:paraId="4C3DD4E5" w14:textId="77777777"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14:paraId="4C3DD4E6" w14:textId="77777777" w:rsidR="0060026A" w:rsidRDefault="0060026A" w:rsidP="0060026A">
      <w:r w:rsidRPr="00502C09">
        <w:t xml:space="preserve">It is considered that the sponsor’s response to the TGA </w:t>
      </w:r>
      <w:r>
        <w:t>r</w:t>
      </w:r>
      <w:r w:rsidRPr="00502C09">
        <w:t xml:space="preserve">equest </w:t>
      </w:r>
      <w:r>
        <w:t xml:space="preserve">for further information </w:t>
      </w:r>
      <w:r w:rsidRPr="00EE76EE">
        <w:t>has</w:t>
      </w:r>
      <w:r>
        <w:t xml:space="preserve"> not </w:t>
      </w:r>
      <w:r w:rsidRPr="00502C09">
        <w:t>adequately addressed all of the issues identifi</w:t>
      </w:r>
      <w:r>
        <w:t>ed in the RMP evaluation report. There are outstanding recommendations (see below)</w:t>
      </w:r>
    </w:p>
    <w:p w14:paraId="4C3DD4E7" w14:textId="77777777" w:rsidR="00D15388" w:rsidRPr="00502C09" w:rsidRDefault="00D15388" w:rsidP="0060026A">
      <w:pPr>
        <w:pStyle w:val="Heading5"/>
      </w:pPr>
      <w:r w:rsidRPr="00502C09">
        <w:t>Outstanding issues</w:t>
      </w:r>
    </w:p>
    <w:p w14:paraId="5DFADD5E" w14:textId="77777777" w:rsidR="00655550" w:rsidRDefault="00D15388" w:rsidP="0060026A">
      <w:pPr>
        <w:pStyle w:val="Heading6"/>
      </w:pPr>
      <w:r w:rsidRPr="00502C09">
        <w:t>Issues in relation to the RMP</w:t>
      </w:r>
    </w:p>
    <w:p w14:paraId="4C3DD4E9" w14:textId="194743A5" w:rsidR="00D15388" w:rsidRDefault="00D15388" w:rsidP="0060026A">
      <w:r>
        <w:t xml:space="preserve">The </w:t>
      </w:r>
      <w:r w:rsidR="0060026A">
        <w:t>s</w:t>
      </w:r>
      <w:r>
        <w:t>ponsor has committed to submitting a revised ASA in the pre-ACPM response. Revision of the ASA should address the recommendations made below.</w:t>
      </w:r>
    </w:p>
    <w:p w14:paraId="4C3DD4EA" w14:textId="77777777" w:rsidR="00D15388" w:rsidRDefault="00D15388" w:rsidP="0060026A">
      <w:r>
        <w:t>The following outstanding issues should be addressed:</w:t>
      </w:r>
    </w:p>
    <w:p w14:paraId="4C3DD4EB" w14:textId="77777777" w:rsidR="00D15388" w:rsidRDefault="00D15388" w:rsidP="0060026A">
      <w:pPr>
        <w:ind w:left="720"/>
      </w:pPr>
      <w:r>
        <w:t xml:space="preserve">TGA recommendation 1.2: Missing information regarding </w:t>
      </w:r>
      <w:r w:rsidR="00D34382">
        <w:t>‘</w:t>
      </w:r>
      <w:r>
        <w:t>long term safety</w:t>
      </w:r>
      <w:r w:rsidR="00D34382">
        <w:t xml:space="preserve">’  </w:t>
      </w:r>
      <w:r>
        <w:t xml:space="preserve"> and </w:t>
      </w:r>
      <w:r w:rsidR="00D34382">
        <w:t>‘</w:t>
      </w:r>
      <w:r>
        <w:t>safety data in the Australian Indigenous population</w:t>
      </w:r>
      <w:r w:rsidR="00D34382">
        <w:t xml:space="preserve">’  </w:t>
      </w:r>
      <w:r>
        <w:t xml:space="preserve"> should be added to the </w:t>
      </w:r>
      <w:r>
        <w:lastRenderedPageBreak/>
        <w:t>revised ASA. Adequate pharmacovigilance and/or risk minimisation activities should also be included in the ASA.</w:t>
      </w:r>
    </w:p>
    <w:p w14:paraId="4C3DD4EC" w14:textId="77777777" w:rsidR="00D15388" w:rsidRDefault="00D15388" w:rsidP="0060026A">
      <w:pPr>
        <w:ind w:left="720"/>
      </w:pPr>
      <w:r>
        <w:t>TGA recommendation 1.9: The draft educational materials should be submitted to the TGA when they become available, and should also be included in the revised ASA as an appendix.</w:t>
      </w:r>
    </w:p>
    <w:p w14:paraId="4C3DD4ED" w14:textId="77777777" w:rsidR="00D15388" w:rsidRDefault="00D15388" w:rsidP="0060026A">
      <w:pPr>
        <w:ind w:left="720"/>
      </w:pPr>
      <w:r>
        <w:t xml:space="preserve">TGA recommendation 1.12: Table 9 of the draft </w:t>
      </w:r>
      <w:r w:rsidR="00CE22E6" w:rsidRPr="00CE22E6">
        <w:t>Product Information</w:t>
      </w:r>
      <w:r>
        <w:t xml:space="preserve"> should include interactions with the CYP3A4 inducers listed in the contraindications section of the </w:t>
      </w:r>
      <w:r w:rsidR="00CE22E6" w:rsidRPr="00CE22E6">
        <w:t>Product Information</w:t>
      </w:r>
      <w:r>
        <w:t xml:space="preserve">. In addition, a table similar to that used in the US </w:t>
      </w:r>
      <w:r w:rsidR="00593337">
        <w:rPr>
          <w:rFonts w:asciiTheme="minorHAnsi" w:hAnsiTheme="minorHAnsi"/>
          <w:sz w:val="20"/>
          <w:szCs w:val="20"/>
        </w:rPr>
        <w:t>Prescriber Information</w:t>
      </w:r>
      <w:r>
        <w:t xml:space="preserve"> which lists medicines that are contraindicated with </w:t>
      </w:r>
      <w:proofErr w:type="spellStart"/>
      <w:r w:rsidR="00E13CD8" w:rsidRPr="00E13CD8">
        <w:t>Zepatier</w:t>
      </w:r>
      <w:proofErr w:type="spellEnd"/>
      <w:r w:rsidR="00E13CD8">
        <w:t xml:space="preserve"> </w:t>
      </w:r>
      <w:r>
        <w:t xml:space="preserve">should be included in the contraindications section of the Australian </w:t>
      </w:r>
      <w:r w:rsidR="00CE22E6" w:rsidRPr="00CE22E6">
        <w:t>Product Information</w:t>
      </w:r>
      <w:r>
        <w:t xml:space="preserve"> (noting any relevant modifications for the Australian context should be made).</w:t>
      </w:r>
    </w:p>
    <w:p w14:paraId="4C3DD4EE" w14:textId="77777777" w:rsidR="00D15388" w:rsidRDefault="00D15388" w:rsidP="0060026A">
      <w:r>
        <w:t xml:space="preserve">In addition, it is noted that the </w:t>
      </w:r>
      <w:r w:rsidR="0060026A">
        <w:t>s</w:t>
      </w:r>
      <w:r>
        <w:t>ponsor has made the following commitments in their response:</w:t>
      </w:r>
    </w:p>
    <w:p w14:paraId="4C3DD4EF" w14:textId="076444EF" w:rsidR="00D15388" w:rsidRPr="00DA634A" w:rsidRDefault="00D15388" w:rsidP="0060026A">
      <w:pPr>
        <w:pStyle w:val="ListBullet"/>
      </w:pPr>
      <w:r w:rsidRPr="00DA634A">
        <w:t>Submit a revised ASA in the pre-ACPM response</w:t>
      </w:r>
      <w:r w:rsidR="009321D4">
        <w:t>.</w:t>
      </w:r>
    </w:p>
    <w:p w14:paraId="4C3DD4F0" w14:textId="2CB53D2C" w:rsidR="00D15388" w:rsidRDefault="00D15388" w:rsidP="0060026A">
      <w:pPr>
        <w:pStyle w:val="ListBullet"/>
      </w:pPr>
      <w:r>
        <w:t>S</w:t>
      </w:r>
      <w:r w:rsidRPr="00D31211">
        <w:t>ubmit the protocol for Study</w:t>
      </w:r>
      <w:r>
        <w:t xml:space="preserve"> P017 when it becomes available</w:t>
      </w:r>
      <w:r w:rsidR="009321D4">
        <w:t>.</w:t>
      </w:r>
    </w:p>
    <w:p w14:paraId="4C3DD4F1" w14:textId="3FF88B3D" w:rsidR="00D15388" w:rsidRDefault="00D15388" w:rsidP="00CE22E6">
      <w:pPr>
        <w:pStyle w:val="ListBullet"/>
      </w:pPr>
      <w:r>
        <w:t xml:space="preserve">Update the </w:t>
      </w:r>
      <w:r w:rsidR="00CE22E6" w:rsidRPr="00CE22E6">
        <w:t>Product Information</w:t>
      </w:r>
      <w:r>
        <w:t xml:space="preserve"> and RMP with data from Studies</w:t>
      </w:r>
      <w:r w:rsidRPr="00DA634A">
        <w:rPr>
          <w:rFonts w:eastAsia="MS Mincho" w:cstheme="minorBidi"/>
          <w:i/>
          <w:sz w:val="20"/>
          <w:szCs w:val="20"/>
        </w:rPr>
        <w:t xml:space="preserve"> </w:t>
      </w:r>
      <w:r w:rsidRPr="00D31211">
        <w:t>MK-5172-062, MK-5172-058 and MK-5172-065</w:t>
      </w:r>
      <w:r>
        <w:t xml:space="preserve"> once the CSR has been finalised</w:t>
      </w:r>
      <w:r w:rsidR="009321D4">
        <w:t>.</w:t>
      </w:r>
    </w:p>
    <w:p w14:paraId="4C3DD4F2" w14:textId="77777777" w:rsidR="00D15388" w:rsidRDefault="00D15388" w:rsidP="00CE22E6">
      <w:pPr>
        <w:pStyle w:val="ListBullet"/>
      </w:pPr>
      <w:r>
        <w:t xml:space="preserve">Update the CMI to reflect any changes made to the </w:t>
      </w:r>
      <w:r w:rsidR="00CE22E6" w:rsidRPr="00CE22E6">
        <w:t>Product Information</w:t>
      </w:r>
      <w:r>
        <w:t>.</w:t>
      </w:r>
    </w:p>
    <w:p w14:paraId="5728817A" w14:textId="77777777" w:rsidR="00655550" w:rsidRDefault="00D15388" w:rsidP="0060026A">
      <w:pPr>
        <w:pStyle w:val="Heading5"/>
      </w:pPr>
      <w:r w:rsidRPr="00502C09">
        <w:t>Key changes to the updated RMP</w:t>
      </w:r>
    </w:p>
    <w:p w14:paraId="4C3DD4F4" w14:textId="7C0B4379" w:rsidR="0060026A" w:rsidRDefault="00D15388" w:rsidP="0060026A">
      <w:r w:rsidRPr="007870B3">
        <w:t xml:space="preserve">In response to the TGA the sponsor provided an updated RMP (version 1.2, 28 February 2016). Key changes from the version evaluated at Round 1 </w:t>
      </w:r>
      <w:r>
        <w:t xml:space="preserve">(version 1.0) </w:t>
      </w:r>
      <w:r w:rsidR="0060026A">
        <w:t>are summarised below</w:t>
      </w:r>
      <w:r w:rsidR="004C2FE4">
        <w:t xml:space="preserve"> in Table 12.</w:t>
      </w:r>
    </w:p>
    <w:p w14:paraId="4C3DD4F5" w14:textId="77777777" w:rsidR="0060026A" w:rsidRPr="00502C09" w:rsidRDefault="0060026A" w:rsidP="0060026A">
      <w:pPr>
        <w:pStyle w:val="TableTitle"/>
        <w:rPr>
          <w:lang w:eastAsia="en-AU"/>
        </w:rPr>
      </w:pPr>
      <w:r>
        <w:t>Table 1</w:t>
      </w:r>
      <w:r w:rsidR="004C2FE4">
        <w:t>2</w:t>
      </w:r>
      <w:r>
        <w:t xml:space="preserve">: </w:t>
      </w:r>
      <w:r w:rsidRPr="00502C09">
        <w:rPr>
          <w:lang w:eastAsia="en-AU"/>
        </w:rPr>
        <w:t>Summary of</w:t>
      </w:r>
      <w:r>
        <w:rPr>
          <w:lang w:eastAsia="en-AU"/>
        </w:rPr>
        <w:t xml:space="preserve"> </w:t>
      </w:r>
      <w:r w:rsidRPr="00502C09">
        <w:rPr>
          <w:lang w:eastAsia="en-AU"/>
        </w:rPr>
        <w:t>key changes between</w:t>
      </w:r>
      <w:r>
        <w:rPr>
          <w:lang w:eastAsia="en-AU"/>
        </w:rPr>
        <w:t xml:space="preserve"> the E</w:t>
      </w:r>
      <w:r w:rsidR="004C2FE4">
        <w:rPr>
          <w:lang w:eastAsia="en-AU"/>
        </w:rPr>
        <w:t xml:space="preserve">U </w:t>
      </w:r>
      <w:r>
        <w:rPr>
          <w:lang w:eastAsia="en-AU"/>
        </w:rPr>
        <w:t>RMP version 1.0</w:t>
      </w:r>
      <w:r w:rsidRPr="00502C09">
        <w:rPr>
          <w:lang w:eastAsia="en-AU"/>
        </w:rPr>
        <w:t xml:space="preserve"> and </w:t>
      </w:r>
      <w:r>
        <w:rPr>
          <w:lang w:eastAsia="en-AU"/>
        </w:rPr>
        <w:t>the E</w:t>
      </w:r>
      <w:r w:rsidR="004C2FE4">
        <w:rPr>
          <w:lang w:eastAsia="en-AU"/>
        </w:rPr>
        <w:t>U</w:t>
      </w:r>
      <w:r>
        <w:rPr>
          <w:lang w:eastAsia="en-AU"/>
        </w:rPr>
        <w:t xml:space="preserve"> RMP version1.2</w:t>
      </w:r>
    </w:p>
    <w:tbl>
      <w:tblPr>
        <w:tblStyle w:val="TableTGAblue1"/>
        <w:tblW w:w="0" w:type="auto"/>
        <w:tblLook w:val="04A0" w:firstRow="1" w:lastRow="0" w:firstColumn="1" w:lastColumn="0" w:noHBand="0" w:noVBand="1"/>
      </w:tblPr>
      <w:tblGrid>
        <w:gridCol w:w="2118"/>
        <w:gridCol w:w="6602"/>
      </w:tblGrid>
      <w:tr w:rsidR="00D15388" w:rsidRPr="009321D4" w14:paraId="4C3DD4F7" w14:textId="77777777" w:rsidTr="00187096">
        <w:trPr>
          <w:cnfStyle w:val="100000000000" w:firstRow="1" w:lastRow="0" w:firstColumn="0" w:lastColumn="0" w:oddVBand="0" w:evenVBand="0" w:oddHBand="0" w:evenHBand="0" w:firstRowFirstColumn="0" w:firstRowLastColumn="0" w:lastRowFirstColumn="0" w:lastRowLastColumn="0"/>
          <w:trHeight w:val="274"/>
          <w:tblHeader/>
        </w:trPr>
        <w:tc>
          <w:tcPr>
            <w:tcW w:w="8720" w:type="dxa"/>
            <w:gridSpan w:val="2"/>
          </w:tcPr>
          <w:p w14:paraId="4C3DD4F6" w14:textId="77777777" w:rsidR="00D15388" w:rsidRPr="009321D4" w:rsidRDefault="00B173B4" w:rsidP="009321D4">
            <w:pPr>
              <w:rPr>
                <w:sz w:val="20"/>
                <w:szCs w:val="20"/>
                <w:lang w:eastAsia="en-AU"/>
              </w:rPr>
            </w:pPr>
            <w:r w:rsidRPr="009321D4">
              <w:rPr>
                <w:sz w:val="20"/>
                <w:szCs w:val="20"/>
                <w:lang w:eastAsia="en-AU"/>
              </w:rPr>
              <w:t>Key changes</w:t>
            </w:r>
          </w:p>
        </w:tc>
      </w:tr>
      <w:tr w:rsidR="00D15388" w:rsidRPr="009321D4" w14:paraId="4C3DD4FF" w14:textId="77777777" w:rsidTr="00B173B4">
        <w:trPr>
          <w:trHeight w:val="270"/>
        </w:trPr>
        <w:tc>
          <w:tcPr>
            <w:tcW w:w="2118" w:type="dxa"/>
            <w:hideMark/>
          </w:tcPr>
          <w:p w14:paraId="4C3DD4F8" w14:textId="77777777" w:rsidR="00D15388" w:rsidRPr="009321D4" w:rsidRDefault="00D15388" w:rsidP="009321D4">
            <w:pPr>
              <w:rPr>
                <w:sz w:val="20"/>
                <w:szCs w:val="20"/>
                <w:lang w:eastAsia="en-AU"/>
              </w:rPr>
            </w:pPr>
            <w:r w:rsidRPr="009321D4">
              <w:rPr>
                <w:sz w:val="20"/>
                <w:szCs w:val="20"/>
                <w:lang w:eastAsia="en-AU"/>
              </w:rPr>
              <w:t>Safety specification</w:t>
            </w:r>
          </w:p>
        </w:tc>
        <w:tc>
          <w:tcPr>
            <w:tcW w:w="6602" w:type="dxa"/>
          </w:tcPr>
          <w:p w14:paraId="292DDCEE" w14:textId="77777777" w:rsidR="00655550" w:rsidRPr="009321D4" w:rsidRDefault="00D15388" w:rsidP="009321D4">
            <w:pPr>
              <w:rPr>
                <w:sz w:val="20"/>
                <w:szCs w:val="20"/>
              </w:rPr>
            </w:pPr>
            <w:r w:rsidRPr="009321D4">
              <w:rPr>
                <w:sz w:val="20"/>
                <w:szCs w:val="20"/>
              </w:rPr>
              <w:t>Under Important Identified Risks:</w:t>
            </w:r>
          </w:p>
          <w:p w14:paraId="4C3DD4FA" w14:textId="47FBFD36" w:rsidR="00D15388" w:rsidRPr="009321D4" w:rsidRDefault="00D15388" w:rsidP="009321D4">
            <w:pPr>
              <w:rPr>
                <w:sz w:val="20"/>
                <w:szCs w:val="20"/>
              </w:rPr>
            </w:pPr>
            <w:r w:rsidRPr="009321D4">
              <w:rPr>
                <w:sz w:val="20"/>
                <w:szCs w:val="20"/>
              </w:rPr>
              <w:t xml:space="preserve">HIV protease inhibitors has been replaced with strong </w:t>
            </w:r>
            <w:r w:rsidR="000141FB" w:rsidRPr="009321D4">
              <w:rPr>
                <w:sz w:val="20"/>
                <w:szCs w:val="20"/>
              </w:rPr>
              <w:t>OATP1B inhibitors</w:t>
            </w:r>
          </w:p>
          <w:p w14:paraId="4C3DD4FB" w14:textId="77777777" w:rsidR="00D15388" w:rsidRPr="009321D4" w:rsidRDefault="00D15388" w:rsidP="009321D4">
            <w:pPr>
              <w:rPr>
                <w:sz w:val="20"/>
                <w:szCs w:val="20"/>
              </w:rPr>
            </w:pPr>
            <w:r w:rsidRPr="009321D4">
              <w:rPr>
                <w:sz w:val="20"/>
                <w:szCs w:val="20"/>
              </w:rPr>
              <w:t>Addition of: Drug Interactions with Fixed Dose Combination of elvitegravir, cobicistat, emtricitabine, and tenofovir disoproxil fumarate or alafenamide.</w:t>
            </w:r>
          </w:p>
          <w:p w14:paraId="4C3DD4FC" w14:textId="77777777" w:rsidR="00D15388" w:rsidRPr="009321D4" w:rsidRDefault="00D15388" w:rsidP="009321D4">
            <w:pPr>
              <w:rPr>
                <w:sz w:val="20"/>
                <w:szCs w:val="20"/>
              </w:rPr>
            </w:pPr>
            <w:r w:rsidRPr="009321D4">
              <w:rPr>
                <w:sz w:val="20"/>
                <w:szCs w:val="20"/>
              </w:rPr>
              <w:t xml:space="preserve">Removal of Drug Interaction with St John’s </w:t>
            </w:r>
            <w:proofErr w:type="spellStart"/>
            <w:r w:rsidRPr="009321D4">
              <w:rPr>
                <w:sz w:val="20"/>
                <w:szCs w:val="20"/>
              </w:rPr>
              <w:t>wort</w:t>
            </w:r>
            <w:proofErr w:type="spellEnd"/>
            <w:r w:rsidRPr="009321D4">
              <w:rPr>
                <w:sz w:val="20"/>
                <w:szCs w:val="20"/>
              </w:rPr>
              <w:t xml:space="preserve"> (is included under strong CYP3A inducers)</w:t>
            </w:r>
          </w:p>
          <w:p w14:paraId="4C3DD4FD" w14:textId="77777777" w:rsidR="00D15388" w:rsidRPr="009321D4" w:rsidRDefault="00D15388" w:rsidP="009321D4">
            <w:pPr>
              <w:rPr>
                <w:sz w:val="20"/>
                <w:szCs w:val="20"/>
              </w:rPr>
            </w:pPr>
            <w:r w:rsidRPr="009321D4">
              <w:rPr>
                <w:sz w:val="20"/>
                <w:szCs w:val="20"/>
              </w:rPr>
              <w:t>Inclusion of strong inducers of CYP3A as well as moderate.</w:t>
            </w:r>
          </w:p>
          <w:p w14:paraId="4C3DD4FE" w14:textId="77777777" w:rsidR="00D15388" w:rsidRPr="009321D4" w:rsidRDefault="00D15388" w:rsidP="009321D4">
            <w:pPr>
              <w:rPr>
                <w:sz w:val="20"/>
                <w:szCs w:val="20"/>
              </w:rPr>
            </w:pPr>
            <w:r w:rsidRPr="009321D4">
              <w:rPr>
                <w:sz w:val="20"/>
                <w:szCs w:val="20"/>
              </w:rPr>
              <w:t xml:space="preserve">Addition of Drug Interaction with </w:t>
            </w:r>
            <w:proofErr w:type="spellStart"/>
            <w:r w:rsidRPr="009321D4">
              <w:rPr>
                <w:sz w:val="20"/>
                <w:szCs w:val="20"/>
              </w:rPr>
              <w:t>tacrolimus</w:t>
            </w:r>
            <w:proofErr w:type="spellEnd"/>
          </w:p>
        </w:tc>
      </w:tr>
      <w:tr w:rsidR="00D15388" w:rsidRPr="009321D4" w14:paraId="4C3DD502" w14:textId="77777777" w:rsidTr="00B173B4">
        <w:trPr>
          <w:trHeight w:val="524"/>
        </w:trPr>
        <w:tc>
          <w:tcPr>
            <w:tcW w:w="2118" w:type="dxa"/>
            <w:hideMark/>
          </w:tcPr>
          <w:p w14:paraId="4C3DD500" w14:textId="77777777" w:rsidR="00D15388" w:rsidRPr="009321D4" w:rsidRDefault="00D15388" w:rsidP="009321D4">
            <w:pPr>
              <w:rPr>
                <w:sz w:val="20"/>
                <w:szCs w:val="20"/>
                <w:lang w:eastAsia="en-AU"/>
              </w:rPr>
            </w:pPr>
            <w:r w:rsidRPr="009321D4">
              <w:rPr>
                <w:sz w:val="20"/>
                <w:szCs w:val="20"/>
                <w:lang w:eastAsia="en-AU"/>
              </w:rPr>
              <w:t>Pharmacovigilance activities</w:t>
            </w:r>
          </w:p>
        </w:tc>
        <w:tc>
          <w:tcPr>
            <w:tcW w:w="6602" w:type="dxa"/>
          </w:tcPr>
          <w:p w14:paraId="4C3DD501" w14:textId="77777777" w:rsidR="00D15388" w:rsidRPr="009321D4" w:rsidRDefault="00D15388" w:rsidP="009321D4">
            <w:pPr>
              <w:rPr>
                <w:sz w:val="20"/>
                <w:szCs w:val="20"/>
              </w:rPr>
            </w:pPr>
            <w:r w:rsidRPr="009321D4">
              <w:rPr>
                <w:sz w:val="20"/>
                <w:szCs w:val="20"/>
              </w:rPr>
              <w:t>No additional activities</w:t>
            </w:r>
          </w:p>
        </w:tc>
      </w:tr>
      <w:tr w:rsidR="00D15388" w:rsidRPr="009321D4" w14:paraId="4C3DD514" w14:textId="77777777" w:rsidTr="00B173B4">
        <w:trPr>
          <w:trHeight w:val="524"/>
        </w:trPr>
        <w:tc>
          <w:tcPr>
            <w:tcW w:w="2118" w:type="dxa"/>
          </w:tcPr>
          <w:p w14:paraId="4C3DD503" w14:textId="77777777" w:rsidR="00D15388" w:rsidRPr="009321D4" w:rsidRDefault="00D15388" w:rsidP="009321D4">
            <w:pPr>
              <w:rPr>
                <w:sz w:val="20"/>
                <w:szCs w:val="20"/>
                <w:lang w:eastAsia="en-AU"/>
              </w:rPr>
            </w:pPr>
            <w:r w:rsidRPr="009321D4">
              <w:rPr>
                <w:sz w:val="20"/>
                <w:szCs w:val="20"/>
                <w:lang w:eastAsia="en-AU"/>
              </w:rPr>
              <w:t>Risk minimisation activities</w:t>
            </w:r>
          </w:p>
        </w:tc>
        <w:tc>
          <w:tcPr>
            <w:tcW w:w="6602" w:type="dxa"/>
          </w:tcPr>
          <w:p w14:paraId="4C3DD504" w14:textId="77777777" w:rsidR="00D15388" w:rsidRPr="009321D4" w:rsidRDefault="00D15388" w:rsidP="009321D4">
            <w:pPr>
              <w:rPr>
                <w:sz w:val="20"/>
                <w:szCs w:val="20"/>
              </w:rPr>
            </w:pPr>
            <w:r w:rsidRPr="009321D4">
              <w:rPr>
                <w:sz w:val="20"/>
                <w:szCs w:val="20"/>
              </w:rPr>
              <w:t>Changes to the wording for in the SmPC for the following risks:</w:t>
            </w:r>
          </w:p>
          <w:p w14:paraId="4C3DD505" w14:textId="77777777" w:rsidR="00D15388" w:rsidRPr="009321D4" w:rsidRDefault="00D15388" w:rsidP="009321D4">
            <w:pPr>
              <w:rPr>
                <w:sz w:val="20"/>
                <w:szCs w:val="20"/>
              </w:rPr>
            </w:pPr>
            <w:r w:rsidRPr="009321D4">
              <w:rPr>
                <w:sz w:val="20"/>
                <w:szCs w:val="20"/>
              </w:rPr>
              <w:t>ALT elevations under Special warnings and precautions for use.</w:t>
            </w:r>
          </w:p>
          <w:p w14:paraId="027C1A22" w14:textId="77777777" w:rsidR="00655550" w:rsidRPr="009321D4" w:rsidRDefault="00D15388" w:rsidP="009321D4">
            <w:pPr>
              <w:rPr>
                <w:sz w:val="20"/>
                <w:szCs w:val="20"/>
              </w:rPr>
            </w:pPr>
            <w:r w:rsidRPr="009321D4">
              <w:rPr>
                <w:sz w:val="20"/>
                <w:szCs w:val="20"/>
              </w:rPr>
              <w:t>Drug Resistance Development</w:t>
            </w:r>
          </w:p>
          <w:p w14:paraId="4C3DD507" w14:textId="5F8167E8" w:rsidR="00D15388" w:rsidRPr="009321D4" w:rsidRDefault="00D15388" w:rsidP="009321D4">
            <w:pPr>
              <w:rPr>
                <w:sz w:val="20"/>
                <w:szCs w:val="20"/>
              </w:rPr>
            </w:pPr>
            <w:r w:rsidRPr="009321D4">
              <w:rPr>
                <w:sz w:val="20"/>
                <w:szCs w:val="20"/>
              </w:rPr>
              <w:t>Addition of Strong CYP3A inducers</w:t>
            </w:r>
          </w:p>
          <w:p w14:paraId="4C3DD508" w14:textId="77777777" w:rsidR="00D15388" w:rsidRPr="009321D4" w:rsidRDefault="00D15388" w:rsidP="009321D4">
            <w:pPr>
              <w:rPr>
                <w:sz w:val="20"/>
                <w:szCs w:val="20"/>
              </w:rPr>
            </w:pPr>
            <w:r w:rsidRPr="009321D4">
              <w:rPr>
                <w:sz w:val="20"/>
                <w:szCs w:val="20"/>
              </w:rPr>
              <w:t>Additional wording on contraindication and OATP1B inhibitors</w:t>
            </w:r>
          </w:p>
          <w:p w14:paraId="4C3DD509" w14:textId="19E856B2" w:rsidR="00D15388" w:rsidRPr="009321D4" w:rsidRDefault="00D15388" w:rsidP="009321D4">
            <w:pPr>
              <w:rPr>
                <w:sz w:val="20"/>
                <w:szCs w:val="20"/>
              </w:rPr>
            </w:pPr>
            <w:r w:rsidRPr="009321D4">
              <w:rPr>
                <w:sz w:val="20"/>
                <w:szCs w:val="20"/>
              </w:rPr>
              <w:lastRenderedPageBreak/>
              <w:t xml:space="preserve">Change from Drug Interactions with </w:t>
            </w:r>
            <w:r w:rsidRPr="009321D4">
              <w:rPr>
                <w:i/>
                <w:sz w:val="20"/>
                <w:szCs w:val="20"/>
              </w:rPr>
              <w:t>HIV protease inhibitors</w:t>
            </w:r>
            <w:r w:rsidRPr="009321D4">
              <w:rPr>
                <w:sz w:val="20"/>
                <w:szCs w:val="20"/>
              </w:rPr>
              <w:t xml:space="preserve"> to </w:t>
            </w:r>
            <w:r w:rsidRPr="009321D4">
              <w:rPr>
                <w:i/>
                <w:sz w:val="20"/>
                <w:szCs w:val="20"/>
              </w:rPr>
              <w:t xml:space="preserve">Strong </w:t>
            </w:r>
            <w:r w:rsidR="00200252" w:rsidRPr="009321D4">
              <w:rPr>
                <w:i/>
                <w:sz w:val="20"/>
                <w:szCs w:val="20"/>
              </w:rPr>
              <w:t xml:space="preserve">OATP1B </w:t>
            </w:r>
            <w:r w:rsidRPr="009321D4">
              <w:rPr>
                <w:i/>
                <w:sz w:val="20"/>
                <w:szCs w:val="20"/>
              </w:rPr>
              <w:t>inhibitors</w:t>
            </w:r>
          </w:p>
          <w:p w14:paraId="4C3DD50A" w14:textId="77777777" w:rsidR="00D15388" w:rsidRPr="009321D4" w:rsidRDefault="00D15388" w:rsidP="009321D4">
            <w:pPr>
              <w:rPr>
                <w:sz w:val="20"/>
                <w:szCs w:val="20"/>
              </w:rPr>
            </w:pPr>
            <w:r w:rsidRPr="009321D4">
              <w:rPr>
                <w:sz w:val="20"/>
                <w:szCs w:val="20"/>
              </w:rPr>
              <w:t xml:space="preserve">Drug Interaction with atorvastatin, </w:t>
            </w:r>
            <w:proofErr w:type="spellStart"/>
            <w:r w:rsidRPr="009321D4">
              <w:rPr>
                <w:sz w:val="20"/>
                <w:szCs w:val="20"/>
              </w:rPr>
              <w:t>rosuvastatin</w:t>
            </w:r>
            <w:proofErr w:type="spellEnd"/>
            <w:r w:rsidRPr="009321D4">
              <w:rPr>
                <w:sz w:val="20"/>
                <w:szCs w:val="20"/>
              </w:rPr>
              <w:t xml:space="preserve">, lovastatin, simvastatin, </w:t>
            </w:r>
            <w:proofErr w:type="spellStart"/>
            <w:r w:rsidRPr="009321D4">
              <w:rPr>
                <w:sz w:val="20"/>
                <w:szCs w:val="20"/>
              </w:rPr>
              <w:t>fluvastatin</w:t>
            </w:r>
            <w:proofErr w:type="spellEnd"/>
          </w:p>
          <w:p w14:paraId="4C3DD50B" w14:textId="77777777" w:rsidR="00D15388" w:rsidRPr="009321D4" w:rsidRDefault="00D15388" w:rsidP="009321D4">
            <w:pPr>
              <w:rPr>
                <w:sz w:val="20"/>
                <w:szCs w:val="20"/>
              </w:rPr>
            </w:pPr>
            <w:r w:rsidRPr="009321D4">
              <w:rPr>
                <w:sz w:val="20"/>
                <w:szCs w:val="20"/>
              </w:rPr>
              <w:t>Paediatrics</w:t>
            </w:r>
          </w:p>
          <w:p w14:paraId="4C3DD50C" w14:textId="77777777" w:rsidR="00D15388" w:rsidRPr="009321D4" w:rsidRDefault="00D15388" w:rsidP="009321D4">
            <w:pPr>
              <w:rPr>
                <w:sz w:val="20"/>
                <w:szCs w:val="20"/>
              </w:rPr>
            </w:pPr>
            <w:r w:rsidRPr="009321D4">
              <w:rPr>
                <w:sz w:val="20"/>
                <w:szCs w:val="20"/>
              </w:rPr>
              <w:t>Pregnancy and lactation</w:t>
            </w:r>
          </w:p>
          <w:p w14:paraId="4C3DD50D" w14:textId="77777777" w:rsidR="00D15388" w:rsidRPr="009321D4" w:rsidRDefault="00D15388" w:rsidP="009321D4">
            <w:pPr>
              <w:rPr>
                <w:sz w:val="20"/>
                <w:szCs w:val="20"/>
              </w:rPr>
            </w:pPr>
            <w:r w:rsidRPr="009321D4">
              <w:rPr>
                <w:sz w:val="20"/>
                <w:szCs w:val="20"/>
              </w:rPr>
              <w:t>Liver transplant</w:t>
            </w:r>
          </w:p>
          <w:p w14:paraId="4C3DD50E" w14:textId="77777777" w:rsidR="00D15388" w:rsidRPr="009321D4" w:rsidRDefault="00D15388" w:rsidP="009321D4">
            <w:pPr>
              <w:rPr>
                <w:sz w:val="20"/>
                <w:szCs w:val="20"/>
              </w:rPr>
            </w:pPr>
            <w:r w:rsidRPr="009321D4">
              <w:rPr>
                <w:sz w:val="20"/>
                <w:szCs w:val="20"/>
              </w:rPr>
              <w:t>Exposure in HBV/HCV co-infection</w:t>
            </w:r>
          </w:p>
          <w:p w14:paraId="4C3DD50F" w14:textId="77777777" w:rsidR="00D15388" w:rsidRPr="009321D4" w:rsidRDefault="00D15388" w:rsidP="009321D4">
            <w:pPr>
              <w:rPr>
                <w:sz w:val="20"/>
                <w:szCs w:val="20"/>
              </w:rPr>
            </w:pPr>
            <w:r w:rsidRPr="009321D4">
              <w:rPr>
                <w:sz w:val="20"/>
                <w:szCs w:val="20"/>
              </w:rPr>
              <w:t>Additional risk management plan for:</w:t>
            </w:r>
          </w:p>
          <w:p w14:paraId="4C3DD510" w14:textId="77777777" w:rsidR="00D15388" w:rsidRPr="009321D4" w:rsidRDefault="00D15388" w:rsidP="009321D4">
            <w:pPr>
              <w:rPr>
                <w:sz w:val="20"/>
                <w:szCs w:val="20"/>
              </w:rPr>
            </w:pPr>
            <w:r w:rsidRPr="009321D4">
              <w:rPr>
                <w:sz w:val="20"/>
                <w:szCs w:val="20"/>
              </w:rPr>
              <w:t>Drug Interactions with Fixed Dose Combination of elvitegravir, cobicistat, emtricitabine, and tenofovir disoproxil fumarate or alafenamide.</w:t>
            </w:r>
          </w:p>
          <w:p w14:paraId="4C3DD511" w14:textId="77777777" w:rsidR="00D15388" w:rsidRPr="009321D4" w:rsidRDefault="00D15388" w:rsidP="009321D4">
            <w:pPr>
              <w:rPr>
                <w:sz w:val="20"/>
                <w:szCs w:val="20"/>
              </w:rPr>
            </w:pPr>
            <w:r w:rsidRPr="009321D4">
              <w:rPr>
                <w:sz w:val="20"/>
                <w:szCs w:val="20"/>
              </w:rPr>
              <w:t xml:space="preserve">Drug Interactions with </w:t>
            </w:r>
            <w:proofErr w:type="spellStart"/>
            <w:r w:rsidRPr="009321D4">
              <w:rPr>
                <w:sz w:val="20"/>
                <w:szCs w:val="20"/>
              </w:rPr>
              <w:t>tacrolimus</w:t>
            </w:r>
            <w:proofErr w:type="spellEnd"/>
          </w:p>
          <w:p w14:paraId="4C3DD512" w14:textId="77777777" w:rsidR="00D15388" w:rsidRPr="009321D4" w:rsidRDefault="00D15388" w:rsidP="009321D4">
            <w:pPr>
              <w:rPr>
                <w:sz w:val="20"/>
                <w:szCs w:val="20"/>
              </w:rPr>
            </w:pPr>
            <w:r w:rsidRPr="009321D4">
              <w:rPr>
                <w:sz w:val="20"/>
                <w:szCs w:val="20"/>
              </w:rPr>
              <w:t>Exposure in HCV-infected patients with moderate or severe (Child-Pugh B or C) hepatic insufficiency</w:t>
            </w:r>
          </w:p>
          <w:p w14:paraId="4C3DD513" w14:textId="77777777" w:rsidR="00D15388" w:rsidRPr="009321D4" w:rsidRDefault="00D15388" w:rsidP="009321D4">
            <w:pPr>
              <w:rPr>
                <w:sz w:val="20"/>
                <w:szCs w:val="20"/>
              </w:rPr>
            </w:pPr>
            <w:r w:rsidRPr="009321D4">
              <w:rPr>
                <w:sz w:val="20"/>
                <w:szCs w:val="20"/>
              </w:rPr>
              <w:t xml:space="preserve">Removal of risk management plan for St John’s </w:t>
            </w:r>
            <w:proofErr w:type="spellStart"/>
            <w:r w:rsidRPr="009321D4">
              <w:rPr>
                <w:sz w:val="20"/>
                <w:szCs w:val="20"/>
              </w:rPr>
              <w:t>wort</w:t>
            </w:r>
            <w:proofErr w:type="spellEnd"/>
            <w:r w:rsidRPr="009321D4">
              <w:rPr>
                <w:sz w:val="20"/>
                <w:szCs w:val="20"/>
              </w:rPr>
              <w:t xml:space="preserve"> (included under strong CYP3A inducers)</w:t>
            </w:r>
          </w:p>
        </w:tc>
      </w:tr>
      <w:tr w:rsidR="00D15388" w:rsidRPr="009321D4" w14:paraId="4C3DD517" w14:textId="77777777" w:rsidTr="00B173B4">
        <w:trPr>
          <w:trHeight w:val="524"/>
        </w:trPr>
        <w:tc>
          <w:tcPr>
            <w:tcW w:w="2118" w:type="dxa"/>
          </w:tcPr>
          <w:p w14:paraId="4C3DD515" w14:textId="77777777" w:rsidR="00D15388" w:rsidRPr="009321D4" w:rsidRDefault="00D15388" w:rsidP="009321D4">
            <w:pPr>
              <w:rPr>
                <w:sz w:val="20"/>
                <w:szCs w:val="20"/>
                <w:highlight w:val="yellow"/>
                <w:lang w:eastAsia="en-AU"/>
              </w:rPr>
            </w:pPr>
            <w:r w:rsidRPr="009321D4">
              <w:rPr>
                <w:sz w:val="20"/>
                <w:szCs w:val="20"/>
                <w:lang w:eastAsia="en-AU"/>
              </w:rPr>
              <w:lastRenderedPageBreak/>
              <w:t>ASA</w:t>
            </w:r>
          </w:p>
        </w:tc>
        <w:tc>
          <w:tcPr>
            <w:tcW w:w="6602" w:type="dxa"/>
          </w:tcPr>
          <w:p w14:paraId="4C3DD516" w14:textId="77777777" w:rsidR="00D15388" w:rsidRPr="009321D4" w:rsidRDefault="00D15388" w:rsidP="009321D4">
            <w:pPr>
              <w:rPr>
                <w:sz w:val="20"/>
                <w:szCs w:val="20"/>
              </w:rPr>
            </w:pPr>
            <w:r w:rsidRPr="009321D4">
              <w:rPr>
                <w:sz w:val="20"/>
                <w:szCs w:val="20"/>
              </w:rPr>
              <w:t>No update has been provided.</w:t>
            </w:r>
          </w:p>
        </w:tc>
      </w:tr>
    </w:tbl>
    <w:p w14:paraId="4C3DD518" w14:textId="77777777" w:rsidR="00D15388" w:rsidRDefault="00D15388" w:rsidP="0060026A">
      <w:r w:rsidRPr="00BE3B66">
        <w:t xml:space="preserve">The evaluator has no objection to the above changes </w:t>
      </w:r>
      <w:r>
        <w:t>as they strengthen the clarity of the summary of safety concerns</w:t>
      </w:r>
      <w:r w:rsidRPr="00BE3B66">
        <w:t>.</w:t>
      </w:r>
      <w:r>
        <w:t xml:space="preserve"> It is noted that the sponsor has committed to providing an updat</w:t>
      </w:r>
      <w:r w:rsidR="0060026A">
        <w:t>ed ASA in the pre-ACPM response</w:t>
      </w:r>
      <w:r>
        <w:t>. The revised version of the ASA should reflect the changes made to the EU-RMP.</w:t>
      </w:r>
    </w:p>
    <w:p w14:paraId="0D847E66" w14:textId="77777777" w:rsidR="00655550" w:rsidRDefault="00D15388" w:rsidP="0060026A">
      <w:pPr>
        <w:pStyle w:val="Heading5"/>
      </w:pPr>
      <w:r w:rsidRPr="00502C09">
        <w:t>Suggested wording for conditions of registration</w:t>
      </w:r>
    </w:p>
    <w:p w14:paraId="4C3DD51A" w14:textId="6E033E93" w:rsidR="00D15388" w:rsidRPr="00502C09" w:rsidRDefault="00D15388" w:rsidP="0060026A">
      <w:pPr>
        <w:pStyle w:val="Heading6"/>
      </w:pPr>
      <w:r w:rsidRPr="00502C09">
        <w:t>RMP</w:t>
      </w:r>
    </w:p>
    <w:p w14:paraId="4C3DD51B" w14:textId="77777777" w:rsidR="00D15388" w:rsidRPr="00502C09" w:rsidRDefault="00D15388" w:rsidP="0060026A">
      <w:r w:rsidRPr="00502C09">
        <w:t>Any changes to which the sponsor agreed become part of the risk management system, whether they are included in the currently available version of the RMP document, or not included, inadvertently or otherwise.</w:t>
      </w:r>
      <w:r>
        <w:t xml:space="preserve"> The suggested wording for the condition of registration will be provided once the revised ASA has been submitted and subsequently evaluated.</w:t>
      </w:r>
    </w:p>
    <w:p w14:paraId="4C3DD51C" w14:textId="77777777" w:rsidR="008E7846" w:rsidRPr="00792A32" w:rsidRDefault="008E7846" w:rsidP="008E7846">
      <w:pPr>
        <w:pStyle w:val="Heading2"/>
      </w:pPr>
      <w:bookmarkStart w:id="161" w:name="_Toc314842510"/>
      <w:bookmarkStart w:id="162" w:name="_Toc484510902"/>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3"/>
      <w:bookmarkEnd w:id="160"/>
      <w:bookmarkEnd w:id="161"/>
      <w:bookmarkEnd w:id="162"/>
    </w:p>
    <w:p w14:paraId="4C3DD51D" w14:textId="77777777" w:rsidR="008E7846" w:rsidRDefault="008E7846" w:rsidP="008E7846">
      <w:bookmarkStart w:id="163" w:name="_Toc247691528"/>
      <w:r>
        <w:t xml:space="preserve">The submission was summarised in the following </w:t>
      </w:r>
      <w:r w:rsidRPr="00EF5C48">
        <w:t xml:space="preserve">Delegate’s </w:t>
      </w:r>
      <w:r>
        <w:t>overview</w:t>
      </w:r>
      <w:r w:rsidRPr="00EF5C48">
        <w:t xml:space="preserve"> and recommendation</w:t>
      </w:r>
      <w:r>
        <w:t>s:</w:t>
      </w:r>
    </w:p>
    <w:p w14:paraId="4C3DD51E" w14:textId="77777777" w:rsidR="008E7846" w:rsidRDefault="008E7846" w:rsidP="008E7846">
      <w:pPr>
        <w:pStyle w:val="Heading3"/>
      </w:pPr>
      <w:bookmarkStart w:id="164" w:name="_Toc314842511"/>
      <w:bookmarkStart w:id="165" w:name="_Toc484510903"/>
      <w:r>
        <w:t>Quality</w:t>
      </w:r>
      <w:bookmarkEnd w:id="163"/>
      <w:bookmarkEnd w:id="164"/>
      <w:bookmarkEnd w:id="165"/>
    </w:p>
    <w:p w14:paraId="4C3DD51F" w14:textId="5D5810E8" w:rsidR="002B3ED8" w:rsidRPr="00E508D4" w:rsidRDefault="002B3ED8" w:rsidP="00536026">
      <w:bookmarkStart w:id="166" w:name="_Toc314842512"/>
      <w:r>
        <w:t xml:space="preserve">There are no </w:t>
      </w:r>
      <w:r w:rsidR="00536026">
        <w:t>pharmaceutical chemistry o</w:t>
      </w:r>
      <w:r>
        <w:t>bjections to approval. Finalisation of the submission will be subject to resolution of the</w:t>
      </w:r>
      <w:r w:rsidR="00347A91">
        <w:t xml:space="preserve"> outstanding GMP</w:t>
      </w:r>
      <w:r>
        <w:t xml:space="preserve"> matters and availability of clearance. The submission was not referred to </w:t>
      </w:r>
      <w:r w:rsidR="00536026">
        <w:t>Pharmaceutical Sub Committee (</w:t>
      </w:r>
      <w:r>
        <w:t>PSC</w:t>
      </w:r>
      <w:r w:rsidR="00536026">
        <w:t>)</w:t>
      </w:r>
      <w:r>
        <w:t>.</w:t>
      </w:r>
    </w:p>
    <w:p w14:paraId="4C3DD520" w14:textId="77777777" w:rsidR="008E7846" w:rsidRDefault="008E7846" w:rsidP="008E7846">
      <w:pPr>
        <w:pStyle w:val="Heading3"/>
      </w:pPr>
      <w:bookmarkStart w:id="167" w:name="_Toc484510904"/>
      <w:r>
        <w:lastRenderedPageBreak/>
        <w:t>Nonclinical</w:t>
      </w:r>
      <w:bookmarkEnd w:id="166"/>
      <w:bookmarkEnd w:id="167"/>
    </w:p>
    <w:p w14:paraId="4C3DD521" w14:textId="77777777" w:rsidR="002B3ED8" w:rsidRPr="00E508D4" w:rsidRDefault="002B3ED8" w:rsidP="00536026">
      <w:bookmarkStart w:id="168" w:name="_Toc247691530"/>
      <w:bookmarkStart w:id="169" w:name="_Toc314842513"/>
      <w:r>
        <w:t xml:space="preserve">There are no objections to the registration of </w:t>
      </w:r>
      <w:proofErr w:type="spellStart"/>
      <w:r w:rsidR="00D80B0A">
        <w:t>Zepatier</w:t>
      </w:r>
      <w:proofErr w:type="spellEnd"/>
      <w:r>
        <w:t xml:space="preserve"> from the </w:t>
      </w:r>
      <w:r w:rsidR="00536026">
        <w:t>nonclinical</w:t>
      </w:r>
      <w:r>
        <w:t xml:space="preserve"> evaluators. Recommendations for the Product Information have been provided.</w:t>
      </w:r>
    </w:p>
    <w:p w14:paraId="4C3DD522" w14:textId="77777777" w:rsidR="008E7846" w:rsidRDefault="008E7846" w:rsidP="008E7846">
      <w:pPr>
        <w:pStyle w:val="Heading3"/>
      </w:pPr>
      <w:bookmarkStart w:id="170" w:name="_Toc484510905"/>
      <w:r>
        <w:t>Clinical</w:t>
      </w:r>
      <w:bookmarkEnd w:id="168"/>
      <w:bookmarkEnd w:id="169"/>
      <w:bookmarkEnd w:id="170"/>
    </w:p>
    <w:p w14:paraId="4C3DD523" w14:textId="77777777" w:rsidR="00BF7341" w:rsidRPr="00E508D4" w:rsidRDefault="00BF7341" w:rsidP="00BF7341">
      <w:pPr>
        <w:spacing w:line="240" w:lineRule="auto"/>
        <w:jc w:val="both"/>
      </w:pPr>
      <w:bookmarkStart w:id="171" w:name="_Toc314842514"/>
      <w:r>
        <w:t xml:space="preserve">An extensive clinical development program was undertaken. For details, please refer to the </w:t>
      </w:r>
      <w:r w:rsidR="00536026">
        <w:t>Extract from the c</w:t>
      </w:r>
      <w:r>
        <w:t xml:space="preserve">linical </w:t>
      </w:r>
      <w:r w:rsidR="00536026">
        <w:t>e</w:t>
      </w:r>
      <w:r>
        <w:t xml:space="preserve">valuation </w:t>
      </w:r>
      <w:r w:rsidR="00536026">
        <w:t>r</w:t>
      </w:r>
      <w:r>
        <w:t>eport (CER</w:t>
      </w:r>
      <w:r w:rsidR="00536026">
        <w:t>; Attachment 2</w:t>
      </w:r>
      <w:r>
        <w:t>).</w:t>
      </w:r>
    </w:p>
    <w:p w14:paraId="4C3DD524" w14:textId="77777777" w:rsidR="00BF7341" w:rsidRDefault="00BF7341" w:rsidP="00536026">
      <w:pPr>
        <w:pStyle w:val="Heading4"/>
      </w:pPr>
      <w:r>
        <w:t>Pharmacodynamics</w:t>
      </w:r>
    </w:p>
    <w:p w14:paraId="4C3DD525" w14:textId="77777777" w:rsidR="00BF7341" w:rsidRPr="00513059" w:rsidRDefault="00BF7341" w:rsidP="00BF7341">
      <w:r>
        <w:t>Please see CER.</w:t>
      </w:r>
    </w:p>
    <w:p w14:paraId="4C3DD526" w14:textId="77777777" w:rsidR="00BF7341" w:rsidRPr="00E508D4" w:rsidRDefault="00BF7341" w:rsidP="00536026">
      <w:pPr>
        <w:pStyle w:val="Heading4"/>
      </w:pPr>
      <w:r w:rsidRPr="00536026">
        <w:t>Pharmacokinetics</w:t>
      </w:r>
    </w:p>
    <w:p w14:paraId="4C3DD527" w14:textId="77777777" w:rsidR="00BF7341" w:rsidRDefault="00BF7341" w:rsidP="00536026">
      <w:r>
        <w:t>The data are based on 59</w:t>
      </w:r>
      <w:r w:rsidRPr="00BB2667">
        <w:t xml:space="preserve"> clinical ph</w:t>
      </w:r>
      <w:r>
        <w:t>armacology studies, including 25 drug-drug interaction studies, in</w:t>
      </w:r>
      <w:r w:rsidRPr="00BB2667">
        <w:t xml:space="preserve"> </w:t>
      </w:r>
      <w:r>
        <w:t xml:space="preserve">a total of </w:t>
      </w:r>
      <w:r w:rsidRPr="00BB2667">
        <w:t>1240 he</w:t>
      </w:r>
      <w:r>
        <w:t xml:space="preserve">althy volunteers, 139 HCV </w:t>
      </w:r>
      <w:r w:rsidRPr="00BB2667">
        <w:t>p</w:t>
      </w:r>
      <w:r>
        <w:t>atients, and 66 non-HCV</w:t>
      </w:r>
      <w:r w:rsidRPr="00BB2667">
        <w:t xml:space="preserve"> p</w:t>
      </w:r>
      <w:r>
        <w:t>atients with hepatic or renal impairment.</w:t>
      </w:r>
    </w:p>
    <w:p w14:paraId="4C3DD528" w14:textId="77777777" w:rsidR="00BF7341" w:rsidRDefault="00BF7341" w:rsidP="00536026">
      <w:r>
        <w:t xml:space="preserve">Both GZR </w:t>
      </w:r>
      <w:r w:rsidR="00536026">
        <w:t>and</w:t>
      </w:r>
      <w:r>
        <w:t xml:space="preserve"> EBR are metabolised by hepatic CYP3A enzyme. The main route of excretion for both drugs is faecal, as parent compounds and as oxidative metabolites. No circulating metabolites of GZR or EBR were detected in human plasma (radiolabelled</w:t>
      </w:r>
      <w:r w:rsidR="00536026">
        <w:t>;</w:t>
      </w:r>
      <w:r>
        <w:t xml:space="preserve"> </w:t>
      </w:r>
      <w:r w:rsidR="00536026">
        <w:t>S</w:t>
      </w:r>
      <w:r>
        <w:t>tudies 5172-P007 and 8742-P014). The amount of drug excreted in urine is negligible.</w:t>
      </w:r>
    </w:p>
    <w:p w14:paraId="4C3DD529" w14:textId="77777777" w:rsidR="00BF7341" w:rsidRDefault="00BF7341" w:rsidP="00536026">
      <w:r>
        <w:t xml:space="preserve">Both GZR </w:t>
      </w:r>
      <w:r w:rsidR="00536026">
        <w:t>and</w:t>
      </w:r>
      <w:r>
        <w:t xml:space="preserve"> EBR are substrates of P-gp. </w:t>
      </w:r>
      <w:r w:rsidRPr="00185EDC">
        <w:t xml:space="preserve">GZR is </w:t>
      </w:r>
      <w:r>
        <w:t xml:space="preserve">also </w:t>
      </w:r>
      <w:r w:rsidRPr="00185EDC">
        <w:t xml:space="preserve">a substrate </w:t>
      </w:r>
      <w:r>
        <w:t>of liver uptake</w:t>
      </w:r>
      <w:r w:rsidRPr="00185EDC">
        <w:t xml:space="preserve"> </w:t>
      </w:r>
      <w:r>
        <w:t>transporters OATP1B1 and OATP1B3. EBR is not a substrate of OATP1B1 or OATP1B3.</w:t>
      </w:r>
    </w:p>
    <w:p w14:paraId="4C3DD52A" w14:textId="77777777" w:rsidR="00BF7341" w:rsidRPr="004C2FE4" w:rsidRDefault="00BF7341" w:rsidP="00536026">
      <w:pPr>
        <w:rPr>
          <w:rFonts w:eastAsia="TimesNewRoman" w:cs="TimesNewRoman"/>
        </w:rPr>
      </w:pPr>
      <w:r>
        <w:rPr>
          <w:rFonts w:eastAsia="TimesNewRoman" w:cs="TimesNewRoman"/>
        </w:rPr>
        <w:t xml:space="preserve">GZR </w:t>
      </w:r>
      <w:r w:rsidRPr="001F4982">
        <w:rPr>
          <w:rFonts w:eastAsia="TimesNewRoman" w:cs="TimesNewRoman"/>
        </w:rPr>
        <w:t xml:space="preserve">has some </w:t>
      </w:r>
      <w:r w:rsidRPr="004C2FE4">
        <w:rPr>
          <w:rFonts w:eastAsia="TimesNewRoman" w:cs="TimesNewRoman"/>
        </w:rPr>
        <w:t xml:space="preserve">potential to inhibit CYP3A at the intestinal but not at systemic level. GZR is not anticipated to inhibit any other major CYP enzymes or UGT1A1, </w:t>
      </w:r>
      <w:proofErr w:type="gramStart"/>
      <w:r w:rsidR="004C2FE4" w:rsidRPr="004C2FE4">
        <w:rPr>
          <w:rFonts w:eastAsia="TimesNewRoman" w:cs="TimesNewRoman"/>
        </w:rPr>
        <w:t>carboxylesterase  1</w:t>
      </w:r>
      <w:proofErr w:type="gramEnd"/>
      <w:r w:rsidR="004C2FE4" w:rsidRPr="004C2FE4">
        <w:rPr>
          <w:rFonts w:eastAsia="TimesNewRoman" w:cs="TimesNewRoman"/>
        </w:rPr>
        <w:t xml:space="preserve"> or 2 (</w:t>
      </w:r>
      <w:r w:rsidRPr="004C2FE4">
        <w:rPr>
          <w:rFonts w:eastAsia="TimesNewRoman" w:cs="TimesNewRoman"/>
        </w:rPr>
        <w:t>CES1</w:t>
      </w:r>
      <w:r w:rsidR="004C2FE4" w:rsidRPr="004C2FE4">
        <w:rPr>
          <w:rFonts w:eastAsia="TimesNewRoman" w:cs="TimesNewRoman"/>
        </w:rPr>
        <w:t xml:space="preserve"> and</w:t>
      </w:r>
      <w:r w:rsidRPr="004C2FE4">
        <w:rPr>
          <w:rFonts w:eastAsia="TimesNewRoman" w:cs="TimesNewRoman"/>
        </w:rPr>
        <w:t xml:space="preserve"> CES2</w:t>
      </w:r>
      <w:r w:rsidR="004C2FE4" w:rsidRPr="004C2FE4">
        <w:rPr>
          <w:rFonts w:eastAsia="TimesNewRoman" w:cs="TimesNewRoman"/>
        </w:rPr>
        <w:t>)</w:t>
      </w:r>
      <w:r w:rsidRPr="004C2FE4">
        <w:rPr>
          <w:rFonts w:eastAsia="TimesNewRoman" w:cs="TimesNewRoman"/>
        </w:rPr>
        <w:t xml:space="preserve"> or </w:t>
      </w:r>
      <w:r w:rsidR="004C2FE4" w:rsidRPr="004C2FE4">
        <w:rPr>
          <w:rFonts w:eastAsia="TimesNewRoman" w:cs="TimesNewRoman"/>
        </w:rPr>
        <w:t>cathepsin A (</w:t>
      </w:r>
      <w:r w:rsidRPr="004C2FE4">
        <w:rPr>
          <w:rFonts w:eastAsia="TimesNewRoman" w:cs="TimesNewRoman"/>
        </w:rPr>
        <w:t>CatA</w:t>
      </w:r>
      <w:r w:rsidR="004C2FE4" w:rsidRPr="004C2FE4">
        <w:rPr>
          <w:rFonts w:eastAsia="TimesNewRoman" w:cs="TimesNewRoman"/>
        </w:rPr>
        <w:t>)</w:t>
      </w:r>
      <w:r w:rsidRPr="004C2FE4">
        <w:rPr>
          <w:rFonts w:eastAsia="TimesNewRoman" w:cs="TimesNewRoman"/>
        </w:rPr>
        <w:t xml:space="preserve"> and is also unlikely to inhibit most transporters. GZR does not exhibit induction potential for CYP3A4, 1A2 or 2B6.</w:t>
      </w:r>
    </w:p>
    <w:p w14:paraId="4C3DD52B" w14:textId="77777777" w:rsidR="00BF7341" w:rsidRDefault="00BF7341" w:rsidP="00536026">
      <w:r w:rsidRPr="004C2FE4">
        <w:rPr>
          <w:rFonts w:eastAsia="TimesNewRoman" w:cs="TimesNewRoman"/>
        </w:rPr>
        <w:t>EBR is not anticipated to inhibit any major CYP enzyme or</w:t>
      </w:r>
      <w:r w:rsidRPr="001F4982">
        <w:rPr>
          <w:rFonts w:eastAsia="TimesNewRoman" w:cs="TimesNewRoman"/>
        </w:rPr>
        <w:t xml:space="preserve"> UGT1A1</w:t>
      </w:r>
      <w:r>
        <w:rPr>
          <w:rFonts w:eastAsia="TimesNewRoman" w:cs="TimesNewRoman"/>
        </w:rPr>
        <w:t>, CES1, CES2 or CatA. I</w:t>
      </w:r>
      <w:r w:rsidRPr="001F4982">
        <w:rPr>
          <w:rFonts w:eastAsia="TimesNewRoman" w:cs="TimesNewRoman"/>
        </w:rPr>
        <w:t xml:space="preserve">t has some potential to inhibit intestinal P-gp and BCRP and hepatic </w:t>
      </w:r>
      <w:r>
        <w:rPr>
          <w:rFonts w:eastAsia="TimesNewRoman" w:cs="TimesNewRoman"/>
        </w:rPr>
        <w:t>OATP1B3. EBR does not exhibit</w:t>
      </w:r>
      <w:r w:rsidRPr="001F4982">
        <w:rPr>
          <w:rFonts w:eastAsia="TimesNewRoman" w:cs="TimesNewRoman"/>
        </w:rPr>
        <w:t xml:space="preserve"> induction potential for CYP3</w:t>
      </w:r>
      <w:r>
        <w:rPr>
          <w:rFonts w:eastAsia="TimesNewRoman" w:cs="TimesNewRoman"/>
        </w:rPr>
        <w:t>A4, CYP1A2 or CYP2B6</w:t>
      </w:r>
      <w:r w:rsidRPr="001F4982">
        <w:rPr>
          <w:rFonts w:eastAsia="TimesNewRoman" w:cs="TimesNewRoman"/>
        </w:rPr>
        <w:t>.</w:t>
      </w:r>
    </w:p>
    <w:p w14:paraId="4C3DD52C" w14:textId="77777777" w:rsidR="00BF7341" w:rsidRPr="004F4F88" w:rsidRDefault="00BF7341" w:rsidP="00536026">
      <w:r>
        <w:t>GZR</w:t>
      </w:r>
      <w:r w:rsidRPr="007736BE">
        <w:t xml:space="preserve"> </w:t>
      </w:r>
      <w:r>
        <w:t>is extensively protein bound (98.8%) in plasma with unbound fraction of 0.012. It</w:t>
      </w:r>
      <w:r w:rsidRPr="007736BE">
        <w:t xml:space="preserve"> </w:t>
      </w:r>
      <w:r>
        <w:t xml:space="preserve">does not preferentially distribute to </w:t>
      </w:r>
      <w:r w:rsidR="00114776">
        <w:t>red blood cells (</w:t>
      </w:r>
      <w:r>
        <w:t>RBCs</w:t>
      </w:r>
      <w:r w:rsidR="00114776">
        <w:t>)</w:t>
      </w:r>
      <w:r>
        <w:t xml:space="preserve"> (blood to plasma ratio 0.7). EBR is </w:t>
      </w:r>
      <w:r w:rsidRPr="00183723">
        <w:t>highly</w:t>
      </w:r>
      <w:r>
        <w:t xml:space="preserve"> protein bound (&gt;99.9%) in plasma with unbound fraction &lt;0.001. It does </w:t>
      </w:r>
      <w:r w:rsidRPr="00183723">
        <w:t>not prefe</w:t>
      </w:r>
      <w:r>
        <w:t>rentially distribute to RBCs (blood to plasma ratio 0.6)</w:t>
      </w:r>
      <w:r w:rsidRPr="00183723">
        <w:t>.</w:t>
      </w:r>
    </w:p>
    <w:p w14:paraId="4C3DD52D" w14:textId="77777777" w:rsidR="00BF7341" w:rsidRDefault="00BF7341" w:rsidP="00536026">
      <w:r w:rsidRPr="00183723">
        <w:t xml:space="preserve">GZR is absorbed with a median </w:t>
      </w:r>
      <w:r w:rsidR="00114776">
        <w:t>peak time to C</w:t>
      </w:r>
      <w:r w:rsidR="00114776" w:rsidRPr="00114776">
        <w:rPr>
          <w:vertAlign w:val="subscript"/>
        </w:rPr>
        <w:t>max</w:t>
      </w:r>
      <w:r w:rsidR="00114776">
        <w:t xml:space="preserve"> (</w:t>
      </w:r>
      <w:r w:rsidR="00114776" w:rsidRPr="00183723">
        <w:t>T</w:t>
      </w:r>
      <w:r w:rsidR="00114776" w:rsidRPr="00114776">
        <w:rPr>
          <w:vertAlign w:val="subscript"/>
        </w:rPr>
        <w:t>max</w:t>
      </w:r>
      <w:r w:rsidR="00114776">
        <w:t>)</w:t>
      </w:r>
      <w:r>
        <w:t xml:space="preserve"> of </w:t>
      </w:r>
      <w:r w:rsidR="002437C0">
        <w:t>approximately</w:t>
      </w:r>
      <w:r w:rsidR="00114776">
        <w:t xml:space="preserve"> </w:t>
      </w:r>
      <w:r>
        <w:t>2 hours and has an estimated oral Bioavailability (F) of 10</w:t>
      </w:r>
      <w:r w:rsidR="00114776">
        <w:t xml:space="preserve"> to </w:t>
      </w:r>
      <w:r>
        <w:t>40% at 25</w:t>
      </w:r>
      <w:r w:rsidR="00114776">
        <w:t xml:space="preserve"> </w:t>
      </w:r>
      <w:r>
        <w:t>mg and 200</w:t>
      </w:r>
      <w:r w:rsidR="00114776">
        <w:t xml:space="preserve"> </w:t>
      </w:r>
      <w:r w:rsidRPr="00183723">
        <w:t>mg doses.</w:t>
      </w:r>
      <w:r>
        <w:t xml:space="preserve"> This could not be determined reliably in the </w:t>
      </w:r>
      <w:r w:rsidR="00114776">
        <w:t>S</w:t>
      </w:r>
      <w:r>
        <w:t xml:space="preserve">tudy 5172-P040. Based on GZR radiolabelled </w:t>
      </w:r>
      <w:r w:rsidR="00114776">
        <w:t>Absorption distribution Metabolism Excretion (</w:t>
      </w:r>
      <w:r>
        <w:t>ADME</w:t>
      </w:r>
      <w:r w:rsidR="00114776">
        <w:t>)</w:t>
      </w:r>
      <w:r>
        <w:t xml:space="preserve"> study </w:t>
      </w:r>
      <w:r w:rsidRPr="00E2600C">
        <w:t>(</w:t>
      </w:r>
      <w:r w:rsidR="00114776">
        <w:t>S</w:t>
      </w:r>
      <w:r>
        <w:t xml:space="preserve">tudy </w:t>
      </w:r>
      <w:r w:rsidRPr="00E2600C">
        <w:t>5172-P007) the fraction absorbed of GZR</w:t>
      </w:r>
      <w:r>
        <w:t xml:space="preserve"> is</w:t>
      </w:r>
      <w:r w:rsidRPr="00E2600C">
        <w:t xml:space="preserve"> at least 22%</w:t>
      </w:r>
      <w:r>
        <w:t>.</w:t>
      </w:r>
    </w:p>
    <w:p w14:paraId="4C3DD52E" w14:textId="77777777" w:rsidR="00BF7341" w:rsidRDefault="00BF7341" w:rsidP="00536026">
      <w:r>
        <w:t xml:space="preserve">In the GZR single </w:t>
      </w:r>
      <w:r w:rsidR="00114776">
        <w:t>and</w:t>
      </w:r>
      <w:r>
        <w:t xml:space="preserve"> multiple ascending dose study (5172-P001), median </w:t>
      </w:r>
      <w:r w:rsidR="00114776" w:rsidRPr="00183723">
        <w:t>T</w:t>
      </w:r>
      <w:r w:rsidR="00114776" w:rsidRPr="00114776">
        <w:rPr>
          <w:vertAlign w:val="subscript"/>
        </w:rPr>
        <w:t>max</w:t>
      </w:r>
      <w:r>
        <w:t xml:space="preserve"> was 2</w:t>
      </w:r>
      <w:r w:rsidR="00114776">
        <w:t xml:space="preserve"> to </w:t>
      </w:r>
      <w:r>
        <w:t xml:space="preserve">4 hours. The apparent terminal </w:t>
      </w:r>
      <w:r w:rsidR="004C1037">
        <w:t>t</w:t>
      </w:r>
      <w:r w:rsidR="004C1037" w:rsidRPr="004C1037">
        <w:rPr>
          <w:vertAlign w:val="subscript"/>
        </w:rPr>
        <w:t>½</w:t>
      </w:r>
      <w:r>
        <w:t xml:space="preserve"> ranged from 16.6-42.9 hours after single dose and 16.9-24.7 hours after multiple doses. </w:t>
      </w:r>
      <w:r w:rsidRPr="00DB7B8A">
        <w:t xml:space="preserve">The </w:t>
      </w:r>
      <w:r>
        <w:t xml:space="preserve">GZR </w:t>
      </w:r>
      <w:r w:rsidRPr="00DB7B8A">
        <w:t>AUC</w:t>
      </w:r>
      <w:r w:rsidRPr="00153239">
        <w:rPr>
          <w:vertAlign w:val="subscript"/>
        </w:rPr>
        <w:t>0-24</w:t>
      </w:r>
      <w:r w:rsidRPr="00DB7B8A">
        <w:t xml:space="preserve"> increased in a greate</w:t>
      </w:r>
      <w:r>
        <w:t>r than dose proportional manner</w:t>
      </w:r>
      <w:r w:rsidRPr="00DB7B8A">
        <w:t xml:space="preserve"> </w:t>
      </w:r>
      <w:r>
        <w:t>in</w:t>
      </w:r>
      <w:r w:rsidR="004C1037">
        <w:t xml:space="preserve"> the 100 to </w:t>
      </w:r>
      <w:r w:rsidRPr="00DB7B8A">
        <w:t>100</w:t>
      </w:r>
      <w:r w:rsidR="004C1037">
        <w:t>0 mg</w:t>
      </w:r>
      <w:r>
        <w:t xml:space="preserve"> range</w:t>
      </w:r>
      <w:r w:rsidRPr="00DB7B8A">
        <w:t>. Steady state was generally achieved within 8 days of GZR dosi</w:t>
      </w:r>
      <w:r>
        <w:t>ng, with accumulation ratio of 1.5 to 3.5 across doses.</w:t>
      </w:r>
    </w:p>
    <w:p w14:paraId="4C3DD52F" w14:textId="77777777" w:rsidR="00BF7341" w:rsidRDefault="00114776" w:rsidP="00536026">
      <w:r>
        <w:t>In HCV patients (S</w:t>
      </w:r>
      <w:r w:rsidR="00BF7341">
        <w:t>tudy 5172-P004), GZR was</w:t>
      </w:r>
      <w:r w:rsidR="00BF7341" w:rsidRPr="00807E82">
        <w:t xml:space="preserve"> absorbed with a m</w:t>
      </w:r>
      <w:r w:rsidR="00BF7341">
        <w:t xml:space="preserve">edian </w:t>
      </w:r>
      <w:r w:rsidRPr="00183723">
        <w:t>T</w:t>
      </w:r>
      <w:r w:rsidRPr="00114776">
        <w:rPr>
          <w:vertAlign w:val="subscript"/>
        </w:rPr>
        <w:t>max</w:t>
      </w:r>
      <w:r w:rsidR="00BF7341">
        <w:t xml:space="preserve"> of 2</w:t>
      </w:r>
      <w:r w:rsidR="004C1037">
        <w:t xml:space="preserve"> to </w:t>
      </w:r>
      <w:r w:rsidR="00BF7341">
        <w:t>4 hours and</w:t>
      </w:r>
      <w:r w:rsidR="00BF7341" w:rsidRPr="00807E82">
        <w:t xml:space="preserve"> </w:t>
      </w:r>
      <w:r w:rsidR="00BF7341">
        <w:t xml:space="preserve">had mean apparent terminal </w:t>
      </w:r>
      <w:r w:rsidR="004C1037">
        <w:t>t</w:t>
      </w:r>
      <w:r w:rsidR="004C1037" w:rsidRPr="004C1037">
        <w:rPr>
          <w:vertAlign w:val="subscript"/>
        </w:rPr>
        <w:t>½</w:t>
      </w:r>
      <w:r w:rsidR="00BF7341">
        <w:t xml:space="preserve"> of </w:t>
      </w:r>
      <w:r w:rsidR="002437C0">
        <w:t>approximately</w:t>
      </w:r>
      <w:r w:rsidR="00B173B4">
        <w:t xml:space="preserve"> </w:t>
      </w:r>
      <w:r w:rsidR="00BF7341">
        <w:t>25</w:t>
      </w:r>
      <w:r w:rsidR="004C1037">
        <w:t xml:space="preserve"> to </w:t>
      </w:r>
      <w:r w:rsidR="00BF7341">
        <w:t xml:space="preserve">45 hours. GZR exposure increased </w:t>
      </w:r>
      <w:r w:rsidR="00BF7341" w:rsidRPr="00807E82">
        <w:t>in a greater than dose-pr</w:t>
      </w:r>
      <w:r w:rsidR="00BF7341">
        <w:t>oportional manner across 10</w:t>
      </w:r>
      <w:r w:rsidR="004C1037">
        <w:t xml:space="preserve"> to </w:t>
      </w:r>
      <w:r w:rsidR="00BF7341">
        <w:t>80</w:t>
      </w:r>
      <w:r w:rsidR="004C1037">
        <w:t>0 mg</w:t>
      </w:r>
      <w:r w:rsidR="00BF7341" w:rsidRPr="00807E82">
        <w:t xml:space="preserve"> dose range. Steady-state was</w:t>
      </w:r>
      <w:r w:rsidR="00BF7341">
        <w:t xml:space="preserve"> </w:t>
      </w:r>
      <w:r w:rsidR="00BF7341" w:rsidRPr="00807E82">
        <w:t xml:space="preserve">achieved by </w:t>
      </w:r>
      <w:r w:rsidR="002437C0">
        <w:t>approximately</w:t>
      </w:r>
      <w:r w:rsidR="00BF7341" w:rsidRPr="00807E82">
        <w:t>5 days. There was accu</w:t>
      </w:r>
      <w:r w:rsidR="00BF7341">
        <w:t>mulation over the 7 days</w:t>
      </w:r>
      <w:r w:rsidR="00BF7341" w:rsidRPr="00807E82">
        <w:t xml:space="preserve"> following once daily</w:t>
      </w:r>
      <w:r w:rsidR="00BF7341">
        <w:t xml:space="preserve"> dosing with accumulation ratio of </w:t>
      </w:r>
      <w:r w:rsidR="00BF7341" w:rsidRPr="00807E82">
        <w:t xml:space="preserve">2.3 to 4.0 across </w:t>
      </w:r>
      <w:r w:rsidR="00BF7341">
        <w:t xml:space="preserve">the tested </w:t>
      </w:r>
      <w:r w:rsidR="00BF7341" w:rsidRPr="00807E82">
        <w:lastRenderedPageBreak/>
        <w:t>dose</w:t>
      </w:r>
      <w:r w:rsidR="00BF7341">
        <w:t xml:space="preserve"> range. GZR exposure is </w:t>
      </w:r>
      <w:r w:rsidR="002437C0">
        <w:t>approximately</w:t>
      </w:r>
      <w:r w:rsidR="00BF7341">
        <w:t>2 fold higher in HCV patients than in healthy subjects.</w:t>
      </w:r>
    </w:p>
    <w:p w14:paraId="4C3DD530" w14:textId="77777777" w:rsidR="00BF7341" w:rsidRDefault="00BF7341" w:rsidP="00536026">
      <w:r>
        <w:t xml:space="preserve">EBR is absorbed with a median </w:t>
      </w:r>
      <w:r w:rsidR="00114776" w:rsidRPr="00183723">
        <w:t>T</w:t>
      </w:r>
      <w:r w:rsidR="00114776" w:rsidRPr="00114776">
        <w:rPr>
          <w:vertAlign w:val="subscript"/>
        </w:rPr>
        <w:t>max</w:t>
      </w:r>
      <w:r>
        <w:t xml:space="preserve"> of </w:t>
      </w:r>
      <w:r w:rsidR="002437C0">
        <w:t>approximately</w:t>
      </w:r>
      <w:r w:rsidR="00F1336E">
        <w:t xml:space="preserve"> </w:t>
      </w:r>
      <w:r>
        <w:t>3 hours. The estimated PK parameters are absolute Bioavailability (32.4%)</w:t>
      </w:r>
      <w:proofErr w:type="gramStart"/>
      <w:r>
        <w:t>,</w:t>
      </w:r>
      <w:proofErr w:type="gramEnd"/>
      <w:r>
        <w:t xml:space="preserve"> Clearance (5.78 L/h), Volume of distribution at steady-state (121 L) and terminal </w:t>
      </w:r>
      <w:r w:rsidR="004C1037">
        <w:t>t</w:t>
      </w:r>
      <w:r w:rsidR="004C1037" w:rsidRPr="004C1037">
        <w:rPr>
          <w:vertAlign w:val="subscript"/>
        </w:rPr>
        <w:t>½</w:t>
      </w:r>
      <w:r>
        <w:t xml:space="preserve"> (17.15 hours) with the 50</w:t>
      </w:r>
      <w:r w:rsidR="004C1037">
        <w:t xml:space="preserve"> </w:t>
      </w:r>
      <w:r>
        <w:t>mg dose (study 8742-P020).</w:t>
      </w:r>
    </w:p>
    <w:p w14:paraId="4C3DD531" w14:textId="77777777" w:rsidR="00BF7341" w:rsidRDefault="00BF7341" w:rsidP="00536026">
      <w:r w:rsidRPr="00E2600C">
        <w:t xml:space="preserve">EBR </w:t>
      </w:r>
      <w:r>
        <w:t>has linear and dose proportional pharmacokinetics in the 5</w:t>
      </w:r>
      <w:r w:rsidR="004C1037">
        <w:t xml:space="preserve"> to </w:t>
      </w:r>
      <w:r>
        <w:t>10</w:t>
      </w:r>
      <w:r w:rsidR="004C1037">
        <w:t>0 mg</w:t>
      </w:r>
      <w:r w:rsidRPr="00E2600C">
        <w:t xml:space="preserve"> dose range (</w:t>
      </w:r>
      <w:r w:rsidR="004C1037">
        <w:t>S</w:t>
      </w:r>
      <w:r>
        <w:t>tudy 8742-P001). The mean</w:t>
      </w:r>
      <w:r w:rsidRPr="00606314">
        <w:t xml:space="preserve"> terminal </w:t>
      </w:r>
      <w:r w:rsidR="004C1037">
        <w:t>t</w:t>
      </w:r>
      <w:r w:rsidR="004C1037" w:rsidRPr="004C1037">
        <w:rPr>
          <w:vertAlign w:val="subscript"/>
        </w:rPr>
        <w:t>½</w:t>
      </w:r>
      <w:r>
        <w:t xml:space="preserve"> ranged from 14.5</w:t>
      </w:r>
      <w:r w:rsidR="004C1037">
        <w:t xml:space="preserve"> to </w:t>
      </w:r>
      <w:r w:rsidRPr="00606314">
        <w:t xml:space="preserve">19.9 hours </w:t>
      </w:r>
      <w:r>
        <w:t>after single-dose and 18.8</w:t>
      </w:r>
      <w:r w:rsidR="004C1037">
        <w:t xml:space="preserve"> to </w:t>
      </w:r>
      <w:r>
        <w:t xml:space="preserve">20.6 hours </w:t>
      </w:r>
      <w:r w:rsidRPr="00606314">
        <w:t>follow</w:t>
      </w:r>
      <w:r>
        <w:t>ing multiple doses. EBR</w:t>
      </w:r>
      <w:r w:rsidRPr="00606314">
        <w:t xml:space="preserve"> steady-state</w:t>
      </w:r>
      <w:r>
        <w:t xml:space="preserve"> is reached within 2 days in</w:t>
      </w:r>
      <w:r w:rsidRPr="00606314">
        <w:t xml:space="preserve"> </w:t>
      </w:r>
      <w:r>
        <w:t>healthy subjects at doses of 10-20</w:t>
      </w:r>
      <w:r w:rsidR="004C1037">
        <w:t>0 mg</w:t>
      </w:r>
      <w:r>
        <w:t xml:space="preserve"> daily dosing.</w:t>
      </w:r>
    </w:p>
    <w:p w14:paraId="4C3DD532" w14:textId="77777777" w:rsidR="00BF7341" w:rsidRDefault="004C1037" w:rsidP="00536026">
      <w:r>
        <w:t>In HIV patients (S</w:t>
      </w:r>
      <w:r w:rsidR="00BF7341">
        <w:t>tudy 8742-P002), f</w:t>
      </w:r>
      <w:r w:rsidR="00BF7341" w:rsidRPr="009A0F6B">
        <w:t>ollowing multiple</w:t>
      </w:r>
      <w:r w:rsidR="00BF7341">
        <w:t xml:space="preserve"> doses, EBR has a median </w:t>
      </w:r>
      <w:r w:rsidR="00114776" w:rsidRPr="00183723">
        <w:t>T</w:t>
      </w:r>
      <w:r w:rsidR="00114776" w:rsidRPr="00114776">
        <w:rPr>
          <w:vertAlign w:val="subscript"/>
        </w:rPr>
        <w:t>max</w:t>
      </w:r>
      <w:r w:rsidR="00BF7341">
        <w:t xml:space="preserve"> of 2 to 4 hours and mean terminal </w:t>
      </w:r>
      <w:r>
        <w:t>t</w:t>
      </w:r>
      <w:r w:rsidRPr="004C1037">
        <w:rPr>
          <w:vertAlign w:val="subscript"/>
        </w:rPr>
        <w:t>½</w:t>
      </w:r>
      <w:r w:rsidR="00BF7341">
        <w:t xml:space="preserve"> of </w:t>
      </w:r>
      <w:r w:rsidR="002437C0">
        <w:t>approximately</w:t>
      </w:r>
      <w:r w:rsidR="00F1336E">
        <w:t xml:space="preserve"> </w:t>
      </w:r>
      <w:r w:rsidR="00BF7341">
        <w:t>20</w:t>
      </w:r>
      <w:r>
        <w:t xml:space="preserve"> to </w:t>
      </w:r>
      <w:r w:rsidR="00BF7341">
        <w:t>24 hours. EBR</w:t>
      </w:r>
      <w:r w:rsidR="00BF7341" w:rsidRPr="009A0F6B">
        <w:t xml:space="preserve"> exposure increased in an approximately dose-proportion</w:t>
      </w:r>
      <w:r w:rsidR="00BF7341">
        <w:t>al manner over the dose range 5</w:t>
      </w:r>
      <w:r>
        <w:t xml:space="preserve"> to </w:t>
      </w:r>
      <w:r w:rsidR="00BF7341" w:rsidRPr="009A0F6B">
        <w:t xml:space="preserve">50 mg. Steady-state was achieved by </w:t>
      </w:r>
      <w:r w:rsidR="002437C0">
        <w:t>approximately</w:t>
      </w:r>
      <w:r w:rsidR="00BF7341" w:rsidRPr="009A0F6B">
        <w:t>2</w:t>
      </w:r>
      <w:r>
        <w:t xml:space="preserve"> to </w:t>
      </w:r>
      <w:r w:rsidR="00BF7341">
        <w:t>5 days, with accumulation ratio of 1.5</w:t>
      </w:r>
      <w:r>
        <w:t xml:space="preserve"> to </w:t>
      </w:r>
      <w:r w:rsidR="00BF7341" w:rsidRPr="009A0F6B">
        <w:t>1.9.</w:t>
      </w:r>
      <w:r w:rsidR="00BF7341">
        <w:t xml:space="preserve"> EBR exposure in HCV patients is similar to that in healthy subjects.</w:t>
      </w:r>
    </w:p>
    <w:p w14:paraId="4C3DD533" w14:textId="7BA876B8" w:rsidR="00BF7341" w:rsidRPr="002D6546" w:rsidRDefault="00BF7341" w:rsidP="004C1037">
      <w:pPr>
        <w:pStyle w:val="Heading5"/>
      </w:pPr>
      <w:r>
        <w:t xml:space="preserve">Population </w:t>
      </w:r>
      <w:r w:rsidR="009321D4">
        <w:t>p</w:t>
      </w:r>
      <w:r>
        <w:t>harmacokinetics</w:t>
      </w:r>
    </w:p>
    <w:p w14:paraId="4C3DD534" w14:textId="77777777" w:rsidR="00BF7341" w:rsidRDefault="00BF7341" w:rsidP="00BF7341">
      <w:pPr>
        <w:spacing w:line="240" w:lineRule="auto"/>
        <w:jc w:val="both"/>
      </w:pPr>
      <w:r>
        <w:t>The effect of various covariates, on estimate of GZR Clearance (L/h)</w:t>
      </w:r>
      <w:r w:rsidR="004C1037">
        <w:t xml:space="preserve"> is shown in Table 1</w:t>
      </w:r>
      <w:r w:rsidR="004C2FE4">
        <w:t>3</w:t>
      </w:r>
      <w:r w:rsidR="004C1037">
        <w:t xml:space="preserve"> below.</w:t>
      </w:r>
    </w:p>
    <w:p w14:paraId="4C3DD535" w14:textId="77777777" w:rsidR="004C1037" w:rsidRDefault="004C1037" w:rsidP="00EB6F08">
      <w:pPr>
        <w:pStyle w:val="TableTitle"/>
      </w:pPr>
      <w:r>
        <w:t>Table 1</w:t>
      </w:r>
      <w:r w:rsidR="004C2FE4">
        <w:t>3</w:t>
      </w:r>
      <w:r>
        <w:t xml:space="preserve">: Key </w:t>
      </w:r>
      <w:r w:rsidR="00EB6F08">
        <w:t>GZR population PK parameter values and covariate effects for representative populations</w:t>
      </w:r>
    </w:p>
    <w:p w14:paraId="4C3DD536" w14:textId="77777777" w:rsidR="00BF7341" w:rsidRDefault="00BF7341" w:rsidP="009321D4">
      <w:r>
        <w:rPr>
          <w:noProof/>
          <w:lang w:eastAsia="en-AU"/>
        </w:rPr>
        <w:drawing>
          <wp:inline distT="0" distB="0" distL="0" distR="0" wp14:anchorId="4C3DD645" wp14:editId="4C3DD646">
            <wp:extent cx="4241991" cy="3210713"/>
            <wp:effectExtent l="0" t="0" r="6350" b="8890"/>
            <wp:docPr id="32" name="Picture 32" descr="Table 13: Key GZR population PK parameter values and covariate effects for representative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1218" t="9496" r="15391"/>
                    <a:stretch/>
                  </pic:blipFill>
                  <pic:spPr bwMode="auto">
                    <a:xfrm>
                      <a:off x="0" y="0"/>
                      <a:ext cx="4241538" cy="3210370"/>
                    </a:xfrm>
                    <a:prstGeom prst="rect">
                      <a:avLst/>
                    </a:prstGeom>
                    <a:noFill/>
                    <a:ln>
                      <a:noFill/>
                    </a:ln>
                    <a:extLst>
                      <a:ext uri="{53640926-AAD7-44D8-BBD7-CCE9431645EC}">
                        <a14:shadowObscured xmlns:a14="http://schemas.microsoft.com/office/drawing/2010/main"/>
                      </a:ext>
                    </a:extLst>
                  </pic:spPr>
                </pic:pic>
              </a:graphicData>
            </a:graphic>
          </wp:inline>
        </w:drawing>
      </w:r>
    </w:p>
    <w:p w14:paraId="4C3DD537" w14:textId="77777777" w:rsidR="00BF7341" w:rsidRDefault="00BF7341" w:rsidP="00BF7341">
      <w:pPr>
        <w:spacing w:line="240" w:lineRule="auto"/>
        <w:jc w:val="both"/>
      </w:pPr>
      <w:r>
        <w:t>The effect of various covariates, on estimate of EBR Clearance (L/h)</w:t>
      </w:r>
      <w:r w:rsidR="00EB6F08">
        <w:t xml:space="preserve"> </w:t>
      </w:r>
      <w:r w:rsidR="00C15B7C">
        <w:t xml:space="preserve">is </w:t>
      </w:r>
      <w:r w:rsidR="00EB6F08">
        <w:t>shown in Table 1</w:t>
      </w:r>
      <w:r w:rsidR="004C2FE4">
        <w:t>4</w:t>
      </w:r>
      <w:r w:rsidR="00EB6F08">
        <w:t xml:space="preserve"> below.</w:t>
      </w:r>
    </w:p>
    <w:p w14:paraId="0EB1CB33" w14:textId="77777777" w:rsidR="00655550" w:rsidRDefault="00C15B7C" w:rsidP="009321D4">
      <w:pPr>
        <w:pStyle w:val="TableTitle"/>
      </w:pPr>
      <w:r>
        <w:lastRenderedPageBreak/>
        <w:t>Table 1</w:t>
      </w:r>
      <w:r w:rsidR="004C2FE4">
        <w:t>4</w:t>
      </w:r>
      <w:r>
        <w:t xml:space="preserve">: Key EBR </w:t>
      </w:r>
      <w:r w:rsidRPr="009321D4">
        <w:t>population</w:t>
      </w:r>
      <w:r>
        <w:t xml:space="preserve"> PK parameter values and covariate effects</w:t>
      </w:r>
    </w:p>
    <w:p w14:paraId="4C3DD539" w14:textId="2EF1D62A" w:rsidR="00BF7341" w:rsidRDefault="00BF7341" w:rsidP="009321D4">
      <w:r>
        <w:rPr>
          <w:noProof/>
          <w:lang w:eastAsia="en-AU"/>
        </w:rPr>
        <w:drawing>
          <wp:inline distT="0" distB="0" distL="0" distR="0" wp14:anchorId="4C3DD647" wp14:editId="4C3DD648">
            <wp:extent cx="4454180" cy="2866953"/>
            <wp:effectExtent l="0" t="0" r="3810" b="0"/>
            <wp:docPr id="42" name="Picture 42" descr="Table 14: Key EBR population PK parameter values and covariate eff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t="7127"/>
                    <a:stretch/>
                  </pic:blipFill>
                  <pic:spPr bwMode="auto">
                    <a:xfrm>
                      <a:off x="0" y="0"/>
                      <a:ext cx="4457317" cy="2868972"/>
                    </a:xfrm>
                    <a:prstGeom prst="rect">
                      <a:avLst/>
                    </a:prstGeom>
                    <a:noFill/>
                    <a:ln>
                      <a:noFill/>
                    </a:ln>
                    <a:extLst>
                      <a:ext uri="{53640926-AAD7-44D8-BBD7-CCE9431645EC}">
                        <a14:shadowObscured xmlns:a14="http://schemas.microsoft.com/office/drawing/2010/main"/>
                      </a:ext>
                    </a:extLst>
                  </pic:spPr>
                </pic:pic>
              </a:graphicData>
            </a:graphic>
          </wp:inline>
        </w:drawing>
      </w:r>
    </w:p>
    <w:p w14:paraId="4C3DD53A" w14:textId="168D8414" w:rsidR="00BF7341" w:rsidRDefault="00A44AA6" w:rsidP="00C15B7C">
      <w:pPr>
        <w:pStyle w:val="Heading5"/>
      </w:pPr>
      <w:r>
        <w:t>GZR</w:t>
      </w:r>
      <w:r w:rsidR="00BF7341">
        <w:t>/EBR</w:t>
      </w:r>
      <w:r w:rsidR="00BF7341" w:rsidRPr="00F84927">
        <w:t xml:space="preserve"> i</w:t>
      </w:r>
      <w:r w:rsidR="00BF7341">
        <w:t>nteraction</w:t>
      </w:r>
    </w:p>
    <w:p w14:paraId="4C3DD53B" w14:textId="4E10B281" w:rsidR="00BF7341" w:rsidRPr="00F84927" w:rsidRDefault="00BF7341" w:rsidP="00C15B7C">
      <w:r>
        <w:t xml:space="preserve">Study 8742-P008 demonstrated lack of </w:t>
      </w:r>
      <w:r w:rsidR="00F1336E">
        <w:t>GZR</w:t>
      </w:r>
      <w:r>
        <w:t>/EBR interaction with EBR AUC</w:t>
      </w:r>
      <w:r w:rsidRPr="00F84927">
        <w:rPr>
          <w:vertAlign w:val="subscript"/>
        </w:rPr>
        <w:t>0-24</w:t>
      </w:r>
      <w:r>
        <w:t xml:space="preserve"> of 1.01 [90%CI 0.83, 1.24] for </w:t>
      </w:r>
      <w:r w:rsidRPr="00F84927">
        <w:t>EBR+GZR/EBR</w:t>
      </w:r>
      <w:r>
        <w:t xml:space="preserve"> comparison and GZR AUC</w:t>
      </w:r>
      <w:r w:rsidRPr="00F84927">
        <w:rPr>
          <w:vertAlign w:val="subscript"/>
        </w:rPr>
        <w:t>0-24</w:t>
      </w:r>
      <w:r w:rsidRPr="00F84927">
        <w:t xml:space="preserve"> </w:t>
      </w:r>
      <w:r>
        <w:t xml:space="preserve">of </w:t>
      </w:r>
      <w:r w:rsidRPr="00F84927">
        <w:t>0.90 [</w:t>
      </w:r>
      <w:r>
        <w:t>90%CI 0.63, 1.28] for GZR+EBR/GZR comparison.</w:t>
      </w:r>
    </w:p>
    <w:p w14:paraId="4C3DD53C" w14:textId="77777777" w:rsidR="00BF7341" w:rsidRPr="00CE5538" w:rsidRDefault="00BF7341" w:rsidP="00C15B7C">
      <w:r>
        <w:t>There was also no evidence of clinically relevant interaction using the FDC formulation (GZR/EBR 100/50) compared to G</w:t>
      </w:r>
      <w:r w:rsidR="00F1336E">
        <w:t>Z</w:t>
      </w:r>
      <w:r>
        <w:t>R10</w:t>
      </w:r>
      <w:r w:rsidR="004C1037">
        <w:t xml:space="preserve">0 </w:t>
      </w:r>
      <w:proofErr w:type="spellStart"/>
      <w:r w:rsidR="004C1037">
        <w:t>mg</w:t>
      </w:r>
      <w:r>
        <w:t>+EBR</w:t>
      </w:r>
      <w:proofErr w:type="spellEnd"/>
      <w:r w:rsidR="00F1336E">
        <w:t xml:space="preserve"> </w:t>
      </w:r>
      <w:r>
        <w:t>5</w:t>
      </w:r>
      <w:r w:rsidR="004C1037">
        <w:t>0 mg</w:t>
      </w:r>
      <w:r>
        <w:t xml:space="preserve"> free combination in a single dose study (</w:t>
      </w:r>
      <w:r w:rsidRPr="001F4982">
        <w:rPr>
          <w:rFonts w:eastAsia="TimesNewRoman" w:cstheme="minorHAnsi"/>
        </w:rPr>
        <w:t>GZR AUC</w:t>
      </w:r>
      <w:r w:rsidRPr="001F4982">
        <w:rPr>
          <w:rFonts w:eastAsia="TimesNewRoman" w:cstheme="minorHAnsi"/>
          <w:vertAlign w:val="subscript"/>
        </w:rPr>
        <w:t>0-inf</w:t>
      </w:r>
      <w:r>
        <w:rPr>
          <w:rFonts w:eastAsia="TimesNewRoman" w:cstheme="minorHAnsi"/>
        </w:rPr>
        <w:t xml:space="preserve"> 0.94 [90%CI </w:t>
      </w:r>
      <w:r w:rsidRPr="00E90427">
        <w:rPr>
          <w:rFonts w:eastAsia="TimesNewRoman" w:cstheme="minorHAnsi"/>
        </w:rPr>
        <w:t>0.84,</w:t>
      </w:r>
      <w:r>
        <w:rPr>
          <w:rFonts w:eastAsia="TimesNewRoman" w:cstheme="minorHAnsi"/>
        </w:rPr>
        <w:t xml:space="preserve"> 1.07], GZR </w:t>
      </w:r>
      <w:r w:rsidR="00114776">
        <w:t>C</w:t>
      </w:r>
      <w:r w:rsidR="00114776" w:rsidRPr="00114776">
        <w:rPr>
          <w:vertAlign w:val="subscript"/>
        </w:rPr>
        <w:t>max</w:t>
      </w:r>
      <w:r>
        <w:rPr>
          <w:rFonts w:eastAsia="TimesNewRoman" w:cstheme="minorHAnsi"/>
        </w:rPr>
        <w:t xml:space="preserve"> 0.94 [90%CI </w:t>
      </w:r>
      <w:r w:rsidRPr="00E90427">
        <w:rPr>
          <w:rFonts w:eastAsia="TimesNewRoman" w:cstheme="minorHAnsi"/>
        </w:rPr>
        <w:t>0.78</w:t>
      </w:r>
      <w:r>
        <w:rPr>
          <w:rFonts w:eastAsia="TimesNewRoman" w:cstheme="minorHAnsi"/>
        </w:rPr>
        <w:t xml:space="preserve">, 1.12]; </w:t>
      </w:r>
      <w:r w:rsidRPr="001F4982">
        <w:rPr>
          <w:rFonts w:eastAsia="TimesNewRoman" w:cstheme="minorHAnsi"/>
        </w:rPr>
        <w:t>EBR AUC</w:t>
      </w:r>
      <w:r w:rsidRPr="001F4982">
        <w:rPr>
          <w:rFonts w:eastAsia="TimesNewRoman" w:cstheme="minorHAnsi"/>
          <w:vertAlign w:val="subscript"/>
        </w:rPr>
        <w:t>0-inf</w:t>
      </w:r>
      <w:r>
        <w:rPr>
          <w:rFonts w:eastAsia="TimesNewRoman" w:cstheme="minorHAnsi"/>
        </w:rPr>
        <w:t xml:space="preserve"> 1.15 [90%CI </w:t>
      </w:r>
      <w:r w:rsidRPr="001F4982">
        <w:rPr>
          <w:rFonts w:eastAsia="TimesNewRoman" w:cstheme="minorHAnsi"/>
        </w:rPr>
        <w:t xml:space="preserve">1.04, </w:t>
      </w:r>
      <w:r>
        <w:rPr>
          <w:rFonts w:eastAsia="TimesNewRoman" w:cstheme="minorHAnsi"/>
        </w:rPr>
        <w:t>1.26], EBR</w:t>
      </w:r>
      <w:r w:rsidRPr="00E90427">
        <w:rPr>
          <w:rFonts w:eastAsia="TimesNewRoman" w:cstheme="minorHAnsi"/>
        </w:rPr>
        <w:t xml:space="preserve"> </w:t>
      </w:r>
      <w:r w:rsidR="00114776">
        <w:t>C</w:t>
      </w:r>
      <w:r w:rsidR="00114776" w:rsidRPr="00114776">
        <w:rPr>
          <w:vertAlign w:val="subscript"/>
        </w:rPr>
        <w:t>max</w:t>
      </w:r>
      <w:r>
        <w:rPr>
          <w:rFonts w:eastAsia="TimesNewRoman" w:cstheme="minorHAnsi"/>
        </w:rPr>
        <w:t xml:space="preserve"> 1.18 [90%CI 1.05, </w:t>
      </w:r>
      <w:r w:rsidRPr="00E90427">
        <w:rPr>
          <w:rFonts w:eastAsia="TimesNewRoman" w:cstheme="minorHAnsi"/>
        </w:rPr>
        <w:t>1.33</w:t>
      </w:r>
      <w:r w:rsidRPr="00CE5538">
        <w:rPr>
          <w:rFonts w:eastAsia="TimesNewRoman" w:cstheme="minorHAnsi"/>
        </w:rPr>
        <w:t>])</w:t>
      </w:r>
      <w:r w:rsidRPr="00CE5538">
        <w:t>.</w:t>
      </w:r>
    </w:p>
    <w:p w14:paraId="4C3DD53D" w14:textId="00E6752E" w:rsidR="00BF7341" w:rsidRPr="00D57239" w:rsidRDefault="00BF7341" w:rsidP="00C15B7C">
      <w:pPr>
        <w:pStyle w:val="Heading5"/>
      </w:pPr>
      <w:r w:rsidRPr="00D57239">
        <w:t xml:space="preserve">Food </w:t>
      </w:r>
      <w:r w:rsidR="009321D4">
        <w:t>e</w:t>
      </w:r>
      <w:r>
        <w:t>ffect</w:t>
      </w:r>
    </w:p>
    <w:p w14:paraId="4C3DD53E" w14:textId="77777777" w:rsidR="00BF7341" w:rsidRDefault="00BF7341" w:rsidP="00C15B7C">
      <w:r>
        <w:t>T</w:t>
      </w:r>
      <w:r w:rsidRPr="00E2600C">
        <w:t xml:space="preserve">he </w:t>
      </w:r>
      <w:r>
        <w:t xml:space="preserve">food study </w:t>
      </w:r>
      <w:r w:rsidRPr="00E2600C">
        <w:t>(</w:t>
      </w:r>
      <w:r>
        <w:t>5172-P069) using the FDC tablet (10</w:t>
      </w:r>
      <w:r w:rsidR="004C1037">
        <w:t>0 mg</w:t>
      </w:r>
      <w:r>
        <w:t>/5</w:t>
      </w:r>
      <w:r w:rsidR="004C1037">
        <w:t>0 mg</w:t>
      </w:r>
      <w:r>
        <w:t>) in healthy volunteers</w:t>
      </w:r>
      <w:r w:rsidRPr="00E2600C">
        <w:t xml:space="preserve"> </w:t>
      </w:r>
      <w:r>
        <w:t>showed increased GZR exposure (</w:t>
      </w:r>
      <w:r w:rsidRPr="00E2600C">
        <w:t>A</w:t>
      </w:r>
      <w:r>
        <w:t xml:space="preserve">UC </w:t>
      </w:r>
      <w:r w:rsidR="00C15B7C">
        <w:t>and</w:t>
      </w:r>
      <w:r>
        <w:t xml:space="preserve"> </w:t>
      </w:r>
      <w:r w:rsidR="00114776">
        <w:t>C</w:t>
      </w:r>
      <w:r w:rsidR="00114776" w:rsidRPr="00114776">
        <w:rPr>
          <w:vertAlign w:val="subscript"/>
        </w:rPr>
        <w:t>max</w:t>
      </w:r>
      <w:r>
        <w:t xml:space="preserve"> by 1.54 </w:t>
      </w:r>
      <w:r w:rsidR="00C15B7C">
        <w:t>and</w:t>
      </w:r>
      <w:r>
        <w:t xml:space="preserve"> 2.83 fold respectively) and</w:t>
      </w:r>
      <w:r w:rsidRPr="00E2600C">
        <w:t xml:space="preserve"> decreased EBR </w:t>
      </w:r>
      <w:r>
        <w:t xml:space="preserve">(AUC </w:t>
      </w:r>
      <w:r w:rsidR="00C15B7C">
        <w:t>and</w:t>
      </w:r>
      <w:r>
        <w:t xml:space="preserve"> </w:t>
      </w:r>
      <w:r w:rsidR="00114776">
        <w:t>C</w:t>
      </w:r>
      <w:r w:rsidR="00114776" w:rsidRPr="00114776">
        <w:rPr>
          <w:vertAlign w:val="subscript"/>
        </w:rPr>
        <w:t>max</w:t>
      </w:r>
      <w:r>
        <w:t xml:space="preserve"> by 11% &amp; 15% </w:t>
      </w:r>
      <w:r w:rsidRPr="00E2600C">
        <w:t>respectively</w:t>
      </w:r>
      <w:r>
        <w:t>).</w:t>
      </w:r>
    </w:p>
    <w:p w14:paraId="4C3DD53F" w14:textId="7D20C31A" w:rsidR="00BF7341" w:rsidRPr="00E508D4" w:rsidRDefault="00BF7341" w:rsidP="00C15B7C">
      <w:pPr>
        <w:pStyle w:val="Heading5"/>
      </w:pPr>
      <w:r w:rsidRPr="00E508D4">
        <w:t>Drug</w:t>
      </w:r>
      <w:r>
        <w:t>-</w:t>
      </w:r>
      <w:r w:rsidR="009321D4">
        <w:t>d</w:t>
      </w:r>
      <w:r>
        <w:t>rug</w:t>
      </w:r>
      <w:r w:rsidRPr="00E508D4">
        <w:t xml:space="preserve"> interactions</w:t>
      </w:r>
      <w:r>
        <w:t xml:space="preserve"> (DDIs)</w:t>
      </w:r>
    </w:p>
    <w:p w14:paraId="4C3DD540" w14:textId="77777777" w:rsidR="00BF7341" w:rsidRDefault="00BF7341" w:rsidP="00C15B7C">
      <w:r>
        <w:t xml:space="preserve">AUC bounds of (0.4, 5.0) for GZR and, (0.5, 2.0) for EBR were designated by the sponsor as </w:t>
      </w:r>
      <w:r w:rsidRPr="00141353">
        <w:t>clini</w:t>
      </w:r>
      <w:r>
        <w:t xml:space="preserve">cally tolerable limits for GZR/EBR (100/50 mg daily) exposure in the presence of various intrinsic </w:t>
      </w:r>
      <w:r w:rsidR="00C15B7C">
        <w:t>and</w:t>
      </w:r>
      <w:r>
        <w:t xml:space="preserve"> extrinsic factors that affecting bioavailability including drug interactions. A range of DDI studies were carried out for which please see CER.</w:t>
      </w:r>
    </w:p>
    <w:p w14:paraId="4C3DD541" w14:textId="77777777" w:rsidR="00BF7341" w:rsidRDefault="00BF7341" w:rsidP="00C15B7C">
      <w:r>
        <w:t xml:space="preserve">The directions for use have been detailed in the </w:t>
      </w:r>
      <w:r w:rsidR="00C15B7C">
        <w:t xml:space="preserve">draft </w:t>
      </w:r>
      <w:r w:rsidR="00CE22E6" w:rsidRPr="00CE22E6">
        <w:t>Product Information</w:t>
      </w:r>
      <w:r>
        <w:t xml:space="preserve"> under Contraindications and Precautions (Interaction with other medicines) sections and are consistent with the supplied data.</w:t>
      </w:r>
    </w:p>
    <w:p w14:paraId="4C3DD542" w14:textId="77777777" w:rsidR="00BF7341" w:rsidRDefault="00BF7341" w:rsidP="00C15B7C">
      <w:r>
        <w:t>Coadministration of GZR/EBR with</w:t>
      </w:r>
      <w:r w:rsidRPr="003C176F">
        <w:t xml:space="preserve"> strong and </w:t>
      </w:r>
      <w:r>
        <w:t xml:space="preserve">moderate CYP3A inducers or P-gp inducers </w:t>
      </w:r>
      <w:r w:rsidRPr="003C176F">
        <w:t xml:space="preserve">decreases GZR and EBR </w:t>
      </w:r>
      <w:r>
        <w:t>exposure and is contraindicated/not recommended.</w:t>
      </w:r>
    </w:p>
    <w:p w14:paraId="4C3DD543" w14:textId="77777777" w:rsidR="00BF7341" w:rsidRDefault="00BF7341" w:rsidP="00C15B7C">
      <w:r w:rsidRPr="003C176F">
        <w:t>Coadministration of GZR/EBR with strong CYP3A</w:t>
      </w:r>
      <w:r>
        <w:t xml:space="preserve"> inhibitors or </w:t>
      </w:r>
      <w:r w:rsidRPr="003C176F">
        <w:t>P-gp inhibitors increases GZR and E</w:t>
      </w:r>
      <w:r>
        <w:t>BR exposures</w:t>
      </w:r>
      <w:r w:rsidRPr="003C176F">
        <w:t xml:space="preserve"> but the increases are not </w:t>
      </w:r>
      <w:r>
        <w:t>considered clinically relevant.</w:t>
      </w:r>
    </w:p>
    <w:p w14:paraId="4C3DD544" w14:textId="77777777" w:rsidR="00BF7341" w:rsidRPr="001A5347" w:rsidRDefault="00BF7341" w:rsidP="00C15B7C">
      <w:r>
        <w:t>Co</w:t>
      </w:r>
      <w:r w:rsidRPr="003C176F">
        <w:t xml:space="preserve">administration of </w:t>
      </w:r>
      <w:r>
        <w:t>GZR/EBR with drugs that inhibit organic anion transporting polypeptide 1B (</w:t>
      </w:r>
      <w:r w:rsidRPr="003C176F">
        <w:t xml:space="preserve">OATP1B </w:t>
      </w:r>
      <w:r>
        <w:t xml:space="preserve">inhibitors) </w:t>
      </w:r>
      <w:r w:rsidRPr="001A5347">
        <w:t xml:space="preserve">such as </w:t>
      </w:r>
      <w:proofErr w:type="spellStart"/>
      <w:r w:rsidRPr="001A5347">
        <w:t>atazanavir</w:t>
      </w:r>
      <w:proofErr w:type="spellEnd"/>
      <w:r w:rsidRPr="001A5347">
        <w:t xml:space="preserve">, </w:t>
      </w:r>
      <w:proofErr w:type="spellStart"/>
      <w:r w:rsidRPr="001A5347">
        <w:t>darunavir</w:t>
      </w:r>
      <w:proofErr w:type="spellEnd"/>
      <w:r w:rsidRPr="001A5347">
        <w:t xml:space="preserve">, </w:t>
      </w:r>
      <w:proofErr w:type="spellStart"/>
      <w:r w:rsidRPr="001A5347">
        <w:t>lopinavir</w:t>
      </w:r>
      <w:proofErr w:type="spellEnd"/>
      <w:r w:rsidRPr="001A5347">
        <w:t xml:space="preserve">, </w:t>
      </w:r>
      <w:proofErr w:type="spellStart"/>
      <w:r w:rsidRPr="001A5347">
        <w:t>saquinavir</w:t>
      </w:r>
      <w:proofErr w:type="spellEnd"/>
      <w:r w:rsidRPr="001A5347">
        <w:t>,</w:t>
      </w:r>
      <w:r>
        <w:t xml:space="preserve"> </w:t>
      </w:r>
      <w:proofErr w:type="spellStart"/>
      <w:r w:rsidRPr="001A5347">
        <w:t>tipranavir</w:t>
      </w:r>
      <w:proofErr w:type="spellEnd"/>
      <w:r w:rsidRPr="001A5347">
        <w:t xml:space="preserve">, or cyclosporine, </w:t>
      </w:r>
      <w:r>
        <w:t xml:space="preserve">is contraindicated </w:t>
      </w:r>
      <w:r w:rsidRPr="001A5347">
        <w:t xml:space="preserve">due to the expected significant increase in </w:t>
      </w:r>
      <w:r>
        <w:t>GZR exposure and consequent risk of hepatotoxicity. Coadministration with rifampicin is also contraindicated.</w:t>
      </w:r>
    </w:p>
    <w:p w14:paraId="4C3DD545" w14:textId="5A9FD47D" w:rsidR="00BF7341" w:rsidRPr="00E508D4" w:rsidRDefault="00BF7341" w:rsidP="00C15B7C">
      <w:pPr>
        <w:pStyle w:val="Heading4"/>
      </w:pPr>
      <w:r w:rsidRPr="00E508D4">
        <w:lastRenderedPageBreak/>
        <w:t xml:space="preserve">Clinical </w:t>
      </w:r>
      <w:r w:rsidR="009321D4" w:rsidRPr="00E508D4">
        <w:t>ef</w:t>
      </w:r>
      <w:r w:rsidRPr="00E508D4">
        <w:t>ficacy</w:t>
      </w:r>
    </w:p>
    <w:p w14:paraId="4C3DD546" w14:textId="77777777" w:rsidR="00BF7341" w:rsidRPr="00E6416F" w:rsidRDefault="00BF7341" w:rsidP="00BF7341">
      <w:pPr>
        <w:spacing w:line="240" w:lineRule="auto"/>
        <w:jc w:val="both"/>
      </w:pPr>
      <w:r>
        <w:t>All efficacy studies were in adult patients.</w:t>
      </w:r>
    </w:p>
    <w:p w14:paraId="4C3DD547" w14:textId="77777777" w:rsidR="00BF7341" w:rsidRPr="00C15B7C" w:rsidRDefault="00BF7341" w:rsidP="00C15B7C">
      <w:r w:rsidRPr="00C15B7C">
        <w:t>Dose selection</w:t>
      </w:r>
      <w:r w:rsidRPr="00C15B7C">
        <w:rPr>
          <w:i/>
        </w:rPr>
        <w:t xml:space="preserve"> </w:t>
      </w:r>
      <w:r w:rsidRPr="00C15B7C">
        <w:t xml:space="preserve">was examined in three </w:t>
      </w:r>
      <w:r w:rsidR="004A28A8" w:rsidRPr="00C15B7C">
        <w:t>Phase II</w:t>
      </w:r>
      <w:r w:rsidRPr="00C15B7C">
        <w:t xml:space="preserve"> studies (P003, P038 &amp; 035). The totality of evidence supported the proposed clinical testing of GZR/EBR (100/50) once daily dosing.</w:t>
      </w:r>
    </w:p>
    <w:p w14:paraId="4C3DD548" w14:textId="77777777" w:rsidR="00BF7341" w:rsidRDefault="00BF7341" w:rsidP="00C15B7C">
      <w:r w:rsidRPr="00C15B7C">
        <w:rPr>
          <w:rStyle w:val="Heading5Char"/>
          <w:rFonts w:eastAsia="Cambria"/>
        </w:rPr>
        <w:t>Study P003:</w:t>
      </w:r>
      <w:r w:rsidRPr="001C22B1">
        <w:rPr>
          <w:i/>
        </w:rPr>
        <w:t xml:space="preserve"> </w:t>
      </w:r>
      <w:r>
        <w:t>This was a randomised, double blind, dose ranging study</w:t>
      </w:r>
      <w:r w:rsidRPr="00414C84">
        <w:t xml:space="preserve"> of GZR</w:t>
      </w:r>
      <w:r>
        <w:t xml:space="preserve"> in treatment-naïve (TN), GT-1, n</w:t>
      </w:r>
      <w:r w:rsidRPr="00414C84">
        <w:t>on</w:t>
      </w:r>
      <w:r>
        <w:t>-</w:t>
      </w:r>
      <w:r w:rsidRPr="00414C84">
        <w:t>cirrhotic</w:t>
      </w:r>
      <w:r>
        <w:t xml:space="preserve"> patients. A cirrhotic group was subsequently added. Boceprevir (80</w:t>
      </w:r>
      <w:r w:rsidR="004C1037">
        <w:t>0 mg</w:t>
      </w:r>
      <w:r>
        <w:t xml:space="preserve"> </w:t>
      </w:r>
      <w:r w:rsidR="00C15B7C">
        <w:t>three times a day (</w:t>
      </w:r>
      <w:r>
        <w:t>TD</w:t>
      </w:r>
      <w:r w:rsidR="00C15B7C">
        <w:t>)</w:t>
      </w:r>
      <w:r>
        <w:t xml:space="preserve">) was used as comparator to GZR (100, 200, 400, 800 mg daily) in a 12 weeks treatment trial. All groups received </w:t>
      </w:r>
      <w:proofErr w:type="spellStart"/>
      <w:r>
        <w:t>peginterferon</w:t>
      </w:r>
      <w:proofErr w:type="spellEnd"/>
      <w:r>
        <w:t>/ribavirin (P/R) response guided therapy (RGT). The patients were randomised into 8 treatment groups</w:t>
      </w:r>
      <w:r w:rsidR="00C15B7C">
        <w:t xml:space="preserve"> (as shown in Table 1</w:t>
      </w:r>
      <w:r w:rsidR="004C2FE4">
        <w:t>5</w:t>
      </w:r>
      <w:r w:rsidR="00C15B7C">
        <w:t xml:space="preserve"> below).</w:t>
      </w:r>
    </w:p>
    <w:p w14:paraId="4C3DD549" w14:textId="77777777" w:rsidR="00C15B7C" w:rsidRDefault="00C15B7C" w:rsidP="00C15B7C">
      <w:pPr>
        <w:pStyle w:val="TableTitle"/>
      </w:pPr>
      <w:r>
        <w:t>Table 1</w:t>
      </w:r>
      <w:r w:rsidR="004C2FE4">
        <w:t>5</w:t>
      </w:r>
      <w:r>
        <w:t>: Patient treatment groups and patient numbers</w:t>
      </w:r>
    </w:p>
    <w:p w14:paraId="4C3DD54A" w14:textId="77777777" w:rsidR="00BF7341" w:rsidRDefault="00BF7341" w:rsidP="009321D4">
      <w:r>
        <w:rPr>
          <w:noProof/>
          <w:lang w:eastAsia="en-AU"/>
        </w:rPr>
        <w:drawing>
          <wp:inline distT="0" distB="0" distL="0" distR="0" wp14:anchorId="4C3DD649" wp14:editId="4C3DD64A">
            <wp:extent cx="5319806" cy="1842551"/>
            <wp:effectExtent l="0" t="0" r="0" b="5715"/>
            <wp:docPr id="48" name="Picture 48" descr="Table 15: Patient treatment groups and patien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5333715" cy="1847368"/>
                    </a:xfrm>
                    <a:prstGeom prst="rect">
                      <a:avLst/>
                    </a:prstGeom>
                  </pic:spPr>
                </pic:pic>
              </a:graphicData>
            </a:graphic>
          </wp:inline>
        </w:drawing>
      </w:r>
    </w:p>
    <w:p w14:paraId="4C3DD54B" w14:textId="77777777" w:rsidR="00BF7341" w:rsidRDefault="00BF7341" w:rsidP="00C15B7C">
      <w:r>
        <w:t>SVR12 response</w:t>
      </w:r>
      <w:r>
        <w:rPr>
          <w:rStyle w:val="FootnoteReference"/>
        </w:rPr>
        <w:footnoteReference w:id="8"/>
      </w:r>
      <w:r>
        <w:t xml:space="preserve"> rates were as </w:t>
      </w:r>
      <w:r w:rsidR="00D82908">
        <w:t>shown in Table 1</w:t>
      </w:r>
      <w:r w:rsidR="004C2FE4">
        <w:t>6</w:t>
      </w:r>
      <w:r>
        <w:t xml:space="preserve"> and showed that 10</w:t>
      </w:r>
      <w:r w:rsidR="004C1037">
        <w:t>0 mg</w:t>
      </w:r>
      <w:r>
        <w:t xml:space="preserve"> daily GZR was the highest suitable dose (safety outcome were indicative of increasing incidence and severity of ALT/AST/hepatic effects with the 20</w:t>
      </w:r>
      <w:r w:rsidR="004C1037">
        <w:t>0 mg</w:t>
      </w:r>
      <w:r>
        <w:t xml:space="preserve"> dose and above)</w:t>
      </w:r>
      <w:r w:rsidR="00D82908">
        <w:t>.</w:t>
      </w:r>
    </w:p>
    <w:p w14:paraId="4C3DD54C" w14:textId="77777777" w:rsidR="00D82908" w:rsidRDefault="00D82908" w:rsidP="00D82908">
      <w:pPr>
        <w:pStyle w:val="TableTitle"/>
      </w:pPr>
      <w:r>
        <w:t>Table 1</w:t>
      </w:r>
      <w:r w:rsidR="004C2FE4">
        <w:t>6</w:t>
      </w:r>
      <w:r>
        <w:t>: SVR12 response rates</w:t>
      </w:r>
    </w:p>
    <w:p w14:paraId="4C3DD54D" w14:textId="77777777" w:rsidR="00BF7341" w:rsidRDefault="00BF7341" w:rsidP="009321D4">
      <w:r>
        <w:rPr>
          <w:noProof/>
          <w:lang w:eastAsia="en-AU"/>
        </w:rPr>
        <w:drawing>
          <wp:inline distT="0" distB="0" distL="0" distR="0" wp14:anchorId="4C3DD64B" wp14:editId="4C3DD64C">
            <wp:extent cx="5024120" cy="1471867"/>
            <wp:effectExtent l="0" t="0" r="5080" b="0"/>
            <wp:docPr id="59" name="Picture 59" descr="Table 16: SVR12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5051889" cy="1480002"/>
                    </a:xfrm>
                    <a:prstGeom prst="rect">
                      <a:avLst/>
                    </a:prstGeom>
                    <a:noFill/>
                    <a:ln>
                      <a:noFill/>
                    </a:ln>
                  </pic:spPr>
                </pic:pic>
              </a:graphicData>
            </a:graphic>
          </wp:inline>
        </w:drawing>
      </w:r>
    </w:p>
    <w:p w14:paraId="4C3DD54E" w14:textId="77777777" w:rsidR="00BF7341" w:rsidRDefault="00BF7341" w:rsidP="00D82908">
      <w:r w:rsidRPr="00D82908">
        <w:rPr>
          <w:rStyle w:val="Heading6Char"/>
          <w:rFonts w:eastAsia="Cambria"/>
        </w:rPr>
        <w:t>Study P038:</w:t>
      </w:r>
      <w:r w:rsidRPr="00D82908">
        <w:t xml:space="preserve"> This was a randomised, double blind, dose ranging study of GZR (25, 50 or 100 mg daily) with P/R by RGT, in treatment-naïve, GT-1, non-cirrhotic patients for 12 weeks. The patients were randomised into the treatment groups</w:t>
      </w:r>
      <w:r w:rsidR="00D82908">
        <w:t xml:space="preserve"> shown in Table 1</w:t>
      </w:r>
      <w:r w:rsidR="004C2FE4">
        <w:t>7</w:t>
      </w:r>
      <w:r w:rsidR="00D82908">
        <w:t>.</w:t>
      </w:r>
    </w:p>
    <w:p w14:paraId="4C3DD54F" w14:textId="77777777" w:rsidR="00D82908" w:rsidRPr="00D82908" w:rsidRDefault="00D82908" w:rsidP="00D82908">
      <w:pPr>
        <w:pStyle w:val="TableTitle"/>
      </w:pPr>
      <w:r>
        <w:lastRenderedPageBreak/>
        <w:t>Table 1</w:t>
      </w:r>
      <w:r w:rsidR="004C2FE4">
        <w:t>7</w:t>
      </w:r>
      <w:r>
        <w:t>: Treatment groups</w:t>
      </w:r>
    </w:p>
    <w:p w14:paraId="4C3DD550" w14:textId="77777777" w:rsidR="00BF7341" w:rsidRDefault="00BF7341" w:rsidP="00D82908">
      <w:pPr>
        <w:spacing w:line="240" w:lineRule="auto"/>
      </w:pPr>
      <w:r>
        <w:rPr>
          <w:noProof/>
          <w:lang w:eastAsia="en-AU"/>
        </w:rPr>
        <w:drawing>
          <wp:inline distT="0" distB="0" distL="0" distR="0" wp14:anchorId="4C3DD64D" wp14:editId="4C3DD64E">
            <wp:extent cx="4627880" cy="1268774"/>
            <wp:effectExtent l="0" t="0" r="1270" b="7620"/>
            <wp:docPr id="47" name="Picture 47" descr="Table 17: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4660557" cy="1277733"/>
                    </a:xfrm>
                    <a:prstGeom prst="rect">
                      <a:avLst/>
                    </a:prstGeom>
                    <a:noFill/>
                    <a:ln>
                      <a:noFill/>
                    </a:ln>
                  </pic:spPr>
                </pic:pic>
              </a:graphicData>
            </a:graphic>
          </wp:inline>
        </w:drawing>
      </w:r>
    </w:p>
    <w:p w14:paraId="4C3DD551" w14:textId="77777777" w:rsidR="00BF7341" w:rsidRDefault="00BF7341" w:rsidP="00BF7341">
      <w:pPr>
        <w:spacing w:line="240" w:lineRule="auto"/>
        <w:jc w:val="both"/>
      </w:pPr>
      <w:r>
        <w:t>SVR12 response rates were indicative of similar effect with the 5</w:t>
      </w:r>
      <w:r w:rsidR="004C1037">
        <w:t>0 mg</w:t>
      </w:r>
      <w:r>
        <w:t xml:space="preserve"> </w:t>
      </w:r>
      <w:r w:rsidR="00D82908">
        <w:t>and</w:t>
      </w:r>
      <w:r>
        <w:t xml:space="preserve"> 10</w:t>
      </w:r>
      <w:r w:rsidR="004C1037">
        <w:t>0 mg</w:t>
      </w:r>
      <w:r>
        <w:t xml:space="preserve"> GZR dose administered with P/R</w:t>
      </w:r>
      <w:r w:rsidR="00D82908">
        <w:t>.</w:t>
      </w:r>
    </w:p>
    <w:p w14:paraId="4C3DD552" w14:textId="77777777" w:rsidR="00D82908" w:rsidRPr="001C22B1" w:rsidRDefault="00D82908" w:rsidP="00D82908">
      <w:pPr>
        <w:pStyle w:val="TableTitle"/>
      </w:pPr>
      <w:r>
        <w:t>Table 1</w:t>
      </w:r>
      <w:r w:rsidR="004C2FE4">
        <w:t>8</w:t>
      </w:r>
      <w:r>
        <w:t xml:space="preserve">: </w:t>
      </w:r>
      <w:r w:rsidRPr="00D82908">
        <w:t>SVR12 response rates</w:t>
      </w:r>
    </w:p>
    <w:p w14:paraId="4C3DD553" w14:textId="77777777" w:rsidR="00BF7341" w:rsidRDefault="00BF7341" w:rsidP="009321D4">
      <w:r>
        <w:rPr>
          <w:noProof/>
          <w:lang w:eastAsia="en-AU"/>
        </w:rPr>
        <w:drawing>
          <wp:inline distT="0" distB="0" distL="0" distR="0" wp14:anchorId="4C3DD64F" wp14:editId="4C3DD650">
            <wp:extent cx="4452814" cy="1463799"/>
            <wp:effectExtent l="0" t="0" r="5080" b="3175"/>
            <wp:docPr id="3" name="Picture 3" descr="Table 18: SVR12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4475142" cy="1471139"/>
                    </a:xfrm>
                    <a:prstGeom prst="rect">
                      <a:avLst/>
                    </a:prstGeom>
                    <a:noFill/>
                    <a:ln>
                      <a:noFill/>
                    </a:ln>
                  </pic:spPr>
                </pic:pic>
              </a:graphicData>
            </a:graphic>
          </wp:inline>
        </w:drawing>
      </w:r>
    </w:p>
    <w:p w14:paraId="4C3DD554" w14:textId="77777777" w:rsidR="00BF7341" w:rsidRDefault="00BF7341" w:rsidP="00BF7341">
      <w:pPr>
        <w:autoSpaceDE w:val="0"/>
        <w:autoSpaceDN w:val="0"/>
        <w:jc w:val="both"/>
      </w:pPr>
      <w:r w:rsidRPr="00D82908">
        <w:rPr>
          <w:rStyle w:val="Heading6Char"/>
          <w:rFonts w:eastAsia="Cambria"/>
        </w:rPr>
        <w:t>Study P035 (C-WORTHY):</w:t>
      </w:r>
      <w:r>
        <w:rPr>
          <w:rFonts w:cs="TimesNewRomanPSMT"/>
        </w:rPr>
        <w:t xml:space="preserve"> </w:t>
      </w:r>
      <w:r w:rsidRPr="00313A21">
        <w:t xml:space="preserve">This was the pivotal dose selection study with combined GZR+EBR administration and was conducted in 4 groups with diverse patient populations </w:t>
      </w:r>
      <w:r w:rsidR="00313A21">
        <w:t>(Table 1</w:t>
      </w:r>
      <w:r w:rsidR="004C2FE4">
        <w:t>9</w:t>
      </w:r>
      <w:r w:rsidR="00313A21">
        <w:t>).</w:t>
      </w:r>
    </w:p>
    <w:p w14:paraId="4C3DD555" w14:textId="77777777" w:rsidR="00313A21" w:rsidRPr="00313A21" w:rsidRDefault="00313A21" w:rsidP="00313A21">
      <w:pPr>
        <w:pStyle w:val="TableTitle"/>
      </w:pPr>
      <w:r>
        <w:t>Table 1</w:t>
      </w:r>
      <w:r w:rsidR="004C2FE4">
        <w:t>9</w:t>
      </w:r>
      <w:r>
        <w:t>: Treatment groups</w:t>
      </w:r>
    </w:p>
    <w:p w14:paraId="4C3DD556" w14:textId="77777777" w:rsidR="00BF7341" w:rsidRPr="0067230E" w:rsidRDefault="00BF7341" w:rsidP="009321D4">
      <w:pPr>
        <w:rPr>
          <w:rFonts w:cs="TimesNewRomanPSMT"/>
        </w:rPr>
      </w:pPr>
      <w:r>
        <w:rPr>
          <w:noProof/>
          <w:lang w:eastAsia="en-AU"/>
        </w:rPr>
        <w:drawing>
          <wp:inline distT="0" distB="0" distL="0" distR="0" wp14:anchorId="4C3DD651" wp14:editId="4C3DD652">
            <wp:extent cx="4709160" cy="786370"/>
            <wp:effectExtent l="0" t="0" r="0" b="0"/>
            <wp:docPr id="54" name="Picture 54" descr="Table 19: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718846" cy="787987"/>
                    </a:xfrm>
                    <a:prstGeom prst="rect">
                      <a:avLst/>
                    </a:prstGeom>
                  </pic:spPr>
                </pic:pic>
              </a:graphicData>
            </a:graphic>
          </wp:inline>
        </w:drawing>
      </w:r>
    </w:p>
    <w:p w14:paraId="4C3DD557" w14:textId="77777777" w:rsidR="00BF7341" w:rsidRDefault="00BF7341" w:rsidP="00313A21">
      <w:r>
        <w:t>Within each group, the respective patients were randomised resulting in total of 20 treatment groups (A1 to A3, B1 to B13, C1 to C2 and D1 to D2) involving treatment with GZR (10</w:t>
      </w:r>
      <w:r w:rsidR="004C1037">
        <w:t>0 mg</w:t>
      </w:r>
      <w:r>
        <w:t xml:space="preserve"> based on the previous studies) and EBR (2</w:t>
      </w:r>
      <w:r w:rsidR="004C1037">
        <w:t>0 mg</w:t>
      </w:r>
      <w:r>
        <w:t xml:space="preserve"> or 50 mg) with or without RBV for a duration of 8, 12 or 18 weeks. The SVR12 response rates were reported as </w:t>
      </w:r>
      <w:r w:rsidR="00313A21">
        <w:t xml:space="preserve">shown in Table </w:t>
      </w:r>
      <w:r w:rsidR="004C2FE4">
        <w:t>20</w:t>
      </w:r>
      <w:r w:rsidR="00313A21">
        <w:t>.</w:t>
      </w:r>
    </w:p>
    <w:p w14:paraId="4C3DD558" w14:textId="40A79ABF" w:rsidR="00313A21" w:rsidRPr="00995BC7" w:rsidRDefault="00313A21" w:rsidP="009321D4">
      <w:pPr>
        <w:pStyle w:val="TableTitle"/>
      </w:pPr>
      <w:r>
        <w:lastRenderedPageBreak/>
        <w:t xml:space="preserve">Table </w:t>
      </w:r>
      <w:r w:rsidR="004C2FE4">
        <w:t>20</w:t>
      </w:r>
      <w:r w:rsidR="009321D4">
        <w:t>A</w:t>
      </w:r>
      <w:r>
        <w:t>: SVR12 response rates</w:t>
      </w:r>
    </w:p>
    <w:p w14:paraId="4C3DD559" w14:textId="77777777" w:rsidR="00BF7341" w:rsidRDefault="00BF7341" w:rsidP="00313A21">
      <w:pPr>
        <w:spacing w:before="0" w:after="0"/>
        <w:rPr>
          <w:sz w:val="18"/>
          <w:szCs w:val="18"/>
        </w:rPr>
      </w:pPr>
      <w:r>
        <w:rPr>
          <w:noProof/>
          <w:sz w:val="18"/>
          <w:szCs w:val="18"/>
          <w:lang w:eastAsia="en-AU"/>
        </w:rPr>
        <w:drawing>
          <wp:inline distT="0" distB="0" distL="0" distR="0" wp14:anchorId="4C3DD653" wp14:editId="4C3DD654">
            <wp:extent cx="4762732" cy="4539064"/>
            <wp:effectExtent l="0" t="0" r="0" b="0"/>
            <wp:docPr id="6" name="Picture 6" descr="Table 20A: SVR12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6075" cy="4542250"/>
                    </a:xfrm>
                    <a:prstGeom prst="rect">
                      <a:avLst/>
                    </a:prstGeom>
                    <a:noFill/>
                    <a:ln>
                      <a:noFill/>
                    </a:ln>
                  </pic:spPr>
                </pic:pic>
              </a:graphicData>
            </a:graphic>
          </wp:inline>
        </w:drawing>
      </w:r>
    </w:p>
    <w:p w14:paraId="4C3DD55A" w14:textId="77777777" w:rsidR="00BF7341" w:rsidRPr="00995BC7" w:rsidRDefault="00313A21" w:rsidP="00313A21">
      <w:pPr>
        <w:pStyle w:val="TableTitle"/>
      </w:pPr>
      <w:r>
        <w:t xml:space="preserve">Table </w:t>
      </w:r>
      <w:r w:rsidR="004C2FE4">
        <w:t>20</w:t>
      </w:r>
      <w:r>
        <w:t xml:space="preserve">B: SVR12 response rates in </w:t>
      </w:r>
      <w:r w:rsidR="00BF7341">
        <w:t>GT-3 patients:</w:t>
      </w:r>
    </w:p>
    <w:p w14:paraId="4C3DD55B" w14:textId="77777777" w:rsidR="00BF7341" w:rsidRDefault="00BF7341" w:rsidP="00313A21">
      <w:pPr>
        <w:spacing w:before="0" w:after="0"/>
        <w:rPr>
          <w:sz w:val="18"/>
          <w:szCs w:val="18"/>
        </w:rPr>
      </w:pPr>
      <w:r>
        <w:rPr>
          <w:noProof/>
          <w:sz w:val="18"/>
          <w:szCs w:val="18"/>
          <w:lang w:eastAsia="en-AU"/>
        </w:rPr>
        <w:drawing>
          <wp:inline distT="0" distB="0" distL="0" distR="0" wp14:anchorId="4C3DD655" wp14:editId="4C3DD656">
            <wp:extent cx="4729480" cy="970953"/>
            <wp:effectExtent l="0" t="0" r="0" b="635"/>
            <wp:docPr id="14" name="Picture 14" descr="Table 20B: SVR12 response rates in GT-3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0975" cy="973313"/>
                    </a:xfrm>
                    <a:prstGeom prst="rect">
                      <a:avLst/>
                    </a:prstGeom>
                    <a:noFill/>
                    <a:ln>
                      <a:noFill/>
                    </a:ln>
                  </pic:spPr>
                </pic:pic>
              </a:graphicData>
            </a:graphic>
          </wp:inline>
        </w:drawing>
      </w:r>
    </w:p>
    <w:p w14:paraId="4C3DD55C" w14:textId="77777777" w:rsidR="00BF7341" w:rsidRDefault="00BF7341" w:rsidP="00313A21">
      <w:r w:rsidRPr="001D25EF">
        <w:t xml:space="preserve">The </w:t>
      </w:r>
      <w:r>
        <w:t xml:space="preserve">study provided substantive evidence for dose selecting GZR/EBR (100/50 daily for 12 weeks without RBV) for subsequent testing in </w:t>
      </w:r>
      <w:r w:rsidR="004A28A8">
        <w:t>Phase III</w:t>
      </w:r>
      <w:r>
        <w:t xml:space="preserve"> studies in the primary population of TN, GT-1 patients. Clinically usefully information on shorter treatment in GT-1b patients and in treatment-experienced patients was also obtained.</w:t>
      </w:r>
    </w:p>
    <w:p w14:paraId="4C3DD55D" w14:textId="77777777" w:rsidR="00BF7341" w:rsidRDefault="00BF7341" w:rsidP="00313A21">
      <w:r>
        <w:t>Suboptimal response with GZR/EBR plus P/R was clearly demonstrated in the treatment of GT-3 patients consistent with the known lower in vitro antiviral activity of GZR and EBR against GT-3.</w:t>
      </w:r>
    </w:p>
    <w:p w14:paraId="4C3DD55E" w14:textId="77777777" w:rsidR="00BF7341" w:rsidRDefault="00BF7341" w:rsidP="00313A21">
      <w:r w:rsidRPr="007131CF">
        <w:rPr>
          <w:rStyle w:val="Heading5Char"/>
          <w:rFonts w:eastAsia="Cambria"/>
          <w:b w:val="0"/>
        </w:rPr>
        <w:t>Study P047 (C-SCAPE):</w:t>
      </w:r>
      <w:r w:rsidRPr="00ED327E">
        <w:t xml:space="preserve"> </w:t>
      </w:r>
      <w:r w:rsidRPr="00ED327E">
        <w:rPr>
          <w:rFonts w:asciiTheme="minorHAnsi" w:hAnsiTheme="minorHAnsi"/>
        </w:rPr>
        <w:t>This was a</w:t>
      </w:r>
      <w:r>
        <w:rPr>
          <w:rFonts w:asciiTheme="minorHAnsi" w:hAnsiTheme="minorHAnsi"/>
        </w:rPr>
        <w:t>n</w:t>
      </w:r>
      <w:r w:rsidRPr="00ED327E">
        <w:rPr>
          <w:rFonts w:asciiTheme="minorHAnsi" w:hAnsiTheme="minorHAnsi"/>
        </w:rPr>
        <w:t xml:space="preserve"> </w:t>
      </w:r>
      <w:r>
        <w:rPr>
          <w:rFonts w:asciiTheme="minorHAnsi" w:hAnsiTheme="minorHAnsi"/>
        </w:rPr>
        <w:t xml:space="preserve">additional </w:t>
      </w:r>
      <w:r w:rsidR="004A28A8">
        <w:t>Phase II</w:t>
      </w:r>
      <w:r w:rsidRPr="00ED327E">
        <w:t xml:space="preserve"> study in TN, </w:t>
      </w:r>
      <w:r>
        <w:t>non-cirrhotic patients with less common</w:t>
      </w:r>
      <w:r w:rsidRPr="00ED327E">
        <w:t xml:space="preserve"> </w:t>
      </w:r>
      <w:r>
        <w:t>Genotypes</w:t>
      </w:r>
      <w:r w:rsidRPr="00ED327E">
        <w:t xml:space="preserve"> 2, 4, 5 and 6</w:t>
      </w:r>
      <w:r>
        <w:t xml:space="preserve"> for treatment with </w:t>
      </w:r>
      <w:r w:rsidRPr="00414C84">
        <w:t>GZR 10</w:t>
      </w:r>
      <w:r w:rsidR="004C1037">
        <w:t>0 mg</w:t>
      </w:r>
      <w:r w:rsidRPr="00414C84">
        <w:t xml:space="preserve"> daily</w:t>
      </w:r>
      <w:r>
        <w:rPr>
          <w:rFonts w:asciiTheme="minorHAnsi" w:hAnsiTheme="minorHAnsi"/>
        </w:rPr>
        <w:t xml:space="preserve"> with or without </w:t>
      </w:r>
      <w:r>
        <w:t xml:space="preserve">EBR </w:t>
      </w:r>
      <w:r w:rsidRPr="00414C84">
        <w:t>5</w:t>
      </w:r>
      <w:r w:rsidR="004C1037">
        <w:t>0 mg</w:t>
      </w:r>
      <w:r w:rsidRPr="00414C84">
        <w:t xml:space="preserve"> daily</w:t>
      </w:r>
      <w:r>
        <w:t xml:space="preserve"> and with or without RBV for 12 weeks. The patie</w:t>
      </w:r>
      <w:r w:rsidR="00313A21">
        <w:t xml:space="preserve">nts were randomised into </w:t>
      </w:r>
      <w:r>
        <w:t>treatment groups</w:t>
      </w:r>
      <w:r w:rsidR="00313A21">
        <w:t xml:space="preserve"> as shown in Table 2</w:t>
      </w:r>
      <w:r w:rsidR="004C2FE4">
        <w:t>1</w:t>
      </w:r>
      <w:r w:rsidR="00313A21">
        <w:t>.</w:t>
      </w:r>
    </w:p>
    <w:p w14:paraId="4C3DD55F" w14:textId="77777777" w:rsidR="00313A21" w:rsidRDefault="00313A21" w:rsidP="00313A21">
      <w:pPr>
        <w:pStyle w:val="TableTitle"/>
      </w:pPr>
      <w:r>
        <w:lastRenderedPageBreak/>
        <w:t>Table 2</w:t>
      </w:r>
      <w:r w:rsidR="004C2FE4">
        <w:t>1</w:t>
      </w:r>
      <w:r>
        <w:t>: Randomised treatment groups</w:t>
      </w:r>
    </w:p>
    <w:p w14:paraId="4C3DD560" w14:textId="77777777" w:rsidR="00BF7341" w:rsidRDefault="00BF7341" w:rsidP="009321D4">
      <w:r>
        <w:rPr>
          <w:noProof/>
          <w:lang w:eastAsia="en-AU"/>
        </w:rPr>
        <w:drawing>
          <wp:inline distT="0" distB="0" distL="0" distR="0" wp14:anchorId="4C3DD657" wp14:editId="4C3DD658">
            <wp:extent cx="5266888" cy="1361440"/>
            <wp:effectExtent l="0" t="0" r="0" b="0"/>
            <wp:docPr id="56" name="Picture 56" descr="Table 21: Randomised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5287732" cy="1366828"/>
                    </a:xfrm>
                    <a:prstGeom prst="rect">
                      <a:avLst/>
                    </a:prstGeom>
                    <a:noFill/>
                    <a:ln>
                      <a:noFill/>
                    </a:ln>
                  </pic:spPr>
                </pic:pic>
              </a:graphicData>
            </a:graphic>
          </wp:inline>
        </w:drawing>
      </w:r>
    </w:p>
    <w:p w14:paraId="4C3DD561" w14:textId="77777777" w:rsidR="00BF7341" w:rsidRDefault="00BF7341" w:rsidP="00BF7341">
      <w:pPr>
        <w:jc w:val="both"/>
      </w:pPr>
      <w:r>
        <w:t xml:space="preserve">SVR12 response rates were reported as </w:t>
      </w:r>
      <w:r w:rsidR="004C2FE4">
        <w:t>in Table 22</w:t>
      </w:r>
      <w:r w:rsidR="00313A21">
        <w:t xml:space="preserve"> below.</w:t>
      </w:r>
    </w:p>
    <w:p w14:paraId="4C3DD562" w14:textId="77777777" w:rsidR="00313A21" w:rsidRDefault="00313A21" w:rsidP="00313A21">
      <w:pPr>
        <w:pStyle w:val="TableTitle"/>
      </w:pPr>
      <w:r>
        <w:t>Table 2</w:t>
      </w:r>
      <w:r w:rsidR="004C2FE4">
        <w:t>2</w:t>
      </w:r>
      <w:r>
        <w:t>: SVR12 response rates</w:t>
      </w:r>
    </w:p>
    <w:p w14:paraId="4C3DD563" w14:textId="77777777" w:rsidR="00BF7341" w:rsidRDefault="00BF7341" w:rsidP="00313A21">
      <w:r>
        <w:rPr>
          <w:noProof/>
          <w:lang w:eastAsia="en-AU"/>
        </w:rPr>
        <w:drawing>
          <wp:inline distT="0" distB="0" distL="0" distR="0" wp14:anchorId="4C3DD659" wp14:editId="4C3DD65A">
            <wp:extent cx="5227108" cy="1892101"/>
            <wp:effectExtent l="0" t="0" r="0" b="0"/>
            <wp:docPr id="46" name="Picture 46" descr="Table 22: SVR12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5230820" cy="1893445"/>
                    </a:xfrm>
                    <a:prstGeom prst="rect">
                      <a:avLst/>
                    </a:prstGeom>
                    <a:noFill/>
                    <a:ln>
                      <a:noFill/>
                    </a:ln>
                  </pic:spPr>
                </pic:pic>
              </a:graphicData>
            </a:graphic>
          </wp:inline>
        </w:drawing>
      </w:r>
    </w:p>
    <w:p w14:paraId="4C3DD564" w14:textId="77777777" w:rsidR="00BF7341" w:rsidRPr="003453D7" w:rsidRDefault="00BF7341" w:rsidP="00313A21">
      <w:r>
        <w:t xml:space="preserve">Based on the results in this trial a decision was taken to pick HCV GT 4 &amp; 6 patients for inclusion in </w:t>
      </w:r>
      <w:r w:rsidR="004A28A8">
        <w:t>Phase III</w:t>
      </w:r>
      <w:r>
        <w:t xml:space="preserve"> trials along with the primary population of GT-1 patients. The patients with GT-2 and GT-5 infection were not included in subsequent pivotal efficacy trials.</w:t>
      </w:r>
    </w:p>
    <w:p w14:paraId="4C3DD565" w14:textId="77777777" w:rsidR="00BF7341" w:rsidRPr="00AC5EBD" w:rsidRDefault="005B5DE5" w:rsidP="005B5DE5">
      <w:pPr>
        <w:pStyle w:val="Heading4"/>
      </w:pPr>
      <w:r w:rsidRPr="00AC5EBD">
        <w:t>Piv</w:t>
      </w:r>
      <w:r>
        <w:t>o</w:t>
      </w:r>
      <w:r w:rsidRPr="00AC5EBD">
        <w:t>t</w:t>
      </w:r>
      <w:r>
        <w:t>a</w:t>
      </w:r>
      <w:r w:rsidRPr="00AC5EBD">
        <w:t>l efficacy studies</w:t>
      </w:r>
    </w:p>
    <w:p w14:paraId="4C3DD566" w14:textId="77777777" w:rsidR="00BF7341" w:rsidRDefault="00BF7341" w:rsidP="00BF7341">
      <w:pPr>
        <w:spacing w:after="0" w:line="240" w:lineRule="auto"/>
        <w:jc w:val="both"/>
      </w:pPr>
      <w:r w:rsidRPr="007131CF">
        <w:rPr>
          <w:rStyle w:val="Heading5Char"/>
          <w:rFonts w:eastAsia="Cambria"/>
          <w:b w:val="0"/>
        </w:rPr>
        <w:t>Study 060 (C-EDGE-TN):</w:t>
      </w:r>
      <w:r w:rsidRPr="007131CF">
        <w:t xml:space="preserve"> </w:t>
      </w:r>
      <w:r w:rsidRPr="005B5DE5">
        <w:t xml:space="preserve">This was a </w:t>
      </w:r>
      <w:r w:rsidR="004A28A8" w:rsidRPr="005B5DE5">
        <w:t>Phase III</w:t>
      </w:r>
      <w:r w:rsidRPr="005B5DE5">
        <w:t xml:space="preserve"> randomised, double blind, study in treatment-naïve (TN), HCV GT-1, 4 or 6 patients with or without cirrhosis for treatment with GZR/EBR (100/50 mg daily without RBV) for 12 weeks (Immediate </w:t>
      </w:r>
      <w:r w:rsidR="005B5DE5" w:rsidRPr="005B5DE5">
        <w:t>and</w:t>
      </w:r>
      <w:r w:rsidRPr="005B5DE5">
        <w:t xml:space="preserve"> Deferred Treatment Arms). The trial provides pivotal efficacy data in TN patients with HCV GT 1, 4 </w:t>
      </w:r>
      <w:r w:rsidR="005B5DE5">
        <w:t>and</w:t>
      </w:r>
      <w:r w:rsidRPr="005B5DE5">
        <w:t xml:space="preserve"> 6 </w:t>
      </w:r>
      <w:proofErr w:type="gramStart"/>
      <w:r w:rsidRPr="005B5DE5">
        <w:t>infection</w:t>
      </w:r>
      <w:proofErr w:type="gramEnd"/>
      <w:r w:rsidRPr="005B5DE5">
        <w:t>. The patients were randomised to the treatment groups</w:t>
      </w:r>
      <w:r w:rsidR="005B5DE5">
        <w:t xml:space="preserve"> as described below (Table 2</w:t>
      </w:r>
      <w:r w:rsidR="005B2EE9">
        <w:t>3</w:t>
      </w:r>
      <w:r w:rsidR="005B5DE5">
        <w:t>).</w:t>
      </w:r>
    </w:p>
    <w:p w14:paraId="4C3DD567" w14:textId="77777777" w:rsidR="005B5DE5" w:rsidRPr="005B5DE5" w:rsidRDefault="005B5DE5" w:rsidP="005B5DE5">
      <w:pPr>
        <w:pStyle w:val="TableTitle"/>
      </w:pPr>
      <w:r>
        <w:t>Table 2</w:t>
      </w:r>
      <w:r w:rsidR="005B2EE9">
        <w:t>3</w:t>
      </w:r>
      <w:r>
        <w:t>: Treatment groups</w:t>
      </w:r>
    </w:p>
    <w:p w14:paraId="4C3DD568" w14:textId="77777777" w:rsidR="00BF7341" w:rsidRPr="00DF5AFB" w:rsidRDefault="00BF7341" w:rsidP="009321D4">
      <w:r>
        <w:rPr>
          <w:noProof/>
          <w:lang w:eastAsia="en-AU"/>
        </w:rPr>
        <w:drawing>
          <wp:inline distT="0" distB="0" distL="0" distR="0" wp14:anchorId="4C3DD65B" wp14:editId="4C3DD65C">
            <wp:extent cx="4841240" cy="1345947"/>
            <wp:effectExtent l="0" t="0" r="0" b="6985"/>
            <wp:docPr id="57" name="Picture 57" descr="Table 23: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4849906" cy="1348356"/>
                    </a:xfrm>
                    <a:prstGeom prst="rect">
                      <a:avLst/>
                    </a:prstGeom>
                    <a:noFill/>
                    <a:ln>
                      <a:noFill/>
                    </a:ln>
                  </pic:spPr>
                </pic:pic>
              </a:graphicData>
            </a:graphic>
          </wp:inline>
        </w:drawing>
      </w:r>
    </w:p>
    <w:p w14:paraId="4C3DD569" w14:textId="77777777" w:rsidR="00BF7341" w:rsidRDefault="00BF7341" w:rsidP="005B5DE5">
      <w:r w:rsidRPr="00414C84">
        <w:t xml:space="preserve">SVR12 </w:t>
      </w:r>
      <w:r>
        <w:t xml:space="preserve">response rates were reported in the Immediate Treatment Arm and </w:t>
      </w:r>
      <w:r w:rsidR="005B5DE5">
        <w:t>shown in Table 2</w:t>
      </w:r>
      <w:r w:rsidR="005B2EE9">
        <w:t>4</w:t>
      </w:r>
      <w:r w:rsidR="005B5DE5">
        <w:t xml:space="preserve"> below</w:t>
      </w:r>
      <w:r>
        <w:t xml:space="preserve"> (Full Analysis Set)</w:t>
      </w:r>
      <w:r w:rsidR="005B5DE5">
        <w:t>.</w:t>
      </w:r>
    </w:p>
    <w:p w14:paraId="4C3DD56A" w14:textId="77777777" w:rsidR="005B5DE5" w:rsidRDefault="005B5DE5" w:rsidP="005B5DE5">
      <w:pPr>
        <w:pStyle w:val="TableTitle"/>
      </w:pPr>
      <w:r>
        <w:lastRenderedPageBreak/>
        <w:t>Table 2</w:t>
      </w:r>
      <w:r w:rsidR="005B2EE9">
        <w:t>4</w:t>
      </w:r>
      <w:r>
        <w:t>: SVR12 response rates</w:t>
      </w:r>
    </w:p>
    <w:p w14:paraId="4C3DD56B" w14:textId="77777777" w:rsidR="00BF7341" w:rsidRPr="00414C84" w:rsidRDefault="00BF7341" w:rsidP="009321D4">
      <w:r>
        <w:rPr>
          <w:noProof/>
          <w:lang w:eastAsia="en-AU"/>
        </w:rPr>
        <w:drawing>
          <wp:inline distT="0" distB="0" distL="0" distR="0" wp14:anchorId="4C3DD65D" wp14:editId="4C3DD65E">
            <wp:extent cx="4830293" cy="1326706"/>
            <wp:effectExtent l="0" t="0" r="8890" b="6985"/>
            <wp:docPr id="62" name="Picture 62" descr="Table 24: SVR12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4845374" cy="1330848"/>
                    </a:xfrm>
                    <a:prstGeom prst="rect">
                      <a:avLst/>
                    </a:prstGeom>
                    <a:noFill/>
                    <a:ln>
                      <a:noFill/>
                    </a:ln>
                  </pic:spPr>
                </pic:pic>
              </a:graphicData>
            </a:graphic>
          </wp:inline>
        </w:drawing>
      </w:r>
    </w:p>
    <w:p w14:paraId="4C3DD56C" w14:textId="77777777" w:rsidR="00BF7341" w:rsidRPr="00C62BD1" w:rsidRDefault="00BF7341" w:rsidP="005B5DE5">
      <w:r>
        <w:t>SVR12 response was generally consistent across various subgroups.</w:t>
      </w:r>
    </w:p>
    <w:p w14:paraId="4C3DD56D" w14:textId="77777777" w:rsidR="00BF7341" w:rsidRDefault="00BF7341" w:rsidP="005B5DE5">
      <w:r w:rsidRPr="007131CF">
        <w:rPr>
          <w:rStyle w:val="Heading5Char"/>
          <w:rFonts w:eastAsia="Cambria"/>
          <w:b w:val="0"/>
        </w:rPr>
        <w:t>Study 068 (C-EDGE-TE):</w:t>
      </w:r>
      <w:r w:rsidRPr="007131CF">
        <w:t xml:space="preserve"> This</w:t>
      </w:r>
      <w:r w:rsidRPr="001B36F7">
        <w:t xml:space="preserve"> was a </w:t>
      </w:r>
      <w:r w:rsidR="004A28A8">
        <w:t>Phase III</w:t>
      </w:r>
      <w:r>
        <w:t xml:space="preserve"> randomised, open-label trial </w:t>
      </w:r>
      <w:r w:rsidRPr="001B36F7">
        <w:t xml:space="preserve">in </w:t>
      </w:r>
      <w:r>
        <w:t xml:space="preserve">treatment-experienced (TE), HCV GT 1, 4 or </w:t>
      </w:r>
      <w:r w:rsidRPr="00414C84">
        <w:t xml:space="preserve">6 </w:t>
      </w:r>
      <w:r>
        <w:t xml:space="preserve">patients </w:t>
      </w:r>
      <w:r w:rsidRPr="00414C84">
        <w:t xml:space="preserve">with </w:t>
      </w:r>
      <w:r>
        <w:t>prior treatment failure</w:t>
      </w:r>
      <w:r w:rsidRPr="001B36F7">
        <w:t xml:space="preserve"> on P/R</w:t>
      </w:r>
      <w:r>
        <w:t xml:space="preserve">, for treatment with </w:t>
      </w:r>
      <w:r w:rsidRPr="00414C84">
        <w:t xml:space="preserve">GZR/EBR </w:t>
      </w:r>
      <w:r>
        <w:t xml:space="preserve">(100/50 mg daily with or without </w:t>
      </w:r>
      <w:r w:rsidRPr="00414C84">
        <w:t>RBV</w:t>
      </w:r>
      <w:r>
        <w:t>)</w:t>
      </w:r>
      <w:r w:rsidRPr="00414C84">
        <w:t xml:space="preserve"> for 12 or 16 we</w:t>
      </w:r>
      <w:r>
        <w:t>eks. The patients could be with or without cirrhosis</w:t>
      </w:r>
      <w:r w:rsidRPr="001B36F7">
        <w:t xml:space="preserve"> and </w:t>
      </w:r>
      <w:r>
        <w:t xml:space="preserve">with or without </w:t>
      </w:r>
      <w:r w:rsidRPr="001B36F7">
        <w:t>HIV co-infection</w:t>
      </w:r>
      <w:r>
        <w:t>. The randomis</w:t>
      </w:r>
      <w:r w:rsidRPr="00414C84">
        <w:t>ation was stratif</w:t>
      </w:r>
      <w:r>
        <w:t>ied by baseline cirrhosis and</w:t>
      </w:r>
      <w:r w:rsidRPr="00414C84">
        <w:t xml:space="preserve"> prior P/R treatment respon</w:t>
      </w:r>
      <w:r>
        <w:t xml:space="preserve">se (relapse or partial or null responders). The trial provides pivotal efficacy data in TE patients with HCV GT 1, 4 </w:t>
      </w:r>
      <w:r w:rsidR="005B5DE5">
        <w:t>and</w:t>
      </w:r>
      <w:r>
        <w:t xml:space="preserve"> 6 </w:t>
      </w:r>
      <w:proofErr w:type="gramStart"/>
      <w:r>
        <w:t>infection</w:t>
      </w:r>
      <w:proofErr w:type="gramEnd"/>
      <w:r>
        <w:t>. The patients were randomised to the treatment groups</w:t>
      </w:r>
      <w:r w:rsidR="00D54135">
        <w:t xml:space="preserve"> Table 2</w:t>
      </w:r>
      <w:r w:rsidR="005B2EE9">
        <w:t>5</w:t>
      </w:r>
      <w:r w:rsidR="00D54135">
        <w:t>.</w:t>
      </w:r>
    </w:p>
    <w:p w14:paraId="4C3DD56E" w14:textId="77777777" w:rsidR="00D54135" w:rsidRPr="00414C84" w:rsidRDefault="00D54135" w:rsidP="00D54135">
      <w:pPr>
        <w:pStyle w:val="TableTitle"/>
      </w:pPr>
      <w:r>
        <w:t>Table 2</w:t>
      </w:r>
      <w:r w:rsidR="005B2EE9">
        <w:t>5</w:t>
      </w:r>
      <w:r>
        <w:t>: treatment groups</w:t>
      </w:r>
    </w:p>
    <w:p w14:paraId="4C3DD56F" w14:textId="77777777" w:rsidR="00BF7341" w:rsidRPr="000D6190" w:rsidRDefault="00BF7341" w:rsidP="00D54135">
      <w:pPr>
        <w:spacing w:before="0" w:after="0"/>
        <w:rPr>
          <w:rFonts w:asciiTheme="minorHAnsi" w:hAnsiTheme="minorHAnsi"/>
          <w:sz w:val="18"/>
          <w:szCs w:val="18"/>
        </w:rPr>
      </w:pPr>
      <w:r>
        <w:rPr>
          <w:rFonts w:asciiTheme="minorHAnsi" w:hAnsiTheme="minorHAnsi"/>
          <w:noProof/>
          <w:sz w:val="18"/>
          <w:szCs w:val="18"/>
          <w:lang w:eastAsia="en-AU"/>
        </w:rPr>
        <w:drawing>
          <wp:inline distT="0" distB="0" distL="0" distR="0" wp14:anchorId="4C3DD65F" wp14:editId="4C3DD660">
            <wp:extent cx="5364480" cy="1070504"/>
            <wp:effectExtent l="0" t="0" r="0" b="0"/>
            <wp:docPr id="20" name="Picture 20" descr="Table 25: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lum bright="-20000" contrast="40000"/>
                      <a:extLst>
                        <a:ext uri="{28A0092B-C50C-407E-A947-70E740481C1C}">
                          <a14:useLocalDpi xmlns:a14="http://schemas.microsoft.com/office/drawing/2010/main" val="0"/>
                        </a:ext>
                      </a:extLst>
                    </a:blip>
                    <a:srcRect/>
                    <a:stretch>
                      <a:fillRect/>
                    </a:stretch>
                  </pic:blipFill>
                  <pic:spPr bwMode="auto">
                    <a:xfrm>
                      <a:off x="0" y="0"/>
                      <a:ext cx="5382853" cy="1074170"/>
                    </a:xfrm>
                    <a:prstGeom prst="rect">
                      <a:avLst/>
                    </a:prstGeom>
                    <a:noFill/>
                    <a:ln>
                      <a:noFill/>
                    </a:ln>
                  </pic:spPr>
                </pic:pic>
              </a:graphicData>
            </a:graphic>
          </wp:inline>
        </w:drawing>
      </w:r>
    </w:p>
    <w:p w14:paraId="4C3DD570" w14:textId="77777777" w:rsidR="00BF7341" w:rsidRDefault="00BF7341" w:rsidP="00D54135">
      <w:r>
        <w:t>SVR12 response rates were</w:t>
      </w:r>
      <w:r w:rsidRPr="001B36F7">
        <w:t xml:space="preserve"> </w:t>
      </w:r>
      <w:r>
        <w:t xml:space="preserve">as </w:t>
      </w:r>
      <w:r w:rsidR="00D54135">
        <w:t>shown in Table 2</w:t>
      </w:r>
      <w:r w:rsidR="005B2EE9">
        <w:t>6</w:t>
      </w:r>
      <w:r>
        <w:t xml:space="preserve"> (Full Analysis Set)</w:t>
      </w:r>
      <w:r w:rsidR="00D54135">
        <w:t>.</w:t>
      </w:r>
    </w:p>
    <w:p w14:paraId="4C3DD571" w14:textId="77777777" w:rsidR="00D54135" w:rsidRPr="001B36F7" w:rsidRDefault="005B2EE9" w:rsidP="00D54135">
      <w:pPr>
        <w:pStyle w:val="TableTitle"/>
      </w:pPr>
      <w:r>
        <w:t>Table 26</w:t>
      </w:r>
      <w:r w:rsidR="00D54135">
        <w:t>: SVR12 response rates</w:t>
      </w:r>
    </w:p>
    <w:p w14:paraId="4C3DD572" w14:textId="77777777" w:rsidR="00BF7341" w:rsidRDefault="00BF7341" w:rsidP="009321D4">
      <w:r>
        <w:rPr>
          <w:noProof/>
          <w:lang w:eastAsia="en-AU"/>
        </w:rPr>
        <w:drawing>
          <wp:inline distT="0" distB="0" distL="0" distR="0" wp14:anchorId="4C3DD661" wp14:editId="4C3DD662">
            <wp:extent cx="5288280" cy="1761194"/>
            <wp:effectExtent l="0" t="0" r="7620" b="0"/>
            <wp:docPr id="2" name="Picture 2" descr="Table 26: SVR12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5286821" cy="1760708"/>
                    </a:xfrm>
                    <a:prstGeom prst="rect">
                      <a:avLst/>
                    </a:prstGeom>
                    <a:noFill/>
                    <a:ln>
                      <a:noFill/>
                    </a:ln>
                  </pic:spPr>
                </pic:pic>
              </a:graphicData>
            </a:graphic>
          </wp:inline>
        </w:drawing>
      </w:r>
    </w:p>
    <w:p w14:paraId="4C3DD573" w14:textId="77777777" w:rsidR="00BF7341" w:rsidRPr="005A1965" w:rsidRDefault="00BF7341" w:rsidP="00D54135">
      <w:r>
        <w:t>SVR12 response was generally consistent across various subgroups.</w:t>
      </w:r>
    </w:p>
    <w:p w14:paraId="4C3DD574" w14:textId="77777777" w:rsidR="00BF7341" w:rsidRDefault="00BF7341" w:rsidP="00D54135">
      <w:r w:rsidRPr="007131CF">
        <w:rPr>
          <w:rStyle w:val="Heading5Char"/>
          <w:rFonts w:eastAsia="Cambria"/>
          <w:b w:val="0"/>
        </w:rPr>
        <w:t>Study 061 (C-EDGE COINFXN):</w:t>
      </w:r>
      <w:r>
        <w:t xml:space="preserve"> This was a </w:t>
      </w:r>
      <w:r w:rsidR="004A28A8">
        <w:t>Phase III</w:t>
      </w:r>
      <w:r>
        <w:t>, open-label, s</w:t>
      </w:r>
      <w:r w:rsidRPr="00286374">
        <w:t>ingle arm</w:t>
      </w:r>
      <w:r>
        <w:t xml:space="preserve">, trial in </w:t>
      </w:r>
      <w:r w:rsidRPr="00286374">
        <w:t>TN</w:t>
      </w:r>
      <w:r>
        <w:t xml:space="preserve"> patients with HCV GT 1, 4 or 6 patients with or without cirrhosis, for treatment with </w:t>
      </w:r>
      <w:r w:rsidRPr="00414C84">
        <w:rPr>
          <w:rFonts w:cs="ArialMT"/>
        </w:rPr>
        <w:t xml:space="preserve">GZR/EBR </w:t>
      </w:r>
      <w:r>
        <w:rPr>
          <w:rFonts w:cs="ArialMT"/>
        </w:rPr>
        <w:t>(</w:t>
      </w:r>
      <w:r w:rsidRPr="00414C84">
        <w:rPr>
          <w:rFonts w:cs="ArialMT"/>
        </w:rPr>
        <w:t>100/50</w:t>
      </w:r>
      <w:r>
        <w:rPr>
          <w:rFonts w:cs="ArialMT"/>
        </w:rPr>
        <w:t xml:space="preserve"> mg </w:t>
      </w:r>
      <w:r w:rsidRPr="00414C84">
        <w:rPr>
          <w:rFonts w:cs="ArialMT"/>
        </w:rPr>
        <w:t>daily</w:t>
      </w:r>
      <w:r>
        <w:rPr>
          <w:rFonts w:cs="ArialMT"/>
        </w:rPr>
        <w:t xml:space="preserve"> without RBV) for 12 weeks. </w:t>
      </w:r>
      <w:r>
        <w:t>All patients had HIV co-infection.</w:t>
      </w:r>
    </w:p>
    <w:p w14:paraId="4C3DD575" w14:textId="77777777" w:rsidR="00BF7341" w:rsidRDefault="00BF7341" w:rsidP="00D54135">
      <w:pPr>
        <w:rPr>
          <w:rFonts w:cs="ArialMT"/>
        </w:rPr>
      </w:pPr>
      <w:r>
        <w:rPr>
          <w:rFonts w:cs="ArialMT"/>
        </w:rPr>
        <w:t>A total of 218 patients were distributed across various genotypes</w:t>
      </w:r>
      <w:r w:rsidRPr="00414C84">
        <w:rPr>
          <w:rFonts w:cs="ArialMT"/>
        </w:rPr>
        <w:t xml:space="preserve"> as </w:t>
      </w:r>
      <w:r w:rsidR="00D54135">
        <w:rPr>
          <w:rFonts w:cs="ArialMT"/>
        </w:rPr>
        <w:t>shown in Table 2</w:t>
      </w:r>
      <w:r w:rsidR="005B2EE9">
        <w:rPr>
          <w:rFonts w:cs="ArialMT"/>
        </w:rPr>
        <w:t>7</w:t>
      </w:r>
      <w:r w:rsidR="00D54135">
        <w:rPr>
          <w:rFonts w:cs="ArialMT"/>
        </w:rPr>
        <w:t>.</w:t>
      </w:r>
    </w:p>
    <w:p w14:paraId="4C3DD576" w14:textId="77777777" w:rsidR="00D54135" w:rsidRDefault="00D54135" w:rsidP="00D54135">
      <w:pPr>
        <w:pStyle w:val="TableTitle"/>
      </w:pPr>
      <w:r>
        <w:lastRenderedPageBreak/>
        <w:t>Table 2</w:t>
      </w:r>
      <w:r w:rsidR="005B2EE9">
        <w:t>7</w:t>
      </w:r>
      <w:r>
        <w:t>: Patient distribution across genotypes</w:t>
      </w:r>
    </w:p>
    <w:p w14:paraId="4C3DD577" w14:textId="77777777" w:rsidR="00BF7341" w:rsidRPr="00286374" w:rsidRDefault="00BF7341" w:rsidP="00D54135">
      <w:pPr>
        <w:rPr>
          <w:rFonts w:asciiTheme="minorHAnsi" w:hAnsiTheme="minorHAnsi"/>
        </w:rPr>
      </w:pPr>
      <w:r>
        <w:rPr>
          <w:rFonts w:asciiTheme="minorHAnsi" w:hAnsiTheme="minorHAnsi"/>
          <w:noProof/>
          <w:lang w:eastAsia="en-AU"/>
        </w:rPr>
        <w:drawing>
          <wp:inline distT="0" distB="0" distL="0" distR="0" wp14:anchorId="4C3DD663" wp14:editId="4C3DD664">
            <wp:extent cx="4941277" cy="1359877"/>
            <wp:effectExtent l="0" t="0" r="0" b="0"/>
            <wp:docPr id="63" name="Picture 63" descr="Table 27: Patient distribution across geno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4959057" cy="1364770"/>
                    </a:xfrm>
                    <a:prstGeom prst="rect">
                      <a:avLst/>
                    </a:prstGeom>
                    <a:noFill/>
                    <a:ln>
                      <a:noFill/>
                    </a:ln>
                  </pic:spPr>
                </pic:pic>
              </a:graphicData>
            </a:graphic>
          </wp:inline>
        </w:drawing>
      </w:r>
    </w:p>
    <w:p w14:paraId="4C3DD578" w14:textId="77777777" w:rsidR="00BF7341" w:rsidRDefault="00BF7341" w:rsidP="00BF7341">
      <w:pPr>
        <w:jc w:val="both"/>
        <w:rPr>
          <w:rFonts w:asciiTheme="minorHAnsi" w:hAnsiTheme="minorHAnsi"/>
        </w:rPr>
      </w:pPr>
      <w:r w:rsidRPr="00871DA3">
        <w:rPr>
          <w:rFonts w:asciiTheme="minorHAnsi" w:hAnsiTheme="minorHAnsi"/>
        </w:rPr>
        <w:t xml:space="preserve">SVR12 </w:t>
      </w:r>
      <w:r>
        <w:rPr>
          <w:rFonts w:asciiTheme="minorHAnsi" w:hAnsiTheme="minorHAnsi"/>
        </w:rPr>
        <w:t xml:space="preserve">response rates </w:t>
      </w:r>
      <w:r w:rsidR="00D54135">
        <w:rPr>
          <w:rFonts w:asciiTheme="minorHAnsi" w:hAnsiTheme="minorHAnsi"/>
        </w:rPr>
        <w:t>are shown in Table 2</w:t>
      </w:r>
      <w:r w:rsidR="005B2EE9">
        <w:rPr>
          <w:rFonts w:asciiTheme="minorHAnsi" w:hAnsiTheme="minorHAnsi"/>
        </w:rPr>
        <w:t>8</w:t>
      </w:r>
      <w:r>
        <w:rPr>
          <w:rFonts w:asciiTheme="minorHAnsi" w:hAnsiTheme="minorHAnsi"/>
        </w:rPr>
        <w:t xml:space="preserve"> (Full Analysis Set)</w:t>
      </w:r>
      <w:r w:rsidR="00D54135">
        <w:rPr>
          <w:rFonts w:asciiTheme="minorHAnsi" w:hAnsiTheme="minorHAnsi"/>
        </w:rPr>
        <w:t>.</w:t>
      </w:r>
    </w:p>
    <w:p w14:paraId="4C3DD579" w14:textId="77777777" w:rsidR="00D54135" w:rsidRPr="00871DA3" w:rsidRDefault="00D54135" w:rsidP="00D54135">
      <w:pPr>
        <w:pStyle w:val="TableTitle"/>
      </w:pPr>
      <w:r>
        <w:t>Table 2</w:t>
      </w:r>
      <w:r w:rsidR="005B2EE9">
        <w:t>8</w:t>
      </w:r>
      <w:r>
        <w:t xml:space="preserve">: </w:t>
      </w:r>
      <w:r w:rsidRPr="00D54135">
        <w:t>SVR12 response rates</w:t>
      </w:r>
    </w:p>
    <w:p w14:paraId="4C3DD57A" w14:textId="77777777" w:rsidR="00BF7341" w:rsidRDefault="00BF7341" w:rsidP="00D54135">
      <w:pPr>
        <w:spacing w:before="0" w:after="0"/>
        <w:rPr>
          <w:rFonts w:asciiTheme="minorHAnsi" w:hAnsiTheme="minorHAnsi" w:cs="ArialMT"/>
          <w:sz w:val="18"/>
          <w:szCs w:val="18"/>
        </w:rPr>
      </w:pPr>
      <w:r>
        <w:rPr>
          <w:rFonts w:asciiTheme="minorHAnsi" w:hAnsiTheme="minorHAnsi" w:cs="ArialMT"/>
          <w:noProof/>
          <w:sz w:val="18"/>
          <w:szCs w:val="18"/>
          <w:lang w:eastAsia="en-AU"/>
        </w:rPr>
        <w:drawing>
          <wp:inline distT="0" distB="0" distL="0" distR="0" wp14:anchorId="4C3DD665" wp14:editId="4C3DD666">
            <wp:extent cx="5039360" cy="1558469"/>
            <wp:effectExtent l="0" t="0" r="8890" b="3810"/>
            <wp:docPr id="24" name="Picture 24" descr="Table 28: SVR12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5065020" cy="1566405"/>
                    </a:xfrm>
                    <a:prstGeom prst="rect">
                      <a:avLst/>
                    </a:prstGeom>
                    <a:noFill/>
                    <a:ln>
                      <a:noFill/>
                    </a:ln>
                  </pic:spPr>
                </pic:pic>
              </a:graphicData>
            </a:graphic>
          </wp:inline>
        </w:drawing>
      </w:r>
    </w:p>
    <w:p w14:paraId="4C3DD57B" w14:textId="77777777" w:rsidR="00D54135" w:rsidRDefault="00BF7341" w:rsidP="00D54135">
      <w:pPr>
        <w:jc w:val="both"/>
        <w:rPr>
          <w:rFonts w:asciiTheme="minorHAnsi" w:hAnsiTheme="minorHAnsi"/>
        </w:rPr>
      </w:pPr>
      <w:r>
        <w:rPr>
          <w:rFonts w:asciiTheme="minorHAnsi" w:hAnsiTheme="minorHAnsi"/>
        </w:rPr>
        <w:t xml:space="preserve">SVR12 response by Genotype </w:t>
      </w:r>
      <w:r w:rsidR="00D54135">
        <w:rPr>
          <w:rFonts w:asciiTheme="minorHAnsi" w:hAnsiTheme="minorHAnsi"/>
        </w:rPr>
        <w:t>is shown in Table 2</w:t>
      </w:r>
      <w:r w:rsidR="005B2EE9">
        <w:rPr>
          <w:rFonts w:asciiTheme="minorHAnsi" w:hAnsiTheme="minorHAnsi"/>
        </w:rPr>
        <w:t>9</w:t>
      </w:r>
      <w:r w:rsidR="00D54135">
        <w:rPr>
          <w:rFonts w:asciiTheme="minorHAnsi" w:hAnsiTheme="minorHAnsi"/>
        </w:rPr>
        <w:t>.</w:t>
      </w:r>
    </w:p>
    <w:p w14:paraId="4C3DD57C" w14:textId="77777777" w:rsidR="00D54135" w:rsidRDefault="005B2EE9" w:rsidP="00D54135">
      <w:pPr>
        <w:pStyle w:val="TableTitle"/>
      </w:pPr>
      <w:r>
        <w:t>Table 29</w:t>
      </w:r>
      <w:r w:rsidR="00D54135">
        <w:t>: SVR12 response rates by genotype</w:t>
      </w:r>
    </w:p>
    <w:p w14:paraId="4C3DD57D" w14:textId="77777777" w:rsidR="00BF7341" w:rsidRDefault="00BF7341" w:rsidP="00D54135">
      <w:pPr>
        <w:jc w:val="both"/>
        <w:rPr>
          <w:rFonts w:asciiTheme="minorHAnsi" w:hAnsiTheme="minorHAnsi"/>
        </w:rPr>
      </w:pPr>
      <w:r>
        <w:rPr>
          <w:rFonts w:asciiTheme="minorHAnsi" w:hAnsiTheme="minorHAnsi"/>
          <w:noProof/>
          <w:lang w:eastAsia="en-AU"/>
        </w:rPr>
        <w:drawing>
          <wp:inline distT="0" distB="0" distL="0" distR="0" wp14:anchorId="4C3DD667" wp14:editId="4C3DD668">
            <wp:extent cx="5025785" cy="1239520"/>
            <wp:effectExtent l="0" t="0" r="3810" b="0"/>
            <wp:docPr id="70" name="Picture 70" descr="Table 29: SVR12 response rates by ge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5034074" cy="1241564"/>
                    </a:xfrm>
                    <a:prstGeom prst="rect">
                      <a:avLst/>
                    </a:prstGeom>
                    <a:noFill/>
                    <a:ln>
                      <a:noFill/>
                    </a:ln>
                  </pic:spPr>
                </pic:pic>
              </a:graphicData>
            </a:graphic>
          </wp:inline>
        </w:drawing>
      </w:r>
    </w:p>
    <w:p w14:paraId="4C3DD57E" w14:textId="77777777" w:rsidR="00BF7341" w:rsidRPr="00E6416F" w:rsidRDefault="00BF7341" w:rsidP="00D54135">
      <w:r>
        <w:t>SVR12 response was consistent across various other subgroups.</w:t>
      </w:r>
    </w:p>
    <w:p w14:paraId="4C3DD57F" w14:textId="77777777" w:rsidR="00BF7341" w:rsidRDefault="00BF7341" w:rsidP="00D54135">
      <w:r w:rsidRPr="00D54135">
        <w:rPr>
          <w:rStyle w:val="Heading5Char"/>
          <w:rFonts w:eastAsia="Cambria"/>
        </w:rPr>
        <w:t>Study 052 (C-SURFER):</w:t>
      </w:r>
      <w:r>
        <w:t xml:space="preserve"> This was a </w:t>
      </w:r>
      <w:r w:rsidR="004A28A8">
        <w:t>Phase II</w:t>
      </w:r>
      <w:r>
        <w:t>/</w:t>
      </w:r>
      <w:r w:rsidR="00D54135">
        <w:t>III</w:t>
      </w:r>
      <w:r>
        <w:t xml:space="preserve">, randomised, double blind study in TN </w:t>
      </w:r>
      <w:r w:rsidR="00D54135">
        <w:t>and</w:t>
      </w:r>
      <w:r>
        <w:t xml:space="preserve"> TE HCV GT-1 patients with or without </w:t>
      </w:r>
      <w:r w:rsidRPr="00871DA3">
        <w:t xml:space="preserve">cirrhosis </w:t>
      </w:r>
      <w:r>
        <w:t xml:space="preserve">who had chronic kidney disease (CKD) Stage 4 or 5, </w:t>
      </w:r>
      <w:r w:rsidRPr="00871DA3">
        <w:t xml:space="preserve">including </w:t>
      </w:r>
      <w:r>
        <w:t>patients on H</w:t>
      </w:r>
      <w:r w:rsidRPr="00871DA3">
        <w:t>aemo</w:t>
      </w:r>
      <w:r>
        <w:t>dia</w:t>
      </w:r>
      <w:r w:rsidRPr="00871DA3">
        <w:t>ly</w:t>
      </w:r>
      <w:r>
        <w:t xml:space="preserve">sis (HD). At baseline, a total of 35% and 41% patients had diabetes mellitus and cardiovascular disease respectively. The treatment regimen was </w:t>
      </w:r>
      <w:r w:rsidRPr="00871DA3">
        <w:t>GZR/EBR</w:t>
      </w:r>
      <w:r>
        <w:t xml:space="preserve"> (</w:t>
      </w:r>
      <w:r w:rsidRPr="00871DA3">
        <w:t>100/50</w:t>
      </w:r>
      <w:r>
        <w:t xml:space="preserve"> </w:t>
      </w:r>
      <w:r w:rsidRPr="00871DA3">
        <w:t xml:space="preserve">mg </w:t>
      </w:r>
      <w:r>
        <w:t>daily without RBV) for 12 weeks. The pa</w:t>
      </w:r>
      <w:r w:rsidR="00A955ED">
        <w:t xml:space="preserve">tients were randomised into </w:t>
      </w:r>
      <w:r>
        <w:t>treatment groups</w:t>
      </w:r>
      <w:r w:rsidR="005B2EE9">
        <w:t xml:space="preserve"> as shown in Table 30</w:t>
      </w:r>
      <w:r w:rsidR="00A955ED">
        <w:t>.</w:t>
      </w:r>
    </w:p>
    <w:p w14:paraId="4C3DD580" w14:textId="77777777" w:rsidR="00A955ED" w:rsidRDefault="00A955ED" w:rsidP="00F07B73">
      <w:pPr>
        <w:pStyle w:val="TableTitle"/>
      </w:pPr>
      <w:r>
        <w:lastRenderedPageBreak/>
        <w:t xml:space="preserve">Table </w:t>
      </w:r>
      <w:r w:rsidR="005B2EE9">
        <w:t>30</w:t>
      </w:r>
      <w:r>
        <w:t xml:space="preserve">: </w:t>
      </w:r>
      <w:r w:rsidR="00F07B73">
        <w:t>Treatment groups</w:t>
      </w:r>
    </w:p>
    <w:p w14:paraId="4C3DD581" w14:textId="77777777" w:rsidR="00BF7341" w:rsidRDefault="00BF7341" w:rsidP="00F07B73">
      <w:pPr>
        <w:rPr>
          <w:rFonts w:asciiTheme="minorHAnsi" w:hAnsiTheme="minorHAnsi"/>
        </w:rPr>
      </w:pPr>
      <w:r>
        <w:rPr>
          <w:rFonts w:asciiTheme="minorHAnsi" w:hAnsiTheme="minorHAnsi"/>
          <w:noProof/>
          <w:lang w:eastAsia="en-AU"/>
        </w:rPr>
        <w:drawing>
          <wp:inline distT="0" distB="0" distL="0" distR="0" wp14:anchorId="4C3DD669" wp14:editId="4C3DD66A">
            <wp:extent cx="5122938" cy="2184400"/>
            <wp:effectExtent l="0" t="0" r="1905" b="6350"/>
            <wp:docPr id="76" name="Picture 76" descr="Table 30: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5126912" cy="2186095"/>
                    </a:xfrm>
                    <a:prstGeom prst="rect">
                      <a:avLst/>
                    </a:prstGeom>
                    <a:noFill/>
                    <a:ln>
                      <a:noFill/>
                    </a:ln>
                  </pic:spPr>
                </pic:pic>
              </a:graphicData>
            </a:graphic>
          </wp:inline>
        </w:drawing>
      </w:r>
    </w:p>
    <w:p w14:paraId="4C3DD582" w14:textId="77777777" w:rsidR="00BF7341" w:rsidRDefault="00BF7341" w:rsidP="00F07B73">
      <w:r>
        <w:t xml:space="preserve">SVR12 response rate in the Immediate and Intensive PK group was reported as </w:t>
      </w:r>
      <w:r w:rsidR="00F07B73">
        <w:t>shown in Table 3</w:t>
      </w:r>
      <w:r w:rsidR="005B2EE9">
        <w:t>1</w:t>
      </w:r>
      <w:r w:rsidR="00F07B73">
        <w:t>.</w:t>
      </w:r>
    </w:p>
    <w:p w14:paraId="4C3DD583" w14:textId="77777777" w:rsidR="00F07B73" w:rsidRDefault="00F07B73" w:rsidP="00F07B73">
      <w:pPr>
        <w:pStyle w:val="TableTitle"/>
      </w:pPr>
      <w:r>
        <w:t>Table 3</w:t>
      </w:r>
      <w:r w:rsidR="005B2EE9">
        <w:t>1</w:t>
      </w:r>
      <w:r>
        <w:t>: SVR12 response rates</w:t>
      </w:r>
    </w:p>
    <w:p w14:paraId="4C3DD584" w14:textId="77777777" w:rsidR="00BF7341" w:rsidRDefault="00BF7341" w:rsidP="00F07B73">
      <w:pPr>
        <w:rPr>
          <w:rFonts w:asciiTheme="minorHAnsi" w:hAnsiTheme="minorHAnsi"/>
        </w:rPr>
      </w:pPr>
      <w:r>
        <w:rPr>
          <w:rFonts w:asciiTheme="minorHAnsi" w:hAnsiTheme="minorHAnsi"/>
          <w:noProof/>
          <w:lang w:eastAsia="en-AU"/>
        </w:rPr>
        <w:drawing>
          <wp:inline distT="0" distB="0" distL="0" distR="0" wp14:anchorId="4C3DD66B" wp14:editId="4C3DD66C">
            <wp:extent cx="5142098" cy="1340667"/>
            <wp:effectExtent l="0" t="0" r="1905" b="0"/>
            <wp:docPr id="4" name="Picture 4" descr="Table 31: SVR12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5166368" cy="1346995"/>
                    </a:xfrm>
                    <a:prstGeom prst="rect">
                      <a:avLst/>
                    </a:prstGeom>
                    <a:noFill/>
                    <a:ln>
                      <a:noFill/>
                    </a:ln>
                  </pic:spPr>
                </pic:pic>
              </a:graphicData>
            </a:graphic>
          </wp:inline>
        </w:drawing>
      </w:r>
    </w:p>
    <w:p w14:paraId="4C3DD585" w14:textId="77777777" w:rsidR="00BF7341" w:rsidRDefault="00BF7341" w:rsidP="00F07B73">
      <w:r>
        <w:t>At Week 4, the pharmacokinetic parameters of GZR in HD and non-HD patients i</w:t>
      </w:r>
      <w:r w:rsidR="00F07B73">
        <w:t>n the intensive PK arm were as shown in Table 3</w:t>
      </w:r>
      <w:r w:rsidR="005B2EE9">
        <w:t>2</w:t>
      </w:r>
      <w:r w:rsidR="00F07B73">
        <w:t>.</w:t>
      </w:r>
    </w:p>
    <w:p w14:paraId="4C3DD586" w14:textId="77777777" w:rsidR="00F07B73" w:rsidRDefault="00F07B73" w:rsidP="00F07B73">
      <w:pPr>
        <w:pStyle w:val="TableTitle"/>
      </w:pPr>
      <w:r>
        <w:t>Table 3</w:t>
      </w:r>
      <w:r w:rsidR="005B2EE9">
        <w:t>2</w:t>
      </w:r>
      <w:r>
        <w:t>: Week 4 pharmacokinetic parameters of GZR in HD and non-HD patients in the intensive PK arm</w:t>
      </w:r>
    </w:p>
    <w:p w14:paraId="4C3DD587" w14:textId="77777777" w:rsidR="00BF7341" w:rsidRDefault="00BF7341" w:rsidP="00F07B73">
      <w:pPr>
        <w:rPr>
          <w:rFonts w:eastAsia="TimesNewRoman" w:cs="TimesNewRoman"/>
        </w:rPr>
      </w:pPr>
      <w:r>
        <w:rPr>
          <w:rFonts w:eastAsia="TimesNewRoman" w:cs="TimesNewRoman"/>
          <w:noProof/>
          <w:lang w:eastAsia="en-AU"/>
        </w:rPr>
        <w:drawing>
          <wp:inline distT="0" distB="0" distL="0" distR="0" wp14:anchorId="4C3DD66D" wp14:editId="4C3DD66E">
            <wp:extent cx="5320926" cy="1610360"/>
            <wp:effectExtent l="0" t="0" r="0" b="8890"/>
            <wp:docPr id="77" name="Picture 77" descr="Table 32: Week 4 pharmacokinetic parameters of GZR in HD and non-HD patients in the intensive PK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5329963" cy="1613095"/>
                    </a:xfrm>
                    <a:prstGeom prst="rect">
                      <a:avLst/>
                    </a:prstGeom>
                    <a:noFill/>
                    <a:ln>
                      <a:noFill/>
                    </a:ln>
                  </pic:spPr>
                </pic:pic>
              </a:graphicData>
            </a:graphic>
          </wp:inline>
        </w:drawing>
      </w:r>
    </w:p>
    <w:p w14:paraId="4C3DD588" w14:textId="77777777" w:rsidR="00BF7341" w:rsidRDefault="00BF7341" w:rsidP="00F07B73">
      <w:r>
        <w:t>The HD/non-HD AUC GMR for GZR was 0.78 indicative of minor role of kidneys and dialysis in the excretion of GZR.</w:t>
      </w:r>
    </w:p>
    <w:p w14:paraId="4C3DD589" w14:textId="77777777" w:rsidR="00BF7341" w:rsidRDefault="00BF7341" w:rsidP="00F07B73">
      <w:r>
        <w:t xml:space="preserve">At Week 4, the pharmacokinetic parameters of EBR in HD and non-HD patients in the intensive PK arm were as </w:t>
      </w:r>
      <w:r w:rsidR="00337EFE">
        <w:t>shown in Table 3</w:t>
      </w:r>
      <w:r w:rsidR="005B2EE9">
        <w:t>3</w:t>
      </w:r>
      <w:r w:rsidR="00337EFE">
        <w:t>.</w:t>
      </w:r>
    </w:p>
    <w:p w14:paraId="4C3DD58A" w14:textId="77777777" w:rsidR="007F16B9" w:rsidRDefault="007F16B9" w:rsidP="007F16B9">
      <w:pPr>
        <w:pStyle w:val="TableTitle"/>
      </w:pPr>
      <w:r>
        <w:lastRenderedPageBreak/>
        <w:t>Table 3</w:t>
      </w:r>
      <w:r w:rsidR="005B2EE9">
        <w:t>3</w:t>
      </w:r>
      <w:r>
        <w:t xml:space="preserve">: </w:t>
      </w:r>
      <w:r w:rsidRPr="007F16B9">
        <w:t>Week 4 pharmacokinetic parameters of GZR in HD and non-HD patients in the intensive PK arm</w:t>
      </w:r>
    </w:p>
    <w:p w14:paraId="4C3DD58B" w14:textId="77777777" w:rsidR="00BF7341" w:rsidRDefault="00BF7341" w:rsidP="007F16B9">
      <w:pPr>
        <w:rPr>
          <w:rFonts w:eastAsia="TimesNewRoman" w:cs="TimesNewRoman"/>
        </w:rPr>
      </w:pPr>
      <w:r>
        <w:rPr>
          <w:rFonts w:eastAsia="TimesNewRoman" w:cs="TimesNewRoman"/>
          <w:noProof/>
          <w:lang w:eastAsia="en-AU"/>
        </w:rPr>
        <w:drawing>
          <wp:inline distT="0" distB="0" distL="0" distR="0" wp14:anchorId="4C3DD66F" wp14:editId="4C3DD670">
            <wp:extent cx="5328920" cy="1570815"/>
            <wp:effectExtent l="0" t="0" r="5080" b="0"/>
            <wp:docPr id="78" name="Picture 78" descr="Table 33: Week 4 pharmacokinetic parameters of GZR in HD and non-HD patients in the intensive PK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a:stretch>
                      <a:fillRect/>
                    </a:stretch>
                  </pic:blipFill>
                  <pic:spPr bwMode="auto">
                    <a:xfrm>
                      <a:off x="0" y="0"/>
                      <a:ext cx="5332474" cy="1571863"/>
                    </a:xfrm>
                    <a:prstGeom prst="rect">
                      <a:avLst/>
                    </a:prstGeom>
                    <a:noFill/>
                    <a:ln>
                      <a:noFill/>
                    </a:ln>
                  </pic:spPr>
                </pic:pic>
              </a:graphicData>
            </a:graphic>
          </wp:inline>
        </w:drawing>
      </w:r>
    </w:p>
    <w:p w14:paraId="4C3DD58C" w14:textId="77777777" w:rsidR="00BF7341" w:rsidRDefault="00BF7341" w:rsidP="00BF7341">
      <w:pPr>
        <w:jc w:val="both"/>
      </w:pPr>
      <w:r>
        <w:rPr>
          <w:rFonts w:eastAsia="TimesNewRoman" w:cs="TimesNewRoman"/>
        </w:rPr>
        <w:t>The HD/non-HD AUC GMR for EBR was 1.43 was indicative of minor role of kidneys and dialysis in the excretion of GZR.</w:t>
      </w:r>
    </w:p>
    <w:p w14:paraId="4C3DD58D" w14:textId="77777777" w:rsidR="00BF7341" w:rsidRDefault="00BF7341" w:rsidP="00BF7341">
      <w:pPr>
        <w:jc w:val="both"/>
      </w:pPr>
      <w:r>
        <w:t xml:space="preserve">The proposed use in renal impairment is based on this study and the Study 050 in which patients with severe renal insufficiency were compared with Healthy Matched Controls. The results for GZR in Study 050 </w:t>
      </w:r>
      <w:r w:rsidR="007F16B9">
        <w:t>are shown below.</w:t>
      </w:r>
    </w:p>
    <w:p w14:paraId="4C3DD58E" w14:textId="77777777" w:rsidR="007F16B9" w:rsidRDefault="007F16B9" w:rsidP="007F16B9">
      <w:pPr>
        <w:pStyle w:val="TableTitle"/>
      </w:pPr>
      <w:r>
        <w:t>Table 3</w:t>
      </w:r>
      <w:r w:rsidR="005B2EE9">
        <w:t>4</w:t>
      </w:r>
      <w:r>
        <w:t>: GZR results in renally insufficient patients</w:t>
      </w:r>
    </w:p>
    <w:p w14:paraId="4C3DD58F" w14:textId="77777777" w:rsidR="00BF7341" w:rsidRDefault="00BF7341" w:rsidP="007F16B9">
      <w:r>
        <w:rPr>
          <w:noProof/>
          <w:lang w:eastAsia="en-AU"/>
        </w:rPr>
        <w:drawing>
          <wp:inline distT="0" distB="0" distL="0" distR="0" wp14:anchorId="4C3DD671" wp14:editId="4C3DD672">
            <wp:extent cx="5095240" cy="1495476"/>
            <wp:effectExtent l="0" t="0" r="0" b="9525"/>
            <wp:docPr id="79" name="Picture 79" descr="Table 34: GZR results in renally insufficien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5095240" cy="1495476"/>
                    </a:xfrm>
                    <a:prstGeom prst="rect">
                      <a:avLst/>
                    </a:prstGeom>
                    <a:noFill/>
                    <a:ln>
                      <a:noFill/>
                    </a:ln>
                  </pic:spPr>
                </pic:pic>
              </a:graphicData>
            </a:graphic>
          </wp:inline>
        </w:drawing>
      </w:r>
    </w:p>
    <w:p w14:paraId="4C3DD590" w14:textId="77777777" w:rsidR="00BF7341" w:rsidRDefault="00BF7341" w:rsidP="00BF7341">
      <w:pPr>
        <w:jc w:val="both"/>
        <w:rPr>
          <w:rFonts w:asciiTheme="minorHAnsi" w:hAnsiTheme="minorHAnsi"/>
        </w:rPr>
      </w:pPr>
      <w:r>
        <w:rPr>
          <w:rFonts w:asciiTheme="minorHAnsi" w:hAnsiTheme="minorHAnsi"/>
        </w:rPr>
        <w:t xml:space="preserve">The results for EBR in Study 050 </w:t>
      </w:r>
      <w:r w:rsidR="007F16B9">
        <w:rPr>
          <w:rFonts w:asciiTheme="minorHAnsi" w:hAnsiTheme="minorHAnsi"/>
        </w:rPr>
        <w:t>are shown in Table 3</w:t>
      </w:r>
      <w:r w:rsidR="005B2EE9">
        <w:rPr>
          <w:rFonts w:asciiTheme="minorHAnsi" w:hAnsiTheme="minorHAnsi"/>
        </w:rPr>
        <w:t>5</w:t>
      </w:r>
      <w:r w:rsidR="007F16B9">
        <w:rPr>
          <w:rFonts w:asciiTheme="minorHAnsi" w:hAnsiTheme="minorHAnsi"/>
        </w:rPr>
        <w:t>.</w:t>
      </w:r>
    </w:p>
    <w:p w14:paraId="4C3DD591" w14:textId="77777777" w:rsidR="007F16B9" w:rsidRDefault="007F16B9" w:rsidP="007F16B9">
      <w:pPr>
        <w:pStyle w:val="TableTitle"/>
      </w:pPr>
      <w:r w:rsidRPr="007F16B9">
        <w:t>Table 3</w:t>
      </w:r>
      <w:r w:rsidR="005B2EE9">
        <w:t>5</w:t>
      </w:r>
      <w:r w:rsidRPr="007F16B9">
        <w:t xml:space="preserve">: </w:t>
      </w:r>
      <w:r>
        <w:t>EBR</w:t>
      </w:r>
      <w:r w:rsidRPr="007F16B9">
        <w:t xml:space="preserve"> results</w:t>
      </w:r>
      <w:r>
        <w:t xml:space="preserve"> in renally insufficient patients</w:t>
      </w:r>
    </w:p>
    <w:p w14:paraId="4C3DD592" w14:textId="77777777" w:rsidR="00BF7341" w:rsidRDefault="00BF7341" w:rsidP="007F16B9">
      <w:pPr>
        <w:rPr>
          <w:rFonts w:asciiTheme="minorHAnsi" w:hAnsiTheme="minorHAnsi"/>
        </w:rPr>
      </w:pPr>
      <w:r>
        <w:rPr>
          <w:rFonts w:asciiTheme="minorHAnsi" w:hAnsiTheme="minorHAnsi"/>
          <w:noProof/>
          <w:lang w:eastAsia="en-AU"/>
        </w:rPr>
        <w:drawing>
          <wp:inline distT="0" distB="0" distL="0" distR="0" wp14:anchorId="4C3DD673" wp14:editId="4C3DD674">
            <wp:extent cx="5171440" cy="1464296"/>
            <wp:effectExtent l="0" t="0" r="0" b="3175"/>
            <wp:docPr id="80" name="Picture 80" descr="Table 35: EBR results in renally insufficien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5181971" cy="1467278"/>
                    </a:xfrm>
                    <a:prstGeom prst="rect">
                      <a:avLst/>
                    </a:prstGeom>
                    <a:noFill/>
                    <a:ln>
                      <a:noFill/>
                    </a:ln>
                  </pic:spPr>
                </pic:pic>
              </a:graphicData>
            </a:graphic>
          </wp:inline>
        </w:drawing>
      </w:r>
    </w:p>
    <w:p w14:paraId="4C3DD593" w14:textId="77777777" w:rsidR="00BF7341" w:rsidRPr="00653BD3" w:rsidRDefault="00BF7341" w:rsidP="007F16B9">
      <w:r>
        <w:t>Based on these results</w:t>
      </w:r>
      <w:r w:rsidRPr="00653BD3">
        <w:t>,</w:t>
      </w:r>
      <w:r>
        <w:t xml:space="preserve"> it is proposed that dose adjustment is not needed in patients with renal impairment including those </w:t>
      </w:r>
      <w:r w:rsidRPr="00D57239">
        <w:t xml:space="preserve">on </w:t>
      </w:r>
      <w:r>
        <w:t>haemo</w:t>
      </w:r>
      <w:r w:rsidRPr="00D57239">
        <w:t>dialysis</w:t>
      </w:r>
      <w:r w:rsidRPr="00653BD3">
        <w:t xml:space="preserve">. </w:t>
      </w:r>
      <w:r>
        <w:t xml:space="preserve">Note this recommendation does not apply to the use of GZR/EBR with </w:t>
      </w:r>
      <w:proofErr w:type="spellStart"/>
      <w:r>
        <w:t>sofosbuvir</w:t>
      </w:r>
      <w:proofErr w:type="spellEnd"/>
      <w:r>
        <w:t>.</w:t>
      </w:r>
    </w:p>
    <w:p w14:paraId="4C3DD594" w14:textId="77777777" w:rsidR="00BF7341" w:rsidRDefault="00BF7341" w:rsidP="007F16B9">
      <w:r w:rsidRPr="007131CF">
        <w:rPr>
          <w:rStyle w:val="Heading5Char"/>
          <w:rFonts w:eastAsia="Cambria"/>
          <w:b w:val="0"/>
        </w:rPr>
        <w:t>Study 059 (Part A):</w:t>
      </w:r>
      <w:r>
        <w:t xml:space="preserve"> This was a </w:t>
      </w:r>
      <w:r w:rsidR="004A28A8">
        <w:t>Phase II</w:t>
      </w:r>
      <w:r w:rsidR="007F16B9">
        <w:t>/III</w:t>
      </w:r>
      <w:r>
        <w:t xml:space="preserve">, open label study in TN and TE, HCV </w:t>
      </w:r>
      <w:r w:rsidRPr="0012365E">
        <w:t>GT</w:t>
      </w:r>
      <w:r>
        <w:t>-</w:t>
      </w:r>
      <w:r w:rsidRPr="0012365E">
        <w:t xml:space="preserve">1 patients with Child-Pugh </w:t>
      </w:r>
      <w:r>
        <w:t xml:space="preserve">Class </w:t>
      </w:r>
      <w:r w:rsidRPr="0012365E">
        <w:t xml:space="preserve">B </w:t>
      </w:r>
      <w:r>
        <w:t xml:space="preserve">(hepatic insufficiency </w:t>
      </w:r>
      <w:r w:rsidRPr="0012365E">
        <w:t>score 7-9)</w:t>
      </w:r>
      <w:r>
        <w:t xml:space="preserve"> for treatment with GZR 5</w:t>
      </w:r>
      <w:r w:rsidR="004C1037">
        <w:t>0 mg</w:t>
      </w:r>
      <w:r>
        <w:t xml:space="preserve"> plus EBR 5</w:t>
      </w:r>
      <w:r w:rsidR="004C1037">
        <w:t>0 mg</w:t>
      </w:r>
      <w:r>
        <w:t xml:space="preserve"> daily without RBV for 12 weeks. The patients were </w:t>
      </w:r>
      <w:r w:rsidRPr="0012365E">
        <w:t xml:space="preserve">randomised as </w:t>
      </w:r>
      <w:r w:rsidR="007F16B9">
        <w:t>shown in Table 3</w:t>
      </w:r>
      <w:r w:rsidR="005B2EE9">
        <w:t>6</w:t>
      </w:r>
      <w:r w:rsidR="007F16B9">
        <w:t>.</w:t>
      </w:r>
    </w:p>
    <w:p w14:paraId="4C3DD595" w14:textId="77777777" w:rsidR="007F16B9" w:rsidRDefault="007F16B9" w:rsidP="007F16B9">
      <w:pPr>
        <w:pStyle w:val="TableTitle"/>
      </w:pPr>
      <w:r>
        <w:lastRenderedPageBreak/>
        <w:t>Table 3</w:t>
      </w:r>
      <w:r w:rsidR="005B2EE9">
        <w:t>6</w:t>
      </w:r>
      <w:r>
        <w:t>: Patient treatment groups</w:t>
      </w:r>
    </w:p>
    <w:p w14:paraId="4C3DD596" w14:textId="77777777" w:rsidR="00BF7341" w:rsidRPr="0012365E" w:rsidRDefault="00BF7341" w:rsidP="007F16B9">
      <w:pPr>
        <w:rPr>
          <w:rFonts w:asciiTheme="minorHAnsi" w:hAnsiTheme="minorHAnsi"/>
        </w:rPr>
      </w:pPr>
      <w:r>
        <w:rPr>
          <w:rFonts w:asciiTheme="minorHAnsi" w:hAnsiTheme="minorHAnsi"/>
          <w:noProof/>
          <w:lang w:eastAsia="en-AU"/>
        </w:rPr>
        <w:drawing>
          <wp:inline distT="0" distB="0" distL="0" distR="0" wp14:anchorId="4C3DD675" wp14:editId="4C3DD676">
            <wp:extent cx="4719319" cy="1463040"/>
            <wp:effectExtent l="0" t="0" r="5715" b="3810"/>
            <wp:docPr id="81" name="Picture 81" descr="Table 36: Patient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4737373" cy="1468637"/>
                    </a:xfrm>
                    <a:prstGeom prst="rect">
                      <a:avLst/>
                    </a:prstGeom>
                    <a:noFill/>
                    <a:ln>
                      <a:noFill/>
                    </a:ln>
                  </pic:spPr>
                </pic:pic>
              </a:graphicData>
            </a:graphic>
          </wp:inline>
        </w:drawing>
      </w:r>
    </w:p>
    <w:p w14:paraId="4C3DD597" w14:textId="77777777" w:rsidR="00BF7341" w:rsidRPr="0012365E" w:rsidRDefault="00BF7341" w:rsidP="007F16B9">
      <w:r>
        <w:t xml:space="preserve">Only </w:t>
      </w:r>
      <w:r w:rsidRPr="0012365E">
        <w:t>SVR4</w:t>
      </w:r>
      <w:r>
        <w:t xml:space="preserve"> response rate was reported and was achieved by 28/30 (93.3%) patients (95%CI 84.4%, 100.0%).</w:t>
      </w:r>
    </w:p>
    <w:p w14:paraId="4C3DD598" w14:textId="77777777" w:rsidR="00BF7341" w:rsidRDefault="00BF7341" w:rsidP="007F16B9">
      <w:r w:rsidRPr="00263858">
        <w:t xml:space="preserve">One death </w:t>
      </w:r>
      <w:r>
        <w:t xml:space="preserve">was </w:t>
      </w:r>
      <w:r w:rsidRPr="00263858">
        <w:t xml:space="preserve">reported </w:t>
      </w:r>
      <w:r>
        <w:t xml:space="preserve">in the follow-up phase after completion of treatment. A non-cirrhotic group (GZR/EBR 100/50) had also been enrolled for comparison of PK data. The PK results for GZR </w:t>
      </w:r>
      <w:r w:rsidR="00424DB5">
        <w:t>and for EBR are</w:t>
      </w:r>
      <w:r>
        <w:t xml:space="preserve"> as </w:t>
      </w:r>
      <w:r w:rsidR="00424DB5">
        <w:t>shown in Tables 3</w:t>
      </w:r>
      <w:r w:rsidR="005B2EE9">
        <w:t>7</w:t>
      </w:r>
      <w:r w:rsidR="00424DB5">
        <w:t xml:space="preserve"> and 3</w:t>
      </w:r>
      <w:r w:rsidR="005B2EE9">
        <w:t>8</w:t>
      </w:r>
      <w:r w:rsidR="00424DB5">
        <w:t>.</w:t>
      </w:r>
    </w:p>
    <w:p w14:paraId="4C3DD599" w14:textId="77777777" w:rsidR="00424DB5" w:rsidRDefault="00424DB5" w:rsidP="00424DB5">
      <w:pPr>
        <w:pStyle w:val="TableTitle"/>
      </w:pPr>
      <w:r>
        <w:t>Table 3</w:t>
      </w:r>
      <w:r w:rsidR="005B2EE9">
        <w:t>7</w:t>
      </w:r>
      <w:r>
        <w:t>: PK results for GZR</w:t>
      </w:r>
    </w:p>
    <w:p w14:paraId="4C3DD59A" w14:textId="77777777" w:rsidR="00BF7341" w:rsidRDefault="00BF7341" w:rsidP="00424DB5">
      <w:pPr>
        <w:rPr>
          <w:rFonts w:asciiTheme="minorHAnsi" w:hAnsiTheme="minorHAnsi"/>
        </w:rPr>
      </w:pPr>
      <w:r>
        <w:rPr>
          <w:rFonts w:asciiTheme="minorHAnsi" w:hAnsiTheme="minorHAnsi"/>
          <w:noProof/>
          <w:lang w:eastAsia="en-AU"/>
        </w:rPr>
        <w:drawing>
          <wp:inline distT="0" distB="0" distL="0" distR="0" wp14:anchorId="4C3DD677" wp14:editId="4C3DD678">
            <wp:extent cx="5240215" cy="1524000"/>
            <wp:effectExtent l="0" t="0" r="0" b="0"/>
            <wp:docPr id="82" name="Picture 82" descr="Table 37: PK results for GZ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5242560" cy="1524682"/>
                    </a:xfrm>
                    <a:prstGeom prst="rect">
                      <a:avLst/>
                    </a:prstGeom>
                    <a:noFill/>
                    <a:ln>
                      <a:noFill/>
                    </a:ln>
                  </pic:spPr>
                </pic:pic>
              </a:graphicData>
            </a:graphic>
          </wp:inline>
        </w:drawing>
      </w:r>
    </w:p>
    <w:p w14:paraId="4C3DD59B" w14:textId="77777777" w:rsidR="00BF7341" w:rsidRDefault="00424DB5" w:rsidP="00424DB5">
      <w:pPr>
        <w:pStyle w:val="TableTitle"/>
      </w:pPr>
      <w:r w:rsidRPr="00424DB5">
        <w:t>Table 3</w:t>
      </w:r>
      <w:r w:rsidR="005B2EE9">
        <w:t>8</w:t>
      </w:r>
      <w:r w:rsidRPr="00424DB5">
        <w:t xml:space="preserve">: PK results for </w:t>
      </w:r>
      <w:r>
        <w:t>EBR</w:t>
      </w:r>
      <w:r w:rsidR="00BF7341">
        <w:rPr>
          <w:noProof/>
          <w:lang w:eastAsia="en-AU"/>
        </w:rPr>
        <w:drawing>
          <wp:inline distT="0" distB="0" distL="0" distR="0" wp14:anchorId="4C3DD679" wp14:editId="4C3DD67A">
            <wp:extent cx="5090160" cy="1516670"/>
            <wp:effectExtent l="0" t="0" r="0" b="7620"/>
            <wp:docPr id="83" name="Picture 83" descr="Table 38: PK results for E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0" y="0"/>
                      <a:ext cx="5101850" cy="1520153"/>
                    </a:xfrm>
                    <a:prstGeom prst="rect">
                      <a:avLst/>
                    </a:prstGeom>
                    <a:noFill/>
                    <a:ln>
                      <a:noFill/>
                    </a:ln>
                  </pic:spPr>
                </pic:pic>
              </a:graphicData>
            </a:graphic>
          </wp:inline>
        </w:drawing>
      </w:r>
    </w:p>
    <w:p w14:paraId="4C3DD59C" w14:textId="77777777" w:rsidR="00BF7341" w:rsidRDefault="00BF7341" w:rsidP="00424DB5">
      <w:r>
        <w:t xml:space="preserve">Based on this study as well as GZR </w:t>
      </w:r>
      <w:r w:rsidR="00424DB5">
        <w:t>S</w:t>
      </w:r>
      <w:r>
        <w:t xml:space="preserve">tudy 013 and EBR </w:t>
      </w:r>
      <w:r w:rsidR="00424DB5">
        <w:t>S</w:t>
      </w:r>
      <w:r>
        <w:t>tudy 009, it is proposed that GZR/EBR dose adjustment is not needed in</w:t>
      </w:r>
      <w:r w:rsidRPr="00D57239">
        <w:t xml:space="preserve"> mild</w:t>
      </w:r>
      <w:r>
        <w:t xml:space="preserve"> hepatic impairment. The GZR/EBR combination is contraindicated in HCV </w:t>
      </w:r>
      <w:r w:rsidRPr="00D57239">
        <w:t>patients</w:t>
      </w:r>
      <w:r>
        <w:t xml:space="preserve"> in the presence of moderate or severe hepatic impairment.</w:t>
      </w:r>
    </w:p>
    <w:p w14:paraId="4C3DD59D" w14:textId="77777777" w:rsidR="00BF7341" w:rsidRDefault="00BF7341" w:rsidP="00424DB5">
      <w:pPr>
        <w:rPr>
          <w:rFonts w:cs="Arial-BoldMT"/>
          <w:bCs/>
        </w:rPr>
      </w:pPr>
      <w:r w:rsidRPr="007131CF">
        <w:rPr>
          <w:rStyle w:val="Heading5Char"/>
          <w:rFonts w:eastAsia="Cambria"/>
          <w:b w:val="0"/>
        </w:rPr>
        <w:t>Study 074 (C-SWIFT):</w:t>
      </w:r>
      <w:r w:rsidRPr="007131CF">
        <w:rPr>
          <w:rFonts w:cs="Arial-BoldMT"/>
          <w:bCs/>
        </w:rPr>
        <w:t xml:space="preserve"> T</w:t>
      </w:r>
      <w:r>
        <w:rPr>
          <w:rFonts w:cs="Arial-BoldMT"/>
          <w:bCs/>
        </w:rPr>
        <w:t xml:space="preserve">his was a </w:t>
      </w:r>
      <w:r w:rsidR="004A28A8">
        <w:t>Phase II</w:t>
      </w:r>
      <w:r>
        <w:t xml:space="preserve"> open label, study in TN, HCV GT-1 and TN HCV GT-3 patients with</w:t>
      </w:r>
      <w:r w:rsidRPr="00414C84">
        <w:rPr>
          <w:rFonts w:cs="TimesNewRomanPSMT"/>
        </w:rPr>
        <w:t xml:space="preserve"> </w:t>
      </w:r>
      <w:r>
        <w:rPr>
          <w:rFonts w:cs="TimesNewRomanPSMT"/>
        </w:rPr>
        <w:t xml:space="preserve">or without </w:t>
      </w:r>
      <w:r w:rsidRPr="00414C84">
        <w:rPr>
          <w:rFonts w:cs="TimesNewRomanPSMT"/>
        </w:rPr>
        <w:t>cirrhosis</w:t>
      </w:r>
      <w:r>
        <w:rPr>
          <w:rFonts w:cs="Arial-BoldMT"/>
          <w:bCs/>
        </w:rPr>
        <w:t xml:space="preserve"> for treatment with </w:t>
      </w:r>
      <w:r w:rsidRPr="00414C84">
        <w:rPr>
          <w:rFonts w:cs="ArialMT"/>
        </w:rPr>
        <w:t xml:space="preserve">GZR/EBR </w:t>
      </w:r>
      <w:r>
        <w:rPr>
          <w:rFonts w:cs="ArialMT"/>
        </w:rPr>
        <w:t>(</w:t>
      </w:r>
      <w:r w:rsidRPr="00414C84">
        <w:rPr>
          <w:rFonts w:cs="ArialMT"/>
        </w:rPr>
        <w:t>100/50 mg daily</w:t>
      </w:r>
      <w:r>
        <w:rPr>
          <w:rFonts w:cs="ArialMT"/>
        </w:rPr>
        <w:t>) plus Sofosbuvir (40</w:t>
      </w:r>
      <w:r w:rsidR="004C1037">
        <w:rPr>
          <w:rFonts w:cs="ArialMT"/>
        </w:rPr>
        <w:t>0 mg</w:t>
      </w:r>
      <w:r>
        <w:rPr>
          <w:rFonts w:cs="ArialMT"/>
        </w:rPr>
        <w:t xml:space="preserve"> daily).</w:t>
      </w:r>
    </w:p>
    <w:p w14:paraId="4C3DD59E" w14:textId="77777777" w:rsidR="00BF7341" w:rsidRDefault="00BF7341" w:rsidP="00424DB5">
      <w:pPr>
        <w:rPr>
          <w:rFonts w:asciiTheme="minorHAnsi" w:hAnsiTheme="minorHAnsi"/>
        </w:rPr>
      </w:pPr>
      <w:r w:rsidRPr="00235D15">
        <w:rPr>
          <w:rFonts w:asciiTheme="minorHAnsi" w:hAnsiTheme="minorHAnsi"/>
          <w:i/>
        </w:rPr>
        <w:t>GT1 patients</w:t>
      </w:r>
      <w:r w:rsidRPr="00BB313F">
        <w:rPr>
          <w:rFonts w:asciiTheme="minorHAnsi" w:hAnsiTheme="minorHAnsi"/>
        </w:rPr>
        <w:t xml:space="preserve"> </w:t>
      </w:r>
      <w:r>
        <w:rPr>
          <w:rFonts w:asciiTheme="minorHAnsi" w:hAnsiTheme="minorHAnsi"/>
        </w:rPr>
        <w:t xml:space="preserve">(cirrhotic [C] or non-cirrhotic [NC]) were to be treated for 4, 6 or 8 weeks and were randomised as </w:t>
      </w:r>
      <w:r w:rsidR="00424DB5">
        <w:rPr>
          <w:rFonts w:asciiTheme="minorHAnsi" w:hAnsiTheme="minorHAnsi"/>
        </w:rPr>
        <w:t>shown in Table 3</w:t>
      </w:r>
      <w:r w:rsidR="005B2EE9">
        <w:rPr>
          <w:rFonts w:asciiTheme="minorHAnsi" w:hAnsiTheme="minorHAnsi"/>
        </w:rPr>
        <w:t>9</w:t>
      </w:r>
      <w:r w:rsidR="00424DB5">
        <w:rPr>
          <w:rFonts w:asciiTheme="minorHAnsi" w:hAnsiTheme="minorHAnsi"/>
        </w:rPr>
        <w:t>. SVR12 res</w:t>
      </w:r>
      <w:r w:rsidR="005B2EE9">
        <w:rPr>
          <w:rFonts w:asciiTheme="minorHAnsi" w:hAnsiTheme="minorHAnsi"/>
        </w:rPr>
        <w:t>ponse rates are shown in Table 40</w:t>
      </w:r>
      <w:r w:rsidR="00424DB5">
        <w:rPr>
          <w:rFonts w:asciiTheme="minorHAnsi" w:hAnsiTheme="minorHAnsi"/>
        </w:rPr>
        <w:t>.</w:t>
      </w:r>
    </w:p>
    <w:p w14:paraId="4C3DD59F" w14:textId="77777777" w:rsidR="00424DB5" w:rsidRPr="00BB313F" w:rsidRDefault="00424DB5" w:rsidP="00424DB5">
      <w:pPr>
        <w:pStyle w:val="TableTitle"/>
      </w:pPr>
      <w:r>
        <w:lastRenderedPageBreak/>
        <w:t>Table 3</w:t>
      </w:r>
      <w:r w:rsidR="005B2EE9">
        <w:t>9</w:t>
      </w:r>
      <w:r>
        <w:t>: GT1 patient treatment groups</w:t>
      </w:r>
    </w:p>
    <w:p w14:paraId="4C3DD5A0" w14:textId="77777777" w:rsidR="00BF7341" w:rsidRDefault="00BF7341" w:rsidP="00424DB5">
      <w:pPr>
        <w:spacing w:before="0" w:after="0"/>
        <w:rPr>
          <w:rFonts w:asciiTheme="minorHAnsi" w:hAnsiTheme="minorHAnsi"/>
          <w:sz w:val="18"/>
          <w:szCs w:val="18"/>
        </w:rPr>
      </w:pPr>
      <w:r>
        <w:rPr>
          <w:rFonts w:asciiTheme="minorHAnsi" w:hAnsiTheme="minorHAnsi"/>
          <w:noProof/>
          <w:sz w:val="18"/>
          <w:szCs w:val="18"/>
          <w:lang w:eastAsia="en-AU"/>
        </w:rPr>
        <w:drawing>
          <wp:inline distT="0" distB="0" distL="0" distR="0" wp14:anchorId="4C3DD67B" wp14:editId="4C3DD67C">
            <wp:extent cx="5374640" cy="965200"/>
            <wp:effectExtent l="0" t="0" r="0" b="6350"/>
            <wp:docPr id="5" name="Picture 5" descr="Table 39: GT1 patient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lum bright="-20000" contrast="40000"/>
                      <a:extLst>
                        <a:ext uri="{28A0092B-C50C-407E-A947-70E740481C1C}">
                          <a14:useLocalDpi xmlns:a14="http://schemas.microsoft.com/office/drawing/2010/main" val="0"/>
                        </a:ext>
                      </a:extLst>
                    </a:blip>
                    <a:srcRect/>
                    <a:stretch>
                      <a:fillRect/>
                    </a:stretch>
                  </pic:blipFill>
                  <pic:spPr bwMode="auto">
                    <a:xfrm>
                      <a:off x="0" y="0"/>
                      <a:ext cx="5379084" cy="965998"/>
                    </a:xfrm>
                    <a:prstGeom prst="rect">
                      <a:avLst/>
                    </a:prstGeom>
                    <a:noFill/>
                    <a:ln>
                      <a:noFill/>
                    </a:ln>
                  </pic:spPr>
                </pic:pic>
              </a:graphicData>
            </a:graphic>
          </wp:inline>
        </w:drawing>
      </w:r>
    </w:p>
    <w:p w14:paraId="4C3DD5A1" w14:textId="77777777" w:rsidR="00BF7341" w:rsidRDefault="005B2EE9" w:rsidP="00424DB5">
      <w:pPr>
        <w:pStyle w:val="TableTitle"/>
      </w:pPr>
      <w:r>
        <w:t>Table 40</w:t>
      </w:r>
      <w:r w:rsidR="00424DB5">
        <w:t xml:space="preserve">: </w:t>
      </w:r>
      <w:r w:rsidR="00BF7341" w:rsidRPr="00414C84">
        <w:t xml:space="preserve">SVR12 </w:t>
      </w:r>
      <w:r w:rsidR="00BF7341">
        <w:t>response rates in GT-1 patients (Full Analysis Set)</w:t>
      </w:r>
    </w:p>
    <w:p w14:paraId="4C3DD5A2" w14:textId="77777777" w:rsidR="00BF7341" w:rsidRPr="00414C84" w:rsidRDefault="00BF7341" w:rsidP="00424DB5">
      <w:pPr>
        <w:rPr>
          <w:rFonts w:asciiTheme="minorHAnsi" w:hAnsiTheme="minorHAnsi"/>
        </w:rPr>
      </w:pPr>
      <w:r>
        <w:rPr>
          <w:rFonts w:asciiTheme="minorHAnsi" w:hAnsiTheme="minorHAnsi"/>
          <w:noProof/>
          <w:lang w:eastAsia="en-AU"/>
        </w:rPr>
        <w:drawing>
          <wp:inline distT="0" distB="0" distL="0" distR="0" wp14:anchorId="4C3DD67D" wp14:editId="4C3DD67E">
            <wp:extent cx="4675127" cy="1717156"/>
            <wp:effectExtent l="0" t="0" r="0" b="0"/>
            <wp:docPr id="72" name="Picture 72" descr="Table 40: SVR12 response rates in GT-1 patien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lum bright="-20000" contrast="40000"/>
                      <a:extLst>
                        <a:ext uri="{28A0092B-C50C-407E-A947-70E740481C1C}">
                          <a14:useLocalDpi xmlns:a14="http://schemas.microsoft.com/office/drawing/2010/main" val="0"/>
                        </a:ext>
                      </a:extLst>
                    </a:blip>
                    <a:srcRect/>
                    <a:stretch>
                      <a:fillRect/>
                    </a:stretch>
                  </pic:blipFill>
                  <pic:spPr bwMode="auto">
                    <a:xfrm>
                      <a:off x="0" y="0"/>
                      <a:ext cx="4679595" cy="1718797"/>
                    </a:xfrm>
                    <a:prstGeom prst="rect">
                      <a:avLst/>
                    </a:prstGeom>
                    <a:noFill/>
                    <a:ln>
                      <a:noFill/>
                    </a:ln>
                  </pic:spPr>
                </pic:pic>
              </a:graphicData>
            </a:graphic>
          </wp:inline>
        </w:drawing>
      </w:r>
    </w:p>
    <w:p w14:paraId="4C3DD5A3" w14:textId="77777777" w:rsidR="00BF7341" w:rsidRPr="00A33693" w:rsidRDefault="00BF7341" w:rsidP="00BF7341">
      <w:pPr>
        <w:autoSpaceDE w:val="0"/>
        <w:autoSpaceDN w:val="0"/>
        <w:spacing w:line="240" w:lineRule="auto"/>
        <w:jc w:val="both"/>
      </w:pPr>
      <w:r>
        <w:t xml:space="preserve">Thus the SVR12 response was not advantageous compared to treatment with GZR/EBR (100/50 mg) for 12 weeks without </w:t>
      </w:r>
      <w:proofErr w:type="spellStart"/>
      <w:r>
        <w:t>sofosbuvir</w:t>
      </w:r>
      <w:proofErr w:type="spellEnd"/>
      <w:r>
        <w:t xml:space="preserve"> as seen in the pivotal TN study P060.</w:t>
      </w:r>
    </w:p>
    <w:p w14:paraId="4C3DD5A4" w14:textId="77777777" w:rsidR="00BF7341" w:rsidRDefault="00BF7341" w:rsidP="00BF7341">
      <w:pPr>
        <w:jc w:val="both"/>
        <w:rPr>
          <w:rFonts w:asciiTheme="minorHAnsi" w:hAnsiTheme="minorHAnsi"/>
        </w:rPr>
      </w:pPr>
      <w:r w:rsidRPr="00235D15">
        <w:rPr>
          <w:rFonts w:asciiTheme="minorHAnsi" w:hAnsiTheme="minorHAnsi"/>
          <w:i/>
        </w:rPr>
        <w:t>GT3 patients</w:t>
      </w:r>
      <w:r>
        <w:rPr>
          <w:rFonts w:asciiTheme="minorHAnsi" w:hAnsiTheme="minorHAnsi"/>
        </w:rPr>
        <w:t xml:space="preserve"> (cirrhotic [C] or non-cirrhotic [NC]) were to be treated with 8 or 12 weeks and were randomised as </w:t>
      </w:r>
      <w:r w:rsidR="00235D15">
        <w:rPr>
          <w:rFonts w:asciiTheme="minorHAnsi" w:hAnsiTheme="minorHAnsi"/>
        </w:rPr>
        <w:t>shown in Table 4</w:t>
      </w:r>
      <w:r w:rsidR="005B2EE9">
        <w:rPr>
          <w:rFonts w:asciiTheme="minorHAnsi" w:hAnsiTheme="minorHAnsi"/>
        </w:rPr>
        <w:t>1</w:t>
      </w:r>
      <w:r w:rsidR="00235D15">
        <w:rPr>
          <w:rFonts w:asciiTheme="minorHAnsi" w:hAnsiTheme="minorHAnsi"/>
        </w:rPr>
        <w:t xml:space="preserve"> and the SVR12 response rates are shown in Table 4</w:t>
      </w:r>
      <w:r w:rsidR="005B2EE9">
        <w:rPr>
          <w:rFonts w:asciiTheme="minorHAnsi" w:hAnsiTheme="minorHAnsi"/>
        </w:rPr>
        <w:t>2</w:t>
      </w:r>
      <w:r w:rsidR="00235D15">
        <w:rPr>
          <w:rFonts w:asciiTheme="minorHAnsi" w:hAnsiTheme="minorHAnsi"/>
        </w:rPr>
        <w:t>.</w:t>
      </w:r>
    </w:p>
    <w:p w14:paraId="4C3DD5A5" w14:textId="77777777" w:rsidR="00235D15" w:rsidRDefault="00235D15" w:rsidP="00235D15">
      <w:pPr>
        <w:pStyle w:val="TableTitle"/>
      </w:pPr>
      <w:r>
        <w:t>Table 4</w:t>
      </w:r>
      <w:r w:rsidR="005B2EE9">
        <w:t>1</w:t>
      </w:r>
      <w:r>
        <w:t>: GT3 patients and treatment groups</w:t>
      </w:r>
    </w:p>
    <w:p w14:paraId="4C3DD5A6" w14:textId="77777777" w:rsidR="00BF7341" w:rsidRPr="00BB313F" w:rsidRDefault="00BF7341" w:rsidP="00235D15">
      <w:pPr>
        <w:rPr>
          <w:rFonts w:asciiTheme="minorHAnsi" w:hAnsiTheme="minorHAnsi"/>
        </w:rPr>
      </w:pPr>
      <w:r>
        <w:rPr>
          <w:rFonts w:asciiTheme="minorHAnsi" w:hAnsiTheme="minorHAnsi"/>
          <w:noProof/>
          <w:lang w:eastAsia="en-AU"/>
        </w:rPr>
        <w:drawing>
          <wp:inline distT="0" distB="0" distL="0" distR="0" wp14:anchorId="4C3DD67F" wp14:editId="4C3DD680">
            <wp:extent cx="5298440" cy="1000367"/>
            <wp:effectExtent l="0" t="0" r="0" b="9525"/>
            <wp:docPr id="85" name="Picture 85" descr="Table 41: GT3 patients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lum bright="-20000" contrast="40000"/>
                      <a:extLst>
                        <a:ext uri="{28A0092B-C50C-407E-A947-70E740481C1C}">
                          <a14:useLocalDpi xmlns:a14="http://schemas.microsoft.com/office/drawing/2010/main" val="0"/>
                        </a:ext>
                      </a:extLst>
                    </a:blip>
                    <a:srcRect/>
                    <a:stretch>
                      <a:fillRect/>
                    </a:stretch>
                  </pic:blipFill>
                  <pic:spPr bwMode="auto">
                    <a:xfrm>
                      <a:off x="0" y="0"/>
                      <a:ext cx="5307250" cy="1002030"/>
                    </a:xfrm>
                    <a:prstGeom prst="rect">
                      <a:avLst/>
                    </a:prstGeom>
                    <a:noFill/>
                    <a:ln>
                      <a:noFill/>
                    </a:ln>
                  </pic:spPr>
                </pic:pic>
              </a:graphicData>
            </a:graphic>
          </wp:inline>
        </w:drawing>
      </w:r>
    </w:p>
    <w:p w14:paraId="4C3DD5A7" w14:textId="77777777" w:rsidR="00BF7341" w:rsidRDefault="00235D15" w:rsidP="00235D15">
      <w:pPr>
        <w:pStyle w:val="TableTitle"/>
      </w:pPr>
      <w:r>
        <w:t>Table 4</w:t>
      </w:r>
      <w:r w:rsidR="005B2EE9">
        <w:t>2</w:t>
      </w:r>
      <w:r>
        <w:t xml:space="preserve">: </w:t>
      </w:r>
      <w:r w:rsidR="00BF7341" w:rsidRPr="00BB313F">
        <w:t xml:space="preserve">SVR12 response rates </w:t>
      </w:r>
      <w:r w:rsidR="00BF7341">
        <w:t>in GT3 patients (Full Analysis Set)</w:t>
      </w:r>
    </w:p>
    <w:p w14:paraId="4C3DD5A8" w14:textId="77777777" w:rsidR="00BF7341" w:rsidRDefault="00BF7341" w:rsidP="00235D15">
      <w:pPr>
        <w:rPr>
          <w:rFonts w:asciiTheme="minorHAnsi" w:hAnsiTheme="minorHAnsi"/>
        </w:rPr>
      </w:pPr>
      <w:r>
        <w:rPr>
          <w:rFonts w:asciiTheme="minorHAnsi" w:hAnsiTheme="minorHAnsi"/>
          <w:noProof/>
          <w:lang w:eastAsia="en-AU"/>
        </w:rPr>
        <w:drawing>
          <wp:inline distT="0" distB="0" distL="0" distR="0" wp14:anchorId="4C3DD681" wp14:editId="4C3DD682">
            <wp:extent cx="5255101" cy="1584960"/>
            <wp:effectExtent l="0" t="0" r="3175" b="0"/>
            <wp:docPr id="74" name="Picture 74" descr="Table 42: SVR12 response rates in GT3 patient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lum bright="-20000" contrast="40000"/>
                      <a:extLst>
                        <a:ext uri="{28A0092B-C50C-407E-A947-70E740481C1C}">
                          <a14:useLocalDpi xmlns:a14="http://schemas.microsoft.com/office/drawing/2010/main" val="0"/>
                        </a:ext>
                      </a:extLst>
                    </a:blip>
                    <a:srcRect/>
                    <a:stretch>
                      <a:fillRect/>
                    </a:stretch>
                  </pic:blipFill>
                  <pic:spPr bwMode="auto">
                    <a:xfrm>
                      <a:off x="0" y="0"/>
                      <a:ext cx="5274103" cy="1590691"/>
                    </a:xfrm>
                    <a:prstGeom prst="rect">
                      <a:avLst/>
                    </a:prstGeom>
                    <a:noFill/>
                    <a:ln>
                      <a:noFill/>
                    </a:ln>
                  </pic:spPr>
                </pic:pic>
              </a:graphicData>
            </a:graphic>
          </wp:inline>
        </w:drawing>
      </w:r>
    </w:p>
    <w:p w14:paraId="4C3DD5A9" w14:textId="77777777" w:rsidR="00BF7341" w:rsidRDefault="00BF7341" w:rsidP="00235D15">
      <w:pPr>
        <w:rPr>
          <w:rFonts w:cs="ArialMT"/>
        </w:rPr>
      </w:pPr>
      <w:r w:rsidRPr="007131CF">
        <w:rPr>
          <w:rStyle w:val="Heading5Char"/>
          <w:rFonts w:eastAsia="Cambria"/>
          <w:b w:val="0"/>
        </w:rPr>
        <w:t>Study 048 (C-SALVAGE):</w:t>
      </w:r>
      <w:r w:rsidRPr="007131CF">
        <w:t xml:space="preserve"> This</w:t>
      </w:r>
      <w:r>
        <w:t xml:space="preserve"> was a </w:t>
      </w:r>
      <w:r w:rsidR="004A28A8">
        <w:t>Phase II</w:t>
      </w:r>
      <w:r>
        <w:t xml:space="preserve"> open label study in HCV </w:t>
      </w:r>
      <w:r>
        <w:rPr>
          <w:rFonts w:cs="Arial-BoldMT"/>
          <w:bCs/>
        </w:rPr>
        <w:t xml:space="preserve">GT-1 patients with or without </w:t>
      </w:r>
      <w:r w:rsidRPr="00414C84">
        <w:t>cirrhosis</w:t>
      </w:r>
      <w:r>
        <w:t xml:space="preserve"> who were p</w:t>
      </w:r>
      <w:r w:rsidRPr="00414C84">
        <w:t xml:space="preserve">rior failures on </w:t>
      </w:r>
      <w:r>
        <w:t>Direct Acting Antiviral agents (</w:t>
      </w:r>
      <w:r w:rsidRPr="00414C84">
        <w:t>DAA</w:t>
      </w:r>
      <w:r>
        <w:t>s) administered</w:t>
      </w:r>
      <w:r w:rsidRPr="00414C84">
        <w:t xml:space="preserve"> concomitantly wit</w:t>
      </w:r>
      <w:r>
        <w:t>h</w:t>
      </w:r>
      <w:r w:rsidRPr="00414C84">
        <w:t xml:space="preserve"> P/R</w:t>
      </w:r>
      <w:r>
        <w:t xml:space="preserve">. The study treatment was </w:t>
      </w:r>
      <w:r w:rsidRPr="00414C84">
        <w:rPr>
          <w:rFonts w:cs="ArialMT"/>
        </w:rPr>
        <w:t xml:space="preserve">GZR/EBR </w:t>
      </w:r>
      <w:r>
        <w:rPr>
          <w:rFonts w:cs="ArialMT"/>
        </w:rPr>
        <w:t>(</w:t>
      </w:r>
      <w:r w:rsidRPr="00414C84">
        <w:rPr>
          <w:rFonts w:cs="ArialMT"/>
        </w:rPr>
        <w:t>100/50</w:t>
      </w:r>
      <w:r>
        <w:rPr>
          <w:rFonts w:cs="ArialMT"/>
        </w:rPr>
        <w:t xml:space="preserve"> mg daily) plus RBV for 12 weeks. The patients were distributed</w:t>
      </w:r>
      <w:r w:rsidRPr="00414C84">
        <w:rPr>
          <w:rFonts w:cs="ArialMT"/>
        </w:rPr>
        <w:t xml:space="preserve"> as </w:t>
      </w:r>
      <w:r w:rsidR="00235D15">
        <w:rPr>
          <w:rFonts w:cs="ArialMT"/>
        </w:rPr>
        <w:t>shown in Table 4</w:t>
      </w:r>
      <w:r w:rsidR="005B2EE9">
        <w:rPr>
          <w:rFonts w:cs="ArialMT"/>
        </w:rPr>
        <w:t>3</w:t>
      </w:r>
      <w:r w:rsidR="00154EE1">
        <w:rPr>
          <w:rFonts w:cs="ArialMT"/>
        </w:rPr>
        <w:t xml:space="preserve"> and </w:t>
      </w:r>
      <w:r w:rsidR="00154EE1">
        <w:rPr>
          <w:rFonts w:asciiTheme="minorHAnsi" w:hAnsiTheme="minorHAnsi"/>
        </w:rPr>
        <w:t xml:space="preserve">SVR12 response rates and SVR12 response rates by genotype or </w:t>
      </w:r>
      <w:r w:rsidR="00154EE1">
        <w:t>Prior DAA</w:t>
      </w:r>
      <w:r w:rsidR="00154EE1">
        <w:rPr>
          <w:rFonts w:asciiTheme="minorHAnsi" w:hAnsiTheme="minorHAnsi"/>
        </w:rPr>
        <w:t xml:space="preserve"> are shown in Tables 4</w:t>
      </w:r>
      <w:r w:rsidR="005B2EE9">
        <w:rPr>
          <w:rFonts w:asciiTheme="minorHAnsi" w:hAnsiTheme="minorHAnsi"/>
        </w:rPr>
        <w:t>4-46</w:t>
      </w:r>
      <w:r w:rsidR="00235D15">
        <w:rPr>
          <w:rFonts w:cs="ArialMT"/>
        </w:rPr>
        <w:t>.</w:t>
      </w:r>
    </w:p>
    <w:p w14:paraId="4C3DD5AA" w14:textId="77777777" w:rsidR="00235D15" w:rsidRDefault="00235D15" w:rsidP="00235D15">
      <w:pPr>
        <w:pStyle w:val="TableTitle"/>
      </w:pPr>
      <w:r>
        <w:lastRenderedPageBreak/>
        <w:t>Table 4</w:t>
      </w:r>
      <w:r w:rsidR="005B2EE9">
        <w:t>3</w:t>
      </w:r>
      <w:r>
        <w:t>: Patient distribution</w:t>
      </w:r>
    </w:p>
    <w:p w14:paraId="4C3DD5AB" w14:textId="77777777" w:rsidR="00BF7341" w:rsidRPr="00EA31FC" w:rsidRDefault="00BF7341" w:rsidP="00235D15">
      <w:pPr>
        <w:rPr>
          <w:highlight w:val="yellow"/>
        </w:rPr>
      </w:pPr>
      <w:r>
        <w:rPr>
          <w:noProof/>
          <w:lang w:eastAsia="en-AU"/>
        </w:rPr>
        <w:drawing>
          <wp:inline distT="0" distB="0" distL="0" distR="0" wp14:anchorId="4C3DD683" wp14:editId="4C3DD684">
            <wp:extent cx="4953000" cy="1370800"/>
            <wp:effectExtent l="0" t="0" r="0" b="1270"/>
            <wp:docPr id="86" name="Picture 86" descr="Table 43: Patient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lum bright="-20000" contrast="40000"/>
                      <a:extLst>
                        <a:ext uri="{28A0092B-C50C-407E-A947-70E740481C1C}">
                          <a14:useLocalDpi xmlns:a14="http://schemas.microsoft.com/office/drawing/2010/main" val="0"/>
                        </a:ext>
                      </a:extLst>
                    </a:blip>
                    <a:srcRect/>
                    <a:stretch>
                      <a:fillRect/>
                    </a:stretch>
                  </pic:blipFill>
                  <pic:spPr bwMode="auto">
                    <a:xfrm>
                      <a:off x="0" y="0"/>
                      <a:ext cx="4978861" cy="1377957"/>
                    </a:xfrm>
                    <a:prstGeom prst="rect">
                      <a:avLst/>
                    </a:prstGeom>
                    <a:noFill/>
                    <a:ln>
                      <a:noFill/>
                    </a:ln>
                  </pic:spPr>
                </pic:pic>
              </a:graphicData>
            </a:graphic>
          </wp:inline>
        </w:drawing>
      </w:r>
    </w:p>
    <w:p w14:paraId="4C3DD5AC" w14:textId="77777777" w:rsidR="00BF7341" w:rsidRPr="003420BD" w:rsidRDefault="00154EE1" w:rsidP="00154EE1">
      <w:pPr>
        <w:pStyle w:val="TableTitle"/>
      </w:pPr>
      <w:r>
        <w:t>Table 4</w:t>
      </w:r>
      <w:r w:rsidR="005B2EE9">
        <w:t>4</w:t>
      </w:r>
      <w:r>
        <w:t xml:space="preserve">: </w:t>
      </w:r>
      <w:r w:rsidR="00BF7341" w:rsidRPr="003420BD">
        <w:t>SVR12 response rates</w:t>
      </w:r>
    </w:p>
    <w:p w14:paraId="4C3DD5AD" w14:textId="77777777" w:rsidR="00BF7341" w:rsidRDefault="00BF7341" w:rsidP="00235D15">
      <w:r>
        <w:rPr>
          <w:noProof/>
          <w:lang w:eastAsia="en-AU"/>
        </w:rPr>
        <w:drawing>
          <wp:inline distT="0" distB="0" distL="0" distR="0" wp14:anchorId="4C3DD685" wp14:editId="4C3DD686">
            <wp:extent cx="5222631" cy="1050225"/>
            <wp:effectExtent l="0" t="0" r="0" b="0"/>
            <wp:docPr id="55" name="Picture 55" descr="Table 44: SVR12 respons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lum bright="-20000" contrast="40000"/>
                      <a:extLst>
                        <a:ext uri="{28A0092B-C50C-407E-A947-70E740481C1C}">
                          <a14:useLocalDpi xmlns:a14="http://schemas.microsoft.com/office/drawing/2010/main" val="0"/>
                        </a:ext>
                      </a:extLst>
                    </a:blip>
                    <a:srcRect/>
                    <a:stretch>
                      <a:fillRect/>
                    </a:stretch>
                  </pic:blipFill>
                  <pic:spPr bwMode="auto">
                    <a:xfrm>
                      <a:off x="0" y="0"/>
                      <a:ext cx="5243926" cy="1054507"/>
                    </a:xfrm>
                    <a:prstGeom prst="rect">
                      <a:avLst/>
                    </a:prstGeom>
                    <a:noFill/>
                    <a:ln>
                      <a:noFill/>
                    </a:ln>
                  </pic:spPr>
                </pic:pic>
              </a:graphicData>
            </a:graphic>
          </wp:inline>
        </w:drawing>
      </w:r>
    </w:p>
    <w:p w14:paraId="4C3DD5AE" w14:textId="77777777" w:rsidR="00BF7341" w:rsidRDefault="00154EE1" w:rsidP="00154EE1">
      <w:pPr>
        <w:pStyle w:val="TableTitle"/>
      </w:pPr>
      <w:r>
        <w:t>Table 4</w:t>
      </w:r>
      <w:r w:rsidR="005B2EE9">
        <w:t>5</w:t>
      </w:r>
      <w:r>
        <w:t xml:space="preserve">: </w:t>
      </w:r>
      <w:r w:rsidR="00BF7341">
        <w:t>SVR12 response by genotype</w:t>
      </w:r>
    </w:p>
    <w:p w14:paraId="4C3DD5AF" w14:textId="77777777" w:rsidR="00BF7341" w:rsidRDefault="00BF7341" w:rsidP="00235D15">
      <w:r>
        <w:rPr>
          <w:noProof/>
          <w:lang w:eastAsia="en-AU"/>
        </w:rPr>
        <w:drawing>
          <wp:inline distT="0" distB="0" distL="0" distR="0" wp14:anchorId="4C3DD687" wp14:editId="4C3DD688">
            <wp:extent cx="5038232" cy="861646"/>
            <wp:effectExtent l="0" t="0" r="0" b="0"/>
            <wp:docPr id="87" name="Picture 87" descr="Table 45: SVR12 response by gen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lum bright="-20000" contrast="40000"/>
                      <a:extLst>
                        <a:ext uri="{28A0092B-C50C-407E-A947-70E740481C1C}">
                          <a14:useLocalDpi xmlns:a14="http://schemas.microsoft.com/office/drawing/2010/main" val="0"/>
                        </a:ext>
                      </a:extLst>
                    </a:blip>
                    <a:srcRect/>
                    <a:stretch>
                      <a:fillRect/>
                    </a:stretch>
                  </pic:blipFill>
                  <pic:spPr bwMode="auto">
                    <a:xfrm>
                      <a:off x="0" y="0"/>
                      <a:ext cx="5038232" cy="861646"/>
                    </a:xfrm>
                    <a:prstGeom prst="rect">
                      <a:avLst/>
                    </a:prstGeom>
                    <a:noFill/>
                    <a:ln>
                      <a:noFill/>
                    </a:ln>
                  </pic:spPr>
                </pic:pic>
              </a:graphicData>
            </a:graphic>
          </wp:inline>
        </w:drawing>
      </w:r>
    </w:p>
    <w:p w14:paraId="4C3DD5B0" w14:textId="77777777" w:rsidR="00BF7341" w:rsidRDefault="00154EE1" w:rsidP="00154EE1">
      <w:pPr>
        <w:pStyle w:val="TableTitle"/>
      </w:pPr>
      <w:r>
        <w:t>Table 4</w:t>
      </w:r>
      <w:r w:rsidR="005B2EE9">
        <w:t>6</w:t>
      </w:r>
      <w:r>
        <w:t xml:space="preserve">: </w:t>
      </w:r>
      <w:r w:rsidR="00BF7341">
        <w:t>SVR12 by Prior DAA was as follows (PP population)</w:t>
      </w:r>
    </w:p>
    <w:p w14:paraId="4C3DD5B1" w14:textId="77777777" w:rsidR="00BF7341" w:rsidRDefault="00BF7341" w:rsidP="00235D15">
      <w:r>
        <w:rPr>
          <w:noProof/>
          <w:lang w:eastAsia="en-AU"/>
        </w:rPr>
        <w:drawing>
          <wp:inline distT="0" distB="0" distL="0" distR="0" wp14:anchorId="4C3DD689" wp14:editId="4C3DD68A">
            <wp:extent cx="4770120" cy="1749237"/>
            <wp:effectExtent l="0" t="0" r="0" b="3810"/>
            <wp:docPr id="64" name="Picture 64" descr="Table 46: SVR12 by Prior DAA was as follows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lum bright="-20000" contrast="40000"/>
                      <a:extLst>
                        <a:ext uri="{28A0092B-C50C-407E-A947-70E740481C1C}">
                          <a14:useLocalDpi xmlns:a14="http://schemas.microsoft.com/office/drawing/2010/main" val="0"/>
                        </a:ext>
                      </a:extLst>
                    </a:blip>
                    <a:srcRect/>
                    <a:stretch>
                      <a:fillRect/>
                    </a:stretch>
                  </pic:blipFill>
                  <pic:spPr bwMode="auto">
                    <a:xfrm>
                      <a:off x="0" y="0"/>
                      <a:ext cx="4770120" cy="1749237"/>
                    </a:xfrm>
                    <a:prstGeom prst="rect">
                      <a:avLst/>
                    </a:prstGeom>
                    <a:noFill/>
                    <a:ln>
                      <a:noFill/>
                    </a:ln>
                  </pic:spPr>
                </pic:pic>
              </a:graphicData>
            </a:graphic>
          </wp:inline>
        </w:drawing>
      </w:r>
    </w:p>
    <w:p w14:paraId="4C3DD5B2" w14:textId="09D065F1" w:rsidR="00BF7341" w:rsidRDefault="00BF7341" w:rsidP="00154EE1">
      <w:pPr>
        <w:pStyle w:val="Heading5"/>
      </w:pPr>
      <w:proofErr w:type="spellStart"/>
      <w:r>
        <w:t>Virologic</w:t>
      </w:r>
      <w:proofErr w:type="spellEnd"/>
      <w:r>
        <w:t xml:space="preserve"> </w:t>
      </w:r>
      <w:r w:rsidR="009321D4">
        <w:t>f</w:t>
      </w:r>
      <w:r>
        <w:t>ailures</w:t>
      </w:r>
    </w:p>
    <w:p w14:paraId="4C3DD5B3" w14:textId="77777777" w:rsidR="00BF7341" w:rsidRDefault="00BF7341" w:rsidP="00154EE1">
      <w:r>
        <w:t>In Treatment Naïve patients (Studies 060, 061, 052, 035 &amp; 047), On-treatment Virologic Failure occurred in 4/752 (0.5%) patients, and relapse occurred in 21/752 (2.8%) patients following 12 weeks of GZR/EBR treatment without RBV.</w:t>
      </w:r>
    </w:p>
    <w:p w14:paraId="4C3DD5B4" w14:textId="77777777" w:rsidR="00BF7341" w:rsidRDefault="00BF7341" w:rsidP="00154EE1">
      <w:r>
        <w:t>In Treatment Experienced patients (Studies 068, 052 &amp; 035), On-treatment virologic failure occurred in 0/159 (0.0%) patients, and relapse occurred in 10/159 (6.3%) patients following 12 weeks of treatment with GZR/EBR without RBV.</w:t>
      </w:r>
    </w:p>
    <w:p w14:paraId="4C3DD5B5" w14:textId="67E052C9" w:rsidR="00BF7341" w:rsidRPr="002B5F9C" w:rsidRDefault="00BF7341" w:rsidP="00154EE1">
      <w:pPr>
        <w:pStyle w:val="Heading5"/>
      </w:pPr>
      <w:r>
        <w:t xml:space="preserve">Resistance </w:t>
      </w:r>
      <w:r w:rsidR="009321D4">
        <w:t xml:space="preserve">associated </w:t>
      </w:r>
      <w:r w:rsidR="009321D4" w:rsidRPr="00685462">
        <w:t xml:space="preserve">variants </w:t>
      </w:r>
      <w:r w:rsidRPr="00685462">
        <w:t>(RAVs)</w:t>
      </w:r>
    </w:p>
    <w:p w14:paraId="4C3DD5B6" w14:textId="77777777" w:rsidR="00BF7341" w:rsidRDefault="00BF7341" w:rsidP="00154EE1">
      <w:r>
        <w:t>The impact of RAVs at baseline on the efficacy of GZR/EBR and association between treatment-emergent RAVs and virological failure was assessed in the clinical trials program.</w:t>
      </w:r>
    </w:p>
    <w:p w14:paraId="4C3DD5B7" w14:textId="10EB8723" w:rsidR="00BF7341" w:rsidRPr="00D773ED" w:rsidRDefault="00BF7341" w:rsidP="00154EE1">
      <w:pPr>
        <w:pStyle w:val="Heading5"/>
      </w:pPr>
      <w:r>
        <w:lastRenderedPageBreak/>
        <w:t xml:space="preserve">Baseline RAVs: </w:t>
      </w:r>
      <w:r w:rsidR="009321D4" w:rsidRPr="00D773ED">
        <w:t xml:space="preserve">treatment naïve </w:t>
      </w:r>
      <w:r>
        <w:t>(TN)</w:t>
      </w:r>
    </w:p>
    <w:p w14:paraId="4C3DD5B8" w14:textId="77777777" w:rsidR="00BF7341" w:rsidRPr="001D76CD" w:rsidRDefault="00BF7341" w:rsidP="00154EE1">
      <w:r>
        <w:rPr>
          <w:rFonts w:asciiTheme="minorHAnsi" w:hAnsiTheme="minorHAnsi"/>
          <w:color w:val="1A1A1A"/>
        </w:rPr>
        <w:t>Presence of NS3 RAVs at baseline did</w:t>
      </w:r>
      <w:r w:rsidRPr="00925C4E">
        <w:rPr>
          <w:rFonts w:asciiTheme="minorHAnsi" w:hAnsiTheme="minorHAnsi"/>
          <w:color w:val="1A1A1A"/>
        </w:rPr>
        <w:t xml:space="preserve"> not impact the eff</w:t>
      </w:r>
      <w:r>
        <w:rPr>
          <w:rFonts w:asciiTheme="minorHAnsi" w:hAnsiTheme="minorHAnsi"/>
          <w:color w:val="1A1A1A"/>
        </w:rPr>
        <w:t xml:space="preserve">icacy of GZR/EBR regimen in GT-1 patients. </w:t>
      </w:r>
      <w:r w:rsidRPr="0099540B">
        <w:t>The Q80K mutation, which has been associat</w:t>
      </w:r>
      <w:r>
        <w:t>ed with lower efficacy in</w:t>
      </w:r>
      <w:r w:rsidRPr="0099540B">
        <w:t xml:space="preserve"> GT</w:t>
      </w:r>
      <w:r>
        <w:t>-1a patients</w:t>
      </w:r>
      <w:r w:rsidRPr="0099540B">
        <w:t xml:space="preserve"> treated with </w:t>
      </w:r>
      <w:proofErr w:type="spellStart"/>
      <w:r w:rsidRPr="0099540B">
        <w:t>simeprevir</w:t>
      </w:r>
      <w:proofErr w:type="spellEnd"/>
      <w:r w:rsidRPr="0099540B">
        <w:t>/P</w:t>
      </w:r>
      <w:r>
        <w:t>/</w:t>
      </w:r>
      <w:r w:rsidRPr="0099540B">
        <w:t>R</w:t>
      </w:r>
      <w:r>
        <w:t>, was detected in more than one third</w:t>
      </w:r>
      <w:r w:rsidRPr="0099540B">
        <w:t xml:space="preserve"> GT</w:t>
      </w:r>
      <w:r>
        <w:t>-1a TN patients but an</w:t>
      </w:r>
      <w:r w:rsidRPr="0099540B">
        <w:t xml:space="preserve"> </w:t>
      </w:r>
      <w:r>
        <w:t>association with response to GZR/EBR was not evident.</w:t>
      </w:r>
    </w:p>
    <w:p w14:paraId="4C3DD5B9" w14:textId="77777777" w:rsidR="00BF7341" w:rsidRPr="001D76CD" w:rsidRDefault="00BF7341" w:rsidP="00154EE1">
      <w:r>
        <w:rPr>
          <w:rFonts w:asciiTheme="minorHAnsi" w:hAnsiTheme="minorHAnsi"/>
          <w:color w:val="1A1A1A"/>
        </w:rPr>
        <w:t xml:space="preserve">Presence of NS5A RAVs at baseline conferring a &gt;5 fold shift in in vitro potency of EBR had an impact on </w:t>
      </w:r>
      <w:r w:rsidRPr="00061115">
        <w:rPr>
          <w:rFonts w:asciiTheme="minorHAnsi" w:hAnsiTheme="minorHAnsi"/>
          <w:color w:val="1A1A1A"/>
        </w:rPr>
        <w:t xml:space="preserve">the efficacy of </w:t>
      </w:r>
      <w:r>
        <w:rPr>
          <w:rFonts w:asciiTheme="minorHAnsi" w:hAnsiTheme="minorHAnsi"/>
          <w:color w:val="1A1A1A"/>
        </w:rPr>
        <w:t xml:space="preserve">GZR/EBR regimen in GT-1a patients. </w:t>
      </w:r>
      <w:r>
        <w:t>Approximately 9%</w:t>
      </w:r>
      <w:r w:rsidRPr="001D76CD">
        <w:t xml:space="preserve"> GT</w:t>
      </w:r>
      <w:r>
        <w:t>-</w:t>
      </w:r>
      <w:r w:rsidRPr="001D76CD">
        <w:t>1 patients had NS5A RAVs, and approxim</w:t>
      </w:r>
      <w:r>
        <w:t>ately 3%</w:t>
      </w:r>
      <w:r w:rsidRPr="001D76CD">
        <w:t xml:space="preserve"> h</w:t>
      </w:r>
      <w:r>
        <w:t xml:space="preserve">ad NS5A RAVs which conferred &gt;5 </w:t>
      </w:r>
      <w:r w:rsidRPr="001D76CD">
        <w:t xml:space="preserve">fold resistance to EBR. This impact was most apparent in GT-1a </w:t>
      </w:r>
      <w:r>
        <w:t xml:space="preserve">patients with baseline viral load above 800,000 </w:t>
      </w:r>
      <w:r w:rsidRPr="001D76CD">
        <w:t>IU/mL.</w:t>
      </w:r>
      <w:r>
        <w:t xml:space="preserve"> </w:t>
      </w:r>
      <w:r w:rsidRPr="001D76CD">
        <w:t xml:space="preserve">There was a very modest negative impact of baseline NS5A RAVs on SVR12 </w:t>
      </w:r>
      <w:r>
        <w:t xml:space="preserve">response </w:t>
      </w:r>
      <w:r w:rsidRPr="001D76CD">
        <w:t>in TN GT</w:t>
      </w:r>
      <w:r>
        <w:t>-</w:t>
      </w:r>
      <w:r w:rsidRPr="001D76CD">
        <w:t>1b patients.</w:t>
      </w:r>
    </w:p>
    <w:p w14:paraId="4C3DD5BA" w14:textId="77777777" w:rsidR="00BF7341" w:rsidRPr="00154EE1" w:rsidRDefault="00BF7341" w:rsidP="00154EE1">
      <w:pPr>
        <w:rPr>
          <w:i/>
        </w:rPr>
      </w:pPr>
      <w:r>
        <w:t xml:space="preserve">Far less data are available in GT 4, 6 and 3 patients. </w:t>
      </w:r>
      <w:r w:rsidRPr="00154EE1">
        <w:rPr>
          <w:i/>
        </w:rPr>
        <w:t>The sponsor is requested to provide updated summary in its pre-ACPM response.</w:t>
      </w:r>
    </w:p>
    <w:p w14:paraId="4C3DD5BB" w14:textId="3CB9BB90" w:rsidR="00BF7341" w:rsidRPr="00D773ED" w:rsidRDefault="00BF7341" w:rsidP="00154EE1">
      <w:pPr>
        <w:pStyle w:val="Heading5"/>
      </w:pPr>
      <w:r>
        <w:rPr>
          <w:rFonts w:asciiTheme="minorHAnsi" w:hAnsiTheme="minorHAnsi"/>
          <w:color w:val="1A1A1A"/>
        </w:rPr>
        <w:t xml:space="preserve">Baseline RAVs: </w:t>
      </w:r>
      <w:r w:rsidR="009321D4" w:rsidRPr="00D773ED">
        <w:t>t</w:t>
      </w:r>
      <w:r w:rsidR="009321D4">
        <w:t>reatment e</w:t>
      </w:r>
      <w:r w:rsidR="009321D4" w:rsidRPr="00D773ED">
        <w:t xml:space="preserve">xperienced </w:t>
      </w:r>
      <w:r>
        <w:t>(TE)</w:t>
      </w:r>
    </w:p>
    <w:p w14:paraId="4C3DD5BC" w14:textId="77777777" w:rsidR="00BF7341" w:rsidRPr="002E2019" w:rsidRDefault="00BF7341" w:rsidP="00154EE1">
      <w:r w:rsidRPr="002E2019">
        <w:t>There was a higher prevalence of baseline NS3 RAVs in GT-1a patients than in GT-1b patients, and a slightly lower proportion of GT-1a patients with baseline NS3 RAVs achieved SVR12 compared with GT-1b patients. However, since 9/11 (82%) GT-1 patients with baseline NS3 RAVs who experienced virologic failure also had baseline NS5A RAVs, the role baseline NS3 RAVs is not clear.</w:t>
      </w:r>
    </w:p>
    <w:p w14:paraId="4C3DD5BD" w14:textId="77777777" w:rsidR="00BF7341" w:rsidRPr="002E2019" w:rsidRDefault="00BF7341" w:rsidP="00154EE1">
      <w:r w:rsidRPr="002E2019">
        <w:t>As in TN patients, the presence of baseline NS5A RAVs conferring a &gt;5 fold shift in in vitro potency of EBR in TE GT-1a patients was associated with a substantial reduction in efficacy. Patient</w:t>
      </w:r>
      <w:r>
        <w:t xml:space="preserve">s with baseline RAVs conferring &gt; 5 </w:t>
      </w:r>
      <w:r w:rsidRPr="002E2019">
        <w:t>fold shift in p</w:t>
      </w:r>
      <w:r>
        <w:t>otency to EBR accounted for</w:t>
      </w:r>
      <w:r w:rsidRPr="002E2019">
        <w:t xml:space="preserve"> 7.8%</w:t>
      </w:r>
      <w:r>
        <w:t xml:space="preserve"> (26/334) of GT-1a</w:t>
      </w:r>
      <w:r w:rsidRPr="002E2019">
        <w:t xml:space="preserve"> patients but comprised 76.5% (13/17) of all GT-1a </w:t>
      </w:r>
      <w:r>
        <w:t>patients with virologic failure</w:t>
      </w:r>
      <w:r w:rsidRPr="002E2019">
        <w:t>.</w:t>
      </w:r>
    </w:p>
    <w:p w14:paraId="4C3DD5BE" w14:textId="77777777" w:rsidR="00BF7341" w:rsidRPr="00154EE1" w:rsidRDefault="00BF7341" w:rsidP="00154EE1">
      <w:pPr>
        <w:rPr>
          <w:i/>
        </w:rPr>
      </w:pPr>
      <w:r>
        <w:t xml:space="preserve">Far less data are available in GT 4, 6 and 3 patients. </w:t>
      </w:r>
      <w:r w:rsidRPr="00154EE1">
        <w:rPr>
          <w:i/>
        </w:rPr>
        <w:t>The sponsor is requested to provide updated summary in its pre-ACPM response.</w:t>
      </w:r>
    </w:p>
    <w:p w14:paraId="4C3DD5BF" w14:textId="77777777" w:rsidR="00BF7341" w:rsidRPr="00187087" w:rsidRDefault="00BF7341" w:rsidP="00154EE1">
      <w:pPr>
        <w:pStyle w:val="Heading5"/>
      </w:pPr>
      <w:r>
        <w:t xml:space="preserve">Post-baseline </w:t>
      </w:r>
      <w:r w:rsidRPr="00187087">
        <w:t>RAVs</w:t>
      </w:r>
    </w:p>
    <w:p w14:paraId="4C3DD5C0" w14:textId="77777777" w:rsidR="00BF7341" w:rsidRPr="00837F90" w:rsidRDefault="00BF7341" w:rsidP="00154EE1">
      <w:r w:rsidRPr="00666EFD">
        <w:rPr>
          <w:rFonts w:asciiTheme="minorHAnsi" w:hAnsiTheme="minorHAnsi"/>
        </w:rPr>
        <w:t>Virologic failure was often accompanied by emergence of NS3 and/or NS5A mutations</w:t>
      </w:r>
      <w:r>
        <w:rPr>
          <w:rFonts w:asciiTheme="minorHAnsi" w:hAnsiTheme="minorHAnsi"/>
        </w:rPr>
        <w:t xml:space="preserve"> not detected prior to therapy i</w:t>
      </w:r>
      <w:r w:rsidRPr="00666EFD">
        <w:t xml:space="preserve">n both TN </w:t>
      </w:r>
      <w:r w:rsidR="00154EE1">
        <w:t>and</w:t>
      </w:r>
      <w:r>
        <w:t xml:space="preserve"> TE patients. </w:t>
      </w:r>
      <w:r w:rsidRPr="00666EFD">
        <w:t xml:space="preserve">The </w:t>
      </w:r>
      <w:r>
        <w:t xml:space="preserve">NS3 RAVs conferring &gt;5 </w:t>
      </w:r>
      <w:r w:rsidRPr="00666EFD">
        <w:t>fold shift in GZR potency were more commonly observed in GT-1a patients than in GT-1b patients. The NS5A RAVs conferring &gt;5 fold shift in EBR potency were observed in equal proportion in GT-1a and GT-1b virologic failure patients.</w:t>
      </w:r>
    </w:p>
    <w:p w14:paraId="4C3DD5C1" w14:textId="77777777" w:rsidR="00BF7341" w:rsidRPr="00666EFD" w:rsidRDefault="00BF7341" w:rsidP="00154EE1">
      <w:pPr>
        <w:rPr>
          <w:rFonts w:eastAsia="TimesNewRoman" w:cstheme="minorHAnsi"/>
        </w:rPr>
      </w:pPr>
      <w:r w:rsidRPr="00666EFD">
        <w:rPr>
          <w:rFonts w:eastAsia="TimesNewRoman" w:cstheme="minorHAnsi"/>
        </w:rPr>
        <w:t xml:space="preserve">Following administration of GZR, treatment-emergent substitutions in </w:t>
      </w:r>
      <w:r w:rsidRPr="00666EFD">
        <w:rPr>
          <w:rFonts w:eastAsia="TimesNewRoman" w:cs="TimesNewRoman"/>
        </w:rPr>
        <w:t>NS3/4A sequence</w:t>
      </w:r>
      <w:r w:rsidRPr="00666EFD">
        <w:rPr>
          <w:rFonts w:eastAsia="TimesNewRoman" w:cstheme="minorHAnsi"/>
        </w:rPr>
        <w:t xml:space="preserve"> at amino acids 168, 156, 56 and 155 were observed in &gt; 10% patients. </w:t>
      </w:r>
      <w:r w:rsidRPr="00666EFD">
        <w:t>NS3 RAVs are likely to revert to wild-type virus</w:t>
      </w:r>
      <w:r w:rsidRPr="00666EFD">
        <w:rPr>
          <w:rFonts w:asciiTheme="minorHAnsi" w:hAnsiTheme="minorHAnsi"/>
        </w:rPr>
        <w:t xml:space="preserve"> within a few months of virologic failure.</w:t>
      </w:r>
    </w:p>
    <w:p w14:paraId="4C3DD5C2" w14:textId="77777777" w:rsidR="00BF7341" w:rsidRPr="00666EFD" w:rsidRDefault="00BF7341" w:rsidP="00154EE1">
      <w:pPr>
        <w:rPr>
          <w:rFonts w:eastAsia="TimesNewRoman" w:cs="TimesNewRoman"/>
        </w:rPr>
      </w:pPr>
      <w:r w:rsidRPr="00666EFD">
        <w:rPr>
          <w:rFonts w:eastAsia="TimesNewRoman" w:cs="TimesNewRoman"/>
        </w:rPr>
        <w:t xml:space="preserve">Following administration of EBR, </w:t>
      </w:r>
      <w:r w:rsidRPr="00666EFD">
        <w:rPr>
          <w:rFonts w:eastAsia="TimesNewRoman" w:cstheme="minorHAnsi"/>
        </w:rPr>
        <w:t xml:space="preserve">treatment-emergent substitutions in </w:t>
      </w:r>
      <w:r w:rsidRPr="00666EFD">
        <w:rPr>
          <w:rFonts w:eastAsia="TimesNewRoman" w:cs="TimesNewRoman"/>
        </w:rPr>
        <w:t>NS5A sequence</w:t>
      </w:r>
      <w:r w:rsidRPr="00666EFD">
        <w:rPr>
          <w:rFonts w:eastAsia="TimesNewRoman" w:cstheme="minorHAnsi"/>
        </w:rPr>
        <w:t xml:space="preserve"> at amino acids</w:t>
      </w:r>
      <w:r w:rsidRPr="00666EFD">
        <w:rPr>
          <w:rFonts w:cstheme="minorHAnsi"/>
        </w:rPr>
        <w:t xml:space="preserve"> 28, 30, 31, and 93 were observed in &gt; 10% of patients.</w:t>
      </w:r>
      <w:r w:rsidRPr="00666EFD">
        <w:rPr>
          <w:rFonts w:asciiTheme="minorHAnsi" w:hAnsiTheme="minorHAnsi"/>
        </w:rPr>
        <w:t xml:space="preserve"> </w:t>
      </w:r>
      <w:r w:rsidRPr="00666EFD">
        <w:t>NS5A RAVs are likely to persist for longer duration</w:t>
      </w:r>
      <w:r w:rsidRPr="00666EFD">
        <w:rPr>
          <w:rFonts w:asciiTheme="minorHAnsi" w:hAnsiTheme="minorHAnsi"/>
        </w:rPr>
        <w:t xml:space="preserve">. </w:t>
      </w:r>
      <w:r w:rsidRPr="00666EFD">
        <w:rPr>
          <w:rFonts w:eastAsia="TimesNewRoman" w:cs="TimesNewRoman"/>
        </w:rPr>
        <w:t>These were generally more persistent among GT-1a patients and became undetectable at follow-up Week 12 in only 5% patients. Similar persistence of NS5A RAV</w:t>
      </w:r>
      <w:r>
        <w:rPr>
          <w:rFonts w:eastAsia="TimesNewRoman" w:cs="TimesNewRoman"/>
        </w:rPr>
        <w:t>s was observed in GT-1b</w:t>
      </w:r>
      <w:r w:rsidRPr="00666EFD">
        <w:rPr>
          <w:rFonts w:eastAsia="TimesNewRoman" w:cs="TimesNewRoman"/>
        </w:rPr>
        <w:t xml:space="preserve"> infected virologic failures.</w:t>
      </w:r>
    </w:p>
    <w:p w14:paraId="4C3DD5C3" w14:textId="77777777" w:rsidR="00BF7341" w:rsidRPr="00BD39F3" w:rsidRDefault="00BF7341" w:rsidP="00154EE1">
      <w:pPr>
        <w:rPr>
          <w:rFonts w:asciiTheme="minorHAnsi" w:hAnsiTheme="minorHAnsi"/>
          <w:i/>
        </w:rPr>
      </w:pPr>
      <w:r w:rsidRPr="00666EFD">
        <w:t xml:space="preserve">Treatment-emergent RAVs were also noted in the GT 4, 6 </w:t>
      </w:r>
      <w:r w:rsidR="00BD39F3">
        <w:t>and</w:t>
      </w:r>
      <w:r w:rsidRPr="00666EFD">
        <w:t xml:space="preserve"> 3 patients with virologic failure but the data are currently very limited.</w:t>
      </w:r>
      <w:r>
        <w:t xml:space="preserve"> </w:t>
      </w:r>
      <w:r w:rsidRPr="00BD39F3">
        <w:rPr>
          <w:i/>
        </w:rPr>
        <w:t>The sponsor is requested to provide updated summary in its pre-ACPM response.</w:t>
      </w:r>
    </w:p>
    <w:p w14:paraId="4C3DD5C4" w14:textId="77777777" w:rsidR="00BF7341" w:rsidRPr="00837F90" w:rsidRDefault="00BF7341" w:rsidP="00154EE1">
      <w:r w:rsidRPr="00666EFD">
        <w:t xml:space="preserve">Overall, the </w:t>
      </w:r>
      <w:r>
        <w:t>dataset on virologic failure</w:t>
      </w:r>
      <w:r w:rsidRPr="00666EFD">
        <w:t xml:space="preserve"> is currently very small and follow-up is short. The </w:t>
      </w:r>
      <w:r w:rsidRPr="00AD4CF6">
        <w:t>implications on re-treatment have not yet been determined.</w:t>
      </w:r>
    </w:p>
    <w:p w14:paraId="4C3DD5C5" w14:textId="647DD654" w:rsidR="00BF7341" w:rsidRPr="00E508D4" w:rsidRDefault="00BF7341" w:rsidP="00BD39F3">
      <w:pPr>
        <w:pStyle w:val="Heading4"/>
      </w:pPr>
      <w:r w:rsidRPr="00E508D4">
        <w:lastRenderedPageBreak/>
        <w:t xml:space="preserve">Clinical </w:t>
      </w:r>
      <w:r w:rsidR="009321D4" w:rsidRPr="00E508D4">
        <w:t>sa</w:t>
      </w:r>
      <w:r w:rsidRPr="00E508D4">
        <w:t>fety</w:t>
      </w:r>
    </w:p>
    <w:p w14:paraId="4C3DD5C6" w14:textId="77777777" w:rsidR="00BF7341" w:rsidRPr="001F4982" w:rsidRDefault="00BF7341" w:rsidP="00BD39F3">
      <w:r>
        <w:t>The overall safety database included 4143 participants consis</w:t>
      </w:r>
      <w:r w:rsidR="00BD39F3">
        <w:t>ting of 1439 subjects in Phase I</w:t>
      </w:r>
      <w:r>
        <w:t xml:space="preserve"> studies and 2704 HCV patients in </w:t>
      </w:r>
      <w:r w:rsidR="004A28A8">
        <w:t>Phase II</w:t>
      </w:r>
      <w:r>
        <w:t xml:space="preserve"> </w:t>
      </w:r>
      <w:r w:rsidR="00BD39F3">
        <w:t>and III</w:t>
      </w:r>
      <w:r>
        <w:t xml:space="preserve"> trials.</w:t>
      </w:r>
    </w:p>
    <w:p w14:paraId="4C3DD5C7" w14:textId="77777777" w:rsidR="00BD39F3" w:rsidRDefault="00BF7341" w:rsidP="00BD39F3">
      <w:r>
        <w:t>The Integrated Safety Population (ISP) consisted of HCV patients</w:t>
      </w:r>
      <w:r w:rsidRPr="001F4982">
        <w:t xml:space="preserve"> in </w:t>
      </w:r>
      <w:r w:rsidR="004A28A8">
        <w:t>Phase II</w:t>
      </w:r>
      <w:r w:rsidRPr="001F4982">
        <w:t>/</w:t>
      </w:r>
      <w:r w:rsidR="00BD39F3">
        <w:t>III</w:t>
      </w:r>
      <w:r w:rsidRPr="001F4982">
        <w:t xml:space="preserve"> studies who received at least 8 weeks of therapy </w:t>
      </w:r>
      <w:r>
        <w:t>with clinical doses of GZR/EBR (100/5</w:t>
      </w:r>
      <w:r w:rsidR="004C1037">
        <w:t>0 mg</w:t>
      </w:r>
      <w:r>
        <w:t>). This is the primary dataset for adverse effects profiling. This dataset consisted of 1690 patients and included patients who received GZR/EBR (100/50)</w:t>
      </w:r>
      <w:r w:rsidRPr="001F4982">
        <w:t xml:space="preserve"> for 8 weeks (</w:t>
      </w:r>
      <w:r>
        <w:t>n=91</w:t>
      </w:r>
      <w:r w:rsidRPr="001F4982">
        <w:t>), 12 weeks (</w:t>
      </w:r>
      <w:r>
        <w:t>n=939</w:t>
      </w:r>
      <w:r w:rsidRPr="001F4982">
        <w:t>), 16 weeks (</w:t>
      </w:r>
      <w:r>
        <w:t xml:space="preserve">n=214) or 18 weeks (n=149). A total of 657/1690 (38.9%) patients also </w:t>
      </w:r>
      <w:r w:rsidRPr="001F4982">
        <w:t xml:space="preserve">received </w:t>
      </w:r>
      <w:r>
        <w:t xml:space="preserve">concomitant </w:t>
      </w:r>
      <w:r w:rsidRPr="001F4982">
        <w:t>RBV.</w:t>
      </w:r>
      <w:r>
        <w:t xml:space="preserve"> The mean duration of treatment was 88 days</w:t>
      </w:r>
      <w:r w:rsidRPr="0009787C">
        <w:t xml:space="preserve"> </w:t>
      </w:r>
      <w:r>
        <w:t>for the single-entity</w:t>
      </w:r>
      <w:r w:rsidRPr="0009787C">
        <w:t xml:space="preserve"> </w:t>
      </w:r>
      <w:r>
        <w:t xml:space="preserve">GZR-EBR given together </w:t>
      </w:r>
      <w:r w:rsidRPr="0009787C">
        <w:t xml:space="preserve">and </w:t>
      </w:r>
      <w:r>
        <w:t>90 days the fixed dose GZR/EBR formulation</w:t>
      </w:r>
      <w:r w:rsidRPr="0009787C">
        <w:t>.</w:t>
      </w:r>
      <w:r>
        <w:t xml:space="preserve"> An overall summary of safety from treatment phase and first 14 days of follow up is </w:t>
      </w:r>
      <w:r w:rsidR="00BD39F3">
        <w:t>shown below.</w:t>
      </w:r>
    </w:p>
    <w:p w14:paraId="4C3DD5C8" w14:textId="77777777" w:rsidR="00BF7341" w:rsidRDefault="00BD39F3" w:rsidP="00BD39F3">
      <w:pPr>
        <w:pStyle w:val="TableTitle"/>
      </w:pPr>
      <w:r>
        <w:t>Table 4</w:t>
      </w:r>
      <w:r w:rsidR="005B2EE9">
        <w:t>7</w:t>
      </w:r>
      <w:r>
        <w:t>: Overall safety summary from treatment phase and first 14 days of follow up</w:t>
      </w:r>
    </w:p>
    <w:p w14:paraId="4C3DD5C9" w14:textId="77777777" w:rsidR="00BF7341" w:rsidRDefault="00BF7341" w:rsidP="00BD39F3">
      <w:pPr>
        <w:autoSpaceDE w:val="0"/>
        <w:autoSpaceDN w:val="0"/>
        <w:spacing w:before="0" w:line="240" w:lineRule="auto"/>
        <w:rPr>
          <w:rFonts w:eastAsia="TimesNewRoman" w:cs="TimesNewRoman"/>
        </w:rPr>
      </w:pPr>
      <w:r>
        <w:rPr>
          <w:rFonts w:eastAsia="TimesNewRoman" w:cs="TimesNewRoman"/>
          <w:noProof/>
          <w:lang w:eastAsia="en-AU"/>
        </w:rPr>
        <w:drawing>
          <wp:inline distT="0" distB="0" distL="0" distR="0" wp14:anchorId="4C3DD68B" wp14:editId="4C3DD68C">
            <wp:extent cx="4475480" cy="2048230"/>
            <wp:effectExtent l="0" t="0" r="1270" b="9525"/>
            <wp:docPr id="35" name="Picture 35" descr="Table 47: Overall safety summary from treatment phase and first 14 days of follow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lum bright="-20000" contrast="40000"/>
                      <a:extLst>
                        <a:ext uri="{28A0092B-C50C-407E-A947-70E740481C1C}">
                          <a14:useLocalDpi xmlns:a14="http://schemas.microsoft.com/office/drawing/2010/main" val="0"/>
                        </a:ext>
                      </a:extLst>
                    </a:blip>
                    <a:srcRect/>
                    <a:stretch>
                      <a:fillRect/>
                    </a:stretch>
                  </pic:blipFill>
                  <pic:spPr bwMode="auto">
                    <a:xfrm>
                      <a:off x="0" y="0"/>
                      <a:ext cx="4488759" cy="2054307"/>
                    </a:xfrm>
                    <a:prstGeom prst="rect">
                      <a:avLst/>
                    </a:prstGeom>
                    <a:noFill/>
                    <a:ln>
                      <a:noFill/>
                    </a:ln>
                  </pic:spPr>
                </pic:pic>
              </a:graphicData>
            </a:graphic>
          </wp:inline>
        </w:drawing>
      </w:r>
    </w:p>
    <w:p w14:paraId="4C3DD5CA" w14:textId="77777777" w:rsidR="00BF7341" w:rsidRDefault="00BF7341" w:rsidP="00BD39F3">
      <w:r>
        <w:t>Overall, the most common AEs</w:t>
      </w:r>
      <w:r w:rsidRPr="001F4982">
        <w:t xml:space="preserve"> were headac</w:t>
      </w:r>
      <w:r>
        <w:t>he (18.0%) and fatigue (16.2%). These were also the most common ADRs (</w:t>
      </w:r>
      <w:r w:rsidRPr="001F4982">
        <w:t>headac</w:t>
      </w:r>
      <w:r>
        <w:t>he 11.5% and fatigue 12.0%). The AE profile in various subpopulations was comparable or could be reasonably attributed to the demographic/clinical/therapeutic (</w:t>
      </w:r>
      <w:r w:rsidR="00BD39F3">
        <w:t>for example,</w:t>
      </w:r>
      <w:r>
        <w:t xml:space="preserve"> RBV) features of the subpopulation. Three deaths were reported as noted above in the </w:t>
      </w:r>
      <w:r w:rsidR="00BD39F3">
        <w:t>t</w:t>
      </w:r>
      <w:r>
        <w:t xml:space="preserve">able and </w:t>
      </w:r>
      <w:r w:rsidRPr="00867C4E">
        <w:t xml:space="preserve">were assessed as unlikely to be related to </w:t>
      </w:r>
      <w:r>
        <w:t xml:space="preserve">the </w:t>
      </w:r>
      <w:r w:rsidRPr="00867C4E">
        <w:t>study drug</w:t>
      </w:r>
      <w:r>
        <w:t>s</w:t>
      </w:r>
      <w:r w:rsidRPr="00867C4E">
        <w:t>.</w:t>
      </w:r>
    </w:p>
    <w:p w14:paraId="4C3DD5CB" w14:textId="77777777" w:rsidR="00BF7341" w:rsidRDefault="00BF7341" w:rsidP="00BD39F3">
      <w:r w:rsidRPr="001F4982">
        <w:t>Th</w:t>
      </w:r>
      <w:r>
        <w:t>e Hepatic Safety Pool (HSP) consisted of 2405 patients</w:t>
      </w:r>
      <w:r w:rsidRPr="001F4982">
        <w:t xml:space="preserve"> in </w:t>
      </w:r>
      <w:r w:rsidR="004A28A8">
        <w:t>Phase II</w:t>
      </w:r>
      <w:r w:rsidRPr="001F4982">
        <w:t>/</w:t>
      </w:r>
      <w:r w:rsidR="00BD39F3">
        <w:t>III</w:t>
      </w:r>
      <w:r w:rsidRPr="001F4982">
        <w:t xml:space="preserve"> </w:t>
      </w:r>
      <w:r>
        <w:t xml:space="preserve">studies </w:t>
      </w:r>
      <w:r w:rsidRPr="001F4982">
        <w:t>who received at least 8 weeks of therapy w</w:t>
      </w:r>
      <w:r>
        <w:t xml:space="preserve">ith GZR, regardless of GZR dose. This is the primary dataset for assessment of hepatic safety. </w:t>
      </w:r>
      <w:r w:rsidRPr="001F4982">
        <w:t xml:space="preserve">In </w:t>
      </w:r>
      <w:r>
        <w:t>the HSP, 36/2405 (1.5%) patients</w:t>
      </w:r>
      <w:r w:rsidRPr="001F4982">
        <w:t xml:space="preserve"> had a Late ALT/AST Elevation Event, hepatic laboratory </w:t>
      </w:r>
      <w:r>
        <w:t>Event of Clinical Interest (</w:t>
      </w:r>
      <w:r w:rsidRPr="001F4982">
        <w:t>ECI</w:t>
      </w:r>
      <w:r>
        <w:t>)</w:t>
      </w:r>
      <w:r w:rsidRPr="001F4982">
        <w:t xml:space="preserve"> and/or discontinued study medication due to </w:t>
      </w:r>
      <w:r>
        <w:t xml:space="preserve">protocol-specified </w:t>
      </w:r>
      <w:r w:rsidRPr="001F4982">
        <w:t>hepatic laboratory abnorm</w:t>
      </w:r>
      <w:r>
        <w:t>ality discontinuation criteria. Of these 36 patients</w:t>
      </w:r>
      <w:r w:rsidRPr="001F4982">
        <w:t>, 25/2405 (1.0%) had a Late ALT/AST Elevation Event, 26/2405 (1.1</w:t>
      </w:r>
      <w:r>
        <w:t>%) had a hepatic laboratory ECI</w:t>
      </w:r>
      <w:r w:rsidRPr="001F4982">
        <w:t xml:space="preserve"> and 7</w:t>
      </w:r>
      <w:r>
        <w:t>/2405</w:t>
      </w:r>
      <w:r w:rsidRPr="001F4982">
        <w:t xml:space="preserve"> (0.3%) disconti</w:t>
      </w:r>
      <w:r>
        <w:t>nued study medication as specified. T</w:t>
      </w:r>
      <w:r w:rsidRPr="001F4982">
        <w:t xml:space="preserve">he most frequent hepatic laboratory criterion fulfilled was </w:t>
      </w:r>
      <w:r w:rsidR="00D34382">
        <w:t>‘</w:t>
      </w:r>
      <w:r w:rsidRPr="001F4982">
        <w:t>ALT or</w:t>
      </w:r>
      <w:r>
        <w:t xml:space="preserve"> AST &gt;3x baseline and &gt;100 IU/L</w:t>
      </w:r>
      <w:r w:rsidR="00D34382">
        <w:t xml:space="preserve">’ </w:t>
      </w:r>
      <w:r>
        <w:t>which occurred in 19/26 patients</w:t>
      </w:r>
      <w:r w:rsidRPr="001F4982">
        <w:t xml:space="preserve"> who met </w:t>
      </w:r>
      <w:r>
        <w:t xml:space="preserve">the </w:t>
      </w:r>
      <w:r w:rsidRPr="001F4982">
        <w:t>ECI criteria</w:t>
      </w:r>
      <w:r>
        <w:t>.</w:t>
      </w:r>
    </w:p>
    <w:p w14:paraId="4C3DD5CC" w14:textId="77777777" w:rsidR="00BF7341" w:rsidRDefault="00BF7341" w:rsidP="00BD39F3">
      <w:r>
        <w:t xml:space="preserve">Time course of development of Late ALT/AST Elevation Events (&gt;5xULN) by Treatment Weeks in the HSP dataset </w:t>
      </w:r>
      <w:r w:rsidR="00BD39F3">
        <w:t>are shown in Figure 3 below.</w:t>
      </w:r>
    </w:p>
    <w:p w14:paraId="4C3DD5CD" w14:textId="77777777" w:rsidR="00BD39F3" w:rsidRDefault="00BD39F3" w:rsidP="00BD39F3">
      <w:pPr>
        <w:pStyle w:val="FigureTitle"/>
      </w:pPr>
      <w:r>
        <w:lastRenderedPageBreak/>
        <w:t>Figure 3: Time course of development of Late ALT/AST Elevation Events (&gt;5xULN) by Treatment Weeks in the HSP dataset</w:t>
      </w:r>
    </w:p>
    <w:p w14:paraId="4C3DD5CE" w14:textId="77777777" w:rsidR="00BF7341" w:rsidRDefault="00BF7341" w:rsidP="009321D4">
      <w:r>
        <w:rPr>
          <w:noProof/>
          <w:lang w:eastAsia="en-AU"/>
        </w:rPr>
        <w:drawing>
          <wp:inline distT="0" distB="0" distL="0" distR="0" wp14:anchorId="4C3DD68D" wp14:editId="4C3DD68E">
            <wp:extent cx="3506346" cy="2219671"/>
            <wp:effectExtent l="0" t="0" r="0" b="9525"/>
            <wp:docPr id="44" name="Picture 44" descr="Figure 3: Time course of development of Late ALT/AST Elevation Events (&gt;5xULN) by Treatment Weeks in the HSP data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2" cstate="print">
                      <a:lum bright="-20000" contrast="40000"/>
                      <a:extLst>
                        <a:ext uri="{28A0092B-C50C-407E-A947-70E740481C1C}">
                          <a14:useLocalDpi xmlns:a14="http://schemas.microsoft.com/office/drawing/2010/main" val="0"/>
                        </a:ext>
                      </a:extLst>
                    </a:blip>
                    <a:srcRect l="12371"/>
                    <a:stretch/>
                  </pic:blipFill>
                  <pic:spPr bwMode="auto">
                    <a:xfrm>
                      <a:off x="0" y="0"/>
                      <a:ext cx="3533054" cy="2236579"/>
                    </a:xfrm>
                    <a:prstGeom prst="rect">
                      <a:avLst/>
                    </a:prstGeom>
                    <a:noFill/>
                    <a:ln>
                      <a:noFill/>
                    </a:ln>
                    <a:extLst>
                      <a:ext uri="{53640926-AAD7-44D8-BBD7-CCE9431645EC}">
                        <a14:shadowObscured xmlns:a14="http://schemas.microsoft.com/office/drawing/2010/main"/>
                      </a:ext>
                    </a:extLst>
                  </pic:spPr>
                </pic:pic>
              </a:graphicData>
            </a:graphic>
          </wp:inline>
        </w:drawing>
      </w:r>
    </w:p>
    <w:p w14:paraId="4C3DD5CF" w14:textId="77777777" w:rsidR="00BF7341" w:rsidRDefault="00BF7341" w:rsidP="00BD39F3">
      <w:r>
        <w:t xml:space="preserve">The dataset in the studies pooled for </w:t>
      </w:r>
      <w:r w:rsidR="00D34382">
        <w:t>‘</w:t>
      </w:r>
      <w:r>
        <w:t>PK/‘</w:t>
      </w:r>
      <w:r w:rsidRPr="001F4982">
        <w:t>AL</w:t>
      </w:r>
      <w:r>
        <w:t>T/AST Late Elevation Event’ Pool</w:t>
      </w:r>
      <w:r w:rsidR="00D34382">
        <w:t>’</w:t>
      </w:r>
      <w:r>
        <w:t xml:space="preserve"> (PKP)</w:t>
      </w:r>
      <w:r w:rsidRPr="001F4982">
        <w:t xml:space="preserve"> was similar to the HSP a</w:t>
      </w:r>
      <w:r>
        <w:t xml:space="preserve">nd consisted of 2279 patients. </w:t>
      </w:r>
      <w:r w:rsidRPr="001F4982">
        <w:t xml:space="preserve">The PKP </w:t>
      </w:r>
      <w:r>
        <w:t>was used to describe</w:t>
      </w:r>
      <w:r w:rsidRPr="001F4982">
        <w:t xml:space="preserve"> the correlation between GZR </w:t>
      </w:r>
      <w:proofErr w:type="gramStart"/>
      <w:r w:rsidRPr="001F4982">
        <w:t>exposure</w:t>
      </w:r>
      <w:proofErr w:type="gramEnd"/>
      <w:r w:rsidRPr="001F4982">
        <w:t xml:space="preserve"> and risk of </w:t>
      </w:r>
      <w:r>
        <w:t xml:space="preserve">late ALT/AST Elevation Events. </w:t>
      </w:r>
      <w:r w:rsidRPr="001F4982">
        <w:t xml:space="preserve">Late ALT/AST Elevation Events, a specific measure of GZR-related hepatic safety, </w:t>
      </w:r>
      <w:r>
        <w:t>occurred in 7/769 (0.9%) patients</w:t>
      </w:r>
      <w:r w:rsidRPr="001F4982">
        <w:t xml:space="preserve"> who received t</w:t>
      </w:r>
      <w:r>
        <w:t>he proposed dose of GZR 10</w:t>
      </w:r>
      <w:r w:rsidR="004C1037">
        <w:t>0 mg</w:t>
      </w:r>
      <w:r>
        <w:t xml:space="preserve">. At this dose, these were generally not accompanied by raised bilirubin. At this dose, the predicted rate is 0.8% (95%CI 0.5%, 1.2%). The dose relationship of Late ALT/AST Elevation Events with the GZR exposure is shown </w:t>
      </w:r>
      <w:r w:rsidR="00E47D60">
        <w:t>in Table 4</w:t>
      </w:r>
      <w:r w:rsidR="005B2EE9">
        <w:t>8</w:t>
      </w:r>
      <w:r w:rsidR="00E47D60">
        <w:t xml:space="preserve"> below.</w:t>
      </w:r>
    </w:p>
    <w:p w14:paraId="4C3DD5D0" w14:textId="77777777" w:rsidR="00E47D60" w:rsidRDefault="005B2EE9" w:rsidP="00E47D60">
      <w:pPr>
        <w:pStyle w:val="TableTitle"/>
      </w:pPr>
      <w:r>
        <w:t>Table 48</w:t>
      </w:r>
      <w:r w:rsidR="00E47D60">
        <w:t>: The dose relationship of Late ALT/AST Elevation Events with the GZR exposure</w:t>
      </w:r>
    </w:p>
    <w:p w14:paraId="4C3DD5D1" w14:textId="77777777" w:rsidR="00BF7341" w:rsidRDefault="00BF7341" w:rsidP="00E47D60">
      <w:pPr>
        <w:autoSpaceDE w:val="0"/>
        <w:autoSpaceDN w:val="0"/>
        <w:spacing w:line="240" w:lineRule="auto"/>
        <w:rPr>
          <w:rFonts w:eastAsia="TimesNewRoman" w:cs="TimesNewRoman"/>
        </w:rPr>
      </w:pPr>
      <w:r>
        <w:rPr>
          <w:rFonts w:eastAsia="TimesNewRoman" w:cs="TimesNewRoman"/>
          <w:noProof/>
          <w:lang w:eastAsia="en-AU"/>
        </w:rPr>
        <w:drawing>
          <wp:inline distT="0" distB="0" distL="0" distR="0" wp14:anchorId="4C3DD68F" wp14:editId="4C3DD690">
            <wp:extent cx="4860758" cy="2244791"/>
            <wp:effectExtent l="0" t="0" r="0" b="3175"/>
            <wp:docPr id="58" name="Picture 58" descr="Table 48: The dose relationship of Late ALT/AST Elevation Events with the GZR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a:lum bright="-20000" contrast="40000"/>
                      <a:extLst>
                        <a:ext uri="{28A0092B-C50C-407E-A947-70E740481C1C}">
                          <a14:useLocalDpi xmlns:a14="http://schemas.microsoft.com/office/drawing/2010/main" val="0"/>
                        </a:ext>
                      </a:extLst>
                    </a:blip>
                    <a:srcRect l="4200"/>
                    <a:stretch/>
                  </pic:blipFill>
                  <pic:spPr bwMode="auto">
                    <a:xfrm>
                      <a:off x="0" y="0"/>
                      <a:ext cx="4858907" cy="2243936"/>
                    </a:xfrm>
                    <a:prstGeom prst="rect">
                      <a:avLst/>
                    </a:prstGeom>
                    <a:noFill/>
                    <a:ln>
                      <a:noFill/>
                    </a:ln>
                    <a:extLst>
                      <a:ext uri="{53640926-AAD7-44D8-BBD7-CCE9431645EC}">
                        <a14:shadowObscured xmlns:a14="http://schemas.microsoft.com/office/drawing/2010/main"/>
                      </a:ext>
                    </a:extLst>
                  </pic:spPr>
                </pic:pic>
              </a:graphicData>
            </a:graphic>
          </wp:inline>
        </w:drawing>
      </w:r>
    </w:p>
    <w:p w14:paraId="4C3DD5D2" w14:textId="77777777" w:rsidR="00BF7341" w:rsidRDefault="00BF7341" w:rsidP="00E47D60">
      <w:r w:rsidRPr="001F4982">
        <w:t>The risk of Late ALT/AST Elevation Even</w:t>
      </w:r>
      <w:r>
        <w:t xml:space="preserve">ts is expected to be higher in the presence of interacting </w:t>
      </w:r>
      <w:r w:rsidRPr="001F4982">
        <w:t>i</w:t>
      </w:r>
      <w:r>
        <w:t>ntrinsic and extrinsic factors such as hepatic impairment and co</w:t>
      </w:r>
      <w:r w:rsidR="00E47D60">
        <w:t>-</w:t>
      </w:r>
      <w:r>
        <w:t>administration with other drugs. It can also be expected to be higher in the post-market phase when the product is used in large number of less well selected patients.</w:t>
      </w:r>
    </w:p>
    <w:p w14:paraId="4C3DD5D3" w14:textId="77777777" w:rsidR="00BF7341" w:rsidRDefault="00BF7341" w:rsidP="00E47D60">
      <w:r>
        <w:t xml:space="preserve">Only very limited data from </w:t>
      </w:r>
      <w:r w:rsidR="00E47D60">
        <w:t>S</w:t>
      </w:r>
      <w:r>
        <w:t>tudy 073 (C-SWIFT) are available for HCV GT-3 patients (n=41) which required the use of triple combination of GZR/EBR/SOF 100/50/40</w:t>
      </w:r>
      <w:r w:rsidR="004C1037">
        <w:t>0 mg</w:t>
      </w:r>
      <w:r>
        <w:t xml:space="preserve"> daily for 12 weeks. This is considered a major deficiency in this submission with respect to the risk of drug induced hepatotoxicity in the context of a higher prevalence of HCV GT-3 in Australian population.</w:t>
      </w:r>
    </w:p>
    <w:p w14:paraId="4C3DD5D4" w14:textId="77777777" w:rsidR="00BF7341" w:rsidRDefault="00BF7341" w:rsidP="00E47D60">
      <w:r w:rsidRPr="00D57239">
        <w:t xml:space="preserve">In </w:t>
      </w:r>
      <w:r>
        <w:t xml:space="preserve">active controlled, Thorough QT studies, </w:t>
      </w:r>
      <w:r w:rsidRPr="00D57239">
        <w:t>single supra</w:t>
      </w:r>
      <w:r>
        <w:t>-</w:t>
      </w:r>
      <w:r w:rsidRPr="00D57239">
        <w:t>therapeutic dose</w:t>
      </w:r>
      <w:r>
        <w:t>s of GZR (160</w:t>
      </w:r>
      <w:r w:rsidR="004C1037">
        <w:t>0 mg</w:t>
      </w:r>
      <w:r>
        <w:t>) and EBR (70</w:t>
      </w:r>
      <w:r w:rsidR="004C1037">
        <w:t>0 mg</w:t>
      </w:r>
      <w:r>
        <w:t>)</w:t>
      </w:r>
      <w:r w:rsidRPr="00D57239">
        <w:t xml:space="preserve"> </w:t>
      </w:r>
      <w:r>
        <w:t>did not show</w:t>
      </w:r>
      <w:r w:rsidRPr="00D57239">
        <w:t xml:space="preserve"> clinically relevant prolongat</w:t>
      </w:r>
      <w:r>
        <w:t>ion in QT interval</w:t>
      </w:r>
      <w:r w:rsidRPr="00D57239">
        <w:t>.</w:t>
      </w:r>
    </w:p>
    <w:p w14:paraId="4C3DD5D5" w14:textId="77777777" w:rsidR="008E7846" w:rsidRDefault="00386150" w:rsidP="00E47D60">
      <w:pPr>
        <w:pStyle w:val="Heading3"/>
        <w:rPr>
          <w:lang w:eastAsia="en-AU"/>
        </w:rPr>
      </w:pPr>
      <w:bookmarkStart w:id="172" w:name="_Toc484510906"/>
      <w:r>
        <w:rPr>
          <w:lang w:eastAsia="en-AU"/>
        </w:rPr>
        <w:lastRenderedPageBreak/>
        <w:t>Risk m</w:t>
      </w:r>
      <w:r w:rsidR="008E7846">
        <w:rPr>
          <w:lang w:eastAsia="en-AU"/>
        </w:rPr>
        <w:t xml:space="preserve">anagement </w:t>
      </w:r>
      <w:r w:rsidRPr="00E47D60">
        <w:t>p</w:t>
      </w:r>
      <w:r w:rsidR="008E7846" w:rsidRPr="00E47D60">
        <w:t>lan</w:t>
      </w:r>
      <w:bookmarkEnd w:id="171"/>
      <w:bookmarkEnd w:id="172"/>
    </w:p>
    <w:p w14:paraId="4C3DD5D6" w14:textId="77777777" w:rsidR="002B3ED8" w:rsidRPr="00E508D4" w:rsidRDefault="002B3ED8" w:rsidP="00E47D60">
      <w:r>
        <w:t>EU-RMP Version 1.2 (dated 28 February 2016</w:t>
      </w:r>
      <w:r w:rsidRPr="004F243E">
        <w:t>) and Australian Specific Annex Version</w:t>
      </w:r>
      <w:r>
        <w:t xml:space="preserve"> 0.1 (dated August 2015) apply</w:t>
      </w:r>
      <w:r w:rsidRPr="004F243E">
        <w:t xml:space="preserve"> to this submi</w:t>
      </w:r>
      <w:r>
        <w:t>ssion</w:t>
      </w:r>
      <w:r w:rsidRPr="004F243E">
        <w:t xml:space="preserve">. </w:t>
      </w:r>
      <w:r>
        <w:t xml:space="preserve">Further changes to RMP make occur following sponsor’s response to the </w:t>
      </w:r>
      <w:r w:rsidR="00E47D60">
        <w:t xml:space="preserve">Second round </w:t>
      </w:r>
      <w:r>
        <w:t xml:space="preserve">RMP report. </w:t>
      </w:r>
      <w:r w:rsidRPr="004F243E">
        <w:t xml:space="preserve">The submission was not referred to </w:t>
      </w:r>
      <w:r w:rsidR="00E47D60">
        <w:t>the Advisory Committee on Safety of Medicines (</w:t>
      </w:r>
      <w:r w:rsidRPr="004F243E">
        <w:t>ACSOM</w:t>
      </w:r>
      <w:r w:rsidR="00E47D60">
        <w:t>)</w:t>
      </w:r>
      <w:r w:rsidRPr="004F243E">
        <w:t>.</w:t>
      </w:r>
    </w:p>
    <w:p w14:paraId="4C3DD5D7" w14:textId="77777777" w:rsidR="008E7846" w:rsidRDefault="00AA0ED0" w:rsidP="008E7846">
      <w:pPr>
        <w:pStyle w:val="Heading3"/>
      </w:pPr>
      <w:bookmarkStart w:id="173" w:name="_Toc247691531"/>
      <w:bookmarkStart w:id="174" w:name="_Toc314842515"/>
      <w:bookmarkStart w:id="175" w:name="_Toc484510907"/>
      <w:bookmarkStart w:id="176" w:name="_Toc196046505"/>
      <w:bookmarkStart w:id="177" w:name="_Toc196046949"/>
      <w:r>
        <w:t>Risk-benefit a</w:t>
      </w:r>
      <w:r w:rsidR="008E7846">
        <w:t>nalysis</w:t>
      </w:r>
      <w:bookmarkEnd w:id="173"/>
      <w:bookmarkEnd w:id="174"/>
      <w:bookmarkEnd w:id="175"/>
    </w:p>
    <w:p w14:paraId="37125D62" w14:textId="77777777" w:rsidR="00655550" w:rsidRDefault="00D23139" w:rsidP="00D23139">
      <w:pPr>
        <w:pStyle w:val="Heading4"/>
      </w:pPr>
      <w:r w:rsidRPr="00D23139">
        <w:t>Delegate’s considerations</w:t>
      </w:r>
    </w:p>
    <w:p w14:paraId="4C3DD5D9" w14:textId="55CD1102" w:rsidR="00E47D60" w:rsidRDefault="00E47D60" w:rsidP="00E47D60">
      <w:pPr>
        <w:pStyle w:val="Heading5"/>
      </w:pPr>
      <w:r w:rsidRPr="00BE6E88">
        <w:t>Summary of issues</w:t>
      </w:r>
    </w:p>
    <w:p w14:paraId="4C3DD5DA" w14:textId="77777777" w:rsidR="00E47D60" w:rsidRPr="003060C8" w:rsidRDefault="00E47D60" w:rsidP="00E47D60">
      <w:pPr>
        <w:pStyle w:val="ListBullet"/>
      </w:pPr>
      <w:r>
        <w:t>Baseline NS5A</w:t>
      </w:r>
      <w:r w:rsidRPr="003060C8">
        <w:t xml:space="preserve"> testing in HCV Genotyp</w:t>
      </w:r>
      <w:r>
        <w:t xml:space="preserve">e 1a </w:t>
      </w:r>
      <w:r w:rsidRPr="003060C8">
        <w:t>patients.</w:t>
      </w:r>
    </w:p>
    <w:p w14:paraId="4C3DD5DB" w14:textId="4A945072" w:rsidR="00E47D60" w:rsidRDefault="00E47D60" w:rsidP="00E47D60">
      <w:pPr>
        <w:pStyle w:val="ListBullet"/>
      </w:pPr>
      <w:r w:rsidRPr="003060C8">
        <w:t>Limited</w:t>
      </w:r>
      <w:r>
        <w:t xml:space="preserve"> Phase II data in HCV Genotype 3</w:t>
      </w:r>
      <w:r w:rsidR="009321D4">
        <w:t>.</w:t>
      </w:r>
    </w:p>
    <w:p w14:paraId="4C3DD5DC" w14:textId="77777777" w:rsidR="00D23139" w:rsidRDefault="00D23139" w:rsidP="00D23139">
      <w:pPr>
        <w:pStyle w:val="Heading4"/>
      </w:pPr>
      <w:r w:rsidRPr="00D23139">
        <w:t>Proposed action</w:t>
      </w:r>
    </w:p>
    <w:p w14:paraId="4C3DD5DD" w14:textId="77777777" w:rsidR="00E47D60" w:rsidRDefault="00E47D60" w:rsidP="00E47D60">
      <w:pPr>
        <w:rPr>
          <w:bCs/>
        </w:rPr>
      </w:pPr>
      <w:r>
        <w:rPr>
          <w:bCs/>
        </w:rPr>
        <w:t>The Delegate had</w:t>
      </w:r>
      <w:r w:rsidRPr="001A04F3">
        <w:rPr>
          <w:bCs/>
        </w:rPr>
        <w:t xml:space="preserve"> no reason to say, at this time, that t</w:t>
      </w:r>
      <w:r>
        <w:rPr>
          <w:bCs/>
        </w:rPr>
        <w:t xml:space="preserve">he application for </w:t>
      </w:r>
      <w:proofErr w:type="spellStart"/>
      <w:r>
        <w:rPr>
          <w:bCs/>
        </w:rPr>
        <w:t>Zepatier</w:t>
      </w:r>
      <w:proofErr w:type="spellEnd"/>
      <w:r w:rsidRPr="001A04F3">
        <w:rPr>
          <w:bCs/>
        </w:rPr>
        <w:t xml:space="preserve"> should not</w:t>
      </w:r>
      <w:r>
        <w:rPr>
          <w:bCs/>
        </w:rPr>
        <w:t xml:space="preserve"> be approved for registration.</w:t>
      </w:r>
    </w:p>
    <w:p w14:paraId="4C3DD5DE" w14:textId="77777777" w:rsidR="00D23139" w:rsidRDefault="00D23139" w:rsidP="00E47D60">
      <w:pPr>
        <w:pStyle w:val="Heading4"/>
      </w:pPr>
      <w:r w:rsidRPr="00D23139">
        <w:t>Request for ACPM advice</w:t>
      </w:r>
    </w:p>
    <w:p w14:paraId="4C3DD5DF" w14:textId="77777777" w:rsidR="00E47D60" w:rsidRPr="001A04F3" w:rsidRDefault="00E47D60" w:rsidP="00E47D60">
      <w:pPr>
        <w:pStyle w:val="Numberbullet0"/>
        <w:numPr>
          <w:ilvl w:val="0"/>
          <w:numId w:val="0"/>
        </w:numPr>
        <w:ind w:left="425" w:hanging="425"/>
      </w:pPr>
      <w:r>
        <w:t>The ACPM</w:t>
      </w:r>
      <w:r w:rsidRPr="001A04F3">
        <w:t xml:space="preserve"> is requested to provide advice on the following specific issues:</w:t>
      </w:r>
    </w:p>
    <w:p w14:paraId="4C3DD5E0" w14:textId="77777777" w:rsidR="00E47D60" w:rsidRPr="001A04F3" w:rsidRDefault="00E47D60" w:rsidP="00E47D60">
      <w:pPr>
        <w:pStyle w:val="Numberbullet0"/>
        <w:numPr>
          <w:ilvl w:val="0"/>
          <w:numId w:val="17"/>
        </w:numPr>
      </w:pPr>
      <w:r>
        <w:t>Does the ACPM support the proposed instructions for Dosage &amp; Administration in HCV genotypes 1, 4 and 6 patients, including no requirement for baseline NS5A testing in GT-1a patients?</w:t>
      </w:r>
    </w:p>
    <w:p w14:paraId="4C3DD5E1" w14:textId="77777777" w:rsidR="00E47D60" w:rsidRPr="001A04F3" w:rsidRDefault="00E47D60" w:rsidP="00E47D60">
      <w:pPr>
        <w:pStyle w:val="Numberbullet0"/>
        <w:numPr>
          <w:ilvl w:val="0"/>
          <w:numId w:val="17"/>
        </w:numPr>
      </w:pPr>
      <w:r>
        <w:t xml:space="preserve">Does the ACPM support the proposed use of triple DAA therapy (with </w:t>
      </w:r>
      <w:proofErr w:type="spellStart"/>
      <w:r>
        <w:t>sofosbuvir</w:t>
      </w:r>
      <w:proofErr w:type="spellEnd"/>
      <w:r>
        <w:t>) in HCV genotype 3 patients based on preliminary evidence from a Phase II trial (N=41)?</w:t>
      </w:r>
    </w:p>
    <w:p w14:paraId="4C3DD5E2" w14:textId="77777777" w:rsidR="00E47D60" w:rsidRPr="001A04F3" w:rsidRDefault="00E47D60" w:rsidP="00E47D60">
      <w:pPr>
        <w:pStyle w:val="Numberbullet0"/>
        <w:numPr>
          <w:ilvl w:val="0"/>
          <w:numId w:val="17"/>
        </w:numPr>
      </w:pPr>
      <w:r>
        <w:t>Does the ACPM propose any additional efficacy data or post market surveillance activities?</w:t>
      </w:r>
    </w:p>
    <w:p w14:paraId="4C3DD5E3" w14:textId="77777777" w:rsidR="00E47D60" w:rsidRDefault="00E47D60" w:rsidP="00E47D60">
      <w:pPr>
        <w:pStyle w:val="Numberbullet0"/>
        <w:numPr>
          <w:ilvl w:val="0"/>
          <w:numId w:val="17"/>
        </w:numPr>
      </w:pPr>
      <w:r>
        <w:t>The C</w:t>
      </w:r>
      <w:r w:rsidRPr="001A04F3">
        <w:t>ommittee is also requested to provide advice on any other issues that it thinks may be relevant to a decision on whether or not to approve this application.</w:t>
      </w:r>
    </w:p>
    <w:p w14:paraId="37216666" w14:textId="77777777" w:rsidR="00655550" w:rsidRDefault="00D23139" w:rsidP="00D23139">
      <w:pPr>
        <w:pStyle w:val="Heading4"/>
      </w:pPr>
      <w:r w:rsidRPr="00D23139">
        <w:t xml:space="preserve">Response from </w:t>
      </w:r>
      <w:r w:rsidR="009751EB">
        <w:t>s</w:t>
      </w:r>
      <w:r w:rsidRPr="00D23139">
        <w:t>ponsor</w:t>
      </w:r>
    </w:p>
    <w:p w14:paraId="4C3DD5E5" w14:textId="56954268" w:rsidR="00981B71" w:rsidRDefault="00981B71" w:rsidP="00E47D60">
      <w:r>
        <w:t xml:space="preserve">The Australian government has taken the initiative to offer parity of access to the new oral Hepatitis C treatments regardless of a patient’s disease status or economic background. By enabling </w:t>
      </w:r>
      <w:r w:rsidR="009751EB">
        <w:t>general practitioner (</w:t>
      </w:r>
      <w:r>
        <w:t>GP</w:t>
      </w:r>
      <w:r w:rsidR="009751EB">
        <w:t>)</w:t>
      </w:r>
      <w:r>
        <w:t xml:space="preserve"> prescribing of DAA HCV therapies, the </w:t>
      </w:r>
      <w:r w:rsidR="009751EB">
        <w:t>Pharmaceutical Benefits Access Committee (</w:t>
      </w:r>
      <w:r>
        <w:t>PBAC</w:t>
      </w:r>
      <w:r w:rsidR="009751EB">
        <w:t>)</w:t>
      </w:r>
      <w:r>
        <w:t xml:space="preserve"> has provided Australians with access to treatment regardless of geographic location and without the need for a Specialist visit. With the availability of oral DAA regimens, Australia can lead the way towards the WHO goal of elimination of HCV infection and the associated burden of liver disease.</w:t>
      </w:r>
    </w:p>
    <w:p w14:paraId="4C3DD5E6" w14:textId="351E0569" w:rsidR="00981B71" w:rsidRDefault="009751EB" w:rsidP="009751EB">
      <w:pPr>
        <w:pStyle w:val="Heading5"/>
        <w:rPr>
          <w:sz w:val="24"/>
        </w:rPr>
      </w:pPr>
      <w:r w:rsidRPr="009751EB">
        <w:t xml:space="preserve">New </w:t>
      </w:r>
      <w:r w:rsidR="009321D4" w:rsidRPr="009751EB">
        <w:t>i</w:t>
      </w:r>
      <w:r w:rsidRPr="009751EB">
        <w:t>nformation</w:t>
      </w:r>
      <w:r>
        <w:t xml:space="preserve"> </w:t>
      </w:r>
      <w:r w:rsidR="00981B71">
        <w:t>-</w:t>
      </w:r>
      <w:r w:rsidR="00D80B0A">
        <w:t xml:space="preserve"> </w:t>
      </w:r>
      <w:r w:rsidR="00981B71">
        <w:t>Change</w:t>
      </w:r>
      <w:r w:rsidR="00D80B0A">
        <w:t xml:space="preserve"> </w:t>
      </w:r>
      <w:r w:rsidR="00981B71">
        <w:t>to</w:t>
      </w:r>
      <w:r w:rsidR="00D80B0A">
        <w:t xml:space="preserve"> </w:t>
      </w:r>
      <w:r w:rsidR="009321D4">
        <w:t>dosage and administration</w:t>
      </w:r>
      <w:r w:rsidR="00981B71">
        <w:t>:</w:t>
      </w:r>
      <w:r w:rsidR="00D80B0A">
        <w:t xml:space="preserve"> </w:t>
      </w:r>
      <w:r w:rsidR="00981B71">
        <w:t>Removal</w:t>
      </w:r>
      <w:r w:rsidR="00135670">
        <w:t xml:space="preserve"> </w:t>
      </w:r>
      <w:r w:rsidR="00981B71">
        <w:t>of</w:t>
      </w:r>
      <w:r>
        <w:t xml:space="preserve"> </w:t>
      </w:r>
      <w:r w:rsidR="009321D4">
        <w:rPr>
          <w:sz w:val="24"/>
        </w:rPr>
        <w:t>g</w:t>
      </w:r>
      <w:r w:rsidR="00981B71">
        <w:rPr>
          <w:sz w:val="24"/>
        </w:rPr>
        <w:t>enotype 6</w:t>
      </w:r>
    </w:p>
    <w:p w14:paraId="4C3DD5E7" w14:textId="77777777" w:rsidR="00981B71" w:rsidRDefault="00981B71" w:rsidP="00E47D60">
      <w:r>
        <w:t xml:space="preserve">The </w:t>
      </w:r>
      <w:r w:rsidR="009751EB">
        <w:t>s</w:t>
      </w:r>
      <w:r>
        <w:t xml:space="preserve">ponsor acknowledges the Delegate’s support of </w:t>
      </w:r>
      <w:proofErr w:type="spellStart"/>
      <w:r w:rsidR="00D80B0A">
        <w:t>Zepatier</w:t>
      </w:r>
      <w:proofErr w:type="spellEnd"/>
      <w:r>
        <w:t xml:space="preserve"> treatment in patients with HCV Genotype (GT) 6. Currently, an unmet clinical need exists in Australia for interferon-free treatment regimens of GT6. However, as summari</w:t>
      </w:r>
      <w:r w:rsidR="009751EB">
        <w:t>s</w:t>
      </w:r>
      <w:r>
        <w:t xml:space="preserve">ed in Table 5 of the proposed Product Information, efficacy of </w:t>
      </w:r>
      <w:proofErr w:type="spellStart"/>
      <w:r w:rsidR="00D80B0A">
        <w:t>Zepatier</w:t>
      </w:r>
      <w:proofErr w:type="spellEnd"/>
      <w:r>
        <w:t xml:space="preserve"> was lower in </w:t>
      </w:r>
      <w:r w:rsidR="00ED41DC">
        <w:t>GT6 infected</w:t>
      </w:r>
      <w:r>
        <w:t xml:space="preserve"> subjects (SVR 80%, 12/16) compared to the efficacy in GT1- and </w:t>
      </w:r>
      <w:r w:rsidR="00ED41DC">
        <w:t>GT4</w:t>
      </w:r>
      <w:r>
        <w:t>infected subjects (GT1a:</w:t>
      </w:r>
      <w:r w:rsidR="00D80B0A">
        <w:t xml:space="preserve"> </w:t>
      </w:r>
      <w:r>
        <w:t>SVR</w:t>
      </w:r>
      <w:r w:rsidR="00D80B0A">
        <w:t xml:space="preserve"> </w:t>
      </w:r>
      <w:r>
        <w:t>94%</w:t>
      </w:r>
      <w:r w:rsidR="00D80B0A">
        <w:t xml:space="preserve"> </w:t>
      </w:r>
      <w:r>
        <w:t>399/426;</w:t>
      </w:r>
      <w:r w:rsidR="00D80B0A">
        <w:t xml:space="preserve"> </w:t>
      </w:r>
      <w:r>
        <w:t>GT1b:</w:t>
      </w:r>
      <w:r w:rsidR="00D80B0A">
        <w:t xml:space="preserve"> </w:t>
      </w:r>
      <w:r>
        <w:t>96%</w:t>
      </w:r>
      <w:r w:rsidR="00D80B0A">
        <w:t xml:space="preserve"> </w:t>
      </w:r>
      <w:r>
        <w:t>SVR,</w:t>
      </w:r>
      <w:r w:rsidR="00D80B0A">
        <w:t xml:space="preserve"> </w:t>
      </w:r>
      <w:r>
        <w:t>246/255;</w:t>
      </w:r>
      <w:r w:rsidR="00D80B0A">
        <w:t xml:space="preserve"> </w:t>
      </w:r>
      <w:r>
        <w:t>GT4</w:t>
      </w:r>
      <w:r w:rsidR="00D80B0A">
        <w:t xml:space="preserve"> </w:t>
      </w:r>
      <w:r>
        <w:t>SVR</w:t>
      </w:r>
      <w:r w:rsidR="00D80B0A">
        <w:t xml:space="preserve"> </w:t>
      </w:r>
      <w:r>
        <w:t>96%,</w:t>
      </w:r>
      <w:r w:rsidR="00135670">
        <w:t xml:space="preserve"> </w:t>
      </w:r>
      <w:r>
        <w:t>54/56).</w:t>
      </w:r>
    </w:p>
    <w:p w14:paraId="4C3DD5E8" w14:textId="77777777" w:rsidR="00981B71" w:rsidRDefault="00981B71" w:rsidP="00E47D60">
      <w:r>
        <w:lastRenderedPageBreak/>
        <w:t xml:space="preserve">Emerging clinical data suggests SVR rates in GT6 may be lower than suggested by the data presented in this application. SVR rates of 63% were observed in 35 </w:t>
      </w:r>
      <w:r w:rsidR="00ED41DC">
        <w:t>GT6 infected</w:t>
      </w:r>
      <w:r>
        <w:t xml:space="preserve"> patients in an ongoing study. In addition, MSD notes that a pan-genotypic </w:t>
      </w:r>
      <w:proofErr w:type="spellStart"/>
      <w:r>
        <w:t>sofosbuvir</w:t>
      </w:r>
      <w:proofErr w:type="spellEnd"/>
      <w:r>
        <w:t>/</w:t>
      </w:r>
      <w:proofErr w:type="spellStart"/>
      <w:r>
        <w:t>velpatasvir</w:t>
      </w:r>
      <w:proofErr w:type="spellEnd"/>
      <w:r>
        <w:t xml:space="preserve"> regimen has been registered in the US and recommended for registration in Europe which, if registered in Australia, would provide a more effective treatment option (100% SVR in ASTRAL-1 study, n=41) for patients with GT6</w:t>
      </w:r>
      <w:r w:rsidR="00C87B60">
        <w:rPr>
          <w:rStyle w:val="FootnoteReference"/>
        </w:rPr>
        <w:footnoteReference w:id="9"/>
      </w:r>
      <w:r>
        <w:t xml:space="preserve">. For these reasons, the </w:t>
      </w:r>
      <w:r w:rsidR="009751EB">
        <w:t>s</w:t>
      </w:r>
      <w:r>
        <w:t xml:space="preserve">ponsor proposes to withdraw the dosing instructions in GT6 patients from the Australian </w:t>
      </w:r>
      <w:r w:rsidR="009B2564" w:rsidRPr="009B2564">
        <w:t>Product Information</w:t>
      </w:r>
      <w:r>
        <w:t>.</w:t>
      </w:r>
    </w:p>
    <w:p w14:paraId="4C3DD5E9" w14:textId="77777777" w:rsidR="00981B71" w:rsidRDefault="009751EB" w:rsidP="00E47D60">
      <w:r>
        <w:t>The s</w:t>
      </w:r>
      <w:r w:rsidR="00981B71">
        <w:t>ponsor provides the following comments, on issues raised by the Delegate, for the ACPM’s consideration:</w:t>
      </w:r>
    </w:p>
    <w:p w14:paraId="4C3DD5EA" w14:textId="77777777" w:rsidR="00D23139" w:rsidRPr="009751EB" w:rsidRDefault="00981B71" w:rsidP="009751EB">
      <w:pPr>
        <w:pStyle w:val="Heading5"/>
      </w:pPr>
      <w:r w:rsidRPr="009751EB">
        <w:t xml:space="preserve">Does the ACPM support the proposed instructions for Dosage </w:t>
      </w:r>
      <w:r w:rsidR="009751EB">
        <w:t>and</w:t>
      </w:r>
      <w:r w:rsidRPr="009751EB">
        <w:t xml:space="preserve"> Administration in HCV genotypes 1, 4 and 6 patients, including no requirement for baseline NS5A testing in GT1a</w:t>
      </w:r>
      <w:r w:rsidRPr="009751EB">
        <w:rPr>
          <w:spacing w:val="-9"/>
        </w:rPr>
        <w:t xml:space="preserve"> </w:t>
      </w:r>
      <w:r w:rsidRPr="009751EB">
        <w:t>patients?</w:t>
      </w:r>
    </w:p>
    <w:p w14:paraId="4C3DD5EB" w14:textId="77777777" w:rsidR="00981B71" w:rsidRDefault="00981B71" w:rsidP="00E47D60">
      <w:r>
        <w:t xml:space="preserve">The </w:t>
      </w:r>
      <w:r w:rsidR="009751EB">
        <w:t>s</w:t>
      </w:r>
      <w:r>
        <w:t xml:space="preserve">ponsor supports the proposed instructions for Dosage </w:t>
      </w:r>
      <w:r w:rsidR="009751EB">
        <w:t>and</w:t>
      </w:r>
      <w:r>
        <w:t xml:space="preserve"> Administration in HCV GT1 and 4. As noted above, the </w:t>
      </w:r>
      <w:r w:rsidR="009751EB">
        <w:t>s</w:t>
      </w:r>
      <w:r>
        <w:t xml:space="preserve">ponsor proposes to withdraw the Dosage </w:t>
      </w:r>
      <w:r w:rsidR="009751EB">
        <w:t>and</w:t>
      </w:r>
      <w:r>
        <w:t xml:space="preserve"> Administration guidance in GT6 patients from the Australian </w:t>
      </w:r>
      <w:r w:rsidR="009B2564" w:rsidRPr="009B2564">
        <w:t>Product Information</w:t>
      </w:r>
      <w:r>
        <w:t xml:space="preserve"> based on emerging clinical data.</w:t>
      </w:r>
    </w:p>
    <w:p w14:paraId="4C3DD5EC" w14:textId="77777777" w:rsidR="00981B71" w:rsidRDefault="009751EB" w:rsidP="00E47D60">
      <w:r>
        <w:t>The s</w:t>
      </w:r>
      <w:r w:rsidR="00981B71">
        <w:t xml:space="preserve">ponsor proposes that there should be </w:t>
      </w:r>
      <w:r w:rsidR="00981B71" w:rsidRPr="009751EB">
        <w:rPr>
          <w:i/>
        </w:rPr>
        <w:t>no requirement for baseline NS5A testing</w:t>
      </w:r>
      <w:r w:rsidR="00981B71" w:rsidRPr="009751EB">
        <w:t xml:space="preserve"> </w:t>
      </w:r>
      <w:r w:rsidR="00981B71">
        <w:t>in GT1a patients. The Australian Liver Association (ALA) has published local clinical best practice guidelines</w:t>
      </w:r>
      <w:r w:rsidR="00C87B60">
        <w:rPr>
          <w:rStyle w:val="FootnoteReference"/>
        </w:rPr>
        <w:footnoteReference w:id="10"/>
      </w:r>
      <w:r w:rsidR="00981B71">
        <w:rPr>
          <w:color w:val="0000FF"/>
        </w:rPr>
        <w:t xml:space="preserve"> </w:t>
      </w:r>
      <w:r w:rsidR="00981B71">
        <w:t>for HCV treatment. These clearly state that baseline testing is not required in the majority of patients given the very high SVRs achieved with the currently approved DAAs:</w:t>
      </w:r>
    </w:p>
    <w:p w14:paraId="4C3DD5ED" w14:textId="77777777" w:rsidR="00981B71" w:rsidRDefault="00981B71" w:rsidP="009751EB">
      <w:pPr>
        <w:ind w:left="720"/>
      </w:pPr>
      <w:r w:rsidRPr="009751EB">
        <w:rPr>
          <w:b/>
          <w:i/>
        </w:rPr>
        <w:t xml:space="preserve">Direct-acting antivirals and drug resistance: </w:t>
      </w:r>
      <w:r w:rsidRPr="009751EB">
        <w:rPr>
          <w:i/>
        </w:rPr>
        <w:t xml:space="preserve">Resistance-associated variants (RAVs) have been identified for all of the approved DAAs. However, given the high SVR rates observed with combination therapy, there is currently no role for baseline HCV resistance testing in treatment-naive people or prior non-responders to </w:t>
      </w:r>
      <w:proofErr w:type="spellStart"/>
      <w:r w:rsidRPr="009751EB">
        <w:rPr>
          <w:i/>
        </w:rPr>
        <w:t>pegIFN</w:t>
      </w:r>
      <w:proofErr w:type="spellEnd"/>
      <w:r w:rsidRPr="009751EB">
        <w:rPr>
          <w:i/>
        </w:rPr>
        <w:t>- based therapy. Resistance testing for NS3, NS5B and NS5A RAVs should be considered following DAA treatment failure, to guide salvage therapy. Resistance testing involves direct sequencing of the HCV genome and is available through specialised laboratories</w:t>
      </w:r>
      <w:r>
        <w:t>.</w:t>
      </w:r>
      <w:r w:rsidR="00D34382">
        <w:t>’</w:t>
      </w:r>
      <w:r w:rsidR="00C87B60">
        <w:rPr>
          <w:rStyle w:val="FootnoteReference"/>
        </w:rPr>
        <w:footnoteReference w:id="11"/>
      </w:r>
    </w:p>
    <w:p w14:paraId="4C3DD5EE" w14:textId="77777777" w:rsidR="00981B71" w:rsidRDefault="00981B71" w:rsidP="00E47D60">
      <w:r>
        <w:t>As mentioned above, RAVs have been identified for all approved NS5a inhibitors and impact efficacy among HCV GT1a patients receiving NS5a inhibitors</w:t>
      </w:r>
      <w:r w:rsidR="00C87B60">
        <w:rPr>
          <w:rStyle w:val="FootnoteReference"/>
        </w:rPr>
        <w:footnoteReference w:id="12"/>
      </w:r>
      <w:proofErr w:type="gramStart"/>
      <w:r w:rsidR="00C87B60" w:rsidRPr="00C87B60">
        <w:rPr>
          <w:vertAlign w:val="superscript"/>
        </w:rPr>
        <w:t>,</w:t>
      </w:r>
      <w:r w:rsidR="00C87B60">
        <w:rPr>
          <w:rStyle w:val="FootnoteReference"/>
        </w:rPr>
        <w:footnoteReference w:id="13"/>
      </w:r>
      <w:r>
        <w:t>.</w:t>
      </w:r>
      <w:proofErr w:type="gramEnd"/>
      <w:r>
        <w:t xml:space="preserve"> The ALA guidelines suggest baseline RAV testing is unnecessary due to the high SVR rates (&gt;90%) observed with DAAs registered in Australia. Reported SVRs are 96% for </w:t>
      </w:r>
      <w:proofErr w:type="spellStart"/>
      <w:r>
        <w:t>sofosbuvir</w:t>
      </w:r>
      <w:proofErr w:type="spellEnd"/>
      <w:r>
        <w:t>/</w:t>
      </w:r>
      <w:proofErr w:type="spellStart"/>
      <w:r>
        <w:t>ledipasvir</w:t>
      </w:r>
      <w:proofErr w:type="spellEnd"/>
      <w:r>
        <w:t xml:space="preserve"> [HARVONI] in GT1a and 100% for </w:t>
      </w:r>
      <w:proofErr w:type="spellStart"/>
      <w:r>
        <w:t>daclatasvir</w:t>
      </w:r>
      <w:proofErr w:type="spellEnd"/>
      <w:r>
        <w:t xml:space="preserve"> + </w:t>
      </w:r>
      <w:proofErr w:type="spellStart"/>
      <w:r>
        <w:t>sofosbuvir</w:t>
      </w:r>
      <w:proofErr w:type="spellEnd"/>
      <w:r>
        <w:t xml:space="preserve"> [</w:t>
      </w:r>
      <w:proofErr w:type="spellStart"/>
      <w:r w:rsidR="00E45359">
        <w:t>Daklinza</w:t>
      </w:r>
      <w:proofErr w:type="spellEnd"/>
      <w:r w:rsidR="00E45359">
        <w:t xml:space="preserve"> </w:t>
      </w:r>
      <w:r>
        <w:t xml:space="preserve">+ </w:t>
      </w:r>
      <w:proofErr w:type="spellStart"/>
      <w:r w:rsidR="00E45359">
        <w:t>Sovaldi</w:t>
      </w:r>
      <w:proofErr w:type="spellEnd"/>
      <w:r>
        <w:t>] in GT1. Pre-treatment RAV testing is not recommended in the Australian labels of other approved NS5a inhibitors (</w:t>
      </w:r>
      <w:proofErr w:type="spellStart"/>
      <w:r>
        <w:t>ledipasvir</w:t>
      </w:r>
      <w:proofErr w:type="spellEnd"/>
      <w:r>
        <w:t xml:space="preserve"> [</w:t>
      </w:r>
      <w:proofErr w:type="spellStart"/>
      <w:r w:rsidR="00E45359">
        <w:t>Harvoni</w:t>
      </w:r>
      <w:proofErr w:type="spellEnd"/>
      <w:r>
        <w:t xml:space="preserve">], </w:t>
      </w:r>
      <w:proofErr w:type="spellStart"/>
      <w:r>
        <w:t>daclatasvir</w:t>
      </w:r>
      <w:proofErr w:type="spellEnd"/>
      <w:r>
        <w:t xml:space="preserve"> [</w:t>
      </w:r>
      <w:proofErr w:type="spellStart"/>
      <w:r w:rsidR="00E45359">
        <w:t>Daklinza</w:t>
      </w:r>
      <w:proofErr w:type="spellEnd"/>
      <w:r>
        <w:t xml:space="preserve">] and </w:t>
      </w:r>
      <w:proofErr w:type="spellStart"/>
      <w:r>
        <w:t>ombitasvir</w:t>
      </w:r>
      <w:proofErr w:type="spellEnd"/>
      <w:r>
        <w:t xml:space="preserve"> [</w:t>
      </w:r>
      <w:proofErr w:type="spellStart"/>
      <w:r w:rsidR="00E45359">
        <w:t>Viekira</w:t>
      </w:r>
      <w:proofErr w:type="spellEnd"/>
      <w:r>
        <w:t xml:space="preserve">]). </w:t>
      </w:r>
      <w:proofErr w:type="spellStart"/>
      <w:r w:rsidR="00D80B0A">
        <w:t>Zepatier</w:t>
      </w:r>
      <w:proofErr w:type="spellEnd"/>
      <w:r>
        <w:t xml:space="preserve"> reports a comparable SVR of 92% in GT1a patients and so by this rationale baseline RAV testing would not be warranted.</w:t>
      </w:r>
    </w:p>
    <w:p w14:paraId="4C3DD5EF" w14:textId="77777777" w:rsidR="00981B71" w:rsidRDefault="00981B71" w:rsidP="00E47D60">
      <w:r>
        <w:t xml:space="preserve">Moreover, RAV testing is not readily available in Australia and is used only for academic purposes and so would be difficult to implement in a clinical setting. By contrast in the US, commercial RAV testing is available and thus it was more practical to implement testing of patients with HCV genotype 1a infection for the presence of virus with NS5A RAVs prior to initiation of treatment with </w:t>
      </w:r>
      <w:proofErr w:type="spellStart"/>
      <w:r w:rsidR="00D80B0A">
        <w:t>Zepatier</w:t>
      </w:r>
      <w:proofErr w:type="spellEnd"/>
      <w:r>
        <w:t xml:space="preserve"> to determine dosage regimen and duration.</w:t>
      </w:r>
    </w:p>
    <w:p w14:paraId="4C3DD5F0" w14:textId="77777777" w:rsidR="00981B71" w:rsidRDefault="00981B71" w:rsidP="00E47D60">
      <w:r>
        <w:lastRenderedPageBreak/>
        <w:t>The proposed product labe</w:t>
      </w:r>
      <w:r w:rsidR="00E45359">
        <w:t>l</w:t>
      </w:r>
      <w:r>
        <w:t xml:space="preserve">ling for </w:t>
      </w:r>
      <w:proofErr w:type="spellStart"/>
      <w:r w:rsidR="00D80B0A">
        <w:t>Zepatier</w:t>
      </w:r>
      <w:proofErr w:type="spellEnd"/>
      <w:r>
        <w:t xml:space="preserve"> uses clinical parameters (genotype and prior treatment status) to select the appropriate regimen for specific patient populations. This approach is supported by the data presented in this application, and using this approach, high efficacy is expected across the proposed patient populations. The use of clinical parameters to guide selection of appropriate dosing regimens is an approach very familiar to </w:t>
      </w:r>
      <w:proofErr w:type="spellStart"/>
      <w:r>
        <w:t>hepatologists</w:t>
      </w:r>
      <w:proofErr w:type="spellEnd"/>
      <w:r>
        <w:t xml:space="preserve"> and gastroenterologists and can be readily implemented in Australia.</w:t>
      </w:r>
    </w:p>
    <w:p w14:paraId="4C3DD5F1" w14:textId="77777777" w:rsidR="00981B71" w:rsidRDefault="00981B71" w:rsidP="00E47D60">
      <w:r>
        <w:t xml:space="preserve">In conclusion, the </w:t>
      </w:r>
      <w:r w:rsidR="009751EB">
        <w:t>s</w:t>
      </w:r>
      <w:r>
        <w:t>ponsor defers to the ALA guidelines and contends that</w:t>
      </w:r>
      <w:r w:rsidR="00D80B0A">
        <w:t xml:space="preserve"> </w:t>
      </w:r>
      <w:r>
        <w:t xml:space="preserve">these provide the appropriate guidance for baseline NS5A testing. Therefore, </w:t>
      </w:r>
      <w:r w:rsidR="00E45359">
        <w:t>the sponsor</w:t>
      </w:r>
      <w:r>
        <w:t xml:space="preserve"> concu</w:t>
      </w:r>
      <w:r w:rsidR="00E45359">
        <w:t>rs</w:t>
      </w:r>
      <w:r>
        <w:t xml:space="preserve"> with the Delegate’s conclusion that the effects of NS5a polymorphisms on SVR rates are appropriately described in the </w:t>
      </w:r>
      <w:r w:rsidR="00E45359">
        <w:t xml:space="preserve">draft </w:t>
      </w:r>
      <w:r w:rsidR="009B2564" w:rsidRPr="009B2564">
        <w:t>Product Information</w:t>
      </w:r>
      <w:r>
        <w:t xml:space="preserve">. Given the lack of widespread availability of screening tests for NS5a RAVs in Australia, a recommendation for screening should not be included in the </w:t>
      </w:r>
      <w:r w:rsidR="009B2564" w:rsidRPr="009B2564">
        <w:t>Product Information</w:t>
      </w:r>
      <w:r>
        <w:t>.</w:t>
      </w:r>
    </w:p>
    <w:p w14:paraId="4C3DD5F2" w14:textId="77777777" w:rsidR="00981B71" w:rsidRPr="00E45359" w:rsidRDefault="00981B71" w:rsidP="00E47D60">
      <w:pPr>
        <w:rPr>
          <w:i/>
        </w:rPr>
      </w:pPr>
      <w:r w:rsidRPr="00E45359">
        <w:rPr>
          <w:i/>
        </w:rPr>
        <w:t xml:space="preserve">The </w:t>
      </w:r>
      <w:r w:rsidR="00E45359">
        <w:rPr>
          <w:i/>
        </w:rPr>
        <w:t>s</w:t>
      </w:r>
      <w:r w:rsidRPr="00E45359">
        <w:rPr>
          <w:i/>
        </w:rPr>
        <w:t>ponsor is requested to provide an updated summary of data on baseline</w:t>
      </w:r>
      <w:r w:rsidR="00D80B0A" w:rsidRPr="00E45359">
        <w:rPr>
          <w:i/>
        </w:rPr>
        <w:t xml:space="preserve"> </w:t>
      </w:r>
      <w:r w:rsidRPr="00E45359">
        <w:rPr>
          <w:i/>
        </w:rPr>
        <w:t>(TN and TE) and treatment emergent RAVs in GT 3, 4 and 6</w:t>
      </w:r>
      <w:r w:rsidRPr="00E45359">
        <w:rPr>
          <w:i/>
          <w:spacing w:val="-1"/>
        </w:rPr>
        <w:t xml:space="preserve"> </w:t>
      </w:r>
      <w:r w:rsidRPr="00E45359">
        <w:rPr>
          <w:i/>
        </w:rPr>
        <w:t>patients.</w:t>
      </w:r>
    </w:p>
    <w:p w14:paraId="4C3DD5F3" w14:textId="77777777" w:rsidR="00981B71" w:rsidRDefault="00981B71" w:rsidP="00E47D60">
      <w:r w:rsidRPr="00E45359">
        <w:rPr>
          <w:i/>
        </w:rPr>
        <w:t>Genotype 3 –</w:t>
      </w:r>
      <w:r>
        <w:t xml:space="preserve"> RAV data in patients with GT 3 in the C-SWIFT trial are summarised in</w:t>
      </w:r>
      <w:r w:rsidR="00D80B0A">
        <w:t xml:space="preserve"> </w:t>
      </w:r>
      <w:r>
        <w:t xml:space="preserve">the </w:t>
      </w:r>
      <w:proofErr w:type="spellStart"/>
      <w:r w:rsidR="00D80B0A">
        <w:t>Zepatier</w:t>
      </w:r>
      <w:proofErr w:type="spellEnd"/>
      <w:r>
        <w:t xml:space="preserve"> registration dossier</w:t>
      </w:r>
      <w:r w:rsidR="00E45359">
        <w:t>.</w:t>
      </w:r>
      <w:r>
        <w:t xml:space="preserve"> In brief, only 1 failure was observed in the 12 week arm of the C-SWIFT study (n=25). NS5A RAVs were detected in 4/40 (10.0%) of GT3 subjects at baseline. All of these subjects achieved SVR12. No further data on RAVs in patients with HCV GT 3 are available to</w:t>
      </w:r>
      <w:r>
        <w:rPr>
          <w:spacing w:val="-5"/>
        </w:rPr>
        <w:t xml:space="preserve"> </w:t>
      </w:r>
      <w:r>
        <w:t>date.</w:t>
      </w:r>
    </w:p>
    <w:p w14:paraId="4C3DD5F4" w14:textId="77777777" w:rsidR="00981B71" w:rsidRDefault="00981B71" w:rsidP="00E47D60">
      <w:r w:rsidRPr="00E45359">
        <w:rPr>
          <w:i/>
        </w:rPr>
        <w:t>Genotype 4 -</w:t>
      </w:r>
      <w:r>
        <w:t xml:space="preserve"> In clinical studies, SVR12 was observed in 93% (38/41) of GT4 patients with NS5a RAVs. Additional GT4 baseline RAV data will be available from two ongoing studies:</w:t>
      </w:r>
    </w:p>
    <w:p w14:paraId="4C3DD5F5" w14:textId="77777777" w:rsidR="00981B71" w:rsidRDefault="00981B71" w:rsidP="00E47D60">
      <w:r>
        <w:t xml:space="preserve">In the ongoing P062 CO-STAR study in subjects receiving opiate substitution therapy, 3 of the 11 </w:t>
      </w:r>
      <w:r w:rsidR="00ED41DC">
        <w:t>GT4</w:t>
      </w:r>
      <w:r>
        <w:t xml:space="preserve">infected subjects enrolled in the immediate treatment arm had baseline RAVs; all 11 </w:t>
      </w:r>
      <w:r w:rsidR="00ED41DC">
        <w:t>GT4</w:t>
      </w:r>
      <w:r>
        <w:t>infected subjects achieved</w:t>
      </w:r>
      <w:r>
        <w:rPr>
          <w:spacing w:val="-31"/>
        </w:rPr>
        <w:t xml:space="preserve"> </w:t>
      </w:r>
      <w:r>
        <w:t>SVR12.</w:t>
      </w:r>
    </w:p>
    <w:p w14:paraId="4C3DD5F6" w14:textId="77777777" w:rsidR="00981B71" w:rsidRDefault="00981B71" w:rsidP="00E47D60">
      <w:r>
        <w:t>In the deferred treatment arm of P060, there were 3 GT-4 infected subjects with baseline RAVs; all 3 achieved</w:t>
      </w:r>
      <w:r>
        <w:rPr>
          <w:spacing w:val="-1"/>
        </w:rPr>
        <w:t xml:space="preserve"> </w:t>
      </w:r>
      <w:r>
        <w:t>SVR12.</w:t>
      </w:r>
    </w:p>
    <w:p w14:paraId="4C3DD5F7" w14:textId="77777777" w:rsidR="00981B71" w:rsidRDefault="00981B71" w:rsidP="00E47D60">
      <w:r>
        <w:t xml:space="preserve">Treatment-emergent RAVs were seen in genotypes </w:t>
      </w:r>
      <w:r w:rsidR="00ED41DC">
        <w:t>GT4</w:t>
      </w:r>
      <w:r>
        <w:t xml:space="preserve">infected subject studied in the pivotal trials. Treatment emergent RAVs for the treatment naïve (TN) and treatment experienced (TE) populations </w:t>
      </w:r>
      <w:r w:rsidR="00E45359">
        <w:t>were</w:t>
      </w:r>
      <w:r>
        <w:t xml:space="preserve"> summarised in </w:t>
      </w:r>
      <w:r w:rsidR="00E45359">
        <w:t xml:space="preserve">the submission </w:t>
      </w:r>
      <w:r>
        <w:t xml:space="preserve">and in Table 1 of the proposed </w:t>
      </w:r>
      <w:r w:rsidR="009B2564" w:rsidRPr="009B2564">
        <w:t>Product Information</w:t>
      </w:r>
      <w:r>
        <w:t>. No additional data on treatment emergent RAVs are available to date as all of the GT4 subjects in the ongoing studies achieved SVR.</w:t>
      </w:r>
    </w:p>
    <w:p w14:paraId="4C3DD5F8" w14:textId="77777777" w:rsidR="00981B71" w:rsidRDefault="00981B71" w:rsidP="00E47D60">
      <w:r>
        <w:t xml:space="preserve">The long term follow up study Protocol 017 will assess presence of antiviral resistance to </w:t>
      </w:r>
      <w:r w:rsidR="002437C0">
        <w:t>GZR</w:t>
      </w:r>
      <w:r>
        <w:t xml:space="preserve"> (NS3 inhibitor) and </w:t>
      </w:r>
      <w:r w:rsidR="002437C0">
        <w:t>EBR</w:t>
      </w:r>
      <w:r>
        <w:t xml:space="preserve"> (NS5A inhibitor) to determine if there is a reversion to a wild type during long term follow-up. However this study is not due to report until 2022.</w:t>
      </w:r>
    </w:p>
    <w:p w14:paraId="4C3DD5F9" w14:textId="77777777" w:rsidR="00981B71" w:rsidRDefault="00981B71" w:rsidP="00E47D60">
      <w:r w:rsidRPr="009D54BD">
        <w:rPr>
          <w:i/>
        </w:rPr>
        <w:t>Genotype 6 -</w:t>
      </w:r>
      <w:r>
        <w:t xml:space="preserve"> As advised above, the </w:t>
      </w:r>
      <w:r w:rsidR="009D54BD">
        <w:t>s</w:t>
      </w:r>
      <w:r>
        <w:t>ponsor proposes to withdraw the dosing instructions in GT6 patients. This is not attributed to any impact of RAVs on efficacy in subjects with GT6.</w:t>
      </w:r>
    </w:p>
    <w:p w14:paraId="4C3DD5FA" w14:textId="77777777" w:rsidR="00981B71" w:rsidRPr="009D54BD" w:rsidRDefault="00981B71" w:rsidP="00E47D60">
      <w:pPr>
        <w:rPr>
          <w:i/>
        </w:rPr>
      </w:pPr>
      <w:r w:rsidRPr="009D54BD">
        <w:rPr>
          <w:i/>
        </w:rPr>
        <w:t xml:space="preserve">Does the ACPM support the proposed use of triple DAA therapy (with </w:t>
      </w:r>
      <w:proofErr w:type="spellStart"/>
      <w:r w:rsidRPr="009D54BD">
        <w:rPr>
          <w:i/>
        </w:rPr>
        <w:t>sofosbuvir</w:t>
      </w:r>
      <w:proofErr w:type="spellEnd"/>
      <w:r w:rsidRPr="009D54BD">
        <w:rPr>
          <w:i/>
        </w:rPr>
        <w:t xml:space="preserve">) in HCV genotype 3 patients based on preliminary evidence from a </w:t>
      </w:r>
      <w:r w:rsidR="004A28A8" w:rsidRPr="009D54BD">
        <w:rPr>
          <w:i/>
        </w:rPr>
        <w:t>Phase II</w:t>
      </w:r>
      <w:r w:rsidRPr="009D54BD">
        <w:rPr>
          <w:i/>
        </w:rPr>
        <w:t xml:space="preserve"> trial</w:t>
      </w:r>
      <w:r w:rsidRPr="009D54BD">
        <w:rPr>
          <w:i/>
          <w:spacing w:val="-1"/>
        </w:rPr>
        <w:t xml:space="preserve"> </w:t>
      </w:r>
      <w:r w:rsidRPr="009D54BD">
        <w:rPr>
          <w:i/>
        </w:rPr>
        <w:t>(N=41)?</w:t>
      </w:r>
    </w:p>
    <w:p w14:paraId="4C3DD5FB" w14:textId="77777777" w:rsidR="00981B71" w:rsidRDefault="00981B71" w:rsidP="00E47D60">
      <w:r>
        <w:t>HCV GT3 causes a more aggressive form of chronic liver disease with a faster progression to cirrhosis compared to other HCV genotypes. GT3 constitutes almost</w:t>
      </w:r>
      <w:r w:rsidR="00D80B0A">
        <w:t xml:space="preserve"> </w:t>
      </w:r>
      <w:r>
        <w:t xml:space="preserve">40% of the Australian HCV patient population. The </w:t>
      </w:r>
      <w:r w:rsidR="009D54BD">
        <w:t>s</w:t>
      </w:r>
      <w:r>
        <w:t>ponsor concurs with the Delegate that the proposed use of triple DAA therapy (</w:t>
      </w:r>
      <w:proofErr w:type="spellStart"/>
      <w:r w:rsidR="00D80B0A">
        <w:t>Zepatier</w:t>
      </w:r>
      <w:proofErr w:type="spellEnd"/>
      <w:r>
        <w:t xml:space="preserve"> with </w:t>
      </w:r>
      <w:proofErr w:type="spellStart"/>
      <w:r>
        <w:t>sofosbuvir</w:t>
      </w:r>
      <w:proofErr w:type="spellEnd"/>
      <w:r>
        <w:t>) in GT3 patients is justified on the basis of high clinical need in these patients and positive data submitted in the</w:t>
      </w:r>
      <w:r>
        <w:rPr>
          <w:spacing w:val="-1"/>
        </w:rPr>
        <w:t xml:space="preserve"> </w:t>
      </w:r>
      <w:r>
        <w:t>dossier.</w:t>
      </w:r>
    </w:p>
    <w:p w14:paraId="4C3DD5FC" w14:textId="77777777" w:rsidR="00981B71" w:rsidRDefault="00981B71" w:rsidP="00E47D60">
      <w:r>
        <w:t xml:space="preserve">The </w:t>
      </w:r>
      <w:r w:rsidR="009D54BD">
        <w:t>s</w:t>
      </w:r>
      <w:r>
        <w:t xml:space="preserve">ponsor acknowledges there are limited safety data available in patients with GT3 infection due to the small size of the dataset (total of 41 GT3-infected subjects received </w:t>
      </w:r>
      <w:proofErr w:type="spellStart"/>
      <w:r>
        <w:t>sofosbuvir</w:t>
      </w:r>
      <w:proofErr w:type="spellEnd"/>
      <w:r>
        <w:t xml:space="preserve"> + EBR/GZR in C-SWIFT, including 15 treated for 8 weeks and 26 treated for 12 weeks). The Delegate considers this to be a concern with respect to the need for triple </w:t>
      </w:r>
      <w:r>
        <w:lastRenderedPageBreak/>
        <w:t xml:space="preserve">therapy with </w:t>
      </w:r>
      <w:proofErr w:type="spellStart"/>
      <w:r>
        <w:t>sofosbuvir</w:t>
      </w:r>
      <w:proofErr w:type="spellEnd"/>
      <w:r>
        <w:t xml:space="preserve"> [SOF] and the risk of drug induced hepatotoxicity with GZR. However, the general safety profile and the hepatic safety profile of</w:t>
      </w:r>
      <w:r w:rsidR="00D80B0A">
        <w:t xml:space="preserve"> </w:t>
      </w:r>
      <w:r>
        <w:t>EBR/GZR + SOF should be similar to the safety profile of EBR/GZR with the exception of limitations for the use of SOF-containing regimens in subjects with renal</w:t>
      </w:r>
      <w:r>
        <w:rPr>
          <w:spacing w:val="-2"/>
        </w:rPr>
        <w:t xml:space="preserve"> </w:t>
      </w:r>
      <w:r>
        <w:t>impairment.</w:t>
      </w:r>
    </w:p>
    <w:p w14:paraId="4C3DD5FD" w14:textId="77777777" w:rsidR="00981B71" w:rsidRDefault="00981B71" w:rsidP="00E47D60">
      <w:r>
        <w:t>In broad terms, general safety in GT3 infected subjects in the C-SWIFT (P074) study was similar to other EBR/GZR clinical trials. The most common AEs were headache, fatigue and nausea. No subject discontinued the study medication due to an AE and no subject had an SAE.</w:t>
      </w:r>
    </w:p>
    <w:p w14:paraId="4C3DD5FE" w14:textId="2AF2AEE4" w:rsidR="00981B71" w:rsidRDefault="00981B71" w:rsidP="00E47D60">
      <w:r>
        <w:t xml:space="preserve">The risk of hepatotoxicity is not expected to be increased in GT3 patients who will receive EBR/GZR + SOF. The </w:t>
      </w:r>
      <w:r w:rsidR="009D54BD">
        <w:t>s</w:t>
      </w:r>
      <w:r>
        <w:t>ponsor contends the rate of occurrence</w:t>
      </w:r>
      <w:r w:rsidR="00D80B0A">
        <w:t xml:space="preserve"> </w:t>
      </w:r>
      <w:r>
        <w:t xml:space="preserve">of hepatotoxicity in GT3-infected subjects would not be materially different compared with GT1 or </w:t>
      </w:r>
      <w:r w:rsidR="00ED41DC">
        <w:t>GT4</w:t>
      </w:r>
      <w:r>
        <w:t xml:space="preserve">infected subjects. In C-SWIFT, 0/41 subjects had Late ALT/AST elevations, defined as increases in ALT to &gt;5X ULN, following at least 1 </w:t>
      </w:r>
      <w:r w:rsidR="009D54BD">
        <w:t>normal value between treatment W</w:t>
      </w:r>
      <w:r>
        <w:t xml:space="preserve">eeks 2 </w:t>
      </w:r>
      <w:r w:rsidR="009D54BD">
        <w:t>to</w:t>
      </w:r>
      <w:r>
        <w:t xml:space="preserve"> 4. Referencing a much larger safety data base, 13/1690 subjects (0.8%) in the Integrated Safety Population who received 5</w:t>
      </w:r>
      <w:r w:rsidR="004C1037">
        <w:t>0 mg</w:t>
      </w:r>
      <w:r>
        <w:t xml:space="preserve"> EBR/10</w:t>
      </w:r>
      <w:r w:rsidR="004C1037">
        <w:t>0 mg</w:t>
      </w:r>
      <w:r>
        <w:t xml:space="preserve"> GZR had Late ALT/AST elevations. The frequency of Late ALT/AST elevations was clearly correlated with GZR exposure. GZR pharmacokinetic [PK] exposure is not affected by HCV GT3 as compared to GT1 based on the GZR population PK model</w:t>
      </w:r>
      <w:r w:rsidR="00A02C67">
        <w:rPr>
          <w:rStyle w:val="FootnoteReference"/>
        </w:rPr>
        <w:footnoteReference w:id="14"/>
      </w:r>
      <w:r>
        <w:rPr>
          <w:color w:val="0000FF"/>
        </w:rPr>
        <w:t xml:space="preserve"> </w:t>
      </w:r>
      <w:r>
        <w:t xml:space="preserve">and is not anticipated to be impacted by </w:t>
      </w:r>
      <w:proofErr w:type="spellStart"/>
      <w:r>
        <w:t>sofosbuvir</w:t>
      </w:r>
      <w:proofErr w:type="spellEnd"/>
      <w:r>
        <w:t xml:space="preserve"> or GS-33107 based on their known metabolic pathways</w:t>
      </w:r>
      <w:bookmarkStart w:id="178" w:name="_Ref480448746"/>
      <w:r w:rsidR="003641F9">
        <w:rPr>
          <w:rStyle w:val="FootnoteReference"/>
        </w:rPr>
        <w:footnoteReference w:id="15"/>
      </w:r>
      <w:bookmarkEnd w:id="178"/>
      <w:r>
        <w:t>. Based on a DDI study, (5172-P063) co</w:t>
      </w:r>
      <w:r w:rsidR="009D54BD">
        <w:t>-</w:t>
      </w:r>
      <w:r>
        <w:t xml:space="preserve">administration of multiple doses of GZR+EBR with a single dose of </w:t>
      </w:r>
      <w:proofErr w:type="spellStart"/>
      <w:r>
        <w:t>sofosbuvir</w:t>
      </w:r>
      <w:proofErr w:type="spellEnd"/>
      <w:r>
        <w:t xml:space="preserve"> increased </w:t>
      </w:r>
      <w:proofErr w:type="spellStart"/>
      <w:r>
        <w:t>expsosure</w:t>
      </w:r>
      <w:proofErr w:type="spellEnd"/>
      <w:r>
        <w:t xml:space="preserve"> of </w:t>
      </w:r>
      <w:proofErr w:type="spellStart"/>
      <w:r>
        <w:t>sofosbuvir</w:t>
      </w:r>
      <w:proofErr w:type="spellEnd"/>
      <w:r>
        <w:t xml:space="preserve"> (AUC 2.4–fold) but not GS-33107. The AUC increase in </w:t>
      </w:r>
      <w:proofErr w:type="spellStart"/>
      <w:r>
        <w:t>sofosbuvir</w:t>
      </w:r>
      <w:proofErr w:type="spellEnd"/>
      <w:r>
        <w:t xml:space="preserve"> exposure was lower than that observed for </w:t>
      </w:r>
      <w:proofErr w:type="spellStart"/>
      <w:r>
        <w:t>sofosbuvir</w:t>
      </w:r>
      <w:proofErr w:type="spellEnd"/>
      <w:r>
        <w:t xml:space="preserve"> when co</w:t>
      </w:r>
      <w:r w:rsidR="009D54BD">
        <w:t>-</w:t>
      </w:r>
      <w:r>
        <w:t>administered with cyclosporine (4.5-fold</w:t>
      </w:r>
      <w:proofErr w:type="gramStart"/>
      <w:r>
        <w:t>)</w:t>
      </w:r>
      <w:proofErr w:type="gramEnd"/>
      <w:r w:rsidR="00A02C67" w:rsidRPr="00A02C67">
        <w:rPr>
          <w:vertAlign w:val="superscript"/>
        </w:rPr>
        <w:fldChar w:fldCharType="begin"/>
      </w:r>
      <w:r w:rsidR="00A02C67" w:rsidRPr="00A02C67">
        <w:rPr>
          <w:vertAlign w:val="superscript"/>
        </w:rPr>
        <w:instrText xml:space="preserve"> NOTEREF _Ref480448746 \h </w:instrText>
      </w:r>
      <w:r w:rsidR="00A02C67">
        <w:rPr>
          <w:vertAlign w:val="superscript"/>
        </w:rPr>
        <w:instrText xml:space="preserve"> \* MERGEFORMAT </w:instrText>
      </w:r>
      <w:r w:rsidR="00A02C67" w:rsidRPr="00A02C67">
        <w:rPr>
          <w:vertAlign w:val="superscript"/>
        </w:rPr>
      </w:r>
      <w:r w:rsidR="00A02C67" w:rsidRPr="00A02C67">
        <w:rPr>
          <w:vertAlign w:val="superscript"/>
        </w:rPr>
        <w:fldChar w:fldCharType="separate"/>
      </w:r>
      <w:r w:rsidR="006F5FFB">
        <w:rPr>
          <w:vertAlign w:val="superscript"/>
        </w:rPr>
        <w:t>15</w:t>
      </w:r>
      <w:r w:rsidR="00A02C67" w:rsidRPr="00A02C67">
        <w:rPr>
          <w:vertAlign w:val="superscript"/>
        </w:rPr>
        <w:fldChar w:fldCharType="end"/>
      </w:r>
      <w:r>
        <w:t xml:space="preserve"> and no dose adjustments is required for </w:t>
      </w:r>
      <w:proofErr w:type="spellStart"/>
      <w:r>
        <w:t>sofosbuvir</w:t>
      </w:r>
      <w:proofErr w:type="spellEnd"/>
      <w:r>
        <w:t xml:space="preserve"> when co</w:t>
      </w:r>
      <w:r w:rsidR="009D54BD">
        <w:t>-</w:t>
      </w:r>
      <w:r>
        <w:t xml:space="preserve">administered with cyclosporine. Additionally, as described above, concomitant use of GZR/EBR and </w:t>
      </w:r>
      <w:proofErr w:type="spellStart"/>
      <w:r>
        <w:t>sofosbuvir</w:t>
      </w:r>
      <w:proofErr w:type="spellEnd"/>
      <w:r>
        <w:t xml:space="preserve"> was generally well-tolerated in C-SWIFT and therefore no dose adjustment is requ</w:t>
      </w:r>
      <w:r w:rsidR="009D54BD">
        <w:t xml:space="preserve">ired for </w:t>
      </w:r>
      <w:proofErr w:type="spellStart"/>
      <w:r w:rsidR="009D54BD">
        <w:t>sofosbuvir</w:t>
      </w:r>
      <w:proofErr w:type="spellEnd"/>
      <w:r w:rsidR="009D54BD">
        <w:t xml:space="preserve"> and GZR/EBR</w:t>
      </w:r>
      <w:r>
        <w:t xml:space="preserve">. Finally, </w:t>
      </w:r>
      <w:proofErr w:type="spellStart"/>
      <w:r>
        <w:t>sofosbuvir</w:t>
      </w:r>
      <w:proofErr w:type="spellEnd"/>
      <w:r>
        <w:t xml:space="preserve"> is not associated with a risk of hepatotoxicity regardless of Child- Pugh class.</w:t>
      </w:r>
      <w:r w:rsidR="002F02CE">
        <w:rPr>
          <w:rStyle w:val="FootnoteReference"/>
        </w:rPr>
        <w:footnoteReference w:id="16"/>
      </w:r>
    </w:p>
    <w:p w14:paraId="4C3DD5FF" w14:textId="77777777" w:rsidR="00981B71" w:rsidRDefault="00981B71" w:rsidP="00E47D60">
      <w:r>
        <w:t xml:space="preserve">The safety of EBR/GZR in clinical practice will be directed by the approved </w:t>
      </w:r>
      <w:r w:rsidR="009B2564" w:rsidRPr="009B2564">
        <w:t>Product Information</w:t>
      </w:r>
      <w:r>
        <w:t xml:space="preserve">. With regards to hepatic safety, the proposed </w:t>
      </w:r>
      <w:r w:rsidR="009B2564" w:rsidRPr="009B2564">
        <w:t>Product Information</w:t>
      </w:r>
      <w:r>
        <w:t xml:space="preserve"> notes elevated ALT and the need for monitoring during treatment (</w:t>
      </w:r>
      <w:r w:rsidR="009D54BD">
        <w:t>Precautions</w:t>
      </w:r>
      <w:r>
        <w:t>) and contraindicates use in Child-Pugh B/C due to GZR increased levels. These instructions will apply to administration of EBR/GZR + SOF as well as administration of EBR/GZR.</w:t>
      </w:r>
    </w:p>
    <w:p w14:paraId="4C3DD600" w14:textId="77777777" w:rsidR="00981B71" w:rsidRPr="009D54BD" w:rsidRDefault="00981B71" w:rsidP="009D54BD">
      <w:r w:rsidRPr="009D54BD">
        <w:rPr>
          <w:i/>
        </w:rPr>
        <w:t xml:space="preserve">The </w:t>
      </w:r>
      <w:r w:rsidR="009D54BD" w:rsidRPr="009D54BD">
        <w:rPr>
          <w:i/>
        </w:rPr>
        <w:t>s</w:t>
      </w:r>
      <w:r w:rsidRPr="009D54BD">
        <w:rPr>
          <w:i/>
        </w:rPr>
        <w:t xml:space="preserve">ponsor accepts the Delegate’s suggestion to add a comment to the </w:t>
      </w:r>
      <w:r w:rsidR="009B2564" w:rsidRPr="009B2564">
        <w:rPr>
          <w:i/>
        </w:rPr>
        <w:t>Product Information</w:t>
      </w:r>
      <w:r w:rsidRPr="009D54BD">
        <w:rPr>
          <w:i/>
        </w:rPr>
        <w:t xml:space="preserve"> that usage in GT3 is based on early evidence in a limited number of patients. </w:t>
      </w:r>
      <w:r w:rsidRPr="009D54BD">
        <w:t xml:space="preserve">The suggested revision to the </w:t>
      </w:r>
      <w:r w:rsidR="009D54BD" w:rsidRPr="009D54BD">
        <w:t xml:space="preserve">Clinical Trials </w:t>
      </w:r>
      <w:r w:rsidRPr="009D54BD">
        <w:t>Clinical Trials in Treatment Naïve Subjects with Genotype 3 Chronic Hepatitis C Infection</w:t>
      </w:r>
      <w:r w:rsidRPr="009D54BD">
        <w:rPr>
          <w:b/>
        </w:rPr>
        <w:t xml:space="preserve"> </w:t>
      </w:r>
      <w:r w:rsidRPr="009D54BD">
        <w:t>section is as follows:</w:t>
      </w:r>
    </w:p>
    <w:p w14:paraId="4C3DD601" w14:textId="77777777" w:rsidR="00981B71" w:rsidRPr="009D54BD" w:rsidRDefault="00D80B0A" w:rsidP="009D54BD">
      <w:pPr>
        <w:ind w:left="720"/>
        <w:rPr>
          <w:i/>
        </w:rPr>
      </w:pPr>
      <w:proofErr w:type="spellStart"/>
      <w:r w:rsidRPr="009D54BD">
        <w:rPr>
          <w:i/>
        </w:rPr>
        <w:t>Zepatier</w:t>
      </w:r>
      <w:proofErr w:type="spellEnd"/>
      <w:r w:rsidR="00981B71" w:rsidRPr="009D54BD">
        <w:rPr>
          <w:i/>
        </w:rPr>
        <w:t xml:space="preserve"> usage in patients with genotype 3 infection is based on evidence in a limited number of patients.</w:t>
      </w:r>
    </w:p>
    <w:p w14:paraId="4C3DD602" w14:textId="77777777" w:rsidR="00981B71" w:rsidRPr="009D54BD" w:rsidRDefault="00981B71" w:rsidP="00E47D60">
      <w:pPr>
        <w:rPr>
          <w:i/>
        </w:rPr>
      </w:pPr>
      <w:r w:rsidRPr="009D54BD">
        <w:rPr>
          <w:i/>
        </w:rPr>
        <w:t>The Delegate has requested the Sponsor indicate whether confirmation of use in HCV GT3 patients in a larger trial is underway.</w:t>
      </w:r>
    </w:p>
    <w:p w14:paraId="4C3DD603" w14:textId="77777777" w:rsidR="00981B71" w:rsidRDefault="00981B71" w:rsidP="00E47D60">
      <w:r>
        <w:t xml:space="preserve">One trial in GT3-infected patients is underway, Protocol P083 </w:t>
      </w:r>
      <w:r w:rsidR="00D34382">
        <w:t>‘</w:t>
      </w:r>
      <w:r>
        <w:t>C-ISLE</w:t>
      </w:r>
      <w:r w:rsidR="00D34382">
        <w:t>’</w:t>
      </w:r>
      <w:r>
        <w:t>. Supported by the data obtained in PN074, 100 compensated cirrhoti</w:t>
      </w:r>
      <w:r w:rsidR="009E1CF8">
        <w:t>c HCV GT3 subjects were randomis</w:t>
      </w:r>
      <w:r>
        <w:t>ed to one of 5 treatment arms in C-ISLE. Of these, 47 subjects were treatmen</w:t>
      </w:r>
      <w:r w:rsidR="009E1CF8">
        <w:t>t-naive and randomis</w:t>
      </w:r>
      <w:r>
        <w:t>ed 1:1 to EBR/GZR + SOF + ribavirin [RBV] for 8 weeks</w:t>
      </w:r>
      <w:r w:rsidR="00D80B0A">
        <w:t xml:space="preserve"> </w:t>
      </w:r>
      <w:r>
        <w:t>or EBR/GZR + SOF for 12 weeks. 53 subjects were tr</w:t>
      </w:r>
      <w:r w:rsidR="009E1CF8">
        <w:t>eatment-experienced and randomis</w:t>
      </w:r>
      <w:r>
        <w:t>ed 1:1:1 to EBR/GZR + SOF ± RBV for 12 weeks or EBR/GZR + SOF + RBV for 16 weeks. In total, 59 subje</w:t>
      </w:r>
      <w:r w:rsidR="009E1CF8">
        <w:t xml:space="preserve">cts have been </w:t>
      </w:r>
      <w:r w:rsidR="009E1CF8">
        <w:lastRenderedPageBreak/>
        <w:t>randomis</w:t>
      </w:r>
      <w:r>
        <w:t>ed to 12 week treatment duration. A Clinical Study Report for this study is currently targeted for</w:t>
      </w:r>
      <w:r>
        <w:rPr>
          <w:spacing w:val="-2"/>
        </w:rPr>
        <w:t xml:space="preserve"> </w:t>
      </w:r>
      <w:r w:rsidR="009E1CF8">
        <w:rPr>
          <w:spacing w:val="-2"/>
        </w:rPr>
        <w:t xml:space="preserve">third quarter of </w:t>
      </w:r>
      <w:r>
        <w:t>2017.</w:t>
      </w:r>
    </w:p>
    <w:p w14:paraId="4C3DD604" w14:textId="77777777" w:rsidR="00981B71" w:rsidRPr="009E1CF8" w:rsidRDefault="00981B71" w:rsidP="00E47D60">
      <w:pPr>
        <w:rPr>
          <w:i/>
        </w:rPr>
      </w:pPr>
      <w:r w:rsidRPr="009E1CF8">
        <w:rPr>
          <w:i/>
        </w:rPr>
        <w:t>Does the ACPM propose any additional efficacy data or post market surveillance</w:t>
      </w:r>
      <w:r w:rsidRPr="009E1CF8">
        <w:rPr>
          <w:i/>
          <w:spacing w:val="-1"/>
        </w:rPr>
        <w:t xml:space="preserve"> </w:t>
      </w:r>
      <w:r w:rsidRPr="009E1CF8">
        <w:rPr>
          <w:i/>
        </w:rPr>
        <w:t>activities?</w:t>
      </w:r>
    </w:p>
    <w:p w14:paraId="4C3DD605" w14:textId="77777777" w:rsidR="00981B71" w:rsidRDefault="00981B71" w:rsidP="00E47D60">
      <w:r>
        <w:t xml:space="preserve">The </w:t>
      </w:r>
      <w:r w:rsidR="009E1CF8">
        <w:t>s</w:t>
      </w:r>
      <w:r>
        <w:t xml:space="preserve">ponsor welcomes the Delegate’s commentary regarding the safety profile of </w:t>
      </w:r>
      <w:proofErr w:type="spellStart"/>
      <w:r w:rsidR="00D80B0A">
        <w:t>Zepatier</w:t>
      </w:r>
      <w:proofErr w:type="spellEnd"/>
      <w:r>
        <w:t xml:space="preserve">, and the </w:t>
      </w:r>
      <w:r w:rsidR="009E1CF8">
        <w:t xml:space="preserve">clinical evaluator’s </w:t>
      </w:r>
      <w:r>
        <w:t xml:space="preserve">opinion that the risk-benefit balance of </w:t>
      </w:r>
      <w:proofErr w:type="spellStart"/>
      <w:r w:rsidR="00D80B0A">
        <w:t>Zepatier</w:t>
      </w:r>
      <w:proofErr w:type="spellEnd"/>
      <w:r>
        <w:t xml:space="preserve"> is favourable given the proposed usage. The </w:t>
      </w:r>
      <w:r w:rsidR="009E1CF8">
        <w:t>s</w:t>
      </w:r>
      <w:r>
        <w:t>ponsor considers the efficacy data and analyses presented in the dossier are sufficient to support the proposed registration.</w:t>
      </w:r>
    </w:p>
    <w:p w14:paraId="4C3DD606" w14:textId="77777777" w:rsidR="00981B71" w:rsidRDefault="00981B71" w:rsidP="00E47D60">
      <w:r>
        <w:t xml:space="preserve">As mentioned above, </w:t>
      </w:r>
      <w:r w:rsidR="009E1CF8">
        <w:t>S</w:t>
      </w:r>
      <w:r>
        <w:t>tudy P083 is ongoing to confirm activity in GT3 patients.</w:t>
      </w:r>
    </w:p>
    <w:p w14:paraId="2CD8146B" w14:textId="77777777" w:rsidR="00655550" w:rsidRPr="002000A4" w:rsidRDefault="00981B71" w:rsidP="002000A4">
      <w:pPr>
        <w:rPr>
          <w:i/>
        </w:rPr>
      </w:pPr>
      <w:r w:rsidRPr="002000A4">
        <w:rPr>
          <w:i/>
        </w:rPr>
        <w:t xml:space="preserve">The </w:t>
      </w:r>
      <w:r w:rsidR="009E1CF8" w:rsidRPr="002000A4">
        <w:rPr>
          <w:i/>
        </w:rPr>
        <w:t>s</w:t>
      </w:r>
      <w:r w:rsidRPr="002000A4">
        <w:rPr>
          <w:i/>
        </w:rPr>
        <w:t>ponsor is requested to provide an update on longer term durability.</w:t>
      </w:r>
    </w:p>
    <w:p w14:paraId="4C3DD608" w14:textId="17622FFF" w:rsidR="00981B71" w:rsidRPr="009E1CF8" w:rsidRDefault="00981B71" w:rsidP="002000A4">
      <w:r w:rsidRPr="009E1CF8">
        <w:t>Durability of effect is supported by SVR24 of 94% in TE and 92% in TN patients. The Delegate has noted that longer term durability is unknown although additional follow up is underway in the ongoing P017</w:t>
      </w:r>
      <w:r w:rsidRPr="009E1CF8">
        <w:rPr>
          <w:spacing w:val="-2"/>
        </w:rPr>
        <w:t xml:space="preserve"> </w:t>
      </w:r>
      <w:r w:rsidRPr="009E1CF8">
        <w:t>study.</w:t>
      </w:r>
    </w:p>
    <w:p w14:paraId="4C3DD609" w14:textId="77777777" w:rsidR="00981B71" w:rsidRDefault="00981B71" w:rsidP="00E47D60">
      <w:r>
        <w:t xml:space="preserve">No further long term durability data are available beyond those previously provided to TGA. As mentioned in the </w:t>
      </w:r>
      <w:r w:rsidR="009E1CF8">
        <w:t>sponsor’s</w:t>
      </w:r>
      <w:r>
        <w:t xml:space="preserve"> response, final CSRs with SVR24 data from</w:t>
      </w:r>
      <w:r w:rsidR="00D80B0A">
        <w:t xml:space="preserve"> </w:t>
      </w:r>
      <w:r>
        <w:t xml:space="preserve">P052, P058 and P060 are available. SVR24 persistence data from </w:t>
      </w:r>
      <w:r w:rsidR="009E1CF8">
        <w:t>S</w:t>
      </w:r>
      <w:r>
        <w:t xml:space="preserve">tudies P052 and P060 have been presented to TGA in the </w:t>
      </w:r>
      <w:r w:rsidR="009E1CF8">
        <w:t>sponsor’s r</w:t>
      </w:r>
      <w:r>
        <w:t>esponses. In summary, these studies confirm SVR24 rates over 90% in TN and TE patients.</w:t>
      </w:r>
    </w:p>
    <w:p w14:paraId="4C3DD60A" w14:textId="77777777" w:rsidR="00981B71" w:rsidRDefault="00981B71" w:rsidP="00E47D60">
      <w:r>
        <w:t xml:space="preserve">Durability will be assessed in the Long Term Follow Up study P017 </w:t>
      </w:r>
      <w:r w:rsidR="00D34382">
        <w:t>‘</w:t>
      </w:r>
      <w:r>
        <w:t xml:space="preserve">Durability of Virologic Response and / or Viral Resistance Patterns in Participants with Chronic Hepatitis C Who </w:t>
      </w:r>
      <w:proofErr w:type="gramStart"/>
      <w:r>
        <w:t>Have</w:t>
      </w:r>
      <w:proofErr w:type="gramEnd"/>
      <w:r>
        <w:t xml:space="preserve"> been previously treated with </w:t>
      </w:r>
      <w:r w:rsidR="002437C0">
        <w:t>GZR</w:t>
      </w:r>
      <w:r w:rsidR="00D34382">
        <w:t>’</w:t>
      </w:r>
      <w:r>
        <w:t>. Its primary objectives are to:</w:t>
      </w:r>
    </w:p>
    <w:p w14:paraId="4C3DD60B" w14:textId="77777777" w:rsidR="00981B71" w:rsidRDefault="00981B71" w:rsidP="009E1CF8">
      <w:pPr>
        <w:pStyle w:val="ListBullet"/>
      </w:pPr>
      <w:r>
        <w:t xml:space="preserve">evaluate durability of SVR in subjects who received a </w:t>
      </w:r>
      <w:r w:rsidR="002437C0">
        <w:t>GZR</w:t>
      </w:r>
      <w:r>
        <w:t xml:space="preserve"> containing regimen and remained virologically controlled through the follow up</w:t>
      </w:r>
      <w:r>
        <w:rPr>
          <w:spacing w:val="-1"/>
        </w:rPr>
        <w:t xml:space="preserve"> </w:t>
      </w:r>
      <w:r>
        <w:t>period</w:t>
      </w:r>
    </w:p>
    <w:p w14:paraId="4C3DD60C" w14:textId="77777777" w:rsidR="00981B71" w:rsidRDefault="00981B71" w:rsidP="009E1CF8">
      <w:pPr>
        <w:pStyle w:val="ListBullet"/>
      </w:pPr>
      <w:r>
        <w:t xml:space="preserve">evaluate the presence of antiviral resistance to </w:t>
      </w:r>
      <w:r w:rsidR="002437C0">
        <w:t>GZR</w:t>
      </w:r>
      <w:r>
        <w:t xml:space="preserve"> and/or </w:t>
      </w:r>
      <w:r w:rsidR="002437C0">
        <w:t>EBR</w:t>
      </w:r>
      <w:r>
        <w:t xml:space="preserve"> in subjects who were virologic failures, and determine if there is a reversion to wild type virus within the 3 or 5 year follow up</w:t>
      </w:r>
      <w:r>
        <w:rPr>
          <w:spacing w:val="-1"/>
        </w:rPr>
        <w:t xml:space="preserve"> </w:t>
      </w:r>
      <w:r>
        <w:t>period</w:t>
      </w:r>
    </w:p>
    <w:p w14:paraId="4C3DD60D" w14:textId="77777777" w:rsidR="00981B71" w:rsidRDefault="00981B71" w:rsidP="009E1CF8">
      <w:pPr>
        <w:pStyle w:val="ListBullet"/>
      </w:pPr>
      <w:proofErr w:type="gramStart"/>
      <w:r>
        <w:t>evaluate</w:t>
      </w:r>
      <w:proofErr w:type="gramEnd"/>
      <w:r>
        <w:t xml:space="preserve"> long term safety of</w:t>
      </w:r>
      <w:r>
        <w:rPr>
          <w:spacing w:val="-2"/>
        </w:rPr>
        <w:t xml:space="preserve"> </w:t>
      </w:r>
      <w:r w:rsidR="002437C0">
        <w:t>GZR</w:t>
      </w:r>
      <w:r>
        <w:t>.</w:t>
      </w:r>
    </w:p>
    <w:p w14:paraId="4C3DD60E" w14:textId="3B2C1D25" w:rsidR="00981B71" w:rsidRDefault="00981B71" w:rsidP="00E47D60">
      <w:r>
        <w:t xml:space="preserve">All subjects have received </w:t>
      </w:r>
      <w:r w:rsidR="002437C0">
        <w:t>GZR</w:t>
      </w:r>
      <w:r>
        <w:t xml:space="preserve"> and a subset </w:t>
      </w:r>
      <w:r w:rsidR="00134307">
        <w:t xml:space="preserve">has </w:t>
      </w:r>
      <w:r>
        <w:t xml:space="preserve">received </w:t>
      </w:r>
      <w:r w:rsidR="002437C0">
        <w:t>EBR</w:t>
      </w:r>
      <w:r>
        <w:t>/</w:t>
      </w:r>
      <w:r w:rsidR="002437C0">
        <w:t>GZR</w:t>
      </w:r>
      <w:r>
        <w:t xml:space="preserve">. This study is currently enrolling with over 2300 subjects enrolled to date. No durability data from this study have yet been reported. The Final study report is due in </w:t>
      </w:r>
      <w:r w:rsidR="009E1CF8">
        <w:t xml:space="preserve">the first quarter of </w:t>
      </w:r>
      <w:r>
        <w:t>2022.</w:t>
      </w:r>
    </w:p>
    <w:p w14:paraId="4C3DD60F" w14:textId="77777777" w:rsidR="00981B71" w:rsidRDefault="00981B71" w:rsidP="009E1CF8">
      <w:r>
        <w:t xml:space="preserve">Furthermore, the </w:t>
      </w:r>
      <w:r w:rsidR="009E1CF8">
        <w:t>s</w:t>
      </w:r>
      <w:r>
        <w:t xml:space="preserve">ponsor does not recommend any post-market surveillance activities beyond those described in the RMP/ASA. The </w:t>
      </w:r>
      <w:r w:rsidR="009E1CF8">
        <w:t>s</w:t>
      </w:r>
      <w:r>
        <w:t xml:space="preserve">ponsor considers the current RMP and ASA to be sufficiently robust in addressing the identified and potential safety issues as well as missing information through routine pharmacovigilance and the data to be gathered in Protocol 017. The </w:t>
      </w:r>
      <w:r w:rsidR="009E1CF8">
        <w:t>s</w:t>
      </w:r>
      <w:r>
        <w:t xml:space="preserve">ponsor considers version 1.3 of the EU RMP (dated April 2016) and accompanying ASA v0.2 (dated July 2016) to be sufficient. (An updated version of the </w:t>
      </w:r>
      <w:r w:rsidR="009E1CF8">
        <w:t>ASA</w:t>
      </w:r>
      <w:r>
        <w:t xml:space="preserve">, addressing matters raised by the RMP evaluator, is provided in parallel to this </w:t>
      </w:r>
      <w:r w:rsidR="009E1CF8">
        <w:t>r</w:t>
      </w:r>
      <w:r>
        <w:t>esponse. Further administrative revisions will be made to the EU RMP and Australian ASA once the final approved EU and Australian labels are received.)</w:t>
      </w:r>
    </w:p>
    <w:p w14:paraId="4C3DD610" w14:textId="366AB19E" w:rsidR="00981B71" w:rsidRDefault="00981B71" w:rsidP="009E1CF8">
      <w:pPr>
        <w:pStyle w:val="Heading5"/>
      </w:pPr>
      <w:r>
        <w:t xml:space="preserve">Other </w:t>
      </w:r>
      <w:r w:rsidR="0085403E">
        <w:t>m</w:t>
      </w:r>
      <w:r>
        <w:t>atters</w:t>
      </w:r>
    </w:p>
    <w:p w14:paraId="4C3DD611" w14:textId="77777777" w:rsidR="00981B71" w:rsidRDefault="00D80B0A" w:rsidP="009E1CF8">
      <w:proofErr w:type="spellStart"/>
      <w:r>
        <w:t>Zepatier</w:t>
      </w:r>
      <w:proofErr w:type="spellEnd"/>
      <w:r w:rsidR="00981B71">
        <w:t xml:space="preserve"> has been approved in the USA and Canada and has received a positive opinion from the European CHMP. The Canadian and Swiss Health Authorities have approved </w:t>
      </w:r>
      <w:proofErr w:type="spellStart"/>
      <w:r>
        <w:t>Zepatier</w:t>
      </w:r>
      <w:proofErr w:type="spellEnd"/>
      <w:r w:rsidR="00981B71">
        <w:t xml:space="preserve"> for use in GT3 (without any associated conditions of registration) based on the same dataset as presented in the Australian application. The CHMP positive opinion is for approval of the same Indications as sought in Australia, although the European S</w:t>
      </w:r>
      <w:r w:rsidR="009E1CF8">
        <w:t>m</w:t>
      </w:r>
      <w:r w:rsidR="00981B71">
        <w:t xml:space="preserve">PC does not recommend use in GT3 due to the low numbers of </w:t>
      </w:r>
      <w:r w:rsidR="00981B71">
        <w:rPr>
          <w:spacing w:val="-2"/>
        </w:rPr>
        <w:t xml:space="preserve">GT3 </w:t>
      </w:r>
      <w:r w:rsidR="00981B71">
        <w:t>subjects in clinical trials. In New Zealand, an application for registration (de novo evaluation) is under review by</w:t>
      </w:r>
      <w:r>
        <w:t xml:space="preserve"> </w:t>
      </w:r>
      <w:proofErr w:type="spellStart"/>
      <w:r w:rsidR="00981B71">
        <w:t>Medsafe</w:t>
      </w:r>
      <w:proofErr w:type="spellEnd"/>
      <w:r w:rsidR="00981B71">
        <w:t>. The clinical aspects of the application and proposed Data Sheet have been accepted by</w:t>
      </w:r>
      <w:r w:rsidR="00981B71">
        <w:rPr>
          <w:spacing w:val="-2"/>
        </w:rPr>
        <w:t xml:space="preserve"> </w:t>
      </w:r>
      <w:proofErr w:type="spellStart"/>
      <w:r w:rsidR="00981B71">
        <w:t>Medsafe</w:t>
      </w:r>
      <w:proofErr w:type="spellEnd"/>
      <w:r w:rsidR="00981B71">
        <w:t>.</w:t>
      </w:r>
    </w:p>
    <w:p w14:paraId="4C3DD612" w14:textId="265503DB" w:rsidR="008E7846" w:rsidRDefault="008E7846" w:rsidP="008E7846">
      <w:pPr>
        <w:pStyle w:val="Heading4"/>
      </w:pPr>
      <w:r>
        <w:lastRenderedPageBreak/>
        <w:t xml:space="preserve">Advisory </w:t>
      </w:r>
      <w:r w:rsidR="002000A4">
        <w:t>c</w:t>
      </w:r>
      <w:r>
        <w:t xml:space="preserve">ommittee </w:t>
      </w:r>
      <w:r w:rsidR="0085403E">
        <w:t>c</w:t>
      </w:r>
      <w:r>
        <w:t>onsiderations</w:t>
      </w:r>
    </w:p>
    <w:p w14:paraId="4C3DD613" w14:textId="77777777" w:rsidR="00BF7341" w:rsidRPr="00C11AF8" w:rsidRDefault="00BF7341" w:rsidP="00BF7341">
      <w:pPr>
        <w:rPr>
          <w:rFonts w:eastAsia="Times New Roman" w:cs="Arial"/>
          <w:lang w:eastAsia="en-AU"/>
        </w:rPr>
      </w:pPr>
      <w:r w:rsidRPr="00C11AF8">
        <w:rPr>
          <w:rFonts w:eastAsia="Times New Roman" w:cs="Arial"/>
          <w:lang w:eastAsia="en-AU"/>
        </w:rPr>
        <w:t xml:space="preserve">The ACPM resolved to recommend to the TGA </w:t>
      </w:r>
      <w:r>
        <w:rPr>
          <w:rFonts w:eastAsia="Times New Roman" w:cs="Arial"/>
          <w:lang w:eastAsia="en-AU"/>
        </w:rPr>
        <w:t>delegate of the Secretary that:</w:t>
      </w:r>
    </w:p>
    <w:p w14:paraId="4C3DD614" w14:textId="77777777" w:rsidR="00BF7341" w:rsidRPr="002848CC" w:rsidRDefault="00BF7341" w:rsidP="00BF7341">
      <w:pPr>
        <w:rPr>
          <w:rFonts w:cs="Calibri"/>
          <w:b/>
          <w:color w:val="000000" w:themeColor="text1"/>
        </w:rPr>
      </w:pPr>
      <w:r w:rsidRPr="002848CC">
        <w:rPr>
          <w:rFonts w:cs="Calibri"/>
          <w:color w:val="000000" w:themeColor="text1"/>
        </w:rPr>
        <w:t>The ACPM, taking into account the submitted evidence of efficacy, safet</w:t>
      </w:r>
      <w:r>
        <w:rPr>
          <w:rFonts w:cs="Calibri"/>
          <w:color w:val="000000" w:themeColor="text1"/>
        </w:rPr>
        <w:t>y and quality, agreed with the D</w:t>
      </w:r>
      <w:r w:rsidRPr="002848CC">
        <w:rPr>
          <w:rFonts w:cs="Calibri"/>
          <w:color w:val="000000" w:themeColor="text1"/>
        </w:rPr>
        <w:t xml:space="preserve">elegate and considered </w:t>
      </w:r>
      <w:r w:rsidR="00D80B0A">
        <w:rPr>
          <w:bCs/>
          <w:noProof/>
        </w:rPr>
        <w:t>Zepatier</w:t>
      </w:r>
      <w:r w:rsidRPr="00887B4C">
        <w:t xml:space="preserve"> </w:t>
      </w:r>
      <w:r w:rsidRPr="00A52154">
        <w:rPr>
          <w:bCs/>
          <w:noProof/>
        </w:rPr>
        <w:t>tablet</w:t>
      </w:r>
      <w:r w:rsidRPr="00887B4C">
        <w:rPr>
          <w:bCs/>
        </w:rPr>
        <w:t xml:space="preserve"> containing </w:t>
      </w:r>
      <w:r w:rsidRPr="00A52154">
        <w:rPr>
          <w:bCs/>
          <w:noProof/>
        </w:rPr>
        <w:t>50/100 mg fixed dose combination</w:t>
      </w:r>
      <w:r w:rsidRPr="00887B4C">
        <w:rPr>
          <w:bCs/>
        </w:rPr>
        <w:t xml:space="preserve"> of </w:t>
      </w:r>
      <w:r w:rsidR="002437C0">
        <w:rPr>
          <w:bCs/>
          <w:noProof/>
        </w:rPr>
        <w:t>EBR</w:t>
      </w:r>
      <w:r>
        <w:rPr>
          <w:bCs/>
          <w:noProof/>
        </w:rPr>
        <w:t xml:space="preserve"> / </w:t>
      </w:r>
      <w:r w:rsidR="002437C0">
        <w:rPr>
          <w:bCs/>
          <w:noProof/>
        </w:rPr>
        <w:t>GZR</w:t>
      </w:r>
      <w:r>
        <w:rPr>
          <w:b/>
          <w:bCs/>
        </w:rPr>
        <w:t xml:space="preserve"> </w:t>
      </w:r>
      <w:r w:rsidRPr="002848CC">
        <w:rPr>
          <w:rFonts w:cs="Calibri"/>
          <w:color w:val="000000" w:themeColor="text1"/>
        </w:rPr>
        <w:t xml:space="preserve">to have an overall positive benefit–risk profile for the </w:t>
      </w:r>
      <w:r>
        <w:rPr>
          <w:rFonts w:cs="Calibri"/>
        </w:rPr>
        <w:t>D</w:t>
      </w:r>
      <w:r w:rsidRPr="00110A9E">
        <w:rPr>
          <w:rFonts w:cs="Calibri"/>
        </w:rPr>
        <w:t xml:space="preserve">elegate’s amended </w:t>
      </w:r>
      <w:r w:rsidRPr="002848CC">
        <w:rPr>
          <w:rFonts w:cs="Calibri"/>
          <w:color w:val="000000" w:themeColor="text1"/>
        </w:rPr>
        <w:t>indication</w:t>
      </w:r>
      <w:r>
        <w:rPr>
          <w:rFonts w:cs="Calibri"/>
          <w:b/>
          <w:color w:val="000000" w:themeColor="text1"/>
        </w:rPr>
        <w:t>;</w:t>
      </w:r>
    </w:p>
    <w:p w14:paraId="4C3DD615" w14:textId="77777777" w:rsidR="00BF7341" w:rsidRPr="006F017B" w:rsidRDefault="00D80B0A" w:rsidP="00BF7341">
      <w:pPr>
        <w:ind w:left="567"/>
        <w:rPr>
          <w:rFonts w:cs="Calibri"/>
          <w:i/>
          <w:noProof/>
        </w:rPr>
      </w:pPr>
      <w:r w:rsidRPr="006F017B">
        <w:rPr>
          <w:rFonts w:cs="Calibri"/>
          <w:i/>
          <w:noProof/>
        </w:rPr>
        <w:t>Zepatier</w:t>
      </w:r>
      <w:r w:rsidR="00BF7341" w:rsidRPr="006F017B">
        <w:rPr>
          <w:rFonts w:cs="Calibri"/>
          <w:i/>
          <w:noProof/>
        </w:rPr>
        <w:t xml:space="preserve"> is indicated for the treatment of Chronic Hepatitis C genotype 1 and 4 infection in adults (see DOSAGE AND ADMINISTRATION and CLINICAL TRIALS).</w:t>
      </w:r>
    </w:p>
    <w:p w14:paraId="4C3DD616" w14:textId="77777777" w:rsidR="00BF7341" w:rsidRPr="00A5271A" w:rsidRDefault="00BF7341" w:rsidP="006F017B">
      <w:r w:rsidRPr="00A5271A">
        <w:t>In making this recommendation the ACPM</w:t>
      </w:r>
    </w:p>
    <w:p w14:paraId="4C3DD617" w14:textId="77777777" w:rsidR="00BF7341" w:rsidRDefault="00BF7341" w:rsidP="006F017B">
      <w:pPr>
        <w:pStyle w:val="ListBullet"/>
      </w:pPr>
      <w:proofErr w:type="gramStart"/>
      <w:r w:rsidRPr="002848CC">
        <w:t>noted</w:t>
      </w:r>
      <w:proofErr w:type="gramEnd"/>
      <w:r w:rsidRPr="002848CC">
        <w:t xml:space="preserve"> </w:t>
      </w:r>
      <w:r>
        <w:t>that the most prevalent HCV in Australia were genotypes 1 and 3 with small populations with genotype 2, 4 and 6.</w:t>
      </w:r>
    </w:p>
    <w:p w14:paraId="4C3DD618" w14:textId="77777777" w:rsidR="00BF7341" w:rsidRDefault="00BF7341" w:rsidP="006F017B">
      <w:pPr>
        <w:pStyle w:val="ListBullet"/>
      </w:pPr>
      <w:proofErr w:type="gramStart"/>
      <w:r>
        <w:t>noted</w:t>
      </w:r>
      <w:proofErr w:type="gramEnd"/>
      <w:r>
        <w:t xml:space="preserve"> that </w:t>
      </w:r>
      <w:proofErr w:type="spellStart"/>
      <w:r w:rsidR="00D80B0A">
        <w:t>Zepatier</w:t>
      </w:r>
      <w:proofErr w:type="spellEnd"/>
      <w:r>
        <w:t xml:space="preserve"> is effective in treatment naive and treatment experienced patients, both with and without cirrhosis.</w:t>
      </w:r>
    </w:p>
    <w:p w14:paraId="4C3DD619" w14:textId="77777777" w:rsidR="00BF7341" w:rsidRPr="002848CC" w:rsidRDefault="00BF7341" w:rsidP="006F017B">
      <w:pPr>
        <w:pStyle w:val="ListBullet"/>
      </w:pPr>
      <w:proofErr w:type="gramStart"/>
      <w:r>
        <w:t>noted</w:t>
      </w:r>
      <w:proofErr w:type="gramEnd"/>
      <w:r>
        <w:t xml:space="preserve"> that the optional 8 weeks duration of treatment in genotype 1b patients was not based on the data from pivotal studies and requires further substantive evidence prior to inclusion in dosage and administration.</w:t>
      </w:r>
    </w:p>
    <w:p w14:paraId="4C3DD61A" w14:textId="77777777" w:rsidR="00BF7341" w:rsidRDefault="00BF7341" w:rsidP="006F017B">
      <w:pPr>
        <w:pStyle w:val="ListBullet"/>
      </w:pPr>
      <w:proofErr w:type="gramStart"/>
      <w:r>
        <w:t>noted</w:t>
      </w:r>
      <w:proofErr w:type="gramEnd"/>
      <w:r>
        <w:t xml:space="preserve"> the safety profile of </w:t>
      </w:r>
      <w:proofErr w:type="spellStart"/>
      <w:r w:rsidR="00D80B0A">
        <w:t>Zepatier</w:t>
      </w:r>
      <w:proofErr w:type="spellEnd"/>
      <w:r>
        <w:t xml:space="preserve"> and the advantage it may provide in patients with renal impairment.</w:t>
      </w:r>
    </w:p>
    <w:p w14:paraId="4C3DD61B" w14:textId="77777777" w:rsidR="00BF7341" w:rsidRDefault="00BF7341" w:rsidP="006F017B">
      <w:pPr>
        <w:pStyle w:val="ListBullet"/>
      </w:pPr>
      <w:proofErr w:type="gramStart"/>
      <w:r w:rsidRPr="002848CC">
        <w:t>expressed</w:t>
      </w:r>
      <w:proofErr w:type="gramEnd"/>
      <w:r w:rsidRPr="002848CC">
        <w:t xml:space="preserve"> concern that </w:t>
      </w:r>
      <w:r>
        <w:t>the number of patients with HCV genotype 3 was very limited in the clinical studies included in the dossier and would require larger dataset to support approval.</w:t>
      </w:r>
    </w:p>
    <w:p w14:paraId="4C3DD61C" w14:textId="77777777" w:rsidR="00BF7341" w:rsidRPr="002848CC" w:rsidRDefault="00BF7341" w:rsidP="006F017B">
      <w:pPr>
        <w:pStyle w:val="ListBullet"/>
      </w:pPr>
      <w:proofErr w:type="gramStart"/>
      <w:r>
        <w:t>noted</w:t>
      </w:r>
      <w:proofErr w:type="gramEnd"/>
      <w:r>
        <w:t xml:space="preserve"> that the proposed use in genotype 6 had been withdrawn by the sponsor due to lower efficacy.</w:t>
      </w:r>
    </w:p>
    <w:p w14:paraId="4C3DD61D" w14:textId="77777777" w:rsidR="00BF7341" w:rsidRPr="00D724FC" w:rsidRDefault="00BF7341" w:rsidP="006F017B">
      <w:pPr>
        <w:pStyle w:val="Heading5"/>
      </w:pPr>
      <w:r w:rsidRPr="00D724FC">
        <w:t>Proposed conditions of registration</w:t>
      </w:r>
    </w:p>
    <w:p w14:paraId="4C3DD61E" w14:textId="77777777" w:rsidR="00BF7341" w:rsidRPr="002848CC" w:rsidRDefault="00BF7341" w:rsidP="006F017B">
      <w:r>
        <w:t>The ACPM agreed with the D</w:t>
      </w:r>
      <w:r w:rsidRPr="002848CC">
        <w:t>elegate on the proposed conditions of registration.</w:t>
      </w:r>
    </w:p>
    <w:p w14:paraId="4C3DD61F" w14:textId="77777777" w:rsidR="00BF7341" w:rsidRPr="00D724FC" w:rsidRDefault="009B2564" w:rsidP="006F017B">
      <w:pPr>
        <w:pStyle w:val="Heading5"/>
        <w:rPr>
          <w:u w:val="single"/>
        </w:rPr>
      </w:pPr>
      <w:r>
        <w:t>Proposed Product Information</w:t>
      </w:r>
      <w:r w:rsidR="00BF7341" w:rsidRPr="00D724FC">
        <w:t>/Consumer Medicine Information (CMI) amendments</w:t>
      </w:r>
    </w:p>
    <w:p w14:paraId="4C3DD620" w14:textId="77777777" w:rsidR="00BF7341" w:rsidRDefault="00BF7341" w:rsidP="00BF7341">
      <w:pPr>
        <w:spacing w:after="0"/>
        <w:rPr>
          <w:bCs/>
        </w:rPr>
      </w:pPr>
      <w:r w:rsidRPr="002848CC">
        <w:rPr>
          <w:bCs/>
        </w:rPr>
        <w:t xml:space="preserve">The </w:t>
      </w:r>
      <w:r w:rsidRPr="00EB5E9B">
        <w:rPr>
          <w:bCs/>
        </w:rPr>
        <w:t xml:space="preserve">ACPM agreed with the </w:t>
      </w:r>
      <w:r w:rsidR="006F017B">
        <w:rPr>
          <w:bCs/>
        </w:rPr>
        <w:t>D</w:t>
      </w:r>
      <w:r w:rsidRPr="00EB5E9B">
        <w:rPr>
          <w:bCs/>
        </w:rPr>
        <w:t xml:space="preserve">elegate to the </w:t>
      </w:r>
      <w:r w:rsidRPr="002848CC">
        <w:rPr>
          <w:bCs/>
        </w:rPr>
        <w:t>proposed amendments to the Product Information and Consumer Medicine Information (CMI) and specifically advised on the inclusion of the following:</w:t>
      </w:r>
    </w:p>
    <w:p w14:paraId="4C3DD621" w14:textId="77777777" w:rsidR="00BF7341" w:rsidRDefault="00BF7341" w:rsidP="009B2564">
      <w:pPr>
        <w:pStyle w:val="ListBullet"/>
      </w:pPr>
      <w:r>
        <w:rPr>
          <w:color w:val="000000" w:themeColor="text1"/>
        </w:rPr>
        <w:t>Amendment of the</w:t>
      </w:r>
      <w:r w:rsidRPr="00EB5E9B">
        <w:t xml:space="preserve"> </w:t>
      </w:r>
      <w:r w:rsidR="006F017B" w:rsidRPr="009202E5">
        <w:rPr>
          <w:rFonts w:cs="Calibri"/>
          <w:noProof/>
        </w:rPr>
        <w:t xml:space="preserve">Dosage </w:t>
      </w:r>
      <w:r w:rsidR="006F017B">
        <w:rPr>
          <w:rFonts w:cs="Calibri"/>
          <w:noProof/>
        </w:rPr>
        <w:t>a</w:t>
      </w:r>
      <w:r w:rsidR="006F017B" w:rsidRPr="009202E5">
        <w:rPr>
          <w:rFonts w:cs="Calibri"/>
          <w:noProof/>
        </w:rPr>
        <w:t xml:space="preserve">nd Administration </w:t>
      </w:r>
      <w:r w:rsidRPr="00EB5E9B">
        <w:t>section</w:t>
      </w:r>
      <w:r>
        <w:t xml:space="preserve"> </w:t>
      </w:r>
      <w:r w:rsidRPr="00EB5E9B">
        <w:t xml:space="preserve">of the </w:t>
      </w:r>
      <w:r w:rsidR="009B2564" w:rsidRPr="009B2564">
        <w:t>Product Information</w:t>
      </w:r>
      <w:r w:rsidRPr="00EB5E9B">
        <w:t xml:space="preserve"> and relevant section of the CMI that </w:t>
      </w:r>
      <w:proofErr w:type="spellStart"/>
      <w:r w:rsidR="00D80B0A">
        <w:t>Zepatier</w:t>
      </w:r>
      <w:proofErr w:type="spellEnd"/>
      <w:r w:rsidRPr="00EB5E9B">
        <w:t xml:space="preserve"> is indicated in </w:t>
      </w:r>
      <w:r>
        <w:t xml:space="preserve">HCV </w:t>
      </w:r>
      <w:r w:rsidRPr="00EB5E9B">
        <w:t>genotypes 1</w:t>
      </w:r>
      <w:r>
        <w:t xml:space="preserve"> and </w:t>
      </w:r>
      <w:r w:rsidRPr="00EB5E9B">
        <w:t>4</w:t>
      </w:r>
      <w:r>
        <w:t xml:space="preserve"> only.</w:t>
      </w:r>
    </w:p>
    <w:p w14:paraId="4C3DD622" w14:textId="77777777" w:rsidR="00BF7341" w:rsidRPr="00B83EAA" w:rsidRDefault="00BF7341" w:rsidP="006F017B">
      <w:pPr>
        <w:pStyle w:val="ListBullet"/>
      </w:pPr>
      <w:r>
        <w:rPr>
          <w:color w:val="000000" w:themeColor="text1"/>
        </w:rPr>
        <w:t xml:space="preserve">Removal of statement from the </w:t>
      </w:r>
      <w:r w:rsidR="006F017B" w:rsidRPr="009202E5">
        <w:rPr>
          <w:rFonts w:cs="Calibri"/>
          <w:noProof/>
        </w:rPr>
        <w:t xml:space="preserve">Dosage </w:t>
      </w:r>
      <w:r w:rsidR="006F017B">
        <w:rPr>
          <w:rFonts w:cs="Calibri"/>
          <w:noProof/>
        </w:rPr>
        <w:t>a</w:t>
      </w:r>
      <w:r w:rsidR="006F017B" w:rsidRPr="009202E5">
        <w:rPr>
          <w:rFonts w:cs="Calibri"/>
          <w:noProof/>
        </w:rPr>
        <w:t>nd Administration</w:t>
      </w:r>
      <w:r w:rsidR="006F017B">
        <w:rPr>
          <w:rFonts w:cs="Calibri"/>
          <w:noProof/>
        </w:rPr>
        <w:t xml:space="preserve"> </w:t>
      </w:r>
      <w:r>
        <w:rPr>
          <w:rFonts w:cs="Calibri"/>
          <w:noProof/>
        </w:rPr>
        <w:t>that proposed optional 8 weeks treatment in genotype 1b naïve patients.</w:t>
      </w:r>
    </w:p>
    <w:p w14:paraId="4C3DD623" w14:textId="423C7CCD" w:rsidR="00BF7341" w:rsidRPr="006F017B" w:rsidRDefault="00BF7341" w:rsidP="006F017B">
      <w:pPr>
        <w:pStyle w:val="Heading5"/>
        <w:rPr>
          <w:highlight w:val="yellow"/>
        </w:rPr>
      </w:pPr>
      <w:r w:rsidRPr="00D724FC">
        <w:t xml:space="preserve">Specific </w:t>
      </w:r>
      <w:r w:rsidR="008A3333" w:rsidRPr="00D724FC">
        <w:t>ad</w:t>
      </w:r>
      <w:r w:rsidRPr="00D724FC">
        <w:t>vice</w:t>
      </w:r>
    </w:p>
    <w:p w14:paraId="4C3DD624" w14:textId="77777777" w:rsidR="00BF7341" w:rsidRPr="005733AE" w:rsidRDefault="00BF7341" w:rsidP="00BF7341">
      <w:pPr>
        <w:rPr>
          <w:b/>
          <w:bCs/>
          <w:iCs/>
          <w:highlight w:val="yellow"/>
        </w:rPr>
      </w:pPr>
      <w:r w:rsidRPr="001E711E">
        <w:rPr>
          <w:rFonts w:cs="Arial"/>
        </w:rPr>
        <w:t>The ACPM advi</w:t>
      </w:r>
      <w:r>
        <w:rPr>
          <w:rFonts w:cs="Arial"/>
        </w:rPr>
        <w:t>s</w:t>
      </w:r>
      <w:r w:rsidRPr="001E711E">
        <w:rPr>
          <w:rFonts w:cs="Arial"/>
        </w:rPr>
        <w:t>ed th</w:t>
      </w:r>
      <w:r w:rsidR="006F017B">
        <w:rPr>
          <w:rFonts w:cs="Arial"/>
        </w:rPr>
        <w:t>e following in response to the D</w:t>
      </w:r>
      <w:r w:rsidRPr="001E711E">
        <w:rPr>
          <w:rFonts w:cs="Arial"/>
        </w:rPr>
        <w:t>elegate’s specific questions on this submission:</w:t>
      </w:r>
    </w:p>
    <w:p w14:paraId="4C3DD625" w14:textId="77777777" w:rsidR="00BF7341" w:rsidRPr="00AE1666" w:rsidRDefault="00BF7341" w:rsidP="006F017B">
      <w:pPr>
        <w:pStyle w:val="Numberbullet0"/>
        <w:numPr>
          <w:ilvl w:val="0"/>
          <w:numId w:val="19"/>
        </w:numPr>
        <w:rPr>
          <w:noProof/>
        </w:rPr>
      </w:pPr>
      <w:r w:rsidRPr="00AE1666">
        <w:rPr>
          <w:noProof/>
        </w:rPr>
        <w:t xml:space="preserve">Does the ACPM support the proposed instructions for Dosage </w:t>
      </w:r>
      <w:r w:rsidR="006F017B">
        <w:rPr>
          <w:noProof/>
        </w:rPr>
        <w:t>and</w:t>
      </w:r>
      <w:r w:rsidRPr="00AE1666">
        <w:rPr>
          <w:noProof/>
        </w:rPr>
        <w:t xml:space="preserve"> Administration in HCV genotypes 1, 4 and 6 patients, including no requirement for baseline NS5A testing in GT-1a patients?</w:t>
      </w:r>
    </w:p>
    <w:p w14:paraId="4C3DD626" w14:textId="77777777" w:rsidR="00BF7341" w:rsidRPr="00AE1666" w:rsidRDefault="00BF7341" w:rsidP="006F017B">
      <w:r>
        <w:t xml:space="preserve">Yes, ACPM supports the proposed instructions for </w:t>
      </w:r>
      <w:r>
        <w:rPr>
          <w:bCs/>
          <w:iCs/>
          <w:noProof/>
        </w:rPr>
        <w:t xml:space="preserve">Dosage </w:t>
      </w:r>
      <w:r w:rsidR="006F017B">
        <w:rPr>
          <w:bCs/>
          <w:iCs/>
          <w:noProof/>
        </w:rPr>
        <w:t>and</w:t>
      </w:r>
      <w:r>
        <w:rPr>
          <w:bCs/>
          <w:iCs/>
          <w:noProof/>
        </w:rPr>
        <w:t xml:space="preserve"> Administration in HCV genotypes 1 and 4 patients. The ACPM supported the inclusion of information on </w:t>
      </w:r>
      <w:r>
        <w:t xml:space="preserve">baseline NS5A under Pharmacodynamics/Resistance section of the </w:t>
      </w:r>
      <w:r w:rsidR="009B2564" w:rsidRPr="009B2564">
        <w:t>Product Information</w:t>
      </w:r>
      <w:r>
        <w:t xml:space="preserve"> rather than as an inclusion in the Indication or the Dosage </w:t>
      </w:r>
      <w:r w:rsidR="006F017B">
        <w:t>and</w:t>
      </w:r>
      <w:r>
        <w:t xml:space="preserve"> Administration sections.</w:t>
      </w:r>
    </w:p>
    <w:p w14:paraId="4C3DD627" w14:textId="77777777" w:rsidR="00BF7341" w:rsidRDefault="00BF7341" w:rsidP="006F017B">
      <w:pPr>
        <w:pStyle w:val="Numberbullet0"/>
        <w:rPr>
          <w:noProof/>
        </w:rPr>
      </w:pPr>
      <w:r w:rsidRPr="00AE1666">
        <w:rPr>
          <w:noProof/>
        </w:rPr>
        <w:lastRenderedPageBreak/>
        <w:t xml:space="preserve">Does the ACPM support the proposed use of triple DAA therapy (with sofosbuvir) in HCV genotype 3 patients based on preliminary evidence from a </w:t>
      </w:r>
      <w:r w:rsidR="004A28A8">
        <w:rPr>
          <w:noProof/>
        </w:rPr>
        <w:t>Phase II</w:t>
      </w:r>
      <w:r w:rsidRPr="00AE1666">
        <w:rPr>
          <w:noProof/>
        </w:rPr>
        <w:t xml:space="preserve"> trial (N=41)?</w:t>
      </w:r>
    </w:p>
    <w:p w14:paraId="4C3DD628" w14:textId="77777777" w:rsidR="00BF7341" w:rsidRPr="00AE1666" w:rsidRDefault="00BF7341" w:rsidP="006F017B">
      <w:r>
        <w:t xml:space="preserve">This is based on an early very small study. The ACPM noted the ongoing clinical trial in HCV genotype 3 patients identified by the sponsor in its pre-ACPM response and recommended that a separate future submission based on larger dataset will be appropriate to assess the use of </w:t>
      </w:r>
      <w:proofErr w:type="spellStart"/>
      <w:r w:rsidR="00D80B0A">
        <w:t>Zepatier</w:t>
      </w:r>
      <w:proofErr w:type="spellEnd"/>
      <w:r>
        <w:t xml:space="preserve"> in HCV genotype 3 </w:t>
      </w:r>
      <w:proofErr w:type="gramStart"/>
      <w:r>
        <w:t>infection</w:t>
      </w:r>
      <w:proofErr w:type="gramEnd"/>
      <w:r>
        <w:t>.</w:t>
      </w:r>
    </w:p>
    <w:p w14:paraId="4C3DD629" w14:textId="77777777" w:rsidR="00BF7341" w:rsidRDefault="00BF7341" w:rsidP="006F017B">
      <w:pPr>
        <w:pStyle w:val="Numberbullet0"/>
        <w:rPr>
          <w:noProof/>
        </w:rPr>
      </w:pPr>
      <w:r w:rsidRPr="00AE1666">
        <w:rPr>
          <w:noProof/>
        </w:rPr>
        <w:t>Does the ACPM propose any additional efficacy data or post market surveillance activities?</w:t>
      </w:r>
    </w:p>
    <w:p w14:paraId="4C3DD62A" w14:textId="77777777" w:rsidR="00BF7341" w:rsidRPr="00AE1666" w:rsidRDefault="00BF7341" w:rsidP="00BF7341">
      <w:r>
        <w:t>Yes, this would be particularly important for GT4 subjects of whom numbers were small.</w:t>
      </w:r>
    </w:p>
    <w:p w14:paraId="4C3DD62B" w14:textId="77777777" w:rsidR="00BF7341" w:rsidRPr="00423F89" w:rsidRDefault="00BF7341" w:rsidP="00BF7341">
      <w:pPr>
        <w:rPr>
          <w:bCs/>
        </w:rPr>
      </w:pPr>
      <w:r w:rsidRPr="002848CC">
        <w:rPr>
          <w:bCs/>
        </w:rPr>
        <w:t>The ACPM advised that implementation by the sponsor of the recommendations outlined above to the satisfaction of the TGA, in addition to the evidence of efficacy and safety provided would support the</w:t>
      </w:r>
      <w:r>
        <w:rPr>
          <w:bCs/>
        </w:rPr>
        <w:t xml:space="preserve"> safe and effective use of this</w:t>
      </w:r>
      <w:r w:rsidRPr="002848CC">
        <w:rPr>
          <w:bCs/>
        </w:rPr>
        <w:t xml:space="preserve"> product</w:t>
      </w:r>
      <w:r>
        <w:rPr>
          <w:bCs/>
        </w:rPr>
        <w:t>.</w:t>
      </w:r>
    </w:p>
    <w:p w14:paraId="4C3DD62C" w14:textId="77777777" w:rsidR="008E7846" w:rsidRPr="002E238E" w:rsidRDefault="008E7846" w:rsidP="008E7846">
      <w:pPr>
        <w:pStyle w:val="Heading3"/>
      </w:pPr>
      <w:bookmarkStart w:id="179" w:name="_Toc247691532"/>
      <w:bookmarkStart w:id="180" w:name="_Toc314842516"/>
      <w:bookmarkStart w:id="181" w:name="_Toc484510908"/>
      <w:bookmarkEnd w:id="104"/>
      <w:bookmarkEnd w:id="176"/>
      <w:bookmarkEnd w:id="177"/>
      <w:r>
        <w:t>Outcome</w:t>
      </w:r>
      <w:bookmarkEnd w:id="179"/>
      <w:bookmarkEnd w:id="180"/>
      <w:bookmarkEnd w:id="181"/>
    </w:p>
    <w:p w14:paraId="4C3DD62D" w14:textId="77777777" w:rsidR="00D23139" w:rsidRPr="00D23139" w:rsidRDefault="00D23139" w:rsidP="00D23139">
      <w:bookmarkStart w:id="182" w:name="_Toc247691533"/>
      <w:bookmarkStart w:id="183" w:name="_Toc314842517"/>
      <w:r w:rsidRPr="00D23139">
        <w:t xml:space="preserve">Based on a review of quality, safety and efficacy, TGA approved the registration of </w:t>
      </w:r>
      <w:proofErr w:type="spellStart"/>
      <w:r w:rsidR="00D80B0A">
        <w:t>Zepatier</w:t>
      </w:r>
      <w:proofErr w:type="spellEnd"/>
      <w:r w:rsidR="00C7769E">
        <w:t xml:space="preserve"> </w:t>
      </w:r>
      <w:r w:rsidR="002437C0">
        <w:t>EBR</w:t>
      </w:r>
      <w:r w:rsidR="00C7769E" w:rsidRPr="00C7769E">
        <w:t>/</w:t>
      </w:r>
      <w:r w:rsidR="002437C0">
        <w:t>GZR</w:t>
      </w:r>
      <w:r w:rsidRPr="00D23139">
        <w:t xml:space="preserve"> </w:t>
      </w:r>
      <w:r w:rsidR="00C7769E">
        <w:t xml:space="preserve">50/100 mg </w:t>
      </w:r>
      <w:r w:rsidRPr="00D23139">
        <w:t xml:space="preserve">for </w:t>
      </w:r>
      <w:r w:rsidR="00C7769E">
        <w:t>oral administration</w:t>
      </w:r>
      <w:r w:rsidRPr="00D23139">
        <w:t>, indicated for:</w:t>
      </w:r>
    </w:p>
    <w:p w14:paraId="4C3DD62E" w14:textId="77777777" w:rsidR="00D23139" w:rsidRPr="00C7769E" w:rsidRDefault="00D80B0A" w:rsidP="00C7769E">
      <w:pPr>
        <w:ind w:left="720"/>
        <w:rPr>
          <w:i/>
        </w:rPr>
      </w:pPr>
      <w:proofErr w:type="spellStart"/>
      <w:r>
        <w:rPr>
          <w:i/>
        </w:rPr>
        <w:t>Zepatier</w:t>
      </w:r>
      <w:proofErr w:type="spellEnd"/>
      <w:r w:rsidR="00C7769E" w:rsidRPr="00C7769E">
        <w:rPr>
          <w:i/>
        </w:rPr>
        <w:t xml:space="preserve"> is indicated for the treatment of Chronic Hepatitis C genotype 1 or 4 infection in adults (see </w:t>
      </w:r>
      <w:r w:rsidR="006F017B">
        <w:rPr>
          <w:i/>
        </w:rPr>
        <w:t>Dosage a</w:t>
      </w:r>
      <w:r w:rsidR="006F017B" w:rsidRPr="00C7769E">
        <w:rPr>
          <w:i/>
        </w:rPr>
        <w:t xml:space="preserve">nd Administration </w:t>
      </w:r>
      <w:r w:rsidR="00C7769E" w:rsidRPr="00C7769E">
        <w:rPr>
          <w:i/>
        </w:rPr>
        <w:t xml:space="preserve">and </w:t>
      </w:r>
      <w:r w:rsidR="006F017B" w:rsidRPr="00C7769E">
        <w:rPr>
          <w:i/>
        </w:rPr>
        <w:t>Clinical Trials</w:t>
      </w:r>
      <w:r w:rsidR="00C7769E" w:rsidRPr="00C7769E">
        <w:rPr>
          <w:i/>
        </w:rPr>
        <w:t>).</w:t>
      </w:r>
    </w:p>
    <w:p w14:paraId="4C3DD62F" w14:textId="77777777" w:rsidR="00D23139" w:rsidRPr="00D23139" w:rsidRDefault="00D23139" w:rsidP="00D23139">
      <w:pPr>
        <w:pStyle w:val="Heading4"/>
      </w:pPr>
      <w:r w:rsidRPr="00D23139">
        <w:t>Specific conditions of registration applying to these goods</w:t>
      </w:r>
    </w:p>
    <w:p w14:paraId="4C3DD630" w14:textId="77777777" w:rsidR="00D23139" w:rsidRPr="00D23139" w:rsidRDefault="00C7769E" w:rsidP="006F017B">
      <w:r w:rsidRPr="00C7769E">
        <w:t xml:space="preserve">Risk Management Plan for the </w:t>
      </w:r>
      <w:proofErr w:type="spellStart"/>
      <w:r w:rsidR="00D80B0A">
        <w:t>Zepatier</w:t>
      </w:r>
      <w:proofErr w:type="spellEnd"/>
      <w:r w:rsidRPr="00C7769E">
        <w:t xml:space="preserve"> (</w:t>
      </w:r>
      <w:r w:rsidR="002437C0">
        <w:t>EBR</w:t>
      </w:r>
      <w:r w:rsidRPr="00C7769E">
        <w:t xml:space="preserve">/ </w:t>
      </w:r>
      <w:r w:rsidR="002437C0">
        <w:t>GZR</w:t>
      </w:r>
      <w:r w:rsidRPr="00C7769E">
        <w:t xml:space="preserve"> 5</w:t>
      </w:r>
      <w:r w:rsidR="004C1037">
        <w:t>0 mg</w:t>
      </w:r>
      <w:r w:rsidRPr="00C7769E">
        <w:t xml:space="preserve"> /10</w:t>
      </w:r>
      <w:r w:rsidR="004C1037">
        <w:t>0 mg</w:t>
      </w:r>
      <w:r w:rsidRPr="00C7769E">
        <w:t>) tablet:</w:t>
      </w:r>
      <w:r w:rsidR="00D80B0A">
        <w:t xml:space="preserve"> </w:t>
      </w:r>
      <w:r w:rsidRPr="00C7769E">
        <w:t>RMP (version 1.3, dated 13 April 2016, data lock point of 26 November 2015) with Australian Specific Annex (version 0.2, dated July 2016), which were submitted with application PM-2015-02428-1-2, and any subsequent revisions, as agreed with the TGA will be implemented in Australia</w:t>
      </w:r>
    </w:p>
    <w:p w14:paraId="4C3DD631" w14:textId="77777777" w:rsidR="008E7846" w:rsidRDefault="00A80B5B" w:rsidP="00D23139">
      <w:pPr>
        <w:pStyle w:val="Heading2"/>
      </w:pPr>
      <w:bookmarkStart w:id="184" w:name="_Toc484510909"/>
      <w:proofErr w:type="gramStart"/>
      <w:r>
        <w:t>Attachment 1.</w:t>
      </w:r>
      <w:proofErr w:type="gramEnd"/>
      <w:r>
        <w:t xml:space="preserve"> </w:t>
      </w:r>
      <w:r w:rsidR="008E7846">
        <w:t xml:space="preserve">Product </w:t>
      </w:r>
      <w:r w:rsidR="00AA0ED0">
        <w:t>I</w:t>
      </w:r>
      <w:r w:rsidR="008E7846">
        <w:t>nformation</w:t>
      </w:r>
      <w:bookmarkEnd w:id="182"/>
      <w:bookmarkEnd w:id="183"/>
      <w:bookmarkEnd w:id="184"/>
    </w:p>
    <w:p w14:paraId="4C3DD632" w14:textId="77777777" w:rsidR="00C80137" w:rsidRDefault="006136D7" w:rsidP="00C80137">
      <w:pPr>
        <w:rPr>
          <w:color w:val="000000"/>
          <w:lang w:eastAsia="en-AU"/>
        </w:rPr>
      </w:pPr>
      <w:r w:rsidRPr="002B3624">
        <w:t xml:space="preserve">The </w:t>
      </w:r>
      <w:r w:rsidR="009B2564" w:rsidRPr="009B2564">
        <w:t>Product Information</w:t>
      </w:r>
      <w:r w:rsidRPr="002B3624">
        <w:t xml:space="preserve"> for </w:t>
      </w:r>
      <w:proofErr w:type="spellStart"/>
      <w:r w:rsidR="00BF7341">
        <w:t>Zepatier</w:t>
      </w:r>
      <w:proofErr w:type="spellEnd"/>
      <w:r w:rsidRPr="002B3624">
        <w:t xml:space="preserve"> </w:t>
      </w:r>
      <w:r>
        <w:t xml:space="preserve">approved with the submission which is described in </w:t>
      </w:r>
      <w:r w:rsidRPr="002B3624">
        <w:t xml:space="preserve">this AusPAR is at Attachment 1. For the most recent </w:t>
      </w:r>
      <w:r w:rsidR="009B2564" w:rsidRPr="009B2564">
        <w:t>Product Information</w:t>
      </w:r>
      <w:r>
        <w:t>,</w:t>
      </w:r>
      <w:r w:rsidRPr="002B3624">
        <w:t xml:space="preserve"> please refer to the </w:t>
      </w:r>
      <w:r w:rsidRPr="007C6B9B">
        <w:t xml:space="preserve">TGA website at </w:t>
      </w:r>
      <w:r w:rsidR="007C6B9B" w:rsidRPr="007C6B9B">
        <w:t>&lt;</w:t>
      </w:r>
      <w:hyperlink r:id="rId64" w:history="1">
        <w:r w:rsidR="007C6B9B" w:rsidRPr="007C6B9B">
          <w:rPr>
            <w:rStyle w:val="Hyperlink"/>
          </w:rPr>
          <w:t>https://www.tga.gov.au/product-information-pi</w:t>
        </w:r>
      </w:hyperlink>
    </w:p>
    <w:p w14:paraId="4C3DD633" w14:textId="77777777" w:rsidR="00C80137" w:rsidRDefault="00C80137" w:rsidP="00C80137">
      <w:pPr>
        <w:pStyle w:val="Heading2"/>
        <w:rPr>
          <w:lang w:eastAsia="en-AU"/>
        </w:rPr>
      </w:pPr>
      <w:bookmarkStart w:id="185" w:name="_Toc484510910"/>
      <w:proofErr w:type="gramStart"/>
      <w:r>
        <w:rPr>
          <w:lang w:eastAsia="en-AU"/>
        </w:rPr>
        <w:t>Attachment 2.</w:t>
      </w:r>
      <w:proofErr w:type="gramEnd"/>
      <w:r w:rsidR="00A80B5B">
        <w:rPr>
          <w:lang w:eastAsia="en-AU"/>
        </w:rPr>
        <w:t xml:space="preserve"> </w:t>
      </w:r>
      <w:r>
        <w:rPr>
          <w:lang w:eastAsia="en-AU"/>
        </w:rPr>
        <w:t>Extract from the Clinical Evaluation Report</w:t>
      </w:r>
      <w:bookmarkEnd w:id="185"/>
    </w:p>
    <w:p w14:paraId="4C3DD634" w14:textId="77777777" w:rsidR="00291957" w:rsidRDefault="00291957" w:rsidP="00291957">
      <w:pPr>
        <w:rPr>
          <w:lang w:eastAsia="ja-JP"/>
        </w:rPr>
      </w:pPr>
    </w:p>
    <w:p w14:paraId="4C3DD635" w14:textId="77777777" w:rsidR="00C80137" w:rsidRPr="001D043B" w:rsidRDefault="00C80137" w:rsidP="003A7F6C">
      <w:pPr>
        <w:pStyle w:val="TableTitle"/>
        <w:sectPr w:rsidR="00C80137" w:rsidRPr="001D043B" w:rsidSect="00B452CE">
          <w:headerReference w:type="even" r:id="rId65"/>
          <w:headerReference w:type="default" r:id="rId66"/>
          <w:headerReference w:type="first" r:id="rId67"/>
          <w:footerReference w:type="first" r:id="rId6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4C3DD637" w14:textId="77777777" w:rsidTr="00A05FA4">
        <w:trPr>
          <w:trHeight w:hRule="exact" w:val="704"/>
        </w:trPr>
        <w:tc>
          <w:tcPr>
            <w:tcW w:w="9175" w:type="dxa"/>
          </w:tcPr>
          <w:p w14:paraId="4C3DD636" w14:textId="77777777" w:rsidR="001C32CD" w:rsidRPr="00487162" w:rsidRDefault="001C32CD" w:rsidP="00A05FA4">
            <w:pPr>
              <w:pStyle w:val="TGASignoff"/>
            </w:pPr>
            <w:r w:rsidRPr="00487162">
              <w:lastRenderedPageBreak/>
              <w:t>Therapeutic Goods Administration</w:t>
            </w:r>
          </w:p>
        </w:tc>
      </w:tr>
      <w:tr w:rsidR="001C32CD" w:rsidRPr="004C239D" w14:paraId="4C3DD63B" w14:textId="77777777" w:rsidTr="00A05FA4">
        <w:trPr>
          <w:trHeight w:val="1221"/>
        </w:trPr>
        <w:tc>
          <w:tcPr>
            <w:tcW w:w="9175" w:type="dxa"/>
            <w:tcMar>
              <w:top w:w="28" w:type="dxa"/>
            </w:tcMar>
          </w:tcPr>
          <w:p w14:paraId="4C3DD638" w14:textId="77777777" w:rsidR="001C32CD" w:rsidRPr="00487162" w:rsidRDefault="001C32CD" w:rsidP="00A05FA4">
            <w:pPr>
              <w:pStyle w:val="Address"/>
            </w:pPr>
            <w:r w:rsidRPr="00487162">
              <w:t>PO Box 100 Woden ACT 2606 Australia</w:t>
            </w:r>
          </w:p>
          <w:p w14:paraId="4C3DD639" w14:textId="77777777" w:rsidR="001C32CD" w:rsidRPr="00487162" w:rsidRDefault="001C32CD" w:rsidP="00A05FA4">
            <w:pPr>
              <w:pStyle w:val="Address"/>
            </w:pPr>
            <w:r w:rsidRPr="00487162">
              <w:t xml:space="preserve">Email: </w:t>
            </w:r>
            <w:hyperlink r:id="rId69" w:history="1">
              <w:r w:rsidRPr="004C239D">
                <w:rPr>
                  <w:rStyle w:val="Hyperlink"/>
                </w:rPr>
                <w:t>info@tga.gov.au</w:t>
              </w:r>
            </w:hyperlink>
            <w:r w:rsidR="00D80B0A">
              <w:t xml:space="preserve"> </w:t>
            </w:r>
            <w:r w:rsidRPr="00487162">
              <w:t>Phone: 1800 020 653</w:t>
            </w:r>
            <w:r w:rsidR="00D80B0A">
              <w:t xml:space="preserve"> </w:t>
            </w:r>
            <w:r w:rsidRPr="00487162">
              <w:t>Fax: 02 6232 8605</w:t>
            </w:r>
          </w:p>
          <w:p w14:paraId="4C3DD63A" w14:textId="77777777" w:rsidR="001C32CD" w:rsidRPr="004C239D" w:rsidRDefault="00F10344" w:rsidP="00A05FA4">
            <w:pPr>
              <w:pStyle w:val="Address"/>
              <w:spacing w:line="260" w:lineRule="atLeast"/>
              <w:rPr>
                <w:b/>
                <w:color w:val="0000FF"/>
                <w:u w:val="single"/>
              </w:rPr>
            </w:pPr>
            <w:hyperlink r:id="rId70" w:history="1">
              <w:r w:rsidR="007C6B9B" w:rsidRPr="007C6B9B">
                <w:rPr>
                  <w:rStyle w:val="Hyperlink"/>
                  <w:b/>
                </w:rPr>
                <w:t>https://www.tga.gov.au</w:t>
              </w:r>
            </w:hyperlink>
          </w:p>
        </w:tc>
      </w:tr>
    </w:tbl>
    <w:p w14:paraId="4C3DD63C" w14:textId="77777777" w:rsidR="00774E1D" w:rsidRPr="008A5E0B" w:rsidRDefault="00774E1D" w:rsidP="004C239D"/>
    <w:sectPr w:rsidR="00774E1D" w:rsidRPr="008A5E0B" w:rsidSect="001C32CD">
      <w:headerReference w:type="even" r:id="rId71"/>
      <w:headerReference w:type="default" r:id="rId72"/>
      <w:footerReference w:type="default" r:id="rId73"/>
      <w:headerReference w:type="first" r:id="rId74"/>
      <w:footerReference w:type="first" r:id="rId7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3DD6B8" w14:textId="77777777" w:rsidR="0075660C" w:rsidRDefault="0075660C" w:rsidP="00C40A36">
      <w:pPr>
        <w:spacing w:after="0"/>
      </w:pPr>
      <w:r>
        <w:separator/>
      </w:r>
    </w:p>
  </w:endnote>
  <w:endnote w:type="continuationSeparator" w:id="0">
    <w:p w14:paraId="4C3DD6B9" w14:textId="77777777" w:rsidR="0075660C" w:rsidRDefault="0075660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0"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ArialMT">
    <w:altName w:val="MS Mincho"/>
    <w:panose1 w:val="00000000000000000000"/>
    <w:charset w:val="80"/>
    <w:family w:val="auto"/>
    <w:notTrueType/>
    <w:pitch w:val="default"/>
    <w:sig w:usb0="00000003" w:usb1="08070000" w:usb2="00000010" w:usb3="00000000" w:csb0="00020001" w:csb1="00000000"/>
  </w:font>
  <w:font w:name="TimesNewRoman,Bold">
    <w:altName w:val="Arial Unicode MS"/>
    <w:panose1 w:val="00000000000000000000"/>
    <w:charset w:val="86"/>
    <w:family w:val="auto"/>
    <w:notTrueType/>
    <w:pitch w:val="default"/>
    <w:sig w:usb0="00000003" w:usb1="080F0000" w:usb2="00000010" w:usb3="00000000" w:csb0="00060001" w:csb1="00000000"/>
  </w:font>
  <w:font w:name="Arial-BoldMT">
    <w:panose1 w:val="00000000000000000000"/>
    <w:charset w:val="00"/>
    <w:family w:val="swiss"/>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5660C" w:rsidRPr="00487162" w14:paraId="4C3DD6BD" w14:textId="77777777" w:rsidTr="00DB750B">
      <w:trPr>
        <w:trHeight w:val="269"/>
      </w:trPr>
      <w:tc>
        <w:tcPr>
          <w:tcW w:w="7371" w:type="dxa"/>
          <w:tcMar>
            <w:top w:w="142" w:type="dxa"/>
            <w:bottom w:w="0" w:type="dxa"/>
          </w:tcMar>
        </w:tcPr>
        <w:p w14:paraId="754176B2" w14:textId="77777777" w:rsidR="0075660C" w:rsidRDefault="0075660C" w:rsidP="00FA55F6">
          <w:pPr>
            <w:pStyle w:val="Footer"/>
          </w:pPr>
          <w:proofErr w:type="spellStart"/>
          <w:r w:rsidRPr="00487162">
            <w:t>AusPA</w:t>
          </w:r>
          <w:r>
            <w:t>R</w:t>
          </w:r>
          <w:proofErr w:type="spellEnd"/>
          <w:r>
            <w:t xml:space="preserve"> </w:t>
          </w:r>
          <w:proofErr w:type="spellStart"/>
          <w:r>
            <w:t>Zepatier</w:t>
          </w:r>
          <w:proofErr w:type="spellEnd"/>
          <w:r>
            <w:t xml:space="preserve"> </w:t>
          </w:r>
          <w:proofErr w:type="spellStart"/>
          <w:r>
            <w:t>G</w:t>
          </w:r>
          <w:r w:rsidRPr="00B43135">
            <w:t>razoprevir</w:t>
          </w:r>
          <w:proofErr w:type="spellEnd"/>
          <w:r w:rsidRPr="00B43135">
            <w:t xml:space="preserve"> /</w:t>
          </w:r>
          <w:proofErr w:type="spellStart"/>
          <w:r>
            <w:t>E</w:t>
          </w:r>
          <w:r w:rsidRPr="00B43135">
            <w:t>lbasvir</w:t>
          </w:r>
          <w:proofErr w:type="spellEnd"/>
          <w:r w:rsidRPr="00B43135">
            <w:t xml:space="preserve"> </w:t>
          </w:r>
          <w:r w:rsidRPr="001F3FD2">
            <w:t xml:space="preserve">Merck Sharp and </w:t>
          </w:r>
          <w:proofErr w:type="spellStart"/>
          <w:r w:rsidRPr="001F3FD2">
            <w:t>Dohme</w:t>
          </w:r>
          <w:proofErr w:type="spellEnd"/>
          <w:r w:rsidRPr="001F3FD2">
            <w:t xml:space="preserve"> (Australia) Pty Limited</w:t>
          </w:r>
          <w:r>
            <w:t xml:space="preserve"> </w:t>
          </w:r>
        </w:p>
        <w:p w14:paraId="4C3DD6BB" w14:textId="19997BAE" w:rsidR="0075660C" w:rsidRPr="00487162" w:rsidRDefault="0075660C" w:rsidP="008B745A">
          <w:pPr>
            <w:pStyle w:val="Footer"/>
          </w:pPr>
          <w:r>
            <w:t>PM-2015</w:t>
          </w:r>
          <w:r w:rsidRPr="00487162">
            <w:t>-</w:t>
          </w:r>
          <w:r>
            <w:t>02428-1-2 15 May 2017</w:t>
          </w:r>
        </w:p>
      </w:tc>
      <w:tc>
        <w:tcPr>
          <w:tcW w:w="1490" w:type="dxa"/>
          <w:tcMar>
            <w:top w:w="142" w:type="dxa"/>
            <w:bottom w:w="0" w:type="dxa"/>
          </w:tcMar>
        </w:tcPr>
        <w:p w14:paraId="4C3DD6BC" w14:textId="77777777" w:rsidR="0075660C" w:rsidRPr="00487162" w:rsidRDefault="0075660C" w:rsidP="00DB750B">
          <w:pPr>
            <w:pStyle w:val="Footer"/>
            <w:jc w:val="right"/>
          </w:pPr>
          <w:r w:rsidRPr="00487162">
            <w:t xml:space="preserve">Page </w:t>
          </w:r>
          <w:r>
            <w:fldChar w:fldCharType="begin"/>
          </w:r>
          <w:r>
            <w:instrText xml:space="preserve"> PAGE  \* Arabic </w:instrText>
          </w:r>
          <w:r>
            <w:fldChar w:fldCharType="separate"/>
          </w:r>
          <w:r w:rsidR="00F10344">
            <w:rPr>
              <w:noProof/>
            </w:rPr>
            <w:t>92</w:t>
          </w:r>
          <w:r>
            <w:fldChar w:fldCharType="end"/>
          </w:r>
          <w:r w:rsidRPr="00487162">
            <w:t xml:space="preserve"> of </w:t>
          </w:r>
          <w:r w:rsidR="00F10344">
            <w:fldChar w:fldCharType="begin"/>
          </w:r>
          <w:r w:rsidR="00F10344">
            <w:instrText xml:space="preserve"> NUMPAGES  \* Arabic </w:instrText>
          </w:r>
          <w:r w:rsidR="00F10344">
            <w:fldChar w:fldCharType="separate"/>
          </w:r>
          <w:r w:rsidR="00F10344">
            <w:rPr>
              <w:noProof/>
            </w:rPr>
            <w:t>93</w:t>
          </w:r>
          <w:r w:rsidR="00F10344">
            <w:rPr>
              <w:noProof/>
            </w:rPr>
            <w:fldChar w:fldCharType="end"/>
          </w:r>
        </w:p>
      </w:tc>
    </w:tr>
  </w:tbl>
  <w:p w14:paraId="4C3DD6BE" w14:textId="77777777" w:rsidR="0075660C" w:rsidRDefault="0075660C"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5660C" w:rsidRPr="00487162" w14:paraId="4C3DD6C7" w14:textId="77777777" w:rsidTr="00E45619">
      <w:trPr>
        <w:trHeight w:val="269"/>
      </w:trPr>
      <w:tc>
        <w:tcPr>
          <w:tcW w:w="4519" w:type="dxa"/>
          <w:tcBorders>
            <w:top w:val="single" w:sz="4" w:space="0" w:color="auto"/>
          </w:tcBorders>
          <w:tcMar>
            <w:top w:w="142" w:type="dxa"/>
            <w:bottom w:w="0" w:type="dxa"/>
          </w:tcMar>
        </w:tcPr>
        <w:p w14:paraId="4C3DD6C4" w14:textId="77777777" w:rsidR="0075660C" w:rsidRPr="00487162" w:rsidRDefault="0075660C" w:rsidP="00FE1DEE">
          <w:pPr>
            <w:pStyle w:val="Footer"/>
          </w:pPr>
          <w:r w:rsidRPr="00487162">
            <w:t>Document title, Part #, Section # - Section title</w:t>
          </w:r>
        </w:p>
        <w:p w14:paraId="4C3DD6C5" w14:textId="77777777" w:rsidR="0075660C" w:rsidRPr="00487162" w:rsidRDefault="0075660C" w:rsidP="00FE1DEE">
          <w:pPr>
            <w:pStyle w:val="Footer"/>
          </w:pPr>
          <w:r w:rsidRPr="00487162">
            <w:t>V1.0 October 2010</w:t>
          </w:r>
        </w:p>
      </w:tc>
      <w:tc>
        <w:tcPr>
          <w:tcW w:w="4342" w:type="dxa"/>
          <w:tcBorders>
            <w:top w:val="single" w:sz="4" w:space="0" w:color="auto"/>
          </w:tcBorders>
          <w:tcMar>
            <w:top w:w="142" w:type="dxa"/>
            <w:bottom w:w="0" w:type="dxa"/>
          </w:tcMar>
        </w:tcPr>
        <w:p w14:paraId="4C3DD6C6" w14:textId="5F6A5822" w:rsidR="0075660C" w:rsidRPr="00487162" w:rsidRDefault="0075660C"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F10344">
            <w:fldChar w:fldCharType="begin"/>
          </w:r>
          <w:r w:rsidR="00F10344">
            <w:instrText xml:space="preserve"> NUMPAGES  </w:instrText>
          </w:r>
          <w:r w:rsidR="00F10344">
            <w:fldChar w:fldCharType="separate"/>
          </w:r>
          <w:r>
            <w:rPr>
              <w:noProof/>
            </w:rPr>
            <w:t>1</w:t>
          </w:r>
          <w:r w:rsidR="00F10344">
            <w:rPr>
              <w:noProof/>
            </w:rPr>
            <w:fldChar w:fldCharType="end"/>
          </w:r>
        </w:p>
      </w:tc>
    </w:tr>
  </w:tbl>
  <w:p w14:paraId="4C3DD6C8" w14:textId="77777777" w:rsidR="0075660C" w:rsidRDefault="007566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D6CB" w14:textId="77777777" w:rsidR="0075660C" w:rsidRPr="001C32CD" w:rsidRDefault="0075660C"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5660C" w14:paraId="4C3DD6D9" w14:textId="77777777" w:rsidTr="0010601F">
      <w:trPr>
        <w:trHeight w:val="108"/>
      </w:trPr>
      <w:tc>
        <w:tcPr>
          <w:tcW w:w="8875" w:type="dxa"/>
          <w:gridSpan w:val="2"/>
          <w:tcBorders>
            <w:bottom w:val="single" w:sz="4" w:space="0" w:color="auto"/>
          </w:tcBorders>
          <w:tcMar>
            <w:right w:w="284" w:type="dxa"/>
          </w:tcMar>
        </w:tcPr>
        <w:p w14:paraId="4C3DD6CE" w14:textId="77777777" w:rsidR="0075660C" w:rsidRDefault="0075660C" w:rsidP="006E08B3">
          <w:pPr>
            <w:pStyle w:val="Heading3"/>
          </w:pPr>
          <w:r>
            <w:t>Copyright</w:t>
          </w:r>
        </w:p>
        <w:p w14:paraId="4C3DD6CF" w14:textId="77777777" w:rsidR="0075660C" w:rsidRDefault="0075660C" w:rsidP="006E08B3">
          <w:r>
            <w:rPr>
              <w:rFonts w:cs="Arial"/>
            </w:rPr>
            <w:t>©</w:t>
          </w:r>
          <w:r>
            <w:t xml:space="preserve"> Commonwealth of Australia [add year]</w:t>
          </w:r>
        </w:p>
        <w:p w14:paraId="4C3DD6D0" w14:textId="77777777" w:rsidR="0075660C" w:rsidRDefault="0075660C" w:rsidP="006E08B3"/>
        <w:p w14:paraId="4C3DD6D1" w14:textId="77777777" w:rsidR="0075660C" w:rsidRDefault="0075660C"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C3DD6D2" w14:textId="77777777" w:rsidR="0075660C" w:rsidRDefault="0075660C" w:rsidP="006E08B3"/>
        <w:p w14:paraId="4C3DD6D3" w14:textId="77777777" w:rsidR="0075660C" w:rsidRDefault="0075660C" w:rsidP="006E08B3">
          <w:pPr>
            <w:pStyle w:val="Heading3"/>
          </w:pPr>
          <w:r>
            <w:t>Confidentiality</w:t>
          </w:r>
        </w:p>
        <w:p w14:paraId="4C3DD6D4" w14:textId="77777777" w:rsidR="0075660C" w:rsidRDefault="0075660C" w:rsidP="006E08B3">
          <w:r>
            <w:t xml:space="preserve">All submissions received will be placed on the TGA’s Internet site, unless marked confidential. Any confidential material contained within your submission should be provided under a separate cover and clearly marked </w:t>
          </w:r>
          <w:proofErr w:type="gramStart"/>
          <w:r>
            <w:t>‘  IN</w:t>
          </w:r>
          <w:proofErr w:type="gramEnd"/>
          <w:r>
            <w:t xml:space="preserve"> CONFIDENCE’  . Reasons for a claim to confidentiality must be included in the space provided on the TGA submission coversheet.</w:t>
          </w:r>
        </w:p>
        <w:p w14:paraId="4C3DD6D5" w14:textId="77777777" w:rsidR="0075660C" w:rsidRDefault="0075660C" w:rsidP="006E08B3"/>
        <w:p w14:paraId="4C3DD6D6" w14:textId="77777777" w:rsidR="0075660C" w:rsidRDefault="0075660C" w:rsidP="006E08B3">
          <w:r>
            <w:t>For submission made by individuals, all personal details, other than your name, will be removed from your submission before it is published on the TGA’s Internet site.</w:t>
          </w:r>
        </w:p>
        <w:p w14:paraId="4C3DD6D7" w14:textId="77777777" w:rsidR="0075660C" w:rsidRDefault="0075660C" w:rsidP="006E08B3"/>
        <w:p w14:paraId="4C3DD6D8" w14:textId="77777777" w:rsidR="0075660C" w:rsidRDefault="0075660C" w:rsidP="006E08B3">
          <w:r>
            <w:t>In addition, a list of parties making submissions will be published. If you do not wish to be identified with your submission you must specifically request this in the space provided ib the submission coversheet.</w:t>
          </w:r>
        </w:p>
      </w:tc>
    </w:tr>
    <w:tr w:rsidR="0075660C" w14:paraId="4C3DD6DD" w14:textId="77777777" w:rsidTr="0010601F">
      <w:trPr>
        <w:trHeight w:val="417"/>
      </w:trPr>
      <w:tc>
        <w:tcPr>
          <w:tcW w:w="4519" w:type="dxa"/>
          <w:tcBorders>
            <w:top w:val="single" w:sz="4" w:space="0" w:color="auto"/>
          </w:tcBorders>
          <w:tcMar>
            <w:top w:w="142" w:type="dxa"/>
            <w:bottom w:w="0" w:type="dxa"/>
          </w:tcMar>
        </w:tcPr>
        <w:p w14:paraId="4C3DD6DA" w14:textId="77777777" w:rsidR="0075660C" w:rsidRDefault="0075660C" w:rsidP="006E08B3">
          <w:r>
            <w:t>Document title, Part #, Section # - Section title</w:t>
          </w:r>
        </w:p>
        <w:p w14:paraId="4C3DD6DB" w14:textId="77777777" w:rsidR="0075660C" w:rsidRDefault="0075660C" w:rsidP="006E08B3">
          <w:r>
            <w:t>V1.0 October 2010</w:t>
          </w:r>
        </w:p>
      </w:tc>
      <w:tc>
        <w:tcPr>
          <w:tcW w:w="4356" w:type="dxa"/>
          <w:tcBorders>
            <w:top w:val="single" w:sz="4" w:space="0" w:color="auto"/>
          </w:tcBorders>
          <w:tcMar>
            <w:top w:w="142" w:type="dxa"/>
            <w:bottom w:w="0" w:type="dxa"/>
          </w:tcMar>
        </w:tcPr>
        <w:p w14:paraId="4C3DD6DC" w14:textId="66EB8759" w:rsidR="0075660C" w:rsidRDefault="0075660C"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F10344">
            <w:fldChar w:fldCharType="begin"/>
          </w:r>
          <w:r w:rsidR="00F10344">
            <w:instrText xml:space="preserve"> NUMPAGES  \* Arabic </w:instrText>
          </w:r>
          <w:r w:rsidR="00F10344">
            <w:fldChar w:fldCharType="separate"/>
          </w:r>
          <w:r>
            <w:rPr>
              <w:noProof/>
            </w:rPr>
            <w:t>1</w:t>
          </w:r>
          <w:r w:rsidR="00F10344">
            <w:rPr>
              <w:noProof/>
            </w:rPr>
            <w:fldChar w:fldCharType="end"/>
          </w:r>
          <w:r>
            <w:t xml:space="preserve"> </w:t>
          </w:r>
        </w:p>
      </w:tc>
    </w:tr>
  </w:tbl>
  <w:p w14:paraId="4C3DD6DE" w14:textId="77777777" w:rsidR="0075660C" w:rsidRDefault="007566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3DD6B6" w14:textId="77777777" w:rsidR="0075660C" w:rsidRDefault="0075660C" w:rsidP="00C40A36">
      <w:pPr>
        <w:spacing w:after="0"/>
      </w:pPr>
      <w:r>
        <w:separator/>
      </w:r>
    </w:p>
  </w:footnote>
  <w:footnote w:type="continuationSeparator" w:id="0">
    <w:p w14:paraId="4C3DD6B7" w14:textId="77777777" w:rsidR="0075660C" w:rsidRDefault="0075660C" w:rsidP="00C40A36">
      <w:pPr>
        <w:spacing w:after="0"/>
      </w:pPr>
      <w:r>
        <w:continuationSeparator/>
      </w:r>
    </w:p>
  </w:footnote>
  <w:footnote w:id="1">
    <w:p w14:paraId="4C3DD6E3" w14:textId="77777777" w:rsidR="0075660C" w:rsidRPr="00CD22A7" w:rsidRDefault="0075660C" w:rsidP="006705E6">
      <w:pPr>
        <w:pStyle w:val="FootnoteText"/>
        <w:rPr>
          <w:lang w:val="en-US"/>
        </w:rPr>
      </w:pPr>
      <w:r>
        <w:rPr>
          <w:rStyle w:val="FootnoteReference"/>
        </w:rPr>
        <w:footnoteRef/>
      </w:r>
      <w:r>
        <w:t xml:space="preserve"> </w:t>
      </w:r>
      <w:r w:rsidRPr="00CD22A7">
        <w:t xml:space="preserve">Guidance On </w:t>
      </w:r>
      <w:proofErr w:type="spellStart"/>
      <w:r w:rsidRPr="00CD22A7">
        <w:t>Genotoxicity</w:t>
      </w:r>
      <w:proofErr w:type="spellEnd"/>
      <w:r w:rsidRPr="00CD22A7">
        <w:t xml:space="preserve"> Testing And </w:t>
      </w:r>
      <w:r w:rsidRPr="006705E6">
        <w:t>Data</w:t>
      </w:r>
      <w:r w:rsidRPr="00CD22A7">
        <w:t xml:space="preserve"> Interpretation For Pharmaceuticals Intended For Human Use</w:t>
      </w:r>
    </w:p>
  </w:footnote>
  <w:footnote w:id="2">
    <w:p w14:paraId="4C3DD6E4" w14:textId="77777777" w:rsidR="0075660C" w:rsidRPr="00305E23" w:rsidRDefault="0075660C" w:rsidP="006705E6">
      <w:pPr>
        <w:pStyle w:val="FootnoteText"/>
        <w:rPr>
          <w:lang w:val="en-US"/>
        </w:rPr>
      </w:pPr>
      <w:r>
        <w:rPr>
          <w:rStyle w:val="FootnoteReference"/>
        </w:rPr>
        <w:footnoteRef/>
      </w:r>
      <w:r>
        <w:t xml:space="preserve"> Guideline </w:t>
      </w:r>
      <w:proofErr w:type="gramStart"/>
      <w:r>
        <w:t>On</w:t>
      </w:r>
      <w:proofErr w:type="gramEnd"/>
      <w:r>
        <w:t xml:space="preserve"> The Need For </w:t>
      </w:r>
      <w:r w:rsidRPr="006705E6">
        <w:t>Carcinogenicity</w:t>
      </w:r>
      <w:r>
        <w:t xml:space="preserve"> Studies Of Pharmaceuticals S1A.</w:t>
      </w:r>
    </w:p>
  </w:footnote>
  <w:footnote w:id="3">
    <w:p w14:paraId="4C3DD6E5" w14:textId="77777777" w:rsidR="0075660C" w:rsidRDefault="0075660C" w:rsidP="006705E6">
      <w:pPr>
        <w:pStyle w:val="FootnoteText"/>
      </w:pPr>
      <w:r>
        <w:rPr>
          <w:rStyle w:val="FootnoteReference"/>
        </w:rPr>
        <w:footnoteRef/>
      </w:r>
      <w:r>
        <w:t xml:space="preserve"> Drugs </w:t>
      </w:r>
      <w:r w:rsidRPr="006705E6">
        <w:t>which</w:t>
      </w:r>
      <w:r>
        <w:t xml:space="preserve"> have been taken by only a limited number of pregnant women and women of childbearing age, without an increase in the frequency of malformation or other direct or indirect harmful effects on the human fetus having been observed.</w:t>
      </w:r>
    </w:p>
    <w:p w14:paraId="4C3DD6E6" w14:textId="77777777" w:rsidR="0075660C" w:rsidRPr="00F8211D" w:rsidRDefault="0075660C" w:rsidP="00F8211D">
      <w:pPr>
        <w:pStyle w:val="FootnoteText"/>
        <w:rPr>
          <w:lang w:val="en-US"/>
        </w:rPr>
      </w:pPr>
      <w:r>
        <w:t>Studies in animals have not shown evidence of an increased occurrence of fetal damage.</w:t>
      </w:r>
    </w:p>
  </w:footnote>
  <w:footnote w:id="4">
    <w:p w14:paraId="4C3DD6E7" w14:textId="77777777" w:rsidR="0075660C" w:rsidRPr="00F8211D" w:rsidRDefault="0075660C">
      <w:pPr>
        <w:pStyle w:val="FootnoteText"/>
        <w:rPr>
          <w:lang w:val="en-US"/>
        </w:rPr>
      </w:pPr>
      <w:r>
        <w:rPr>
          <w:rStyle w:val="FootnoteReference"/>
        </w:rPr>
        <w:footnoteRef/>
      </w:r>
      <w:r>
        <w:t xml:space="preserve"> </w:t>
      </w:r>
      <w:r w:rsidRPr="00F8211D">
        <w:t>Drugs which have such a high risk of causing permanent damage to the fetus that they should not be used in pregnancy or when there is a possibility of pregnancy.</w:t>
      </w:r>
    </w:p>
  </w:footnote>
  <w:footnote w:id="5">
    <w:p w14:paraId="4C3DD6E8" w14:textId="77777777" w:rsidR="0075660C" w:rsidRPr="002165BD" w:rsidRDefault="0075660C" w:rsidP="001168B2">
      <w:pPr>
        <w:pStyle w:val="FootnoteText"/>
        <w:rPr>
          <w:lang w:val="en-US"/>
        </w:rPr>
      </w:pPr>
      <w:r>
        <w:rPr>
          <w:rStyle w:val="FootnoteReference"/>
        </w:rPr>
        <w:footnoteRef/>
      </w:r>
      <w:r>
        <w:t xml:space="preserve"> </w:t>
      </w:r>
      <w:r w:rsidRPr="002165BD">
        <w:t>EMEA/CHMP/</w:t>
      </w:r>
      <w:r w:rsidRPr="001168B2">
        <w:t>EWP</w:t>
      </w:r>
      <w:r w:rsidRPr="002165BD">
        <w:t>/30039/2008, published in 2009</w:t>
      </w:r>
    </w:p>
  </w:footnote>
  <w:footnote w:id="6">
    <w:p w14:paraId="4C3DD6E9" w14:textId="77777777" w:rsidR="0075660C" w:rsidRPr="00A04811" w:rsidRDefault="0075660C" w:rsidP="001168B2">
      <w:pPr>
        <w:pStyle w:val="FootnoteText"/>
      </w:pPr>
      <w:r w:rsidRPr="00A04811">
        <w:rPr>
          <w:rStyle w:val="FootnoteReference"/>
          <w:rFonts w:asciiTheme="minorHAnsi" w:hAnsiTheme="minorHAnsi"/>
          <w:szCs w:val="18"/>
        </w:rPr>
        <w:footnoteRef/>
      </w:r>
      <w:r w:rsidRPr="00A04811">
        <w:t xml:space="preserve"> The total number of subjects in studies/arms with completed exposure who received any dose of GZR in the Phase 2 and 3 studies as of 27-Mar-2015 is 2486 (1389 SE + 1097 FDC). This number includes subjects originally reassigned to GZR, GZR and EBR or GZR/EBR as well as those originally assigned to placebo who later received GZR and EBR or GZR/EBR. This number does not include the active portions of the deferred treatment groups of </w:t>
      </w:r>
      <w:r w:rsidRPr="001168B2">
        <w:t>Protocol</w:t>
      </w:r>
      <w:r w:rsidRPr="00A04811">
        <w:t xml:space="preserve"> 060 and Protocol 052 as these arms had ongoing exposure nor does it include studies P062 and P065, as both studies remained blinded as of 18-Feb-2015</w:t>
      </w:r>
    </w:p>
  </w:footnote>
  <w:footnote w:id="7">
    <w:p w14:paraId="4C3DD6EA" w14:textId="77777777" w:rsidR="0075660C" w:rsidRPr="009B2564" w:rsidRDefault="0075660C" w:rsidP="001168B2">
      <w:pPr>
        <w:pStyle w:val="FootnoteText"/>
      </w:pPr>
      <w:r w:rsidRPr="009B2564">
        <w:rPr>
          <w:rStyle w:val="FootnoteReference"/>
          <w:rFonts w:asciiTheme="minorHAnsi" w:hAnsiTheme="minorHAnsi"/>
          <w:szCs w:val="18"/>
        </w:rPr>
        <w:footnoteRef/>
      </w:r>
      <w:r>
        <w:t>D</w:t>
      </w:r>
      <w:r w:rsidRPr="009B2564">
        <w:t xml:space="preserve">etection of an ECI </w:t>
      </w:r>
      <w:r w:rsidRPr="001168B2">
        <w:t>in</w:t>
      </w:r>
      <w:r w:rsidRPr="009B2564">
        <w:t xml:space="preserve"> a given subject would prompt further monitoring and testing</w:t>
      </w:r>
    </w:p>
  </w:footnote>
  <w:footnote w:id="8">
    <w:p w14:paraId="4C3DD6EB" w14:textId="77777777" w:rsidR="0075660C" w:rsidRDefault="0075660C" w:rsidP="00BF7341">
      <w:pPr>
        <w:pStyle w:val="FootnoteText"/>
      </w:pPr>
      <w:r>
        <w:rPr>
          <w:rStyle w:val="FootnoteReference"/>
        </w:rPr>
        <w:footnoteRef/>
      </w:r>
      <w:r>
        <w:t xml:space="preserve"> </w:t>
      </w:r>
      <w:r>
        <w:rPr>
          <w:szCs w:val="18"/>
        </w:rPr>
        <w:t>P</w:t>
      </w:r>
      <w:r w:rsidRPr="00AC75DF">
        <w:rPr>
          <w:szCs w:val="18"/>
        </w:rPr>
        <w:t>lasma HCV RNA &lt;25 IU/mL at 12 weeks after the</w:t>
      </w:r>
      <w:r>
        <w:rPr>
          <w:szCs w:val="18"/>
        </w:rPr>
        <w:t xml:space="preserve"> end of study treatment,</w:t>
      </w:r>
      <w:r w:rsidRPr="00AC75DF">
        <w:rPr>
          <w:szCs w:val="18"/>
        </w:rPr>
        <w:t xml:space="preserve"> after becoming undetectable at </w:t>
      </w:r>
      <w:r>
        <w:rPr>
          <w:szCs w:val="18"/>
        </w:rPr>
        <w:t xml:space="preserve">the end of </w:t>
      </w:r>
      <w:r w:rsidRPr="00AC75DF">
        <w:rPr>
          <w:szCs w:val="18"/>
        </w:rPr>
        <w:t>treatment</w:t>
      </w:r>
      <w:r>
        <w:rPr>
          <w:szCs w:val="18"/>
        </w:rPr>
        <w:t>, indicative of sustained response.</w:t>
      </w:r>
    </w:p>
  </w:footnote>
  <w:footnote w:id="9">
    <w:p w14:paraId="4C3DD6EC" w14:textId="77777777" w:rsidR="0075660C" w:rsidRPr="00C87B60" w:rsidRDefault="0075660C" w:rsidP="00C87B60">
      <w:pPr>
        <w:pStyle w:val="FootnoteText"/>
        <w:rPr>
          <w:szCs w:val="18"/>
          <w:lang w:val="en-US"/>
        </w:rPr>
      </w:pPr>
      <w:r w:rsidRPr="00C87B60">
        <w:rPr>
          <w:rStyle w:val="FootnoteReference"/>
          <w:szCs w:val="18"/>
        </w:rPr>
        <w:footnoteRef/>
      </w:r>
      <w:r w:rsidRPr="00C87B60">
        <w:rPr>
          <w:szCs w:val="18"/>
        </w:rPr>
        <w:t xml:space="preserve">US EPCLUSA </w:t>
      </w:r>
      <w:proofErr w:type="spellStart"/>
      <w:r w:rsidRPr="00C87B60">
        <w:rPr>
          <w:szCs w:val="18"/>
        </w:rPr>
        <w:t>sofosbuvir</w:t>
      </w:r>
      <w:proofErr w:type="spellEnd"/>
      <w:r w:rsidRPr="00C87B60">
        <w:rPr>
          <w:szCs w:val="18"/>
        </w:rPr>
        <w:t>/</w:t>
      </w:r>
      <w:proofErr w:type="spellStart"/>
      <w:r w:rsidRPr="00C87B60">
        <w:rPr>
          <w:szCs w:val="18"/>
        </w:rPr>
        <w:t>velpatasvir</w:t>
      </w:r>
      <w:proofErr w:type="spellEnd"/>
      <w:r w:rsidRPr="00C87B60">
        <w:rPr>
          <w:szCs w:val="18"/>
        </w:rPr>
        <w:t xml:space="preserve"> Product Information </w:t>
      </w:r>
    </w:p>
  </w:footnote>
  <w:footnote w:id="10">
    <w:p w14:paraId="4C3DD6ED" w14:textId="77777777" w:rsidR="0075660C" w:rsidRPr="00C87B60" w:rsidRDefault="0075660C" w:rsidP="00C87B60">
      <w:pPr>
        <w:pStyle w:val="FootnoteText"/>
        <w:rPr>
          <w:szCs w:val="18"/>
          <w:lang w:val="en-US"/>
        </w:rPr>
      </w:pPr>
      <w:r w:rsidRPr="00C87B60">
        <w:rPr>
          <w:rStyle w:val="FootnoteReference"/>
          <w:szCs w:val="18"/>
        </w:rPr>
        <w:footnoteRef/>
      </w:r>
      <w:r w:rsidRPr="00C87B60">
        <w:rPr>
          <w:szCs w:val="18"/>
        </w:rPr>
        <w:t>Gastroenterological Society of Australia ‘  Australian recommendations for the management of hepatitis C infection: a consensus statement 2016’   March 2016</w:t>
      </w:r>
    </w:p>
  </w:footnote>
  <w:footnote w:id="11">
    <w:p w14:paraId="4C3DD6EE" w14:textId="77777777" w:rsidR="0075660C" w:rsidRPr="00C87B60" w:rsidRDefault="0075660C" w:rsidP="00C87B60">
      <w:pPr>
        <w:pStyle w:val="FootnoteText"/>
        <w:rPr>
          <w:szCs w:val="18"/>
          <w:lang w:val="en-US"/>
        </w:rPr>
      </w:pPr>
      <w:r w:rsidRPr="00C87B60">
        <w:rPr>
          <w:rStyle w:val="FootnoteReference"/>
          <w:szCs w:val="18"/>
        </w:rPr>
        <w:footnoteRef/>
      </w:r>
      <w:r w:rsidRPr="00C87B60">
        <w:rPr>
          <w:szCs w:val="18"/>
        </w:rPr>
        <w:t xml:space="preserve">Thompson ‘  Australian recommendations for the management of hepatitis C infection: a consensus statement’   MJA 204 (7), 18-Apr-2016 </w:t>
      </w:r>
    </w:p>
  </w:footnote>
  <w:footnote w:id="12">
    <w:p w14:paraId="4C3DD6EF" w14:textId="77777777" w:rsidR="0075660C" w:rsidRPr="00C87B60" w:rsidRDefault="0075660C" w:rsidP="00C87B60">
      <w:pPr>
        <w:pStyle w:val="FootnoteText"/>
        <w:rPr>
          <w:szCs w:val="18"/>
          <w:lang w:val="en-US"/>
        </w:rPr>
      </w:pPr>
      <w:r w:rsidRPr="00C87B60">
        <w:rPr>
          <w:rStyle w:val="FootnoteReference"/>
          <w:szCs w:val="18"/>
        </w:rPr>
        <w:footnoteRef/>
      </w:r>
      <w:r w:rsidRPr="00C87B60">
        <w:rPr>
          <w:szCs w:val="18"/>
        </w:rPr>
        <w:t xml:space="preserve">Australian HARVONI </w:t>
      </w:r>
      <w:proofErr w:type="spellStart"/>
      <w:r w:rsidRPr="00C87B60">
        <w:rPr>
          <w:szCs w:val="18"/>
        </w:rPr>
        <w:t>sofosbuvir</w:t>
      </w:r>
      <w:proofErr w:type="spellEnd"/>
      <w:r w:rsidRPr="00C87B60">
        <w:rPr>
          <w:szCs w:val="18"/>
        </w:rPr>
        <w:t>/</w:t>
      </w:r>
      <w:proofErr w:type="spellStart"/>
      <w:r w:rsidRPr="00C87B60">
        <w:rPr>
          <w:szCs w:val="18"/>
        </w:rPr>
        <w:t>ledipasvir</w:t>
      </w:r>
      <w:proofErr w:type="spellEnd"/>
      <w:r w:rsidRPr="00C87B60">
        <w:rPr>
          <w:szCs w:val="18"/>
        </w:rPr>
        <w:t xml:space="preserve"> Product Information</w:t>
      </w:r>
    </w:p>
  </w:footnote>
  <w:footnote w:id="13">
    <w:p w14:paraId="4C3DD6F0" w14:textId="77777777" w:rsidR="0075660C" w:rsidRPr="00C87B60" w:rsidRDefault="0075660C" w:rsidP="009321D4">
      <w:pPr>
        <w:pStyle w:val="FootnoteText"/>
      </w:pPr>
      <w:r w:rsidRPr="00C87B60">
        <w:rPr>
          <w:rStyle w:val="FootnoteReference"/>
          <w:szCs w:val="18"/>
        </w:rPr>
        <w:footnoteRef/>
      </w:r>
      <w:r w:rsidRPr="00C87B60">
        <w:t xml:space="preserve"> Australian DAKLINZA </w:t>
      </w:r>
      <w:proofErr w:type="spellStart"/>
      <w:r w:rsidRPr="00C87B60">
        <w:t>daclatasvir</w:t>
      </w:r>
      <w:proofErr w:type="spellEnd"/>
      <w:r w:rsidRPr="00C87B60">
        <w:t xml:space="preserve"> Product Information</w:t>
      </w:r>
    </w:p>
  </w:footnote>
  <w:footnote w:id="14">
    <w:p w14:paraId="4C3DD6F1" w14:textId="77777777" w:rsidR="0075660C" w:rsidRPr="00A02C67" w:rsidRDefault="0075660C">
      <w:pPr>
        <w:pStyle w:val="FootnoteText"/>
        <w:rPr>
          <w:lang w:val="en-US"/>
        </w:rPr>
      </w:pPr>
      <w:r>
        <w:rPr>
          <w:rStyle w:val="FootnoteReference"/>
        </w:rPr>
        <w:footnoteRef/>
      </w:r>
      <w:r>
        <w:t xml:space="preserve"> </w:t>
      </w:r>
      <w:r>
        <w:rPr>
          <w:lang w:val="en-US"/>
        </w:rPr>
        <w:t>Modeling and simulation report</w:t>
      </w:r>
    </w:p>
  </w:footnote>
  <w:footnote w:id="15">
    <w:p w14:paraId="4C3DD6F2" w14:textId="77777777" w:rsidR="0075660C" w:rsidRPr="003641F9" w:rsidRDefault="0075660C" w:rsidP="003641F9">
      <w:pPr>
        <w:pStyle w:val="FootnoteText"/>
        <w:rPr>
          <w:lang w:val="en-US"/>
        </w:rPr>
      </w:pPr>
      <w:r>
        <w:rPr>
          <w:rStyle w:val="FootnoteReference"/>
        </w:rPr>
        <w:footnoteRef/>
      </w:r>
      <w:r>
        <w:t xml:space="preserve"> U.S. Prescribing Information: SOVALDI (</w:t>
      </w:r>
      <w:proofErr w:type="spellStart"/>
      <w:r>
        <w:t>sofosbuvir</w:t>
      </w:r>
      <w:proofErr w:type="spellEnd"/>
      <w:r>
        <w:t>) Tablets: 2013.</w:t>
      </w:r>
    </w:p>
  </w:footnote>
  <w:footnote w:id="16">
    <w:p w14:paraId="4C3DD6F3" w14:textId="77777777" w:rsidR="0075660C" w:rsidRPr="002F02CE" w:rsidRDefault="0075660C" w:rsidP="009321D4">
      <w:pPr>
        <w:pStyle w:val="FootnoteText"/>
      </w:pPr>
      <w:r w:rsidRPr="002F02CE">
        <w:rPr>
          <w:rStyle w:val="FootnoteReference"/>
          <w:szCs w:val="18"/>
        </w:rPr>
        <w:footnoteRef/>
      </w:r>
      <w:r w:rsidRPr="002F02CE">
        <w:t xml:space="preserve"> Australian SOVALDI </w:t>
      </w:r>
      <w:proofErr w:type="spellStart"/>
      <w:r w:rsidRPr="002F02CE">
        <w:t>sofosbuvir</w:t>
      </w:r>
      <w:proofErr w:type="spellEnd"/>
      <w:r w:rsidRPr="002F02CE">
        <w:t xml:space="preserve"> Product Information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D6BA" w14:textId="77777777" w:rsidR="0075660C" w:rsidRDefault="0075660C"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D6BF" w14:textId="77777777" w:rsidR="0075660C" w:rsidRDefault="0075660C">
    <w:pPr>
      <w:rPr>
        <w:noProof/>
        <w:lang w:eastAsia="en-AU"/>
      </w:rPr>
    </w:pPr>
    <w:r w:rsidRPr="00347824">
      <w:rPr>
        <w:noProof/>
        <w:lang w:eastAsia="en-AU"/>
      </w:rPr>
      <w:drawing>
        <wp:anchor distT="0" distB="0" distL="114300" distR="114300" simplePos="0" relativeHeight="251659264" behindDoc="1" locked="0" layoutInCell="1" allowOverlap="1" wp14:anchorId="4C3DD6DF" wp14:editId="4C3DD6E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C3DD6C0" w14:textId="77777777" w:rsidR="0075660C" w:rsidRDefault="0075660C" w:rsidP="00593AD1">
    <w:pPr>
      <w:pStyle w:val="HeaderNoLine"/>
    </w:pPr>
    <w:r>
      <w:rPr>
        <w:noProof/>
        <w:lang w:eastAsia="en-AU"/>
      </w:rPr>
      <w:drawing>
        <wp:inline distT="0" distB="0" distL="0" distR="0" wp14:anchorId="4C3DD6E1" wp14:editId="4C3DD6E2">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D6C1" w14:textId="77777777" w:rsidR="0075660C" w:rsidRDefault="007566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D6C2" w14:textId="77777777" w:rsidR="0075660C" w:rsidRDefault="0075660C">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D6C3" w14:textId="77777777" w:rsidR="0075660C" w:rsidRDefault="0075660C">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D6C9" w14:textId="77777777" w:rsidR="0075660C" w:rsidRDefault="0075660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D6CA" w14:textId="77777777" w:rsidR="0075660C" w:rsidRDefault="0075660C"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DD6CC" w14:textId="77777777" w:rsidR="0075660C" w:rsidRDefault="0075660C" w:rsidP="006E08B3">
    <w:r>
      <w:t>Therapeutic Goods Administration</w:t>
    </w:r>
  </w:p>
  <w:p w14:paraId="4C3DD6CD" w14:textId="77777777" w:rsidR="0075660C" w:rsidRDefault="0075660C"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41675CE"/>
    <w:lvl w:ilvl="0">
      <w:start w:val="1"/>
      <w:numFmt w:val="bullet"/>
      <w:lvlText w:val=""/>
      <w:lvlJc w:val="left"/>
      <w:pPr>
        <w:tabs>
          <w:tab w:val="num" w:pos="360"/>
        </w:tabs>
        <w:ind w:left="360" w:hanging="360"/>
      </w:pPr>
      <w:rPr>
        <w:rFonts w:ascii="Symbol" w:hAnsi="Symbol" w:hint="default"/>
      </w:rPr>
    </w:lvl>
  </w:abstractNum>
  <w:abstractNum w:abstractNumId="1">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nsid w:val="1337621C"/>
    <w:multiLevelType w:val="hybridMultilevel"/>
    <w:tmpl w:val="2D5443F0"/>
    <w:lvl w:ilvl="0" w:tplc="C4EE5388">
      <w:start w:val="1"/>
      <w:numFmt w:val="decimal"/>
      <w:lvlText w:val="%1)"/>
      <w:lvlJc w:val="left"/>
      <w:pPr>
        <w:ind w:left="403" w:hanging="284"/>
      </w:pPr>
      <w:rPr>
        <w:rFonts w:ascii="Arial" w:eastAsia="Arial" w:hAnsi="Arial" w:cs="Arial" w:hint="default"/>
        <w:b/>
        <w:bCs/>
        <w:w w:val="99"/>
        <w:sz w:val="24"/>
        <w:szCs w:val="24"/>
      </w:rPr>
    </w:lvl>
    <w:lvl w:ilvl="1" w:tplc="197E7CF4">
      <w:numFmt w:val="bullet"/>
      <w:lvlText w:val=""/>
      <w:lvlJc w:val="left"/>
      <w:pPr>
        <w:ind w:left="808" w:hanging="425"/>
      </w:pPr>
      <w:rPr>
        <w:rFonts w:ascii="Symbol" w:eastAsia="Symbol" w:hAnsi="Symbol" w:cs="Symbol" w:hint="default"/>
        <w:w w:val="100"/>
        <w:sz w:val="24"/>
        <w:szCs w:val="24"/>
      </w:rPr>
    </w:lvl>
    <w:lvl w:ilvl="2" w:tplc="F8B6E546">
      <w:numFmt w:val="bullet"/>
      <w:lvlText w:val="•"/>
      <w:lvlJc w:val="left"/>
      <w:pPr>
        <w:ind w:left="1775" w:hanging="425"/>
      </w:pPr>
      <w:rPr>
        <w:rFonts w:hint="default"/>
      </w:rPr>
    </w:lvl>
    <w:lvl w:ilvl="3" w:tplc="70B419AE">
      <w:numFmt w:val="bullet"/>
      <w:lvlText w:val="•"/>
      <w:lvlJc w:val="left"/>
      <w:pPr>
        <w:ind w:left="2751" w:hanging="425"/>
      </w:pPr>
      <w:rPr>
        <w:rFonts w:hint="default"/>
      </w:rPr>
    </w:lvl>
    <w:lvl w:ilvl="4" w:tplc="8460DD06">
      <w:numFmt w:val="bullet"/>
      <w:lvlText w:val="•"/>
      <w:lvlJc w:val="left"/>
      <w:pPr>
        <w:ind w:left="3726" w:hanging="425"/>
      </w:pPr>
      <w:rPr>
        <w:rFonts w:hint="default"/>
      </w:rPr>
    </w:lvl>
    <w:lvl w:ilvl="5" w:tplc="A9662030">
      <w:numFmt w:val="bullet"/>
      <w:lvlText w:val="•"/>
      <w:lvlJc w:val="left"/>
      <w:pPr>
        <w:ind w:left="4702" w:hanging="425"/>
      </w:pPr>
      <w:rPr>
        <w:rFonts w:hint="default"/>
      </w:rPr>
    </w:lvl>
    <w:lvl w:ilvl="6" w:tplc="15ACD6E0">
      <w:numFmt w:val="bullet"/>
      <w:lvlText w:val="•"/>
      <w:lvlJc w:val="left"/>
      <w:pPr>
        <w:ind w:left="5677" w:hanging="425"/>
      </w:pPr>
      <w:rPr>
        <w:rFonts w:hint="default"/>
      </w:rPr>
    </w:lvl>
    <w:lvl w:ilvl="7" w:tplc="02061686">
      <w:numFmt w:val="bullet"/>
      <w:lvlText w:val="•"/>
      <w:lvlJc w:val="left"/>
      <w:pPr>
        <w:ind w:left="6653" w:hanging="425"/>
      </w:pPr>
      <w:rPr>
        <w:rFonts w:hint="default"/>
      </w:rPr>
    </w:lvl>
    <w:lvl w:ilvl="8" w:tplc="806C322E">
      <w:numFmt w:val="bullet"/>
      <w:lvlText w:val="•"/>
      <w:lvlJc w:val="left"/>
      <w:pPr>
        <w:ind w:left="7628"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1E3469A0"/>
    <w:multiLevelType w:val="hybridMultilevel"/>
    <w:tmpl w:val="E28801BE"/>
    <w:lvl w:ilvl="0" w:tplc="3042A344">
      <w:start w:val="1"/>
      <w:numFmt w:val="decimal"/>
      <w:lvlText w:val="%1."/>
      <w:lvlJc w:val="left"/>
      <w:pPr>
        <w:ind w:left="820" w:hanging="360"/>
      </w:pPr>
      <w:rPr>
        <w:rFonts w:ascii="Arial" w:eastAsia="Arial" w:hAnsi="Arial" w:cs="Arial" w:hint="default"/>
        <w:w w:val="99"/>
        <w:sz w:val="24"/>
        <w:szCs w:val="24"/>
      </w:rPr>
    </w:lvl>
    <w:lvl w:ilvl="1" w:tplc="02E8D308">
      <w:numFmt w:val="bullet"/>
      <w:lvlText w:val="•"/>
      <w:lvlJc w:val="left"/>
      <w:pPr>
        <w:ind w:left="1696" w:hanging="360"/>
      </w:pPr>
      <w:rPr>
        <w:rFonts w:hint="default"/>
      </w:rPr>
    </w:lvl>
    <w:lvl w:ilvl="2" w:tplc="53903594">
      <w:numFmt w:val="bullet"/>
      <w:lvlText w:val="•"/>
      <w:lvlJc w:val="left"/>
      <w:pPr>
        <w:ind w:left="2572" w:hanging="360"/>
      </w:pPr>
      <w:rPr>
        <w:rFonts w:hint="default"/>
      </w:rPr>
    </w:lvl>
    <w:lvl w:ilvl="3" w:tplc="C6D438E0">
      <w:numFmt w:val="bullet"/>
      <w:lvlText w:val="•"/>
      <w:lvlJc w:val="left"/>
      <w:pPr>
        <w:ind w:left="3448" w:hanging="360"/>
      </w:pPr>
      <w:rPr>
        <w:rFonts w:hint="default"/>
      </w:rPr>
    </w:lvl>
    <w:lvl w:ilvl="4" w:tplc="6F6888A2">
      <w:numFmt w:val="bullet"/>
      <w:lvlText w:val="•"/>
      <w:lvlJc w:val="left"/>
      <w:pPr>
        <w:ind w:left="4324" w:hanging="360"/>
      </w:pPr>
      <w:rPr>
        <w:rFonts w:hint="default"/>
      </w:rPr>
    </w:lvl>
    <w:lvl w:ilvl="5" w:tplc="5440A0DE">
      <w:numFmt w:val="bullet"/>
      <w:lvlText w:val="•"/>
      <w:lvlJc w:val="left"/>
      <w:pPr>
        <w:ind w:left="5200" w:hanging="360"/>
      </w:pPr>
      <w:rPr>
        <w:rFonts w:hint="default"/>
      </w:rPr>
    </w:lvl>
    <w:lvl w:ilvl="6" w:tplc="E14E1DD2">
      <w:numFmt w:val="bullet"/>
      <w:lvlText w:val="•"/>
      <w:lvlJc w:val="left"/>
      <w:pPr>
        <w:ind w:left="6076" w:hanging="360"/>
      </w:pPr>
      <w:rPr>
        <w:rFonts w:hint="default"/>
      </w:rPr>
    </w:lvl>
    <w:lvl w:ilvl="7" w:tplc="728AA000">
      <w:numFmt w:val="bullet"/>
      <w:lvlText w:val="•"/>
      <w:lvlJc w:val="left"/>
      <w:pPr>
        <w:ind w:left="6952" w:hanging="360"/>
      </w:pPr>
      <w:rPr>
        <w:rFonts w:hint="default"/>
      </w:rPr>
    </w:lvl>
    <w:lvl w:ilvl="8" w:tplc="B6FC545C">
      <w:numFmt w:val="bullet"/>
      <w:lvlText w:val="•"/>
      <w:lvlJc w:val="left"/>
      <w:pPr>
        <w:ind w:left="7828" w:hanging="360"/>
      </w:pPr>
      <w:rPr>
        <w:rFonts w:hint="default"/>
      </w:rPr>
    </w:lvl>
  </w:abstractNum>
  <w:abstractNum w:abstractNumId="5">
    <w:nsid w:val="3066740A"/>
    <w:multiLevelType w:val="hybridMultilevel"/>
    <w:tmpl w:val="9F0CFF96"/>
    <w:lvl w:ilvl="0" w:tplc="AAAE3F22">
      <w:start w:val="1"/>
      <w:numFmt w:val="bullet"/>
      <w:pStyle w:val="Bullet1"/>
      <w:lvlText w:val="•"/>
      <w:lvlJc w:val="left"/>
      <w:pPr>
        <w:tabs>
          <w:tab w:val="num" w:pos="1985"/>
        </w:tabs>
        <w:ind w:left="1985" w:hanging="284"/>
      </w:pPr>
      <w:rPr>
        <w:rFonts w:ascii="Times New Roman" w:hAnsi="Times New Roman" w:cs="Times New Roman" w:hint="default"/>
      </w:rPr>
    </w:lvl>
    <w:lvl w:ilvl="1" w:tplc="0C090003" w:tentative="1">
      <w:start w:val="1"/>
      <w:numFmt w:val="bullet"/>
      <w:lvlText w:val="o"/>
      <w:lvlJc w:val="left"/>
      <w:pPr>
        <w:tabs>
          <w:tab w:val="num" w:pos="3425"/>
        </w:tabs>
        <w:ind w:left="3425" w:hanging="360"/>
      </w:pPr>
      <w:rPr>
        <w:rFonts w:ascii="Courier New" w:hAnsi="Courier New" w:cs="Courier New" w:hint="default"/>
      </w:rPr>
    </w:lvl>
    <w:lvl w:ilvl="2" w:tplc="0C090005" w:tentative="1">
      <w:start w:val="1"/>
      <w:numFmt w:val="bullet"/>
      <w:lvlText w:val=""/>
      <w:lvlJc w:val="left"/>
      <w:pPr>
        <w:tabs>
          <w:tab w:val="num" w:pos="4145"/>
        </w:tabs>
        <w:ind w:left="4145" w:hanging="360"/>
      </w:pPr>
      <w:rPr>
        <w:rFonts w:ascii="Wingdings" w:hAnsi="Wingdings" w:hint="default"/>
      </w:rPr>
    </w:lvl>
    <w:lvl w:ilvl="3" w:tplc="0C090001" w:tentative="1">
      <w:start w:val="1"/>
      <w:numFmt w:val="bullet"/>
      <w:lvlText w:val=""/>
      <w:lvlJc w:val="left"/>
      <w:pPr>
        <w:tabs>
          <w:tab w:val="num" w:pos="4865"/>
        </w:tabs>
        <w:ind w:left="4865" w:hanging="360"/>
      </w:pPr>
      <w:rPr>
        <w:rFonts w:ascii="Symbol" w:hAnsi="Symbol" w:hint="default"/>
      </w:rPr>
    </w:lvl>
    <w:lvl w:ilvl="4" w:tplc="0C090003" w:tentative="1">
      <w:start w:val="1"/>
      <w:numFmt w:val="bullet"/>
      <w:lvlText w:val="o"/>
      <w:lvlJc w:val="left"/>
      <w:pPr>
        <w:tabs>
          <w:tab w:val="num" w:pos="5585"/>
        </w:tabs>
        <w:ind w:left="5585" w:hanging="360"/>
      </w:pPr>
      <w:rPr>
        <w:rFonts w:ascii="Courier New" w:hAnsi="Courier New" w:cs="Courier New" w:hint="default"/>
      </w:rPr>
    </w:lvl>
    <w:lvl w:ilvl="5" w:tplc="0C090005" w:tentative="1">
      <w:start w:val="1"/>
      <w:numFmt w:val="bullet"/>
      <w:lvlText w:val=""/>
      <w:lvlJc w:val="left"/>
      <w:pPr>
        <w:tabs>
          <w:tab w:val="num" w:pos="6305"/>
        </w:tabs>
        <w:ind w:left="6305" w:hanging="360"/>
      </w:pPr>
      <w:rPr>
        <w:rFonts w:ascii="Wingdings" w:hAnsi="Wingdings" w:hint="default"/>
      </w:rPr>
    </w:lvl>
    <w:lvl w:ilvl="6" w:tplc="0C090001" w:tentative="1">
      <w:start w:val="1"/>
      <w:numFmt w:val="bullet"/>
      <w:lvlText w:val=""/>
      <w:lvlJc w:val="left"/>
      <w:pPr>
        <w:tabs>
          <w:tab w:val="num" w:pos="7025"/>
        </w:tabs>
        <w:ind w:left="7025" w:hanging="360"/>
      </w:pPr>
      <w:rPr>
        <w:rFonts w:ascii="Symbol" w:hAnsi="Symbol" w:hint="default"/>
      </w:rPr>
    </w:lvl>
    <w:lvl w:ilvl="7" w:tplc="0C090003" w:tentative="1">
      <w:start w:val="1"/>
      <w:numFmt w:val="bullet"/>
      <w:lvlText w:val="o"/>
      <w:lvlJc w:val="left"/>
      <w:pPr>
        <w:tabs>
          <w:tab w:val="num" w:pos="7745"/>
        </w:tabs>
        <w:ind w:left="7745" w:hanging="360"/>
      </w:pPr>
      <w:rPr>
        <w:rFonts w:ascii="Courier New" w:hAnsi="Courier New" w:cs="Courier New" w:hint="default"/>
      </w:rPr>
    </w:lvl>
    <w:lvl w:ilvl="8" w:tplc="0C090005" w:tentative="1">
      <w:start w:val="1"/>
      <w:numFmt w:val="bullet"/>
      <w:lvlText w:val=""/>
      <w:lvlJc w:val="left"/>
      <w:pPr>
        <w:tabs>
          <w:tab w:val="num" w:pos="8465"/>
        </w:tabs>
        <w:ind w:left="8465" w:hanging="360"/>
      </w:pPr>
      <w:rPr>
        <w:rFonts w:ascii="Wingdings" w:hAnsi="Wingdings" w:hint="default"/>
      </w:rPr>
    </w:lvl>
  </w:abstractNum>
  <w:abstractNum w:abstractNumId="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7">
    <w:nsid w:val="48977F10"/>
    <w:multiLevelType w:val="multilevel"/>
    <w:tmpl w:val="0C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1706F0A"/>
    <w:multiLevelType w:val="hybridMultilevel"/>
    <w:tmpl w:val="43269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3434617"/>
    <w:multiLevelType w:val="hybridMultilevel"/>
    <w:tmpl w:val="FA620EE2"/>
    <w:lvl w:ilvl="0" w:tplc="640A4C28">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65665559"/>
    <w:multiLevelType w:val="hybridMultilevel"/>
    <w:tmpl w:val="EEF6F102"/>
    <w:lvl w:ilvl="0" w:tplc="968CEF80">
      <w:start w:val="1"/>
      <w:numFmt w:val="decimal"/>
      <w:lvlText w:val="(%1)"/>
      <w:lvlJc w:val="left"/>
      <w:pPr>
        <w:ind w:left="383" w:hanging="418"/>
      </w:pPr>
      <w:rPr>
        <w:rFonts w:ascii="Arial" w:eastAsia="Arial" w:hAnsi="Arial" w:cs="Arial" w:hint="default"/>
        <w:spacing w:val="-1"/>
        <w:w w:val="99"/>
        <w:sz w:val="24"/>
        <w:szCs w:val="24"/>
      </w:rPr>
    </w:lvl>
    <w:lvl w:ilvl="1" w:tplc="8BD601F6">
      <w:numFmt w:val="bullet"/>
      <w:lvlText w:val="•"/>
      <w:lvlJc w:val="left"/>
      <w:pPr>
        <w:ind w:left="1300" w:hanging="418"/>
      </w:pPr>
      <w:rPr>
        <w:rFonts w:hint="default"/>
      </w:rPr>
    </w:lvl>
    <w:lvl w:ilvl="2" w:tplc="A8320930">
      <w:numFmt w:val="bullet"/>
      <w:lvlText w:val="•"/>
      <w:lvlJc w:val="left"/>
      <w:pPr>
        <w:ind w:left="2220" w:hanging="418"/>
      </w:pPr>
      <w:rPr>
        <w:rFonts w:hint="default"/>
      </w:rPr>
    </w:lvl>
    <w:lvl w:ilvl="3" w:tplc="BE66D9FE">
      <w:numFmt w:val="bullet"/>
      <w:lvlText w:val="•"/>
      <w:lvlJc w:val="left"/>
      <w:pPr>
        <w:ind w:left="3140" w:hanging="418"/>
      </w:pPr>
      <w:rPr>
        <w:rFonts w:hint="default"/>
      </w:rPr>
    </w:lvl>
    <w:lvl w:ilvl="4" w:tplc="9482E300">
      <w:numFmt w:val="bullet"/>
      <w:lvlText w:val="•"/>
      <w:lvlJc w:val="left"/>
      <w:pPr>
        <w:ind w:left="4060" w:hanging="418"/>
      </w:pPr>
      <w:rPr>
        <w:rFonts w:hint="default"/>
      </w:rPr>
    </w:lvl>
    <w:lvl w:ilvl="5" w:tplc="3A262D20">
      <w:numFmt w:val="bullet"/>
      <w:lvlText w:val="•"/>
      <w:lvlJc w:val="left"/>
      <w:pPr>
        <w:ind w:left="4980" w:hanging="418"/>
      </w:pPr>
      <w:rPr>
        <w:rFonts w:hint="default"/>
      </w:rPr>
    </w:lvl>
    <w:lvl w:ilvl="6" w:tplc="91AABCE0">
      <w:numFmt w:val="bullet"/>
      <w:lvlText w:val="•"/>
      <w:lvlJc w:val="left"/>
      <w:pPr>
        <w:ind w:left="5900" w:hanging="418"/>
      </w:pPr>
      <w:rPr>
        <w:rFonts w:hint="default"/>
      </w:rPr>
    </w:lvl>
    <w:lvl w:ilvl="7" w:tplc="7D408322">
      <w:numFmt w:val="bullet"/>
      <w:lvlText w:val="•"/>
      <w:lvlJc w:val="left"/>
      <w:pPr>
        <w:ind w:left="6820" w:hanging="418"/>
      </w:pPr>
      <w:rPr>
        <w:rFonts w:hint="default"/>
      </w:rPr>
    </w:lvl>
    <w:lvl w:ilvl="8" w:tplc="594AE8F2">
      <w:numFmt w:val="bullet"/>
      <w:lvlText w:val="•"/>
      <w:lvlJc w:val="left"/>
      <w:pPr>
        <w:ind w:left="7740" w:hanging="418"/>
      </w:pPr>
      <w:rPr>
        <w:rFonts w:hint="default"/>
      </w:rPr>
    </w:lvl>
  </w:abstractNum>
  <w:abstractNum w:abstractNumId="11">
    <w:nsid w:val="70827DA1"/>
    <w:multiLevelType w:val="hybridMultilevel"/>
    <w:tmpl w:val="E054BB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062"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746D38BE"/>
    <w:multiLevelType w:val="hybridMultilevel"/>
    <w:tmpl w:val="12BE7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3"/>
  </w:num>
  <w:num w:numId="4">
    <w:abstractNumId w:val="1"/>
  </w:num>
  <w:num w:numId="5">
    <w:abstractNumId w:val="5"/>
  </w:num>
  <w:num w:numId="6">
    <w:abstractNumId w:val="6"/>
  </w:num>
  <w:num w:numId="7">
    <w:abstractNumId w:val="12"/>
  </w:num>
  <w:num w:numId="8">
    <w:abstractNumId w:val="7"/>
  </w:num>
  <w:num w:numId="9">
    <w:abstractNumId w:val="8"/>
  </w:num>
  <w:num w:numId="10">
    <w:abstractNumId w:val="11"/>
  </w:num>
  <w:num w:numId="11">
    <w:abstractNumId w:val="9"/>
  </w:num>
  <w:num w:numId="12">
    <w:abstractNumId w:val="2"/>
  </w:num>
  <w:num w:numId="13">
    <w:abstractNumId w:val="10"/>
  </w:num>
  <w:num w:numId="14">
    <w:abstractNumId w:val="4"/>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C98"/>
    <w:rsid w:val="00002031"/>
    <w:rsid w:val="00004734"/>
    <w:rsid w:val="00006B22"/>
    <w:rsid w:val="0001276A"/>
    <w:rsid w:val="00012FE2"/>
    <w:rsid w:val="000141FB"/>
    <w:rsid w:val="000246AE"/>
    <w:rsid w:val="00025C67"/>
    <w:rsid w:val="00043C61"/>
    <w:rsid w:val="00044772"/>
    <w:rsid w:val="0005559E"/>
    <w:rsid w:val="000604D6"/>
    <w:rsid w:val="000629FA"/>
    <w:rsid w:val="000734D8"/>
    <w:rsid w:val="00077775"/>
    <w:rsid w:val="000845C6"/>
    <w:rsid w:val="00090471"/>
    <w:rsid w:val="00096AA7"/>
    <w:rsid w:val="000A3AED"/>
    <w:rsid w:val="000B03DE"/>
    <w:rsid w:val="000B3532"/>
    <w:rsid w:val="000B3A75"/>
    <w:rsid w:val="000C00C2"/>
    <w:rsid w:val="000C2F8E"/>
    <w:rsid w:val="000C690F"/>
    <w:rsid w:val="000D1295"/>
    <w:rsid w:val="000D391B"/>
    <w:rsid w:val="000D3D6D"/>
    <w:rsid w:val="000D4FC7"/>
    <w:rsid w:val="000D6449"/>
    <w:rsid w:val="000E306C"/>
    <w:rsid w:val="000E6196"/>
    <w:rsid w:val="000F4869"/>
    <w:rsid w:val="000F5B42"/>
    <w:rsid w:val="000F6E6F"/>
    <w:rsid w:val="0010601F"/>
    <w:rsid w:val="0010788A"/>
    <w:rsid w:val="00107A31"/>
    <w:rsid w:val="00110EA5"/>
    <w:rsid w:val="00112F56"/>
    <w:rsid w:val="00114776"/>
    <w:rsid w:val="001168B2"/>
    <w:rsid w:val="0012176F"/>
    <w:rsid w:val="00125318"/>
    <w:rsid w:val="00126935"/>
    <w:rsid w:val="001305A2"/>
    <w:rsid w:val="00133238"/>
    <w:rsid w:val="00133A1B"/>
    <w:rsid w:val="00134307"/>
    <w:rsid w:val="00134972"/>
    <w:rsid w:val="00135670"/>
    <w:rsid w:val="00135934"/>
    <w:rsid w:val="0014197B"/>
    <w:rsid w:val="001447CD"/>
    <w:rsid w:val="001516B1"/>
    <w:rsid w:val="00154EBB"/>
    <w:rsid w:val="00154EE1"/>
    <w:rsid w:val="00156316"/>
    <w:rsid w:val="00161181"/>
    <w:rsid w:val="00162D14"/>
    <w:rsid w:val="00165389"/>
    <w:rsid w:val="00173FA8"/>
    <w:rsid w:val="0017693F"/>
    <w:rsid w:val="0018110E"/>
    <w:rsid w:val="00181684"/>
    <w:rsid w:val="001843C6"/>
    <w:rsid w:val="001850E0"/>
    <w:rsid w:val="00187096"/>
    <w:rsid w:val="00195E23"/>
    <w:rsid w:val="001A2158"/>
    <w:rsid w:val="001A525F"/>
    <w:rsid w:val="001A5EE3"/>
    <w:rsid w:val="001B09F9"/>
    <w:rsid w:val="001B5C90"/>
    <w:rsid w:val="001B6448"/>
    <w:rsid w:val="001B6FB6"/>
    <w:rsid w:val="001C0843"/>
    <w:rsid w:val="001C32CD"/>
    <w:rsid w:val="001D1DD4"/>
    <w:rsid w:val="001D2984"/>
    <w:rsid w:val="001E07CF"/>
    <w:rsid w:val="001E59F1"/>
    <w:rsid w:val="001F2CEE"/>
    <w:rsid w:val="001F3FD2"/>
    <w:rsid w:val="001F49EB"/>
    <w:rsid w:val="001F6297"/>
    <w:rsid w:val="001F6CBA"/>
    <w:rsid w:val="002000A4"/>
    <w:rsid w:val="00200252"/>
    <w:rsid w:val="00201D4E"/>
    <w:rsid w:val="002076C9"/>
    <w:rsid w:val="00214C3B"/>
    <w:rsid w:val="002165BD"/>
    <w:rsid w:val="00216F75"/>
    <w:rsid w:val="00220B8A"/>
    <w:rsid w:val="002257F3"/>
    <w:rsid w:val="00233456"/>
    <w:rsid w:val="00233504"/>
    <w:rsid w:val="002339A5"/>
    <w:rsid w:val="00235D15"/>
    <w:rsid w:val="002437C0"/>
    <w:rsid w:val="002456EE"/>
    <w:rsid w:val="0024773E"/>
    <w:rsid w:val="00257848"/>
    <w:rsid w:val="00267958"/>
    <w:rsid w:val="0027084A"/>
    <w:rsid w:val="00286434"/>
    <w:rsid w:val="00286C59"/>
    <w:rsid w:val="00291957"/>
    <w:rsid w:val="002942D1"/>
    <w:rsid w:val="0029501A"/>
    <w:rsid w:val="002A3721"/>
    <w:rsid w:val="002A3AE7"/>
    <w:rsid w:val="002B1638"/>
    <w:rsid w:val="002B3624"/>
    <w:rsid w:val="002B3ED8"/>
    <w:rsid w:val="002D0952"/>
    <w:rsid w:val="002E40B3"/>
    <w:rsid w:val="002E4C9A"/>
    <w:rsid w:val="002E55A9"/>
    <w:rsid w:val="002F02CE"/>
    <w:rsid w:val="002F11F8"/>
    <w:rsid w:val="002F3F56"/>
    <w:rsid w:val="002F44B5"/>
    <w:rsid w:val="003007EA"/>
    <w:rsid w:val="00305E23"/>
    <w:rsid w:val="003078E7"/>
    <w:rsid w:val="00311AC0"/>
    <w:rsid w:val="00313A21"/>
    <w:rsid w:val="003176FC"/>
    <w:rsid w:val="00324471"/>
    <w:rsid w:val="0032583B"/>
    <w:rsid w:val="00327883"/>
    <w:rsid w:val="0033129C"/>
    <w:rsid w:val="00335504"/>
    <w:rsid w:val="00337EFE"/>
    <w:rsid w:val="00340C18"/>
    <w:rsid w:val="003442FD"/>
    <w:rsid w:val="00347824"/>
    <w:rsid w:val="00347A91"/>
    <w:rsid w:val="00350567"/>
    <w:rsid w:val="003521E8"/>
    <w:rsid w:val="003641F9"/>
    <w:rsid w:val="00370CE3"/>
    <w:rsid w:val="003728F3"/>
    <w:rsid w:val="0037496E"/>
    <w:rsid w:val="00383221"/>
    <w:rsid w:val="00386150"/>
    <w:rsid w:val="003874CE"/>
    <w:rsid w:val="00390900"/>
    <w:rsid w:val="00394133"/>
    <w:rsid w:val="003A7F6C"/>
    <w:rsid w:val="003B13BE"/>
    <w:rsid w:val="003B4D60"/>
    <w:rsid w:val="003B7E39"/>
    <w:rsid w:val="003C58DC"/>
    <w:rsid w:val="003D1E62"/>
    <w:rsid w:val="003E0B99"/>
    <w:rsid w:val="003E2486"/>
    <w:rsid w:val="003E3208"/>
    <w:rsid w:val="003F0B04"/>
    <w:rsid w:val="0040134E"/>
    <w:rsid w:val="00424DB5"/>
    <w:rsid w:val="004313A5"/>
    <w:rsid w:val="004334C7"/>
    <w:rsid w:val="00440A2D"/>
    <w:rsid w:val="00441C3F"/>
    <w:rsid w:val="00444B57"/>
    <w:rsid w:val="004564A7"/>
    <w:rsid w:val="004617BF"/>
    <w:rsid w:val="00463658"/>
    <w:rsid w:val="004637A0"/>
    <w:rsid w:val="004722CC"/>
    <w:rsid w:val="004936E4"/>
    <w:rsid w:val="00494E60"/>
    <w:rsid w:val="00497487"/>
    <w:rsid w:val="004A28A8"/>
    <w:rsid w:val="004A6189"/>
    <w:rsid w:val="004A7390"/>
    <w:rsid w:val="004B7B76"/>
    <w:rsid w:val="004C1037"/>
    <w:rsid w:val="004C239D"/>
    <w:rsid w:val="004C2DCA"/>
    <w:rsid w:val="004C2FE4"/>
    <w:rsid w:val="004C61D2"/>
    <w:rsid w:val="004C771B"/>
    <w:rsid w:val="004D0781"/>
    <w:rsid w:val="004D08B3"/>
    <w:rsid w:val="004F0C4A"/>
    <w:rsid w:val="004F0F38"/>
    <w:rsid w:val="004F47D6"/>
    <w:rsid w:val="00501921"/>
    <w:rsid w:val="00503CDB"/>
    <w:rsid w:val="00530354"/>
    <w:rsid w:val="00536026"/>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337"/>
    <w:rsid w:val="00593AD1"/>
    <w:rsid w:val="00594A74"/>
    <w:rsid w:val="005A68B6"/>
    <w:rsid w:val="005B2EE9"/>
    <w:rsid w:val="005B5DE5"/>
    <w:rsid w:val="005B76E2"/>
    <w:rsid w:val="005C5570"/>
    <w:rsid w:val="005C79A4"/>
    <w:rsid w:val="005D0E20"/>
    <w:rsid w:val="005D5442"/>
    <w:rsid w:val="005F1163"/>
    <w:rsid w:val="0060026A"/>
    <w:rsid w:val="00603F32"/>
    <w:rsid w:val="00605AD4"/>
    <w:rsid w:val="006136D7"/>
    <w:rsid w:val="00625A6E"/>
    <w:rsid w:val="0063059A"/>
    <w:rsid w:val="00632398"/>
    <w:rsid w:val="0063568C"/>
    <w:rsid w:val="00637905"/>
    <w:rsid w:val="00640FC3"/>
    <w:rsid w:val="00642020"/>
    <w:rsid w:val="0064202B"/>
    <w:rsid w:val="006433E3"/>
    <w:rsid w:val="0065337B"/>
    <w:rsid w:val="0065419D"/>
    <w:rsid w:val="00655550"/>
    <w:rsid w:val="00656A90"/>
    <w:rsid w:val="006604D8"/>
    <w:rsid w:val="00664A5B"/>
    <w:rsid w:val="0066735C"/>
    <w:rsid w:val="006705E6"/>
    <w:rsid w:val="006724B7"/>
    <w:rsid w:val="006763D2"/>
    <w:rsid w:val="0068006A"/>
    <w:rsid w:val="00680C08"/>
    <w:rsid w:val="00686628"/>
    <w:rsid w:val="006916A0"/>
    <w:rsid w:val="006931B1"/>
    <w:rsid w:val="0069766F"/>
    <w:rsid w:val="006A15C0"/>
    <w:rsid w:val="006A59AC"/>
    <w:rsid w:val="006B2D85"/>
    <w:rsid w:val="006C3E2A"/>
    <w:rsid w:val="006C642F"/>
    <w:rsid w:val="006D03E5"/>
    <w:rsid w:val="006D5D3E"/>
    <w:rsid w:val="006E08B3"/>
    <w:rsid w:val="006E6824"/>
    <w:rsid w:val="006F017B"/>
    <w:rsid w:val="006F17AC"/>
    <w:rsid w:val="006F25B8"/>
    <w:rsid w:val="006F572E"/>
    <w:rsid w:val="006F5F10"/>
    <w:rsid w:val="006F5FFB"/>
    <w:rsid w:val="007046D6"/>
    <w:rsid w:val="00705DB0"/>
    <w:rsid w:val="007131CF"/>
    <w:rsid w:val="00722B57"/>
    <w:rsid w:val="00730F8A"/>
    <w:rsid w:val="00735A8C"/>
    <w:rsid w:val="0074253D"/>
    <w:rsid w:val="0074429B"/>
    <w:rsid w:val="0075660C"/>
    <w:rsid w:val="007615BC"/>
    <w:rsid w:val="00762F05"/>
    <w:rsid w:val="007652FF"/>
    <w:rsid w:val="00770CAC"/>
    <w:rsid w:val="00770EF1"/>
    <w:rsid w:val="00773EF7"/>
    <w:rsid w:val="00774E1D"/>
    <w:rsid w:val="007765D8"/>
    <w:rsid w:val="0077675A"/>
    <w:rsid w:val="00780355"/>
    <w:rsid w:val="007819FD"/>
    <w:rsid w:val="00785717"/>
    <w:rsid w:val="00785721"/>
    <w:rsid w:val="00790368"/>
    <w:rsid w:val="00793A59"/>
    <w:rsid w:val="007B0857"/>
    <w:rsid w:val="007B6132"/>
    <w:rsid w:val="007B6E9F"/>
    <w:rsid w:val="007C1216"/>
    <w:rsid w:val="007C1AF7"/>
    <w:rsid w:val="007C6B9B"/>
    <w:rsid w:val="007D1BF5"/>
    <w:rsid w:val="007F16B9"/>
    <w:rsid w:val="00805D27"/>
    <w:rsid w:val="00806DCB"/>
    <w:rsid w:val="00812143"/>
    <w:rsid w:val="00817A61"/>
    <w:rsid w:val="00821776"/>
    <w:rsid w:val="008321F5"/>
    <w:rsid w:val="00832369"/>
    <w:rsid w:val="00833236"/>
    <w:rsid w:val="00834660"/>
    <w:rsid w:val="00836BC2"/>
    <w:rsid w:val="0085156D"/>
    <w:rsid w:val="0085403E"/>
    <w:rsid w:val="0085641B"/>
    <w:rsid w:val="00857136"/>
    <w:rsid w:val="00875A6B"/>
    <w:rsid w:val="00877B35"/>
    <w:rsid w:val="0088381F"/>
    <w:rsid w:val="00885B11"/>
    <w:rsid w:val="00886D15"/>
    <w:rsid w:val="00887DD8"/>
    <w:rsid w:val="00891BA9"/>
    <w:rsid w:val="00896018"/>
    <w:rsid w:val="008960DD"/>
    <w:rsid w:val="0089635C"/>
    <w:rsid w:val="008A2B9D"/>
    <w:rsid w:val="008A3333"/>
    <w:rsid w:val="008A3D9F"/>
    <w:rsid w:val="008A5E0B"/>
    <w:rsid w:val="008A6D59"/>
    <w:rsid w:val="008B4B03"/>
    <w:rsid w:val="008B596F"/>
    <w:rsid w:val="008B745A"/>
    <w:rsid w:val="008C159F"/>
    <w:rsid w:val="008C1623"/>
    <w:rsid w:val="008C1850"/>
    <w:rsid w:val="008C51A9"/>
    <w:rsid w:val="008E7846"/>
    <w:rsid w:val="008F02E5"/>
    <w:rsid w:val="008F150D"/>
    <w:rsid w:val="008F1CCC"/>
    <w:rsid w:val="008F2967"/>
    <w:rsid w:val="008F6943"/>
    <w:rsid w:val="00902A21"/>
    <w:rsid w:val="00920330"/>
    <w:rsid w:val="009219D7"/>
    <w:rsid w:val="00922084"/>
    <w:rsid w:val="00922D53"/>
    <w:rsid w:val="00923B70"/>
    <w:rsid w:val="00924482"/>
    <w:rsid w:val="00925667"/>
    <w:rsid w:val="00930237"/>
    <w:rsid w:val="009321D4"/>
    <w:rsid w:val="00933822"/>
    <w:rsid w:val="00937C17"/>
    <w:rsid w:val="00940060"/>
    <w:rsid w:val="00940A89"/>
    <w:rsid w:val="00946EA5"/>
    <w:rsid w:val="00963C08"/>
    <w:rsid w:val="009751EB"/>
    <w:rsid w:val="009752A5"/>
    <w:rsid w:val="009765BB"/>
    <w:rsid w:val="00981B71"/>
    <w:rsid w:val="00984C98"/>
    <w:rsid w:val="0098585A"/>
    <w:rsid w:val="009963BB"/>
    <w:rsid w:val="009A4CED"/>
    <w:rsid w:val="009A690D"/>
    <w:rsid w:val="009B19E8"/>
    <w:rsid w:val="009B1D12"/>
    <w:rsid w:val="009B2564"/>
    <w:rsid w:val="009B416B"/>
    <w:rsid w:val="009C4BD5"/>
    <w:rsid w:val="009D4403"/>
    <w:rsid w:val="009D54BD"/>
    <w:rsid w:val="009D7B77"/>
    <w:rsid w:val="009E0BB0"/>
    <w:rsid w:val="009E1CF8"/>
    <w:rsid w:val="009E3FBB"/>
    <w:rsid w:val="009F7353"/>
    <w:rsid w:val="00A02C67"/>
    <w:rsid w:val="00A04811"/>
    <w:rsid w:val="00A04F85"/>
    <w:rsid w:val="00A05FA4"/>
    <w:rsid w:val="00A102E4"/>
    <w:rsid w:val="00A12C42"/>
    <w:rsid w:val="00A14DF7"/>
    <w:rsid w:val="00A238ED"/>
    <w:rsid w:val="00A3246D"/>
    <w:rsid w:val="00A36FA7"/>
    <w:rsid w:val="00A44AA6"/>
    <w:rsid w:val="00A44DDB"/>
    <w:rsid w:val="00A475B7"/>
    <w:rsid w:val="00A47AF7"/>
    <w:rsid w:val="00A47C3E"/>
    <w:rsid w:val="00A50226"/>
    <w:rsid w:val="00A60BAD"/>
    <w:rsid w:val="00A72517"/>
    <w:rsid w:val="00A80B5B"/>
    <w:rsid w:val="00A83271"/>
    <w:rsid w:val="00A84E36"/>
    <w:rsid w:val="00A951E8"/>
    <w:rsid w:val="00A955ED"/>
    <w:rsid w:val="00A964D1"/>
    <w:rsid w:val="00AA0ED0"/>
    <w:rsid w:val="00AA46C6"/>
    <w:rsid w:val="00AB2C14"/>
    <w:rsid w:val="00AC2B40"/>
    <w:rsid w:val="00AC2BB2"/>
    <w:rsid w:val="00AC2C3C"/>
    <w:rsid w:val="00AC33F4"/>
    <w:rsid w:val="00AC512D"/>
    <w:rsid w:val="00AC5DED"/>
    <w:rsid w:val="00AD0083"/>
    <w:rsid w:val="00AD3935"/>
    <w:rsid w:val="00AE65EB"/>
    <w:rsid w:val="00AE67A7"/>
    <w:rsid w:val="00AF1D94"/>
    <w:rsid w:val="00AF60C5"/>
    <w:rsid w:val="00B009C6"/>
    <w:rsid w:val="00B01548"/>
    <w:rsid w:val="00B128DB"/>
    <w:rsid w:val="00B13EBD"/>
    <w:rsid w:val="00B173B4"/>
    <w:rsid w:val="00B21D29"/>
    <w:rsid w:val="00B25034"/>
    <w:rsid w:val="00B33588"/>
    <w:rsid w:val="00B33863"/>
    <w:rsid w:val="00B37D17"/>
    <w:rsid w:val="00B4175E"/>
    <w:rsid w:val="00B43135"/>
    <w:rsid w:val="00B452CE"/>
    <w:rsid w:val="00B54C25"/>
    <w:rsid w:val="00B56917"/>
    <w:rsid w:val="00B76B91"/>
    <w:rsid w:val="00B77EB1"/>
    <w:rsid w:val="00B811C6"/>
    <w:rsid w:val="00B855B0"/>
    <w:rsid w:val="00B92E08"/>
    <w:rsid w:val="00BA0422"/>
    <w:rsid w:val="00BB080F"/>
    <w:rsid w:val="00BC622A"/>
    <w:rsid w:val="00BD39F3"/>
    <w:rsid w:val="00BE0A78"/>
    <w:rsid w:val="00BE79F0"/>
    <w:rsid w:val="00BF046D"/>
    <w:rsid w:val="00BF1190"/>
    <w:rsid w:val="00BF42FB"/>
    <w:rsid w:val="00BF5D04"/>
    <w:rsid w:val="00BF7341"/>
    <w:rsid w:val="00C009AA"/>
    <w:rsid w:val="00C1164D"/>
    <w:rsid w:val="00C15B7C"/>
    <w:rsid w:val="00C16861"/>
    <w:rsid w:val="00C346AB"/>
    <w:rsid w:val="00C404A6"/>
    <w:rsid w:val="00C40A36"/>
    <w:rsid w:val="00C44419"/>
    <w:rsid w:val="00C45E7B"/>
    <w:rsid w:val="00C471B1"/>
    <w:rsid w:val="00C6316B"/>
    <w:rsid w:val="00C634A9"/>
    <w:rsid w:val="00C64586"/>
    <w:rsid w:val="00C70D53"/>
    <w:rsid w:val="00C73D0B"/>
    <w:rsid w:val="00C772FF"/>
    <w:rsid w:val="00C7769E"/>
    <w:rsid w:val="00C80137"/>
    <w:rsid w:val="00C801AF"/>
    <w:rsid w:val="00C80256"/>
    <w:rsid w:val="00C87B60"/>
    <w:rsid w:val="00C94CD4"/>
    <w:rsid w:val="00C9747E"/>
    <w:rsid w:val="00CA13D4"/>
    <w:rsid w:val="00CA5C2C"/>
    <w:rsid w:val="00CB6BC0"/>
    <w:rsid w:val="00CC1B7C"/>
    <w:rsid w:val="00CC727F"/>
    <w:rsid w:val="00CD165F"/>
    <w:rsid w:val="00CD22A7"/>
    <w:rsid w:val="00CE22E6"/>
    <w:rsid w:val="00CF15C3"/>
    <w:rsid w:val="00CF2B6F"/>
    <w:rsid w:val="00CF2F3E"/>
    <w:rsid w:val="00CF58B6"/>
    <w:rsid w:val="00D0062D"/>
    <w:rsid w:val="00D017ED"/>
    <w:rsid w:val="00D040D3"/>
    <w:rsid w:val="00D04C65"/>
    <w:rsid w:val="00D15388"/>
    <w:rsid w:val="00D201D2"/>
    <w:rsid w:val="00D224FE"/>
    <w:rsid w:val="00D23139"/>
    <w:rsid w:val="00D34382"/>
    <w:rsid w:val="00D425BB"/>
    <w:rsid w:val="00D54135"/>
    <w:rsid w:val="00D63036"/>
    <w:rsid w:val="00D6493E"/>
    <w:rsid w:val="00D7195D"/>
    <w:rsid w:val="00D7301E"/>
    <w:rsid w:val="00D80B0A"/>
    <w:rsid w:val="00D82908"/>
    <w:rsid w:val="00D83AE1"/>
    <w:rsid w:val="00D855D4"/>
    <w:rsid w:val="00D902C9"/>
    <w:rsid w:val="00D93466"/>
    <w:rsid w:val="00DA1124"/>
    <w:rsid w:val="00DB6124"/>
    <w:rsid w:val="00DB750B"/>
    <w:rsid w:val="00DB75B7"/>
    <w:rsid w:val="00DC5B6F"/>
    <w:rsid w:val="00DC6E02"/>
    <w:rsid w:val="00DD28CD"/>
    <w:rsid w:val="00DE02AE"/>
    <w:rsid w:val="00DF1D7F"/>
    <w:rsid w:val="00DF4BE4"/>
    <w:rsid w:val="00E02FB4"/>
    <w:rsid w:val="00E13CD8"/>
    <w:rsid w:val="00E13FC7"/>
    <w:rsid w:val="00E16C84"/>
    <w:rsid w:val="00E20571"/>
    <w:rsid w:val="00E230B5"/>
    <w:rsid w:val="00E235F7"/>
    <w:rsid w:val="00E23659"/>
    <w:rsid w:val="00E239D4"/>
    <w:rsid w:val="00E26130"/>
    <w:rsid w:val="00E33F74"/>
    <w:rsid w:val="00E36CA5"/>
    <w:rsid w:val="00E40B22"/>
    <w:rsid w:val="00E44ED1"/>
    <w:rsid w:val="00E45359"/>
    <w:rsid w:val="00E45619"/>
    <w:rsid w:val="00E4588F"/>
    <w:rsid w:val="00E46DA3"/>
    <w:rsid w:val="00E47D60"/>
    <w:rsid w:val="00E51BB1"/>
    <w:rsid w:val="00E5652F"/>
    <w:rsid w:val="00E624A5"/>
    <w:rsid w:val="00E64BA4"/>
    <w:rsid w:val="00E712B0"/>
    <w:rsid w:val="00E7344E"/>
    <w:rsid w:val="00E82665"/>
    <w:rsid w:val="00EB0798"/>
    <w:rsid w:val="00EB40AD"/>
    <w:rsid w:val="00EB586E"/>
    <w:rsid w:val="00EB5FC8"/>
    <w:rsid w:val="00EB6F08"/>
    <w:rsid w:val="00EC463D"/>
    <w:rsid w:val="00EC7A85"/>
    <w:rsid w:val="00ED2922"/>
    <w:rsid w:val="00ED3CAD"/>
    <w:rsid w:val="00ED41DC"/>
    <w:rsid w:val="00ED5A41"/>
    <w:rsid w:val="00EE1DE8"/>
    <w:rsid w:val="00EE27C2"/>
    <w:rsid w:val="00EF4BAD"/>
    <w:rsid w:val="00EF59DC"/>
    <w:rsid w:val="00F033EC"/>
    <w:rsid w:val="00F04F68"/>
    <w:rsid w:val="00F07B73"/>
    <w:rsid w:val="00F10344"/>
    <w:rsid w:val="00F12670"/>
    <w:rsid w:val="00F1336E"/>
    <w:rsid w:val="00F140F0"/>
    <w:rsid w:val="00F14B27"/>
    <w:rsid w:val="00F3148D"/>
    <w:rsid w:val="00F325C5"/>
    <w:rsid w:val="00F32FE0"/>
    <w:rsid w:val="00F35298"/>
    <w:rsid w:val="00F47333"/>
    <w:rsid w:val="00F47E37"/>
    <w:rsid w:val="00F53C07"/>
    <w:rsid w:val="00F54B65"/>
    <w:rsid w:val="00F55AE5"/>
    <w:rsid w:val="00F55B5D"/>
    <w:rsid w:val="00F640B6"/>
    <w:rsid w:val="00F66DF2"/>
    <w:rsid w:val="00F80E40"/>
    <w:rsid w:val="00F8211D"/>
    <w:rsid w:val="00F848D9"/>
    <w:rsid w:val="00F93DAF"/>
    <w:rsid w:val="00F94F4D"/>
    <w:rsid w:val="00FA55F6"/>
    <w:rsid w:val="00FA5B82"/>
    <w:rsid w:val="00FA639E"/>
    <w:rsid w:val="00FA63C8"/>
    <w:rsid w:val="00FC0A82"/>
    <w:rsid w:val="00FC1FCA"/>
    <w:rsid w:val="00FC25E4"/>
    <w:rsid w:val="00FC39DE"/>
    <w:rsid w:val="00FC4EF7"/>
    <w:rsid w:val="00FD0824"/>
    <w:rsid w:val="00FD119B"/>
    <w:rsid w:val="00FD1EDC"/>
    <w:rsid w:val="00FE1DEE"/>
    <w:rsid w:val="00FF2126"/>
    <w:rsid w:val="00FF429F"/>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C3DC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F02C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D1538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5660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A-Head2">
    <w:name w:val="A-Head 2"/>
    <w:basedOn w:val="Normal"/>
    <w:rsid w:val="00984C98"/>
    <w:pPr>
      <w:tabs>
        <w:tab w:val="left" w:pos="1134"/>
      </w:tabs>
      <w:spacing w:before="240" w:after="60" w:line="240" w:lineRule="auto"/>
      <w:ind w:right="-108"/>
    </w:pPr>
    <w:rPr>
      <w:rFonts w:ascii="Arial" w:eastAsia="Times New Roman" w:hAnsi="Arial"/>
      <w:b/>
      <w:sz w:val="32"/>
      <w:szCs w:val="20"/>
    </w:rPr>
  </w:style>
  <w:style w:type="paragraph" w:styleId="ListParagraph">
    <w:name w:val="List Paragraph"/>
    <w:basedOn w:val="Normal"/>
    <w:uiPriority w:val="1"/>
    <w:qFormat/>
    <w:rsid w:val="00984C98"/>
    <w:pPr>
      <w:spacing w:before="60" w:after="60" w:line="240" w:lineRule="auto"/>
      <w:ind w:left="720"/>
      <w:jc w:val="both"/>
    </w:pPr>
    <w:rPr>
      <w:rFonts w:ascii="Times New Roman" w:eastAsia="Times New Roman" w:hAnsi="Times New Roman"/>
      <w:sz w:val="24"/>
      <w:lang w:eastAsia="en-AU"/>
    </w:rPr>
  </w:style>
  <w:style w:type="paragraph" w:customStyle="1" w:styleId="A-Head6">
    <w:name w:val="A-Head 6"/>
    <w:basedOn w:val="Normal"/>
    <w:link w:val="A-Head6Char"/>
    <w:rsid w:val="00984C98"/>
    <w:pPr>
      <w:spacing w:before="60" w:after="0" w:line="240" w:lineRule="auto"/>
    </w:pPr>
    <w:rPr>
      <w:rFonts w:ascii="Arial" w:eastAsia="Times New Roman" w:hAnsi="Arial"/>
      <w:b/>
      <w:szCs w:val="20"/>
      <w:lang w:eastAsia="en-AU"/>
    </w:rPr>
  </w:style>
  <w:style w:type="character" w:customStyle="1" w:styleId="A-Head6Char">
    <w:name w:val="A-Head 6 Char"/>
    <w:link w:val="A-Head6"/>
    <w:rsid w:val="00984C98"/>
    <w:rPr>
      <w:rFonts w:ascii="Arial" w:eastAsia="Times New Roman" w:hAnsi="Arial" w:cs="Times New Roman"/>
      <w:b/>
      <w:szCs w:val="20"/>
      <w:lang w:eastAsia="en-AU"/>
    </w:rPr>
  </w:style>
  <w:style w:type="paragraph" w:customStyle="1" w:styleId="A-Head3">
    <w:name w:val="A-Head 3"/>
    <w:basedOn w:val="Normal"/>
    <w:link w:val="A-Head3Char"/>
    <w:rsid w:val="00984C98"/>
    <w:pPr>
      <w:widowControl w:val="0"/>
      <w:tabs>
        <w:tab w:val="left" w:pos="851"/>
      </w:tabs>
      <w:spacing w:after="60" w:line="240" w:lineRule="auto"/>
      <w:ind w:left="1418" w:right="-108" w:hanging="1418"/>
    </w:pPr>
    <w:rPr>
      <w:rFonts w:ascii="Arial" w:eastAsia="Times New Roman" w:hAnsi="Arial"/>
      <w:b/>
      <w:sz w:val="28"/>
      <w:szCs w:val="20"/>
      <w:lang w:eastAsia="en-AU"/>
    </w:rPr>
  </w:style>
  <w:style w:type="character" w:customStyle="1" w:styleId="A-Head3Char">
    <w:name w:val="A-Head 3 Char"/>
    <w:basedOn w:val="DefaultParagraphFont"/>
    <w:link w:val="A-Head3"/>
    <w:locked/>
    <w:rsid w:val="00984C98"/>
    <w:rPr>
      <w:rFonts w:ascii="Arial" w:eastAsia="Times New Roman" w:hAnsi="Arial" w:cs="Times New Roman"/>
      <w:b/>
      <w:sz w:val="28"/>
      <w:szCs w:val="20"/>
      <w:lang w:eastAsia="en-AU"/>
    </w:rPr>
  </w:style>
  <w:style w:type="paragraph" w:styleId="Quote">
    <w:name w:val="Quote"/>
    <w:basedOn w:val="Normal"/>
    <w:next w:val="Normal"/>
    <w:link w:val="QuoteChar"/>
    <w:qFormat/>
    <w:rsid w:val="00D15388"/>
    <w:pPr>
      <w:spacing w:before="0" w:after="280" w:line="252" w:lineRule="auto"/>
      <w:ind w:left="482" w:right="397" w:hanging="85"/>
    </w:pPr>
    <w:rPr>
      <w:rFonts w:eastAsia="Times New Roman"/>
      <w:snapToGrid w:val="0"/>
      <w:kern w:val="16"/>
      <w:szCs w:val="24"/>
    </w:rPr>
  </w:style>
  <w:style w:type="character" w:customStyle="1" w:styleId="QuoteChar">
    <w:name w:val="Quote Char"/>
    <w:basedOn w:val="DefaultParagraphFont"/>
    <w:link w:val="Quote"/>
    <w:rsid w:val="00D15388"/>
    <w:rPr>
      <w:rFonts w:ascii="Cambria" w:eastAsia="Times New Roman" w:hAnsi="Cambria" w:cs="Times New Roman"/>
      <w:snapToGrid w:val="0"/>
      <w:kern w:val="16"/>
      <w:szCs w:val="24"/>
    </w:rPr>
  </w:style>
  <w:style w:type="table" w:customStyle="1" w:styleId="TableTGAblue1">
    <w:name w:val="Table TGA blue1"/>
    <w:basedOn w:val="TableNormal"/>
    <w:uiPriority w:val="99"/>
    <w:qFormat/>
    <w:rsid w:val="00D15388"/>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Bullet1">
    <w:name w:val="Bullet 1"/>
    <w:basedOn w:val="Normal"/>
    <w:rsid w:val="00D15388"/>
    <w:pPr>
      <w:numPr>
        <w:numId w:val="5"/>
      </w:numPr>
      <w:spacing w:after="0" w:line="240" w:lineRule="auto"/>
    </w:pPr>
    <w:rPr>
      <w:rFonts w:eastAsia="Times New Roman"/>
      <w:kern w:val="24"/>
      <w:szCs w:val="24"/>
      <w:lang w:eastAsia="en-AU"/>
    </w:rPr>
  </w:style>
  <w:style w:type="paragraph" w:customStyle="1" w:styleId="Bullet2">
    <w:name w:val="Bullet 2"/>
    <w:basedOn w:val="Bullet1"/>
    <w:rsid w:val="00D15388"/>
    <w:pPr>
      <w:numPr>
        <w:numId w:val="6"/>
      </w:numPr>
    </w:pPr>
  </w:style>
  <w:style w:type="character" w:customStyle="1" w:styleId="Heading8Char">
    <w:name w:val="Heading 8 Char"/>
    <w:basedOn w:val="DefaultParagraphFont"/>
    <w:link w:val="Heading8"/>
    <w:uiPriority w:val="9"/>
    <w:semiHidden/>
    <w:rsid w:val="00D15388"/>
    <w:rPr>
      <w:rFonts w:asciiTheme="majorHAnsi" w:eastAsiaTheme="majorEastAsia" w:hAnsiTheme="majorHAnsi" w:cstheme="majorBidi"/>
      <w:color w:val="404040" w:themeColor="text1" w:themeTint="BF"/>
      <w:sz w:val="20"/>
      <w:szCs w:val="20"/>
    </w:rPr>
  </w:style>
  <w:style w:type="paragraph" w:customStyle="1" w:styleId="Default">
    <w:name w:val="Default"/>
    <w:rsid w:val="00E36CA5"/>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
    <w:name w:val="Body Text"/>
    <w:basedOn w:val="Normal"/>
    <w:link w:val="BodyTextChar"/>
    <w:uiPriority w:val="1"/>
    <w:qFormat/>
    <w:rsid w:val="00981B71"/>
    <w:pPr>
      <w:widowControl w:val="0"/>
      <w:autoSpaceDE w:val="0"/>
      <w:autoSpaceDN w:val="0"/>
      <w:spacing w:before="0"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981B71"/>
    <w:rPr>
      <w:rFonts w:ascii="Arial" w:eastAsia="Arial" w:hAnsi="Arial" w:cs="Arial"/>
      <w:sz w:val="24"/>
      <w:szCs w:val="24"/>
      <w:lang w:val="en-US"/>
    </w:rPr>
  </w:style>
  <w:style w:type="paragraph" w:customStyle="1" w:styleId="TableCaption">
    <w:name w:val="Table Caption"/>
    <w:basedOn w:val="Normal"/>
    <w:next w:val="Normal"/>
    <w:link w:val="TableCaptionChar"/>
    <w:rsid w:val="009D4403"/>
    <w:pPr>
      <w:spacing w:before="60" w:after="440" w:line="215" w:lineRule="exact"/>
      <w:ind w:left="170"/>
    </w:pPr>
    <w:rPr>
      <w:sz w:val="19"/>
    </w:rPr>
  </w:style>
  <w:style w:type="character" w:customStyle="1" w:styleId="TabletextChar">
    <w:name w:val="Table text Char"/>
    <w:basedOn w:val="DefaultParagraphFont"/>
    <w:link w:val="Tabletext"/>
    <w:rsid w:val="009D4403"/>
    <w:rPr>
      <w:rFonts w:ascii="Cambria" w:eastAsia="Cambria" w:hAnsi="Cambria" w:cs="Times New Roman"/>
      <w:sz w:val="19"/>
    </w:rPr>
  </w:style>
  <w:style w:type="character" w:customStyle="1" w:styleId="TableCaptionChar">
    <w:name w:val="Table Caption Char"/>
    <w:basedOn w:val="TabletextChar"/>
    <w:link w:val="TableCaption"/>
    <w:rsid w:val="009D4403"/>
    <w:rPr>
      <w:rFonts w:ascii="Cambria" w:eastAsia="Cambria" w:hAnsi="Cambria" w:cs="Times New Roman"/>
      <w:sz w:val="19"/>
    </w:rPr>
  </w:style>
  <w:style w:type="paragraph" w:customStyle="1" w:styleId="TableHeader">
    <w:name w:val="Table Header"/>
    <w:basedOn w:val="Normal"/>
    <w:rsid w:val="009D4403"/>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9D4403"/>
    <w:pPr>
      <w:spacing w:before="0" w:after="0" w:line="200" w:lineRule="exact"/>
      <w:jc w:val="center"/>
    </w:pPr>
    <w:rPr>
      <w:rFonts w:eastAsia="Times New Roman"/>
      <w:snapToGrid w:val="0"/>
      <w:kern w:val="16"/>
      <w:sz w:val="18"/>
      <w:szCs w:val="19"/>
    </w:rPr>
  </w:style>
  <w:style w:type="paragraph" w:customStyle="1" w:styleId="AssessmentSubsection2">
    <w:name w:val="Assessment Subsection 2"/>
    <w:basedOn w:val="Normal"/>
    <w:next w:val="Normal"/>
    <w:rsid w:val="004C771B"/>
    <w:pPr>
      <w:keepNext/>
      <w:spacing w:before="0" w:after="110" w:line="252" w:lineRule="auto"/>
      <w:outlineLvl w:val="3"/>
    </w:pPr>
    <w:rPr>
      <w:rFonts w:eastAsia="Times New Roman"/>
      <w:i/>
      <w:snapToGrid w:val="0"/>
      <w:kern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2F02CE"/>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D15388"/>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75660C"/>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A-Head2">
    <w:name w:val="A-Head 2"/>
    <w:basedOn w:val="Normal"/>
    <w:rsid w:val="00984C98"/>
    <w:pPr>
      <w:tabs>
        <w:tab w:val="left" w:pos="1134"/>
      </w:tabs>
      <w:spacing w:before="240" w:after="60" w:line="240" w:lineRule="auto"/>
      <w:ind w:right="-108"/>
    </w:pPr>
    <w:rPr>
      <w:rFonts w:ascii="Arial" w:eastAsia="Times New Roman" w:hAnsi="Arial"/>
      <w:b/>
      <w:sz w:val="32"/>
      <w:szCs w:val="20"/>
    </w:rPr>
  </w:style>
  <w:style w:type="paragraph" w:styleId="ListParagraph">
    <w:name w:val="List Paragraph"/>
    <w:basedOn w:val="Normal"/>
    <w:uiPriority w:val="1"/>
    <w:qFormat/>
    <w:rsid w:val="00984C98"/>
    <w:pPr>
      <w:spacing w:before="60" w:after="60" w:line="240" w:lineRule="auto"/>
      <w:ind w:left="720"/>
      <w:jc w:val="both"/>
    </w:pPr>
    <w:rPr>
      <w:rFonts w:ascii="Times New Roman" w:eastAsia="Times New Roman" w:hAnsi="Times New Roman"/>
      <w:sz w:val="24"/>
      <w:lang w:eastAsia="en-AU"/>
    </w:rPr>
  </w:style>
  <w:style w:type="paragraph" w:customStyle="1" w:styleId="A-Head6">
    <w:name w:val="A-Head 6"/>
    <w:basedOn w:val="Normal"/>
    <w:link w:val="A-Head6Char"/>
    <w:rsid w:val="00984C98"/>
    <w:pPr>
      <w:spacing w:before="60" w:after="0" w:line="240" w:lineRule="auto"/>
    </w:pPr>
    <w:rPr>
      <w:rFonts w:ascii="Arial" w:eastAsia="Times New Roman" w:hAnsi="Arial"/>
      <w:b/>
      <w:szCs w:val="20"/>
      <w:lang w:eastAsia="en-AU"/>
    </w:rPr>
  </w:style>
  <w:style w:type="character" w:customStyle="1" w:styleId="A-Head6Char">
    <w:name w:val="A-Head 6 Char"/>
    <w:link w:val="A-Head6"/>
    <w:rsid w:val="00984C98"/>
    <w:rPr>
      <w:rFonts w:ascii="Arial" w:eastAsia="Times New Roman" w:hAnsi="Arial" w:cs="Times New Roman"/>
      <w:b/>
      <w:szCs w:val="20"/>
      <w:lang w:eastAsia="en-AU"/>
    </w:rPr>
  </w:style>
  <w:style w:type="paragraph" w:customStyle="1" w:styleId="A-Head3">
    <w:name w:val="A-Head 3"/>
    <w:basedOn w:val="Normal"/>
    <w:link w:val="A-Head3Char"/>
    <w:rsid w:val="00984C98"/>
    <w:pPr>
      <w:widowControl w:val="0"/>
      <w:tabs>
        <w:tab w:val="left" w:pos="851"/>
      </w:tabs>
      <w:spacing w:after="60" w:line="240" w:lineRule="auto"/>
      <w:ind w:left="1418" w:right="-108" w:hanging="1418"/>
    </w:pPr>
    <w:rPr>
      <w:rFonts w:ascii="Arial" w:eastAsia="Times New Roman" w:hAnsi="Arial"/>
      <w:b/>
      <w:sz w:val="28"/>
      <w:szCs w:val="20"/>
      <w:lang w:eastAsia="en-AU"/>
    </w:rPr>
  </w:style>
  <w:style w:type="character" w:customStyle="1" w:styleId="A-Head3Char">
    <w:name w:val="A-Head 3 Char"/>
    <w:basedOn w:val="DefaultParagraphFont"/>
    <w:link w:val="A-Head3"/>
    <w:locked/>
    <w:rsid w:val="00984C98"/>
    <w:rPr>
      <w:rFonts w:ascii="Arial" w:eastAsia="Times New Roman" w:hAnsi="Arial" w:cs="Times New Roman"/>
      <w:b/>
      <w:sz w:val="28"/>
      <w:szCs w:val="20"/>
      <w:lang w:eastAsia="en-AU"/>
    </w:rPr>
  </w:style>
  <w:style w:type="paragraph" w:styleId="Quote">
    <w:name w:val="Quote"/>
    <w:basedOn w:val="Normal"/>
    <w:next w:val="Normal"/>
    <w:link w:val="QuoteChar"/>
    <w:qFormat/>
    <w:rsid w:val="00D15388"/>
    <w:pPr>
      <w:spacing w:before="0" w:after="280" w:line="252" w:lineRule="auto"/>
      <w:ind w:left="482" w:right="397" w:hanging="85"/>
    </w:pPr>
    <w:rPr>
      <w:rFonts w:eastAsia="Times New Roman"/>
      <w:snapToGrid w:val="0"/>
      <w:kern w:val="16"/>
      <w:szCs w:val="24"/>
    </w:rPr>
  </w:style>
  <w:style w:type="character" w:customStyle="1" w:styleId="QuoteChar">
    <w:name w:val="Quote Char"/>
    <w:basedOn w:val="DefaultParagraphFont"/>
    <w:link w:val="Quote"/>
    <w:rsid w:val="00D15388"/>
    <w:rPr>
      <w:rFonts w:ascii="Cambria" w:eastAsia="Times New Roman" w:hAnsi="Cambria" w:cs="Times New Roman"/>
      <w:snapToGrid w:val="0"/>
      <w:kern w:val="16"/>
      <w:szCs w:val="24"/>
    </w:rPr>
  </w:style>
  <w:style w:type="table" w:customStyle="1" w:styleId="TableTGAblue1">
    <w:name w:val="Table TGA blue1"/>
    <w:basedOn w:val="TableNormal"/>
    <w:uiPriority w:val="99"/>
    <w:qFormat/>
    <w:rsid w:val="00D15388"/>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Bullet1">
    <w:name w:val="Bullet 1"/>
    <w:basedOn w:val="Normal"/>
    <w:rsid w:val="00D15388"/>
    <w:pPr>
      <w:numPr>
        <w:numId w:val="5"/>
      </w:numPr>
      <w:spacing w:after="0" w:line="240" w:lineRule="auto"/>
    </w:pPr>
    <w:rPr>
      <w:rFonts w:eastAsia="Times New Roman"/>
      <w:kern w:val="24"/>
      <w:szCs w:val="24"/>
      <w:lang w:eastAsia="en-AU"/>
    </w:rPr>
  </w:style>
  <w:style w:type="paragraph" w:customStyle="1" w:styleId="Bullet2">
    <w:name w:val="Bullet 2"/>
    <w:basedOn w:val="Bullet1"/>
    <w:rsid w:val="00D15388"/>
    <w:pPr>
      <w:numPr>
        <w:numId w:val="6"/>
      </w:numPr>
    </w:pPr>
  </w:style>
  <w:style w:type="character" w:customStyle="1" w:styleId="Heading8Char">
    <w:name w:val="Heading 8 Char"/>
    <w:basedOn w:val="DefaultParagraphFont"/>
    <w:link w:val="Heading8"/>
    <w:uiPriority w:val="9"/>
    <w:semiHidden/>
    <w:rsid w:val="00D15388"/>
    <w:rPr>
      <w:rFonts w:asciiTheme="majorHAnsi" w:eastAsiaTheme="majorEastAsia" w:hAnsiTheme="majorHAnsi" w:cstheme="majorBidi"/>
      <w:color w:val="404040" w:themeColor="text1" w:themeTint="BF"/>
      <w:sz w:val="20"/>
      <w:szCs w:val="20"/>
    </w:rPr>
  </w:style>
  <w:style w:type="paragraph" w:customStyle="1" w:styleId="Default">
    <w:name w:val="Default"/>
    <w:rsid w:val="00E36CA5"/>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BodyText">
    <w:name w:val="Body Text"/>
    <w:basedOn w:val="Normal"/>
    <w:link w:val="BodyTextChar"/>
    <w:uiPriority w:val="1"/>
    <w:qFormat/>
    <w:rsid w:val="00981B71"/>
    <w:pPr>
      <w:widowControl w:val="0"/>
      <w:autoSpaceDE w:val="0"/>
      <w:autoSpaceDN w:val="0"/>
      <w:spacing w:before="0"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981B71"/>
    <w:rPr>
      <w:rFonts w:ascii="Arial" w:eastAsia="Arial" w:hAnsi="Arial" w:cs="Arial"/>
      <w:sz w:val="24"/>
      <w:szCs w:val="24"/>
      <w:lang w:val="en-US"/>
    </w:rPr>
  </w:style>
  <w:style w:type="paragraph" w:customStyle="1" w:styleId="TableCaption">
    <w:name w:val="Table Caption"/>
    <w:basedOn w:val="Normal"/>
    <w:next w:val="Normal"/>
    <w:link w:val="TableCaptionChar"/>
    <w:rsid w:val="009D4403"/>
    <w:pPr>
      <w:spacing w:before="60" w:after="440" w:line="215" w:lineRule="exact"/>
      <w:ind w:left="170"/>
    </w:pPr>
    <w:rPr>
      <w:sz w:val="19"/>
    </w:rPr>
  </w:style>
  <w:style w:type="character" w:customStyle="1" w:styleId="TabletextChar">
    <w:name w:val="Table text Char"/>
    <w:basedOn w:val="DefaultParagraphFont"/>
    <w:link w:val="Tabletext"/>
    <w:rsid w:val="009D4403"/>
    <w:rPr>
      <w:rFonts w:ascii="Cambria" w:eastAsia="Cambria" w:hAnsi="Cambria" w:cs="Times New Roman"/>
      <w:sz w:val="19"/>
    </w:rPr>
  </w:style>
  <w:style w:type="character" w:customStyle="1" w:styleId="TableCaptionChar">
    <w:name w:val="Table Caption Char"/>
    <w:basedOn w:val="TabletextChar"/>
    <w:link w:val="TableCaption"/>
    <w:rsid w:val="009D4403"/>
    <w:rPr>
      <w:rFonts w:ascii="Cambria" w:eastAsia="Cambria" w:hAnsi="Cambria" w:cs="Times New Roman"/>
      <w:sz w:val="19"/>
    </w:rPr>
  </w:style>
  <w:style w:type="paragraph" w:customStyle="1" w:styleId="TableHeader">
    <w:name w:val="Table Header"/>
    <w:basedOn w:val="Normal"/>
    <w:rsid w:val="009D4403"/>
    <w:pPr>
      <w:keepNext/>
      <w:keepLines/>
      <w:widowControl w:val="0"/>
      <w:spacing w:before="60" w:after="60" w:line="200" w:lineRule="exact"/>
      <w:jc w:val="center"/>
    </w:pPr>
    <w:rPr>
      <w:rFonts w:eastAsia="MS Mincho" w:cstheme="minorBidi"/>
      <w:b/>
      <w:kern w:val="2"/>
      <w:sz w:val="19"/>
      <w:szCs w:val="19"/>
    </w:rPr>
  </w:style>
  <w:style w:type="paragraph" w:customStyle="1" w:styleId="TabletextPKvalues">
    <w:name w:val="Table text (PK values)"/>
    <w:basedOn w:val="Tabletext"/>
    <w:rsid w:val="009D4403"/>
    <w:pPr>
      <w:spacing w:before="0" w:after="0" w:line="200" w:lineRule="exact"/>
      <w:jc w:val="center"/>
    </w:pPr>
    <w:rPr>
      <w:rFonts w:eastAsia="Times New Roman"/>
      <w:snapToGrid w:val="0"/>
      <w:kern w:val="16"/>
      <w:sz w:val="18"/>
      <w:szCs w:val="19"/>
    </w:rPr>
  </w:style>
  <w:style w:type="paragraph" w:customStyle="1" w:styleId="AssessmentSubsection2">
    <w:name w:val="Assessment Subsection 2"/>
    <w:basedOn w:val="Normal"/>
    <w:next w:val="Normal"/>
    <w:rsid w:val="004C771B"/>
    <w:pPr>
      <w:keepNext/>
      <w:spacing w:before="0" w:after="110" w:line="252" w:lineRule="auto"/>
      <w:outlineLvl w:val="3"/>
    </w:pPr>
    <w:rPr>
      <w:rFonts w:eastAsia="Times New Roman"/>
      <w:i/>
      <w:snapToGrid w:val="0"/>
      <w:kern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80350">
      <w:bodyDiv w:val="1"/>
      <w:marLeft w:val="0"/>
      <w:marRight w:val="0"/>
      <w:marTop w:val="0"/>
      <w:marBottom w:val="0"/>
      <w:divBdr>
        <w:top w:val="none" w:sz="0" w:space="0" w:color="auto"/>
        <w:left w:val="none" w:sz="0" w:space="0" w:color="auto"/>
        <w:bottom w:val="none" w:sz="0" w:space="0" w:color="auto"/>
        <w:right w:val="none" w:sz="0" w:space="0" w:color="auto"/>
      </w:divBdr>
    </w:div>
    <w:div w:id="149489283">
      <w:bodyDiv w:val="1"/>
      <w:marLeft w:val="0"/>
      <w:marRight w:val="0"/>
      <w:marTop w:val="0"/>
      <w:marBottom w:val="0"/>
      <w:divBdr>
        <w:top w:val="none" w:sz="0" w:space="0" w:color="auto"/>
        <w:left w:val="none" w:sz="0" w:space="0" w:color="auto"/>
        <w:bottom w:val="none" w:sz="0" w:space="0" w:color="auto"/>
        <w:right w:val="none" w:sz="0" w:space="0" w:color="auto"/>
      </w:divBdr>
    </w:div>
    <w:div w:id="202258871">
      <w:bodyDiv w:val="1"/>
      <w:marLeft w:val="0"/>
      <w:marRight w:val="0"/>
      <w:marTop w:val="0"/>
      <w:marBottom w:val="0"/>
      <w:divBdr>
        <w:top w:val="none" w:sz="0" w:space="0" w:color="auto"/>
        <w:left w:val="none" w:sz="0" w:space="0" w:color="auto"/>
        <w:bottom w:val="none" w:sz="0" w:space="0" w:color="auto"/>
        <w:right w:val="none" w:sz="0" w:space="0" w:color="auto"/>
      </w:divBdr>
    </w:div>
    <w:div w:id="220798175">
      <w:bodyDiv w:val="1"/>
      <w:marLeft w:val="0"/>
      <w:marRight w:val="0"/>
      <w:marTop w:val="0"/>
      <w:marBottom w:val="0"/>
      <w:divBdr>
        <w:top w:val="none" w:sz="0" w:space="0" w:color="auto"/>
        <w:left w:val="none" w:sz="0" w:space="0" w:color="auto"/>
        <w:bottom w:val="none" w:sz="0" w:space="0" w:color="auto"/>
        <w:right w:val="none" w:sz="0" w:space="0" w:color="auto"/>
      </w:divBdr>
    </w:div>
    <w:div w:id="301227676">
      <w:bodyDiv w:val="1"/>
      <w:marLeft w:val="0"/>
      <w:marRight w:val="0"/>
      <w:marTop w:val="0"/>
      <w:marBottom w:val="0"/>
      <w:divBdr>
        <w:top w:val="none" w:sz="0" w:space="0" w:color="auto"/>
        <w:left w:val="none" w:sz="0" w:space="0" w:color="auto"/>
        <w:bottom w:val="none" w:sz="0" w:space="0" w:color="auto"/>
        <w:right w:val="none" w:sz="0" w:space="0" w:color="auto"/>
      </w:divBdr>
    </w:div>
    <w:div w:id="327177606">
      <w:bodyDiv w:val="1"/>
      <w:marLeft w:val="0"/>
      <w:marRight w:val="0"/>
      <w:marTop w:val="0"/>
      <w:marBottom w:val="0"/>
      <w:divBdr>
        <w:top w:val="none" w:sz="0" w:space="0" w:color="auto"/>
        <w:left w:val="none" w:sz="0" w:space="0" w:color="auto"/>
        <w:bottom w:val="none" w:sz="0" w:space="0" w:color="auto"/>
        <w:right w:val="none" w:sz="0" w:space="0" w:color="auto"/>
      </w:divBdr>
    </w:div>
    <w:div w:id="353189968">
      <w:bodyDiv w:val="1"/>
      <w:marLeft w:val="0"/>
      <w:marRight w:val="0"/>
      <w:marTop w:val="0"/>
      <w:marBottom w:val="0"/>
      <w:divBdr>
        <w:top w:val="none" w:sz="0" w:space="0" w:color="auto"/>
        <w:left w:val="none" w:sz="0" w:space="0" w:color="auto"/>
        <w:bottom w:val="none" w:sz="0" w:space="0" w:color="auto"/>
        <w:right w:val="none" w:sz="0" w:space="0" w:color="auto"/>
      </w:divBdr>
    </w:div>
    <w:div w:id="368147355">
      <w:bodyDiv w:val="1"/>
      <w:marLeft w:val="0"/>
      <w:marRight w:val="0"/>
      <w:marTop w:val="0"/>
      <w:marBottom w:val="0"/>
      <w:divBdr>
        <w:top w:val="none" w:sz="0" w:space="0" w:color="auto"/>
        <w:left w:val="none" w:sz="0" w:space="0" w:color="auto"/>
        <w:bottom w:val="none" w:sz="0" w:space="0" w:color="auto"/>
        <w:right w:val="none" w:sz="0" w:space="0" w:color="auto"/>
      </w:divBdr>
    </w:div>
    <w:div w:id="560412537">
      <w:bodyDiv w:val="1"/>
      <w:marLeft w:val="0"/>
      <w:marRight w:val="0"/>
      <w:marTop w:val="0"/>
      <w:marBottom w:val="0"/>
      <w:divBdr>
        <w:top w:val="none" w:sz="0" w:space="0" w:color="auto"/>
        <w:left w:val="none" w:sz="0" w:space="0" w:color="auto"/>
        <w:bottom w:val="none" w:sz="0" w:space="0" w:color="auto"/>
        <w:right w:val="none" w:sz="0" w:space="0" w:color="auto"/>
      </w:divBdr>
    </w:div>
    <w:div w:id="571162034">
      <w:bodyDiv w:val="1"/>
      <w:marLeft w:val="0"/>
      <w:marRight w:val="0"/>
      <w:marTop w:val="0"/>
      <w:marBottom w:val="0"/>
      <w:divBdr>
        <w:top w:val="none" w:sz="0" w:space="0" w:color="auto"/>
        <w:left w:val="none" w:sz="0" w:space="0" w:color="auto"/>
        <w:bottom w:val="none" w:sz="0" w:space="0" w:color="auto"/>
        <w:right w:val="none" w:sz="0" w:space="0" w:color="auto"/>
      </w:divBdr>
    </w:div>
    <w:div w:id="588082328">
      <w:bodyDiv w:val="1"/>
      <w:marLeft w:val="0"/>
      <w:marRight w:val="0"/>
      <w:marTop w:val="0"/>
      <w:marBottom w:val="0"/>
      <w:divBdr>
        <w:top w:val="none" w:sz="0" w:space="0" w:color="auto"/>
        <w:left w:val="none" w:sz="0" w:space="0" w:color="auto"/>
        <w:bottom w:val="none" w:sz="0" w:space="0" w:color="auto"/>
        <w:right w:val="none" w:sz="0" w:space="0" w:color="auto"/>
      </w:divBdr>
    </w:div>
    <w:div w:id="676618632">
      <w:bodyDiv w:val="1"/>
      <w:marLeft w:val="0"/>
      <w:marRight w:val="0"/>
      <w:marTop w:val="0"/>
      <w:marBottom w:val="0"/>
      <w:divBdr>
        <w:top w:val="none" w:sz="0" w:space="0" w:color="auto"/>
        <w:left w:val="none" w:sz="0" w:space="0" w:color="auto"/>
        <w:bottom w:val="none" w:sz="0" w:space="0" w:color="auto"/>
        <w:right w:val="none" w:sz="0" w:space="0" w:color="auto"/>
      </w:divBdr>
    </w:div>
    <w:div w:id="700084382">
      <w:bodyDiv w:val="1"/>
      <w:marLeft w:val="0"/>
      <w:marRight w:val="0"/>
      <w:marTop w:val="0"/>
      <w:marBottom w:val="0"/>
      <w:divBdr>
        <w:top w:val="none" w:sz="0" w:space="0" w:color="auto"/>
        <w:left w:val="none" w:sz="0" w:space="0" w:color="auto"/>
        <w:bottom w:val="none" w:sz="0" w:space="0" w:color="auto"/>
        <w:right w:val="none" w:sz="0" w:space="0" w:color="auto"/>
      </w:divBdr>
    </w:div>
    <w:div w:id="794327387">
      <w:bodyDiv w:val="1"/>
      <w:marLeft w:val="0"/>
      <w:marRight w:val="0"/>
      <w:marTop w:val="0"/>
      <w:marBottom w:val="0"/>
      <w:divBdr>
        <w:top w:val="none" w:sz="0" w:space="0" w:color="auto"/>
        <w:left w:val="none" w:sz="0" w:space="0" w:color="auto"/>
        <w:bottom w:val="none" w:sz="0" w:space="0" w:color="auto"/>
        <w:right w:val="none" w:sz="0" w:space="0" w:color="auto"/>
      </w:divBdr>
    </w:div>
    <w:div w:id="864100753">
      <w:bodyDiv w:val="1"/>
      <w:marLeft w:val="0"/>
      <w:marRight w:val="0"/>
      <w:marTop w:val="0"/>
      <w:marBottom w:val="0"/>
      <w:divBdr>
        <w:top w:val="none" w:sz="0" w:space="0" w:color="auto"/>
        <w:left w:val="none" w:sz="0" w:space="0" w:color="auto"/>
        <w:bottom w:val="none" w:sz="0" w:space="0" w:color="auto"/>
        <w:right w:val="none" w:sz="0" w:space="0" w:color="auto"/>
      </w:divBdr>
    </w:div>
    <w:div w:id="966738754">
      <w:bodyDiv w:val="1"/>
      <w:marLeft w:val="0"/>
      <w:marRight w:val="0"/>
      <w:marTop w:val="0"/>
      <w:marBottom w:val="0"/>
      <w:divBdr>
        <w:top w:val="none" w:sz="0" w:space="0" w:color="auto"/>
        <w:left w:val="none" w:sz="0" w:space="0" w:color="auto"/>
        <w:bottom w:val="none" w:sz="0" w:space="0" w:color="auto"/>
        <w:right w:val="none" w:sz="0" w:space="0" w:color="auto"/>
      </w:divBdr>
    </w:div>
    <w:div w:id="989752206">
      <w:bodyDiv w:val="1"/>
      <w:marLeft w:val="0"/>
      <w:marRight w:val="0"/>
      <w:marTop w:val="0"/>
      <w:marBottom w:val="0"/>
      <w:divBdr>
        <w:top w:val="none" w:sz="0" w:space="0" w:color="auto"/>
        <w:left w:val="none" w:sz="0" w:space="0" w:color="auto"/>
        <w:bottom w:val="none" w:sz="0" w:space="0" w:color="auto"/>
        <w:right w:val="none" w:sz="0" w:space="0" w:color="auto"/>
      </w:divBdr>
    </w:div>
    <w:div w:id="990787791">
      <w:bodyDiv w:val="1"/>
      <w:marLeft w:val="0"/>
      <w:marRight w:val="0"/>
      <w:marTop w:val="0"/>
      <w:marBottom w:val="0"/>
      <w:divBdr>
        <w:top w:val="none" w:sz="0" w:space="0" w:color="auto"/>
        <w:left w:val="none" w:sz="0" w:space="0" w:color="auto"/>
        <w:bottom w:val="none" w:sz="0" w:space="0" w:color="auto"/>
        <w:right w:val="none" w:sz="0" w:space="0" w:color="auto"/>
      </w:divBdr>
    </w:div>
    <w:div w:id="1072969805">
      <w:bodyDiv w:val="1"/>
      <w:marLeft w:val="0"/>
      <w:marRight w:val="0"/>
      <w:marTop w:val="0"/>
      <w:marBottom w:val="0"/>
      <w:divBdr>
        <w:top w:val="none" w:sz="0" w:space="0" w:color="auto"/>
        <w:left w:val="none" w:sz="0" w:space="0" w:color="auto"/>
        <w:bottom w:val="none" w:sz="0" w:space="0" w:color="auto"/>
        <w:right w:val="none" w:sz="0" w:space="0" w:color="auto"/>
      </w:divBdr>
    </w:div>
    <w:div w:id="1171750262">
      <w:bodyDiv w:val="1"/>
      <w:marLeft w:val="0"/>
      <w:marRight w:val="0"/>
      <w:marTop w:val="0"/>
      <w:marBottom w:val="0"/>
      <w:divBdr>
        <w:top w:val="none" w:sz="0" w:space="0" w:color="auto"/>
        <w:left w:val="none" w:sz="0" w:space="0" w:color="auto"/>
        <w:bottom w:val="none" w:sz="0" w:space="0" w:color="auto"/>
        <w:right w:val="none" w:sz="0" w:space="0" w:color="auto"/>
      </w:divBdr>
    </w:div>
    <w:div w:id="1185440956">
      <w:bodyDiv w:val="1"/>
      <w:marLeft w:val="0"/>
      <w:marRight w:val="0"/>
      <w:marTop w:val="0"/>
      <w:marBottom w:val="0"/>
      <w:divBdr>
        <w:top w:val="none" w:sz="0" w:space="0" w:color="auto"/>
        <w:left w:val="none" w:sz="0" w:space="0" w:color="auto"/>
        <w:bottom w:val="none" w:sz="0" w:space="0" w:color="auto"/>
        <w:right w:val="none" w:sz="0" w:space="0" w:color="auto"/>
      </w:divBdr>
    </w:div>
    <w:div w:id="1240401838">
      <w:bodyDiv w:val="1"/>
      <w:marLeft w:val="0"/>
      <w:marRight w:val="0"/>
      <w:marTop w:val="0"/>
      <w:marBottom w:val="0"/>
      <w:divBdr>
        <w:top w:val="none" w:sz="0" w:space="0" w:color="auto"/>
        <w:left w:val="none" w:sz="0" w:space="0" w:color="auto"/>
        <w:bottom w:val="none" w:sz="0" w:space="0" w:color="auto"/>
        <w:right w:val="none" w:sz="0" w:space="0" w:color="auto"/>
      </w:divBdr>
    </w:div>
    <w:div w:id="1292129969">
      <w:bodyDiv w:val="1"/>
      <w:marLeft w:val="0"/>
      <w:marRight w:val="0"/>
      <w:marTop w:val="0"/>
      <w:marBottom w:val="0"/>
      <w:divBdr>
        <w:top w:val="none" w:sz="0" w:space="0" w:color="auto"/>
        <w:left w:val="none" w:sz="0" w:space="0" w:color="auto"/>
        <w:bottom w:val="none" w:sz="0" w:space="0" w:color="auto"/>
        <w:right w:val="none" w:sz="0" w:space="0" w:color="auto"/>
      </w:divBdr>
    </w:div>
    <w:div w:id="1293562150">
      <w:bodyDiv w:val="1"/>
      <w:marLeft w:val="0"/>
      <w:marRight w:val="0"/>
      <w:marTop w:val="0"/>
      <w:marBottom w:val="0"/>
      <w:divBdr>
        <w:top w:val="none" w:sz="0" w:space="0" w:color="auto"/>
        <w:left w:val="none" w:sz="0" w:space="0" w:color="auto"/>
        <w:bottom w:val="none" w:sz="0" w:space="0" w:color="auto"/>
        <w:right w:val="none" w:sz="0" w:space="0" w:color="auto"/>
      </w:divBdr>
    </w:div>
    <w:div w:id="1294798078">
      <w:bodyDiv w:val="1"/>
      <w:marLeft w:val="0"/>
      <w:marRight w:val="0"/>
      <w:marTop w:val="0"/>
      <w:marBottom w:val="0"/>
      <w:divBdr>
        <w:top w:val="none" w:sz="0" w:space="0" w:color="auto"/>
        <w:left w:val="none" w:sz="0" w:space="0" w:color="auto"/>
        <w:bottom w:val="none" w:sz="0" w:space="0" w:color="auto"/>
        <w:right w:val="none" w:sz="0" w:space="0" w:color="auto"/>
      </w:divBdr>
    </w:div>
    <w:div w:id="1304504853">
      <w:bodyDiv w:val="1"/>
      <w:marLeft w:val="0"/>
      <w:marRight w:val="0"/>
      <w:marTop w:val="0"/>
      <w:marBottom w:val="0"/>
      <w:divBdr>
        <w:top w:val="none" w:sz="0" w:space="0" w:color="auto"/>
        <w:left w:val="none" w:sz="0" w:space="0" w:color="auto"/>
        <w:bottom w:val="none" w:sz="0" w:space="0" w:color="auto"/>
        <w:right w:val="none" w:sz="0" w:space="0" w:color="auto"/>
      </w:divBdr>
    </w:div>
    <w:div w:id="1342708083">
      <w:bodyDiv w:val="1"/>
      <w:marLeft w:val="0"/>
      <w:marRight w:val="0"/>
      <w:marTop w:val="0"/>
      <w:marBottom w:val="0"/>
      <w:divBdr>
        <w:top w:val="none" w:sz="0" w:space="0" w:color="auto"/>
        <w:left w:val="none" w:sz="0" w:space="0" w:color="auto"/>
        <w:bottom w:val="none" w:sz="0" w:space="0" w:color="auto"/>
        <w:right w:val="none" w:sz="0" w:space="0" w:color="auto"/>
      </w:divBdr>
    </w:div>
    <w:div w:id="1392459881">
      <w:bodyDiv w:val="1"/>
      <w:marLeft w:val="0"/>
      <w:marRight w:val="0"/>
      <w:marTop w:val="0"/>
      <w:marBottom w:val="0"/>
      <w:divBdr>
        <w:top w:val="none" w:sz="0" w:space="0" w:color="auto"/>
        <w:left w:val="none" w:sz="0" w:space="0" w:color="auto"/>
        <w:bottom w:val="none" w:sz="0" w:space="0" w:color="auto"/>
        <w:right w:val="none" w:sz="0" w:space="0" w:color="auto"/>
      </w:divBdr>
    </w:div>
    <w:div w:id="1417750143">
      <w:bodyDiv w:val="1"/>
      <w:marLeft w:val="0"/>
      <w:marRight w:val="0"/>
      <w:marTop w:val="0"/>
      <w:marBottom w:val="0"/>
      <w:divBdr>
        <w:top w:val="none" w:sz="0" w:space="0" w:color="auto"/>
        <w:left w:val="none" w:sz="0" w:space="0" w:color="auto"/>
        <w:bottom w:val="none" w:sz="0" w:space="0" w:color="auto"/>
        <w:right w:val="none" w:sz="0" w:space="0" w:color="auto"/>
      </w:divBdr>
    </w:div>
    <w:div w:id="1434742102">
      <w:bodyDiv w:val="1"/>
      <w:marLeft w:val="0"/>
      <w:marRight w:val="0"/>
      <w:marTop w:val="0"/>
      <w:marBottom w:val="0"/>
      <w:divBdr>
        <w:top w:val="none" w:sz="0" w:space="0" w:color="auto"/>
        <w:left w:val="none" w:sz="0" w:space="0" w:color="auto"/>
        <w:bottom w:val="none" w:sz="0" w:space="0" w:color="auto"/>
        <w:right w:val="none" w:sz="0" w:space="0" w:color="auto"/>
      </w:divBdr>
    </w:div>
    <w:div w:id="1451512271">
      <w:bodyDiv w:val="1"/>
      <w:marLeft w:val="0"/>
      <w:marRight w:val="0"/>
      <w:marTop w:val="0"/>
      <w:marBottom w:val="0"/>
      <w:divBdr>
        <w:top w:val="none" w:sz="0" w:space="0" w:color="auto"/>
        <w:left w:val="none" w:sz="0" w:space="0" w:color="auto"/>
        <w:bottom w:val="none" w:sz="0" w:space="0" w:color="auto"/>
        <w:right w:val="none" w:sz="0" w:space="0" w:color="auto"/>
      </w:divBdr>
    </w:div>
    <w:div w:id="1485120942">
      <w:bodyDiv w:val="1"/>
      <w:marLeft w:val="0"/>
      <w:marRight w:val="0"/>
      <w:marTop w:val="0"/>
      <w:marBottom w:val="0"/>
      <w:divBdr>
        <w:top w:val="none" w:sz="0" w:space="0" w:color="auto"/>
        <w:left w:val="none" w:sz="0" w:space="0" w:color="auto"/>
        <w:bottom w:val="none" w:sz="0" w:space="0" w:color="auto"/>
        <w:right w:val="none" w:sz="0" w:space="0" w:color="auto"/>
      </w:divBdr>
    </w:div>
    <w:div w:id="1505246699">
      <w:bodyDiv w:val="1"/>
      <w:marLeft w:val="0"/>
      <w:marRight w:val="0"/>
      <w:marTop w:val="0"/>
      <w:marBottom w:val="0"/>
      <w:divBdr>
        <w:top w:val="none" w:sz="0" w:space="0" w:color="auto"/>
        <w:left w:val="none" w:sz="0" w:space="0" w:color="auto"/>
        <w:bottom w:val="none" w:sz="0" w:space="0" w:color="auto"/>
        <w:right w:val="none" w:sz="0" w:space="0" w:color="auto"/>
      </w:divBdr>
    </w:div>
    <w:div w:id="1536772788">
      <w:bodyDiv w:val="1"/>
      <w:marLeft w:val="0"/>
      <w:marRight w:val="0"/>
      <w:marTop w:val="0"/>
      <w:marBottom w:val="0"/>
      <w:divBdr>
        <w:top w:val="none" w:sz="0" w:space="0" w:color="auto"/>
        <w:left w:val="none" w:sz="0" w:space="0" w:color="auto"/>
        <w:bottom w:val="none" w:sz="0" w:space="0" w:color="auto"/>
        <w:right w:val="none" w:sz="0" w:space="0" w:color="auto"/>
      </w:divBdr>
    </w:div>
    <w:div w:id="1587570453">
      <w:bodyDiv w:val="1"/>
      <w:marLeft w:val="0"/>
      <w:marRight w:val="0"/>
      <w:marTop w:val="0"/>
      <w:marBottom w:val="0"/>
      <w:divBdr>
        <w:top w:val="none" w:sz="0" w:space="0" w:color="auto"/>
        <w:left w:val="none" w:sz="0" w:space="0" w:color="auto"/>
        <w:bottom w:val="none" w:sz="0" w:space="0" w:color="auto"/>
        <w:right w:val="none" w:sz="0" w:space="0" w:color="auto"/>
      </w:divBdr>
    </w:div>
    <w:div w:id="1589997537">
      <w:bodyDiv w:val="1"/>
      <w:marLeft w:val="0"/>
      <w:marRight w:val="0"/>
      <w:marTop w:val="0"/>
      <w:marBottom w:val="0"/>
      <w:divBdr>
        <w:top w:val="none" w:sz="0" w:space="0" w:color="auto"/>
        <w:left w:val="none" w:sz="0" w:space="0" w:color="auto"/>
        <w:bottom w:val="none" w:sz="0" w:space="0" w:color="auto"/>
        <w:right w:val="none" w:sz="0" w:space="0" w:color="auto"/>
      </w:divBdr>
    </w:div>
    <w:div w:id="1599406354">
      <w:bodyDiv w:val="1"/>
      <w:marLeft w:val="0"/>
      <w:marRight w:val="0"/>
      <w:marTop w:val="0"/>
      <w:marBottom w:val="0"/>
      <w:divBdr>
        <w:top w:val="none" w:sz="0" w:space="0" w:color="auto"/>
        <w:left w:val="none" w:sz="0" w:space="0" w:color="auto"/>
        <w:bottom w:val="none" w:sz="0" w:space="0" w:color="auto"/>
        <w:right w:val="none" w:sz="0" w:space="0" w:color="auto"/>
      </w:divBdr>
    </w:div>
    <w:div w:id="1651517502">
      <w:bodyDiv w:val="1"/>
      <w:marLeft w:val="0"/>
      <w:marRight w:val="0"/>
      <w:marTop w:val="0"/>
      <w:marBottom w:val="0"/>
      <w:divBdr>
        <w:top w:val="none" w:sz="0" w:space="0" w:color="auto"/>
        <w:left w:val="none" w:sz="0" w:space="0" w:color="auto"/>
        <w:bottom w:val="none" w:sz="0" w:space="0" w:color="auto"/>
        <w:right w:val="none" w:sz="0" w:space="0" w:color="auto"/>
      </w:divBdr>
    </w:div>
    <w:div w:id="1686059465">
      <w:bodyDiv w:val="1"/>
      <w:marLeft w:val="0"/>
      <w:marRight w:val="0"/>
      <w:marTop w:val="0"/>
      <w:marBottom w:val="0"/>
      <w:divBdr>
        <w:top w:val="none" w:sz="0" w:space="0" w:color="auto"/>
        <w:left w:val="none" w:sz="0" w:space="0" w:color="auto"/>
        <w:bottom w:val="none" w:sz="0" w:space="0" w:color="auto"/>
        <w:right w:val="none" w:sz="0" w:space="0" w:color="auto"/>
      </w:divBdr>
    </w:div>
    <w:div w:id="1793476923">
      <w:bodyDiv w:val="1"/>
      <w:marLeft w:val="0"/>
      <w:marRight w:val="0"/>
      <w:marTop w:val="0"/>
      <w:marBottom w:val="0"/>
      <w:divBdr>
        <w:top w:val="none" w:sz="0" w:space="0" w:color="auto"/>
        <w:left w:val="none" w:sz="0" w:space="0" w:color="auto"/>
        <w:bottom w:val="none" w:sz="0" w:space="0" w:color="auto"/>
        <w:right w:val="none" w:sz="0" w:space="0" w:color="auto"/>
      </w:divBdr>
    </w:div>
    <w:div w:id="1911840711">
      <w:bodyDiv w:val="1"/>
      <w:marLeft w:val="0"/>
      <w:marRight w:val="0"/>
      <w:marTop w:val="0"/>
      <w:marBottom w:val="0"/>
      <w:divBdr>
        <w:top w:val="none" w:sz="0" w:space="0" w:color="auto"/>
        <w:left w:val="none" w:sz="0" w:space="0" w:color="auto"/>
        <w:bottom w:val="none" w:sz="0" w:space="0" w:color="auto"/>
        <w:right w:val="none" w:sz="0" w:space="0" w:color="auto"/>
      </w:divBdr>
    </w:div>
    <w:div w:id="1930656441">
      <w:bodyDiv w:val="1"/>
      <w:marLeft w:val="0"/>
      <w:marRight w:val="0"/>
      <w:marTop w:val="0"/>
      <w:marBottom w:val="0"/>
      <w:divBdr>
        <w:top w:val="none" w:sz="0" w:space="0" w:color="auto"/>
        <w:left w:val="none" w:sz="0" w:space="0" w:color="auto"/>
        <w:bottom w:val="none" w:sz="0" w:space="0" w:color="auto"/>
        <w:right w:val="none" w:sz="0" w:space="0" w:color="auto"/>
      </w:divBdr>
    </w:div>
    <w:div w:id="1936403930">
      <w:bodyDiv w:val="1"/>
      <w:marLeft w:val="0"/>
      <w:marRight w:val="0"/>
      <w:marTop w:val="0"/>
      <w:marBottom w:val="0"/>
      <w:divBdr>
        <w:top w:val="none" w:sz="0" w:space="0" w:color="auto"/>
        <w:left w:val="none" w:sz="0" w:space="0" w:color="auto"/>
        <w:bottom w:val="none" w:sz="0" w:space="0" w:color="auto"/>
        <w:right w:val="none" w:sz="0" w:space="0" w:color="auto"/>
      </w:divBdr>
    </w:div>
    <w:div w:id="1993681415">
      <w:bodyDiv w:val="1"/>
      <w:marLeft w:val="0"/>
      <w:marRight w:val="0"/>
      <w:marTop w:val="0"/>
      <w:marBottom w:val="0"/>
      <w:divBdr>
        <w:top w:val="none" w:sz="0" w:space="0" w:color="auto"/>
        <w:left w:val="none" w:sz="0" w:space="0" w:color="auto"/>
        <w:bottom w:val="none" w:sz="0" w:space="0" w:color="auto"/>
        <w:right w:val="none" w:sz="0" w:space="0" w:color="auto"/>
      </w:divBdr>
    </w:div>
    <w:div w:id="2085909915">
      <w:bodyDiv w:val="1"/>
      <w:marLeft w:val="0"/>
      <w:marRight w:val="0"/>
      <w:marTop w:val="0"/>
      <w:marBottom w:val="0"/>
      <w:divBdr>
        <w:top w:val="none" w:sz="0" w:space="0" w:color="auto"/>
        <w:left w:val="none" w:sz="0" w:space="0" w:color="auto"/>
        <w:bottom w:val="none" w:sz="0" w:space="0" w:color="auto"/>
        <w:right w:val="none" w:sz="0" w:space="0" w:color="auto"/>
      </w:divBdr>
    </w:div>
    <w:div w:id="2118521509">
      <w:bodyDiv w:val="1"/>
      <w:marLeft w:val="0"/>
      <w:marRight w:val="0"/>
      <w:marTop w:val="0"/>
      <w:marBottom w:val="0"/>
      <w:divBdr>
        <w:top w:val="none" w:sz="0" w:space="0" w:color="auto"/>
        <w:left w:val="none" w:sz="0" w:space="0" w:color="auto"/>
        <w:bottom w:val="none" w:sz="0" w:space="0" w:color="auto"/>
        <w:right w:val="none" w:sz="0" w:space="0" w:color="auto"/>
      </w:divBdr>
      <w:divsChild>
        <w:div w:id="2060859032">
          <w:marLeft w:val="0"/>
          <w:marRight w:val="0"/>
          <w:marTop w:val="0"/>
          <w:marBottom w:val="0"/>
          <w:divBdr>
            <w:top w:val="none" w:sz="0" w:space="0" w:color="auto"/>
            <w:left w:val="none" w:sz="0" w:space="0" w:color="auto"/>
            <w:bottom w:val="none" w:sz="0" w:space="0" w:color="auto"/>
            <w:right w:val="none" w:sz="0" w:space="0" w:color="auto"/>
          </w:divBdr>
          <w:divsChild>
            <w:div w:id="405808657">
              <w:marLeft w:val="0"/>
              <w:marRight w:val="0"/>
              <w:marTop w:val="0"/>
              <w:marBottom w:val="0"/>
              <w:divBdr>
                <w:top w:val="none" w:sz="0" w:space="0" w:color="auto"/>
                <w:left w:val="none" w:sz="0" w:space="0" w:color="auto"/>
                <w:bottom w:val="none" w:sz="0" w:space="0" w:color="auto"/>
                <w:right w:val="none" w:sz="0" w:space="0" w:color="auto"/>
              </w:divBdr>
              <w:divsChild>
                <w:div w:id="671226729">
                  <w:marLeft w:val="0"/>
                  <w:marRight w:val="0"/>
                  <w:marTop w:val="0"/>
                  <w:marBottom w:val="0"/>
                  <w:divBdr>
                    <w:top w:val="none" w:sz="0" w:space="0" w:color="auto"/>
                    <w:left w:val="none" w:sz="0" w:space="0" w:color="auto"/>
                    <w:bottom w:val="none" w:sz="0" w:space="0" w:color="auto"/>
                    <w:right w:val="none" w:sz="0" w:space="0" w:color="auto"/>
                  </w:divBdr>
                  <w:divsChild>
                    <w:div w:id="766728956">
                      <w:marLeft w:val="0"/>
                      <w:marRight w:val="0"/>
                      <w:marTop w:val="0"/>
                      <w:marBottom w:val="0"/>
                      <w:divBdr>
                        <w:top w:val="none" w:sz="0" w:space="0" w:color="auto"/>
                        <w:left w:val="none" w:sz="0" w:space="0" w:color="auto"/>
                        <w:bottom w:val="none" w:sz="0" w:space="0" w:color="auto"/>
                        <w:right w:val="none" w:sz="0" w:space="0" w:color="auto"/>
                      </w:divBdr>
                      <w:divsChild>
                        <w:div w:id="627902883">
                          <w:marLeft w:val="0"/>
                          <w:marRight w:val="0"/>
                          <w:marTop w:val="0"/>
                          <w:marBottom w:val="0"/>
                          <w:divBdr>
                            <w:top w:val="none" w:sz="0" w:space="0" w:color="auto"/>
                            <w:left w:val="none" w:sz="0" w:space="0" w:color="auto"/>
                            <w:bottom w:val="none" w:sz="0" w:space="0" w:color="auto"/>
                            <w:right w:val="none" w:sz="0" w:space="0" w:color="auto"/>
                          </w:divBdr>
                          <w:divsChild>
                            <w:div w:id="3625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1197239">
      <w:bodyDiv w:val="1"/>
      <w:marLeft w:val="0"/>
      <w:marRight w:val="0"/>
      <w:marTop w:val="0"/>
      <w:marBottom w:val="0"/>
      <w:divBdr>
        <w:top w:val="none" w:sz="0" w:space="0" w:color="auto"/>
        <w:left w:val="none" w:sz="0" w:space="0" w:color="auto"/>
        <w:bottom w:val="none" w:sz="0" w:space="0" w:color="auto"/>
        <w:right w:val="none" w:sz="0" w:space="0" w:color="auto"/>
      </w:divBdr>
    </w:div>
    <w:div w:id="213347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eader" Target="header2.xml"/><Relationship Id="rId26" Type="http://schemas.openxmlformats.org/officeDocument/2006/relationships/image" Target="media/image8.emf"/><Relationship Id="rId39" Type="http://schemas.openxmlformats.org/officeDocument/2006/relationships/image" Target="media/image20.emf"/><Relationship Id="rId21" Type="http://schemas.openxmlformats.org/officeDocument/2006/relationships/image" Target="media/image4.png"/><Relationship Id="rId34" Type="http://schemas.openxmlformats.org/officeDocument/2006/relationships/image" Target="media/image15.emf"/><Relationship Id="rId42" Type="http://schemas.openxmlformats.org/officeDocument/2006/relationships/image" Target="media/image23.emf"/><Relationship Id="rId47" Type="http://schemas.openxmlformats.org/officeDocument/2006/relationships/image" Target="media/image28.emf"/><Relationship Id="rId50" Type="http://schemas.openxmlformats.org/officeDocument/2006/relationships/image" Target="media/image31.emf"/><Relationship Id="rId55" Type="http://schemas.openxmlformats.org/officeDocument/2006/relationships/image" Target="media/image36.emf"/><Relationship Id="rId63" Type="http://schemas.openxmlformats.org/officeDocument/2006/relationships/image" Target="media/image44.emf"/><Relationship Id="rId68" Type="http://schemas.openxmlformats.org/officeDocument/2006/relationships/footer" Target="footer2.xml"/><Relationship Id="rId76"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emf"/><Relationship Id="rId11" Type="http://schemas.openxmlformats.org/officeDocument/2006/relationships/webSettings" Target="webSettings.xml"/><Relationship Id="rId24" Type="http://schemas.microsoft.com/office/2007/relationships/hdphoto" Target="media/hdphoto1.wdp"/><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header" Target="header4.xml"/><Relationship Id="rId74"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hyperlink" Target="mailto:tga.copyright@tga.gov.au" TargetMode="External"/><Relationship Id="rId23" Type="http://schemas.openxmlformats.org/officeDocument/2006/relationships/image" Target="media/image6.png"/><Relationship Id="rId28" Type="http://schemas.microsoft.com/office/2007/relationships/hdphoto" Target="media/hdphoto2.wdp"/><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61" Type="http://schemas.openxmlformats.org/officeDocument/2006/relationships/image" Target="media/image42.emf"/><Relationship Id="rId10" Type="http://schemas.openxmlformats.org/officeDocument/2006/relationships/settings" Target="settings.xml"/><Relationship Id="rId19" Type="http://schemas.openxmlformats.org/officeDocument/2006/relationships/image" Target="media/image3.emf"/><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header" Target="header3.xml"/><Relationship Id="rId73" Type="http://schemas.openxmlformats.org/officeDocument/2006/relationships/footer" Target="footer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www.tga.gov.au"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hyperlink" Target="https://www.tga.gov.au/product-information-pi" TargetMode="External"/><Relationship Id="rId69" Type="http://schemas.openxmlformats.org/officeDocument/2006/relationships/hyperlink" Target="mailto:info@tga.gov.au" TargetMode="External"/><Relationship Id="rId77"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2.emf"/><Relationship Id="rId72"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7.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header" Target="header5.xml"/><Relationship Id="rId20" Type="http://schemas.openxmlformats.org/officeDocument/2006/relationships/hyperlink" Target="https://www.tga.gov.au/product-information-pi" TargetMode="External"/><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hyperlink" Target="https://www.tga.gov.au"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4564\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i="http://www.w3.org/2001/XMLSchema-instance" xmlns:xsd="http://www.w3.org/2001/XMLSchema" xmlns="http://www.boldonjames.com/2008/01/sie/internal/label" sislVersion="0" policy="a10f9ac0-5937-4b4f-b459-96aedd9ed2c5">
  <element uid="9920fcc9-9f43-4d43-9e3e-b98a219cfd55" value=""/>
</sisl>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E7E68ACC01DE46BAB8D5F65BAC05EC" ma:contentTypeVersion="1" ma:contentTypeDescription="Create a new document." ma:contentTypeScope="" ma:versionID="bb3ea9ee07c508757d50ee6b508bcde9">
  <xsd:schema xmlns:xsd="http://www.w3.org/2001/XMLSchema" xmlns:xs="http://www.w3.org/2001/XMLSchema" xmlns:p="http://schemas.microsoft.com/office/2006/metadata/properties" xmlns:ns2="d353fcf7-205b-40c5-a3af-4cf3a5e9c355" xmlns:ns3="9db20a44-376d-4c97-8d2b-88532430f6d7" targetNamespace="http://schemas.microsoft.com/office/2006/metadata/properties" ma:root="true" ma:fieldsID="f0e2eda1c908dcc4eb356f3cd77ebf05" ns2:_="" ns3:_="">
    <xsd:import namespace="d353fcf7-205b-40c5-a3af-4cf3a5e9c355"/>
    <xsd:import namespace="9db20a44-376d-4c97-8d2b-88532430f6d7"/>
    <xsd:element name="properties">
      <xsd:complexType>
        <xsd:sequence>
          <xsd:element name="documentManagement">
            <xsd:complexType>
              <xsd:all>
                <xsd:element ref="ns2:_dlc_DocId" minOccurs="0"/>
                <xsd:element ref="ns2:_dlc_DocIdUrl" minOccurs="0"/>
                <xsd:element ref="ns2:_dlc_DocIdPersistId" minOccurs="0"/>
                <xsd:element ref="ns3:Description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53fcf7-205b-40c5-a3af-4cf3a5e9c35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b20a44-376d-4c97-8d2b-88532430f6d7" elementFormDefault="qualified">
    <xsd:import namespace="http://schemas.microsoft.com/office/2006/documentManagement/types"/>
    <xsd:import namespace="http://schemas.microsoft.com/office/infopath/2007/PartnerControls"/>
    <xsd:element name="Description0" ma:index="11" nillable="true" ma:displayName="Description" ma:internalName="Description0">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d353fcf7-205b-40c5-a3af-4cf3a5e9c355">EFYCX3CDVRKR-1794191079-83225</_dlc_DocId>
    <_dlc_DocIdUrl xmlns="d353fcf7-205b-40c5-a3af-4cf3a5e9c355">
      <Url>http://spapp.merck.com/sites/ANZMarket/REGAFF/_layouts/DocIdRedir.aspx?ID=EFYCX3CDVRKR-1794191079-83225</Url>
      <Description>EFYCX3CDVRKR-1794191079-83225</Description>
    </_dlc_DocIdUrl>
    <Description0 xmlns="9db20a44-376d-4c97-8d2b-88532430f6d7"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AC8FC-27C0-4330-8492-06550929BC91}">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7E173B7C-8A77-446C-A3BA-071EDF0A343A}">
  <ds:schemaRefs>
    <ds:schemaRef ds:uri="http://schemas.microsoft.com/sharepoint/events"/>
  </ds:schemaRefs>
</ds:datastoreItem>
</file>

<file path=customXml/itemProps3.xml><?xml version="1.0" encoding="utf-8"?>
<ds:datastoreItem xmlns:ds="http://schemas.openxmlformats.org/officeDocument/2006/customXml" ds:itemID="{897BEB5B-EB15-46AD-9804-767BBBCF980A}">
  <ds:schemaRefs>
    <ds:schemaRef ds:uri="http://schemas.microsoft.com/sharepoint/v3/contenttype/forms"/>
  </ds:schemaRefs>
</ds:datastoreItem>
</file>

<file path=customXml/itemProps4.xml><?xml version="1.0" encoding="utf-8"?>
<ds:datastoreItem xmlns:ds="http://schemas.openxmlformats.org/officeDocument/2006/customXml" ds:itemID="{DFF9F0CB-9856-4538-8352-4616C2486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53fcf7-205b-40c5-a3af-4cf3a5e9c355"/>
    <ds:schemaRef ds:uri="9db20a44-376d-4c97-8d2b-88532430f6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87314E8-E20F-4F7B-8B52-241E47D1FD31}">
  <ds:schemaRefs>
    <ds:schemaRef ds:uri="9db20a44-376d-4c97-8d2b-88532430f6d7"/>
    <ds:schemaRef ds:uri="d353fcf7-205b-40c5-a3af-4cf3a5e9c355"/>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dcmitype/"/>
    <ds:schemaRef ds:uri="http://purl.org/dc/elements/1.1/"/>
    <ds:schemaRef ds:uri="http://schemas.openxmlformats.org/package/2006/metadata/core-properties"/>
    <ds:schemaRef ds:uri="http://www.w3.org/XML/1998/namespace"/>
  </ds:schemaRefs>
</ds:datastoreItem>
</file>

<file path=customXml/itemProps6.xml><?xml version="1.0" encoding="utf-8"?>
<ds:datastoreItem xmlns:ds="http://schemas.openxmlformats.org/officeDocument/2006/customXml" ds:itemID="{D909EE50-63BC-40F4-9A9D-F4381DFBB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199</TotalTime>
  <Pages>93</Pages>
  <Words>34522</Words>
  <Characters>188146</Characters>
  <Application>Microsoft Office Word</Application>
  <DocSecurity>0</DocSecurity>
  <Lines>4276</Lines>
  <Paragraphs>2120</Paragraphs>
  <ScaleCrop>false</ScaleCrop>
  <HeadingPairs>
    <vt:vector size="2" baseType="variant">
      <vt:variant>
        <vt:lpstr>Title</vt:lpstr>
      </vt:variant>
      <vt:variant>
        <vt:i4>1</vt:i4>
      </vt:variant>
    </vt:vector>
  </HeadingPairs>
  <TitlesOfParts>
    <vt:vector size="1" baseType="lpstr">
      <vt:lpstr>Australian Public Assessment Report for Grazoprevir / Elbasvir</vt:lpstr>
    </vt:vector>
  </TitlesOfParts>
  <Company/>
  <LinksUpToDate>false</LinksUpToDate>
  <CharactersWithSpaces>220548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Grazoprevir / Elbasvir</dc:title>
  <dc:subject>Prescription medicines</dc:subject>
  <dc:creator>Therapeutic Goods Administration</dc:creator>
  <cp:keywords>AusPARs</cp:keywords>
  <cp:lastModifiedBy>MORENO, David</cp:lastModifiedBy>
  <cp:revision>14</cp:revision>
  <cp:lastPrinted>2017-04-24T18:33:00Z</cp:lastPrinted>
  <dcterms:created xsi:type="dcterms:W3CDTF">2017-05-15T01:28:00Z</dcterms:created>
  <dcterms:modified xsi:type="dcterms:W3CDTF">2017-06-06T06:06:00Z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046c0e4a-f1bf-4918-8196-72f51d76bb23</vt:lpwstr>
  </property>
  <property fmtid="{D5CDD505-2E9C-101B-9397-08002B2CF9AE}" pid="4" name="bjSaver">
    <vt:lpwstr>8GW0jZTSZPn/tW0sBq5PYcJPJhpQyBUQ</vt:lpwstr>
  </property>
  <property fmtid="{D5CDD505-2E9C-101B-9397-08002B2CF9AE}" pid="5" name="_dlc_DocIdItemGuid">
    <vt:lpwstr>68e05433-17dd-4c81-926c-f3015f739128</vt:lpwstr>
  </property>
  <property fmtid="{D5CDD505-2E9C-101B-9397-08002B2CF9AE}" pid="6" name="ContentTypeId">
    <vt:lpwstr>0x01010052E7E68ACC01DE46BAB8D5F65BAC05EC</vt:lpwstr>
  </property>
  <property fmtid="{D5CDD505-2E9C-101B-9397-08002B2CF9AE}" pid="7" name="bjDocumentLabelXML">
    <vt:lpwstr>&lt;?xml version="1.0" encoding="us-ascii"?&gt;&lt;sisl xmlns:xsi="http://www.w3.org/2001/XMLSchema-instance" xmlns:xsd="http://www.w3.org/2001/XMLSchema" sislVersion="0" policy="a10f9ac0-5937-4b4f-b459-96aedd9ed2c5" xmlns="http://www.boldonjames.com/2008/01/sie/i</vt:lpwstr>
  </property>
  <property fmtid="{D5CDD505-2E9C-101B-9397-08002B2CF9AE}" pid="8" name="bjDocumentLabelXML-0">
    <vt:lpwstr>nternal/label"&gt;&lt;element uid="9920fcc9-9f43-4d43-9e3e-b98a219cfd55" value="" /&gt;&lt;/sisl&gt;</vt:lpwstr>
  </property>
  <property fmtid="{D5CDD505-2E9C-101B-9397-08002B2CF9AE}" pid="9" name="bjDocumentSecurityLabel">
    <vt:lpwstr>Not Classified</vt:lpwstr>
  </property>
</Properties>
</file>