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DD" w:rsidRPr="004A4D89" w:rsidRDefault="00CC78DD" w:rsidP="007233E7">
      <w:pPr>
        <w:pStyle w:val="Title"/>
      </w:pPr>
      <w:bookmarkStart w:id="0" w:name="_GoBack"/>
      <w:bookmarkEnd w:id="0"/>
      <w:r w:rsidRPr="004A4D89">
        <w:t>PRODUCT INFORMATION</w:t>
      </w:r>
    </w:p>
    <w:p w:rsidR="000E5F8B" w:rsidRDefault="000E5F8B" w:rsidP="000E5F8B">
      <w:pPr>
        <w:pStyle w:val="Heading1"/>
        <w:jc w:val="center"/>
        <w:rPr>
          <w:sz w:val="28"/>
          <w:szCs w:val="28"/>
        </w:rPr>
      </w:pPr>
      <w:r w:rsidRPr="00FC6CC5">
        <w:rPr>
          <w:sz w:val="28"/>
          <w:szCs w:val="28"/>
        </w:rPr>
        <w:t xml:space="preserve">ZEPATIER </w:t>
      </w:r>
    </w:p>
    <w:p w:rsidR="000E5F8B" w:rsidRPr="000E5F8B" w:rsidRDefault="00A24540" w:rsidP="000E5F8B">
      <w:pPr>
        <w:jc w:val="center"/>
        <w:rPr>
          <w:b/>
          <w:sz w:val="28"/>
          <w:szCs w:val="28"/>
        </w:rPr>
      </w:pPr>
      <w:proofErr w:type="spellStart"/>
      <w:proofErr w:type="gramStart"/>
      <w:r w:rsidRPr="000E5F8B">
        <w:rPr>
          <w:b/>
          <w:sz w:val="28"/>
          <w:szCs w:val="28"/>
        </w:rPr>
        <w:t>elbasvir</w:t>
      </w:r>
      <w:proofErr w:type="spellEnd"/>
      <w:proofErr w:type="gramEnd"/>
      <w:r w:rsidRPr="000E5F8B">
        <w:rPr>
          <w:b/>
          <w:sz w:val="28"/>
          <w:szCs w:val="28"/>
        </w:rPr>
        <w:t xml:space="preserve"> </w:t>
      </w:r>
      <w:r>
        <w:rPr>
          <w:b/>
          <w:sz w:val="28"/>
          <w:szCs w:val="28"/>
        </w:rPr>
        <w:t xml:space="preserve">/ </w:t>
      </w:r>
      <w:proofErr w:type="spellStart"/>
      <w:r w:rsidR="000E5F8B" w:rsidRPr="000E5F8B">
        <w:rPr>
          <w:b/>
          <w:sz w:val="28"/>
          <w:szCs w:val="28"/>
        </w:rPr>
        <w:t>grazoprevir</w:t>
      </w:r>
      <w:proofErr w:type="spellEnd"/>
      <w:r w:rsidR="00EA2384">
        <w:rPr>
          <w:b/>
          <w:sz w:val="28"/>
          <w:szCs w:val="28"/>
        </w:rPr>
        <w:t xml:space="preserve"> tablets</w:t>
      </w:r>
    </w:p>
    <w:p w:rsidR="00CC78DD" w:rsidRPr="003D6964" w:rsidRDefault="00CC78DD" w:rsidP="00DC43F1">
      <w:pPr>
        <w:pStyle w:val="Heading1"/>
        <w:rPr>
          <w:u w:val="single"/>
        </w:rPr>
      </w:pPr>
      <w:r w:rsidRPr="003D6964">
        <w:rPr>
          <w:u w:val="single"/>
        </w:rPr>
        <w:t>NAME OF THE MEDICINE</w:t>
      </w:r>
    </w:p>
    <w:p w:rsidR="00323298" w:rsidRDefault="0075576D" w:rsidP="00F92767">
      <w:pPr>
        <w:pStyle w:val="Body"/>
        <w:ind w:firstLine="0"/>
        <w:rPr>
          <w:lang w:val="en-AU"/>
        </w:rPr>
      </w:pPr>
      <w:r w:rsidRPr="0075576D">
        <w:rPr>
          <w:sz w:val="22"/>
          <w:lang w:val="en-AU"/>
        </w:rPr>
        <w:t xml:space="preserve">ZEPATIER </w:t>
      </w:r>
      <w:r w:rsidR="000E5F8B">
        <w:rPr>
          <w:sz w:val="22"/>
          <w:lang w:val="en-AU"/>
        </w:rPr>
        <w:t>(</w:t>
      </w:r>
      <w:proofErr w:type="spellStart"/>
      <w:r w:rsidR="00A24540">
        <w:rPr>
          <w:sz w:val="22"/>
          <w:lang w:val="en-AU"/>
        </w:rPr>
        <w:t>elbasvir</w:t>
      </w:r>
      <w:proofErr w:type="spellEnd"/>
      <w:r w:rsidR="00A24540">
        <w:rPr>
          <w:sz w:val="22"/>
          <w:lang w:val="en-AU"/>
        </w:rPr>
        <w:t xml:space="preserve"> / </w:t>
      </w:r>
      <w:proofErr w:type="spellStart"/>
      <w:r w:rsidR="000E5F8B">
        <w:rPr>
          <w:sz w:val="22"/>
          <w:lang w:val="en-AU"/>
        </w:rPr>
        <w:t>grazoprevir</w:t>
      </w:r>
      <w:proofErr w:type="spellEnd"/>
      <w:r w:rsidR="000E5F8B">
        <w:rPr>
          <w:sz w:val="22"/>
          <w:lang w:val="en-AU"/>
        </w:rPr>
        <w:t xml:space="preserve">) </w:t>
      </w:r>
    </w:p>
    <w:p w:rsidR="000E5F8B" w:rsidRDefault="000E5F8B" w:rsidP="00E56AA7">
      <w:pPr>
        <w:rPr>
          <w:u w:val="single"/>
        </w:rPr>
      </w:pPr>
    </w:p>
    <w:p w:rsidR="00BC1F26" w:rsidRPr="00E56AA7" w:rsidRDefault="00BC1F26" w:rsidP="00BC1F26">
      <w:pPr>
        <w:rPr>
          <w:u w:val="single"/>
        </w:rPr>
      </w:pPr>
      <w:proofErr w:type="spellStart"/>
      <w:r w:rsidRPr="00E56AA7">
        <w:rPr>
          <w:u w:val="single"/>
        </w:rPr>
        <w:t>Elbasvir</w:t>
      </w:r>
      <w:proofErr w:type="spellEnd"/>
      <w:r w:rsidRPr="00E56AA7">
        <w:rPr>
          <w:u w:val="single"/>
        </w:rPr>
        <w:t xml:space="preserve">: </w:t>
      </w:r>
    </w:p>
    <w:p w:rsidR="00BC1F26" w:rsidRDefault="00BC1F26" w:rsidP="00BC1F26">
      <w:pPr>
        <w:rPr>
          <w:szCs w:val="18"/>
        </w:rPr>
      </w:pPr>
      <w:proofErr w:type="spellStart"/>
      <w:r>
        <w:rPr>
          <w:szCs w:val="18"/>
        </w:rPr>
        <w:t>Elbasvir</w:t>
      </w:r>
      <w:proofErr w:type="spellEnd"/>
      <w:r>
        <w:rPr>
          <w:szCs w:val="18"/>
        </w:rPr>
        <w:t xml:space="preserve"> </w:t>
      </w:r>
      <w:r w:rsidRPr="00A75352">
        <w:rPr>
          <w:szCs w:val="18"/>
        </w:rPr>
        <w:t>has the following structural formula:</w:t>
      </w:r>
    </w:p>
    <w:p w:rsidR="00BC1F26" w:rsidRDefault="00BC1F26" w:rsidP="00BC1F26">
      <w:pPr>
        <w:rPr>
          <w:szCs w:val="18"/>
        </w:rPr>
      </w:pPr>
      <w:r>
        <w:rPr>
          <w:noProof/>
          <w:color w:val="0000FF"/>
          <w:lang w:eastAsia="en-AU"/>
        </w:rPr>
        <w:drawing>
          <wp:anchor distT="0" distB="0" distL="114300" distR="114300" simplePos="0" relativeHeight="251661312" behindDoc="0" locked="0" layoutInCell="1" allowOverlap="1" wp14:anchorId="4666BDFF" wp14:editId="6E93CC6E">
            <wp:simplePos x="0" y="0"/>
            <wp:positionH relativeFrom="column">
              <wp:posOffset>0</wp:posOffset>
            </wp:positionH>
            <wp:positionV relativeFrom="paragraph">
              <wp:posOffset>1905</wp:posOffset>
            </wp:positionV>
            <wp:extent cx="3533775" cy="1485900"/>
            <wp:effectExtent l="0" t="0" r="9525" b="0"/>
            <wp:wrapTopAndBottom/>
            <wp:docPr id="1" name="Picture 1" descr="ElbasvirII_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basvirII_300 dp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377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18"/>
        </w:rPr>
        <w:t xml:space="preserve">CAS registry number: </w:t>
      </w:r>
      <w:r w:rsidRPr="000E3685">
        <w:t xml:space="preserve">1370468-36-2 </w:t>
      </w:r>
    </w:p>
    <w:p w:rsidR="00BC1F26" w:rsidRDefault="00BC1F26" w:rsidP="00BC1F26">
      <w:pPr>
        <w:rPr>
          <w:szCs w:val="18"/>
        </w:rPr>
      </w:pPr>
      <w:proofErr w:type="spellStart"/>
      <w:r>
        <w:rPr>
          <w:szCs w:val="18"/>
        </w:rPr>
        <w:t>E</w:t>
      </w:r>
      <w:r w:rsidRPr="00A75352">
        <w:rPr>
          <w:szCs w:val="18"/>
        </w:rPr>
        <w:t>lbasvir</w:t>
      </w:r>
      <w:proofErr w:type="spellEnd"/>
      <w:r w:rsidRPr="00A75352">
        <w:rPr>
          <w:szCs w:val="18"/>
        </w:rPr>
        <w:t xml:space="preserve"> </w:t>
      </w:r>
      <w:r>
        <w:rPr>
          <w:szCs w:val="18"/>
        </w:rPr>
        <w:t>has the following chemical name:</w:t>
      </w:r>
      <w:r w:rsidRPr="00A75352">
        <w:rPr>
          <w:szCs w:val="18"/>
        </w:rPr>
        <w:t xml:space="preserve"> </w:t>
      </w:r>
      <w:r w:rsidRPr="00EC3055">
        <w:t xml:space="preserve">Dimethyl </w:t>
      </w:r>
      <w:r w:rsidRPr="00EC3055">
        <w:rPr>
          <w:rStyle w:val="LFI"/>
          <w:sz w:val="20"/>
          <w:szCs w:val="20"/>
        </w:rPr>
        <w:t>N</w:t>
      </w:r>
      <w:r w:rsidRPr="00EC3055">
        <w:t>,</w:t>
      </w:r>
      <w:r w:rsidRPr="00EC3055">
        <w:rPr>
          <w:rStyle w:val="LFI"/>
          <w:sz w:val="20"/>
          <w:szCs w:val="20"/>
        </w:rPr>
        <w:t>N′</w:t>
      </w:r>
      <w:r w:rsidRPr="00EC3055">
        <w:t>-([(6</w:t>
      </w:r>
      <w:r w:rsidRPr="00EC3055">
        <w:rPr>
          <w:rStyle w:val="LFI"/>
          <w:sz w:val="20"/>
          <w:szCs w:val="20"/>
        </w:rPr>
        <w:t>S</w:t>
      </w:r>
      <w:r w:rsidRPr="00EC3055">
        <w:t>)-6-phenylindolo[1,2-</w:t>
      </w:r>
      <w:r w:rsidRPr="00EC3055">
        <w:rPr>
          <w:rStyle w:val="LFI"/>
          <w:sz w:val="20"/>
          <w:szCs w:val="20"/>
        </w:rPr>
        <w:t>c</w:t>
      </w:r>
      <w:r w:rsidRPr="00EC3055">
        <w:t>][1,3]benzoxazine-3,10-diyl]bis{1</w:t>
      </w:r>
      <w:r w:rsidRPr="00EC3055">
        <w:rPr>
          <w:rStyle w:val="LFI"/>
          <w:sz w:val="20"/>
          <w:szCs w:val="20"/>
        </w:rPr>
        <w:t>H</w:t>
      </w:r>
      <w:r w:rsidRPr="00EC3055">
        <w:t>-imidazole-5,2-diyl-(2</w:t>
      </w:r>
      <w:r w:rsidRPr="00EC3055">
        <w:rPr>
          <w:rStyle w:val="LFI"/>
          <w:sz w:val="20"/>
          <w:szCs w:val="20"/>
        </w:rPr>
        <w:t>S</w:t>
      </w:r>
      <w:r w:rsidRPr="00EC3055">
        <w:t>)-pyrrolidine-2,1-diyl[(2</w:t>
      </w:r>
      <w:r w:rsidRPr="00EC3055">
        <w:rPr>
          <w:rStyle w:val="LFI"/>
          <w:sz w:val="20"/>
          <w:szCs w:val="20"/>
        </w:rPr>
        <w:t>S</w:t>
      </w:r>
      <w:r w:rsidRPr="00EC3055">
        <w:t>)-3-methyl-1-oxobutane-1,2-diyl]})dicarbamate</w:t>
      </w:r>
      <w:r w:rsidRPr="00A75352">
        <w:rPr>
          <w:szCs w:val="18"/>
        </w:rPr>
        <w:t>.</w:t>
      </w:r>
    </w:p>
    <w:p w:rsidR="00BC1F26" w:rsidRDefault="00BC1F26" w:rsidP="00BC1F26">
      <w:pPr>
        <w:rPr>
          <w:szCs w:val="18"/>
        </w:rPr>
      </w:pPr>
      <w:r w:rsidRPr="00A75352">
        <w:rPr>
          <w:szCs w:val="18"/>
        </w:rPr>
        <w:t>It has a molecular formula of C</w:t>
      </w:r>
      <w:r w:rsidRPr="00D23949">
        <w:rPr>
          <w:szCs w:val="18"/>
          <w:vertAlign w:val="subscript"/>
        </w:rPr>
        <w:t>49</w:t>
      </w:r>
      <w:r w:rsidRPr="00A75352">
        <w:rPr>
          <w:szCs w:val="18"/>
        </w:rPr>
        <w:t>H</w:t>
      </w:r>
      <w:r w:rsidRPr="00D23949">
        <w:rPr>
          <w:szCs w:val="18"/>
          <w:vertAlign w:val="subscript"/>
        </w:rPr>
        <w:t>55</w:t>
      </w:r>
      <w:r w:rsidRPr="00A75352">
        <w:rPr>
          <w:szCs w:val="18"/>
        </w:rPr>
        <w:t>N</w:t>
      </w:r>
      <w:r w:rsidRPr="00D23949">
        <w:rPr>
          <w:szCs w:val="18"/>
          <w:vertAlign w:val="subscript"/>
        </w:rPr>
        <w:t>9</w:t>
      </w:r>
      <w:r w:rsidRPr="00A75352">
        <w:rPr>
          <w:szCs w:val="18"/>
        </w:rPr>
        <w:t>O</w:t>
      </w:r>
      <w:r w:rsidRPr="00D23949">
        <w:rPr>
          <w:szCs w:val="18"/>
          <w:vertAlign w:val="subscript"/>
        </w:rPr>
        <w:t>7</w:t>
      </w:r>
      <w:r w:rsidRPr="00A75352">
        <w:rPr>
          <w:szCs w:val="18"/>
        </w:rPr>
        <w:t xml:space="preserve"> and a molecular weight of 882.02.</w:t>
      </w:r>
    </w:p>
    <w:p w:rsidR="00BC1F26" w:rsidRDefault="00BC1F26" w:rsidP="00BC1F26">
      <w:pPr>
        <w:rPr>
          <w:szCs w:val="18"/>
        </w:rPr>
      </w:pPr>
    </w:p>
    <w:p w:rsidR="00E56AA7" w:rsidRPr="00E56AA7" w:rsidRDefault="00E56AA7" w:rsidP="00BC1F26">
      <w:pPr>
        <w:rPr>
          <w:u w:val="single"/>
        </w:rPr>
      </w:pPr>
      <w:proofErr w:type="spellStart"/>
      <w:r w:rsidRPr="00E56AA7">
        <w:rPr>
          <w:u w:val="single"/>
        </w:rPr>
        <w:t>Grazoprevir</w:t>
      </w:r>
      <w:proofErr w:type="spellEnd"/>
      <w:r w:rsidRPr="00E56AA7">
        <w:rPr>
          <w:u w:val="single"/>
        </w:rPr>
        <w:t xml:space="preserve">: </w:t>
      </w:r>
    </w:p>
    <w:p w:rsidR="00265397" w:rsidRDefault="00265397" w:rsidP="00E56AA7">
      <w:r>
        <w:rPr>
          <w:noProof/>
          <w:color w:val="0000FF"/>
          <w:lang w:eastAsia="en-AU"/>
        </w:rPr>
        <w:drawing>
          <wp:anchor distT="0" distB="0" distL="114300" distR="114300" simplePos="0" relativeHeight="251658240" behindDoc="0" locked="0" layoutInCell="1" allowOverlap="1" wp14:anchorId="37168E46" wp14:editId="775CE613">
            <wp:simplePos x="0" y="0"/>
            <wp:positionH relativeFrom="column">
              <wp:posOffset>161925</wp:posOffset>
            </wp:positionH>
            <wp:positionV relativeFrom="paragraph">
              <wp:posOffset>314325</wp:posOffset>
            </wp:positionV>
            <wp:extent cx="2657475" cy="2228850"/>
            <wp:effectExtent l="0" t="0" r="9525" b="0"/>
            <wp:wrapTopAndBottom/>
            <wp:docPr id="2" name="Picture 2" descr="Grazoprevir_Anhydrou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zoprevir_Anhydrous_300dp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7475" cy="22288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Grazoprevir</w:t>
      </w:r>
      <w:proofErr w:type="spellEnd"/>
      <w:r>
        <w:t xml:space="preserve"> has the following structural formula:</w:t>
      </w:r>
    </w:p>
    <w:p w:rsidR="00265397" w:rsidRDefault="00265397" w:rsidP="00E56AA7"/>
    <w:p w:rsidR="0075576D" w:rsidRDefault="0075576D" w:rsidP="00E56AA7">
      <w:r>
        <w:t xml:space="preserve">CAS registry number: </w:t>
      </w:r>
      <w:r w:rsidR="000E3685" w:rsidRPr="000E3685">
        <w:t>1350514-68-9</w:t>
      </w:r>
    </w:p>
    <w:p w:rsidR="00E56AA7" w:rsidRPr="005C7EF1" w:rsidRDefault="00265397" w:rsidP="00E56AA7">
      <w:proofErr w:type="spellStart"/>
      <w:r>
        <w:t>G</w:t>
      </w:r>
      <w:r w:rsidR="00E56AA7" w:rsidRPr="005C7EF1">
        <w:t>razoprevir</w:t>
      </w:r>
      <w:proofErr w:type="spellEnd"/>
      <w:r w:rsidR="00E56AA7" w:rsidRPr="005C7EF1">
        <w:t xml:space="preserve"> </w:t>
      </w:r>
      <w:r>
        <w:t>has the following chemical name:</w:t>
      </w:r>
      <w:r w:rsidR="00E56AA7" w:rsidRPr="005C7EF1" w:rsidDel="000C4A77">
        <w:t xml:space="preserve"> </w:t>
      </w:r>
      <w:r w:rsidR="00E56AA7" w:rsidRPr="005C7EF1">
        <w:t>(1a</w:t>
      </w:r>
      <w:r w:rsidR="00E56AA7" w:rsidRPr="005C7EF1">
        <w:rPr>
          <w:rStyle w:val="LFI"/>
        </w:rPr>
        <w:t>R</w:t>
      </w:r>
      <w:r w:rsidR="00E56AA7" w:rsidRPr="005C7EF1">
        <w:t>,5</w:t>
      </w:r>
      <w:r w:rsidR="00E56AA7" w:rsidRPr="005C7EF1">
        <w:rPr>
          <w:rStyle w:val="LFI"/>
        </w:rPr>
        <w:t>S</w:t>
      </w:r>
      <w:r w:rsidR="00E56AA7" w:rsidRPr="005C7EF1">
        <w:t>,8</w:t>
      </w:r>
      <w:r w:rsidR="00E56AA7" w:rsidRPr="005C7EF1">
        <w:rPr>
          <w:rStyle w:val="LFI"/>
        </w:rPr>
        <w:t>S</w:t>
      </w:r>
      <w:r w:rsidR="00E56AA7" w:rsidRPr="005C7EF1">
        <w:t>,10</w:t>
      </w:r>
      <w:r w:rsidR="00E56AA7" w:rsidRPr="005C7EF1">
        <w:rPr>
          <w:rStyle w:val="LFI"/>
        </w:rPr>
        <w:t>R</w:t>
      </w:r>
      <w:r w:rsidR="00E56AA7" w:rsidRPr="005C7EF1">
        <w:t>,22a</w:t>
      </w:r>
      <w:r w:rsidR="00E56AA7" w:rsidRPr="005C7EF1">
        <w:rPr>
          <w:rStyle w:val="LFI"/>
        </w:rPr>
        <w:t>R</w:t>
      </w:r>
      <w:r w:rsidR="00E56AA7" w:rsidRPr="005C7EF1">
        <w:t>)-</w:t>
      </w:r>
      <w:r w:rsidR="00E56AA7" w:rsidRPr="005C7EF1">
        <w:rPr>
          <w:rStyle w:val="LFI"/>
        </w:rPr>
        <w:t>N</w:t>
      </w:r>
      <w:r w:rsidR="00E56AA7" w:rsidRPr="005C7EF1">
        <w:t>-[(1</w:t>
      </w:r>
      <w:r w:rsidR="00E56AA7" w:rsidRPr="005C7EF1">
        <w:rPr>
          <w:rStyle w:val="LFI"/>
        </w:rPr>
        <w:t>R</w:t>
      </w:r>
      <w:r w:rsidR="00E56AA7" w:rsidRPr="005C7EF1">
        <w:t>,2</w:t>
      </w:r>
      <w:r w:rsidR="00E56AA7" w:rsidRPr="005C7EF1">
        <w:rPr>
          <w:rStyle w:val="LFI"/>
        </w:rPr>
        <w:t>S</w:t>
      </w:r>
      <w:r w:rsidR="00E56AA7" w:rsidRPr="005C7EF1">
        <w:t>)-1-[(Cyclopropylsulfonamido)carbonyl]-2-ethenylcyclopropyl]-14-methoxy-5-(2-methylpropan-2-yl)-</w:t>
      </w:r>
      <w:r w:rsidR="00E56AA7" w:rsidRPr="005C7EF1">
        <w:lastRenderedPageBreak/>
        <w:t>3,6-dioxo-1,1a,3,4,5,6,9,10,18,19,20,21,22,22a-tetradecahydro-8</w:t>
      </w:r>
      <w:r w:rsidR="00E56AA7" w:rsidRPr="005C7EF1">
        <w:rPr>
          <w:rStyle w:val="LFI"/>
        </w:rPr>
        <w:t>H</w:t>
      </w:r>
      <w:r w:rsidR="00E56AA7" w:rsidRPr="005C7EF1">
        <w:t>-7,10-methanocyclopropa[18,19][1,10,3,6]dioxadiazacyclononadecino[11,12-</w:t>
      </w:r>
      <w:r w:rsidR="00E56AA7" w:rsidRPr="005C7EF1">
        <w:rPr>
          <w:rStyle w:val="LFI"/>
        </w:rPr>
        <w:t>b</w:t>
      </w:r>
      <w:r w:rsidR="00E56AA7" w:rsidRPr="005C7EF1">
        <w:t>]quinoxaline-8-carboxamide.</w:t>
      </w:r>
    </w:p>
    <w:p w:rsidR="00E56AA7" w:rsidRDefault="00E56AA7" w:rsidP="00E56AA7">
      <w:r w:rsidRPr="005C7EF1">
        <w:t>It has a molecular formula of C</w:t>
      </w:r>
      <w:r w:rsidRPr="005C7EF1">
        <w:rPr>
          <w:vertAlign w:val="subscript"/>
        </w:rPr>
        <w:t>38</w:t>
      </w:r>
      <w:r w:rsidRPr="005C7EF1">
        <w:t>H</w:t>
      </w:r>
      <w:r w:rsidRPr="005C7EF1">
        <w:rPr>
          <w:vertAlign w:val="subscript"/>
        </w:rPr>
        <w:t>50</w:t>
      </w:r>
      <w:r w:rsidRPr="005C7EF1">
        <w:t>N</w:t>
      </w:r>
      <w:r w:rsidRPr="005C7EF1">
        <w:rPr>
          <w:vertAlign w:val="subscript"/>
        </w:rPr>
        <w:t>6</w:t>
      </w:r>
      <w:r w:rsidRPr="005C7EF1">
        <w:t>O</w:t>
      </w:r>
      <w:r w:rsidRPr="005C7EF1">
        <w:rPr>
          <w:vertAlign w:val="subscript"/>
        </w:rPr>
        <w:t>9</w:t>
      </w:r>
      <w:r w:rsidRPr="005C7EF1">
        <w:t xml:space="preserve">S and a molecular weight of 766.90. </w:t>
      </w:r>
    </w:p>
    <w:p w:rsidR="00E56AA7" w:rsidRDefault="00E56AA7" w:rsidP="00E56AA7">
      <w:pPr>
        <w:rPr>
          <w:szCs w:val="18"/>
        </w:rPr>
      </w:pPr>
      <w:r w:rsidRPr="00A75352">
        <w:rPr>
          <w:szCs w:val="18"/>
        </w:rPr>
        <w:t xml:space="preserve"> </w:t>
      </w:r>
    </w:p>
    <w:p w:rsidR="00E56AA7" w:rsidRPr="003D6964" w:rsidRDefault="00E56AA7" w:rsidP="00E56AA7">
      <w:pPr>
        <w:pStyle w:val="Heading1"/>
        <w:rPr>
          <w:u w:val="single"/>
        </w:rPr>
      </w:pPr>
      <w:r w:rsidRPr="003D6964">
        <w:rPr>
          <w:u w:val="single"/>
        </w:rPr>
        <w:t>DESCRIPTION</w:t>
      </w:r>
    </w:p>
    <w:p w:rsidR="00464060" w:rsidRDefault="000D7FE6" w:rsidP="00464060">
      <w:r>
        <w:t>ZEPATIER</w:t>
      </w:r>
      <w:r w:rsidR="00464060" w:rsidRPr="00A75352">
        <w:t xml:space="preserve"> is a fixed-dose combination tablet containing </w:t>
      </w:r>
      <w:proofErr w:type="spellStart"/>
      <w:r w:rsidR="00BC1F26">
        <w:t>elbasvir</w:t>
      </w:r>
      <w:proofErr w:type="spellEnd"/>
      <w:r w:rsidR="00BC1F26">
        <w:t xml:space="preserve"> and </w:t>
      </w:r>
      <w:proofErr w:type="spellStart"/>
      <w:r w:rsidR="00464060" w:rsidRPr="00A75352">
        <w:t>grazop</w:t>
      </w:r>
      <w:r w:rsidR="00464060">
        <w:t>r</w:t>
      </w:r>
      <w:r w:rsidR="00464060" w:rsidRPr="00A75352">
        <w:t>evir</w:t>
      </w:r>
      <w:proofErr w:type="spellEnd"/>
      <w:r w:rsidR="00464060" w:rsidRPr="00A75352">
        <w:t xml:space="preserve"> for oral administration.</w:t>
      </w:r>
    </w:p>
    <w:p w:rsidR="00464060" w:rsidRPr="00A75352" w:rsidRDefault="00BC1F26" w:rsidP="00464060">
      <w:proofErr w:type="spellStart"/>
      <w:r>
        <w:t>E</w:t>
      </w:r>
      <w:r w:rsidRPr="00A75352">
        <w:t>lbasvir</w:t>
      </w:r>
      <w:proofErr w:type="spellEnd"/>
      <w:r w:rsidRPr="00A75352">
        <w:t xml:space="preserve"> is a</w:t>
      </w:r>
      <w:r>
        <w:t>n</w:t>
      </w:r>
      <w:r w:rsidRPr="00A75352">
        <w:t xml:space="preserve"> HCV NS5A inhibitor </w:t>
      </w:r>
      <w:r>
        <w:t xml:space="preserve">and </w:t>
      </w:r>
      <w:proofErr w:type="spellStart"/>
      <w:r>
        <w:t>g</w:t>
      </w:r>
      <w:r w:rsidR="00464060" w:rsidRPr="00A75352">
        <w:t>razop</w:t>
      </w:r>
      <w:r w:rsidR="00464060">
        <w:t>r</w:t>
      </w:r>
      <w:r w:rsidR="00464060" w:rsidRPr="00A75352">
        <w:t>evir</w:t>
      </w:r>
      <w:proofErr w:type="spellEnd"/>
      <w:r w:rsidR="00464060" w:rsidRPr="00A75352">
        <w:t xml:space="preserve"> is a</w:t>
      </w:r>
      <w:r w:rsidR="00410344">
        <w:t xml:space="preserve"> hepatitis C virus</w:t>
      </w:r>
      <w:r w:rsidR="00464060" w:rsidRPr="00A75352">
        <w:t xml:space="preserve"> </w:t>
      </w:r>
      <w:r w:rsidR="00410344">
        <w:t>(</w:t>
      </w:r>
      <w:r w:rsidR="00464060" w:rsidRPr="00A75352">
        <w:t>HCV</w:t>
      </w:r>
      <w:r w:rsidR="00410344">
        <w:t>)</w:t>
      </w:r>
      <w:r w:rsidR="00464060" w:rsidRPr="00A75352">
        <w:t xml:space="preserve"> NS3/4A protease inhibitor</w:t>
      </w:r>
      <w:r>
        <w:t xml:space="preserve">. </w:t>
      </w:r>
    </w:p>
    <w:p w:rsidR="00464060" w:rsidRPr="00CF0EF6" w:rsidRDefault="000D7FE6" w:rsidP="00464060">
      <w:r>
        <w:t>ZEPATIER</w:t>
      </w:r>
      <w:r w:rsidR="00464060" w:rsidRPr="00D819A2">
        <w:t xml:space="preserve"> is available as a </w:t>
      </w:r>
      <w:r w:rsidR="00464060" w:rsidRPr="0014757C">
        <w:t>beige-</w:t>
      </w:r>
      <w:r w:rsidR="00EC2F3B">
        <w:t>colour</w:t>
      </w:r>
      <w:r w:rsidR="00464060" w:rsidRPr="0014757C">
        <w:t>ed,</w:t>
      </w:r>
      <w:r w:rsidR="00464060" w:rsidRPr="00D819A2">
        <w:t xml:space="preserve"> oval</w:t>
      </w:r>
      <w:r w:rsidR="00464060">
        <w:t>-</w:t>
      </w:r>
      <w:r w:rsidR="00464060" w:rsidRPr="00D819A2">
        <w:t xml:space="preserve">shaped tablet </w:t>
      </w:r>
      <w:proofErr w:type="spellStart"/>
      <w:r w:rsidR="00464060" w:rsidRPr="00D819A2">
        <w:t>debossed</w:t>
      </w:r>
      <w:proofErr w:type="spellEnd"/>
      <w:r w:rsidR="00464060" w:rsidRPr="00D819A2">
        <w:t xml:space="preserve"> with “770” on one side and plain on the other. Each </w:t>
      </w:r>
      <w:r w:rsidR="00464060">
        <w:t xml:space="preserve">film-coated </w:t>
      </w:r>
      <w:r w:rsidR="00464060" w:rsidRPr="00D819A2">
        <w:t xml:space="preserve">tablet contains </w:t>
      </w:r>
      <w:r w:rsidR="00BC1F26" w:rsidRPr="00D819A2">
        <w:t xml:space="preserve">50 mg </w:t>
      </w:r>
      <w:proofErr w:type="spellStart"/>
      <w:r w:rsidR="00BC1F26" w:rsidRPr="00D819A2">
        <w:t>elbasvir</w:t>
      </w:r>
      <w:proofErr w:type="spellEnd"/>
      <w:r w:rsidR="00BC1F26" w:rsidRPr="00D819A2">
        <w:t xml:space="preserve"> </w:t>
      </w:r>
      <w:r w:rsidR="00BC1F26">
        <w:t xml:space="preserve">and </w:t>
      </w:r>
      <w:r w:rsidR="00464060" w:rsidRPr="00D819A2">
        <w:t xml:space="preserve">100 mg </w:t>
      </w:r>
      <w:proofErr w:type="spellStart"/>
      <w:r w:rsidR="00464060" w:rsidRPr="00D819A2">
        <w:t>grazoprevir</w:t>
      </w:r>
      <w:proofErr w:type="spellEnd"/>
      <w:r w:rsidR="00464060" w:rsidRPr="00D819A2">
        <w:t>.</w:t>
      </w:r>
    </w:p>
    <w:p w:rsidR="00BC1F26" w:rsidRPr="00A75352" w:rsidRDefault="00BC1F26" w:rsidP="00BC1F26">
      <w:pPr>
        <w:rPr>
          <w:szCs w:val="20"/>
        </w:rPr>
      </w:pPr>
      <w:proofErr w:type="spellStart"/>
      <w:r w:rsidRPr="00A75352">
        <w:t>Elbasvir</w:t>
      </w:r>
      <w:proofErr w:type="spellEnd"/>
      <w:r w:rsidRPr="00A75352">
        <w:t xml:space="preserve"> is practically insoluble in water (&lt;0.1 mg/m</w:t>
      </w:r>
      <w:r>
        <w:t>L</w:t>
      </w:r>
      <w:r w:rsidRPr="00A75352">
        <w:t>) and very slightly soluble in ethanol (0.2</w:t>
      </w:r>
      <w:r>
        <w:t> </w:t>
      </w:r>
      <w:r w:rsidRPr="00A75352">
        <w:t>mg/m</w:t>
      </w:r>
      <w:r>
        <w:t>L</w:t>
      </w:r>
      <w:r w:rsidRPr="00A75352">
        <w:t>),</w:t>
      </w:r>
      <w:r>
        <w:t xml:space="preserve"> </w:t>
      </w:r>
      <w:r w:rsidRPr="00A75352">
        <w:t>but is very soluble in ethyl acetate and acetone.</w:t>
      </w:r>
    </w:p>
    <w:p w:rsidR="00265397" w:rsidRPr="00A75352" w:rsidRDefault="00265397" w:rsidP="00464060">
      <w:proofErr w:type="spellStart"/>
      <w:r w:rsidRPr="00A75352">
        <w:t>Grazop</w:t>
      </w:r>
      <w:r>
        <w:t>r</w:t>
      </w:r>
      <w:r w:rsidRPr="00A75352">
        <w:t>evir</w:t>
      </w:r>
      <w:proofErr w:type="spellEnd"/>
      <w:r w:rsidRPr="00A75352">
        <w:t xml:space="preserve"> is practically insoluble in water (&lt;0.1 mg/mL) but is freely soluble in ethanol and some organic solvents (e.g., acetone, </w:t>
      </w:r>
      <w:proofErr w:type="spellStart"/>
      <w:r w:rsidRPr="00A75352">
        <w:t>tetrahydrofuran</w:t>
      </w:r>
      <w:proofErr w:type="spellEnd"/>
      <w:r w:rsidRPr="00A75352">
        <w:t xml:space="preserve"> and N</w:t>
      </w:r>
      <w:proofErr w:type="gramStart"/>
      <w:r w:rsidRPr="00A75352">
        <w:t>,N</w:t>
      </w:r>
      <w:proofErr w:type="gramEnd"/>
      <w:r w:rsidRPr="00A75352">
        <w:t>-</w:t>
      </w:r>
      <w:proofErr w:type="spellStart"/>
      <w:r w:rsidRPr="00A75352">
        <w:t>dimethylformamide</w:t>
      </w:r>
      <w:proofErr w:type="spellEnd"/>
      <w:r w:rsidRPr="00A75352">
        <w:t>).</w:t>
      </w:r>
    </w:p>
    <w:p w:rsidR="00A5591C" w:rsidRDefault="00A5591C" w:rsidP="00394C9F">
      <w:pPr>
        <w:pStyle w:val="Body"/>
        <w:ind w:firstLine="0"/>
        <w:rPr>
          <w:b/>
        </w:rPr>
      </w:pPr>
    </w:p>
    <w:p w:rsidR="00394C9F" w:rsidRPr="00A5591C" w:rsidRDefault="00394C9F" w:rsidP="00A5591C">
      <w:pPr>
        <w:rPr>
          <w:b/>
        </w:rPr>
      </w:pPr>
      <w:r w:rsidRPr="00A5591C">
        <w:rPr>
          <w:b/>
        </w:rPr>
        <w:t>List of excipients</w:t>
      </w:r>
    </w:p>
    <w:p w:rsidR="00394C9F" w:rsidRDefault="00394C9F" w:rsidP="00394C9F">
      <w:r w:rsidRPr="00A75352">
        <w:t xml:space="preserve">The tablets include the following inactive ingredients: sodium lauryl </w:t>
      </w:r>
      <w:proofErr w:type="spellStart"/>
      <w:r w:rsidRPr="00A75352">
        <w:t>sulfate</w:t>
      </w:r>
      <w:proofErr w:type="spellEnd"/>
      <w:r w:rsidRPr="00A75352">
        <w:t xml:space="preserve">, </w:t>
      </w:r>
      <w:proofErr w:type="spellStart"/>
      <w:r w:rsidR="00EA2384">
        <w:t>tocofersolan</w:t>
      </w:r>
      <w:proofErr w:type="spellEnd"/>
      <w:r w:rsidRPr="00A75352">
        <w:t xml:space="preserve">, </w:t>
      </w:r>
      <w:proofErr w:type="spellStart"/>
      <w:r w:rsidRPr="00A75352">
        <w:t>copovidone</w:t>
      </w:r>
      <w:proofErr w:type="spellEnd"/>
      <w:r w:rsidRPr="00A75352">
        <w:t xml:space="preserve">, </w:t>
      </w:r>
      <w:proofErr w:type="spellStart"/>
      <w:r w:rsidRPr="00A75352">
        <w:t>hypromellose</w:t>
      </w:r>
      <w:proofErr w:type="spellEnd"/>
      <w:r w:rsidRPr="00A75352">
        <w:t xml:space="preserve">, microcrystalline cellulose, mannitol, lactose, </w:t>
      </w:r>
      <w:proofErr w:type="spellStart"/>
      <w:r w:rsidRPr="00A75352">
        <w:t>croscarmellose</w:t>
      </w:r>
      <w:proofErr w:type="spellEnd"/>
      <w:r w:rsidRPr="00A75352">
        <w:t xml:space="preserve"> sodium, sodium chloride, colloidal </w:t>
      </w:r>
      <w:r w:rsidR="00C02D90">
        <w:t>anhydrous silica</w:t>
      </w:r>
      <w:r w:rsidRPr="00A75352">
        <w:t xml:space="preserve">, </w:t>
      </w:r>
      <w:r>
        <w:t xml:space="preserve">and </w:t>
      </w:r>
      <w:r w:rsidRPr="00A75352">
        <w:t xml:space="preserve">magnesium stearate. The tablets are film-coated with a coating material containing the following inactive ingredients: lactose, </w:t>
      </w:r>
      <w:proofErr w:type="spellStart"/>
      <w:r w:rsidRPr="00A75352">
        <w:t>hypromellose</w:t>
      </w:r>
      <w:proofErr w:type="spellEnd"/>
      <w:r w:rsidRPr="00A75352">
        <w:t xml:space="preserve">, titanium dioxide, </w:t>
      </w:r>
      <w:r w:rsidR="00EA2384">
        <w:t>glycerol triacetate</w:t>
      </w:r>
      <w:r w:rsidRPr="00A75352">
        <w:t xml:space="preserve">, iron oxide yellow, iron oxide red, </w:t>
      </w:r>
      <w:proofErr w:type="spellStart"/>
      <w:r w:rsidRPr="00A75352">
        <w:t>ferrosoferric</w:t>
      </w:r>
      <w:proofErr w:type="spellEnd"/>
      <w:r w:rsidRPr="00A75352">
        <w:t xml:space="preserve"> oxide</w:t>
      </w:r>
      <w:r>
        <w:t xml:space="preserve">, and </w:t>
      </w:r>
      <w:r w:rsidRPr="00A75352">
        <w:t>carnauba wax.</w:t>
      </w:r>
    </w:p>
    <w:p w:rsidR="0075576D" w:rsidRDefault="0075576D" w:rsidP="00F42F76"/>
    <w:p w:rsidR="004E6F9F" w:rsidRPr="003D6964" w:rsidRDefault="00CC78DD" w:rsidP="00DC43F1">
      <w:pPr>
        <w:pStyle w:val="Heading1"/>
        <w:rPr>
          <w:u w:val="single"/>
        </w:rPr>
      </w:pPr>
      <w:r w:rsidRPr="003D6964">
        <w:rPr>
          <w:u w:val="single"/>
        </w:rPr>
        <w:t>PHARMACOLOGY</w:t>
      </w:r>
    </w:p>
    <w:p w:rsidR="00410344" w:rsidRDefault="00410344" w:rsidP="00410344">
      <w:proofErr w:type="spellStart"/>
      <w:r w:rsidRPr="00410344">
        <w:rPr>
          <w:i/>
        </w:rPr>
        <w:t>Pharmacotherapeutic</w:t>
      </w:r>
      <w:proofErr w:type="spellEnd"/>
      <w:r w:rsidRPr="00410344">
        <w:rPr>
          <w:i/>
        </w:rPr>
        <w:t xml:space="preserve"> Group</w:t>
      </w:r>
      <w:r>
        <w:t xml:space="preserve">: </w:t>
      </w:r>
      <w:r w:rsidRPr="00410344">
        <w:t xml:space="preserve">Antivirals for systemic use; direct acting antivirals, </w:t>
      </w:r>
      <w:r w:rsidR="0067217F">
        <w:t xml:space="preserve">other antivirals. </w:t>
      </w:r>
      <w:r w:rsidRPr="00410344">
        <w:t>ATC code: not yet assigned.</w:t>
      </w:r>
    </w:p>
    <w:p w:rsidR="003D6964" w:rsidRDefault="003D6964" w:rsidP="003D6964">
      <w:pPr>
        <w:pStyle w:val="Heading2"/>
      </w:pPr>
      <w:r>
        <w:t xml:space="preserve">Mechanism of Action </w:t>
      </w:r>
    </w:p>
    <w:p w:rsidR="0008697C" w:rsidRDefault="000D7FE6" w:rsidP="0008697C">
      <w:r>
        <w:t>ZEPATIER</w:t>
      </w:r>
      <w:r w:rsidR="0008697C" w:rsidRPr="00C465F7">
        <w:t xml:space="preserve"> is a fixed-dose combination of </w:t>
      </w:r>
      <w:proofErr w:type="spellStart"/>
      <w:r w:rsidR="00DD24BA" w:rsidRPr="00C465F7">
        <w:t>elbasvir</w:t>
      </w:r>
      <w:proofErr w:type="spellEnd"/>
      <w:r w:rsidR="00DD24BA">
        <w:t xml:space="preserve"> and</w:t>
      </w:r>
      <w:r w:rsidR="00DD24BA" w:rsidRPr="00C465F7">
        <w:t xml:space="preserve"> </w:t>
      </w:r>
      <w:proofErr w:type="spellStart"/>
      <w:r w:rsidR="0008697C" w:rsidRPr="00C465F7">
        <w:t>grazoprevir</w:t>
      </w:r>
      <w:proofErr w:type="spellEnd"/>
      <w:r w:rsidR="0008697C" w:rsidRPr="00C465F7">
        <w:t xml:space="preserve"> which are direct-acting antiviral agents against the hepatitis C virus</w:t>
      </w:r>
      <w:r w:rsidR="00410344">
        <w:t xml:space="preserve"> (see </w:t>
      </w:r>
      <w:r w:rsidR="00410344" w:rsidRPr="0076358D">
        <w:rPr>
          <w:i/>
        </w:rPr>
        <w:t xml:space="preserve">PHARMACOLOGY: Pharmacodynamics, Microbiology, </w:t>
      </w:r>
      <w:proofErr w:type="gramStart"/>
      <w:r w:rsidR="00410344" w:rsidRPr="0076358D">
        <w:rPr>
          <w:i/>
        </w:rPr>
        <w:t>Mechanism</w:t>
      </w:r>
      <w:proofErr w:type="gramEnd"/>
      <w:r w:rsidR="00410344" w:rsidRPr="0076358D">
        <w:rPr>
          <w:i/>
        </w:rPr>
        <w:t xml:space="preserve"> of Action</w:t>
      </w:r>
      <w:r w:rsidR="00410344">
        <w:t>)</w:t>
      </w:r>
    </w:p>
    <w:p w:rsidR="003D6964" w:rsidRDefault="003D6964" w:rsidP="003D6964">
      <w:pPr>
        <w:pStyle w:val="Heading2"/>
      </w:pPr>
      <w:r>
        <w:t xml:space="preserve">Pharmacodynamics </w:t>
      </w:r>
    </w:p>
    <w:p w:rsidR="00BB66A1" w:rsidRPr="000710B6" w:rsidRDefault="00BB66A1" w:rsidP="00BB66A1">
      <w:pPr>
        <w:pStyle w:val="Heading3"/>
      </w:pPr>
      <w:r w:rsidRPr="000710B6">
        <w:t xml:space="preserve">Cardiac Electrophysiology </w:t>
      </w:r>
    </w:p>
    <w:p w:rsidR="00BB66A1" w:rsidRPr="00C465F7" w:rsidRDefault="00BB66A1" w:rsidP="00BB66A1">
      <w:r w:rsidRPr="00C465F7">
        <w:t xml:space="preserve">Thorough QT studies have been conducted for </w:t>
      </w:r>
      <w:proofErr w:type="spellStart"/>
      <w:r w:rsidR="00DD24BA" w:rsidRPr="00C465F7">
        <w:t>elbasvir</w:t>
      </w:r>
      <w:proofErr w:type="spellEnd"/>
      <w:r w:rsidR="00DD24BA">
        <w:t xml:space="preserve"> and</w:t>
      </w:r>
      <w:r w:rsidR="00DD24BA" w:rsidRPr="00C465F7">
        <w:t xml:space="preserve"> </w:t>
      </w:r>
      <w:proofErr w:type="spellStart"/>
      <w:r w:rsidRPr="00C465F7">
        <w:t>grazoprevir</w:t>
      </w:r>
      <w:proofErr w:type="spellEnd"/>
      <w:r w:rsidRPr="00C465F7">
        <w:t xml:space="preserve">. </w:t>
      </w:r>
    </w:p>
    <w:p w:rsidR="00DD24BA" w:rsidRDefault="00DD24BA" w:rsidP="00BB66A1">
      <w:r w:rsidRPr="00E11AD3">
        <w:rPr>
          <w:color w:val="010202"/>
        </w:rPr>
        <w:t xml:space="preserve">The effect of </w:t>
      </w:r>
      <w:proofErr w:type="spellStart"/>
      <w:r w:rsidRPr="00E11AD3">
        <w:rPr>
          <w:color w:val="010202"/>
        </w:rPr>
        <w:t>elbasvir</w:t>
      </w:r>
      <w:proofErr w:type="spellEnd"/>
      <w:r w:rsidRPr="00E11AD3">
        <w:rPr>
          <w:color w:val="010202"/>
        </w:rPr>
        <w:t xml:space="preserve"> 700 mg on the </w:t>
      </w:r>
      <w:proofErr w:type="spellStart"/>
      <w:r w:rsidRPr="00E11AD3">
        <w:rPr>
          <w:color w:val="010202"/>
        </w:rPr>
        <w:t>QTc</w:t>
      </w:r>
      <w:proofErr w:type="spellEnd"/>
      <w:r w:rsidRPr="00E11AD3">
        <w:rPr>
          <w:color w:val="010202"/>
        </w:rPr>
        <w:t xml:space="preserve"> interval was evaluated in a </w:t>
      </w:r>
      <w:r>
        <w:rPr>
          <w:color w:val="010202"/>
        </w:rPr>
        <w:t>randomise</w:t>
      </w:r>
      <w:r w:rsidRPr="00E11AD3">
        <w:rPr>
          <w:color w:val="010202"/>
        </w:rPr>
        <w:t>d, single-dose, placebo- and active-controlled (</w:t>
      </w:r>
      <w:proofErr w:type="spellStart"/>
      <w:r w:rsidRPr="00E11AD3">
        <w:rPr>
          <w:color w:val="010202"/>
        </w:rPr>
        <w:t>moxifloxacin</w:t>
      </w:r>
      <w:proofErr w:type="spellEnd"/>
      <w:r w:rsidRPr="00E11AD3">
        <w:rPr>
          <w:color w:val="010202"/>
        </w:rPr>
        <w:t xml:space="preserve"> 400 mg) 3-period crossover thorough QT trial in 42 healthy subjects. </w:t>
      </w:r>
      <w:r w:rsidRPr="00E11AD3">
        <w:t xml:space="preserve">At a plasma concentration 3 to 4 times the therapeutic plasma concentration, </w:t>
      </w:r>
      <w:proofErr w:type="spellStart"/>
      <w:r w:rsidRPr="00E11AD3">
        <w:t>elbasvir</w:t>
      </w:r>
      <w:proofErr w:type="spellEnd"/>
      <w:r w:rsidRPr="00E11AD3">
        <w:t xml:space="preserve"> does not prolong </w:t>
      </w:r>
      <w:proofErr w:type="spellStart"/>
      <w:r w:rsidRPr="00E11AD3">
        <w:t>QTc</w:t>
      </w:r>
      <w:proofErr w:type="spellEnd"/>
      <w:r w:rsidRPr="00E11AD3">
        <w:t xml:space="preserve"> to any clinically relevant extent.</w:t>
      </w:r>
    </w:p>
    <w:p w:rsidR="00BB66A1" w:rsidRPr="00E11AD3" w:rsidRDefault="00BB66A1" w:rsidP="00BB66A1">
      <w:r w:rsidRPr="00C465F7">
        <w:rPr>
          <w:color w:val="010202"/>
        </w:rPr>
        <w:lastRenderedPageBreak/>
        <w:t xml:space="preserve">The effect of </w:t>
      </w:r>
      <w:proofErr w:type="spellStart"/>
      <w:r w:rsidRPr="00C465F7">
        <w:rPr>
          <w:color w:val="010202"/>
        </w:rPr>
        <w:t>grazoprevir</w:t>
      </w:r>
      <w:proofErr w:type="spellEnd"/>
      <w:r w:rsidRPr="00C465F7">
        <w:rPr>
          <w:color w:val="010202"/>
        </w:rPr>
        <w:t xml:space="preserve"> 1600 mg on </w:t>
      </w:r>
      <w:proofErr w:type="spellStart"/>
      <w:r w:rsidRPr="00C465F7">
        <w:rPr>
          <w:color w:val="010202"/>
        </w:rPr>
        <w:t>QTc</w:t>
      </w:r>
      <w:proofErr w:type="spellEnd"/>
      <w:r w:rsidRPr="00C465F7">
        <w:rPr>
          <w:color w:val="010202"/>
        </w:rPr>
        <w:t xml:space="preserve"> interval was evaluated in a </w:t>
      </w:r>
      <w:r w:rsidR="00AA259D">
        <w:rPr>
          <w:color w:val="010202"/>
        </w:rPr>
        <w:t>randomise</w:t>
      </w:r>
      <w:r w:rsidRPr="00C465F7">
        <w:rPr>
          <w:color w:val="010202"/>
        </w:rPr>
        <w:t>d, single-dose, placebo- and active-controlled (</w:t>
      </w:r>
      <w:proofErr w:type="spellStart"/>
      <w:r w:rsidRPr="00C465F7">
        <w:rPr>
          <w:color w:val="010202"/>
        </w:rPr>
        <w:t>moxifloxacin</w:t>
      </w:r>
      <w:proofErr w:type="spellEnd"/>
      <w:r w:rsidRPr="00C465F7">
        <w:rPr>
          <w:color w:val="010202"/>
        </w:rPr>
        <w:t xml:space="preserve"> 400 mg) 3-period crossover thorough QT trial in 41 healthy subj</w:t>
      </w:r>
      <w:r w:rsidRPr="00E11AD3">
        <w:rPr>
          <w:color w:val="010202"/>
        </w:rPr>
        <w:t xml:space="preserve">ects. </w:t>
      </w:r>
      <w:r w:rsidRPr="00E11AD3">
        <w:t xml:space="preserve">At a plasma concentration 40 times the therapeutic plasma concentration, </w:t>
      </w:r>
      <w:proofErr w:type="spellStart"/>
      <w:r w:rsidRPr="00E11AD3">
        <w:t>grazoprevir</w:t>
      </w:r>
      <w:proofErr w:type="spellEnd"/>
      <w:r w:rsidRPr="00E11AD3">
        <w:t xml:space="preserve"> does not prolong </w:t>
      </w:r>
      <w:proofErr w:type="spellStart"/>
      <w:r w:rsidRPr="00E11AD3">
        <w:t>QTc</w:t>
      </w:r>
      <w:proofErr w:type="spellEnd"/>
      <w:r w:rsidRPr="00E11AD3">
        <w:t xml:space="preserve"> to any clinically relevant extent.</w:t>
      </w:r>
    </w:p>
    <w:p w:rsidR="003D6964" w:rsidRDefault="003D6964" w:rsidP="003D6964">
      <w:pPr>
        <w:pStyle w:val="Heading2"/>
      </w:pPr>
      <w:r>
        <w:t xml:space="preserve">Microbiology </w:t>
      </w:r>
    </w:p>
    <w:p w:rsidR="00CC78DD" w:rsidRPr="00E40192" w:rsidRDefault="00CC78DD" w:rsidP="00E40192">
      <w:pPr>
        <w:pStyle w:val="Heading3"/>
        <w:rPr>
          <w:noProof/>
        </w:rPr>
      </w:pPr>
      <w:r w:rsidRPr="00E40192">
        <w:rPr>
          <w:noProof/>
        </w:rPr>
        <w:t>Mechanism of action</w:t>
      </w:r>
    </w:p>
    <w:p w:rsidR="00BB66A1" w:rsidRPr="00DE1421" w:rsidRDefault="000D7FE6" w:rsidP="00BB66A1">
      <w:r>
        <w:t>ZEPATIER</w:t>
      </w:r>
      <w:r w:rsidR="00BB66A1" w:rsidRPr="00DE1421">
        <w:t xml:space="preserve"> combines two direct-acting antiviral agents with distinct mechanisms of action and non-overlapping resistance profiles to target HCV at multiple steps in the viral lifecycle.</w:t>
      </w:r>
    </w:p>
    <w:p w:rsidR="00DD24BA" w:rsidRDefault="00DD24BA" w:rsidP="00DD24BA">
      <w:proofErr w:type="spellStart"/>
      <w:r w:rsidRPr="00DE1421">
        <w:t>Elbasvir</w:t>
      </w:r>
      <w:proofErr w:type="spellEnd"/>
      <w:r w:rsidRPr="00DE1421">
        <w:t xml:space="preserve"> is an inhibitor of HCV NS5A, which is essential for viral RNA replication and </w:t>
      </w:r>
      <w:proofErr w:type="spellStart"/>
      <w:r w:rsidRPr="00DE1421">
        <w:t>virion</w:t>
      </w:r>
      <w:proofErr w:type="spellEnd"/>
      <w:r w:rsidRPr="00DE1421">
        <w:t xml:space="preserve"> assembly. The mechanism of action of </w:t>
      </w:r>
      <w:proofErr w:type="spellStart"/>
      <w:r w:rsidRPr="00DE1421">
        <w:t>elbasvir</w:t>
      </w:r>
      <w:proofErr w:type="spellEnd"/>
      <w:r w:rsidRPr="00DE1421">
        <w:t xml:space="preserve"> has been </w:t>
      </w:r>
      <w:r>
        <w:t>characterised</w:t>
      </w:r>
      <w:r w:rsidRPr="00DE1421">
        <w:t xml:space="preserve"> based on cell culture antiviral activity and drug resistance mapping studies.</w:t>
      </w:r>
    </w:p>
    <w:p w:rsidR="00BB66A1" w:rsidRPr="00DE1421" w:rsidRDefault="00BB66A1" w:rsidP="00BB66A1">
      <w:proofErr w:type="spellStart"/>
      <w:r w:rsidRPr="00DE1421">
        <w:t>Grazoprevir</w:t>
      </w:r>
      <w:proofErr w:type="spellEnd"/>
      <w:r w:rsidRPr="00DE1421">
        <w:t xml:space="preserve"> is an inhibitor of the HCV NS3/4A protease which is necessary for the proteolytic cleavage of the HCV encoded polyprotein (into mature forms of the NS3, NS4A, NS4B, NS5A, and NS5B proteins) and is essential for viral replication. In a biochemical assay, </w:t>
      </w:r>
      <w:proofErr w:type="spellStart"/>
      <w:r w:rsidRPr="00DE1421">
        <w:t>grazoprevir</w:t>
      </w:r>
      <w:proofErr w:type="spellEnd"/>
      <w:r w:rsidRPr="00DE1421">
        <w:t xml:space="preserve"> inhibited the proteolytic activity of the recombinant NS3/4A protease enzymes from HCV genotypes 1a, 1b, </w:t>
      </w:r>
      <w:r>
        <w:t xml:space="preserve">2, 3, </w:t>
      </w:r>
      <w:r w:rsidRPr="00DE1421">
        <w:t xml:space="preserve">4, </w:t>
      </w:r>
      <w:r>
        <w:t xml:space="preserve">5, </w:t>
      </w:r>
      <w:r w:rsidRPr="00DE1421">
        <w:t>and 6</w:t>
      </w:r>
      <w:r>
        <w:t>,</w:t>
      </w:r>
      <w:r w:rsidRPr="00DE1421">
        <w:t xml:space="preserve"> with IC</w:t>
      </w:r>
      <w:r w:rsidRPr="00DE1421">
        <w:rPr>
          <w:vertAlign w:val="subscript"/>
        </w:rPr>
        <w:t>50</w:t>
      </w:r>
      <w:r w:rsidRPr="00DE1421">
        <w:t xml:space="preserve"> values ranging from</w:t>
      </w:r>
      <w:r>
        <w:rPr>
          <w:color w:val="000000"/>
        </w:rPr>
        <w:t xml:space="preserve"> 4</w:t>
      </w:r>
      <w:r w:rsidRPr="006A5B16">
        <w:rPr>
          <w:color w:val="000000"/>
        </w:rPr>
        <w:t xml:space="preserve"> to 690 </w:t>
      </w:r>
      <w:proofErr w:type="spellStart"/>
      <w:r w:rsidRPr="006A5B16">
        <w:rPr>
          <w:color w:val="000000"/>
        </w:rPr>
        <w:t>pM</w:t>
      </w:r>
      <w:proofErr w:type="spellEnd"/>
      <w:r w:rsidRPr="006A5B16">
        <w:rPr>
          <w:color w:val="000000"/>
        </w:rPr>
        <w:t>.</w:t>
      </w:r>
      <w:r w:rsidRPr="00DE1421">
        <w:rPr>
          <w:color w:val="000000"/>
        </w:rPr>
        <w:t xml:space="preserve"> </w:t>
      </w:r>
    </w:p>
    <w:p w:rsidR="00BB66A1" w:rsidRPr="00DE1421" w:rsidRDefault="00BB66A1" w:rsidP="00BB66A1">
      <w:pPr>
        <w:pStyle w:val="Heading3"/>
      </w:pPr>
      <w:r w:rsidRPr="00DE1421">
        <w:t xml:space="preserve">Antiviral Activity </w:t>
      </w:r>
    </w:p>
    <w:p w:rsidR="00DD24BA" w:rsidRDefault="00DD24BA" w:rsidP="00BB66A1">
      <w:r w:rsidRPr="006A5B16">
        <w:t>In HCV replicon assays, the EC</w:t>
      </w:r>
      <w:r w:rsidRPr="006A5B16">
        <w:rPr>
          <w:vertAlign w:val="subscript"/>
        </w:rPr>
        <w:t>50</w:t>
      </w:r>
      <w:r w:rsidRPr="006A5B16">
        <w:t xml:space="preserve"> values of </w:t>
      </w:r>
      <w:proofErr w:type="spellStart"/>
      <w:r w:rsidRPr="006A5B16">
        <w:t>elbasvir</w:t>
      </w:r>
      <w:proofErr w:type="spellEnd"/>
      <w:r w:rsidRPr="006A5B16">
        <w:t xml:space="preserve"> against full-length replicons from genotypes 1a, 1b, 2a, 3a, 4, 5</w:t>
      </w:r>
      <w:r>
        <w:t>,</w:t>
      </w:r>
      <w:r w:rsidRPr="006A5B16">
        <w:t xml:space="preserve"> and chimeric replicons from genotype 6</w:t>
      </w:r>
      <w:r>
        <w:t>,</w:t>
      </w:r>
      <w:r w:rsidRPr="006A5B16" w:rsidDel="00F934C1">
        <w:t xml:space="preserve"> </w:t>
      </w:r>
      <w:r w:rsidRPr="006A5B16">
        <w:t xml:space="preserve">were 0.004 </w:t>
      </w:r>
      <w:proofErr w:type="spellStart"/>
      <w:r w:rsidRPr="006A5B16">
        <w:t>nM</w:t>
      </w:r>
      <w:proofErr w:type="spellEnd"/>
      <w:r w:rsidRPr="006A5B16">
        <w:t xml:space="preserve">, 0.003 </w:t>
      </w:r>
      <w:proofErr w:type="spellStart"/>
      <w:r w:rsidRPr="006A5B16">
        <w:t>nM</w:t>
      </w:r>
      <w:proofErr w:type="spellEnd"/>
      <w:r w:rsidRPr="006A5B16">
        <w:t xml:space="preserve">, 0.003 </w:t>
      </w:r>
      <w:proofErr w:type="spellStart"/>
      <w:r w:rsidRPr="006A5B16">
        <w:t>nM</w:t>
      </w:r>
      <w:proofErr w:type="spellEnd"/>
      <w:r w:rsidRPr="006A5B16">
        <w:t xml:space="preserve">, 0.14 </w:t>
      </w:r>
      <w:proofErr w:type="spellStart"/>
      <w:r w:rsidRPr="006A5B16">
        <w:t>nM</w:t>
      </w:r>
      <w:proofErr w:type="spellEnd"/>
      <w:r w:rsidRPr="006A5B16">
        <w:t xml:space="preserve">, 0.0003 </w:t>
      </w:r>
      <w:proofErr w:type="spellStart"/>
      <w:r w:rsidRPr="006A5B16">
        <w:t>nM</w:t>
      </w:r>
      <w:proofErr w:type="spellEnd"/>
      <w:r w:rsidRPr="006A5B16">
        <w:t xml:space="preserve">, 0.001 </w:t>
      </w:r>
      <w:proofErr w:type="spellStart"/>
      <w:r w:rsidRPr="006A5B16">
        <w:t>nM</w:t>
      </w:r>
      <w:proofErr w:type="spellEnd"/>
      <w:r w:rsidRPr="006A5B16">
        <w:t>, and 0.00</w:t>
      </w:r>
      <w:r>
        <w:t>9</w:t>
      </w:r>
      <w:r w:rsidRPr="006A5B16">
        <w:t xml:space="preserve"> </w:t>
      </w:r>
      <w:proofErr w:type="spellStart"/>
      <w:r w:rsidRPr="006A5B16">
        <w:t>nM</w:t>
      </w:r>
      <w:proofErr w:type="spellEnd"/>
      <w:r w:rsidRPr="006A5B16">
        <w:t>, respectively. The median EC</w:t>
      </w:r>
      <w:r w:rsidRPr="006A5B16">
        <w:rPr>
          <w:vertAlign w:val="subscript"/>
        </w:rPr>
        <w:t>50</w:t>
      </w:r>
      <w:r w:rsidRPr="006A5B16">
        <w:t xml:space="preserve"> values of </w:t>
      </w:r>
      <w:proofErr w:type="spellStart"/>
      <w:r w:rsidRPr="006A5B16">
        <w:t>elbasvir</w:t>
      </w:r>
      <w:proofErr w:type="spellEnd"/>
      <w:r w:rsidRPr="006A5B16">
        <w:t xml:space="preserve"> against chimeric replicons encoding NS5A sequences from clinical isolates were 0.005 </w:t>
      </w:r>
      <w:proofErr w:type="spellStart"/>
      <w:r w:rsidRPr="006A5B16">
        <w:t>nM</w:t>
      </w:r>
      <w:proofErr w:type="spellEnd"/>
      <w:r w:rsidRPr="006A5B16">
        <w:t xml:space="preserve"> for genotype 1a (range 0.003-0.009 </w:t>
      </w:r>
      <w:proofErr w:type="spellStart"/>
      <w:r w:rsidRPr="006A5B16">
        <w:t>nM</w:t>
      </w:r>
      <w:proofErr w:type="spellEnd"/>
      <w:r w:rsidRPr="006A5B16">
        <w:t xml:space="preserve">; N=5), 0.009 </w:t>
      </w:r>
      <w:proofErr w:type="spellStart"/>
      <w:r w:rsidRPr="006A5B16">
        <w:t>nM</w:t>
      </w:r>
      <w:proofErr w:type="spellEnd"/>
      <w:r w:rsidRPr="006A5B16">
        <w:t xml:space="preserve"> for genotype 1b (range 0.005-0.010 </w:t>
      </w:r>
      <w:proofErr w:type="spellStart"/>
      <w:r w:rsidRPr="006A5B16">
        <w:t>nM</w:t>
      </w:r>
      <w:proofErr w:type="spellEnd"/>
      <w:r w:rsidRPr="006A5B16">
        <w:t>; N=</w:t>
      </w:r>
      <w:r w:rsidR="00D436EC">
        <w:t>4</w:t>
      </w:r>
      <w:r w:rsidRPr="006A5B16">
        <w:t xml:space="preserve">), 1.85 </w:t>
      </w:r>
      <w:proofErr w:type="spellStart"/>
      <w:r w:rsidRPr="006A5B16">
        <w:t>nM</w:t>
      </w:r>
      <w:proofErr w:type="spellEnd"/>
      <w:r w:rsidRPr="006A5B16">
        <w:t xml:space="preserve"> for genotype 2 (range 0.003-20 </w:t>
      </w:r>
      <w:proofErr w:type="spellStart"/>
      <w:r w:rsidRPr="006A5B16">
        <w:t>nM</w:t>
      </w:r>
      <w:proofErr w:type="spellEnd"/>
      <w:r w:rsidRPr="006A5B16">
        <w:t xml:space="preserve">; N=6), 0.02 </w:t>
      </w:r>
      <w:proofErr w:type="spellStart"/>
      <w:r w:rsidRPr="006A5B16">
        <w:t>nM</w:t>
      </w:r>
      <w:proofErr w:type="spellEnd"/>
      <w:r w:rsidRPr="006A5B16">
        <w:t xml:space="preserve"> for genotype 3a (range 0.01-0.33 </w:t>
      </w:r>
      <w:proofErr w:type="spellStart"/>
      <w:r w:rsidRPr="006A5B16">
        <w:t>nM</w:t>
      </w:r>
      <w:proofErr w:type="spellEnd"/>
      <w:r w:rsidRPr="006A5B16">
        <w:t xml:space="preserve">; N=9), 0.0007 </w:t>
      </w:r>
      <w:proofErr w:type="spellStart"/>
      <w:r w:rsidRPr="006A5B16">
        <w:t>nM</w:t>
      </w:r>
      <w:proofErr w:type="spellEnd"/>
      <w:r w:rsidRPr="006A5B16">
        <w:t xml:space="preserve"> for genotype 4 (range 0.0002-34 </w:t>
      </w:r>
      <w:proofErr w:type="spellStart"/>
      <w:r w:rsidRPr="006A5B16">
        <w:t>nM</w:t>
      </w:r>
      <w:proofErr w:type="spellEnd"/>
      <w:r w:rsidRPr="006A5B16">
        <w:t xml:space="preserve">; N=14), 0.0007 </w:t>
      </w:r>
      <w:proofErr w:type="spellStart"/>
      <w:r w:rsidRPr="006A5B16">
        <w:t>nM</w:t>
      </w:r>
      <w:proofErr w:type="spellEnd"/>
      <w:r w:rsidRPr="006A5B16">
        <w:t xml:space="preserve"> for genotype 5 (range 0.0004-43 </w:t>
      </w:r>
      <w:proofErr w:type="spellStart"/>
      <w:r w:rsidRPr="006A5B16">
        <w:t>nM</w:t>
      </w:r>
      <w:proofErr w:type="spellEnd"/>
      <w:r w:rsidRPr="006A5B16">
        <w:t xml:space="preserve">; N=11), and 0.016 </w:t>
      </w:r>
      <w:proofErr w:type="spellStart"/>
      <w:r w:rsidRPr="006A5B16">
        <w:t>nM</w:t>
      </w:r>
      <w:proofErr w:type="spellEnd"/>
      <w:r w:rsidRPr="006A5B16">
        <w:t xml:space="preserve"> for genotype 6 (range 0.002-2.7 </w:t>
      </w:r>
      <w:proofErr w:type="spellStart"/>
      <w:r w:rsidRPr="006A5B16">
        <w:t>nM</w:t>
      </w:r>
      <w:proofErr w:type="spellEnd"/>
      <w:r w:rsidRPr="006A5B16">
        <w:t>; N=11).</w:t>
      </w:r>
    </w:p>
    <w:p w:rsidR="00BB66A1" w:rsidRPr="00DE1421" w:rsidRDefault="00BB66A1" w:rsidP="00BB66A1">
      <w:r w:rsidRPr="00DE1421">
        <w:t>In HCV replicon assays, the EC</w:t>
      </w:r>
      <w:r w:rsidRPr="00D0750D">
        <w:rPr>
          <w:vertAlign w:val="subscript"/>
        </w:rPr>
        <w:t>50</w:t>
      </w:r>
      <w:r w:rsidRPr="00DE1421">
        <w:t xml:space="preserve"> values of </w:t>
      </w:r>
      <w:proofErr w:type="spellStart"/>
      <w:r w:rsidRPr="00DE1421">
        <w:t>grazoprevir</w:t>
      </w:r>
      <w:proofErr w:type="spellEnd"/>
      <w:r w:rsidRPr="00DE1421">
        <w:t xml:space="preserve"> against full-length replicons from genotypes 1a, 1b, </w:t>
      </w:r>
      <w:r>
        <w:t xml:space="preserve">2, 3, </w:t>
      </w:r>
      <w:r w:rsidRPr="00DE1421">
        <w:t>4,</w:t>
      </w:r>
      <w:r>
        <w:t xml:space="preserve"> and 5,</w:t>
      </w:r>
      <w:r w:rsidRPr="00DE1421">
        <w:t xml:space="preserve"> and chimeric replicons from ge</w:t>
      </w:r>
      <w:r w:rsidRPr="006A5B16">
        <w:t>notype 6</w:t>
      </w:r>
      <w:r>
        <w:t>,</w:t>
      </w:r>
      <w:r w:rsidRPr="006A5B16">
        <w:t xml:space="preserve"> were 0.4 </w:t>
      </w:r>
      <w:proofErr w:type="spellStart"/>
      <w:r w:rsidRPr="006A5B16">
        <w:t>nM</w:t>
      </w:r>
      <w:proofErr w:type="spellEnd"/>
      <w:r w:rsidRPr="006A5B16">
        <w:t xml:space="preserve">, 0.5 </w:t>
      </w:r>
      <w:proofErr w:type="spellStart"/>
      <w:r w:rsidRPr="006A5B16">
        <w:t>nM</w:t>
      </w:r>
      <w:proofErr w:type="spellEnd"/>
      <w:r w:rsidRPr="006A5B16">
        <w:t xml:space="preserve">, 2.3 </w:t>
      </w:r>
      <w:proofErr w:type="spellStart"/>
      <w:r w:rsidRPr="006A5B16">
        <w:t>nM</w:t>
      </w:r>
      <w:proofErr w:type="spellEnd"/>
      <w:r w:rsidRPr="006A5B16">
        <w:t xml:space="preserve">, 35 </w:t>
      </w:r>
      <w:proofErr w:type="spellStart"/>
      <w:r w:rsidRPr="006A5B16">
        <w:t>nM</w:t>
      </w:r>
      <w:proofErr w:type="spellEnd"/>
      <w:r w:rsidRPr="006A5B16">
        <w:t xml:space="preserve">, 0.3 </w:t>
      </w:r>
      <w:proofErr w:type="spellStart"/>
      <w:r w:rsidRPr="006A5B16">
        <w:t>nM</w:t>
      </w:r>
      <w:proofErr w:type="spellEnd"/>
      <w:r w:rsidRPr="006A5B16">
        <w:t xml:space="preserve">, 1.5 </w:t>
      </w:r>
      <w:proofErr w:type="spellStart"/>
      <w:r w:rsidRPr="006A5B16">
        <w:t>nM</w:t>
      </w:r>
      <w:proofErr w:type="spellEnd"/>
      <w:r w:rsidRPr="006A5B16">
        <w:t xml:space="preserve">, and 0.9 </w:t>
      </w:r>
      <w:proofErr w:type="spellStart"/>
      <w:r w:rsidRPr="006A5B16">
        <w:t>nM</w:t>
      </w:r>
      <w:proofErr w:type="spellEnd"/>
      <w:r w:rsidRPr="006A5B16">
        <w:t>, respectively.</w:t>
      </w:r>
    </w:p>
    <w:p w:rsidR="00BB66A1" w:rsidRPr="006A5B16" w:rsidRDefault="00BB66A1" w:rsidP="00BB66A1">
      <w:r w:rsidRPr="00DE1421">
        <w:t>The median EC</w:t>
      </w:r>
      <w:r w:rsidRPr="00D0750D">
        <w:rPr>
          <w:vertAlign w:val="subscript"/>
        </w:rPr>
        <w:t>50</w:t>
      </w:r>
      <w:r w:rsidRPr="00DE1421">
        <w:t xml:space="preserve"> values of </w:t>
      </w:r>
      <w:proofErr w:type="spellStart"/>
      <w:r w:rsidRPr="00DE1421">
        <w:t>grazoprevir</w:t>
      </w:r>
      <w:proofErr w:type="spellEnd"/>
      <w:r w:rsidRPr="00DE1421">
        <w:t xml:space="preserve"> against chimeric replicons encoding NS3/4A sequences </w:t>
      </w:r>
      <w:r w:rsidRPr="006A5B16">
        <w:t xml:space="preserve">from clinical isolates were 0.8 </w:t>
      </w:r>
      <w:proofErr w:type="spellStart"/>
      <w:r w:rsidRPr="006A5B16">
        <w:t>nM</w:t>
      </w:r>
      <w:proofErr w:type="spellEnd"/>
      <w:r w:rsidRPr="006A5B16">
        <w:t xml:space="preserve"> for genotype 1a (range 0.4-5.1 </w:t>
      </w:r>
      <w:proofErr w:type="spellStart"/>
      <w:r w:rsidRPr="006A5B16">
        <w:t>nM</w:t>
      </w:r>
      <w:proofErr w:type="spellEnd"/>
      <w:r w:rsidRPr="006A5B16">
        <w:t xml:space="preserve">; N=10), </w:t>
      </w:r>
      <w:r w:rsidR="00741262">
        <w:t>0.3</w:t>
      </w:r>
      <w:r w:rsidRPr="006A5B16">
        <w:t xml:space="preserve"> </w:t>
      </w:r>
      <w:proofErr w:type="spellStart"/>
      <w:r w:rsidRPr="006A5B16">
        <w:t>nM</w:t>
      </w:r>
      <w:proofErr w:type="spellEnd"/>
      <w:r w:rsidRPr="006A5B16">
        <w:t xml:space="preserve"> for genotype 1b (range 0.2-5.9 </w:t>
      </w:r>
      <w:proofErr w:type="spellStart"/>
      <w:r w:rsidRPr="006A5B16">
        <w:t>nM</w:t>
      </w:r>
      <w:proofErr w:type="spellEnd"/>
      <w:r w:rsidRPr="006A5B16">
        <w:t>; N=</w:t>
      </w:r>
      <w:r w:rsidR="00D436EC">
        <w:t>9</w:t>
      </w:r>
      <w:r w:rsidRPr="006A5B16">
        <w:t xml:space="preserve">), 2.9 </w:t>
      </w:r>
      <w:proofErr w:type="spellStart"/>
      <w:r w:rsidRPr="006A5B16">
        <w:t>nM</w:t>
      </w:r>
      <w:proofErr w:type="spellEnd"/>
      <w:r w:rsidRPr="006A5B16">
        <w:t xml:space="preserve"> for genotype 2 (range 2.3-3.7 </w:t>
      </w:r>
      <w:proofErr w:type="spellStart"/>
      <w:r w:rsidRPr="006A5B16">
        <w:t>nM</w:t>
      </w:r>
      <w:proofErr w:type="spellEnd"/>
      <w:r w:rsidRPr="006A5B16">
        <w:t xml:space="preserve">; N=3), 5.85 </w:t>
      </w:r>
      <w:proofErr w:type="spellStart"/>
      <w:r w:rsidRPr="006A5B16">
        <w:t>nM</w:t>
      </w:r>
      <w:proofErr w:type="spellEnd"/>
      <w:r w:rsidRPr="006A5B16">
        <w:t xml:space="preserve"> for genotype 3 (range 2.1-7.6 </w:t>
      </w:r>
      <w:proofErr w:type="spellStart"/>
      <w:r w:rsidRPr="006A5B16">
        <w:t>nM</w:t>
      </w:r>
      <w:proofErr w:type="spellEnd"/>
      <w:r w:rsidRPr="006A5B16">
        <w:t xml:space="preserve">; N=6), 0.2 </w:t>
      </w:r>
      <w:proofErr w:type="spellStart"/>
      <w:r w:rsidRPr="006A5B16">
        <w:t>nM</w:t>
      </w:r>
      <w:proofErr w:type="spellEnd"/>
      <w:r w:rsidRPr="006A5B16">
        <w:t xml:space="preserve"> for genotype 4 (range 0.11-0.33 </w:t>
      </w:r>
      <w:proofErr w:type="spellStart"/>
      <w:r w:rsidRPr="006A5B16">
        <w:t>nM</w:t>
      </w:r>
      <w:proofErr w:type="spellEnd"/>
      <w:r w:rsidRPr="006A5B16">
        <w:t xml:space="preserve">; N=5), 1.5 </w:t>
      </w:r>
      <w:proofErr w:type="spellStart"/>
      <w:r w:rsidRPr="006A5B16">
        <w:t>nM</w:t>
      </w:r>
      <w:proofErr w:type="spellEnd"/>
      <w:r w:rsidRPr="006A5B16">
        <w:t xml:space="preserve"> for genotype 5 (range 0.</w:t>
      </w:r>
      <w:r>
        <w:t>4</w:t>
      </w:r>
      <w:r w:rsidRPr="006A5B16">
        <w:t xml:space="preserve">-6.6 </w:t>
      </w:r>
      <w:proofErr w:type="spellStart"/>
      <w:r w:rsidRPr="006A5B16">
        <w:t>nM</w:t>
      </w:r>
      <w:proofErr w:type="spellEnd"/>
      <w:r w:rsidRPr="006A5B16">
        <w:t xml:space="preserve">; N=5), and 0.2 </w:t>
      </w:r>
      <w:proofErr w:type="spellStart"/>
      <w:r w:rsidRPr="006A5B16">
        <w:t>nM</w:t>
      </w:r>
      <w:proofErr w:type="spellEnd"/>
      <w:r w:rsidRPr="006A5B16">
        <w:t xml:space="preserve"> for genotype 6 (range 0.1-0.9 </w:t>
      </w:r>
      <w:proofErr w:type="spellStart"/>
      <w:r w:rsidRPr="006A5B16">
        <w:t>nM</w:t>
      </w:r>
      <w:proofErr w:type="spellEnd"/>
      <w:r w:rsidRPr="006A5B16">
        <w:t>; N=9).</w:t>
      </w:r>
    </w:p>
    <w:p w:rsidR="00BB66A1" w:rsidRDefault="00BB66A1" w:rsidP="00BB66A1">
      <w:r w:rsidRPr="006A5B16">
        <w:t xml:space="preserve">Evaluation of </w:t>
      </w:r>
      <w:proofErr w:type="spellStart"/>
      <w:r w:rsidR="00DD24BA">
        <w:t>elbasvir</w:t>
      </w:r>
      <w:proofErr w:type="spellEnd"/>
      <w:r w:rsidR="00DD24BA">
        <w:t xml:space="preserve"> </w:t>
      </w:r>
      <w:r w:rsidRPr="006A5B16">
        <w:t xml:space="preserve">in combination with </w:t>
      </w:r>
      <w:proofErr w:type="spellStart"/>
      <w:r w:rsidR="00DD24BA">
        <w:t>grazoprevir</w:t>
      </w:r>
      <w:proofErr w:type="spellEnd"/>
      <w:r>
        <w:t>,</w:t>
      </w:r>
      <w:r w:rsidRPr="006A5B16">
        <w:t xml:space="preserve"> ribavirin</w:t>
      </w:r>
      <w:r>
        <w:t xml:space="preserve">, or </w:t>
      </w:r>
      <w:proofErr w:type="spellStart"/>
      <w:r>
        <w:t>sofosbuvir</w:t>
      </w:r>
      <w:proofErr w:type="spellEnd"/>
      <w:r w:rsidRPr="006A5B16">
        <w:t xml:space="preserve"> showed no antagonistic effect in reducing HCV RNA levels in replicon cells. Evaluation of</w:t>
      </w:r>
      <w:r w:rsidR="00DD24BA">
        <w:t xml:space="preserve"> </w:t>
      </w:r>
      <w:proofErr w:type="spellStart"/>
      <w:r w:rsidR="00DD24BA">
        <w:t>grazoprevir</w:t>
      </w:r>
      <w:proofErr w:type="spellEnd"/>
      <w:r w:rsidRPr="006A5B16">
        <w:t xml:space="preserve"> in combination with ribavirin </w:t>
      </w:r>
      <w:r>
        <w:t xml:space="preserve">or </w:t>
      </w:r>
      <w:proofErr w:type="spellStart"/>
      <w:r>
        <w:t>sofosbuvir</w:t>
      </w:r>
      <w:proofErr w:type="spellEnd"/>
      <w:r>
        <w:t xml:space="preserve"> </w:t>
      </w:r>
      <w:r w:rsidRPr="006A5B16">
        <w:t>showed no antagonistic effect in reducing HCV RNA levels in replicon cells.</w:t>
      </w:r>
      <w:r>
        <w:t xml:space="preserve"> </w:t>
      </w:r>
    </w:p>
    <w:p w:rsidR="00CC78DD" w:rsidRPr="005F6BAA" w:rsidRDefault="00CC78DD" w:rsidP="00F92767">
      <w:pPr>
        <w:pStyle w:val="Heading3"/>
        <w:rPr>
          <w:lang w:bidi="gu-IN"/>
        </w:rPr>
      </w:pPr>
      <w:r w:rsidRPr="005F6BAA">
        <w:rPr>
          <w:lang w:bidi="gu-IN"/>
        </w:rPr>
        <w:t>Resistance</w:t>
      </w:r>
    </w:p>
    <w:p w:rsidR="00BB66A1" w:rsidRPr="00F42F76" w:rsidRDefault="00DB3D70" w:rsidP="00F42F76">
      <w:pPr>
        <w:rPr>
          <w:i/>
          <w:lang w:bidi="gu-IN"/>
        </w:rPr>
      </w:pPr>
      <w:r w:rsidRPr="00F42F76">
        <w:rPr>
          <w:i/>
          <w:sz w:val="24"/>
          <w:lang w:bidi="gu-IN"/>
        </w:rPr>
        <w:t>In Cell Culture</w:t>
      </w:r>
    </w:p>
    <w:p w:rsidR="00BB66A1" w:rsidRPr="00DE1421" w:rsidRDefault="00BB66A1" w:rsidP="00BB66A1">
      <w:r w:rsidRPr="00DE1421">
        <w:t xml:space="preserve">HCV replicons with reduced susceptibility to </w:t>
      </w:r>
      <w:proofErr w:type="spellStart"/>
      <w:r w:rsidR="00DD24BA" w:rsidRPr="00DE1421">
        <w:t>elbasvir</w:t>
      </w:r>
      <w:proofErr w:type="spellEnd"/>
      <w:r w:rsidR="00DD24BA" w:rsidRPr="00DE1421">
        <w:t xml:space="preserve"> </w:t>
      </w:r>
      <w:r w:rsidR="00DD24BA">
        <w:t xml:space="preserve">and </w:t>
      </w:r>
      <w:proofErr w:type="spellStart"/>
      <w:r w:rsidRPr="00DE1421">
        <w:t>grazoprevir</w:t>
      </w:r>
      <w:proofErr w:type="spellEnd"/>
      <w:r w:rsidRPr="00DE1421">
        <w:t xml:space="preserve"> have been selected in cell culture for genotypes 1a, 1b, </w:t>
      </w:r>
      <w:r>
        <w:t xml:space="preserve">3, </w:t>
      </w:r>
      <w:r w:rsidRPr="00DE1421">
        <w:t xml:space="preserve">4, and 6. </w:t>
      </w:r>
    </w:p>
    <w:p w:rsidR="00DD24BA" w:rsidRDefault="00DD24BA" w:rsidP="00DD24BA">
      <w:r w:rsidRPr="00DE1421">
        <w:t xml:space="preserve">For </w:t>
      </w:r>
      <w:proofErr w:type="spellStart"/>
      <w:r w:rsidRPr="00DE1421">
        <w:t>elbasvir</w:t>
      </w:r>
      <w:proofErr w:type="spellEnd"/>
      <w:r w:rsidRPr="00DE1421">
        <w:t>, in HCV genotype 1a replicons</w:t>
      </w:r>
      <w:r>
        <w:t>,</w:t>
      </w:r>
      <w:r w:rsidRPr="00DE1421">
        <w:t xml:space="preserve"> single NS5A substitutions Q30D/</w:t>
      </w:r>
      <w:r w:rsidRPr="00BB5F76">
        <w:t xml:space="preserve">E/H/R, L31M/V and Y93C/H/N reduced </w:t>
      </w:r>
      <w:proofErr w:type="spellStart"/>
      <w:r w:rsidRPr="00BB5F76">
        <w:t>elbasvir</w:t>
      </w:r>
      <w:proofErr w:type="spellEnd"/>
      <w:r w:rsidRPr="00DE1421">
        <w:t xml:space="preserve"> antiviral activity by 6- </w:t>
      </w:r>
      <w:r>
        <w:t>to 2000</w:t>
      </w:r>
      <w:r w:rsidRPr="00DE1421">
        <w:t>-fold. In genotype 1b replicons</w:t>
      </w:r>
      <w:r>
        <w:t>,</w:t>
      </w:r>
      <w:r w:rsidRPr="00DE1421">
        <w:t xml:space="preserve"> </w:t>
      </w:r>
      <w:r w:rsidRPr="00DE1421">
        <w:lastRenderedPageBreak/>
        <w:t xml:space="preserve">single NS5A substitutions L31F and Y93H reduced </w:t>
      </w:r>
      <w:proofErr w:type="spellStart"/>
      <w:r w:rsidRPr="00DE1421">
        <w:t>elbasvir</w:t>
      </w:r>
      <w:proofErr w:type="spellEnd"/>
      <w:r w:rsidRPr="00DE1421">
        <w:t xml:space="preserve"> antiviral activity by 17</w:t>
      </w:r>
      <w:r>
        <w:t xml:space="preserve">- </w:t>
      </w:r>
      <w:r w:rsidRPr="00DE1421">
        <w:t xml:space="preserve">fold. </w:t>
      </w:r>
      <w:r>
        <w:rPr>
          <w:rFonts w:eastAsia="SimSun"/>
        </w:rPr>
        <w:t xml:space="preserve">In genotype 3 replicons, single NS5A substitution Y93H reduced </w:t>
      </w:r>
      <w:proofErr w:type="spellStart"/>
      <w:r>
        <w:rPr>
          <w:rFonts w:eastAsia="SimSun"/>
        </w:rPr>
        <w:t>elbasvir</w:t>
      </w:r>
      <w:proofErr w:type="spellEnd"/>
      <w:r>
        <w:rPr>
          <w:rFonts w:eastAsia="SimSun"/>
        </w:rPr>
        <w:t xml:space="preserve"> antiviral activity by 485-fold. </w:t>
      </w:r>
      <w:r w:rsidRPr="00DE1421">
        <w:t>In genotype 4 replicons</w:t>
      </w:r>
      <w:r>
        <w:t>,</w:t>
      </w:r>
      <w:r w:rsidRPr="00DE1421">
        <w:t xml:space="preserve"> single NS5A substitutions L30S, M31V, and Y93H reduced </w:t>
      </w:r>
      <w:proofErr w:type="spellStart"/>
      <w:r w:rsidRPr="00DE1421">
        <w:t>elbasvir</w:t>
      </w:r>
      <w:proofErr w:type="spellEnd"/>
      <w:r w:rsidRPr="00DE1421">
        <w:t xml:space="preserve"> antivi</w:t>
      </w:r>
      <w:r>
        <w:t xml:space="preserve">ral activity by 3- to 23-fold. </w:t>
      </w:r>
      <w:r w:rsidRPr="00DE1421">
        <w:t>In general, in HCV genotype 1a, 1b</w:t>
      </w:r>
      <w:r w:rsidR="000566E7">
        <w:t xml:space="preserve"> </w:t>
      </w:r>
      <w:proofErr w:type="gramStart"/>
      <w:r w:rsidR="000566E7">
        <w:t xml:space="preserve">or </w:t>
      </w:r>
      <w:r w:rsidRPr="00DE1421">
        <w:t xml:space="preserve"> 4</w:t>
      </w:r>
      <w:proofErr w:type="gramEnd"/>
      <w:r w:rsidRPr="00DE1421">
        <w:t xml:space="preserve"> replicons</w:t>
      </w:r>
      <w:r>
        <w:t xml:space="preserve">, </w:t>
      </w:r>
      <w:r w:rsidRPr="00DE1421">
        <w:t xml:space="preserve">combinations of </w:t>
      </w:r>
      <w:proofErr w:type="spellStart"/>
      <w:r w:rsidRPr="00DE1421">
        <w:t>elbasvir</w:t>
      </w:r>
      <w:proofErr w:type="spellEnd"/>
      <w:r w:rsidRPr="00DE1421">
        <w:t xml:space="preserve"> resistance-associated substitutions further reduced </w:t>
      </w:r>
      <w:proofErr w:type="spellStart"/>
      <w:r w:rsidRPr="00DE1421">
        <w:t>elbasvir</w:t>
      </w:r>
      <w:proofErr w:type="spellEnd"/>
      <w:r w:rsidRPr="00DE1421">
        <w:t xml:space="preserve"> antiviral activity.</w:t>
      </w:r>
    </w:p>
    <w:p w:rsidR="00BB66A1" w:rsidRPr="00DE1421" w:rsidRDefault="00BB66A1" w:rsidP="00BB66A1">
      <w:r w:rsidRPr="00DE1421">
        <w:t xml:space="preserve">For </w:t>
      </w:r>
      <w:proofErr w:type="spellStart"/>
      <w:r w:rsidRPr="00DE1421">
        <w:t>grazoprevir</w:t>
      </w:r>
      <w:proofErr w:type="spellEnd"/>
      <w:r w:rsidRPr="00DE1421">
        <w:t>, in HCV genotype 1a replicons</w:t>
      </w:r>
      <w:r>
        <w:t>,</w:t>
      </w:r>
      <w:r w:rsidRPr="00DE1421">
        <w:t xml:space="preserve"> single NS3 substitutions D168A/E/G/S/V reduced </w:t>
      </w:r>
      <w:proofErr w:type="spellStart"/>
      <w:r w:rsidRPr="00DE1421">
        <w:t>grazoprevir</w:t>
      </w:r>
      <w:proofErr w:type="spellEnd"/>
      <w:r w:rsidRPr="00DE1421">
        <w:t xml:space="preserve"> antiviral activity by 2- to 81-fold. In genotype 1b replicons</w:t>
      </w:r>
      <w:r>
        <w:t>,</w:t>
      </w:r>
      <w:r w:rsidRPr="00DE1421">
        <w:t xml:space="preserve"> single NS3 substitutions F43S, A156S/T</w:t>
      </w:r>
      <w:r w:rsidRPr="00396939">
        <w:t>/V, a</w:t>
      </w:r>
      <w:r>
        <w:t>nd D168A/G/</w:t>
      </w:r>
      <w:r w:rsidRPr="00DE1421">
        <w:t xml:space="preserve">V reduced </w:t>
      </w:r>
      <w:proofErr w:type="spellStart"/>
      <w:r w:rsidRPr="00DE1421">
        <w:t>grazoprevir</w:t>
      </w:r>
      <w:proofErr w:type="spellEnd"/>
      <w:r w:rsidRPr="00DE1421">
        <w:t xml:space="preserve"> antiviral activity by </w:t>
      </w:r>
      <w:r w:rsidR="00D436EC">
        <w:t>2</w:t>
      </w:r>
      <w:r w:rsidRPr="00DE1421">
        <w:t xml:space="preserve">- to 375-fold. </w:t>
      </w:r>
      <w:r>
        <w:rPr>
          <w:rFonts w:eastAsia="SimSun"/>
        </w:rPr>
        <w:t>In genotype 3 replicons, single NS3 substituti</w:t>
      </w:r>
      <w:r w:rsidRPr="00E053A7">
        <w:rPr>
          <w:rFonts w:eastAsia="SimSun"/>
        </w:rPr>
        <w:t>ons N77S, V163I, Q168R and Q178R</w:t>
      </w:r>
      <w:r>
        <w:rPr>
          <w:rFonts w:eastAsia="SimSun"/>
        </w:rPr>
        <w:t xml:space="preserve"> reduced </w:t>
      </w:r>
      <w:proofErr w:type="spellStart"/>
      <w:r>
        <w:rPr>
          <w:rFonts w:eastAsia="SimSun"/>
        </w:rPr>
        <w:t>grazoprevir</w:t>
      </w:r>
      <w:proofErr w:type="spellEnd"/>
      <w:r>
        <w:rPr>
          <w:rFonts w:eastAsia="SimSun"/>
        </w:rPr>
        <w:t xml:space="preserve"> antiviral activity by 3- to 7-fold. </w:t>
      </w:r>
      <w:r w:rsidRPr="00DE1421">
        <w:t>In genotype 4 replicons</w:t>
      </w:r>
      <w:r>
        <w:t>,</w:t>
      </w:r>
      <w:r w:rsidRPr="00DE1421">
        <w:t xml:space="preserve"> single NS3 substitutions D168A/V reduced </w:t>
      </w:r>
      <w:proofErr w:type="spellStart"/>
      <w:r w:rsidRPr="00DE1421">
        <w:t>grazoprevir</w:t>
      </w:r>
      <w:proofErr w:type="spellEnd"/>
      <w:r w:rsidRPr="00DE1421">
        <w:t xml:space="preserve"> antiviral activity by </w:t>
      </w:r>
      <w:r>
        <w:t>110- to 320</w:t>
      </w:r>
      <w:r w:rsidRPr="00DE1421">
        <w:t xml:space="preserve">-fold. </w:t>
      </w:r>
      <w:r w:rsidRPr="00396939">
        <w:t>In general, in HCV genotype 1a, 1b</w:t>
      </w:r>
      <w:r w:rsidR="000566E7">
        <w:t xml:space="preserve"> or</w:t>
      </w:r>
      <w:r w:rsidRPr="00396939">
        <w:t xml:space="preserve"> 4 replicons</w:t>
      </w:r>
      <w:r>
        <w:t xml:space="preserve">, </w:t>
      </w:r>
      <w:r w:rsidRPr="00396939">
        <w:t xml:space="preserve">combinations of </w:t>
      </w:r>
      <w:proofErr w:type="spellStart"/>
      <w:r w:rsidRPr="00396939">
        <w:t>grazoprevir</w:t>
      </w:r>
      <w:proofErr w:type="spellEnd"/>
      <w:r w:rsidRPr="00396939">
        <w:t xml:space="preserve"> resistance-associated substitutions further reduced </w:t>
      </w:r>
      <w:proofErr w:type="spellStart"/>
      <w:r w:rsidRPr="00396939">
        <w:t>g</w:t>
      </w:r>
      <w:r>
        <w:t>razoprevir</w:t>
      </w:r>
      <w:proofErr w:type="spellEnd"/>
      <w:r>
        <w:t xml:space="preserve"> antiviral activity.</w:t>
      </w:r>
    </w:p>
    <w:p w:rsidR="00DB3D70" w:rsidRPr="00F42F76" w:rsidRDefault="00DB3D70" w:rsidP="00F42F76">
      <w:pPr>
        <w:rPr>
          <w:i/>
          <w:lang w:bidi="gu-IN"/>
        </w:rPr>
      </w:pPr>
      <w:r w:rsidRPr="00F42F76">
        <w:rPr>
          <w:i/>
          <w:sz w:val="24"/>
          <w:lang w:bidi="gu-IN"/>
        </w:rPr>
        <w:t>In Clinical Studies</w:t>
      </w:r>
    </w:p>
    <w:p w:rsidR="00BB66A1" w:rsidRPr="006A5B16" w:rsidRDefault="00BB66A1" w:rsidP="00BB66A1">
      <w:r w:rsidRPr="005F4056">
        <w:t xml:space="preserve">In a pooled analysis of </w:t>
      </w:r>
      <w:r>
        <w:t xml:space="preserve"> genotype 1</w:t>
      </w:r>
      <w:r w:rsidR="000566E7">
        <w:t xml:space="preserve"> or</w:t>
      </w:r>
      <w:r>
        <w:t xml:space="preserve"> 4 </w:t>
      </w:r>
      <w:r w:rsidRPr="005F4056">
        <w:t xml:space="preserve"> subjects treated with regimens containing </w:t>
      </w:r>
      <w:r w:rsidR="000D7FE6">
        <w:t>ZEPATIER</w:t>
      </w:r>
      <w:r w:rsidRPr="005F4056">
        <w:t xml:space="preserve"> or </w:t>
      </w:r>
      <w:proofErr w:type="spellStart"/>
      <w:r w:rsidR="00DD24BA">
        <w:t>elbasvir</w:t>
      </w:r>
      <w:proofErr w:type="spellEnd"/>
      <w:r w:rsidR="00DD24BA" w:rsidRPr="005F4056">
        <w:t xml:space="preserve"> </w:t>
      </w:r>
      <w:r w:rsidR="00DD24BA">
        <w:t xml:space="preserve">+ </w:t>
      </w:r>
      <w:proofErr w:type="spellStart"/>
      <w:r>
        <w:t>grazoprevir</w:t>
      </w:r>
      <w:proofErr w:type="spellEnd"/>
      <w:r w:rsidRPr="005F4056">
        <w:t xml:space="preserve"> with or without </w:t>
      </w:r>
      <w:r>
        <w:t xml:space="preserve">ribavirin </w:t>
      </w:r>
      <w:r w:rsidRPr="005F4056">
        <w:t>in Phase 2 and 3 clinical trials, resistanc</w:t>
      </w:r>
      <w:r>
        <w:t xml:space="preserve">e analyses were conducted for </w:t>
      </w:r>
      <w:r w:rsidR="000566E7">
        <w:t>50</w:t>
      </w:r>
      <w:r w:rsidRPr="005F4056">
        <w:t xml:space="preserve"> subjects who experienced </w:t>
      </w:r>
      <w:proofErr w:type="spellStart"/>
      <w:r w:rsidRPr="005F4056">
        <w:t>virologic</w:t>
      </w:r>
      <w:proofErr w:type="spellEnd"/>
      <w:r w:rsidRPr="005F4056">
        <w:t xml:space="preserve"> </w:t>
      </w:r>
      <w:r w:rsidRPr="00B45FA0">
        <w:t>failure</w:t>
      </w:r>
      <w:r w:rsidRPr="006A5B16">
        <w:t xml:space="preserve"> and had sequence data available (</w:t>
      </w:r>
      <w:r w:rsidR="000566E7">
        <w:t>6</w:t>
      </w:r>
      <w:r w:rsidRPr="006A5B16">
        <w:t xml:space="preserve"> with on-treatment </w:t>
      </w:r>
      <w:proofErr w:type="spellStart"/>
      <w:r w:rsidRPr="006A5B16">
        <w:t>virologic</w:t>
      </w:r>
      <w:proofErr w:type="spellEnd"/>
      <w:r w:rsidRPr="006A5B16">
        <w:t xml:space="preserve"> failure, </w:t>
      </w:r>
      <w:r w:rsidR="000566E7">
        <w:t>44</w:t>
      </w:r>
      <w:r w:rsidRPr="006A5B16">
        <w:t xml:space="preserve"> with post-treatment relapse). </w:t>
      </w:r>
    </w:p>
    <w:p w:rsidR="00BB66A1" w:rsidRDefault="00BB66A1" w:rsidP="00BB66A1">
      <w:r w:rsidRPr="006A5B16">
        <w:t xml:space="preserve">Treatment-emergent substitutions observed in the viral populations of these subjects based on genotypes are shown in </w:t>
      </w:r>
      <w:r>
        <w:fldChar w:fldCharType="begin"/>
      </w:r>
      <w:r>
        <w:instrText xml:space="preserve"> REF _Ref423005685 \h </w:instrText>
      </w:r>
      <w:r>
        <w:fldChar w:fldCharType="separate"/>
      </w:r>
      <w:r>
        <w:t xml:space="preserve">Table </w:t>
      </w:r>
      <w:r>
        <w:rPr>
          <w:noProof/>
        </w:rPr>
        <w:t>1</w:t>
      </w:r>
      <w:r>
        <w:fldChar w:fldCharType="end"/>
      </w:r>
      <w:r w:rsidRPr="006A5B16">
        <w:t>. Treatment-emergent substitutions were detected in both HCV drug targets in 23/37 (62%) genotype 1a, 1/8 (13%) genotype 1b</w:t>
      </w:r>
      <w:r w:rsidR="000566E7">
        <w:t xml:space="preserve"> and</w:t>
      </w:r>
      <w:r w:rsidRPr="006A5B16">
        <w:t xml:space="preserve"> 2/5 (40%) genotype 4</w:t>
      </w:r>
      <w:r w:rsidR="00E8714E">
        <w:t xml:space="preserve"> </w:t>
      </w:r>
      <w:r w:rsidRPr="006A5B16">
        <w:t>subjects.</w:t>
      </w:r>
    </w:p>
    <w:p w:rsidR="00BB66A1" w:rsidRDefault="00BB66A1" w:rsidP="00F42F76">
      <w:pPr>
        <w:autoSpaceDE w:val="0"/>
        <w:autoSpaceDN w:val="0"/>
        <w:adjustRightInd w:val="0"/>
        <w:jc w:val="both"/>
        <w:rPr>
          <w:b/>
          <w:bCs/>
        </w:rPr>
      </w:pPr>
    </w:p>
    <w:p w:rsidR="00BB66A1" w:rsidRPr="00BB66A1" w:rsidRDefault="00BB66A1" w:rsidP="00BB66A1">
      <w:pPr>
        <w:pStyle w:val="Caption"/>
        <w:keepNext/>
        <w:jc w:val="center"/>
        <w:rPr>
          <w:color w:val="000000"/>
        </w:rPr>
      </w:pPr>
      <w:bookmarkStart w:id="1" w:name="_Ref423005685"/>
      <w:r>
        <w:t xml:space="preserve">Table </w:t>
      </w:r>
      <w:fldSimple w:instr=" SEQ Table \* ARABIC ">
        <w:r w:rsidR="008B30DE">
          <w:rPr>
            <w:noProof/>
          </w:rPr>
          <w:t>1</w:t>
        </w:r>
      </w:fldSimple>
      <w:bookmarkEnd w:id="1"/>
      <w:r w:rsidRPr="00BB66A1">
        <w:rPr>
          <w:bCs w:val="0"/>
        </w:rPr>
        <w:t xml:space="preserve">: Treatment-Emergent Amino Acid Substitutions in the Pooled Analysis of </w:t>
      </w:r>
      <w:r w:rsidR="000D7FE6">
        <w:rPr>
          <w:bCs w:val="0"/>
        </w:rPr>
        <w:t>ZEPATIER</w:t>
      </w:r>
      <w:r w:rsidRPr="00BB66A1">
        <w:rPr>
          <w:bCs w:val="0"/>
        </w:rPr>
        <w:t xml:space="preserve"> with and without Ribavirin Regimens in Phase 2 and Phase 3 Clinical Trials</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420"/>
        <w:gridCol w:w="1485"/>
        <w:gridCol w:w="1485"/>
        <w:gridCol w:w="1485"/>
      </w:tblGrid>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jc w:val="center"/>
              <w:rPr>
                <w:b/>
                <w:color w:val="000000"/>
                <w:sz w:val="20"/>
                <w:szCs w:val="20"/>
              </w:rPr>
            </w:pPr>
            <w:r w:rsidRPr="00BB66A1">
              <w:rPr>
                <w:b/>
                <w:color w:val="000000"/>
                <w:sz w:val="20"/>
                <w:szCs w:val="20"/>
              </w:rPr>
              <w:t>Target</w:t>
            </w:r>
          </w:p>
        </w:tc>
        <w:tc>
          <w:tcPr>
            <w:tcW w:w="3420" w:type="dxa"/>
            <w:shd w:val="clear" w:color="auto" w:fill="auto"/>
          </w:tcPr>
          <w:p w:rsidR="00E8714E" w:rsidRPr="00BB66A1" w:rsidRDefault="00E8714E" w:rsidP="00E1684B">
            <w:pPr>
              <w:autoSpaceDE w:val="0"/>
              <w:autoSpaceDN w:val="0"/>
              <w:adjustRightInd w:val="0"/>
              <w:jc w:val="center"/>
              <w:rPr>
                <w:b/>
                <w:color w:val="000000"/>
                <w:sz w:val="20"/>
                <w:szCs w:val="20"/>
              </w:rPr>
            </w:pPr>
            <w:r w:rsidRPr="00BB66A1">
              <w:rPr>
                <w:b/>
                <w:color w:val="000000"/>
                <w:sz w:val="20"/>
                <w:szCs w:val="20"/>
              </w:rPr>
              <w:t>Emergent Amino Acid Substitutions</w:t>
            </w:r>
          </w:p>
        </w:tc>
        <w:tc>
          <w:tcPr>
            <w:tcW w:w="1485" w:type="dxa"/>
            <w:shd w:val="clear" w:color="auto" w:fill="auto"/>
          </w:tcPr>
          <w:p w:rsidR="00E8714E" w:rsidRPr="00BB66A1" w:rsidRDefault="00E8714E" w:rsidP="00E1684B">
            <w:pPr>
              <w:autoSpaceDE w:val="0"/>
              <w:autoSpaceDN w:val="0"/>
              <w:adjustRightInd w:val="0"/>
              <w:jc w:val="center"/>
              <w:rPr>
                <w:b/>
                <w:color w:val="000000"/>
                <w:sz w:val="20"/>
                <w:szCs w:val="20"/>
              </w:rPr>
            </w:pPr>
            <w:r w:rsidRPr="00BB66A1">
              <w:rPr>
                <w:b/>
                <w:color w:val="000000"/>
                <w:sz w:val="20"/>
                <w:szCs w:val="20"/>
              </w:rPr>
              <w:t>Genotype 1a</w:t>
            </w:r>
          </w:p>
          <w:p w:rsidR="00E8714E" w:rsidRPr="00BB66A1" w:rsidRDefault="00E8714E" w:rsidP="00E1684B">
            <w:pPr>
              <w:autoSpaceDE w:val="0"/>
              <w:autoSpaceDN w:val="0"/>
              <w:adjustRightInd w:val="0"/>
              <w:jc w:val="center"/>
              <w:rPr>
                <w:b/>
                <w:color w:val="000000"/>
                <w:sz w:val="20"/>
                <w:szCs w:val="20"/>
              </w:rPr>
            </w:pPr>
            <w:r w:rsidRPr="00BB66A1">
              <w:rPr>
                <w:b/>
                <w:color w:val="000000"/>
                <w:sz w:val="20"/>
                <w:szCs w:val="20"/>
              </w:rPr>
              <w:t>N = 37</w:t>
            </w:r>
          </w:p>
          <w:p w:rsidR="00E8714E" w:rsidRPr="00BB66A1" w:rsidRDefault="00E8714E" w:rsidP="00E1684B">
            <w:pPr>
              <w:autoSpaceDE w:val="0"/>
              <w:autoSpaceDN w:val="0"/>
              <w:adjustRightInd w:val="0"/>
              <w:jc w:val="center"/>
              <w:rPr>
                <w:b/>
                <w:color w:val="000000"/>
                <w:sz w:val="20"/>
                <w:szCs w:val="20"/>
              </w:rPr>
            </w:pPr>
            <w:r w:rsidRPr="00BB66A1">
              <w:rPr>
                <w:b/>
                <w:color w:val="000000"/>
                <w:sz w:val="20"/>
                <w:szCs w:val="20"/>
              </w:rPr>
              <w:t>% (n)</w:t>
            </w:r>
          </w:p>
        </w:tc>
        <w:tc>
          <w:tcPr>
            <w:tcW w:w="1485" w:type="dxa"/>
            <w:shd w:val="clear" w:color="auto" w:fill="auto"/>
          </w:tcPr>
          <w:p w:rsidR="00E8714E" w:rsidRPr="00BB66A1" w:rsidRDefault="00E8714E" w:rsidP="00E1684B">
            <w:pPr>
              <w:autoSpaceDE w:val="0"/>
              <w:autoSpaceDN w:val="0"/>
              <w:adjustRightInd w:val="0"/>
              <w:jc w:val="center"/>
              <w:rPr>
                <w:b/>
                <w:color w:val="000000"/>
                <w:sz w:val="20"/>
                <w:szCs w:val="20"/>
              </w:rPr>
            </w:pPr>
            <w:r w:rsidRPr="00BB66A1">
              <w:rPr>
                <w:b/>
                <w:color w:val="000000"/>
                <w:sz w:val="20"/>
                <w:szCs w:val="20"/>
              </w:rPr>
              <w:t>Genotype 1b</w:t>
            </w:r>
          </w:p>
          <w:p w:rsidR="00E8714E" w:rsidRPr="00BB66A1" w:rsidRDefault="00E8714E" w:rsidP="00E1684B">
            <w:pPr>
              <w:autoSpaceDE w:val="0"/>
              <w:autoSpaceDN w:val="0"/>
              <w:adjustRightInd w:val="0"/>
              <w:jc w:val="center"/>
              <w:rPr>
                <w:b/>
                <w:color w:val="000000"/>
                <w:sz w:val="20"/>
                <w:szCs w:val="20"/>
              </w:rPr>
            </w:pPr>
            <w:r w:rsidRPr="00BB66A1">
              <w:rPr>
                <w:b/>
                <w:color w:val="000000"/>
                <w:sz w:val="20"/>
                <w:szCs w:val="20"/>
              </w:rPr>
              <w:t>N = 8</w:t>
            </w:r>
          </w:p>
          <w:p w:rsidR="00E8714E" w:rsidRPr="00BB66A1" w:rsidRDefault="00E8714E" w:rsidP="00E1684B">
            <w:pPr>
              <w:autoSpaceDE w:val="0"/>
              <w:autoSpaceDN w:val="0"/>
              <w:adjustRightInd w:val="0"/>
              <w:jc w:val="center"/>
              <w:rPr>
                <w:b/>
                <w:color w:val="000000"/>
                <w:sz w:val="20"/>
                <w:szCs w:val="20"/>
              </w:rPr>
            </w:pPr>
            <w:r w:rsidRPr="00BB66A1">
              <w:rPr>
                <w:b/>
                <w:color w:val="000000"/>
                <w:sz w:val="20"/>
                <w:szCs w:val="20"/>
              </w:rPr>
              <w:t>% (n)</w:t>
            </w:r>
          </w:p>
        </w:tc>
        <w:tc>
          <w:tcPr>
            <w:tcW w:w="1485" w:type="dxa"/>
            <w:shd w:val="clear" w:color="auto" w:fill="auto"/>
          </w:tcPr>
          <w:p w:rsidR="00E8714E" w:rsidRPr="00BB66A1" w:rsidRDefault="00E8714E" w:rsidP="00E1684B">
            <w:pPr>
              <w:autoSpaceDE w:val="0"/>
              <w:autoSpaceDN w:val="0"/>
              <w:adjustRightInd w:val="0"/>
              <w:jc w:val="center"/>
              <w:rPr>
                <w:b/>
                <w:color w:val="000000"/>
                <w:sz w:val="20"/>
                <w:szCs w:val="20"/>
              </w:rPr>
            </w:pPr>
            <w:r w:rsidRPr="00BB66A1">
              <w:rPr>
                <w:b/>
                <w:color w:val="000000"/>
                <w:sz w:val="20"/>
                <w:szCs w:val="20"/>
              </w:rPr>
              <w:t>Genotype 4</w:t>
            </w:r>
          </w:p>
          <w:p w:rsidR="00E8714E" w:rsidRPr="00BB66A1" w:rsidRDefault="00E8714E" w:rsidP="00E1684B">
            <w:pPr>
              <w:autoSpaceDE w:val="0"/>
              <w:autoSpaceDN w:val="0"/>
              <w:adjustRightInd w:val="0"/>
              <w:jc w:val="center"/>
              <w:rPr>
                <w:b/>
                <w:color w:val="000000"/>
                <w:sz w:val="20"/>
                <w:szCs w:val="20"/>
              </w:rPr>
            </w:pPr>
            <w:r w:rsidRPr="00BB66A1">
              <w:rPr>
                <w:b/>
                <w:color w:val="000000"/>
                <w:sz w:val="20"/>
                <w:szCs w:val="20"/>
              </w:rPr>
              <w:t>N = 5</w:t>
            </w:r>
          </w:p>
          <w:p w:rsidR="00E8714E" w:rsidRPr="00BB66A1" w:rsidRDefault="00E8714E" w:rsidP="00E1684B">
            <w:pPr>
              <w:autoSpaceDE w:val="0"/>
              <w:autoSpaceDN w:val="0"/>
              <w:adjustRightInd w:val="0"/>
              <w:jc w:val="center"/>
              <w:rPr>
                <w:b/>
                <w:color w:val="000000"/>
                <w:sz w:val="20"/>
                <w:szCs w:val="20"/>
              </w:rPr>
            </w:pPr>
            <w:r w:rsidRPr="00BB66A1">
              <w:rPr>
                <w:b/>
                <w:color w:val="000000"/>
                <w:sz w:val="20"/>
                <w:szCs w:val="20"/>
              </w:rPr>
              <w:t>% (n)</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NS5A</w:t>
            </w: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 xml:space="preserve">Any of the following NS5A substitutions: M/L28A/G/T/S* Q30H/K/R/Y, L/M31F/M/I/V, H/P58D, Y93H/N/S </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81% (30)</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88% (7)</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100% (5)</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M/L28A/G/T/S</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19% (7)</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13% (1)</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60% (3)</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 xml:space="preserve">Q30H/K/Y </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14% (5)</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Q30R</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46% (17)</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L/M31M/F/I/V</w:t>
            </w:r>
            <w:r w:rsidRPr="00BB66A1">
              <w:rPr>
                <w:color w:val="000000"/>
                <w:sz w:val="20"/>
                <w:szCs w:val="20"/>
                <w:vertAlign w:val="superscript"/>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11% (4)</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25% (2)</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40% (2)</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H/P58D</w:t>
            </w:r>
            <w:r w:rsidRPr="00BB66A1">
              <w:rPr>
                <w:color w:val="000000"/>
                <w:sz w:val="20"/>
                <w:szCs w:val="20"/>
                <w:vertAlign w:val="superscript"/>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5% (3)</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20% (1)</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Y93H/N/S</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14% (5)</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63% (5)</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20% (1)</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NS3</w:t>
            </w: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Any of the following NS3 substitutions: V36L/M, Y56F/H, V107I, R155I/K, A156G/M/T/V, V158A, D168A/C/E/G/N/V/Y, V170I</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78% (29)</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25% (2)</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40% (2)</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V36L/M</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11% (4)</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Y56F/H</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14% (5)</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13% (1)</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V107I</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3% (1)</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13% (1)</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R155I/K</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5% (2)</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A156T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27% (10)</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13% (1)</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20% (1)</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A156G/V/M</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8% (3)</w:t>
            </w:r>
          </w:p>
        </w:tc>
        <w:tc>
          <w:tcPr>
            <w:tcW w:w="1485" w:type="dxa"/>
            <w:shd w:val="clear" w:color="auto" w:fill="auto"/>
          </w:tcPr>
          <w:p w:rsidR="00E8714E" w:rsidRPr="00BB66A1" w:rsidRDefault="00E8714E" w:rsidP="00E1684B">
            <w:pPr>
              <w:jc w:val="center"/>
              <w:rPr>
                <w:sz w:val="20"/>
                <w:szCs w:val="20"/>
              </w:rPr>
            </w:pPr>
            <w:r w:rsidRPr="00BB66A1">
              <w:rPr>
                <w:color w:val="000000"/>
                <w:sz w:val="20"/>
                <w:szCs w:val="20"/>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60% (3)</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V158A</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5% (2)</w:t>
            </w:r>
          </w:p>
        </w:tc>
        <w:tc>
          <w:tcPr>
            <w:tcW w:w="1485" w:type="dxa"/>
            <w:shd w:val="clear" w:color="auto" w:fill="auto"/>
          </w:tcPr>
          <w:p w:rsidR="00E8714E" w:rsidRPr="00BB66A1" w:rsidRDefault="00E8714E" w:rsidP="00E1684B">
            <w:pPr>
              <w:jc w:val="center"/>
              <w:rPr>
                <w:sz w:val="20"/>
                <w:szCs w:val="20"/>
              </w:rPr>
            </w:pPr>
            <w:r w:rsidRPr="00BB66A1">
              <w:rPr>
                <w:color w:val="000000"/>
                <w:sz w:val="20"/>
                <w:szCs w:val="20"/>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D168A</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35% (13)</w:t>
            </w:r>
          </w:p>
        </w:tc>
        <w:tc>
          <w:tcPr>
            <w:tcW w:w="1485" w:type="dxa"/>
            <w:shd w:val="clear" w:color="auto" w:fill="auto"/>
          </w:tcPr>
          <w:p w:rsidR="00E8714E" w:rsidRPr="00BB66A1" w:rsidRDefault="00E8714E" w:rsidP="00E1684B">
            <w:pPr>
              <w:jc w:val="center"/>
              <w:rPr>
                <w:sz w:val="20"/>
                <w:szCs w:val="20"/>
              </w:rPr>
            </w:pPr>
            <w:r w:rsidRPr="00BB66A1">
              <w:rPr>
                <w:color w:val="000000"/>
                <w:sz w:val="20"/>
                <w:szCs w:val="20"/>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20% (1)</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highlight w:val="yellow"/>
              </w:rPr>
            </w:pPr>
          </w:p>
        </w:tc>
        <w:tc>
          <w:tcPr>
            <w:tcW w:w="3420" w:type="dxa"/>
            <w:shd w:val="clear" w:color="auto" w:fill="auto"/>
          </w:tcPr>
          <w:p w:rsidR="00E8714E" w:rsidRPr="00BB66A1" w:rsidRDefault="00E8714E" w:rsidP="00E1684B">
            <w:pPr>
              <w:autoSpaceDE w:val="0"/>
              <w:autoSpaceDN w:val="0"/>
              <w:adjustRightInd w:val="0"/>
              <w:rPr>
                <w:color w:val="000000"/>
                <w:sz w:val="20"/>
                <w:szCs w:val="20"/>
                <w:highlight w:val="yellow"/>
              </w:rPr>
            </w:pPr>
            <w:r w:rsidRPr="00BB66A1">
              <w:rPr>
                <w:color w:val="000000"/>
                <w:sz w:val="20"/>
                <w:szCs w:val="20"/>
              </w:rPr>
              <w:t>D168C/E/G/N/V/Y</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14% (5)</w:t>
            </w:r>
          </w:p>
        </w:tc>
        <w:tc>
          <w:tcPr>
            <w:tcW w:w="1485" w:type="dxa"/>
            <w:shd w:val="clear" w:color="auto" w:fill="auto"/>
          </w:tcPr>
          <w:p w:rsidR="00E8714E" w:rsidRPr="00BB66A1" w:rsidRDefault="00E8714E" w:rsidP="00E1684B">
            <w:pPr>
              <w:jc w:val="center"/>
              <w:rPr>
                <w:sz w:val="20"/>
                <w:szCs w:val="20"/>
              </w:rPr>
            </w:pPr>
            <w:r w:rsidRPr="00BB66A1">
              <w:rPr>
                <w:color w:val="000000"/>
                <w:sz w:val="20"/>
                <w:szCs w:val="20"/>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20% (1)</w:t>
            </w:r>
          </w:p>
        </w:tc>
      </w:tr>
      <w:tr w:rsidR="00E8714E" w:rsidRPr="00BB66A1" w:rsidTr="00E8714E">
        <w:trPr>
          <w:jc w:val="center"/>
        </w:trPr>
        <w:tc>
          <w:tcPr>
            <w:tcW w:w="900" w:type="dxa"/>
            <w:shd w:val="clear" w:color="auto" w:fill="auto"/>
          </w:tcPr>
          <w:p w:rsidR="00E8714E" w:rsidRPr="00BB66A1" w:rsidRDefault="00E8714E" w:rsidP="00E1684B">
            <w:pPr>
              <w:autoSpaceDE w:val="0"/>
              <w:autoSpaceDN w:val="0"/>
              <w:adjustRightInd w:val="0"/>
              <w:rPr>
                <w:color w:val="000000"/>
                <w:sz w:val="20"/>
                <w:szCs w:val="20"/>
              </w:rPr>
            </w:pPr>
          </w:p>
        </w:tc>
        <w:tc>
          <w:tcPr>
            <w:tcW w:w="3420" w:type="dxa"/>
            <w:shd w:val="clear" w:color="auto" w:fill="auto"/>
          </w:tcPr>
          <w:p w:rsidR="00E8714E" w:rsidRPr="00BB66A1" w:rsidRDefault="00E8714E" w:rsidP="00E1684B">
            <w:pPr>
              <w:autoSpaceDE w:val="0"/>
              <w:autoSpaceDN w:val="0"/>
              <w:adjustRightInd w:val="0"/>
              <w:rPr>
                <w:color w:val="000000"/>
                <w:sz w:val="20"/>
                <w:szCs w:val="20"/>
              </w:rPr>
            </w:pPr>
            <w:r w:rsidRPr="00BB66A1">
              <w:rPr>
                <w:color w:val="000000"/>
                <w:sz w:val="20"/>
                <w:szCs w:val="20"/>
              </w:rPr>
              <w:t xml:space="preserve">V170I </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w:t>
            </w:r>
          </w:p>
        </w:tc>
        <w:tc>
          <w:tcPr>
            <w:tcW w:w="1485" w:type="dxa"/>
            <w:shd w:val="clear" w:color="auto" w:fill="auto"/>
          </w:tcPr>
          <w:p w:rsidR="00E8714E" w:rsidRPr="00BB66A1" w:rsidRDefault="00E8714E" w:rsidP="00E1684B">
            <w:pPr>
              <w:jc w:val="center"/>
              <w:rPr>
                <w:color w:val="000000"/>
                <w:sz w:val="20"/>
                <w:szCs w:val="20"/>
              </w:rPr>
            </w:pPr>
            <w:r w:rsidRPr="00BB66A1">
              <w:rPr>
                <w:color w:val="000000"/>
                <w:sz w:val="20"/>
                <w:szCs w:val="20"/>
              </w:rPr>
              <w:t>--</w:t>
            </w:r>
          </w:p>
        </w:tc>
        <w:tc>
          <w:tcPr>
            <w:tcW w:w="1485" w:type="dxa"/>
            <w:shd w:val="clear" w:color="auto" w:fill="auto"/>
          </w:tcPr>
          <w:p w:rsidR="00E8714E" w:rsidRPr="00BB66A1" w:rsidRDefault="00E8714E" w:rsidP="00E1684B">
            <w:pPr>
              <w:autoSpaceDE w:val="0"/>
              <w:autoSpaceDN w:val="0"/>
              <w:adjustRightInd w:val="0"/>
              <w:jc w:val="center"/>
              <w:rPr>
                <w:color w:val="000000"/>
                <w:sz w:val="20"/>
                <w:szCs w:val="20"/>
              </w:rPr>
            </w:pPr>
            <w:r w:rsidRPr="00BB66A1">
              <w:rPr>
                <w:color w:val="000000"/>
                <w:sz w:val="20"/>
                <w:szCs w:val="20"/>
              </w:rPr>
              <w:t>20% (1)</w:t>
            </w:r>
          </w:p>
        </w:tc>
      </w:tr>
    </w:tbl>
    <w:p w:rsidR="00BB66A1" w:rsidRPr="00F42F76" w:rsidRDefault="00BB66A1" w:rsidP="00F42F76">
      <w:pPr>
        <w:pStyle w:val="NoSpacing"/>
        <w:rPr>
          <w:sz w:val="18"/>
        </w:rPr>
      </w:pPr>
      <w:r w:rsidRPr="00F42F76">
        <w:rPr>
          <w:sz w:val="18"/>
        </w:rPr>
        <w:t>*Reference sequences for NS5A at amino acid 28 are M (genotype 1a)</w:t>
      </w:r>
      <w:r w:rsidR="000566E7">
        <w:rPr>
          <w:sz w:val="18"/>
        </w:rPr>
        <w:t xml:space="preserve"> and</w:t>
      </w:r>
      <w:r w:rsidRPr="00F42F76">
        <w:rPr>
          <w:sz w:val="18"/>
        </w:rPr>
        <w:t xml:space="preserve"> L (genotype 1b</w:t>
      </w:r>
      <w:r w:rsidR="000566E7">
        <w:rPr>
          <w:sz w:val="18"/>
        </w:rPr>
        <w:t xml:space="preserve"> and</w:t>
      </w:r>
      <w:r w:rsidRPr="00F42F76">
        <w:rPr>
          <w:sz w:val="18"/>
        </w:rPr>
        <w:t xml:space="preserve"> genotype 4a and 4d).</w:t>
      </w:r>
    </w:p>
    <w:p w:rsidR="00BB66A1" w:rsidRPr="00F42F76" w:rsidRDefault="00BB66A1" w:rsidP="00F42F76">
      <w:pPr>
        <w:pStyle w:val="NoSpacing"/>
        <w:rPr>
          <w:sz w:val="18"/>
        </w:rPr>
      </w:pPr>
      <w:r w:rsidRPr="00F42F76">
        <w:rPr>
          <w:sz w:val="18"/>
          <w:vertAlign w:val="superscript"/>
        </w:rPr>
        <w:t>†</w:t>
      </w:r>
      <w:r w:rsidRPr="00F42F76">
        <w:rPr>
          <w:sz w:val="18"/>
        </w:rPr>
        <w:t>Reference sequences for NS5A at amino acid 31 are L (genotype 1a</w:t>
      </w:r>
      <w:r w:rsidR="000566E7">
        <w:rPr>
          <w:sz w:val="18"/>
        </w:rPr>
        <w:t xml:space="preserve"> and</w:t>
      </w:r>
      <w:r w:rsidRPr="00F42F76">
        <w:rPr>
          <w:sz w:val="18"/>
        </w:rPr>
        <w:t xml:space="preserve"> genotype 1b) and M (genotype 4a and 4d).</w:t>
      </w:r>
    </w:p>
    <w:p w:rsidR="00BB66A1" w:rsidRPr="00F42F76" w:rsidRDefault="00BB66A1" w:rsidP="00F42F76">
      <w:pPr>
        <w:pStyle w:val="NoSpacing"/>
        <w:rPr>
          <w:sz w:val="18"/>
        </w:rPr>
      </w:pPr>
      <w:r w:rsidRPr="00F42F76">
        <w:rPr>
          <w:sz w:val="18"/>
          <w:vertAlign w:val="superscript"/>
        </w:rPr>
        <w:t>‡</w:t>
      </w:r>
      <w:r w:rsidRPr="00F42F76">
        <w:rPr>
          <w:sz w:val="18"/>
        </w:rPr>
        <w:t>Reference sequences for NS5A at amino acid 58 are H (genotype 1a)</w:t>
      </w:r>
      <w:r w:rsidR="000566E7">
        <w:rPr>
          <w:sz w:val="18"/>
        </w:rPr>
        <w:t xml:space="preserve"> and</w:t>
      </w:r>
      <w:r w:rsidRPr="00F42F76">
        <w:rPr>
          <w:sz w:val="18"/>
        </w:rPr>
        <w:t xml:space="preserve"> P (genotype 1b</w:t>
      </w:r>
      <w:r w:rsidR="000566E7">
        <w:rPr>
          <w:sz w:val="18"/>
        </w:rPr>
        <w:t xml:space="preserve"> and</w:t>
      </w:r>
      <w:r w:rsidRPr="00F42F76">
        <w:rPr>
          <w:sz w:val="18"/>
        </w:rPr>
        <w:t xml:space="preserve"> genotype 4a and 4d).</w:t>
      </w:r>
    </w:p>
    <w:p w:rsidR="00BB66A1" w:rsidRDefault="00BB66A1" w:rsidP="00BB66A1">
      <w:pPr>
        <w:autoSpaceDE w:val="0"/>
        <w:autoSpaceDN w:val="0"/>
        <w:adjustRightInd w:val="0"/>
        <w:rPr>
          <w:color w:val="000000"/>
          <w:szCs w:val="18"/>
          <w:u w:val="single"/>
        </w:rPr>
      </w:pPr>
    </w:p>
    <w:p w:rsidR="00BB66A1" w:rsidRPr="007B2179" w:rsidRDefault="00BB66A1" w:rsidP="00BB66A1">
      <w:r w:rsidRPr="007B2179">
        <w:t>In a</w:t>
      </w:r>
      <w:r>
        <w:t xml:space="preserve">n analysis of genotype 3 subjects treated with </w:t>
      </w:r>
      <w:r w:rsidR="000D7FE6">
        <w:t>ZEPATIER</w:t>
      </w:r>
      <w:r>
        <w:t xml:space="preserve"> and </w:t>
      </w:r>
      <w:proofErr w:type="spellStart"/>
      <w:r>
        <w:t>sofosbuvir</w:t>
      </w:r>
      <w:proofErr w:type="spellEnd"/>
      <w:r>
        <w:t xml:space="preserve"> for 12 weeks in a Phase 2</w:t>
      </w:r>
      <w:r w:rsidRPr="007B2179">
        <w:t xml:space="preserve"> clinical </w:t>
      </w:r>
      <w:r>
        <w:t xml:space="preserve">study, one subject experienced relapse. </w:t>
      </w:r>
      <w:r w:rsidRPr="007B2179">
        <w:t>This subject had</w:t>
      </w:r>
      <w:r>
        <w:t xml:space="preserve"> a treatment-emergent NS5A Y93H substitution.</w:t>
      </w:r>
    </w:p>
    <w:p w:rsidR="00BB66A1" w:rsidRDefault="00BB66A1" w:rsidP="00BB66A1">
      <w:pPr>
        <w:pStyle w:val="Heading3"/>
      </w:pPr>
      <w:r w:rsidRPr="00DC3B91">
        <w:rPr>
          <w:i/>
        </w:rPr>
        <w:t>In</w:t>
      </w:r>
      <w:r>
        <w:rPr>
          <w:i/>
        </w:rPr>
        <w:t xml:space="preserve"> </w:t>
      </w:r>
      <w:r w:rsidRPr="00DC3B91">
        <w:rPr>
          <w:i/>
        </w:rPr>
        <w:t>Vitro</w:t>
      </w:r>
      <w:r>
        <w:t xml:space="preserve"> </w:t>
      </w:r>
      <w:r w:rsidRPr="001D75F1">
        <w:t xml:space="preserve">Cross Resistance </w:t>
      </w:r>
    </w:p>
    <w:p w:rsidR="00DD24BA" w:rsidRPr="005F4056" w:rsidRDefault="00DD24BA" w:rsidP="00DD24BA">
      <w:proofErr w:type="spellStart"/>
      <w:r w:rsidRPr="00410B29">
        <w:t>Elbasvir</w:t>
      </w:r>
      <w:proofErr w:type="spellEnd"/>
      <w:r w:rsidRPr="00410B29">
        <w:t xml:space="preserve"> is active </w:t>
      </w:r>
      <w:r w:rsidRPr="00C4749A">
        <w:rPr>
          <w:i/>
        </w:rPr>
        <w:t>in vitro</w:t>
      </w:r>
      <w:r w:rsidRPr="00410B29">
        <w:t xml:space="preserve"> against </w:t>
      </w:r>
      <w:r w:rsidRPr="003F7B0E">
        <w:t xml:space="preserve">genotype 1a NS5A </w:t>
      </w:r>
      <w:r w:rsidRPr="007A365F">
        <w:t>substitutions, M28V</w:t>
      </w:r>
      <w:r>
        <w:t xml:space="preserve"> </w:t>
      </w:r>
      <w:r w:rsidRPr="007A365F">
        <w:t>and Q30L</w:t>
      </w:r>
      <w:r>
        <w:t>,</w:t>
      </w:r>
      <w:r w:rsidRPr="007A365F">
        <w:t xml:space="preserve"> genotype 1b substitutions, L28M/V, R30Q, L31V, Y93C</w:t>
      </w:r>
      <w:r w:rsidRPr="00410B29">
        <w:t xml:space="preserve">, </w:t>
      </w:r>
      <w:r w:rsidRPr="00CB0000">
        <w:t xml:space="preserve">and genotype 4 substitution, M31V </w:t>
      </w:r>
      <w:r w:rsidRPr="00410B29">
        <w:t xml:space="preserve">which confer resistance </w:t>
      </w:r>
      <w:r w:rsidRPr="00E11AD3">
        <w:t xml:space="preserve">to other NS5A inhibitors. In general, other NS5A substitutions conferring resistance to NS5A inhibitors may also confer resistance to </w:t>
      </w:r>
      <w:proofErr w:type="spellStart"/>
      <w:r w:rsidRPr="00E11AD3">
        <w:t>elbasvir</w:t>
      </w:r>
      <w:proofErr w:type="spellEnd"/>
      <w:r w:rsidRPr="00E11AD3">
        <w:t xml:space="preserve">. NS5A substitutions conferring resistance to </w:t>
      </w:r>
      <w:proofErr w:type="spellStart"/>
      <w:r w:rsidRPr="00E11AD3">
        <w:t>elbasvir</w:t>
      </w:r>
      <w:proofErr w:type="spellEnd"/>
      <w:r w:rsidRPr="00E11AD3">
        <w:t xml:space="preserve"> may reduce the antiv</w:t>
      </w:r>
      <w:r w:rsidRPr="00410B29">
        <w:t>iral act</w:t>
      </w:r>
      <w:r>
        <w:t>ivity of other NS5A inhibitors.</w:t>
      </w:r>
      <w:r w:rsidRPr="00410B29">
        <w:t xml:space="preserve"> </w:t>
      </w:r>
      <w:proofErr w:type="spellStart"/>
      <w:r w:rsidRPr="00410B29">
        <w:t>Elbasvir</w:t>
      </w:r>
      <w:proofErr w:type="spellEnd"/>
      <w:r w:rsidRPr="00410B29">
        <w:t xml:space="preserve"> is fully active against substitutions conferring resistance to NS3/4A protease inhibitors. </w:t>
      </w:r>
    </w:p>
    <w:p w:rsidR="00BB66A1" w:rsidRPr="007A365F" w:rsidRDefault="00BB66A1" w:rsidP="00BB66A1">
      <w:proofErr w:type="spellStart"/>
      <w:r w:rsidRPr="00410B29">
        <w:t>Grazoprevir</w:t>
      </w:r>
      <w:proofErr w:type="spellEnd"/>
      <w:r w:rsidRPr="00410B29">
        <w:t xml:space="preserve"> is active </w:t>
      </w:r>
      <w:r w:rsidRPr="00410B29">
        <w:rPr>
          <w:i/>
        </w:rPr>
        <w:t>in vitro</w:t>
      </w:r>
      <w:r w:rsidRPr="00410B29">
        <w:t xml:space="preserve"> against the following </w:t>
      </w:r>
      <w:r w:rsidRPr="003F7B0E">
        <w:t xml:space="preserve">genotype 1a </w:t>
      </w:r>
      <w:r>
        <w:t xml:space="preserve">NS3 </w:t>
      </w:r>
      <w:r w:rsidRPr="00410B29">
        <w:t xml:space="preserve">substitutions </w:t>
      </w:r>
      <w:r>
        <w:t xml:space="preserve">which </w:t>
      </w:r>
      <w:r w:rsidRPr="00410B29">
        <w:t xml:space="preserve">confer resistance to other NS3/4A protease inhibitors: </w:t>
      </w:r>
      <w:r w:rsidRPr="003F7B0E">
        <w:t>V36A/</w:t>
      </w:r>
      <w:r w:rsidRPr="007A365F">
        <w:t>L/M, Q41R, F43L, T54A/S, V55A/I, Y56F, Q80K/R</w:t>
      </w:r>
      <w:r w:rsidRPr="00410B29">
        <w:t>, V107I,</w:t>
      </w:r>
      <w:r w:rsidRPr="003F7B0E">
        <w:t xml:space="preserve"> S122A/G/R/T, I132V, </w:t>
      </w:r>
      <w:r w:rsidRPr="007A365F">
        <w:t>R15</w:t>
      </w:r>
      <w:r>
        <w:t xml:space="preserve">5K, A156S, D168N/S, I170T/V. </w:t>
      </w:r>
      <w:proofErr w:type="spellStart"/>
      <w:r w:rsidRPr="003F7B0E">
        <w:t>Grazoprevir</w:t>
      </w:r>
      <w:proofErr w:type="spellEnd"/>
      <w:r w:rsidRPr="003F7B0E">
        <w:t xml:space="preserve"> is active </w:t>
      </w:r>
      <w:r w:rsidRPr="007A365F">
        <w:rPr>
          <w:i/>
        </w:rPr>
        <w:t>in vitro</w:t>
      </w:r>
      <w:r w:rsidRPr="00410B29">
        <w:t xml:space="preserve"> against the following genotype</w:t>
      </w:r>
      <w:r>
        <w:t xml:space="preserve"> </w:t>
      </w:r>
      <w:r w:rsidRPr="00410B29">
        <w:t xml:space="preserve">1b </w:t>
      </w:r>
      <w:r>
        <w:t xml:space="preserve">NS3 </w:t>
      </w:r>
      <w:r w:rsidRPr="00410B29">
        <w:t xml:space="preserve">substitutions conferring resistance to other NS3/4A protease inhibitors: V36A/I/L/M, Q41L/R, F43S, T54A/C/G/S, V55A/I, Y56F, Q80L/R, V107I, S122A/G/R, R155E/K/N/Q/S, </w:t>
      </w:r>
      <w:r>
        <w:t xml:space="preserve">A156G/S, D168E/N/S, V170A/I/T. </w:t>
      </w:r>
      <w:r w:rsidRPr="00410B29">
        <w:t xml:space="preserve">Some NS3 substitutions at A156 and at D168 confer reduced antiviral activity to </w:t>
      </w:r>
      <w:proofErr w:type="spellStart"/>
      <w:r w:rsidRPr="00410B29">
        <w:t>grazoprevir</w:t>
      </w:r>
      <w:proofErr w:type="spellEnd"/>
      <w:r w:rsidRPr="00410B29">
        <w:t xml:space="preserve"> as well as to other NS3/4A </w:t>
      </w:r>
      <w:r>
        <w:t xml:space="preserve">protease </w:t>
      </w:r>
      <w:r w:rsidRPr="00410B29">
        <w:t>inhibitors.</w:t>
      </w:r>
      <w:r w:rsidRPr="003F7B0E">
        <w:t xml:space="preserve"> </w:t>
      </w:r>
      <w:proofErr w:type="spellStart"/>
      <w:r w:rsidRPr="003F7B0E">
        <w:t>Grazoprevir</w:t>
      </w:r>
      <w:proofErr w:type="spellEnd"/>
      <w:r w:rsidRPr="003F7B0E">
        <w:t xml:space="preserve"> is fully active against resis</w:t>
      </w:r>
      <w:r w:rsidRPr="007A365F">
        <w:t xml:space="preserve">tance-associated variants selected by NS5A inhibitors. </w:t>
      </w:r>
    </w:p>
    <w:p w:rsidR="00BB66A1" w:rsidRDefault="00BB66A1" w:rsidP="00BB66A1">
      <w:r w:rsidRPr="005F4056">
        <w:t xml:space="preserve">The substitutions associated with resistance to </w:t>
      </w:r>
      <w:r>
        <w:t xml:space="preserve">NS5B inhibitors </w:t>
      </w:r>
      <w:r w:rsidRPr="005F4056">
        <w:t>are susceptible to</w:t>
      </w:r>
      <w:r w:rsidR="00DD24BA">
        <w:t xml:space="preserve"> </w:t>
      </w:r>
      <w:proofErr w:type="spellStart"/>
      <w:r w:rsidR="00DD24BA">
        <w:t>elbasvir</w:t>
      </w:r>
      <w:proofErr w:type="spellEnd"/>
      <w:r w:rsidR="00DD24BA">
        <w:t xml:space="preserve"> </w:t>
      </w:r>
      <w:proofErr w:type="gramStart"/>
      <w:r w:rsidR="00DD24BA">
        <w:t xml:space="preserve">or </w:t>
      </w:r>
      <w:r w:rsidRPr="005F4056">
        <w:t xml:space="preserve"> </w:t>
      </w:r>
      <w:proofErr w:type="spellStart"/>
      <w:r>
        <w:t>grazoprevir</w:t>
      </w:r>
      <w:proofErr w:type="spellEnd"/>
      <w:proofErr w:type="gramEnd"/>
      <w:r w:rsidRPr="005F4056">
        <w:t xml:space="preserve">. </w:t>
      </w:r>
    </w:p>
    <w:p w:rsidR="00BB66A1" w:rsidRPr="001D75F1" w:rsidRDefault="00BB66A1" w:rsidP="00BB66A1">
      <w:pPr>
        <w:pStyle w:val="Heading3"/>
      </w:pPr>
      <w:r w:rsidRPr="001D75F1">
        <w:t xml:space="preserve">Persistence of Resistance-Associated Substitutions </w:t>
      </w:r>
    </w:p>
    <w:p w:rsidR="00BB66A1" w:rsidRPr="000D1C78" w:rsidRDefault="00BB66A1" w:rsidP="00BB66A1">
      <w:r w:rsidRPr="00EA7FF9">
        <w:t xml:space="preserve">The persistence of </w:t>
      </w:r>
      <w:proofErr w:type="spellStart"/>
      <w:r w:rsidR="00DD24BA">
        <w:t>elbasvir</w:t>
      </w:r>
      <w:proofErr w:type="spellEnd"/>
      <w:r w:rsidR="00DD24BA" w:rsidRPr="00EA7FF9">
        <w:t xml:space="preserve"> </w:t>
      </w:r>
      <w:r w:rsidR="00DD24BA">
        <w:t xml:space="preserve">and </w:t>
      </w:r>
      <w:proofErr w:type="spellStart"/>
      <w:r>
        <w:t>grazoprevir</w:t>
      </w:r>
      <w:proofErr w:type="spellEnd"/>
      <w:r>
        <w:t xml:space="preserve"> </w:t>
      </w:r>
      <w:r w:rsidRPr="00EA7FF9">
        <w:t xml:space="preserve">treatment-emergent amino acid substitutions in </w:t>
      </w:r>
      <w:r w:rsidR="00DD24BA">
        <w:t>NS5</w:t>
      </w:r>
      <w:r w:rsidR="00792A5E">
        <w:t>A</w:t>
      </w:r>
      <w:r w:rsidR="00DD24BA">
        <w:t xml:space="preserve"> and </w:t>
      </w:r>
      <w:r w:rsidRPr="00C80D83">
        <w:t>NS3</w:t>
      </w:r>
      <w:r w:rsidR="00DD24BA" w:rsidRPr="00C80D83">
        <w:t xml:space="preserve"> </w:t>
      </w:r>
      <w:proofErr w:type="gramStart"/>
      <w:r w:rsidRPr="00C80D83">
        <w:t>respectively,</w:t>
      </w:r>
      <w:proofErr w:type="gramEnd"/>
      <w:r w:rsidRPr="00C80D83">
        <w:t xml:space="preserve"> was assessed</w:t>
      </w:r>
      <w:r w:rsidR="00DD24BA" w:rsidRPr="00C80D83">
        <w:t xml:space="preserve"> </w:t>
      </w:r>
      <w:r w:rsidRPr="00C80D83">
        <w:t xml:space="preserve">in genotype 1-infected subjects in Phase 2 and 3 </w:t>
      </w:r>
      <w:r w:rsidRPr="00017F03">
        <w:t>trials whose virus had treatment-emergent resistance-associated substitution in the drug target</w:t>
      </w:r>
      <w:r w:rsidR="00C80D83" w:rsidRPr="009817CA">
        <w:t xml:space="preserve"> </w:t>
      </w:r>
      <w:r w:rsidR="001A47F2">
        <w:t xml:space="preserve">and </w:t>
      </w:r>
      <w:r w:rsidR="00C80D83" w:rsidRPr="00C80D83">
        <w:t>with available data through at least 24 weeks post-treatment</w:t>
      </w:r>
      <w:r w:rsidRPr="00C80D83">
        <w:t>.</w:t>
      </w:r>
      <w:r>
        <w:t xml:space="preserve"> </w:t>
      </w:r>
    </w:p>
    <w:p w:rsidR="00DD24BA" w:rsidRDefault="00DD24BA" w:rsidP="00DD24BA">
      <w:pPr>
        <w:rPr>
          <w:szCs w:val="18"/>
        </w:rPr>
      </w:pPr>
      <w:r w:rsidRPr="00FC2F17">
        <w:rPr>
          <w:szCs w:val="18"/>
        </w:rPr>
        <w:t>Treatment</w:t>
      </w:r>
      <w:r>
        <w:rPr>
          <w:szCs w:val="18"/>
        </w:rPr>
        <w:t>-</w:t>
      </w:r>
      <w:r w:rsidRPr="00FC2F17">
        <w:rPr>
          <w:szCs w:val="18"/>
        </w:rPr>
        <w:t xml:space="preserve">emergent NS5A </w:t>
      </w:r>
      <w:r>
        <w:rPr>
          <w:szCs w:val="18"/>
        </w:rPr>
        <w:t xml:space="preserve">resistance-associated substitutions </w:t>
      </w:r>
      <w:r w:rsidRPr="00FC2F17">
        <w:rPr>
          <w:szCs w:val="18"/>
        </w:rPr>
        <w:t>were generally more persistent</w:t>
      </w:r>
      <w:r>
        <w:rPr>
          <w:szCs w:val="18"/>
        </w:rPr>
        <w:t xml:space="preserve"> than NS3 resistance-associated substitutions</w:t>
      </w:r>
      <w:r w:rsidRPr="00FC2F17">
        <w:rPr>
          <w:szCs w:val="18"/>
        </w:rPr>
        <w:t xml:space="preserve">. Among </w:t>
      </w:r>
      <w:r>
        <w:rPr>
          <w:szCs w:val="18"/>
        </w:rPr>
        <w:t xml:space="preserve">genotype </w:t>
      </w:r>
      <w:r w:rsidRPr="00FC2F17">
        <w:rPr>
          <w:szCs w:val="18"/>
        </w:rPr>
        <w:t xml:space="preserve">1-infected subjects who had one or more treatment-emergent NS5A </w:t>
      </w:r>
      <w:r>
        <w:rPr>
          <w:szCs w:val="18"/>
        </w:rPr>
        <w:t>resistance-associated substitutions</w:t>
      </w:r>
      <w:r w:rsidRPr="00FC2F17">
        <w:rPr>
          <w:szCs w:val="18"/>
        </w:rPr>
        <w:t xml:space="preserve">, these </w:t>
      </w:r>
      <w:r>
        <w:rPr>
          <w:szCs w:val="18"/>
        </w:rPr>
        <w:t xml:space="preserve">substitutions </w:t>
      </w:r>
      <w:r w:rsidRPr="00FC2F17">
        <w:rPr>
          <w:szCs w:val="18"/>
        </w:rPr>
        <w:lastRenderedPageBreak/>
        <w:t xml:space="preserve">became undetectable at </w:t>
      </w:r>
      <w:r>
        <w:rPr>
          <w:szCs w:val="18"/>
        </w:rPr>
        <w:t xml:space="preserve">follow-up week </w:t>
      </w:r>
      <w:r w:rsidRPr="00FC2F17">
        <w:rPr>
          <w:szCs w:val="18"/>
        </w:rPr>
        <w:t xml:space="preserve">12 in only </w:t>
      </w:r>
      <w:r>
        <w:rPr>
          <w:szCs w:val="18"/>
        </w:rPr>
        <w:t xml:space="preserve">5% (2/44) </w:t>
      </w:r>
      <w:r w:rsidRPr="00FC2F17">
        <w:rPr>
          <w:szCs w:val="18"/>
        </w:rPr>
        <w:t>of subjects</w:t>
      </w:r>
      <w:r>
        <w:rPr>
          <w:szCs w:val="18"/>
        </w:rPr>
        <w:t xml:space="preserve"> and 0% (0/12) of subjects with follow-up week 24 data</w:t>
      </w:r>
      <w:r w:rsidRPr="00FC2F17">
        <w:rPr>
          <w:szCs w:val="18"/>
        </w:rPr>
        <w:t>. </w:t>
      </w:r>
    </w:p>
    <w:p w:rsidR="00BB66A1" w:rsidRPr="00FC2F17" w:rsidRDefault="00BB66A1" w:rsidP="00BB66A1">
      <w:pPr>
        <w:rPr>
          <w:szCs w:val="18"/>
        </w:rPr>
      </w:pPr>
      <w:r w:rsidRPr="00FC2F17">
        <w:rPr>
          <w:szCs w:val="18"/>
        </w:rPr>
        <w:t xml:space="preserve">Among </w:t>
      </w:r>
      <w:r>
        <w:rPr>
          <w:szCs w:val="18"/>
        </w:rPr>
        <w:t>genotype 1</w:t>
      </w:r>
      <w:r w:rsidRPr="00FC2F17">
        <w:rPr>
          <w:szCs w:val="18"/>
        </w:rPr>
        <w:t xml:space="preserve">-infected subjects </w:t>
      </w:r>
      <w:r>
        <w:rPr>
          <w:szCs w:val="18"/>
        </w:rPr>
        <w:t>with</w:t>
      </w:r>
      <w:r w:rsidRPr="00FC2F17">
        <w:rPr>
          <w:szCs w:val="18"/>
        </w:rPr>
        <w:t xml:space="preserve"> </w:t>
      </w:r>
      <w:r>
        <w:rPr>
          <w:szCs w:val="18"/>
        </w:rPr>
        <w:t>treatment-emergent NS3</w:t>
      </w:r>
      <w:r w:rsidRPr="00FC2F17">
        <w:rPr>
          <w:szCs w:val="18"/>
        </w:rPr>
        <w:t xml:space="preserve"> </w:t>
      </w:r>
      <w:r>
        <w:rPr>
          <w:szCs w:val="18"/>
        </w:rPr>
        <w:t xml:space="preserve">resistance-associated substitutions, </w:t>
      </w:r>
      <w:r w:rsidRPr="00FC2F17">
        <w:rPr>
          <w:szCs w:val="18"/>
        </w:rPr>
        <w:t xml:space="preserve">these </w:t>
      </w:r>
      <w:r>
        <w:rPr>
          <w:szCs w:val="18"/>
        </w:rPr>
        <w:t xml:space="preserve">substitutions </w:t>
      </w:r>
      <w:r w:rsidRPr="00FC2F17">
        <w:rPr>
          <w:szCs w:val="18"/>
        </w:rPr>
        <w:t xml:space="preserve">became undetectable at </w:t>
      </w:r>
      <w:r>
        <w:rPr>
          <w:szCs w:val="18"/>
        </w:rPr>
        <w:t>follow-up week 24</w:t>
      </w:r>
      <w:r w:rsidRPr="00FC2F17">
        <w:rPr>
          <w:szCs w:val="18"/>
        </w:rPr>
        <w:t xml:space="preserve"> </w:t>
      </w:r>
      <w:r w:rsidRPr="00BD79B5">
        <w:rPr>
          <w:szCs w:val="18"/>
        </w:rPr>
        <w:t xml:space="preserve">in </w:t>
      </w:r>
      <w:r>
        <w:rPr>
          <w:szCs w:val="18"/>
        </w:rPr>
        <w:t>67% (</w:t>
      </w:r>
      <w:r w:rsidRPr="00BD79B5">
        <w:rPr>
          <w:szCs w:val="18"/>
        </w:rPr>
        <w:t>10/15</w:t>
      </w:r>
      <w:r>
        <w:rPr>
          <w:szCs w:val="18"/>
        </w:rPr>
        <w:t>)</w:t>
      </w:r>
      <w:r w:rsidRPr="00BD79B5">
        <w:rPr>
          <w:szCs w:val="18"/>
        </w:rPr>
        <w:t xml:space="preserve"> </w:t>
      </w:r>
      <w:r w:rsidRPr="00A9379A">
        <w:rPr>
          <w:szCs w:val="18"/>
        </w:rPr>
        <w:t>o</w:t>
      </w:r>
      <w:r>
        <w:rPr>
          <w:szCs w:val="18"/>
        </w:rPr>
        <w:t xml:space="preserve">f subjects </w:t>
      </w:r>
      <w:r w:rsidRPr="00FC2F17">
        <w:rPr>
          <w:szCs w:val="18"/>
        </w:rPr>
        <w:t xml:space="preserve">based on population sequencing. </w:t>
      </w:r>
    </w:p>
    <w:p w:rsidR="00BB66A1" w:rsidRPr="001D6840" w:rsidRDefault="00BB66A1" w:rsidP="00BB66A1">
      <w:r w:rsidRPr="00EA7FF9">
        <w:t xml:space="preserve">Due to </w:t>
      </w:r>
      <w:r>
        <w:t xml:space="preserve">the limited number of </w:t>
      </w:r>
      <w:r>
        <w:rPr>
          <w:szCs w:val="18"/>
        </w:rPr>
        <w:t>genotype 3-</w:t>
      </w:r>
      <w:r w:rsidR="000566E7">
        <w:rPr>
          <w:szCs w:val="18"/>
        </w:rPr>
        <w:t xml:space="preserve"> and</w:t>
      </w:r>
      <w:r>
        <w:rPr>
          <w:szCs w:val="18"/>
        </w:rPr>
        <w:t xml:space="preserve"> </w:t>
      </w:r>
      <w:r w:rsidRPr="00FC2F17">
        <w:rPr>
          <w:szCs w:val="18"/>
        </w:rPr>
        <w:t>4</w:t>
      </w:r>
      <w:r>
        <w:rPr>
          <w:szCs w:val="18"/>
        </w:rPr>
        <w:t>-infected subjects</w:t>
      </w:r>
      <w:r w:rsidRPr="00E24D76">
        <w:t xml:space="preserve"> </w:t>
      </w:r>
      <w:r>
        <w:t xml:space="preserve">with treatment-emergent </w:t>
      </w:r>
      <w:r w:rsidR="00DD24BA">
        <w:t xml:space="preserve">NS5A and </w:t>
      </w:r>
      <w:r w:rsidRPr="00FC2F17">
        <w:rPr>
          <w:szCs w:val="18"/>
        </w:rPr>
        <w:t>NS</w:t>
      </w:r>
      <w:r>
        <w:rPr>
          <w:szCs w:val="18"/>
        </w:rPr>
        <w:t xml:space="preserve">3 resistance-associated substitutions, </w:t>
      </w:r>
      <w:r w:rsidRPr="00AF0462">
        <w:t xml:space="preserve">trends in persistence of treatment-emergent substitutions in </w:t>
      </w:r>
      <w:r>
        <w:t>these</w:t>
      </w:r>
      <w:r w:rsidRPr="00AF0462">
        <w:t xml:space="preserve"> genotype</w:t>
      </w:r>
      <w:r>
        <w:t>s</w:t>
      </w:r>
      <w:r w:rsidRPr="00AF0462">
        <w:t xml:space="preserve"> could not be established.</w:t>
      </w:r>
      <w:r w:rsidRPr="00FC2F17">
        <w:rPr>
          <w:szCs w:val="18"/>
        </w:rPr>
        <w:t xml:space="preserve"> </w:t>
      </w:r>
    </w:p>
    <w:p w:rsidR="00BB66A1" w:rsidRPr="0051413A" w:rsidRDefault="00BB66A1" w:rsidP="00BB66A1">
      <w:pPr>
        <w:pStyle w:val="Heading3"/>
      </w:pPr>
      <w:r w:rsidRPr="0051413A">
        <w:t xml:space="preserve">Effect of Baseline HCV Polymorphisms on Treatment Response </w:t>
      </w:r>
    </w:p>
    <w:p w:rsidR="00BB66A1" w:rsidRDefault="00BB66A1" w:rsidP="00BB66A1">
      <w:pPr>
        <w:rPr>
          <w:i/>
          <w:iCs/>
        </w:rPr>
      </w:pPr>
      <w:r w:rsidRPr="0084036D">
        <w:t>Analy</w:t>
      </w:r>
      <w:r w:rsidRPr="00E11AD3">
        <w:t>s</w:t>
      </w:r>
      <w:r w:rsidRPr="00E11AD3">
        <w:rPr>
          <w:szCs w:val="20"/>
        </w:rPr>
        <w:t xml:space="preserve">es in Phase 2 and 3 clinical studies of </w:t>
      </w:r>
      <w:r w:rsidR="000D7FE6">
        <w:rPr>
          <w:szCs w:val="20"/>
        </w:rPr>
        <w:t>ZEPATIER</w:t>
      </w:r>
      <w:r w:rsidRPr="00E11AD3">
        <w:rPr>
          <w:szCs w:val="20"/>
        </w:rPr>
        <w:t>, or</w:t>
      </w:r>
      <w:r w:rsidR="00D93263">
        <w:rPr>
          <w:szCs w:val="20"/>
        </w:rPr>
        <w:t xml:space="preserve"> </w:t>
      </w:r>
      <w:proofErr w:type="spellStart"/>
      <w:r w:rsidR="00D93263">
        <w:rPr>
          <w:szCs w:val="20"/>
        </w:rPr>
        <w:t>elbasvir</w:t>
      </w:r>
      <w:proofErr w:type="spellEnd"/>
      <w:r w:rsidR="00D93263">
        <w:rPr>
          <w:szCs w:val="20"/>
        </w:rPr>
        <w:t xml:space="preserve"> +</w:t>
      </w:r>
      <w:r w:rsidRPr="00E11AD3">
        <w:rPr>
          <w:szCs w:val="20"/>
        </w:rPr>
        <w:t xml:space="preserve"> </w:t>
      </w:r>
      <w:proofErr w:type="spellStart"/>
      <w:r w:rsidRPr="00E11AD3">
        <w:rPr>
          <w:szCs w:val="20"/>
        </w:rPr>
        <w:t>grazoprevir</w:t>
      </w:r>
      <w:proofErr w:type="spellEnd"/>
      <w:r w:rsidRPr="00E11AD3">
        <w:rPr>
          <w:szCs w:val="20"/>
        </w:rPr>
        <w:t>, w</w:t>
      </w:r>
      <w:r w:rsidRPr="008E12E3">
        <w:rPr>
          <w:szCs w:val="20"/>
        </w:rPr>
        <w:t xml:space="preserve">ith or without ribavirin </w:t>
      </w:r>
      <w:r w:rsidRPr="0084036D">
        <w:t xml:space="preserve">were conducted to explore the association between baseline </w:t>
      </w:r>
      <w:r w:rsidR="00D93263">
        <w:t xml:space="preserve">NS5A and/or </w:t>
      </w:r>
      <w:r w:rsidRPr="0084036D">
        <w:t>NS3 polymorphisms and treatment response</w:t>
      </w:r>
      <w:r>
        <w:t xml:space="preserve"> among subjects who achieved SVR or experienced </w:t>
      </w:r>
      <w:proofErr w:type="spellStart"/>
      <w:r>
        <w:t>virologic</w:t>
      </w:r>
      <w:proofErr w:type="spellEnd"/>
      <w:r>
        <w:t xml:space="preserve"> failure (</w:t>
      </w:r>
      <w:r w:rsidRPr="0077153C">
        <w:rPr>
          <w:i/>
        </w:rPr>
        <w:t xml:space="preserve">see </w:t>
      </w:r>
      <w:r>
        <w:rPr>
          <w:i/>
        </w:rPr>
        <w:t xml:space="preserve">CLINICAL </w:t>
      </w:r>
      <w:proofErr w:type="gramStart"/>
      <w:r>
        <w:rPr>
          <w:i/>
        </w:rPr>
        <w:t>TRIALS</w:t>
      </w:r>
      <w:r w:rsidRPr="0077153C">
        <w:rPr>
          <w:i/>
        </w:rPr>
        <w:t xml:space="preserve"> )</w:t>
      </w:r>
      <w:proofErr w:type="gramEnd"/>
      <w:r w:rsidRPr="0077153C">
        <w:rPr>
          <w:i/>
        </w:rPr>
        <w:t xml:space="preserve"> </w:t>
      </w:r>
      <w:r>
        <w:t>and for whom baseline sequences were available</w:t>
      </w:r>
      <w:r w:rsidRPr="0084036D">
        <w:t xml:space="preserve">. </w:t>
      </w:r>
      <w:r w:rsidRPr="009868C2">
        <w:t xml:space="preserve">Baseline NS5A polymorphism at position 28, 30, 31, 58, </w:t>
      </w:r>
      <w:r>
        <w:t xml:space="preserve">and </w:t>
      </w:r>
      <w:r w:rsidRPr="009868C2">
        <w:t>93 were evaluated</w:t>
      </w:r>
      <w:r>
        <w:t xml:space="preserve">. Compared to a reference HCV genotype 1a replicon, the following NS5A substitutions reduced </w:t>
      </w:r>
      <w:proofErr w:type="spellStart"/>
      <w:r>
        <w:t>elbasvir</w:t>
      </w:r>
      <w:proofErr w:type="spellEnd"/>
      <w:r>
        <w:t xml:space="preserve"> antiviral activity by greater than 5-fold: </w:t>
      </w:r>
      <w:r w:rsidRPr="00EB0D6A">
        <w:t>M28T/A, Q30E/H/R/G/K/D, L31M/V/F, H58D,</w:t>
      </w:r>
      <w:r>
        <w:t xml:space="preserve"> and</w:t>
      </w:r>
      <w:r w:rsidRPr="00EB0D6A">
        <w:t xml:space="preserve"> Y93C/H</w:t>
      </w:r>
      <w:r>
        <w:t>/N</w:t>
      </w:r>
      <w:r w:rsidRPr="00EB0D6A">
        <w:t>.</w:t>
      </w:r>
      <w:r w:rsidR="00D93263">
        <w:t xml:space="preserve"> Baseline NS3 polymorphisms at position </w:t>
      </w:r>
      <w:r w:rsidR="00D93263" w:rsidRPr="0042660C">
        <w:t>36, 54, 55, 56, 80, 107, 122, 132, 155, 156, 158,</w:t>
      </w:r>
      <w:r w:rsidR="00D93263">
        <w:t xml:space="preserve"> </w:t>
      </w:r>
      <w:r w:rsidR="00D93263" w:rsidRPr="0042660C">
        <w:t>168, 170</w:t>
      </w:r>
      <w:r w:rsidR="00D93263">
        <w:t>,</w:t>
      </w:r>
      <w:r w:rsidR="00D93263" w:rsidRPr="0042660C">
        <w:t xml:space="preserve"> and 175</w:t>
      </w:r>
      <w:r w:rsidR="00D93263">
        <w:t xml:space="preserve"> were evaluated.</w:t>
      </w:r>
    </w:p>
    <w:p w:rsidR="00BB66A1" w:rsidRPr="0045653A" w:rsidRDefault="00BB66A1" w:rsidP="00BB66A1">
      <w:pPr>
        <w:pStyle w:val="Heading3"/>
        <w:rPr>
          <w:rFonts w:ascii="Calibri" w:hAnsi="Calibri" w:cs="Calibri"/>
          <w:sz w:val="22"/>
        </w:rPr>
      </w:pPr>
      <w:r w:rsidRPr="0045653A">
        <w:rPr>
          <w:sz w:val="22"/>
        </w:rPr>
        <w:t>Genotype 1a</w:t>
      </w:r>
    </w:p>
    <w:p w:rsidR="00D93263" w:rsidRDefault="00D93263" w:rsidP="00D93263">
      <w:pPr>
        <w:rPr>
          <w:i/>
          <w:iCs/>
        </w:rPr>
      </w:pPr>
      <w:r>
        <w:t xml:space="preserve">In pooled analyses of genotype 1a-infected subjects, baseline NS5A polymorphisms that confer greater than 5-fold reduction of </w:t>
      </w:r>
      <w:proofErr w:type="spellStart"/>
      <w:r>
        <w:t>elbasvir</w:t>
      </w:r>
      <w:proofErr w:type="spellEnd"/>
      <w:r>
        <w:t xml:space="preserve"> antiviral activity </w:t>
      </w:r>
      <w:r>
        <w:rPr>
          <w:i/>
          <w:iCs/>
        </w:rPr>
        <w:t>in vitro</w:t>
      </w:r>
      <w:r>
        <w:t xml:space="preserve"> were identified in 6% (29/491) of treatment-naïve subjects and 8% (26/334) of treatment-experienced subjects. Among treatment-naïve subjects, SVR was achieved in 98% (432/439) of subjects without baseline NS5A polymorphisms and 55% (16/29) of subjects with baseline NS5A polymorphisms that confer greater than 5-fold reduction of </w:t>
      </w:r>
      <w:proofErr w:type="spellStart"/>
      <w:r>
        <w:t>elbasvir</w:t>
      </w:r>
      <w:proofErr w:type="spellEnd"/>
      <w:r>
        <w:t xml:space="preserve"> antiviral activity </w:t>
      </w:r>
      <w:r>
        <w:rPr>
          <w:i/>
          <w:iCs/>
        </w:rPr>
        <w:t>in vitro.</w:t>
      </w:r>
      <w:r>
        <w:t> Among</w:t>
      </w:r>
      <w:r w:rsidRPr="005E74A5">
        <w:rPr>
          <w:color w:val="000000"/>
          <w:szCs w:val="18"/>
        </w:rPr>
        <w:t xml:space="preserve"> t</w:t>
      </w:r>
      <w:r>
        <w:rPr>
          <w:color w:val="000000"/>
          <w:szCs w:val="18"/>
        </w:rPr>
        <w:t xml:space="preserve">reatment-experienced subjects, </w:t>
      </w:r>
      <w:r w:rsidRPr="005E74A5">
        <w:rPr>
          <w:color w:val="000000"/>
          <w:szCs w:val="18"/>
        </w:rPr>
        <w:t xml:space="preserve">SVR was achieved in 99% (291/295) </w:t>
      </w:r>
      <w:r>
        <w:rPr>
          <w:color w:val="000000"/>
          <w:szCs w:val="18"/>
        </w:rPr>
        <w:t xml:space="preserve">of </w:t>
      </w:r>
      <w:r w:rsidRPr="005E74A5">
        <w:rPr>
          <w:color w:val="000000"/>
          <w:szCs w:val="18"/>
        </w:rPr>
        <w:t xml:space="preserve">subjects without baseline NS5A polymorphisms </w:t>
      </w:r>
      <w:r>
        <w:rPr>
          <w:color w:val="000000"/>
          <w:szCs w:val="18"/>
        </w:rPr>
        <w:t xml:space="preserve">and </w:t>
      </w:r>
      <w:r w:rsidRPr="005E74A5">
        <w:rPr>
          <w:color w:val="000000"/>
          <w:szCs w:val="18"/>
        </w:rPr>
        <w:t xml:space="preserve">50% (13/26) of subjects with baseline NS5A polymorphisms that confer </w:t>
      </w:r>
      <w:r>
        <w:rPr>
          <w:color w:val="000000"/>
          <w:szCs w:val="18"/>
        </w:rPr>
        <w:t>greater than</w:t>
      </w:r>
      <w:r w:rsidRPr="005E74A5">
        <w:rPr>
          <w:color w:val="000000"/>
          <w:szCs w:val="18"/>
        </w:rPr>
        <w:t xml:space="preserve"> 5-fold reduction </w:t>
      </w:r>
      <w:r>
        <w:rPr>
          <w:color w:val="000000"/>
          <w:szCs w:val="18"/>
        </w:rPr>
        <w:t>of</w:t>
      </w:r>
      <w:r w:rsidRPr="005E74A5">
        <w:rPr>
          <w:color w:val="000000"/>
          <w:szCs w:val="18"/>
        </w:rPr>
        <w:t xml:space="preserve"> </w:t>
      </w:r>
      <w:proofErr w:type="spellStart"/>
      <w:r w:rsidRPr="005E74A5">
        <w:rPr>
          <w:color w:val="000000"/>
          <w:szCs w:val="18"/>
        </w:rPr>
        <w:t>elbasvir</w:t>
      </w:r>
      <w:proofErr w:type="spellEnd"/>
      <w:r w:rsidRPr="005E74A5">
        <w:rPr>
          <w:color w:val="000000"/>
          <w:szCs w:val="18"/>
        </w:rPr>
        <w:t xml:space="preserve"> </w:t>
      </w:r>
      <w:r>
        <w:rPr>
          <w:color w:val="000000"/>
          <w:szCs w:val="18"/>
        </w:rPr>
        <w:t>antiviral activity</w:t>
      </w:r>
      <w:r w:rsidRPr="005E74A5">
        <w:rPr>
          <w:color w:val="000000"/>
          <w:szCs w:val="18"/>
        </w:rPr>
        <w:t xml:space="preserve"> </w:t>
      </w:r>
      <w:r w:rsidRPr="00001B28">
        <w:rPr>
          <w:i/>
          <w:color w:val="000000"/>
          <w:szCs w:val="18"/>
        </w:rPr>
        <w:t>in vitro</w:t>
      </w:r>
      <w:r>
        <w:rPr>
          <w:i/>
          <w:color w:val="000000"/>
          <w:szCs w:val="18"/>
        </w:rPr>
        <w:t>.</w:t>
      </w:r>
      <w:r>
        <w:rPr>
          <w:i/>
          <w:iCs/>
        </w:rPr>
        <w:t xml:space="preserve"> </w:t>
      </w:r>
    </w:p>
    <w:p w:rsidR="00BB66A1" w:rsidRDefault="00BB66A1" w:rsidP="00BB66A1">
      <w:pPr>
        <w:rPr>
          <w:rFonts w:ascii="Calibri" w:hAnsi="Calibri" w:cs="Calibri"/>
        </w:rPr>
      </w:pPr>
      <w:r>
        <w:t>In pooled analyses, presence of NS3 polymorphisms, including Q80K, prior to the start of therapy did not impact treatment response among genotype 1a-infected subjects.</w:t>
      </w:r>
    </w:p>
    <w:p w:rsidR="00BB66A1" w:rsidRPr="0045653A" w:rsidRDefault="00BB66A1" w:rsidP="00BB66A1">
      <w:pPr>
        <w:pStyle w:val="Heading3"/>
        <w:rPr>
          <w:rFonts w:ascii="Calibri" w:hAnsi="Calibri" w:cs="Calibri"/>
          <w:sz w:val="22"/>
        </w:rPr>
      </w:pPr>
      <w:r w:rsidRPr="0045653A">
        <w:rPr>
          <w:sz w:val="22"/>
        </w:rPr>
        <w:t>Genotype 1b</w:t>
      </w:r>
    </w:p>
    <w:p w:rsidR="00D93263" w:rsidRPr="0045653A" w:rsidRDefault="00D93263" w:rsidP="00D93263">
      <w:r w:rsidRPr="0045653A">
        <w:t xml:space="preserve">In pooled analyses, presence of NS5A polymorphisms prior to the start of therapy did not impact treatment response among treatment-naïve genotype 1b-infected subjects. NS5A polymorphisms that confer greater than 5-fold reduction of </w:t>
      </w:r>
      <w:proofErr w:type="spellStart"/>
      <w:r w:rsidRPr="0045653A">
        <w:t>elbasvir</w:t>
      </w:r>
      <w:proofErr w:type="spellEnd"/>
      <w:r w:rsidRPr="0045653A">
        <w:t xml:space="preserve"> antiviral activity </w:t>
      </w:r>
      <w:r w:rsidRPr="0045653A">
        <w:rPr>
          <w:i/>
          <w:iCs/>
        </w:rPr>
        <w:t xml:space="preserve">in vitro </w:t>
      </w:r>
      <w:r w:rsidRPr="0045653A">
        <w:t xml:space="preserve">were detected in 14% (36/259) of treatment-experienced subjects. SVR was achieved in 100% (223/223) of subjects without baseline NS5A polymorphisms and 86% (31/36) of subjects with baseline NS5A polymorphisms that confer greater than 5-fold reduction of </w:t>
      </w:r>
      <w:proofErr w:type="spellStart"/>
      <w:r w:rsidRPr="0045653A">
        <w:t>elbasvir</w:t>
      </w:r>
      <w:proofErr w:type="spellEnd"/>
      <w:r w:rsidRPr="0045653A">
        <w:t xml:space="preserve"> antiviral activity </w:t>
      </w:r>
      <w:r w:rsidRPr="0045653A">
        <w:rPr>
          <w:i/>
          <w:iCs/>
        </w:rPr>
        <w:t>in vitro.</w:t>
      </w:r>
    </w:p>
    <w:p w:rsidR="00BB66A1" w:rsidRPr="0045653A" w:rsidRDefault="00BB66A1" w:rsidP="00BB66A1">
      <w:pPr>
        <w:rPr>
          <w:rFonts w:ascii="Calibri" w:hAnsi="Calibri" w:cs="Calibri"/>
        </w:rPr>
      </w:pPr>
      <w:r w:rsidRPr="0045653A">
        <w:t xml:space="preserve">In pooled analyses, presence of NS3 polymorphisms prior to the start of therapy did not impact treatment response among genotype 1b-infected subjects. </w:t>
      </w:r>
    </w:p>
    <w:p w:rsidR="00BB66A1" w:rsidRPr="0045653A" w:rsidRDefault="00BB66A1" w:rsidP="00BB66A1">
      <w:pPr>
        <w:pStyle w:val="Heading3"/>
        <w:rPr>
          <w:rFonts w:ascii="Calibri" w:hAnsi="Calibri" w:cs="Calibri"/>
          <w:sz w:val="22"/>
        </w:rPr>
      </w:pPr>
      <w:r w:rsidRPr="0045653A">
        <w:rPr>
          <w:sz w:val="22"/>
        </w:rPr>
        <w:t>Genotype 4</w:t>
      </w:r>
    </w:p>
    <w:p w:rsidR="00D93263" w:rsidRPr="0045653A" w:rsidRDefault="00D93263" w:rsidP="00D93263">
      <w:pPr>
        <w:rPr>
          <w:rFonts w:ascii="Calibri" w:hAnsi="Calibri" w:cs="Calibri"/>
        </w:rPr>
      </w:pPr>
      <w:r w:rsidRPr="0045653A">
        <w:t>In pooled analyses, presence of NS5A polymorphisms prior to the start of therapy did not impact treatment response among genotype 4-infected subjects.</w:t>
      </w:r>
    </w:p>
    <w:p w:rsidR="00BB66A1" w:rsidRPr="0045653A" w:rsidRDefault="00BB66A1" w:rsidP="00BB66A1">
      <w:pPr>
        <w:rPr>
          <w:rFonts w:ascii="Calibri" w:hAnsi="Calibri" w:cs="Calibri"/>
        </w:rPr>
      </w:pPr>
      <w:r w:rsidRPr="0045653A">
        <w:t>In pooled analyses</w:t>
      </w:r>
      <w:r w:rsidRPr="0045653A">
        <w:rPr>
          <w:color w:val="1F497D"/>
        </w:rPr>
        <w:t>,</w:t>
      </w:r>
      <w:r w:rsidRPr="0045653A">
        <w:t xml:space="preserve"> presence of NS3 polymorphisms prior to the start of therapy did not impact treatment response among treatment-naïve, genotype 4-infected subjects. Baseline NS3 </w:t>
      </w:r>
      <w:r w:rsidRPr="0045653A">
        <w:lastRenderedPageBreak/>
        <w:t>polymorphisms were identified by population sequencing in 19% (7/36) of treatment-experienced genotype 4-infected subjects. In these subjects, SVR was achieved in 100% (7/7) of subjects with baseline NS3 polymorphisms compared with 86% (25/29) in those without baseline NS3 polymorphism.</w:t>
      </w:r>
    </w:p>
    <w:p w:rsidR="00BB66A1" w:rsidRPr="0045653A" w:rsidRDefault="00BB66A1" w:rsidP="00BB66A1">
      <w:pPr>
        <w:pStyle w:val="Heading3"/>
        <w:rPr>
          <w:rFonts w:ascii="Calibri" w:hAnsi="Calibri" w:cs="Calibri"/>
          <w:sz w:val="22"/>
        </w:rPr>
      </w:pPr>
      <w:r w:rsidRPr="0045653A">
        <w:rPr>
          <w:sz w:val="22"/>
        </w:rPr>
        <w:t>Genotype 3</w:t>
      </w:r>
    </w:p>
    <w:p w:rsidR="00BB66A1" w:rsidRDefault="00BB66A1" w:rsidP="00BB66A1">
      <w:r w:rsidRPr="001A4C85">
        <w:rPr>
          <w:iCs/>
        </w:rPr>
        <w:t>In a Phase 2 study</w:t>
      </w:r>
      <w:r>
        <w:rPr>
          <w:iCs/>
        </w:rPr>
        <w:t xml:space="preserve"> (C-SWIFT) </w:t>
      </w:r>
      <w:r w:rsidRPr="00E11AD3">
        <w:rPr>
          <w:iCs/>
        </w:rPr>
        <w:t xml:space="preserve">of </w:t>
      </w:r>
      <w:r w:rsidR="000D7FE6">
        <w:rPr>
          <w:iCs/>
        </w:rPr>
        <w:t>ZEPATIER</w:t>
      </w:r>
      <w:r w:rsidRPr="00E11AD3">
        <w:rPr>
          <w:iCs/>
        </w:rPr>
        <w:t xml:space="preserve"> with </w:t>
      </w:r>
      <w:proofErr w:type="spellStart"/>
      <w:r w:rsidRPr="00E11AD3">
        <w:rPr>
          <w:iCs/>
        </w:rPr>
        <w:t>sofosbuvir</w:t>
      </w:r>
      <w:proofErr w:type="spellEnd"/>
      <w:r w:rsidRPr="00E11AD3">
        <w:rPr>
          <w:iCs/>
        </w:rPr>
        <w:t>,</w:t>
      </w:r>
      <w:r w:rsidRPr="001A4C85">
        <w:t xml:space="preserve"> </w:t>
      </w:r>
      <w:r w:rsidRPr="00731EF8">
        <w:t xml:space="preserve">presence of </w:t>
      </w:r>
      <w:r>
        <w:t>NS5A</w:t>
      </w:r>
      <w:r w:rsidRPr="00731EF8">
        <w:t xml:space="preserve"> polymorphisms prior to the start of therapy did not impact tre</w:t>
      </w:r>
      <w:r>
        <w:t>atment response among genotype 3</w:t>
      </w:r>
      <w:r w:rsidRPr="00731EF8">
        <w:t>-infected subjects.</w:t>
      </w:r>
      <w:r w:rsidRPr="008F52BF">
        <w:t xml:space="preserve"> </w:t>
      </w:r>
      <w:r>
        <w:t>Baseline NS5A</w:t>
      </w:r>
      <w:r w:rsidRPr="00731EF8">
        <w:t xml:space="preserve"> polymorphisms were identified by population sequencing in </w:t>
      </w:r>
      <w:r>
        <w:t>12% (3</w:t>
      </w:r>
      <w:r w:rsidRPr="00731EF8">
        <w:t>/</w:t>
      </w:r>
      <w:r>
        <w:t>25</w:t>
      </w:r>
      <w:r w:rsidRPr="00731EF8">
        <w:t xml:space="preserve">) of </w:t>
      </w:r>
      <w:r>
        <w:t>treatment-naive genotype 3</w:t>
      </w:r>
      <w:r w:rsidRPr="00731EF8">
        <w:t>-infected subjects. In these subject</w:t>
      </w:r>
      <w:r>
        <w:t xml:space="preserve">s, SVR was achieved in 100% (3/3) of subjects with baseline NS5A polymorphisms compared with </w:t>
      </w:r>
      <w:r w:rsidR="0067217F">
        <w:t xml:space="preserve">95% (21/22) </w:t>
      </w:r>
      <w:r>
        <w:t>in those without baseline NS5A</w:t>
      </w:r>
      <w:r w:rsidRPr="00731EF8">
        <w:t xml:space="preserve"> polymorphism.</w:t>
      </w:r>
      <w:r>
        <w:t xml:space="preserve"> </w:t>
      </w:r>
    </w:p>
    <w:p w:rsidR="00792A5E" w:rsidRDefault="00792A5E" w:rsidP="00BB66A1">
      <w:r w:rsidRPr="00731EF8">
        <w:t xml:space="preserve">In </w:t>
      </w:r>
      <w:r>
        <w:t>this analysis</w:t>
      </w:r>
      <w:r w:rsidRPr="00731EF8">
        <w:t>, presence of NS3 polymorphisms prior to the start of therapy did not impact treatment response a</w:t>
      </w:r>
      <w:r>
        <w:t>mong treatment-naïve, genotype 3</w:t>
      </w:r>
      <w:r w:rsidRPr="00731EF8">
        <w:t>-infected subjects.</w:t>
      </w:r>
    </w:p>
    <w:p w:rsidR="00BB66A1" w:rsidRDefault="00BB66A1" w:rsidP="00BB66A1">
      <w:r>
        <w:t>No subject had NS5B polymorphisms detected at baseline.</w:t>
      </w:r>
    </w:p>
    <w:p w:rsidR="004E6F9F" w:rsidRDefault="00BB66A1" w:rsidP="00DC43F1">
      <w:pPr>
        <w:pStyle w:val="Heading2"/>
      </w:pPr>
      <w:r>
        <w:t>Pharmacokinetics</w:t>
      </w:r>
    </w:p>
    <w:p w:rsidR="00BB66A1" w:rsidRPr="00E11AD3" w:rsidRDefault="00BB66A1" w:rsidP="00BB66A1">
      <w:r w:rsidRPr="00805E0D">
        <w:t xml:space="preserve">The pharmacokinetic properties of </w:t>
      </w:r>
      <w:proofErr w:type="spellStart"/>
      <w:r w:rsidR="00D93263">
        <w:t>elbasvir</w:t>
      </w:r>
      <w:proofErr w:type="spellEnd"/>
      <w:r w:rsidR="00D93263" w:rsidRPr="00805E0D">
        <w:t xml:space="preserve"> </w:t>
      </w:r>
      <w:r w:rsidR="00D93263">
        <w:t xml:space="preserve">and </w:t>
      </w:r>
      <w:proofErr w:type="spellStart"/>
      <w:r>
        <w:t>grazoprevir</w:t>
      </w:r>
      <w:proofErr w:type="spellEnd"/>
      <w:r>
        <w:t xml:space="preserve"> </w:t>
      </w:r>
      <w:r w:rsidRPr="00805E0D">
        <w:t xml:space="preserve">have been evaluated in </w:t>
      </w:r>
      <w:r>
        <w:t>non-HCV-infected</w:t>
      </w:r>
      <w:r w:rsidRPr="00805E0D">
        <w:t xml:space="preserve"> adult subjects and in</w:t>
      </w:r>
      <w:r>
        <w:t xml:space="preserve"> HCV-infected adult subjects. </w:t>
      </w:r>
      <w:proofErr w:type="spellStart"/>
      <w:r w:rsidR="00D93263">
        <w:t>Elbasvir</w:t>
      </w:r>
      <w:proofErr w:type="spellEnd"/>
      <w:r w:rsidR="00D93263">
        <w:t xml:space="preserve"> pharmacokinetics </w:t>
      </w:r>
      <w:proofErr w:type="gramStart"/>
      <w:r w:rsidR="00D93263">
        <w:t>were</w:t>
      </w:r>
      <w:proofErr w:type="gramEnd"/>
      <w:r w:rsidR="00D93263">
        <w:t xml:space="preserve"> similar in healthy subjects and HCV-infected subjects and were approximately dose-proportional over the range of 5-100 mg once daily. </w:t>
      </w:r>
      <w:proofErr w:type="spellStart"/>
      <w:r>
        <w:t>Grazoprevir</w:t>
      </w:r>
      <w:proofErr w:type="spellEnd"/>
      <w:r>
        <w:t xml:space="preserve"> oral exposures are approximately 2-fold greater in HCV-infected subjects as compared to healthy subjects. </w:t>
      </w:r>
      <w:proofErr w:type="spellStart"/>
      <w:r>
        <w:t>Grazoprevir</w:t>
      </w:r>
      <w:proofErr w:type="spellEnd"/>
      <w:r>
        <w:t xml:space="preserve"> pharmacokinetics increased in a greater than dose-proportional manner over the range of 10-800 mg once daily in HCV-infected subjects. Ribavirin or </w:t>
      </w:r>
      <w:proofErr w:type="spellStart"/>
      <w:r>
        <w:t>sofosbuvir</w:t>
      </w:r>
      <w:proofErr w:type="spellEnd"/>
      <w:r>
        <w:t xml:space="preserve"> co-administration with </w:t>
      </w:r>
      <w:r w:rsidR="000D7FE6">
        <w:t>ZEPATIER</w:t>
      </w:r>
      <w:r>
        <w:t xml:space="preserve"> had no clinically relevant im</w:t>
      </w:r>
      <w:r w:rsidRPr="00E11AD3">
        <w:t xml:space="preserve">pact on plasma AUC and </w:t>
      </w:r>
      <w:proofErr w:type="spellStart"/>
      <w:r w:rsidRPr="00E11AD3">
        <w:t>C</w:t>
      </w:r>
      <w:r w:rsidRPr="00E11AD3">
        <w:rPr>
          <w:vertAlign w:val="subscript"/>
        </w:rPr>
        <w:t>max</w:t>
      </w:r>
      <w:proofErr w:type="spellEnd"/>
      <w:r w:rsidRPr="00E11AD3">
        <w:t xml:space="preserve"> of </w:t>
      </w:r>
      <w:proofErr w:type="spellStart"/>
      <w:r w:rsidR="00D93263">
        <w:t>elbasvir</w:t>
      </w:r>
      <w:proofErr w:type="spellEnd"/>
      <w:r w:rsidR="00D93263" w:rsidRPr="00805E0D">
        <w:t xml:space="preserve"> </w:t>
      </w:r>
      <w:r w:rsidR="00D93263">
        <w:t xml:space="preserve">and </w:t>
      </w:r>
      <w:proofErr w:type="spellStart"/>
      <w:r w:rsidRPr="00E11AD3">
        <w:t>grazoprevir</w:t>
      </w:r>
      <w:proofErr w:type="spellEnd"/>
      <w:r w:rsidRPr="00E11AD3">
        <w:t xml:space="preserve"> compared to administration of </w:t>
      </w:r>
      <w:r w:rsidR="000D7FE6">
        <w:t>ZEPATIER</w:t>
      </w:r>
      <w:r w:rsidRPr="00E11AD3">
        <w:t xml:space="preserve"> alone. Based on the population pharmacokinetic </w:t>
      </w:r>
      <w:r w:rsidR="001B1DF2" w:rsidRPr="00E11AD3">
        <w:t>modelling</w:t>
      </w:r>
      <w:r w:rsidRPr="00E11AD3">
        <w:t xml:space="preserve"> in non-cirrhotic, HCV-infected subjects, </w:t>
      </w:r>
      <w:r w:rsidR="00D93263" w:rsidRPr="00E11AD3">
        <w:t xml:space="preserve">the geometric mean steady-state </w:t>
      </w:r>
      <w:proofErr w:type="spellStart"/>
      <w:r w:rsidR="00D93263" w:rsidRPr="00E11AD3">
        <w:t>elbasvir</w:t>
      </w:r>
      <w:proofErr w:type="spellEnd"/>
      <w:r w:rsidR="00D93263" w:rsidRPr="00E11AD3">
        <w:t xml:space="preserve"> AUC</w:t>
      </w:r>
      <w:r w:rsidR="00D93263" w:rsidRPr="00E11AD3">
        <w:rPr>
          <w:vertAlign w:val="subscript"/>
        </w:rPr>
        <w:t>0-24</w:t>
      </w:r>
      <w:r w:rsidR="00D93263" w:rsidRPr="00E11AD3">
        <w:t xml:space="preserve"> and </w:t>
      </w:r>
      <w:proofErr w:type="spellStart"/>
      <w:r w:rsidR="00D93263" w:rsidRPr="00E11AD3">
        <w:t>C</w:t>
      </w:r>
      <w:r w:rsidR="00D93263" w:rsidRPr="00E11AD3">
        <w:rPr>
          <w:vertAlign w:val="subscript"/>
        </w:rPr>
        <w:t>max</w:t>
      </w:r>
      <w:proofErr w:type="spellEnd"/>
      <w:r w:rsidR="00D93263" w:rsidRPr="00E11AD3">
        <w:t xml:space="preserve"> at 50 mg were 2180 </w:t>
      </w:r>
      <w:proofErr w:type="spellStart"/>
      <w:r w:rsidR="00D93263" w:rsidRPr="00E11AD3">
        <w:t>nM•hr</w:t>
      </w:r>
      <w:proofErr w:type="spellEnd"/>
      <w:r w:rsidR="00D93263" w:rsidRPr="00E11AD3">
        <w:t xml:space="preserve"> and 137 </w:t>
      </w:r>
      <w:proofErr w:type="spellStart"/>
      <w:r w:rsidR="00D93263" w:rsidRPr="00E11AD3">
        <w:t>nM</w:t>
      </w:r>
      <w:proofErr w:type="spellEnd"/>
      <w:r w:rsidR="00D93263" w:rsidRPr="00E11AD3">
        <w:t xml:space="preserve"> </w:t>
      </w:r>
      <w:r w:rsidR="00792A5E">
        <w:t xml:space="preserve">respectively </w:t>
      </w:r>
      <w:r w:rsidR="00D93263">
        <w:t xml:space="preserve">and </w:t>
      </w:r>
      <w:r w:rsidRPr="00E11AD3">
        <w:t xml:space="preserve">the geometric mean steady-state  </w:t>
      </w:r>
      <w:proofErr w:type="spellStart"/>
      <w:r w:rsidRPr="00E11AD3">
        <w:t>grazoprevir</w:t>
      </w:r>
      <w:proofErr w:type="spellEnd"/>
      <w:r w:rsidRPr="00E11AD3">
        <w:t xml:space="preserve"> AUC</w:t>
      </w:r>
      <w:r w:rsidRPr="00E11AD3">
        <w:rPr>
          <w:vertAlign w:val="subscript"/>
        </w:rPr>
        <w:t>0-24</w:t>
      </w:r>
      <w:r w:rsidRPr="00E11AD3">
        <w:t xml:space="preserve"> and </w:t>
      </w:r>
      <w:proofErr w:type="spellStart"/>
      <w:r w:rsidRPr="00E11AD3">
        <w:t>C</w:t>
      </w:r>
      <w:r w:rsidRPr="00E11AD3">
        <w:rPr>
          <w:vertAlign w:val="subscript"/>
        </w:rPr>
        <w:t>max</w:t>
      </w:r>
      <w:proofErr w:type="spellEnd"/>
      <w:r w:rsidRPr="00E11AD3">
        <w:t xml:space="preserve"> at 100 mg were 1860 </w:t>
      </w:r>
      <w:proofErr w:type="spellStart"/>
      <w:r w:rsidRPr="00E11AD3">
        <w:t>nM•hr</w:t>
      </w:r>
      <w:proofErr w:type="spellEnd"/>
      <w:r w:rsidRPr="00E11AD3">
        <w:t xml:space="preserve"> and 220 </w:t>
      </w:r>
      <w:proofErr w:type="spellStart"/>
      <w:r w:rsidRPr="00E11AD3">
        <w:t>nM</w:t>
      </w:r>
      <w:proofErr w:type="spellEnd"/>
      <w:r w:rsidRPr="00E11AD3">
        <w:t xml:space="preserve">, respectively. Following once daily administration of </w:t>
      </w:r>
      <w:r w:rsidR="000D7FE6">
        <w:t>ZEPATIER</w:t>
      </w:r>
      <w:r w:rsidRPr="00E11AD3">
        <w:t xml:space="preserve"> to HCV-infected subjects, </w:t>
      </w:r>
      <w:proofErr w:type="spellStart"/>
      <w:r w:rsidR="00D93263">
        <w:t>elbasvir</w:t>
      </w:r>
      <w:proofErr w:type="spellEnd"/>
      <w:r w:rsidR="00D93263" w:rsidRPr="00805E0D">
        <w:t xml:space="preserve"> </w:t>
      </w:r>
      <w:r w:rsidR="00D93263">
        <w:t xml:space="preserve">and </w:t>
      </w:r>
      <w:proofErr w:type="spellStart"/>
      <w:r w:rsidRPr="00E11AD3">
        <w:t>grazoprevir</w:t>
      </w:r>
      <w:proofErr w:type="spellEnd"/>
      <w:r w:rsidRPr="00E11AD3">
        <w:t xml:space="preserve"> reached steady state within approximately 6 days.</w:t>
      </w:r>
    </w:p>
    <w:p w:rsidR="00CC78DD" w:rsidRDefault="00CC78DD" w:rsidP="00F92767">
      <w:pPr>
        <w:pStyle w:val="Heading3"/>
      </w:pPr>
      <w:r w:rsidRPr="005F6BAA">
        <w:t>Absorption</w:t>
      </w:r>
    </w:p>
    <w:p w:rsidR="00BB66A1" w:rsidRDefault="00BB66A1" w:rsidP="00BB66A1">
      <w:r w:rsidRPr="00E11AD3">
        <w:t xml:space="preserve">Following administration of </w:t>
      </w:r>
      <w:r w:rsidR="000D7FE6">
        <w:t>ZEPATIER</w:t>
      </w:r>
      <w:r w:rsidRPr="00E11AD3">
        <w:t xml:space="preserve"> to HCV-infected subjects, </w:t>
      </w:r>
      <w:proofErr w:type="spellStart"/>
      <w:r w:rsidR="00D93263" w:rsidRPr="00E11AD3">
        <w:t>elbasvir</w:t>
      </w:r>
      <w:proofErr w:type="spellEnd"/>
      <w:r w:rsidR="00D93263" w:rsidRPr="00E11AD3">
        <w:t xml:space="preserve"> peak plasma concentrations occur at a median </w:t>
      </w:r>
      <w:proofErr w:type="spellStart"/>
      <w:r w:rsidR="00D93263" w:rsidRPr="00E11AD3">
        <w:t>T</w:t>
      </w:r>
      <w:r w:rsidR="00D93263" w:rsidRPr="00E11AD3">
        <w:rPr>
          <w:vertAlign w:val="subscript"/>
        </w:rPr>
        <w:t>max</w:t>
      </w:r>
      <w:proofErr w:type="spellEnd"/>
      <w:r w:rsidR="00D93263" w:rsidRPr="00E11AD3">
        <w:t xml:space="preserve"> of 3 hours (range of 3 to 6 hours)</w:t>
      </w:r>
      <w:r w:rsidR="00D93263">
        <w:t xml:space="preserve">; </w:t>
      </w:r>
      <w:proofErr w:type="spellStart"/>
      <w:r w:rsidRPr="00E11AD3">
        <w:t>grazoprevir</w:t>
      </w:r>
      <w:proofErr w:type="spellEnd"/>
      <w:r w:rsidRPr="00E11AD3">
        <w:t xml:space="preserve"> peak plasma concentrations occur at a median </w:t>
      </w:r>
      <w:proofErr w:type="spellStart"/>
      <w:r w:rsidRPr="00E11AD3">
        <w:t>T</w:t>
      </w:r>
      <w:r w:rsidRPr="00E11AD3">
        <w:rPr>
          <w:vertAlign w:val="subscript"/>
        </w:rPr>
        <w:t>max</w:t>
      </w:r>
      <w:proofErr w:type="spellEnd"/>
      <w:r w:rsidRPr="00E11AD3">
        <w:t xml:space="preserve"> of 2 hours (range of 30 minutes to 3 hours);.</w:t>
      </w:r>
    </w:p>
    <w:p w:rsidR="00FB549F" w:rsidRPr="003D6964" w:rsidRDefault="00FB549F" w:rsidP="00F92767">
      <w:pPr>
        <w:pStyle w:val="Heading3"/>
        <w:rPr>
          <w:i/>
          <w:u w:val="none"/>
        </w:rPr>
      </w:pPr>
      <w:r w:rsidRPr="003D6964">
        <w:rPr>
          <w:i/>
          <w:u w:val="none"/>
        </w:rPr>
        <w:t xml:space="preserve">Effect of Food </w:t>
      </w:r>
    </w:p>
    <w:p w:rsidR="00CC78DD" w:rsidRDefault="00BB66A1" w:rsidP="00DC43F1">
      <w:r>
        <w:t xml:space="preserve">Relative to fasting conditions, the administration of a single dose of </w:t>
      </w:r>
      <w:r w:rsidR="000D7FE6">
        <w:t>ZEPATIER</w:t>
      </w:r>
      <w:r>
        <w:t xml:space="preserve"> with a high-fat (900 kcal, 500 kcal from fat) meal to healthy subjects resulted in </w:t>
      </w:r>
      <w:r w:rsidR="00D93263">
        <w:t xml:space="preserve">decreases in </w:t>
      </w:r>
      <w:proofErr w:type="spellStart"/>
      <w:r w:rsidR="00D93263">
        <w:t>elbasvir</w:t>
      </w:r>
      <w:proofErr w:type="spellEnd"/>
      <w:r w:rsidR="00D93263">
        <w:t xml:space="preserve"> AUC</w:t>
      </w:r>
      <w:r w:rsidR="00D93263" w:rsidRPr="00047190">
        <w:rPr>
          <w:vertAlign w:val="subscript"/>
        </w:rPr>
        <w:t>0-inf</w:t>
      </w:r>
      <w:r w:rsidR="00D93263">
        <w:t xml:space="preserve"> and </w:t>
      </w:r>
      <w:proofErr w:type="spellStart"/>
      <w:r w:rsidR="00D93263">
        <w:t>C</w:t>
      </w:r>
      <w:r w:rsidR="00D93263" w:rsidRPr="00047190">
        <w:rPr>
          <w:vertAlign w:val="subscript"/>
        </w:rPr>
        <w:t>max</w:t>
      </w:r>
      <w:proofErr w:type="spellEnd"/>
      <w:r w:rsidR="00D93263">
        <w:t xml:space="preserve"> of approximately </w:t>
      </w:r>
      <w:r w:rsidR="00D93263" w:rsidRPr="00047190">
        <w:t>11% and 15%</w:t>
      </w:r>
      <w:r w:rsidR="00D93263">
        <w:t>, respectively</w:t>
      </w:r>
      <w:r w:rsidR="00911C72">
        <w:t>,</w:t>
      </w:r>
      <w:r w:rsidR="00D93263">
        <w:t xml:space="preserve"> and </w:t>
      </w:r>
      <w:r>
        <w:t xml:space="preserve">increases in </w:t>
      </w:r>
      <w:proofErr w:type="spellStart"/>
      <w:r>
        <w:t>grazoprevir</w:t>
      </w:r>
      <w:proofErr w:type="spellEnd"/>
      <w:r>
        <w:t xml:space="preserve"> AUC</w:t>
      </w:r>
      <w:r w:rsidRPr="00047190">
        <w:rPr>
          <w:vertAlign w:val="subscript"/>
        </w:rPr>
        <w:t>0-inf</w:t>
      </w:r>
      <w:r>
        <w:t xml:space="preserve"> and </w:t>
      </w:r>
      <w:proofErr w:type="spellStart"/>
      <w:r>
        <w:t>C</w:t>
      </w:r>
      <w:r w:rsidRPr="00DC05D8">
        <w:rPr>
          <w:vertAlign w:val="subscript"/>
        </w:rPr>
        <w:t>max</w:t>
      </w:r>
      <w:proofErr w:type="spellEnd"/>
      <w:r>
        <w:t xml:space="preserve"> of approximately 1.5-fold and 2.8-fold, respectively</w:t>
      </w:r>
      <w:r w:rsidRPr="00047190">
        <w:t xml:space="preserve">. These differences in </w:t>
      </w:r>
      <w:proofErr w:type="spellStart"/>
      <w:r w:rsidR="00D93263">
        <w:t>elbasvir</w:t>
      </w:r>
      <w:proofErr w:type="spellEnd"/>
      <w:r w:rsidR="00D93263">
        <w:t xml:space="preserve"> and </w:t>
      </w:r>
      <w:proofErr w:type="spellStart"/>
      <w:r>
        <w:t>grazoprevir</w:t>
      </w:r>
      <w:proofErr w:type="spellEnd"/>
      <w:r>
        <w:t xml:space="preserve"> </w:t>
      </w:r>
      <w:r w:rsidRPr="00047190">
        <w:t>exposure are not clinically relevant</w:t>
      </w:r>
      <w:r>
        <w:t>;</w:t>
      </w:r>
      <w:r w:rsidRPr="00047190">
        <w:t xml:space="preserve"> therefore</w:t>
      </w:r>
      <w:r>
        <w:t>,</w:t>
      </w:r>
      <w:r w:rsidRPr="004173A7">
        <w:t xml:space="preserve"> </w:t>
      </w:r>
      <w:r w:rsidR="000D7FE6">
        <w:t>ZEPATIER</w:t>
      </w:r>
      <w:r w:rsidRPr="004173A7">
        <w:t xml:space="preserve"> </w:t>
      </w:r>
      <w:r>
        <w:t xml:space="preserve">may </w:t>
      </w:r>
      <w:r w:rsidRPr="004173A7">
        <w:t>be taken without regard to food.</w:t>
      </w:r>
    </w:p>
    <w:p w:rsidR="00BB66A1" w:rsidRDefault="00BB66A1" w:rsidP="00BB66A1">
      <w:pPr>
        <w:pStyle w:val="Heading3"/>
      </w:pPr>
      <w:r w:rsidRPr="000866D1">
        <w:t>Distribution</w:t>
      </w:r>
    </w:p>
    <w:p w:rsidR="00BB66A1" w:rsidRPr="00663514" w:rsidRDefault="00D93263" w:rsidP="00BB66A1">
      <w:proofErr w:type="spellStart"/>
      <w:r>
        <w:t>Elbasvir</w:t>
      </w:r>
      <w:proofErr w:type="spellEnd"/>
      <w:r>
        <w:t xml:space="preserve"> and </w:t>
      </w:r>
      <w:proofErr w:type="spellStart"/>
      <w:r>
        <w:t>g</w:t>
      </w:r>
      <w:r w:rsidR="00BB66A1" w:rsidRPr="004173A7">
        <w:t>razoprevir</w:t>
      </w:r>
      <w:proofErr w:type="spellEnd"/>
      <w:r w:rsidR="00BB66A1" w:rsidRPr="004173A7">
        <w:t xml:space="preserve"> are extensively bound (</w:t>
      </w:r>
      <w:r w:rsidR="00911C72" w:rsidRPr="004173A7">
        <w:t>&gt;99.9%</w:t>
      </w:r>
      <w:r w:rsidR="00911C72">
        <w:t xml:space="preserve"> and </w:t>
      </w:r>
      <w:r w:rsidR="00BB66A1" w:rsidRPr="004173A7">
        <w:t>98.8%, respectivel</w:t>
      </w:r>
      <w:r w:rsidR="00BB66A1" w:rsidRPr="006F61CE">
        <w:t xml:space="preserve">y) to human plasma proteins. Both </w:t>
      </w:r>
      <w:proofErr w:type="spellStart"/>
      <w:r>
        <w:t>elbasvir</w:t>
      </w:r>
      <w:proofErr w:type="spellEnd"/>
      <w:r>
        <w:t xml:space="preserve"> and </w:t>
      </w:r>
      <w:proofErr w:type="spellStart"/>
      <w:r w:rsidR="00BB66A1" w:rsidRPr="006F61CE">
        <w:t>grazoprevir</w:t>
      </w:r>
      <w:proofErr w:type="spellEnd"/>
      <w:r w:rsidR="00BB66A1" w:rsidRPr="006F61CE">
        <w:t xml:space="preserve"> bind to human serum albumin and </w:t>
      </w:r>
      <w:r w:rsidR="00BB66A1" w:rsidRPr="006F61CE">
        <w:sym w:font="Symbol" w:char="F061"/>
      </w:r>
      <w:r w:rsidR="00BB66A1" w:rsidRPr="006F61CE">
        <w:t xml:space="preserve">1-acid </w:t>
      </w:r>
      <w:r w:rsidR="00BB66A1" w:rsidRPr="006F61CE">
        <w:lastRenderedPageBreak/>
        <w:t>glycoprotein. Plasma protein binding is not meaningfully altered in patients with renal or hepatic impairment.</w:t>
      </w:r>
    </w:p>
    <w:p w:rsidR="00BB66A1" w:rsidRPr="005F6BAA" w:rsidRDefault="00BB66A1" w:rsidP="00DC43F1">
      <w:r w:rsidRPr="00F41D2F">
        <w:t xml:space="preserve">In preclinical distribution studies, </w:t>
      </w:r>
      <w:proofErr w:type="spellStart"/>
      <w:r w:rsidR="00D93263" w:rsidRPr="00F41D2F">
        <w:t>elbasvir</w:t>
      </w:r>
      <w:proofErr w:type="spellEnd"/>
      <w:r w:rsidR="00D93263" w:rsidRPr="00F41D2F">
        <w:t xml:space="preserve"> distr</w:t>
      </w:r>
      <w:r w:rsidR="00D93263" w:rsidRPr="00047190">
        <w:t>ibutes into most tissues including the liver</w:t>
      </w:r>
      <w:r w:rsidR="00D93263">
        <w:t>; whereas</w:t>
      </w:r>
      <w:r w:rsidR="00D93263" w:rsidRPr="00F41D2F">
        <w:t xml:space="preserve"> </w:t>
      </w:r>
      <w:proofErr w:type="spellStart"/>
      <w:r w:rsidRPr="00F41D2F">
        <w:t>grazoprevir</w:t>
      </w:r>
      <w:proofErr w:type="spellEnd"/>
      <w:r w:rsidRPr="00F41D2F">
        <w:t xml:space="preserve"> distributes predominantly to the liver likely facilitated by active transport through the</w:t>
      </w:r>
      <w:r>
        <w:t xml:space="preserve"> OATP1B</w:t>
      </w:r>
      <w:r w:rsidRPr="00F41D2F">
        <w:t xml:space="preserve"> liver uptake transporter</w:t>
      </w:r>
      <w:r w:rsidRPr="00047190">
        <w:t>.</w:t>
      </w:r>
    </w:p>
    <w:p w:rsidR="00CC78DD" w:rsidRPr="005F6BAA" w:rsidRDefault="00CC78DD" w:rsidP="00F92767">
      <w:pPr>
        <w:pStyle w:val="Heading3"/>
      </w:pPr>
      <w:r w:rsidRPr="005F6BAA">
        <w:t>Metabolism</w:t>
      </w:r>
    </w:p>
    <w:p w:rsidR="00E56AA7" w:rsidRDefault="00D93263" w:rsidP="00E56AA7">
      <w:proofErr w:type="spellStart"/>
      <w:r>
        <w:t>Elbasvir</w:t>
      </w:r>
      <w:proofErr w:type="spellEnd"/>
      <w:r>
        <w:t xml:space="preserve"> and </w:t>
      </w:r>
      <w:proofErr w:type="spellStart"/>
      <w:r>
        <w:t>g</w:t>
      </w:r>
      <w:r w:rsidR="00E56AA7">
        <w:t>razoprevir</w:t>
      </w:r>
      <w:proofErr w:type="spellEnd"/>
      <w:r w:rsidR="00E56AA7">
        <w:t xml:space="preserve"> are partially eliminated by oxidative metabolism, primarily by CYP3A. No circulating metabolites of either</w:t>
      </w:r>
      <w:r w:rsidR="00980E87">
        <w:t xml:space="preserve"> </w:t>
      </w:r>
      <w:proofErr w:type="spellStart"/>
      <w:r w:rsidR="00980E87">
        <w:t>elbasvir</w:t>
      </w:r>
      <w:proofErr w:type="spellEnd"/>
      <w:r w:rsidR="00980E87">
        <w:t xml:space="preserve"> or</w:t>
      </w:r>
      <w:r w:rsidR="00E56AA7">
        <w:t xml:space="preserve"> </w:t>
      </w:r>
      <w:proofErr w:type="spellStart"/>
      <w:r w:rsidR="00E56AA7">
        <w:t>grazoprevir</w:t>
      </w:r>
      <w:proofErr w:type="spellEnd"/>
      <w:r w:rsidR="00E56AA7">
        <w:t xml:space="preserve"> were detected in human plasma.</w:t>
      </w:r>
    </w:p>
    <w:p w:rsidR="00AB035F" w:rsidRDefault="001B1DF2" w:rsidP="00F92767">
      <w:pPr>
        <w:pStyle w:val="Heading3"/>
      </w:pPr>
      <w:r>
        <w:t xml:space="preserve">Excretion </w:t>
      </w:r>
    </w:p>
    <w:p w:rsidR="00E56AA7" w:rsidRDefault="00E56AA7" w:rsidP="00E56AA7">
      <w:r w:rsidRPr="000E3740">
        <w:t xml:space="preserve">The geometric mean apparent terminal half-life (% geometric mean coefficient of variation) is </w:t>
      </w:r>
      <w:r w:rsidR="00D93263" w:rsidRPr="000E3740">
        <w:t>approximately 24 (2</w:t>
      </w:r>
      <w:r w:rsidR="00D93263">
        <w:t>4</w:t>
      </w:r>
      <w:r w:rsidR="00D93263" w:rsidRPr="000E3740">
        <w:t xml:space="preserve">%) hours at 50 mg </w:t>
      </w:r>
      <w:proofErr w:type="spellStart"/>
      <w:r w:rsidR="00D93263" w:rsidRPr="000E3740">
        <w:t>elbasvir</w:t>
      </w:r>
      <w:proofErr w:type="spellEnd"/>
      <w:r w:rsidR="00D93263" w:rsidRPr="000E3740">
        <w:t xml:space="preserve"> </w:t>
      </w:r>
      <w:r w:rsidR="00D93263">
        <w:t xml:space="preserve">and </w:t>
      </w:r>
      <w:r w:rsidRPr="000E3740">
        <w:t>approximately 31 (3</w:t>
      </w:r>
      <w:r>
        <w:t>4</w:t>
      </w:r>
      <w:r w:rsidRPr="000E3740">
        <w:t xml:space="preserve">%) hours at 100 mg </w:t>
      </w:r>
      <w:proofErr w:type="spellStart"/>
      <w:r w:rsidRPr="000E3740">
        <w:t>grazoprevir</w:t>
      </w:r>
      <w:proofErr w:type="spellEnd"/>
      <w:r w:rsidRPr="000E3740">
        <w:t xml:space="preserve"> in HCV-infected subjects.</w:t>
      </w:r>
      <w:r w:rsidR="004434AD">
        <w:t xml:space="preserve"> </w:t>
      </w:r>
      <w:r>
        <w:t xml:space="preserve">The primary route of elimination of </w:t>
      </w:r>
      <w:proofErr w:type="spellStart"/>
      <w:r w:rsidR="00D93263">
        <w:t>elbasvir</w:t>
      </w:r>
      <w:proofErr w:type="spellEnd"/>
      <w:r w:rsidR="00D93263">
        <w:t xml:space="preserve"> and </w:t>
      </w:r>
      <w:proofErr w:type="spellStart"/>
      <w:r>
        <w:t>grazoprevir</w:t>
      </w:r>
      <w:proofErr w:type="spellEnd"/>
      <w:r>
        <w:t xml:space="preserve"> is through </w:t>
      </w:r>
      <w:r w:rsidR="001B1DF2">
        <w:t>faeces</w:t>
      </w:r>
      <w:r>
        <w:t xml:space="preserve"> with almost all (&gt;90%) of radiolabeled dose recovered in </w:t>
      </w:r>
      <w:r w:rsidR="001B1DF2">
        <w:t>faeces</w:t>
      </w:r>
      <w:r>
        <w:t xml:space="preserve"> compared to &lt;1% in urine.</w:t>
      </w:r>
    </w:p>
    <w:p w:rsidR="00CC78DD" w:rsidRDefault="00CC78DD" w:rsidP="00F92767">
      <w:pPr>
        <w:pStyle w:val="Heading2"/>
      </w:pPr>
      <w:r w:rsidRPr="005F6BAA">
        <w:t>Special Populations</w:t>
      </w:r>
    </w:p>
    <w:p w:rsidR="0045653A" w:rsidRPr="00E56AA7" w:rsidRDefault="0045653A" w:rsidP="0045653A">
      <w:pPr>
        <w:pStyle w:val="Heading4"/>
      </w:pPr>
      <w:r w:rsidRPr="005F6BAA">
        <w:t>Renal impairment</w:t>
      </w:r>
    </w:p>
    <w:p w:rsidR="0045653A" w:rsidRPr="00E11AD3" w:rsidRDefault="0045653A" w:rsidP="0045653A">
      <w:r w:rsidRPr="00553BFB">
        <w:t xml:space="preserve">The pharmacokinetics of </w:t>
      </w:r>
      <w:proofErr w:type="spellStart"/>
      <w:r w:rsidR="00A31C23" w:rsidRPr="00553BFB">
        <w:t>elbasvir</w:t>
      </w:r>
      <w:proofErr w:type="spellEnd"/>
      <w:r w:rsidR="00A31C23" w:rsidRPr="00553BFB">
        <w:t xml:space="preserve"> </w:t>
      </w:r>
      <w:r w:rsidR="00A31C23">
        <w:t xml:space="preserve">and </w:t>
      </w:r>
      <w:proofErr w:type="spellStart"/>
      <w:r w:rsidRPr="00553BFB">
        <w:t>grazoprevir</w:t>
      </w:r>
      <w:proofErr w:type="spellEnd"/>
      <w:r w:rsidRPr="00553BFB">
        <w:t xml:space="preserve"> were evaluated in non-HCV-infected subjects with severe renal impairment (</w:t>
      </w:r>
      <w:proofErr w:type="spellStart"/>
      <w:r w:rsidRPr="00553BFB">
        <w:t>eGFR</w:t>
      </w:r>
      <w:proofErr w:type="spellEnd"/>
      <w:r w:rsidRPr="00553BFB">
        <w:t xml:space="preserve"> </w:t>
      </w:r>
      <w:r w:rsidRPr="00553BFB">
        <w:rPr>
          <w:rFonts w:eastAsia="MS Mincho"/>
        </w:rPr>
        <w:t>&lt;30 mL/min/1.73</w:t>
      </w:r>
      <w:r>
        <w:rPr>
          <w:rFonts w:eastAsia="MS Mincho"/>
        </w:rPr>
        <w:t xml:space="preserve"> </w:t>
      </w:r>
      <w:r w:rsidRPr="00553BFB">
        <w:rPr>
          <w:rFonts w:eastAsia="MS Mincho"/>
        </w:rPr>
        <w:t>m</w:t>
      </w:r>
      <w:r w:rsidRPr="00553BFB">
        <w:rPr>
          <w:rFonts w:eastAsia="MS Mincho"/>
          <w:vertAlign w:val="superscript"/>
        </w:rPr>
        <w:t>2</w:t>
      </w:r>
      <w:r w:rsidRPr="00553BFB">
        <w:t xml:space="preserve">) with or without </w:t>
      </w:r>
      <w:r w:rsidR="00AA259D">
        <w:t>haemodialysis</w:t>
      </w:r>
      <w:r w:rsidRPr="00553BFB">
        <w:t xml:space="preserve"> and also in HCV-</w:t>
      </w:r>
      <w:r w:rsidRPr="00E11AD3">
        <w:t xml:space="preserve">infected subjects with severe renal impairment with or without </w:t>
      </w:r>
      <w:r w:rsidR="00AA259D">
        <w:t>haemodialysis</w:t>
      </w:r>
      <w:r w:rsidRPr="00E11AD3">
        <w:t>.</w:t>
      </w:r>
    </w:p>
    <w:p w:rsidR="0045653A" w:rsidRDefault="0045653A" w:rsidP="0045653A">
      <w:r w:rsidRPr="00E11AD3">
        <w:t xml:space="preserve">Relative to non-HCV-infected subjects with normal renal function </w:t>
      </w:r>
      <w:r w:rsidRPr="00E11AD3">
        <w:rPr>
          <w:rFonts w:eastAsia="MS Mincho"/>
        </w:rPr>
        <w:t>(</w:t>
      </w:r>
      <w:proofErr w:type="spellStart"/>
      <w:r w:rsidRPr="00E11AD3">
        <w:t>e</w:t>
      </w:r>
      <w:r w:rsidRPr="00E11AD3">
        <w:rPr>
          <w:rFonts w:eastAsia="MS Mincho"/>
        </w:rPr>
        <w:t>GFR</w:t>
      </w:r>
      <w:proofErr w:type="spellEnd"/>
      <w:r w:rsidRPr="00E11AD3">
        <w:rPr>
          <w:rFonts w:eastAsia="MS Mincho"/>
        </w:rPr>
        <w:t xml:space="preserve"> &gt;80 mL/min/1.73 m</w:t>
      </w:r>
      <w:r w:rsidRPr="00E11AD3">
        <w:rPr>
          <w:rFonts w:eastAsia="MS Mincho"/>
          <w:vertAlign w:val="superscript"/>
        </w:rPr>
        <w:t>2</w:t>
      </w:r>
      <w:r w:rsidRPr="00E11AD3">
        <w:rPr>
          <w:rFonts w:eastAsia="MS Mincho"/>
        </w:rPr>
        <w:t>)</w:t>
      </w:r>
      <w:r w:rsidRPr="00E11AD3">
        <w:t xml:space="preserve">, </w:t>
      </w:r>
      <w:proofErr w:type="spellStart"/>
      <w:r w:rsidR="00A31C23" w:rsidRPr="00553BFB">
        <w:t>elbasvir</w:t>
      </w:r>
      <w:proofErr w:type="spellEnd"/>
      <w:r w:rsidR="00A31C23" w:rsidRPr="00553BFB">
        <w:t xml:space="preserve"> </w:t>
      </w:r>
      <w:r w:rsidR="00A31C23">
        <w:t xml:space="preserve">and </w:t>
      </w:r>
      <w:proofErr w:type="spellStart"/>
      <w:r w:rsidRPr="00E11AD3">
        <w:t>grazoprevir</w:t>
      </w:r>
      <w:proofErr w:type="spellEnd"/>
      <w:r w:rsidRPr="00E11AD3">
        <w:t xml:space="preserve"> AUC values were increased by </w:t>
      </w:r>
      <w:r w:rsidR="00A31C23">
        <w:t xml:space="preserve">86% and </w:t>
      </w:r>
      <w:r w:rsidRPr="00E11AD3">
        <w:t>65%, respectively, in non-HCV-infected subjects with severe renal impairment who were not on dialysis. Relative to subjects with normal renal</w:t>
      </w:r>
      <w:r w:rsidRPr="00553BFB">
        <w:t xml:space="preserve"> function, </w:t>
      </w:r>
      <w:proofErr w:type="spellStart"/>
      <w:r w:rsidR="00A31C23" w:rsidRPr="00553BFB">
        <w:t>elbasvir</w:t>
      </w:r>
      <w:proofErr w:type="spellEnd"/>
      <w:r w:rsidR="00A31C23" w:rsidRPr="00553BFB">
        <w:t xml:space="preserve"> </w:t>
      </w:r>
      <w:r w:rsidR="00A31C23">
        <w:t xml:space="preserve">and </w:t>
      </w:r>
      <w:proofErr w:type="spellStart"/>
      <w:r w:rsidRPr="00553BFB">
        <w:t>grazoprevir</w:t>
      </w:r>
      <w:proofErr w:type="spellEnd"/>
      <w:r w:rsidRPr="00553BFB">
        <w:t xml:space="preserve"> </w:t>
      </w:r>
      <w:r w:rsidRPr="00973980">
        <w:t xml:space="preserve">AUC values were unchanged in non-HCV-infected subjects with dialysis-dependent, severe renal impairment. </w:t>
      </w:r>
      <w:proofErr w:type="spellStart"/>
      <w:r w:rsidR="00A31C23">
        <w:t>E</w:t>
      </w:r>
      <w:r w:rsidR="00A31C23" w:rsidRPr="00553BFB">
        <w:t>lbasvir</w:t>
      </w:r>
      <w:proofErr w:type="spellEnd"/>
      <w:r w:rsidR="00A31C23" w:rsidRPr="00553BFB">
        <w:t xml:space="preserve"> </w:t>
      </w:r>
      <w:r w:rsidR="00A31C23">
        <w:t xml:space="preserve">and </w:t>
      </w:r>
      <w:proofErr w:type="spellStart"/>
      <w:r w:rsidR="00A31C23">
        <w:t>g</w:t>
      </w:r>
      <w:r>
        <w:t>razoprevir</w:t>
      </w:r>
      <w:proofErr w:type="spellEnd"/>
      <w:r w:rsidRPr="002428B3">
        <w:t xml:space="preserve"> are highly bound to plasma prote</w:t>
      </w:r>
      <w:r w:rsidRPr="00430377">
        <w:t xml:space="preserve">in. </w:t>
      </w:r>
      <w:proofErr w:type="spellStart"/>
      <w:r w:rsidR="00A31C23">
        <w:t>E</w:t>
      </w:r>
      <w:r w:rsidR="00A31C23" w:rsidRPr="00553BFB">
        <w:t>lbasvir</w:t>
      </w:r>
      <w:proofErr w:type="spellEnd"/>
      <w:r w:rsidR="00A31C23" w:rsidRPr="00553BFB">
        <w:t xml:space="preserve"> </w:t>
      </w:r>
      <w:r w:rsidR="00A31C23">
        <w:t xml:space="preserve">and </w:t>
      </w:r>
      <w:proofErr w:type="spellStart"/>
      <w:r w:rsidR="00A31C23">
        <w:t>g</w:t>
      </w:r>
      <w:r w:rsidRPr="00430377">
        <w:t>razoprevir</w:t>
      </w:r>
      <w:proofErr w:type="spellEnd"/>
      <w:r w:rsidRPr="00430377">
        <w:t xml:space="preserve"> are not removed by </w:t>
      </w:r>
      <w:r w:rsidR="00AA259D">
        <w:t>haemodialysis</w:t>
      </w:r>
      <w:r w:rsidRPr="00430377">
        <w:t xml:space="preserve">. </w:t>
      </w:r>
      <w:r w:rsidR="00A31C23" w:rsidRPr="005403CC">
        <w:t xml:space="preserve">Concentrations of </w:t>
      </w:r>
      <w:proofErr w:type="spellStart"/>
      <w:r w:rsidR="00A31C23" w:rsidRPr="005403CC">
        <w:t>elbasvir</w:t>
      </w:r>
      <w:proofErr w:type="spellEnd"/>
      <w:r w:rsidR="00A31C23" w:rsidRPr="005403CC">
        <w:t xml:space="preserve"> were not quantifiable in the dialysate samples. </w:t>
      </w:r>
      <w:r w:rsidRPr="005403CC">
        <w:t xml:space="preserve">Less than 0.5% of </w:t>
      </w:r>
      <w:proofErr w:type="spellStart"/>
      <w:r w:rsidRPr="005403CC">
        <w:t>grazoprevir</w:t>
      </w:r>
      <w:proofErr w:type="spellEnd"/>
      <w:r w:rsidRPr="005403CC">
        <w:t xml:space="preserve"> was recovered in dialysate over a 4-hour dialysis session. </w:t>
      </w:r>
      <w:proofErr w:type="spellStart"/>
      <w:r w:rsidR="00A31C23">
        <w:t>Elbasvir</w:t>
      </w:r>
      <w:proofErr w:type="spellEnd"/>
      <w:r w:rsidR="00A31C23">
        <w:t xml:space="preserve"> and </w:t>
      </w:r>
      <w:proofErr w:type="spellStart"/>
      <w:r w:rsidR="00A31C23">
        <w:t>g</w:t>
      </w:r>
      <w:r w:rsidRPr="005403CC">
        <w:t>razoprevir</w:t>
      </w:r>
      <w:proofErr w:type="spellEnd"/>
      <w:r w:rsidRPr="005403CC">
        <w:t xml:space="preserve"> are not expected to be removed by peritoneal dialysis.</w:t>
      </w:r>
    </w:p>
    <w:p w:rsidR="0045653A" w:rsidRDefault="00A31C23" w:rsidP="0045653A">
      <w:r w:rsidRPr="00C3312A">
        <w:t xml:space="preserve">In population pharmacokinetic analysis, </w:t>
      </w:r>
      <w:proofErr w:type="spellStart"/>
      <w:r w:rsidRPr="00C3312A">
        <w:t>elbasvir</w:t>
      </w:r>
      <w:proofErr w:type="spellEnd"/>
      <w:r w:rsidRPr="00C3312A">
        <w:t xml:space="preserve"> AUC was 25% higher in dialysis-dependent subjects and 46% higher in non-dialysis-dependent subjects with severe renal impairment compared to </w:t>
      </w:r>
      <w:proofErr w:type="spellStart"/>
      <w:r w:rsidRPr="00C3312A">
        <w:t>elbasvir</w:t>
      </w:r>
      <w:proofErr w:type="spellEnd"/>
      <w:r w:rsidRPr="00C3312A">
        <w:t xml:space="preserve"> AUC in subjects without severe renal impairment.</w:t>
      </w:r>
      <w:r>
        <w:t xml:space="preserve"> </w:t>
      </w:r>
      <w:r w:rsidR="0045653A" w:rsidRPr="00C3312A">
        <w:t xml:space="preserve">In population pharmacokinetic analysis in HCV-infected subjects, </w:t>
      </w:r>
      <w:proofErr w:type="spellStart"/>
      <w:r w:rsidR="0045653A" w:rsidRPr="00C3312A">
        <w:t>grazoprevir</w:t>
      </w:r>
      <w:proofErr w:type="spellEnd"/>
      <w:r w:rsidR="0045653A" w:rsidRPr="00C3312A">
        <w:t xml:space="preserve"> AUC was 10% higher in dialysis-dependent subjects and 40% higher in non-dialysis-dependent subjects with severe renal impairment compared to </w:t>
      </w:r>
      <w:proofErr w:type="spellStart"/>
      <w:r w:rsidR="0045653A" w:rsidRPr="00C3312A">
        <w:t>grazoprevir</w:t>
      </w:r>
      <w:proofErr w:type="spellEnd"/>
      <w:r w:rsidR="0045653A" w:rsidRPr="00C3312A">
        <w:t xml:space="preserve"> AUC in subjects without severe renal impairment.</w:t>
      </w:r>
      <w:r w:rsidR="0045653A">
        <w:t xml:space="preserve"> </w:t>
      </w:r>
    </w:p>
    <w:p w:rsidR="0045653A" w:rsidRDefault="0045653A" w:rsidP="0045653A">
      <w:pPr>
        <w:rPr>
          <w:i/>
          <w:u w:val="single"/>
        </w:rPr>
      </w:pPr>
      <w:r w:rsidRPr="00553BFB">
        <w:t xml:space="preserve">Overall, changes in exposure of </w:t>
      </w:r>
      <w:proofErr w:type="spellStart"/>
      <w:r w:rsidR="00A31C23" w:rsidRPr="00553BFB">
        <w:t>elbasvir</w:t>
      </w:r>
      <w:proofErr w:type="spellEnd"/>
      <w:r w:rsidR="00A31C23" w:rsidRPr="00553BFB">
        <w:t xml:space="preserve"> </w:t>
      </w:r>
      <w:r w:rsidR="00A31C23">
        <w:t xml:space="preserve">and </w:t>
      </w:r>
      <w:proofErr w:type="spellStart"/>
      <w:r w:rsidRPr="00553BFB">
        <w:t>grazoprevir</w:t>
      </w:r>
      <w:proofErr w:type="spellEnd"/>
      <w:r w:rsidRPr="00553BFB">
        <w:t xml:space="preserve"> in HCV-infected subjects with renal impairment with or without dialysis are not clinically relevant. Therefore, no dosage adjustment of </w:t>
      </w:r>
      <w:r w:rsidR="000D7FE6">
        <w:t>ZEPATIER</w:t>
      </w:r>
      <w:r w:rsidRPr="00553BFB">
        <w:t xml:space="preserve"> is </w:t>
      </w:r>
      <w:r>
        <w:t>recommended</w:t>
      </w:r>
      <w:r w:rsidRPr="00553BFB">
        <w:t xml:space="preserve"> in HCV-infected </w:t>
      </w:r>
      <w:r>
        <w:t>subjects</w:t>
      </w:r>
      <w:r w:rsidRPr="00553BFB">
        <w:t xml:space="preserve"> with renal impairment regardless of dialysis status </w:t>
      </w:r>
      <w:r>
        <w:rPr>
          <w:i/>
        </w:rPr>
        <w:t xml:space="preserve">(see </w:t>
      </w:r>
      <w:r w:rsidR="00410344" w:rsidRPr="00D201F6">
        <w:rPr>
          <w:i/>
        </w:rPr>
        <w:t>PRECAUTIONS:  Renal Impairment</w:t>
      </w:r>
      <w:r w:rsidR="00410344">
        <w:rPr>
          <w:i/>
        </w:rPr>
        <w:t xml:space="preserve"> and </w:t>
      </w:r>
      <w:r>
        <w:rPr>
          <w:i/>
        </w:rPr>
        <w:t>DOSAGE AND ADMINISTRATION</w:t>
      </w:r>
      <w:r w:rsidR="00410344">
        <w:rPr>
          <w:i/>
        </w:rPr>
        <w:t>:  Renal Insufficiency)</w:t>
      </w:r>
    </w:p>
    <w:p w:rsidR="00410344" w:rsidRDefault="00410344" w:rsidP="00F42F76"/>
    <w:p w:rsidR="00CC78DD" w:rsidRDefault="00CC78DD" w:rsidP="00F92767">
      <w:pPr>
        <w:pStyle w:val="Heading4"/>
      </w:pPr>
      <w:r w:rsidRPr="005F6BAA">
        <w:t>Hepatic impairment</w:t>
      </w:r>
    </w:p>
    <w:p w:rsidR="00E56AA7" w:rsidRPr="00E11AD3" w:rsidRDefault="00E56AA7" w:rsidP="00E56AA7">
      <w:r w:rsidRPr="00FA4653">
        <w:t xml:space="preserve">The pharmacokinetics of </w:t>
      </w:r>
      <w:proofErr w:type="spellStart"/>
      <w:r w:rsidR="009E0674" w:rsidRPr="00553BFB">
        <w:t>elbasvir</w:t>
      </w:r>
      <w:proofErr w:type="spellEnd"/>
      <w:r w:rsidR="009E0674" w:rsidRPr="00553BFB">
        <w:t xml:space="preserve"> </w:t>
      </w:r>
      <w:r w:rsidR="009E0674">
        <w:t xml:space="preserve">and </w:t>
      </w:r>
      <w:proofErr w:type="spellStart"/>
      <w:r w:rsidRPr="00FA4653">
        <w:t>grazoprevir</w:t>
      </w:r>
      <w:proofErr w:type="spellEnd"/>
      <w:r w:rsidRPr="00FA4653">
        <w:t xml:space="preserve"> were evaluated in non-HCV</w:t>
      </w:r>
      <w:r>
        <w:t>-</w:t>
      </w:r>
      <w:r w:rsidRPr="00FA4653">
        <w:t>infected subjects with mild hepatic impairment (Child-Pugh Category A</w:t>
      </w:r>
      <w:r w:rsidRPr="002539FF">
        <w:t xml:space="preserve"> </w:t>
      </w:r>
      <w:r w:rsidRPr="003B4EA5">
        <w:t>[CP-A], score of 5-6), moderate hepatic impairment (</w:t>
      </w:r>
      <w:r w:rsidRPr="00E302B4">
        <w:t xml:space="preserve">Child-Pugh Category B [CP-B], score of 7-9) and severe hepatic impairment (Child-Pugh Category C [CP-C], </w:t>
      </w:r>
      <w:r w:rsidRPr="00847CF5">
        <w:t>score of 10-15).</w:t>
      </w:r>
      <w:r>
        <w:t xml:space="preserve"> </w:t>
      </w:r>
      <w:r w:rsidRPr="002F1611">
        <w:t xml:space="preserve">In addition, the pharmacokinetics of </w:t>
      </w:r>
      <w:proofErr w:type="spellStart"/>
      <w:r w:rsidR="009E0674" w:rsidRPr="00553BFB">
        <w:t>elbasvir</w:t>
      </w:r>
      <w:proofErr w:type="spellEnd"/>
      <w:r w:rsidR="009E0674" w:rsidRPr="00553BFB">
        <w:t xml:space="preserve"> </w:t>
      </w:r>
      <w:r w:rsidR="009E0674">
        <w:t xml:space="preserve">and </w:t>
      </w:r>
      <w:proofErr w:type="spellStart"/>
      <w:r w:rsidRPr="002F1611">
        <w:lastRenderedPageBreak/>
        <w:t>grazoprevir</w:t>
      </w:r>
      <w:proofErr w:type="spellEnd"/>
      <w:r w:rsidRPr="002F1611">
        <w:t xml:space="preserve"> were also evaluated in HCV-infected </w:t>
      </w:r>
      <w:r>
        <w:t>subjects</w:t>
      </w:r>
      <w:r w:rsidRPr="003B4EA5">
        <w:t xml:space="preserve"> with </w:t>
      </w:r>
      <w:r w:rsidRPr="00E302B4">
        <w:t>mild hepatic impairm</w:t>
      </w:r>
      <w:r w:rsidRPr="00E11AD3">
        <w:t>ent (CP-A) or moderate hepatic impairment (CP-B).</w:t>
      </w:r>
    </w:p>
    <w:p w:rsidR="00E56AA7" w:rsidRPr="00E302B4" w:rsidRDefault="009E0674" w:rsidP="00E56AA7">
      <w:pPr>
        <w:rPr>
          <w:rFonts w:eastAsia="SimSun"/>
        </w:rPr>
      </w:pPr>
      <w:proofErr w:type="spellStart"/>
      <w:r w:rsidRPr="00E11AD3">
        <w:rPr>
          <w:rFonts w:eastAsia="SimSun"/>
        </w:rPr>
        <w:t>Elbasvir</w:t>
      </w:r>
      <w:proofErr w:type="spellEnd"/>
      <w:r w:rsidRPr="00E11AD3">
        <w:rPr>
          <w:rFonts w:eastAsia="SimSun"/>
        </w:rPr>
        <w:t xml:space="preserve"> AUC</w:t>
      </w:r>
      <w:r w:rsidRPr="00E11AD3">
        <w:rPr>
          <w:rFonts w:eastAsia="SimSun"/>
          <w:vertAlign w:val="subscript"/>
        </w:rPr>
        <w:t>0-inf</w:t>
      </w:r>
      <w:r w:rsidRPr="00E11AD3">
        <w:rPr>
          <w:rFonts w:eastAsia="SimSun"/>
        </w:rPr>
        <w:t xml:space="preserve"> was decreased by 40% in</w:t>
      </w:r>
      <w:r w:rsidRPr="00847CF5">
        <w:rPr>
          <w:rFonts w:eastAsia="SimSun"/>
        </w:rPr>
        <w:t xml:space="preserve"> non-HCV</w:t>
      </w:r>
      <w:r>
        <w:rPr>
          <w:rFonts w:eastAsia="SimSun"/>
        </w:rPr>
        <w:t>-</w:t>
      </w:r>
      <w:r w:rsidRPr="00682B6B">
        <w:rPr>
          <w:rFonts w:eastAsia="SimSun"/>
        </w:rPr>
        <w:t xml:space="preserve">infected subjects with mild hepatic impairment </w:t>
      </w:r>
      <w:r w:rsidR="00911C72">
        <w:rPr>
          <w:rFonts w:eastAsia="SimSun"/>
        </w:rPr>
        <w:t xml:space="preserve">(CP-A) </w:t>
      </w:r>
      <w:r w:rsidRPr="00682B6B">
        <w:rPr>
          <w:rFonts w:eastAsia="SimSun"/>
        </w:rPr>
        <w:t xml:space="preserve">compared to matching healthy subjects. </w:t>
      </w:r>
      <w:r w:rsidR="00E56AA7" w:rsidRPr="00E11AD3">
        <w:rPr>
          <w:rFonts w:eastAsia="SimSun"/>
        </w:rPr>
        <w:t xml:space="preserve">In non-HCV-infected subjects </w:t>
      </w:r>
      <w:proofErr w:type="gramStart"/>
      <w:r w:rsidR="00E56AA7" w:rsidRPr="00E11AD3">
        <w:rPr>
          <w:rFonts w:eastAsia="SimSun"/>
        </w:rPr>
        <w:t>with  mild</w:t>
      </w:r>
      <w:proofErr w:type="gramEnd"/>
      <w:r w:rsidR="00E56AA7" w:rsidRPr="00E11AD3">
        <w:rPr>
          <w:rFonts w:eastAsia="SimSun"/>
        </w:rPr>
        <w:t xml:space="preserve"> hepatic impairment, </w:t>
      </w:r>
      <w:proofErr w:type="spellStart"/>
      <w:r w:rsidR="00E56AA7" w:rsidRPr="00E11AD3">
        <w:rPr>
          <w:rFonts w:eastAsia="SimSun"/>
        </w:rPr>
        <w:t>grazoprevir</w:t>
      </w:r>
      <w:proofErr w:type="spellEnd"/>
      <w:r w:rsidR="00E56AA7" w:rsidRPr="00E11AD3">
        <w:rPr>
          <w:rFonts w:eastAsia="SimSun"/>
        </w:rPr>
        <w:t xml:space="preserve"> steady-state AUC</w:t>
      </w:r>
      <w:r w:rsidR="00E56AA7" w:rsidRPr="00E11AD3">
        <w:rPr>
          <w:rFonts w:eastAsia="SimSun"/>
          <w:vertAlign w:val="subscript"/>
        </w:rPr>
        <w:t xml:space="preserve">0-24 </w:t>
      </w:r>
      <w:r w:rsidR="00E56AA7" w:rsidRPr="00E11AD3">
        <w:rPr>
          <w:rFonts w:eastAsia="SimSun"/>
        </w:rPr>
        <w:t xml:space="preserve">was increased 70% compared to matching healthy subjects. </w:t>
      </w:r>
      <w:r w:rsidR="00E56AA7" w:rsidRPr="00682B6B">
        <w:rPr>
          <w:rFonts w:eastAsia="SimSun"/>
        </w:rPr>
        <w:t xml:space="preserve">Population PK analyses of HCV-infected </w:t>
      </w:r>
      <w:r w:rsidR="00E56AA7">
        <w:rPr>
          <w:rFonts w:eastAsia="SimSun"/>
        </w:rPr>
        <w:t xml:space="preserve">subjects </w:t>
      </w:r>
      <w:r w:rsidR="00E56AA7" w:rsidRPr="003B4EA5">
        <w:rPr>
          <w:rFonts w:eastAsia="SimSun"/>
        </w:rPr>
        <w:t xml:space="preserve">in Phase 2 and 3 studies demonstrated that </w:t>
      </w:r>
      <w:proofErr w:type="spellStart"/>
      <w:r>
        <w:rPr>
          <w:rFonts w:eastAsia="SimSun"/>
        </w:rPr>
        <w:t>e</w:t>
      </w:r>
      <w:r w:rsidRPr="00553BFB">
        <w:rPr>
          <w:rFonts w:eastAsia="SimSun"/>
        </w:rPr>
        <w:t>lbasvir</w:t>
      </w:r>
      <w:proofErr w:type="spellEnd"/>
      <w:r w:rsidRPr="003B4EA5">
        <w:rPr>
          <w:rFonts w:eastAsia="SimSun"/>
        </w:rPr>
        <w:t xml:space="preserve"> steady-state AUC was similar </w:t>
      </w:r>
      <w:r>
        <w:rPr>
          <w:rFonts w:eastAsia="SimSun"/>
        </w:rPr>
        <w:t xml:space="preserve">in </w:t>
      </w:r>
      <w:r w:rsidRPr="003B4EA5">
        <w:rPr>
          <w:rFonts w:eastAsia="SimSun"/>
        </w:rPr>
        <w:t xml:space="preserve">HCV-infected </w:t>
      </w:r>
      <w:r>
        <w:rPr>
          <w:rFonts w:eastAsia="SimSun"/>
        </w:rPr>
        <w:t xml:space="preserve">subjects with mild hepatic impairment </w:t>
      </w:r>
      <w:r w:rsidR="00C95A66">
        <w:rPr>
          <w:rFonts w:eastAsia="SimSun"/>
        </w:rPr>
        <w:t xml:space="preserve">(CP-A) </w:t>
      </w:r>
      <w:r>
        <w:rPr>
          <w:rFonts w:eastAsia="SimSun"/>
        </w:rPr>
        <w:t>compared to subjects without hepatic impairment</w:t>
      </w:r>
      <w:r w:rsidRPr="00AD3438">
        <w:rPr>
          <w:rFonts w:eastAsia="SimSun"/>
        </w:rPr>
        <w:t xml:space="preserve">. </w:t>
      </w:r>
      <w:proofErr w:type="spellStart"/>
      <w:r>
        <w:rPr>
          <w:rFonts w:eastAsia="SimSun"/>
        </w:rPr>
        <w:t>G</w:t>
      </w:r>
      <w:r w:rsidR="00E56AA7" w:rsidRPr="00AD3438">
        <w:rPr>
          <w:rFonts w:eastAsia="SimSun"/>
        </w:rPr>
        <w:t>razoprevir</w:t>
      </w:r>
      <w:proofErr w:type="spellEnd"/>
      <w:r w:rsidR="00E56AA7" w:rsidRPr="003B4EA5" w:rsidDel="005669B7">
        <w:rPr>
          <w:rFonts w:eastAsia="SimSun"/>
        </w:rPr>
        <w:t xml:space="preserve"> </w:t>
      </w:r>
      <w:r w:rsidR="00E56AA7" w:rsidRPr="00E302B4">
        <w:rPr>
          <w:rFonts w:eastAsia="SimSun"/>
        </w:rPr>
        <w:t>steady</w:t>
      </w:r>
      <w:r w:rsidR="00E56AA7">
        <w:rPr>
          <w:rFonts w:eastAsia="SimSun"/>
        </w:rPr>
        <w:t>-</w:t>
      </w:r>
      <w:r w:rsidR="00E56AA7" w:rsidRPr="00E302B4">
        <w:rPr>
          <w:rFonts w:eastAsia="SimSun"/>
        </w:rPr>
        <w:t>state AUC</w:t>
      </w:r>
      <w:r w:rsidR="00E56AA7" w:rsidRPr="00BF3773">
        <w:rPr>
          <w:rFonts w:eastAsia="SimSun"/>
          <w:vertAlign w:val="subscript"/>
        </w:rPr>
        <w:t>0-24</w:t>
      </w:r>
      <w:r w:rsidR="00E56AA7" w:rsidRPr="00E302B4">
        <w:rPr>
          <w:rFonts w:eastAsia="SimSun"/>
        </w:rPr>
        <w:t xml:space="preserve"> increased by approximately </w:t>
      </w:r>
      <w:r w:rsidR="00E56AA7">
        <w:rPr>
          <w:rFonts w:eastAsia="SimSun"/>
        </w:rPr>
        <w:t>65%</w:t>
      </w:r>
      <w:r w:rsidR="00E56AA7" w:rsidRPr="00E302B4" w:rsidDel="005669B7">
        <w:rPr>
          <w:rFonts w:eastAsia="SimSun"/>
        </w:rPr>
        <w:t xml:space="preserve"> </w:t>
      </w:r>
      <w:r w:rsidR="00E56AA7" w:rsidRPr="00E302B4">
        <w:rPr>
          <w:rFonts w:eastAsia="SimSun"/>
        </w:rPr>
        <w:t xml:space="preserve">in </w:t>
      </w:r>
      <w:r w:rsidR="00C95A66">
        <w:rPr>
          <w:rFonts w:eastAsia="SimSun"/>
        </w:rPr>
        <w:t xml:space="preserve">HCV-infected </w:t>
      </w:r>
      <w:r w:rsidR="00E56AA7">
        <w:rPr>
          <w:rFonts w:eastAsia="SimSun"/>
        </w:rPr>
        <w:t xml:space="preserve">subjects with </w:t>
      </w:r>
      <w:r w:rsidR="00E56AA7" w:rsidRPr="00E302B4">
        <w:rPr>
          <w:rFonts w:eastAsia="SimSun"/>
        </w:rPr>
        <w:t>compensated cirrhosis</w:t>
      </w:r>
      <w:r w:rsidR="00E56AA7">
        <w:rPr>
          <w:rFonts w:eastAsia="SimSun"/>
        </w:rPr>
        <w:t xml:space="preserve"> </w:t>
      </w:r>
      <w:r w:rsidR="00E56AA7" w:rsidRPr="003B4EA5">
        <w:rPr>
          <w:rFonts w:eastAsia="SimSun"/>
        </w:rPr>
        <w:t xml:space="preserve">compared to </w:t>
      </w:r>
      <w:r w:rsidR="00C95A66">
        <w:rPr>
          <w:rFonts w:eastAsia="SimSun"/>
        </w:rPr>
        <w:t xml:space="preserve">HCV-infected, </w:t>
      </w:r>
      <w:r w:rsidR="00E56AA7" w:rsidRPr="003B4EA5">
        <w:rPr>
          <w:rFonts w:eastAsia="SimSun"/>
        </w:rPr>
        <w:t xml:space="preserve">non-cirrhotic </w:t>
      </w:r>
      <w:r w:rsidR="00E56AA7">
        <w:rPr>
          <w:rFonts w:eastAsia="SimSun"/>
        </w:rPr>
        <w:t>subjects.</w:t>
      </w:r>
      <w:r w:rsidR="00E56AA7" w:rsidRPr="00553BFB">
        <w:rPr>
          <w:rFonts w:eastAsia="SimSun"/>
        </w:rPr>
        <w:t xml:space="preserve"> </w:t>
      </w:r>
      <w:r w:rsidR="00E56AA7" w:rsidRPr="00FA4653">
        <w:t xml:space="preserve">Based on these data, no dosage adjustment of </w:t>
      </w:r>
      <w:r w:rsidR="000D7FE6">
        <w:t>ZEPATIER</w:t>
      </w:r>
      <w:r w:rsidR="00E56AA7" w:rsidRPr="00FA4653">
        <w:t xml:space="preserve"> is </w:t>
      </w:r>
      <w:r w:rsidR="00E56AA7">
        <w:t>recommended</w:t>
      </w:r>
      <w:r w:rsidR="00E56AA7" w:rsidRPr="00FA4653">
        <w:t xml:space="preserve"> in HCV-infected </w:t>
      </w:r>
      <w:r w:rsidR="00E56AA7">
        <w:t>subjects</w:t>
      </w:r>
      <w:r w:rsidR="00E56AA7" w:rsidRPr="002539FF">
        <w:t xml:space="preserve"> with </w:t>
      </w:r>
      <w:r w:rsidR="00E56AA7" w:rsidRPr="003B4EA5">
        <w:t>mild hepatic impairment (CP-A), including those with compensated cirrhosis</w:t>
      </w:r>
      <w:r w:rsidR="00E56AA7" w:rsidRPr="00E302B4">
        <w:t>.</w:t>
      </w:r>
    </w:p>
    <w:p w:rsidR="00E56AA7" w:rsidRPr="003B4EA5" w:rsidRDefault="009E0674" w:rsidP="00E56AA7">
      <w:pPr>
        <w:rPr>
          <w:rFonts w:eastAsia="SimSun"/>
        </w:rPr>
      </w:pPr>
      <w:proofErr w:type="spellStart"/>
      <w:r>
        <w:rPr>
          <w:rFonts w:eastAsia="SimSun"/>
        </w:rPr>
        <w:t>Elbasvir</w:t>
      </w:r>
      <w:proofErr w:type="spellEnd"/>
      <w:r>
        <w:rPr>
          <w:rFonts w:eastAsia="SimSun"/>
        </w:rPr>
        <w:t xml:space="preserve"> </w:t>
      </w:r>
      <w:r w:rsidRPr="00553BFB">
        <w:rPr>
          <w:rFonts w:eastAsia="SimSun"/>
        </w:rPr>
        <w:t xml:space="preserve">AUC </w:t>
      </w:r>
      <w:r w:rsidRPr="00553BFB">
        <w:rPr>
          <w:rFonts w:eastAsia="MS Mincho"/>
        </w:rPr>
        <w:t>decreased by 28%</w:t>
      </w:r>
      <w:r w:rsidRPr="003B4EA5">
        <w:rPr>
          <w:rFonts w:eastAsia="MS Mincho"/>
        </w:rPr>
        <w:t xml:space="preserve"> </w:t>
      </w:r>
      <w:r>
        <w:rPr>
          <w:rFonts w:eastAsia="MS Mincho"/>
        </w:rPr>
        <w:t>in non-HCV-infected subjects with moderate hepatic impairment</w:t>
      </w:r>
      <w:r w:rsidR="00911C72">
        <w:rPr>
          <w:rFonts w:eastAsia="MS Mincho"/>
        </w:rPr>
        <w:t xml:space="preserve"> (CP-B)</w:t>
      </w:r>
      <w:r>
        <w:rPr>
          <w:rFonts w:eastAsia="MS Mincho"/>
        </w:rPr>
        <w:t xml:space="preserve"> compared</w:t>
      </w:r>
      <w:r w:rsidRPr="003B0A10">
        <w:rPr>
          <w:rFonts w:eastAsia="MS Mincho"/>
        </w:rPr>
        <w:t xml:space="preserve"> </w:t>
      </w:r>
      <w:r>
        <w:rPr>
          <w:rFonts w:eastAsia="MS Mincho"/>
        </w:rPr>
        <w:t xml:space="preserve">to </w:t>
      </w:r>
      <w:proofErr w:type="gramStart"/>
      <w:r w:rsidRPr="003B4EA5">
        <w:rPr>
          <w:rFonts w:eastAsia="MS Mincho"/>
        </w:rPr>
        <w:t>matched</w:t>
      </w:r>
      <w:proofErr w:type="gramEnd"/>
      <w:r w:rsidRPr="003B4EA5">
        <w:rPr>
          <w:rFonts w:eastAsia="MS Mincho"/>
        </w:rPr>
        <w:t xml:space="preserve"> healthy subjects</w:t>
      </w:r>
      <w:r>
        <w:rPr>
          <w:rFonts w:eastAsia="SimSun"/>
        </w:rPr>
        <w:t xml:space="preserve">. </w:t>
      </w:r>
      <w:proofErr w:type="spellStart"/>
      <w:r w:rsidRPr="00553BFB">
        <w:rPr>
          <w:rFonts w:eastAsia="SimSun"/>
        </w:rPr>
        <w:t>Elbasvir</w:t>
      </w:r>
      <w:proofErr w:type="spellEnd"/>
      <w:r w:rsidRPr="003B4EA5">
        <w:rPr>
          <w:rFonts w:eastAsia="SimSun"/>
        </w:rPr>
        <w:t xml:space="preserve"> steady-state AUC was similar </w:t>
      </w:r>
      <w:r>
        <w:rPr>
          <w:rFonts w:eastAsia="SimSun"/>
        </w:rPr>
        <w:t xml:space="preserve">in </w:t>
      </w:r>
      <w:r w:rsidRPr="003B4EA5">
        <w:rPr>
          <w:rFonts w:eastAsia="SimSun"/>
        </w:rPr>
        <w:t xml:space="preserve">HCV-infected </w:t>
      </w:r>
      <w:r>
        <w:rPr>
          <w:rFonts w:eastAsia="SimSun"/>
        </w:rPr>
        <w:t xml:space="preserve">subjects with moderate hepatic impairment </w:t>
      </w:r>
      <w:r w:rsidR="00C95A66">
        <w:rPr>
          <w:rFonts w:eastAsia="SimSun"/>
        </w:rPr>
        <w:t xml:space="preserve">(CP-B) </w:t>
      </w:r>
      <w:r>
        <w:rPr>
          <w:rFonts w:eastAsia="SimSun"/>
        </w:rPr>
        <w:t>compared to subjects without hepatic impairment</w:t>
      </w:r>
      <w:r w:rsidRPr="00AD3438">
        <w:rPr>
          <w:rFonts w:eastAsia="SimSun"/>
        </w:rPr>
        <w:t xml:space="preserve">. </w:t>
      </w:r>
      <w:r w:rsidR="00E56AA7" w:rsidRPr="00847CF5">
        <w:rPr>
          <w:rFonts w:eastAsia="SimSun"/>
        </w:rPr>
        <w:t xml:space="preserve">Compared to healthy matched </w:t>
      </w:r>
      <w:r w:rsidR="00E56AA7">
        <w:rPr>
          <w:rFonts w:eastAsia="SimSun"/>
        </w:rPr>
        <w:t>subjects</w:t>
      </w:r>
      <w:r w:rsidR="00E56AA7" w:rsidRPr="00847CF5">
        <w:rPr>
          <w:rFonts w:eastAsia="SimSun"/>
        </w:rPr>
        <w:t xml:space="preserve">, </w:t>
      </w:r>
      <w:proofErr w:type="spellStart"/>
      <w:r w:rsidR="00E56AA7" w:rsidRPr="00847CF5">
        <w:rPr>
          <w:rFonts w:eastAsia="SimSun"/>
        </w:rPr>
        <w:t>grazoprevir</w:t>
      </w:r>
      <w:proofErr w:type="spellEnd"/>
      <w:r w:rsidR="00E56AA7" w:rsidRPr="00847CF5">
        <w:rPr>
          <w:rFonts w:eastAsia="SimSun"/>
        </w:rPr>
        <w:t xml:space="preserve"> steady-state AUC</w:t>
      </w:r>
      <w:r w:rsidR="00E56AA7" w:rsidRPr="00BF3773">
        <w:rPr>
          <w:rFonts w:eastAsia="SimSun"/>
          <w:vertAlign w:val="subscript"/>
        </w:rPr>
        <w:t>0-24</w:t>
      </w:r>
      <w:r w:rsidR="00E56AA7" w:rsidRPr="00847CF5">
        <w:rPr>
          <w:rFonts w:eastAsia="SimSun"/>
        </w:rPr>
        <w:t xml:space="preserve"> was increased 5-fold in non-HCV</w:t>
      </w:r>
      <w:r w:rsidR="00E56AA7" w:rsidRPr="002F1611">
        <w:rPr>
          <w:rFonts w:eastAsia="SimSun"/>
        </w:rPr>
        <w:t>-infected subjects with moderate hepatic impairment</w:t>
      </w:r>
      <w:r w:rsidR="00C95A66">
        <w:rPr>
          <w:rFonts w:eastAsia="SimSun"/>
        </w:rPr>
        <w:t xml:space="preserve"> (CP-B)</w:t>
      </w:r>
      <w:r w:rsidR="00E56AA7" w:rsidRPr="002F1611">
        <w:rPr>
          <w:rFonts w:eastAsia="SimSun"/>
        </w:rPr>
        <w:t xml:space="preserve">. </w:t>
      </w:r>
      <w:r w:rsidR="000D7FE6">
        <w:t>ZEPATIER</w:t>
      </w:r>
      <w:r w:rsidR="00E56AA7" w:rsidRPr="00FA4653">
        <w:t xml:space="preserve"> is </w:t>
      </w:r>
      <w:r w:rsidR="00AA2CB7">
        <w:t xml:space="preserve">contraindicated </w:t>
      </w:r>
      <w:r w:rsidR="00E56AA7" w:rsidRPr="00FA4653">
        <w:t>in HCV-infected subjects with moderate hepatic impairment (</w:t>
      </w:r>
      <w:r w:rsidR="00AA2CB7">
        <w:t>CP-</w:t>
      </w:r>
      <w:r w:rsidR="00E56AA7" w:rsidRPr="00FA4653">
        <w:t xml:space="preserve">B) </w:t>
      </w:r>
      <w:r w:rsidR="00E56AA7" w:rsidRPr="002539FF">
        <w:rPr>
          <w:rFonts w:eastAsia="SimSun"/>
        </w:rPr>
        <w:t>due to</w:t>
      </w:r>
      <w:r w:rsidR="00E56AA7" w:rsidRPr="003B4EA5">
        <w:rPr>
          <w:rFonts w:eastAsia="MS Mincho"/>
        </w:rPr>
        <w:t xml:space="preserve"> lack of clinical safety and efficacy experience in this population and the </w:t>
      </w:r>
      <w:r w:rsidR="00E56AA7">
        <w:rPr>
          <w:rFonts w:eastAsia="MS Mincho"/>
        </w:rPr>
        <w:t>expected</w:t>
      </w:r>
      <w:r w:rsidR="00E56AA7" w:rsidRPr="003B4EA5">
        <w:rPr>
          <w:rFonts w:eastAsia="MS Mincho"/>
        </w:rPr>
        <w:t xml:space="preserve"> increase in </w:t>
      </w:r>
      <w:proofErr w:type="spellStart"/>
      <w:r w:rsidR="00E56AA7" w:rsidRPr="003B4EA5">
        <w:rPr>
          <w:rFonts w:eastAsia="MS Mincho"/>
        </w:rPr>
        <w:t>grazoprevir</w:t>
      </w:r>
      <w:proofErr w:type="spellEnd"/>
      <w:r w:rsidR="00E56AA7" w:rsidRPr="003B4EA5">
        <w:rPr>
          <w:rFonts w:eastAsia="MS Mincho"/>
        </w:rPr>
        <w:t xml:space="preserve"> exposure. </w:t>
      </w:r>
    </w:p>
    <w:p w:rsidR="00E56AA7" w:rsidRPr="0045653A" w:rsidRDefault="009E0674" w:rsidP="00E56AA7">
      <w:pPr>
        <w:rPr>
          <w:rFonts w:eastAsia="MS Mincho"/>
        </w:rPr>
      </w:pPr>
      <w:proofErr w:type="spellStart"/>
      <w:r w:rsidRPr="00682B6B">
        <w:rPr>
          <w:rFonts w:eastAsia="SimSun"/>
        </w:rPr>
        <w:t>Elbasvir</w:t>
      </w:r>
      <w:proofErr w:type="spellEnd"/>
      <w:r w:rsidRPr="00682B6B">
        <w:rPr>
          <w:rFonts w:eastAsia="SimSun"/>
        </w:rPr>
        <w:t xml:space="preserve"> AU</w:t>
      </w:r>
      <w:r w:rsidRPr="000B1EB0">
        <w:rPr>
          <w:rFonts w:eastAsia="SimSun"/>
        </w:rPr>
        <w:t>C</w:t>
      </w:r>
      <w:r w:rsidRPr="00682B6B">
        <w:rPr>
          <w:rFonts w:eastAsia="SimSun"/>
          <w:vertAlign w:val="subscript"/>
        </w:rPr>
        <w:t>0-inf</w:t>
      </w:r>
      <w:r w:rsidRPr="00682B6B">
        <w:rPr>
          <w:rFonts w:eastAsia="SimSun"/>
        </w:rPr>
        <w:t xml:space="preserve"> is decreased by </w:t>
      </w:r>
      <w:r w:rsidRPr="003B4EA5">
        <w:rPr>
          <w:rFonts w:eastAsia="SimSun"/>
        </w:rPr>
        <w:t>12%</w:t>
      </w:r>
      <w:r w:rsidRPr="00E302B4">
        <w:rPr>
          <w:rFonts w:eastAsia="SimSun"/>
        </w:rPr>
        <w:t xml:space="preserve"> in non-HCV</w:t>
      </w:r>
      <w:r>
        <w:rPr>
          <w:rFonts w:eastAsia="SimSun"/>
        </w:rPr>
        <w:t>-</w:t>
      </w:r>
      <w:r w:rsidRPr="00E302B4">
        <w:rPr>
          <w:rFonts w:eastAsia="SimSun"/>
        </w:rPr>
        <w:t xml:space="preserve">infected subjects with severe hepatic impairment </w:t>
      </w:r>
      <w:r w:rsidR="00C95A66">
        <w:rPr>
          <w:rFonts w:eastAsia="SimSun"/>
        </w:rPr>
        <w:t xml:space="preserve">(CP-C) </w:t>
      </w:r>
      <w:r w:rsidRPr="00E302B4">
        <w:rPr>
          <w:rFonts w:eastAsia="SimSun"/>
        </w:rPr>
        <w:t xml:space="preserve">compared to matching healthy subjects. </w:t>
      </w:r>
      <w:proofErr w:type="spellStart"/>
      <w:r w:rsidR="00E56AA7" w:rsidRPr="00E302B4">
        <w:rPr>
          <w:rFonts w:eastAsia="SimSun"/>
        </w:rPr>
        <w:t>Grazoprevir</w:t>
      </w:r>
      <w:proofErr w:type="spellEnd"/>
      <w:r w:rsidR="00E56AA7" w:rsidRPr="00E302B4">
        <w:rPr>
          <w:rFonts w:eastAsia="SimSun"/>
        </w:rPr>
        <w:t xml:space="preserve"> steady-state AUC</w:t>
      </w:r>
      <w:r w:rsidR="00E56AA7" w:rsidRPr="00E302B4">
        <w:rPr>
          <w:rFonts w:eastAsia="SimSun"/>
          <w:vertAlign w:val="subscript"/>
        </w:rPr>
        <w:t>0-24</w:t>
      </w:r>
      <w:r w:rsidR="00E56AA7" w:rsidRPr="00E302B4">
        <w:rPr>
          <w:rFonts w:eastAsia="SimSun"/>
        </w:rPr>
        <w:t xml:space="preserve"> </w:t>
      </w:r>
      <w:r w:rsidR="00E56AA7" w:rsidRPr="003B4EA5">
        <w:rPr>
          <w:rFonts w:eastAsia="SimSun"/>
        </w:rPr>
        <w:t xml:space="preserve">was </w:t>
      </w:r>
      <w:r w:rsidR="00E56AA7" w:rsidRPr="00E302B4">
        <w:rPr>
          <w:rFonts w:eastAsia="SimSun"/>
        </w:rPr>
        <w:t xml:space="preserve">increased </w:t>
      </w:r>
      <w:r w:rsidR="00E56AA7" w:rsidRPr="003B4EA5">
        <w:rPr>
          <w:rFonts w:eastAsia="SimSun"/>
        </w:rPr>
        <w:t>1</w:t>
      </w:r>
      <w:r w:rsidR="00E56AA7" w:rsidRPr="00E302B4">
        <w:rPr>
          <w:rFonts w:eastAsia="SimSun"/>
        </w:rPr>
        <w:t>2</w:t>
      </w:r>
      <w:r w:rsidR="00E56AA7" w:rsidRPr="003B4EA5">
        <w:rPr>
          <w:rFonts w:eastAsia="SimSun"/>
        </w:rPr>
        <w:t xml:space="preserve">-fold </w:t>
      </w:r>
      <w:r w:rsidR="00E56AA7" w:rsidRPr="00E302B4">
        <w:rPr>
          <w:rFonts w:eastAsia="SimSun"/>
        </w:rPr>
        <w:t>in non-HCV</w:t>
      </w:r>
      <w:r w:rsidR="00E56AA7">
        <w:rPr>
          <w:rFonts w:eastAsia="SimSun"/>
        </w:rPr>
        <w:t>-</w:t>
      </w:r>
      <w:r w:rsidR="00E56AA7" w:rsidRPr="00E302B4">
        <w:rPr>
          <w:rFonts w:eastAsia="SimSun"/>
        </w:rPr>
        <w:t>infected subjects with severe hepatic impairment</w:t>
      </w:r>
      <w:r w:rsidR="00E56AA7" w:rsidRPr="00847CF5">
        <w:rPr>
          <w:rFonts w:eastAsia="SimSun"/>
        </w:rPr>
        <w:t xml:space="preserve"> (CP-</w:t>
      </w:r>
      <w:r w:rsidR="00E56AA7" w:rsidRPr="002F1611">
        <w:rPr>
          <w:rFonts w:eastAsia="SimSun"/>
        </w:rPr>
        <w:t xml:space="preserve">C) </w:t>
      </w:r>
      <w:r w:rsidR="00E56AA7" w:rsidRPr="00682B6B">
        <w:rPr>
          <w:rFonts w:eastAsia="SimSun"/>
        </w:rPr>
        <w:t xml:space="preserve">compared to healthy matched </w:t>
      </w:r>
      <w:r w:rsidR="00E56AA7">
        <w:rPr>
          <w:rFonts w:eastAsia="SimSun"/>
        </w:rPr>
        <w:t>subjects</w:t>
      </w:r>
      <w:r w:rsidR="00E56AA7" w:rsidRPr="00682B6B">
        <w:rPr>
          <w:rFonts w:eastAsia="SimSun"/>
        </w:rPr>
        <w:t xml:space="preserve">. </w:t>
      </w:r>
      <w:r w:rsidR="000D7FE6">
        <w:t>ZEPATIER</w:t>
      </w:r>
      <w:r w:rsidR="00E56AA7" w:rsidRPr="00847CF5">
        <w:t xml:space="preserve"> is</w:t>
      </w:r>
      <w:r w:rsidR="00E56AA7" w:rsidRPr="00847CF5">
        <w:rPr>
          <w:b/>
        </w:rPr>
        <w:t xml:space="preserve"> </w:t>
      </w:r>
      <w:r w:rsidR="00E56AA7" w:rsidRPr="002F1611">
        <w:rPr>
          <w:rFonts w:eastAsia="MS Mincho"/>
        </w:rPr>
        <w:t xml:space="preserve">contraindicated in </w:t>
      </w:r>
      <w:r w:rsidR="00E56AA7">
        <w:rPr>
          <w:rFonts w:eastAsia="MS Mincho"/>
        </w:rPr>
        <w:t>HCV-infected subjects</w:t>
      </w:r>
      <w:r w:rsidR="00E56AA7" w:rsidRPr="002F1611">
        <w:rPr>
          <w:rFonts w:eastAsia="MS Mincho"/>
        </w:rPr>
        <w:t xml:space="preserve"> with severe hepatic impairment (</w:t>
      </w:r>
      <w:r w:rsidR="00C95A66">
        <w:rPr>
          <w:rFonts w:eastAsia="MS Mincho"/>
        </w:rPr>
        <w:t>CP-C</w:t>
      </w:r>
      <w:r w:rsidR="00E56AA7" w:rsidRPr="00682B6B">
        <w:rPr>
          <w:rFonts w:eastAsia="MS Mincho"/>
        </w:rPr>
        <w:t>)</w:t>
      </w:r>
      <w:r w:rsidR="00E56AA7" w:rsidRPr="003B4EA5">
        <w:rPr>
          <w:rFonts w:eastAsia="MS Mincho"/>
        </w:rPr>
        <w:t xml:space="preserve"> based on the </w:t>
      </w:r>
      <w:r w:rsidR="00E56AA7">
        <w:t xml:space="preserve">significant </w:t>
      </w:r>
      <w:r w:rsidR="00E56AA7" w:rsidRPr="003B4EA5">
        <w:rPr>
          <w:rFonts w:eastAsia="MS Mincho"/>
        </w:rPr>
        <w:t xml:space="preserve">increase in </w:t>
      </w:r>
      <w:proofErr w:type="spellStart"/>
      <w:r w:rsidR="00E56AA7" w:rsidRPr="003B4EA5">
        <w:rPr>
          <w:rFonts w:eastAsia="MS Mincho"/>
        </w:rPr>
        <w:t>grazoprevir</w:t>
      </w:r>
      <w:proofErr w:type="spellEnd"/>
      <w:r w:rsidR="00E56AA7" w:rsidRPr="003B4EA5">
        <w:rPr>
          <w:rFonts w:eastAsia="MS Mincho"/>
        </w:rPr>
        <w:t xml:space="preserve"> exposure observed in non-HCV</w:t>
      </w:r>
      <w:r w:rsidR="00E56AA7">
        <w:rPr>
          <w:rFonts w:eastAsia="MS Mincho"/>
        </w:rPr>
        <w:t>-</w:t>
      </w:r>
      <w:r w:rsidR="00E56AA7" w:rsidRPr="003B4EA5">
        <w:rPr>
          <w:rFonts w:eastAsia="MS Mincho"/>
        </w:rPr>
        <w:t xml:space="preserve">infected </w:t>
      </w:r>
      <w:r w:rsidR="00E56AA7" w:rsidRPr="00E302B4">
        <w:rPr>
          <w:rFonts w:eastAsia="MS Mincho"/>
        </w:rPr>
        <w:t>subjects with severe hepatic impairment</w:t>
      </w:r>
      <w:r w:rsidR="00C95A66">
        <w:rPr>
          <w:rFonts w:eastAsia="MS Mincho"/>
        </w:rPr>
        <w:t xml:space="preserve"> (CP-C)</w:t>
      </w:r>
      <w:r w:rsidR="00E56AA7" w:rsidRPr="00E302B4">
        <w:rPr>
          <w:rFonts w:eastAsia="MS Mincho"/>
        </w:rPr>
        <w:t xml:space="preserve"> </w:t>
      </w:r>
      <w:r w:rsidR="00E56AA7">
        <w:rPr>
          <w:i/>
        </w:rPr>
        <w:t xml:space="preserve">(see </w:t>
      </w:r>
      <w:r w:rsidR="00E56AA7" w:rsidRPr="0045653A">
        <w:rPr>
          <w:i/>
        </w:rPr>
        <w:t xml:space="preserve">CONTRAINDICATIONS and </w:t>
      </w:r>
      <w:r w:rsidR="003F2551" w:rsidRPr="0045653A">
        <w:rPr>
          <w:i/>
        </w:rPr>
        <w:t>PRECAUTIONS</w:t>
      </w:r>
      <w:r w:rsidR="00410344">
        <w:rPr>
          <w:i/>
        </w:rPr>
        <w:t>: Hepatic Impairment</w:t>
      </w:r>
      <w:r w:rsidR="00E56AA7" w:rsidRPr="0045653A">
        <w:rPr>
          <w:i/>
        </w:rPr>
        <w:t>)</w:t>
      </w:r>
      <w:r w:rsidR="00E56AA7" w:rsidRPr="0045653A">
        <w:rPr>
          <w:rFonts w:eastAsia="MS Mincho"/>
        </w:rPr>
        <w:t>.</w:t>
      </w:r>
    </w:p>
    <w:p w:rsidR="00CC78DD" w:rsidRPr="0045653A" w:rsidRDefault="00CC78DD" w:rsidP="00F92767">
      <w:pPr>
        <w:pStyle w:val="Heading4"/>
      </w:pPr>
      <w:r w:rsidRPr="0045653A">
        <w:t>Gender</w:t>
      </w:r>
    </w:p>
    <w:p w:rsidR="00265397" w:rsidRPr="0045653A" w:rsidRDefault="00265397" w:rsidP="00265397">
      <w:r w:rsidRPr="0045653A">
        <w:rPr>
          <w:rFonts w:eastAsia="MS Mincho"/>
        </w:rPr>
        <w:t>In p</w:t>
      </w:r>
      <w:r w:rsidRPr="0045653A">
        <w:t xml:space="preserve">opulation pharmacokinetic analyses, </w:t>
      </w:r>
      <w:proofErr w:type="spellStart"/>
      <w:r w:rsidR="009E0674">
        <w:t>elbasvir</w:t>
      </w:r>
      <w:proofErr w:type="spellEnd"/>
      <w:r w:rsidR="009E0674">
        <w:t xml:space="preserve"> and </w:t>
      </w:r>
      <w:proofErr w:type="spellStart"/>
      <w:r w:rsidRPr="0045653A">
        <w:t>grazoprevir</w:t>
      </w:r>
      <w:proofErr w:type="spellEnd"/>
      <w:r w:rsidRPr="0045653A">
        <w:t xml:space="preserve"> AUCs are estimated to be </w:t>
      </w:r>
      <w:r w:rsidR="009E0674">
        <w:t xml:space="preserve">50% and </w:t>
      </w:r>
      <w:r w:rsidRPr="0045653A">
        <w:t>30% higher, respectively, in females compared to males.</w:t>
      </w:r>
      <w:r w:rsidRPr="0045653A" w:rsidDel="00852088">
        <w:t xml:space="preserve"> </w:t>
      </w:r>
      <w:r w:rsidRPr="00DD6FA8">
        <w:t>These changes are not clinically relevant</w:t>
      </w:r>
      <w:r w:rsidRPr="0045653A">
        <w:t xml:space="preserve">; therefore, no dose adjustment of </w:t>
      </w:r>
      <w:r w:rsidR="000D7FE6">
        <w:t>ZEPATIER</w:t>
      </w:r>
      <w:r w:rsidRPr="0045653A">
        <w:t xml:space="preserve"> is recommended based on sex.</w:t>
      </w:r>
    </w:p>
    <w:p w:rsidR="00CC78DD" w:rsidRPr="0045653A" w:rsidRDefault="00CC78DD" w:rsidP="00F92767">
      <w:pPr>
        <w:pStyle w:val="Heading4"/>
      </w:pPr>
      <w:r w:rsidRPr="0045653A">
        <w:t>Race</w:t>
      </w:r>
    </w:p>
    <w:p w:rsidR="00A5606D" w:rsidRDefault="00A5606D" w:rsidP="00A5606D">
      <w:r w:rsidRPr="0045653A">
        <w:rPr>
          <w:rFonts w:eastAsia="MS Mincho"/>
        </w:rPr>
        <w:t>In p</w:t>
      </w:r>
      <w:r w:rsidRPr="0045653A">
        <w:t xml:space="preserve">opulation pharmacokinetic analyses, </w:t>
      </w:r>
      <w:proofErr w:type="spellStart"/>
      <w:r w:rsidR="009E0674">
        <w:t>elbasvir</w:t>
      </w:r>
      <w:proofErr w:type="spellEnd"/>
      <w:r w:rsidR="009E0674">
        <w:t xml:space="preserve"> and </w:t>
      </w:r>
      <w:proofErr w:type="spellStart"/>
      <w:r w:rsidRPr="0045653A">
        <w:t>grazoprevir</w:t>
      </w:r>
      <w:proofErr w:type="spellEnd"/>
      <w:r w:rsidRPr="0045653A">
        <w:t xml:space="preserve"> AUCs are estimated to be </w:t>
      </w:r>
      <w:r w:rsidR="009E0674">
        <w:t xml:space="preserve">15% and </w:t>
      </w:r>
      <w:r w:rsidRPr="0045653A">
        <w:t>50% higher, respectively, for Asians compared to Whites.</w:t>
      </w:r>
      <w:r w:rsidRPr="0045653A" w:rsidDel="00852088">
        <w:t xml:space="preserve"> </w:t>
      </w:r>
      <w:r w:rsidRPr="0045653A">
        <w:t xml:space="preserve">Population pharmacokinetics estimates of exposure of </w:t>
      </w:r>
      <w:proofErr w:type="spellStart"/>
      <w:r w:rsidR="009E0674">
        <w:t>elbasvir</w:t>
      </w:r>
      <w:proofErr w:type="spellEnd"/>
      <w:r w:rsidR="009E0674">
        <w:t xml:space="preserve"> and </w:t>
      </w:r>
      <w:proofErr w:type="spellStart"/>
      <w:r w:rsidRPr="0045653A">
        <w:t>grazoprevir</w:t>
      </w:r>
      <w:proofErr w:type="spellEnd"/>
      <w:r w:rsidRPr="0045653A">
        <w:t xml:space="preserve"> were comparable between Whites and Black/African Americans. </w:t>
      </w:r>
      <w:r w:rsidRPr="00DD6FA8">
        <w:t>These changes are not clinically relevant</w:t>
      </w:r>
      <w:r w:rsidRPr="0045653A">
        <w:t xml:space="preserve">; therefore, no dose adjustment of </w:t>
      </w:r>
      <w:r w:rsidR="000D7FE6">
        <w:t>ZEPATIER</w:t>
      </w:r>
      <w:r w:rsidRPr="0045653A">
        <w:t xml:space="preserve"> is recommended based on race/ethnicity.</w:t>
      </w:r>
      <w:r w:rsidRPr="0045653A" w:rsidDel="00692EE2">
        <w:t xml:space="preserve"> </w:t>
      </w:r>
    </w:p>
    <w:p w:rsidR="00410344" w:rsidRPr="00410344" w:rsidRDefault="00410344" w:rsidP="0045653A">
      <w:pPr>
        <w:rPr>
          <w:b/>
        </w:rPr>
      </w:pPr>
      <w:r w:rsidRPr="00410344">
        <w:rPr>
          <w:b/>
        </w:rPr>
        <w:t>Paediatric</w:t>
      </w:r>
    </w:p>
    <w:p w:rsidR="0045653A" w:rsidRPr="0045653A" w:rsidRDefault="0045653A" w:rsidP="0045653A">
      <w:r w:rsidRPr="0045653A">
        <w:t xml:space="preserve">The pharmacokinetics of </w:t>
      </w:r>
      <w:r w:rsidR="000D7FE6">
        <w:t>ZEPATIER</w:t>
      </w:r>
      <w:r w:rsidRPr="0045653A">
        <w:t xml:space="preserve"> in </w:t>
      </w:r>
      <w:r w:rsidR="00EC2F3B">
        <w:t>paediatric</w:t>
      </w:r>
      <w:r w:rsidRPr="0045653A">
        <w:t xml:space="preserve"> patients less than 18 years of age </w:t>
      </w:r>
      <w:proofErr w:type="gramStart"/>
      <w:r w:rsidRPr="0045653A">
        <w:t>have</w:t>
      </w:r>
      <w:proofErr w:type="gramEnd"/>
      <w:r w:rsidRPr="0045653A">
        <w:t xml:space="preserve"> not been established.</w:t>
      </w:r>
    </w:p>
    <w:p w:rsidR="00410344" w:rsidRPr="00410344" w:rsidRDefault="00410344" w:rsidP="00F42F76">
      <w:pPr>
        <w:pStyle w:val="Heading4"/>
      </w:pPr>
      <w:r w:rsidRPr="00410344">
        <w:t xml:space="preserve">Geriatric </w:t>
      </w:r>
    </w:p>
    <w:p w:rsidR="00E56AA7" w:rsidRPr="0045653A" w:rsidRDefault="00E56AA7" w:rsidP="00E56AA7">
      <w:pPr>
        <w:autoSpaceDE w:val="0"/>
        <w:autoSpaceDN w:val="0"/>
        <w:adjustRightInd w:val="0"/>
        <w:rPr>
          <w:bCs/>
          <w:iCs/>
        </w:rPr>
      </w:pPr>
      <w:r w:rsidRPr="0045653A">
        <w:t xml:space="preserve">In population pharmacokinetic analyses, </w:t>
      </w:r>
      <w:proofErr w:type="spellStart"/>
      <w:r w:rsidR="009E0674">
        <w:t>elbasvir</w:t>
      </w:r>
      <w:proofErr w:type="spellEnd"/>
      <w:r w:rsidR="009E0674">
        <w:t xml:space="preserve"> and </w:t>
      </w:r>
      <w:proofErr w:type="spellStart"/>
      <w:r w:rsidRPr="0045653A">
        <w:t>grazoprevir</w:t>
      </w:r>
      <w:proofErr w:type="spellEnd"/>
      <w:r w:rsidRPr="0045653A">
        <w:t xml:space="preserve"> AUCs are estimated to be </w:t>
      </w:r>
      <w:r w:rsidR="00600098" w:rsidRPr="007037B3">
        <w:t xml:space="preserve">16% </w:t>
      </w:r>
      <w:r w:rsidR="009E0674" w:rsidRPr="007037B3">
        <w:t xml:space="preserve">and </w:t>
      </w:r>
      <w:r w:rsidR="00600098" w:rsidRPr="007037B3">
        <w:t>45%</w:t>
      </w:r>
      <w:r w:rsidR="00600098" w:rsidRPr="00F964A1">
        <w:t xml:space="preserve"> </w:t>
      </w:r>
      <w:r w:rsidRPr="00F964A1">
        <w:t xml:space="preserve">higher, respectively, in </w:t>
      </w:r>
      <w:r w:rsidR="00C95A66">
        <w:t>≥</w:t>
      </w:r>
      <w:r w:rsidRPr="00F964A1">
        <w:t xml:space="preserve">65-year-old subjects compared to </w:t>
      </w:r>
      <w:r w:rsidR="001A47F2">
        <w:t xml:space="preserve">subjects </w:t>
      </w:r>
      <w:r w:rsidR="00600098" w:rsidRPr="00F964A1">
        <w:t>less than 65 years of age</w:t>
      </w:r>
      <w:r w:rsidRPr="00F964A1">
        <w:t>.</w:t>
      </w:r>
      <w:r w:rsidRPr="00F964A1" w:rsidDel="00852088">
        <w:t xml:space="preserve"> </w:t>
      </w:r>
      <w:r w:rsidR="00600098" w:rsidRPr="00F964A1">
        <w:t>N</w:t>
      </w:r>
      <w:r w:rsidRPr="00F964A1">
        <w:t>o d</w:t>
      </w:r>
      <w:r w:rsidRPr="0045653A">
        <w:t xml:space="preserve">ose adjustment of </w:t>
      </w:r>
      <w:r w:rsidR="000D7FE6">
        <w:t>ZEPATIER</w:t>
      </w:r>
      <w:r w:rsidRPr="0045653A">
        <w:t xml:space="preserve"> is recommended based on age </w:t>
      </w:r>
      <w:r w:rsidR="008B30DE" w:rsidRPr="0045653A">
        <w:rPr>
          <w:i/>
        </w:rPr>
        <w:t>(</w:t>
      </w:r>
      <w:r w:rsidRPr="0045653A">
        <w:rPr>
          <w:i/>
        </w:rPr>
        <w:t xml:space="preserve">see </w:t>
      </w:r>
      <w:r w:rsidR="00410344">
        <w:rPr>
          <w:i/>
        </w:rPr>
        <w:t xml:space="preserve">PRECAUTIONS:  Use in Elderly and </w:t>
      </w:r>
      <w:r w:rsidR="008B30DE" w:rsidRPr="0045653A">
        <w:rPr>
          <w:i/>
        </w:rPr>
        <w:t>DOSAGE AND ADMINISTRATION</w:t>
      </w:r>
      <w:r w:rsidR="00410344">
        <w:rPr>
          <w:i/>
        </w:rPr>
        <w:t>: Geriatric Patients</w:t>
      </w:r>
      <w:r w:rsidRPr="0045653A">
        <w:rPr>
          <w:i/>
        </w:rPr>
        <w:t>)</w:t>
      </w:r>
      <w:r w:rsidRPr="0045653A">
        <w:t>.</w:t>
      </w:r>
    </w:p>
    <w:p w:rsidR="00B22EA3" w:rsidRPr="0045653A" w:rsidRDefault="00B22EA3" w:rsidP="00B22EA3">
      <w:pPr>
        <w:pStyle w:val="Heading4"/>
      </w:pPr>
      <w:r w:rsidRPr="0045653A">
        <w:lastRenderedPageBreak/>
        <w:t>Weight/BMI</w:t>
      </w:r>
    </w:p>
    <w:p w:rsidR="00B22EA3" w:rsidRDefault="00B22EA3" w:rsidP="00B22EA3">
      <w:r w:rsidRPr="0045653A">
        <w:t xml:space="preserve">In population pharmacokinetic analyses, </w:t>
      </w:r>
      <w:r w:rsidR="009E0674">
        <w:t>t</w:t>
      </w:r>
      <w:r w:rsidR="009E0674" w:rsidRPr="0045653A">
        <w:t xml:space="preserve">here was no effect of weight on </w:t>
      </w:r>
      <w:proofErr w:type="spellStart"/>
      <w:r w:rsidR="009E0674" w:rsidRPr="0045653A">
        <w:t>elbasvir</w:t>
      </w:r>
      <w:proofErr w:type="spellEnd"/>
      <w:r w:rsidR="009E0674" w:rsidRPr="0045653A">
        <w:t xml:space="preserve"> pharmacokinetics. </w:t>
      </w:r>
      <w:proofErr w:type="spellStart"/>
      <w:r w:rsidR="009E0674">
        <w:t>G</w:t>
      </w:r>
      <w:r w:rsidRPr="0045653A">
        <w:t>razoprevir</w:t>
      </w:r>
      <w:proofErr w:type="spellEnd"/>
      <w:r w:rsidRPr="0045653A">
        <w:t xml:space="preserve"> AUC is estimated to be 15% higher in</w:t>
      </w:r>
      <w:r w:rsidR="00600098">
        <w:t xml:space="preserve"> </w:t>
      </w:r>
      <w:r w:rsidR="00600098" w:rsidRPr="00F964A1">
        <w:t>a 53 kg subject compared to a 77kg subject.</w:t>
      </w:r>
      <w:r w:rsidRPr="0045653A">
        <w:t xml:space="preserve"> This change is not clinically relevant for </w:t>
      </w:r>
      <w:proofErr w:type="spellStart"/>
      <w:r w:rsidRPr="0045653A">
        <w:t>grazoprevir</w:t>
      </w:r>
      <w:proofErr w:type="spellEnd"/>
      <w:r w:rsidRPr="0045653A">
        <w:t xml:space="preserve">. Therefore, no dose adjustment of </w:t>
      </w:r>
      <w:r w:rsidR="000D7FE6">
        <w:t>ZEPATIER</w:t>
      </w:r>
      <w:r w:rsidRPr="0045653A">
        <w:t xml:space="preserve"> is recommended based on weight/BMI.</w:t>
      </w:r>
    </w:p>
    <w:p w:rsidR="00D201F6" w:rsidRDefault="00D201F6" w:rsidP="00B22EA3"/>
    <w:p w:rsidR="00D63B6C" w:rsidRPr="006E4398" w:rsidRDefault="00D63B6C" w:rsidP="00157EE1">
      <w:pPr>
        <w:pStyle w:val="Heading2"/>
      </w:pPr>
      <w:r w:rsidRPr="006E4398">
        <w:t>Drug Interaction Studies</w:t>
      </w:r>
    </w:p>
    <w:p w:rsidR="00D63B6C" w:rsidRPr="00D63B6C" w:rsidRDefault="00D63B6C" w:rsidP="00911C72">
      <w:pPr>
        <w:pStyle w:val="BodyText1"/>
        <w:spacing w:before="80" w:after="80"/>
        <w:ind w:firstLine="0"/>
        <w:rPr>
          <w:rFonts w:ascii="Arial" w:hAnsi="Arial"/>
          <w:i/>
          <w:sz w:val="22"/>
          <w:szCs w:val="22"/>
        </w:rPr>
      </w:pPr>
      <w:r w:rsidRPr="00D63B6C">
        <w:rPr>
          <w:rFonts w:ascii="Arial" w:hAnsi="Arial"/>
          <w:sz w:val="22"/>
          <w:szCs w:val="22"/>
        </w:rPr>
        <w:t xml:space="preserve">Drug interaction studies were performed in healthy adults with </w:t>
      </w:r>
      <w:proofErr w:type="spellStart"/>
      <w:r w:rsidR="00F73C7E">
        <w:rPr>
          <w:rFonts w:ascii="Arial" w:hAnsi="Arial"/>
          <w:sz w:val="22"/>
          <w:szCs w:val="22"/>
        </w:rPr>
        <w:t>elbasvir</w:t>
      </w:r>
      <w:proofErr w:type="spellEnd"/>
      <w:r w:rsidR="00F73C7E">
        <w:rPr>
          <w:rFonts w:ascii="Arial" w:hAnsi="Arial"/>
          <w:sz w:val="22"/>
          <w:szCs w:val="22"/>
        </w:rPr>
        <w:t xml:space="preserve">, </w:t>
      </w:r>
      <w:proofErr w:type="spellStart"/>
      <w:r w:rsidRPr="00D63B6C">
        <w:rPr>
          <w:rFonts w:ascii="Arial" w:hAnsi="Arial"/>
          <w:sz w:val="22"/>
          <w:szCs w:val="22"/>
        </w:rPr>
        <w:t>grazoprevir</w:t>
      </w:r>
      <w:proofErr w:type="spellEnd"/>
      <w:r w:rsidRPr="00D63B6C">
        <w:rPr>
          <w:rFonts w:ascii="Arial" w:hAnsi="Arial"/>
          <w:sz w:val="22"/>
          <w:szCs w:val="22"/>
        </w:rPr>
        <w:t xml:space="preserve">, or co-administered </w:t>
      </w:r>
      <w:proofErr w:type="spellStart"/>
      <w:r w:rsidR="00F73C7E">
        <w:rPr>
          <w:rFonts w:ascii="Arial" w:hAnsi="Arial"/>
          <w:sz w:val="22"/>
          <w:szCs w:val="22"/>
        </w:rPr>
        <w:t>elbasvir</w:t>
      </w:r>
      <w:proofErr w:type="spellEnd"/>
      <w:r w:rsidR="00F73C7E">
        <w:rPr>
          <w:rFonts w:ascii="Arial" w:hAnsi="Arial"/>
          <w:sz w:val="22"/>
          <w:szCs w:val="22"/>
        </w:rPr>
        <w:t xml:space="preserve"> and </w:t>
      </w:r>
      <w:proofErr w:type="spellStart"/>
      <w:r w:rsidRPr="00D63B6C">
        <w:rPr>
          <w:rFonts w:ascii="Arial" w:hAnsi="Arial"/>
          <w:sz w:val="22"/>
          <w:szCs w:val="22"/>
        </w:rPr>
        <w:t>grazoprevir</w:t>
      </w:r>
      <w:proofErr w:type="spellEnd"/>
      <w:r w:rsidRPr="00D63B6C">
        <w:rPr>
          <w:rFonts w:ascii="Arial" w:hAnsi="Arial"/>
          <w:sz w:val="22"/>
          <w:szCs w:val="22"/>
        </w:rPr>
        <w:t xml:space="preserve"> and drugs likely to be co-administered or drugs commonly used as probes for pharmacokinetic interactio</w:t>
      </w:r>
      <w:r w:rsidRPr="00E5382C">
        <w:rPr>
          <w:rFonts w:ascii="Arial" w:hAnsi="Arial"/>
          <w:sz w:val="22"/>
          <w:szCs w:val="22"/>
        </w:rPr>
        <w:t xml:space="preserve">ns. Table 2 </w:t>
      </w:r>
      <w:r w:rsidR="00F76A28" w:rsidRPr="00F42F76">
        <w:rPr>
          <w:rFonts w:ascii="Arial" w:hAnsi="Arial"/>
          <w:sz w:val="22"/>
          <w:szCs w:val="22"/>
          <w:lang w:val="en-AU"/>
        </w:rPr>
        <w:t>summarise</w:t>
      </w:r>
      <w:r w:rsidRPr="00F42F76">
        <w:rPr>
          <w:rFonts w:ascii="Arial" w:hAnsi="Arial"/>
          <w:sz w:val="22"/>
          <w:szCs w:val="22"/>
          <w:lang w:val="en-AU"/>
        </w:rPr>
        <w:t>s</w:t>
      </w:r>
      <w:r w:rsidRPr="00D63B6C">
        <w:rPr>
          <w:rFonts w:ascii="Arial" w:hAnsi="Arial"/>
          <w:sz w:val="22"/>
          <w:szCs w:val="22"/>
        </w:rPr>
        <w:t xml:space="preserve"> the effects of co-administered drugs on the exposures of the individual components of </w:t>
      </w:r>
      <w:r w:rsidR="000D7FE6">
        <w:rPr>
          <w:rFonts w:ascii="Arial" w:hAnsi="Arial"/>
          <w:sz w:val="22"/>
          <w:szCs w:val="22"/>
        </w:rPr>
        <w:t>ZEPATIER</w:t>
      </w:r>
      <w:r w:rsidRPr="00D63B6C">
        <w:rPr>
          <w:rFonts w:ascii="Arial" w:hAnsi="Arial"/>
          <w:sz w:val="22"/>
          <w:szCs w:val="22"/>
        </w:rPr>
        <w:t xml:space="preserve"> (</w:t>
      </w:r>
      <w:proofErr w:type="spellStart"/>
      <w:r w:rsidR="00F73C7E">
        <w:rPr>
          <w:rFonts w:ascii="Arial" w:hAnsi="Arial"/>
          <w:sz w:val="22"/>
          <w:szCs w:val="22"/>
        </w:rPr>
        <w:t>elbasvir</w:t>
      </w:r>
      <w:proofErr w:type="spellEnd"/>
      <w:r w:rsidR="00F73C7E">
        <w:rPr>
          <w:rFonts w:ascii="Arial" w:hAnsi="Arial"/>
          <w:sz w:val="22"/>
          <w:szCs w:val="22"/>
        </w:rPr>
        <w:t xml:space="preserve"> and </w:t>
      </w:r>
      <w:proofErr w:type="spellStart"/>
      <w:r w:rsidRPr="00D63B6C">
        <w:rPr>
          <w:rFonts w:ascii="Arial" w:hAnsi="Arial"/>
          <w:sz w:val="22"/>
          <w:szCs w:val="22"/>
        </w:rPr>
        <w:t>grazoprevir</w:t>
      </w:r>
      <w:proofErr w:type="spellEnd"/>
      <w:r w:rsidRPr="00D63B6C">
        <w:rPr>
          <w:rFonts w:ascii="Arial" w:hAnsi="Arial"/>
          <w:sz w:val="22"/>
          <w:szCs w:val="22"/>
        </w:rPr>
        <w:t xml:space="preserve">). Table 3 </w:t>
      </w:r>
      <w:r w:rsidR="00F76A28" w:rsidRPr="00F42F76">
        <w:rPr>
          <w:rFonts w:ascii="Arial" w:hAnsi="Arial"/>
          <w:sz w:val="22"/>
          <w:szCs w:val="22"/>
          <w:lang w:val="en-AU"/>
        </w:rPr>
        <w:t>summarise</w:t>
      </w:r>
      <w:r w:rsidRPr="00F42F76">
        <w:rPr>
          <w:rFonts w:ascii="Arial" w:hAnsi="Arial"/>
          <w:sz w:val="22"/>
          <w:szCs w:val="22"/>
          <w:lang w:val="en-AU"/>
        </w:rPr>
        <w:t>s</w:t>
      </w:r>
      <w:r w:rsidRPr="00D63B6C">
        <w:rPr>
          <w:rFonts w:ascii="Arial" w:hAnsi="Arial"/>
          <w:sz w:val="22"/>
          <w:szCs w:val="22"/>
        </w:rPr>
        <w:t xml:space="preserve"> the effects of the individual components of </w:t>
      </w:r>
      <w:r w:rsidR="000D7FE6">
        <w:rPr>
          <w:rFonts w:ascii="Arial" w:hAnsi="Arial"/>
          <w:sz w:val="22"/>
          <w:szCs w:val="22"/>
        </w:rPr>
        <w:t>ZEPATIER</w:t>
      </w:r>
      <w:r w:rsidRPr="00D63B6C">
        <w:rPr>
          <w:rFonts w:ascii="Arial" w:hAnsi="Arial"/>
          <w:sz w:val="22"/>
          <w:szCs w:val="22"/>
        </w:rPr>
        <w:t xml:space="preserve"> on the exposures of the co-administered drugs. For information regarding clinical recommendations</w:t>
      </w:r>
      <w:r w:rsidRPr="003771F7">
        <w:rPr>
          <w:rFonts w:ascii="Arial" w:hAnsi="Arial"/>
          <w:sz w:val="22"/>
          <w:szCs w:val="22"/>
        </w:rPr>
        <w:t xml:space="preserve">, </w:t>
      </w:r>
      <w:r w:rsidR="003771F7">
        <w:rPr>
          <w:rFonts w:ascii="Arial" w:hAnsi="Arial"/>
          <w:sz w:val="22"/>
          <w:szCs w:val="22"/>
        </w:rPr>
        <w:t>(</w:t>
      </w:r>
      <w:r w:rsidRPr="003771F7">
        <w:rPr>
          <w:rFonts w:ascii="Arial" w:hAnsi="Arial"/>
          <w:i/>
          <w:sz w:val="22"/>
          <w:szCs w:val="22"/>
        </w:rPr>
        <w:t>see</w:t>
      </w:r>
      <w:r w:rsidR="009916F7" w:rsidRPr="003771F7">
        <w:rPr>
          <w:rFonts w:ascii="Arial" w:hAnsi="Arial"/>
          <w:i/>
          <w:sz w:val="22"/>
          <w:szCs w:val="22"/>
        </w:rPr>
        <w:t xml:space="preserve"> PRECAUTIONS: Risk of Adverse Reactions or Reduced Therapeutic Effect Due to Drug Interactions</w:t>
      </w:r>
      <w:r w:rsidR="003771F7" w:rsidRPr="003771F7">
        <w:rPr>
          <w:rFonts w:ascii="Arial" w:hAnsi="Arial"/>
          <w:i/>
          <w:sz w:val="22"/>
          <w:szCs w:val="22"/>
        </w:rPr>
        <w:t xml:space="preserve"> </w:t>
      </w:r>
      <w:r w:rsidR="003771F7">
        <w:rPr>
          <w:rFonts w:ascii="Arial" w:hAnsi="Arial"/>
          <w:i/>
          <w:sz w:val="22"/>
          <w:szCs w:val="22"/>
        </w:rPr>
        <w:t xml:space="preserve">and </w:t>
      </w:r>
      <w:r w:rsidR="003771F7" w:rsidRPr="003771F7">
        <w:rPr>
          <w:rFonts w:ascii="Arial" w:hAnsi="Arial"/>
          <w:i/>
          <w:sz w:val="22"/>
          <w:szCs w:val="22"/>
        </w:rPr>
        <w:t>INTERACTIONS WITH OTHER MED</w:t>
      </w:r>
      <w:r w:rsidR="003771F7" w:rsidRPr="000242C4">
        <w:rPr>
          <w:rFonts w:ascii="Arial" w:hAnsi="Arial"/>
          <w:i/>
          <w:sz w:val="22"/>
          <w:szCs w:val="22"/>
        </w:rPr>
        <w:t>ICINES</w:t>
      </w:r>
      <w:r w:rsidRPr="000242C4">
        <w:rPr>
          <w:rFonts w:ascii="Arial" w:hAnsi="Arial"/>
          <w:i/>
          <w:sz w:val="22"/>
          <w:szCs w:val="22"/>
        </w:rPr>
        <w:t>).</w:t>
      </w:r>
    </w:p>
    <w:p w:rsidR="00D63B6C" w:rsidRPr="00E5382C" w:rsidRDefault="00F73C7E" w:rsidP="00911C72">
      <w:pPr>
        <w:pStyle w:val="BodyText1"/>
        <w:spacing w:before="80" w:after="80"/>
        <w:ind w:firstLine="0"/>
        <w:rPr>
          <w:rFonts w:ascii="Arial" w:hAnsi="Arial"/>
          <w:sz w:val="22"/>
          <w:szCs w:val="22"/>
        </w:rPr>
      </w:pPr>
      <w:proofErr w:type="spellStart"/>
      <w:r>
        <w:rPr>
          <w:rFonts w:ascii="Arial" w:hAnsi="Arial"/>
          <w:sz w:val="22"/>
          <w:szCs w:val="22"/>
        </w:rPr>
        <w:t>Elbasvir</w:t>
      </w:r>
      <w:proofErr w:type="spellEnd"/>
      <w:r>
        <w:rPr>
          <w:rFonts w:ascii="Arial" w:hAnsi="Arial"/>
          <w:sz w:val="22"/>
          <w:szCs w:val="22"/>
        </w:rPr>
        <w:t xml:space="preserve"> and </w:t>
      </w:r>
      <w:proofErr w:type="spellStart"/>
      <w:r>
        <w:rPr>
          <w:rFonts w:ascii="Arial" w:hAnsi="Arial"/>
          <w:sz w:val="22"/>
          <w:szCs w:val="22"/>
        </w:rPr>
        <w:t>g</w:t>
      </w:r>
      <w:r w:rsidR="00D63B6C" w:rsidRPr="00D63B6C">
        <w:rPr>
          <w:rFonts w:ascii="Arial" w:hAnsi="Arial"/>
          <w:sz w:val="22"/>
          <w:szCs w:val="22"/>
        </w:rPr>
        <w:t>razoprevir</w:t>
      </w:r>
      <w:proofErr w:type="spellEnd"/>
      <w:r w:rsidR="00D63B6C" w:rsidRPr="00D63B6C">
        <w:rPr>
          <w:rFonts w:ascii="Arial" w:hAnsi="Arial"/>
          <w:sz w:val="22"/>
          <w:szCs w:val="22"/>
        </w:rPr>
        <w:t xml:space="preserve"> are substrates of CYP3A/P-</w:t>
      </w:r>
      <w:proofErr w:type="spellStart"/>
      <w:r w:rsidR="00D63B6C" w:rsidRPr="00D63B6C">
        <w:rPr>
          <w:rFonts w:ascii="Arial" w:hAnsi="Arial"/>
          <w:sz w:val="22"/>
          <w:szCs w:val="22"/>
        </w:rPr>
        <w:t>gp</w:t>
      </w:r>
      <w:proofErr w:type="spellEnd"/>
      <w:r w:rsidR="00D63B6C" w:rsidRPr="00D63B6C">
        <w:rPr>
          <w:rFonts w:ascii="Arial" w:hAnsi="Arial"/>
          <w:sz w:val="22"/>
          <w:szCs w:val="22"/>
        </w:rPr>
        <w:t>, but the role of intestinal P-</w:t>
      </w:r>
      <w:proofErr w:type="spellStart"/>
      <w:r w:rsidR="00D63B6C" w:rsidRPr="00D63B6C">
        <w:rPr>
          <w:rFonts w:ascii="Arial" w:hAnsi="Arial"/>
          <w:sz w:val="22"/>
          <w:szCs w:val="22"/>
        </w:rPr>
        <w:t>gp</w:t>
      </w:r>
      <w:proofErr w:type="spellEnd"/>
      <w:r w:rsidR="00D63B6C" w:rsidRPr="00D63B6C">
        <w:rPr>
          <w:rFonts w:ascii="Arial" w:hAnsi="Arial"/>
          <w:sz w:val="22"/>
          <w:szCs w:val="22"/>
        </w:rPr>
        <w:t xml:space="preserve"> in the absorption of </w:t>
      </w:r>
      <w:proofErr w:type="spellStart"/>
      <w:r>
        <w:rPr>
          <w:rFonts w:ascii="Arial" w:hAnsi="Arial"/>
          <w:sz w:val="22"/>
          <w:szCs w:val="22"/>
        </w:rPr>
        <w:t>elbasvir</w:t>
      </w:r>
      <w:proofErr w:type="spellEnd"/>
      <w:r>
        <w:rPr>
          <w:rFonts w:ascii="Arial" w:hAnsi="Arial"/>
          <w:sz w:val="22"/>
          <w:szCs w:val="22"/>
        </w:rPr>
        <w:t xml:space="preserve"> and </w:t>
      </w:r>
      <w:proofErr w:type="spellStart"/>
      <w:r w:rsidR="00D63B6C" w:rsidRPr="00D63B6C">
        <w:rPr>
          <w:rFonts w:ascii="Arial" w:hAnsi="Arial"/>
          <w:sz w:val="22"/>
          <w:szCs w:val="22"/>
        </w:rPr>
        <w:t>grazoprevir</w:t>
      </w:r>
      <w:proofErr w:type="spellEnd"/>
      <w:r w:rsidR="00D63B6C" w:rsidRPr="00D63B6C">
        <w:rPr>
          <w:rFonts w:ascii="Arial" w:hAnsi="Arial"/>
          <w:sz w:val="22"/>
          <w:szCs w:val="22"/>
        </w:rPr>
        <w:t xml:space="preserve"> is minimal. Co-administration of moderate and strong CYP3A/P-</w:t>
      </w:r>
      <w:proofErr w:type="spellStart"/>
      <w:r w:rsidR="00D63B6C" w:rsidRPr="00D63B6C">
        <w:rPr>
          <w:rFonts w:ascii="Arial" w:hAnsi="Arial"/>
          <w:sz w:val="22"/>
          <w:szCs w:val="22"/>
        </w:rPr>
        <w:t>gp</w:t>
      </w:r>
      <w:proofErr w:type="spellEnd"/>
      <w:r w:rsidR="00D63B6C" w:rsidRPr="00D63B6C">
        <w:rPr>
          <w:rFonts w:ascii="Arial" w:hAnsi="Arial"/>
          <w:sz w:val="22"/>
          <w:szCs w:val="22"/>
        </w:rPr>
        <w:t xml:space="preserve"> inducers with </w:t>
      </w:r>
      <w:r w:rsidR="000D7FE6">
        <w:rPr>
          <w:rFonts w:ascii="Arial" w:hAnsi="Arial"/>
          <w:sz w:val="22"/>
          <w:szCs w:val="22"/>
        </w:rPr>
        <w:t>ZEPATIER</w:t>
      </w:r>
      <w:r w:rsidR="00D63B6C" w:rsidRPr="00D63B6C">
        <w:rPr>
          <w:rFonts w:ascii="Arial" w:hAnsi="Arial"/>
          <w:sz w:val="22"/>
          <w:szCs w:val="22"/>
        </w:rPr>
        <w:t xml:space="preserve"> may decrease </w:t>
      </w:r>
      <w:proofErr w:type="spellStart"/>
      <w:r w:rsidR="00F2313F">
        <w:rPr>
          <w:rFonts w:ascii="Arial" w:hAnsi="Arial"/>
          <w:sz w:val="22"/>
          <w:szCs w:val="22"/>
        </w:rPr>
        <w:t>elbasvir</w:t>
      </w:r>
      <w:proofErr w:type="spellEnd"/>
      <w:r w:rsidR="00F2313F">
        <w:rPr>
          <w:rFonts w:ascii="Arial" w:hAnsi="Arial"/>
          <w:sz w:val="22"/>
          <w:szCs w:val="22"/>
        </w:rPr>
        <w:t xml:space="preserve"> and </w:t>
      </w:r>
      <w:proofErr w:type="spellStart"/>
      <w:r w:rsidR="00D63B6C" w:rsidRPr="00D63B6C">
        <w:rPr>
          <w:rFonts w:ascii="Arial" w:hAnsi="Arial"/>
          <w:sz w:val="22"/>
          <w:szCs w:val="22"/>
        </w:rPr>
        <w:t>grazoprevir</w:t>
      </w:r>
      <w:proofErr w:type="spellEnd"/>
      <w:r w:rsidR="00D63B6C" w:rsidRPr="00D63B6C">
        <w:rPr>
          <w:rFonts w:ascii="Arial" w:hAnsi="Arial"/>
          <w:sz w:val="22"/>
          <w:szCs w:val="22"/>
        </w:rPr>
        <w:t xml:space="preserve"> plasma concentrations, leading to reduced therapeutic effect of </w:t>
      </w:r>
      <w:r w:rsidR="000D7FE6">
        <w:rPr>
          <w:rFonts w:ascii="Arial" w:hAnsi="Arial"/>
          <w:sz w:val="22"/>
          <w:szCs w:val="22"/>
        </w:rPr>
        <w:t>ZEPATIER</w:t>
      </w:r>
      <w:r w:rsidR="00D63B6C" w:rsidRPr="00D63B6C">
        <w:rPr>
          <w:rFonts w:ascii="Arial" w:hAnsi="Arial"/>
          <w:sz w:val="22"/>
          <w:szCs w:val="22"/>
        </w:rPr>
        <w:t xml:space="preserve">. </w:t>
      </w:r>
      <w:r w:rsidR="00AA2CB7" w:rsidRPr="00760F8B">
        <w:rPr>
          <w:rFonts w:ascii="Arial" w:hAnsi="Arial"/>
          <w:sz w:val="22"/>
          <w:szCs w:val="22"/>
        </w:rPr>
        <w:t xml:space="preserve">Co-administration of strong CYP3A inhibitors with ZEPATIER may increase </w:t>
      </w:r>
      <w:proofErr w:type="spellStart"/>
      <w:r w:rsidR="00AA2CB7" w:rsidRPr="00760F8B">
        <w:rPr>
          <w:rFonts w:ascii="Arial" w:hAnsi="Arial"/>
          <w:sz w:val="22"/>
          <w:szCs w:val="22"/>
        </w:rPr>
        <w:t>elbasvir</w:t>
      </w:r>
      <w:proofErr w:type="spellEnd"/>
      <w:r w:rsidR="00AA2CB7" w:rsidRPr="00760F8B">
        <w:rPr>
          <w:rFonts w:ascii="Arial" w:hAnsi="Arial"/>
          <w:sz w:val="22"/>
          <w:szCs w:val="22"/>
        </w:rPr>
        <w:t xml:space="preserve"> and </w:t>
      </w:r>
      <w:proofErr w:type="spellStart"/>
      <w:r w:rsidR="00AA2CB7" w:rsidRPr="00760F8B">
        <w:rPr>
          <w:rFonts w:ascii="Arial" w:hAnsi="Arial"/>
          <w:sz w:val="22"/>
          <w:szCs w:val="22"/>
        </w:rPr>
        <w:t>grazoprevir</w:t>
      </w:r>
      <w:proofErr w:type="spellEnd"/>
      <w:r w:rsidR="00AA2CB7" w:rsidRPr="00760F8B">
        <w:rPr>
          <w:rFonts w:ascii="Arial" w:hAnsi="Arial"/>
          <w:sz w:val="22"/>
          <w:szCs w:val="22"/>
        </w:rPr>
        <w:t xml:space="preserve"> plasma concentrations (see Table 2)</w:t>
      </w:r>
      <w:r w:rsidR="00AA2CB7">
        <w:rPr>
          <w:rFonts w:ascii="Arial" w:hAnsi="Arial"/>
          <w:sz w:val="22"/>
          <w:szCs w:val="22"/>
        </w:rPr>
        <w:t>.</w:t>
      </w:r>
    </w:p>
    <w:p w:rsidR="00D63B6C" w:rsidRPr="00E5382C" w:rsidRDefault="00D63B6C" w:rsidP="00911C72">
      <w:pPr>
        <w:pStyle w:val="BodyText1"/>
        <w:spacing w:before="80" w:after="80"/>
        <w:ind w:firstLine="0"/>
        <w:rPr>
          <w:rFonts w:ascii="Arial" w:hAnsi="Arial"/>
          <w:sz w:val="22"/>
          <w:szCs w:val="22"/>
        </w:rPr>
      </w:pPr>
      <w:proofErr w:type="spellStart"/>
      <w:r w:rsidRPr="00E5382C">
        <w:rPr>
          <w:rFonts w:ascii="Arial" w:hAnsi="Arial"/>
          <w:sz w:val="22"/>
          <w:szCs w:val="22"/>
        </w:rPr>
        <w:t>Grazoprevir</w:t>
      </w:r>
      <w:proofErr w:type="spellEnd"/>
      <w:r w:rsidRPr="00E5382C">
        <w:rPr>
          <w:rFonts w:ascii="Arial" w:hAnsi="Arial"/>
          <w:sz w:val="22"/>
          <w:szCs w:val="22"/>
        </w:rPr>
        <w:t xml:space="preserve"> is a substrate of OATP1B. Co-administration of </w:t>
      </w:r>
      <w:r w:rsidR="000D7FE6">
        <w:rPr>
          <w:rFonts w:ascii="Arial" w:hAnsi="Arial"/>
          <w:sz w:val="22"/>
          <w:szCs w:val="22"/>
        </w:rPr>
        <w:t>ZEPATIER</w:t>
      </w:r>
      <w:r w:rsidRPr="00E5382C">
        <w:rPr>
          <w:rFonts w:ascii="Arial" w:hAnsi="Arial"/>
          <w:sz w:val="22"/>
          <w:szCs w:val="22"/>
        </w:rPr>
        <w:t xml:space="preserve"> with drugs that inhibit OATP1B transporters may result in a clinically relevant increase in </w:t>
      </w:r>
      <w:proofErr w:type="spellStart"/>
      <w:r w:rsidRPr="00E5382C">
        <w:rPr>
          <w:rFonts w:ascii="Arial" w:hAnsi="Arial"/>
          <w:sz w:val="22"/>
          <w:szCs w:val="22"/>
        </w:rPr>
        <w:t>grazoprevir</w:t>
      </w:r>
      <w:proofErr w:type="spellEnd"/>
      <w:r w:rsidRPr="00E5382C">
        <w:rPr>
          <w:rFonts w:ascii="Arial" w:hAnsi="Arial"/>
          <w:sz w:val="22"/>
          <w:szCs w:val="22"/>
        </w:rPr>
        <w:t xml:space="preserve"> plasma concentrations. </w:t>
      </w:r>
    </w:p>
    <w:p w:rsidR="00D63B6C" w:rsidRPr="00E5382C" w:rsidRDefault="00D63B6C" w:rsidP="00911C72">
      <w:pPr>
        <w:pStyle w:val="BodyText1"/>
        <w:spacing w:before="80" w:after="80"/>
        <w:ind w:firstLine="0"/>
        <w:rPr>
          <w:sz w:val="22"/>
          <w:szCs w:val="22"/>
        </w:rPr>
      </w:pPr>
      <w:proofErr w:type="spellStart"/>
      <w:r w:rsidRPr="00E5382C">
        <w:rPr>
          <w:rFonts w:ascii="Arial" w:hAnsi="Arial"/>
          <w:sz w:val="22"/>
          <w:szCs w:val="22"/>
        </w:rPr>
        <w:t>Elbasvir</w:t>
      </w:r>
      <w:proofErr w:type="spellEnd"/>
      <w:r w:rsidRPr="00E5382C">
        <w:rPr>
          <w:rFonts w:ascii="Arial" w:hAnsi="Arial"/>
          <w:sz w:val="22"/>
          <w:szCs w:val="22"/>
        </w:rPr>
        <w:t xml:space="preserve"> is not a CYP3A inhibitor</w:t>
      </w:r>
      <w:r w:rsidRPr="00E5382C">
        <w:rPr>
          <w:rFonts w:ascii="Arial" w:hAnsi="Arial"/>
          <w:i/>
          <w:sz w:val="22"/>
          <w:szCs w:val="22"/>
        </w:rPr>
        <w:t xml:space="preserve"> in vitro</w:t>
      </w:r>
      <w:r w:rsidRPr="00E5382C">
        <w:rPr>
          <w:rFonts w:ascii="Arial" w:hAnsi="Arial"/>
          <w:sz w:val="22"/>
          <w:szCs w:val="22"/>
        </w:rPr>
        <w:t xml:space="preserve"> and </w:t>
      </w:r>
      <w:proofErr w:type="spellStart"/>
      <w:r w:rsidRPr="00E5382C">
        <w:rPr>
          <w:rFonts w:ascii="Arial" w:hAnsi="Arial"/>
          <w:sz w:val="22"/>
          <w:szCs w:val="22"/>
        </w:rPr>
        <w:t>grazoprevir</w:t>
      </w:r>
      <w:proofErr w:type="spellEnd"/>
      <w:r w:rsidRPr="00E5382C">
        <w:rPr>
          <w:rFonts w:ascii="Arial" w:hAnsi="Arial"/>
          <w:sz w:val="22"/>
          <w:szCs w:val="22"/>
        </w:rPr>
        <w:t xml:space="preserve"> is a weak CYP3A inhibitor in humans. Co-administration with </w:t>
      </w:r>
      <w:proofErr w:type="spellStart"/>
      <w:r w:rsidRPr="00E5382C">
        <w:rPr>
          <w:rFonts w:ascii="Arial" w:hAnsi="Arial"/>
          <w:sz w:val="22"/>
          <w:szCs w:val="22"/>
        </w:rPr>
        <w:t>grazoprevir</w:t>
      </w:r>
      <w:proofErr w:type="spellEnd"/>
      <w:r w:rsidRPr="00E5382C">
        <w:rPr>
          <w:rFonts w:ascii="Arial" w:hAnsi="Arial"/>
          <w:sz w:val="22"/>
          <w:szCs w:val="22"/>
        </w:rPr>
        <w:t xml:space="preserve"> </w:t>
      </w:r>
      <w:r w:rsidR="00AA2CB7">
        <w:rPr>
          <w:rFonts w:ascii="Arial" w:hAnsi="Arial"/>
          <w:sz w:val="22"/>
          <w:szCs w:val="22"/>
        </w:rPr>
        <w:t xml:space="preserve">resulted in a </w:t>
      </w:r>
      <w:r w:rsidRPr="00E5382C">
        <w:rPr>
          <w:rFonts w:ascii="Arial" w:hAnsi="Arial"/>
          <w:sz w:val="22"/>
          <w:szCs w:val="22"/>
        </w:rPr>
        <w:t xml:space="preserve">34% increase in plasma exposure of midazolam and a 43% increase in plasma exposure of </w:t>
      </w:r>
      <w:proofErr w:type="spellStart"/>
      <w:r w:rsidRPr="00E5382C">
        <w:rPr>
          <w:rFonts w:ascii="Arial" w:hAnsi="Arial"/>
          <w:sz w:val="22"/>
          <w:szCs w:val="22"/>
        </w:rPr>
        <w:t>tacrolimus</w:t>
      </w:r>
      <w:proofErr w:type="spellEnd"/>
      <w:r w:rsidRPr="00E5382C">
        <w:rPr>
          <w:rFonts w:ascii="Arial" w:hAnsi="Arial"/>
          <w:sz w:val="22"/>
          <w:szCs w:val="22"/>
        </w:rPr>
        <w:t xml:space="preserve"> (see Table 3</w:t>
      </w:r>
      <w:r w:rsidR="00AA2CB7">
        <w:rPr>
          <w:rFonts w:ascii="Arial" w:hAnsi="Arial"/>
          <w:sz w:val="22"/>
          <w:szCs w:val="22"/>
        </w:rPr>
        <w:t xml:space="preserve"> and </w:t>
      </w:r>
      <w:r w:rsidR="003704C6">
        <w:rPr>
          <w:rFonts w:ascii="Arial" w:hAnsi="Arial"/>
          <w:sz w:val="22"/>
          <w:szCs w:val="22"/>
        </w:rPr>
        <w:t>10</w:t>
      </w:r>
      <w:r w:rsidRPr="00E5382C">
        <w:rPr>
          <w:rFonts w:ascii="Arial" w:hAnsi="Arial"/>
          <w:sz w:val="22"/>
          <w:szCs w:val="22"/>
        </w:rPr>
        <w:t xml:space="preserve">). </w:t>
      </w:r>
    </w:p>
    <w:p w:rsidR="00D63B6C" w:rsidRPr="00E5382C" w:rsidRDefault="00D63B6C" w:rsidP="00911C72">
      <w:pPr>
        <w:pStyle w:val="BodyText1"/>
        <w:spacing w:before="80" w:after="80"/>
        <w:ind w:firstLine="0"/>
        <w:rPr>
          <w:rFonts w:ascii="Arial" w:hAnsi="Arial"/>
          <w:sz w:val="22"/>
          <w:szCs w:val="22"/>
        </w:rPr>
      </w:pPr>
      <w:r w:rsidRPr="00E5382C">
        <w:rPr>
          <w:rFonts w:ascii="Arial" w:hAnsi="Arial"/>
          <w:sz w:val="22"/>
          <w:szCs w:val="22"/>
        </w:rPr>
        <w:t xml:space="preserve">Clinically significant drug interactions with </w:t>
      </w:r>
      <w:r w:rsidR="000D7FE6">
        <w:rPr>
          <w:rFonts w:ascii="Arial" w:hAnsi="Arial"/>
          <w:sz w:val="22"/>
          <w:szCs w:val="22"/>
        </w:rPr>
        <w:t>ZEPATIER</w:t>
      </w:r>
      <w:r w:rsidRPr="00E5382C">
        <w:rPr>
          <w:rFonts w:ascii="Arial" w:hAnsi="Arial"/>
          <w:sz w:val="22"/>
          <w:szCs w:val="22"/>
        </w:rPr>
        <w:t xml:space="preserve"> as an inhibitor of other CYP enzymes, UGT1A1, </w:t>
      </w:r>
      <w:proofErr w:type="spellStart"/>
      <w:r w:rsidRPr="00E5382C">
        <w:rPr>
          <w:rFonts w:ascii="Arial" w:hAnsi="Arial"/>
          <w:sz w:val="22"/>
          <w:szCs w:val="22"/>
        </w:rPr>
        <w:t>esterases</w:t>
      </w:r>
      <w:proofErr w:type="spellEnd"/>
      <w:r w:rsidRPr="00E5382C">
        <w:rPr>
          <w:rFonts w:ascii="Arial" w:hAnsi="Arial"/>
          <w:sz w:val="22"/>
          <w:szCs w:val="22"/>
        </w:rPr>
        <w:t xml:space="preserve"> (CES1, CES2, and </w:t>
      </w:r>
      <w:proofErr w:type="spellStart"/>
      <w:r w:rsidRPr="00E5382C">
        <w:rPr>
          <w:rFonts w:ascii="Arial" w:hAnsi="Arial"/>
          <w:sz w:val="22"/>
          <w:szCs w:val="22"/>
        </w:rPr>
        <w:t>CatA</w:t>
      </w:r>
      <w:proofErr w:type="spellEnd"/>
      <w:r w:rsidRPr="00E5382C">
        <w:rPr>
          <w:rFonts w:ascii="Arial" w:hAnsi="Arial"/>
          <w:sz w:val="22"/>
          <w:szCs w:val="22"/>
        </w:rPr>
        <w:t xml:space="preserve">), </w:t>
      </w:r>
      <w:r w:rsidR="00C95A66">
        <w:rPr>
          <w:rFonts w:ascii="Arial" w:hAnsi="Arial"/>
          <w:sz w:val="22"/>
          <w:szCs w:val="22"/>
        </w:rPr>
        <w:t xml:space="preserve">organic anion transporters (OAT)1 and OAT3, and organic </w:t>
      </w:r>
      <w:proofErr w:type="spellStart"/>
      <w:r w:rsidR="00C95A66">
        <w:rPr>
          <w:rFonts w:ascii="Arial" w:hAnsi="Arial"/>
          <w:sz w:val="22"/>
          <w:szCs w:val="22"/>
        </w:rPr>
        <w:t>cation</w:t>
      </w:r>
      <w:proofErr w:type="spellEnd"/>
      <w:r w:rsidR="00C95A66">
        <w:rPr>
          <w:rFonts w:ascii="Arial" w:hAnsi="Arial"/>
          <w:sz w:val="22"/>
          <w:szCs w:val="22"/>
        </w:rPr>
        <w:t xml:space="preserve"> transporters (OCT)2 </w:t>
      </w:r>
      <w:r w:rsidRPr="00E5382C">
        <w:rPr>
          <w:rFonts w:ascii="Arial" w:hAnsi="Arial"/>
          <w:sz w:val="22"/>
          <w:szCs w:val="22"/>
        </w:rPr>
        <w:t>are not expected, and multiple-dose administration of</w:t>
      </w:r>
      <w:r w:rsidR="00DD6FA8">
        <w:rPr>
          <w:rFonts w:ascii="Arial" w:hAnsi="Arial"/>
          <w:sz w:val="22"/>
          <w:szCs w:val="22"/>
        </w:rPr>
        <w:t xml:space="preserve"> </w:t>
      </w:r>
      <w:proofErr w:type="spellStart"/>
      <w:r w:rsidR="00DD6FA8">
        <w:rPr>
          <w:rFonts w:ascii="Arial" w:hAnsi="Arial"/>
          <w:sz w:val="22"/>
          <w:szCs w:val="22"/>
        </w:rPr>
        <w:t>elbasvir</w:t>
      </w:r>
      <w:proofErr w:type="spellEnd"/>
      <w:r w:rsidR="00DD6FA8">
        <w:rPr>
          <w:rFonts w:ascii="Arial" w:hAnsi="Arial"/>
          <w:sz w:val="22"/>
          <w:szCs w:val="22"/>
        </w:rPr>
        <w:t xml:space="preserve"> or</w:t>
      </w:r>
      <w:r w:rsidRPr="00E5382C">
        <w:rPr>
          <w:rFonts w:ascii="Arial" w:hAnsi="Arial"/>
          <w:sz w:val="22"/>
          <w:szCs w:val="22"/>
        </w:rPr>
        <w:t xml:space="preserve"> </w:t>
      </w:r>
      <w:proofErr w:type="spellStart"/>
      <w:r w:rsidRPr="00E5382C">
        <w:rPr>
          <w:rFonts w:ascii="Arial" w:hAnsi="Arial"/>
          <w:sz w:val="22"/>
          <w:szCs w:val="22"/>
        </w:rPr>
        <w:t>grazoprevir</w:t>
      </w:r>
      <w:proofErr w:type="spellEnd"/>
      <w:r w:rsidRPr="00E5382C">
        <w:rPr>
          <w:rFonts w:ascii="Arial" w:hAnsi="Arial"/>
          <w:sz w:val="22"/>
          <w:szCs w:val="22"/>
        </w:rPr>
        <w:t xml:space="preserve"> is unlikely to induce the metabolism of drugs </w:t>
      </w:r>
      <w:r w:rsidR="00F76A28" w:rsidRPr="00F42F76">
        <w:rPr>
          <w:rFonts w:ascii="Arial" w:hAnsi="Arial"/>
          <w:sz w:val="22"/>
          <w:szCs w:val="22"/>
          <w:lang w:val="en-AU"/>
        </w:rPr>
        <w:t>metabolise</w:t>
      </w:r>
      <w:r w:rsidRPr="00F42F76">
        <w:rPr>
          <w:rFonts w:ascii="Arial" w:hAnsi="Arial"/>
          <w:sz w:val="22"/>
          <w:szCs w:val="22"/>
          <w:lang w:val="en-AU"/>
        </w:rPr>
        <w:t>d</w:t>
      </w:r>
      <w:r w:rsidRPr="00E5382C">
        <w:rPr>
          <w:rFonts w:ascii="Arial" w:hAnsi="Arial"/>
          <w:sz w:val="22"/>
          <w:szCs w:val="22"/>
        </w:rPr>
        <w:t xml:space="preserve"> by CYP isoforms based on </w:t>
      </w:r>
      <w:r w:rsidRPr="00E5382C">
        <w:rPr>
          <w:rFonts w:ascii="Arial" w:hAnsi="Arial"/>
          <w:i/>
          <w:sz w:val="22"/>
          <w:szCs w:val="22"/>
        </w:rPr>
        <w:t>in vitro</w:t>
      </w:r>
      <w:r w:rsidRPr="00E5382C">
        <w:rPr>
          <w:rFonts w:ascii="Arial" w:hAnsi="Arial"/>
          <w:sz w:val="22"/>
          <w:szCs w:val="22"/>
        </w:rPr>
        <w:t xml:space="preserve"> data. A clinical interaction study with </w:t>
      </w:r>
      <w:proofErr w:type="spellStart"/>
      <w:r w:rsidRPr="00E5382C">
        <w:rPr>
          <w:rFonts w:ascii="Arial" w:hAnsi="Arial"/>
          <w:sz w:val="22"/>
          <w:szCs w:val="22"/>
        </w:rPr>
        <w:t>montelukast</w:t>
      </w:r>
      <w:proofErr w:type="spellEnd"/>
      <w:r w:rsidRPr="00E5382C">
        <w:rPr>
          <w:rFonts w:ascii="Arial" w:hAnsi="Arial"/>
          <w:sz w:val="22"/>
          <w:szCs w:val="22"/>
        </w:rPr>
        <w:t xml:space="preserve"> confirmed that </w:t>
      </w:r>
      <w:proofErr w:type="spellStart"/>
      <w:r w:rsidRPr="00E5382C">
        <w:rPr>
          <w:rFonts w:ascii="Arial" w:hAnsi="Arial"/>
          <w:sz w:val="22"/>
          <w:szCs w:val="22"/>
        </w:rPr>
        <w:t>grazoprevir</w:t>
      </w:r>
      <w:proofErr w:type="spellEnd"/>
      <w:r w:rsidRPr="00E5382C">
        <w:rPr>
          <w:rFonts w:ascii="Arial" w:hAnsi="Arial"/>
          <w:sz w:val="22"/>
          <w:szCs w:val="22"/>
        </w:rPr>
        <w:t xml:space="preserve"> is not a CYP2C8 inhibitor (CYP isoform with lowest </w:t>
      </w:r>
      <w:r w:rsidRPr="00E5382C">
        <w:rPr>
          <w:rFonts w:ascii="Arial" w:hAnsi="Arial"/>
          <w:i/>
          <w:sz w:val="22"/>
          <w:szCs w:val="22"/>
        </w:rPr>
        <w:t>in vitro</w:t>
      </w:r>
      <w:r w:rsidRPr="00E5382C">
        <w:rPr>
          <w:rFonts w:ascii="Arial" w:hAnsi="Arial"/>
          <w:sz w:val="22"/>
          <w:szCs w:val="22"/>
        </w:rPr>
        <w:t xml:space="preserve"> IC</w:t>
      </w:r>
      <w:r w:rsidRPr="00E5382C">
        <w:rPr>
          <w:rFonts w:ascii="Arial" w:hAnsi="Arial"/>
          <w:sz w:val="22"/>
          <w:szCs w:val="22"/>
          <w:vertAlign w:val="subscript"/>
        </w:rPr>
        <w:t>50</w:t>
      </w:r>
      <w:r w:rsidRPr="00E5382C">
        <w:rPr>
          <w:rFonts w:ascii="Arial" w:hAnsi="Arial"/>
          <w:sz w:val="22"/>
          <w:szCs w:val="22"/>
        </w:rPr>
        <w:t>).</w:t>
      </w:r>
    </w:p>
    <w:p w:rsidR="00D63B6C" w:rsidRPr="00D63B6C" w:rsidRDefault="00DD6FA8" w:rsidP="000242C4">
      <w:pPr>
        <w:pStyle w:val="BodyText1"/>
        <w:spacing w:before="80" w:after="80"/>
        <w:ind w:firstLine="0"/>
        <w:jc w:val="both"/>
        <w:rPr>
          <w:rFonts w:ascii="Arial" w:hAnsi="Arial"/>
          <w:i/>
          <w:sz w:val="22"/>
          <w:szCs w:val="22"/>
        </w:rPr>
      </w:pPr>
      <w:proofErr w:type="spellStart"/>
      <w:r w:rsidRPr="00E5382C">
        <w:rPr>
          <w:rFonts w:ascii="Arial" w:hAnsi="Arial"/>
          <w:sz w:val="22"/>
          <w:szCs w:val="22"/>
        </w:rPr>
        <w:t>Elbasvir</w:t>
      </w:r>
      <w:proofErr w:type="spellEnd"/>
      <w:r w:rsidRPr="00E5382C">
        <w:rPr>
          <w:rFonts w:ascii="Arial" w:hAnsi="Arial"/>
          <w:sz w:val="22"/>
          <w:szCs w:val="22"/>
        </w:rPr>
        <w:t xml:space="preserve"> has minimal intestinal P-</w:t>
      </w:r>
      <w:proofErr w:type="spellStart"/>
      <w:r w:rsidRPr="00E5382C">
        <w:rPr>
          <w:rFonts w:ascii="Arial" w:hAnsi="Arial"/>
          <w:sz w:val="22"/>
          <w:szCs w:val="22"/>
        </w:rPr>
        <w:t>gp</w:t>
      </w:r>
      <w:proofErr w:type="spellEnd"/>
      <w:r w:rsidRPr="00E5382C">
        <w:rPr>
          <w:rFonts w:ascii="Arial" w:hAnsi="Arial"/>
          <w:sz w:val="22"/>
          <w:szCs w:val="22"/>
        </w:rPr>
        <w:t xml:space="preserve"> inhibition in humans, and does not result in clinically relevant increases in concentrations of digoxin (a P-</w:t>
      </w:r>
      <w:proofErr w:type="spellStart"/>
      <w:r w:rsidRPr="00E5382C">
        <w:rPr>
          <w:rFonts w:ascii="Arial" w:hAnsi="Arial"/>
          <w:sz w:val="22"/>
          <w:szCs w:val="22"/>
        </w:rPr>
        <w:t>gp</w:t>
      </w:r>
      <w:proofErr w:type="spellEnd"/>
      <w:r w:rsidRPr="00E5382C">
        <w:rPr>
          <w:rFonts w:ascii="Arial" w:hAnsi="Arial"/>
          <w:sz w:val="22"/>
          <w:szCs w:val="22"/>
        </w:rPr>
        <w:t xml:space="preserve"> substrate), with an 11% increase in plasma AUC (see Table 3).</w:t>
      </w:r>
      <w:r w:rsidRPr="00D63B6C">
        <w:rPr>
          <w:rFonts w:ascii="Arial" w:hAnsi="Arial"/>
          <w:sz w:val="22"/>
          <w:szCs w:val="22"/>
        </w:rPr>
        <w:t xml:space="preserve"> </w:t>
      </w:r>
      <w:proofErr w:type="spellStart"/>
      <w:r w:rsidR="00D63B6C" w:rsidRPr="00E5382C">
        <w:rPr>
          <w:rFonts w:ascii="Arial" w:hAnsi="Arial"/>
          <w:sz w:val="22"/>
          <w:szCs w:val="22"/>
        </w:rPr>
        <w:t>Grazoprevir</w:t>
      </w:r>
      <w:proofErr w:type="spellEnd"/>
      <w:r w:rsidR="00D63B6C" w:rsidRPr="00E5382C">
        <w:rPr>
          <w:rFonts w:ascii="Arial" w:hAnsi="Arial"/>
          <w:sz w:val="22"/>
          <w:szCs w:val="22"/>
        </w:rPr>
        <w:t xml:space="preserve"> is not a P-</w:t>
      </w:r>
      <w:proofErr w:type="spellStart"/>
      <w:r w:rsidR="00D63B6C" w:rsidRPr="00E5382C">
        <w:rPr>
          <w:rFonts w:ascii="Arial" w:hAnsi="Arial"/>
          <w:sz w:val="22"/>
          <w:szCs w:val="22"/>
        </w:rPr>
        <w:t>gp</w:t>
      </w:r>
      <w:proofErr w:type="spellEnd"/>
      <w:r w:rsidR="00D63B6C" w:rsidRPr="00E5382C">
        <w:rPr>
          <w:rFonts w:ascii="Arial" w:hAnsi="Arial"/>
          <w:sz w:val="22"/>
          <w:szCs w:val="22"/>
        </w:rPr>
        <w:t xml:space="preserve"> inhibitor </w:t>
      </w:r>
      <w:r w:rsidR="00D63B6C" w:rsidRPr="00E5382C">
        <w:rPr>
          <w:rFonts w:ascii="Arial" w:hAnsi="Arial"/>
          <w:i/>
          <w:sz w:val="22"/>
          <w:szCs w:val="22"/>
        </w:rPr>
        <w:t>in vitro</w:t>
      </w:r>
      <w:r w:rsidR="00D63B6C" w:rsidRPr="00E5382C">
        <w:rPr>
          <w:rFonts w:ascii="Arial" w:hAnsi="Arial"/>
          <w:sz w:val="22"/>
          <w:szCs w:val="22"/>
        </w:rPr>
        <w:t>.</w:t>
      </w:r>
      <w:r w:rsidR="00D63B6C" w:rsidRPr="00D63B6C">
        <w:rPr>
          <w:rFonts w:ascii="Arial" w:hAnsi="Arial"/>
          <w:sz w:val="22"/>
          <w:szCs w:val="22"/>
        </w:rPr>
        <w:t xml:space="preserve"> Therefore, P-</w:t>
      </w:r>
      <w:proofErr w:type="spellStart"/>
      <w:r w:rsidR="00D63B6C" w:rsidRPr="00D63B6C">
        <w:rPr>
          <w:rFonts w:ascii="Arial" w:hAnsi="Arial"/>
          <w:sz w:val="22"/>
          <w:szCs w:val="22"/>
        </w:rPr>
        <w:t>gp</w:t>
      </w:r>
      <w:proofErr w:type="spellEnd"/>
      <w:r w:rsidR="00D63B6C" w:rsidRPr="00D63B6C">
        <w:rPr>
          <w:rFonts w:ascii="Arial" w:hAnsi="Arial"/>
          <w:sz w:val="22"/>
          <w:szCs w:val="22"/>
        </w:rPr>
        <w:t xml:space="preserve"> substrates may be administered without dose adjustment when co-administered with </w:t>
      </w:r>
      <w:r w:rsidR="000D7FE6">
        <w:rPr>
          <w:rFonts w:ascii="Arial" w:hAnsi="Arial"/>
          <w:sz w:val="22"/>
          <w:szCs w:val="22"/>
        </w:rPr>
        <w:t>ZEPATIER</w:t>
      </w:r>
      <w:r w:rsidR="00D63B6C" w:rsidRPr="00D63B6C">
        <w:rPr>
          <w:rFonts w:ascii="Arial" w:hAnsi="Arial"/>
          <w:sz w:val="22"/>
          <w:szCs w:val="22"/>
        </w:rPr>
        <w:t xml:space="preserve">. </w:t>
      </w:r>
    </w:p>
    <w:p w:rsidR="00157EE1" w:rsidRDefault="00DD6FA8">
      <w:pPr>
        <w:spacing w:before="0" w:after="0"/>
        <w:rPr>
          <w:b/>
          <w:highlight w:val="green"/>
          <w:lang w:val="en-US"/>
        </w:rPr>
      </w:pPr>
      <w:proofErr w:type="spellStart"/>
      <w:r>
        <w:t>Elbasvir</w:t>
      </w:r>
      <w:proofErr w:type="spellEnd"/>
      <w:r>
        <w:t xml:space="preserve"> and </w:t>
      </w:r>
      <w:proofErr w:type="spellStart"/>
      <w:r>
        <w:t>g</w:t>
      </w:r>
      <w:r w:rsidR="00D63B6C" w:rsidRPr="00D63B6C">
        <w:t>razoprevir</w:t>
      </w:r>
      <w:proofErr w:type="spellEnd"/>
      <w:r w:rsidR="00D63B6C" w:rsidRPr="00D63B6C">
        <w:t xml:space="preserve"> are inhibitors of the drug transporter breast cancer resistance protein (BCRP) at the intestinal level in humans and may increase plasma concentrations of co-administered BCRP substrates. Neither </w:t>
      </w:r>
      <w:proofErr w:type="spellStart"/>
      <w:r w:rsidR="00C95A66">
        <w:t>elbasvir</w:t>
      </w:r>
      <w:proofErr w:type="spellEnd"/>
      <w:r w:rsidR="00C95A66">
        <w:t xml:space="preserve"> nor </w:t>
      </w:r>
      <w:proofErr w:type="spellStart"/>
      <w:r w:rsidR="00D63B6C" w:rsidRPr="00D63B6C">
        <w:t>grazoprevir</w:t>
      </w:r>
      <w:proofErr w:type="spellEnd"/>
      <w:r w:rsidR="00D63B6C" w:rsidRPr="00D63B6C">
        <w:t xml:space="preserve"> are inhibitors of OATP1B in huma</w:t>
      </w:r>
      <w:r w:rsidR="00D63B6C" w:rsidRPr="008F2853">
        <w:t xml:space="preserve">ns </w:t>
      </w:r>
      <w:r w:rsidR="003771F7" w:rsidRPr="008F2853">
        <w:t>(</w:t>
      </w:r>
      <w:r w:rsidR="00D63B6C" w:rsidRPr="008F2853">
        <w:rPr>
          <w:i/>
        </w:rPr>
        <w:t xml:space="preserve">see </w:t>
      </w:r>
      <w:r w:rsidR="003771F7" w:rsidRPr="008F2853">
        <w:rPr>
          <w:i/>
        </w:rPr>
        <w:t>INTER</w:t>
      </w:r>
      <w:r w:rsidR="003771F7" w:rsidRPr="003771F7">
        <w:rPr>
          <w:i/>
        </w:rPr>
        <w:t>ACTIONS WITH OTHER MEDICINES)</w:t>
      </w:r>
      <w:r w:rsidR="003771F7">
        <w:t xml:space="preserve">.  </w:t>
      </w:r>
      <w:r w:rsidR="00157EE1">
        <w:rPr>
          <w:b/>
          <w:highlight w:val="green"/>
        </w:rPr>
        <w:br w:type="page"/>
      </w:r>
    </w:p>
    <w:p w:rsidR="00D63B6C" w:rsidRPr="00157EE1" w:rsidRDefault="00D63B6C" w:rsidP="00F42F76">
      <w:pPr>
        <w:pStyle w:val="Caption"/>
        <w:jc w:val="center"/>
      </w:pPr>
      <w:r w:rsidRPr="008F2853">
        <w:lastRenderedPageBreak/>
        <w:t>Table 2: Drug In</w:t>
      </w:r>
      <w:r w:rsidRPr="00157EE1">
        <w:t xml:space="preserve">teractions: Changes in Pharmacokinetics of </w:t>
      </w:r>
      <w:proofErr w:type="spellStart"/>
      <w:r w:rsidR="00DD6FA8">
        <w:t>Elbasvir</w:t>
      </w:r>
      <w:proofErr w:type="spellEnd"/>
      <w:r w:rsidR="00DD6FA8">
        <w:t xml:space="preserve"> or </w:t>
      </w:r>
      <w:proofErr w:type="spellStart"/>
      <w:r w:rsidRPr="00157EE1">
        <w:t>Grazoprevir</w:t>
      </w:r>
      <w:proofErr w:type="spellEnd"/>
      <w:r w:rsidRPr="00157EE1">
        <w:t xml:space="preserve"> in the Presence of Co-Administered Drug</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1715"/>
        <w:gridCol w:w="1176"/>
        <w:gridCol w:w="497"/>
        <w:gridCol w:w="997"/>
        <w:gridCol w:w="1237"/>
        <w:gridCol w:w="1237"/>
        <w:gridCol w:w="1185"/>
      </w:tblGrid>
      <w:tr w:rsidR="00D63B6C" w:rsidRPr="00D63B6C" w:rsidTr="000D04DA">
        <w:tc>
          <w:tcPr>
            <w:tcW w:w="2396" w:type="dxa"/>
            <w:vMerge w:val="restart"/>
            <w:tcBorders>
              <w:top w:val="single" w:sz="4" w:space="0" w:color="auto"/>
            </w:tcBorders>
            <w:shd w:val="clear" w:color="auto" w:fill="auto"/>
            <w:vAlign w:val="center"/>
          </w:tcPr>
          <w:p w:rsidR="00D63B6C" w:rsidRPr="00D63B6C" w:rsidRDefault="00D63B6C" w:rsidP="00636B86">
            <w:pPr>
              <w:pStyle w:val="TableLeft"/>
              <w:jc w:val="center"/>
              <w:rPr>
                <w:bCs w:val="0"/>
                <w:sz w:val="20"/>
                <w:szCs w:val="20"/>
              </w:rPr>
            </w:pPr>
            <w:r w:rsidRPr="00D63B6C">
              <w:rPr>
                <w:b/>
                <w:bCs w:val="0"/>
                <w:sz w:val="20"/>
                <w:szCs w:val="20"/>
              </w:rPr>
              <w:t>Co-Administered Drug</w:t>
            </w:r>
          </w:p>
        </w:tc>
        <w:tc>
          <w:tcPr>
            <w:tcW w:w="1715" w:type="dxa"/>
            <w:vMerge w:val="restart"/>
            <w:tcBorders>
              <w:top w:val="single" w:sz="4" w:space="0" w:color="auto"/>
            </w:tcBorders>
            <w:shd w:val="clear" w:color="auto" w:fill="auto"/>
            <w:vAlign w:val="center"/>
          </w:tcPr>
          <w:p w:rsidR="00D63B6C" w:rsidRPr="00D63B6C" w:rsidRDefault="00D63B6C" w:rsidP="00636B86">
            <w:pPr>
              <w:pStyle w:val="TableLeft"/>
              <w:jc w:val="center"/>
              <w:rPr>
                <w:b/>
                <w:bCs w:val="0"/>
                <w:sz w:val="20"/>
                <w:szCs w:val="20"/>
              </w:rPr>
            </w:pPr>
            <w:r w:rsidRPr="00D63B6C">
              <w:rPr>
                <w:b/>
                <w:bCs w:val="0"/>
                <w:sz w:val="20"/>
                <w:szCs w:val="20"/>
              </w:rPr>
              <w:t>Regimen of Co-Administered Drug</w:t>
            </w:r>
          </w:p>
        </w:tc>
        <w:tc>
          <w:tcPr>
            <w:tcW w:w="1176" w:type="dxa"/>
            <w:vMerge w:val="restart"/>
            <w:tcBorders>
              <w:top w:val="single" w:sz="4" w:space="0" w:color="auto"/>
            </w:tcBorders>
            <w:shd w:val="clear" w:color="auto" w:fill="auto"/>
            <w:vAlign w:val="center"/>
          </w:tcPr>
          <w:p w:rsidR="00D63B6C" w:rsidRPr="00D63B6C" w:rsidRDefault="00D63B6C" w:rsidP="00DD6FA8">
            <w:pPr>
              <w:pStyle w:val="TableLeft"/>
              <w:jc w:val="center"/>
              <w:rPr>
                <w:b/>
                <w:bCs w:val="0"/>
                <w:sz w:val="20"/>
                <w:szCs w:val="20"/>
              </w:rPr>
            </w:pPr>
            <w:r w:rsidRPr="00D63B6C">
              <w:rPr>
                <w:b/>
                <w:bCs w:val="0"/>
                <w:sz w:val="20"/>
                <w:szCs w:val="20"/>
              </w:rPr>
              <w:t xml:space="preserve">Regimen of </w:t>
            </w:r>
            <w:r w:rsidR="00DD6FA8">
              <w:rPr>
                <w:b/>
                <w:bCs w:val="0"/>
                <w:sz w:val="20"/>
                <w:szCs w:val="20"/>
              </w:rPr>
              <w:t xml:space="preserve">EBR and/or </w:t>
            </w:r>
            <w:r w:rsidRPr="00D63B6C">
              <w:rPr>
                <w:b/>
                <w:bCs w:val="0"/>
                <w:sz w:val="20"/>
                <w:szCs w:val="20"/>
              </w:rPr>
              <w:t xml:space="preserve">GZR </w:t>
            </w:r>
          </w:p>
        </w:tc>
        <w:tc>
          <w:tcPr>
            <w:tcW w:w="497" w:type="dxa"/>
            <w:vMerge w:val="restart"/>
            <w:tcBorders>
              <w:top w:val="single" w:sz="4" w:space="0" w:color="auto"/>
            </w:tcBorders>
            <w:shd w:val="clear" w:color="auto" w:fill="auto"/>
            <w:vAlign w:val="center"/>
          </w:tcPr>
          <w:p w:rsidR="00D63B6C" w:rsidRPr="00D63B6C" w:rsidRDefault="00D63B6C" w:rsidP="00636B86">
            <w:pPr>
              <w:pStyle w:val="TableLeft"/>
              <w:jc w:val="center"/>
              <w:rPr>
                <w:b/>
                <w:bCs w:val="0"/>
                <w:sz w:val="20"/>
                <w:szCs w:val="20"/>
              </w:rPr>
            </w:pPr>
            <w:r w:rsidRPr="00D63B6C">
              <w:rPr>
                <w:b/>
                <w:bCs w:val="0"/>
                <w:sz w:val="20"/>
                <w:szCs w:val="20"/>
              </w:rPr>
              <w:t>N</w:t>
            </w:r>
          </w:p>
        </w:tc>
        <w:tc>
          <w:tcPr>
            <w:tcW w:w="4656" w:type="dxa"/>
            <w:gridSpan w:val="4"/>
            <w:tcBorders>
              <w:top w:val="single" w:sz="4" w:space="0" w:color="auto"/>
            </w:tcBorders>
            <w:shd w:val="clear" w:color="auto" w:fill="auto"/>
            <w:vAlign w:val="center"/>
          </w:tcPr>
          <w:p w:rsidR="00D63B6C" w:rsidRPr="00D63B6C" w:rsidRDefault="00D63B6C" w:rsidP="00895D2C">
            <w:pPr>
              <w:pStyle w:val="TableLeft"/>
              <w:jc w:val="center"/>
              <w:rPr>
                <w:b/>
                <w:bCs w:val="0"/>
                <w:sz w:val="20"/>
                <w:szCs w:val="20"/>
              </w:rPr>
            </w:pPr>
            <w:r w:rsidRPr="00D63B6C">
              <w:rPr>
                <w:b/>
                <w:bCs w:val="0"/>
                <w:sz w:val="20"/>
                <w:szCs w:val="20"/>
              </w:rPr>
              <w:t xml:space="preserve">Geometric Mean Ratio [90% CI] of </w:t>
            </w:r>
            <w:r w:rsidR="00895D2C">
              <w:rPr>
                <w:b/>
                <w:bCs w:val="0"/>
                <w:sz w:val="20"/>
                <w:szCs w:val="20"/>
              </w:rPr>
              <w:t xml:space="preserve">EBR and </w:t>
            </w:r>
            <w:r w:rsidRPr="00D63B6C">
              <w:rPr>
                <w:b/>
                <w:bCs w:val="0"/>
                <w:sz w:val="20"/>
                <w:szCs w:val="20"/>
              </w:rPr>
              <w:t>GZR PK with/without Co-Administered Drug (No Effect=1.00)</w:t>
            </w:r>
          </w:p>
        </w:tc>
      </w:tr>
      <w:tr w:rsidR="00D63B6C" w:rsidRPr="00D63B6C" w:rsidTr="000D04DA">
        <w:tc>
          <w:tcPr>
            <w:tcW w:w="2396" w:type="dxa"/>
            <w:vMerge/>
            <w:shd w:val="clear" w:color="auto" w:fill="auto"/>
            <w:vAlign w:val="center"/>
            <w:hideMark/>
          </w:tcPr>
          <w:p w:rsidR="00D63B6C" w:rsidRPr="00D63B6C" w:rsidRDefault="00D63B6C" w:rsidP="00636B86">
            <w:pPr>
              <w:pStyle w:val="TableLeft"/>
              <w:jc w:val="center"/>
              <w:rPr>
                <w:b/>
                <w:bCs w:val="0"/>
                <w:sz w:val="20"/>
                <w:szCs w:val="20"/>
              </w:rPr>
            </w:pPr>
          </w:p>
        </w:tc>
        <w:tc>
          <w:tcPr>
            <w:tcW w:w="1715" w:type="dxa"/>
            <w:vMerge/>
            <w:shd w:val="clear" w:color="auto" w:fill="auto"/>
            <w:vAlign w:val="center"/>
            <w:hideMark/>
          </w:tcPr>
          <w:p w:rsidR="00D63B6C" w:rsidRPr="00D63B6C" w:rsidRDefault="00D63B6C" w:rsidP="00636B86">
            <w:pPr>
              <w:pStyle w:val="TableLeft"/>
              <w:jc w:val="center"/>
              <w:rPr>
                <w:b/>
                <w:bCs w:val="0"/>
                <w:sz w:val="20"/>
                <w:szCs w:val="20"/>
              </w:rPr>
            </w:pPr>
          </w:p>
        </w:tc>
        <w:tc>
          <w:tcPr>
            <w:tcW w:w="1176" w:type="dxa"/>
            <w:vMerge/>
            <w:shd w:val="clear" w:color="auto" w:fill="auto"/>
            <w:vAlign w:val="center"/>
            <w:hideMark/>
          </w:tcPr>
          <w:p w:rsidR="00D63B6C" w:rsidRPr="00D63B6C" w:rsidRDefault="00D63B6C" w:rsidP="00636B86">
            <w:pPr>
              <w:pStyle w:val="TableLeft"/>
              <w:jc w:val="center"/>
              <w:rPr>
                <w:b/>
                <w:bCs w:val="0"/>
                <w:sz w:val="20"/>
                <w:szCs w:val="20"/>
              </w:rPr>
            </w:pPr>
          </w:p>
        </w:tc>
        <w:tc>
          <w:tcPr>
            <w:tcW w:w="497" w:type="dxa"/>
            <w:vMerge/>
            <w:shd w:val="clear" w:color="auto" w:fill="auto"/>
            <w:vAlign w:val="center"/>
            <w:hideMark/>
          </w:tcPr>
          <w:p w:rsidR="00D63B6C" w:rsidRPr="00D63B6C" w:rsidRDefault="00D63B6C" w:rsidP="00636B86">
            <w:pPr>
              <w:pStyle w:val="TableLeft"/>
              <w:jc w:val="center"/>
              <w:rPr>
                <w:b/>
                <w:bCs w:val="0"/>
                <w:sz w:val="20"/>
                <w:szCs w:val="20"/>
              </w:rPr>
            </w:pPr>
          </w:p>
        </w:tc>
        <w:tc>
          <w:tcPr>
            <w:tcW w:w="997" w:type="dxa"/>
            <w:shd w:val="clear" w:color="auto" w:fill="auto"/>
            <w:vAlign w:val="center"/>
            <w:hideMark/>
          </w:tcPr>
          <w:p w:rsidR="00D63B6C" w:rsidRPr="00D63B6C" w:rsidRDefault="00D63B6C" w:rsidP="00636B86">
            <w:pPr>
              <w:pStyle w:val="TableLeft"/>
              <w:jc w:val="center"/>
              <w:rPr>
                <w:b/>
                <w:bCs w:val="0"/>
                <w:sz w:val="20"/>
                <w:szCs w:val="20"/>
              </w:rPr>
            </w:pPr>
          </w:p>
        </w:tc>
        <w:tc>
          <w:tcPr>
            <w:tcW w:w="1237" w:type="dxa"/>
            <w:shd w:val="clear" w:color="auto" w:fill="auto"/>
            <w:vAlign w:val="center"/>
            <w:hideMark/>
          </w:tcPr>
          <w:p w:rsidR="00D63B6C" w:rsidRPr="00D63B6C" w:rsidRDefault="00D63B6C" w:rsidP="00636B86">
            <w:pPr>
              <w:pStyle w:val="TableLeft"/>
              <w:jc w:val="center"/>
              <w:rPr>
                <w:b/>
                <w:bCs w:val="0"/>
                <w:sz w:val="20"/>
                <w:szCs w:val="20"/>
              </w:rPr>
            </w:pPr>
            <w:r w:rsidRPr="00D63B6C">
              <w:rPr>
                <w:b/>
                <w:bCs w:val="0"/>
                <w:sz w:val="20"/>
                <w:szCs w:val="20"/>
              </w:rPr>
              <w:t>AUC*</w:t>
            </w:r>
          </w:p>
        </w:tc>
        <w:tc>
          <w:tcPr>
            <w:tcW w:w="1237" w:type="dxa"/>
            <w:shd w:val="clear" w:color="auto" w:fill="auto"/>
            <w:vAlign w:val="center"/>
            <w:hideMark/>
          </w:tcPr>
          <w:p w:rsidR="00D63B6C" w:rsidRPr="00D63B6C" w:rsidRDefault="00D63B6C" w:rsidP="00636B86">
            <w:pPr>
              <w:pStyle w:val="TableLeft"/>
              <w:jc w:val="center"/>
              <w:rPr>
                <w:b/>
                <w:bCs w:val="0"/>
                <w:sz w:val="20"/>
                <w:szCs w:val="20"/>
              </w:rPr>
            </w:pPr>
            <w:proofErr w:type="spellStart"/>
            <w:r w:rsidRPr="00D63B6C">
              <w:rPr>
                <w:b/>
                <w:bCs w:val="0"/>
                <w:sz w:val="20"/>
                <w:szCs w:val="20"/>
              </w:rPr>
              <w:t>C</w:t>
            </w:r>
            <w:r w:rsidRPr="00D63B6C">
              <w:rPr>
                <w:b/>
                <w:bCs w:val="0"/>
                <w:sz w:val="20"/>
                <w:szCs w:val="20"/>
                <w:vertAlign w:val="subscript"/>
              </w:rPr>
              <w:t>max</w:t>
            </w:r>
            <w:proofErr w:type="spellEnd"/>
          </w:p>
        </w:tc>
        <w:tc>
          <w:tcPr>
            <w:tcW w:w="1185" w:type="dxa"/>
            <w:shd w:val="clear" w:color="auto" w:fill="auto"/>
            <w:vAlign w:val="center"/>
            <w:hideMark/>
          </w:tcPr>
          <w:p w:rsidR="00D63B6C" w:rsidRPr="00D63B6C" w:rsidRDefault="00D63B6C" w:rsidP="00636B86">
            <w:pPr>
              <w:pStyle w:val="TableLeft"/>
              <w:jc w:val="center"/>
              <w:rPr>
                <w:b/>
                <w:bCs w:val="0"/>
                <w:sz w:val="20"/>
                <w:szCs w:val="20"/>
              </w:rPr>
            </w:pPr>
            <w:r w:rsidRPr="00D63B6C">
              <w:rPr>
                <w:b/>
                <w:bCs w:val="0"/>
                <w:sz w:val="20"/>
                <w:szCs w:val="20"/>
              </w:rPr>
              <w:t>C24</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Antifungal</w:t>
            </w:r>
          </w:p>
        </w:tc>
      </w:tr>
      <w:tr w:rsidR="00DD6FA8" w:rsidRPr="00D63B6C" w:rsidTr="000D04DA">
        <w:tc>
          <w:tcPr>
            <w:tcW w:w="2396" w:type="dxa"/>
            <w:vMerge w:val="restart"/>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Ketoconazole</w:t>
            </w:r>
          </w:p>
        </w:tc>
        <w:tc>
          <w:tcPr>
            <w:tcW w:w="1715"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400 mg once daily</w:t>
            </w:r>
          </w:p>
        </w:tc>
        <w:tc>
          <w:tcPr>
            <w:tcW w:w="1176"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EBR 50 mg single-dose</w:t>
            </w:r>
          </w:p>
        </w:tc>
        <w:tc>
          <w:tcPr>
            <w:tcW w:w="49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7</w:t>
            </w:r>
          </w:p>
        </w:tc>
        <w:tc>
          <w:tcPr>
            <w:tcW w:w="99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1.80 (1.41, 2.29)</w:t>
            </w:r>
          </w:p>
        </w:tc>
        <w:tc>
          <w:tcPr>
            <w:tcW w:w="123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1.29 (1.00, 1.66)</w:t>
            </w:r>
          </w:p>
        </w:tc>
        <w:tc>
          <w:tcPr>
            <w:tcW w:w="1185"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1.89 (1.37, 2.60)</w:t>
            </w:r>
          </w:p>
        </w:tc>
      </w:tr>
      <w:tr w:rsidR="00DD6FA8" w:rsidRPr="00D63B6C" w:rsidTr="000D04DA">
        <w:tc>
          <w:tcPr>
            <w:tcW w:w="2396" w:type="dxa"/>
            <w:vMerge/>
            <w:shd w:val="clear" w:color="auto" w:fill="auto"/>
            <w:vAlign w:val="center"/>
            <w:hideMark/>
          </w:tcPr>
          <w:p w:rsidR="00DD6FA8" w:rsidRPr="00D63B6C" w:rsidRDefault="00DD6FA8" w:rsidP="00636B86">
            <w:pPr>
              <w:pStyle w:val="TableLeft"/>
              <w:jc w:val="center"/>
              <w:rPr>
                <w:bCs w:val="0"/>
                <w:sz w:val="20"/>
                <w:szCs w:val="20"/>
              </w:rPr>
            </w:pPr>
          </w:p>
        </w:tc>
        <w:tc>
          <w:tcPr>
            <w:tcW w:w="1715"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400 mg once daily</w:t>
            </w:r>
          </w:p>
        </w:tc>
        <w:tc>
          <w:tcPr>
            <w:tcW w:w="1176"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GZR 100 mg single-dose</w:t>
            </w:r>
          </w:p>
        </w:tc>
        <w:tc>
          <w:tcPr>
            <w:tcW w:w="49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8</w:t>
            </w:r>
          </w:p>
        </w:tc>
        <w:tc>
          <w:tcPr>
            <w:tcW w:w="99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3.02 (2.42, 3.76)</w:t>
            </w:r>
          </w:p>
        </w:tc>
        <w:tc>
          <w:tcPr>
            <w:tcW w:w="123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1.13 (0.77, 1.67)</w:t>
            </w:r>
          </w:p>
        </w:tc>
        <w:tc>
          <w:tcPr>
            <w:tcW w:w="1185"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proofErr w:type="spellStart"/>
            <w:r w:rsidRPr="00D63B6C">
              <w:rPr>
                <w:bCs w:val="0"/>
                <w:sz w:val="20"/>
                <w:szCs w:val="20"/>
              </w:rPr>
              <w:t>Antimycobacterial</w:t>
            </w:r>
            <w:proofErr w:type="spellEnd"/>
          </w:p>
        </w:tc>
      </w:tr>
      <w:tr w:rsidR="00DD6FA8" w:rsidRPr="00D63B6C" w:rsidTr="000D04DA">
        <w:tc>
          <w:tcPr>
            <w:tcW w:w="2396" w:type="dxa"/>
            <w:vMerge w:val="restart"/>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Rifampin</w:t>
            </w:r>
          </w:p>
        </w:tc>
        <w:tc>
          <w:tcPr>
            <w:tcW w:w="1715"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600 mg single-dose IV</w:t>
            </w:r>
          </w:p>
        </w:tc>
        <w:tc>
          <w:tcPr>
            <w:tcW w:w="1176"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EBR 50 mg single-dose</w:t>
            </w:r>
          </w:p>
        </w:tc>
        <w:tc>
          <w:tcPr>
            <w:tcW w:w="49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14</w:t>
            </w:r>
          </w:p>
        </w:tc>
        <w:tc>
          <w:tcPr>
            <w:tcW w:w="99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1.22 (1.06, 1.40)</w:t>
            </w:r>
          </w:p>
        </w:tc>
        <w:tc>
          <w:tcPr>
            <w:tcW w:w="123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1.41 (1.18, 1.68)</w:t>
            </w:r>
          </w:p>
        </w:tc>
        <w:tc>
          <w:tcPr>
            <w:tcW w:w="1185"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1.31 (1.12, 1.53)</w:t>
            </w:r>
          </w:p>
        </w:tc>
      </w:tr>
      <w:tr w:rsidR="00DD6FA8" w:rsidRPr="00D63B6C" w:rsidTr="000D04DA">
        <w:tc>
          <w:tcPr>
            <w:tcW w:w="2396" w:type="dxa"/>
            <w:vMerge/>
            <w:shd w:val="clear" w:color="auto" w:fill="auto"/>
            <w:vAlign w:val="center"/>
          </w:tcPr>
          <w:p w:rsidR="00DD6FA8" w:rsidRPr="00D63B6C" w:rsidRDefault="00DD6FA8" w:rsidP="00636B86">
            <w:pPr>
              <w:pStyle w:val="TableLeft"/>
              <w:jc w:val="center"/>
              <w:rPr>
                <w:bCs w:val="0"/>
                <w:sz w:val="20"/>
                <w:szCs w:val="20"/>
              </w:rPr>
            </w:pPr>
          </w:p>
        </w:tc>
        <w:tc>
          <w:tcPr>
            <w:tcW w:w="1715"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600 mg single-dose PO</w:t>
            </w:r>
          </w:p>
        </w:tc>
        <w:tc>
          <w:tcPr>
            <w:tcW w:w="1176"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EBR 50 mg single-dose</w:t>
            </w:r>
          </w:p>
        </w:tc>
        <w:tc>
          <w:tcPr>
            <w:tcW w:w="49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14</w:t>
            </w:r>
          </w:p>
        </w:tc>
        <w:tc>
          <w:tcPr>
            <w:tcW w:w="99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1.17 (0.98, 1.39)</w:t>
            </w:r>
          </w:p>
        </w:tc>
        <w:tc>
          <w:tcPr>
            <w:tcW w:w="1237"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1.29 (1.06, 1.58)</w:t>
            </w:r>
          </w:p>
        </w:tc>
        <w:tc>
          <w:tcPr>
            <w:tcW w:w="1185" w:type="dxa"/>
            <w:shd w:val="clear" w:color="auto" w:fill="auto"/>
            <w:vAlign w:val="center"/>
          </w:tcPr>
          <w:p w:rsidR="00DD6FA8" w:rsidRPr="00D63B6C" w:rsidRDefault="00DD6FA8" w:rsidP="00636B86">
            <w:pPr>
              <w:pStyle w:val="TableLeft"/>
              <w:jc w:val="center"/>
              <w:rPr>
                <w:bCs w:val="0"/>
                <w:sz w:val="20"/>
                <w:szCs w:val="20"/>
              </w:rPr>
            </w:pPr>
            <w:r w:rsidRPr="00D63B6C">
              <w:rPr>
                <w:bCs w:val="0"/>
                <w:sz w:val="20"/>
                <w:szCs w:val="20"/>
              </w:rPr>
              <w:t>1.21 (1.03, 1.43)</w:t>
            </w:r>
          </w:p>
        </w:tc>
      </w:tr>
      <w:tr w:rsidR="00DD6FA8" w:rsidRPr="00D63B6C" w:rsidTr="000D04DA">
        <w:tc>
          <w:tcPr>
            <w:tcW w:w="2396" w:type="dxa"/>
            <w:vMerge/>
            <w:shd w:val="clear" w:color="auto" w:fill="auto"/>
            <w:vAlign w:val="center"/>
            <w:hideMark/>
          </w:tcPr>
          <w:p w:rsidR="00DD6FA8" w:rsidRPr="00D63B6C" w:rsidRDefault="00DD6FA8" w:rsidP="00636B86">
            <w:pPr>
              <w:pStyle w:val="TableLeft"/>
              <w:jc w:val="center"/>
              <w:rPr>
                <w:bCs w:val="0"/>
                <w:sz w:val="20"/>
                <w:szCs w:val="20"/>
              </w:rPr>
            </w:pPr>
          </w:p>
        </w:tc>
        <w:tc>
          <w:tcPr>
            <w:tcW w:w="1715"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600 mg PO once daily</w:t>
            </w:r>
          </w:p>
        </w:tc>
        <w:tc>
          <w:tcPr>
            <w:tcW w:w="1176"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0.93 (0.75, 1.17)</w:t>
            </w:r>
          </w:p>
        </w:tc>
        <w:tc>
          <w:tcPr>
            <w:tcW w:w="123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1.16 (0.82, 1.65)</w:t>
            </w:r>
          </w:p>
        </w:tc>
        <w:tc>
          <w:tcPr>
            <w:tcW w:w="1185"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0.10 (0.07, 0.13)</w:t>
            </w:r>
          </w:p>
        </w:tc>
      </w:tr>
      <w:tr w:rsidR="00DD6FA8" w:rsidRPr="00D63B6C" w:rsidTr="000D04DA">
        <w:tc>
          <w:tcPr>
            <w:tcW w:w="2396" w:type="dxa"/>
            <w:vMerge/>
            <w:shd w:val="clear" w:color="auto" w:fill="auto"/>
            <w:vAlign w:val="center"/>
          </w:tcPr>
          <w:p w:rsidR="00DD6FA8" w:rsidRPr="00D63B6C" w:rsidRDefault="00DD6FA8" w:rsidP="00636B86">
            <w:pPr>
              <w:pStyle w:val="TableLeft"/>
              <w:jc w:val="center"/>
              <w:rPr>
                <w:bCs w:val="0"/>
                <w:sz w:val="20"/>
                <w:szCs w:val="20"/>
              </w:rPr>
            </w:pPr>
          </w:p>
        </w:tc>
        <w:tc>
          <w:tcPr>
            <w:tcW w:w="1715"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600 mg IV single-dose</w:t>
            </w:r>
          </w:p>
        </w:tc>
        <w:tc>
          <w:tcPr>
            <w:tcW w:w="1176"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GZR 200 mg single-dose</w:t>
            </w:r>
          </w:p>
        </w:tc>
        <w:tc>
          <w:tcPr>
            <w:tcW w:w="49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10.21 (8.68, 12.00)</w:t>
            </w:r>
          </w:p>
        </w:tc>
        <w:tc>
          <w:tcPr>
            <w:tcW w:w="123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10.94 (8.92, 13.43)</w:t>
            </w:r>
          </w:p>
        </w:tc>
        <w:tc>
          <w:tcPr>
            <w:tcW w:w="1185"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1.77 (1.40, 2.24)</w:t>
            </w:r>
          </w:p>
        </w:tc>
      </w:tr>
      <w:tr w:rsidR="00DD6FA8" w:rsidRPr="00D63B6C" w:rsidTr="000D04DA">
        <w:tc>
          <w:tcPr>
            <w:tcW w:w="2396" w:type="dxa"/>
            <w:vMerge/>
            <w:shd w:val="clear" w:color="auto" w:fill="auto"/>
            <w:vAlign w:val="center"/>
          </w:tcPr>
          <w:p w:rsidR="00DD6FA8" w:rsidRPr="00D63B6C" w:rsidRDefault="00DD6FA8" w:rsidP="00636B86">
            <w:pPr>
              <w:pStyle w:val="TableLeft"/>
              <w:jc w:val="center"/>
              <w:rPr>
                <w:bCs w:val="0"/>
                <w:sz w:val="20"/>
                <w:szCs w:val="20"/>
              </w:rPr>
            </w:pPr>
          </w:p>
        </w:tc>
        <w:tc>
          <w:tcPr>
            <w:tcW w:w="1715"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600 mg PO single-dose</w:t>
            </w:r>
          </w:p>
        </w:tc>
        <w:tc>
          <w:tcPr>
            <w:tcW w:w="1176"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8.35 (7.38, 9.45)</w:t>
            </w:r>
            <w:r w:rsidRPr="00D63B6C">
              <w:rPr>
                <w:bCs w:val="0"/>
                <w:sz w:val="20"/>
                <w:szCs w:val="20"/>
                <w:vertAlign w:val="superscript"/>
              </w:rPr>
              <w:t>†</w:t>
            </w:r>
          </w:p>
        </w:tc>
        <w:tc>
          <w:tcPr>
            <w:tcW w:w="1237"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6.52 (5.16, 8.24)</w:t>
            </w:r>
          </w:p>
        </w:tc>
        <w:tc>
          <w:tcPr>
            <w:tcW w:w="1185" w:type="dxa"/>
            <w:shd w:val="clear" w:color="auto" w:fill="auto"/>
            <w:vAlign w:val="center"/>
            <w:hideMark/>
          </w:tcPr>
          <w:p w:rsidR="00DD6FA8" w:rsidRPr="00D63B6C" w:rsidRDefault="00DD6FA8" w:rsidP="00636B86">
            <w:pPr>
              <w:pStyle w:val="TableLeft"/>
              <w:jc w:val="center"/>
              <w:rPr>
                <w:bCs w:val="0"/>
                <w:sz w:val="20"/>
                <w:szCs w:val="20"/>
              </w:rPr>
            </w:pPr>
            <w:r w:rsidRPr="00D63B6C">
              <w:rPr>
                <w:bCs w:val="0"/>
                <w:sz w:val="20"/>
                <w:szCs w:val="20"/>
              </w:rPr>
              <w:t>1.62 (1.32, 1.98)</w:t>
            </w:r>
          </w:p>
        </w:tc>
      </w:tr>
      <w:tr w:rsidR="00D63B6C" w:rsidRPr="00D63B6C" w:rsidTr="00636B86">
        <w:tc>
          <w:tcPr>
            <w:tcW w:w="10440" w:type="dxa"/>
            <w:gridSpan w:val="8"/>
            <w:shd w:val="clear" w:color="auto" w:fill="auto"/>
            <w:vAlign w:val="center"/>
          </w:tcPr>
          <w:p w:rsidR="00D63B6C" w:rsidRPr="00D63B6C" w:rsidRDefault="00D63B6C" w:rsidP="00600098">
            <w:pPr>
              <w:pStyle w:val="TableLeft"/>
              <w:jc w:val="center"/>
              <w:rPr>
                <w:bCs w:val="0"/>
                <w:sz w:val="20"/>
                <w:szCs w:val="20"/>
              </w:rPr>
            </w:pPr>
            <w:r w:rsidRPr="00D63B6C">
              <w:rPr>
                <w:bCs w:val="0"/>
                <w:sz w:val="20"/>
                <w:szCs w:val="20"/>
              </w:rPr>
              <w:t>HCV Antiviral</w:t>
            </w:r>
          </w:p>
        </w:tc>
      </w:tr>
      <w:tr w:rsidR="00D63B6C" w:rsidRPr="00D63B6C" w:rsidTr="000D04DA">
        <w:tc>
          <w:tcPr>
            <w:tcW w:w="2396"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EBR</w:t>
            </w:r>
          </w:p>
        </w:tc>
        <w:tc>
          <w:tcPr>
            <w:tcW w:w="1715"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20 mg once daily</w:t>
            </w:r>
          </w:p>
        </w:tc>
        <w:tc>
          <w:tcPr>
            <w:tcW w:w="1176"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w:t>
            </w:r>
          </w:p>
        </w:tc>
        <w:tc>
          <w:tcPr>
            <w:tcW w:w="99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0.90 (0.63, 1.28)</w:t>
            </w:r>
          </w:p>
        </w:tc>
        <w:tc>
          <w:tcPr>
            <w:tcW w:w="123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0.87 (0.50, 1.52)</w:t>
            </w:r>
          </w:p>
        </w:tc>
        <w:tc>
          <w:tcPr>
            <w:tcW w:w="1185"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0.94 (0.77, 1.15)</w:t>
            </w:r>
          </w:p>
        </w:tc>
      </w:tr>
      <w:tr w:rsidR="00D63B6C" w:rsidRPr="00D63B6C" w:rsidTr="000D04DA">
        <w:tc>
          <w:tcPr>
            <w:tcW w:w="2396"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w:t>
            </w:r>
          </w:p>
        </w:tc>
        <w:tc>
          <w:tcPr>
            <w:tcW w:w="1715"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200 mg once daily</w:t>
            </w:r>
          </w:p>
        </w:tc>
        <w:tc>
          <w:tcPr>
            <w:tcW w:w="1176"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EBR 20 mg once daily</w:t>
            </w:r>
          </w:p>
        </w:tc>
        <w:tc>
          <w:tcPr>
            <w:tcW w:w="49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w:t>
            </w:r>
          </w:p>
        </w:tc>
        <w:tc>
          <w:tcPr>
            <w:tcW w:w="99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EBR</w:t>
            </w:r>
          </w:p>
        </w:tc>
        <w:tc>
          <w:tcPr>
            <w:tcW w:w="123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1.01 (0.83, 1.24)</w:t>
            </w:r>
          </w:p>
        </w:tc>
        <w:tc>
          <w:tcPr>
            <w:tcW w:w="123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0.93 (0.76, 1.13)</w:t>
            </w:r>
          </w:p>
        </w:tc>
        <w:tc>
          <w:tcPr>
            <w:tcW w:w="1185"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1.02 (0.83, 1.24)</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HIV Protease Inhibitor</w:t>
            </w:r>
          </w:p>
        </w:tc>
      </w:tr>
      <w:tr w:rsidR="00895D2C" w:rsidRPr="00D63B6C" w:rsidTr="000D04DA">
        <w:tc>
          <w:tcPr>
            <w:tcW w:w="2396" w:type="dxa"/>
            <w:vMerge w:val="restart"/>
            <w:shd w:val="clear" w:color="auto" w:fill="auto"/>
            <w:vAlign w:val="center"/>
          </w:tcPr>
          <w:p w:rsidR="00895D2C" w:rsidRPr="00D63B6C" w:rsidRDefault="00895D2C" w:rsidP="00636B86">
            <w:pPr>
              <w:pStyle w:val="TableLeft"/>
              <w:jc w:val="center"/>
              <w:rPr>
                <w:bCs w:val="0"/>
                <w:sz w:val="20"/>
                <w:szCs w:val="20"/>
              </w:rPr>
            </w:pPr>
            <w:proofErr w:type="spellStart"/>
            <w:r w:rsidRPr="00D63B6C">
              <w:rPr>
                <w:bCs w:val="0"/>
                <w:sz w:val="20"/>
                <w:szCs w:val="20"/>
              </w:rPr>
              <w:t>Atazanavir</w:t>
            </w:r>
            <w:proofErr w:type="spellEnd"/>
            <w:r w:rsidRPr="00D63B6C">
              <w:rPr>
                <w:bCs w:val="0"/>
                <w:sz w:val="20"/>
                <w:szCs w:val="20"/>
              </w:rPr>
              <w:t>/ ritonavir</w:t>
            </w:r>
          </w:p>
        </w:tc>
        <w:tc>
          <w:tcPr>
            <w:tcW w:w="171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300 mg/ 100 mg once daily</w:t>
            </w:r>
          </w:p>
        </w:tc>
        <w:tc>
          <w:tcPr>
            <w:tcW w:w="1176"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 50 mg once daily</w:t>
            </w:r>
          </w:p>
        </w:tc>
        <w:tc>
          <w:tcPr>
            <w:tcW w:w="4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w:t>
            </w:r>
          </w:p>
        </w:tc>
        <w:tc>
          <w:tcPr>
            <w:tcW w:w="9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4.76 (4.07, 5.56)</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4.15 (3.46, 4.97)</w:t>
            </w:r>
          </w:p>
        </w:tc>
        <w:tc>
          <w:tcPr>
            <w:tcW w:w="118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6.45 (5.51, 7.54)</w:t>
            </w:r>
          </w:p>
        </w:tc>
      </w:tr>
      <w:tr w:rsidR="00895D2C" w:rsidRPr="00D63B6C" w:rsidTr="000D04DA">
        <w:tc>
          <w:tcPr>
            <w:tcW w:w="2396" w:type="dxa"/>
            <w:vMerge/>
            <w:shd w:val="clear" w:color="auto" w:fill="auto"/>
            <w:vAlign w:val="center"/>
            <w:hideMark/>
          </w:tcPr>
          <w:p w:rsidR="00895D2C" w:rsidRPr="00D63B6C" w:rsidRDefault="00895D2C" w:rsidP="00636B86">
            <w:pPr>
              <w:pStyle w:val="TableLeft"/>
              <w:jc w:val="center"/>
              <w:rPr>
                <w:bCs w:val="0"/>
                <w:sz w:val="20"/>
                <w:szCs w:val="20"/>
              </w:rPr>
            </w:pPr>
          </w:p>
        </w:tc>
        <w:tc>
          <w:tcPr>
            <w:tcW w:w="171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300 mg/ 100 mg once daily</w:t>
            </w:r>
          </w:p>
        </w:tc>
        <w:tc>
          <w:tcPr>
            <w:tcW w:w="1176"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10.58 (7.78, 14.39)</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6.24 (4.42, 8.81)</w:t>
            </w:r>
          </w:p>
        </w:tc>
        <w:tc>
          <w:tcPr>
            <w:tcW w:w="118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11.64 (7.96, 17.02)</w:t>
            </w:r>
          </w:p>
        </w:tc>
      </w:tr>
      <w:tr w:rsidR="00895D2C" w:rsidRPr="00D63B6C" w:rsidTr="000D04DA">
        <w:tc>
          <w:tcPr>
            <w:tcW w:w="2396" w:type="dxa"/>
            <w:vMerge w:val="restart"/>
            <w:shd w:val="clear" w:color="auto" w:fill="auto"/>
            <w:vAlign w:val="center"/>
          </w:tcPr>
          <w:p w:rsidR="00895D2C" w:rsidRPr="00D63B6C" w:rsidRDefault="00895D2C" w:rsidP="00636B86">
            <w:pPr>
              <w:pStyle w:val="TableLeft"/>
              <w:jc w:val="center"/>
              <w:rPr>
                <w:bCs w:val="0"/>
                <w:sz w:val="20"/>
                <w:szCs w:val="20"/>
              </w:rPr>
            </w:pPr>
            <w:proofErr w:type="spellStart"/>
            <w:r w:rsidRPr="00D63B6C">
              <w:rPr>
                <w:bCs w:val="0"/>
                <w:sz w:val="20"/>
                <w:szCs w:val="20"/>
              </w:rPr>
              <w:t>Darunavir</w:t>
            </w:r>
            <w:proofErr w:type="spellEnd"/>
            <w:r w:rsidRPr="00D63B6C">
              <w:rPr>
                <w:bCs w:val="0"/>
                <w:sz w:val="20"/>
                <w:szCs w:val="20"/>
              </w:rPr>
              <w:t>/ ritonavir</w:t>
            </w:r>
          </w:p>
        </w:tc>
        <w:tc>
          <w:tcPr>
            <w:tcW w:w="171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600 mg/ 100 mg twice daily</w:t>
            </w:r>
          </w:p>
        </w:tc>
        <w:tc>
          <w:tcPr>
            <w:tcW w:w="1176"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 50 mg once daily</w:t>
            </w:r>
          </w:p>
        </w:tc>
        <w:tc>
          <w:tcPr>
            <w:tcW w:w="4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w:t>
            </w:r>
          </w:p>
        </w:tc>
        <w:tc>
          <w:tcPr>
            <w:tcW w:w="9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1.66 (1.35, 2.05)</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1.67 (1.36, 2.05)</w:t>
            </w:r>
          </w:p>
        </w:tc>
        <w:tc>
          <w:tcPr>
            <w:tcW w:w="118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1.82 (1.39, 2.39)</w:t>
            </w:r>
          </w:p>
        </w:tc>
      </w:tr>
      <w:tr w:rsidR="00895D2C" w:rsidRPr="00D63B6C" w:rsidTr="000D04DA">
        <w:tc>
          <w:tcPr>
            <w:tcW w:w="2396" w:type="dxa"/>
            <w:vMerge/>
            <w:shd w:val="clear" w:color="auto" w:fill="auto"/>
            <w:vAlign w:val="center"/>
            <w:hideMark/>
          </w:tcPr>
          <w:p w:rsidR="00895D2C" w:rsidRPr="00D63B6C" w:rsidRDefault="00895D2C" w:rsidP="00636B86">
            <w:pPr>
              <w:pStyle w:val="TableLeft"/>
              <w:jc w:val="center"/>
              <w:rPr>
                <w:bCs w:val="0"/>
                <w:sz w:val="20"/>
                <w:szCs w:val="20"/>
              </w:rPr>
            </w:pPr>
          </w:p>
        </w:tc>
        <w:tc>
          <w:tcPr>
            <w:tcW w:w="171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600 mg/ 100 mg twice daily</w:t>
            </w:r>
          </w:p>
        </w:tc>
        <w:tc>
          <w:tcPr>
            <w:tcW w:w="1176"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13</w:t>
            </w:r>
          </w:p>
        </w:tc>
        <w:tc>
          <w:tcPr>
            <w:tcW w:w="9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7.50 (5.92, 9.51)</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5.27 (4.04, 6.86)</w:t>
            </w:r>
          </w:p>
        </w:tc>
        <w:tc>
          <w:tcPr>
            <w:tcW w:w="118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8.05 (6.33, 10.24)</w:t>
            </w:r>
          </w:p>
        </w:tc>
      </w:tr>
      <w:tr w:rsidR="00895D2C" w:rsidRPr="00D63B6C" w:rsidTr="000D04DA">
        <w:tc>
          <w:tcPr>
            <w:tcW w:w="2396" w:type="dxa"/>
            <w:vMerge w:val="restart"/>
            <w:shd w:val="clear" w:color="auto" w:fill="auto"/>
            <w:vAlign w:val="center"/>
          </w:tcPr>
          <w:p w:rsidR="00895D2C" w:rsidRPr="00D63B6C" w:rsidRDefault="00895D2C" w:rsidP="00636B86">
            <w:pPr>
              <w:pStyle w:val="TableLeft"/>
              <w:jc w:val="center"/>
              <w:rPr>
                <w:bCs w:val="0"/>
                <w:sz w:val="20"/>
                <w:szCs w:val="20"/>
              </w:rPr>
            </w:pPr>
            <w:proofErr w:type="spellStart"/>
            <w:r w:rsidRPr="00D63B6C">
              <w:rPr>
                <w:bCs w:val="0"/>
                <w:sz w:val="20"/>
                <w:szCs w:val="20"/>
              </w:rPr>
              <w:t>Lopinavir</w:t>
            </w:r>
            <w:proofErr w:type="spellEnd"/>
            <w:r w:rsidRPr="00D63B6C">
              <w:rPr>
                <w:bCs w:val="0"/>
                <w:sz w:val="20"/>
                <w:szCs w:val="20"/>
              </w:rPr>
              <w:t>/ ritonavir</w:t>
            </w:r>
          </w:p>
        </w:tc>
        <w:tc>
          <w:tcPr>
            <w:tcW w:w="171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400 mg/ 100 mg twice daily</w:t>
            </w:r>
          </w:p>
        </w:tc>
        <w:tc>
          <w:tcPr>
            <w:tcW w:w="1176"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 50 mg once daily</w:t>
            </w:r>
          </w:p>
        </w:tc>
        <w:tc>
          <w:tcPr>
            <w:tcW w:w="4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w:t>
            </w:r>
          </w:p>
        </w:tc>
        <w:tc>
          <w:tcPr>
            <w:tcW w:w="9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3.71 (3.05, 4.53)</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2.87 (2.29, 3.58)</w:t>
            </w:r>
          </w:p>
        </w:tc>
        <w:tc>
          <w:tcPr>
            <w:tcW w:w="118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4.58 (3.72, 5.64)</w:t>
            </w:r>
          </w:p>
        </w:tc>
      </w:tr>
      <w:tr w:rsidR="00895D2C" w:rsidRPr="00D63B6C" w:rsidTr="000D04DA">
        <w:tc>
          <w:tcPr>
            <w:tcW w:w="2396" w:type="dxa"/>
            <w:vMerge/>
            <w:shd w:val="clear" w:color="auto" w:fill="auto"/>
            <w:vAlign w:val="center"/>
            <w:hideMark/>
          </w:tcPr>
          <w:p w:rsidR="00895D2C" w:rsidRPr="00D63B6C" w:rsidRDefault="00895D2C" w:rsidP="00636B86">
            <w:pPr>
              <w:pStyle w:val="TableLeft"/>
              <w:jc w:val="center"/>
              <w:rPr>
                <w:bCs w:val="0"/>
                <w:sz w:val="20"/>
                <w:szCs w:val="20"/>
              </w:rPr>
            </w:pPr>
          </w:p>
        </w:tc>
        <w:tc>
          <w:tcPr>
            <w:tcW w:w="171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400 mg/ 100 mg twice daily</w:t>
            </w:r>
          </w:p>
        </w:tc>
        <w:tc>
          <w:tcPr>
            <w:tcW w:w="1176"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13</w:t>
            </w:r>
          </w:p>
        </w:tc>
        <w:tc>
          <w:tcPr>
            <w:tcW w:w="9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12.86 (10.25, 16.13)</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7.31 (5.65, 9.45)</w:t>
            </w:r>
          </w:p>
        </w:tc>
        <w:tc>
          <w:tcPr>
            <w:tcW w:w="118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21.70 (12.99, 36.25)</w:t>
            </w:r>
          </w:p>
        </w:tc>
      </w:tr>
      <w:tr w:rsidR="00D63B6C" w:rsidRPr="00D63B6C" w:rsidTr="000D04DA">
        <w:tc>
          <w:tcPr>
            <w:tcW w:w="2396"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Ritonavir</w:t>
            </w:r>
            <w:r w:rsidRPr="00D63B6C">
              <w:rPr>
                <w:bCs w:val="0"/>
                <w:sz w:val="20"/>
                <w:szCs w:val="20"/>
                <w:vertAlign w:val="superscript"/>
              </w:rPr>
              <w:t>‡</w:t>
            </w:r>
          </w:p>
        </w:tc>
        <w:tc>
          <w:tcPr>
            <w:tcW w:w="1715"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100 mg twice daily</w:t>
            </w:r>
          </w:p>
        </w:tc>
        <w:tc>
          <w:tcPr>
            <w:tcW w:w="1176"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 200 mg single-dose</w:t>
            </w:r>
          </w:p>
        </w:tc>
        <w:tc>
          <w:tcPr>
            <w:tcW w:w="49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w:t>
            </w:r>
          </w:p>
        </w:tc>
        <w:tc>
          <w:tcPr>
            <w:tcW w:w="99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2.03 (1.60, 2.56)</w:t>
            </w:r>
          </w:p>
        </w:tc>
        <w:tc>
          <w:tcPr>
            <w:tcW w:w="123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1.15 (0.60, 2.18)</w:t>
            </w:r>
          </w:p>
        </w:tc>
        <w:tc>
          <w:tcPr>
            <w:tcW w:w="1185"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1.88 (1.65, 2.14)</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HIV Integrase Strand Transfer Inhibitor</w:t>
            </w:r>
          </w:p>
        </w:tc>
      </w:tr>
      <w:tr w:rsidR="00895D2C" w:rsidRPr="00D63B6C" w:rsidTr="000D04DA">
        <w:tc>
          <w:tcPr>
            <w:tcW w:w="2396" w:type="dxa"/>
            <w:vMerge w:val="restart"/>
            <w:shd w:val="clear" w:color="auto" w:fill="auto"/>
            <w:vAlign w:val="center"/>
          </w:tcPr>
          <w:p w:rsidR="00895D2C" w:rsidRPr="00D63B6C" w:rsidRDefault="00895D2C" w:rsidP="00636B86">
            <w:pPr>
              <w:pStyle w:val="TableLeft"/>
              <w:jc w:val="center"/>
              <w:rPr>
                <w:bCs w:val="0"/>
                <w:sz w:val="20"/>
                <w:szCs w:val="20"/>
              </w:rPr>
            </w:pPr>
            <w:proofErr w:type="spellStart"/>
            <w:r w:rsidRPr="00D63B6C">
              <w:rPr>
                <w:bCs w:val="0"/>
                <w:sz w:val="20"/>
                <w:szCs w:val="20"/>
              </w:rPr>
              <w:t>Dolutegravir</w:t>
            </w:r>
            <w:proofErr w:type="spellEnd"/>
          </w:p>
        </w:tc>
        <w:tc>
          <w:tcPr>
            <w:tcW w:w="171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50 mg single-dose</w:t>
            </w:r>
          </w:p>
        </w:tc>
        <w:tc>
          <w:tcPr>
            <w:tcW w:w="1176" w:type="dxa"/>
            <w:shd w:val="clear" w:color="auto" w:fill="auto"/>
            <w:vAlign w:val="center"/>
          </w:tcPr>
          <w:p w:rsidR="00895D2C" w:rsidRPr="00D63B6C" w:rsidRDefault="00895D2C" w:rsidP="00895D2C">
            <w:pPr>
              <w:pStyle w:val="TableLeft"/>
              <w:jc w:val="center"/>
              <w:rPr>
                <w:bCs w:val="0"/>
                <w:sz w:val="20"/>
                <w:szCs w:val="20"/>
              </w:rPr>
            </w:pPr>
            <w:r w:rsidRPr="00D63B6C">
              <w:rPr>
                <w:bCs w:val="0"/>
                <w:sz w:val="20"/>
                <w:szCs w:val="20"/>
              </w:rPr>
              <w:t xml:space="preserve">EBR 50 mg </w:t>
            </w:r>
            <w:r>
              <w:rPr>
                <w:bCs w:val="0"/>
                <w:sz w:val="20"/>
                <w:szCs w:val="20"/>
              </w:rPr>
              <w:t xml:space="preserve">+ </w:t>
            </w:r>
            <w:r w:rsidRPr="00D63B6C">
              <w:rPr>
                <w:bCs w:val="0"/>
                <w:sz w:val="20"/>
                <w:szCs w:val="20"/>
              </w:rPr>
              <w:t>GZR 200 mg once daily</w:t>
            </w:r>
          </w:p>
        </w:tc>
        <w:tc>
          <w:tcPr>
            <w:tcW w:w="4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12</w:t>
            </w:r>
          </w:p>
        </w:tc>
        <w:tc>
          <w:tcPr>
            <w:tcW w:w="9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0.98 (0.93, 1.04)</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0.97 (0.89, 1.05)</w:t>
            </w:r>
          </w:p>
        </w:tc>
        <w:tc>
          <w:tcPr>
            <w:tcW w:w="118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0.98 (0.93, 1.03)</w:t>
            </w:r>
          </w:p>
        </w:tc>
      </w:tr>
      <w:tr w:rsidR="00895D2C" w:rsidRPr="00D63B6C" w:rsidTr="000D04DA">
        <w:tc>
          <w:tcPr>
            <w:tcW w:w="2396" w:type="dxa"/>
            <w:vMerge/>
            <w:shd w:val="clear" w:color="auto" w:fill="auto"/>
            <w:vAlign w:val="center"/>
            <w:hideMark/>
          </w:tcPr>
          <w:p w:rsidR="00895D2C" w:rsidRPr="00D63B6C" w:rsidRDefault="00895D2C" w:rsidP="00636B86">
            <w:pPr>
              <w:pStyle w:val="TableLeft"/>
              <w:jc w:val="center"/>
              <w:rPr>
                <w:bCs w:val="0"/>
                <w:sz w:val="20"/>
                <w:szCs w:val="20"/>
              </w:rPr>
            </w:pPr>
          </w:p>
        </w:tc>
        <w:tc>
          <w:tcPr>
            <w:tcW w:w="171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50 mg single-dose</w:t>
            </w:r>
          </w:p>
        </w:tc>
        <w:tc>
          <w:tcPr>
            <w:tcW w:w="1176" w:type="dxa"/>
            <w:shd w:val="clear" w:color="auto" w:fill="auto"/>
            <w:vAlign w:val="center"/>
            <w:hideMark/>
          </w:tcPr>
          <w:p w:rsidR="00895D2C" w:rsidRPr="00D63B6C" w:rsidRDefault="00895D2C" w:rsidP="00895D2C">
            <w:pPr>
              <w:pStyle w:val="TableLeft"/>
              <w:jc w:val="center"/>
              <w:rPr>
                <w:bCs w:val="0"/>
                <w:sz w:val="20"/>
                <w:szCs w:val="20"/>
              </w:rPr>
            </w:pPr>
            <w:r>
              <w:rPr>
                <w:bCs w:val="0"/>
                <w:sz w:val="20"/>
                <w:szCs w:val="20"/>
              </w:rPr>
              <w:t xml:space="preserve">EBR 50mg + </w:t>
            </w:r>
            <w:r w:rsidRPr="00D63B6C">
              <w:rPr>
                <w:bCs w:val="0"/>
                <w:sz w:val="20"/>
                <w:szCs w:val="20"/>
              </w:rPr>
              <w:t>GZR 200 mg once daily</w:t>
            </w:r>
          </w:p>
        </w:tc>
        <w:tc>
          <w:tcPr>
            <w:tcW w:w="4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0.81 (0.67, 0.97)</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0.64 (0.44, 0.93)</w:t>
            </w:r>
          </w:p>
        </w:tc>
        <w:tc>
          <w:tcPr>
            <w:tcW w:w="118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0.86 (0.79, 0.93)</w:t>
            </w:r>
          </w:p>
        </w:tc>
      </w:tr>
      <w:tr w:rsidR="00895D2C" w:rsidRPr="00D63B6C" w:rsidTr="000D04DA">
        <w:tc>
          <w:tcPr>
            <w:tcW w:w="2396" w:type="dxa"/>
            <w:vMerge w:val="restart"/>
            <w:shd w:val="clear" w:color="auto" w:fill="auto"/>
            <w:vAlign w:val="center"/>
          </w:tcPr>
          <w:p w:rsidR="00895D2C" w:rsidRPr="00D63B6C" w:rsidRDefault="00895D2C" w:rsidP="00636B86">
            <w:pPr>
              <w:pStyle w:val="TableLeft"/>
              <w:jc w:val="center"/>
              <w:rPr>
                <w:bCs w:val="0"/>
                <w:sz w:val="20"/>
                <w:szCs w:val="20"/>
              </w:rPr>
            </w:pPr>
            <w:proofErr w:type="spellStart"/>
            <w:r w:rsidRPr="00D63B6C">
              <w:rPr>
                <w:bCs w:val="0"/>
                <w:sz w:val="20"/>
                <w:szCs w:val="20"/>
              </w:rPr>
              <w:t>Raltegravir</w:t>
            </w:r>
            <w:proofErr w:type="spellEnd"/>
          </w:p>
        </w:tc>
        <w:tc>
          <w:tcPr>
            <w:tcW w:w="171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400 mg single-dose</w:t>
            </w:r>
          </w:p>
        </w:tc>
        <w:tc>
          <w:tcPr>
            <w:tcW w:w="1176"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 50 mg single-dose</w:t>
            </w:r>
          </w:p>
        </w:tc>
        <w:tc>
          <w:tcPr>
            <w:tcW w:w="4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w:t>
            </w:r>
          </w:p>
        </w:tc>
        <w:tc>
          <w:tcPr>
            <w:tcW w:w="9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0.81 (0.57, 1.17)</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0.89 (0.61, 1.29)</w:t>
            </w:r>
          </w:p>
        </w:tc>
        <w:tc>
          <w:tcPr>
            <w:tcW w:w="118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0.80 (0.55, 1.16)</w:t>
            </w:r>
          </w:p>
        </w:tc>
      </w:tr>
      <w:tr w:rsidR="00895D2C" w:rsidRPr="00D63B6C" w:rsidTr="000D04DA">
        <w:tc>
          <w:tcPr>
            <w:tcW w:w="2396" w:type="dxa"/>
            <w:vMerge/>
            <w:shd w:val="clear" w:color="auto" w:fill="auto"/>
            <w:vAlign w:val="center"/>
            <w:hideMark/>
          </w:tcPr>
          <w:p w:rsidR="00895D2C" w:rsidRPr="00D63B6C" w:rsidRDefault="00895D2C" w:rsidP="00636B86">
            <w:pPr>
              <w:pStyle w:val="TableLeft"/>
              <w:jc w:val="center"/>
              <w:rPr>
                <w:bCs w:val="0"/>
                <w:sz w:val="20"/>
                <w:szCs w:val="20"/>
              </w:rPr>
            </w:pPr>
          </w:p>
        </w:tc>
        <w:tc>
          <w:tcPr>
            <w:tcW w:w="171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400 mg twice daily</w:t>
            </w:r>
          </w:p>
        </w:tc>
        <w:tc>
          <w:tcPr>
            <w:tcW w:w="1176"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11</w:t>
            </w:r>
          </w:p>
        </w:tc>
        <w:tc>
          <w:tcPr>
            <w:tcW w:w="9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0.89 (0.72, 1.09)</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0.85 (0.62, 1.16)</w:t>
            </w:r>
          </w:p>
        </w:tc>
        <w:tc>
          <w:tcPr>
            <w:tcW w:w="118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0.90 (0.82, 0.99)</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HIV Non-Nucleoside Reverse Transcriptase Inhibitor</w:t>
            </w:r>
          </w:p>
        </w:tc>
      </w:tr>
      <w:tr w:rsidR="00895D2C" w:rsidRPr="00D63B6C" w:rsidTr="000D04DA">
        <w:tc>
          <w:tcPr>
            <w:tcW w:w="2396" w:type="dxa"/>
            <w:vMerge w:val="restart"/>
            <w:shd w:val="clear" w:color="auto" w:fill="auto"/>
            <w:vAlign w:val="center"/>
          </w:tcPr>
          <w:p w:rsidR="00895D2C" w:rsidRPr="00D63B6C" w:rsidRDefault="00895D2C" w:rsidP="00636B86">
            <w:pPr>
              <w:pStyle w:val="TableLeft"/>
              <w:jc w:val="center"/>
              <w:rPr>
                <w:bCs w:val="0"/>
                <w:sz w:val="20"/>
                <w:szCs w:val="20"/>
              </w:rPr>
            </w:pPr>
            <w:proofErr w:type="spellStart"/>
            <w:r w:rsidRPr="00D63B6C">
              <w:rPr>
                <w:bCs w:val="0"/>
                <w:sz w:val="20"/>
                <w:szCs w:val="20"/>
              </w:rPr>
              <w:t>Efavirenz</w:t>
            </w:r>
            <w:proofErr w:type="spellEnd"/>
          </w:p>
        </w:tc>
        <w:tc>
          <w:tcPr>
            <w:tcW w:w="171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600 mg once daily</w:t>
            </w:r>
          </w:p>
        </w:tc>
        <w:tc>
          <w:tcPr>
            <w:tcW w:w="1176"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 50 mg once daily</w:t>
            </w:r>
          </w:p>
        </w:tc>
        <w:tc>
          <w:tcPr>
            <w:tcW w:w="4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w:t>
            </w:r>
          </w:p>
        </w:tc>
        <w:tc>
          <w:tcPr>
            <w:tcW w:w="9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0.46 (0.36, 0.59)</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0.55 (0.41, 0.73)</w:t>
            </w:r>
          </w:p>
        </w:tc>
        <w:tc>
          <w:tcPr>
            <w:tcW w:w="118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0.41 (0.28, 0.59)</w:t>
            </w:r>
          </w:p>
        </w:tc>
      </w:tr>
      <w:tr w:rsidR="00895D2C" w:rsidRPr="00D63B6C" w:rsidTr="000D04DA">
        <w:tc>
          <w:tcPr>
            <w:tcW w:w="2396" w:type="dxa"/>
            <w:vMerge/>
            <w:shd w:val="clear" w:color="auto" w:fill="auto"/>
            <w:vAlign w:val="center"/>
            <w:hideMark/>
          </w:tcPr>
          <w:p w:rsidR="00895D2C" w:rsidRPr="00D63B6C" w:rsidRDefault="00895D2C" w:rsidP="00636B86">
            <w:pPr>
              <w:pStyle w:val="TableLeft"/>
              <w:jc w:val="center"/>
              <w:rPr>
                <w:bCs w:val="0"/>
                <w:sz w:val="20"/>
                <w:szCs w:val="20"/>
              </w:rPr>
            </w:pPr>
          </w:p>
        </w:tc>
        <w:tc>
          <w:tcPr>
            <w:tcW w:w="171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600 mg once daily</w:t>
            </w:r>
          </w:p>
        </w:tc>
        <w:tc>
          <w:tcPr>
            <w:tcW w:w="1176"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0.17 (0.13, 0.24)</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0.13 (0.09, 0.19)</w:t>
            </w:r>
          </w:p>
        </w:tc>
        <w:tc>
          <w:tcPr>
            <w:tcW w:w="118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0.31 (0.25, 0.38)</w:t>
            </w:r>
          </w:p>
        </w:tc>
      </w:tr>
      <w:tr w:rsidR="00895D2C" w:rsidRPr="00D63B6C" w:rsidTr="000D04DA">
        <w:tc>
          <w:tcPr>
            <w:tcW w:w="2396" w:type="dxa"/>
            <w:vMerge w:val="restart"/>
            <w:shd w:val="clear" w:color="auto" w:fill="auto"/>
            <w:vAlign w:val="center"/>
          </w:tcPr>
          <w:p w:rsidR="00895D2C" w:rsidRPr="00D63B6C" w:rsidRDefault="00895D2C" w:rsidP="00636B86">
            <w:pPr>
              <w:pStyle w:val="TableLeft"/>
              <w:jc w:val="center"/>
              <w:rPr>
                <w:bCs w:val="0"/>
                <w:sz w:val="20"/>
                <w:szCs w:val="20"/>
              </w:rPr>
            </w:pPr>
            <w:proofErr w:type="spellStart"/>
            <w:r w:rsidRPr="00D63B6C">
              <w:rPr>
                <w:bCs w:val="0"/>
                <w:sz w:val="20"/>
                <w:szCs w:val="20"/>
              </w:rPr>
              <w:t>Rilpivirine</w:t>
            </w:r>
            <w:proofErr w:type="spellEnd"/>
          </w:p>
        </w:tc>
        <w:tc>
          <w:tcPr>
            <w:tcW w:w="1715" w:type="dxa"/>
            <w:shd w:val="clear" w:color="auto" w:fill="auto"/>
            <w:vAlign w:val="center"/>
          </w:tcPr>
          <w:p w:rsidR="00895D2C" w:rsidRPr="00D63B6C" w:rsidRDefault="001A47F2" w:rsidP="001A47F2">
            <w:pPr>
              <w:pStyle w:val="TableLeft"/>
              <w:jc w:val="center"/>
              <w:rPr>
                <w:bCs w:val="0"/>
                <w:sz w:val="20"/>
                <w:szCs w:val="20"/>
              </w:rPr>
            </w:pPr>
            <w:r>
              <w:rPr>
                <w:bCs w:val="0"/>
                <w:sz w:val="20"/>
                <w:szCs w:val="20"/>
              </w:rPr>
              <w:t>25</w:t>
            </w:r>
            <w:r w:rsidR="00895D2C" w:rsidRPr="00D63B6C">
              <w:rPr>
                <w:bCs w:val="0"/>
                <w:sz w:val="20"/>
                <w:szCs w:val="20"/>
              </w:rPr>
              <w:t xml:space="preserve"> mg once daily</w:t>
            </w:r>
          </w:p>
        </w:tc>
        <w:tc>
          <w:tcPr>
            <w:tcW w:w="1176" w:type="dxa"/>
            <w:shd w:val="clear" w:color="auto" w:fill="auto"/>
            <w:vAlign w:val="center"/>
          </w:tcPr>
          <w:p w:rsidR="00895D2C" w:rsidRPr="00D63B6C" w:rsidRDefault="00895D2C" w:rsidP="00895D2C">
            <w:pPr>
              <w:pStyle w:val="TableLeft"/>
              <w:jc w:val="center"/>
              <w:rPr>
                <w:bCs w:val="0"/>
                <w:sz w:val="20"/>
                <w:szCs w:val="20"/>
              </w:rPr>
            </w:pPr>
            <w:r>
              <w:rPr>
                <w:bCs w:val="0"/>
                <w:sz w:val="20"/>
                <w:szCs w:val="20"/>
              </w:rPr>
              <w:t xml:space="preserve">EBR 50 mg + </w:t>
            </w:r>
            <w:r w:rsidRPr="00D63B6C">
              <w:rPr>
                <w:bCs w:val="0"/>
                <w:sz w:val="20"/>
                <w:szCs w:val="20"/>
              </w:rPr>
              <w:t>GZR 200 mg once daily</w:t>
            </w:r>
          </w:p>
        </w:tc>
        <w:tc>
          <w:tcPr>
            <w:tcW w:w="4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19</w:t>
            </w:r>
          </w:p>
        </w:tc>
        <w:tc>
          <w:tcPr>
            <w:tcW w:w="9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1.07 (1.00, 1.15)</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1.07 (0.99, 1.16)</w:t>
            </w:r>
          </w:p>
        </w:tc>
        <w:tc>
          <w:tcPr>
            <w:tcW w:w="118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1.04 (0.98, 1.11)</w:t>
            </w:r>
          </w:p>
        </w:tc>
      </w:tr>
      <w:tr w:rsidR="00895D2C" w:rsidRPr="00D63B6C" w:rsidTr="000D04DA">
        <w:tc>
          <w:tcPr>
            <w:tcW w:w="2396" w:type="dxa"/>
            <w:vMerge/>
            <w:shd w:val="clear" w:color="auto" w:fill="auto"/>
            <w:vAlign w:val="center"/>
            <w:hideMark/>
          </w:tcPr>
          <w:p w:rsidR="00895D2C" w:rsidRPr="00D63B6C" w:rsidRDefault="00895D2C" w:rsidP="00636B86">
            <w:pPr>
              <w:pStyle w:val="TableLeft"/>
              <w:jc w:val="center"/>
              <w:rPr>
                <w:bCs w:val="0"/>
                <w:sz w:val="20"/>
                <w:szCs w:val="20"/>
              </w:rPr>
            </w:pPr>
          </w:p>
        </w:tc>
        <w:tc>
          <w:tcPr>
            <w:tcW w:w="1715" w:type="dxa"/>
            <w:shd w:val="clear" w:color="auto" w:fill="auto"/>
            <w:vAlign w:val="center"/>
            <w:hideMark/>
          </w:tcPr>
          <w:p w:rsidR="00895D2C" w:rsidRPr="00D63B6C" w:rsidRDefault="009817CA" w:rsidP="009817CA">
            <w:pPr>
              <w:pStyle w:val="TableLeft"/>
              <w:jc w:val="center"/>
              <w:rPr>
                <w:bCs w:val="0"/>
                <w:sz w:val="20"/>
                <w:szCs w:val="20"/>
              </w:rPr>
            </w:pPr>
            <w:r>
              <w:rPr>
                <w:bCs w:val="0"/>
                <w:sz w:val="20"/>
                <w:szCs w:val="20"/>
              </w:rPr>
              <w:t>25</w:t>
            </w:r>
            <w:r w:rsidR="00895D2C" w:rsidRPr="00D63B6C">
              <w:rPr>
                <w:bCs w:val="0"/>
                <w:sz w:val="20"/>
                <w:szCs w:val="20"/>
              </w:rPr>
              <w:t> mg once daily</w:t>
            </w:r>
          </w:p>
        </w:tc>
        <w:tc>
          <w:tcPr>
            <w:tcW w:w="1176" w:type="dxa"/>
            <w:shd w:val="clear" w:color="auto" w:fill="auto"/>
            <w:vAlign w:val="center"/>
            <w:hideMark/>
          </w:tcPr>
          <w:p w:rsidR="00895D2C" w:rsidRPr="00D63B6C" w:rsidRDefault="00895D2C" w:rsidP="00895D2C">
            <w:pPr>
              <w:pStyle w:val="TableLeft"/>
              <w:jc w:val="center"/>
              <w:rPr>
                <w:bCs w:val="0"/>
                <w:sz w:val="20"/>
                <w:szCs w:val="20"/>
              </w:rPr>
            </w:pPr>
            <w:r>
              <w:rPr>
                <w:bCs w:val="0"/>
                <w:sz w:val="20"/>
                <w:szCs w:val="20"/>
              </w:rPr>
              <w:t xml:space="preserve">EBR 50 mg + </w:t>
            </w:r>
            <w:r w:rsidRPr="00D63B6C">
              <w:rPr>
                <w:bCs w:val="0"/>
                <w:sz w:val="20"/>
                <w:szCs w:val="20"/>
              </w:rPr>
              <w:t>GZR 200 mg  once daily</w:t>
            </w:r>
          </w:p>
        </w:tc>
        <w:tc>
          <w:tcPr>
            <w:tcW w:w="4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19</w:t>
            </w:r>
          </w:p>
        </w:tc>
        <w:tc>
          <w:tcPr>
            <w:tcW w:w="9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0.98 (0.89, 1.07)</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0.97 (0.83, 1.14)</w:t>
            </w:r>
          </w:p>
        </w:tc>
        <w:tc>
          <w:tcPr>
            <w:tcW w:w="118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1.00 (0.93, 1.07)</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HIV Nucleotide Reverse Transcriptase Inhibitor</w:t>
            </w:r>
          </w:p>
        </w:tc>
      </w:tr>
      <w:tr w:rsidR="00895D2C" w:rsidRPr="00D63B6C" w:rsidTr="000D04DA">
        <w:tc>
          <w:tcPr>
            <w:tcW w:w="2396" w:type="dxa"/>
            <w:vMerge w:val="restart"/>
            <w:shd w:val="clear" w:color="auto" w:fill="auto"/>
            <w:vAlign w:val="center"/>
          </w:tcPr>
          <w:p w:rsidR="00E655AA" w:rsidRPr="00D63B6C" w:rsidRDefault="00895D2C" w:rsidP="00E655AA">
            <w:pPr>
              <w:pStyle w:val="TableLeft"/>
              <w:jc w:val="center"/>
              <w:rPr>
                <w:bCs w:val="0"/>
                <w:sz w:val="20"/>
                <w:szCs w:val="20"/>
              </w:rPr>
            </w:pPr>
            <w:proofErr w:type="spellStart"/>
            <w:r w:rsidRPr="00D63B6C">
              <w:rPr>
                <w:bCs w:val="0"/>
                <w:sz w:val="20"/>
                <w:szCs w:val="20"/>
              </w:rPr>
              <w:t>Tenofovir</w:t>
            </w:r>
            <w:proofErr w:type="spellEnd"/>
            <w:r w:rsidRPr="00D63B6C">
              <w:rPr>
                <w:bCs w:val="0"/>
                <w:sz w:val="20"/>
                <w:szCs w:val="20"/>
              </w:rPr>
              <w:t xml:space="preserve"> </w:t>
            </w:r>
            <w:proofErr w:type="spellStart"/>
            <w:r w:rsidRPr="00D63B6C">
              <w:rPr>
                <w:bCs w:val="0"/>
                <w:sz w:val="20"/>
                <w:szCs w:val="20"/>
              </w:rPr>
              <w:t>disoproxil</w:t>
            </w:r>
            <w:proofErr w:type="spellEnd"/>
            <w:r w:rsidRPr="00D63B6C">
              <w:rPr>
                <w:bCs w:val="0"/>
                <w:sz w:val="20"/>
                <w:szCs w:val="20"/>
              </w:rPr>
              <w:t xml:space="preserve"> </w:t>
            </w:r>
            <w:proofErr w:type="spellStart"/>
            <w:r w:rsidRPr="00D63B6C">
              <w:rPr>
                <w:bCs w:val="0"/>
                <w:sz w:val="20"/>
                <w:szCs w:val="20"/>
              </w:rPr>
              <w:t>fumarate</w:t>
            </w:r>
            <w:proofErr w:type="spellEnd"/>
          </w:p>
        </w:tc>
        <w:tc>
          <w:tcPr>
            <w:tcW w:w="171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300 mg once daily</w:t>
            </w:r>
          </w:p>
        </w:tc>
        <w:tc>
          <w:tcPr>
            <w:tcW w:w="1176"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 50 mg once daily</w:t>
            </w:r>
          </w:p>
        </w:tc>
        <w:tc>
          <w:tcPr>
            <w:tcW w:w="4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w:t>
            </w:r>
          </w:p>
        </w:tc>
        <w:tc>
          <w:tcPr>
            <w:tcW w:w="9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0.93 (0.82, 1.05)</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0.88 (0.77, 1.00)</w:t>
            </w:r>
          </w:p>
        </w:tc>
        <w:tc>
          <w:tcPr>
            <w:tcW w:w="118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0.92 (0.81, 1.05)</w:t>
            </w:r>
          </w:p>
        </w:tc>
      </w:tr>
      <w:tr w:rsidR="00895D2C" w:rsidRPr="00D63B6C" w:rsidTr="000D04DA">
        <w:tc>
          <w:tcPr>
            <w:tcW w:w="2396" w:type="dxa"/>
            <w:vMerge/>
            <w:shd w:val="clear" w:color="auto" w:fill="auto"/>
            <w:vAlign w:val="center"/>
            <w:hideMark/>
          </w:tcPr>
          <w:p w:rsidR="00895D2C" w:rsidRPr="00D63B6C" w:rsidRDefault="00895D2C" w:rsidP="00636B86">
            <w:pPr>
              <w:pStyle w:val="TableLeft"/>
              <w:jc w:val="center"/>
              <w:rPr>
                <w:bCs w:val="0"/>
                <w:sz w:val="20"/>
                <w:szCs w:val="20"/>
              </w:rPr>
            </w:pPr>
          </w:p>
        </w:tc>
        <w:tc>
          <w:tcPr>
            <w:tcW w:w="171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300 mg once daily</w:t>
            </w:r>
          </w:p>
        </w:tc>
        <w:tc>
          <w:tcPr>
            <w:tcW w:w="1176"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0.86 (0.65, 1.12)</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0.78 (0.51, 1.18)</w:t>
            </w:r>
          </w:p>
        </w:tc>
        <w:tc>
          <w:tcPr>
            <w:tcW w:w="118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0.89 (0.78, 1.01)</w:t>
            </w:r>
          </w:p>
        </w:tc>
      </w:tr>
    </w:tbl>
    <w:p w:rsidR="00E655AA" w:rsidRDefault="00E655AA">
      <w:r>
        <w:rPr>
          <w:bCs/>
        </w:rP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1715"/>
        <w:gridCol w:w="1176"/>
        <w:gridCol w:w="497"/>
        <w:gridCol w:w="997"/>
        <w:gridCol w:w="1237"/>
        <w:gridCol w:w="1237"/>
        <w:gridCol w:w="1185"/>
      </w:tblGrid>
      <w:tr w:rsidR="00E655AA" w:rsidRPr="00D63B6C" w:rsidTr="005179A0">
        <w:tc>
          <w:tcPr>
            <w:tcW w:w="10440" w:type="dxa"/>
            <w:gridSpan w:val="8"/>
            <w:shd w:val="clear" w:color="auto" w:fill="auto"/>
            <w:vAlign w:val="center"/>
          </w:tcPr>
          <w:p w:rsidR="00E655AA" w:rsidRPr="00D63B6C" w:rsidRDefault="00E655AA" w:rsidP="00636B86">
            <w:pPr>
              <w:pStyle w:val="TableLeft"/>
              <w:jc w:val="center"/>
              <w:rPr>
                <w:bCs w:val="0"/>
                <w:sz w:val="20"/>
                <w:szCs w:val="20"/>
              </w:rPr>
            </w:pPr>
            <w:r>
              <w:rPr>
                <w:bCs w:val="0"/>
                <w:sz w:val="20"/>
                <w:szCs w:val="20"/>
              </w:rPr>
              <w:lastRenderedPageBreak/>
              <w:t>HIV Fixed-Dose Combination Regimen</w:t>
            </w:r>
          </w:p>
        </w:tc>
      </w:tr>
      <w:tr w:rsidR="00E655AA" w:rsidRPr="00D63B6C" w:rsidTr="000D04DA">
        <w:tc>
          <w:tcPr>
            <w:tcW w:w="2396" w:type="dxa"/>
            <w:vMerge w:val="restart"/>
            <w:shd w:val="clear" w:color="auto" w:fill="auto"/>
            <w:vAlign w:val="center"/>
          </w:tcPr>
          <w:p w:rsidR="00E655AA" w:rsidRPr="00564C90" w:rsidRDefault="00E655AA" w:rsidP="00636B86">
            <w:pPr>
              <w:pStyle w:val="TableLeft"/>
              <w:jc w:val="center"/>
              <w:rPr>
                <w:bCs w:val="0"/>
                <w:sz w:val="20"/>
                <w:szCs w:val="20"/>
              </w:rPr>
            </w:pPr>
            <w:proofErr w:type="spellStart"/>
            <w:r w:rsidRPr="00564C90">
              <w:rPr>
                <w:bCs w:val="0"/>
                <w:sz w:val="20"/>
                <w:szCs w:val="20"/>
              </w:rPr>
              <w:t>Elvitegravir</w:t>
            </w:r>
            <w:proofErr w:type="spellEnd"/>
            <w:r w:rsidRPr="00564C90">
              <w:rPr>
                <w:bCs w:val="0"/>
                <w:sz w:val="20"/>
                <w:szCs w:val="20"/>
              </w:rPr>
              <w:t xml:space="preserve">/ </w:t>
            </w:r>
            <w:proofErr w:type="spellStart"/>
            <w:r w:rsidRPr="00564C90">
              <w:rPr>
                <w:bCs w:val="0"/>
                <w:sz w:val="20"/>
                <w:szCs w:val="20"/>
              </w:rPr>
              <w:t>cobicistat</w:t>
            </w:r>
            <w:proofErr w:type="spellEnd"/>
            <w:r w:rsidRPr="00564C90">
              <w:rPr>
                <w:bCs w:val="0"/>
                <w:sz w:val="20"/>
                <w:szCs w:val="20"/>
              </w:rPr>
              <w:t xml:space="preserve">/ </w:t>
            </w:r>
            <w:proofErr w:type="spellStart"/>
            <w:r w:rsidRPr="00564C90">
              <w:rPr>
                <w:bCs w:val="0"/>
                <w:sz w:val="20"/>
                <w:szCs w:val="20"/>
              </w:rPr>
              <w:t>emtricitabine</w:t>
            </w:r>
            <w:proofErr w:type="spellEnd"/>
            <w:r w:rsidRPr="00564C90">
              <w:rPr>
                <w:bCs w:val="0"/>
                <w:sz w:val="20"/>
                <w:szCs w:val="20"/>
              </w:rPr>
              <w:t xml:space="preserve">/ </w:t>
            </w:r>
            <w:proofErr w:type="spellStart"/>
            <w:r w:rsidRPr="00564C90">
              <w:rPr>
                <w:bCs w:val="0"/>
                <w:sz w:val="20"/>
                <w:szCs w:val="20"/>
              </w:rPr>
              <w:t>tenofovir</w:t>
            </w:r>
            <w:proofErr w:type="spellEnd"/>
            <w:r w:rsidRPr="00564C90">
              <w:rPr>
                <w:bCs w:val="0"/>
                <w:sz w:val="20"/>
                <w:szCs w:val="20"/>
              </w:rPr>
              <w:t xml:space="preserve"> </w:t>
            </w:r>
            <w:proofErr w:type="spellStart"/>
            <w:r w:rsidRPr="00564C90">
              <w:rPr>
                <w:bCs w:val="0"/>
                <w:sz w:val="20"/>
                <w:szCs w:val="20"/>
              </w:rPr>
              <w:t>disoproxil</w:t>
            </w:r>
            <w:proofErr w:type="spellEnd"/>
            <w:r w:rsidRPr="00564C90">
              <w:rPr>
                <w:bCs w:val="0"/>
                <w:sz w:val="20"/>
                <w:szCs w:val="20"/>
              </w:rPr>
              <w:t xml:space="preserve"> </w:t>
            </w:r>
            <w:proofErr w:type="spellStart"/>
            <w:r w:rsidRPr="00564C90">
              <w:rPr>
                <w:bCs w:val="0"/>
                <w:sz w:val="20"/>
                <w:szCs w:val="20"/>
              </w:rPr>
              <w:t>fumarate</w:t>
            </w:r>
            <w:proofErr w:type="spellEnd"/>
          </w:p>
        </w:tc>
        <w:tc>
          <w:tcPr>
            <w:tcW w:w="1715" w:type="dxa"/>
            <w:vMerge w:val="restart"/>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150 mg/ 150 mg/ 200 mg/ 300 mg once daily</w:t>
            </w:r>
          </w:p>
        </w:tc>
        <w:tc>
          <w:tcPr>
            <w:tcW w:w="1176"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 xml:space="preserve">EBR 50 mg/ GZR 100 mg once daily </w:t>
            </w:r>
          </w:p>
        </w:tc>
        <w:tc>
          <w:tcPr>
            <w:tcW w:w="497"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21</w:t>
            </w:r>
          </w:p>
        </w:tc>
        <w:tc>
          <w:tcPr>
            <w:tcW w:w="997"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EBR</w:t>
            </w:r>
          </w:p>
        </w:tc>
        <w:tc>
          <w:tcPr>
            <w:tcW w:w="1237"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2.18 (2.02, 2.35)</w:t>
            </w:r>
          </w:p>
        </w:tc>
        <w:tc>
          <w:tcPr>
            <w:tcW w:w="1237"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1.91 (1.77, 2.05)</w:t>
            </w:r>
          </w:p>
        </w:tc>
        <w:tc>
          <w:tcPr>
            <w:tcW w:w="1185"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2.38 (2.19, 2.60)</w:t>
            </w:r>
          </w:p>
        </w:tc>
      </w:tr>
      <w:tr w:rsidR="00E655AA" w:rsidRPr="00D63B6C" w:rsidTr="000D04DA">
        <w:tc>
          <w:tcPr>
            <w:tcW w:w="2396" w:type="dxa"/>
            <w:vMerge/>
            <w:shd w:val="clear" w:color="auto" w:fill="auto"/>
            <w:vAlign w:val="center"/>
          </w:tcPr>
          <w:p w:rsidR="00E655AA" w:rsidRPr="00D63B6C" w:rsidRDefault="00E655AA" w:rsidP="00636B86">
            <w:pPr>
              <w:pStyle w:val="TableLeft"/>
              <w:jc w:val="center"/>
              <w:rPr>
                <w:bCs w:val="0"/>
                <w:sz w:val="20"/>
                <w:szCs w:val="20"/>
              </w:rPr>
            </w:pPr>
          </w:p>
        </w:tc>
        <w:tc>
          <w:tcPr>
            <w:tcW w:w="1715" w:type="dxa"/>
            <w:vMerge/>
            <w:shd w:val="clear" w:color="auto" w:fill="auto"/>
            <w:vAlign w:val="center"/>
          </w:tcPr>
          <w:p w:rsidR="00E655AA" w:rsidRPr="00D63B6C" w:rsidRDefault="00E655AA" w:rsidP="00636B86">
            <w:pPr>
              <w:pStyle w:val="TableLeft"/>
              <w:jc w:val="center"/>
              <w:rPr>
                <w:bCs w:val="0"/>
                <w:sz w:val="20"/>
                <w:szCs w:val="20"/>
              </w:rPr>
            </w:pPr>
          </w:p>
        </w:tc>
        <w:tc>
          <w:tcPr>
            <w:tcW w:w="1176"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 xml:space="preserve">EBR 50 mg/ GZR 100 mg once daily </w:t>
            </w:r>
          </w:p>
        </w:tc>
        <w:tc>
          <w:tcPr>
            <w:tcW w:w="497"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21</w:t>
            </w:r>
          </w:p>
        </w:tc>
        <w:tc>
          <w:tcPr>
            <w:tcW w:w="997"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GZR</w:t>
            </w:r>
          </w:p>
        </w:tc>
        <w:tc>
          <w:tcPr>
            <w:tcW w:w="1237"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5.36 (4.48, 6.43)</w:t>
            </w:r>
          </w:p>
        </w:tc>
        <w:tc>
          <w:tcPr>
            <w:tcW w:w="1237"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4.59 (3.70, 5.69)</w:t>
            </w:r>
          </w:p>
        </w:tc>
        <w:tc>
          <w:tcPr>
            <w:tcW w:w="1185" w:type="dxa"/>
            <w:shd w:val="clear" w:color="auto" w:fill="auto"/>
            <w:vAlign w:val="center"/>
          </w:tcPr>
          <w:p w:rsidR="00E655AA" w:rsidRPr="00D63B6C" w:rsidRDefault="00E655AA" w:rsidP="00636B86">
            <w:pPr>
              <w:pStyle w:val="TableLeft"/>
              <w:jc w:val="center"/>
              <w:rPr>
                <w:bCs w:val="0"/>
                <w:sz w:val="20"/>
                <w:szCs w:val="20"/>
              </w:rPr>
            </w:pPr>
            <w:r w:rsidRPr="00E655AA">
              <w:rPr>
                <w:bCs w:val="0"/>
                <w:sz w:val="20"/>
                <w:szCs w:val="20"/>
              </w:rPr>
              <w:t>2.78 (2.48, 3.11)</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Immunosuppressant</w:t>
            </w:r>
          </w:p>
        </w:tc>
      </w:tr>
      <w:tr w:rsidR="00895D2C" w:rsidRPr="00D63B6C" w:rsidTr="000D04DA">
        <w:tc>
          <w:tcPr>
            <w:tcW w:w="2396" w:type="dxa"/>
            <w:vMerge w:val="restart"/>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Cyclosporine</w:t>
            </w:r>
          </w:p>
        </w:tc>
        <w:tc>
          <w:tcPr>
            <w:tcW w:w="171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400 mg single-dose</w:t>
            </w:r>
          </w:p>
        </w:tc>
        <w:tc>
          <w:tcPr>
            <w:tcW w:w="1176" w:type="dxa"/>
            <w:shd w:val="clear" w:color="auto" w:fill="auto"/>
            <w:vAlign w:val="center"/>
          </w:tcPr>
          <w:p w:rsidR="00895D2C" w:rsidRPr="00D63B6C" w:rsidRDefault="00895D2C" w:rsidP="00895D2C">
            <w:pPr>
              <w:pStyle w:val="TableLeft"/>
              <w:jc w:val="center"/>
              <w:rPr>
                <w:bCs w:val="0"/>
                <w:sz w:val="20"/>
                <w:szCs w:val="20"/>
              </w:rPr>
            </w:pPr>
            <w:r w:rsidRPr="00D63B6C">
              <w:rPr>
                <w:bCs w:val="0"/>
                <w:sz w:val="20"/>
                <w:szCs w:val="20"/>
              </w:rPr>
              <w:t xml:space="preserve">EBR 50 mg </w:t>
            </w:r>
            <w:r>
              <w:rPr>
                <w:bCs w:val="0"/>
                <w:sz w:val="20"/>
                <w:szCs w:val="20"/>
              </w:rPr>
              <w:t xml:space="preserve">+ </w:t>
            </w:r>
            <w:r w:rsidRPr="00D63B6C">
              <w:rPr>
                <w:bCs w:val="0"/>
                <w:sz w:val="20"/>
                <w:szCs w:val="20"/>
              </w:rPr>
              <w:t>GZR 200 mg once daily</w:t>
            </w:r>
          </w:p>
        </w:tc>
        <w:tc>
          <w:tcPr>
            <w:tcW w:w="4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14</w:t>
            </w:r>
          </w:p>
        </w:tc>
        <w:tc>
          <w:tcPr>
            <w:tcW w:w="9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1.98 (1.84, 2.13)</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1.95 (1.84, 2.07)</w:t>
            </w:r>
          </w:p>
        </w:tc>
        <w:tc>
          <w:tcPr>
            <w:tcW w:w="118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2.21 (1.98, 2.47)</w:t>
            </w:r>
          </w:p>
        </w:tc>
      </w:tr>
      <w:tr w:rsidR="00895D2C" w:rsidRPr="00D63B6C" w:rsidTr="000D04DA">
        <w:tc>
          <w:tcPr>
            <w:tcW w:w="2396" w:type="dxa"/>
            <w:vMerge/>
            <w:shd w:val="clear" w:color="auto" w:fill="auto"/>
            <w:vAlign w:val="center"/>
            <w:hideMark/>
          </w:tcPr>
          <w:p w:rsidR="00895D2C" w:rsidRPr="00D63B6C" w:rsidRDefault="00895D2C" w:rsidP="00636B86">
            <w:pPr>
              <w:pStyle w:val="TableLeft"/>
              <w:jc w:val="center"/>
              <w:rPr>
                <w:bCs w:val="0"/>
                <w:sz w:val="20"/>
                <w:szCs w:val="20"/>
              </w:rPr>
            </w:pPr>
          </w:p>
        </w:tc>
        <w:tc>
          <w:tcPr>
            <w:tcW w:w="171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400 mg single-dose</w:t>
            </w:r>
          </w:p>
        </w:tc>
        <w:tc>
          <w:tcPr>
            <w:tcW w:w="1176" w:type="dxa"/>
            <w:shd w:val="clear" w:color="auto" w:fill="auto"/>
            <w:vAlign w:val="center"/>
            <w:hideMark/>
          </w:tcPr>
          <w:p w:rsidR="00895D2C" w:rsidRPr="00D63B6C" w:rsidRDefault="00895D2C" w:rsidP="00895D2C">
            <w:pPr>
              <w:pStyle w:val="TableLeft"/>
              <w:jc w:val="center"/>
              <w:rPr>
                <w:bCs w:val="0"/>
                <w:sz w:val="20"/>
                <w:szCs w:val="20"/>
              </w:rPr>
            </w:pPr>
            <w:r w:rsidRPr="00D63B6C">
              <w:rPr>
                <w:bCs w:val="0"/>
                <w:sz w:val="20"/>
                <w:szCs w:val="20"/>
              </w:rPr>
              <w:t xml:space="preserve">EBR 50 mg </w:t>
            </w:r>
            <w:r>
              <w:rPr>
                <w:bCs w:val="0"/>
                <w:sz w:val="20"/>
                <w:szCs w:val="20"/>
              </w:rPr>
              <w:t xml:space="preserve">+ </w:t>
            </w:r>
            <w:r w:rsidRPr="00D63B6C">
              <w:rPr>
                <w:bCs w:val="0"/>
                <w:sz w:val="20"/>
                <w:szCs w:val="20"/>
              </w:rPr>
              <w:t>GZR 200 mg once daily</w:t>
            </w:r>
          </w:p>
        </w:tc>
        <w:tc>
          <w:tcPr>
            <w:tcW w:w="4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14</w:t>
            </w:r>
          </w:p>
        </w:tc>
        <w:tc>
          <w:tcPr>
            <w:tcW w:w="9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15.21 (12.83, 18.04)</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17.00 (12.94, 22.34)</w:t>
            </w:r>
          </w:p>
        </w:tc>
        <w:tc>
          <w:tcPr>
            <w:tcW w:w="118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3.39 (2.82, 4.09)</w:t>
            </w:r>
          </w:p>
        </w:tc>
      </w:tr>
      <w:tr w:rsidR="00895D2C" w:rsidRPr="00D63B6C" w:rsidTr="000D04DA">
        <w:tc>
          <w:tcPr>
            <w:tcW w:w="2396" w:type="dxa"/>
            <w:vMerge w:val="restart"/>
            <w:shd w:val="clear" w:color="auto" w:fill="auto"/>
            <w:vAlign w:val="center"/>
          </w:tcPr>
          <w:p w:rsidR="00895D2C" w:rsidRPr="00D63B6C" w:rsidRDefault="00895D2C" w:rsidP="00636B86">
            <w:pPr>
              <w:pStyle w:val="TableLeft"/>
              <w:jc w:val="center"/>
              <w:rPr>
                <w:bCs w:val="0"/>
                <w:sz w:val="20"/>
                <w:szCs w:val="20"/>
              </w:rPr>
            </w:pPr>
            <w:proofErr w:type="spellStart"/>
            <w:r w:rsidRPr="00D63B6C">
              <w:rPr>
                <w:bCs w:val="0"/>
                <w:sz w:val="20"/>
                <w:szCs w:val="20"/>
              </w:rPr>
              <w:t>Mycophenolate</w:t>
            </w:r>
            <w:proofErr w:type="spellEnd"/>
            <w:r w:rsidRPr="00D63B6C">
              <w:rPr>
                <w:bCs w:val="0"/>
                <w:sz w:val="20"/>
                <w:szCs w:val="20"/>
              </w:rPr>
              <w:t xml:space="preserve"> </w:t>
            </w:r>
            <w:proofErr w:type="spellStart"/>
            <w:r w:rsidRPr="00D63B6C">
              <w:rPr>
                <w:bCs w:val="0"/>
                <w:sz w:val="20"/>
                <w:szCs w:val="20"/>
              </w:rPr>
              <w:t>mofetil</w:t>
            </w:r>
            <w:proofErr w:type="spellEnd"/>
          </w:p>
        </w:tc>
        <w:tc>
          <w:tcPr>
            <w:tcW w:w="171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1000 mg single-dose</w:t>
            </w:r>
          </w:p>
        </w:tc>
        <w:tc>
          <w:tcPr>
            <w:tcW w:w="1176" w:type="dxa"/>
            <w:shd w:val="clear" w:color="auto" w:fill="auto"/>
            <w:vAlign w:val="center"/>
          </w:tcPr>
          <w:p w:rsidR="00895D2C" w:rsidRPr="00D63B6C" w:rsidRDefault="00895D2C" w:rsidP="00911C72">
            <w:pPr>
              <w:pStyle w:val="TableLeft"/>
              <w:jc w:val="center"/>
              <w:rPr>
                <w:bCs w:val="0"/>
                <w:sz w:val="20"/>
                <w:szCs w:val="20"/>
              </w:rPr>
            </w:pPr>
            <w:r w:rsidRPr="00D63B6C">
              <w:rPr>
                <w:bCs w:val="0"/>
                <w:sz w:val="20"/>
                <w:szCs w:val="20"/>
              </w:rPr>
              <w:t xml:space="preserve">EBR 50 mg </w:t>
            </w:r>
            <w:r>
              <w:rPr>
                <w:bCs w:val="0"/>
                <w:sz w:val="20"/>
                <w:szCs w:val="20"/>
              </w:rPr>
              <w:t xml:space="preserve">+ </w:t>
            </w:r>
            <w:r w:rsidRPr="00D63B6C">
              <w:rPr>
                <w:bCs w:val="0"/>
                <w:sz w:val="20"/>
                <w:szCs w:val="20"/>
              </w:rPr>
              <w:t>GZR 200 once daily</w:t>
            </w:r>
          </w:p>
        </w:tc>
        <w:tc>
          <w:tcPr>
            <w:tcW w:w="4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14</w:t>
            </w:r>
          </w:p>
        </w:tc>
        <w:tc>
          <w:tcPr>
            <w:tcW w:w="99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1.07 (1.00, 1.14)</w:t>
            </w:r>
          </w:p>
        </w:tc>
        <w:tc>
          <w:tcPr>
            <w:tcW w:w="1237"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1.07 (0.98, 1.16)</w:t>
            </w:r>
          </w:p>
        </w:tc>
        <w:tc>
          <w:tcPr>
            <w:tcW w:w="1185" w:type="dxa"/>
            <w:shd w:val="clear" w:color="auto" w:fill="auto"/>
            <w:vAlign w:val="center"/>
          </w:tcPr>
          <w:p w:rsidR="00895D2C" w:rsidRPr="00D63B6C" w:rsidRDefault="00895D2C" w:rsidP="00636B86">
            <w:pPr>
              <w:pStyle w:val="TableLeft"/>
              <w:jc w:val="center"/>
              <w:rPr>
                <w:bCs w:val="0"/>
                <w:sz w:val="20"/>
                <w:szCs w:val="20"/>
              </w:rPr>
            </w:pPr>
            <w:r w:rsidRPr="00D63B6C">
              <w:rPr>
                <w:bCs w:val="0"/>
                <w:sz w:val="20"/>
                <w:szCs w:val="20"/>
              </w:rPr>
              <w:t>1.05 (0.97, 1.14)</w:t>
            </w:r>
          </w:p>
        </w:tc>
      </w:tr>
      <w:tr w:rsidR="00895D2C" w:rsidRPr="00D63B6C" w:rsidTr="000D04DA">
        <w:tc>
          <w:tcPr>
            <w:tcW w:w="2396" w:type="dxa"/>
            <w:vMerge/>
            <w:shd w:val="clear" w:color="auto" w:fill="auto"/>
            <w:vAlign w:val="center"/>
            <w:hideMark/>
          </w:tcPr>
          <w:p w:rsidR="00895D2C" w:rsidRPr="00D63B6C" w:rsidRDefault="00895D2C" w:rsidP="00636B86">
            <w:pPr>
              <w:pStyle w:val="TableLeft"/>
              <w:jc w:val="center"/>
              <w:rPr>
                <w:bCs w:val="0"/>
                <w:sz w:val="20"/>
                <w:szCs w:val="20"/>
              </w:rPr>
            </w:pPr>
          </w:p>
        </w:tc>
        <w:tc>
          <w:tcPr>
            <w:tcW w:w="171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1000 mg single-dose</w:t>
            </w:r>
          </w:p>
        </w:tc>
        <w:tc>
          <w:tcPr>
            <w:tcW w:w="1176" w:type="dxa"/>
            <w:shd w:val="clear" w:color="auto" w:fill="auto"/>
            <w:vAlign w:val="center"/>
            <w:hideMark/>
          </w:tcPr>
          <w:p w:rsidR="00895D2C" w:rsidRPr="00D63B6C" w:rsidRDefault="00895D2C" w:rsidP="00895D2C">
            <w:pPr>
              <w:pStyle w:val="TableLeft"/>
              <w:jc w:val="center"/>
              <w:rPr>
                <w:bCs w:val="0"/>
                <w:sz w:val="20"/>
                <w:szCs w:val="20"/>
              </w:rPr>
            </w:pPr>
            <w:r w:rsidRPr="00D63B6C">
              <w:rPr>
                <w:bCs w:val="0"/>
                <w:sz w:val="20"/>
                <w:szCs w:val="20"/>
              </w:rPr>
              <w:t xml:space="preserve">EBR 50 mg </w:t>
            </w:r>
            <w:r>
              <w:rPr>
                <w:bCs w:val="0"/>
                <w:sz w:val="20"/>
                <w:szCs w:val="20"/>
              </w:rPr>
              <w:t xml:space="preserve">+ </w:t>
            </w:r>
            <w:r w:rsidRPr="00D63B6C">
              <w:rPr>
                <w:bCs w:val="0"/>
                <w:sz w:val="20"/>
                <w:szCs w:val="20"/>
              </w:rPr>
              <w:t>GZR 200 mg  once daily</w:t>
            </w:r>
          </w:p>
        </w:tc>
        <w:tc>
          <w:tcPr>
            <w:tcW w:w="4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14</w:t>
            </w:r>
          </w:p>
        </w:tc>
        <w:tc>
          <w:tcPr>
            <w:tcW w:w="99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0.74 (0.60, 0.92)</w:t>
            </w:r>
          </w:p>
        </w:tc>
        <w:tc>
          <w:tcPr>
            <w:tcW w:w="1237"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0.58 (0.42, 0.82)</w:t>
            </w:r>
          </w:p>
        </w:tc>
        <w:tc>
          <w:tcPr>
            <w:tcW w:w="1185" w:type="dxa"/>
            <w:shd w:val="clear" w:color="auto" w:fill="auto"/>
            <w:vAlign w:val="center"/>
            <w:hideMark/>
          </w:tcPr>
          <w:p w:rsidR="00895D2C" w:rsidRPr="00D63B6C" w:rsidRDefault="00895D2C" w:rsidP="00636B86">
            <w:pPr>
              <w:pStyle w:val="TableLeft"/>
              <w:jc w:val="center"/>
              <w:rPr>
                <w:bCs w:val="0"/>
                <w:sz w:val="20"/>
                <w:szCs w:val="20"/>
              </w:rPr>
            </w:pPr>
            <w:r w:rsidRPr="00D63B6C">
              <w:rPr>
                <w:bCs w:val="0"/>
                <w:sz w:val="20"/>
                <w:szCs w:val="20"/>
              </w:rPr>
              <w:t>0.97 (0.89, 1.06)</w:t>
            </w:r>
          </w:p>
        </w:tc>
      </w:tr>
      <w:tr w:rsidR="00DE6FCF" w:rsidRPr="00D63B6C" w:rsidTr="000D04DA">
        <w:tc>
          <w:tcPr>
            <w:tcW w:w="2396" w:type="dxa"/>
            <w:vMerge w:val="restart"/>
            <w:shd w:val="clear" w:color="auto" w:fill="auto"/>
            <w:vAlign w:val="center"/>
          </w:tcPr>
          <w:p w:rsidR="00DE6FCF" w:rsidRPr="00D63B6C" w:rsidRDefault="00DE6FCF" w:rsidP="00636B86">
            <w:pPr>
              <w:pStyle w:val="TableLeft"/>
              <w:jc w:val="center"/>
              <w:rPr>
                <w:bCs w:val="0"/>
                <w:sz w:val="20"/>
                <w:szCs w:val="20"/>
              </w:rPr>
            </w:pPr>
            <w:r w:rsidRPr="00D63B6C">
              <w:rPr>
                <w:bCs w:val="0"/>
                <w:sz w:val="20"/>
                <w:szCs w:val="20"/>
              </w:rPr>
              <w:t>Prednisone</w:t>
            </w:r>
          </w:p>
        </w:tc>
        <w:tc>
          <w:tcPr>
            <w:tcW w:w="1715" w:type="dxa"/>
            <w:shd w:val="clear" w:color="auto" w:fill="auto"/>
            <w:vAlign w:val="center"/>
          </w:tcPr>
          <w:p w:rsidR="00DE6FCF" w:rsidRPr="00D63B6C" w:rsidRDefault="00DE6FCF" w:rsidP="00636B86">
            <w:pPr>
              <w:pStyle w:val="TableLeft"/>
              <w:jc w:val="center"/>
              <w:rPr>
                <w:bCs w:val="0"/>
                <w:sz w:val="20"/>
                <w:szCs w:val="20"/>
              </w:rPr>
            </w:pPr>
            <w:r w:rsidRPr="00D63B6C">
              <w:rPr>
                <w:bCs w:val="0"/>
                <w:sz w:val="20"/>
                <w:szCs w:val="20"/>
              </w:rPr>
              <w:t>40 mg single-dose</w:t>
            </w:r>
          </w:p>
        </w:tc>
        <w:tc>
          <w:tcPr>
            <w:tcW w:w="1176" w:type="dxa"/>
            <w:shd w:val="clear" w:color="auto" w:fill="auto"/>
            <w:vAlign w:val="center"/>
          </w:tcPr>
          <w:p w:rsidR="00DE6FCF" w:rsidRPr="00D63B6C" w:rsidRDefault="00DE6FCF" w:rsidP="00DE6FCF">
            <w:pPr>
              <w:pStyle w:val="TableLeft"/>
              <w:jc w:val="center"/>
              <w:rPr>
                <w:bCs w:val="0"/>
                <w:sz w:val="20"/>
                <w:szCs w:val="20"/>
              </w:rPr>
            </w:pPr>
            <w:r>
              <w:rPr>
                <w:bCs w:val="0"/>
                <w:sz w:val="20"/>
                <w:szCs w:val="20"/>
              </w:rPr>
              <w:t xml:space="preserve">EBR 50 mg + </w:t>
            </w:r>
            <w:r w:rsidRPr="00D63B6C">
              <w:rPr>
                <w:bCs w:val="0"/>
                <w:sz w:val="20"/>
                <w:szCs w:val="20"/>
              </w:rPr>
              <w:t>GZR 200 mg once daily</w:t>
            </w:r>
          </w:p>
        </w:tc>
        <w:tc>
          <w:tcPr>
            <w:tcW w:w="497" w:type="dxa"/>
            <w:shd w:val="clear" w:color="auto" w:fill="auto"/>
            <w:vAlign w:val="center"/>
          </w:tcPr>
          <w:p w:rsidR="00DE6FCF" w:rsidRPr="00D63B6C" w:rsidRDefault="00DE6FCF" w:rsidP="00636B86">
            <w:pPr>
              <w:pStyle w:val="TableLeft"/>
              <w:jc w:val="center"/>
              <w:rPr>
                <w:bCs w:val="0"/>
                <w:sz w:val="20"/>
                <w:szCs w:val="20"/>
              </w:rPr>
            </w:pPr>
            <w:r w:rsidRPr="00D63B6C">
              <w:rPr>
                <w:bCs w:val="0"/>
                <w:sz w:val="20"/>
                <w:szCs w:val="20"/>
              </w:rPr>
              <w:t>14</w:t>
            </w:r>
          </w:p>
        </w:tc>
        <w:tc>
          <w:tcPr>
            <w:tcW w:w="997" w:type="dxa"/>
            <w:shd w:val="clear" w:color="auto" w:fill="auto"/>
            <w:vAlign w:val="center"/>
          </w:tcPr>
          <w:p w:rsidR="00DE6FCF" w:rsidRPr="00D63B6C" w:rsidRDefault="00DE6FCF"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DE6FCF" w:rsidRPr="00D63B6C" w:rsidRDefault="00DE6FCF" w:rsidP="00636B86">
            <w:pPr>
              <w:pStyle w:val="TableLeft"/>
              <w:jc w:val="center"/>
              <w:rPr>
                <w:bCs w:val="0"/>
                <w:sz w:val="20"/>
                <w:szCs w:val="20"/>
              </w:rPr>
            </w:pPr>
            <w:r w:rsidRPr="00D63B6C">
              <w:rPr>
                <w:bCs w:val="0"/>
                <w:sz w:val="20"/>
                <w:szCs w:val="20"/>
              </w:rPr>
              <w:t>1.17 (1.11, 1.24)</w:t>
            </w:r>
          </w:p>
        </w:tc>
        <w:tc>
          <w:tcPr>
            <w:tcW w:w="1237" w:type="dxa"/>
            <w:shd w:val="clear" w:color="auto" w:fill="auto"/>
            <w:vAlign w:val="center"/>
          </w:tcPr>
          <w:p w:rsidR="00DE6FCF" w:rsidRPr="00D63B6C" w:rsidRDefault="00DE6FCF" w:rsidP="00636B86">
            <w:pPr>
              <w:pStyle w:val="TableLeft"/>
              <w:jc w:val="center"/>
              <w:rPr>
                <w:bCs w:val="0"/>
                <w:sz w:val="20"/>
                <w:szCs w:val="20"/>
              </w:rPr>
            </w:pPr>
            <w:r w:rsidRPr="00D63B6C">
              <w:rPr>
                <w:bCs w:val="0"/>
                <w:sz w:val="20"/>
                <w:szCs w:val="20"/>
              </w:rPr>
              <w:t>1.25 (1.16, 1.35)</w:t>
            </w:r>
          </w:p>
        </w:tc>
        <w:tc>
          <w:tcPr>
            <w:tcW w:w="1185" w:type="dxa"/>
            <w:shd w:val="clear" w:color="auto" w:fill="auto"/>
            <w:vAlign w:val="center"/>
          </w:tcPr>
          <w:p w:rsidR="00DE6FCF" w:rsidRPr="00D63B6C" w:rsidRDefault="00DE6FCF" w:rsidP="00636B86">
            <w:pPr>
              <w:pStyle w:val="TableLeft"/>
              <w:jc w:val="center"/>
              <w:rPr>
                <w:bCs w:val="0"/>
                <w:sz w:val="20"/>
                <w:szCs w:val="20"/>
              </w:rPr>
            </w:pPr>
            <w:r w:rsidRPr="00D63B6C">
              <w:rPr>
                <w:bCs w:val="0"/>
                <w:sz w:val="20"/>
                <w:szCs w:val="20"/>
              </w:rPr>
              <w:t>1.04 (0.97, 1.12)</w:t>
            </w:r>
          </w:p>
        </w:tc>
      </w:tr>
      <w:tr w:rsidR="00DE6FCF" w:rsidRPr="00D63B6C" w:rsidTr="000D04DA">
        <w:tc>
          <w:tcPr>
            <w:tcW w:w="2396" w:type="dxa"/>
            <w:vMerge/>
            <w:shd w:val="clear" w:color="auto" w:fill="auto"/>
            <w:vAlign w:val="center"/>
            <w:hideMark/>
          </w:tcPr>
          <w:p w:rsidR="00DE6FCF" w:rsidRPr="00D63B6C" w:rsidRDefault="00DE6FCF" w:rsidP="00636B86">
            <w:pPr>
              <w:pStyle w:val="TableLeft"/>
              <w:jc w:val="center"/>
              <w:rPr>
                <w:bCs w:val="0"/>
                <w:sz w:val="20"/>
                <w:szCs w:val="20"/>
              </w:rPr>
            </w:pPr>
          </w:p>
        </w:tc>
        <w:tc>
          <w:tcPr>
            <w:tcW w:w="1715" w:type="dxa"/>
            <w:shd w:val="clear" w:color="auto" w:fill="auto"/>
            <w:vAlign w:val="center"/>
            <w:hideMark/>
          </w:tcPr>
          <w:p w:rsidR="00DE6FCF" w:rsidRPr="00D63B6C" w:rsidRDefault="00DE6FCF" w:rsidP="00636B86">
            <w:pPr>
              <w:pStyle w:val="TableLeft"/>
              <w:jc w:val="center"/>
              <w:rPr>
                <w:bCs w:val="0"/>
                <w:sz w:val="20"/>
                <w:szCs w:val="20"/>
              </w:rPr>
            </w:pPr>
            <w:r w:rsidRPr="00D63B6C">
              <w:rPr>
                <w:bCs w:val="0"/>
                <w:sz w:val="20"/>
                <w:szCs w:val="20"/>
              </w:rPr>
              <w:t>40 mg single-dose</w:t>
            </w:r>
          </w:p>
        </w:tc>
        <w:tc>
          <w:tcPr>
            <w:tcW w:w="1176" w:type="dxa"/>
            <w:shd w:val="clear" w:color="auto" w:fill="auto"/>
            <w:vAlign w:val="center"/>
            <w:hideMark/>
          </w:tcPr>
          <w:p w:rsidR="00DE6FCF" w:rsidRPr="00D63B6C" w:rsidRDefault="00DE6FCF" w:rsidP="00DE6FCF">
            <w:pPr>
              <w:pStyle w:val="TableLeft"/>
              <w:jc w:val="center"/>
              <w:rPr>
                <w:bCs w:val="0"/>
                <w:sz w:val="20"/>
                <w:szCs w:val="20"/>
              </w:rPr>
            </w:pPr>
            <w:r>
              <w:rPr>
                <w:bCs w:val="0"/>
                <w:sz w:val="20"/>
                <w:szCs w:val="20"/>
              </w:rPr>
              <w:t xml:space="preserve">EBR 50 mg + </w:t>
            </w:r>
            <w:r w:rsidRPr="00D63B6C">
              <w:rPr>
                <w:bCs w:val="0"/>
                <w:sz w:val="20"/>
                <w:szCs w:val="20"/>
              </w:rPr>
              <w:t>GZR 200 mg once daily</w:t>
            </w:r>
          </w:p>
        </w:tc>
        <w:tc>
          <w:tcPr>
            <w:tcW w:w="497" w:type="dxa"/>
            <w:shd w:val="clear" w:color="auto" w:fill="auto"/>
            <w:vAlign w:val="center"/>
            <w:hideMark/>
          </w:tcPr>
          <w:p w:rsidR="00DE6FCF" w:rsidRPr="00D63B6C" w:rsidRDefault="00DE6FCF" w:rsidP="00636B86">
            <w:pPr>
              <w:pStyle w:val="TableLeft"/>
              <w:jc w:val="center"/>
              <w:rPr>
                <w:bCs w:val="0"/>
                <w:sz w:val="20"/>
                <w:szCs w:val="20"/>
              </w:rPr>
            </w:pPr>
            <w:r w:rsidRPr="00D63B6C">
              <w:rPr>
                <w:bCs w:val="0"/>
                <w:sz w:val="20"/>
                <w:szCs w:val="20"/>
              </w:rPr>
              <w:t>14</w:t>
            </w:r>
          </w:p>
        </w:tc>
        <w:tc>
          <w:tcPr>
            <w:tcW w:w="997" w:type="dxa"/>
            <w:shd w:val="clear" w:color="auto" w:fill="auto"/>
            <w:vAlign w:val="center"/>
            <w:hideMark/>
          </w:tcPr>
          <w:p w:rsidR="00DE6FCF" w:rsidRPr="00D63B6C" w:rsidRDefault="00DE6FCF"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DE6FCF" w:rsidRPr="00D63B6C" w:rsidRDefault="00DE6FCF" w:rsidP="00636B86">
            <w:pPr>
              <w:pStyle w:val="TableLeft"/>
              <w:jc w:val="center"/>
              <w:rPr>
                <w:bCs w:val="0"/>
                <w:sz w:val="20"/>
                <w:szCs w:val="20"/>
              </w:rPr>
            </w:pPr>
            <w:r w:rsidRPr="00D63B6C">
              <w:rPr>
                <w:bCs w:val="0"/>
                <w:sz w:val="20"/>
                <w:szCs w:val="20"/>
              </w:rPr>
              <w:t>1.09 (0.95, 1.25)</w:t>
            </w:r>
          </w:p>
        </w:tc>
        <w:tc>
          <w:tcPr>
            <w:tcW w:w="1237" w:type="dxa"/>
            <w:shd w:val="clear" w:color="auto" w:fill="auto"/>
            <w:vAlign w:val="center"/>
            <w:hideMark/>
          </w:tcPr>
          <w:p w:rsidR="00DE6FCF" w:rsidRPr="00D63B6C" w:rsidRDefault="00DE6FCF" w:rsidP="00636B86">
            <w:pPr>
              <w:pStyle w:val="TableLeft"/>
              <w:jc w:val="center"/>
              <w:rPr>
                <w:bCs w:val="0"/>
                <w:sz w:val="20"/>
                <w:szCs w:val="20"/>
              </w:rPr>
            </w:pPr>
            <w:r w:rsidRPr="00D63B6C">
              <w:rPr>
                <w:bCs w:val="0"/>
                <w:sz w:val="20"/>
                <w:szCs w:val="20"/>
              </w:rPr>
              <w:t>1.34 (1.10, 1.62)</w:t>
            </w:r>
          </w:p>
        </w:tc>
        <w:tc>
          <w:tcPr>
            <w:tcW w:w="1185" w:type="dxa"/>
            <w:shd w:val="clear" w:color="auto" w:fill="auto"/>
            <w:vAlign w:val="center"/>
            <w:hideMark/>
          </w:tcPr>
          <w:p w:rsidR="00DE6FCF" w:rsidRPr="00D63B6C" w:rsidRDefault="00DE6FCF" w:rsidP="00636B86">
            <w:pPr>
              <w:pStyle w:val="TableLeft"/>
              <w:jc w:val="center"/>
              <w:rPr>
                <w:bCs w:val="0"/>
                <w:sz w:val="20"/>
                <w:szCs w:val="20"/>
              </w:rPr>
            </w:pPr>
            <w:r w:rsidRPr="00D63B6C">
              <w:rPr>
                <w:bCs w:val="0"/>
                <w:sz w:val="20"/>
                <w:szCs w:val="20"/>
              </w:rPr>
              <w:t>0.93 (0.87, 1.00)</w:t>
            </w:r>
          </w:p>
        </w:tc>
      </w:tr>
      <w:tr w:rsidR="009B75D3" w:rsidRPr="00D63B6C" w:rsidTr="000D04DA">
        <w:tc>
          <w:tcPr>
            <w:tcW w:w="2396" w:type="dxa"/>
            <w:vMerge w:val="restart"/>
            <w:shd w:val="clear" w:color="auto" w:fill="auto"/>
            <w:vAlign w:val="center"/>
          </w:tcPr>
          <w:p w:rsidR="009B75D3" w:rsidRPr="00D63B6C" w:rsidRDefault="009B75D3" w:rsidP="00636B86">
            <w:pPr>
              <w:pStyle w:val="TableLeft"/>
              <w:jc w:val="center"/>
              <w:rPr>
                <w:bCs w:val="0"/>
                <w:sz w:val="20"/>
                <w:szCs w:val="20"/>
              </w:rPr>
            </w:pPr>
            <w:proofErr w:type="spellStart"/>
            <w:r w:rsidRPr="00D63B6C">
              <w:rPr>
                <w:bCs w:val="0"/>
                <w:sz w:val="20"/>
                <w:szCs w:val="20"/>
              </w:rPr>
              <w:t>Tacrolimus</w:t>
            </w:r>
            <w:proofErr w:type="spellEnd"/>
          </w:p>
        </w:tc>
        <w:tc>
          <w:tcPr>
            <w:tcW w:w="171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2 mg single-dose</w:t>
            </w:r>
          </w:p>
        </w:tc>
        <w:tc>
          <w:tcPr>
            <w:tcW w:w="1176" w:type="dxa"/>
            <w:shd w:val="clear" w:color="auto" w:fill="auto"/>
            <w:vAlign w:val="center"/>
          </w:tcPr>
          <w:p w:rsidR="009B75D3" w:rsidRDefault="009B75D3" w:rsidP="00DE6FCF">
            <w:pPr>
              <w:pStyle w:val="TableLeft"/>
              <w:jc w:val="center"/>
              <w:rPr>
                <w:bCs w:val="0"/>
                <w:sz w:val="20"/>
                <w:szCs w:val="20"/>
              </w:rPr>
            </w:pPr>
            <w:r>
              <w:rPr>
                <w:bCs w:val="0"/>
                <w:sz w:val="20"/>
                <w:szCs w:val="20"/>
              </w:rPr>
              <w:t xml:space="preserve">EBR 50 mg + </w:t>
            </w:r>
            <w:r w:rsidRPr="00D63B6C">
              <w:rPr>
                <w:bCs w:val="0"/>
                <w:sz w:val="20"/>
                <w:szCs w:val="20"/>
              </w:rPr>
              <w:t>GZR 200 mg once daily</w:t>
            </w:r>
          </w:p>
        </w:tc>
        <w:tc>
          <w:tcPr>
            <w:tcW w:w="4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16</w:t>
            </w:r>
          </w:p>
        </w:tc>
        <w:tc>
          <w:tcPr>
            <w:tcW w:w="9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0.97 (0.90, 1.06)</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0.99 (0.88, 1.10)</w:t>
            </w:r>
          </w:p>
        </w:tc>
        <w:tc>
          <w:tcPr>
            <w:tcW w:w="118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0.92 (0.83, 1.02)</w:t>
            </w:r>
          </w:p>
        </w:tc>
      </w:tr>
      <w:tr w:rsidR="009B75D3" w:rsidRPr="00D63B6C" w:rsidTr="000D04DA">
        <w:tc>
          <w:tcPr>
            <w:tcW w:w="2396" w:type="dxa"/>
            <w:vMerge/>
            <w:shd w:val="clear" w:color="auto" w:fill="auto"/>
            <w:vAlign w:val="center"/>
            <w:hideMark/>
          </w:tcPr>
          <w:p w:rsidR="009B75D3" w:rsidRPr="00D63B6C" w:rsidRDefault="009B75D3" w:rsidP="00636B86">
            <w:pPr>
              <w:pStyle w:val="TableLeft"/>
              <w:jc w:val="center"/>
              <w:rPr>
                <w:bCs w:val="0"/>
                <w:sz w:val="20"/>
                <w:szCs w:val="20"/>
              </w:rPr>
            </w:pPr>
          </w:p>
        </w:tc>
        <w:tc>
          <w:tcPr>
            <w:tcW w:w="171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2 mg single-dose</w:t>
            </w:r>
          </w:p>
        </w:tc>
        <w:tc>
          <w:tcPr>
            <w:tcW w:w="1176" w:type="dxa"/>
            <w:shd w:val="clear" w:color="auto" w:fill="auto"/>
            <w:vAlign w:val="center"/>
            <w:hideMark/>
          </w:tcPr>
          <w:p w:rsidR="009B75D3" w:rsidRPr="00D63B6C" w:rsidRDefault="009B75D3" w:rsidP="00DE6FCF">
            <w:pPr>
              <w:pStyle w:val="TableLeft"/>
              <w:jc w:val="center"/>
              <w:rPr>
                <w:bCs w:val="0"/>
                <w:sz w:val="20"/>
                <w:szCs w:val="20"/>
              </w:rPr>
            </w:pPr>
            <w:r>
              <w:rPr>
                <w:bCs w:val="0"/>
                <w:sz w:val="20"/>
                <w:szCs w:val="20"/>
              </w:rPr>
              <w:t xml:space="preserve">EBR 50 mg + </w:t>
            </w:r>
            <w:r w:rsidRPr="00D63B6C">
              <w:rPr>
                <w:bCs w:val="0"/>
                <w:sz w:val="20"/>
                <w:szCs w:val="20"/>
              </w:rPr>
              <w:t>GZR 200 mg once daily</w:t>
            </w:r>
          </w:p>
        </w:tc>
        <w:tc>
          <w:tcPr>
            <w:tcW w:w="4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16</w:t>
            </w:r>
          </w:p>
        </w:tc>
        <w:tc>
          <w:tcPr>
            <w:tcW w:w="9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1.12 (0.97, 1.30)</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1.07 (0.83, 1.37)</w:t>
            </w:r>
          </w:p>
        </w:tc>
        <w:tc>
          <w:tcPr>
            <w:tcW w:w="118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0.94 (0.87, 1.02)</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Opioid-Substitution Therapy</w:t>
            </w:r>
          </w:p>
        </w:tc>
      </w:tr>
      <w:tr w:rsidR="009B75D3" w:rsidRPr="00D63B6C" w:rsidTr="000D04DA">
        <w:tc>
          <w:tcPr>
            <w:tcW w:w="2396" w:type="dxa"/>
            <w:vMerge w:val="restart"/>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Buprenorphine/naloxone</w:t>
            </w:r>
          </w:p>
        </w:tc>
        <w:tc>
          <w:tcPr>
            <w:tcW w:w="171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 xml:space="preserve">8 mg/2 mg </w:t>
            </w:r>
            <w:r w:rsidRPr="00D63B6C">
              <w:rPr>
                <w:bCs w:val="0"/>
                <w:sz w:val="20"/>
                <w:szCs w:val="20"/>
              </w:rPr>
              <w:lastRenderedPageBreak/>
              <w:t>single-dose</w:t>
            </w:r>
          </w:p>
        </w:tc>
        <w:tc>
          <w:tcPr>
            <w:tcW w:w="1176"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lastRenderedPageBreak/>
              <w:t xml:space="preserve">EBR 50 </w:t>
            </w:r>
            <w:r w:rsidRPr="00D63B6C">
              <w:rPr>
                <w:bCs w:val="0"/>
                <w:sz w:val="20"/>
                <w:szCs w:val="20"/>
              </w:rPr>
              <w:lastRenderedPageBreak/>
              <w:t>mg single-dose</w:t>
            </w:r>
          </w:p>
        </w:tc>
        <w:tc>
          <w:tcPr>
            <w:tcW w:w="4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lastRenderedPageBreak/>
              <w:t>15</w:t>
            </w:r>
          </w:p>
        </w:tc>
        <w:tc>
          <w:tcPr>
            <w:tcW w:w="9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 xml:space="preserve">1.22 (0.98, </w:t>
            </w:r>
            <w:r w:rsidRPr="00D63B6C">
              <w:rPr>
                <w:bCs w:val="0"/>
                <w:sz w:val="20"/>
                <w:szCs w:val="20"/>
              </w:rPr>
              <w:lastRenderedPageBreak/>
              <w:t>1.52)</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lastRenderedPageBreak/>
              <w:t xml:space="preserve">1.13 (0.87, </w:t>
            </w:r>
            <w:r w:rsidRPr="00D63B6C">
              <w:rPr>
                <w:bCs w:val="0"/>
                <w:sz w:val="20"/>
                <w:szCs w:val="20"/>
              </w:rPr>
              <w:lastRenderedPageBreak/>
              <w:t>1.46)</w:t>
            </w:r>
          </w:p>
        </w:tc>
        <w:tc>
          <w:tcPr>
            <w:tcW w:w="118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lastRenderedPageBreak/>
              <w:t xml:space="preserve">1.22 (0.99, </w:t>
            </w:r>
            <w:r w:rsidRPr="00D63B6C">
              <w:rPr>
                <w:bCs w:val="0"/>
                <w:sz w:val="20"/>
                <w:szCs w:val="20"/>
              </w:rPr>
              <w:lastRenderedPageBreak/>
              <w:t>1.51)</w:t>
            </w:r>
          </w:p>
        </w:tc>
      </w:tr>
      <w:tr w:rsidR="009B75D3" w:rsidRPr="00D63B6C" w:rsidTr="000D04DA">
        <w:tc>
          <w:tcPr>
            <w:tcW w:w="2396" w:type="dxa"/>
            <w:vMerge/>
            <w:shd w:val="clear" w:color="auto" w:fill="auto"/>
            <w:vAlign w:val="center"/>
            <w:hideMark/>
          </w:tcPr>
          <w:p w:rsidR="009B75D3" w:rsidRPr="00D63B6C" w:rsidRDefault="009B75D3" w:rsidP="00636B86">
            <w:pPr>
              <w:pStyle w:val="TableLeft"/>
              <w:jc w:val="center"/>
              <w:rPr>
                <w:bCs w:val="0"/>
                <w:sz w:val="20"/>
                <w:szCs w:val="20"/>
              </w:rPr>
            </w:pPr>
          </w:p>
        </w:tc>
        <w:tc>
          <w:tcPr>
            <w:tcW w:w="171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8-24 mg/ 2</w:t>
            </w:r>
            <w:r w:rsidRPr="00D63B6C">
              <w:rPr>
                <w:bCs w:val="0"/>
                <w:sz w:val="20"/>
                <w:szCs w:val="20"/>
              </w:rPr>
              <w:noBreakHyphen/>
              <w:t>6 mg once daily</w:t>
            </w:r>
          </w:p>
        </w:tc>
        <w:tc>
          <w:tcPr>
            <w:tcW w:w="1176"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0.80 (0.53, 1.22)</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0.76 (0.40, 1.44)</w:t>
            </w:r>
          </w:p>
        </w:tc>
        <w:tc>
          <w:tcPr>
            <w:tcW w:w="118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0.69 (0.54, 0.88)</w:t>
            </w:r>
          </w:p>
        </w:tc>
      </w:tr>
      <w:tr w:rsidR="009B75D3" w:rsidRPr="00D63B6C" w:rsidTr="000D04DA">
        <w:tc>
          <w:tcPr>
            <w:tcW w:w="2396" w:type="dxa"/>
            <w:vMerge w:val="restart"/>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Methadone</w:t>
            </w:r>
          </w:p>
        </w:tc>
        <w:tc>
          <w:tcPr>
            <w:tcW w:w="1715" w:type="dxa"/>
            <w:shd w:val="clear" w:color="auto" w:fill="auto"/>
            <w:vAlign w:val="center"/>
          </w:tcPr>
          <w:p w:rsidR="009B75D3" w:rsidRPr="00D63B6C" w:rsidRDefault="009B75D3" w:rsidP="00CA3EA5">
            <w:pPr>
              <w:pStyle w:val="TableLeft"/>
              <w:jc w:val="center"/>
              <w:rPr>
                <w:bCs w:val="0"/>
                <w:sz w:val="20"/>
                <w:szCs w:val="20"/>
              </w:rPr>
            </w:pPr>
            <w:r w:rsidRPr="00D63B6C">
              <w:rPr>
                <w:bCs w:val="0"/>
                <w:sz w:val="20"/>
                <w:szCs w:val="20"/>
              </w:rPr>
              <w:t>20-</w:t>
            </w:r>
            <w:r w:rsidR="00CA3EA5">
              <w:rPr>
                <w:bCs w:val="0"/>
                <w:sz w:val="20"/>
                <w:szCs w:val="20"/>
              </w:rPr>
              <w:t>120</w:t>
            </w:r>
            <w:r w:rsidRPr="00D63B6C">
              <w:rPr>
                <w:bCs w:val="0"/>
                <w:sz w:val="20"/>
                <w:szCs w:val="20"/>
              </w:rPr>
              <w:t> mg once daily</w:t>
            </w:r>
          </w:p>
        </w:tc>
        <w:tc>
          <w:tcPr>
            <w:tcW w:w="1176"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EBR 50 mg once daily</w:t>
            </w:r>
          </w:p>
        </w:tc>
        <w:tc>
          <w:tcPr>
            <w:tcW w:w="4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10</w:t>
            </w:r>
          </w:p>
        </w:tc>
        <w:tc>
          <w:tcPr>
            <w:tcW w:w="9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1.71 (1.16, 2.51)</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1.93 (1.30, 2.86)</w:t>
            </w:r>
          </w:p>
        </w:tc>
        <w:tc>
          <w:tcPr>
            <w:tcW w:w="118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1.86 (1.22, 2.83)</w:t>
            </w:r>
          </w:p>
        </w:tc>
      </w:tr>
      <w:tr w:rsidR="009B75D3" w:rsidRPr="00D63B6C" w:rsidTr="00197B3D">
        <w:trPr>
          <w:trHeight w:val="1184"/>
        </w:trPr>
        <w:tc>
          <w:tcPr>
            <w:tcW w:w="2396" w:type="dxa"/>
            <w:vMerge/>
            <w:shd w:val="clear" w:color="auto" w:fill="auto"/>
            <w:vAlign w:val="center"/>
            <w:hideMark/>
          </w:tcPr>
          <w:p w:rsidR="009B75D3" w:rsidRPr="00D63B6C" w:rsidRDefault="009B75D3" w:rsidP="00636B86">
            <w:pPr>
              <w:pStyle w:val="TableLeft"/>
              <w:jc w:val="center"/>
              <w:rPr>
                <w:bCs w:val="0"/>
                <w:sz w:val="20"/>
                <w:szCs w:val="20"/>
              </w:rPr>
            </w:pPr>
          </w:p>
        </w:tc>
        <w:tc>
          <w:tcPr>
            <w:tcW w:w="171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20-150 mg once daily</w:t>
            </w:r>
          </w:p>
        </w:tc>
        <w:tc>
          <w:tcPr>
            <w:tcW w:w="1176"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1.03 (0.53, 1.97)</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0.88 (0.36, 2.14)</w:t>
            </w:r>
          </w:p>
        </w:tc>
        <w:tc>
          <w:tcPr>
            <w:tcW w:w="118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0.77 (0.56, 1.04)</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Acid-Reducing Agent</w:t>
            </w:r>
          </w:p>
        </w:tc>
      </w:tr>
      <w:tr w:rsidR="009B75D3" w:rsidRPr="00D63B6C" w:rsidTr="000D04DA">
        <w:tc>
          <w:tcPr>
            <w:tcW w:w="2396" w:type="dxa"/>
            <w:vMerge w:val="restart"/>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Famotidine</w:t>
            </w:r>
          </w:p>
        </w:tc>
        <w:tc>
          <w:tcPr>
            <w:tcW w:w="171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20 mg single-dose</w:t>
            </w:r>
          </w:p>
        </w:tc>
        <w:tc>
          <w:tcPr>
            <w:tcW w:w="1176" w:type="dxa"/>
            <w:shd w:val="clear" w:color="auto" w:fill="auto"/>
            <w:vAlign w:val="center"/>
          </w:tcPr>
          <w:p w:rsidR="009B75D3" w:rsidRDefault="009B75D3" w:rsidP="00DE6FCF">
            <w:pPr>
              <w:pStyle w:val="TableLeft"/>
              <w:jc w:val="center"/>
              <w:rPr>
                <w:bCs w:val="0"/>
                <w:sz w:val="20"/>
                <w:szCs w:val="20"/>
              </w:rPr>
            </w:pPr>
            <w:r>
              <w:rPr>
                <w:bCs w:val="0"/>
                <w:sz w:val="20"/>
                <w:szCs w:val="20"/>
              </w:rPr>
              <w:t xml:space="preserve">EBR 50mg / </w:t>
            </w:r>
            <w:r w:rsidRPr="00D63B6C">
              <w:rPr>
                <w:bCs w:val="0"/>
                <w:sz w:val="20"/>
                <w:szCs w:val="20"/>
              </w:rPr>
              <w:t>GZR 100 mg</w:t>
            </w:r>
            <w:r>
              <w:rPr>
                <w:bCs w:val="0"/>
                <w:sz w:val="20"/>
                <w:szCs w:val="20"/>
              </w:rPr>
              <w:t xml:space="preserve"> </w:t>
            </w:r>
            <w:r w:rsidRPr="00D63B6C">
              <w:rPr>
                <w:bCs w:val="0"/>
                <w:sz w:val="20"/>
                <w:szCs w:val="20"/>
              </w:rPr>
              <w:t>single-dose</w:t>
            </w:r>
          </w:p>
        </w:tc>
        <w:tc>
          <w:tcPr>
            <w:tcW w:w="4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16</w:t>
            </w:r>
          </w:p>
        </w:tc>
        <w:tc>
          <w:tcPr>
            <w:tcW w:w="9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1.05 (0.92, 1.18)</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1.11 (0.98, 1.26)</w:t>
            </w:r>
          </w:p>
        </w:tc>
        <w:tc>
          <w:tcPr>
            <w:tcW w:w="118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1.03 (0.91, 1.17)</w:t>
            </w:r>
          </w:p>
        </w:tc>
      </w:tr>
      <w:tr w:rsidR="009B75D3" w:rsidRPr="00D63B6C" w:rsidTr="000D04DA">
        <w:tc>
          <w:tcPr>
            <w:tcW w:w="2396" w:type="dxa"/>
            <w:vMerge/>
            <w:shd w:val="clear" w:color="auto" w:fill="auto"/>
            <w:vAlign w:val="center"/>
            <w:hideMark/>
          </w:tcPr>
          <w:p w:rsidR="009B75D3" w:rsidRPr="00D63B6C" w:rsidRDefault="009B75D3" w:rsidP="00636B86">
            <w:pPr>
              <w:pStyle w:val="TableLeft"/>
              <w:jc w:val="center"/>
              <w:rPr>
                <w:bCs w:val="0"/>
                <w:sz w:val="20"/>
                <w:szCs w:val="20"/>
              </w:rPr>
            </w:pPr>
          </w:p>
        </w:tc>
        <w:tc>
          <w:tcPr>
            <w:tcW w:w="171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20 mg single-dose</w:t>
            </w:r>
          </w:p>
        </w:tc>
        <w:tc>
          <w:tcPr>
            <w:tcW w:w="1176" w:type="dxa"/>
            <w:shd w:val="clear" w:color="auto" w:fill="auto"/>
            <w:vAlign w:val="center"/>
            <w:hideMark/>
          </w:tcPr>
          <w:p w:rsidR="009B75D3" w:rsidRPr="00D63B6C" w:rsidRDefault="009B75D3" w:rsidP="00DE6FCF">
            <w:pPr>
              <w:pStyle w:val="TableLeft"/>
              <w:jc w:val="center"/>
              <w:rPr>
                <w:bCs w:val="0"/>
                <w:sz w:val="20"/>
                <w:szCs w:val="20"/>
              </w:rPr>
            </w:pPr>
            <w:r>
              <w:rPr>
                <w:bCs w:val="0"/>
                <w:sz w:val="20"/>
                <w:szCs w:val="20"/>
              </w:rPr>
              <w:t xml:space="preserve">EBR 50mg / </w:t>
            </w:r>
            <w:r w:rsidRPr="00D63B6C">
              <w:rPr>
                <w:bCs w:val="0"/>
                <w:sz w:val="20"/>
                <w:szCs w:val="20"/>
              </w:rPr>
              <w:t>GZR 100 mg single-dose</w:t>
            </w:r>
          </w:p>
        </w:tc>
        <w:tc>
          <w:tcPr>
            <w:tcW w:w="4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16</w:t>
            </w:r>
          </w:p>
        </w:tc>
        <w:tc>
          <w:tcPr>
            <w:tcW w:w="9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1.10 (0.95, 1.28)</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0.89 (0.71, 1.11)</w:t>
            </w:r>
          </w:p>
        </w:tc>
        <w:tc>
          <w:tcPr>
            <w:tcW w:w="118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1.12 (0.97, 1.30)</w:t>
            </w:r>
          </w:p>
        </w:tc>
      </w:tr>
      <w:tr w:rsidR="009B75D3" w:rsidRPr="00D63B6C" w:rsidTr="000D04DA">
        <w:tc>
          <w:tcPr>
            <w:tcW w:w="2396" w:type="dxa"/>
            <w:vMerge w:val="restart"/>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Pantoprazole</w:t>
            </w:r>
          </w:p>
        </w:tc>
        <w:tc>
          <w:tcPr>
            <w:tcW w:w="171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40 mg once daily</w:t>
            </w:r>
          </w:p>
        </w:tc>
        <w:tc>
          <w:tcPr>
            <w:tcW w:w="1176" w:type="dxa"/>
            <w:shd w:val="clear" w:color="auto" w:fill="auto"/>
            <w:vAlign w:val="center"/>
          </w:tcPr>
          <w:p w:rsidR="009B75D3" w:rsidRDefault="009B75D3" w:rsidP="00DE6FCF">
            <w:pPr>
              <w:pStyle w:val="TableLeft"/>
              <w:jc w:val="center"/>
              <w:rPr>
                <w:bCs w:val="0"/>
                <w:sz w:val="20"/>
                <w:szCs w:val="20"/>
              </w:rPr>
            </w:pPr>
            <w:r>
              <w:rPr>
                <w:bCs w:val="0"/>
                <w:sz w:val="20"/>
                <w:szCs w:val="20"/>
              </w:rPr>
              <w:t xml:space="preserve">EBR 50mg / </w:t>
            </w:r>
            <w:r w:rsidRPr="00D63B6C">
              <w:rPr>
                <w:bCs w:val="0"/>
                <w:sz w:val="20"/>
                <w:szCs w:val="20"/>
              </w:rPr>
              <w:t>GZR 100 mg</w:t>
            </w:r>
            <w:r>
              <w:rPr>
                <w:bCs w:val="0"/>
                <w:sz w:val="20"/>
                <w:szCs w:val="20"/>
              </w:rPr>
              <w:t xml:space="preserve"> </w:t>
            </w:r>
            <w:r w:rsidRPr="00D63B6C">
              <w:rPr>
                <w:bCs w:val="0"/>
                <w:sz w:val="20"/>
                <w:szCs w:val="20"/>
              </w:rPr>
              <w:t>single-dose</w:t>
            </w:r>
          </w:p>
        </w:tc>
        <w:tc>
          <w:tcPr>
            <w:tcW w:w="4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16</w:t>
            </w:r>
          </w:p>
        </w:tc>
        <w:tc>
          <w:tcPr>
            <w:tcW w:w="9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1.05 (0.93, 1.18)</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1.02 (0.92, 1.14)</w:t>
            </w:r>
          </w:p>
        </w:tc>
        <w:tc>
          <w:tcPr>
            <w:tcW w:w="118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1.03 (0.92, 1.17)</w:t>
            </w:r>
          </w:p>
        </w:tc>
      </w:tr>
      <w:tr w:rsidR="009B75D3" w:rsidRPr="00D63B6C" w:rsidTr="000D04DA">
        <w:tc>
          <w:tcPr>
            <w:tcW w:w="2396" w:type="dxa"/>
            <w:vMerge/>
            <w:shd w:val="clear" w:color="auto" w:fill="auto"/>
            <w:vAlign w:val="center"/>
            <w:hideMark/>
          </w:tcPr>
          <w:p w:rsidR="009B75D3" w:rsidRPr="00D63B6C" w:rsidRDefault="009B75D3" w:rsidP="00636B86">
            <w:pPr>
              <w:pStyle w:val="TableLeft"/>
              <w:jc w:val="center"/>
              <w:rPr>
                <w:bCs w:val="0"/>
                <w:sz w:val="20"/>
                <w:szCs w:val="20"/>
              </w:rPr>
            </w:pPr>
          </w:p>
        </w:tc>
        <w:tc>
          <w:tcPr>
            <w:tcW w:w="171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40 mg once daily</w:t>
            </w:r>
          </w:p>
        </w:tc>
        <w:tc>
          <w:tcPr>
            <w:tcW w:w="1176" w:type="dxa"/>
            <w:shd w:val="clear" w:color="auto" w:fill="auto"/>
            <w:vAlign w:val="center"/>
            <w:hideMark/>
          </w:tcPr>
          <w:p w:rsidR="009B75D3" w:rsidRPr="00D63B6C" w:rsidRDefault="009B75D3" w:rsidP="00DE6FCF">
            <w:pPr>
              <w:pStyle w:val="TableLeft"/>
              <w:jc w:val="center"/>
              <w:rPr>
                <w:bCs w:val="0"/>
                <w:sz w:val="20"/>
                <w:szCs w:val="20"/>
              </w:rPr>
            </w:pPr>
            <w:r>
              <w:rPr>
                <w:bCs w:val="0"/>
                <w:sz w:val="20"/>
                <w:szCs w:val="20"/>
              </w:rPr>
              <w:t xml:space="preserve">EBR 50mg / </w:t>
            </w:r>
            <w:r w:rsidRPr="00D63B6C">
              <w:rPr>
                <w:bCs w:val="0"/>
                <w:sz w:val="20"/>
                <w:szCs w:val="20"/>
              </w:rPr>
              <w:t>GZR 100 mg single-dose</w:t>
            </w:r>
          </w:p>
        </w:tc>
        <w:tc>
          <w:tcPr>
            <w:tcW w:w="4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16</w:t>
            </w:r>
          </w:p>
        </w:tc>
        <w:tc>
          <w:tcPr>
            <w:tcW w:w="9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1.12 (0.96, 1.30)</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1.10 (0.89, 1.37)</w:t>
            </w:r>
          </w:p>
        </w:tc>
        <w:tc>
          <w:tcPr>
            <w:tcW w:w="118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1.17 (1.02, 1.34)</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Phosphate Binder</w:t>
            </w:r>
          </w:p>
        </w:tc>
      </w:tr>
      <w:tr w:rsidR="009B75D3" w:rsidRPr="00D63B6C" w:rsidTr="000D04DA">
        <w:tc>
          <w:tcPr>
            <w:tcW w:w="2396" w:type="dxa"/>
            <w:vMerge w:val="restart"/>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Calcium acetate</w:t>
            </w:r>
          </w:p>
        </w:tc>
        <w:tc>
          <w:tcPr>
            <w:tcW w:w="171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2668 mg single-dose</w:t>
            </w:r>
          </w:p>
        </w:tc>
        <w:tc>
          <w:tcPr>
            <w:tcW w:w="1176" w:type="dxa"/>
            <w:shd w:val="clear" w:color="auto" w:fill="auto"/>
            <w:vAlign w:val="center"/>
          </w:tcPr>
          <w:p w:rsidR="009B75D3" w:rsidRDefault="009B75D3" w:rsidP="00DE6FCF">
            <w:pPr>
              <w:pStyle w:val="TableLeft"/>
              <w:jc w:val="center"/>
              <w:rPr>
                <w:bCs w:val="0"/>
                <w:sz w:val="20"/>
                <w:szCs w:val="20"/>
              </w:rPr>
            </w:pPr>
            <w:r>
              <w:rPr>
                <w:bCs w:val="0"/>
                <w:sz w:val="20"/>
                <w:szCs w:val="20"/>
              </w:rPr>
              <w:t xml:space="preserve">EBR 50 mg + </w:t>
            </w:r>
            <w:r w:rsidRPr="00D63B6C">
              <w:rPr>
                <w:bCs w:val="0"/>
                <w:sz w:val="20"/>
                <w:szCs w:val="20"/>
              </w:rPr>
              <w:t>GZR 100 mg single-dose</w:t>
            </w:r>
          </w:p>
        </w:tc>
        <w:tc>
          <w:tcPr>
            <w:tcW w:w="4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12</w:t>
            </w:r>
          </w:p>
        </w:tc>
        <w:tc>
          <w:tcPr>
            <w:tcW w:w="9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0.92 (0.75, 1.14)</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0.86 (0.71, 1.04)</w:t>
            </w:r>
          </w:p>
        </w:tc>
        <w:tc>
          <w:tcPr>
            <w:tcW w:w="118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0.87 (0.70, 1.09)</w:t>
            </w:r>
          </w:p>
        </w:tc>
      </w:tr>
      <w:tr w:rsidR="009B75D3" w:rsidRPr="00D63B6C" w:rsidTr="000D04DA">
        <w:tc>
          <w:tcPr>
            <w:tcW w:w="2396" w:type="dxa"/>
            <w:vMerge/>
            <w:shd w:val="clear" w:color="auto" w:fill="auto"/>
            <w:vAlign w:val="center"/>
            <w:hideMark/>
          </w:tcPr>
          <w:p w:rsidR="009B75D3" w:rsidRPr="00D63B6C" w:rsidRDefault="009B75D3" w:rsidP="00636B86">
            <w:pPr>
              <w:pStyle w:val="TableLeft"/>
              <w:jc w:val="center"/>
              <w:rPr>
                <w:bCs w:val="0"/>
                <w:sz w:val="20"/>
                <w:szCs w:val="20"/>
              </w:rPr>
            </w:pPr>
          </w:p>
        </w:tc>
        <w:tc>
          <w:tcPr>
            <w:tcW w:w="171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2668 mg single-dose</w:t>
            </w:r>
          </w:p>
        </w:tc>
        <w:tc>
          <w:tcPr>
            <w:tcW w:w="1176" w:type="dxa"/>
            <w:shd w:val="clear" w:color="auto" w:fill="auto"/>
            <w:vAlign w:val="center"/>
            <w:hideMark/>
          </w:tcPr>
          <w:p w:rsidR="009B75D3" w:rsidRPr="00D63B6C" w:rsidRDefault="009B75D3" w:rsidP="00DE6FCF">
            <w:pPr>
              <w:pStyle w:val="TableLeft"/>
              <w:jc w:val="center"/>
              <w:rPr>
                <w:bCs w:val="0"/>
                <w:sz w:val="20"/>
                <w:szCs w:val="20"/>
              </w:rPr>
            </w:pPr>
            <w:r>
              <w:rPr>
                <w:bCs w:val="0"/>
                <w:sz w:val="20"/>
                <w:szCs w:val="20"/>
              </w:rPr>
              <w:t xml:space="preserve">EBR 50 mg + </w:t>
            </w:r>
            <w:r w:rsidRPr="00D63B6C">
              <w:rPr>
                <w:bCs w:val="0"/>
                <w:sz w:val="20"/>
                <w:szCs w:val="20"/>
              </w:rPr>
              <w:t>GZR 100 mg single-dose</w:t>
            </w:r>
          </w:p>
        </w:tc>
        <w:tc>
          <w:tcPr>
            <w:tcW w:w="4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0.79 (0.68, 0.91)</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0.57 (0.40, 0.83)</w:t>
            </w:r>
          </w:p>
        </w:tc>
        <w:tc>
          <w:tcPr>
            <w:tcW w:w="118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0.77 (0.61, 0.99)</w:t>
            </w:r>
          </w:p>
        </w:tc>
      </w:tr>
      <w:tr w:rsidR="009B75D3" w:rsidRPr="00D63B6C" w:rsidTr="000D04DA">
        <w:tc>
          <w:tcPr>
            <w:tcW w:w="2396" w:type="dxa"/>
            <w:vMerge w:val="restart"/>
            <w:shd w:val="clear" w:color="auto" w:fill="auto"/>
            <w:vAlign w:val="center"/>
          </w:tcPr>
          <w:p w:rsidR="009B75D3" w:rsidRPr="00D63B6C" w:rsidRDefault="009B75D3" w:rsidP="00636B86">
            <w:pPr>
              <w:pStyle w:val="TableLeft"/>
              <w:jc w:val="center"/>
              <w:rPr>
                <w:bCs w:val="0"/>
                <w:sz w:val="20"/>
                <w:szCs w:val="20"/>
              </w:rPr>
            </w:pPr>
            <w:proofErr w:type="spellStart"/>
            <w:r w:rsidRPr="00D63B6C">
              <w:rPr>
                <w:bCs w:val="0"/>
                <w:sz w:val="20"/>
                <w:szCs w:val="20"/>
              </w:rPr>
              <w:t>Sevelamer</w:t>
            </w:r>
            <w:proofErr w:type="spellEnd"/>
            <w:r w:rsidRPr="00D63B6C">
              <w:rPr>
                <w:bCs w:val="0"/>
                <w:sz w:val="20"/>
                <w:szCs w:val="20"/>
              </w:rPr>
              <w:t xml:space="preserve"> carbonate</w:t>
            </w:r>
          </w:p>
        </w:tc>
        <w:tc>
          <w:tcPr>
            <w:tcW w:w="171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2400 mg single-</w:t>
            </w:r>
            <w:r w:rsidRPr="00D63B6C">
              <w:rPr>
                <w:bCs w:val="0"/>
                <w:sz w:val="20"/>
                <w:szCs w:val="20"/>
              </w:rPr>
              <w:lastRenderedPageBreak/>
              <w:t>dose</w:t>
            </w:r>
          </w:p>
        </w:tc>
        <w:tc>
          <w:tcPr>
            <w:tcW w:w="1176" w:type="dxa"/>
            <w:shd w:val="clear" w:color="auto" w:fill="auto"/>
            <w:vAlign w:val="center"/>
          </w:tcPr>
          <w:p w:rsidR="009B75D3" w:rsidRDefault="009B75D3" w:rsidP="00DE6FCF">
            <w:pPr>
              <w:pStyle w:val="TableLeft"/>
              <w:jc w:val="center"/>
              <w:rPr>
                <w:bCs w:val="0"/>
                <w:sz w:val="20"/>
                <w:szCs w:val="20"/>
              </w:rPr>
            </w:pPr>
            <w:r>
              <w:rPr>
                <w:bCs w:val="0"/>
                <w:sz w:val="20"/>
                <w:szCs w:val="20"/>
              </w:rPr>
              <w:lastRenderedPageBreak/>
              <w:t xml:space="preserve">EBR 50 </w:t>
            </w:r>
            <w:r>
              <w:rPr>
                <w:bCs w:val="0"/>
                <w:sz w:val="20"/>
                <w:szCs w:val="20"/>
              </w:rPr>
              <w:lastRenderedPageBreak/>
              <w:t xml:space="preserve">mg + </w:t>
            </w:r>
            <w:r w:rsidRPr="00D63B6C">
              <w:rPr>
                <w:bCs w:val="0"/>
                <w:sz w:val="20"/>
                <w:szCs w:val="20"/>
              </w:rPr>
              <w:t>GZR 100 mg single-dose</w:t>
            </w:r>
          </w:p>
        </w:tc>
        <w:tc>
          <w:tcPr>
            <w:tcW w:w="4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lastRenderedPageBreak/>
              <w:t>12</w:t>
            </w:r>
          </w:p>
        </w:tc>
        <w:tc>
          <w:tcPr>
            <w:tcW w:w="9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 xml:space="preserve">1.13 (0.94, </w:t>
            </w:r>
            <w:r w:rsidRPr="00D63B6C">
              <w:rPr>
                <w:bCs w:val="0"/>
                <w:sz w:val="20"/>
                <w:szCs w:val="20"/>
              </w:rPr>
              <w:lastRenderedPageBreak/>
              <w:t>1.37)</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lastRenderedPageBreak/>
              <w:t xml:space="preserve">1.07 (0.88, </w:t>
            </w:r>
            <w:r w:rsidRPr="00D63B6C">
              <w:rPr>
                <w:bCs w:val="0"/>
                <w:sz w:val="20"/>
                <w:szCs w:val="20"/>
              </w:rPr>
              <w:lastRenderedPageBreak/>
              <w:t>1.29)</w:t>
            </w:r>
          </w:p>
        </w:tc>
        <w:tc>
          <w:tcPr>
            <w:tcW w:w="118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lastRenderedPageBreak/>
              <w:t xml:space="preserve">1.22 (1.02, </w:t>
            </w:r>
            <w:r w:rsidRPr="00D63B6C">
              <w:rPr>
                <w:bCs w:val="0"/>
                <w:sz w:val="20"/>
                <w:szCs w:val="20"/>
              </w:rPr>
              <w:lastRenderedPageBreak/>
              <w:t>1.45)</w:t>
            </w:r>
          </w:p>
        </w:tc>
      </w:tr>
      <w:tr w:rsidR="009B75D3" w:rsidRPr="00D63B6C" w:rsidTr="000D04DA">
        <w:tc>
          <w:tcPr>
            <w:tcW w:w="2396" w:type="dxa"/>
            <w:vMerge/>
            <w:shd w:val="clear" w:color="auto" w:fill="auto"/>
            <w:vAlign w:val="center"/>
            <w:hideMark/>
          </w:tcPr>
          <w:p w:rsidR="009B75D3" w:rsidRPr="00D63B6C" w:rsidRDefault="009B75D3" w:rsidP="00636B86">
            <w:pPr>
              <w:pStyle w:val="TableLeft"/>
              <w:jc w:val="center"/>
              <w:rPr>
                <w:bCs w:val="0"/>
                <w:sz w:val="20"/>
                <w:szCs w:val="20"/>
              </w:rPr>
            </w:pPr>
          </w:p>
        </w:tc>
        <w:tc>
          <w:tcPr>
            <w:tcW w:w="171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2400 mg single-dose</w:t>
            </w:r>
          </w:p>
        </w:tc>
        <w:tc>
          <w:tcPr>
            <w:tcW w:w="1176" w:type="dxa"/>
            <w:shd w:val="clear" w:color="auto" w:fill="auto"/>
            <w:vAlign w:val="center"/>
            <w:hideMark/>
          </w:tcPr>
          <w:p w:rsidR="009B75D3" w:rsidRPr="00D63B6C" w:rsidRDefault="009B75D3" w:rsidP="00DE6FCF">
            <w:pPr>
              <w:pStyle w:val="TableLeft"/>
              <w:jc w:val="center"/>
              <w:rPr>
                <w:bCs w:val="0"/>
                <w:sz w:val="20"/>
                <w:szCs w:val="20"/>
              </w:rPr>
            </w:pPr>
            <w:r>
              <w:rPr>
                <w:bCs w:val="0"/>
                <w:sz w:val="20"/>
                <w:szCs w:val="20"/>
              </w:rPr>
              <w:t xml:space="preserve">EBR 50 mg + </w:t>
            </w:r>
            <w:r w:rsidRPr="00D63B6C">
              <w:rPr>
                <w:bCs w:val="0"/>
                <w:sz w:val="20"/>
                <w:szCs w:val="20"/>
              </w:rPr>
              <w:t>GZR 100 mg single-dose</w:t>
            </w:r>
          </w:p>
        </w:tc>
        <w:tc>
          <w:tcPr>
            <w:tcW w:w="4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0.82 (0.68, 0.99)</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0.53 (0.37, 0.76)</w:t>
            </w:r>
          </w:p>
        </w:tc>
        <w:tc>
          <w:tcPr>
            <w:tcW w:w="118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0.84 (0.71, 0.99)</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Statin</w:t>
            </w:r>
          </w:p>
        </w:tc>
      </w:tr>
      <w:tr w:rsidR="00D63B6C" w:rsidRPr="00D63B6C" w:rsidTr="000D04DA">
        <w:tc>
          <w:tcPr>
            <w:tcW w:w="2396"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Atorvastatin</w:t>
            </w:r>
          </w:p>
        </w:tc>
        <w:tc>
          <w:tcPr>
            <w:tcW w:w="1715"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20 mg single-dose</w:t>
            </w:r>
          </w:p>
        </w:tc>
        <w:tc>
          <w:tcPr>
            <w:tcW w:w="1176"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9</w:t>
            </w:r>
          </w:p>
        </w:tc>
        <w:tc>
          <w:tcPr>
            <w:tcW w:w="99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1.26 (0.97, 1.64)</w:t>
            </w:r>
          </w:p>
        </w:tc>
        <w:tc>
          <w:tcPr>
            <w:tcW w:w="123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1.26 (0.83, 1.90)</w:t>
            </w:r>
          </w:p>
        </w:tc>
        <w:tc>
          <w:tcPr>
            <w:tcW w:w="1185"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1.11 (1.00, 1.23)</w:t>
            </w:r>
          </w:p>
        </w:tc>
      </w:tr>
      <w:tr w:rsidR="00D63B6C" w:rsidRPr="00D63B6C" w:rsidTr="000D04DA">
        <w:tc>
          <w:tcPr>
            <w:tcW w:w="2396"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Pitavastatin</w:t>
            </w:r>
            <w:proofErr w:type="spellEnd"/>
          </w:p>
        </w:tc>
        <w:tc>
          <w:tcPr>
            <w:tcW w:w="1715"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 mg single-dose</w:t>
            </w:r>
          </w:p>
        </w:tc>
        <w:tc>
          <w:tcPr>
            <w:tcW w:w="1176"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9</w:t>
            </w:r>
          </w:p>
        </w:tc>
        <w:tc>
          <w:tcPr>
            <w:tcW w:w="99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0.81 (0.70, 0.95)</w:t>
            </w:r>
          </w:p>
        </w:tc>
        <w:tc>
          <w:tcPr>
            <w:tcW w:w="123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0.72 (0.57, 0.92)</w:t>
            </w:r>
          </w:p>
        </w:tc>
        <w:tc>
          <w:tcPr>
            <w:tcW w:w="1185"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0.91 (0.82, 1.01)</w:t>
            </w:r>
          </w:p>
        </w:tc>
      </w:tr>
      <w:tr w:rsidR="009B75D3" w:rsidRPr="00D63B6C" w:rsidTr="000D04DA">
        <w:tc>
          <w:tcPr>
            <w:tcW w:w="2396" w:type="dxa"/>
            <w:vMerge w:val="restart"/>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Pravastatin</w:t>
            </w:r>
          </w:p>
        </w:tc>
        <w:tc>
          <w:tcPr>
            <w:tcW w:w="171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40 mg single-dose</w:t>
            </w:r>
          </w:p>
        </w:tc>
        <w:tc>
          <w:tcPr>
            <w:tcW w:w="1176" w:type="dxa"/>
            <w:shd w:val="clear" w:color="auto" w:fill="auto"/>
            <w:vAlign w:val="center"/>
          </w:tcPr>
          <w:p w:rsidR="009B75D3" w:rsidRDefault="009B75D3" w:rsidP="00DE6FCF">
            <w:pPr>
              <w:pStyle w:val="TableLeft"/>
              <w:jc w:val="center"/>
              <w:rPr>
                <w:bCs w:val="0"/>
                <w:sz w:val="20"/>
                <w:szCs w:val="20"/>
              </w:rPr>
            </w:pPr>
            <w:r>
              <w:rPr>
                <w:bCs w:val="0"/>
                <w:sz w:val="20"/>
                <w:szCs w:val="20"/>
              </w:rPr>
              <w:t xml:space="preserve">EBR 50 mg + </w:t>
            </w:r>
            <w:r w:rsidRPr="00D63B6C">
              <w:rPr>
                <w:bCs w:val="0"/>
                <w:sz w:val="20"/>
                <w:szCs w:val="20"/>
              </w:rPr>
              <w:t>GZR 200 mg once daily</w:t>
            </w:r>
          </w:p>
        </w:tc>
        <w:tc>
          <w:tcPr>
            <w:tcW w:w="4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12</w:t>
            </w:r>
          </w:p>
        </w:tc>
        <w:tc>
          <w:tcPr>
            <w:tcW w:w="9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0.98 (0.93, 1.02)</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0.97 (0.89, 1.05)</w:t>
            </w:r>
          </w:p>
        </w:tc>
        <w:tc>
          <w:tcPr>
            <w:tcW w:w="118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0.97 (0.92, 1.02)</w:t>
            </w:r>
          </w:p>
        </w:tc>
      </w:tr>
      <w:tr w:rsidR="009B75D3" w:rsidRPr="00D63B6C" w:rsidTr="000D04DA">
        <w:tc>
          <w:tcPr>
            <w:tcW w:w="2396" w:type="dxa"/>
            <w:vMerge/>
            <w:shd w:val="clear" w:color="auto" w:fill="auto"/>
            <w:vAlign w:val="center"/>
            <w:hideMark/>
          </w:tcPr>
          <w:p w:rsidR="009B75D3" w:rsidRPr="00D63B6C" w:rsidRDefault="009B75D3" w:rsidP="00636B86">
            <w:pPr>
              <w:pStyle w:val="TableLeft"/>
              <w:jc w:val="center"/>
              <w:rPr>
                <w:bCs w:val="0"/>
                <w:sz w:val="20"/>
                <w:szCs w:val="20"/>
              </w:rPr>
            </w:pPr>
          </w:p>
        </w:tc>
        <w:tc>
          <w:tcPr>
            <w:tcW w:w="171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40 mg single-dose</w:t>
            </w:r>
          </w:p>
        </w:tc>
        <w:tc>
          <w:tcPr>
            <w:tcW w:w="1176" w:type="dxa"/>
            <w:shd w:val="clear" w:color="auto" w:fill="auto"/>
            <w:vAlign w:val="center"/>
            <w:hideMark/>
          </w:tcPr>
          <w:p w:rsidR="009B75D3" w:rsidRPr="00D63B6C" w:rsidRDefault="009B75D3" w:rsidP="00DE6FCF">
            <w:pPr>
              <w:pStyle w:val="TableLeft"/>
              <w:jc w:val="center"/>
              <w:rPr>
                <w:bCs w:val="0"/>
                <w:sz w:val="20"/>
                <w:szCs w:val="20"/>
              </w:rPr>
            </w:pPr>
            <w:r>
              <w:rPr>
                <w:bCs w:val="0"/>
                <w:sz w:val="20"/>
                <w:szCs w:val="20"/>
              </w:rPr>
              <w:t xml:space="preserve">EBR 50 mg + </w:t>
            </w:r>
            <w:r w:rsidRPr="00D63B6C">
              <w:rPr>
                <w:bCs w:val="0"/>
                <w:sz w:val="20"/>
                <w:szCs w:val="20"/>
              </w:rPr>
              <w:t>GZR 200 mg once daily</w:t>
            </w:r>
          </w:p>
        </w:tc>
        <w:tc>
          <w:tcPr>
            <w:tcW w:w="4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12</w:t>
            </w:r>
          </w:p>
        </w:tc>
        <w:tc>
          <w:tcPr>
            <w:tcW w:w="9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1.24 (1.00, 1.53)</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1.42 (1.00, 2.03)</w:t>
            </w:r>
          </w:p>
        </w:tc>
        <w:tc>
          <w:tcPr>
            <w:tcW w:w="118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1.07 (0.99, 1.16)</w:t>
            </w:r>
          </w:p>
        </w:tc>
      </w:tr>
      <w:tr w:rsidR="009B75D3" w:rsidRPr="00D63B6C" w:rsidTr="000D04DA">
        <w:tc>
          <w:tcPr>
            <w:tcW w:w="2396" w:type="dxa"/>
            <w:vMerge w:val="restart"/>
            <w:shd w:val="clear" w:color="auto" w:fill="auto"/>
            <w:vAlign w:val="center"/>
          </w:tcPr>
          <w:p w:rsidR="009B75D3" w:rsidRPr="00D63B6C" w:rsidRDefault="009B75D3" w:rsidP="00636B86">
            <w:pPr>
              <w:pStyle w:val="TableLeft"/>
              <w:jc w:val="center"/>
              <w:rPr>
                <w:bCs w:val="0"/>
                <w:sz w:val="20"/>
                <w:szCs w:val="20"/>
              </w:rPr>
            </w:pPr>
            <w:proofErr w:type="spellStart"/>
            <w:r w:rsidRPr="00D63B6C">
              <w:rPr>
                <w:bCs w:val="0"/>
                <w:sz w:val="20"/>
                <w:szCs w:val="20"/>
              </w:rPr>
              <w:t>Rosuvastatin</w:t>
            </w:r>
            <w:proofErr w:type="spellEnd"/>
          </w:p>
        </w:tc>
        <w:tc>
          <w:tcPr>
            <w:tcW w:w="171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10 mg single-dose</w:t>
            </w:r>
          </w:p>
        </w:tc>
        <w:tc>
          <w:tcPr>
            <w:tcW w:w="1176" w:type="dxa"/>
            <w:shd w:val="clear" w:color="auto" w:fill="auto"/>
            <w:vAlign w:val="center"/>
          </w:tcPr>
          <w:p w:rsidR="009B75D3" w:rsidRPr="00D63B6C" w:rsidRDefault="009B75D3" w:rsidP="00636B86">
            <w:pPr>
              <w:pStyle w:val="TableLeft"/>
              <w:jc w:val="center"/>
              <w:rPr>
                <w:bCs w:val="0"/>
                <w:sz w:val="20"/>
                <w:szCs w:val="20"/>
              </w:rPr>
            </w:pPr>
            <w:r>
              <w:rPr>
                <w:bCs w:val="0"/>
                <w:sz w:val="20"/>
                <w:szCs w:val="20"/>
              </w:rPr>
              <w:t xml:space="preserve">EBR 50 mg + </w:t>
            </w:r>
            <w:r w:rsidRPr="00D63B6C">
              <w:rPr>
                <w:bCs w:val="0"/>
                <w:sz w:val="20"/>
                <w:szCs w:val="20"/>
              </w:rPr>
              <w:t>GZR 200 mg single-dose</w:t>
            </w:r>
          </w:p>
        </w:tc>
        <w:tc>
          <w:tcPr>
            <w:tcW w:w="4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11</w:t>
            </w:r>
          </w:p>
        </w:tc>
        <w:tc>
          <w:tcPr>
            <w:tcW w:w="99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EBR</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1.09 (0.98, 1.21)</w:t>
            </w:r>
          </w:p>
        </w:tc>
        <w:tc>
          <w:tcPr>
            <w:tcW w:w="1237"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1.11 (0.99, 1.26)</w:t>
            </w:r>
          </w:p>
        </w:tc>
        <w:tc>
          <w:tcPr>
            <w:tcW w:w="1185" w:type="dxa"/>
            <w:shd w:val="clear" w:color="auto" w:fill="auto"/>
            <w:vAlign w:val="center"/>
          </w:tcPr>
          <w:p w:rsidR="009B75D3" w:rsidRPr="00D63B6C" w:rsidRDefault="009B75D3" w:rsidP="00636B86">
            <w:pPr>
              <w:pStyle w:val="TableLeft"/>
              <w:jc w:val="center"/>
              <w:rPr>
                <w:bCs w:val="0"/>
                <w:sz w:val="20"/>
                <w:szCs w:val="20"/>
              </w:rPr>
            </w:pPr>
            <w:r w:rsidRPr="00D63B6C">
              <w:rPr>
                <w:bCs w:val="0"/>
                <w:sz w:val="20"/>
                <w:szCs w:val="20"/>
              </w:rPr>
              <w:t>0.96 (0.86, 1.08)</w:t>
            </w:r>
          </w:p>
        </w:tc>
      </w:tr>
      <w:tr w:rsidR="009B75D3" w:rsidRPr="00D63B6C" w:rsidTr="000D04DA">
        <w:tc>
          <w:tcPr>
            <w:tcW w:w="2396" w:type="dxa"/>
            <w:vMerge/>
            <w:shd w:val="clear" w:color="auto" w:fill="auto"/>
            <w:vAlign w:val="center"/>
            <w:hideMark/>
          </w:tcPr>
          <w:p w:rsidR="009B75D3" w:rsidRPr="00D63B6C" w:rsidRDefault="009B75D3" w:rsidP="00636B86">
            <w:pPr>
              <w:pStyle w:val="TableLeft"/>
              <w:jc w:val="center"/>
              <w:rPr>
                <w:bCs w:val="0"/>
                <w:sz w:val="20"/>
                <w:szCs w:val="20"/>
              </w:rPr>
            </w:pPr>
          </w:p>
        </w:tc>
        <w:tc>
          <w:tcPr>
            <w:tcW w:w="171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10 mg single-dose</w:t>
            </w:r>
          </w:p>
        </w:tc>
        <w:tc>
          <w:tcPr>
            <w:tcW w:w="1176"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 200 mg once daily</w:t>
            </w:r>
          </w:p>
        </w:tc>
        <w:tc>
          <w:tcPr>
            <w:tcW w:w="4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11</w:t>
            </w:r>
          </w:p>
        </w:tc>
        <w:tc>
          <w:tcPr>
            <w:tcW w:w="9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1.16 (0.94, 1.44)</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1.13 (0.77, 1.65)</w:t>
            </w:r>
          </w:p>
        </w:tc>
        <w:tc>
          <w:tcPr>
            <w:tcW w:w="118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0.93 (0.84, 1.03)</w:t>
            </w:r>
          </w:p>
        </w:tc>
      </w:tr>
      <w:tr w:rsidR="009B75D3" w:rsidRPr="00D63B6C" w:rsidTr="000D04DA">
        <w:tc>
          <w:tcPr>
            <w:tcW w:w="2396" w:type="dxa"/>
            <w:vMerge/>
            <w:shd w:val="clear" w:color="auto" w:fill="auto"/>
            <w:vAlign w:val="center"/>
          </w:tcPr>
          <w:p w:rsidR="009B75D3" w:rsidRPr="00D63B6C" w:rsidRDefault="009B75D3" w:rsidP="00636B86">
            <w:pPr>
              <w:pStyle w:val="TableLeft"/>
              <w:jc w:val="center"/>
              <w:rPr>
                <w:bCs w:val="0"/>
                <w:sz w:val="20"/>
                <w:szCs w:val="20"/>
              </w:rPr>
            </w:pPr>
          </w:p>
        </w:tc>
        <w:tc>
          <w:tcPr>
            <w:tcW w:w="171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10 mg single-dose</w:t>
            </w:r>
          </w:p>
        </w:tc>
        <w:tc>
          <w:tcPr>
            <w:tcW w:w="1176" w:type="dxa"/>
            <w:shd w:val="clear" w:color="auto" w:fill="auto"/>
            <w:vAlign w:val="center"/>
            <w:hideMark/>
          </w:tcPr>
          <w:p w:rsidR="009B75D3" w:rsidRPr="00D63B6C" w:rsidRDefault="009B75D3" w:rsidP="00DE6FCF">
            <w:pPr>
              <w:pStyle w:val="TableLeft"/>
              <w:jc w:val="center"/>
              <w:rPr>
                <w:bCs w:val="0"/>
                <w:sz w:val="20"/>
                <w:szCs w:val="20"/>
              </w:rPr>
            </w:pPr>
            <w:r>
              <w:rPr>
                <w:bCs w:val="0"/>
                <w:sz w:val="20"/>
                <w:szCs w:val="20"/>
              </w:rPr>
              <w:t xml:space="preserve">EBR 50 mg + </w:t>
            </w:r>
            <w:r w:rsidRPr="00D63B6C">
              <w:rPr>
                <w:bCs w:val="0"/>
                <w:sz w:val="20"/>
                <w:szCs w:val="20"/>
              </w:rPr>
              <w:t>GZR 200 mg once daily</w:t>
            </w:r>
          </w:p>
        </w:tc>
        <w:tc>
          <w:tcPr>
            <w:tcW w:w="4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11</w:t>
            </w:r>
          </w:p>
        </w:tc>
        <w:tc>
          <w:tcPr>
            <w:tcW w:w="99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GZR</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1.01 (0.79, 1.28)</w:t>
            </w:r>
          </w:p>
        </w:tc>
        <w:tc>
          <w:tcPr>
            <w:tcW w:w="1237"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0.97 (0.63, 1.50)</w:t>
            </w:r>
          </w:p>
        </w:tc>
        <w:tc>
          <w:tcPr>
            <w:tcW w:w="1185" w:type="dxa"/>
            <w:shd w:val="clear" w:color="auto" w:fill="auto"/>
            <w:vAlign w:val="center"/>
            <w:hideMark/>
          </w:tcPr>
          <w:p w:rsidR="009B75D3" w:rsidRPr="00D63B6C" w:rsidRDefault="009B75D3" w:rsidP="00636B86">
            <w:pPr>
              <w:pStyle w:val="TableLeft"/>
              <w:jc w:val="center"/>
              <w:rPr>
                <w:bCs w:val="0"/>
                <w:sz w:val="20"/>
                <w:szCs w:val="20"/>
              </w:rPr>
            </w:pPr>
            <w:r w:rsidRPr="00D63B6C">
              <w:rPr>
                <w:bCs w:val="0"/>
                <w:sz w:val="20"/>
                <w:szCs w:val="20"/>
              </w:rPr>
              <w:t>0.95 (0.87, 1.04)</w:t>
            </w:r>
          </w:p>
        </w:tc>
      </w:tr>
      <w:tr w:rsidR="00D63B6C" w:rsidRPr="00D63B6C" w:rsidTr="00157EE1">
        <w:trPr>
          <w:trHeight w:val="1715"/>
        </w:trPr>
        <w:tc>
          <w:tcPr>
            <w:tcW w:w="10440" w:type="dxa"/>
            <w:gridSpan w:val="8"/>
            <w:tcBorders>
              <w:left w:val="nil"/>
              <w:bottom w:val="nil"/>
              <w:right w:val="nil"/>
            </w:tcBorders>
            <w:shd w:val="clear" w:color="auto" w:fill="auto"/>
            <w:vAlign w:val="center"/>
          </w:tcPr>
          <w:p w:rsidR="00D63B6C" w:rsidRPr="00F42F76" w:rsidRDefault="00D63B6C" w:rsidP="00F42F76">
            <w:pPr>
              <w:pStyle w:val="NoSpacing"/>
              <w:rPr>
                <w:bCs/>
                <w:sz w:val="18"/>
                <w:szCs w:val="18"/>
              </w:rPr>
            </w:pPr>
            <w:r w:rsidRPr="00F42F76">
              <w:rPr>
                <w:sz w:val="18"/>
                <w:szCs w:val="18"/>
              </w:rPr>
              <w:t xml:space="preserve">Abbreviations: </w:t>
            </w:r>
            <w:r w:rsidR="00DE6FCF" w:rsidRPr="00F42F76">
              <w:rPr>
                <w:sz w:val="18"/>
                <w:szCs w:val="18"/>
              </w:rPr>
              <w:t xml:space="preserve">EBR, </w:t>
            </w:r>
            <w:proofErr w:type="spellStart"/>
            <w:r w:rsidR="00DE6FCF" w:rsidRPr="00F42F76">
              <w:rPr>
                <w:sz w:val="18"/>
                <w:szCs w:val="18"/>
              </w:rPr>
              <w:t>elbasvir</w:t>
            </w:r>
            <w:proofErr w:type="spellEnd"/>
            <w:r w:rsidR="00DE6FCF" w:rsidRPr="00F42F76">
              <w:rPr>
                <w:sz w:val="18"/>
                <w:szCs w:val="18"/>
              </w:rPr>
              <w:t xml:space="preserve">; </w:t>
            </w:r>
            <w:r w:rsidRPr="00F42F76">
              <w:rPr>
                <w:sz w:val="18"/>
                <w:szCs w:val="18"/>
              </w:rPr>
              <w:t xml:space="preserve">GZR, </w:t>
            </w:r>
            <w:proofErr w:type="spellStart"/>
            <w:r w:rsidRPr="00F42F76">
              <w:rPr>
                <w:sz w:val="18"/>
                <w:szCs w:val="18"/>
              </w:rPr>
              <w:t>grazoprevir</w:t>
            </w:r>
            <w:proofErr w:type="spellEnd"/>
            <w:r w:rsidRPr="00F42F76">
              <w:rPr>
                <w:sz w:val="18"/>
                <w:szCs w:val="18"/>
              </w:rPr>
              <w:t xml:space="preserve">; IV, intravenous; PO, oral; </w:t>
            </w:r>
            <w:r w:rsidR="00DE6FCF">
              <w:rPr>
                <w:sz w:val="18"/>
                <w:szCs w:val="18"/>
              </w:rPr>
              <w:t xml:space="preserve">EBR + </w:t>
            </w:r>
            <w:r w:rsidRPr="00F42F76">
              <w:rPr>
                <w:sz w:val="18"/>
                <w:szCs w:val="18"/>
              </w:rPr>
              <w:t xml:space="preserve">GZR, administration of </w:t>
            </w:r>
            <w:r w:rsidR="00DE6FCF">
              <w:rPr>
                <w:sz w:val="18"/>
                <w:szCs w:val="18"/>
              </w:rPr>
              <w:t xml:space="preserve">EBR and </w:t>
            </w:r>
            <w:r w:rsidRPr="00F42F76">
              <w:rPr>
                <w:sz w:val="18"/>
                <w:szCs w:val="18"/>
              </w:rPr>
              <w:t xml:space="preserve">GZR as separate </w:t>
            </w:r>
            <w:r w:rsidR="00856BED" w:rsidRPr="00F42F76">
              <w:rPr>
                <w:sz w:val="18"/>
                <w:szCs w:val="18"/>
              </w:rPr>
              <w:t>tablets</w:t>
            </w:r>
            <w:r w:rsidRPr="00F42F76">
              <w:rPr>
                <w:sz w:val="18"/>
                <w:szCs w:val="18"/>
              </w:rPr>
              <w:t xml:space="preserve">; </w:t>
            </w:r>
            <w:r w:rsidR="00DE6FCF">
              <w:rPr>
                <w:sz w:val="18"/>
                <w:szCs w:val="18"/>
              </w:rPr>
              <w:t>EBR/</w:t>
            </w:r>
            <w:r w:rsidRPr="00F42F76">
              <w:rPr>
                <w:sz w:val="18"/>
                <w:szCs w:val="18"/>
              </w:rPr>
              <w:t xml:space="preserve">GZR, administration of </w:t>
            </w:r>
            <w:r w:rsidR="00DE6FCF">
              <w:rPr>
                <w:sz w:val="18"/>
                <w:szCs w:val="18"/>
              </w:rPr>
              <w:t xml:space="preserve">EBR and </w:t>
            </w:r>
            <w:r w:rsidRPr="00F42F76">
              <w:rPr>
                <w:sz w:val="18"/>
                <w:szCs w:val="18"/>
              </w:rPr>
              <w:t>GZR as a single fixed-dose combination tablet</w:t>
            </w:r>
          </w:p>
          <w:p w:rsidR="00D63B6C" w:rsidRPr="00F42F76" w:rsidRDefault="00D63B6C" w:rsidP="00F42F76">
            <w:pPr>
              <w:pStyle w:val="NoSpacing"/>
              <w:rPr>
                <w:color w:val="000000"/>
                <w:sz w:val="18"/>
                <w:szCs w:val="18"/>
              </w:rPr>
            </w:pPr>
            <w:r w:rsidRPr="00F42F76">
              <w:rPr>
                <w:color w:val="000000"/>
                <w:sz w:val="18"/>
                <w:szCs w:val="18"/>
              </w:rPr>
              <w:t>*AUC</w:t>
            </w:r>
            <w:r w:rsidRPr="00F42F76">
              <w:rPr>
                <w:color w:val="000000"/>
                <w:sz w:val="18"/>
                <w:szCs w:val="18"/>
                <w:vertAlign w:val="subscript"/>
              </w:rPr>
              <w:t>0-inf</w:t>
            </w:r>
            <w:r w:rsidRPr="00F42F76">
              <w:rPr>
                <w:color w:val="000000"/>
                <w:sz w:val="18"/>
                <w:szCs w:val="18"/>
              </w:rPr>
              <w:t xml:space="preserve"> for single-dose, AUC</w:t>
            </w:r>
            <w:r w:rsidRPr="00F42F76">
              <w:rPr>
                <w:color w:val="000000"/>
                <w:sz w:val="18"/>
                <w:szCs w:val="18"/>
                <w:vertAlign w:val="subscript"/>
              </w:rPr>
              <w:t>0-24</w:t>
            </w:r>
            <w:r w:rsidRPr="00F42F76">
              <w:rPr>
                <w:color w:val="000000"/>
                <w:sz w:val="18"/>
                <w:szCs w:val="18"/>
              </w:rPr>
              <w:t xml:space="preserve"> for once daily </w:t>
            </w:r>
          </w:p>
          <w:p w:rsidR="00D63B6C" w:rsidRPr="00F42F76" w:rsidRDefault="00D63B6C" w:rsidP="00F42F76">
            <w:pPr>
              <w:pStyle w:val="NoSpacing"/>
              <w:rPr>
                <w:color w:val="000000"/>
                <w:sz w:val="18"/>
                <w:szCs w:val="18"/>
                <w:vertAlign w:val="subscript"/>
              </w:rPr>
            </w:pPr>
            <w:r w:rsidRPr="00F42F76">
              <w:rPr>
                <w:sz w:val="18"/>
                <w:szCs w:val="18"/>
                <w:vertAlign w:val="superscript"/>
              </w:rPr>
              <w:t>†</w:t>
            </w:r>
            <w:r w:rsidRPr="00F42F76">
              <w:rPr>
                <w:color w:val="000000"/>
                <w:sz w:val="18"/>
                <w:szCs w:val="18"/>
              </w:rPr>
              <w:t>AUC</w:t>
            </w:r>
            <w:r w:rsidRPr="00F42F76">
              <w:rPr>
                <w:color w:val="000000"/>
                <w:sz w:val="18"/>
                <w:szCs w:val="18"/>
                <w:vertAlign w:val="subscript"/>
              </w:rPr>
              <w:t>0-24</w:t>
            </w:r>
          </w:p>
          <w:p w:rsidR="00D63B6C" w:rsidRPr="00D63B6C" w:rsidRDefault="00D63B6C" w:rsidP="00636B86">
            <w:pPr>
              <w:pStyle w:val="TableLeft"/>
              <w:rPr>
                <w:bCs w:val="0"/>
                <w:sz w:val="20"/>
                <w:szCs w:val="20"/>
              </w:rPr>
            </w:pPr>
            <w:r w:rsidRPr="00F42F76">
              <w:rPr>
                <w:rFonts w:eastAsia="Times New Roman"/>
                <w:sz w:val="18"/>
                <w:szCs w:val="18"/>
                <w:vertAlign w:val="superscript"/>
                <w:lang w:val="en-AU"/>
              </w:rPr>
              <w:t>‡</w:t>
            </w:r>
            <w:r w:rsidRPr="00F42F76">
              <w:rPr>
                <w:rFonts w:eastAsia="Times New Roman"/>
                <w:sz w:val="18"/>
                <w:szCs w:val="18"/>
                <w:lang w:val="en-AU"/>
              </w:rPr>
              <w:t>Higher doses of ritonavir have not been tested in a drug interaction study with GZR</w:t>
            </w:r>
          </w:p>
        </w:tc>
      </w:tr>
    </w:tbl>
    <w:p w:rsidR="00564C90" w:rsidRDefault="00564C90" w:rsidP="00F42F76">
      <w:pPr>
        <w:pStyle w:val="Caption"/>
        <w:jc w:val="center"/>
      </w:pPr>
    </w:p>
    <w:p w:rsidR="00D63B6C" w:rsidRPr="00157EE1" w:rsidRDefault="00D63B6C" w:rsidP="00F42F76">
      <w:pPr>
        <w:pStyle w:val="Caption"/>
        <w:jc w:val="center"/>
      </w:pPr>
      <w:r w:rsidRPr="008F2853">
        <w:t>Table 3: D</w:t>
      </w:r>
      <w:r w:rsidRPr="00157EE1">
        <w:t xml:space="preserve">rug Interactions: Changes in Pharmacokinetics for Co-Administered Drug in the Presence of </w:t>
      </w:r>
      <w:proofErr w:type="spellStart"/>
      <w:r w:rsidR="00911C72" w:rsidRPr="00157EE1">
        <w:t>Elbasvir</w:t>
      </w:r>
      <w:proofErr w:type="spellEnd"/>
      <w:r w:rsidR="00911C72" w:rsidRPr="00157EE1">
        <w:t>,</w:t>
      </w:r>
      <w:r w:rsidR="00911C72">
        <w:t xml:space="preserve"> </w:t>
      </w:r>
      <w:proofErr w:type="spellStart"/>
      <w:r w:rsidRPr="00157EE1">
        <w:t>Grazoprevir</w:t>
      </w:r>
      <w:proofErr w:type="spellEnd"/>
      <w:r w:rsidRPr="00157EE1">
        <w:t xml:space="preserve">, or Co-Administered </w:t>
      </w:r>
      <w:proofErr w:type="spellStart"/>
      <w:r w:rsidR="00DE6FCF">
        <w:t>Elbasvir</w:t>
      </w:r>
      <w:proofErr w:type="spellEnd"/>
      <w:r w:rsidR="00DE6FCF">
        <w:t xml:space="preserve"> and </w:t>
      </w:r>
      <w:proofErr w:type="spellStart"/>
      <w:r w:rsidRPr="00157EE1">
        <w:t>Grazoprevir</w:t>
      </w:r>
      <w:proofErr w:type="spellEnd"/>
      <w:r w:rsidRPr="00157EE1">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604"/>
        <w:gridCol w:w="1628"/>
        <w:gridCol w:w="1657"/>
        <w:gridCol w:w="439"/>
        <w:gridCol w:w="994"/>
        <w:gridCol w:w="1493"/>
        <w:gridCol w:w="1084"/>
      </w:tblGrid>
      <w:tr w:rsidR="00D63B6C" w:rsidRPr="00D63B6C" w:rsidTr="009817CA">
        <w:tc>
          <w:tcPr>
            <w:tcW w:w="1541" w:type="dxa"/>
            <w:vMerge w:val="restart"/>
            <w:tcBorders>
              <w:top w:val="single" w:sz="4" w:space="0" w:color="auto"/>
            </w:tcBorders>
            <w:shd w:val="clear" w:color="auto" w:fill="auto"/>
            <w:vAlign w:val="center"/>
          </w:tcPr>
          <w:p w:rsidR="00D63B6C" w:rsidRPr="00D63B6C" w:rsidRDefault="00D63B6C" w:rsidP="00636B86">
            <w:pPr>
              <w:pStyle w:val="TableLeft"/>
              <w:jc w:val="center"/>
              <w:rPr>
                <w:b/>
                <w:bCs w:val="0"/>
                <w:sz w:val="20"/>
                <w:szCs w:val="20"/>
              </w:rPr>
            </w:pPr>
            <w:r w:rsidRPr="00D63B6C">
              <w:rPr>
                <w:b/>
                <w:bCs w:val="0"/>
                <w:sz w:val="20"/>
                <w:szCs w:val="20"/>
              </w:rPr>
              <w:t xml:space="preserve">Co-Administered </w:t>
            </w:r>
            <w:r w:rsidRPr="00D63B6C">
              <w:rPr>
                <w:b/>
                <w:bCs w:val="0"/>
                <w:sz w:val="20"/>
                <w:szCs w:val="20"/>
              </w:rPr>
              <w:lastRenderedPageBreak/>
              <w:t>Drug</w:t>
            </w:r>
          </w:p>
        </w:tc>
        <w:tc>
          <w:tcPr>
            <w:tcW w:w="1604" w:type="dxa"/>
            <w:vMerge w:val="restart"/>
            <w:tcBorders>
              <w:top w:val="single" w:sz="4" w:space="0" w:color="auto"/>
            </w:tcBorders>
            <w:shd w:val="clear" w:color="auto" w:fill="auto"/>
            <w:vAlign w:val="center"/>
          </w:tcPr>
          <w:p w:rsidR="00D63B6C" w:rsidRPr="00D63B6C" w:rsidRDefault="00D63B6C" w:rsidP="00636B86">
            <w:pPr>
              <w:pStyle w:val="TableLeft"/>
              <w:jc w:val="center"/>
              <w:rPr>
                <w:b/>
                <w:bCs w:val="0"/>
                <w:sz w:val="20"/>
                <w:szCs w:val="20"/>
              </w:rPr>
            </w:pPr>
            <w:r w:rsidRPr="00D63B6C">
              <w:rPr>
                <w:b/>
                <w:bCs w:val="0"/>
                <w:sz w:val="20"/>
                <w:szCs w:val="20"/>
              </w:rPr>
              <w:lastRenderedPageBreak/>
              <w:t xml:space="preserve">Regimen of Co-Administered </w:t>
            </w:r>
            <w:r w:rsidRPr="00D63B6C">
              <w:rPr>
                <w:b/>
                <w:bCs w:val="0"/>
                <w:sz w:val="20"/>
                <w:szCs w:val="20"/>
              </w:rPr>
              <w:lastRenderedPageBreak/>
              <w:t>Drug</w:t>
            </w:r>
          </w:p>
        </w:tc>
        <w:tc>
          <w:tcPr>
            <w:tcW w:w="1628" w:type="dxa"/>
            <w:vMerge w:val="restart"/>
            <w:tcBorders>
              <w:top w:val="single" w:sz="4" w:space="0" w:color="auto"/>
            </w:tcBorders>
            <w:shd w:val="clear" w:color="auto" w:fill="auto"/>
            <w:vAlign w:val="center"/>
          </w:tcPr>
          <w:p w:rsidR="00D63B6C" w:rsidRPr="00D63B6C" w:rsidRDefault="00911C72" w:rsidP="00911C72">
            <w:pPr>
              <w:pStyle w:val="TableLeft"/>
              <w:jc w:val="center"/>
              <w:rPr>
                <w:b/>
                <w:bCs w:val="0"/>
                <w:sz w:val="20"/>
                <w:szCs w:val="20"/>
              </w:rPr>
            </w:pPr>
            <w:r>
              <w:rPr>
                <w:b/>
                <w:bCs w:val="0"/>
                <w:sz w:val="20"/>
                <w:szCs w:val="20"/>
              </w:rPr>
              <w:lastRenderedPageBreak/>
              <w:t>EBR</w:t>
            </w:r>
            <w:r w:rsidR="00D63B6C" w:rsidRPr="00D63B6C">
              <w:rPr>
                <w:b/>
                <w:bCs w:val="0"/>
                <w:sz w:val="20"/>
                <w:szCs w:val="20"/>
              </w:rPr>
              <w:t xml:space="preserve"> or/and </w:t>
            </w:r>
            <w:r>
              <w:rPr>
                <w:b/>
                <w:bCs w:val="0"/>
                <w:sz w:val="20"/>
                <w:szCs w:val="20"/>
              </w:rPr>
              <w:t>GZR</w:t>
            </w:r>
            <w:r w:rsidR="00D63B6C" w:rsidRPr="00D63B6C">
              <w:rPr>
                <w:b/>
                <w:bCs w:val="0"/>
                <w:sz w:val="20"/>
                <w:szCs w:val="20"/>
              </w:rPr>
              <w:t xml:space="preserve"> </w:t>
            </w:r>
            <w:r w:rsidR="00D63B6C" w:rsidRPr="00D63B6C">
              <w:rPr>
                <w:b/>
                <w:bCs w:val="0"/>
                <w:sz w:val="20"/>
                <w:szCs w:val="20"/>
              </w:rPr>
              <w:lastRenderedPageBreak/>
              <w:t>Administration</w:t>
            </w:r>
          </w:p>
        </w:tc>
        <w:tc>
          <w:tcPr>
            <w:tcW w:w="1657" w:type="dxa"/>
            <w:vMerge w:val="restart"/>
            <w:tcBorders>
              <w:top w:val="single" w:sz="4" w:space="0" w:color="auto"/>
            </w:tcBorders>
            <w:shd w:val="clear" w:color="auto" w:fill="auto"/>
            <w:vAlign w:val="center"/>
          </w:tcPr>
          <w:p w:rsidR="00D63B6C" w:rsidRPr="00D63B6C" w:rsidRDefault="00911C72" w:rsidP="00911C72">
            <w:pPr>
              <w:pStyle w:val="TableLeft"/>
              <w:jc w:val="center"/>
              <w:rPr>
                <w:b/>
                <w:bCs w:val="0"/>
                <w:sz w:val="20"/>
                <w:szCs w:val="20"/>
              </w:rPr>
            </w:pPr>
            <w:r>
              <w:rPr>
                <w:b/>
                <w:bCs w:val="0"/>
                <w:sz w:val="20"/>
                <w:szCs w:val="20"/>
              </w:rPr>
              <w:lastRenderedPageBreak/>
              <w:t>EBR</w:t>
            </w:r>
            <w:r w:rsidR="00D63B6C" w:rsidRPr="00D63B6C">
              <w:rPr>
                <w:b/>
                <w:bCs w:val="0"/>
                <w:sz w:val="20"/>
                <w:szCs w:val="20"/>
              </w:rPr>
              <w:t xml:space="preserve"> or/and </w:t>
            </w:r>
            <w:r>
              <w:rPr>
                <w:b/>
                <w:bCs w:val="0"/>
                <w:sz w:val="20"/>
                <w:szCs w:val="20"/>
              </w:rPr>
              <w:t>GZR</w:t>
            </w:r>
            <w:r w:rsidR="00D63B6C" w:rsidRPr="00D63B6C">
              <w:rPr>
                <w:b/>
                <w:bCs w:val="0"/>
                <w:sz w:val="20"/>
                <w:szCs w:val="20"/>
              </w:rPr>
              <w:t xml:space="preserve"> Regimen</w:t>
            </w:r>
          </w:p>
        </w:tc>
        <w:tc>
          <w:tcPr>
            <w:tcW w:w="439" w:type="dxa"/>
            <w:vMerge w:val="restart"/>
            <w:tcBorders>
              <w:top w:val="single" w:sz="4" w:space="0" w:color="auto"/>
            </w:tcBorders>
            <w:shd w:val="clear" w:color="auto" w:fill="auto"/>
            <w:vAlign w:val="center"/>
          </w:tcPr>
          <w:p w:rsidR="00D63B6C" w:rsidRPr="00D63B6C" w:rsidRDefault="00D63B6C" w:rsidP="00636B86">
            <w:pPr>
              <w:pStyle w:val="TableLeft"/>
              <w:jc w:val="center"/>
              <w:rPr>
                <w:b/>
                <w:bCs w:val="0"/>
                <w:sz w:val="20"/>
                <w:szCs w:val="20"/>
              </w:rPr>
            </w:pPr>
            <w:r w:rsidRPr="00D63B6C">
              <w:rPr>
                <w:b/>
                <w:bCs w:val="0"/>
                <w:sz w:val="20"/>
                <w:szCs w:val="20"/>
              </w:rPr>
              <w:t>N</w:t>
            </w:r>
          </w:p>
        </w:tc>
        <w:tc>
          <w:tcPr>
            <w:tcW w:w="3571" w:type="dxa"/>
            <w:gridSpan w:val="3"/>
            <w:tcBorders>
              <w:top w:val="single" w:sz="4" w:space="0" w:color="auto"/>
            </w:tcBorders>
            <w:shd w:val="clear" w:color="auto" w:fill="auto"/>
            <w:vAlign w:val="center"/>
          </w:tcPr>
          <w:p w:rsidR="00D63B6C" w:rsidRPr="00D63B6C" w:rsidRDefault="00D63B6C" w:rsidP="00911C72">
            <w:pPr>
              <w:pStyle w:val="TableLeft"/>
              <w:jc w:val="center"/>
              <w:rPr>
                <w:b/>
                <w:bCs w:val="0"/>
                <w:sz w:val="20"/>
                <w:szCs w:val="20"/>
              </w:rPr>
            </w:pPr>
            <w:r w:rsidRPr="00D63B6C">
              <w:rPr>
                <w:b/>
                <w:bCs w:val="0"/>
                <w:sz w:val="20"/>
                <w:szCs w:val="20"/>
              </w:rPr>
              <w:t xml:space="preserve">Geometric Mean Ratio [90% CI] of Co-Administered Drug PK with/without </w:t>
            </w:r>
            <w:r w:rsidR="00911C72">
              <w:rPr>
                <w:b/>
                <w:bCs w:val="0"/>
                <w:sz w:val="20"/>
                <w:szCs w:val="20"/>
              </w:rPr>
              <w:t>EBR</w:t>
            </w:r>
            <w:r w:rsidRPr="00D63B6C">
              <w:rPr>
                <w:b/>
                <w:bCs w:val="0"/>
                <w:sz w:val="20"/>
                <w:szCs w:val="20"/>
              </w:rPr>
              <w:t xml:space="preserve"> or/and </w:t>
            </w:r>
            <w:r w:rsidR="00911C72">
              <w:rPr>
                <w:b/>
                <w:bCs w:val="0"/>
                <w:sz w:val="20"/>
                <w:szCs w:val="20"/>
              </w:rPr>
              <w:t>GZR</w:t>
            </w:r>
            <w:r w:rsidRPr="00D63B6C">
              <w:rPr>
                <w:b/>
                <w:bCs w:val="0"/>
                <w:sz w:val="20"/>
                <w:szCs w:val="20"/>
              </w:rPr>
              <w:t xml:space="preserve"> (No </w:t>
            </w:r>
            <w:r w:rsidRPr="00D63B6C">
              <w:rPr>
                <w:b/>
                <w:bCs w:val="0"/>
                <w:sz w:val="20"/>
                <w:szCs w:val="20"/>
              </w:rPr>
              <w:lastRenderedPageBreak/>
              <w:t>Effect=1.00)</w:t>
            </w:r>
          </w:p>
        </w:tc>
      </w:tr>
      <w:tr w:rsidR="00D63B6C" w:rsidRPr="00D63B6C" w:rsidTr="009817CA">
        <w:tc>
          <w:tcPr>
            <w:tcW w:w="1541" w:type="dxa"/>
            <w:vMerge/>
            <w:shd w:val="clear" w:color="auto" w:fill="auto"/>
            <w:vAlign w:val="center"/>
            <w:hideMark/>
          </w:tcPr>
          <w:p w:rsidR="00D63B6C" w:rsidRPr="00D63B6C" w:rsidRDefault="00D63B6C" w:rsidP="00636B86">
            <w:pPr>
              <w:pStyle w:val="TableLeft"/>
              <w:jc w:val="center"/>
              <w:rPr>
                <w:b/>
                <w:bCs w:val="0"/>
                <w:sz w:val="20"/>
                <w:szCs w:val="20"/>
              </w:rPr>
            </w:pPr>
          </w:p>
        </w:tc>
        <w:tc>
          <w:tcPr>
            <w:tcW w:w="1604" w:type="dxa"/>
            <w:vMerge/>
            <w:shd w:val="clear" w:color="auto" w:fill="auto"/>
            <w:vAlign w:val="center"/>
            <w:hideMark/>
          </w:tcPr>
          <w:p w:rsidR="00D63B6C" w:rsidRPr="00D63B6C" w:rsidRDefault="00D63B6C" w:rsidP="00636B86">
            <w:pPr>
              <w:pStyle w:val="TableLeft"/>
              <w:jc w:val="center"/>
              <w:rPr>
                <w:b/>
                <w:bCs w:val="0"/>
                <w:sz w:val="20"/>
                <w:szCs w:val="20"/>
              </w:rPr>
            </w:pPr>
          </w:p>
        </w:tc>
        <w:tc>
          <w:tcPr>
            <w:tcW w:w="1628" w:type="dxa"/>
            <w:vMerge/>
            <w:shd w:val="clear" w:color="auto" w:fill="auto"/>
            <w:vAlign w:val="center"/>
            <w:hideMark/>
          </w:tcPr>
          <w:p w:rsidR="00D63B6C" w:rsidRPr="00D63B6C" w:rsidRDefault="00D63B6C" w:rsidP="00636B86">
            <w:pPr>
              <w:pStyle w:val="TableLeft"/>
              <w:jc w:val="center"/>
              <w:rPr>
                <w:b/>
                <w:bCs w:val="0"/>
                <w:sz w:val="20"/>
                <w:szCs w:val="20"/>
              </w:rPr>
            </w:pPr>
          </w:p>
        </w:tc>
        <w:tc>
          <w:tcPr>
            <w:tcW w:w="1657" w:type="dxa"/>
            <w:vMerge/>
            <w:shd w:val="clear" w:color="auto" w:fill="auto"/>
            <w:vAlign w:val="center"/>
            <w:hideMark/>
          </w:tcPr>
          <w:p w:rsidR="00D63B6C" w:rsidRPr="00D63B6C" w:rsidRDefault="00D63B6C" w:rsidP="00636B86">
            <w:pPr>
              <w:pStyle w:val="TableLeft"/>
              <w:jc w:val="center"/>
              <w:rPr>
                <w:b/>
                <w:bCs w:val="0"/>
                <w:sz w:val="20"/>
                <w:szCs w:val="20"/>
              </w:rPr>
            </w:pPr>
          </w:p>
        </w:tc>
        <w:tc>
          <w:tcPr>
            <w:tcW w:w="439" w:type="dxa"/>
            <w:vMerge/>
            <w:shd w:val="clear" w:color="auto" w:fill="auto"/>
            <w:vAlign w:val="center"/>
            <w:hideMark/>
          </w:tcPr>
          <w:p w:rsidR="00D63B6C" w:rsidRPr="00D63B6C" w:rsidRDefault="00D63B6C" w:rsidP="00636B86">
            <w:pPr>
              <w:pStyle w:val="TableLeft"/>
              <w:jc w:val="center"/>
              <w:rPr>
                <w:b/>
                <w:bCs w:val="0"/>
                <w:sz w:val="20"/>
                <w:szCs w:val="20"/>
              </w:rPr>
            </w:pPr>
          </w:p>
        </w:tc>
        <w:tc>
          <w:tcPr>
            <w:tcW w:w="994" w:type="dxa"/>
            <w:shd w:val="clear" w:color="auto" w:fill="auto"/>
            <w:vAlign w:val="center"/>
            <w:hideMark/>
          </w:tcPr>
          <w:p w:rsidR="00D63B6C" w:rsidRPr="00D63B6C" w:rsidRDefault="00D63B6C" w:rsidP="00636B86">
            <w:pPr>
              <w:pStyle w:val="TableLeft"/>
              <w:jc w:val="center"/>
              <w:rPr>
                <w:b/>
                <w:bCs w:val="0"/>
                <w:sz w:val="20"/>
                <w:szCs w:val="20"/>
              </w:rPr>
            </w:pPr>
            <w:r w:rsidRPr="00D63B6C">
              <w:rPr>
                <w:b/>
                <w:bCs w:val="0"/>
                <w:sz w:val="20"/>
                <w:szCs w:val="20"/>
              </w:rPr>
              <w:t>AUC*</w:t>
            </w:r>
          </w:p>
        </w:tc>
        <w:tc>
          <w:tcPr>
            <w:tcW w:w="1493" w:type="dxa"/>
            <w:shd w:val="clear" w:color="auto" w:fill="auto"/>
            <w:vAlign w:val="center"/>
            <w:hideMark/>
          </w:tcPr>
          <w:p w:rsidR="00D63B6C" w:rsidRPr="00D63B6C" w:rsidRDefault="00D63B6C" w:rsidP="00636B86">
            <w:pPr>
              <w:pStyle w:val="TableLeft"/>
              <w:jc w:val="center"/>
              <w:rPr>
                <w:b/>
                <w:bCs w:val="0"/>
                <w:sz w:val="20"/>
                <w:szCs w:val="20"/>
              </w:rPr>
            </w:pPr>
            <w:proofErr w:type="spellStart"/>
            <w:r w:rsidRPr="00D63B6C">
              <w:rPr>
                <w:b/>
                <w:bCs w:val="0"/>
                <w:sz w:val="20"/>
                <w:szCs w:val="20"/>
              </w:rPr>
              <w:t>C</w:t>
            </w:r>
            <w:r w:rsidRPr="00D63B6C">
              <w:rPr>
                <w:b/>
                <w:bCs w:val="0"/>
                <w:sz w:val="20"/>
                <w:szCs w:val="20"/>
                <w:vertAlign w:val="subscript"/>
              </w:rPr>
              <w:t>max</w:t>
            </w:r>
            <w:proofErr w:type="spellEnd"/>
          </w:p>
        </w:tc>
        <w:tc>
          <w:tcPr>
            <w:tcW w:w="1084" w:type="dxa"/>
            <w:shd w:val="clear" w:color="auto" w:fill="auto"/>
            <w:vAlign w:val="center"/>
            <w:hideMark/>
          </w:tcPr>
          <w:p w:rsidR="00D63B6C" w:rsidRPr="00D63B6C" w:rsidRDefault="00D63B6C" w:rsidP="00636B86">
            <w:pPr>
              <w:pStyle w:val="TableLeft"/>
              <w:jc w:val="center"/>
              <w:rPr>
                <w:b/>
                <w:bCs w:val="0"/>
                <w:sz w:val="20"/>
                <w:szCs w:val="20"/>
              </w:rPr>
            </w:pPr>
            <w:proofErr w:type="spellStart"/>
            <w:r w:rsidRPr="00D63B6C">
              <w:rPr>
                <w:b/>
                <w:bCs w:val="0"/>
                <w:sz w:val="20"/>
                <w:szCs w:val="20"/>
              </w:rPr>
              <w:t>C</w:t>
            </w:r>
            <w:r w:rsidRPr="00D63B6C">
              <w:rPr>
                <w:b/>
                <w:bCs w:val="0"/>
                <w:sz w:val="20"/>
                <w:szCs w:val="20"/>
                <w:vertAlign w:val="subscript"/>
              </w:rPr>
              <w:t>trough</w:t>
            </w:r>
            <w:proofErr w:type="spellEnd"/>
            <w:r w:rsidRPr="00D63B6C">
              <w:rPr>
                <w:b/>
                <w:bCs w:val="0"/>
                <w:sz w:val="20"/>
                <w:szCs w:val="20"/>
                <w:vertAlign w:val="superscript"/>
              </w:rPr>
              <w:t>†</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P-</w:t>
            </w:r>
            <w:proofErr w:type="spellStart"/>
            <w:r w:rsidRPr="00D63B6C">
              <w:rPr>
                <w:bCs w:val="0"/>
                <w:sz w:val="20"/>
                <w:szCs w:val="20"/>
              </w:rPr>
              <w:t>gp</w:t>
            </w:r>
            <w:proofErr w:type="spellEnd"/>
            <w:r w:rsidRPr="00D63B6C">
              <w:rPr>
                <w:bCs w:val="0"/>
                <w:sz w:val="20"/>
                <w:szCs w:val="20"/>
              </w:rPr>
              <w:t xml:space="preserve"> Substrate</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Digoxin</w:t>
            </w:r>
          </w:p>
        </w:tc>
        <w:tc>
          <w:tcPr>
            <w:tcW w:w="160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Digoxin 0.25 mg single-dose</w:t>
            </w:r>
          </w:p>
        </w:tc>
        <w:tc>
          <w:tcPr>
            <w:tcW w:w="1628"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EBR</w:t>
            </w:r>
          </w:p>
        </w:tc>
        <w:tc>
          <w:tcPr>
            <w:tcW w:w="165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50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18</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1.11 (1.02, 1.22)</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1.47 (1.25, 1.73)</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CYP3A Substrate</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Midazolam</w:t>
            </w:r>
          </w:p>
        </w:tc>
        <w:tc>
          <w:tcPr>
            <w:tcW w:w="160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Midazolam 2 mg single-dose</w:t>
            </w:r>
          </w:p>
        </w:tc>
        <w:tc>
          <w:tcPr>
            <w:tcW w:w="1628"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1.34 (1.29, 1.39)</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1.15 (1.01, 1.31)</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CYP2C8 Substrate</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Montelukast</w:t>
            </w:r>
            <w:proofErr w:type="spellEnd"/>
          </w:p>
        </w:tc>
        <w:tc>
          <w:tcPr>
            <w:tcW w:w="1604"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Montelukast</w:t>
            </w:r>
            <w:proofErr w:type="spellEnd"/>
            <w:r w:rsidRPr="00D63B6C">
              <w:rPr>
                <w:bCs w:val="0"/>
                <w:sz w:val="20"/>
                <w:szCs w:val="20"/>
              </w:rPr>
              <w:t xml:space="preserve"> 10 mg single-dose</w:t>
            </w:r>
          </w:p>
        </w:tc>
        <w:tc>
          <w:tcPr>
            <w:tcW w:w="1628"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23</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1.11 (1.01, 1.20)</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0.92 (0.81, 1.06)</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1.39 (1.25, 1.56)</w:t>
            </w:r>
          </w:p>
        </w:tc>
      </w:tr>
      <w:tr w:rsidR="00D63B6C" w:rsidRPr="00D63B6C" w:rsidTr="00636B86">
        <w:tc>
          <w:tcPr>
            <w:tcW w:w="10440" w:type="dxa"/>
            <w:gridSpan w:val="8"/>
            <w:shd w:val="clear" w:color="auto" w:fill="auto"/>
            <w:vAlign w:val="center"/>
          </w:tcPr>
          <w:p w:rsidR="00D63B6C" w:rsidRPr="00D63B6C" w:rsidRDefault="00D63B6C" w:rsidP="00E655AA">
            <w:pPr>
              <w:pStyle w:val="TableLeft"/>
              <w:jc w:val="center"/>
              <w:rPr>
                <w:bCs w:val="0"/>
                <w:sz w:val="20"/>
                <w:szCs w:val="20"/>
              </w:rPr>
            </w:pPr>
            <w:r w:rsidRPr="00D63B6C">
              <w:rPr>
                <w:bCs w:val="0"/>
                <w:sz w:val="20"/>
                <w:szCs w:val="20"/>
              </w:rPr>
              <w:t xml:space="preserve">HCV </w:t>
            </w:r>
            <w:r w:rsidR="00E655AA">
              <w:rPr>
                <w:bCs w:val="0"/>
                <w:sz w:val="20"/>
                <w:szCs w:val="20"/>
              </w:rPr>
              <w:t>Antiviral</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GS-331007</w:t>
            </w:r>
          </w:p>
        </w:tc>
        <w:tc>
          <w:tcPr>
            <w:tcW w:w="1604"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Sofosbuvir</w:t>
            </w:r>
            <w:proofErr w:type="spellEnd"/>
            <w:r w:rsidRPr="00D63B6C">
              <w:rPr>
                <w:bCs w:val="0"/>
                <w:sz w:val="20"/>
                <w:szCs w:val="20"/>
              </w:rPr>
              <w:t xml:space="preserve"> 400 mg single-dose</w:t>
            </w:r>
          </w:p>
        </w:tc>
        <w:tc>
          <w:tcPr>
            <w:tcW w:w="1628" w:type="dxa"/>
            <w:shd w:val="clear" w:color="auto" w:fill="auto"/>
            <w:vAlign w:val="center"/>
            <w:hideMark/>
          </w:tcPr>
          <w:p w:rsidR="00D63B6C" w:rsidRPr="00D63B6C" w:rsidRDefault="00C87F39" w:rsidP="00C87F39">
            <w:pPr>
              <w:pStyle w:val="TableLeft"/>
              <w:jc w:val="center"/>
              <w:rPr>
                <w:bCs w:val="0"/>
                <w:sz w:val="20"/>
                <w:szCs w:val="20"/>
              </w:rPr>
            </w:pPr>
            <w:r>
              <w:rPr>
                <w:bCs w:val="0"/>
                <w:sz w:val="20"/>
                <w:szCs w:val="20"/>
              </w:rPr>
              <w:t xml:space="preserve">EBR + </w:t>
            </w:r>
            <w:r w:rsidR="00D63B6C" w:rsidRPr="00D63B6C">
              <w:rPr>
                <w:bCs w:val="0"/>
                <w:sz w:val="20"/>
                <w:szCs w:val="20"/>
              </w:rPr>
              <w:t xml:space="preserve">GZR </w:t>
            </w:r>
          </w:p>
        </w:tc>
        <w:tc>
          <w:tcPr>
            <w:tcW w:w="1657" w:type="dxa"/>
            <w:shd w:val="clear" w:color="auto" w:fill="auto"/>
            <w:vAlign w:val="center"/>
            <w:hideMark/>
          </w:tcPr>
          <w:p w:rsidR="00D63B6C" w:rsidRPr="00D63B6C" w:rsidRDefault="00C87F39" w:rsidP="00C87F39">
            <w:pPr>
              <w:pStyle w:val="TableLeft"/>
              <w:jc w:val="center"/>
              <w:rPr>
                <w:bCs w:val="0"/>
                <w:sz w:val="20"/>
                <w:szCs w:val="20"/>
              </w:rPr>
            </w:pPr>
            <w:r>
              <w:rPr>
                <w:bCs w:val="0"/>
                <w:sz w:val="20"/>
                <w:szCs w:val="20"/>
              </w:rPr>
              <w:t xml:space="preserve">50 mg + </w:t>
            </w:r>
            <w:r w:rsidR="00D63B6C"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16</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1.13 (1.05, 1.21)</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0.87 (0.78, 0.96)</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1.53 (1.43, 1.63)</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Sofosbuvir</w:t>
            </w:r>
            <w:proofErr w:type="spellEnd"/>
          </w:p>
        </w:tc>
        <w:tc>
          <w:tcPr>
            <w:tcW w:w="1604"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Sofosbuvir</w:t>
            </w:r>
            <w:proofErr w:type="spellEnd"/>
            <w:r w:rsidRPr="00D63B6C">
              <w:rPr>
                <w:bCs w:val="0"/>
                <w:sz w:val="20"/>
                <w:szCs w:val="20"/>
              </w:rPr>
              <w:t xml:space="preserve"> 400 mg single-dose</w:t>
            </w:r>
          </w:p>
        </w:tc>
        <w:tc>
          <w:tcPr>
            <w:tcW w:w="1628" w:type="dxa"/>
            <w:shd w:val="clear" w:color="auto" w:fill="auto"/>
            <w:vAlign w:val="center"/>
            <w:hideMark/>
          </w:tcPr>
          <w:p w:rsidR="00D63B6C" w:rsidRPr="00D63B6C" w:rsidRDefault="00C87F39" w:rsidP="00C87F39">
            <w:pPr>
              <w:pStyle w:val="TableLeft"/>
              <w:jc w:val="center"/>
              <w:rPr>
                <w:bCs w:val="0"/>
                <w:sz w:val="20"/>
                <w:szCs w:val="20"/>
              </w:rPr>
            </w:pPr>
            <w:r>
              <w:rPr>
                <w:bCs w:val="0"/>
                <w:sz w:val="20"/>
                <w:szCs w:val="20"/>
              </w:rPr>
              <w:t xml:space="preserve">EBR + </w:t>
            </w:r>
            <w:r w:rsidR="00D63B6C" w:rsidRPr="00D63B6C">
              <w:rPr>
                <w:bCs w:val="0"/>
                <w:sz w:val="20"/>
                <w:szCs w:val="20"/>
              </w:rPr>
              <w:t xml:space="preserve">GZR </w:t>
            </w:r>
          </w:p>
        </w:tc>
        <w:tc>
          <w:tcPr>
            <w:tcW w:w="1657" w:type="dxa"/>
            <w:shd w:val="clear" w:color="auto" w:fill="auto"/>
            <w:vAlign w:val="center"/>
            <w:hideMark/>
          </w:tcPr>
          <w:p w:rsidR="00D63B6C" w:rsidRPr="00D63B6C" w:rsidRDefault="00C87F39" w:rsidP="00C87F39">
            <w:pPr>
              <w:pStyle w:val="TableLeft"/>
              <w:jc w:val="center"/>
              <w:rPr>
                <w:bCs w:val="0"/>
                <w:sz w:val="20"/>
                <w:szCs w:val="20"/>
              </w:rPr>
            </w:pPr>
            <w:r>
              <w:rPr>
                <w:bCs w:val="0"/>
                <w:sz w:val="20"/>
                <w:szCs w:val="20"/>
              </w:rPr>
              <w:t xml:space="preserve">50 mg + </w:t>
            </w:r>
            <w:r w:rsidR="00D63B6C"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16</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2.43 (2.12, 2.79)</w:t>
            </w:r>
            <w:r w:rsidRPr="00D63B6C">
              <w:rPr>
                <w:bCs w:val="0"/>
                <w:sz w:val="20"/>
                <w:szCs w:val="20"/>
                <w:vertAlign w:val="superscript"/>
              </w:rPr>
              <w:t>‡</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2.27 (1.72, 2.99)</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HIV Protease Inhibitor</w:t>
            </w:r>
          </w:p>
        </w:tc>
      </w:tr>
      <w:tr w:rsidR="00C87F39" w:rsidRPr="00D63B6C" w:rsidTr="009817CA">
        <w:tc>
          <w:tcPr>
            <w:tcW w:w="1541" w:type="dxa"/>
            <w:vMerge w:val="restart"/>
            <w:shd w:val="clear" w:color="auto" w:fill="auto"/>
            <w:vAlign w:val="center"/>
          </w:tcPr>
          <w:p w:rsidR="00C87F39" w:rsidRPr="00D63B6C" w:rsidRDefault="00C87F39" w:rsidP="00636B86">
            <w:pPr>
              <w:pStyle w:val="TableLeft"/>
              <w:jc w:val="center"/>
              <w:rPr>
                <w:bCs w:val="0"/>
                <w:sz w:val="20"/>
                <w:szCs w:val="20"/>
              </w:rPr>
            </w:pPr>
            <w:proofErr w:type="spellStart"/>
            <w:r w:rsidRPr="00D63B6C">
              <w:rPr>
                <w:bCs w:val="0"/>
                <w:sz w:val="20"/>
                <w:szCs w:val="20"/>
              </w:rPr>
              <w:t>Atazanavir</w:t>
            </w:r>
            <w:proofErr w:type="spellEnd"/>
            <w:r w:rsidRPr="00D63B6C">
              <w:rPr>
                <w:bCs w:val="0"/>
                <w:sz w:val="20"/>
                <w:szCs w:val="20"/>
              </w:rPr>
              <w:t>/ ritonavir</w:t>
            </w:r>
          </w:p>
        </w:tc>
        <w:tc>
          <w:tcPr>
            <w:tcW w:w="1604" w:type="dxa"/>
            <w:shd w:val="clear" w:color="auto" w:fill="auto"/>
            <w:vAlign w:val="center"/>
          </w:tcPr>
          <w:p w:rsidR="00C87F39" w:rsidRPr="00D63B6C" w:rsidRDefault="00C87F39" w:rsidP="00636B86">
            <w:pPr>
              <w:pStyle w:val="TableLeft"/>
              <w:jc w:val="center"/>
              <w:rPr>
                <w:bCs w:val="0"/>
                <w:sz w:val="20"/>
                <w:szCs w:val="20"/>
              </w:rPr>
            </w:pPr>
            <w:proofErr w:type="spellStart"/>
            <w:r w:rsidRPr="00D63B6C">
              <w:rPr>
                <w:bCs w:val="0"/>
                <w:sz w:val="20"/>
                <w:szCs w:val="20"/>
              </w:rPr>
              <w:t>Atazanavir</w:t>
            </w:r>
            <w:proofErr w:type="spellEnd"/>
            <w:r w:rsidRPr="00D63B6C">
              <w:rPr>
                <w:bCs w:val="0"/>
                <w:sz w:val="20"/>
                <w:szCs w:val="20"/>
              </w:rPr>
              <w:t xml:space="preserve"> 300 mg/ ritonavir 100 mg once daily</w:t>
            </w:r>
          </w:p>
        </w:tc>
        <w:tc>
          <w:tcPr>
            <w:tcW w:w="1628"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EBR</w:t>
            </w:r>
          </w:p>
        </w:tc>
        <w:tc>
          <w:tcPr>
            <w:tcW w:w="1657"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50 mg once daily</w:t>
            </w:r>
          </w:p>
        </w:tc>
        <w:tc>
          <w:tcPr>
            <w:tcW w:w="439"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8</w:t>
            </w:r>
          </w:p>
        </w:tc>
        <w:tc>
          <w:tcPr>
            <w:tcW w:w="994"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1.07 (0.98, 1.17)</w:t>
            </w:r>
          </w:p>
        </w:tc>
        <w:tc>
          <w:tcPr>
            <w:tcW w:w="1493"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1.02 (0.96, 1.08)</w:t>
            </w:r>
          </w:p>
        </w:tc>
        <w:tc>
          <w:tcPr>
            <w:tcW w:w="1084"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1.15 (1.02, 1.29)</w:t>
            </w:r>
          </w:p>
        </w:tc>
      </w:tr>
      <w:tr w:rsidR="00C87F39" w:rsidRPr="00D63B6C" w:rsidTr="009817CA">
        <w:tc>
          <w:tcPr>
            <w:tcW w:w="1541" w:type="dxa"/>
            <w:vMerge/>
            <w:shd w:val="clear" w:color="auto" w:fill="auto"/>
            <w:vAlign w:val="center"/>
            <w:hideMark/>
          </w:tcPr>
          <w:p w:rsidR="00C87F39" w:rsidRPr="00D63B6C" w:rsidRDefault="00C87F39" w:rsidP="00636B86">
            <w:pPr>
              <w:pStyle w:val="TableLeft"/>
              <w:jc w:val="center"/>
              <w:rPr>
                <w:bCs w:val="0"/>
                <w:sz w:val="20"/>
                <w:szCs w:val="20"/>
              </w:rPr>
            </w:pPr>
          </w:p>
        </w:tc>
        <w:tc>
          <w:tcPr>
            <w:tcW w:w="1604" w:type="dxa"/>
            <w:shd w:val="clear" w:color="auto" w:fill="auto"/>
            <w:vAlign w:val="center"/>
            <w:hideMark/>
          </w:tcPr>
          <w:p w:rsidR="00C87F39" w:rsidRPr="00D63B6C" w:rsidRDefault="00C87F39" w:rsidP="00636B86">
            <w:pPr>
              <w:pStyle w:val="TableLeft"/>
              <w:jc w:val="center"/>
              <w:rPr>
                <w:bCs w:val="0"/>
                <w:sz w:val="20"/>
                <w:szCs w:val="20"/>
              </w:rPr>
            </w:pPr>
            <w:proofErr w:type="spellStart"/>
            <w:r w:rsidRPr="00D63B6C">
              <w:rPr>
                <w:bCs w:val="0"/>
                <w:sz w:val="20"/>
                <w:szCs w:val="20"/>
              </w:rPr>
              <w:t>Atazanavir</w:t>
            </w:r>
            <w:proofErr w:type="spellEnd"/>
            <w:r w:rsidRPr="00D63B6C">
              <w:rPr>
                <w:bCs w:val="0"/>
                <w:sz w:val="20"/>
                <w:szCs w:val="20"/>
              </w:rPr>
              <w:t xml:space="preserve"> 300 mg/ ritonavir 100 mg once daily</w:t>
            </w:r>
          </w:p>
        </w:tc>
        <w:tc>
          <w:tcPr>
            <w:tcW w:w="1628"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11</w:t>
            </w:r>
          </w:p>
        </w:tc>
        <w:tc>
          <w:tcPr>
            <w:tcW w:w="994"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1.43 (1.30, 1.57)</w:t>
            </w:r>
          </w:p>
        </w:tc>
        <w:tc>
          <w:tcPr>
            <w:tcW w:w="1493"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1.12 (1.01, 1.24)</w:t>
            </w:r>
          </w:p>
        </w:tc>
        <w:tc>
          <w:tcPr>
            <w:tcW w:w="1084"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1.23 (1.13, 1.34)</w:t>
            </w:r>
          </w:p>
        </w:tc>
      </w:tr>
      <w:tr w:rsidR="00C87F39" w:rsidRPr="00D63B6C" w:rsidTr="009817CA">
        <w:tc>
          <w:tcPr>
            <w:tcW w:w="1541" w:type="dxa"/>
            <w:vMerge w:val="restart"/>
            <w:shd w:val="clear" w:color="auto" w:fill="auto"/>
            <w:vAlign w:val="center"/>
          </w:tcPr>
          <w:p w:rsidR="00C87F39" w:rsidRPr="00D63B6C" w:rsidRDefault="00C87F39" w:rsidP="00636B86">
            <w:pPr>
              <w:pStyle w:val="TableLeft"/>
              <w:jc w:val="center"/>
              <w:rPr>
                <w:bCs w:val="0"/>
                <w:sz w:val="20"/>
                <w:szCs w:val="20"/>
              </w:rPr>
            </w:pPr>
            <w:proofErr w:type="spellStart"/>
            <w:r w:rsidRPr="00D63B6C">
              <w:rPr>
                <w:bCs w:val="0"/>
                <w:sz w:val="20"/>
                <w:szCs w:val="20"/>
              </w:rPr>
              <w:t>Darunavir</w:t>
            </w:r>
            <w:proofErr w:type="spellEnd"/>
            <w:r w:rsidRPr="00D63B6C">
              <w:rPr>
                <w:bCs w:val="0"/>
                <w:sz w:val="20"/>
                <w:szCs w:val="20"/>
              </w:rPr>
              <w:t>/ ritonavir</w:t>
            </w:r>
          </w:p>
        </w:tc>
        <w:tc>
          <w:tcPr>
            <w:tcW w:w="1604" w:type="dxa"/>
            <w:shd w:val="clear" w:color="auto" w:fill="auto"/>
            <w:vAlign w:val="center"/>
          </w:tcPr>
          <w:p w:rsidR="00C87F39" w:rsidRPr="00D63B6C" w:rsidRDefault="00C87F39" w:rsidP="00636B86">
            <w:pPr>
              <w:pStyle w:val="TableLeft"/>
              <w:jc w:val="center"/>
              <w:rPr>
                <w:bCs w:val="0"/>
                <w:sz w:val="20"/>
                <w:szCs w:val="20"/>
              </w:rPr>
            </w:pPr>
            <w:proofErr w:type="spellStart"/>
            <w:r w:rsidRPr="00D63B6C">
              <w:rPr>
                <w:bCs w:val="0"/>
                <w:sz w:val="20"/>
                <w:szCs w:val="20"/>
              </w:rPr>
              <w:t>Darunavir</w:t>
            </w:r>
            <w:proofErr w:type="spellEnd"/>
            <w:r w:rsidRPr="00D63B6C">
              <w:rPr>
                <w:bCs w:val="0"/>
                <w:sz w:val="20"/>
                <w:szCs w:val="20"/>
              </w:rPr>
              <w:t xml:space="preserve"> 600 mg/ ritonavir 100 mg twice daily</w:t>
            </w:r>
          </w:p>
        </w:tc>
        <w:tc>
          <w:tcPr>
            <w:tcW w:w="1628"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EBR</w:t>
            </w:r>
          </w:p>
        </w:tc>
        <w:tc>
          <w:tcPr>
            <w:tcW w:w="1657"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50 mg once daily</w:t>
            </w:r>
          </w:p>
        </w:tc>
        <w:tc>
          <w:tcPr>
            <w:tcW w:w="439"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8</w:t>
            </w:r>
          </w:p>
        </w:tc>
        <w:tc>
          <w:tcPr>
            <w:tcW w:w="994"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0.95 (0.86, 1.06)</w:t>
            </w:r>
          </w:p>
        </w:tc>
        <w:tc>
          <w:tcPr>
            <w:tcW w:w="1493"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0.95 (0.85, 1.05)</w:t>
            </w:r>
          </w:p>
        </w:tc>
        <w:tc>
          <w:tcPr>
            <w:tcW w:w="1084"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0.94 (0.85, 1.05)</w:t>
            </w:r>
          </w:p>
        </w:tc>
      </w:tr>
      <w:tr w:rsidR="00C87F39" w:rsidRPr="00D63B6C" w:rsidTr="009817CA">
        <w:tc>
          <w:tcPr>
            <w:tcW w:w="1541" w:type="dxa"/>
            <w:vMerge/>
            <w:shd w:val="clear" w:color="auto" w:fill="auto"/>
            <w:vAlign w:val="center"/>
            <w:hideMark/>
          </w:tcPr>
          <w:p w:rsidR="00C87F39" w:rsidRPr="00D63B6C" w:rsidRDefault="00C87F39" w:rsidP="00636B86">
            <w:pPr>
              <w:pStyle w:val="TableLeft"/>
              <w:jc w:val="center"/>
              <w:rPr>
                <w:bCs w:val="0"/>
                <w:sz w:val="20"/>
                <w:szCs w:val="20"/>
              </w:rPr>
            </w:pPr>
          </w:p>
        </w:tc>
        <w:tc>
          <w:tcPr>
            <w:tcW w:w="1604" w:type="dxa"/>
            <w:shd w:val="clear" w:color="auto" w:fill="auto"/>
            <w:vAlign w:val="center"/>
            <w:hideMark/>
          </w:tcPr>
          <w:p w:rsidR="00C87F39" w:rsidRPr="00D63B6C" w:rsidRDefault="00C87F39" w:rsidP="00636B86">
            <w:pPr>
              <w:pStyle w:val="TableLeft"/>
              <w:jc w:val="center"/>
              <w:rPr>
                <w:bCs w:val="0"/>
                <w:sz w:val="20"/>
                <w:szCs w:val="20"/>
              </w:rPr>
            </w:pPr>
            <w:proofErr w:type="spellStart"/>
            <w:r w:rsidRPr="00D63B6C">
              <w:rPr>
                <w:bCs w:val="0"/>
                <w:sz w:val="20"/>
                <w:szCs w:val="20"/>
              </w:rPr>
              <w:t>Darunavir</w:t>
            </w:r>
            <w:proofErr w:type="spellEnd"/>
            <w:r w:rsidRPr="00D63B6C">
              <w:rPr>
                <w:bCs w:val="0"/>
                <w:sz w:val="20"/>
                <w:szCs w:val="20"/>
              </w:rPr>
              <w:t xml:space="preserve"> 600 mg/ ritonavir 100 mg twice daily</w:t>
            </w:r>
          </w:p>
        </w:tc>
        <w:tc>
          <w:tcPr>
            <w:tcW w:w="1628"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13</w:t>
            </w:r>
          </w:p>
        </w:tc>
        <w:tc>
          <w:tcPr>
            <w:tcW w:w="994"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1.11 (0.99, 1.24)</w:t>
            </w:r>
          </w:p>
        </w:tc>
        <w:tc>
          <w:tcPr>
            <w:tcW w:w="1493"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1.10 (0.96, 1.25)</w:t>
            </w:r>
          </w:p>
        </w:tc>
        <w:tc>
          <w:tcPr>
            <w:tcW w:w="1084"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1.00 (0.85, 1.18)</w:t>
            </w:r>
          </w:p>
        </w:tc>
      </w:tr>
      <w:tr w:rsidR="00C87F39" w:rsidRPr="00D63B6C" w:rsidTr="009817CA">
        <w:tc>
          <w:tcPr>
            <w:tcW w:w="1541" w:type="dxa"/>
            <w:vMerge w:val="restart"/>
            <w:shd w:val="clear" w:color="auto" w:fill="auto"/>
            <w:vAlign w:val="center"/>
          </w:tcPr>
          <w:p w:rsidR="00C87F39" w:rsidRPr="00D63B6C" w:rsidRDefault="00C87F39" w:rsidP="00636B86">
            <w:pPr>
              <w:pStyle w:val="TableLeft"/>
              <w:jc w:val="center"/>
              <w:rPr>
                <w:bCs w:val="0"/>
                <w:sz w:val="20"/>
                <w:szCs w:val="20"/>
              </w:rPr>
            </w:pPr>
            <w:proofErr w:type="spellStart"/>
            <w:r w:rsidRPr="00D63B6C">
              <w:rPr>
                <w:bCs w:val="0"/>
                <w:sz w:val="20"/>
                <w:szCs w:val="20"/>
              </w:rPr>
              <w:t>Lopinavir</w:t>
            </w:r>
            <w:proofErr w:type="spellEnd"/>
            <w:r w:rsidRPr="00D63B6C">
              <w:rPr>
                <w:bCs w:val="0"/>
                <w:sz w:val="20"/>
                <w:szCs w:val="20"/>
              </w:rPr>
              <w:t>/ ritonavir</w:t>
            </w:r>
          </w:p>
        </w:tc>
        <w:tc>
          <w:tcPr>
            <w:tcW w:w="1604" w:type="dxa"/>
            <w:shd w:val="clear" w:color="auto" w:fill="auto"/>
            <w:vAlign w:val="center"/>
          </w:tcPr>
          <w:p w:rsidR="00C87F39" w:rsidRPr="00D63B6C" w:rsidRDefault="00C87F39" w:rsidP="00636B86">
            <w:pPr>
              <w:pStyle w:val="TableLeft"/>
              <w:jc w:val="center"/>
              <w:rPr>
                <w:bCs w:val="0"/>
                <w:sz w:val="20"/>
                <w:szCs w:val="20"/>
              </w:rPr>
            </w:pPr>
            <w:proofErr w:type="spellStart"/>
            <w:r w:rsidRPr="00D63B6C">
              <w:rPr>
                <w:bCs w:val="0"/>
                <w:sz w:val="20"/>
                <w:szCs w:val="20"/>
              </w:rPr>
              <w:t>Lopinavir</w:t>
            </w:r>
            <w:proofErr w:type="spellEnd"/>
            <w:r w:rsidRPr="00D63B6C">
              <w:rPr>
                <w:bCs w:val="0"/>
                <w:sz w:val="20"/>
                <w:szCs w:val="20"/>
              </w:rPr>
              <w:t xml:space="preserve"> 400 mg/ ritonavir 100 mg twice daily</w:t>
            </w:r>
          </w:p>
        </w:tc>
        <w:tc>
          <w:tcPr>
            <w:tcW w:w="1628"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EBR</w:t>
            </w:r>
          </w:p>
        </w:tc>
        <w:tc>
          <w:tcPr>
            <w:tcW w:w="1657"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50 mg once daily</w:t>
            </w:r>
          </w:p>
        </w:tc>
        <w:tc>
          <w:tcPr>
            <w:tcW w:w="439"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9</w:t>
            </w:r>
          </w:p>
        </w:tc>
        <w:tc>
          <w:tcPr>
            <w:tcW w:w="994"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1.02 (0.93, 1.13)</w:t>
            </w:r>
          </w:p>
        </w:tc>
        <w:tc>
          <w:tcPr>
            <w:tcW w:w="1493"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1.02 (0.92, 1.13)</w:t>
            </w:r>
          </w:p>
        </w:tc>
        <w:tc>
          <w:tcPr>
            <w:tcW w:w="1084"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1.07 (0.97, 1.18)</w:t>
            </w:r>
          </w:p>
        </w:tc>
      </w:tr>
      <w:tr w:rsidR="00C87F39" w:rsidRPr="00D63B6C" w:rsidTr="009817CA">
        <w:tc>
          <w:tcPr>
            <w:tcW w:w="1541" w:type="dxa"/>
            <w:vMerge/>
            <w:shd w:val="clear" w:color="auto" w:fill="auto"/>
            <w:vAlign w:val="center"/>
            <w:hideMark/>
          </w:tcPr>
          <w:p w:rsidR="00C87F39" w:rsidRPr="00D63B6C" w:rsidRDefault="00C87F39" w:rsidP="00636B86">
            <w:pPr>
              <w:pStyle w:val="TableLeft"/>
              <w:jc w:val="center"/>
              <w:rPr>
                <w:bCs w:val="0"/>
                <w:sz w:val="20"/>
                <w:szCs w:val="20"/>
              </w:rPr>
            </w:pPr>
          </w:p>
        </w:tc>
        <w:tc>
          <w:tcPr>
            <w:tcW w:w="1604" w:type="dxa"/>
            <w:shd w:val="clear" w:color="auto" w:fill="auto"/>
            <w:vAlign w:val="center"/>
            <w:hideMark/>
          </w:tcPr>
          <w:p w:rsidR="00C87F39" w:rsidRPr="00D63B6C" w:rsidRDefault="00C87F39" w:rsidP="00636B86">
            <w:pPr>
              <w:pStyle w:val="TableLeft"/>
              <w:jc w:val="center"/>
              <w:rPr>
                <w:bCs w:val="0"/>
                <w:sz w:val="20"/>
                <w:szCs w:val="20"/>
              </w:rPr>
            </w:pPr>
            <w:proofErr w:type="spellStart"/>
            <w:r w:rsidRPr="00D63B6C">
              <w:rPr>
                <w:bCs w:val="0"/>
                <w:sz w:val="20"/>
                <w:szCs w:val="20"/>
              </w:rPr>
              <w:t>Lopinavir</w:t>
            </w:r>
            <w:proofErr w:type="spellEnd"/>
            <w:r w:rsidRPr="00D63B6C">
              <w:rPr>
                <w:bCs w:val="0"/>
                <w:sz w:val="20"/>
                <w:szCs w:val="20"/>
              </w:rPr>
              <w:t xml:space="preserve"> 400 mg/ ritonavir 100 mg twice daily</w:t>
            </w:r>
          </w:p>
        </w:tc>
        <w:tc>
          <w:tcPr>
            <w:tcW w:w="1628"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13</w:t>
            </w:r>
          </w:p>
        </w:tc>
        <w:tc>
          <w:tcPr>
            <w:tcW w:w="994"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1.03 (0.96, 1.16)</w:t>
            </w:r>
          </w:p>
        </w:tc>
        <w:tc>
          <w:tcPr>
            <w:tcW w:w="1493"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0.97 (0.88, 1.08)</w:t>
            </w:r>
          </w:p>
        </w:tc>
        <w:tc>
          <w:tcPr>
            <w:tcW w:w="1084"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0.97 (0.81, 1.15)</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HIV Integrase Strand Transfer Inhibitor</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Dolutegravir</w:t>
            </w:r>
            <w:proofErr w:type="spellEnd"/>
          </w:p>
        </w:tc>
        <w:tc>
          <w:tcPr>
            <w:tcW w:w="1604"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Dolutegravir</w:t>
            </w:r>
            <w:proofErr w:type="spellEnd"/>
            <w:r w:rsidRPr="00D63B6C">
              <w:rPr>
                <w:bCs w:val="0"/>
                <w:sz w:val="20"/>
                <w:szCs w:val="20"/>
              </w:rPr>
              <w:t xml:space="preserve"> 50 mg single-dose</w:t>
            </w:r>
          </w:p>
        </w:tc>
        <w:tc>
          <w:tcPr>
            <w:tcW w:w="1628" w:type="dxa"/>
            <w:shd w:val="clear" w:color="auto" w:fill="auto"/>
            <w:vAlign w:val="center"/>
            <w:hideMark/>
          </w:tcPr>
          <w:p w:rsidR="00D63B6C" w:rsidRPr="00D63B6C" w:rsidRDefault="00C87F39" w:rsidP="00C87F39">
            <w:pPr>
              <w:pStyle w:val="TableLeft"/>
              <w:jc w:val="center"/>
              <w:rPr>
                <w:bCs w:val="0"/>
                <w:sz w:val="20"/>
                <w:szCs w:val="20"/>
              </w:rPr>
            </w:pPr>
            <w:r>
              <w:rPr>
                <w:bCs w:val="0"/>
                <w:sz w:val="20"/>
                <w:szCs w:val="20"/>
              </w:rPr>
              <w:t xml:space="preserve">EBR + </w:t>
            </w:r>
            <w:r w:rsidR="00D63B6C" w:rsidRPr="00D63B6C">
              <w:rPr>
                <w:bCs w:val="0"/>
                <w:sz w:val="20"/>
                <w:szCs w:val="20"/>
              </w:rPr>
              <w:t xml:space="preserve">GZR </w:t>
            </w:r>
          </w:p>
        </w:tc>
        <w:tc>
          <w:tcPr>
            <w:tcW w:w="1657" w:type="dxa"/>
            <w:shd w:val="clear" w:color="auto" w:fill="auto"/>
            <w:vAlign w:val="center"/>
            <w:hideMark/>
          </w:tcPr>
          <w:p w:rsidR="00D63B6C" w:rsidRPr="00D63B6C" w:rsidRDefault="00C87F39" w:rsidP="00C87F39">
            <w:pPr>
              <w:pStyle w:val="TableLeft"/>
              <w:jc w:val="center"/>
              <w:rPr>
                <w:bCs w:val="0"/>
                <w:sz w:val="20"/>
                <w:szCs w:val="20"/>
              </w:rPr>
            </w:pPr>
            <w:r>
              <w:rPr>
                <w:bCs w:val="0"/>
                <w:sz w:val="20"/>
                <w:szCs w:val="20"/>
              </w:rPr>
              <w:t xml:space="preserve">50mg + </w:t>
            </w:r>
            <w:r w:rsidR="00D63B6C"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12</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1.16 (1.00, 1.34)</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1.22 (1.05, 1.40)</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1.14 (0.95, 1.36)</w:t>
            </w:r>
          </w:p>
        </w:tc>
      </w:tr>
      <w:tr w:rsidR="00C87F39" w:rsidRPr="00D63B6C" w:rsidTr="009817CA">
        <w:tc>
          <w:tcPr>
            <w:tcW w:w="1541" w:type="dxa"/>
            <w:vMerge w:val="restart"/>
            <w:shd w:val="clear" w:color="auto" w:fill="auto"/>
            <w:vAlign w:val="center"/>
          </w:tcPr>
          <w:p w:rsidR="00C87F39" w:rsidRPr="00D63B6C" w:rsidRDefault="00C87F39" w:rsidP="00636B86">
            <w:pPr>
              <w:pStyle w:val="TableLeft"/>
              <w:jc w:val="center"/>
              <w:rPr>
                <w:bCs w:val="0"/>
                <w:sz w:val="20"/>
                <w:szCs w:val="20"/>
              </w:rPr>
            </w:pPr>
            <w:proofErr w:type="spellStart"/>
            <w:r w:rsidRPr="00D63B6C">
              <w:rPr>
                <w:bCs w:val="0"/>
                <w:sz w:val="20"/>
                <w:szCs w:val="20"/>
              </w:rPr>
              <w:t>Raltegravir</w:t>
            </w:r>
            <w:proofErr w:type="spellEnd"/>
          </w:p>
        </w:tc>
        <w:tc>
          <w:tcPr>
            <w:tcW w:w="1604" w:type="dxa"/>
            <w:shd w:val="clear" w:color="auto" w:fill="auto"/>
            <w:vAlign w:val="center"/>
          </w:tcPr>
          <w:p w:rsidR="00C87F39" w:rsidRPr="00D63B6C" w:rsidRDefault="00C87F39" w:rsidP="00636B86">
            <w:pPr>
              <w:pStyle w:val="TableLeft"/>
              <w:jc w:val="center"/>
              <w:rPr>
                <w:bCs w:val="0"/>
                <w:sz w:val="20"/>
                <w:szCs w:val="20"/>
              </w:rPr>
            </w:pPr>
            <w:proofErr w:type="spellStart"/>
            <w:r w:rsidRPr="00D63B6C">
              <w:rPr>
                <w:bCs w:val="0"/>
                <w:sz w:val="20"/>
                <w:szCs w:val="20"/>
              </w:rPr>
              <w:t>Raltegravir</w:t>
            </w:r>
            <w:proofErr w:type="spellEnd"/>
            <w:r w:rsidRPr="00D63B6C">
              <w:rPr>
                <w:bCs w:val="0"/>
                <w:sz w:val="20"/>
                <w:szCs w:val="20"/>
              </w:rPr>
              <w:t xml:space="preserve"> 400 mg single-dose</w:t>
            </w:r>
          </w:p>
        </w:tc>
        <w:tc>
          <w:tcPr>
            <w:tcW w:w="1628"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EBR</w:t>
            </w:r>
          </w:p>
        </w:tc>
        <w:tc>
          <w:tcPr>
            <w:tcW w:w="1657"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50 mg single-dose</w:t>
            </w:r>
          </w:p>
        </w:tc>
        <w:tc>
          <w:tcPr>
            <w:tcW w:w="439"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10</w:t>
            </w:r>
          </w:p>
        </w:tc>
        <w:tc>
          <w:tcPr>
            <w:tcW w:w="994"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1.02 (0.81, 1.27)</w:t>
            </w:r>
          </w:p>
        </w:tc>
        <w:tc>
          <w:tcPr>
            <w:tcW w:w="1493"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1.09 (0.83, 1.44)</w:t>
            </w:r>
          </w:p>
        </w:tc>
        <w:tc>
          <w:tcPr>
            <w:tcW w:w="1084" w:type="dxa"/>
            <w:shd w:val="clear" w:color="auto" w:fill="auto"/>
            <w:vAlign w:val="center"/>
          </w:tcPr>
          <w:p w:rsidR="00C87F39" w:rsidRPr="00D63B6C" w:rsidRDefault="00C87F39" w:rsidP="00636B86">
            <w:pPr>
              <w:pStyle w:val="TableLeft"/>
              <w:jc w:val="center"/>
              <w:rPr>
                <w:bCs w:val="0"/>
                <w:sz w:val="20"/>
                <w:szCs w:val="20"/>
              </w:rPr>
            </w:pPr>
            <w:r w:rsidRPr="00D63B6C">
              <w:rPr>
                <w:bCs w:val="0"/>
                <w:sz w:val="20"/>
                <w:szCs w:val="20"/>
              </w:rPr>
              <w:t>0.99 (0.80, 1.22)</w:t>
            </w:r>
            <w:r w:rsidRPr="00D63B6C">
              <w:rPr>
                <w:bCs w:val="0"/>
                <w:sz w:val="20"/>
                <w:szCs w:val="20"/>
                <w:vertAlign w:val="superscript"/>
              </w:rPr>
              <w:t>§</w:t>
            </w:r>
          </w:p>
        </w:tc>
      </w:tr>
      <w:tr w:rsidR="00C87F39" w:rsidRPr="00D63B6C" w:rsidTr="009817CA">
        <w:tc>
          <w:tcPr>
            <w:tcW w:w="1541" w:type="dxa"/>
            <w:vMerge/>
            <w:shd w:val="clear" w:color="auto" w:fill="auto"/>
            <w:vAlign w:val="center"/>
            <w:hideMark/>
          </w:tcPr>
          <w:p w:rsidR="00C87F39" w:rsidRPr="00D63B6C" w:rsidRDefault="00C87F39" w:rsidP="00636B86">
            <w:pPr>
              <w:pStyle w:val="TableLeft"/>
              <w:jc w:val="center"/>
              <w:rPr>
                <w:bCs w:val="0"/>
                <w:sz w:val="20"/>
                <w:szCs w:val="20"/>
              </w:rPr>
            </w:pPr>
          </w:p>
        </w:tc>
        <w:tc>
          <w:tcPr>
            <w:tcW w:w="1604" w:type="dxa"/>
            <w:shd w:val="clear" w:color="auto" w:fill="auto"/>
            <w:vAlign w:val="center"/>
            <w:hideMark/>
          </w:tcPr>
          <w:p w:rsidR="00C87F39" w:rsidRPr="00D63B6C" w:rsidRDefault="00C87F39" w:rsidP="00636B86">
            <w:pPr>
              <w:pStyle w:val="TableLeft"/>
              <w:jc w:val="center"/>
              <w:rPr>
                <w:bCs w:val="0"/>
                <w:sz w:val="20"/>
                <w:szCs w:val="20"/>
              </w:rPr>
            </w:pPr>
            <w:proofErr w:type="spellStart"/>
            <w:r w:rsidRPr="00D63B6C">
              <w:rPr>
                <w:bCs w:val="0"/>
                <w:sz w:val="20"/>
                <w:szCs w:val="20"/>
              </w:rPr>
              <w:t>Raltegravir</w:t>
            </w:r>
            <w:proofErr w:type="spellEnd"/>
            <w:r w:rsidRPr="00D63B6C">
              <w:rPr>
                <w:bCs w:val="0"/>
                <w:sz w:val="20"/>
                <w:szCs w:val="20"/>
              </w:rPr>
              <w:t xml:space="preserve"> 400 mg twice daily</w:t>
            </w:r>
          </w:p>
        </w:tc>
        <w:tc>
          <w:tcPr>
            <w:tcW w:w="1628"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11</w:t>
            </w:r>
          </w:p>
        </w:tc>
        <w:tc>
          <w:tcPr>
            <w:tcW w:w="994"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1.43 (0.89, 2.30)</w:t>
            </w:r>
          </w:p>
        </w:tc>
        <w:tc>
          <w:tcPr>
            <w:tcW w:w="1493"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1.46 (0.78, 2.73)</w:t>
            </w:r>
          </w:p>
        </w:tc>
        <w:tc>
          <w:tcPr>
            <w:tcW w:w="1084" w:type="dxa"/>
            <w:shd w:val="clear" w:color="auto" w:fill="auto"/>
            <w:vAlign w:val="center"/>
            <w:hideMark/>
          </w:tcPr>
          <w:p w:rsidR="00C87F39" w:rsidRPr="00D63B6C" w:rsidRDefault="00C87F39" w:rsidP="00636B86">
            <w:pPr>
              <w:pStyle w:val="TableLeft"/>
              <w:jc w:val="center"/>
              <w:rPr>
                <w:bCs w:val="0"/>
                <w:sz w:val="20"/>
                <w:szCs w:val="20"/>
              </w:rPr>
            </w:pPr>
            <w:r w:rsidRPr="00D63B6C">
              <w:rPr>
                <w:bCs w:val="0"/>
                <w:sz w:val="20"/>
                <w:szCs w:val="20"/>
              </w:rPr>
              <w:t>1.47 (1.09, 2.00)</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HIV Non-Nucleoside Reverse Transcriptase Inhibitor</w:t>
            </w:r>
          </w:p>
        </w:tc>
      </w:tr>
      <w:tr w:rsidR="00F56AFC" w:rsidRPr="00D63B6C" w:rsidTr="009817CA">
        <w:tc>
          <w:tcPr>
            <w:tcW w:w="1541" w:type="dxa"/>
            <w:vMerge w:val="restart"/>
            <w:shd w:val="clear" w:color="auto" w:fill="auto"/>
            <w:vAlign w:val="center"/>
          </w:tcPr>
          <w:p w:rsidR="00F56AFC" w:rsidRPr="00D63B6C" w:rsidRDefault="00F56AFC" w:rsidP="00636B86">
            <w:pPr>
              <w:pStyle w:val="TableLeft"/>
              <w:jc w:val="center"/>
              <w:rPr>
                <w:bCs w:val="0"/>
                <w:sz w:val="20"/>
                <w:szCs w:val="20"/>
              </w:rPr>
            </w:pPr>
            <w:proofErr w:type="spellStart"/>
            <w:r w:rsidRPr="00D63B6C">
              <w:rPr>
                <w:bCs w:val="0"/>
                <w:sz w:val="20"/>
                <w:szCs w:val="20"/>
              </w:rPr>
              <w:t>Efavirenz</w:t>
            </w:r>
            <w:proofErr w:type="spellEnd"/>
          </w:p>
        </w:tc>
        <w:tc>
          <w:tcPr>
            <w:tcW w:w="1604" w:type="dxa"/>
            <w:shd w:val="clear" w:color="auto" w:fill="auto"/>
            <w:vAlign w:val="center"/>
          </w:tcPr>
          <w:p w:rsidR="00F56AFC" w:rsidRPr="00D63B6C" w:rsidRDefault="00F56AFC" w:rsidP="00636B86">
            <w:pPr>
              <w:pStyle w:val="TableLeft"/>
              <w:jc w:val="center"/>
              <w:rPr>
                <w:bCs w:val="0"/>
                <w:sz w:val="20"/>
                <w:szCs w:val="20"/>
              </w:rPr>
            </w:pPr>
            <w:proofErr w:type="spellStart"/>
            <w:r w:rsidRPr="00D63B6C">
              <w:rPr>
                <w:bCs w:val="0"/>
                <w:sz w:val="20"/>
                <w:szCs w:val="20"/>
              </w:rPr>
              <w:t>Efavirenz</w:t>
            </w:r>
            <w:proofErr w:type="spellEnd"/>
            <w:r w:rsidRPr="00D63B6C">
              <w:rPr>
                <w:bCs w:val="0"/>
                <w:sz w:val="20"/>
                <w:szCs w:val="20"/>
              </w:rPr>
              <w:t xml:space="preserve"> 600 mg once daily</w:t>
            </w:r>
          </w:p>
        </w:tc>
        <w:tc>
          <w:tcPr>
            <w:tcW w:w="1628"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EBR</w:t>
            </w:r>
          </w:p>
        </w:tc>
        <w:tc>
          <w:tcPr>
            <w:tcW w:w="1657"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50 mg once daily</w:t>
            </w:r>
          </w:p>
        </w:tc>
        <w:tc>
          <w:tcPr>
            <w:tcW w:w="439"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7</w:t>
            </w:r>
          </w:p>
        </w:tc>
        <w:tc>
          <w:tcPr>
            <w:tcW w:w="99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0.82 (0.78, 0.86)</w:t>
            </w:r>
          </w:p>
        </w:tc>
        <w:tc>
          <w:tcPr>
            <w:tcW w:w="1493"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0.74 (0.67, 0.82)</w:t>
            </w:r>
          </w:p>
        </w:tc>
        <w:tc>
          <w:tcPr>
            <w:tcW w:w="108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0.91 (0.87, 0.96)</w:t>
            </w:r>
          </w:p>
        </w:tc>
      </w:tr>
      <w:tr w:rsidR="00F56AFC" w:rsidRPr="00D63B6C" w:rsidTr="009817CA">
        <w:tc>
          <w:tcPr>
            <w:tcW w:w="1541" w:type="dxa"/>
            <w:vMerge/>
            <w:shd w:val="clear" w:color="auto" w:fill="auto"/>
            <w:vAlign w:val="center"/>
            <w:hideMark/>
          </w:tcPr>
          <w:p w:rsidR="00F56AFC" w:rsidRPr="00D63B6C" w:rsidRDefault="00F56AFC" w:rsidP="00636B86">
            <w:pPr>
              <w:pStyle w:val="TableLeft"/>
              <w:jc w:val="center"/>
              <w:rPr>
                <w:bCs w:val="0"/>
                <w:sz w:val="20"/>
                <w:szCs w:val="20"/>
              </w:rPr>
            </w:pPr>
          </w:p>
        </w:tc>
        <w:tc>
          <w:tcPr>
            <w:tcW w:w="1604" w:type="dxa"/>
            <w:shd w:val="clear" w:color="auto" w:fill="auto"/>
            <w:vAlign w:val="center"/>
            <w:hideMark/>
          </w:tcPr>
          <w:p w:rsidR="00F56AFC" w:rsidRPr="00D63B6C" w:rsidRDefault="00F56AFC" w:rsidP="00636B86">
            <w:pPr>
              <w:pStyle w:val="TableLeft"/>
              <w:jc w:val="center"/>
              <w:rPr>
                <w:bCs w:val="0"/>
                <w:sz w:val="20"/>
                <w:szCs w:val="20"/>
              </w:rPr>
            </w:pPr>
            <w:proofErr w:type="spellStart"/>
            <w:r w:rsidRPr="00D63B6C">
              <w:rPr>
                <w:bCs w:val="0"/>
                <w:sz w:val="20"/>
                <w:szCs w:val="20"/>
              </w:rPr>
              <w:t>Efavirenz</w:t>
            </w:r>
            <w:proofErr w:type="spellEnd"/>
            <w:r w:rsidRPr="00D63B6C">
              <w:rPr>
                <w:bCs w:val="0"/>
                <w:sz w:val="20"/>
                <w:szCs w:val="20"/>
              </w:rPr>
              <w:t xml:space="preserve"> 600 mg once daily</w:t>
            </w:r>
          </w:p>
        </w:tc>
        <w:tc>
          <w:tcPr>
            <w:tcW w:w="1628"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11</w:t>
            </w:r>
          </w:p>
        </w:tc>
        <w:tc>
          <w:tcPr>
            <w:tcW w:w="99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1.00 (0.96, 1.05)</w:t>
            </w:r>
          </w:p>
        </w:tc>
        <w:tc>
          <w:tcPr>
            <w:tcW w:w="1493"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1.03 (0.99, 1.08)</w:t>
            </w:r>
          </w:p>
        </w:tc>
        <w:tc>
          <w:tcPr>
            <w:tcW w:w="108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0.93 (0.88, 0.98)</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Rilpivirine</w:t>
            </w:r>
            <w:proofErr w:type="spellEnd"/>
          </w:p>
        </w:tc>
        <w:tc>
          <w:tcPr>
            <w:tcW w:w="1604" w:type="dxa"/>
            <w:shd w:val="clear" w:color="auto" w:fill="auto"/>
            <w:vAlign w:val="center"/>
            <w:hideMark/>
          </w:tcPr>
          <w:p w:rsidR="00D63B6C" w:rsidRPr="00D63B6C" w:rsidRDefault="00D63B6C" w:rsidP="009817CA">
            <w:pPr>
              <w:pStyle w:val="TableLeft"/>
              <w:jc w:val="center"/>
              <w:rPr>
                <w:bCs w:val="0"/>
                <w:sz w:val="20"/>
                <w:szCs w:val="20"/>
              </w:rPr>
            </w:pPr>
            <w:proofErr w:type="spellStart"/>
            <w:r w:rsidRPr="00D63B6C">
              <w:rPr>
                <w:bCs w:val="0"/>
                <w:sz w:val="20"/>
                <w:szCs w:val="20"/>
              </w:rPr>
              <w:t>Rilpivirine</w:t>
            </w:r>
            <w:proofErr w:type="spellEnd"/>
            <w:r w:rsidRPr="00D63B6C">
              <w:rPr>
                <w:bCs w:val="0"/>
                <w:sz w:val="20"/>
                <w:szCs w:val="20"/>
              </w:rPr>
              <w:t xml:space="preserve"> </w:t>
            </w:r>
            <w:r w:rsidR="009817CA">
              <w:rPr>
                <w:bCs w:val="0"/>
                <w:sz w:val="20"/>
                <w:szCs w:val="20"/>
              </w:rPr>
              <w:t>25</w:t>
            </w:r>
            <w:r w:rsidRPr="00D63B6C">
              <w:rPr>
                <w:bCs w:val="0"/>
                <w:sz w:val="20"/>
                <w:szCs w:val="20"/>
              </w:rPr>
              <w:t> mg once daily</w:t>
            </w:r>
          </w:p>
        </w:tc>
        <w:tc>
          <w:tcPr>
            <w:tcW w:w="1628" w:type="dxa"/>
            <w:shd w:val="clear" w:color="auto" w:fill="auto"/>
            <w:vAlign w:val="center"/>
            <w:hideMark/>
          </w:tcPr>
          <w:p w:rsidR="00D63B6C" w:rsidRPr="00D63B6C" w:rsidRDefault="00911C72" w:rsidP="00911C72">
            <w:pPr>
              <w:pStyle w:val="TableLeft"/>
              <w:jc w:val="center"/>
              <w:rPr>
                <w:bCs w:val="0"/>
                <w:sz w:val="20"/>
                <w:szCs w:val="20"/>
              </w:rPr>
            </w:pPr>
            <w:r>
              <w:rPr>
                <w:bCs w:val="0"/>
                <w:sz w:val="20"/>
                <w:szCs w:val="20"/>
              </w:rPr>
              <w:t xml:space="preserve">EBR + </w:t>
            </w:r>
            <w:r w:rsidR="00D63B6C" w:rsidRPr="00D63B6C">
              <w:rPr>
                <w:bCs w:val="0"/>
                <w:sz w:val="20"/>
                <w:szCs w:val="20"/>
              </w:rPr>
              <w:t xml:space="preserve">GZR </w:t>
            </w:r>
          </w:p>
        </w:tc>
        <w:tc>
          <w:tcPr>
            <w:tcW w:w="1657" w:type="dxa"/>
            <w:shd w:val="clear" w:color="auto" w:fill="auto"/>
            <w:vAlign w:val="center"/>
            <w:hideMark/>
          </w:tcPr>
          <w:p w:rsidR="00D63B6C" w:rsidRPr="00D63B6C" w:rsidRDefault="00764F1F" w:rsidP="00764F1F">
            <w:pPr>
              <w:pStyle w:val="TableLeft"/>
              <w:jc w:val="center"/>
              <w:rPr>
                <w:bCs w:val="0"/>
                <w:sz w:val="20"/>
                <w:szCs w:val="20"/>
              </w:rPr>
            </w:pPr>
            <w:r>
              <w:rPr>
                <w:bCs w:val="0"/>
                <w:sz w:val="20"/>
                <w:szCs w:val="20"/>
              </w:rPr>
              <w:t>50</w:t>
            </w:r>
            <w:r w:rsidR="00D63B6C" w:rsidRPr="00D63B6C">
              <w:rPr>
                <w:bCs w:val="0"/>
                <w:sz w:val="20"/>
                <w:szCs w:val="20"/>
              </w:rPr>
              <w:t xml:space="preserve"> mg + </w:t>
            </w:r>
            <w:r>
              <w:rPr>
                <w:bCs w:val="0"/>
                <w:sz w:val="20"/>
                <w:szCs w:val="20"/>
              </w:rPr>
              <w:t>200</w:t>
            </w:r>
            <w:r w:rsidR="00D63B6C" w:rsidRPr="00D63B6C">
              <w:rPr>
                <w:bCs w:val="0"/>
                <w:sz w:val="20"/>
                <w:szCs w:val="20"/>
              </w:rPr>
              <w:t xml:space="preserve">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19</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1.13 (1.07, 1.20)</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1.07 (0.97, 1.17)</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1.16 (1.09, 1.23)</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HIV Nucleotide Reverse Transcriptase Inhibitor</w:t>
            </w:r>
          </w:p>
        </w:tc>
      </w:tr>
      <w:tr w:rsidR="00764F1F" w:rsidRPr="00D63B6C" w:rsidTr="009817CA">
        <w:tc>
          <w:tcPr>
            <w:tcW w:w="1541" w:type="dxa"/>
            <w:vMerge w:val="restart"/>
            <w:shd w:val="clear" w:color="auto" w:fill="auto"/>
            <w:vAlign w:val="center"/>
          </w:tcPr>
          <w:p w:rsidR="00764F1F" w:rsidRPr="00D63B6C" w:rsidRDefault="00764F1F" w:rsidP="00636B86">
            <w:pPr>
              <w:pStyle w:val="TableLeft"/>
              <w:jc w:val="center"/>
              <w:rPr>
                <w:bCs w:val="0"/>
                <w:sz w:val="20"/>
                <w:szCs w:val="20"/>
              </w:rPr>
            </w:pPr>
            <w:proofErr w:type="spellStart"/>
            <w:r w:rsidRPr="00D63B6C">
              <w:rPr>
                <w:bCs w:val="0"/>
                <w:sz w:val="20"/>
                <w:szCs w:val="20"/>
              </w:rPr>
              <w:t>Tenofovir</w:t>
            </w:r>
            <w:proofErr w:type="spellEnd"/>
            <w:r w:rsidRPr="00D63B6C">
              <w:rPr>
                <w:bCs w:val="0"/>
                <w:sz w:val="20"/>
                <w:szCs w:val="20"/>
              </w:rPr>
              <w:t xml:space="preserve"> </w:t>
            </w:r>
            <w:proofErr w:type="spellStart"/>
            <w:r w:rsidRPr="00D63B6C">
              <w:rPr>
                <w:bCs w:val="0"/>
                <w:sz w:val="20"/>
                <w:szCs w:val="20"/>
              </w:rPr>
              <w:t>disoproxil</w:t>
            </w:r>
            <w:proofErr w:type="spellEnd"/>
            <w:r w:rsidRPr="00D63B6C">
              <w:rPr>
                <w:bCs w:val="0"/>
                <w:sz w:val="20"/>
                <w:szCs w:val="20"/>
              </w:rPr>
              <w:t xml:space="preserve"> </w:t>
            </w:r>
            <w:proofErr w:type="spellStart"/>
            <w:r w:rsidRPr="00D63B6C">
              <w:rPr>
                <w:bCs w:val="0"/>
                <w:sz w:val="20"/>
                <w:szCs w:val="20"/>
              </w:rPr>
              <w:t>fumarate</w:t>
            </w:r>
            <w:proofErr w:type="spellEnd"/>
          </w:p>
        </w:tc>
        <w:tc>
          <w:tcPr>
            <w:tcW w:w="1604" w:type="dxa"/>
            <w:shd w:val="clear" w:color="auto" w:fill="auto"/>
            <w:vAlign w:val="center"/>
          </w:tcPr>
          <w:p w:rsidR="00764F1F" w:rsidRPr="00D63B6C" w:rsidRDefault="00764F1F" w:rsidP="00636B86">
            <w:pPr>
              <w:pStyle w:val="TableLeft"/>
              <w:jc w:val="center"/>
              <w:rPr>
                <w:bCs w:val="0"/>
                <w:sz w:val="20"/>
                <w:szCs w:val="20"/>
              </w:rPr>
            </w:pPr>
            <w:proofErr w:type="spellStart"/>
            <w:r w:rsidRPr="00D63B6C">
              <w:rPr>
                <w:bCs w:val="0"/>
                <w:sz w:val="20"/>
                <w:szCs w:val="20"/>
              </w:rPr>
              <w:t>Tenofovir</w:t>
            </w:r>
            <w:proofErr w:type="spellEnd"/>
            <w:r w:rsidRPr="00D63B6C">
              <w:rPr>
                <w:bCs w:val="0"/>
                <w:sz w:val="20"/>
                <w:szCs w:val="20"/>
              </w:rPr>
              <w:t xml:space="preserve"> </w:t>
            </w:r>
            <w:proofErr w:type="spellStart"/>
            <w:r w:rsidRPr="00D63B6C">
              <w:rPr>
                <w:bCs w:val="0"/>
                <w:sz w:val="20"/>
                <w:szCs w:val="20"/>
              </w:rPr>
              <w:t>disoproxil</w:t>
            </w:r>
            <w:proofErr w:type="spellEnd"/>
            <w:r w:rsidRPr="00D63B6C">
              <w:rPr>
                <w:bCs w:val="0"/>
                <w:sz w:val="20"/>
                <w:szCs w:val="20"/>
              </w:rPr>
              <w:t xml:space="preserve"> </w:t>
            </w:r>
            <w:proofErr w:type="spellStart"/>
            <w:r w:rsidRPr="00D63B6C">
              <w:rPr>
                <w:bCs w:val="0"/>
                <w:sz w:val="20"/>
                <w:szCs w:val="20"/>
              </w:rPr>
              <w:t>fumarate</w:t>
            </w:r>
            <w:proofErr w:type="spellEnd"/>
            <w:r w:rsidRPr="00D63B6C">
              <w:rPr>
                <w:bCs w:val="0"/>
                <w:sz w:val="20"/>
                <w:szCs w:val="20"/>
              </w:rPr>
              <w:t xml:space="preserve"> 300 mg once daily</w:t>
            </w:r>
          </w:p>
        </w:tc>
        <w:tc>
          <w:tcPr>
            <w:tcW w:w="1628" w:type="dxa"/>
            <w:shd w:val="clear" w:color="auto" w:fill="auto"/>
            <w:vAlign w:val="center"/>
          </w:tcPr>
          <w:p w:rsidR="00764F1F" w:rsidRPr="00D63B6C" w:rsidRDefault="00764F1F" w:rsidP="00636B86">
            <w:pPr>
              <w:pStyle w:val="TableLeft"/>
              <w:jc w:val="center"/>
              <w:rPr>
                <w:bCs w:val="0"/>
                <w:sz w:val="20"/>
                <w:szCs w:val="20"/>
              </w:rPr>
            </w:pPr>
            <w:r w:rsidRPr="00D63B6C">
              <w:rPr>
                <w:bCs w:val="0"/>
                <w:sz w:val="20"/>
                <w:szCs w:val="20"/>
              </w:rPr>
              <w:t>EBR</w:t>
            </w:r>
          </w:p>
        </w:tc>
        <w:tc>
          <w:tcPr>
            <w:tcW w:w="1657" w:type="dxa"/>
            <w:shd w:val="clear" w:color="auto" w:fill="auto"/>
            <w:vAlign w:val="center"/>
          </w:tcPr>
          <w:p w:rsidR="00764F1F" w:rsidRPr="00D63B6C" w:rsidRDefault="00764F1F" w:rsidP="00636B86">
            <w:pPr>
              <w:pStyle w:val="TableLeft"/>
              <w:jc w:val="center"/>
              <w:rPr>
                <w:bCs w:val="0"/>
                <w:sz w:val="20"/>
                <w:szCs w:val="20"/>
              </w:rPr>
            </w:pPr>
            <w:r w:rsidRPr="00D63B6C">
              <w:rPr>
                <w:bCs w:val="0"/>
                <w:sz w:val="20"/>
                <w:szCs w:val="20"/>
              </w:rPr>
              <w:t>50 mg once daily</w:t>
            </w:r>
          </w:p>
        </w:tc>
        <w:tc>
          <w:tcPr>
            <w:tcW w:w="439" w:type="dxa"/>
            <w:shd w:val="clear" w:color="auto" w:fill="auto"/>
            <w:vAlign w:val="center"/>
          </w:tcPr>
          <w:p w:rsidR="00764F1F" w:rsidRPr="00D63B6C" w:rsidRDefault="00764F1F" w:rsidP="00636B86">
            <w:pPr>
              <w:pStyle w:val="TableLeft"/>
              <w:jc w:val="center"/>
              <w:rPr>
                <w:bCs w:val="0"/>
                <w:sz w:val="20"/>
                <w:szCs w:val="20"/>
              </w:rPr>
            </w:pPr>
            <w:r w:rsidRPr="00D63B6C">
              <w:rPr>
                <w:bCs w:val="0"/>
                <w:sz w:val="20"/>
                <w:szCs w:val="20"/>
              </w:rPr>
              <w:t>10</w:t>
            </w:r>
          </w:p>
        </w:tc>
        <w:tc>
          <w:tcPr>
            <w:tcW w:w="994" w:type="dxa"/>
            <w:shd w:val="clear" w:color="auto" w:fill="auto"/>
            <w:vAlign w:val="center"/>
          </w:tcPr>
          <w:p w:rsidR="00764F1F" w:rsidRPr="00D63B6C" w:rsidRDefault="00764F1F" w:rsidP="00636B86">
            <w:pPr>
              <w:pStyle w:val="TableLeft"/>
              <w:jc w:val="center"/>
              <w:rPr>
                <w:bCs w:val="0"/>
                <w:sz w:val="20"/>
                <w:szCs w:val="20"/>
              </w:rPr>
            </w:pPr>
            <w:r w:rsidRPr="00D63B6C">
              <w:rPr>
                <w:bCs w:val="0"/>
                <w:sz w:val="20"/>
                <w:szCs w:val="20"/>
              </w:rPr>
              <w:t>1.34 (1.23, 1.47)</w:t>
            </w:r>
          </w:p>
        </w:tc>
        <w:tc>
          <w:tcPr>
            <w:tcW w:w="1493" w:type="dxa"/>
            <w:shd w:val="clear" w:color="auto" w:fill="auto"/>
            <w:vAlign w:val="center"/>
          </w:tcPr>
          <w:p w:rsidR="00764F1F" w:rsidRPr="00D63B6C" w:rsidRDefault="00764F1F" w:rsidP="00636B86">
            <w:pPr>
              <w:pStyle w:val="TableLeft"/>
              <w:jc w:val="center"/>
              <w:rPr>
                <w:bCs w:val="0"/>
                <w:sz w:val="20"/>
                <w:szCs w:val="20"/>
              </w:rPr>
            </w:pPr>
            <w:r w:rsidRPr="00D63B6C">
              <w:rPr>
                <w:bCs w:val="0"/>
                <w:sz w:val="20"/>
                <w:szCs w:val="20"/>
              </w:rPr>
              <w:t>1.47 (1.32, 1.63)</w:t>
            </w:r>
          </w:p>
        </w:tc>
        <w:tc>
          <w:tcPr>
            <w:tcW w:w="1084" w:type="dxa"/>
            <w:shd w:val="clear" w:color="auto" w:fill="auto"/>
            <w:vAlign w:val="center"/>
          </w:tcPr>
          <w:p w:rsidR="00764F1F" w:rsidRPr="00D63B6C" w:rsidRDefault="00764F1F" w:rsidP="00636B86">
            <w:pPr>
              <w:pStyle w:val="TableLeft"/>
              <w:jc w:val="center"/>
              <w:rPr>
                <w:bCs w:val="0"/>
                <w:sz w:val="20"/>
                <w:szCs w:val="20"/>
              </w:rPr>
            </w:pPr>
            <w:r w:rsidRPr="00D63B6C">
              <w:rPr>
                <w:bCs w:val="0"/>
                <w:sz w:val="20"/>
                <w:szCs w:val="20"/>
              </w:rPr>
              <w:t>1.29 (1.18, 1.41)</w:t>
            </w:r>
          </w:p>
        </w:tc>
      </w:tr>
      <w:tr w:rsidR="00764F1F" w:rsidRPr="00D63B6C" w:rsidTr="009817CA">
        <w:tc>
          <w:tcPr>
            <w:tcW w:w="1541" w:type="dxa"/>
            <w:vMerge/>
            <w:shd w:val="clear" w:color="auto" w:fill="auto"/>
            <w:vAlign w:val="center"/>
            <w:hideMark/>
          </w:tcPr>
          <w:p w:rsidR="00764F1F" w:rsidRPr="00D63B6C" w:rsidRDefault="00764F1F" w:rsidP="00636B86">
            <w:pPr>
              <w:pStyle w:val="TableLeft"/>
              <w:jc w:val="center"/>
              <w:rPr>
                <w:bCs w:val="0"/>
                <w:sz w:val="20"/>
                <w:szCs w:val="20"/>
              </w:rPr>
            </w:pPr>
          </w:p>
        </w:tc>
        <w:tc>
          <w:tcPr>
            <w:tcW w:w="1604" w:type="dxa"/>
            <w:shd w:val="clear" w:color="auto" w:fill="auto"/>
            <w:vAlign w:val="center"/>
            <w:hideMark/>
          </w:tcPr>
          <w:p w:rsidR="00764F1F" w:rsidRPr="00D63B6C" w:rsidRDefault="00764F1F" w:rsidP="00636B86">
            <w:pPr>
              <w:pStyle w:val="TableLeft"/>
              <w:jc w:val="center"/>
              <w:rPr>
                <w:bCs w:val="0"/>
                <w:sz w:val="20"/>
                <w:szCs w:val="20"/>
              </w:rPr>
            </w:pPr>
            <w:proofErr w:type="spellStart"/>
            <w:r w:rsidRPr="00D63B6C">
              <w:rPr>
                <w:bCs w:val="0"/>
                <w:sz w:val="20"/>
                <w:szCs w:val="20"/>
              </w:rPr>
              <w:t>Tenofovir</w:t>
            </w:r>
            <w:proofErr w:type="spellEnd"/>
            <w:r w:rsidRPr="00D63B6C">
              <w:rPr>
                <w:bCs w:val="0"/>
                <w:sz w:val="20"/>
                <w:szCs w:val="20"/>
              </w:rPr>
              <w:t xml:space="preserve"> </w:t>
            </w:r>
            <w:proofErr w:type="spellStart"/>
            <w:r w:rsidRPr="00D63B6C">
              <w:rPr>
                <w:bCs w:val="0"/>
                <w:sz w:val="20"/>
                <w:szCs w:val="20"/>
              </w:rPr>
              <w:t>disoproxil</w:t>
            </w:r>
            <w:proofErr w:type="spellEnd"/>
            <w:r w:rsidRPr="00D63B6C">
              <w:rPr>
                <w:bCs w:val="0"/>
                <w:sz w:val="20"/>
                <w:szCs w:val="20"/>
              </w:rPr>
              <w:t xml:space="preserve"> </w:t>
            </w:r>
            <w:proofErr w:type="spellStart"/>
            <w:r w:rsidRPr="00D63B6C">
              <w:rPr>
                <w:bCs w:val="0"/>
                <w:sz w:val="20"/>
                <w:szCs w:val="20"/>
              </w:rPr>
              <w:t>fumarate</w:t>
            </w:r>
            <w:proofErr w:type="spellEnd"/>
            <w:r w:rsidRPr="00D63B6C">
              <w:rPr>
                <w:bCs w:val="0"/>
                <w:sz w:val="20"/>
                <w:szCs w:val="20"/>
              </w:rPr>
              <w:t xml:space="preserve"> 300 mg once daily</w:t>
            </w:r>
          </w:p>
        </w:tc>
        <w:tc>
          <w:tcPr>
            <w:tcW w:w="1628" w:type="dxa"/>
            <w:shd w:val="clear" w:color="auto" w:fill="auto"/>
            <w:vAlign w:val="center"/>
            <w:hideMark/>
          </w:tcPr>
          <w:p w:rsidR="00764F1F" w:rsidRPr="00D63B6C" w:rsidRDefault="00764F1F"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764F1F" w:rsidRPr="00D63B6C" w:rsidRDefault="00764F1F"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764F1F" w:rsidRPr="00D63B6C" w:rsidRDefault="00764F1F" w:rsidP="00636B86">
            <w:pPr>
              <w:pStyle w:val="TableLeft"/>
              <w:jc w:val="center"/>
              <w:rPr>
                <w:bCs w:val="0"/>
                <w:sz w:val="20"/>
                <w:szCs w:val="20"/>
              </w:rPr>
            </w:pPr>
            <w:r w:rsidRPr="00D63B6C">
              <w:rPr>
                <w:bCs w:val="0"/>
                <w:sz w:val="20"/>
                <w:szCs w:val="20"/>
              </w:rPr>
              <w:t>12</w:t>
            </w:r>
          </w:p>
        </w:tc>
        <w:tc>
          <w:tcPr>
            <w:tcW w:w="994" w:type="dxa"/>
            <w:shd w:val="clear" w:color="auto" w:fill="auto"/>
            <w:vAlign w:val="center"/>
            <w:hideMark/>
          </w:tcPr>
          <w:p w:rsidR="00764F1F" w:rsidRPr="00D63B6C" w:rsidRDefault="00764F1F" w:rsidP="00636B86">
            <w:pPr>
              <w:pStyle w:val="TableLeft"/>
              <w:jc w:val="center"/>
              <w:rPr>
                <w:bCs w:val="0"/>
                <w:sz w:val="20"/>
                <w:szCs w:val="20"/>
              </w:rPr>
            </w:pPr>
            <w:r w:rsidRPr="00D63B6C">
              <w:rPr>
                <w:bCs w:val="0"/>
                <w:sz w:val="20"/>
                <w:szCs w:val="20"/>
              </w:rPr>
              <w:t>1.18 (1.09, 1.28)</w:t>
            </w:r>
          </w:p>
        </w:tc>
        <w:tc>
          <w:tcPr>
            <w:tcW w:w="1493" w:type="dxa"/>
            <w:shd w:val="clear" w:color="auto" w:fill="auto"/>
            <w:vAlign w:val="center"/>
            <w:hideMark/>
          </w:tcPr>
          <w:p w:rsidR="00764F1F" w:rsidRPr="00D63B6C" w:rsidRDefault="00764F1F" w:rsidP="00636B86">
            <w:pPr>
              <w:pStyle w:val="TableLeft"/>
              <w:jc w:val="center"/>
              <w:rPr>
                <w:bCs w:val="0"/>
                <w:sz w:val="20"/>
                <w:szCs w:val="20"/>
              </w:rPr>
            </w:pPr>
            <w:r w:rsidRPr="00D63B6C">
              <w:rPr>
                <w:bCs w:val="0"/>
                <w:sz w:val="20"/>
                <w:szCs w:val="20"/>
              </w:rPr>
              <w:t>1.14 (1.04, 1.25)</w:t>
            </w:r>
          </w:p>
        </w:tc>
        <w:tc>
          <w:tcPr>
            <w:tcW w:w="1084" w:type="dxa"/>
            <w:shd w:val="clear" w:color="auto" w:fill="auto"/>
            <w:vAlign w:val="center"/>
            <w:hideMark/>
          </w:tcPr>
          <w:p w:rsidR="00764F1F" w:rsidRPr="00D63B6C" w:rsidRDefault="00764F1F" w:rsidP="00636B86">
            <w:pPr>
              <w:pStyle w:val="TableLeft"/>
              <w:jc w:val="center"/>
              <w:rPr>
                <w:bCs w:val="0"/>
                <w:sz w:val="20"/>
                <w:szCs w:val="20"/>
              </w:rPr>
            </w:pPr>
            <w:r w:rsidRPr="00D63B6C">
              <w:rPr>
                <w:bCs w:val="0"/>
                <w:sz w:val="20"/>
                <w:szCs w:val="20"/>
              </w:rPr>
              <w:t>1.24 (1.10, 1.39)</w:t>
            </w:r>
          </w:p>
        </w:tc>
      </w:tr>
      <w:tr w:rsidR="00764F1F" w:rsidRPr="00D63B6C" w:rsidTr="009817CA">
        <w:tc>
          <w:tcPr>
            <w:tcW w:w="1541" w:type="dxa"/>
            <w:vMerge/>
            <w:shd w:val="clear" w:color="auto" w:fill="auto"/>
            <w:vAlign w:val="center"/>
          </w:tcPr>
          <w:p w:rsidR="00764F1F" w:rsidRPr="00D63B6C" w:rsidRDefault="00764F1F" w:rsidP="00636B86">
            <w:pPr>
              <w:pStyle w:val="TableLeft"/>
              <w:jc w:val="center"/>
              <w:rPr>
                <w:bCs w:val="0"/>
                <w:sz w:val="20"/>
                <w:szCs w:val="20"/>
              </w:rPr>
            </w:pPr>
          </w:p>
        </w:tc>
        <w:tc>
          <w:tcPr>
            <w:tcW w:w="1604" w:type="dxa"/>
            <w:shd w:val="clear" w:color="auto" w:fill="auto"/>
            <w:vAlign w:val="center"/>
          </w:tcPr>
          <w:p w:rsidR="00764F1F" w:rsidRPr="00D63B6C" w:rsidRDefault="00764F1F" w:rsidP="00636B86">
            <w:pPr>
              <w:pStyle w:val="TableLeft"/>
              <w:jc w:val="center"/>
              <w:rPr>
                <w:bCs w:val="0"/>
                <w:sz w:val="20"/>
                <w:szCs w:val="20"/>
              </w:rPr>
            </w:pPr>
            <w:proofErr w:type="spellStart"/>
            <w:r w:rsidRPr="00D63B6C">
              <w:rPr>
                <w:bCs w:val="0"/>
                <w:sz w:val="20"/>
                <w:szCs w:val="20"/>
              </w:rPr>
              <w:t>Tenofovir</w:t>
            </w:r>
            <w:proofErr w:type="spellEnd"/>
            <w:r w:rsidRPr="00D63B6C">
              <w:rPr>
                <w:bCs w:val="0"/>
                <w:sz w:val="20"/>
                <w:szCs w:val="20"/>
              </w:rPr>
              <w:t xml:space="preserve"> </w:t>
            </w:r>
            <w:proofErr w:type="spellStart"/>
            <w:r w:rsidRPr="00D63B6C">
              <w:rPr>
                <w:bCs w:val="0"/>
                <w:sz w:val="20"/>
                <w:szCs w:val="20"/>
              </w:rPr>
              <w:t>disoproxil</w:t>
            </w:r>
            <w:proofErr w:type="spellEnd"/>
            <w:r w:rsidRPr="00D63B6C">
              <w:rPr>
                <w:bCs w:val="0"/>
                <w:sz w:val="20"/>
                <w:szCs w:val="20"/>
              </w:rPr>
              <w:t xml:space="preserve"> </w:t>
            </w:r>
            <w:proofErr w:type="spellStart"/>
            <w:r w:rsidRPr="00D63B6C">
              <w:rPr>
                <w:bCs w:val="0"/>
                <w:sz w:val="20"/>
                <w:szCs w:val="20"/>
              </w:rPr>
              <w:t>fumarate</w:t>
            </w:r>
            <w:proofErr w:type="spellEnd"/>
            <w:r w:rsidRPr="00D63B6C">
              <w:rPr>
                <w:bCs w:val="0"/>
                <w:sz w:val="20"/>
                <w:szCs w:val="20"/>
              </w:rPr>
              <w:t xml:space="preserve"> 300 mg once daily</w:t>
            </w:r>
          </w:p>
        </w:tc>
        <w:tc>
          <w:tcPr>
            <w:tcW w:w="1628" w:type="dxa"/>
            <w:shd w:val="clear" w:color="auto" w:fill="auto"/>
            <w:vAlign w:val="center"/>
          </w:tcPr>
          <w:p w:rsidR="00764F1F" w:rsidRPr="00D63B6C" w:rsidRDefault="00764F1F" w:rsidP="00636B86">
            <w:pPr>
              <w:pStyle w:val="TableLeft"/>
              <w:jc w:val="center"/>
              <w:rPr>
                <w:bCs w:val="0"/>
                <w:sz w:val="20"/>
                <w:szCs w:val="20"/>
              </w:rPr>
            </w:pPr>
            <w:r>
              <w:rPr>
                <w:bCs w:val="0"/>
                <w:sz w:val="20"/>
                <w:szCs w:val="20"/>
              </w:rPr>
              <w:t>EBR/GZR</w:t>
            </w:r>
          </w:p>
        </w:tc>
        <w:tc>
          <w:tcPr>
            <w:tcW w:w="1657" w:type="dxa"/>
            <w:shd w:val="clear" w:color="auto" w:fill="auto"/>
            <w:vAlign w:val="center"/>
          </w:tcPr>
          <w:p w:rsidR="00764F1F" w:rsidRPr="00D63B6C" w:rsidRDefault="00764F1F" w:rsidP="00636B86">
            <w:pPr>
              <w:pStyle w:val="TableLeft"/>
              <w:jc w:val="center"/>
              <w:rPr>
                <w:bCs w:val="0"/>
                <w:sz w:val="20"/>
                <w:szCs w:val="20"/>
              </w:rPr>
            </w:pPr>
            <w:r>
              <w:rPr>
                <w:bCs w:val="0"/>
                <w:sz w:val="20"/>
                <w:szCs w:val="20"/>
              </w:rPr>
              <w:t xml:space="preserve">50 mg + 100mg once daily </w:t>
            </w:r>
          </w:p>
        </w:tc>
        <w:tc>
          <w:tcPr>
            <w:tcW w:w="439" w:type="dxa"/>
            <w:shd w:val="clear" w:color="auto" w:fill="auto"/>
            <w:vAlign w:val="center"/>
          </w:tcPr>
          <w:p w:rsidR="00764F1F" w:rsidRPr="00D63B6C" w:rsidRDefault="00764F1F" w:rsidP="00636B86">
            <w:pPr>
              <w:pStyle w:val="TableLeft"/>
              <w:jc w:val="center"/>
              <w:rPr>
                <w:bCs w:val="0"/>
                <w:sz w:val="20"/>
                <w:szCs w:val="20"/>
              </w:rPr>
            </w:pPr>
            <w:r>
              <w:rPr>
                <w:bCs w:val="0"/>
                <w:sz w:val="20"/>
                <w:szCs w:val="20"/>
              </w:rPr>
              <w:t>13</w:t>
            </w:r>
          </w:p>
        </w:tc>
        <w:tc>
          <w:tcPr>
            <w:tcW w:w="994" w:type="dxa"/>
            <w:shd w:val="clear" w:color="auto" w:fill="auto"/>
            <w:vAlign w:val="center"/>
          </w:tcPr>
          <w:p w:rsidR="00764F1F" w:rsidRPr="00D63B6C" w:rsidRDefault="00764F1F" w:rsidP="00636B86">
            <w:pPr>
              <w:pStyle w:val="TableLeft"/>
              <w:jc w:val="center"/>
              <w:rPr>
                <w:bCs w:val="0"/>
                <w:sz w:val="20"/>
                <w:szCs w:val="20"/>
              </w:rPr>
            </w:pPr>
            <w:r>
              <w:rPr>
                <w:bCs w:val="0"/>
                <w:sz w:val="20"/>
                <w:szCs w:val="20"/>
              </w:rPr>
              <w:t>1.27 (1.20, 1.35)</w:t>
            </w:r>
          </w:p>
        </w:tc>
        <w:tc>
          <w:tcPr>
            <w:tcW w:w="1493" w:type="dxa"/>
            <w:shd w:val="clear" w:color="auto" w:fill="auto"/>
            <w:vAlign w:val="center"/>
          </w:tcPr>
          <w:p w:rsidR="00764F1F" w:rsidRPr="00D63B6C" w:rsidRDefault="00764F1F" w:rsidP="00636B86">
            <w:pPr>
              <w:pStyle w:val="TableLeft"/>
              <w:jc w:val="center"/>
              <w:rPr>
                <w:bCs w:val="0"/>
                <w:sz w:val="20"/>
                <w:szCs w:val="20"/>
              </w:rPr>
            </w:pPr>
            <w:r>
              <w:rPr>
                <w:bCs w:val="0"/>
                <w:sz w:val="20"/>
                <w:szCs w:val="20"/>
              </w:rPr>
              <w:t>1.14 (0.95, 1.36)</w:t>
            </w:r>
          </w:p>
        </w:tc>
        <w:tc>
          <w:tcPr>
            <w:tcW w:w="1084" w:type="dxa"/>
            <w:shd w:val="clear" w:color="auto" w:fill="auto"/>
            <w:vAlign w:val="center"/>
          </w:tcPr>
          <w:p w:rsidR="00764F1F" w:rsidRPr="00D63B6C" w:rsidRDefault="00764F1F" w:rsidP="00636B86">
            <w:pPr>
              <w:pStyle w:val="TableLeft"/>
              <w:jc w:val="center"/>
              <w:rPr>
                <w:bCs w:val="0"/>
                <w:sz w:val="20"/>
                <w:szCs w:val="20"/>
              </w:rPr>
            </w:pPr>
            <w:r>
              <w:rPr>
                <w:bCs w:val="0"/>
                <w:sz w:val="20"/>
                <w:szCs w:val="20"/>
              </w:rPr>
              <w:t>1.23 (1.09, 1.40)</w:t>
            </w:r>
          </w:p>
        </w:tc>
      </w:tr>
      <w:tr w:rsidR="006D5905" w:rsidRPr="00D63B6C" w:rsidTr="005179A0">
        <w:tc>
          <w:tcPr>
            <w:tcW w:w="10440" w:type="dxa"/>
            <w:gridSpan w:val="8"/>
            <w:shd w:val="clear" w:color="auto" w:fill="auto"/>
            <w:vAlign w:val="center"/>
          </w:tcPr>
          <w:p w:rsidR="006D5905" w:rsidRDefault="006D5905" w:rsidP="00636B86">
            <w:pPr>
              <w:pStyle w:val="TableLeft"/>
              <w:jc w:val="center"/>
              <w:rPr>
                <w:bCs w:val="0"/>
                <w:sz w:val="20"/>
                <w:szCs w:val="20"/>
              </w:rPr>
            </w:pPr>
            <w:r>
              <w:rPr>
                <w:bCs w:val="0"/>
                <w:sz w:val="20"/>
                <w:szCs w:val="20"/>
              </w:rPr>
              <w:t>HIV Fixed-Dose Combination Regimen</w:t>
            </w:r>
          </w:p>
        </w:tc>
      </w:tr>
      <w:tr w:rsidR="006D5905" w:rsidRPr="00D63B6C" w:rsidTr="009817CA">
        <w:tc>
          <w:tcPr>
            <w:tcW w:w="1541" w:type="dxa"/>
            <w:vMerge w:val="restart"/>
            <w:shd w:val="clear" w:color="auto" w:fill="auto"/>
            <w:vAlign w:val="center"/>
          </w:tcPr>
          <w:p w:rsidR="006D5905" w:rsidRPr="00D63B6C" w:rsidRDefault="006D5905" w:rsidP="00636B86">
            <w:pPr>
              <w:pStyle w:val="TableLeft"/>
              <w:jc w:val="center"/>
              <w:rPr>
                <w:bCs w:val="0"/>
                <w:sz w:val="20"/>
                <w:szCs w:val="20"/>
              </w:rPr>
            </w:pPr>
            <w:proofErr w:type="spellStart"/>
            <w:r w:rsidRPr="006D5905">
              <w:rPr>
                <w:bCs w:val="0"/>
                <w:sz w:val="20"/>
                <w:szCs w:val="20"/>
              </w:rPr>
              <w:t>Elvitegravir</w:t>
            </w:r>
            <w:proofErr w:type="spellEnd"/>
            <w:r w:rsidRPr="006D5905">
              <w:rPr>
                <w:bCs w:val="0"/>
                <w:sz w:val="20"/>
                <w:szCs w:val="20"/>
              </w:rPr>
              <w:t xml:space="preserve">/ </w:t>
            </w:r>
            <w:proofErr w:type="spellStart"/>
            <w:r w:rsidRPr="006D5905">
              <w:rPr>
                <w:bCs w:val="0"/>
                <w:sz w:val="20"/>
                <w:szCs w:val="20"/>
              </w:rPr>
              <w:t>cobicistat</w:t>
            </w:r>
            <w:proofErr w:type="spellEnd"/>
            <w:r w:rsidRPr="006D5905">
              <w:rPr>
                <w:bCs w:val="0"/>
                <w:sz w:val="20"/>
                <w:szCs w:val="20"/>
              </w:rPr>
              <w:t xml:space="preserve">/ </w:t>
            </w:r>
            <w:proofErr w:type="spellStart"/>
            <w:r w:rsidRPr="006D5905">
              <w:rPr>
                <w:bCs w:val="0"/>
                <w:sz w:val="20"/>
                <w:szCs w:val="20"/>
              </w:rPr>
              <w:t>emtricitabine</w:t>
            </w:r>
            <w:proofErr w:type="spellEnd"/>
            <w:r w:rsidRPr="006D5905">
              <w:rPr>
                <w:bCs w:val="0"/>
                <w:sz w:val="20"/>
                <w:szCs w:val="20"/>
              </w:rPr>
              <w:t xml:space="preserve">/ </w:t>
            </w:r>
            <w:proofErr w:type="spellStart"/>
            <w:r w:rsidRPr="006D5905">
              <w:rPr>
                <w:bCs w:val="0"/>
                <w:sz w:val="20"/>
                <w:szCs w:val="20"/>
              </w:rPr>
              <w:t>tenofovir</w:t>
            </w:r>
            <w:proofErr w:type="spellEnd"/>
            <w:r w:rsidRPr="006D5905">
              <w:rPr>
                <w:bCs w:val="0"/>
                <w:sz w:val="20"/>
                <w:szCs w:val="20"/>
              </w:rPr>
              <w:t xml:space="preserve"> </w:t>
            </w:r>
            <w:proofErr w:type="spellStart"/>
            <w:r w:rsidRPr="006D5905">
              <w:rPr>
                <w:bCs w:val="0"/>
                <w:sz w:val="20"/>
                <w:szCs w:val="20"/>
              </w:rPr>
              <w:t>disoproxil</w:t>
            </w:r>
            <w:proofErr w:type="spellEnd"/>
            <w:r w:rsidRPr="006D5905">
              <w:rPr>
                <w:bCs w:val="0"/>
                <w:sz w:val="20"/>
                <w:szCs w:val="20"/>
              </w:rPr>
              <w:t xml:space="preserve"> </w:t>
            </w:r>
            <w:proofErr w:type="spellStart"/>
            <w:r w:rsidRPr="006D5905">
              <w:rPr>
                <w:bCs w:val="0"/>
                <w:sz w:val="20"/>
                <w:szCs w:val="20"/>
              </w:rPr>
              <w:t>fumarate</w:t>
            </w:r>
            <w:proofErr w:type="spellEnd"/>
          </w:p>
        </w:tc>
        <w:tc>
          <w:tcPr>
            <w:tcW w:w="1604" w:type="dxa"/>
            <w:shd w:val="clear" w:color="auto" w:fill="auto"/>
            <w:vAlign w:val="center"/>
          </w:tcPr>
          <w:p w:rsidR="006D5905" w:rsidRPr="00D63B6C" w:rsidRDefault="006D5905" w:rsidP="00636B86">
            <w:pPr>
              <w:pStyle w:val="TableLeft"/>
              <w:jc w:val="center"/>
              <w:rPr>
                <w:bCs w:val="0"/>
                <w:sz w:val="20"/>
                <w:szCs w:val="20"/>
              </w:rPr>
            </w:pPr>
            <w:proofErr w:type="spellStart"/>
            <w:r w:rsidRPr="006D5905">
              <w:rPr>
                <w:bCs w:val="0"/>
                <w:sz w:val="20"/>
                <w:szCs w:val="20"/>
              </w:rPr>
              <w:t>Elvitegravir</w:t>
            </w:r>
            <w:proofErr w:type="spellEnd"/>
            <w:r w:rsidRPr="006D5905">
              <w:rPr>
                <w:bCs w:val="0"/>
                <w:sz w:val="20"/>
                <w:szCs w:val="20"/>
              </w:rPr>
              <w:t xml:space="preserve"> 150 mg once daily</w:t>
            </w:r>
          </w:p>
        </w:tc>
        <w:tc>
          <w:tcPr>
            <w:tcW w:w="1628" w:type="dxa"/>
            <w:shd w:val="clear" w:color="auto" w:fill="auto"/>
            <w:vAlign w:val="center"/>
          </w:tcPr>
          <w:p w:rsidR="006D5905" w:rsidRDefault="006D5905" w:rsidP="00636B86">
            <w:pPr>
              <w:pStyle w:val="TableLeft"/>
              <w:jc w:val="center"/>
              <w:rPr>
                <w:bCs w:val="0"/>
                <w:sz w:val="20"/>
                <w:szCs w:val="20"/>
              </w:rPr>
            </w:pPr>
            <w:r>
              <w:rPr>
                <w:bCs w:val="0"/>
                <w:sz w:val="20"/>
                <w:szCs w:val="20"/>
              </w:rPr>
              <w:t>EBR/GZR</w:t>
            </w:r>
          </w:p>
        </w:tc>
        <w:tc>
          <w:tcPr>
            <w:tcW w:w="1657"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50 mg / 100 mg once daily</w:t>
            </w:r>
          </w:p>
        </w:tc>
        <w:tc>
          <w:tcPr>
            <w:tcW w:w="439"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22</w:t>
            </w:r>
          </w:p>
        </w:tc>
        <w:tc>
          <w:tcPr>
            <w:tcW w:w="994"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1.10 (1.00, 1.21)</w:t>
            </w:r>
          </w:p>
        </w:tc>
        <w:tc>
          <w:tcPr>
            <w:tcW w:w="1493"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1.02 (0.93, 1.11)</w:t>
            </w:r>
          </w:p>
        </w:tc>
        <w:tc>
          <w:tcPr>
            <w:tcW w:w="1084"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1.31 (1.11, 1.55)</w:t>
            </w:r>
          </w:p>
        </w:tc>
      </w:tr>
      <w:tr w:rsidR="006D5905" w:rsidRPr="00D63B6C" w:rsidTr="009817CA">
        <w:tc>
          <w:tcPr>
            <w:tcW w:w="1541" w:type="dxa"/>
            <w:vMerge/>
            <w:shd w:val="clear" w:color="auto" w:fill="auto"/>
            <w:vAlign w:val="center"/>
          </w:tcPr>
          <w:p w:rsidR="006D5905" w:rsidRPr="00D63B6C" w:rsidRDefault="006D5905" w:rsidP="00636B86">
            <w:pPr>
              <w:pStyle w:val="TableLeft"/>
              <w:jc w:val="center"/>
              <w:rPr>
                <w:bCs w:val="0"/>
                <w:sz w:val="20"/>
                <w:szCs w:val="20"/>
              </w:rPr>
            </w:pPr>
          </w:p>
        </w:tc>
        <w:tc>
          <w:tcPr>
            <w:tcW w:w="1604" w:type="dxa"/>
            <w:shd w:val="clear" w:color="auto" w:fill="auto"/>
            <w:vAlign w:val="center"/>
          </w:tcPr>
          <w:p w:rsidR="006D5905" w:rsidRPr="00D63B6C" w:rsidRDefault="006D5905" w:rsidP="00636B86">
            <w:pPr>
              <w:pStyle w:val="TableLeft"/>
              <w:jc w:val="center"/>
              <w:rPr>
                <w:bCs w:val="0"/>
                <w:sz w:val="20"/>
                <w:szCs w:val="20"/>
              </w:rPr>
            </w:pPr>
            <w:proofErr w:type="spellStart"/>
            <w:r w:rsidRPr="006D5905">
              <w:rPr>
                <w:bCs w:val="0"/>
                <w:sz w:val="20"/>
                <w:szCs w:val="20"/>
              </w:rPr>
              <w:t>Cobicistat</w:t>
            </w:r>
            <w:proofErr w:type="spellEnd"/>
            <w:r w:rsidRPr="006D5905">
              <w:rPr>
                <w:bCs w:val="0"/>
                <w:sz w:val="20"/>
                <w:szCs w:val="20"/>
              </w:rPr>
              <w:t xml:space="preserve"> 150 mg once daily</w:t>
            </w:r>
          </w:p>
        </w:tc>
        <w:tc>
          <w:tcPr>
            <w:tcW w:w="1628" w:type="dxa"/>
            <w:shd w:val="clear" w:color="auto" w:fill="auto"/>
            <w:vAlign w:val="center"/>
          </w:tcPr>
          <w:p w:rsidR="006D5905" w:rsidRDefault="006D5905" w:rsidP="00636B86">
            <w:pPr>
              <w:pStyle w:val="TableLeft"/>
              <w:jc w:val="center"/>
              <w:rPr>
                <w:bCs w:val="0"/>
                <w:sz w:val="20"/>
                <w:szCs w:val="20"/>
              </w:rPr>
            </w:pPr>
            <w:r>
              <w:rPr>
                <w:bCs w:val="0"/>
                <w:sz w:val="20"/>
                <w:szCs w:val="20"/>
              </w:rPr>
              <w:t>EBR/GZR</w:t>
            </w:r>
          </w:p>
        </w:tc>
        <w:tc>
          <w:tcPr>
            <w:tcW w:w="1657"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50 mg / 100 mg once daily</w:t>
            </w:r>
          </w:p>
        </w:tc>
        <w:tc>
          <w:tcPr>
            <w:tcW w:w="439"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22</w:t>
            </w:r>
          </w:p>
        </w:tc>
        <w:tc>
          <w:tcPr>
            <w:tcW w:w="994"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1.49 (1.42, 1.57)</w:t>
            </w:r>
          </w:p>
        </w:tc>
        <w:tc>
          <w:tcPr>
            <w:tcW w:w="1493"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1.39 (1.29, 1.50)</w:t>
            </w:r>
          </w:p>
        </w:tc>
        <w:tc>
          <w:tcPr>
            <w:tcW w:w="1084"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w:t>
            </w:r>
          </w:p>
        </w:tc>
      </w:tr>
      <w:tr w:rsidR="006D5905" w:rsidRPr="00D63B6C" w:rsidTr="009817CA">
        <w:tc>
          <w:tcPr>
            <w:tcW w:w="1541" w:type="dxa"/>
            <w:vMerge/>
            <w:shd w:val="clear" w:color="auto" w:fill="auto"/>
            <w:vAlign w:val="center"/>
          </w:tcPr>
          <w:p w:rsidR="006D5905" w:rsidRPr="00D63B6C" w:rsidRDefault="006D5905" w:rsidP="00636B86">
            <w:pPr>
              <w:pStyle w:val="TableLeft"/>
              <w:jc w:val="center"/>
              <w:rPr>
                <w:bCs w:val="0"/>
                <w:sz w:val="20"/>
                <w:szCs w:val="20"/>
              </w:rPr>
            </w:pPr>
          </w:p>
        </w:tc>
        <w:tc>
          <w:tcPr>
            <w:tcW w:w="1604" w:type="dxa"/>
            <w:shd w:val="clear" w:color="auto" w:fill="auto"/>
            <w:vAlign w:val="center"/>
          </w:tcPr>
          <w:p w:rsidR="006D5905" w:rsidRPr="00D63B6C" w:rsidRDefault="006D5905" w:rsidP="00636B86">
            <w:pPr>
              <w:pStyle w:val="TableLeft"/>
              <w:jc w:val="center"/>
              <w:rPr>
                <w:bCs w:val="0"/>
                <w:sz w:val="20"/>
                <w:szCs w:val="20"/>
              </w:rPr>
            </w:pPr>
            <w:proofErr w:type="spellStart"/>
            <w:r w:rsidRPr="006D5905">
              <w:rPr>
                <w:bCs w:val="0"/>
                <w:sz w:val="20"/>
                <w:szCs w:val="20"/>
              </w:rPr>
              <w:t>Emtricitabine</w:t>
            </w:r>
            <w:proofErr w:type="spellEnd"/>
            <w:r w:rsidRPr="006D5905">
              <w:rPr>
                <w:bCs w:val="0"/>
                <w:sz w:val="20"/>
                <w:szCs w:val="20"/>
              </w:rPr>
              <w:t xml:space="preserve"> 200 mg once daily</w:t>
            </w:r>
          </w:p>
        </w:tc>
        <w:tc>
          <w:tcPr>
            <w:tcW w:w="1628" w:type="dxa"/>
            <w:shd w:val="clear" w:color="auto" w:fill="auto"/>
            <w:vAlign w:val="center"/>
          </w:tcPr>
          <w:p w:rsidR="006D5905" w:rsidRDefault="006D5905" w:rsidP="00636B86">
            <w:pPr>
              <w:pStyle w:val="TableLeft"/>
              <w:jc w:val="center"/>
              <w:rPr>
                <w:bCs w:val="0"/>
                <w:sz w:val="20"/>
                <w:szCs w:val="20"/>
              </w:rPr>
            </w:pPr>
            <w:r>
              <w:rPr>
                <w:bCs w:val="0"/>
                <w:sz w:val="20"/>
                <w:szCs w:val="20"/>
              </w:rPr>
              <w:t>EBR/GZR</w:t>
            </w:r>
          </w:p>
        </w:tc>
        <w:tc>
          <w:tcPr>
            <w:tcW w:w="1657"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50 mg / 100 mg once daily</w:t>
            </w:r>
          </w:p>
        </w:tc>
        <w:tc>
          <w:tcPr>
            <w:tcW w:w="439"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22</w:t>
            </w:r>
          </w:p>
        </w:tc>
        <w:tc>
          <w:tcPr>
            <w:tcW w:w="994"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1.07 (1.03, 1.10)</w:t>
            </w:r>
          </w:p>
        </w:tc>
        <w:tc>
          <w:tcPr>
            <w:tcW w:w="1493"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0.96 (0.90, 1.02)</w:t>
            </w:r>
          </w:p>
        </w:tc>
        <w:tc>
          <w:tcPr>
            <w:tcW w:w="1084"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1.19 (1.13, 1.25)</w:t>
            </w:r>
          </w:p>
        </w:tc>
      </w:tr>
      <w:tr w:rsidR="006D5905" w:rsidRPr="00D63B6C" w:rsidTr="009817CA">
        <w:tc>
          <w:tcPr>
            <w:tcW w:w="1541" w:type="dxa"/>
            <w:vMerge/>
            <w:shd w:val="clear" w:color="auto" w:fill="auto"/>
            <w:vAlign w:val="center"/>
          </w:tcPr>
          <w:p w:rsidR="006D5905" w:rsidRPr="00D63B6C" w:rsidRDefault="006D5905" w:rsidP="00636B86">
            <w:pPr>
              <w:pStyle w:val="TableLeft"/>
              <w:jc w:val="center"/>
              <w:rPr>
                <w:bCs w:val="0"/>
                <w:sz w:val="20"/>
                <w:szCs w:val="20"/>
              </w:rPr>
            </w:pPr>
          </w:p>
        </w:tc>
        <w:tc>
          <w:tcPr>
            <w:tcW w:w="1604" w:type="dxa"/>
            <w:shd w:val="clear" w:color="auto" w:fill="auto"/>
            <w:vAlign w:val="center"/>
          </w:tcPr>
          <w:p w:rsidR="006D5905" w:rsidRPr="00D63B6C" w:rsidRDefault="006D5905" w:rsidP="00636B86">
            <w:pPr>
              <w:pStyle w:val="TableLeft"/>
              <w:jc w:val="center"/>
              <w:rPr>
                <w:bCs w:val="0"/>
                <w:sz w:val="20"/>
                <w:szCs w:val="20"/>
              </w:rPr>
            </w:pPr>
            <w:proofErr w:type="spellStart"/>
            <w:r w:rsidRPr="006D5905">
              <w:rPr>
                <w:bCs w:val="0"/>
                <w:sz w:val="20"/>
                <w:szCs w:val="20"/>
              </w:rPr>
              <w:t>Tenofovir</w:t>
            </w:r>
            <w:proofErr w:type="spellEnd"/>
            <w:r w:rsidRPr="006D5905">
              <w:rPr>
                <w:bCs w:val="0"/>
                <w:sz w:val="20"/>
                <w:szCs w:val="20"/>
              </w:rPr>
              <w:t xml:space="preserve"> </w:t>
            </w:r>
            <w:proofErr w:type="spellStart"/>
            <w:r w:rsidRPr="006D5905">
              <w:rPr>
                <w:bCs w:val="0"/>
                <w:sz w:val="20"/>
                <w:szCs w:val="20"/>
              </w:rPr>
              <w:t>disoproxil</w:t>
            </w:r>
            <w:proofErr w:type="spellEnd"/>
            <w:r w:rsidRPr="006D5905">
              <w:rPr>
                <w:bCs w:val="0"/>
                <w:sz w:val="20"/>
                <w:szCs w:val="20"/>
              </w:rPr>
              <w:t xml:space="preserve"> </w:t>
            </w:r>
            <w:proofErr w:type="spellStart"/>
            <w:r w:rsidRPr="006D5905">
              <w:rPr>
                <w:bCs w:val="0"/>
                <w:sz w:val="20"/>
                <w:szCs w:val="20"/>
              </w:rPr>
              <w:t>fumarate</w:t>
            </w:r>
            <w:proofErr w:type="spellEnd"/>
            <w:r w:rsidRPr="006D5905">
              <w:rPr>
                <w:bCs w:val="0"/>
                <w:sz w:val="20"/>
                <w:szCs w:val="20"/>
              </w:rPr>
              <w:t xml:space="preserve"> 300 mg once daily</w:t>
            </w:r>
          </w:p>
        </w:tc>
        <w:tc>
          <w:tcPr>
            <w:tcW w:w="1628" w:type="dxa"/>
            <w:shd w:val="clear" w:color="auto" w:fill="auto"/>
            <w:vAlign w:val="center"/>
          </w:tcPr>
          <w:p w:rsidR="006D5905" w:rsidRDefault="006D5905" w:rsidP="00636B86">
            <w:pPr>
              <w:pStyle w:val="TableLeft"/>
              <w:jc w:val="center"/>
              <w:rPr>
                <w:bCs w:val="0"/>
                <w:sz w:val="20"/>
                <w:szCs w:val="20"/>
              </w:rPr>
            </w:pPr>
            <w:r>
              <w:rPr>
                <w:bCs w:val="0"/>
                <w:sz w:val="20"/>
                <w:szCs w:val="20"/>
              </w:rPr>
              <w:t>EBR/GZR</w:t>
            </w:r>
          </w:p>
        </w:tc>
        <w:tc>
          <w:tcPr>
            <w:tcW w:w="1657"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50 mg / 100 mg once daily</w:t>
            </w:r>
          </w:p>
        </w:tc>
        <w:tc>
          <w:tcPr>
            <w:tcW w:w="439"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22</w:t>
            </w:r>
          </w:p>
        </w:tc>
        <w:tc>
          <w:tcPr>
            <w:tcW w:w="994"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1.18 (1.13, 1.24)</w:t>
            </w:r>
          </w:p>
        </w:tc>
        <w:tc>
          <w:tcPr>
            <w:tcW w:w="1493"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1.25 (1.14, 1.37)</w:t>
            </w:r>
          </w:p>
        </w:tc>
        <w:tc>
          <w:tcPr>
            <w:tcW w:w="1084" w:type="dxa"/>
            <w:shd w:val="clear" w:color="auto" w:fill="auto"/>
            <w:vAlign w:val="center"/>
          </w:tcPr>
          <w:p w:rsidR="006D5905" w:rsidRDefault="006D5905" w:rsidP="00636B86">
            <w:pPr>
              <w:pStyle w:val="TableLeft"/>
              <w:jc w:val="center"/>
              <w:rPr>
                <w:bCs w:val="0"/>
                <w:sz w:val="20"/>
                <w:szCs w:val="20"/>
              </w:rPr>
            </w:pPr>
            <w:r w:rsidRPr="006D5905">
              <w:rPr>
                <w:bCs w:val="0"/>
                <w:sz w:val="20"/>
                <w:szCs w:val="20"/>
              </w:rPr>
              <w:t>1.20 (1.15, 1.26)</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Immunosuppressant</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Cyclosporine</w:t>
            </w:r>
          </w:p>
        </w:tc>
        <w:tc>
          <w:tcPr>
            <w:tcW w:w="160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Cyclosporine 400 mg single-dose</w:t>
            </w:r>
          </w:p>
        </w:tc>
        <w:tc>
          <w:tcPr>
            <w:tcW w:w="1628" w:type="dxa"/>
            <w:shd w:val="clear" w:color="auto" w:fill="auto"/>
            <w:vAlign w:val="center"/>
            <w:hideMark/>
          </w:tcPr>
          <w:p w:rsidR="00D63B6C" w:rsidRPr="00D63B6C" w:rsidRDefault="00F56AFC" w:rsidP="00F56AFC">
            <w:pPr>
              <w:pStyle w:val="TableLeft"/>
              <w:jc w:val="center"/>
              <w:rPr>
                <w:bCs w:val="0"/>
                <w:sz w:val="20"/>
                <w:szCs w:val="20"/>
              </w:rPr>
            </w:pPr>
            <w:r>
              <w:rPr>
                <w:bCs w:val="0"/>
                <w:sz w:val="20"/>
                <w:szCs w:val="20"/>
              </w:rPr>
              <w:t xml:space="preserve">EBR + </w:t>
            </w:r>
            <w:r w:rsidR="00D63B6C" w:rsidRPr="00D63B6C">
              <w:rPr>
                <w:bCs w:val="0"/>
                <w:sz w:val="20"/>
                <w:szCs w:val="20"/>
              </w:rPr>
              <w:t xml:space="preserve">GZR </w:t>
            </w:r>
          </w:p>
        </w:tc>
        <w:tc>
          <w:tcPr>
            <w:tcW w:w="1657" w:type="dxa"/>
            <w:shd w:val="clear" w:color="auto" w:fill="auto"/>
            <w:vAlign w:val="center"/>
            <w:hideMark/>
          </w:tcPr>
          <w:p w:rsidR="00D63B6C" w:rsidRPr="00D63B6C" w:rsidRDefault="00F56AFC" w:rsidP="00F56AFC">
            <w:pPr>
              <w:pStyle w:val="TableLeft"/>
              <w:jc w:val="center"/>
              <w:rPr>
                <w:bCs w:val="0"/>
                <w:sz w:val="20"/>
                <w:szCs w:val="20"/>
              </w:rPr>
            </w:pPr>
            <w:r w:rsidRPr="00D63B6C">
              <w:rPr>
                <w:bCs w:val="0"/>
                <w:sz w:val="20"/>
                <w:szCs w:val="20"/>
              </w:rPr>
              <w:t xml:space="preserve">50 mg </w:t>
            </w:r>
            <w:r>
              <w:rPr>
                <w:bCs w:val="0"/>
                <w:sz w:val="20"/>
                <w:szCs w:val="20"/>
              </w:rPr>
              <w:t xml:space="preserve">+ </w:t>
            </w:r>
            <w:r w:rsidR="00D63B6C"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14</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0.96 (0.90, 1.02)</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0.90 (0.85, 0.97)</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1.00 (0.92, 1.08)</w:t>
            </w:r>
            <w:r w:rsidRPr="00D63B6C">
              <w:rPr>
                <w:bCs w:val="0"/>
                <w:sz w:val="20"/>
                <w:szCs w:val="20"/>
                <w:vertAlign w:val="superscript"/>
              </w:rPr>
              <w:t>§</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Mycophenolic</w:t>
            </w:r>
            <w:proofErr w:type="spellEnd"/>
            <w:r w:rsidRPr="00D63B6C">
              <w:rPr>
                <w:bCs w:val="0"/>
                <w:sz w:val="20"/>
                <w:szCs w:val="20"/>
              </w:rPr>
              <w:t xml:space="preserve"> acid</w:t>
            </w:r>
          </w:p>
        </w:tc>
        <w:tc>
          <w:tcPr>
            <w:tcW w:w="1604"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Mycophenolate</w:t>
            </w:r>
            <w:proofErr w:type="spellEnd"/>
            <w:r w:rsidRPr="00D63B6C">
              <w:rPr>
                <w:bCs w:val="0"/>
                <w:sz w:val="20"/>
                <w:szCs w:val="20"/>
              </w:rPr>
              <w:t xml:space="preserve"> </w:t>
            </w:r>
            <w:proofErr w:type="spellStart"/>
            <w:r w:rsidRPr="00D63B6C">
              <w:rPr>
                <w:bCs w:val="0"/>
                <w:sz w:val="20"/>
                <w:szCs w:val="20"/>
              </w:rPr>
              <w:t>mofetil</w:t>
            </w:r>
            <w:proofErr w:type="spellEnd"/>
            <w:r w:rsidRPr="00D63B6C">
              <w:rPr>
                <w:bCs w:val="0"/>
                <w:sz w:val="20"/>
                <w:szCs w:val="20"/>
              </w:rPr>
              <w:t xml:space="preserve"> 1000 mg single-dose</w:t>
            </w:r>
          </w:p>
        </w:tc>
        <w:tc>
          <w:tcPr>
            <w:tcW w:w="1628" w:type="dxa"/>
            <w:shd w:val="clear" w:color="auto" w:fill="auto"/>
            <w:vAlign w:val="center"/>
            <w:hideMark/>
          </w:tcPr>
          <w:p w:rsidR="00D63B6C" w:rsidRPr="00D63B6C" w:rsidRDefault="00F56AFC" w:rsidP="00F56AFC">
            <w:pPr>
              <w:pStyle w:val="TableLeft"/>
              <w:jc w:val="center"/>
              <w:rPr>
                <w:bCs w:val="0"/>
                <w:sz w:val="20"/>
                <w:szCs w:val="20"/>
              </w:rPr>
            </w:pPr>
            <w:r>
              <w:rPr>
                <w:bCs w:val="0"/>
                <w:sz w:val="20"/>
                <w:szCs w:val="20"/>
              </w:rPr>
              <w:t xml:space="preserve">EBR + </w:t>
            </w:r>
            <w:r w:rsidR="00D63B6C" w:rsidRPr="00D63B6C">
              <w:rPr>
                <w:bCs w:val="0"/>
                <w:sz w:val="20"/>
                <w:szCs w:val="20"/>
              </w:rPr>
              <w:t xml:space="preserve">GZR </w:t>
            </w:r>
          </w:p>
        </w:tc>
        <w:tc>
          <w:tcPr>
            <w:tcW w:w="1657" w:type="dxa"/>
            <w:shd w:val="clear" w:color="auto" w:fill="auto"/>
            <w:vAlign w:val="center"/>
            <w:hideMark/>
          </w:tcPr>
          <w:p w:rsidR="00D63B6C" w:rsidRPr="00D63B6C" w:rsidRDefault="00F56AFC" w:rsidP="00F56AFC">
            <w:pPr>
              <w:pStyle w:val="TableLeft"/>
              <w:jc w:val="center"/>
              <w:rPr>
                <w:bCs w:val="0"/>
                <w:sz w:val="20"/>
                <w:szCs w:val="20"/>
              </w:rPr>
            </w:pPr>
            <w:r w:rsidRPr="00D63B6C">
              <w:rPr>
                <w:bCs w:val="0"/>
                <w:sz w:val="20"/>
                <w:szCs w:val="20"/>
              </w:rPr>
              <w:t xml:space="preserve">50 mg </w:t>
            </w:r>
            <w:r>
              <w:rPr>
                <w:bCs w:val="0"/>
                <w:sz w:val="20"/>
                <w:szCs w:val="20"/>
              </w:rPr>
              <w:t xml:space="preserve">+ </w:t>
            </w:r>
            <w:r w:rsidR="00D63B6C"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14</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0.95 (0.87, 1.03)</w:t>
            </w:r>
          </w:p>
        </w:tc>
        <w:tc>
          <w:tcPr>
            <w:tcW w:w="1493" w:type="dxa"/>
            <w:shd w:val="clear" w:color="auto" w:fill="auto"/>
            <w:vAlign w:val="center"/>
            <w:hideMark/>
          </w:tcPr>
          <w:p w:rsidR="00D63B6C" w:rsidRPr="00D63B6C" w:rsidRDefault="00CA3EA5" w:rsidP="00CA3EA5">
            <w:pPr>
              <w:pStyle w:val="TableLeft"/>
              <w:jc w:val="center"/>
              <w:rPr>
                <w:bCs w:val="0"/>
                <w:sz w:val="20"/>
                <w:szCs w:val="20"/>
              </w:rPr>
            </w:pPr>
            <w:r>
              <w:rPr>
                <w:bCs w:val="0"/>
                <w:sz w:val="20"/>
                <w:szCs w:val="20"/>
              </w:rPr>
              <w:t>0.85</w:t>
            </w:r>
            <w:r w:rsidR="00D63B6C" w:rsidRPr="00D63B6C">
              <w:rPr>
                <w:bCs w:val="0"/>
                <w:sz w:val="20"/>
                <w:szCs w:val="20"/>
              </w:rPr>
              <w:t xml:space="preserve"> (0.67, 1.07)</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Prednisolone</w:t>
            </w:r>
          </w:p>
        </w:tc>
        <w:tc>
          <w:tcPr>
            <w:tcW w:w="160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Prednisone 40 mg single-dose</w:t>
            </w:r>
          </w:p>
        </w:tc>
        <w:tc>
          <w:tcPr>
            <w:tcW w:w="1628" w:type="dxa"/>
            <w:shd w:val="clear" w:color="auto" w:fill="auto"/>
            <w:vAlign w:val="center"/>
            <w:hideMark/>
          </w:tcPr>
          <w:p w:rsidR="00D63B6C" w:rsidRPr="00D63B6C" w:rsidRDefault="00F56AFC" w:rsidP="00F56AFC">
            <w:pPr>
              <w:pStyle w:val="TableLeft"/>
              <w:jc w:val="center"/>
              <w:rPr>
                <w:bCs w:val="0"/>
                <w:sz w:val="20"/>
                <w:szCs w:val="20"/>
              </w:rPr>
            </w:pPr>
            <w:r>
              <w:rPr>
                <w:bCs w:val="0"/>
                <w:sz w:val="20"/>
                <w:szCs w:val="20"/>
              </w:rPr>
              <w:t xml:space="preserve">EBR + </w:t>
            </w:r>
            <w:r w:rsidR="00D63B6C" w:rsidRPr="00D63B6C">
              <w:rPr>
                <w:bCs w:val="0"/>
                <w:sz w:val="20"/>
                <w:szCs w:val="20"/>
              </w:rPr>
              <w:t xml:space="preserve">GZR </w:t>
            </w:r>
          </w:p>
        </w:tc>
        <w:tc>
          <w:tcPr>
            <w:tcW w:w="1657" w:type="dxa"/>
            <w:shd w:val="clear" w:color="auto" w:fill="auto"/>
            <w:vAlign w:val="center"/>
            <w:hideMark/>
          </w:tcPr>
          <w:p w:rsidR="00D63B6C" w:rsidRPr="00D63B6C" w:rsidRDefault="00F56AFC" w:rsidP="00F56AFC">
            <w:pPr>
              <w:pStyle w:val="TableLeft"/>
              <w:jc w:val="center"/>
              <w:rPr>
                <w:bCs w:val="0"/>
                <w:sz w:val="20"/>
                <w:szCs w:val="20"/>
              </w:rPr>
            </w:pPr>
            <w:r w:rsidRPr="00D63B6C">
              <w:rPr>
                <w:bCs w:val="0"/>
                <w:sz w:val="20"/>
                <w:szCs w:val="20"/>
              </w:rPr>
              <w:t xml:space="preserve">50 mg </w:t>
            </w:r>
            <w:r>
              <w:rPr>
                <w:bCs w:val="0"/>
                <w:sz w:val="20"/>
                <w:szCs w:val="20"/>
              </w:rPr>
              <w:t xml:space="preserve">+ </w:t>
            </w:r>
            <w:r w:rsidR="00D63B6C"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14</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1.08 (1.01, 1.16)</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1.04 (0.99, 1.09)</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Prednisone</w:t>
            </w:r>
          </w:p>
        </w:tc>
        <w:tc>
          <w:tcPr>
            <w:tcW w:w="160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Prednisone 40 mg single-dose</w:t>
            </w:r>
          </w:p>
        </w:tc>
        <w:tc>
          <w:tcPr>
            <w:tcW w:w="1628" w:type="dxa"/>
            <w:shd w:val="clear" w:color="auto" w:fill="auto"/>
            <w:vAlign w:val="center"/>
            <w:hideMark/>
          </w:tcPr>
          <w:p w:rsidR="00D63B6C" w:rsidRPr="00D63B6C" w:rsidRDefault="00F56AFC" w:rsidP="00F56AFC">
            <w:pPr>
              <w:pStyle w:val="TableLeft"/>
              <w:jc w:val="center"/>
              <w:rPr>
                <w:bCs w:val="0"/>
                <w:sz w:val="20"/>
                <w:szCs w:val="20"/>
              </w:rPr>
            </w:pPr>
            <w:r>
              <w:rPr>
                <w:bCs w:val="0"/>
                <w:sz w:val="20"/>
                <w:szCs w:val="20"/>
              </w:rPr>
              <w:t xml:space="preserve">EBR + </w:t>
            </w:r>
            <w:r w:rsidR="00D63B6C" w:rsidRPr="00D63B6C">
              <w:rPr>
                <w:bCs w:val="0"/>
                <w:sz w:val="20"/>
                <w:szCs w:val="20"/>
              </w:rPr>
              <w:t xml:space="preserve">GZR </w:t>
            </w:r>
          </w:p>
        </w:tc>
        <w:tc>
          <w:tcPr>
            <w:tcW w:w="1657" w:type="dxa"/>
            <w:shd w:val="clear" w:color="auto" w:fill="auto"/>
            <w:vAlign w:val="center"/>
            <w:hideMark/>
          </w:tcPr>
          <w:p w:rsidR="00D63B6C" w:rsidRPr="00D63B6C" w:rsidRDefault="00F56AFC" w:rsidP="00F56AFC">
            <w:pPr>
              <w:pStyle w:val="TableLeft"/>
              <w:jc w:val="center"/>
              <w:rPr>
                <w:bCs w:val="0"/>
                <w:sz w:val="20"/>
                <w:szCs w:val="20"/>
              </w:rPr>
            </w:pPr>
            <w:r w:rsidRPr="00D63B6C">
              <w:rPr>
                <w:bCs w:val="0"/>
                <w:sz w:val="20"/>
                <w:szCs w:val="20"/>
              </w:rPr>
              <w:t xml:space="preserve">50 mg </w:t>
            </w:r>
            <w:r>
              <w:rPr>
                <w:bCs w:val="0"/>
                <w:sz w:val="20"/>
                <w:szCs w:val="20"/>
              </w:rPr>
              <w:t xml:space="preserve">+ </w:t>
            </w:r>
            <w:r w:rsidR="00D63B6C"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14</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1.08 (1.00, 1.17)</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1.05 (1.00, 1.10)</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Tacrolimus</w:t>
            </w:r>
            <w:proofErr w:type="spellEnd"/>
          </w:p>
        </w:tc>
        <w:tc>
          <w:tcPr>
            <w:tcW w:w="1604"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Tacrolimus</w:t>
            </w:r>
            <w:proofErr w:type="spellEnd"/>
            <w:r w:rsidRPr="00D63B6C">
              <w:rPr>
                <w:bCs w:val="0"/>
                <w:sz w:val="20"/>
                <w:szCs w:val="20"/>
              </w:rPr>
              <w:t xml:space="preserve"> </w:t>
            </w:r>
          </w:p>
          <w:p w:rsidR="00D63B6C" w:rsidRPr="00D63B6C" w:rsidRDefault="00D63B6C" w:rsidP="00636B86">
            <w:pPr>
              <w:pStyle w:val="TableLeft"/>
              <w:jc w:val="center"/>
              <w:rPr>
                <w:bCs w:val="0"/>
                <w:sz w:val="20"/>
                <w:szCs w:val="20"/>
              </w:rPr>
            </w:pPr>
            <w:r w:rsidRPr="00D63B6C">
              <w:rPr>
                <w:bCs w:val="0"/>
                <w:sz w:val="20"/>
                <w:szCs w:val="20"/>
              </w:rPr>
              <w:t>2 mg single-dose</w:t>
            </w:r>
          </w:p>
        </w:tc>
        <w:tc>
          <w:tcPr>
            <w:tcW w:w="1628" w:type="dxa"/>
            <w:shd w:val="clear" w:color="auto" w:fill="auto"/>
            <w:vAlign w:val="center"/>
            <w:hideMark/>
          </w:tcPr>
          <w:p w:rsidR="00D63B6C" w:rsidRPr="00D63B6C" w:rsidRDefault="00F56AFC" w:rsidP="00F56AFC">
            <w:pPr>
              <w:pStyle w:val="TableLeft"/>
              <w:jc w:val="center"/>
              <w:rPr>
                <w:bCs w:val="0"/>
                <w:sz w:val="20"/>
                <w:szCs w:val="20"/>
              </w:rPr>
            </w:pPr>
            <w:r>
              <w:rPr>
                <w:bCs w:val="0"/>
                <w:sz w:val="20"/>
                <w:szCs w:val="20"/>
              </w:rPr>
              <w:t xml:space="preserve">EBR + </w:t>
            </w:r>
            <w:r w:rsidR="00D63B6C" w:rsidRPr="00D63B6C">
              <w:rPr>
                <w:bCs w:val="0"/>
                <w:sz w:val="20"/>
                <w:szCs w:val="20"/>
              </w:rPr>
              <w:t xml:space="preserve">GZR </w:t>
            </w:r>
          </w:p>
        </w:tc>
        <w:tc>
          <w:tcPr>
            <w:tcW w:w="1657" w:type="dxa"/>
            <w:shd w:val="clear" w:color="auto" w:fill="auto"/>
            <w:vAlign w:val="center"/>
            <w:hideMark/>
          </w:tcPr>
          <w:p w:rsidR="00D63B6C" w:rsidRPr="00D63B6C" w:rsidRDefault="00F56AFC" w:rsidP="00F56AFC">
            <w:pPr>
              <w:pStyle w:val="TableLeft"/>
              <w:jc w:val="center"/>
              <w:rPr>
                <w:bCs w:val="0"/>
                <w:sz w:val="20"/>
                <w:szCs w:val="20"/>
              </w:rPr>
            </w:pPr>
            <w:r w:rsidRPr="00D63B6C">
              <w:rPr>
                <w:bCs w:val="0"/>
                <w:sz w:val="20"/>
                <w:szCs w:val="20"/>
              </w:rPr>
              <w:t xml:space="preserve">50 mg </w:t>
            </w:r>
            <w:r>
              <w:rPr>
                <w:bCs w:val="0"/>
                <w:sz w:val="20"/>
                <w:szCs w:val="20"/>
              </w:rPr>
              <w:t xml:space="preserve">+ </w:t>
            </w:r>
            <w:r w:rsidR="00D63B6C"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16</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1.43 (1.24, 1.64)</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0.60 (0.52, 0.69)</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1.70 (1.49, 1.94)</w:t>
            </w:r>
            <w:r w:rsidRPr="00D63B6C">
              <w:rPr>
                <w:bCs w:val="0"/>
                <w:sz w:val="20"/>
                <w:szCs w:val="20"/>
                <w:vertAlign w:val="superscript"/>
              </w:rPr>
              <w:t>§</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Oral Contraceptive</w:t>
            </w:r>
          </w:p>
        </w:tc>
      </w:tr>
      <w:tr w:rsidR="00F56AFC" w:rsidRPr="00D63B6C" w:rsidTr="009817CA">
        <w:tc>
          <w:tcPr>
            <w:tcW w:w="1541" w:type="dxa"/>
            <w:vMerge w:val="restart"/>
            <w:shd w:val="clear" w:color="auto" w:fill="auto"/>
            <w:vAlign w:val="center"/>
          </w:tcPr>
          <w:p w:rsidR="00F56AFC" w:rsidRPr="00D63B6C" w:rsidRDefault="00F56AFC" w:rsidP="00636B86">
            <w:pPr>
              <w:pStyle w:val="TableLeft"/>
              <w:jc w:val="center"/>
              <w:rPr>
                <w:bCs w:val="0"/>
                <w:sz w:val="20"/>
                <w:szCs w:val="20"/>
              </w:rPr>
            </w:pPr>
            <w:proofErr w:type="spellStart"/>
            <w:r w:rsidRPr="00D63B6C">
              <w:rPr>
                <w:bCs w:val="0"/>
                <w:sz w:val="20"/>
                <w:szCs w:val="20"/>
              </w:rPr>
              <w:t>Ethinyl</w:t>
            </w:r>
            <w:proofErr w:type="spellEnd"/>
            <w:r w:rsidRPr="00D63B6C">
              <w:rPr>
                <w:bCs w:val="0"/>
                <w:sz w:val="20"/>
                <w:szCs w:val="20"/>
              </w:rPr>
              <w:t xml:space="preserve"> estradiol (EE)</w:t>
            </w:r>
          </w:p>
        </w:tc>
        <w:tc>
          <w:tcPr>
            <w:tcW w:w="1604" w:type="dxa"/>
            <w:vMerge w:val="restart"/>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0.03 mg EE/ 0.15 mg LNG single-dose</w:t>
            </w:r>
          </w:p>
        </w:tc>
        <w:tc>
          <w:tcPr>
            <w:tcW w:w="1628"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EBR</w:t>
            </w:r>
          </w:p>
        </w:tc>
        <w:tc>
          <w:tcPr>
            <w:tcW w:w="1657"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50 mg once daily</w:t>
            </w:r>
          </w:p>
        </w:tc>
        <w:tc>
          <w:tcPr>
            <w:tcW w:w="439"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20</w:t>
            </w:r>
          </w:p>
        </w:tc>
        <w:tc>
          <w:tcPr>
            <w:tcW w:w="99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1.01 (0.97, 1.05)</w:t>
            </w:r>
          </w:p>
        </w:tc>
        <w:tc>
          <w:tcPr>
            <w:tcW w:w="1493"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1.10 (1.05, 1.16)</w:t>
            </w:r>
          </w:p>
        </w:tc>
        <w:tc>
          <w:tcPr>
            <w:tcW w:w="108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w:t>
            </w:r>
          </w:p>
        </w:tc>
      </w:tr>
      <w:tr w:rsidR="00F56AFC" w:rsidRPr="00D63B6C" w:rsidTr="009817CA">
        <w:tc>
          <w:tcPr>
            <w:tcW w:w="1541" w:type="dxa"/>
            <w:vMerge/>
            <w:shd w:val="clear" w:color="auto" w:fill="auto"/>
            <w:vAlign w:val="center"/>
            <w:hideMark/>
          </w:tcPr>
          <w:p w:rsidR="00F56AFC" w:rsidRPr="00D63B6C" w:rsidRDefault="00F56AFC" w:rsidP="00636B86">
            <w:pPr>
              <w:pStyle w:val="TableLeft"/>
              <w:jc w:val="center"/>
              <w:rPr>
                <w:bCs w:val="0"/>
                <w:sz w:val="20"/>
                <w:szCs w:val="20"/>
              </w:rPr>
            </w:pPr>
          </w:p>
        </w:tc>
        <w:tc>
          <w:tcPr>
            <w:tcW w:w="1604" w:type="dxa"/>
            <w:vMerge/>
            <w:shd w:val="clear" w:color="auto" w:fill="auto"/>
            <w:vAlign w:val="center"/>
            <w:hideMark/>
          </w:tcPr>
          <w:p w:rsidR="00F56AFC" w:rsidRPr="00D63B6C" w:rsidRDefault="00F56AFC" w:rsidP="00636B86">
            <w:pPr>
              <w:pStyle w:val="TableLeft"/>
              <w:jc w:val="center"/>
              <w:rPr>
                <w:bCs w:val="0"/>
                <w:sz w:val="20"/>
                <w:szCs w:val="20"/>
              </w:rPr>
            </w:pPr>
          </w:p>
        </w:tc>
        <w:tc>
          <w:tcPr>
            <w:tcW w:w="1628"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20</w:t>
            </w:r>
          </w:p>
        </w:tc>
        <w:tc>
          <w:tcPr>
            <w:tcW w:w="99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1.10 (1.05, 1.14)</w:t>
            </w:r>
          </w:p>
        </w:tc>
        <w:tc>
          <w:tcPr>
            <w:tcW w:w="1493"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1.05 (0.98, 1.12)</w:t>
            </w:r>
          </w:p>
        </w:tc>
        <w:tc>
          <w:tcPr>
            <w:tcW w:w="108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w:t>
            </w:r>
          </w:p>
        </w:tc>
      </w:tr>
      <w:tr w:rsidR="00F56AFC" w:rsidRPr="00D63B6C" w:rsidTr="009817CA">
        <w:tc>
          <w:tcPr>
            <w:tcW w:w="1541" w:type="dxa"/>
            <w:vMerge w:val="restart"/>
            <w:shd w:val="clear" w:color="auto" w:fill="auto"/>
            <w:vAlign w:val="center"/>
          </w:tcPr>
          <w:p w:rsidR="00F56AFC" w:rsidRPr="00D63B6C" w:rsidRDefault="00F56AFC" w:rsidP="00636B86">
            <w:pPr>
              <w:pStyle w:val="TableLeft"/>
              <w:jc w:val="center"/>
              <w:rPr>
                <w:bCs w:val="0"/>
                <w:sz w:val="20"/>
                <w:szCs w:val="20"/>
              </w:rPr>
            </w:pPr>
            <w:proofErr w:type="spellStart"/>
            <w:r w:rsidRPr="00D63B6C">
              <w:rPr>
                <w:bCs w:val="0"/>
                <w:sz w:val="20"/>
                <w:szCs w:val="20"/>
              </w:rPr>
              <w:t>Levonorgestrel</w:t>
            </w:r>
            <w:proofErr w:type="spellEnd"/>
            <w:r w:rsidRPr="00D63B6C">
              <w:rPr>
                <w:bCs w:val="0"/>
                <w:sz w:val="20"/>
                <w:szCs w:val="20"/>
              </w:rPr>
              <w:t xml:space="preserve"> (LNG)</w:t>
            </w:r>
          </w:p>
        </w:tc>
        <w:tc>
          <w:tcPr>
            <w:tcW w:w="1604" w:type="dxa"/>
            <w:vMerge/>
            <w:shd w:val="clear" w:color="auto" w:fill="auto"/>
            <w:vAlign w:val="center"/>
          </w:tcPr>
          <w:p w:rsidR="00F56AFC" w:rsidRPr="00D63B6C" w:rsidRDefault="00F56AFC" w:rsidP="00636B86">
            <w:pPr>
              <w:pStyle w:val="TableLeft"/>
              <w:jc w:val="center"/>
              <w:rPr>
                <w:bCs w:val="0"/>
                <w:sz w:val="20"/>
                <w:szCs w:val="20"/>
              </w:rPr>
            </w:pPr>
          </w:p>
        </w:tc>
        <w:tc>
          <w:tcPr>
            <w:tcW w:w="1628"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EBR</w:t>
            </w:r>
          </w:p>
        </w:tc>
        <w:tc>
          <w:tcPr>
            <w:tcW w:w="1657"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50 mg once daily</w:t>
            </w:r>
          </w:p>
        </w:tc>
        <w:tc>
          <w:tcPr>
            <w:tcW w:w="439"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20</w:t>
            </w:r>
          </w:p>
        </w:tc>
        <w:tc>
          <w:tcPr>
            <w:tcW w:w="99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1.14 (1.04, 1.24)</w:t>
            </w:r>
          </w:p>
        </w:tc>
        <w:tc>
          <w:tcPr>
            <w:tcW w:w="1493"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1.02 (0.95, 1.08)</w:t>
            </w:r>
          </w:p>
        </w:tc>
        <w:tc>
          <w:tcPr>
            <w:tcW w:w="108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w:t>
            </w:r>
          </w:p>
        </w:tc>
      </w:tr>
      <w:tr w:rsidR="00F56AFC" w:rsidRPr="00D63B6C" w:rsidTr="009817CA">
        <w:tc>
          <w:tcPr>
            <w:tcW w:w="1541" w:type="dxa"/>
            <w:vMerge/>
            <w:shd w:val="clear" w:color="auto" w:fill="auto"/>
            <w:vAlign w:val="center"/>
            <w:hideMark/>
          </w:tcPr>
          <w:p w:rsidR="00F56AFC" w:rsidRPr="00D63B6C" w:rsidRDefault="00F56AFC" w:rsidP="00636B86">
            <w:pPr>
              <w:pStyle w:val="TableLeft"/>
              <w:jc w:val="center"/>
              <w:rPr>
                <w:bCs w:val="0"/>
                <w:sz w:val="20"/>
                <w:szCs w:val="20"/>
              </w:rPr>
            </w:pPr>
          </w:p>
        </w:tc>
        <w:tc>
          <w:tcPr>
            <w:tcW w:w="1604" w:type="dxa"/>
            <w:vMerge/>
            <w:shd w:val="clear" w:color="auto" w:fill="auto"/>
            <w:vAlign w:val="center"/>
          </w:tcPr>
          <w:p w:rsidR="00F56AFC" w:rsidRPr="00D63B6C" w:rsidRDefault="00F56AFC" w:rsidP="00636B86">
            <w:pPr>
              <w:pStyle w:val="TableLeft"/>
              <w:jc w:val="center"/>
              <w:rPr>
                <w:bCs w:val="0"/>
                <w:sz w:val="20"/>
                <w:szCs w:val="20"/>
              </w:rPr>
            </w:pPr>
          </w:p>
        </w:tc>
        <w:tc>
          <w:tcPr>
            <w:tcW w:w="1628"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20</w:t>
            </w:r>
          </w:p>
        </w:tc>
        <w:tc>
          <w:tcPr>
            <w:tcW w:w="99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1.23 (1.15, 1.32)</w:t>
            </w:r>
          </w:p>
        </w:tc>
        <w:tc>
          <w:tcPr>
            <w:tcW w:w="1493"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0.93 (0.84, 1.03)</w:t>
            </w:r>
          </w:p>
        </w:tc>
        <w:tc>
          <w:tcPr>
            <w:tcW w:w="108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Opioid Substitution Therapy</w:t>
            </w:r>
          </w:p>
        </w:tc>
      </w:tr>
      <w:tr w:rsidR="00F56AFC" w:rsidRPr="00D63B6C" w:rsidTr="009817CA">
        <w:tc>
          <w:tcPr>
            <w:tcW w:w="1541" w:type="dxa"/>
            <w:vMerge w:val="restart"/>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Buprenorphine</w:t>
            </w:r>
          </w:p>
        </w:tc>
        <w:tc>
          <w:tcPr>
            <w:tcW w:w="160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Buprenorphine 8 mg/Naloxone 2 mg single-dose</w:t>
            </w:r>
          </w:p>
        </w:tc>
        <w:tc>
          <w:tcPr>
            <w:tcW w:w="1628"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EBR</w:t>
            </w:r>
          </w:p>
        </w:tc>
        <w:tc>
          <w:tcPr>
            <w:tcW w:w="1657"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50 mg once daily</w:t>
            </w:r>
          </w:p>
        </w:tc>
        <w:tc>
          <w:tcPr>
            <w:tcW w:w="439"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15</w:t>
            </w:r>
          </w:p>
        </w:tc>
        <w:tc>
          <w:tcPr>
            <w:tcW w:w="99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0.98 (0.89, 1.08)</w:t>
            </w:r>
          </w:p>
        </w:tc>
        <w:tc>
          <w:tcPr>
            <w:tcW w:w="1493"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0.94 (0.82, 1.08)</w:t>
            </w:r>
          </w:p>
        </w:tc>
        <w:tc>
          <w:tcPr>
            <w:tcW w:w="108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0.98 (0.88, 1.09)</w:t>
            </w:r>
          </w:p>
        </w:tc>
      </w:tr>
      <w:tr w:rsidR="00F56AFC" w:rsidRPr="00D63B6C" w:rsidTr="009817CA">
        <w:tc>
          <w:tcPr>
            <w:tcW w:w="1541" w:type="dxa"/>
            <w:vMerge/>
            <w:shd w:val="clear" w:color="auto" w:fill="auto"/>
            <w:vAlign w:val="center"/>
            <w:hideMark/>
          </w:tcPr>
          <w:p w:rsidR="00F56AFC" w:rsidRPr="00D63B6C" w:rsidRDefault="00F56AFC" w:rsidP="00636B86">
            <w:pPr>
              <w:pStyle w:val="TableLeft"/>
              <w:jc w:val="center"/>
              <w:rPr>
                <w:bCs w:val="0"/>
                <w:sz w:val="20"/>
                <w:szCs w:val="20"/>
              </w:rPr>
            </w:pPr>
          </w:p>
        </w:tc>
        <w:tc>
          <w:tcPr>
            <w:tcW w:w="160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Buprenorphine 8</w:t>
            </w:r>
            <w:r w:rsidRPr="00D63B6C">
              <w:rPr>
                <w:bCs w:val="0"/>
                <w:sz w:val="20"/>
                <w:szCs w:val="20"/>
              </w:rPr>
              <w:noBreakHyphen/>
              <w:t>24 mg/ Naloxone 2</w:t>
            </w:r>
            <w:r w:rsidRPr="00D63B6C">
              <w:rPr>
                <w:bCs w:val="0"/>
                <w:sz w:val="20"/>
                <w:szCs w:val="20"/>
              </w:rPr>
              <w:noBreakHyphen/>
              <w:t xml:space="preserve">6 mg once </w:t>
            </w:r>
            <w:r w:rsidRPr="00D63B6C">
              <w:rPr>
                <w:bCs w:val="0"/>
                <w:sz w:val="20"/>
                <w:szCs w:val="20"/>
              </w:rPr>
              <w:lastRenderedPageBreak/>
              <w:t>daily</w:t>
            </w:r>
          </w:p>
        </w:tc>
        <w:tc>
          <w:tcPr>
            <w:tcW w:w="1628"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lastRenderedPageBreak/>
              <w:t>GZR</w:t>
            </w:r>
          </w:p>
        </w:tc>
        <w:tc>
          <w:tcPr>
            <w:tcW w:w="1657"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12</w:t>
            </w:r>
          </w:p>
        </w:tc>
        <w:tc>
          <w:tcPr>
            <w:tcW w:w="99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0.98 (0.81, 1.19)</w:t>
            </w:r>
          </w:p>
        </w:tc>
        <w:tc>
          <w:tcPr>
            <w:tcW w:w="1493"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0.90 (0.76, 1.07)</w:t>
            </w:r>
          </w:p>
        </w:tc>
        <w:tc>
          <w:tcPr>
            <w:tcW w:w="108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w:t>
            </w:r>
          </w:p>
        </w:tc>
      </w:tr>
      <w:tr w:rsidR="00F56AFC" w:rsidRPr="00D63B6C" w:rsidTr="009817CA">
        <w:tc>
          <w:tcPr>
            <w:tcW w:w="1541" w:type="dxa"/>
            <w:vMerge w:val="restart"/>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lastRenderedPageBreak/>
              <w:t>R-Methadone</w:t>
            </w:r>
          </w:p>
        </w:tc>
        <w:tc>
          <w:tcPr>
            <w:tcW w:w="1604" w:type="dxa"/>
            <w:vMerge w:val="restart"/>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Methadone 20</w:t>
            </w:r>
            <w:r w:rsidRPr="00D63B6C">
              <w:rPr>
                <w:bCs w:val="0"/>
                <w:sz w:val="20"/>
                <w:szCs w:val="20"/>
              </w:rPr>
              <w:noBreakHyphen/>
              <w:t>150 mg once daily</w:t>
            </w:r>
          </w:p>
        </w:tc>
        <w:tc>
          <w:tcPr>
            <w:tcW w:w="1628"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EBR</w:t>
            </w:r>
          </w:p>
        </w:tc>
        <w:tc>
          <w:tcPr>
            <w:tcW w:w="1657"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50 mg once daily</w:t>
            </w:r>
          </w:p>
        </w:tc>
        <w:tc>
          <w:tcPr>
            <w:tcW w:w="439"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10</w:t>
            </w:r>
          </w:p>
        </w:tc>
        <w:tc>
          <w:tcPr>
            <w:tcW w:w="99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1.03 (0.92, 1.15)</w:t>
            </w:r>
          </w:p>
        </w:tc>
        <w:tc>
          <w:tcPr>
            <w:tcW w:w="1493"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1.07 (0.95, 1.20)</w:t>
            </w:r>
          </w:p>
        </w:tc>
        <w:tc>
          <w:tcPr>
            <w:tcW w:w="108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1.10 (0.96, 1.26)</w:t>
            </w:r>
          </w:p>
        </w:tc>
      </w:tr>
      <w:tr w:rsidR="00F56AFC" w:rsidRPr="00D63B6C" w:rsidTr="009817CA">
        <w:tc>
          <w:tcPr>
            <w:tcW w:w="1541" w:type="dxa"/>
            <w:vMerge/>
            <w:shd w:val="clear" w:color="auto" w:fill="auto"/>
            <w:vAlign w:val="center"/>
            <w:hideMark/>
          </w:tcPr>
          <w:p w:rsidR="00F56AFC" w:rsidRPr="00D63B6C" w:rsidRDefault="00F56AFC" w:rsidP="00636B86">
            <w:pPr>
              <w:pStyle w:val="TableLeft"/>
              <w:jc w:val="center"/>
              <w:rPr>
                <w:bCs w:val="0"/>
                <w:sz w:val="20"/>
                <w:szCs w:val="20"/>
              </w:rPr>
            </w:pPr>
          </w:p>
        </w:tc>
        <w:tc>
          <w:tcPr>
            <w:tcW w:w="1604" w:type="dxa"/>
            <w:vMerge/>
            <w:shd w:val="clear" w:color="auto" w:fill="auto"/>
            <w:vAlign w:val="center"/>
            <w:hideMark/>
          </w:tcPr>
          <w:p w:rsidR="00F56AFC" w:rsidRPr="00D63B6C" w:rsidRDefault="00F56AFC" w:rsidP="00636B86">
            <w:pPr>
              <w:pStyle w:val="TableLeft"/>
              <w:jc w:val="center"/>
              <w:rPr>
                <w:bCs w:val="0"/>
                <w:sz w:val="20"/>
                <w:szCs w:val="20"/>
              </w:rPr>
            </w:pPr>
          </w:p>
        </w:tc>
        <w:tc>
          <w:tcPr>
            <w:tcW w:w="1628"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12</w:t>
            </w:r>
          </w:p>
        </w:tc>
        <w:tc>
          <w:tcPr>
            <w:tcW w:w="99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1.09 (1.02, 1.17)</w:t>
            </w:r>
          </w:p>
        </w:tc>
        <w:tc>
          <w:tcPr>
            <w:tcW w:w="1493"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1.03 (0.96, 1.11)</w:t>
            </w:r>
          </w:p>
        </w:tc>
        <w:tc>
          <w:tcPr>
            <w:tcW w:w="108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w:t>
            </w:r>
          </w:p>
        </w:tc>
      </w:tr>
      <w:tr w:rsidR="00F56AFC" w:rsidRPr="00D63B6C" w:rsidTr="009817CA">
        <w:tc>
          <w:tcPr>
            <w:tcW w:w="1541" w:type="dxa"/>
            <w:vMerge w:val="restart"/>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S-Methadone</w:t>
            </w:r>
          </w:p>
        </w:tc>
        <w:tc>
          <w:tcPr>
            <w:tcW w:w="1604" w:type="dxa"/>
            <w:vMerge/>
            <w:shd w:val="clear" w:color="auto" w:fill="auto"/>
            <w:vAlign w:val="center"/>
          </w:tcPr>
          <w:p w:rsidR="00F56AFC" w:rsidRPr="00D63B6C" w:rsidRDefault="00F56AFC" w:rsidP="00636B86">
            <w:pPr>
              <w:pStyle w:val="TableLeft"/>
              <w:jc w:val="center"/>
              <w:rPr>
                <w:bCs w:val="0"/>
                <w:sz w:val="20"/>
                <w:szCs w:val="20"/>
              </w:rPr>
            </w:pPr>
          </w:p>
        </w:tc>
        <w:tc>
          <w:tcPr>
            <w:tcW w:w="1628"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EBR</w:t>
            </w:r>
          </w:p>
        </w:tc>
        <w:tc>
          <w:tcPr>
            <w:tcW w:w="1657"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50 mg once daily</w:t>
            </w:r>
          </w:p>
        </w:tc>
        <w:tc>
          <w:tcPr>
            <w:tcW w:w="439"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10</w:t>
            </w:r>
          </w:p>
        </w:tc>
        <w:tc>
          <w:tcPr>
            <w:tcW w:w="99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1.09 (0.94, 1.26)</w:t>
            </w:r>
          </w:p>
        </w:tc>
        <w:tc>
          <w:tcPr>
            <w:tcW w:w="1493"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1.09 (0.95, 1.25)</w:t>
            </w:r>
          </w:p>
        </w:tc>
        <w:tc>
          <w:tcPr>
            <w:tcW w:w="108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1.20 (0.98, 1.47)</w:t>
            </w:r>
          </w:p>
        </w:tc>
      </w:tr>
      <w:tr w:rsidR="00F56AFC" w:rsidRPr="00D63B6C" w:rsidTr="009817CA">
        <w:tc>
          <w:tcPr>
            <w:tcW w:w="1541" w:type="dxa"/>
            <w:vMerge/>
            <w:shd w:val="clear" w:color="auto" w:fill="auto"/>
            <w:vAlign w:val="center"/>
            <w:hideMark/>
          </w:tcPr>
          <w:p w:rsidR="00F56AFC" w:rsidRPr="00D63B6C" w:rsidRDefault="00F56AFC" w:rsidP="00636B86">
            <w:pPr>
              <w:pStyle w:val="TableLeft"/>
              <w:jc w:val="center"/>
              <w:rPr>
                <w:bCs w:val="0"/>
                <w:sz w:val="20"/>
                <w:szCs w:val="20"/>
              </w:rPr>
            </w:pPr>
          </w:p>
        </w:tc>
        <w:tc>
          <w:tcPr>
            <w:tcW w:w="1604" w:type="dxa"/>
            <w:vMerge/>
            <w:shd w:val="clear" w:color="auto" w:fill="auto"/>
            <w:vAlign w:val="center"/>
          </w:tcPr>
          <w:p w:rsidR="00F56AFC" w:rsidRPr="00D63B6C" w:rsidRDefault="00F56AFC" w:rsidP="00636B86">
            <w:pPr>
              <w:pStyle w:val="TableLeft"/>
              <w:jc w:val="center"/>
              <w:rPr>
                <w:bCs w:val="0"/>
                <w:sz w:val="20"/>
                <w:szCs w:val="20"/>
              </w:rPr>
            </w:pPr>
          </w:p>
        </w:tc>
        <w:tc>
          <w:tcPr>
            <w:tcW w:w="1628"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12</w:t>
            </w:r>
          </w:p>
        </w:tc>
        <w:tc>
          <w:tcPr>
            <w:tcW w:w="99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1.23 (1.12, 1.35)</w:t>
            </w:r>
          </w:p>
        </w:tc>
        <w:tc>
          <w:tcPr>
            <w:tcW w:w="1493"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1.15 (1.07, 1.25)</w:t>
            </w:r>
          </w:p>
        </w:tc>
        <w:tc>
          <w:tcPr>
            <w:tcW w:w="108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w:t>
            </w:r>
          </w:p>
        </w:tc>
      </w:tr>
      <w:tr w:rsidR="00D63B6C" w:rsidRPr="00D63B6C" w:rsidTr="00636B86">
        <w:tc>
          <w:tcPr>
            <w:tcW w:w="10440" w:type="dxa"/>
            <w:gridSpan w:val="8"/>
            <w:shd w:val="clear" w:color="auto" w:fill="auto"/>
            <w:vAlign w:val="center"/>
          </w:tcPr>
          <w:p w:rsidR="00D63B6C" w:rsidRPr="00D63B6C" w:rsidRDefault="00D63B6C" w:rsidP="00636B86">
            <w:pPr>
              <w:pStyle w:val="TableLeft"/>
              <w:jc w:val="center"/>
              <w:rPr>
                <w:bCs w:val="0"/>
                <w:sz w:val="20"/>
                <w:szCs w:val="20"/>
              </w:rPr>
            </w:pPr>
            <w:r w:rsidRPr="00D63B6C">
              <w:rPr>
                <w:bCs w:val="0"/>
                <w:sz w:val="20"/>
                <w:szCs w:val="20"/>
              </w:rPr>
              <w:t>Statin</w:t>
            </w:r>
          </w:p>
        </w:tc>
      </w:tr>
      <w:tr w:rsidR="00F56AFC" w:rsidRPr="00D63B6C" w:rsidTr="009817CA">
        <w:tc>
          <w:tcPr>
            <w:tcW w:w="1541" w:type="dxa"/>
            <w:vMerge w:val="restart"/>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Atorvastatin</w:t>
            </w:r>
          </w:p>
        </w:tc>
        <w:tc>
          <w:tcPr>
            <w:tcW w:w="160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Atorvastatin 10 mg single-dose</w:t>
            </w:r>
          </w:p>
        </w:tc>
        <w:tc>
          <w:tcPr>
            <w:tcW w:w="1628" w:type="dxa"/>
            <w:shd w:val="clear" w:color="auto" w:fill="auto"/>
            <w:vAlign w:val="center"/>
          </w:tcPr>
          <w:p w:rsidR="00F56AFC" w:rsidRPr="00D63B6C" w:rsidRDefault="00F56AFC" w:rsidP="00636B86">
            <w:pPr>
              <w:pStyle w:val="TableLeft"/>
              <w:jc w:val="center"/>
              <w:rPr>
                <w:bCs w:val="0"/>
                <w:sz w:val="20"/>
                <w:szCs w:val="20"/>
              </w:rPr>
            </w:pPr>
            <w:r>
              <w:rPr>
                <w:bCs w:val="0"/>
                <w:sz w:val="20"/>
                <w:szCs w:val="20"/>
              </w:rPr>
              <w:t xml:space="preserve">EBR + </w:t>
            </w:r>
            <w:r w:rsidRPr="00D63B6C">
              <w:rPr>
                <w:bCs w:val="0"/>
                <w:sz w:val="20"/>
                <w:szCs w:val="20"/>
              </w:rPr>
              <w:t xml:space="preserve">GZR </w:t>
            </w:r>
          </w:p>
        </w:tc>
        <w:tc>
          <w:tcPr>
            <w:tcW w:w="1657" w:type="dxa"/>
            <w:shd w:val="clear" w:color="auto" w:fill="auto"/>
            <w:vAlign w:val="center"/>
          </w:tcPr>
          <w:p w:rsidR="00F56AFC" w:rsidRPr="00D63B6C" w:rsidRDefault="00F56AFC" w:rsidP="00636B86">
            <w:pPr>
              <w:pStyle w:val="TableLeft"/>
              <w:jc w:val="center"/>
              <w:rPr>
                <w:bCs w:val="0"/>
                <w:sz w:val="20"/>
                <w:szCs w:val="20"/>
              </w:rPr>
            </w:pPr>
            <w:r>
              <w:rPr>
                <w:bCs w:val="0"/>
                <w:sz w:val="20"/>
                <w:szCs w:val="20"/>
              </w:rPr>
              <w:t xml:space="preserve">50 mg + </w:t>
            </w:r>
            <w:r w:rsidRPr="00D63B6C">
              <w:rPr>
                <w:bCs w:val="0"/>
                <w:sz w:val="20"/>
                <w:szCs w:val="20"/>
              </w:rPr>
              <w:t>200 mg once daily</w:t>
            </w:r>
          </w:p>
        </w:tc>
        <w:tc>
          <w:tcPr>
            <w:tcW w:w="439"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16</w:t>
            </w:r>
          </w:p>
        </w:tc>
        <w:tc>
          <w:tcPr>
            <w:tcW w:w="99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1.94 (1.63, 2.33)</w:t>
            </w:r>
          </w:p>
        </w:tc>
        <w:tc>
          <w:tcPr>
            <w:tcW w:w="1493"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4.34 (3.10, 6.07)</w:t>
            </w:r>
          </w:p>
        </w:tc>
        <w:tc>
          <w:tcPr>
            <w:tcW w:w="1084" w:type="dxa"/>
            <w:shd w:val="clear" w:color="auto" w:fill="auto"/>
            <w:vAlign w:val="center"/>
          </w:tcPr>
          <w:p w:rsidR="00F56AFC" w:rsidRPr="00D63B6C" w:rsidRDefault="00F56AFC" w:rsidP="00636B86">
            <w:pPr>
              <w:pStyle w:val="TableLeft"/>
              <w:jc w:val="center"/>
              <w:rPr>
                <w:bCs w:val="0"/>
                <w:sz w:val="20"/>
                <w:szCs w:val="20"/>
              </w:rPr>
            </w:pPr>
            <w:r w:rsidRPr="00D63B6C">
              <w:rPr>
                <w:bCs w:val="0"/>
                <w:sz w:val="20"/>
                <w:szCs w:val="20"/>
              </w:rPr>
              <w:t>0.21 (0.17, 0.26)</w:t>
            </w:r>
          </w:p>
        </w:tc>
      </w:tr>
      <w:tr w:rsidR="00F56AFC" w:rsidRPr="00D63B6C" w:rsidTr="009817CA">
        <w:tc>
          <w:tcPr>
            <w:tcW w:w="1541" w:type="dxa"/>
            <w:vMerge/>
            <w:shd w:val="clear" w:color="auto" w:fill="auto"/>
            <w:vAlign w:val="center"/>
            <w:hideMark/>
          </w:tcPr>
          <w:p w:rsidR="00F56AFC" w:rsidRPr="00D63B6C" w:rsidRDefault="00F56AFC" w:rsidP="00636B86">
            <w:pPr>
              <w:pStyle w:val="TableLeft"/>
              <w:jc w:val="center"/>
              <w:rPr>
                <w:bCs w:val="0"/>
                <w:sz w:val="20"/>
                <w:szCs w:val="20"/>
              </w:rPr>
            </w:pPr>
          </w:p>
        </w:tc>
        <w:tc>
          <w:tcPr>
            <w:tcW w:w="160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Atorvastatin 20 mg single-dose</w:t>
            </w:r>
          </w:p>
        </w:tc>
        <w:tc>
          <w:tcPr>
            <w:tcW w:w="1628"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9</w:t>
            </w:r>
          </w:p>
        </w:tc>
        <w:tc>
          <w:tcPr>
            <w:tcW w:w="99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3.00 (2.42, 3.72)</w:t>
            </w:r>
          </w:p>
        </w:tc>
        <w:tc>
          <w:tcPr>
            <w:tcW w:w="1493"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5.66 (3.39, 9.45)</w:t>
            </w:r>
          </w:p>
        </w:tc>
        <w:tc>
          <w:tcPr>
            <w:tcW w:w="1084" w:type="dxa"/>
            <w:shd w:val="clear" w:color="auto" w:fill="auto"/>
            <w:vAlign w:val="center"/>
            <w:hideMark/>
          </w:tcPr>
          <w:p w:rsidR="00F56AFC" w:rsidRPr="00D63B6C" w:rsidRDefault="00F56AFC" w:rsidP="00636B86">
            <w:pPr>
              <w:pStyle w:val="TableLeft"/>
              <w:jc w:val="center"/>
              <w:rPr>
                <w:bCs w:val="0"/>
                <w:sz w:val="20"/>
                <w:szCs w:val="20"/>
              </w:rPr>
            </w:pPr>
            <w:r w:rsidRPr="00D63B6C">
              <w:rPr>
                <w:bCs w:val="0"/>
                <w:sz w:val="20"/>
                <w:szCs w:val="20"/>
              </w:rPr>
              <w:t>--</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Pitavastatin</w:t>
            </w:r>
            <w:proofErr w:type="spellEnd"/>
          </w:p>
        </w:tc>
        <w:tc>
          <w:tcPr>
            <w:tcW w:w="1604" w:type="dxa"/>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Pitavastatin</w:t>
            </w:r>
            <w:proofErr w:type="spellEnd"/>
            <w:r w:rsidRPr="00D63B6C">
              <w:rPr>
                <w:bCs w:val="0"/>
                <w:sz w:val="20"/>
                <w:szCs w:val="20"/>
              </w:rPr>
              <w:t xml:space="preserve"> 1 mg single-dose</w:t>
            </w:r>
          </w:p>
        </w:tc>
        <w:tc>
          <w:tcPr>
            <w:tcW w:w="1628"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w:t>
            </w:r>
          </w:p>
        </w:tc>
        <w:tc>
          <w:tcPr>
            <w:tcW w:w="1657"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9</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1.11 (0.91, 1.34)</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1.27 (1.07, 1.52)</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w:t>
            </w:r>
          </w:p>
        </w:tc>
      </w:tr>
      <w:tr w:rsidR="00D63B6C" w:rsidRPr="00D63B6C" w:rsidTr="009817CA">
        <w:tc>
          <w:tcPr>
            <w:tcW w:w="1541"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Pravastatin</w:t>
            </w:r>
          </w:p>
        </w:tc>
        <w:tc>
          <w:tcPr>
            <w:tcW w:w="160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Pravastatin 40 mg single-dose</w:t>
            </w:r>
          </w:p>
        </w:tc>
        <w:tc>
          <w:tcPr>
            <w:tcW w:w="1628" w:type="dxa"/>
            <w:shd w:val="clear" w:color="auto" w:fill="auto"/>
            <w:vAlign w:val="center"/>
            <w:hideMark/>
          </w:tcPr>
          <w:p w:rsidR="00D63B6C" w:rsidRPr="00D63B6C" w:rsidRDefault="00F56AFC" w:rsidP="00F56AFC">
            <w:pPr>
              <w:pStyle w:val="TableLeft"/>
              <w:jc w:val="center"/>
              <w:rPr>
                <w:bCs w:val="0"/>
                <w:sz w:val="20"/>
                <w:szCs w:val="20"/>
              </w:rPr>
            </w:pPr>
            <w:r>
              <w:rPr>
                <w:bCs w:val="0"/>
                <w:sz w:val="20"/>
                <w:szCs w:val="20"/>
              </w:rPr>
              <w:t xml:space="preserve">EBR + </w:t>
            </w:r>
            <w:r w:rsidR="00D63B6C" w:rsidRPr="00D63B6C">
              <w:rPr>
                <w:bCs w:val="0"/>
                <w:sz w:val="20"/>
                <w:szCs w:val="20"/>
              </w:rPr>
              <w:t xml:space="preserve">GZR </w:t>
            </w:r>
          </w:p>
        </w:tc>
        <w:tc>
          <w:tcPr>
            <w:tcW w:w="1657" w:type="dxa"/>
            <w:shd w:val="clear" w:color="auto" w:fill="auto"/>
            <w:vAlign w:val="center"/>
            <w:hideMark/>
          </w:tcPr>
          <w:p w:rsidR="00D63B6C" w:rsidRPr="00D63B6C" w:rsidRDefault="00F56AFC" w:rsidP="00F56AFC">
            <w:pPr>
              <w:pStyle w:val="TableLeft"/>
              <w:jc w:val="center"/>
              <w:rPr>
                <w:bCs w:val="0"/>
                <w:sz w:val="20"/>
                <w:szCs w:val="20"/>
              </w:rPr>
            </w:pPr>
            <w:r w:rsidRPr="00D63B6C">
              <w:rPr>
                <w:bCs w:val="0"/>
                <w:sz w:val="20"/>
                <w:szCs w:val="20"/>
              </w:rPr>
              <w:t xml:space="preserve">50 mg </w:t>
            </w:r>
            <w:r>
              <w:rPr>
                <w:bCs w:val="0"/>
                <w:sz w:val="20"/>
                <w:szCs w:val="20"/>
              </w:rPr>
              <w:t xml:space="preserve">+ </w:t>
            </w:r>
            <w:r w:rsidR="00D63B6C"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12</w:t>
            </w:r>
          </w:p>
        </w:tc>
        <w:tc>
          <w:tcPr>
            <w:tcW w:w="99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1.33 (1.09, 1.64)</w:t>
            </w:r>
            <w:r w:rsidRPr="00D63B6C">
              <w:rPr>
                <w:bCs w:val="0"/>
                <w:sz w:val="20"/>
                <w:szCs w:val="20"/>
                <w:vertAlign w:val="superscript"/>
              </w:rPr>
              <w:t>¶</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1.28 (1.05, 1.55)</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w:t>
            </w:r>
          </w:p>
        </w:tc>
      </w:tr>
      <w:tr w:rsidR="00D63B6C" w:rsidRPr="00D63B6C" w:rsidTr="009817CA">
        <w:tc>
          <w:tcPr>
            <w:tcW w:w="1541" w:type="dxa"/>
            <w:vMerge w:val="restart"/>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Rosuvastatin</w:t>
            </w:r>
            <w:proofErr w:type="spellEnd"/>
          </w:p>
        </w:tc>
        <w:tc>
          <w:tcPr>
            <w:tcW w:w="1604" w:type="dxa"/>
            <w:vMerge w:val="restart"/>
            <w:shd w:val="clear" w:color="auto" w:fill="auto"/>
            <w:vAlign w:val="center"/>
            <w:hideMark/>
          </w:tcPr>
          <w:p w:rsidR="00D63B6C" w:rsidRPr="00D63B6C" w:rsidRDefault="00D63B6C" w:rsidP="00636B86">
            <w:pPr>
              <w:pStyle w:val="TableLeft"/>
              <w:jc w:val="center"/>
              <w:rPr>
                <w:bCs w:val="0"/>
                <w:sz w:val="20"/>
                <w:szCs w:val="20"/>
              </w:rPr>
            </w:pPr>
            <w:proofErr w:type="spellStart"/>
            <w:r w:rsidRPr="00D63B6C">
              <w:rPr>
                <w:bCs w:val="0"/>
                <w:sz w:val="20"/>
                <w:szCs w:val="20"/>
              </w:rPr>
              <w:t>Rosuvastatin</w:t>
            </w:r>
            <w:proofErr w:type="spellEnd"/>
            <w:r w:rsidRPr="00D63B6C">
              <w:rPr>
                <w:bCs w:val="0"/>
                <w:sz w:val="20"/>
                <w:szCs w:val="20"/>
              </w:rPr>
              <w:t xml:space="preserve"> 10 mg single-dose</w:t>
            </w:r>
          </w:p>
        </w:tc>
        <w:tc>
          <w:tcPr>
            <w:tcW w:w="1628" w:type="dxa"/>
            <w:shd w:val="clear" w:color="auto" w:fill="auto"/>
            <w:vAlign w:val="center"/>
            <w:hideMark/>
          </w:tcPr>
          <w:p w:rsidR="00D63B6C" w:rsidRPr="00D63B6C" w:rsidRDefault="00F56AFC" w:rsidP="00F56AFC">
            <w:pPr>
              <w:pStyle w:val="TableLeft"/>
              <w:jc w:val="center"/>
              <w:rPr>
                <w:bCs w:val="0"/>
                <w:sz w:val="20"/>
                <w:szCs w:val="20"/>
              </w:rPr>
            </w:pPr>
            <w:r>
              <w:rPr>
                <w:bCs w:val="0"/>
                <w:sz w:val="20"/>
                <w:szCs w:val="20"/>
              </w:rPr>
              <w:t xml:space="preserve">EBR + </w:t>
            </w:r>
            <w:r w:rsidR="00D63B6C" w:rsidRPr="00D63B6C">
              <w:rPr>
                <w:bCs w:val="0"/>
                <w:sz w:val="20"/>
                <w:szCs w:val="20"/>
              </w:rPr>
              <w:t xml:space="preserve">GZR </w:t>
            </w:r>
          </w:p>
        </w:tc>
        <w:tc>
          <w:tcPr>
            <w:tcW w:w="1657" w:type="dxa"/>
            <w:shd w:val="clear" w:color="auto" w:fill="auto"/>
            <w:vAlign w:val="center"/>
            <w:hideMark/>
          </w:tcPr>
          <w:p w:rsidR="00D63B6C" w:rsidRPr="00D63B6C" w:rsidRDefault="00F56AFC" w:rsidP="00F56AFC">
            <w:pPr>
              <w:pStyle w:val="TableLeft"/>
              <w:jc w:val="center"/>
              <w:rPr>
                <w:bCs w:val="0"/>
                <w:sz w:val="20"/>
                <w:szCs w:val="20"/>
              </w:rPr>
            </w:pPr>
            <w:r w:rsidRPr="00D63B6C">
              <w:rPr>
                <w:bCs w:val="0"/>
                <w:sz w:val="20"/>
                <w:szCs w:val="20"/>
              </w:rPr>
              <w:t xml:space="preserve">50 mg </w:t>
            </w:r>
            <w:r>
              <w:rPr>
                <w:bCs w:val="0"/>
                <w:sz w:val="20"/>
                <w:szCs w:val="20"/>
              </w:rPr>
              <w:t xml:space="preserve">+ </w:t>
            </w:r>
            <w:r w:rsidR="00D63B6C" w:rsidRPr="00D63B6C">
              <w:rPr>
                <w:bCs w:val="0"/>
                <w:sz w:val="20"/>
                <w:szCs w:val="20"/>
              </w:rPr>
              <w:t>200 mg once daily</w:t>
            </w:r>
          </w:p>
        </w:tc>
        <w:tc>
          <w:tcPr>
            <w:tcW w:w="439"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12</w:t>
            </w:r>
          </w:p>
        </w:tc>
        <w:tc>
          <w:tcPr>
            <w:tcW w:w="994" w:type="dxa"/>
            <w:shd w:val="clear" w:color="auto" w:fill="auto"/>
            <w:vAlign w:val="center"/>
            <w:hideMark/>
          </w:tcPr>
          <w:p w:rsidR="00D63B6C" w:rsidRPr="00D63B6C" w:rsidRDefault="00D63B6C" w:rsidP="00636B86">
            <w:pPr>
              <w:pStyle w:val="TableLeft"/>
              <w:jc w:val="center"/>
              <w:rPr>
                <w:bCs w:val="0"/>
                <w:sz w:val="20"/>
                <w:szCs w:val="20"/>
                <w:vertAlign w:val="superscript"/>
              </w:rPr>
            </w:pPr>
            <w:r w:rsidRPr="00D63B6C">
              <w:rPr>
                <w:bCs w:val="0"/>
                <w:sz w:val="20"/>
                <w:szCs w:val="20"/>
              </w:rPr>
              <w:t>2.26 (1.89, 2.69)</w:t>
            </w:r>
            <w:r w:rsidRPr="00D63B6C">
              <w:rPr>
                <w:bCs w:val="0"/>
                <w:sz w:val="20"/>
                <w:szCs w:val="20"/>
                <w:vertAlign w:val="superscript"/>
              </w:rPr>
              <w:t>#</w:t>
            </w:r>
          </w:p>
        </w:tc>
        <w:tc>
          <w:tcPr>
            <w:tcW w:w="1493"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5.49 (4.29, 7.04)</w:t>
            </w:r>
          </w:p>
        </w:tc>
        <w:tc>
          <w:tcPr>
            <w:tcW w:w="1084" w:type="dxa"/>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0.98 (0.84, 1.13)</w:t>
            </w:r>
          </w:p>
        </w:tc>
      </w:tr>
      <w:tr w:rsidR="00D63B6C" w:rsidRPr="00D63B6C" w:rsidTr="009817CA">
        <w:tc>
          <w:tcPr>
            <w:tcW w:w="1541" w:type="dxa"/>
            <w:vMerge/>
            <w:tcBorders>
              <w:bottom w:val="single" w:sz="4" w:space="0" w:color="auto"/>
            </w:tcBorders>
            <w:shd w:val="clear" w:color="auto" w:fill="auto"/>
            <w:vAlign w:val="center"/>
          </w:tcPr>
          <w:p w:rsidR="00D63B6C" w:rsidRPr="00D63B6C" w:rsidRDefault="00D63B6C" w:rsidP="00636B86">
            <w:pPr>
              <w:pStyle w:val="TableLeft"/>
              <w:jc w:val="center"/>
              <w:rPr>
                <w:bCs w:val="0"/>
                <w:sz w:val="20"/>
                <w:szCs w:val="20"/>
              </w:rPr>
            </w:pPr>
          </w:p>
        </w:tc>
        <w:tc>
          <w:tcPr>
            <w:tcW w:w="1604" w:type="dxa"/>
            <w:vMerge/>
            <w:tcBorders>
              <w:bottom w:val="single" w:sz="4" w:space="0" w:color="auto"/>
            </w:tcBorders>
            <w:shd w:val="clear" w:color="auto" w:fill="auto"/>
            <w:vAlign w:val="center"/>
          </w:tcPr>
          <w:p w:rsidR="00D63B6C" w:rsidRPr="00D63B6C" w:rsidRDefault="00D63B6C" w:rsidP="00636B86">
            <w:pPr>
              <w:pStyle w:val="TableLeft"/>
              <w:jc w:val="center"/>
              <w:rPr>
                <w:bCs w:val="0"/>
                <w:sz w:val="20"/>
                <w:szCs w:val="20"/>
              </w:rPr>
            </w:pPr>
          </w:p>
        </w:tc>
        <w:tc>
          <w:tcPr>
            <w:tcW w:w="1628" w:type="dxa"/>
            <w:tcBorders>
              <w:bottom w:val="single" w:sz="4" w:space="0" w:color="auto"/>
            </w:tcBorders>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GZR</w:t>
            </w:r>
          </w:p>
        </w:tc>
        <w:tc>
          <w:tcPr>
            <w:tcW w:w="1657" w:type="dxa"/>
            <w:tcBorders>
              <w:bottom w:val="single" w:sz="4" w:space="0" w:color="auto"/>
            </w:tcBorders>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200 mg once daily</w:t>
            </w:r>
          </w:p>
        </w:tc>
        <w:tc>
          <w:tcPr>
            <w:tcW w:w="439" w:type="dxa"/>
            <w:tcBorders>
              <w:bottom w:val="single" w:sz="4" w:space="0" w:color="auto"/>
            </w:tcBorders>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12</w:t>
            </w:r>
          </w:p>
        </w:tc>
        <w:tc>
          <w:tcPr>
            <w:tcW w:w="994" w:type="dxa"/>
            <w:tcBorders>
              <w:bottom w:val="single" w:sz="4" w:space="0" w:color="auto"/>
            </w:tcBorders>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1.59 (1.33, 1.89)</w:t>
            </w:r>
            <w:r w:rsidRPr="00D63B6C">
              <w:rPr>
                <w:bCs w:val="0"/>
                <w:sz w:val="20"/>
                <w:szCs w:val="20"/>
                <w:vertAlign w:val="superscript"/>
              </w:rPr>
              <w:t>#</w:t>
            </w:r>
          </w:p>
        </w:tc>
        <w:tc>
          <w:tcPr>
            <w:tcW w:w="1493" w:type="dxa"/>
            <w:tcBorders>
              <w:bottom w:val="single" w:sz="4" w:space="0" w:color="auto"/>
            </w:tcBorders>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4.25 (3.25, 5.56)</w:t>
            </w:r>
          </w:p>
        </w:tc>
        <w:tc>
          <w:tcPr>
            <w:tcW w:w="1084" w:type="dxa"/>
            <w:tcBorders>
              <w:bottom w:val="single" w:sz="4" w:space="0" w:color="auto"/>
            </w:tcBorders>
            <w:shd w:val="clear" w:color="auto" w:fill="auto"/>
            <w:vAlign w:val="center"/>
            <w:hideMark/>
          </w:tcPr>
          <w:p w:rsidR="00D63B6C" w:rsidRPr="00D63B6C" w:rsidRDefault="00D63B6C" w:rsidP="00636B86">
            <w:pPr>
              <w:pStyle w:val="TableLeft"/>
              <w:jc w:val="center"/>
              <w:rPr>
                <w:bCs w:val="0"/>
                <w:sz w:val="20"/>
                <w:szCs w:val="20"/>
              </w:rPr>
            </w:pPr>
            <w:r w:rsidRPr="00D63B6C">
              <w:rPr>
                <w:bCs w:val="0"/>
                <w:sz w:val="20"/>
                <w:szCs w:val="20"/>
              </w:rPr>
              <w:t xml:space="preserve">0.80 (0.70, 0.91) </w:t>
            </w:r>
          </w:p>
        </w:tc>
      </w:tr>
    </w:tbl>
    <w:p w:rsidR="0067217F" w:rsidRPr="00F42F76" w:rsidRDefault="0067217F" w:rsidP="00F42F76">
      <w:pPr>
        <w:pStyle w:val="NoSpacing"/>
        <w:rPr>
          <w:bCs/>
          <w:sz w:val="18"/>
        </w:rPr>
      </w:pPr>
      <w:r w:rsidRPr="00F42F76">
        <w:rPr>
          <w:sz w:val="18"/>
        </w:rPr>
        <w:t>Abbreviations:</w:t>
      </w:r>
      <w:r w:rsidR="00980E87">
        <w:rPr>
          <w:sz w:val="18"/>
        </w:rPr>
        <w:t xml:space="preserve"> EBR, </w:t>
      </w:r>
      <w:proofErr w:type="spellStart"/>
      <w:r w:rsidR="00980E87">
        <w:rPr>
          <w:sz w:val="18"/>
        </w:rPr>
        <w:t>elbasvir</w:t>
      </w:r>
      <w:proofErr w:type="spellEnd"/>
      <w:proofErr w:type="gramStart"/>
      <w:r w:rsidR="00980E87">
        <w:rPr>
          <w:sz w:val="18"/>
        </w:rPr>
        <w:t xml:space="preserve">; </w:t>
      </w:r>
      <w:r w:rsidRPr="00F42F76">
        <w:rPr>
          <w:sz w:val="18"/>
        </w:rPr>
        <w:t xml:space="preserve"> GZR</w:t>
      </w:r>
      <w:proofErr w:type="gramEnd"/>
      <w:r w:rsidRPr="00F42F76">
        <w:rPr>
          <w:sz w:val="18"/>
        </w:rPr>
        <w:t xml:space="preserve">, </w:t>
      </w:r>
      <w:proofErr w:type="spellStart"/>
      <w:r w:rsidRPr="00F42F76">
        <w:rPr>
          <w:sz w:val="18"/>
        </w:rPr>
        <w:t>grazoprevir</w:t>
      </w:r>
      <w:proofErr w:type="spellEnd"/>
      <w:r w:rsidRPr="00F42F76">
        <w:rPr>
          <w:sz w:val="18"/>
        </w:rPr>
        <w:t xml:space="preserve">; </w:t>
      </w:r>
      <w:r w:rsidR="00980E87">
        <w:rPr>
          <w:sz w:val="18"/>
        </w:rPr>
        <w:t xml:space="preserve">EBR + </w:t>
      </w:r>
      <w:r w:rsidRPr="00F42F76">
        <w:rPr>
          <w:sz w:val="18"/>
        </w:rPr>
        <w:t xml:space="preserve">GZR, administration of </w:t>
      </w:r>
      <w:r w:rsidR="00980E87">
        <w:rPr>
          <w:sz w:val="18"/>
        </w:rPr>
        <w:t xml:space="preserve">EBR and </w:t>
      </w:r>
      <w:r w:rsidRPr="00F42F76">
        <w:rPr>
          <w:sz w:val="18"/>
        </w:rPr>
        <w:t>GZR as separate tablets</w:t>
      </w:r>
      <w:r w:rsidR="00895E1B">
        <w:rPr>
          <w:sz w:val="18"/>
        </w:rPr>
        <w:t>; EBR/ZGR, administration of EBR and GZR as a single fixed-dose combination tablet</w:t>
      </w:r>
    </w:p>
    <w:p w:rsidR="0067217F" w:rsidRPr="00F42F76" w:rsidRDefault="0067217F" w:rsidP="00F42F76">
      <w:pPr>
        <w:pStyle w:val="NoSpacing"/>
        <w:rPr>
          <w:bCs/>
          <w:sz w:val="18"/>
        </w:rPr>
      </w:pPr>
      <w:r w:rsidRPr="00F42F76">
        <w:rPr>
          <w:color w:val="000000"/>
          <w:sz w:val="18"/>
        </w:rPr>
        <w:t>*AUC</w:t>
      </w:r>
      <w:r w:rsidRPr="00F42F76">
        <w:rPr>
          <w:color w:val="000000"/>
          <w:sz w:val="18"/>
          <w:vertAlign w:val="subscript"/>
        </w:rPr>
        <w:t>0-inf</w:t>
      </w:r>
      <w:r w:rsidRPr="00F42F76">
        <w:rPr>
          <w:color w:val="000000"/>
          <w:sz w:val="18"/>
        </w:rPr>
        <w:t xml:space="preserve"> for single-dose administration; AUC</w:t>
      </w:r>
      <w:r w:rsidRPr="00F42F76">
        <w:rPr>
          <w:color w:val="000000"/>
          <w:sz w:val="18"/>
          <w:vertAlign w:val="subscript"/>
        </w:rPr>
        <w:t>0-24</w:t>
      </w:r>
      <w:r w:rsidRPr="00F42F76">
        <w:rPr>
          <w:color w:val="000000"/>
          <w:sz w:val="18"/>
        </w:rPr>
        <w:t xml:space="preserve"> for once daily administration; AUC</w:t>
      </w:r>
      <w:r w:rsidRPr="00F42F76">
        <w:rPr>
          <w:color w:val="000000"/>
          <w:sz w:val="18"/>
          <w:vertAlign w:val="subscript"/>
        </w:rPr>
        <w:t>0-12</w:t>
      </w:r>
      <w:r w:rsidRPr="00F42F76">
        <w:rPr>
          <w:color w:val="000000"/>
          <w:sz w:val="18"/>
        </w:rPr>
        <w:t xml:space="preserve"> for twice daily administration</w:t>
      </w:r>
    </w:p>
    <w:p w:rsidR="0067217F" w:rsidRPr="00F42F76" w:rsidRDefault="0067217F" w:rsidP="00F42F76">
      <w:pPr>
        <w:pStyle w:val="NoSpacing"/>
        <w:rPr>
          <w:color w:val="000000"/>
          <w:sz w:val="18"/>
        </w:rPr>
      </w:pPr>
      <w:r w:rsidRPr="00F42F76">
        <w:rPr>
          <w:color w:val="000000"/>
          <w:sz w:val="18"/>
          <w:vertAlign w:val="superscript"/>
        </w:rPr>
        <w:t>†</w:t>
      </w:r>
      <w:r w:rsidRPr="00F42F76">
        <w:rPr>
          <w:color w:val="000000"/>
          <w:sz w:val="18"/>
        </w:rPr>
        <w:t>C24 for once daily administration; C12 for twice daily administration</w:t>
      </w:r>
    </w:p>
    <w:p w:rsidR="0067217F" w:rsidRPr="00F42F76" w:rsidRDefault="0067217F" w:rsidP="00F42F76">
      <w:pPr>
        <w:pStyle w:val="NoSpacing"/>
        <w:rPr>
          <w:color w:val="000000"/>
          <w:sz w:val="18"/>
        </w:rPr>
      </w:pPr>
      <w:r w:rsidRPr="00F42F76">
        <w:rPr>
          <w:color w:val="000000"/>
          <w:sz w:val="18"/>
          <w:vertAlign w:val="superscript"/>
        </w:rPr>
        <w:t>‡</w:t>
      </w:r>
      <w:r w:rsidRPr="00F42F76">
        <w:rPr>
          <w:color w:val="000000"/>
          <w:sz w:val="18"/>
        </w:rPr>
        <w:t>N=14</w:t>
      </w:r>
    </w:p>
    <w:p w:rsidR="0067217F" w:rsidRPr="00F42F76" w:rsidRDefault="0067217F" w:rsidP="00F42F76">
      <w:pPr>
        <w:pStyle w:val="NoSpacing"/>
        <w:rPr>
          <w:color w:val="000000"/>
          <w:sz w:val="18"/>
        </w:rPr>
      </w:pPr>
      <w:r w:rsidRPr="00F42F76">
        <w:rPr>
          <w:color w:val="000000"/>
          <w:sz w:val="18"/>
          <w:vertAlign w:val="superscript"/>
        </w:rPr>
        <w:t>§</w:t>
      </w:r>
      <w:r w:rsidRPr="00F42F76">
        <w:rPr>
          <w:color w:val="000000"/>
          <w:sz w:val="18"/>
        </w:rPr>
        <w:t>C12</w:t>
      </w:r>
    </w:p>
    <w:p w:rsidR="0067217F" w:rsidRPr="00F42F76" w:rsidRDefault="0067217F" w:rsidP="00F42F76">
      <w:pPr>
        <w:pStyle w:val="NoSpacing"/>
        <w:rPr>
          <w:color w:val="000000"/>
          <w:sz w:val="18"/>
        </w:rPr>
      </w:pPr>
      <w:r w:rsidRPr="00F42F76">
        <w:rPr>
          <w:color w:val="000000"/>
          <w:sz w:val="18"/>
          <w:vertAlign w:val="superscript"/>
        </w:rPr>
        <w:t>¶</w:t>
      </w:r>
      <w:r w:rsidRPr="00F42F76">
        <w:rPr>
          <w:color w:val="000000"/>
          <w:sz w:val="18"/>
        </w:rPr>
        <w:t>N=10</w:t>
      </w:r>
    </w:p>
    <w:p w:rsidR="0067217F" w:rsidRPr="00F42F76" w:rsidRDefault="0067217F" w:rsidP="00F42F76">
      <w:pPr>
        <w:pStyle w:val="NoSpacing"/>
        <w:rPr>
          <w:sz w:val="18"/>
          <w:szCs w:val="20"/>
        </w:rPr>
      </w:pPr>
      <w:r w:rsidRPr="00F42F76">
        <w:rPr>
          <w:sz w:val="18"/>
          <w:vertAlign w:val="superscript"/>
        </w:rPr>
        <w:t>#</w:t>
      </w:r>
      <w:r w:rsidRPr="00F42F76">
        <w:rPr>
          <w:color w:val="000000"/>
          <w:sz w:val="18"/>
        </w:rPr>
        <w:t>N=8</w:t>
      </w:r>
    </w:p>
    <w:p w:rsidR="00157EE1" w:rsidRDefault="00157EE1">
      <w:pPr>
        <w:spacing w:before="0" w:after="0"/>
        <w:rPr>
          <w:b/>
          <w:caps/>
          <w:kern w:val="28"/>
          <w:sz w:val="24"/>
          <w:u w:val="single"/>
        </w:rPr>
      </w:pPr>
      <w:r>
        <w:rPr>
          <w:u w:val="single"/>
        </w:rPr>
        <w:br w:type="page"/>
      </w:r>
    </w:p>
    <w:p w:rsidR="00BA7B47" w:rsidRPr="0045653A" w:rsidRDefault="00CC78DD" w:rsidP="00F92767">
      <w:pPr>
        <w:pStyle w:val="Heading1"/>
        <w:rPr>
          <w:u w:val="single"/>
        </w:rPr>
      </w:pPr>
      <w:r w:rsidRPr="0045653A">
        <w:rPr>
          <w:u w:val="single"/>
        </w:rPr>
        <w:lastRenderedPageBreak/>
        <w:t>CLINICAL TRIALS</w:t>
      </w:r>
      <w:bookmarkStart w:id="2" w:name="OLE_LINK2"/>
    </w:p>
    <w:p w:rsidR="00363143" w:rsidRDefault="00363143" w:rsidP="00363143">
      <w:r w:rsidRPr="00031608">
        <w:t xml:space="preserve">The </w:t>
      </w:r>
      <w:r>
        <w:t>safety an</w:t>
      </w:r>
      <w:r w:rsidRPr="00E11AD3">
        <w:t xml:space="preserve">d efficacy of </w:t>
      </w:r>
      <w:r w:rsidR="000D7FE6">
        <w:t>ZEPATIER</w:t>
      </w:r>
      <w:r w:rsidRPr="00E11AD3">
        <w:t xml:space="preserve"> or </w:t>
      </w:r>
      <w:proofErr w:type="spellStart"/>
      <w:r w:rsidR="001C3857" w:rsidRPr="00D63B6C">
        <w:t>elbasvir</w:t>
      </w:r>
      <w:proofErr w:type="spellEnd"/>
      <w:r w:rsidR="001C3857" w:rsidRPr="00D63B6C">
        <w:t xml:space="preserve"> </w:t>
      </w:r>
      <w:r w:rsidR="001C3857">
        <w:t xml:space="preserve">+ </w:t>
      </w:r>
      <w:proofErr w:type="spellStart"/>
      <w:r w:rsidRPr="00E11AD3">
        <w:t>grazoprevir</w:t>
      </w:r>
      <w:proofErr w:type="spellEnd"/>
      <w:r w:rsidRPr="00E11AD3">
        <w:t xml:space="preserve"> were evaluated in 8 clinical trials  in approximately 1800 subjects with genotype (GT) 1, 3, 4, or 6 chronic hepatitis C (CHC) infection with compensated</w:t>
      </w:r>
      <w:r w:rsidRPr="00BA56DF">
        <w:t xml:space="preserve"> liver disease</w:t>
      </w:r>
      <w:r>
        <w:t xml:space="preserve"> (with and without cirrhosis)</w:t>
      </w:r>
      <w:r w:rsidRPr="00BA56DF">
        <w:t xml:space="preserve">. </w:t>
      </w:r>
      <w:r>
        <w:t xml:space="preserve">An overview of the trials is provided in </w:t>
      </w:r>
      <w:r w:rsidR="002A3BDE">
        <w:fldChar w:fldCharType="begin"/>
      </w:r>
      <w:r w:rsidR="002A3BDE">
        <w:instrText xml:space="preserve"> REF _Ref423004839 \h </w:instrText>
      </w:r>
      <w:r w:rsidR="002A3BDE">
        <w:fldChar w:fldCharType="separate"/>
      </w:r>
      <w:r w:rsidR="008B30DE">
        <w:t xml:space="preserve">Table </w:t>
      </w:r>
      <w:r w:rsidR="00E5382C">
        <w:t>4</w:t>
      </w:r>
      <w:r w:rsidR="002A3BDE">
        <w:fldChar w:fldCharType="end"/>
      </w:r>
      <w:r>
        <w:t>.</w:t>
      </w:r>
    </w:p>
    <w:p w:rsidR="00363143" w:rsidRPr="00363143" w:rsidRDefault="00363143" w:rsidP="00363143">
      <w:pPr>
        <w:pStyle w:val="Caption"/>
        <w:keepNext/>
        <w:jc w:val="center"/>
        <w:rPr>
          <w:color w:val="000000"/>
        </w:rPr>
      </w:pPr>
      <w:bookmarkStart w:id="3" w:name="_Ref423004839"/>
      <w:r>
        <w:t xml:space="preserve">Table </w:t>
      </w:r>
      <w:bookmarkEnd w:id="3"/>
      <w:r w:rsidR="00E5382C">
        <w:t>4</w:t>
      </w:r>
      <w:r w:rsidRPr="00363143">
        <w:rPr>
          <w:color w:val="000000"/>
        </w:rPr>
        <w:t xml:space="preserve">: Trials Conducted with </w:t>
      </w:r>
      <w:r w:rsidR="000D7FE6">
        <w:rPr>
          <w:color w:val="000000"/>
        </w:rPr>
        <w:t>ZEPATIER</w:t>
      </w:r>
    </w:p>
    <w:tbl>
      <w:tblPr>
        <w:tblW w:w="0" w:type="auto"/>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300"/>
        <w:gridCol w:w="4778"/>
      </w:tblGrid>
      <w:tr w:rsidR="00363143" w:rsidTr="0045653A">
        <w:trPr>
          <w:jc w:val="center"/>
        </w:trPr>
        <w:tc>
          <w:tcPr>
            <w:tcW w:w="2117" w:type="dxa"/>
            <w:shd w:val="clear" w:color="auto" w:fill="auto"/>
          </w:tcPr>
          <w:p w:rsidR="00363143" w:rsidRPr="00157EE1" w:rsidRDefault="00363143" w:rsidP="00812C6B">
            <w:pPr>
              <w:rPr>
                <w:b/>
                <w:color w:val="000000"/>
                <w:sz w:val="20"/>
                <w:szCs w:val="20"/>
              </w:rPr>
            </w:pPr>
            <w:r w:rsidRPr="00157EE1">
              <w:rPr>
                <w:b/>
                <w:color w:val="000000"/>
                <w:sz w:val="20"/>
                <w:szCs w:val="20"/>
              </w:rPr>
              <w:t xml:space="preserve">Trial </w:t>
            </w:r>
          </w:p>
        </w:tc>
        <w:tc>
          <w:tcPr>
            <w:tcW w:w="2300" w:type="dxa"/>
            <w:shd w:val="clear" w:color="auto" w:fill="auto"/>
          </w:tcPr>
          <w:p w:rsidR="00363143" w:rsidRPr="00157EE1" w:rsidRDefault="00363143" w:rsidP="00812C6B">
            <w:pPr>
              <w:jc w:val="center"/>
              <w:rPr>
                <w:b/>
                <w:color w:val="000000"/>
                <w:sz w:val="20"/>
                <w:szCs w:val="20"/>
              </w:rPr>
            </w:pPr>
            <w:r w:rsidRPr="00157EE1">
              <w:rPr>
                <w:b/>
                <w:color w:val="000000"/>
                <w:sz w:val="20"/>
                <w:szCs w:val="20"/>
              </w:rPr>
              <w:t>Population</w:t>
            </w:r>
          </w:p>
        </w:tc>
        <w:tc>
          <w:tcPr>
            <w:tcW w:w="4778" w:type="dxa"/>
            <w:shd w:val="clear" w:color="auto" w:fill="auto"/>
          </w:tcPr>
          <w:p w:rsidR="00363143" w:rsidRPr="00157EE1" w:rsidRDefault="00363143" w:rsidP="00812C6B">
            <w:pPr>
              <w:jc w:val="center"/>
              <w:rPr>
                <w:b/>
                <w:color w:val="000000"/>
                <w:sz w:val="20"/>
                <w:szCs w:val="20"/>
              </w:rPr>
            </w:pPr>
            <w:r w:rsidRPr="00157EE1">
              <w:rPr>
                <w:b/>
                <w:color w:val="000000"/>
                <w:sz w:val="20"/>
                <w:szCs w:val="20"/>
              </w:rPr>
              <w:t>Study Arms and Duration</w:t>
            </w:r>
          </w:p>
          <w:p w:rsidR="00363143" w:rsidRPr="00157EE1" w:rsidRDefault="00363143" w:rsidP="00812C6B">
            <w:pPr>
              <w:spacing w:after="120"/>
              <w:jc w:val="center"/>
              <w:rPr>
                <w:b/>
                <w:color w:val="000000"/>
                <w:sz w:val="20"/>
                <w:szCs w:val="20"/>
              </w:rPr>
            </w:pPr>
            <w:r w:rsidRPr="00157EE1">
              <w:rPr>
                <w:b/>
                <w:color w:val="000000"/>
                <w:sz w:val="20"/>
                <w:szCs w:val="20"/>
              </w:rPr>
              <w:t>(Number of Subjects Treated)</w:t>
            </w:r>
          </w:p>
        </w:tc>
      </w:tr>
      <w:tr w:rsidR="00363143" w:rsidTr="0045653A">
        <w:trPr>
          <w:jc w:val="center"/>
        </w:trPr>
        <w:tc>
          <w:tcPr>
            <w:tcW w:w="2117" w:type="dxa"/>
            <w:shd w:val="clear" w:color="auto" w:fill="auto"/>
          </w:tcPr>
          <w:p w:rsidR="00363143" w:rsidRPr="00157EE1" w:rsidRDefault="00363143" w:rsidP="00812C6B">
            <w:pPr>
              <w:rPr>
                <w:color w:val="000000"/>
                <w:sz w:val="20"/>
                <w:szCs w:val="20"/>
              </w:rPr>
            </w:pPr>
            <w:r w:rsidRPr="00157EE1">
              <w:rPr>
                <w:sz w:val="20"/>
                <w:szCs w:val="20"/>
              </w:rPr>
              <w:t>C-EDGE TN</w:t>
            </w:r>
          </w:p>
          <w:p w:rsidR="00363143" w:rsidRPr="00157EE1" w:rsidRDefault="00363143" w:rsidP="00812C6B">
            <w:pPr>
              <w:rPr>
                <w:color w:val="000000"/>
                <w:sz w:val="20"/>
                <w:szCs w:val="20"/>
              </w:rPr>
            </w:pPr>
            <w:r w:rsidRPr="00157EE1">
              <w:rPr>
                <w:color w:val="000000"/>
                <w:sz w:val="20"/>
                <w:szCs w:val="20"/>
              </w:rPr>
              <w:t>(double-blind)</w:t>
            </w:r>
          </w:p>
        </w:tc>
        <w:tc>
          <w:tcPr>
            <w:tcW w:w="2300" w:type="dxa"/>
            <w:shd w:val="clear" w:color="auto" w:fill="auto"/>
          </w:tcPr>
          <w:p w:rsidR="00363143" w:rsidRPr="00157EE1" w:rsidRDefault="00363143" w:rsidP="00812C6B">
            <w:pPr>
              <w:jc w:val="center"/>
              <w:rPr>
                <w:color w:val="000000"/>
                <w:sz w:val="20"/>
                <w:szCs w:val="20"/>
              </w:rPr>
            </w:pPr>
            <w:r w:rsidRPr="00157EE1">
              <w:rPr>
                <w:color w:val="000000"/>
                <w:sz w:val="20"/>
                <w:szCs w:val="20"/>
              </w:rPr>
              <w:t>GT 1, 4, 6</w:t>
            </w:r>
          </w:p>
          <w:p w:rsidR="00363143" w:rsidRPr="00157EE1" w:rsidRDefault="00363143" w:rsidP="00812C6B">
            <w:pPr>
              <w:jc w:val="center"/>
              <w:rPr>
                <w:color w:val="000000"/>
                <w:sz w:val="20"/>
                <w:szCs w:val="20"/>
              </w:rPr>
            </w:pPr>
            <w:r w:rsidRPr="00157EE1">
              <w:rPr>
                <w:color w:val="000000"/>
                <w:sz w:val="20"/>
                <w:szCs w:val="20"/>
              </w:rPr>
              <w:t>TN with or without cirrhosis</w:t>
            </w:r>
          </w:p>
        </w:tc>
        <w:tc>
          <w:tcPr>
            <w:tcW w:w="4778" w:type="dxa"/>
            <w:shd w:val="clear" w:color="auto" w:fill="auto"/>
          </w:tcPr>
          <w:p w:rsidR="00363143" w:rsidRPr="00157EE1" w:rsidRDefault="000D7FE6" w:rsidP="00C52E19">
            <w:pPr>
              <w:pStyle w:val="ListParagraph"/>
              <w:numPr>
                <w:ilvl w:val="0"/>
                <w:numId w:val="6"/>
              </w:numPr>
              <w:spacing w:before="0" w:after="0"/>
              <w:rPr>
                <w:bCs/>
                <w:color w:val="000000"/>
                <w:sz w:val="20"/>
                <w:szCs w:val="20"/>
              </w:rPr>
            </w:pPr>
            <w:r>
              <w:rPr>
                <w:bCs/>
                <w:color w:val="000000"/>
                <w:sz w:val="20"/>
                <w:szCs w:val="20"/>
              </w:rPr>
              <w:t>ZEPATIER</w:t>
            </w:r>
            <w:r w:rsidR="00363143" w:rsidRPr="00157EE1">
              <w:rPr>
                <w:bCs/>
                <w:color w:val="000000"/>
                <w:sz w:val="20"/>
                <w:szCs w:val="20"/>
              </w:rPr>
              <w:t xml:space="preserve"> for 12 weeks (N=316)</w:t>
            </w:r>
          </w:p>
          <w:p w:rsidR="00363143" w:rsidRPr="00157EE1" w:rsidRDefault="00363143" w:rsidP="00C52E19">
            <w:pPr>
              <w:pStyle w:val="ListParagraph"/>
              <w:numPr>
                <w:ilvl w:val="0"/>
                <w:numId w:val="6"/>
              </w:numPr>
              <w:spacing w:before="0" w:after="120"/>
              <w:rPr>
                <w:color w:val="000000"/>
                <w:sz w:val="20"/>
                <w:szCs w:val="20"/>
              </w:rPr>
            </w:pPr>
            <w:r w:rsidRPr="00157EE1">
              <w:rPr>
                <w:bCs/>
                <w:color w:val="000000"/>
                <w:sz w:val="20"/>
                <w:szCs w:val="20"/>
              </w:rPr>
              <w:t>Placebo for 12 weeks (N=105)</w:t>
            </w:r>
          </w:p>
        </w:tc>
      </w:tr>
      <w:tr w:rsidR="00363143" w:rsidTr="0045653A">
        <w:trPr>
          <w:jc w:val="center"/>
        </w:trPr>
        <w:tc>
          <w:tcPr>
            <w:tcW w:w="2117" w:type="dxa"/>
            <w:shd w:val="clear" w:color="auto" w:fill="auto"/>
          </w:tcPr>
          <w:p w:rsidR="00363143" w:rsidRPr="00157EE1" w:rsidRDefault="00363143" w:rsidP="00812C6B">
            <w:pPr>
              <w:rPr>
                <w:sz w:val="20"/>
                <w:szCs w:val="20"/>
              </w:rPr>
            </w:pPr>
            <w:r w:rsidRPr="00157EE1">
              <w:rPr>
                <w:sz w:val="20"/>
                <w:szCs w:val="20"/>
              </w:rPr>
              <w:t xml:space="preserve">C-EDGE COINFECTION </w:t>
            </w:r>
          </w:p>
          <w:p w:rsidR="00363143" w:rsidRPr="00157EE1" w:rsidRDefault="00363143" w:rsidP="00812C6B">
            <w:pPr>
              <w:rPr>
                <w:color w:val="000000"/>
                <w:sz w:val="20"/>
                <w:szCs w:val="20"/>
              </w:rPr>
            </w:pPr>
            <w:r w:rsidRPr="00157EE1">
              <w:rPr>
                <w:color w:val="000000"/>
                <w:sz w:val="20"/>
                <w:szCs w:val="20"/>
              </w:rPr>
              <w:t>(open-label)</w:t>
            </w:r>
          </w:p>
        </w:tc>
        <w:tc>
          <w:tcPr>
            <w:tcW w:w="2300" w:type="dxa"/>
            <w:shd w:val="clear" w:color="auto" w:fill="auto"/>
          </w:tcPr>
          <w:p w:rsidR="00363143" w:rsidRPr="00157EE1" w:rsidRDefault="00363143" w:rsidP="00812C6B">
            <w:pPr>
              <w:jc w:val="center"/>
              <w:rPr>
                <w:color w:val="000000"/>
                <w:sz w:val="20"/>
                <w:szCs w:val="20"/>
              </w:rPr>
            </w:pPr>
            <w:r w:rsidRPr="00157EE1">
              <w:rPr>
                <w:color w:val="000000"/>
                <w:sz w:val="20"/>
                <w:szCs w:val="20"/>
              </w:rPr>
              <w:t>GT 1, 4, 6</w:t>
            </w:r>
          </w:p>
          <w:p w:rsidR="00363143" w:rsidRPr="00157EE1" w:rsidRDefault="00363143" w:rsidP="00812C6B">
            <w:pPr>
              <w:jc w:val="center"/>
              <w:rPr>
                <w:color w:val="000000"/>
                <w:sz w:val="20"/>
                <w:szCs w:val="20"/>
              </w:rPr>
            </w:pPr>
            <w:r w:rsidRPr="00157EE1">
              <w:rPr>
                <w:color w:val="000000"/>
                <w:sz w:val="20"/>
                <w:szCs w:val="20"/>
              </w:rPr>
              <w:t>TN with or without cirrhosis</w:t>
            </w:r>
          </w:p>
          <w:p w:rsidR="00363143" w:rsidRPr="00157EE1" w:rsidRDefault="00363143" w:rsidP="00812C6B">
            <w:pPr>
              <w:spacing w:after="120"/>
              <w:jc w:val="center"/>
              <w:rPr>
                <w:color w:val="000000"/>
                <w:sz w:val="20"/>
                <w:szCs w:val="20"/>
              </w:rPr>
            </w:pPr>
            <w:r w:rsidRPr="00157EE1">
              <w:rPr>
                <w:color w:val="000000"/>
                <w:sz w:val="20"/>
                <w:szCs w:val="20"/>
              </w:rPr>
              <w:t>HCV/HIV-1 co-infection</w:t>
            </w:r>
          </w:p>
        </w:tc>
        <w:tc>
          <w:tcPr>
            <w:tcW w:w="4778" w:type="dxa"/>
            <w:shd w:val="clear" w:color="auto" w:fill="auto"/>
          </w:tcPr>
          <w:p w:rsidR="00363143" w:rsidRPr="00157EE1" w:rsidRDefault="000D7FE6" w:rsidP="00C52E19">
            <w:pPr>
              <w:pStyle w:val="ListParagraph"/>
              <w:numPr>
                <w:ilvl w:val="0"/>
                <w:numId w:val="7"/>
              </w:numPr>
              <w:spacing w:before="0" w:after="0"/>
              <w:rPr>
                <w:color w:val="000000"/>
                <w:sz w:val="20"/>
                <w:szCs w:val="20"/>
              </w:rPr>
            </w:pPr>
            <w:r>
              <w:rPr>
                <w:bCs/>
                <w:color w:val="000000"/>
                <w:sz w:val="20"/>
                <w:szCs w:val="20"/>
              </w:rPr>
              <w:t>ZEPATIER</w:t>
            </w:r>
            <w:r w:rsidR="00363143" w:rsidRPr="00157EE1">
              <w:rPr>
                <w:bCs/>
                <w:color w:val="000000"/>
                <w:sz w:val="20"/>
                <w:szCs w:val="20"/>
              </w:rPr>
              <w:t xml:space="preserve"> for 12 weeks (N=218)</w:t>
            </w:r>
          </w:p>
        </w:tc>
      </w:tr>
      <w:tr w:rsidR="00363143" w:rsidTr="0045653A">
        <w:trPr>
          <w:jc w:val="center"/>
        </w:trPr>
        <w:tc>
          <w:tcPr>
            <w:tcW w:w="2117" w:type="dxa"/>
            <w:shd w:val="clear" w:color="auto" w:fill="auto"/>
          </w:tcPr>
          <w:p w:rsidR="00363143" w:rsidRPr="00157EE1" w:rsidRDefault="00363143" w:rsidP="00812C6B">
            <w:pPr>
              <w:rPr>
                <w:color w:val="000000"/>
                <w:sz w:val="20"/>
                <w:szCs w:val="20"/>
              </w:rPr>
            </w:pPr>
            <w:r w:rsidRPr="00157EE1">
              <w:rPr>
                <w:sz w:val="20"/>
                <w:szCs w:val="20"/>
              </w:rPr>
              <w:t>C-SURFER</w:t>
            </w:r>
          </w:p>
          <w:p w:rsidR="00363143" w:rsidRPr="00157EE1" w:rsidRDefault="00363143" w:rsidP="00812C6B">
            <w:pPr>
              <w:rPr>
                <w:color w:val="000000"/>
                <w:sz w:val="20"/>
                <w:szCs w:val="20"/>
              </w:rPr>
            </w:pPr>
            <w:r w:rsidRPr="00157EE1">
              <w:rPr>
                <w:color w:val="000000"/>
                <w:sz w:val="20"/>
                <w:szCs w:val="20"/>
              </w:rPr>
              <w:t>(double-blind)</w:t>
            </w:r>
          </w:p>
        </w:tc>
        <w:tc>
          <w:tcPr>
            <w:tcW w:w="2300" w:type="dxa"/>
            <w:shd w:val="clear" w:color="auto" w:fill="auto"/>
          </w:tcPr>
          <w:p w:rsidR="00363143" w:rsidRPr="00157EE1" w:rsidRDefault="00363143" w:rsidP="00812C6B">
            <w:pPr>
              <w:jc w:val="center"/>
              <w:rPr>
                <w:color w:val="000000"/>
                <w:sz w:val="20"/>
                <w:szCs w:val="20"/>
              </w:rPr>
            </w:pPr>
            <w:r w:rsidRPr="00157EE1">
              <w:rPr>
                <w:color w:val="000000"/>
                <w:sz w:val="20"/>
                <w:szCs w:val="20"/>
              </w:rPr>
              <w:t>GT 1</w:t>
            </w:r>
          </w:p>
          <w:p w:rsidR="00363143" w:rsidRPr="00157EE1" w:rsidRDefault="00363143" w:rsidP="00812C6B">
            <w:pPr>
              <w:jc w:val="center"/>
              <w:rPr>
                <w:color w:val="000000"/>
                <w:sz w:val="20"/>
                <w:szCs w:val="20"/>
              </w:rPr>
            </w:pPr>
            <w:r w:rsidRPr="00157EE1">
              <w:rPr>
                <w:color w:val="000000"/>
                <w:sz w:val="20"/>
                <w:szCs w:val="20"/>
              </w:rPr>
              <w:t>TN or TE with or without cirrhosis</w:t>
            </w:r>
          </w:p>
          <w:p w:rsidR="00363143" w:rsidRPr="00157EE1" w:rsidRDefault="00363143" w:rsidP="00812C6B">
            <w:pPr>
              <w:spacing w:after="120"/>
              <w:jc w:val="center"/>
              <w:rPr>
                <w:color w:val="000000"/>
                <w:sz w:val="20"/>
                <w:szCs w:val="20"/>
              </w:rPr>
            </w:pPr>
            <w:r w:rsidRPr="00157EE1">
              <w:rPr>
                <w:color w:val="000000"/>
                <w:sz w:val="20"/>
                <w:szCs w:val="20"/>
              </w:rPr>
              <w:t>Chronic Kidney Disease</w:t>
            </w:r>
          </w:p>
        </w:tc>
        <w:tc>
          <w:tcPr>
            <w:tcW w:w="4778" w:type="dxa"/>
            <w:shd w:val="clear" w:color="auto" w:fill="auto"/>
          </w:tcPr>
          <w:p w:rsidR="00363143" w:rsidRPr="00157EE1" w:rsidRDefault="001C3857" w:rsidP="00C52E19">
            <w:pPr>
              <w:pStyle w:val="ListParagraph"/>
              <w:numPr>
                <w:ilvl w:val="0"/>
                <w:numId w:val="7"/>
              </w:numPr>
              <w:autoSpaceDE w:val="0"/>
              <w:autoSpaceDN w:val="0"/>
              <w:adjustRightInd w:val="0"/>
              <w:spacing w:before="0" w:after="0"/>
              <w:rPr>
                <w:bCs/>
                <w:color w:val="000000"/>
                <w:sz w:val="20"/>
                <w:szCs w:val="20"/>
              </w:rPr>
            </w:pPr>
            <w:r w:rsidRPr="00157EE1">
              <w:rPr>
                <w:bCs/>
                <w:color w:val="000000"/>
                <w:sz w:val="20"/>
                <w:szCs w:val="20"/>
              </w:rPr>
              <w:t xml:space="preserve">EBR* </w:t>
            </w:r>
            <w:r>
              <w:rPr>
                <w:bCs/>
                <w:color w:val="000000"/>
                <w:sz w:val="20"/>
                <w:szCs w:val="20"/>
              </w:rPr>
              <w:t xml:space="preserve">+ </w:t>
            </w:r>
            <w:r w:rsidR="00363143" w:rsidRPr="00157EE1">
              <w:rPr>
                <w:bCs/>
                <w:color w:val="000000"/>
                <w:sz w:val="20"/>
                <w:szCs w:val="20"/>
              </w:rPr>
              <w:t xml:space="preserve">GZR* for 12 weeks (N=122) </w:t>
            </w:r>
          </w:p>
          <w:p w:rsidR="00363143" w:rsidRPr="00157EE1" w:rsidRDefault="00363143" w:rsidP="00C52E19">
            <w:pPr>
              <w:pStyle w:val="ListParagraph"/>
              <w:numPr>
                <w:ilvl w:val="0"/>
                <w:numId w:val="7"/>
              </w:numPr>
              <w:autoSpaceDE w:val="0"/>
              <w:autoSpaceDN w:val="0"/>
              <w:adjustRightInd w:val="0"/>
              <w:spacing w:before="0" w:after="0"/>
              <w:rPr>
                <w:bCs/>
                <w:color w:val="000000"/>
                <w:sz w:val="20"/>
                <w:szCs w:val="20"/>
              </w:rPr>
            </w:pPr>
            <w:r w:rsidRPr="00157EE1">
              <w:rPr>
                <w:bCs/>
                <w:color w:val="000000"/>
                <w:sz w:val="20"/>
                <w:szCs w:val="20"/>
              </w:rPr>
              <w:t>Placebo for 12 weeks (N=113)</w:t>
            </w:r>
          </w:p>
          <w:p w:rsidR="00363143" w:rsidRPr="00157EE1" w:rsidRDefault="00363143" w:rsidP="00812C6B">
            <w:pPr>
              <w:rPr>
                <w:color w:val="000000"/>
                <w:sz w:val="20"/>
                <w:szCs w:val="20"/>
              </w:rPr>
            </w:pPr>
          </w:p>
        </w:tc>
      </w:tr>
      <w:tr w:rsidR="00363143" w:rsidTr="0045653A">
        <w:trPr>
          <w:jc w:val="center"/>
        </w:trPr>
        <w:tc>
          <w:tcPr>
            <w:tcW w:w="2117" w:type="dxa"/>
            <w:shd w:val="clear" w:color="auto" w:fill="auto"/>
          </w:tcPr>
          <w:p w:rsidR="00363143" w:rsidRPr="00157EE1" w:rsidRDefault="00363143" w:rsidP="00812C6B">
            <w:pPr>
              <w:rPr>
                <w:color w:val="000000"/>
                <w:sz w:val="20"/>
                <w:szCs w:val="20"/>
              </w:rPr>
            </w:pPr>
            <w:r w:rsidRPr="00157EE1">
              <w:rPr>
                <w:color w:val="000000"/>
                <w:sz w:val="20"/>
                <w:szCs w:val="20"/>
              </w:rPr>
              <w:t>C-WORTHY</w:t>
            </w:r>
          </w:p>
          <w:p w:rsidR="00363143" w:rsidRPr="00157EE1" w:rsidRDefault="00363143" w:rsidP="00812C6B">
            <w:pPr>
              <w:rPr>
                <w:color w:val="000000"/>
                <w:sz w:val="20"/>
                <w:szCs w:val="20"/>
              </w:rPr>
            </w:pPr>
            <w:r w:rsidRPr="00157EE1">
              <w:rPr>
                <w:color w:val="000000"/>
                <w:sz w:val="20"/>
                <w:szCs w:val="20"/>
              </w:rPr>
              <w:t>(open-label)</w:t>
            </w:r>
          </w:p>
        </w:tc>
        <w:tc>
          <w:tcPr>
            <w:tcW w:w="2300" w:type="dxa"/>
            <w:shd w:val="clear" w:color="auto" w:fill="auto"/>
          </w:tcPr>
          <w:p w:rsidR="00363143" w:rsidRPr="00157EE1" w:rsidRDefault="00363143" w:rsidP="00812C6B">
            <w:pPr>
              <w:jc w:val="center"/>
              <w:rPr>
                <w:color w:val="000000"/>
                <w:sz w:val="20"/>
                <w:szCs w:val="20"/>
              </w:rPr>
            </w:pPr>
            <w:r w:rsidRPr="00157EE1">
              <w:rPr>
                <w:color w:val="000000"/>
                <w:sz w:val="20"/>
                <w:szCs w:val="20"/>
              </w:rPr>
              <w:t>GT 1, 3</w:t>
            </w:r>
          </w:p>
          <w:p w:rsidR="00363143" w:rsidRPr="00157EE1" w:rsidRDefault="00363143" w:rsidP="00812C6B">
            <w:pPr>
              <w:jc w:val="center"/>
              <w:rPr>
                <w:color w:val="000000"/>
                <w:sz w:val="20"/>
                <w:szCs w:val="20"/>
              </w:rPr>
            </w:pPr>
            <w:r w:rsidRPr="00157EE1">
              <w:rPr>
                <w:color w:val="000000"/>
                <w:sz w:val="20"/>
                <w:szCs w:val="20"/>
              </w:rPr>
              <w:t xml:space="preserve">TN with or without cirrhosis </w:t>
            </w:r>
          </w:p>
          <w:p w:rsidR="00363143" w:rsidRPr="00157EE1" w:rsidRDefault="00363143" w:rsidP="00812C6B">
            <w:pPr>
              <w:jc w:val="center"/>
              <w:rPr>
                <w:color w:val="000000"/>
                <w:sz w:val="20"/>
                <w:szCs w:val="20"/>
              </w:rPr>
            </w:pPr>
            <w:r w:rsidRPr="00157EE1">
              <w:rPr>
                <w:color w:val="000000"/>
                <w:sz w:val="20"/>
                <w:szCs w:val="20"/>
              </w:rPr>
              <w:t>TE Null Responder with or without cirrhosis</w:t>
            </w:r>
          </w:p>
          <w:p w:rsidR="00363143" w:rsidRPr="00157EE1" w:rsidRDefault="00363143" w:rsidP="00812C6B">
            <w:pPr>
              <w:spacing w:after="120"/>
              <w:jc w:val="center"/>
              <w:rPr>
                <w:color w:val="000000"/>
                <w:sz w:val="20"/>
                <w:szCs w:val="20"/>
              </w:rPr>
            </w:pPr>
            <w:r w:rsidRPr="00157EE1">
              <w:rPr>
                <w:color w:val="000000"/>
                <w:sz w:val="20"/>
                <w:szCs w:val="20"/>
              </w:rPr>
              <w:t>TN HCV/HIV-1 co-infection without cirrhosis</w:t>
            </w:r>
          </w:p>
        </w:tc>
        <w:tc>
          <w:tcPr>
            <w:tcW w:w="4778" w:type="dxa"/>
            <w:shd w:val="clear" w:color="auto" w:fill="auto"/>
          </w:tcPr>
          <w:p w:rsidR="00363143" w:rsidRPr="00157EE1" w:rsidRDefault="001C3857" w:rsidP="00C52E19">
            <w:pPr>
              <w:pStyle w:val="ListParagraph"/>
              <w:numPr>
                <w:ilvl w:val="0"/>
                <w:numId w:val="10"/>
              </w:numPr>
              <w:spacing w:before="0" w:after="0"/>
              <w:rPr>
                <w:color w:val="000000"/>
                <w:sz w:val="20"/>
                <w:szCs w:val="20"/>
              </w:rPr>
            </w:pPr>
            <w:r w:rsidRPr="00157EE1">
              <w:rPr>
                <w:bCs/>
                <w:color w:val="000000"/>
                <w:sz w:val="20"/>
                <w:szCs w:val="20"/>
              </w:rPr>
              <w:t xml:space="preserve">EBR* </w:t>
            </w:r>
            <w:r>
              <w:rPr>
                <w:bCs/>
                <w:color w:val="000000"/>
                <w:sz w:val="20"/>
                <w:szCs w:val="20"/>
              </w:rPr>
              <w:t xml:space="preserve">+ </w:t>
            </w:r>
            <w:r w:rsidR="00363143" w:rsidRPr="00157EE1">
              <w:rPr>
                <w:bCs/>
                <w:color w:val="000000"/>
                <w:sz w:val="20"/>
                <w:szCs w:val="20"/>
              </w:rPr>
              <w:t xml:space="preserve">GZR* </w:t>
            </w:r>
            <w:r w:rsidR="00363143" w:rsidRPr="00157EE1">
              <w:rPr>
                <w:color w:val="000000"/>
                <w:sz w:val="20"/>
                <w:szCs w:val="20"/>
              </w:rPr>
              <w:t>for 8, 12, or 18 weeks (N=31, 136, and 63, respectively)</w:t>
            </w:r>
          </w:p>
          <w:p w:rsidR="00363143" w:rsidRPr="00157EE1" w:rsidRDefault="001C3857" w:rsidP="00C52E19">
            <w:pPr>
              <w:pStyle w:val="ListParagraph"/>
              <w:numPr>
                <w:ilvl w:val="0"/>
                <w:numId w:val="10"/>
              </w:numPr>
              <w:spacing w:before="0" w:after="0"/>
              <w:rPr>
                <w:color w:val="000000"/>
                <w:sz w:val="20"/>
                <w:szCs w:val="20"/>
              </w:rPr>
            </w:pPr>
            <w:r w:rsidRPr="00157EE1">
              <w:rPr>
                <w:bCs/>
                <w:color w:val="000000"/>
                <w:sz w:val="20"/>
                <w:szCs w:val="20"/>
              </w:rPr>
              <w:t xml:space="preserve">EBR* </w:t>
            </w:r>
            <w:r>
              <w:rPr>
                <w:bCs/>
                <w:color w:val="000000"/>
                <w:sz w:val="20"/>
                <w:szCs w:val="20"/>
              </w:rPr>
              <w:t xml:space="preserve">+ </w:t>
            </w:r>
            <w:r w:rsidR="00363143" w:rsidRPr="00157EE1">
              <w:rPr>
                <w:bCs/>
                <w:color w:val="000000"/>
                <w:sz w:val="20"/>
                <w:szCs w:val="20"/>
              </w:rPr>
              <w:t xml:space="preserve">GZR* </w:t>
            </w:r>
            <w:r w:rsidR="00363143" w:rsidRPr="00157EE1">
              <w:rPr>
                <w:color w:val="000000"/>
                <w:sz w:val="20"/>
                <w:szCs w:val="20"/>
              </w:rPr>
              <w:t>+ RBV</w:t>
            </w:r>
            <w:r w:rsidR="00363143" w:rsidRPr="00157EE1">
              <w:rPr>
                <w:bCs/>
                <w:color w:val="000000"/>
                <w:sz w:val="20"/>
                <w:szCs w:val="20"/>
                <w:vertAlign w:val="superscript"/>
              </w:rPr>
              <w:t>†</w:t>
            </w:r>
            <w:r w:rsidR="00363143" w:rsidRPr="00157EE1">
              <w:rPr>
                <w:color w:val="000000"/>
                <w:sz w:val="20"/>
                <w:szCs w:val="20"/>
              </w:rPr>
              <w:t xml:space="preserve"> for 8, 12, or 18 weeks (N=60, 152, and 65, respectively)</w:t>
            </w:r>
          </w:p>
          <w:p w:rsidR="00363143" w:rsidRPr="00157EE1" w:rsidRDefault="00363143" w:rsidP="00812C6B">
            <w:pPr>
              <w:pStyle w:val="ListParagraph"/>
              <w:spacing w:after="0"/>
              <w:rPr>
                <w:color w:val="000000"/>
                <w:sz w:val="20"/>
                <w:szCs w:val="20"/>
              </w:rPr>
            </w:pPr>
          </w:p>
        </w:tc>
      </w:tr>
      <w:tr w:rsidR="00363143" w:rsidTr="0045653A">
        <w:trPr>
          <w:jc w:val="center"/>
        </w:trPr>
        <w:tc>
          <w:tcPr>
            <w:tcW w:w="2117" w:type="dxa"/>
            <w:shd w:val="clear" w:color="auto" w:fill="auto"/>
          </w:tcPr>
          <w:p w:rsidR="00363143" w:rsidRPr="00157EE1" w:rsidRDefault="00363143" w:rsidP="00812C6B">
            <w:pPr>
              <w:rPr>
                <w:rFonts w:eastAsia="ArialMT"/>
                <w:sz w:val="20"/>
                <w:szCs w:val="20"/>
              </w:rPr>
            </w:pPr>
            <w:r w:rsidRPr="00157EE1">
              <w:rPr>
                <w:rFonts w:eastAsia="ArialMT"/>
                <w:sz w:val="20"/>
                <w:szCs w:val="20"/>
              </w:rPr>
              <w:t>C-SCAPE</w:t>
            </w:r>
          </w:p>
          <w:p w:rsidR="00363143" w:rsidRPr="00157EE1" w:rsidRDefault="00363143" w:rsidP="00812C6B">
            <w:pPr>
              <w:rPr>
                <w:color w:val="000000"/>
                <w:sz w:val="20"/>
                <w:szCs w:val="20"/>
              </w:rPr>
            </w:pPr>
            <w:r w:rsidRPr="00157EE1">
              <w:rPr>
                <w:rFonts w:eastAsia="ArialMT"/>
                <w:sz w:val="20"/>
                <w:szCs w:val="20"/>
              </w:rPr>
              <w:t>(open-label)</w:t>
            </w:r>
          </w:p>
        </w:tc>
        <w:tc>
          <w:tcPr>
            <w:tcW w:w="2300" w:type="dxa"/>
            <w:shd w:val="clear" w:color="auto" w:fill="auto"/>
          </w:tcPr>
          <w:p w:rsidR="00363143" w:rsidRPr="00157EE1" w:rsidRDefault="00363143" w:rsidP="00812C6B">
            <w:pPr>
              <w:jc w:val="center"/>
              <w:rPr>
                <w:color w:val="000000"/>
                <w:sz w:val="20"/>
                <w:szCs w:val="20"/>
              </w:rPr>
            </w:pPr>
            <w:r w:rsidRPr="00157EE1">
              <w:rPr>
                <w:color w:val="000000"/>
                <w:sz w:val="20"/>
                <w:szCs w:val="20"/>
              </w:rPr>
              <w:t xml:space="preserve">GT 4, 6 </w:t>
            </w:r>
          </w:p>
          <w:p w:rsidR="00363143" w:rsidRPr="00157EE1" w:rsidRDefault="00363143" w:rsidP="00812C6B">
            <w:pPr>
              <w:jc w:val="center"/>
              <w:rPr>
                <w:color w:val="000000"/>
                <w:sz w:val="20"/>
                <w:szCs w:val="20"/>
              </w:rPr>
            </w:pPr>
            <w:r w:rsidRPr="00157EE1">
              <w:rPr>
                <w:color w:val="000000"/>
                <w:sz w:val="20"/>
                <w:szCs w:val="20"/>
              </w:rPr>
              <w:t>TN without cirrhosis</w:t>
            </w:r>
          </w:p>
          <w:p w:rsidR="00363143" w:rsidRPr="00157EE1" w:rsidRDefault="00363143" w:rsidP="00812C6B">
            <w:pPr>
              <w:jc w:val="center"/>
              <w:rPr>
                <w:color w:val="000000"/>
                <w:sz w:val="20"/>
                <w:szCs w:val="20"/>
              </w:rPr>
            </w:pPr>
          </w:p>
        </w:tc>
        <w:tc>
          <w:tcPr>
            <w:tcW w:w="4778" w:type="dxa"/>
            <w:shd w:val="clear" w:color="auto" w:fill="auto"/>
          </w:tcPr>
          <w:p w:rsidR="00363143" w:rsidRPr="00157EE1" w:rsidRDefault="001C3857" w:rsidP="00C52E19">
            <w:pPr>
              <w:pStyle w:val="ListParagraph"/>
              <w:numPr>
                <w:ilvl w:val="0"/>
                <w:numId w:val="9"/>
              </w:numPr>
              <w:spacing w:before="0" w:after="0"/>
              <w:rPr>
                <w:bCs/>
                <w:color w:val="000000"/>
                <w:sz w:val="20"/>
                <w:szCs w:val="20"/>
              </w:rPr>
            </w:pPr>
            <w:r w:rsidRPr="00157EE1">
              <w:rPr>
                <w:bCs/>
                <w:color w:val="000000"/>
                <w:sz w:val="20"/>
                <w:szCs w:val="20"/>
              </w:rPr>
              <w:t xml:space="preserve">EBR* </w:t>
            </w:r>
            <w:r>
              <w:rPr>
                <w:bCs/>
                <w:color w:val="000000"/>
                <w:sz w:val="20"/>
                <w:szCs w:val="20"/>
              </w:rPr>
              <w:t xml:space="preserve">+ </w:t>
            </w:r>
            <w:r w:rsidR="00363143" w:rsidRPr="00157EE1">
              <w:rPr>
                <w:bCs/>
                <w:color w:val="000000"/>
                <w:sz w:val="20"/>
                <w:szCs w:val="20"/>
              </w:rPr>
              <w:t xml:space="preserve">GZR* for 12 weeks (N=14) </w:t>
            </w:r>
          </w:p>
          <w:p w:rsidR="00363143" w:rsidRPr="00157EE1" w:rsidRDefault="001C3857" w:rsidP="001C3857">
            <w:pPr>
              <w:pStyle w:val="ListParagraph"/>
              <w:numPr>
                <w:ilvl w:val="0"/>
                <w:numId w:val="9"/>
              </w:numPr>
              <w:spacing w:before="0" w:after="0"/>
              <w:rPr>
                <w:bCs/>
                <w:color w:val="000000"/>
                <w:sz w:val="20"/>
                <w:szCs w:val="20"/>
              </w:rPr>
            </w:pPr>
            <w:r w:rsidRPr="00157EE1">
              <w:rPr>
                <w:bCs/>
                <w:color w:val="000000"/>
                <w:sz w:val="20"/>
                <w:szCs w:val="20"/>
              </w:rPr>
              <w:t xml:space="preserve">EBR* </w:t>
            </w:r>
            <w:r>
              <w:rPr>
                <w:bCs/>
                <w:color w:val="000000"/>
                <w:sz w:val="20"/>
                <w:szCs w:val="20"/>
              </w:rPr>
              <w:t xml:space="preserve">+ </w:t>
            </w:r>
            <w:r w:rsidR="00363143" w:rsidRPr="00157EE1">
              <w:rPr>
                <w:bCs/>
                <w:color w:val="000000"/>
                <w:sz w:val="20"/>
                <w:szCs w:val="20"/>
              </w:rPr>
              <w:t>GZR* + RBV</w:t>
            </w:r>
            <w:r w:rsidR="00363143" w:rsidRPr="00157EE1">
              <w:rPr>
                <w:bCs/>
                <w:color w:val="000000"/>
                <w:sz w:val="20"/>
                <w:szCs w:val="20"/>
                <w:vertAlign w:val="superscript"/>
              </w:rPr>
              <w:t>†</w:t>
            </w:r>
            <w:r w:rsidR="00363143" w:rsidRPr="00157EE1">
              <w:rPr>
                <w:bCs/>
                <w:color w:val="000000"/>
                <w:sz w:val="20"/>
                <w:szCs w:val="20"/>
              </w:rPr>
              <w:t xml:space="preserve"> for 12 weeks (N=14)</w:t>
            </w:r>
          </w:p>
        </w:tc>
      </w:tr>
      <w:tr w:rsidR="00363143" w:rsidTr="0045653A">
        <w:trPr>
          <w:jc w:val="center"/>
        </w:trPr>
        <w:tc>
          <w:tcPr>
            <w:tcW w:w="2117" w:type="dxa"/>
            <w:shd w:val="clear" w:color="auto" w:fill="auto"/>
          </w:tcPr>
          <w:p w:rsidR="00363143" w:rsidRPr="00157EE1" w:rsidRDefault="00363143" w:rsidP="00812C6B">
            <w:pPr>
              <w:rPr>
                <w:color w:val="000000"/>
                <w:sz w:val="20"/>
                <w:szCs w:val="20"/>
              </w:rPr>
            </w:pPr>
            <w:r w:rsidRPr="00157EE1">
              <w:rPr>
                <w:sz w:val="20"/>
                <w:szCs w:val="20"/>
              </w:rPr>
              <w:t>C-EDGE TE</w:t>
            </w:r>
          </w:p>
          <w:p w:rsidR="00363143" w:rsidRPr="00157EE1" w:rsidRDefault="00363143" w:rsidP="00812C6B">
            <w:pPr>
              <w:rPr>
                <w:color w:val="000000"/>
                <w:sz w:val="20"/>
                <w:szCs w:val="20"/>
              </w:rPr>
            </w:pPr>
            <w:r w:rsidRPr="00157EE1">
              <w:rPr>
                <w:color w:val="000000"/>
                <w:sz w:val="20"/>
                <w:szCs w:val="20"/>
              </w:rPr>
              <w:t>(open-label)</w:t>
            </w:r>
          </w:p>
        </w:tc>
        <w:tc>
          <w:tcPr>
            <w:tcW w:w="2300" w:type="dxa"/>
            <w:shd w:val="clear" w:color="auto" w:fill="auto"/>
          </w:tcPr>
          <w:p w:rsidR="00363143" w:rsidRPr="00157EE1" w:rsidRDefault="00363143" w:rsidP="00812C6B">
            <w:pPr>
              <w:jc w:val="center"/>
              <w:rPr>
                <w:color w:val="000000"/>
                <w:sz w:val="20"/>
                <w:szCs w:val="20"/>
              </w:rPr>
            </w:pPr>
            <w:r w:rsidRPr="00157EE1">
              <w:rPr>
                <w:color w:val="000000"/>
                <w:sz w:val="20"/>
                <w:szCs w:val="20"/>
              </w:rPr>
              <w:t>GT 1, 4, 6</w:t>
            </w:r>
          </w:p>
          <w:p w:rsidR="00895E1B" w:rsidRPr="00157EE1" w:rsidRDefault="00363143" w:rsidP="00895E1B">
            <w:pPr>
              <w:jc w:val="center"/>
              <w:rPr>
                <w:color w:val="000000"/>
                <w:sz w:val="20"/>
                <w:szCs w:val="20"/>
              </w:rPr>
            </w:pPr>
            <w:r w:rsidRPr="00157EE1">
              <w:rPr>
                <w:color w:val="000000"/>
                <w:sz w:val="20"/>
                <w:szCs w:val="20"/>
              </w:rPr>
              <w:t>TE with or without cirrhosis</w:t>
            </w:r>
          </w:p>
          <w:p w:rsidR="00363143" w:rsidRPr="00157EE1" w:rsidRDefault="00895E1B" w:rsidP="00895E1B">
            <w:pPr>
              <w:spacing w:after="120"/>
              <w:jc w:val="center"/>
              <w:rPr>
                <w:color w:val="000000"/>
                <w:sz w:val="20"/>
                <w:szCs w:val="20"/>
              </w:rPr>
            </w:pPr>
            <w:r>
              <w:rPr>
                <w:color w:val="000000"/>
                <w:sz w:val="20"/>
                <w:szCs w:val="20"/>
              </w:rPr>
              <w:t xml:space="preserve">with or without </w:t>
            </w:r>
            <w:r w:rsidR="00363143" w:rsidRPr="00157EE1">
              <w:rPr>
                <w:color w:val="000000"/>
                <w:sz w:val="20"/>
                <w:szCs w:val="20"/>
              </w:rPr>
              <w:t>HCV/HIV-1 co-infection</w:t>
            </w:r>
          </w:p>
        </w:tc>
        <w:tc>
          <w:tcPr>
            <w:tcW w:w="4778" w:type="dxa"/>
            <w:shd w:val="clear" w:color="auto" w:fill="auto"/>
          </w:tcPr>
          <w:p w:rsidR="00363143" w:rsidRPr="00157EE1" w:rsidRDefault="000D7FE6" w:rsidP="00C52E19">
            <w:pPr>
              <w:pStyle w:val="ListParagraph"/>
              <w:numPr>
                <w:ilvl w:val="0"/>
                <w:numId w:val="8"/>
              </w:numPr>
              <w:spacing w:before="0" w:after="0"/>
              <w:rPr>
                <w:bCs/>
                <w:color w:val="000000"/>
                <w:sz w:val="20"/>
                <w:szCs w:val="20"/>
              </w:rPr>
            </w:pPr>
            <w:r>
              <w:rPr>
                <w:bCs/>
                <w:color w:val="000000"/>
                <w:sz w:val="20"/>
                <w:szCs w:val="20"/>
              </w:rPr>
              <w:t>ZEPATIER</w:t>
            </w:r>
            <w:r w:rsidR="00363143" w:rsidRPr="00157EE1">
              <w:rPr>
                <w:bCs/>
                <w:color w:val="000000"/>
                <w:sz w:val="20"/>
                <w:szCs w:val="20"/>
              </w:rPr>
              <w:t xml:space="preserve"> for 12 or 16 weeks (N=105, and 105, respectively)</w:t>
            </w:r>
          </w:p>
          <w:p w:rsidR="00363143" w:rsidRPr="00157EE1" w:rsidRDefault="000D7FE6" w:rsidP="00C52E19">
            <w:pPr>
              <w:pStyle w:val="ListParagraph"/>
              <w:numPr>
                <w:ilvl w:val="0"/>
                <w:numId w:val="8"/>
              </w:numPr>
              <w:spacing w:before="0" w:after="0"/>
              <w:rPr>
                <w:color w:val="000000"/>
                <w:sz w:val="20"/>
                <w:szCs w:val="20"/>
              </w:rPr>
            </w:pPr>
            <w:r>
              <w:rPr>
                <w:bCs/>
                <w:color w:val="000000"/>
                <w:sz w:val="20"/>
                <w:szCs w:val="20"/>
              </w:rPr>
              <w:t>ZEPATIER</w:t>
            </w:r>
            <w:r w:rsidR="00363143" w:rsidRPr="00157EE1">
              <w:rPr>
                <w:bCs/>
                <w:color w:val="000000"/>
                <w:sz w:val="20"/>
                <w:szCs w:val="20"/>
              </w:rPr>
              <w:t xml:space="preserve"> + RBV</w:t>
            </w:r>
            <w:r w:rsidR="00363143" w:rsidRPr="00157EE1">
              <w:rPr>
                <w:bCs/>
                <w:color w:val="000000"/>
                <w:sz w:val="20"/>
                <w:szCs w:val="20"/>
                <w:vertAlign w:val="superscript"/>
              </w:rPr>
              <w:t>†</w:t>
            </w:r>
            <w:r w:rsidR="00363143" w:rsidRPr="00157EE1">
              <w:rPr>
                <w:bCs/>
                <w:color w:val="000000"/>
                <w:sz w:val="20"/>
                <w:szCs w:val="20"/>
              </w:rPr>
              <w:t xml:space="preserve"> for 12 or 16 weeks (N=104 and 106, respectively)</w:t>
            </w:r>
          </w:p>
        </w:tc>
      </w:tr>
      <w:tr w:rsidR="00363143" w:rsidTr="0045653A">
        <w:trPr>
          <w:jc w:val="center"/>
        </w:trPr>
        <w:tc>
          <w:tcPr>
            <w:tcW w:w="2117" w:type="dxa"/>
            <w:tcBorders>
              <w:bottom w:val="single" w:sz="4" w:space="0" w:color="auto"/>
            </w:tcBorders>
            <w:shd w:val="clear" w:color="auto" w:fill="auto"/>
          </w:tcPr>
          <w:p w:rsidR="00363143" w:rsidRPr="00157EE1" w:rsidRDefault="00363143" w:rsidP="00812C6B">
            <w:pPr>
              <w:rPr>
                <w:color w:val="000000"/>
                <w:sz w:val="20"/>
                <w:szCs w:val="20"/>
              </w:rPr>
            </w:pPr>
            <w:r w:rsidRPr="00157EE1">
              <w:rPr>
                <w:rFonts w:eastAsia="ArialMT"/>
                <w:sz w:val="20"/>
                <w:szCs w:val="20"/>
              </w:rPr>
              <w:t>C-SALVAGE</w:t>
            </w:r>
          </w:p>
          <w:p w:rsidR="00363143" w:rsidRPr="00157EE1" w:rsidRDefault="00363143" w:rsidP="00812C6B">
            <w:pPr>
              <w:rPr>
                <w:color w:val="000000"/>
                <w:sz w:val="20"/>
                <w:szCs w:val="20"/>
              </w:rPr>
            </w:pPr>
            <w:r w:rsidRPr="00157EE1">
              <w:rPr>
                <w:color w:val="000000"/>
                <w:sz w:val="20"/>
                <w:szCs w:val="20"/>
              </w:rPr>
              <w:t>(open-label)</w:t>
            </w:r>
          </w:p>
        </w:tc>
        <w:tc>
          <w:tcPr>
            <w:tcW w:w="2300" w:type="dxa"/>
            <w:tcBorders>
              <w:bottom w:val="single" w:sz="4" w:space="0" w:color="auto"/>
            </w:tcBorders>
            <w:shd w:val="clear" w:color="auto" w:fill="auto"/>
          </w:tcPr>
          <w:p w:rsidR="00363143" w:rsidRPr="00157EE1" w:rsidRDefault="00363143" w:rsidP="00812C6B">
            <w:pPr>
              <w:jc w:val="center"/>
              <w:rPr>
                <w:color w:val="000000"/>
                <w:sz w:val="20"/>
                <w:szCs w:val="20"/>
              </w:rPr>
            </w:pPr>
            <w:r w:rsidRPr="00157EE1">
              <w:rPr>
                <w:color w:val="000000"/>
                <w:sz w:val="20"/>
                <w:szCs w:val="20"/>
              </w:rPr>
              <w:t>GT 1</w:t>
            </w:r>
          </w:p>
          <w:p w:rsidR="00363143" w:rsidRPr="00157EE1" w:rsidRDefault="00363143" w:rsidP="00812C6B">
            <w:pPr>
              <w:spacing w:after="120"/>
              <w:jc w:val="center"/>
              <w:rPr>
                <w:color w:val="000000"/>
                <w:sz w:val="20"/>
                <w:szCs w:val="20"/>
              </w:rPr>
            </w:pPr>
            <w:r w:rsidRPr="00157EE1">
              <w:rPr>
                <w:color w:val="000000"/>
                <w:sz w:val="20"/>
                <w:szCs w:val="20"/>
              </w:rPr>
              <w:t>TE with HCV protease inhibitor regimen</w:t>
            </w:r>
            <w:r w:rsidRPr="00157EE1">
              <w:rPr>
                <w:color w:val="000000"/>
                <w:sz w:val="20"/>
                <w:szCs w:val="20"/>
                <w:vertAlign w:val="superscript"/>
              </w:rPr>
              <w:t>‡</w:t>
            </w:r>
            <w:r w:rsidRPr="00157EE1">
              <w:rPr>
                <w:color w:val="000000"/>
                <w:sz w:val="20"/>
                <w:szCs w:val="20"/>
              </w:rPr>
              <w:t xml:space="preserve"> with or without cirrhosis</w:t>
            </w:r>
          </w:p>
        </w:tc>
        <w:tc>
          <w:tcPr>
            <w:tcW w:w="4778" w:type="dxa"/>
            <w:tcBorders>
              <w:bottom w:val="single" w:sz="4" w:space="0" w:color="auto"/>
            </w:tcBorders>
            <w:shd w:val="clear" w:color="auto" w:fill="auto"/>
          </w:tcPr>
          <w:p w:rsidR="00363143" w:rsidRPr="00157EE1" w:rsidRDefault="001C3857" w:rsidP="001C3857">
            <w:pPr>
              <w:pStyle w:val="ListParagraph"/>
              <w:numPr>
                <w:ilvl w:val="0"/>
                <w:numId w:val="9"/>
              </w:numPr>
              <w:spacing w:before="0" w:after="0"/>
              <w:rPr>
                <w:color w:val="000000"/>
                <w:sz w:val="20"/>
                <w:szCs w:val="20"/>
              </w:rPr>
            </w:pPr>
            <w:r w:rsidRPr="00157EE1">
              <w:rPr>
                <w:bCs/>
                <w:color w:val="000000"/>
                <w:sz w:val="20"/>
                <w:szCs w:val="20"/>
              </w:rPr>
              <w:t xml:space="preserve">EBR* </w:t>
            </w:r>
            <w:r>
              <w:rPr>
                <w:bCs/>
                <w:color w:val="000000"/>
                <w:sz w:val="20"/>
                <w:szCs w:val="20"/>
              </w:rPr>
              <w:t xml:space="preserve">+ </w:t>
            </w:r>
            <w:r w:rsidR="00363143" w:rsidRPr="00157EE1">
              <w:rPr>
                <w:bCs/>
                <w:color w:val="000000"/>
                <w:sz w:val="20"/>
                <w:szCs w:val="20"/>
              </w:rPr>
              <w:t>GZR* + RBV</w:t>
            </w:r>
            <w:r w:rsidR="00363143" w:rsidRPr="00157EE1">
              <w:rPr>
                <w:bCs/>
                <w:color w:val="000000"/>
                <w:sz w:val="20"/>
                <w:szCs w:val="20"/>
                <w:vertAlign w:val="superscript"/>
              </w:rPr>
              <w:t>†</w:t>
            </w:r>
            <w:r w:rsidR="00363143" w:rsidRPr="00157EE1">
              <w:rPr>
                <w:bCs/>
                <w:color w:val="000000"/>
                <w:sz w:val="20"/>
                <w:szCs w:val="20"/>
              </w:rPr>
              <w:t xml:space="preserve"> for 12 weeks (N=79)</w:t>
            </w:r>
          </w:p>
        </w:tc>
      </w:tr>
      <w:tr w:rsidR="00363143" w:rsidTr="0045653A">
        <w:trPr>
          <w:jc w:val="center"/>
        </w:trPr>
        <w:tc>
          <w:tcPr>
            <w:tcW w:w="2117" w:type="dxa"/>
            <w:tcBorders>
              <w:bottom w:val="single" w:sz="4" w:space="0" w:color="auto"/>
            </w:tcBorders>
            <w:shd w:val="clear" w:color="auto" w:fill="auto"/>
          </w:tcPr>
          <w:p w:rsidR="00363143" w:rsidRPr="00157EE1" w:rsidRDefault="00363143" w:rsidP="00812C6B">
            <w:pPr>
              <w:rPr>
                <w:color w:val="000000"/>
                <w:sz w:val="20"/>
                <w:szCs w:val="20"/>
              </w:rPr>
            </w:pPr>
            <w:r w:rsidRPr="00157EE1">
              <w:rPr>
                <w:sz w:val="20"/>
                <w:szCs w:val="20"/>
              </w:rPr>
              <w:t>C-SWIFT</w:t>
            </w:r>
          </w:p>
          <w:p w:rsidR="00363143" w:rsidRPr="00157EE1" w:rsidRDefault="00363143" w:rsidP="00812C6B">
            <w:pPr>
              <w:rPr>
                <w:rFonts w:eastAsia="ArialMT"/>
                <w:sz w:val="20"/>
                <w:szCs w:val="20"/>
              </w:rPr>
            </w:pPr>
            <w:r w:rsidRPr="00157EE1">
              <w:rPr>
                <w:color w:val="000000"/>
                <w:sz w:val="20"/>
                <w:szCs w:val="20"/>
              </w:rPr>
              <w:t>(open-label)</w:t>
            </w:r>
          </w:p>
        </w:tc>
        <w:tc>
          <w:tcPr>
            <w:tcW w:w="2300" w:type="dxa"/>
            <w:tcBorders>
              <w:bottom w:val="single" w:sz="4" w:space="0" w:color="auto"/>
            </w:tcBorders>
            <w:shd w:val="clear" w:color="auto" w:fill="auto"/>
          </w:tcPr>
          <w:p w:rsidR="00363143" w:rsidRPr="00157EE1" w:rsidRDefault="00363143" w:rsidP="00812C6B">
            <w:pPr>
              <w:jc w:val="center"/>
              <w:rPr>
                <w:color w:val="000000"/>
                <w:sz w:val="20"/>
                <w:szCs w:val="20"/>
              </w:rPr>
            </w:pPr>
            <w:r w:rsidRPr="00157EE1">
              <w:rPr>
                <w:color w:val="000000"/>
                <w:sz w:val="20"/>
                <w:szCs w:val="20"/>
              </w:rPr>
              <w:t>GT  1, 3</w:t>
            </w:r>
          </w:p>
          <w:p w:rsidR="00363143" w:rsidRPr="00157EE1" w:rsidRDefault="00363143" w:rsidP="00812C6B">
            <w:pPr>
              <w:jc w:val="center"/>
              <w:rPr>
                <w:color w:val="000000"/>
                <w:sz w:val="20"/>
                <w:szCs w:val="20"/>
              </w:rPr>
            </w:pPr>
            <w:r w:rsidRPr="00157EE1">
              <w:rPr>
                <w:color w:val="000000"/>
                <w:sz w:val="20"/>
                <w:szCs w:val="20"/>
              </w:rPr>
              <w:t xml:space="preserve">TN with or without </w:t>
            </w:r>
            <w:r w:rsidRPr="00157EE1">
              <w:rPr>
                <w:color w:val="000000"/>
                <w:sz w:val="20"/>
                <w:szCs w:val="20"/>
              </w:rPr>
              <w:lastRenderedPageBreak/>
              <w:t>cirrhosis</w:t>
            </w:r>
          </w:p>
        </w:tc>
        <w:tc>
          <w:tcPr>
            <w:tcW w:w="4778" w:type="dxa"/>
            <w:tcBorders>
              <w:bottom w:val="single" w:sz="4" w:space="0" w:color="auto"/>
            </w:tcBorders>
            <w:shd w:val="clear" w:color="auto" w:fill="auto"/>
          </w:tcPr>
          <w:p w:rsidR="00363143" w:rsidRPr="00157EE1" w:rsidRDefault="000D7FE6" w:rsidP="00C52E19">
            <w:pPr>
              <w:pStyle w:val="ListParagraph"/>
              <w:numPr>
                <w:ilvl w:val="0"/>
                <w:numId w:val="9"/>
              </w:numPr>
              <w:autoSpaceDE w:val="0"/>
              <w:autoSpaceDN w:val="0"/>
              <w:adjustRightInd w:val="0"/>
              <w:spacing w:before="0" w:after="0"/>
              <w:rPr>
                <w:bCs/>
                <w:color w:val="000000"/>
                <w:sz w:val="20"/>
                <w:szCs w:val="20"/>
              </w:rPr>
            </w:pPr>
            <w:r>
              <w:rPr>
                <w:bCs/>
                <w:color w:val="000000"/>
                <w:sz w:val="20"/>
                <w:szCs w:val="20"/>
              </w:rPr>
              <w:lastRenderedPageBreak/>
              <w:t>ZEPATIER</w:t>
            </w:r>
            <w:r w:rsidR="00363143" w:rsidRPr="00157EE1">
              <w:rPr>
                <w:bCs/>
                <w:color w:val="000000"/>
                <w:sz w:val="20"/>
                <w:szCs w:val="20"/>
              </w:rPr>
              <w:t xml:space="preserve"> + </w:t>
            </w:r>
            <w:proofErr w:type="spellStart"/>
            <w:r w:rsidR="00363143" w:rsidRPr="00157EE1">
              <w:rPr>
                <w:bCs/>
                <w:color w:val="000000"/>
                <w:sz w:val="20"/>
                <w:szCs w:val="20"/>
              </w:rPr>
              <w:t>sofosbuvir</w:t>
            </w:r>
            <w:proofErr w:type="spellEnd"/>
            <w:r w:rsidR="00363143" w:rsidRPr="00157EE1">
              <w:rPr>
                <w:color w:val="000000"/>
                <w:sz w:val="20"/>
                <w:szCs w:val="20"/>
                <w:vertAlign w:val="superscript"/>
              </w:rPr>
              <w:t xml:space="preserve">§ </w:t>
            </w:r>
            <w:r w:rsidR="00363143" w:rsidRPr="00157EE1">
              <w:rPr>
                <w:bCs/>
                <w:color w:val="000000"/>
                <w:sz w:val="20"/>
                <w:szCs w:val="20"/>
              </w:rPr>
              <w:t xml:space="preserve"> for 8 or 12 weeks in GT 3 (N= 15 and N=26, respectively)</w:t>
            </w:r>
          </w:p>
          <w:p w:rsidR="00363143" w:rsidRPr="00157EE1" w:rsidRDefault="000D7FE6" w:rsidP="00C52E19">
            <w:pPr>
              <w:pStyle w:val="ListParagraph"/>
              <w:numPr>
                <w:ilvl w:val="0"/>
                <w:numId w:val="9"/>
              </w:numPr>
              <w:autoSpaceDE w:val="0"/>
              <w:autoSpaceDN w:val="0"/>
              <w:adjustRightInd w:val="0"/>
              <w:spacing w:before="0" w:after="0"/>
              <w:rPr>
                <w:bCs/>
                <w:color w:val="000000"/>
                <w:sz w:val="20"/>
                <w:szCs w:val="20"/>
              </w:rPr>
            </w:pPr>
            <w:r>
              <w:rPr>
                <w:bCs/>
                <w:color w:val="000000"/>
                <w:sz w:val="20"/>
                <w:szCs w:val="20"/>
              </w:rPr>
              <w:t>ZEPATIER</w:t>
            </w:r>
            <w:r w:rsidR="00363143" w:rsidRPr="00157EE1">
              <w:rPr>
                <w:bCs/>
                <w:color w:val="000000"/>
                <w:sz w:val="20"/>
                <w:szCs w:val="20"/>
              </w:rPr>
              <w:t xml:space="preserve"> + </w:t>
            </w:r>
            <w:proofErr w:type="spellStart"/>
            <w:r w:rsidR="00363143" w:rsidRPr="00157EE1">
              <w:rPr>
                <w:bCs/>
                <w:color w:val="000000"/>
                <w:sz w:val="20"/>
                <w:szCs w:val="20"/>
              </w:rPr>
              <w:t>sofosbuvir</w:t>
            </w:r>
            <w:proofErr w:type="spellEnd"/>
            <w:r w:rsidR="00363143" w:rsidRPr="00157EE1">
              <w:rPr>
                <w:bCs/>
                <w:color w:val="000000"/>
                <w:sz w:val="20"/>
                <w:szCs w:val="20"/>
                <w:vertAlign w:val="superscript"/>
              </w:rPr>
              <w:t>§</w:t>
            </w:r>
            <w:r w:rsidR="00363143" w:rsidRPr="00157EE1">
              <w:rPr>
                <w:bCs/>
                <w:color w:val="000000"/>
                <w:sz w:val="20"/>
                <w:szCs w:val="20"/>
              </w:rPr>
              <w:t xml:space="preserve"> for 4, 6 or 8 </w:t>
            </w:r>
            <w:r w:rsidR="00363143" w:rsidRPr="00157EE1">
              <w:rPr>
                <w:bCs/>
                <w:color w:val="000000"/>
                <w:sz w:val="20"/>
                <w:szCs w:val="20"/>
              </w:rPr>
              <w:lastRenderedPageBreak/>
              <w:t xml:space="preserve">weeks in GT 1 (N=31, 50, and 21, respectively) </w:t>
            </w:r>
          </w:p>
        </w:tc>
      </w:tr>
      <w:tr w:rsidR="00363143" w:rsidRPr="0016477C" w:rsidTr="0045653A">
        <w:trPr>
          <w:trHeight w:val="470"/>
          <w:jc w:val="center"/>
        </w:trPr>
        <w:tc>
          <w:tcPr>
            <w:tcW w:w="9195" w:type="dxa"/>
            <w:gridSpan w:val="3"/>
            <w:tcBorders>
              <w:top w:val="single" w:sz="4" w:space="0" w:color="auto"/>
              <w:left w:val="nil"/>
              <w:bottom w:val="nil"/>
              <w:right w:val="nil"/>
            </w:tcBorders>
            <w:shd w:val="clear" w:color="auto" w:fill="auto"/>
          </w:tcPr>
          <w:p w:rsidR="00363143" w:rsidRPr="00F42F76" w:rsidRDefault="00363143" w:rsidP="00F42F76">
            <w:pPr>
              <w:pStyle w:val="NoSpacing"/>
              <w:rPr>
                <w:sz w:val="18"/>
              </w:rPr>
            </w:pPr>
            <w:r w:rsidRPr="00F42F76">
              <w:rPr>
                <w:sz w:val="18"/>
              </w:rPr>
              <w:lastRenderedPageBreak/>
              <w:t>GT = Genotype</w:t>
            </w:r>
          </w:p>
          <w:p w:rsidR="00363143" w:rsidRPr="00F42F76" w:rsidRDefault="00363143" w:rsidP="00F42F76">
            <w:pPr>
              <w:pStyle w:val="NoSpacing"/>
              <w:rPr>
                <w:sz w:val="18"/>
              </w:rPr>
            </w:pPr>
            <w:r w:rsidRPr="00F42F76">
              <w:rPr>
                <w:sz w:val="18"/>
              </w:rPr>
              <w:t>TN = Treatment-Naïve</w:t>
            </w:r>
          </w:p>
          <w:p w:rsidR="00363143" w:rsidRPr="00F42F76" w:rsidRDefault="00363143" w:rsidP="00F42F76">
            <w:pPr>
              <w:pStyle w:val="NoSpacing"/>
              <w:rPr>
                <w:sz w:val="18"/>
              </w:rPr>
            </w:pPr>
            <w:r w:rsidRPr="00F42F76">
              <w:rPr>
                <w:sz w:val="18"/>
              </w:rPr>
              <w:t xml:space="preserve">TE = Treatment-Experienced (failed prior treatment with interferon [IFN] or </w:t>
            </w:r>
            <w:proofErr w:type="spellStart"/>
            <w:r w:rsidRPr="00F42F76">
              <w:rPr>
                <w:sz w:val="18"/>
              </w:rPr>
              <w:t>peginterferon</w:t>
            </w:r>
            <w:proofErr w:type="spellEnd"/>
            <w:r w:rsidRPr="00F42F76">
              <w:rPr>
                <w:sz w:val="18"/>
              </w:rPr>
              <w:t xml:space="preserve"> </w:t>
            </w:r>
            <w:proofErr w:type="spellStart"/>
            <w:r w:rsidRPr="00F42F76">
              <w:rPr>
                <w:sz w:val="18"/>
              </w:rPr>
              <w:t>alfa</w:t>
            </w:r>
            <w:proofErr w:type="spellEnd"/>
            <w:r w:rsidRPr="00F42F76">
              <w:rPr>
                <w:sz w:val="18"/>
              </w:rPr>
              <w:t xml:space="preserve">  [peg-IFN] with or without ribavirin (RBV) or were intolerant to prior therapy)</w:t>
            </w:r>
          </w:p>
          <w:p w:rsidR="00363143" w:rsidRPr="00F42F76" w:rsidRDefault="00363143" w:rsidP="00F42F76">
            <w:pPr>
              <w:pStyle w:val="NoSpacing"/>
              <w:rPr>
                <w:sz w:val="18"/>
              </w:rPr>
            </w:pPr>
            <w:r w:rsidRPr="00F42F76">
              <w:rPr>
                <w:sz w:val="18"/>
              </w:rPr>
              <w:t>*</w:t>
            </w:r>
            <w:r w:rsidR="001C3857" w:rsidRPr="00F42F76">
              <w:rPr>
                <w:sz w:val="18"/>
              </w:rPr>
              <w:t xml:space="preserve"> EBR = </w:t>
            </w:r>
            <w:proofErr w:type="spellStart"/>
            <w:r w:rsidR="001C3857" w:rsidRPr="00F42F76">
              <w:rPr>
                <w:sz w:val="18"/>
              </w:rPr>
              <w:t>elbasvir</w:t>
            </w:r>
            <w:proofErr w:type="spellEnd"/>
            <w:r w:rsidR="001C3857" w:rsidRPr="00F42F76">
              <w:rPr>
                <w:sz w:val="18"/>
              </w:rPr>
              <w:t xml:space="preserve"> 50 mg</w:t>
            </w:r>
            <w:r w:rsidR="001C3857">
              <w:rPr>
                <w:sz w:val="18"/>
              </w:rPr>
              <w:t xml:space="preserve">; </w:t>
            </w:r>
            <w:r w:rsidR="001C3857" w:rsidRPr="00F42F76">
              <w:rPr>
                <w:sz w:val="18"/>
              </w:rPr>
              <w:t xml:space="preserve"> </w:t>
            </w:r>
            <w:r w:rsidRPr="00F42F76">
              <w:rPr>
                <w:sz w:val="18"/>
              </w:rPr>
              <w:t xml:space="preserve">GZR = </w:t>
            </w:r>
            <w:proofErr w:type="spellStart"/>
            <w:r w:rsidRPr="00F42F76">
              <w:rPr>
                <w:sz w:val="18"/>
              </w:rPr>
              <w:t>grazoprevir</w:t>
            </w:r>
            <w:proofErr w:type="spellEnd"/>
            <w:r w:rsidRPr="00F42F76">
              <w:rPr>
                <w:sz w:val="18"/>
              </w:rPr>
              <w:t xml:space="preserve"> 100 mg; </w:t>
            </w:r>
            <w:r w:rsidR="001C3857" w:rsidRPr="00F42F76">
              <w:rPr>
                <w:sz w:val="18"/>
              </w:rPr>
              <w:t xml:space="preserve">EBR </w:t>
            </w:r>
            <w:r w:rsidR="001C3857">
              <w:rPr>
                <w:sz w:val="18"/>
              </w:rPr>
              <w:t xml:space="preserve">+ </w:t>
            </w:r>
            <w:r w:rsidRPr="00F42F76">
              <w:rPr>
                <w:sz w:val="18"/>
              </w:rPr>
              <w:t>GZR = co-administered as single agents</w:t>
            </w:r>
          </w:p>
          <w:p w:rsidR="00363143" w:rsidRPr="00F42F76" w:rsidRDefault="00363143" w:rsidP="00F42F76">
            <w:pPr>
              <w:pStyle w:val="NoSpacing"/>
              <w:rPr>
                <w:i/>
                <w:sz w:val="18"/>
              </w:rPr>
            </w:pPr>
            <w:r w:rsidRPr="00F42F76">
              <w:rPr>
                <w:bCs/>
                <w:sz w:val="18"/>
                <w:vertAlign w:val="superscript"/>
              </w:rPr>
              <w:t>†</w:t>
            </w:r>
            <w:r w:rsidRPr="00F42F76">
              <w:rPr>
                <w:sz w:val="18"/>
              </w:rPr>
              <w:t>RBV was administered at a total daily dose of 800 mg to 1400 mg based on weight</w:t>
            </w:r>
            <w:r w:rsidR="00410344" w:rsidRPr="00F42F76">
              <w:rPr>
                <w:sz w:val="18"/>
              </w:rPr>
              <w:t xml:space="preserve"> (see </w:t>
            </w:r>
            <w:r w:rsidR="00410344" w:rsidRPr="00F42F76">
              <w:rPr>
                <w:i/>
                <w:sz w:val="18"/>
              </w:rPr>
              <w:t>DOSAGE AND AMINISTRATION: Treatment Regimen and Duration of Therapy</w:t>
            </w:r>
            <w:r w:rsidR="00410344" w:rsidRPr="00F42F76">
              <w:rPr>
                <w:sz w:val="18"/>
              </w:rPr>
              <w:t xml:space="preserve">) </w:t>
            </w:r>
          </w:p>
          <w:p w:rsidR="00363143" w:rsidRPr="00F42F76" w:rsidRDefault="00363143" w:rsidP="00F42F76">
            <w:pPr>
              <w:pStyle w:val="NoSpacing"/>
              <w:rPr>
                <w:sz w:val="18"/>
              </w:rPr>
            </w:pPr>
            <w:r w:rsidRPr="00F42F76">
              <w:rPr>
                <w:sz w:val="18"/>
                <w:vertAlign w:val="superscript"/>
              </w:rPr>
              <w:t xml:space="preserve">‡ </w:t>
            </w:r>
            <w:r w:rsidRPr="00F42F76">
              <w:rPr>
                <w:sz w:val="18"/>
              </w:rPr>
              <w:t xml:space="preserve">Failed prior treatment with </w:t>
            </w:r>
            <w:proofErr w:type="spellStart"/>
            <w:r w:rsidRPr="00F42F76">
              <w:rPr>
                <w:sz w:val="18"/>
              </w:rPr>
              <w:t>boceprevir</w:t>
            </w:r>
            <w:proofErr w:type="spellEnd"/>
            <w:r w:rsidRPr="00F42F76">
              <w:rPr>
                <w:sz w:val="18"/>
              </w:rPr>
              <w:t xml:space="preserve">, </w:t>
            </w:r>
            <w:proofErr w:type="spellStart"/>
            <w:r w:rsidRPr="00F42F76">
              <w:rPr>
                <w:sz w:val="18"/>
              </w:rPr>
              <w:t>telaprevir</w:t>
            </w:r>
            <w:proofErr w:type="spellEnd"/>
            <w:r w:rsidRPr="00F42F76">
              <w:rPr>
                <w:sz w:val="18"/>
              </w:rPr>
              <w:t xml:space="preserve">, or </w:t>
            </w:r>
            <w:proofErr w:type="spellStart"/>
            <w:r w:rsidRPr="00F42F76">
              <w:rPr>
                <w:sz w:val="18"/>
              </w:rPr>
              <w:t>simeprevir</w:t>
            </w:r>
            <w:proofErr w:type="spellEnd"/>
            <w:r w:rsidRPr="00F42F76">
              <w:rPr>
                <w:sz w:val="18"/>
              </w:rPr>
              <w:t xml:space="preserve"> in combination with peg-IFN + RBV</w:t>
            </w:r>
          </w:p>
          <w:p w:rsidR="00363143" w:rsidRPr="00363143" w:rsidRDefault="00363143" w:rsidP="00F42F76">
            <w:pPr>
              <w:pStyle w:val="NoSpacing"/>
              <w:rPr>
                <w:szCs w:val="20"/>
              </w:rPr>
            </w:pPr>
            <w:r w:rsidRPr="00F42F76">
              <w:rPr>
                <w:sz w:val="18"/>
                <w:vertAlign w:val="superscript"/>
              </w:rPr>
              <w:t xml:space="preserve">§ </w:t>
            </w:r>
            <w:proofErr w:type="spellStart"/>
            <w:r w:rsidRPr="00F42F76">
              <w:rPr>
                <w:sz w:val="18"/>
              </w:rPr>
              <w:t>Sofosbuvir</w:t>
            </w:r>
            <w:proofErr w:type="spellEnd"/>
            <w:r w:rsidRPr="00F42F76">
              <w:rPr>
                <w:sz w:val="18"/>
              </w:rPr>
              <w:t xml:space="preserve"> dose was 400 mg once a day</w:t>
            </w:r>
          </w:p>
        </w:tc>
      </w:tr>
    </w:tbl>
    <w:p w:rsidR="00363143" w:rsidRDefault="00363143" w:rsidP="00363143">
      <w:pPr>
        <w:pStyle w:val="BodyText1"/>
        <w:spacing w:before="0"/>
        <w:ind w:firstLine="540"/>
        <w:jc w:val="both"/>
        <w:rPr>
          <w:rFonts w:ascii="Arial" w:hAnsi="Arial"/>
          <w:sz w:val="20"/>
          <w:szCs w:val="20"/>
        </w:rPr>
      </w:pPr>
    </w:p>
    <w:p w:rsidR="00363143" w:rsidRPr="00C10448" w:rsidRDefault="00363143" w:rsidP="00C52E19">
      <w:pPr>
        <w:pStyle w:val="ListParagraph"/>
        <w:numPr>
          <w:ilvl w:val="0"/>
          <w:numId w:val="11"/>
        </w:numPr>
      </w:pPr>
      <w:r w:rsidRPr="00C10448">
        <w:t xml:space="preserve">C-EDGE TN was a </w:t>
      </w:r>
      <w:r w:rsidR="00AA259D">
        <w:t>randomise</w:t>
      </w:r>
      <w:r w:rsidRPr="00C10448">
        <w:t xml:space="preserve">d, double-blind, placebo-controlled trial in treatment-naïve subjects with genotype 1, 4, or 6 infection with or without cirrhosis. Subjects were </w:t>
      </w:r>
      <w:r w:rsidR="00AA259D">
        <w:t>randomise</w:t>
      </w:r>
      <w:r w:rsidRPr="00C10448">
        <w:t xml:space="preserve">d in a 3:1 ratio to: </w:t>
      </w:r>
      <w:r w:rsidR="000D7FE6">
        <w:t>ZEPATIER</w:t>
      </w:r>
      <w:r w:rsidRPr="00C10448">
        <w:t xml:space="preserve"> for 12 weeks (immediate treatment group) or placebo for 12 weeks followed by open-label treatment with </w:t>
      </w:r>
      <w:r w:rsidR="000D7FE6">
        <w:t>ZEPATIER</w:t>
      </w:r>
      <w:r w:rsidRPr="00C10448">
        <w:t xml:space="preserve"> for 12 weeks (deferred treatment group).</w:t>
      </w:r>
    </w:p>
    <w:p w:rsidR="00363143" w:rsidRPr="00C10448" w:rsidRDefault="00363143" w:rsidP="00C52E19">
      <w:pPr>
        <w:pStyle w:val="ListParagraph"/>
        <w:numPr>
          <w:ilvl w:val="0"/>
          <w:numId w:val="11"/>
        </w:numPr>
      </w:pPr>
      <w:r w:rsidRPr="00C10448">
        <w:t>C-EDGE COINFECTION</w:t>
      </w:r>
      <w:r w:rsidRPr="00C10448" w:rsidDel="00D54529">
        <w:t xml:space="preserve"> </w:t>
      </w:r>
      <w:r w:rsidRPr="00C10448">
        <w:t xml:space="preserve">was an open-label trial in treatment-naïve </w:t>
      </w:r>
      <w:r>
        <w:t xml:space="preserve">HCV/HIV-1 </w:t>
      </w:r>
      <w:r w:rsidRPr="00C10448">
        <w:t>co</w:t>
      </w:r>
      <w:r>
        <w:t>-</w:t>
      </w:r>
      <w:r w:rsidRPr="00C10448">
        <w:t xml:space="preserve">infected subjects with genotype 1, 4, or 6 </w:t>
      </w:r>
      <w:proofErr w:type="gramStart"/>
      <w:r w:rsidRPr="00C10448">
        <w:t>infection</w:t>
      </w:r>
      <w:proofErr w:type="gramEnd"/>
      <w:r w:rsidRPr="00C10448">
        <w:t xml:space="preserve"> with or without cirrhosis. Subjects re</w:t>
      </w:r>
      <w:r>
        <w:t xml:space="preserve">ceived </w:t>
      </w:r>
      <w:r w:rsidR="000D7FE6">
        <w:t>ZEPATIER</w:t>
      </w:r>
      <w:r>
        <w:t xml:space="preserve"> for 12 weeks. </w:t>
      </w:r>
    </w:p>
    <w:p w:rsidR="00363143" w:rsidRPr="00C10448" w:rsidRDefault="00363143" w:rsidP="00C52E19">
      <w:pPr>
        <w:pStyle w:val="ListParagraph"/>
        <w:numPr>
          <w:ilvl w:val="0"/>
          <w:numId w:val="11"/>
        </w:numPr>
      </w:pPr>
      <w:r w:rsidRPr="00C10448">
        <w:t>C-SURFER</w:t>
      </w:r>
      <w:r w:rsidRPr="00C10448" w:rsidDel="00D54529">
        <w:t xml:space="preserve"> </w:t>
      </w:r>
      <w:r w:rsidRPr="00C10448">
        <w:t xml:space="preserve">was a </w:t>
      </w:r>
      <w:r w:rsidR="00AA259D">
        <w:t>randomise</w:t>
      </w:r>
      <w:r w:rsidRPr="00C10448">
        <w:t>d, double-blind, placebo-controlled trial in subjects with genotype 1 infection</w:t>
      </w:r>
      <w:r>
        <w:t>,</w:t>
      </w:r>
      <w:r w:rsidRPr="00C10448">
        <w:t xml:space="preserve"> with or without cirrhosis,</w:t>
      </w:r>
      <w:r>
        <w:t xml:space="preserve"> </w:t>
      </w:r>
      <w:r w:rsidRPr="00C10448">
        <w:t xml:space="preserve">with chronic kidney disease (CKD) </w:t>
      </w:r>
      <w:r>
        <w:t>S</w:t>
      </w:r>
      <w:r w:rsidRPr="00C10448">
        <w:t xml:space="preserve">tage 4 </w:t>
      </w:r>
      <w:r w:rsidRPr="009266D8">
        <w:t>(</w:t>
      </w:r>
      <w:proofErr w:type="spellStart"/>
      <w:r>
        <w:t>e</w:t>
      </w:r>
      <w:r w:rsidRPr="009266D8">
        <w:t>GFR</w:t>
      </w:r>
      <w:proofErr w:type="spellEnd"/>
      <w:r w:rsidRPr="009266D8">
        <w:t xml:space="preserve"> 15-29 m</w:t>
      </w:r>
      <w:r>
        <w:t>L</w:t>
      </w:r>
      <w:r w:rsidRPr="009266D8">
        <w:t>/min/1.73 m</w:t>
      </w:r>
      <w:r w:rsidRPr="002A3BDE">
        <w:rPr>
          <w:vertAlign w:val="superscript"/>
        </w:rPr>
        <w:t>2</w:t>
      </w:r>
      <w:r w:rsidRPr="009266D8">
        <w:t xml:space="preserve">) </w:t>
      </w:r>
      <w:r>
        <w:t xml:space="preserve">or Stage </w:t>
      </w:r>
      <w:r w:rsidRPr="009266D8">
        <w:t>5 (</w:t>
      </w:r>
      <w:proofErr w:type="spellStart"/>
      <w:r>
        <w:t>e</w:t>
      </w:r>
      <w:r w:rsidRPr="009266D8">
        <w:t>GFR</w:t>
      </w:r>
      <w:proofErr w:type="spellEnd"/>
      <w:r w:rsidRPr="009266D8">
        <w:t xml:space="preserve"> &lt;15 m</w:t>
      </w:r>
      <w:r>
        <w:t>L</w:t>
      </w:r>
      <w:r w:rsidRPr="009266D8">
        <w:t>/min/1.73 m</w:t>
      </w:r>
      <w:r w:rsidRPr="002A3BDE">
        <w:rPr>
          <w:vertAlign w:val="superscript"/>
        </w:rPr>
        <w:t>2</w:t>
      </w:r>
      <w:r w:rsidRPr="009266D8">
        <w:t>)</w:t>
      </w:r>
      <w:r>
        <w:t>, including subjects on</w:t>
      </w:r>
      <w:r w:rsidRPr="00C10448">
        <w:t xml:space="preserve"> </w:t>
      </w:r>
      <w:r w:rsidR="00AA259D">
        <w:t>haemodialysis</w:t>
      </w:r>
      <w:r>
        <w:t>,</w:t>
      </w:r>
      <w:r w:rsidRPr="00C10448">
        <w:t xml:space="preserve"> who were treatment-naïve or who had failed prior therapy with IFN or peg-IFN ± RBV therapy. Subjects were </w:t>
      </w:r>
      <w:r w:rsidR="00AA259D">
        <w:t>randomise</w:t>
      </w:r>
      <w:r w:rsidRPr="00C10448">
        <w:t xml:space="preserve">d in a 1:1 ratio to one of the following treatment groups: </w:t>
      </w:r>
      <w:r w:rsidR="00853808" w:rsidRPr="00C10448">
        <w:t xml:space="preserve">EBR </w:t>
      </w:r>
      <w:r w:rsidR="00853808">
        <w:t xml:space="preserve">+ </w:t>
      </w:r>
      <w:r w:rsidRPr="00C10448">
        <w:t xml:space="preserve">GZR for 12 weeks (immediate treatment group) or placebo for 12 weeks followed by open-label treatment with </w:t>
      </w:r>
      <w:r w:rsidR="00853808" w:rsidRPr="00C10448">
        <w:t xml:space="preserve">EBR </w:t>
      </w:r>
      <w:r w:rsidR="00853808">
        <w:t xml:space="preserve">+ </w:t>
      </w:r>
      <w:r w:rsidRPr="00C10448">
        <w:t xml:space="preserve">GZR for 12 weeks (deferred treatment group). In addition, 11 subjects received open-label </w:t>
      </w:r>
      <w:r w:rsidR="00853808" w:rsidRPr="00C10448">
        <w:t xml:space="preserve">EBR </w:t>
      </w:r>
      <w:r w:rsidR="00853808">
        <w:t xml:space="preserve">+ </w:t>
      </w:r>
      <w:r w:rsidRPr="00C10448">
        <w:t xml:space="preserve">GZR for 12 weeks (intensive PK arm). </w:t>
      </w:r>
    </w:p>
    <w:p w:rsidR="00363143" w:rsidRPr="008713F1" w:rsidRDefault="00363143" w:rsidP="00C52E19">
      <w:pPr>
        <w:pStyle w:val="ListParagraph"/>
        <w:numPr>
          <w:ilvl w:val="0"/>
          <w:numId w:val="11"/>
        </w:numPr>
      </w:pPr>
      <w:r w:rsidRPr="008713F1">
        <w:t>C-WORTHY</w:t>
      </w:r>
      <w:r w:rsidRPr="008713F1" w:rsidDel="00D54529">
        <w:t xml:space="preserve"> </w:t>
      </w:r>
      <w:r w:rsidRPr="008713F1">
        <w:t xml:space="preserve">was a multi-arm, multi-stage, </w:t>
      </w:r>
      <w:r w:rsidR="00AA259D">
        <w:t>randomise</w:t>
      </w:r>
      <w:r w:rsidRPr="008713F1">
        <w:t xml:space="preserve">d, open-label trial which included subjects with genotype 1 or 3 infection who were treatment-naïve or who had failed prior therapy with peg-IFN ± RBV therapy. In the stage evaluating shorter duration of therapy in subjects with genotype 1b infection without cirrhosis, subjects were </w:t>
      </w:r>
      <w:r w:rsidR="00AA259D">
        <w:t>randomise</w:t>
      </w:r>
      <w:r w:rsidRPr="008713F1">
        <w:t xml:space="preserve">d in a 1:1 ratio to </w:t>
      </w:r>
      <w:r w:rsidR="00853808" w:rsidRPr="00C10448">
        <w:t xml:space="preserve">EBR </w:t>
      </w:r>
      <w:r w:rsidR="00853808">
        <w:t xml:space="preserve">+ </w:t>
      </w:r>
      <w:r w:rsidRPr="008713F1">
        <w:t xml:space="preserve">GZR with or without RBV for 8 weeks. In the stage evaluating subjects with genotype 3 infection without cirrhosis who were treatment-naïve, subjects were </w:t>
      </w:r>
      <w:r w:rsidR="00AA259D">
        <w:t>randomise</w:t>
      </w:r>
      <w:r w:rsidRPr="008713F1">
        <w:t xml:space="preserve">d to </w:t>
      </w:r>
      <w:r w:rsidR="00853808" w:rsidRPr="00C10448">
        <w:t xml:space="preserve">EBR </w:t>
      </w:r>
      <w:r w:rsidR="00853808">
        <w:t xml:space="preserve">+ </w:t>
      </w:r>
      <w:r w:rsidRPr="008713F1">
        <w:t xml:space="preserve">GZR with RBV for 12 or 18 weeks. In the other stages, subjects with GT 1 infection with or without cirrhosis who were treatment-naïve (with or without HCV/HIV-1 co-infection) or who were peg-IFN + RBV null responders, were </w:t>
      </w:r>
      <w:r w:rsidR="00AA259D">
        <w:t>randomise</w:t>
      </w:r>
      <w:r w:rsidRPr="008713F1">
        <w:t xml:space="preserve">d to </w:t>
      </w:r>
      <w:r w:rsidR="00853808" w:rsidRPr="00C10448">
        <w:t xml:space="preserve">EBR </w:t>
      </w:r>
      <w:r w:rsidR="00853808">
        <w:t xml:space="preserve">+ </w:t>
      </w:r>
      <w:r w:rsidRPr="008713F1">
        <w:t xml:space="preserve">GZR with or without RBV for 8, 12 or 18 weeks. </w:t>
      </w:r>
    </w:p>
    <w:p w:rsidR="00363143" w:rsidRPr="008713F1" w:rsidRDefault="00363143" w:rsidP="00C52E19">
      <w:pPr>
        <w:pStyle w:val="ListParagraph"/>
        <w:numPr>
          <w:ilvl w:val="0"/>
          <w:numId w:val="11"/>
        </w:numPr>
      </w:pPr>
      <w:r w:rsidRPr="008713F1">
        <w:t xml:space="preserve">C-SCAPE was a </w:t>
      </w:r>
      <w:r w:rsidR="00AA259D">
        <w:t>randomise</w:t>
      </w:r>
      <w:r w:rsidRPr="008713F1">
        <w:t xml:space="preserve">d, open-label trial which included treatment-naïve subjects with genotype 4 or 6 infection without cirrhosis. Subjects were </w:t>
      </w:r>
      <w:r w:rsidR="00AA259D">
        <w:t>randomise</w:t>
      </w:r>
      <w:r w:rsidRPr="008713F1">
        <w:t xml:space="preserve">d in a 1:1 ratio to </w:t>
      </w:r>
      <w:r w:rsidR="00853808" w:rsidRPr="00C10448">
        <w:t xml:space="preserve">EBR </w:t>
      </w:r>
      <w:r w:rsidR="00853808">
        <w:t xml:space="preserve">+ </w:t>
      </w:r>
      <w:r w:rsidRPr="008713F1">
        <w:t xml:space="preserve">GZR for 12 weeks or </w:t>
      </w:r>
      <w:r w:rsidR="00853808" w:rsidRPr="00C10448">
        <w:t xml:space="preserve">EBR </w:t>
      </w:r>
      <w:r w:rsidR="00853808">
        <w:t xml:space="preserve">+ </w:t>
      </w:r>
      <w:r w:rsidRPr="008713F1">
        <w:t>GZR + RBV for 12 weeks.</w:t>
      </w:r>
    </w:p>
    <w:p w:rsidR="00363143" w:rsidRPr="00C10448" w:rsidRDefault="00363143" w:rsidP="00C52E19">
      <w:pPr>
        <w:pStyle w:val="ListParagraph"/>
        <w:numPr>
          <w:ilvl w:val="0"/>
          <w:numId w:val="11"/>
        </w:numPr>
      </w:pPr>
      <w:r w:rsidRPr="00C10448">
        <w:t>C-EDGE TE</w:t>
      </w:r>
      <w:r w:rsidRPr="00C10448" w:rsidDel="00D54529">
        <w:t xml:space="preserve"> </w:t>
      </w:r>
      <w:r w:rsidRPr="00C10448">
        <w:t xml:space="preserve">was a </w:t>
      </w:r>
      <w:r w:rsidR="00AA259D">
        <w:t>randomise</w:t>
      </w:r>
      <w:r w:rsidRPr="00C10448">
        <w:t>d, open-label trial in subjects with genotype 1, 4, or 6 infection, with or without cirrhosis, with or without HCV/HIV</w:t>
      </w:r>
      <w:r>
        <w:t>-1</w:t>
      </w:r>
      <w:r w:rsidRPr="00C10448">
        <w:t xml:space="preserve"> co-infection, who had failed prior therapy with peg-IFN </w:t>
      </w:r>
      <w:r>
        <w:t>+</w:t>
      </w:r>
      <w:r w:rsidRPr="00C10448">
        <w:t xml:space="preserve"> RBV therapy. Subjects were </w:t>
      </w:r>
      <w:r w:rsidR="00AA259D">
        <w:t>randomise</w:t>
      </w:r>
      <w:r w:rsidRPr="00C10448">
        <w:t xml:space="preserve">d in a 1:1:1:1 ratio to one of the following treatment groups: </w:t>
      </w:r>
      <w:r w:rsidR="000D7FE6">
        <w:t>ZEPATIER</w:t>
      </w:r>
      <w:r w:rsidRPr="00C10448">
        <w:t xml:space="preserve"> for 12 weeks, </w:t>
      </w:r>
      <w:r w:rsidR="000D7FE6">
        <w:t>ZEPATIER</w:t>
      </w:r>
      <w:r w:rsidRPr="00C10448">
        <w:t xml:space="preserve"> + RBV for 12 weeks, </w:t>
      </w:r>
      <w:r w:rsidR="000D7FE6">
        <w:t>ZEPATIER</w:t>
      </w:r>
      <w:r w:rsidRPr="00C10448">
        <w:t xml:space="preserve"> for 16 weeks, or </w:t>
      </w:r>
      <w:r w:rsidR="000D7FE6">
        <w:t>ZEPATIER</w:t>
      </w:r>
      <w:r w:rsidRPr="00C10448">
        <w:t xml:space="preserve"> + RBV for 16 weeks. </w:t>
      </w:r>
    </w:p>
    <w:p w:rsidR="00363143" w:rsidRPr="00C10448" w:rsidRDefault="00363143" w:rsidP="00C52E19">
      <w:pPr>
        <w:pStyle w:val="ListParagraph"/>
        <w:numPr>
          <w:ilvl w:val="0"/>
          <w:numId w:val="11"/>
        </w:numPr>
      </w:pPr>
      <w:r w:rsidRPr="002A3BDE">
        <w:rPr>
          <w:rFonts w:eastAsia="ArialMT"/>
        </w:rPr>
        <w:t>C-SALVAGE</w:t>
      </w:r>
      <w:r w:rsidRPr="00C10448" w:rsidDel="00D54529">
        <w:t xml:space="preserve"> </w:t>
      </w:r>
      <w:r w:rsidRPr="00C10448">
        <w:t>was an open-label trial in subjects with genotype 1 infection, with or without cirrhosis</w:t>
      </w:r>
      <w:r>
        <w:t>,</w:t>
      </w:r>
      <w:r w:rsidRPr="00C10448">
        <w:t xml:space="preserve"> who </w:t>
      </w:r>
      <w:r>
        <w:t>had</w:t>
      </w:r>
      <w:r w:rsidRPr="00C10448">
        <w:t xml:space="preserve"> failed prior treatment with </w:t>
      </w:r>
      <w:proofErr w:type="spellStart"/>
      <w:r w:rsidRPr="00C10448">
        <w:t>boceprevir</w:t>
      </w:r>
      <w:proofErr w:type="spellEnd"/>
      <w:r w:rsidRPr="00C10448">
        <w:t xml:space="preserve">, </w:t>
      </w:r>
      <w:proofErr w:type="spellStart"/>
      <w:r w:rsidRPr="00C10448">
        <w:t>simeprevir</w:t>
      </w:r>
      <w:proofErr w:type="spellEnd"/>
      <w:r w:rsidRPr="00C10448">
        <w:t xml:space="preserve">, or </w:t>
      </w:r>
      <w:proofErr w:type="spellStart"/>
      <w:r w:rsidRPr="00C10448">
        <w:t>telaprevir</w:t>
      </w:r>
      <w:proofErr w:type="spellEnd"/>
      <w:r w:rsidRPr="00C10448">
        <w:t xml:space="preserve"> in combination with peg-IFN + RBV. Subjects received </w:t>
      </w:r>
      <w:r w:rsidR="00853808" w:rsidRPr="00C10448">
        <w:t xml:space="preserve">EBR </w:t>
      </w:r>
      <w:r w:rsidR="00853808">
        <w:t xml:space="preserve">+ </w:t>
      </w:r>
      <w:r w:rsidRPr="00C10448">
        <w:t xml:space="preserve">GZR + RBV for 12 weeks. </w:t>
      </w:r>
    </w:p>
    <w:p w:rsidR="00363143" w:rsidRPr="00895E1B" w:rsidRDefault="00363143" w:rsidP="00C52E19">
      <w:pPr>
        <w:pStyle w:val="ListParagraph"/>
        <w:numPr>
          <w:ilvl w:val="0"/>
          <w:numId w:val="11"/>
        </w:numPr>
        <w:rPr>
          <w:szCs w:val="18"/>
        </w:rPr>
      </w:pPr>
      <w:r w:rsidRPr="00786DD2">
        <w:t xml:space="preserve">C-SWIFT was an open-label trial of </w:t>
      </w:r>
      <w:r w:rsidR="000D7FE6">
        <w:t>ZEPATIER</w:t>
      </w:r>
      <w:r w:rsidRPr="00786DD2">
        <w:t xml:space="preserve"> + </w:t>
      </w:r>
      <w:proofErr w:type="spellStart"/>
      <w:r w:rsidRPr="00786DD2">
        <w:t>sofosbuvir</w:t>
      </w:r>
      <w:proofErr w:type="spellEnd"/>
      <w:r w:rsidRPr="00786DD2">
        <w:t xml:space="preserve"> in treatment-naïve subjects with genotype 1 or 3 infection.  Non-cirrhotic genotype 3 infected subjects, were </w:t>
      </w:r>
      <w:r w:rsidR="00AA259D">
        <w:t>randomise</w:t>
      </w:r>
      <w:r w:rsidRPr="00786DD2">
        <w:t xml:space="preserve">d (1:1) to 8 or 12 weeks of treatment, and cirrhotic genotype 3 infected </w:t>
      </w:r>
      <w:r w:rsidRPr="00786DD2">
        <w:lastRenderedPageBreak/>
        <w:t xml:space="preserve">subjects received 12 weeks of treatment. Non-cirrhotic genotype 1 infected subjects, were </w:t>
      </w:r>
      <w:r w:rsidR="00AA259D">
        <w:t>randomise</w:t>
      </w:r>
      <w:r w:rsidRPr="00786DD2">
        <w:t xml:space="preserve">d (1:1) to 4 or 6 weeks of treatment, and cirrhotic genotype 1 infected subjects were </w:t>
      </w:r>
      <w:r w:rsidR="00AA259D">
        <w:t>randomise</w:t>
      </w:r>
      <w:r w:rsidRPr="00786DD2">
        <w:t>d (1:1) to 6 or 8 weeks of treatment.</w:t>
      </w:r>
    </w:p>
    <w:p w:rsidR="00363143" w:rsidRDefault="00363143" w:rsidP="00363143">
      <w:r>
        <w:t>S</w:t>
      </w:r>
      <w:r w:rsidRPr="006D5490">
        <w:t xml:space="preserve">ustained </w:t>
      </w:r>
      <w:proofErr w:type="spellStart"/>
      <w:r w:rsidRPr="006D5490">
        <w:t>virologic</w:t>
      </w:r>
      <w:proofErr w:type="spellEnd"/>
      <w:r w:rsidRPr="006D5490">
        <w:t xml:space="preserve"> response</w:t>
      </w:r>
      <w:r>
        <w:t xml:space="preserve"> </w:t>
      </w:r>
      <w:r w:rsidRPr="006D5490">
        <w:t xml:space="preserve">was the primary endpoint </w:t>
      </w:r>
      <w:r>
        <w:t xml:space="preserve">in all trials </w:t>
      </w:r>
      <w:r w:rsidRPr="006D5490">
        <w:t xml:space="preserve">and was defined as HCV RNA less than </w:t>
      </w:r>
      <w:r>
        <w:t>lower limit of quantification</w:t>
      </w:r>
      <w:r w:rsidRPr="006D5490">
        <w:t xml:space="preserve"> </w:t>
      </w:r>
      <w:r>
        <w:t>(</w:t>
      </w:r>
      <w:r w:rsidRPr="006D5490">
        <w:t>LLOQ</w:t>
      </w:r>
      <w:r>
        <w:t>)</w:t>
      </w:r>
      <w:r w:rsidRPr="006D5490">
        <w:t xml:space="preserve"> at 12 weeks after the cessation of treatment</w:t>
      </w:r>
      <w:r>
        <w:t xml:space="preserve"> (SVR)</w:t>
      </w:r>
      <w:r w:rsidRPr="006D5490">
        <w:t xml:space="preserve">. </w:t>
      </w:r>
      <w:r>
        <w:t xml:space="preserve">Serum HCV RNA values were measured during these clinical trials using the COBAS </w:t>
      </w:r>
      <w:proofErr w:type="spellStart"/>
      <w:r>
        <w:t>AmpliPrep</w:t>
      </w:r>
      <w:proofErr w:type="spellEnd"/>
      <w:r>
        <w:t xml:space="preserve">/COBAS </w:t>
      </w:r>
      <w:proofErr w:type="spellStart"/>
      <w:r w:rsidRPr="008713F1">
        <w:t>Taqman</w:t>
      </w:r>
      <w:proofErr w:type="spellEnd"/>
      <w:r w:rsidRPr="008713F1">
        <w:t xml:space="preserve"> HCV test (version 2.0) with an LLOQ of 15 HCV RNA IU/mL, with the exception of C-WORTHY and C-SCAPE</w:t>
      </w:r>
      <w:r w:rsidRPr="00D0209E">
        <w:t xml:space="preserve"> </w:t>
      </w:r>
      <w:r>
        <w:t xml:space="preserve">where </w:t>
      </w:r>
      <w:r w:rsidRPr="00D0209E">
        <w:t>the assay had a</w:t>
      </w:r>
      <w:r>
        <w:t>n</w:t>
      </w:r>
      <w:r w:rsidRPr="00D0209E">
        <w:t xml:space="preserve"> LLOQ of 25 HCV RNA IU/</w:t>
      </w:r>
      <w:proofErr w:type="spellStart"/>
      <w:r w:rsidRPr="00D0209E">
        <w:t>mL.</w:t>
      </w:r>
      <w:proofErr w:type="spellEnd"/>
      <w:r>
        <w:t xml:space="preserve"> </w:t>
      </w:r>
    </w:p>
    <w:p w:rsidR="00363143" w:rsidRPr="00CF0EF6" w:rsidRDefault="00363143" w:rsidP="00363143">
      <w:pPr>
        <w:pStyle w:val="BodyText1"/>
        <w:spacing w:before="0"/>
        <w:ind w:firstLine="540"/>
        <w:jc w:val="both"/>
        <w:rPr>
          <w:rFonts w:ascii="Arial" w:hAnsi="Arial"/>
          <w:sz w:val="20"/>
          <w:szCs w:val="20"/>
        </w:rPr>
      </w:pPr>
    </w:p>
    <w:p w:rsidR="00363143" w:rsidRPr="002A3BDE" w:rsidRDefault="00363143" w:rsidP="002A3BDE">
      <w:pPr>
        <w:pStyle w:val="Heading2"/>
      </w:pPr>
      <w:r w:rsidRPr="002A3BDE">
        <w:t>Clinical Trials in Treatment-Naïve Subjects with Genotype 1</w:t>
      </w:r>
      <w:r w:rsidR="001E295A">
        <w:t xml:space="preserve"> or</w:t>
      </w:r>
      <w:r w:rsidRPr="002A3BDE">
        <w:t xml:space="preserve"> 4 Chronic Hepatitis C Infection</w:t>
      </w:r>
    </w:p>
    <w:p w:rsidR="00363143" w:rsidRDefault="00363143" w:rsidP="002A3BDE">
      <w:r>
        <w:t xml:space="preserve">Treatment-naïve subjects with genotype 1, 4, or 6 chronic hepatitis C infection treated with </w:t>
      </w:r>
      <w:r w:rsidR="000D7FE6">
        <w:t>ZEPATIER</w:t>
      </w:r>
      <w:r>
        <w:t xml:space="preserve"> for 12 weeks in C-EDGE TN, C-EDGE COINFECTION, C-SURFER, C-W</w:t>
      </w:r>
      <w:r w:rsidRPr="005D5188">
        <w:t xml:space="preserve">ORTHY, and C-SCAPE had a median age of </w:t>
      </w:r>
      <w:r>
        <w:t xml:space="preserve">53 </w:t>
      </w:r>
      <w:r w:rsidRPr="005D5188">
        <w:t xml:space="preserve">years (range: </w:t>
      </w:r>
      <w:r>
        <w:t>20</w:t>
      </w:r>
      <w:r w:rsidRPr="005D5188">
        <w:t xml:space="preserve"> to </w:t>
      </w:r>
      <w:r>
        <w:t>82</w:t>
      </w:r>
      <w:r w:rsidRPr="005D5188">
        <w:t xml:space="preserve">); </w:t>
      </w:r>
      <w:r>
        <w:t>67</w:t>
      </w:r>
      <w:r w:rsidRPr="005D5188">
        <w:t xml:space="preserve">% of the subjects were male; </w:t>
      </w:r>
      <w:r>
        <w:t>67</w:t>
      </w:r>
      <w:r w:rsidRPr="005D5188">
        <w:t xml:space="preserve">% were White; </w:t>
      </w:r>
      <w:r>
        <w:t>21</w:t>
      </w:r>
      <w:r w:rsidRPr="005D5188">
        <w:t>% were Black</w:t>
      </w:r>
      <w:r>
        <w:t xml:space="preserve"> or African American</w:t>
      </w:r>
      <w:r w:rsidRPr="005D5188">
        <w:t xml:space="preserve">; </w:t>
      </w:r>
      <w:r>
        <w:t>8</w:t>
      </w:r>
      <w:r w:rsidRPr="005D5188">
        <w:t>% were His</w:t>
      </w:r>
      <w:r w:rsidRPr="00E11AD3">
        <w:t>panic or Latino; mean body mass index was 26 kg/m</w:t>
      </w:r>
      <w:r w:rsidRPr="00E11AD3">
        <w:rPr>
          <w:vertAlign w:val="superscript"/>
        </w:rPr>
        <w:t>2</w:t>
      </w:r>
      <w:r w:rsidRPr="00E11AD3">
        <w:t>; 66% had baseline HCV RNA levels greater than 800,000 IU/mL; 18% had cirrhosis; 68% had non-C/C IL28B alleles (CT or TT);  33% had HCV/HIV-1 co-infection</w:t>
      </w:r>
      <w:r w:rsidR="00CA3EA5">
        <w:t>;</w:t>
      </w:r>
      <w:r w:rsidR="00CA3EA5" w:rsidRPr="00CA3EA5">
        <w:rPr>
          <w:szCs w:val="18"/>
        </w:rPr>
        <w:t xml:space="preserve"> </w:t>
      </w:r>
      <w:r w:rsidR="00CA3EA5">
        <w:rPr>
          <w:szCs w:val="18"/>
        </w:rPr>
        <w:t xml:space="preserve">and 91% had genotype 1, 7% had genotype 4, </w:t>
      </w:r>
      <w:r w:rsidR="00CA3EA5" w:rsidRPr="00EE2B57">
        <w:rPr>
          <w:szCs w:val="18"/>
        </w:rPr>
        <w:t xml:space="preserve">and </w:t>
      </w:r>
      <w:r w:rsidR="00CA3EA5">
        <w:rPr>
          <w:szCs w:val="18"/>
        </w:rPr>
        <w:t>2</w:t>
      </w:r>
      <w:r w:rsidR="00CA3EA5" w:rsidRPr="00EE2B57">
        <w:rPr>
          <w:szCs w:val="18"/>
        </w:rPr>
        <w:t xml:space="preserve">% </w:t>
      </w:r>
      <w:r w:rsidR="00CA3EA5">
        <w:rPr>
          <w:szCs w:val="18"/>
        </w:rPr>
        <w:t>had</w:t>
      </w:r>
      <w:r w:rsidR="00CA3EA5" w:rsidRPr="00EE2B57">
        <w:rPr>
          <w:szCs w:val="18"/>
        </w:rPr>
        <w:t xml:space="preserve"> genotype 6 chronic hepatitis C infection</w:t>
      </w:r>
      <w:r w:rsidRPr="00E11AD3">
        <w:t>.</w:t>
      </w:r>
    </w:p>
    <w:p w:rsidR="00DF08CD" w:rsidRPr="00E11AD3" w:rsidRDefault="00DF08CD" w:rsidP="002A3BDE"/>
    <w:p w:rsidR="00363143" w:rsidRDefault="00363143" w:rsidP="002A3BDE">
      <w:r w:rsidRPr="00E11AD3">
        <w:t xml:space="preserve">Table </w:t>
      </w:r>
      <w:r w:rsidR="009916F7">
        <w:t>5</w:t>
      </w:r>
      <w:r w:rsidRPr="00E11AD3">
        <w:t xml:space="preserve"> presents treatment outcomes for </w:t>
      </w:r>
      <w:r w:rsidR="000D7FE6">
        <w:t>ZEPATIER</w:t>
      </w:r>
      <w:r w:rsidRPr="00E11AD3">
        <w:t xml:space="preserve"> in treatme</w:t>
      </w:r>
      <w:r w:rsidRPr="005D5188">
        <w:t>nt-naïve subjects from C-EDGE TN, C-EDGE COINFECTION, C-SURFER, C-WORTHY, and C-SCAPE trials and from the pooled data from these trials. In trial</w:t>
      </w:r>
      <w:r>
        <w:t>s</w:t>
      </w:r>
      <w:r w:rsidRPr="005D5188">
        <w:t xml:space="preserve"> C-EDGE TN and C-SURFER, the treatment outcom</w:t>
      </w:r>
      <w:r>
        <w:t xml:space="preserve">es </w:t>
      </w:r>
      <w:r w:rsidRPr="006E708C">
        <w:t xml:space="preserve">for </w:t>
      </w:r>
      <w:r>
        <w:t xml:space="preserve">subjects treated with </w:t>
      </w:r>
      <w:r w:rsidR="000D7FE6">
        <w:t>ZEPATIER</w:t>
      </w:r>
      <w:r w:rsidRPr="006E708C">
        <w:t xml:space="preserve"> in the</w:t>
      </w:r>
      <w:r>
        <w:t xml:space="preserve"> immediate treatment groups and intensive PK arm are presented</w:t>
      </w:r>
      <w:r w:rsidRPr="006E708C">
        <w:t>.</w:t>
      </w:r>
      <w:r>
        <w:t xml:space="preserve"> </w:t>
      </w:r>
      <w:r w:rsidRPr="00D1743E">
        <w:t xml:space="preserve">In the C-WORTHY and C-SCAPE trials, the addition of RBV to the regimens </w:t>
      </w:r>
      <w:r>
        <w:t xml:space="preserve">was </w:t>
      </w:r>
      <w:r w:rsidRPr="00D1743E">
        <w:t xml:space="preserve">not shown to improve the treatment outcomes. Therefore, only the 12 weeks treatment arms without RBV are presented in </w:t>
      </w:r>
      <w:r w:rsidR="002A3BDE">
        <w:fldChar w:fldCharType="begin"/>
      </w:r>
      <w:r w:rsidR="002A3BDE">
        <w:instrText xml:space="preserve"> REF _Ref423004826 \h </w:instrText>
      </w:r>
      <w:r w:rsidR="002A3BDE">
        <w:fldChar w:fldCharType="separate"/>
      </w:r>
      <w:r w:rsidR="008B30DE" w:rsidRPr="002A3BDE">
        <w:t xml:space="preserve">Table </w:t>
      </w:r>
      <w:r w:rsidR="00E5382C">
        <w:rPr>
          <w:noProof/>
        </w:rPr>
        <w:t>5</w:t>
      </w:r>
      <w:r w:rsidR="002A3BDE">
        <w:fldChar w:fldCharType="end"/>
      </w:r>
      <w:r w:rsidRPr="00D1743E">
        <w:t>.</w:t>
      </w:r>
      <w:r>
        <w:t xml:space="preserve"> </w:t>
      </w:r>
    </w:p>
    <w:p w:rsidR="00D50318" w:rsidRDefault="00D50318" w:rsidP="00D50318"/>
    <w:p w:rsidR="00D50318" w:rsidRDefault="00D50318" w:rsidP="00D50318">
      <w:pPr>
        <w:rPr>
          <w:bCs/>
          <w:szCs w:val="18"/>
        </w:rPr>
      </w:pPr>
    </w:p>
    <w:p w:rsidR="00157EE1" w:rsidRDefault="00157EE1">
      <w:pPr>
        <w:spacing w:before="0" w:after="0"/>
        <w:rPr>
          <w:b/>
          <w:bCs/>
          <w:sz w:val="20"/>
        </w:rPr>
      </w:pPr>
      <w:bookmarkStart w:id="4" w:name="_Ref423004826"/>
      <w:r>
        <w:br w:type="page"/>
      </w:r>
    </w:p>
    <w:p w:rsidR="00363143" w:rsidRPr="002A3BDE" w:rsidRDefault="002A3BDE" w:rsidP="002A3BDE">
      <w:pPr>
        <w:pStyle w:val="Caption"/>
        <w:keepNext/>
        <w:jc w:val="center"/>
      </w:pPr>
      <w:r w:rsidRPr="002A3BDE">
        <w:lastRenderedPageBreak/>
        <w:t xml:space="preserve">Table </w:t>
      </w:r>
      <w:r w:rsidR="00E5382C">
        <w:t>5</w:t>
      </w:r>
      <w:bookmarkEnd w:id="4"/>
      <w:r w:rsidR="00363143" w:rsidRPr="002A3BDE">
        <w:t>: Treatment Outcomes after 12 Weeks of Treatment in Treatment-Naïve Subjects with or without Cirrhosis</w:t>
      </w:r>
      <w:r w:rsidR="001E295A">
        <w:t xml:space="preserve">, with Genotype 1 or 4 Chronic Hepatitis C Infection </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530"/>
        <w:gridCol w:w="1620"/>
        <w:gridCol w:w="1440"/>
        <w:gridCol w:w="1440"/>
        <w:gridCol w:w="1440"/>
        <w:gridCol w:w="1440"/>
      </w:tblGrid>
      <w:tr w:rsidR="00363143" w:rsidRPr="002A3BDE" w:rsidTr="002A3BDE">
        <w:trPr>
          <w:jc w:val="center"/>
        </w:trPr>
        <w:tc>
          <w:tcPr>
            <w:tcW w:w="2070" w:type="dxa"/>
            <w:shd w:val="clear" w:color="auto" w:fill="auto"/>
          </w:tcPr>
          <w:p w:rsidR="00363143" w:rsidRPr="002A3BDE" w:rsidRDefault="00363143" w:rsidP="00812C6B">
            <w:pPr>
              <w:jc w:val="center"/>
              <w:rPr>
                <w:b/>
                <w:color w:val="000000"/>
                <w:sz w:val="20"/>
                <w:szCs w:val="20"/>
              </w:rPr>
            </w:pPr>
            <w:r w:rsidRPr="002A3BDE">
              <w:rPr>
                <w:b/>
                <w:color w:val="000000"/>
                <w:sz w:val="20"/>
                <w:szCs w:val="20"/>
              </w:rPr>
              <w:t> Trial</w:t>
            </w:r>
          </w:p>
        </w:tc>
        <w:tc>
          <w:tcPr>
            <w:tcW w:w="1530" w:type="dxa"/>
            <w:shd w:val="clear" w:color="auto" w:fill="auto"/>
          </w:tcPr>
          <w:p w:rsidR="00363143" w:rsidRPr="002A3BDE" w:rsidRDefault="00363143" w:rsidP="00812C6B">
            <w:pPr>
              <w:jc w:val="center"/>
              <w:rPr>
                <w:b/>
                <w:color w:val="000000"/>
                <w:sz w:val="20"/>
                <w:szCs w:val="20"/>
              </w:rPr>
            </w:pPr>
            <w:r w:rsidRPr="002A3BDE">
              <w:rPr>
                <w:b/>
                <w:color w:val="000000"/>
                <w:sz w:val="20"/>
                <w:szCs w:val="20"/>
              </w:rPr>
              <w:t>C-EDGE TN</w:t>
            </w:r>
          </w:p>
        </w:tc>
        <w:tc>
          <w:tcPr>
            <w:tcW w:w="1620" w:type="dxa"/>
            <w:shd w:val="clear" w:color="auto" w:fill="auto"/>
          </w:tcPr>
          <w:p w:rsidR="00363143" w:rsidRPr="002A3BDE" w:rsidRDefault="00363143" w:rsidP="00812C6B">
            <w:pPr>
              <w:jc w:val="center"/>
              <w:rPr>
                <w:b/>
                <w:color w:val="000000"/>
                <w:sz w:val="20"/>
                <w:szCs w:val="20"/>
              </w:rPr>
            </w:pPr>
            <w:r w:rsidRPr="002A3BDE">
              <w:rPr>
                <w:b/>
                <w:color w:val="000000"/>
                <w:sz w:val="20"/>
                <w:szCs w:val="20"/>
              </w:rPr>
              <w:t xml:space="preserve">C-EDGE </w:t>
            </w:r>
          </w:p>
          <w:p w:rsidR="00363143" w:rsidRPr="002A3BDE" w:rsidRDefault="00363143" w:rsidP="00812C6B">
            <w:pPr>
              <w:jc w:val="center"/>
              <w:rPr>
                <w:b/>
                <w:color w:val="000000"/>
                <w:sz w:val="20"/>
                <w:szCs w:val="20"/>
              </w:rPr>
            </w:pPr>
            <w:r w:rsidRPr="002A3BDE">
              <w:rPr>
                <w:b/>
                <w:color w:val="000000"/>
                <w:sz w:val="20"/>
                <w:szCs w:val="20"/>
              </w:rPr>
              <w:t>COINFECTION</w:t>
            </w:r>
          </w:p>
          <w:p w:rsidR="00363143" w:rsidRPr="002A3BDE" w:rsidRDefault="00363143" w:rsidP="00812C6B">
            <w:pPr>
              <w:jc w:val="center"/>
              <w:rPr>
                <w:b/>
                <w:color w:val="000000"/>
                <w:sz w:val="20"/>
                <w:szCs w:val="20"/>
              </w:rPr>
            </w:pPr>
            <w:r w:rsidRPr="002A3BDE">
              <w:rPr>
                <w:b/>
                <w:color w:val="000000"/>
                <w:sz w:val="20"/>
                <w:szCs w:val="20"/>
              </w:rPr>
              <w:t>(HCV/HIV-1</w:t>
            </w:r>
          </w:p>
          <w:p w:rsidR="00363143" w:rsidRPr="002A3BDE" w:rsidRDefault="00363143" w:rsidP="00812C6B">
            <w:pPr>
              <w:jc w:val="center"/>
              <w:rPr>
                <w:b/>
                <w:color w:val="000000"/>
                <w:sz w:val="20"/>
                <w:szCs w:val="20"/>
              </w:rPr>
            </w:pPr>
            <w:r w:rsidRPr="002A3BDE">
              <w:rPr>
                <w:b/>
                <w:color w:val="000000"/>
                <w:sz w:val="20"/>
                <w:szCs w:val="20"/>
              </w:rPr>
              <w:t xml:space="preserve"> Co-Infection)</w:t>
            </w:r>
          </w:p>
        </w:tc>
        <w:tc>
          <w:tcPr>
            <w:tcW w:w="1440" w:type="dxa"/>
            <w:shd w:val="clear" w:color="auto" w:fill="auto"/>
          </w:tcPr>
          <w:p w:rsidR="00363143" w:rsidRPr="002A3BDE" w:rsidRDefault="00363143" w:rsidP="00812C6B">
            <w:pPr>
              <w:jc w:val="center"/>
              <w:rPr>
                <w:b/>
                <w:color w:val="000000"/>
                <w:sz w:val="20"/>
                <w:szCs w:val="20"/>
              </w:rPr>
            </w:pPr>
            <w:r w:rsidRPr="002A3BDE">
              <w:rPr>
                <w:b/>
                <w:color w:val="000000"/>
                <w:sz w:val="20"/>
                <w:szCs w:val="20"/>
              </w:rPr>
              <w:t>C-SURFER</w:t>
            </w:r>
          </w:p>
          <w:p w:rsidR="00363143" w:rsidRPr="002A3BDE" w:rsidRDefault="00363143" w:rsidP="00812C6B">
            <w:pPr>
              <w:jc w:val="center"/>
              <w:rPr>
                <w:b/>
                <w:color w:val="000000"/>
                <w:sz w:val="20"/>
                <w:szCs w:val="20"/>
              </w:rPr>
            </w:pPr>
            <w:r w:rsidRPr="002A3BDE">
              <w:rPr>
                <w:b/>
                <w:color w:val="000000"/>
                <w:sz w:val="20"/>
                <w:szCs w:val="20"/>
              </w:rPr>
              <w:t xml:space="preserve">(CKD </w:t>
            </w:r>
          </w:p>
          <w:p w:rsidR="00363143" w:rsidRPr="002A3BDE" w:rsidRDefault="00363143" w:rsidP="00812C6B">
            <w:pPr>
              <w:jc w:val="center"/>
              <w:rPr>
                <w:b/>
                <w:color w:val="000000"/>
                <w:sz w:val="20"/>
                <w:szCs w:val="20"/>
              </w:rPr>
            </w:pPr>
            <w:r w:rsidRPr="002A3BDE">
              <w:rPr>
                <w:b/>
                <w:color w:val="000000"/>
                <w:sz w:val="20"/>
                <w:szCs w:val="20"/>
              </w:rPr>
              <w:t>Stages 4-5, including dialysis)</w:t>
            </w:r>
          </w:p>
        </w:tc>
        <w:tc>
          <w:tcPr>
            <w:tcW w:w="1440" w:type="dxa"/>
            <w:shd w:val="clear" w:color="auto" w:fill="auto"/>
          </w:tcPr>
          <w:p w:rsidR="00363143" w:rsidRPr="002A3BDE" w:rsidRDefault="00363143" w:rsidP="00812C6B">
            <w:pPr>
              <w:jc w:val="center"/>
              <w:rPr>
                <w:b/>
                <w:color w:val="000000"/>
                <w:sz w:val="20"/>
                <w:szCs w:val="20"/>
              </w:rPr>
            </w:pPr>
            <w:r w:rsidRPr="002A3BDE">
              <w:rPr>
                <w:b/>
                <w:color w:val="000000"/>
                <w:sz w:val="20"/>
                <w:szCs w:val="20"/>
              </w:rPr>
              <w:t>C-WORTHY</w:t>
            </w:r>
          </w:p>
        </w:tc>
        <w:tc>
          <w:tcPr>
            <w:tcW w:w="1440" w:type="dxa"/>
            <w:shd w:val="clear" w:color="auto" w:fill="auto"/>
          </w:tcPr>
          <w:p w:rsidR="00363143" w:rsidRPr="002A3BDE" w:rsidRDefault="00363143" w:rsidP="00812C6B">
            <w:pPr>
              <w:jc w:val="center"/>
              <w:rPr>
                <w:b/>
                <w:color w:val="000000"/>
                <w:sz w:val="20"/>
                <w:szCs w:val="20"/>
              </w:rPr>
            </w:pPr>
            <w:r w:rsidRPr="002A3BDE">
              <w:rPr>
                <w:b/>
                <w:color w:val="000000"/>
                <w:sz w:val="20"/>
                <w:szCs w:val="20"/>
              </w:rPr>
              <w:t>C-SCAPE</w:t>
            </w:r>
          </w:p>
        </w:tc>
        <w:tc>
          <w:tcPr>
            <w:tcW w:w="1440" w:type="dxa"/>
            <w:shd w:val="clear" w:color="auto" w:fill="auto"/>
          </w:tcPr>
          <w:p w:rsidR="00363143" w:rsidRPr="002A3BDE" w:rsidRDefault="00363143" w:rsidP="00812C6B">
            <w:pPr>
              <w:jc w:val="center"/>
              <w:rPr>
                <w:b/>
                <w:color w:val="000000"/>
                <w:sz w:val="20"/>
                <w:szCs w:val="20"/>
              </w:rPr>
            </w:pPr>
            <w:r w:rsidRPr="002A3BDE">
              <w:rPr>
                <w:b/>
                <w:color w:val="000000"/>
                <w:sz w:val="20"/>
                <w:szCs w:val="20"/>
              </w:rPr>
              <w:t>All Studies</w:t>
            </w:r>
          </w:p>
        </w:tc>
      </w:tr>
      <w:tr w:rsidR="00363143" w:rsidRPr="002A3BDE" w:rsidTr="002A3BDE">
        <w:trPr>
          <w:jc w:val="center"/>
        </w:trPr>
        <w:tc>
          <w:tcPr>
            <w:tcW w:w="2070" w:type="dxa"/>
            <w:shd w:val="clear" w:color="auto" w:fill="auto"/>
          </w:tcPr>
          <w:p w:rsidR="00363143" w:rsidRPr="002A3BDE" w:rsidRDefault="00363143" w:rsidP="00812C6B">
            <w:pPr>
              <w:jc w:val="center"/>
              <w:rPr>
                <w:color w:val="000000"/>
                <w:sz w:val="20"/>
                <w:szCs w:val="20"/>
              </w:rPr>
            </w:pPr>
            <w:r w:rsidRPr="002A3BDE">
              <w:rPr>
                <w:b/>
                <w:color w:val="000000"/>
                <w:sz w:val="20"/>
                <w:szCs w:val="20"/>
              </w:rPr>
              <w:t>Regimen</w:t>
            </w:r>
          </w:p>
        </w:tc>
        <w:tc>
          <w:tcPr>
            <w:tcW w:w="1530" w:type="dxa"/>
            <w:shd w:val="clear" w:color="auto" w:fill="auto"/>
          </w:tcPr>
          <w:p w:rsidR="00363143" w:rsidRPr="002A3BDE" w:rsidRDefault="000D7FE6" w:rsidP="00812C6B">
            <w:pPr>
              <w:jc w:val="center"/>
              <w:rPr>
                <w:b/>
                <w:color w:val="000000"/>
                <w:sz w:val="20"/>
                <w:szCs w:val="20"/>
              </w:rPr>
            </w:pPr>
            <w:r>
              <w:rPr>
                <w:b/>
                <w:color w:val="000000"/>
                <w:sz w:val="20"/>
                <w:szCs w:val="20"/>
              </w:rPr>
              <w:t>ZEPATIER</w:t>
            </w:r>
          </w:p>
          <w:p w:rsidR="00363143" w:rsidRPr="002A3BDE" w:rsidRDefault="00363143" w:rsidP="00812C6B">
            <w:pPr>
              <w:jc w:val="center"/>
              <w:rPr>
                <w:b/>
                <w:color w:val="000000"/>
                <w:sz w:val="20"/>
                <w:szCs w:val="20"/>
              </w:rPr>
            </w:pPr>
            <w:r w:rsidRPr="002A3BDE">
              <w:rPr>
                <w:b/>
                <w:color w:val="000000"/>
                <w:sz w:val="20"/>
                <w:szCs w:val="20"/>
              </w:rPr>
              <w:t>12 Weeks</w:t>
            </w:r>
          </w:p>
          <w:p w:rsidR="00363143" w:rsidRPr="002A3BDE" w:rsidRDefault="00363143" w:rsidP="00B41A80">
            <w:pPr>
              <w:jc w:val="center"/>
              <w:rPr>
                <w:b/>
                <w:color w:val="000000"/>
                <w:sz w:val="20"/>
                <w:szCs w:val="20"/>
              </w:rPr>
            </w:pPr>
            <w:r w:rsidRPr="002A3BDE">
              <w:rPr>
                <w:b/>
                <w:color w:val="000000"/>
                <w:sz w:val="20"/>
                <w:szCs w:val="20"/>
              </w:rPr>
              <w:t>N=</w:t>
            </w:r>
            <w:r w:rsidR="00B41A80">
              <w:rPr>
                <w:b/>
                <w:color w:val="000000"/>
                <w:sz w:val="20"/>
                <w:szCs w:val="20"/>
              </w:rPr>
              <w:t>306</w:t>
            </w:r>
          </w:p>
        </w:tc>
        <w:tc>
          <w:tcPr>
            <w:tcW w:w="1620" w:type="dxa"/>
            <w:shd w:val="clear" w:color="auto" w:fill="auto"/>
          </w:tcPr>
          <w:p w:rsidR="00363143" w:rsidRPr="002A3BDE" w:rsidRDefault="000D7FE6" w:rsidP="00812C6B">
            <w:pPr>
              <w:jc w:val="center"/>
              <w:rPr>
                <w:b/>
                <w:color w:val="000000"/>
                <w:sz w:val="20"/>
                <w:szCs w:val="20"/>
              </w:rPr>
            </w:pPr>
            <w:r>
              <w:rPr>
                <w:b/>
                <w:color w:val="000000"/>
                <w:sz w:val="20"/>
                <w:szCs w:val="20"/>
              </w:rPr>
              <w:t>ZEPATIER</w:t>
            </w:r>
            <w:r w:rsidR="00363143" w:rsidRPr="002A3BDE">
              <w:rPr>
                <w:b/>
                <w:color w:val="000000"/>
                <w:sz w:val="20"/>
                <w:szCs w:val="20"/>
              </w:rPr>
              <w:t xml:space="preserve"> </w:t>
            </w:r>
          </w:p>
          <w:p w:rsidR="00363143" w:rsidRPr="002A3BDE" w:rsidRDefault="00363143" w:rsidP="00812C6B">
            <w:pPr>
              <w:jc w:val="center"/>
              <w:rPr>
                <w:b/>
                <w:color w:val="000000"/>
                <w:sz w:val="20"/>
                <w:szCs w:val="20"/>
              </w:rPr>
            </w:pPr>
            <w:r w:rsidRPr="002A3BDE">
              <w:rPr>
                <w:b/>
                <w:color w:val="000000"/>
                <w:sz w:val="20"/>
                <w:szCs w:val="20"/>
              </w:rPr>
              <w:t>12 Weeks</w:t>
            </w:r>
          </w:p>
          <w:p w:rsidR="00363143" w:rsidRPr="002A3BDE" w:rsidRDefault="00363143" w:rsidP="00812C6B">
            <w:pPr>
              <w:jc w:val="center"/>
              <w:rPr>
                <w:b/>
                <w:color w:val="000000"/>
                <w:sz w:val="20"/>
                <w:szCs w:val="20"/>
              </w:rPr>
            </w:pPr>
            <w:r w:rsidRPr="002A3BDE">
              <w:rPr>
                <w:b/>
                <w:color w:val="000000"/>
                <w:sz w:val="20"/>
                <w:szCs w:val="20"/>
              </w:rPr>
              <w:t>N=</w:t>
            </w:r>
            <w:r w:rsidR="00B41A80">
              <w:rPr>
                <w:b/>
                <w:color w:val="000000"/>
                <w:sz w:val="20"/>
                <w:szCs w:val="20"/>
              </w:rPr>
              <w:t>217</w:t>
            </w:r>
          </w:p>
        </w:tc>
        <w:tc>
          <w:tcPr>
            <w:tcW w:w="1440" w:type="dxa"/>
            <w:shd w:val="clear" w:color="auto" w:fill="auto"/>
          </w:tcPr>
          <w:p w:rsidR="00363143" w:rsidRPr="002A3BDE" w:rsidRDefault="00363143" w:rsidP="00812C6B">
            <w:pPr>
              <w:jc w:val="center"/>
              <w:rPr>
                <w:b/>
                <w:color w:val="000000"/>
                <w:sz w:val="20"/>
                <w:szCs w:val="20"/>
              </w:rPr>
            </w:pPr>
            <w:r w:rsidRPr="002A3BDE">
              <w:rPr>
                <w:b/>
                <w:color w:val="000000"/>
                <w:sz w:val="20"/>
                <w:szCs w:val="20"/>
              </w:rPr>
              <w:t xml:space="preserve"> </w:t>
            </w:r>
            <w:r w:rsidR="00853808" w:rsidRPr="002A3BDE">
              <w:rPr>
                <w:b/>
                <w:color w:val="000000"/>
                <w:sz w:val="20"/>
                <w:szCs w:val="20"/>
              </w:rPr>
              <w:t xml:space="preserve">EBR </w:t>
            </w:r>
            <w:r w:rsidR="00853808">
              <w:rPr>
                <w:b/>
                <w:color w:val="000000"/>
                <w:sz w:val="20"/>
                <w:szCs w:val="20"/>
              </w:rPr>
              <w:t xml:space="preserve">+ </w:t>
            </w:r>
            <w:r w:rsidRPr="002A3BDE">
              <w:rPr>
                <w:b/>
                <w:color w:val="000000"/>
                <w:sz w:val="20"/>
                <w:szCs w:val="20"/>
              </w:rPr>
              <w:t xml:space="preserve">GZR </w:t>
            </w:r>
          </w:p>
          <w:p w:rsidR="00363143" w:rsidRPr="002A3BDE" w:rsidRDefault="00363143" w:rsidP="00812C6B">
            <w:pPr>
              <w:jc w:val="center"/>
              <w:rPr>
                <w:b/>
                <w:color w:val="000000"/>
                <w:sz w:val="20"/>
                <w:szCs w:val="20"/>
              </w:rPr>
            </w:pPr>
            <w:r w:rsidRPr="002A3BDE">
              <w:rPr>
                <w:b/>
                <w:color w:val="000000"/>
                <w:sz w:val="20"/>
                <w:szCs w:val="20"/>
              </w:rPr>
              <w:t>12 Weeks</w:t>
            </w:r>
          </w:p>
          <w:p w:rsidR="00363143" w:rsidRPr="002A3BDE" w:rsidRDefault="00363143" w:rsidP="00812C6B">
            <w:pPr>
              <w:jc w:val="center"/>
              <w:rPr>
                <w:b/>
                <w:color w:val="000000"/>
                <w:sz w:val="20"/>
                <w:szCs w:val="20"/>
              </w:rPr>
            </w:pPr>
            <w:r w:rsidRPr="002A3BDE">
              <w:rPr>
                <w:b/>
                <w:color w:val="000000"/>
                <w:sz w:val="20"/>
                <w:szCs w:val="20"/>
              </w:rPr>
              <w:t>N=101</w:t>
            </w:r>
          </w:p>
        </w:tc>
        <w:tc>
          <w:tcPr>
            <w:tcW w:w="1440" w:type="dxa"/>
            <w:shd w:val="clear" w:color="auto" w:fill="auto"/>
          </w:tcPr>
          <w:p w:rsidR="00363143" w:rsidRPr="002A3BDE" w:rsidRDefault="00853808" w:rsidP="00812C6B">
            <w:pPr>
              <w:jc w:val="center"/>
              <w:rPr>
                <w:b/>
                <w:color w:val="000000"/>
                <w:sz w:val="20"/>
                <w:szCs w:val="20"/>
              </w:rPr>
            </w:pPr>
            <w:r w:rsidRPr="002A3BDE">
              <w:rPr>
                <w:b/>
                <w:color w:val="000000"/>
                <w:sz w:val="20"/>
                <w:szCs w:val="20"/>
              </w:rPr>
              <w:t xml:space="preserve">EBR </w:t>
            </w:r>
            <w:r>
              <w:rPr>
                <w:b/>
                <w:color w:val="000000"/>
                <w:sz w:val="20"/>
                <w:szCs w:val="20"/>
              </w:rPr>
              <w:t xml:space="preserve">+ </w:t>
            </w:r>
            <w:r w:rsidR="00363143" w:rsidRPr="002A3BDE">
              <w:rPr>
                <w:b/>
                <w:color w:val="000000"/>
                <w:sz w:val="20"/>
                <w:szCs w:val="20"/>
              </w:rPr>
              <w:t xml:space="preserve">GZR </w:t>
            </w:r>
          </w:p>
          <w:p w:rsidR="00363143" w:rsidRPr="002A3BDE" w:rsidRDefault="00363143" w:rsidP="00812C6B">
            <w:pPr>
              <w:jc w:val="center"/>
              <w:rPr>
                <w:b/>
                <w:color w:val="000000"/>
                <w:sz w:val="20"/>
                <w:szCs w:val="20"/>
              </w:rPr>
            </w:pPr>
            <w:r w:rsidRPr="002A3BDE">
              <w:rPr>
                <w:b/>
                <w:color w:val="000000"/>
                <w:sz w:val="20"/>
                <w:szCs w:val="20"/>
              </w:rPr>
              <w:t>12 Weeks</w:t>
            </w:r>
          </w:p>
          <w:p w:rsidR="00363143" w:rsidRPr="002A3BDE" w:rsidRDefault="00363143" w:rsidP="00812C6B">
            <w:pPr>
              <w:jc w:val="center"/>
              <w:rPr>
                <w:b/>
                <w:color w:val="000000"/>
                <w:sz w:val="20"/>
                <w:szCs w:val="20"/>
              </w:rPr>
            </w:pPr>
            <w:r w:rsidRPr="002A3BDE">
              <w:rPr>
                <w:b/>
                <w:color w:val="000000"/>
                <w:sz w:val="20"/>
                <w:szCs w:val="20"/>
              </w:rPr>
              <w:t>N=103</w:t>
            </w:r>
          </w:p>
        </w:tc>
        <w:tc>
          <w:tcPr>
            <w:tcW w:w="1440" w:type="dxa"/>
            <w:shd w:val="clear" w:color="auto" w:fill="auto"/>
          </w:tcPr>
          <w:p w:rsidR="00363143" w:rsidRPr="002A3BDE" w:rsidRDefault="00853808" w:rsidP="00812C6B">
            <w:pPr>
              <w:jc w:val="center"/>
              <w:rPr>
                <w:b/>
                <w:color w:val="000000"/>
                <w:sz w:val="20"/>
                <w:szCs w:val="20"/>
              </w:rPr>
            </w:pPr>
            <w:r w:rsidRPr="002A3BDE">
              <w:rPr>
                <w:b/>
                <w:color w:val="000000"/>
                <w:sz w:val="20"/>
                <w:szCs w:val="20"/>
              </w:rPr>
              <w:t xml:space="preserve">EBR </w:t>
            </w:r>
            <w:r>
              <w:rPr>
                <w:b/>
                <w:color w:val="000000"/>
                <w:sz w:val="20"/>
                <w:szCs w:val="20"/>
              </w:rPr>
              <w:t xml:space="preserve">+ </w:t>
            </w:r>
            <w:r w:rsidR="00363143" w:rsidRPr="002A3BDE">
              <w:rPr>
                <w:b/>
                <w:color w:val="000000"/>
                <w:sz w:val="20"/>
                <w:szCs w:val="20"/>
              </w:rPr>
              <w:t xml:space="preserve">GZR </w:t>
            </w:r>
          </w:p>
          <w:p w:rsidR="00363143" w:rsidRPr="002A3BDE" w:rsidRDefault="00363143" w:rsidP="00812C6B">
            <w:pPr>
              <w:jc w:val="center"/>
              <w:rPr>
                <w:b/>
                <w:color w:val="000000"/>
                <w:sz w:val="20"/>
                <w:szCs w:val="20"/>
              </w:rPr>
            </w:pPr>
            <w:r w:rsidRPr="002A3BDE">
              <w:rPr>
                <w:b/>
                <w:color w:val="000000"/>
                <w:sz w:val="20"/>
                <w:szCs w:val="20"/>
              </w:rPr>
              <w:t>12 Weeks</w:t>
            </w:r>
          </w:p>
          <w:p w:rsidR="00363143" w:rsidRPr="002A3BDE" w:rsidRDefault="00363143" w:rsidP="00812C6B">
            <w:pPr>
              <w:jc w:val="center"/>
              <w:rPr>
                <w:b/>
                <w:color w:val="000000"/>
                <w:sz w:val="20"/>
                <w:szCs w:val="20"/>
              </w:rPr>
            </w:pPr>
            <w:r w:rsidRPr="002A3BDE">
              <w:rPr>
                <w:b/>
                <w:color w:val="000000"/>
                <w:sz w:val="20"/>
                <w:szCs w:val="20"/>
              </w:rPr>
              <w:t xml:space="preserve">N= </w:t>
            </w:r>
            <w:r w:rsidR="00B41A80">
              <w:rPr>
                <w:b/>
                <w:color w:val="000000"/>
                <w:sz w:val="20"/>
                <w:szCs w:val="20"/>
              </w:rPr>
              <w:t>10</w:t>
            </w:r>
          </w:p>
        </w:tc>
        <w:tc>
          <w:tcPr>
            <w:tcW w:w="1440" w:type="dxa"/>
            <w:shd w:val="clear" w:color="auto" w:fill="auto"/>
          </w:tcPr>
          <w:p w:rsidR="00363143" w:rsidRPr="002A3BDE" w:rsidRDefault="00363143" w:rsidP="00812C6B">
            <w:pPr>
              <w:jc w:val="center"/>
              <w:rPr>
                <w:b/>
                <w:color w:val="000000"/>
                <w:sz w:val="20"/>
                <w:szCs w:val="20"/>
              </w:rPr>
            </w:pPr>
          </w:p>
          <w:p w:rsidR="00363143" w:rsidRPr="002A3BDE" w:rsidRDefault="00363143" w:rsidP="00812C6B">
            <w:pPr>
              <w:jc w:val="center"/>
              <w:rPr>
                <w:b/>
                <w:color w:val="000000"/>
                <w:sz w:val="20"/>
                <w:szCs w:val="20"/>
              </w:rPr>
            </w:pPr>
          </w:p>
          <w:p w:rsidR="00363143" w:rsidRPr="002A3BDE" w:rsidRDefault="00363143" w:rsidP="00B41A80">
            <w:pPr>
              <w:jc w:val="center"/>
              <w:rPr>
                <w:b/>
                <w:color w:val="000000"/>
                <w:sz w:val="20"/>
                <w:szCs w:val="20"/>
              </w:rPr>
            </w:pPr>
            <w:r w:rsidRPr="002A3BDE">
              <w:rPr>
                <w:b/>
                <w:color w:val="000000"/>
                <w:sz w:val="20"/>
                <w:szCs w:val="20"/>
              </w:rPr>
              <w:t>N=</w:t>
            </w:r>
            <w:r w:rsidR="00B41A80">
              <w:rPr>
                <w:b/>
                <w:color w:val="000000"/>
                <w:sz w:val="20"/>
                <w:szCs w:val="20"/>
              </w:rPr>
              <w:t>737</w:t>
            </w:r>
          </w:p>
        </w:tc>
      </w:tr>
      <w:tr w:rsidR="00363143" w:rsidRPr="002A3BDE" w:rsidTr="002A3BDE">
        <w:trPr>
          <w:jc w:val="center"/>
        </w:trPr>
        <w:tc>
          <w:tcPr>
            <w:tcW w:w="2070" w:type="dxa"/>
            <w:shd w:val="clear" w:color="auto" w:fill="auto"/>
          </w:tcPr>
          <w:p w:rsidR="00363143" w:rsidRPr="002A3BDE" w:rsidRDefault="00363143" w:rsidP="00812C6B">
            <w:pPr>
              <w:spacing w:before="120"/>
              <w:rPr>
                <w:sz w:val="20"/>
                <w:szCs w:val="20"/>
              </w:rPr>
            </w:pPr>
            <w:r w:rsidRPr="002A3BDE">
              <w:rPr>
                <w:color w:val="000000"/>
                <w:sz w:val="20"/>
                <w:szCs w:val="20"/>
              </w:rPr>
              <w:t>Overall SVR</w:t>
            </w:r>
          </w:p>
        </w:tc>
        <w:tc>
          <w:tcPr>
            <w:tcW w:w="1530" w:type="dxa"/>
            <w:shd w:val="clear" w:color="auto" w:fill="auto"/>
          </w:tcPr>
          <w:p w:rsidR="00363143" w:rsidRPr="002A3BDE" w:rsidRDefault="00B41A80" w:rsidP="00812C6B">
            <w:pPr>
              <w:spacing w:before="120"/>
              <w:jc w:val="center"/>
              <w:rPr>
                <w:sz w:val="20"/>
                <w:szCs w:val="20"/>
              </w:rPr>
            </w:pPr>
            <w:r w:rsidRPr="00B51AC4">
              <w:rPr>
                <w:sz w:val="20"/>
                <w:szCs w:val="20"/>
              </w:rPr>
              <w:t xml:space="preserve"> 95% (291/306)</w:t>
            </w:r>
          </w:p>
        </w:tc>
        <w:tc>
          <w:tcPr>
            <w:tcW w:w="1620" w:type="dxa"/>
            <w:shd w:val="clear" w:color="auto" w:fill="auto"/>
          </w:tcPr>
          <w:p w:rsidR="00363143" w:rsidRPr="002A3BDE" w:rsidRDefault="00B41A80" w:rsidP="00812C6B">
            <w:pPr>
              <w:spacing w:before="120"/>
              <w:jc w:val="center"/>
              <w:rPr>
                <w:sz w:val="20"/>
                <w:szCs w:val="20"/>
              </w:rPr>
            </w:pPr>
            <w:r w:rsidRPr="00B51AC4">
              <w:rPr>
                <w:sz w:val="20"/>
                <w:szCs w:val="20"/>
              </w:rPr>
              <w:t xml:space="preserve"> 95% (206/217)</w:t>
            </w:r>
          </w:p>
        </w:tc>
        <w:tc>
          <w:tcPr>
            <w:tcW w:w="1440" w:type="dxa"/>
            <w:shd w:val="clear" w:color="auto" w:fill="auto"/>
          </w:tcPr>
          <w:p w:rsidR="00363143" w:rsidRPr="002A3BDE" w:rsidRDefault="00363143" w:rsidP="00812C6B">
            <w:pPr>
              <w:spacing w:before="120"/>
              <w:jc w:val="center"/>
              <w:rPr>
                <w:sz w:val="20"/>
                <w:szCs w:val="20"/>
              </w:rPr>
            </w:pPr>
            <w:r w:rsidRPr="002A3BDE">
              <w:rPr>
                <w:sz w:val="20"/>
                <w:szCs w:val="20"/>
              </w:rPr>
              <w:t>95% (96/101)</w:t>
            </w:r>
          </w:p>
        </w:tc>
        <w:tc>
          <w:tcPr>
            <w:tcW w:w="1440" w:type="dxa"/>
            <w:shd w:val="clear" w:color="auto" w:fill="auto"/>
          </w:tcPr>
          <w:p w:rsidR="00363143" w:rsidRPr="002A3BDE" w:rsidRDefault="00363143" w:rsidP="00812C6B">
            <w:pPr>
              <w:spacing w:before="120"/>
              <w:jc w:val="center"/>
              <w:rPr>
                <w:sz w:val="20"/>
                <w:szCs w:val="20"/>
              </w:rPr>
            </w:pPr>
            <w:r w:rsidRPr="002A3BDE">
              <w:rPr>
                <w:sz w:val="20"/>
                <w:szCs w:val="20"/>
              </w:rPr>
              <w:t>94% (97/103)</w:t>
            </w:r>
          </w:p>
        </w:tc>
        <w:tc>
          <w:tcPr>
            <w:tcW w:w="1440" w:type="dxa"/>
            <w:shd w:val="clear" w:color="auto" w:fill="auto"/>
          </w:tcPr>
          <w:p w:rsidR="00363143" w:rsidRPr="002A3BDE" w:rsidRDefault="00B41A80" w:rsidP="00812C6B">
            <w:pPr>
              <w:spacing w:before="120"/>
              <w:jc w:val="center"/>
              <w:rPr>
                <w:sz w:val="20"/>
                <w:szCs w:val="20"/>
              </w:rPr>
            </w:pPr>
            <w:r w:rsidRPr="00B51AC4">
              <w:rPr>
                <w:sz w:val="20"/>
                <w:szCs w:val="20"/>
              </w:rPr>
              <w:t xml:space="preserve"> 90% (9/10)</w:t>
            </w:r>
          </w:p>
        </w:tc>
        <w:tc>
          <w:tcPr>
            <w:tcW w:w="1440" w:type="dxa"/>
            <w:shd w:val="clear" w:color="auto" w:fill="auto"/>
          </w:tcPr>
          <w:p w:rsidR="00363143" w:rsidRPr="002A3BDE" w:rsidRDefault="00B41A80" w:rsidP="00812C6B">
            <w:pPr>
              <w:spacing w:before="120"/>
              <w:jc w:val="center"/>
              <w:rPr>
                <w:sz w:val="20"/>
                <w:szCs w:val="20"/>
              </w:rPr>
            </w:pPr>
            <w:r w:rsidRPr="00B51AC4">
              <w:rPr>
                <w:sz w:val="20"/>
                <w:szCs w:val="20"/>
              </w:rPr>
              <w:t xml:space="preserve"> 95% (699/737)</w:t>
            </w:r>
          </w:p>
        </w:tc>
      </w:tr>
      <w:tr w:rsidR="00363143" w:rsidRPr="002A3BDE" w:rsidTr="002A3BDE">
        <w:trPr>
          <w:jc w:val="center"/>
        </w:trPr>
        <w:tc>
          <w:tcPr>
            <w:tcW w:w="10980" w:type="dxa"/>
            <w:gridSpan w:val="7"/>
            <w:shd w:val="clear" w:color="auto" w:fill="auto"/>
          </w:tcPr>
          <w:p w:rsidR="00363143" w:rsidRPr="002A3BDE" w:rsidRDefault="00363143" w:rsidP="00812C6B">
            <w:pPr>
              <w:spacing w:before="120"/>
              <w:rPr>
                <w:b/>
                <w:sz w:val="20"/>
                <w:szCs w:val="20"/>
              </w:rPr>
            </w:pPr>
            <w:r w:rsidRPr="002A3BDE">
              <w:rPr>
                <w:color w:val="000000"/>
                <w:sz w:val="20"/>
                <w:szCs w:val="20"/>
              </w:rPr>
              <w:t>Outcome for subjects without SVR</w:t>
            </w:r>
          </w:p>
        </w:tc>
      </w:tr>
      <w:tr w:rsidR="00363143" w:rsidRPr="002A3BDE" w:rsidTr="002A3BDE">
        <w:trPr>
          <w:jc w:val="center"/>
        </w:trPr>
        <w:tc>
          <w:tcPr>
            <w:tcW w:w="207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ind w:left="288"/>
              <w:rPr>
                <w:sz w:val="20"/>
                <w:szCs w:val="20"/>
              </w:rPr>
            </w:pPr>
            <w:r w:rsidRPr="002A3BDE">
              <w:rPr>
                <w:color w:val="000000"/>
                <w:sz w:val="20"/>
                <w:szCs w:val="20"/>
              </w:rPr>
              <w:t xml:space="preserve">On-treatment </w:t>
            </w:r>
            <w:proofErr w:type="spellStart"/>
            <w:r w:rsidRPr="002A3BDE">
              <w:rPr>
                <w:color w:val="000000"/>
                <w:sz w:val="20"/>
                <w:szCs w:val="20"/>
              </w:rPr>
              <w:t>Virologic</w:t>
            </w:r>
            <w:proofErr w:type="spellEnd"/>
            <w:r w:rsidRPr="002A3BDE">
              <w:rPr>
                <w:color w:val="000000"/>
                <w:sz w:val="20"/>
                <w:szCs w:val="20"/>
              </w:rPr>
              <w:t xml:space="preserve"> Failure*</w:t>
            </w:r>
          </w:p>
        </w:tc>
        <w:tc>
          <w:tcPr>
            <w:tcW w:w="153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&lt;1% (1/</w:t>
            </w:r>
            <w:r w:rsidR="00B41A80">
              <w:rPr>
                <w:sz w:val="20"/>
                <w:szCs w:val="20"/>
              </w:rPr>
              <w:t>306</w:t>
            </w:r>
            <w:r w:rsidRPr="002A3BDE">
              <w:rPr>
                <w:sz w:val="20"/>
                <w:szCs w:val="20"/>
              </w:rPr>
              <w:t>)</w:t>
            </w:r>
          </w:p>
        </w:tc>
        <w:tc>
          <w:tcPr>
            <w:tcW w:w="1620" w:type="dxa"/>
            <w:tcBorders>
              <w:top w:val="single" w:sz="4" w:space="0" w:color="auto"/>
              <w:left w:val="single" w:sz="4" w:space="0" w:color="auto"/>
              <w:bottom w:val="nil"/>
              <w:right w:val="single" w:sz="4" w:space="0" w:color="auto"/>
            </w:tcBorders>
            <w:shd w:val="clear" w:color="auto" w:fill="auto"/>
          </w:tcPr>
          <w:p w:rsidR="00363143" w:rsidRPr="002A3BDE" w:rsidRDefault="00363143" w:rsidP="00B41A80">
            <w:pPr>
              <w:spacing w:before="120"/>
              <w:jc w:val="center"/>
              <w:rPr>
                <w:sz w:val="20"/>
                <w:szCs w:val="20"/>
              </w:rPr>
            </w:pPr>
            <w:r w:rsidRPr="002A3BDE">
              <w:rPr>
                <w:sz w:val="20"/>
                <w:szCs w:val="20"/>
              </w:rPr>
              <w:t>0% (0/</w:t>
            </w:r>
            <w:r w:rsidR="00B41A80">
              <w:rPr>
                <w:sz w:val="20"/>
                <w:szCs w:val="20"/>
              </w:rPr>
              <w:t>217</w:t>
            </w:r>
            <w:r w:rsidRPr="002A3BDE">
              <w:rPr>
                <w:sz w:val="20"/>
                <w:szCs w:val="20"/>
              </w:rPr>
              <w:t>)</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0% (0/101)</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2% (2/103)</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B41A80" w:rsidP="00812C6B">
            <w:pPr>
              <w:spacing w:before="120"/>
              <w:jc w:val="center"/>
              <w:rPr>
                <w:sz w:val="20"/>
                <w:szCs w:val="20"/>
              </w:rPr>
            </w:pPr>
            <w:r>
              <w:rPr>
                <w:sz w:val="20"/>
                <w:szCs w:val="20"/>
              </w:rPr>
              <w:t>0% (0/10)</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B41A80">
            <w:pPr>
              <w:spacing w:before="120"/>
              <w:jc w:val="center"/>
              <w:rPr>
                <w:sz w:val="20"/>
                <w:szCs w:val="20"/>
              </w:rPr>
            </w:pPr>
            <w:r w:rsidRPr="002A3BDE">
              <w:rPr>
                <w:sz w:val="20"/>
                <w:szCs w:val="20"/>
              </w:rPr>
              <w:t xml:space="preserve">&lt;1% </w:t>
            </w:r>
            <w:r w:rsidR="00B41A80">
              <w:rPr>
                <w:sz w:val="20"/>
                <w:szCs w:val="20"/>
              </w:rPr>
              <w:t xml:space="preserve"> (3/737)</w:t>
            </w:r>
          </w:p>
        </w:tc>
      </w:tr>
      <w:tr w:rsidR="00363143" w:rsidRPr="002A3BDE" w:rsidTr="002A3BDE">
        <w:trPr>
          <w:jc w:val="center"/>
        </w:trPr>
        <w:tc>
          <w:tcPr>
            <w:tcW w:w="207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ind w:left="288"/>
              <w:rPr>
                <w:b/>
                <w:sz w:val="20"/>
                <w:szCs w:val="20"/>
              </w:rPr>
            </w:pPr>
            <w:r w:rsidRPr="002A3BDE">
              <w:rPr>
                <w:color w:val="000000"/>
                <w:sz w:val="20"/>
                <w:szCs w:val="20"/>
              </w:rPr>
              <w:t>Relapse</w:t>
            </w:r>
          </w:p>
        </w:tc>
        <w:tc>
          <w:tcPr>
            <w:tcW w:w="1530" w:type="dxa"/>
            <w:tcBorders>
              <w:top w:val="nil"/>
              <w:left w:val="single" w:sz="4" w:space="0" w:color="auto"/>
              <w:bottom w:val="nil"/>
              <w:right w:val="single" w:sz="4" w:space="0" w:color="auto"/>
            </w:tcBorders>
            <w:shd w:val="clear" w:color="auto" w:fill="auto"/>
          </w:tcPr>
          <w:p w:rsidR="00363143" w:rsidRPr="002A3BDE" w:rsidRDefault="00B41A80" w:rsidP="00812C6B">
            <w:pPr>
              <w:spacing w:before="120"/>
              <w:jc w:val="center"/>
              <w:rPr>
                <w:sz w:val="20"/>
                <w:szCs w:val="20"/>
              </w:rPr>
            </w:pPr>
            <w:r w:rsidRPr="007701C4">
              <w:rPr>
                <w:sz w:val="20"/>
                <w:szCs w:val="20"/>
              </w:rPr>
              <w:t xml:space="preserve"> 3% (10/306)</w:t>
            </w:r>
          </w:p>
        </w:tc>
        <w:tc>
          <w:tcPr>
            <w:tcW w:w="1620" w:type="dxa"/>
            <w:tcBorders>
              <w:top w:val="nil"/>
              <w:left w:val="single" w:sz="4" w:space="0" w:color="auto"/>
              <w:bottom w:val="nil"/>
              <w:right w:val="single" w:sz="4" w:space="0" w:color="auto"/>
            </w:tcBorders>
            <w:shd w:val="clear" w:color="auto" w:fill="auto"/>
          </w:tcPr>
          <w:p w:rsidR="00363143" w:rsidRPr="002A3BDE" w:rsidRDefault="00363143" w:rsidP="00B41A80">
            <w:pPr>
              <w:spacing w:before="120"/>
              <w:jc w:val="center"/>
              <w:rPr>
                <w:sz w:val="20"/>
                <w:szCs w:val="20"/>
              </w:rPr>
            </w:pPr>
            <w:r w:rsidRPr="002A3BDE">
              <w:rPr>
                <w:sz w:val="20"/>
                <w:szCs w:val="20"/>
              </w:rPr>
              <w:t>3% (7/</w:t>
            </w:r>
            <w:r w:rsidR="00B41A80">
              <w:rPr>
                <w:sz w:val="20"/>
                <w:szCs w:val="20"/>
              </w:rPr>
              <w:t>217</w:t>
            </w:r>
            <w:r w:rsidRPr="002A3BDE">
              <w:rPr>
                <w:sz w:val="20"/>
                <w:szCs w:val="20"/>
              </w:rPr>
              <w:t>)</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 xml:space="preserve">0% (0/101) </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b/>
                <w:sz w:val="20"/>
                <w:szCs w:val="20"/>
              </w:rPr>
            </w:pPr>
            <w:r w:rsidRPr="002A3BDE">
              <w:rPr>
                <w:sz w:val="20"/>
                <w:szCs w:val="20"/>
              </w:rPr>
              <w:t>2% (2/103)</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0% (0/</w:t>
            </w:r>
            <w:r w:rsidR="00B41A80">
              <w:rPr>
                <w:sz w:val="20"/>
                <w:szCs w:val="20"/>
              </w:rPr>
              <w:t>10</w:t>
            </w:r>
            <w:r w:rsidRPr="002A3BDE">
              <w:rPr>
                <w:sz w:val="20"/>
                <w:szCs w:val="20"/>
              </w:rPr>
              <w:t>)</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 xml:space="preserve">3% </w:t>
            </w:r>
            <w:r w:rsidR="00B41A80">
              <w:rPr>
                <w:sz w:val="20"/>
                <w:szCs w:val="20"/>
              </w:rPr>
              <w:t xml:space="preserve"> (19/737)</w:t>
            </w:r>
          </w:p>
        </w:tc>
      </w:tr>
      <w:tr w:rsidR="00363143" w:rsidRPr="002A3BDE" w:rsidTr="003771F7">
        <w:trPr>
          <w:trHeight w:val="475"/>
          <w:jc w:val="center"/>
        </w:trPr>
        <w:tc>
          <w:tcPr>
            <w:tcW w:w="207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ind w:left="288"/>
              <w:rPr>
                <w:b/>
                <w:sz w:val="20"/>
                <w:szCs w:val="20"/>
              </w:rPr>
            </w:pPr>
            <w:r w:rsidRPr="002A3BDE">
              <w:rPr>
                <w:color w:val="000000"/>
                <w:sz w:val="20"/>
                <w:szCs w:val="20"/>
              </w:rPr>
              <w:t>Other</w:t>
            </w:r>
            <w:r w:rsidRPr="002A3BDE">
              <w:rPr>
                <w:color w:val="000000"/>
                <w:sz w:val="20"/>
                <w:szCs w:val="20"/>
                <w:vertAlign w:val="superscript"/>
              </w:rPr>
              <w:t>†</w:t>
            </w:r>
          </w:p>
        </w:tc>
        <w:tc>
          <w:tcPr>
            <w:tcW w:w="1530" w:type="dxa"/>
            <w:tcBorders>
              <w:top w:val="nil"/>
              <w:left w:val="single" w:sz="4" w:space="0" w:color="auto"/>
              <w:bottom w:val="single" w:sz="4" w:space="0" w:color="auto"/>
              <w:right w:val="single" w:sz="4" w:space="0" w:color="auto"/>
            </w:tcBorders>
            <w:shd w:val="clear" w:color="auto" w:fill="auto"/>
          </w:tcPr>
          <w:p w:rsidR="00363143" w:rsidRPr="002A3BDE" w:rsidRDefault="00363143" w:rsidP="00B41A80">
            <w:pPr>
              <w:spacing w:before="120"/>
              <w:jc w:val="center"/>
              <w:rPr>
                <w:sz w:val="20"/>
                <w:szCs w:val="20"/>
              </w:rPr>
            </w:pPr>
            <w:r w:rsidRPr="002A3BDE">
              <w:rPr>
                <w:sz w:val="20"/>
                <w:szCs w:val="20"/>
              </w:rPr>
              <w:t>1% (4/</w:t>
            </w:r>
            <w:r w:rsidR="00B41A80">
              <w:rPr>
                <w:sz w:val="20"/>
                <w:szCs w:val="20"/>
              </w:rPr>
              <w:t>306</w:t>
            </w:r>
            <w:r w:rsidRPr="002A3BDE">
              <w:rPr>
                <w:sz w:val="20"/>
                <w:szCs w:val="20"/>
              </w:rPr>
              <w:t>)</w:t>
            </w:r>
          </w:p>
        </w:tc>
        <w:tc>
          <w:tcPr>
            <w:tcW w:w="1620" w:type="dxa"/>
            <w:tcBorders>
              <w:top w:val="nil"/>
              <w:left w:val="single" w:sz="4" w:space="0" w:color="auto"/>
              <w:bottom w:val="single" w:sz="4" w:space="0" w:color="auto"/>
              <w:right w:val="single" w:sz="4" w:space="0" w:color="auto"/>
            </w:tcBorders>
            <w:shd w:val="clear" w:color="auto" w:fill="auto"/>
          </w:tcPr>
          <w:p w:rsidR="00363143" w:rsidRPr="002A3BDE" w:rsidRDefault="00363143" w:rsidP="00B41A80">
            <w:pPr>
              <w:spacing w:before="120"/>
              <w:jc w:val="center"/>
              <w:rPr>
                <w:sz w:val="20"/>
                <w:szCs w:val="20"/>
              </w:rPr>
            </w:pPr>
            <w:r w:rsidRPr="002A3BDE">
              <w:rPr>
                <w:sz w:val="20"/>
                <w:szCs w:val="20"/>
              </w:rPr>
              <w:t>2% (4/</w:t>
            </w:r>
            <w:r w:rsidR="00B41A80">
              <w:rPr>
                <w:sz w:val="20"/>
                <w:szCs w:val="20"/>
              </w:rPr>
              <w:t>217</w:t>
            </w:r>
            <w:r w:rsidRPr="002A3BDE">
              <w:rPr>
                <w:sz w:val="20"/>
                <w:szCs w:val="20"/>
              </w:rPr>
              <w:t>)</w:t>
            </w:r>
          </w:p>
        </w:tc>
        <w:tc>
          <w:tcPr>
            <w:tcW w:w="1440" w:type="dxa"/>
            <w:tcBorders>
              <w:top w:val="nil"/>
              <w:left w:val="single" w:sz="4" w:space="0" w:color="auto"/>
              <w:bottom w:val="single" w:sz="4" w:space="0" w:color="auto"/>
              <w:right w:val="single" w:sz="4" w:space="0" w:color="auto"/>
            </w:tcBorders>
            <w:shd w:val="clear" w:color="auto" w:fill="auto"/>
          </w:tcPr>
          <w:p w:rsidR="00363143" w:rsidRPr="002A3BDE" w:rsidRDefault="00363143" w:rsidP="003771F7">
            <w:pPr>
              <w:spacing w:before="120"/>
              <w:jc w:val="center"/>
              <w:rPr>
                <w:sz w:val="20"/>
                <w:szCs w:val="20"/>
              </w:rPr>
            </w:pPr>
            <w:r w:rsidRPr="002A3BDE">
              <w:rPr>
                <w:sz w:val="20"/>
                <w:szCs w:val="20"/>
              </w:rPr>
              <w:t>5% (5/101)</w:t>
            </w:r>
          </w:p>
        </w:tc>
        <w:tc>
          <w:tcPr>
            <w:tcW w:w="144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jc w:val="center"/>
              <w:rPr>
                <w:b/>
                <w:sz w:val="20"/>
                <w:szCs w:val="20"/>
              </w:rPr>
            </w:pPr>
            <w:r w:rsidRPr="002A3BDE">
              <w:rPr>
                <w:sz w:val="20"/>
                <w:szCs w:val="20"/>
              </w:rPr>
              <w:t>2% (2/103)</w:t>
            </w:r>
          </w:p>
        </w:tc>
        <w:tc>
          <w:tcPr>
            <w:tcW w:w="1440" w:type="dxa"/>
            <w:tcBorders>
              <w:top w:val="nil"/>
              <w:left w:val="single" w:sz="4" w:space="0" w:color="auto"/>
              <w:bottom w:val="single" w:sz="4" w:space="0" w:color="auto"/>
              <w:right w:val="single" w:sz="4" w:space="0" w:color="auto"/>
            </w:tcBorders>
            <w:shd w:val="clear" w:color="auto" w:fill="auto"/>
          </w:tcPr>
          <w:p w:rsidR="00363143" w:rsidRPr="002A3BDE" w:rsidRDefault="00B41A80" w:rsidP="00812C6B">
            <w:pPr>
              <w:spacing w:before="120"/>
              <w:jc w:val="center"/>
              <w:rPr>
                <w:sz w:val="20"/>
                <w:szCs w:val="20"/>
              </w:rPr>
            </w:pPr>
            <w:r>
              <w:rPr>
                <w:sz w:val="20"/>
                <w:szCs w:val="20"/>
              </w:rPr>
              <w:t>10% (1/10)</w:t>
            </w:r>
          </w:p>
        </w:tc>
        <w:tc>
          <w:tcPr>
            <w:tcW w:w="1440" w:type="dxa"/>
            <w:tcBorders>
              <w:top w:val="nil"/>
              <w:left w:val="single" w:sz="4" w:space="0" w:color="auto"/>
              <w:bottom w:val="single" w:sz="4" w:space="0" w:color="auto"/>
              <w:right w:val="single" w:sz="4" w:space="0" w:color="auto"/>
            </w:tcBorders>
            <w:shd w:val="clear" w:color="auto" w:fill="auto"/>
          </w:tcPr>
          <w:p w:rsidR="00363143" w:rsidRPr="002A3BDE" w:rsidRDefault="00363143" w:rsidP="003771F7">
            <w:pPr>
              <w:spacing w:before="120"/>
              <w:jc w:val="center"/>
              <w:rPr>
                <w:sz w:val="20"/>
                <w:szCs w:val="20"/>
              </w:rPr>
            </w:pPr>
            <w:r w:rsidRPr="002A3BDE">
              <w:rPr>
                <w:sz w:val="20"/>
                <w:szCs w:val="20"/>
              </w:rPr>
              <w:t>2% (16/</w:t>
            </w:r>
            <w:r w:rsidR="00B41A80">
              <w:rPr>
                <w:sz w:val="20"/>
                <w:szCs w:val="20"/>
              </w:rPr>
              <w:t>737</w:t>
            </w:r>
            <w:r w:rsidRPr="002A3BDE">
              <w:rPr>
                <w:sz w:val="20"/>
                <w:szCs w:val="20"/>
              </w:rPr>
              <w:t>)</w:t>
            </w:r>
          </w:p>
        </w:tc>
      </w:tr>
      <w:tr w:rsidR="00363143" w:rsidRPr="002A3BDE" w:rsidTr="002A3BDE">
        <w:trPr>
          <w:jc w:val="center"/>
        </w:trPr>
        <w:tc>
          <w:tcPr>
            <w:tcW w:w="10980" w:type="dxa"/>
            <w:gridSpan w:val="7"/>
            <w:tcBorders>
              <w:top w:val="single" w:sz="4" w:space="0" w:color="auto"/>
              <w:bottom w:val="single" w:sz="4" w:space="0" w:color="auto"/>
            </w:tcBorders>
            <w:shd w:val="clear" w:color="auto" w:fill="auto"/>
          </w:tcPr>
          <w:p w:rsidR="00363143" w:rsidRPr="002A3BDE" w:rsidRDefault="00363143" w:rsidP="00812C6B">
            <w:pPr>
              <w:spacing w:after="120"/>
              <w:rPr>
                <w:b/>
                <w:sz w:val="20"/>
                <w:szCs w:val="20"/>
              </w:rPr>
            </w:pPr>
            <w:r w:rsidRPr="002A3BDE">
              <w:rPr>
                <w:color w:val="000000"/>
                <w:sz w:val="20"/>
                <w:szCs w:val="20"/>
              </w:rPr>
              <w:t>SVR by Genotype</w:t>
            </w:r>
          </w:p>
        </w:tc>
      </w:tr>
      <w:tr w:rsidR="00363143" w:rsidRPr="002A3BDE" w:rsidTr="002A3BDE">
        <w:trPr>
          <w:jc w:val="center"/>
        </w:trPr>
        <w:tc>
          <w:tcPr>
            <w:tcW w:w="207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ind w:left="288"/>
              <w:rPr>
                <w:b/>
                <w:sz w:val="20"/>
                <w:szCs w:val="20"/>
              </w:rPr>
            </w:pPr>
            <w:r w:rsidRPr="002A3BDE">
              <w:rPr>
                <w:color w:val="000000"/>
                <w:sz w:val="20"/>
                <w:szCs w:val="20"/>
              </w:rPr>
              <w:t>GT 1a</w:t>
            </w:r>
          </w:p>
        </w:tc>
        <w:tc>
          <w:tcPr>
            <w:tcW w:w="153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92% (144/157)</w:t>
            </w:r>
          </w:p>
        </w:tc>
        <w:tc>
          <w:tcPr>
            <w:tcW w:w="162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94% (136/144)</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98% (52/53)</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93% (67/72)</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94% (399/426)</w:t>
            </w:r>
          </w:p>
        </w:tc>
      </w:tr>
      <w:tr w:rsidR="00363143" w:rsidRPr="002A3BDE" w:rsidTr="002A3BDE">
        <w:trPr>
          <w:jc w:val="center"/>
        </w:trPr>
        <w:tc>
          <w:tcPr>
            <w:tcW w:w="207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ind w:left="288"/>
              <w:rPr>
                <w:b/>
                <w:sz w:val="20"/>
                <w:szCs w:val="20"/>
              </w:rPr>
            </w:pPr>
            <w:r w:rsidRPr="002A3BDE">
              <w:rPr>
                <w:color w:val="000000"/>
                <w:sz w:val="20"/>
                <w:szCs w:val="20"/>
              </w:rPr>
              <w:t>GT 1b</w:t>
            </w:r>
            <w:r w:rsidRPr="002A3BDE">
              <w:rPr>
                <w:color w:val="000000"/>
                <w:sz w:val="20"/>
                <w:szCs w:val="20"/>
                <w:vertAlign w:val="superscript"/>
              </w:rPr>
              <w:t>‡</w:t>
            </w:r>
          </w:p>
        </w:tc>
        <w:tc>
          <w:tcPr>
            <w:tcW w:w="153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98% (129/131)</w:t>
            </w:r>
          </w:p>
        </w:tc>
        <w:tc>
          <w:tcPr>
            <w:tcW w:w="162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96% (43/45)</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92% (44/48)</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97% (30/31)</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96% (246/255)</w:t>
            </w:r>
          </w:p>
        </w:tc>
      </w:tr>
      <w:tr w:rsidR="00363143" w:rsidRPr="002A3BDE" w:rsidTr="002A3BDE">
        <w:trPr>
          <w:jc w:val="center"/>
        </w:trPr>
        <w:tc>
          <w:tcPr>
            <w:tcW w:w="207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ind w:left="288"/>
              <w:rPr>
                <w:b/>
                <w:sz w:val="20"/>
                <w:szCs w:val="20"/>
              </w:rPr>
            </w:pPr>
            <w:r w:rsidRPr="002A3BDE">
              <w:rPr>
                <w:color w:val="000000"/>
                <w:sz w:val="20"/>
                <w:szCs w:val="20"/>
              </w:rPr>
              <w:t>GT 4</w:t>
            </w:r>
          </w:p>
        </w:tc>
        <w:tc>
          <w:tcPr>
            <w:tcW w:w="153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100% (18/18)</w:t>
            </w:r>
          </w:p>
        </w:tc>
        <w:tc>
          <w:tcPr>
            <w:tcW w:w="162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96% (27/28)</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90% (9/10)</w:t>
            </w:r>
          </w:p>
        </w:tc>
        <w:tc>
          <w:tcPr>
            <w:tcW w:w="1440" w:type="dxa"/>
            <w:tcBorders>
              <w:top w:val="nil"/>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96% (54/56)</w:t>
            </w:r>
          </w:p>
        </w:tc>
      </w:tr>
      <w:tr w:rsidR="00363143" w:rsidRPr="002A3BDE" w:rsidTr="002A3BDE">
        <w:trPr>
          <w:jc w:val="center"/>
        </w:trPr>
        <w:tc>
          <w:tcPr>
            <w:tcW w:w="10980" w:type="dxa"/>
            <w:gridSpan w:val="7"/>
            <w:shd w:val="clear" w:color="auto" w:fill="auto"/>
          </w:tcPr>
          <w:p w:rsidR="00363143" w:rsidRPr="002A3BDE" w:rsidRDefault="00363143" w:rsidP="00812C6B">
            <w:pPr>
              <w:spacing w:before="120"/>
              <w:rPr>
                <w:b/>
                <w:sz w:val="20"/>
                <w:szCs w:val="20"/>
              </w:rPr>
            </w:pPr>
            <w:r w:rsidRPr="002A3BDE">
              <w:rPr>
                <w:color w:val="000000"/>
                <w:sz w:val="20"/>
                <w:szCs w:val="20"/>
              </w:rPr>
              <w:t>SVR by Cirrhosis status</w:t>
            </w:r>
          </w:p>
        </w:tc>
      </w:tr>
      <w:tr w:rsidR="00363143" w:rsidRPr="002A3BDE" w:rsidTr="002A3BDE">
        <w:trPr>
          <w:jc w:val="center"/>
        </w:trPr>
        <w:tc>
          <w:tcPr>
            <w:tcW w:w="207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ind w:left="288"/>
              <w:rPr>
                <w:b/>
                <w:sz w:val="20"/>
                <w:szCs w:val="20"/>
              </w:rPr>
            </w:pPr>
            <w:r w:rsidRPr="002A3BDE">
              <w:rPr>
                <w:color w:val="000000"/>
                <w:sz w:val="20"/>
                <w:szCs w:val="20"/>
              </w:rPr>
              <w:t>Non-cirrhotic</w:t>
            </w:r>
            <w:r w:rsidRPr="002A3BDE">
              <w:rPr>
                <w:color w:val="000000"/>
                <w:sz w:val="20"/>
                <w:szCs w:val="20"/>
                <w:vertAlign w:val="superscript"/>
              </w:rPr>
              <w:t>§</w:t>
            </w:r>
          </w:p>
        </w:tc>
        <w:tc>
          <w:tcPr>
            <w:tcW w:w="1530" w:type="dxa"/>
            <w:tcBorders>
              <w:top w:val="single" w:sz="4" w:space="0" w:color="auto"/>
              <w:left w:val="single" w:sz="4" w:space="0" w:color="auto"/>
              <w:bottom w:val="nil"/>
              <w:right w:val="single" w:sz="4" w:space="0" w:color="auto"/>
            </w:tcBorders>
            <w:shd w:val="clear" w:color="auto" w:fill="auto"/>
          </w:tcPr>
          <w:p w:rsidR="00363143" w:rsidRPr="002A3BDE" w:rsidRDefault="00363143" w:rsidP="00B41A80">
            <w:pPr>
              <w:spacing w:before="120"/>
              <w:jc w:val="center"/>
              <w:rPr>
                <w:sz w:val="20"/>
                <w:szCs w:val="20"/>
              </w:rPr>
            </w:pPr>
            <w:r w:rsidRPr="002A3BDE">
              <w:rPr>
                <w:sz w:val="20"/>
                <w:szCs w:val="20"/>
              </w:rPr>
              <w:t xml:space="preserve">94% </w:t>
            </w:r>
            <w:r w:rsidR="00B41A80">
              <w:rPr>
                <w:sz w:val="20"/>
                <w:szCs w:val="20"/>
              </w:rPr>
              <w:t xml:space="preserve"> </w:t>
            </w:r>
            <w:r w:rsidR="006D1F71">
              <w:rPr>
                <w:sz w:val="20"/>
                <w:szCs w:val="20"/>
              </w:rPr>
              <w:t>(</w:t>
            </w:r>
            <w:r w:rsidR="00B41A80">
              <w:rPr>
                <w:sz w:val="20"/>
                <w:szCs w:val="20"/>
              </w:rPr>
              <w:t>223/236</w:t>
            </w:r>
            <w:r w:rsidR="00B41A80" w:rsidRPr="002A3BDE">
              <w:rPr>
                <w:sz w:val="20"/>
                <w:szCs w:val="20"/>
              </w:rPr>
              <w:t>)</w:t>
            </w:r>
          </w:p>
        </w:tc>
        <w:tc>
          <w:tcPr>
            <w:tcW w:w="1620" w:type="dxa"/>
            <w:tcBorders>
              <w:top w:val="single" w:sz="4" w:space="0" w:color="auto"/>
              <w:left w:val="single" w:sz="4" w:space="0" w:color="auto"/>
              <w:bottom w:val="nil"/>
              <w:right w:val="single" w:sz="4" w:space="0" w:color="auto"/>
            </w:tcBorders>
            <w:shd w:val="clear" w:color="auto" w:fill="auto"/>
          </w:tcPr>
          <w:p w:rsidR="00363143" w:rsidRPr="002A3BDE" w:rsidRDefault="00363143" w:rsidP="006D1F71">
            <w:pPr>
              <w:spacing w:before="120"/>
              <w:jc w:val="center"/>
              <w:rPr>
                <w:sz w:val="20"/>
                <w:szCs w:val="20"/>
              </w:rPr>
            </w:pPr>
            <w:r w:rsidRPr="002A3BDE">
              <w:rPr>
                <w:sz w:val="20"/>
                <w:szCs w:val="20"/>
              </w:rPr>
              <w:t xml:space="preserve">94% </w:t>
            </w:r>
            <w:r w:rsidR="006D1F71">
              <w:rPr>
                <w:sz w:val="20"/>
                <w:szCs w:val="20"/>
              </w:rPr>
              <w:t>(</w:t>
            </w:r>
            <w:r w:rsidR="00B41A80">
              <w:rPr>
                <w:sz w:val="20"/>
                <w:szCs w:val="20"/>
              </w:rPr>
              <w:t>171/182</w:t>
            </w:r>
            <w:r w:rsidR="00B41A80" w:rsidRPr="002A3BDE">
              <w:rPr>
                <w:sz w:val="20"/>
                <w:szCs w:val="20"/>
              </w:rPr>
              <w:t>)</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95% (92/97)</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93% (69/74)</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B41A80" w:rsidP="00812C6B">
            <w:pPr>
              <w:spacing w:before="120"/>
              <w:jc w:val="center"/>
              <w:rPr>
                <w:sz w:val="20"/>
                <w:szCs w:val="20"/>
              </w:rPr>
            </w:pPr>
            <w:r>
              <w:rPr>
                <w:sz w:val="20"/>
                <w:szCs w:val="20"/>
              </w:rPr>
              <w:t>90% (9/10)</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B41A80">
            <w:pPr>
              <w:spacing w:before="120"/>
              <w:jc w:val="center"/>
              <w:rPr>
                <w:sz w:val="20"/>
                <w:szCs w:val="20"/>
              </w:rPr>
            </w:pPr>
            <w:r w:rsidRPr="002A3BDE">
              <w:rPr>
                <w:sz w:val="20"/>
                <w:szCs w:val="20"/>
              </w:rPr>
              <w:t xml:space="preserve">94% </w:t>
            </w:r>
            <w:r w:rsidR="00B41A80">
              <w:rPr>
                <w:sz w:val="20"/>
                <w:szCs w:val="20"/>
              </w:rPr>
              <w:t xml:space="preserve"> (564/599)</w:t>
            </w:r>
          </w:p>
        </w:tc>
      </w:tr>
      <w:tr w:rsidR="00363143" w:rsidRPr="002A3BDE" w:rsidTr="002A3BDE">
        <w:trPr>
          <w:jc w:val="center"/>
        </w:trPr>
        <w:tc>
          <w:tcPr>
            <w:tcW w:w="207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ind w:left="288"/>
              <w:rPr>
                <w:b/>
                <w:sz w:val="20"/>
                <w:szCs w:val="20"/>
              </w:rPr>
            </w:pPr>
            <w:r w:rsidRPr="002A3BDE">
              <w:rPr>
                <w:color w:val="000000"/>
                <w:sz w:val="20"/>
                <w:szCs w:val="20"/>
              </w:rPr>
              <w:t>Cirrhotic</w:t>
            </w:r>
          </w:p>
        </w:tc>
        <w:tc>
          <w:tcPr>
            <w:tcW w:w="153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97% (68/70)</w:t>
            </w:r>
          </w:p>
        </w:tc>
        <w:tc>
          <w:tcPr>
            <w:tcW w:w="162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100% (35/35)</w:t>
            </w:r>
          </w:p>
        </w:tc>
        <w:tc>
          <w:tcPr>
            <w:tcW w:w="144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100% (4/4)</w:t>
            </w:r>
          </w:p>
        </w:tc>
        <w:tc>
          <w:tcPr>
            <w:tcW w:w="144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97% (28/29)</w:t>
            </w:r>
          </w:p>
        </w:tc>
        <w:tc>
          <w:tcPr>
            <w:tcW w:w="144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w:t>
            </w:r>
          </w:p>
        </w:tc>
        <w:tc>
          <w:tcPr>
            <w:tcW w:w="1440" w:type="dxa"/>
            <w:tcBorders>
              <w:top w:val="nil"/>
              <w:left w:val="single" w:sz="4" w:space="0" w:color="auto"/>
              <w:bottom w:val="single" w:sz="4" w:space="0" w:color="auto"/>
              <w:right w:val="single" w:sz="4" w:space="0" w:color="auto"/>
            </w:tcBorders>
            <w:shd w:val="clear" w:color="auto" w:fill="auto"/>
          </w:tcPr>
          <w:p w:rsidR="00363143" w:rsidRPr="002A3BDE" w:rsidRDefault="00363143" w:rsidP="003771F7">
            <w:pPr>
              <w:spacing w:before="120"/>
              <w:jc w:val="center"/>
              <w:rPr>
                <w:sz w:val="20"/>
                <w:szCs w:val="20"/>
              </w:rPr>
            </w:pPr>
            <w:r w:rsidRPr="002A3BDE">
              <w:rPr>
                <w:sz w:val="20"/>
                <w:szCs w:val="20"/>
              </w:rPr>
              <w:t>98% (135/138)</w:t>
            </w:r>
          </w:p>
        </w:tc>
      </w:tr>
      <w:tr w:rsidR="00363143" w:rsidRPr="002A3BDE" w:rsidTr="002A3BDE">
        <w:trPr>
          <w:jc w:val="center"/>
        </w:trPr>
        <w:tc>
          <w:tcPr>
            <w:tcW w:w="10980" w:type="dxa"/>
            <w:gridSpan w:val="7"/>
            <w:shd w:val="clear" w:color="auto" w:fill="auto"/>
          </w:tcPr>
          <w:p w:rsidR="00363143" w:rsidRPr="002A3BDE" w:rsidRDefault="00363143" w:rsidP="00812C6B">
            <w:pPr>
              <w:spacing w:before="120"/>
              <w:rPr>
                <w:b/>
                <w:sz w:val="20"/>
                <w:szCs w:val="20"/>
              </w:rPr>
            </w:pPr>
            <w:r w:rsidRPr="002A3BDE">
              <w:rPr>
                <w:color w:val="000000"/>
                <w:sz w:val="20"/>
                <w:szCs w:val="20"/>
              </w:rPr>
              <w:t>SVR by HIV status</w:t>
            </w:r>
          </w:p>
        </w:tc>
      </w:tr>
      <w:tr w:rsidR="00363143" w:rsidRPr="002A3BDE" w:rsidTr="002A3BDE">
        <w:trPr>
          <w:jc w:val="center"/>
        </w:trPr>
        <w:tc>
          <w:tcPr>
            <w:tcW w:w="207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ind w:left="288"/>
              <w:rPr>
                <w:b/>
                <w:sz w:val="20"/>
                <w:szCs w:val="20"/>
              </w:rPr>
            </w:pPr>
            <w:r w:rsidRPr="002A3BDE">
              <w:rPr>
                <w:color w:val="000000"/>
                <w:sz w:val="20"/>
                <w:szCs w:val="20"/>
              </w:rPr>
              <w:t>HCV mono-infected</w:t>
            </w:r>
          </w:p>
        </w:tc>
        <w:tc>
          <w:tcPr>
            <w:tcW w:w="1530" w:type="dxa"/>
            <w:tcBorders>
              <w:top w:val="single" w:sz="4" w:space="0" w:color="auto"/>
              <w:left w:val="single" w:sz="4" w:space="0" w:color="auto"/>
              <w:bottom w:val="nil"/>
              <w:right w:val="single" w:sz="4" w:space="0" w:color="auto"/>
            </w:tcBorders>
            <w:shd w:val="clear" w:color="auto" w:fill="auto"/>
          </w:tcPr>
          <w:p w:rsidR="00363143" w:rsidRPr="002A3BDE" w:rsidRDefault="00363143" w:rsidP="006D1F71">
            <w:pPr>
              <w:spacing w:before="120"/>
              <w:jc w:val="center"/>
              <w:rPr>
                <w:sz w:val="20"/>
                <w:szCs w:val="20"/>
              </w:rPr>
            </w:pPr>
            <w:r w:rsidRPr="002A3BDE">
              <w:rPr>
                <w:sz w:val="20"/>
                <w:szCs w:val="20"/>
              </w:rPr>
              <w:t xml:space="preserve">95% </w:t>
            </w:r>
            <w:r w:rsidR="006D1F71">
              <w:rPr>
                <w:sz w:val="20"/>
                <w:szCs w:val="20"/>
              </w:rPr>
              <w:t>(</w:t>
            </w:r>
            <w:r w:rsidR="00B41A80">
              <w:rPr>
                <w:sz w:val="20"/>
                <w:szCs w:val="20"/>
              </w:rPr>
              <w:t>291/306</w:t>
            </w:r>
            <w:r w:rsidR="00B41A80" w:rsidRPr="002A3BDE">
              <w:rPr>
                <w:sz w:val="20"/>
                <w:szCs w:val="20"/>
              </w:rPr>
              <w:t>)</w:t>
            </w:r>
          </w:p>
        </w:tc>
        <w:tc>
          <w:tcPr>
            <w:tcW w:w="162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95% (96/101)</w:t>
            </w:r>
          </w:p>
          <w:p w:rsidR="00363143" w:rsidRPr="002A3BDE" w:rsidRDefault="00363143" w:rsidP="00812C6B">
            <w:pPr>
              <w:spacing w:before="120"/>
              <w:jc w:val="center"/>
              <w:rPr>
                <w:sz w:val="20"/>
                <w:szCs w:val="20"/>
              </w:rPr>
            </w:pP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97% (71/73)</w:t>
            </w:r>
          </w:p>
        </w:tc>
        <w:tc>
          <w:tcPr>
            <w:tcW w:w="1440" w:type="dxa"/>
            <w:tcBorders>
              <w:top w:val="single" w:sz="4" w:space="0" w:color="auto"/>
              <w:left w:val="single" w:sz="4" w:space="0" w:color="auto"/>
              <w:bottom w:val="nil"/>
              <w:right w:val="single" w:sz="4" w:space="0" w:color="auto"/>
            </w:tcBorders>
            <w:shd w:val="clear" w:color="auto" w:fill="auto"/>
          </w:tcPr>
          <w:p w:rsidR="00363143" w:rsidRPr="002A3BDE" w:rsidRDefault="00B41A80" w:rsidP="00812C6B">
            <w:pPr>
              <w:spacing w:before="120"/>
              <w:jc w:val="center"/>
              <w:rPr>
                <w:sz w:val="20"/>
                <w:szCs w:val="20"/>
              </w:rPr>
            </w:pPr>
            <w:r>
              <w:rPr>
                <w:sz w:val="20"/>
                <w:szCs w:val="20"/>
              </w:rPr>
              <w:t>90% (9/10)</w:t>
            </w:r>
          </w:p>
        </w:tc>
        <w:tc>
          <w:tcPr>
            <w:tcW w:w="1440" w:type="dxa"/>
            <w:vMerge w:val="restart"/>
            <w:tcBorders>
              <w:lef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 xml:space="preserve">95% </w:t>
            </w:r>
            <w:r w:rsidR="006D1F71">
              <w:rPr>
                <w:sz w:val="20"/>
                <w:szCs w:val="20"/>
              </w:rPr>
              <w:t>(</w:t>
            </w:r>
            <w:r w:rsidR="00B41A80">
              <w:rPr>
                <w:sz w:val="20"/>
                <w:szCs w:val="20"/>
              </w:rPr>
              <w:t>467/490</w:t>
            </w:r>
            <w:r w:rsidR="00B41A80" w:rsidRPr="002A3BDE">
              <w:rPr>
                <w:sz w:val="20"/>
                <w:szCs w:val="20"/>
              </w:rPr>
              <w:t>)</w:t>
            </w:r>
          </w:p>
          <w:p w:rsidR="00363143" w:rsidRPr="002A3BDE" w:rsidRDefault="00363143" w:rsidP="00812C6B">
            <w:pPr>
              <w:spacing w:before="120"/>
              <w:jc w:val="center"/>
              <w:rPr>
                <w:b/>
                <w:sz w:val="20"/>
                <w:szCs w:val="20"/>
              </w:rPr>
            </w:pPr>
          </w:p>
          <w:p w:rsidR="00363143" w:rsidRPr="002A3BDE" w:rsidRDefault="00363143" w:rsidP="00B41A80">
            <w:pPr>
              <w:spacing w:before="120"/>
              <w:jc w:val="center"/>
              <w:rPr>
                <w:b/>
                <w:sz w:val="20"/>
                <w:szCs w:val="20"/>
              </w:rPr>
            </w:pPr>
            <w:r w:rsidRPr="002A3BDE">
              <w:rPr>
                <w:sz w:val="20"/>
                <w:szCs w:val="20"/>
              </w:rPr>
              <w:t>94% (</w:t>
            </w:r>
            <w:r w:rsidR="00B41A80">
              <w:rPr>
                <w:sz w:val="20"/>
                <w:szCs w:val="20"/>
              </w:rPr>
              <w:t>232/247</w:t>
            </w:r>
            <w:r w:rsidRPr="002A3BDE">
              <w:rPr>
                <w:sz w:val="20"/>
                <w:szCs w:val="20"/>
              </w:rPr>
              <w:t>)</w:t>
            </w:r>
          </w:p>
        </w:tc>
      </w:tr>
      <w:tr w:rsidR="00363143" w:rsidRPr="002A3BDE" w:rsidTr="002A3BDE">
        <w:trPr>
          <w:jc w:val="center"/>
        </w:trPr>
        <w:tc>
          <w:tcPr>
            <w:tcW w:w="207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ind w:left="288"/>
              <w:rPr>
                <w:b/>
                <w:sz w:val="20"/>
                <w:szCs w:val="20"/>
              </w:rPr>
            </w:pPr>
            <w:r w:rsidRPr="002A3BDE">
              <w:rPr>
                <w:color w:val="000000"/>
                <w:sz w:val="20"/>
                <w:szCs w:val="20"/>
              </w:rPr>
              <w:t>HCV/HIV-1 co-infected</w:t>
            </w:r>
          </w:p>
        </w:tc>
        <w:tc>
          <w:tcPr>
            <w:tcW w:w="153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w:t>
            </w:r>
          </w:p>
        </w:tc>
        <w:tc>
          <w:tcPr>
            <w:tcW w:w="1620" w:type="dxa"/>
            <w:tcBorders>
              <w:top w:val="nil"/>
              <w:left w:val="single" w:sz="4" w:space="0" w:color="auto"/>
              <w:bottom w:val="single" w:sz="4" w:space="0" w:color="auto"/>
              <w:right w:val="single" w:sz="4" w:space="0" w:color="auto"/>
            </w:tcBorders>
            <w:shd w:val="clear" w:color="auto" w:fill="auto"/>
          </w:tcPr>
          <w:p w:rsidR="00363143" w:rsidRPr="002A3BDE" w:rsidRDefault="00363143" w:rsidP="00B41A80">
            <w:pPr>
              <w:spacing w:before="120"/>
              <w:jc w:val="center"/>
              <w:rPr>
                <w:sz w:val="20"/>
                <w:szCs w:val="20"/>
              </w:rPr>
            </w:pPr>
            <w:r w:rsidRPr="002A3BDE">
              <w:rPr>
                <w:sz w:val="20"/>
                <w:szCs w:val="20"/>
              </w:rPr>
              <w:t>95% (</w:t>
            </w:r>
            <w:r w:rsidR="00B41A80">
              <w:rPr>
                <w:sz w:val="20"/>
                <w:szCs w:val="20"/>
              </w:rPr>
              <w:t>206/217</w:t>
            </w:r>
            <w:r w:rsidR="00B41A80" w:rsidRPr="002A3BDE">
              <w:rPr>
                <w:sz w:val="20"/>
                <w:szCs w:val="20"/>
              </w:rPr>
              <w:t>)</w:t>
            </w:r>
          </w:p>
        </w:tc>
        <w:tc>
          <w:tcPr>
            <w:tcW w:w="144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w:t>
            </w:r>
          </w:p>
        </w:tc>
        <w:tc>
          <w:tcPr>
            <w:tcW w:w="144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87% (26/30)</w:t>
            </w:r>
          </w:p>
        </w:tc>
        <w:tc>
          <w:tcPr>
            <w:tcW w:w="1440" w:type="dxa"/>
            <w:tcBorders>
              <w:top w:val="nil"/>
              <w:left w:val="single" w:sz="4" w:space="0" w:color="auto"/>
              <w:bottom w:val="single" w:sz="4" w:space="0" w:color="auto"/>
              <w:right w:val="single" w:sz="4" w:space="0" w:color="auto"/>
            </w:tcBorders>
            <w:shd w:val="clear" w:color="auto" w:fill="auto"/>
          </w:tcPr>
          <w:p w:rsidR="00363143" w:rsidRPr="002A3BDE" w:rsidRDefault="00363143" w:rsidP="00812C6B">
            <w:pPr>
              <w:spacing w:before="120"/>
              <w:jc w:val="center"/>
              <w:rPr>
                <w:sz w:val="20"/>
                <w:szCs w:val="20"/>
              </w:rPr>
            </w:pPr>
            <w:r w:rsidRPr="002A3BDE">
              <w:rPr>
                <w:sz w:val="20"/>
                <w:szCs w:val="20"/>
              </w:rPr>
              <w:t>------</w:t>
            </w:r>
          </w:p>
        </w:tc>
        <w:tc>
          <w:tcPr>
            <w:tcW w:w="1440" w:type="dxa"/>
            <w:vMerge/>
            <w:tcBorders>
              <w:left w:val="single" w:sz="4" w:space="0" w:color="auto"/>
            </w:tcBorders>
            <w:shd w:val="clear" w:color="auto" w:fill="auto"/>
          </w:tcPr>
          <w:p w:rsidR="00363143" w:rsidRPr="002A3BDE" w:rsidRDefault="00363143" w:rsidP="00812C6B">
            <w:pPr>
              <w:spacing w:before="120"/>
              <w:jc w:val="center"/>
              <w:rPr>
                <w:b/>
                <w:sz w:val="20"/>
                <w:szCs w:val="20"/>
              </w:rPr>
            </w:pPr>
          </w:p>
        </w:tc>
      </w:tr>
    </w:tbl>
    <w:p w:rsidR="00363143" w:rsidRPr="00A50E86" w:rsidRDefault="00363143" w:rsidP="00363143">
      <w:pPr>
        <w:pStyle w:val="BodyText1"/>
        <w:spacing w:before="0"/>
        <w:ind w:left="-720" w:firstLine="0"/>
        <w:jc w:val="both"/>
        <w:rPr>
          <w:rFonts w:ascii="Arial" w:hAnsi="Arial"/>
          <w:sz w:val="18"/>
          <w:szCs w:val="18"/>
        </w:rPr>
      </w:pPr>
      <w:r w:rsidRPr="00F42F76">
        <w:rPr>
          <w:rFonts w:ascii="Arial" w:hAnsi="Arial"/>
          <w:color w:val="000000"/>
          <w:sz w:val="18"/>
          <w:szCs w:val="18"/>
        </w:rPr>
        <w:t>*</w:t>
      </w:r>
      <w:r w:rsidRPr="00856BED">
        <w:rPr>
          <w:rFonts w:ascii="Arial" w:hAnsi="Arial"/>
          <w:sz w:val="18"/>
          <w:szCs w:val="18"/>
        </w:rPr>
        <w:t>Includes subjects</w:t>
      </w:r>
      <w:r w:rsidRPr="00A50E86">
        <w:rPr>
          <w:rFonts w:ascii="Arial" w:hAnsi="Arial"/>
          <w:sz w:val="18"/>
          <w:szCs w:val="18"/>
        </w:rPr>
        <w:t xml:space="preserve"> with </w:t>
      </w:r>
      <w:proofErr w:type="spellStart"/>
      <w:r w:rsidRPr="00A50E86">
        <w:rPr>
          <w:rFonts w:ascii="Arial" w:hAnsi="Arial"/>
          <w:sz w:val="18"/>
          <w:szCs w:val="18"/>
        </w:rPr>
        <w:t>virologic</w:t>
      </w:r>
      <w:proofErr w:type="spellEnd"/>
      <w:r w:rsidRPr="00A50E86">
        <w:rPr>
          <w:rFonts w:ascii="Arial" w:hAnsi="Arial"/>
          <w:sz w:val="18"/>
          <w:szCs w:val="18"/>
        </w:rPr>
        <w:t xml:space="preserve"> breakthrough.</w:t>
      </w:r>
    </w:p>
    <w:p w:rsidR="00363143" w:rsidRPr="00E40192" w:rsidRDefault="00363143" w:rsidP="00363143">
      <w:pPr>
        <w:pStyle w:val="BodyText1"/>
        <w:spacing w:before="0"/>
        <w:ind w:left="-720" w:firstLine="0"/>
        <w:jc w:val="both"/>
        <w:rPr>
          <w:rFonts w:ascii="Arial" w:hAnsi="Arial"/>
          <w:sz w:val="18"/>
          <w:szCs w:val="18"/>
        </w:rPr>
      </w:pPr>
      <w:r w:rsidRPr="00F42F76">
        <w:rPr>
          <w:rFonts w:ascii="Arial" w:hAnsi="Arial"/>
          <w:color w:val="000000"/>
          <w:sz w:val="18"/>
          <w:szCs w:val="18"/>
          <w:vertAlign w:val="superscript"/>
        </w:rPr>
        <w:t>†</w:t>
      </w:r>
      <w:r w:rsidRPr="00856BED">
        <w:rPr>
          <w:rFonts w:ascii="Arial" w:hAnsi="Arial"/>
          <w:sz w:val="18"/>
          <w:szCs w:val="18"/>
        </w:rPr>
        <w:t>Other includes subjects who d</w:t>
      </w:r>
      <w:r w:rsidRPr="00A50E86">
        <w:rPr>
          <w:rFonts w:ascii="Arial" w:hAnsi="Arial"/>
          <w:sz w:val="18"/>
          <w:szCs w:val="18"/>
        </w:rPr>
        <w:t>iscontinued due to adverse event, lost to follow-up, or subject wi</w:t>
      </w:r>
      <w:r w:rsidRPr="00E40192">
        <w:rPr>
          <w:rFonts w:ascii="Arial" w:hAnsi="Arial"/>
          <w:sz w:val="18"/>
          <w:szCs w:val="18"/>
        </w:rPr>
        <w:t>thdrawal.</w:t>
      </w:r>
    </w:p>
    <w:p w:rsidR="00363143" w:rsidRPr="00E40192" w:rsidRDefault="00363143" w:rsidP="00363143">
      <w:pPr>
        <w:pStyle w:val="BodyText1"/>
        <w:spacing w:before="0"/>
        <w:ind w:left="-720" w:firstLine="0"/>
        <w:jc w:val="both"/>
        <w:rPr>
          <w:rFonts w:ascii="Arial" w:hAnsi="Arial"/>
          <w:sz w:val="18"/>
          <w:szCs w:val="18"/>
        </w:rPr>
      </w:pPr>
      <w:r w:rsidRPr="00F42F76">
        <w:rPr>
          <w:rFonts w:ascii="Arial" w:hAnsi="Arial"/>
          <w:color w:val="000000"/>
          <w:sz w:val="18"/>
          <w:szCs w:val="18"/>
          <w:vertAlign w:val="superscript"/>
        </w:rPr>
        <w:t>‡</w:t>
      </w:r>
      <w:r w:rsidRPr="00856BED">
        <w:rPr>
          <w:rFonts w:ascii="Arial" w:hAnsi="Arial"/>
          <w:sz w:val="18"/>
          <w:szCs w:val="18"/>
        </w:rPr>
        <w:t xml:space="preserve">Includes genotype 1 subtypes other than 1a </w:t>
      </w:r>
      <w:r w:rsidRPr="00A50E86">
        <w:rPr>
          <w:rFonts w:ascii="Arial" w:hAnsi="Arial"/>
          <w:sz w:val="18"/>
          <w:szCs w:val="18"/>
        </w:rPr>
        <w:t>or 1b</w:t>
      </w:r>
      <w:r w:rsidRPr="00E40192">
        <w:rPr>
          <w:rFonts w:ascii="Arial" w:hAnsi="Arial"/>
          <w:sz w:val="18"/>
          <w:szCs w:val="18"/>
        </w:rPr>
        <w:t>.</w:t>
      </w:r>
    </w:p>
    <w:p w:rsidR="00363143" w:rsidRDefault="00363143" w:rsidP="00363143">
      <w:pPr>
        <w:pStyle w:val="BodyText1"/>
        <w:spacing w:before="0"/>
        <w:ind w:left="-720" w:firstLine="0"/>
        <w:jc w:val="both"/>
        <w:rPr>
          <w:rFonts w:ascii="Arial" w:hAnsi="Arial"/>
          <w:sz w:val="18"/>
          <w:szCs w:val="18"/>
        </w:rPr>
      </w:pPr>
      <w:r w:rsidRPr="00F42F76">
        <w:rPr>
          <w:rFonts w:ascii="Arial" w:hAnsi="Arial"/>
          <w:color w:val="000000"/>
          <w:sz w:val="18"/>
          <w:szCs w:val="18"/>
          <w:vertAlign w:val="superscript"/>
        </w:rPr>
        <w:t>§</w:t>
      </w:r>
      <w:r w:rsidRPr="00856BED">
        <w:rPr>
          <w:rFonts w:ascii="Arial" w:hAnsi="Arial"/>
          <w:sz w:val="18"/>
          <w:szCs w:val="18"/>
        </w:rPr>
        <w:t>Includes 1 subject with cirrhosis status of “unkn</w:t>
      </w:r>
      <w:r w:rsidRPr="00A50E86">
        <w:rPr>
          <w:rFonts w:ascii="Arial" w:hAnsi="Arial"/>
          <w:sz w:val="18"/>
          <w:szCs w:val="18"/>
        </w:rPr>
        <w:t>own” in C-SCAPE.</w:t>
      </w:r>
    </w:p>
    <w:p w:rsidR="007A01E1" w:rsidRPr="00A50E86" w:rsidRDefault="007A01E1" w:rsidP="00363143">
      <w:pPr>
        <w:pStyle w:val="BodyText1"/>
        <w:spacing w:before="0"/>
        <w:ind w:left="-720" w:firstLine="0"/>
        <w:jc w:val="both"/>
        <w:rPr>
          <w:rFonts w:ascii="Arial" w:hAnsi="Arial"/>
          <w:sz w:val="18"/>
          <w:szCs w:val="18"/>
        </w:rPr>
      </w:pPr>
    </w:p>
    <w:p w:rsidR="00363143" w:rsidRPr="0067217F" w:rsidRDefault="0067217F" w:rsidP="00363143">
      <w:pPr>
        <w:pStyle w:val="BodyText1"/>
        <w:spacing w:before="0"/>
        <w:ind w:firstLine="0"/>
        <w:jc w:val="both"/>
        <w:rPr>
          <w:rFonts w:ascii="Arial" w:hAnsi="Arial"/>
          <w:sz w:val="22"/>
          <w:szCs w:val="22"/>
        </w:rPr>
      </w:pPr>
      <w:r w:rsidRPr="0067217F">
        <w:rPr>
          <w:rFonts w:ascii="Arial" w:hAnsi="Arial"/>
          <w:sz w:val="22"/>
          <w:szCs w:val="22"/>
        </w:rPr>
        <w:lastRenderedPageBreak/>
        <w:t>No HIV-1 infected subjects switched their antiretroviral therapy regimen due to loss of plasma HIV-1 RNA suppression. In treatment-naïve subjects, treatment outcomes were consistent in subjects with or without compensated cirrhosis and in subjects with or without HCV/HIV-1 co-infection. Treatment outcomes were consistent in subjects with or without advanced CKD, including subjects</w:t>
      </w:r>
      <w:r w:rsidRPr="0067217F">
        <w:rPr>
          <w:rFonts w:ascii="Arial" w:hAnsi="Arial"/>
          <w:bCs/>
          <w:sz w:val="22"/>
          <w:szCs w:val="22"/>
        </w:rPr>
        <w:t xml:space="preserve"> on </w:t>
      </w:r>
      <w:r w:rsidRPr="00F42F76">
        <w:rPr>
          <w:rFonts w:ascii="Arial" w:hAnsi="Arial"/>
          <w:bCs/>
          <w:sz w:val="22"/>
          <w:szCs w:val="22"/>
          <w:lang w:val="en-AU"/>
        </w:rPr>
        <w:t>haemodialysis</w:t>
      </w:r>
      <w:r w:rsidRPr="0067217F">
        <w:rPr>
          <w:rFonts w:ascii="Arial" w:hAnsi="Arial"/>
          <w:bCs/>
          <w:sz w:val="22"/>
          <w:szCs w:val="22"/>
        </w:rPr>
        <w:t>.</w:t>
      </w:r>
    </w:p>
    <w:p w:rsidR="00363143" w:rsidRPr="00B85173" w:rsidDel="00D50318" w:rsidRDefault="00363143" w:rsidP="002A3BDE">
      <w:pPr>
        <w:pStyle w:val="Heading2"/>
      </w:pPr>
      <w:r w:rsidRPr="00B85173" w:rsidDel="00D50318">
        <w:t>Clinical Trial with 8-Week Treatment in Treatment-Naïve Subjects Without Cirrhosis with Genotype 1b Chronic Hepatitis C Infection</w:t>
      </w:r>
    </w:p>
    <w:p w:rsidR="00363143" w:rsidRPr="00B85173" w:rsidDel="00D50318" w:rsidRDefault="00987D9F" w:rsidP="002A3BDE">
      <w:r>
        <w:t xml:space="preserve">An 8-week treatment regimen with ZEPATIER has been evaluated in a limited number of non-cirrhotic patients with GT1b infection. </w:t>
      </w:r>
      <w:r w:rsidR="00363143" w:rsidRPr="00B85173" w:rsidDel="00D50318">
        <w:t xml:space="preserve">In the C-WORTHY trial, </w:t>
      </w:r>
      <w:r>
        <w:t xml:space="preserve">31 </w:t>
      </w:r>
      <w:r w:rsidR="00363143" w:rsidRPr="00B85173" w:rsidDel="00D50318">
        <w:t xml:space="preserve">treatment-naïve subjects with genotype 1b CHC without cirrhosis were treated with </w:t>
      </w:r>
      <w:r w:rsidR="00853808" w:rsidRPr="00B85173">
        <w:t xml:space="preserve">EBR + </w:t>
      </w:r>
      <w:r w:rsidR="00363143" w:rsidRPr="00B85173" w:rsidDel="00D50318">
        <w:t xml:space="preserve">GZR with or without RBV for 8 weeks. In subjects treated with </w:t>
      </w:r>
      <w:r w:rsidR="00853808" w:rsidRPr="00B85173">
        <w:t xml:space="preserve">EBR + </w:t>
      </w:r>
      <w:r w:rsidR="00363143" w:rsidRPr="00B85173" w:rsidDel="00D50318">
        <w:t>GZR without RBV, the subjects had a median age of 56 years (range: 28 to 71); 42% of the subjects were male; 81% were White; 19% were Black or African American; 3% were Hispanic or Latino; mean body mass index was 28 kg/m</w:t>
      </w:r>
      <w:r w:rsidR="00363143" w:rsidRPr="00B85173" w:rsidDel="00D50318">
        <w:rPr>
          <w:vertAlign w:val="superscript"/>
        </w:rPr>
        <w:t>2</w:t>
      </w:r>
      <w:r w:rsidR="00363143" w:rsidRPr="00B85173" w:rsidDel="00D50318">
        <w:t>; 87% had baseline HCV RNA levels greater than 800,000 IU/mL; and 90% had non-C/C IL28B alleles (CT or TT). By liver biopsy or non-invasive tests, all were non-cirrhotic and 94% (29/31) had METAVIR scores of F0-F2 and the other 2 subjects had a METAVIR score of F3.</w:t>
      </w:r>
    </w:p>
    <w:p w:rsidR="00363143" w:rsidDel="00D50318" w:rsidRDefault="00363143" w:rsidP="002A3BDE">
      <w:r w:rsidRPr="00B85173" w:rsidDel="00D50318">
        <w:t xml:space="preserve">Overall SVR was achieved in 94% (29/31) in treatment-naïve subjects with genotype 1b without cirrhosis who received </w:t>
      </w:r>
      <w:r w:rsidR="00853808" w:rsidRPr="00B85173">
        <w:t xml:space="preserve">EBR + </w:t>
      </w:r>
      <w:r w:rsidRPr="00B85173" w:rsidDel="00D50318">
        <w:t xml:space="preserve">GZR for 8 weeks. Two of the thirty-one subjects did not achieve SVR due to relapse. SVR was achieved in 97% (28/29) of subjects with METAVIR scores of F0-F2 and 50% (1/2) subjects with METAVIR score of F3. The addition of RBV was not shown to improve the treatment outcomes observed with </w:t>
      </w:r>
      <w:r w:rsidR="00853808" w:rsidRPr="00B85173">
        <w:t xml:space="preserve">EBR + </w:t>
      </w:r>
      <w:r w:rsidRPr="00B85173" w:rsidDel="00D50318">
        <w:t>GZR.</w:t>
      </w:r>
    </w:p>
    <w:p w:rsidR="00363143" w:rsidRPr="002A3BDE" w:rsidRDefault="00363143" w:rsidP="002A3BDE">
      <w:pPr>
        <w:pStyle w:val="Heading2"/>
      </w:pPr>
      <w:r w:rsidRPr="002A3BDE">
        <w:t>Clinical Trials in Treatment-Experienced Subjects with Genotype 1</w:t>
      </w:r>
      <w:r w:rsidR="004A5733">
        <w:t xml:space="preserve"> or</w:t>
      </w:r>
      <w:r w:rsidRPr="002A3BDE">
        <w:t xml:space="preserve"> 4 Chronic Hepatitis C Infection</w:t>
      </w:r>
    </w:p>
    <w:p w:rsidR="00363143" w:rsidRPr="002A3BDE" w:rsidRDefault="00363143" w:rsidP="002A3BDE">
      <w:pPr>
        <w:rPr>
          <w:u w:val="single"/>
        </w:rPr>
      </w:pPr>
      <w:r w:rsidRPr="002A3BDE">
        <w:rPr>
          <w:u w:val="single"/>
        </w:rPr>
        <w:t>C-EDGE TE Trial – Treatment-Experienced Subjects who Failed Prior P</w:t>
      </w:r>
      <w:r w:rsidR="00F76CE4">
        <w:rPr>
          <w:u w:val="single"/>
        </w:rPr>
        <w:t>eg</w:t>
      </w:r>
      <w:r w:rsidRPr="002A3BDE">
        <w:rPr>
          <w:u w:val="single"/>
        </w:rPr>
        <w:t>-IFN with RBV Therapy</w:t>
      </w:r>
    </w:p>
    <w:p w:rsidR="00363143" w:rsidRPr="00E11AD3" w:rsidRDefault="00363143" w:rsidP="002A3BDE">
      <w:r>
        <w:t xml:space="preserve">In the C-EDGE TE trial, treatment-experienced subjects who failed prior </w:t>
      </w:r>
      <w:r w:rsidRPr="00B002FF">
        <w:t>P</w:t>
      </w:r>
      <w:r w:rsidR="00F76CE4">
        <w:t>eg</w:t>
      </w:r>
      <w:r w:rsidRPr="00B002FF">
        <w:t>-IFN with RBV t</w:t>
      </w:r>
      <w:r>
        <w:t xml:space="preserve">herapy with genotype 1, 4, or 6 chronic hepatitis C infection had a median </w:t>
      </w:r>
      <w:r w:rsidRPr="006E708C">
        <w:t xml:space="preserve">age </w:t>
      </w:r>
      <w:r>
        <w:t>of</w:t>
      </w:r>
      <w:r w:rsidRPr="006E708C">
        <w:t xml:space="preserve"> </w:t>
      </w:r>
      <w:r>
        <w:t xml:space="preserve">56 </w:t>
      </w:r>
      <w:r w:rsidRPr="006E708C">
        <w:t xml:space="preserve">years (range: </w:t>
      </w:r>
      <w:r>
        <w:t>19</w:t>
      </w:r>
      <w:r w:rsidRPr="006E708C">
        <w:t xml:space="preserve"> to </w:t>
      </w:r>
      <w:r>
        <w:t>77</w:t>
      </w:r>
      <w:r w:rsidRPr="006E708C">
        <w:t xml:space="preserve">); </w:t>
      </w:r>
      <w:r w:rsidRPr="00FB29F2">
        <w:t>6</w:t>
      </w:r>
      <w:r>
        <w:t>5</w:t>
      </w:r>
      <w:r w:rsidRPr="00FB29F2">
        <w:t>%</w:t>
      </w:r>
      <w:r w:rsidRPr="006E708C">
        <w:t xml:space="preserve"> of the subjects were male; </w:t>
      </w:r>
      <w:r>
        <w:t>68</w:t>
      </w:r>
      <w:r w:rsidRPr="006E708C">
        <w:t xml:space="preserve">% were White; </w:t>
      </w:r>
      <w:r>
        <w:t>17</w:t>
      </w:r>
      <w:r w:rsidRPr="006E708C">
        <w:t xml:space="preserve">% were </w:t>
      </w:r>
      <w:r w:rsidR="00F76CE4">
        <w:t xml:space="preserve">Black or </w:t>
      </w:r>
      <w:r>
        <w:t>African American</w:t>
      </w:r>
      <w:r w:rsidRPr="006E708C">
        <w:t xml:space="preserve">; </w:t>
      </w:r>
      <w:r>
        <w:t>9</w:t>
      </w:r>
      <w:r w:rsidRPr="006E708C">
        <w:t>% were Hispanic or Latino; mean body mass ind</w:t>
      </w:r>
      <w:r w:rsidRPr="00E11AD3">
        <w:t>ex was 27 kg/m</w:t>
      </w:r>
      <w:r w:rsidRPr="00E11AD3">
        <w:rPr>
          <w:vertAlign w:val="superscript"/>
        </w:rPr>
        <w:t>2</w:t>
      </w:r>
      <w:r w:rsidRPr="00E11AD3">
        <w:t>; 75% had baseline HCV RNA levels greater than 800,000 IU/mL; 35% had cirrhosis; 79% had non-C/C IL28B alleles (CT or TT); 5% had HCV/HIV-1 co-infection</w:t>
      </w:r>
      <w:r w:rsidR="00CA3EA5">
        <w:t>;</w:t>
      </w:r>
      <w:r w:rsidR="00CA3EA5" w:rsidRPr="00CA3EA5">
        <w:rPr>
          <w:szCs w:val="18"/>
        </w:rPr>
        <w:t xml:space="preserve"> </w:t>
      </w:r>
      <w:r w:rsidR="00CA3EA5">
        <w:rPr>
          <w:szCs w:val="18"/>
        </w:rPr>
        <w:t xml:space="preserve">90% had genotype 1, 9% had genotype 4, </w:t>
      </w:r>
      <w:r w:rsidR="00CA3EA5" w:rsidRPr="00EE2B57">
        <w:rPr>
          <w:szCs w:val="18"/>
        </w:rPr>
        <w:t xml:space="preserve">and </w:t>
      </w:r>
      <w:r w:rsidR="00CA3EA5">
        <w:rPr>
          <w:szCs w:val="18"/>
        </w:rPr>
        <w:t>1</w:t>
      </w:r>
      <w:r w:rsidR="00CA3EA5" w:rsidRPr="00EE2B57">
        <w:rPr>
          <w:szCs w:val="18"/>
        </w:rPr>
        <w:t xml:space="preserve">% </w:t>
      </w:r>
      <w:r w:rsidR="00CA3EA5">
        <w:rPr>
          <w:szCs w:val="18"/>
        </w:rPr>
        <w:t>had</w:t>
      </w:r>
      <w:r w:rsidR="00CA3EA5" w:rsidRPr="00EE2B57">
        <w:rPr>
          <w:szCs w:val="18"/>
        </w:rPr>
        <w:t xml:space="preserve"> genotype 6 chronic hepatitis C infection</w:t>
      </w:r>
      <w:r w:rsidRPr="00E11AD3">
        <w:t>.</w:t>
      </w:r>
    </w:p>
    <w:p w:rsidR="00363143" w:rsidRDefault="00363143" w:rsidP="002A3BDE">
      <w:r w:rsidRPr="00E11AD3">
        <w:t xml:space="preserve">Treatment outcomes in subjects treated with </w:t>
      </w:r>
      <w:r w:rsidR="000D7FE6">
        <w:t>ZEPATIER</w:t>
      </w:r>
      <w:r w:rsidRPr="00E11AD3">
        <w:t xml:space="preserve"> with or without RBV for 12 or 16 weeks are presented in </w:t>
      </w:r>
      <w:r w:rsidR="002A3BDE">
        <w:fldChar w:fldCharType="begin"/>
      </w:r>
      <w:r w:rsidR="002A3BDE">
        <w:instrText xml:space="preserve"> REF _Ref423004963 \h </w:instrText>
      </w:r>
      <w:r w:rsidR="002A3BDE">
        <w:fldChar w:fldCharType="separate"/>
      </w:r>
      <w:r w:rsidR="008B30DE">
        <w:t xml:space="preserve">Table </w:t>
      </w:r>
      <w:r w:rsidR="002A3BDE">
        <w:fldChar w:fldCharType="end"/>
      </w:r>
      <w:r w:rsidR="00E5382C">
        <w:t>6</w:t>
      </w:r>
      <w:r w:rsidRPr="00E11AD3">
        <w:t>.</w:t>
      </w:r>
      <w:r>
        <w:t xml:space="preserve"> </w:t>
      </w:r>
    </w:p>
    <w:p w:rsidR="00363143" w:rsidRDefault="00363143" w:rsidP="00363143"/>
    <w:p w:rsidR="00157EE1" w:rsidRDefault="00157EE1">
      <w:pPr>
        <w:spacing w:before="0" w:after="0"/>
        <w:rPr>
          <w:b/>
          <w:bCs/>
          <w:sz w:val="20"/>
        </w:rPr>
      </w:pPr>
      <w:bookmarkStart w:id="5" w:name="_Ref423004963"/>
      <w:r>
        <w:br w:type="page"/>
      </w:r>
    </w:p>
    <w:p w:rsidR="00363143" w:rsidRPr="002A3BDE" w:rsidRDefault="002A3BDE" w:rsidP="002A3BDE">
      <w:pPr>
        <w:pStyle w:val="Caption"/>
        <w:keepNext/>
        <w:jc w:val="center"/>
        <w:rPr>
          <w:bCs w:val="0"/>
          <w:color w:val="000000"/>
          <w:szCs w:val="18"/>
        </w:rPr>
      </w:pPr>
      <w:r>
        <w:lastRenderedPageBreak/>
        <w:t xml:space="preserve">Table </w:t>
      </w:r>
      <w:r w:rsidR="00E5382C">
        <w:t>6</w:t>
      </w:r>
      <w:bookmarkEnd w:id="5"/>
      <w:r w:rsidR="00363143" w:rsidRPr="002A3BDE">
        <w:t xml:space="preserve">: C-EDGE TE Trial: Treatment Outcomes after 12 or 16 </w:t>
      </w:r>
      <w:r w:rsidR="00F76CE4">
        <w:t>W</w:t>
      </w:r>
      <w:r w:rsidR="00363143" w:rsidRPr="002A3BDE">
        <w:t xml:space="preserve">eeks of Treatment in Treatment-Experienced Subjects who Failed Prior </w:t>
      </w:r>
      <w:r w:rsidR="00F76CE4">
        <w:t>P</w:t>
      </w:r>
      <w:r w:rsidR="00363143" w:rsidRPr="002A3BDE">
        <w:t>eg-IFN with RBV with or without Cirrhosis</w:t>
      </w:r>
      <w:r w:rsidR="004A5733" w:rsidRPr="007701C4">
        <w:t>, with Genotype 1 or 4 Chronic Hepatitis C Infection</w:t>
      </w:r>
    </w:p>
    <w:tbl>
      <w:tblPr>
        <w:tblW w:w="10365" w:type="dxa"/>
        <w:jc w:val="center"/>
        <w:tblLayout w:type="fixed"/>
        <w:tblLook w:val="04A0" w:firstRow="1" w:lastRow="0" w:firstColumn="1" w:lastColumn="0" w:noHBand="0" w:noVBand="1"/>
      </w:tblPr>
      <w:tblGrid>
        <w:gridCol w:w="2085"/>
        <w:gridCol w:w="1980"/>
        <w:gridCol w:w="2160"/>
        <w:gridCol w:w="1980"/>
        <w:gridCol w:w="2160"/>
      </w:tblGrid>
      <w:tr w:rsidR="00363143" w:rsidRPr="002A3BDE" w:rsidTr="002A3BDE">
        <w:trPr>
          <w:trHeight w:val="403"/>
          <w:jc w:val="center"/>
        </w:trPr>
        <w:tc>
          <w:tcPr>
            <w:tcW w:w="2085" w:type="dxa"/>
            <w:tcBorders>
              <w:top w:val="single" w:sz="4" w:space="0" w:color="auto"/>
              <w:left w:val="single" w:sz="4" w:space="0" w:color="auto"/>
              <w:bottom w:val="single" w:sz="4" w:space="0" w:color="auto"/>
              <w:right w:val="single" w:sz="4" w:space="0" w:color="auto"/>
            </w:tcBorders>
            <w:shd w:val="clear" w:color="auto" w:fill="auto"/>
          </w:tcPr>
          <w:p w:rsidR="00363143" w:rsidRPr="002A3BDE" w:rsidRDefault="00363143" w:rsidP="00812C6B">
            <w:pPr>
              <w:jc w:val="center"/>
              <w:rPr>
                <w:b/>
                <w:color w:val="000000"/>
                <w:sz w:val="20"/>
                <w:szCs w:val="20"/>
              </w:rPr>
            </w:pPr>
            <w:r w:rsidRPr="002A3BDE">
              <w:rPr>
                <w:b/>
                <w:color w:val="000000"/>
                <w:sz w:val="20"/>
                <w:szCs w:val="20"/>
              </w:rPr>
              <w:t>Regimen</w:t>
            </w:r>
          </w:p>
        </w:tc>
        <w:tc>
          <w:tcPr>
            <w:tcW w:w="1980" w:type="dxa"/>
            <w:tcBorders>
              <w:top w:val="single" w:sz="8" w:space="0" w:color="auto"/>
              <w:left w:val="single" w:sz="4" w:space="0" w:color="auto"/>
              <w:bottom w:val="nil"/>
              <w:right w:val="nil"/>
            </w:tcBorders>
            <w:shd w:val="clear" w:color="auto" w:fill="auto"/>
          </w:tcPr>
          <w:p w:rsidR="00363143" w:rsidRPr="002A3BDE" w:rsidRDefault="000D7FE6" w:rsidP="00812C6B">
            <w:pPr>
              <w:jc w:val="center"/>
              <w:rPr>
                <w:b/>
                <w:color w:val="000000"/>
                <w:sz w:val="20"/>
                <w:szCs w:val="20"/>
              </w:rPr>
            </w:pPr>
            <w:r>
              <w:rPr>
                <w:b/>
                <w:color w:val="000000"/>
                <w:sz w:val="20"/>
                <w:szCs w:val="20"/>
              </w:rPr>
              <w:t>ZEPATIER</w:t>
            </w:r>
          </w:p>
          <w:p w:rsidR="00363143" w:rsidRPr="002A3BDE" w:rsidRDefault="00363143" w:rsidP="00812C6B">
            <w:pPr>
              <w:jc w:val="center"/>
              <w:rPr>
                <w:b/>
                <w:color w:val="000000"/>
                <w:sz w:val="20"/>
                <w:szCs w:val="20"/>
              </w:rPr>
            </w:pPr>
            <w:r w:rsidRPr="002A3BDE">
              <w:rPr>
                <w:b/>
                <w:color w:val="000000"/>
                <w:sz w:val="20"/>
                <w:szCs w:val="20"/>
              </w:rPr>
              <w:t>12 weeks</w:t>
            </w:r>
          </w:p>
          <w:p w:rsidR="00363143" w:rsidRPr="002A3BDE" w:rsidRDefault="00363143" w:rsidP="00812C6B">
            <w:pPr>
              <w:jc w:val="center"/>
              <w:rPr>
                <w:b/>
                <w:color w:val="000000"/>
                <w:sz w:val="20"/>
                <w:szCs w:val="20"/>
              </w:rPr>
            </w:pPr>
            <w:r w:rsidRPr="002A3BDE">
              <w:rPr>
                <w:b/>
                <w:color w:val="000000"/>
                <w:sz w:val="20"/>
                <w:szCs w:val="20"/>
              </w:rPr>
              <w:t>N=105</w:t>
            </w:r>
          </w:p>
        </w:tc>
        <w:tc>
          <w:tcPr>
            <w:tcW w:w="2160" w:type="dxa"/>
            <w:tcBorders>
              <w:top w:val="single" w:sz="8" w:space="0" w:color="auto"/>
              <w:left w:val="single" w:sz="8" w:space="0" w:color="auto"/>
              <w:bottom w:val="nil"/>
              <w:right w:val="single" w:sz="8" w:space="0" w:color="000000"/>
            </w:tcBorders>
            <w:shd w:val="clear" w:color="auto" w:fill="auto"/>
          </w:tcPr>
          <w:p w:rsidR="00363143" w:rsidRPr="002A3BDE" w:rsidRDefault="000D7FE6" w:rsidP="00812C6B">
            <w:pPr>
              <w:jc w:val="center"/>
              <w:rPr>
                <w:b/>
                <w:color w:val="000000"/>
                <w:sz w:val="20"/>
                <w:szCs w:val="20"/>
              </w:rPr>
            </w:pPr>
            <w:r>
              <w:rPr>
                <w:b/>
                <w:color w:val="000000"/>
                <w:sz w:val="20"/>
                <w:szCs w:val="20"/>
              </w:rPr>
              <w:t>ZEPATIER</w:t>
            </w:r>
            <w:r w:rsidR="00363143" w:rsidRPr="002A3BDE">
              <w:rPr>
                <w:b/>
                <w:color w:val="000000"/>
                <w:sz w:val="20"/>
                <w:szCs w:val="20"/>
              </w:rPr>
              <w:t xml:space="preserve"> + RBV</w:t>
            </w:r>
          </w:p>
          <w:p w:rsidR="00363143" w:rsidRPr="002A3BDE" w:rsidRDefault="00363143" w:rsidP="00812C6B">
            <w:pPr>
              <w:jc w:val="center"/>
              <w:rPr>
                <w:b/>
                <w:color w:val="000000"/>
                <w:sz w:val="20"/>
                <w:szCs w:val="20"/>
              </w:rPr>
            </w:pPr>
            <w:r w:rsidRPr="002A3BDE">
              <w:rPr>
                <w:b/>
                <w:color w:val="000000"/>
                <w:sz w:val="20"/>
                <w:szCs w:val="20"/>
              </w:rPr>
              <w:t>12 weeks</w:t>
            </w:r>
          </w:p>
          <w:p w:rsidR="00363143" w:rsidRPr="002A3BDE" w:rsidRDefault="00363143" w:rsidP="00812C6B">
            <w:pPr>
              <w:jc w:val="center"/>
              <w:rPr>
                <w:b/>
                <w:color w:val="000000"/>
                <w:sz w:val="20"/>
                <w:szCs w:val="20"/>
              </w:rPr>
            </w:pPr>
            <w:r w:rsidRPr="002A3BDE">
              <w:rPr>
                <w:b/>
                <w:color w:val="000000"/>
                <w:sz w:val="20"/>
                <w:szCs w:val="20"/>
              </w:rPr>
              <w:t>N=104</w:t>
            </w:r>
          </w:p>
        </w:tc>
        <w:tc>
          <w:tcPr>
            <w:tcW w:w="1980" w:type="dxa"/>
            <w:tcBorders>
              <w:top w:val="single" w:sz="8" w:space="0" w:color="auto"/>
              <w:left w:val="single" w:sz="8" w:space="0" w:color="auto"/>
              <w:bottom w:val="nil"/>
              <w:right w:val="single" w:sz="8" w:space="0" w:color="000000"/>
            </w:tcBorders>
          </w:tcPr>
          <w:p w:rsidR="00363143" w:rsidRPr="002A3BDE" w:rsidRDefault="000D7FE6" w:rsidP="00812C6B">
            <w:pPr>
              <w:jc w:val="center"/>
              <w:rPr>
                <w:b/>
                <w:color w:val="000000"/>
                <w:sz w:val="20"/>
                <w:szCs w:val="20"/>
              </w:rPr>
            </w:pPr>
            <w:r>
              <w:rPr>
                <w:b/>
                <w:color w:val="000000"/>
                <w:sz w:val="20"/>
                <w:szCs w:val="20"/>
              </w:rPr>
              <w:t>ZEPATIER</w:t>
            </w:r>
          </w:p>
          <w:p w:rsidR="00363143" w:rsidRPr="002A3BDE" w:rsidRDefault="00363143" w:rsidP="00812C6B">
            <w:pPr>
              <w:jc w:val="center"/>
              <w:rPr>
                <w:b/>
                <w:color w:val="000000"/>
                <w:sz w:val="20"/>
                <w:szCs w:val="20"/>
              </w:rPr>
            </w:pPr>
            <w:r w:rsidRPr="002A3BDE">
              <w:rPr>
                <w:b/>
                <w:color w:val="000000"/>
                <w:sz w:val="20"/>
                <w:szCs w:val="20"/>
              </w:rPr>
              <w:t>16 weeks</w:t>
            </w:r>
          </w:p>
          <w:p w:rsidR="00363143" w:rsidRPr="002A3BDE" w:rsidRDefault="00363143" w:rsidP="004A5733">
            <w:pPr>
              <w:jc w:val="center"/>
              <w:rPr>
                <w:b/>
                <w:color w:val="000000"/>
                <w:sz w:val="20"/>
                <w:szCs w:val="20"/>
              </w:rPr>
            </w:pPr>
            <w:r w:rsidRPr="002A3BDE">
              <w:rPr>
                <w:b/>
                <w:color w:val="000000"/>
                <w:sz w:val="20"/>
                <w:szCs w:val="20"/>
              </w:rPr>
              <w:t>N=</w:t>
            </w:r>
            <w:r w:rsidR="004A5733">
              <w:rPr>
                <w:b/>
                <w:color w:val="000000"/>
                <w:sz w:val="20"/>
                <w:szCs w:val="20"/>
              </w:rPr>
              <w:t>101</w:t>
            </w:r>
          </w:p>
        </w:tc>
        <w:tc>
          <w:tcPr>
            <w:tcW w:w="2160" w:type="dxa"/>
            <w:tcBorders>
              <w:top w:val="single" w:sz="8" w:space="0" w:color="auto"/>
              <w:left w:val="single" w:sz="8" w:space="0" w:color="auto"/>
              <w:bottom w:val="nil"/>
              <w:right w:val="single" w:sz="8" w:space="0" w:color="000000"/>
            </w:tcBorders>
          </w:tcPr>
          <w:p w:rsidR="00363143" w:rsidRPr="002A3BDE" w:rsidRDefault="000D7FE6" w:rsidP="00812C6B">
            <w:pPr>
              <w:jc w:val="center"/>
              <w:rPr>
                <w:b/>
                <w:color w:val="000000"/>
                <w:sz w:val="20"/>
                <w:szCs w:val="20"/>
              </w:rPr>
            </w:pPr>
            <w:r>
              <w:rPr>
                <w:b/>
                <w:color w:val="000000"/>
                <w:sz w:val="20"/>
                <w:szCs w:val="20"/>
              </w:rPr>
              <w:t>ZEPATIER</w:t>
            </w:r>
            <w:r w:rsidR="00363143" w:rsidRPr="002A3BDE">
              <w:rPr>
                <w:b/>
                <w:color w:val="000000"/>
                <w:sz w:val="20"/>
                <w:szCs w:val="20"/>
              </w:rPr>
              <w:t xml:space="preserve"> + RBV</w:t>
            </w:r>
          </w:p>
          <w:p w:rsidR="00363143" w:rsidRPr="002A3BDE" w:rsidRDefault="00363143" w:rsidP="00812C6B">
            <w:pPr>
              <w:jc w:val="center"/>
              <w:rPr>
                <w:b/>
                <w:color w:val="000000"/>
                <w:sz w:val="20"/>
                <w:szCs w:val="20"/>
              </w:rPr>
            </w:pPr>
            <w:r w:rsidRPr="002A3BDE">
              <w:rPr>
                <w:b/>
                <w:color w:val="000000"/>
                <w:sz w:val="20"/>
                <w:szCs w:val="20"/>
              </w:rPr>
              <w:t>16 weeks</w:t>
            </w:r>
          </w:p>
          <w:p w:rsidR="00363143" w:rsidRPr="002A3BDE" w:rsidRDefault="00363143" w:rsidP="004A5733">
            <w:pPr>
              <w:jc w:val="center"/>
              <w:rPr>
                <w:b/>
                <w:color w:val="000000"/>
                <w:sz w:val="20"/>
                <w:szCs w:val="20"/>
              </w:rPr>
            </w:pPr>
            <w:r w:rsidRPr="002A3BDE">
              <w:rPr>
                <w:b/>
                <w:color w:val="000000"/>
                <w:sz w:val="20"/>
                <w:szCs w:val="20"/>
              </w:rPr>
              <w:t>N=</w:t>
            </w:r>
            <w:r w:rsidR="004A5733">
              <w:rPr>
                <w:b/>
                <w:color w:val="000000"/>
                <w:sz w:val="20"/>
                <w:szCs w:val="20"/>
              </w:rPr>
              <w:t>104</w:t>
            </w:r>
          </w:p>
        </w:tc>
      </w:tr>
      <w:tr w:rsidR="00363143" w:rsidRPr="002A3BDE" w:rsidTr="002A3BDE">
        <w:trPr>
          <w:trHeight w:val="300"/>
          <w:jc w:val="center"/>
        </w:trPr>
        <w:tc>
          <w:tcPr>
            <w:tcW w:w="2085" w:type="dxa"/>
            <w:tcBorders>
              <w:top w:val="single" w:sz="4" w:space="0" w:color="auto"/>
              <w:left w:val="single" w:sz="4" w:space="0" w:color="auto"/>
              <w:bottom w:val="single" w:sz="4" w:space="0" w:color="auto"/>
              <w:right w:val="nil"/>
            </w:tcBorders>
            <w:shd w:val="clear" w:color="auto" w:fill="auto"/>
            <w:vAlign w:val="bottom"/>
          </w:tcPr>
          <w:p w:rsidR="00363143" w:rsidRPr="002A3BDE" w:rsidRDefault="00363143" w:rsidP="00812C6B">
            <w:pPr>
              <w:rPr>
                <w:color w:val="000000"/>
                <w:sz w:val="20"/>
                <w:szCs w:val="20"/>
              </w:rPr>
            </w:pPr>
            <w:r w:rsidRPr="002A3BDE">
              <w:rPr>
                <w:color w:val="000000"/>
                <w:sz w:val="20"/>
                <w:szCs w:val="20"/>
              </w:rPr>
              <w:t xml:space="preserve">Overall SVR </w:t>
            </w:r>
          </w:p>
        </w:tc>
        <w:tc>
          <w:tcPr>
            <w:tcW w:w="1980" w:type="dxa"/>
            <w:tcBorders>
              <w:top w:val="single" w:sz="4" w:space="0" w:color="auto"/>
              <w:left w:val="single" w:sz="8" w:space="0" w:color="auto"/>
              <w:bottom w:val="single" w:sz="4" w:space="0" w:color="auto"/>
              <w:right w:val="nil"/>
            </w:tcBorders>
            <w:shd w:val="clear" w:color="auto" w:fill="auto"/>
            <w:vAlign w:val="bottom"/>
          </w:tcPr>
          <w:p w:rsidR="00363143" w:rsidRPr="002A3BDE" w:rsidRDefault="00363143" w:rsidP="00812C6B">
            <w:pPr>
              <w:jc w:val="center"/>
              <w:rPr>
                <w:color w:val="000000"/>
                <w:sz w:val="20"/>
                <w:szCs w:val="20"/>
              </w:rPr>
            </w:pPr>
            <w:r w:rsidRPr="002A3BDE">
              <w:rPr>
                <w:color w:val="000000"/>
                <w:sz w:val="20"/>
                <w:szCs w:val="20"/>
              </w:rPr>
              <w:t>92% (97/105)</w:t>
            </w:r>
          </w:p>
        </w:tc>
        <w:tc>
          <w:tcPr>
            <w:tcW w:w="2160" w:type="dxa"/>
            <w:tcBorders>
              <w:top w:val="single" w:sz="4" w:space="0" w:color="auto"/>
              <w:left w:val="single" w:sz="8" w:space="0" w:color="auto"/>
              <w:bottom w:val="single" w:sz="4" w:space="0" w:color="auto"/>
              <w:right w:val="single" w:sz="8" w:space="0" w:color="auto"/>
            </w:tcBorders>
            <w:shd w:val="clear" w:color="auto" w:fill="auto"/>
            <w:vAlign w:val="bottom"/>
          </w:tcPr>
          <w:p w:rsidR="00363143" w:rsidRPr="002A3BDE" w:rsidRDefault="00363143" w:rsidP="00812C6B">
            <w:pPr>
              <w:jc w:val="center"/>
              <w:rPr>
                <w:color w:val="000000"/>
                <w:sz w:val="20"/>
                <w:szCs w:val="20"/>
              </w:rPr>
            </w:pPr>
            <w:r w:rsidRPr="002A3BDE">
              <w:rPr>
                <w:color w:val="000000"/>
                <w:sz w:val="20"/>
                <w:szCs w:val="20"/>
              </w:rPr>
              <w:t>94% (98/104)</w:t>
            </w:r>
          </w:p>
        </w:tc>
        <w:tc>
          <w:tcPr>
            <w:tcW w:w="1980" w:type="dxa"/>
            <w:tcBorders>
              <w:top w:val="single" w:sz="4" w:space="0" w:color="auto"/>
              <w:left w:val="single" w:sz="8" w:space="0" w:color="auto"/>
              <w:bottom w:val="single" w:sz="4" w:space="0" w:color="auto"/>
              <w:right w:val="single" w:sz="8" w:space="0" w:color="auto"/>
            </w:tcBorders>
            <w:vAlign w:val="bottom"/>
          </w:tcPr>
          <w:p w:rsidR="00363143" w:rsidRPr="002A3BDE" w:rsidRDefault="004A5733" w:rsidP="00812C6B">
            <w:pPr>
              <w:jc w:val="center"/>
              <w:rPr>
                <w:color w:val="000000"/>
                <w:sz w:val="20"/>
                <w:szCs w:val="20"/>
              </w:rPr>
            </w:pPr>
            <w:r w:rsidRPr="007701C4">
              <w:rPr>
                <w:color w:val="000000"/>
                <w:sz w:val="20"/>
                <w:szCs w:val="20"/>
              </w:rPr>
              <w:t>93% (94/101)</w:t>
            </w:r>
          </w:p>
        </w:tc>
        <w:tc>
          <w:tcPr>
            <w:tcW w:w="2160" w:type="dxa"/>
            <w:tcBorders>
              <w:top w:val="single" w:sz="4" w:space="0" w:color="auto"/>
              <w:left w:val="single" w:sz="8" w:space="0" w:color="auto"/>
              <w:bottom w:val="single" w:sz="4" w:space="0" w:color="auto"/>
              <w:right w:val="single" w:sz="8" w:space="0" w:color="auto"/>
            </w:tcBorders>
            <w:vAlign w:val="bottom"/>
          </w:tcPr>
          <w:p w:rsidR="00363143" w:rsidRPr="002A3BDE" w:rsidRDefault="00363143" w:rsidP="004A5733">
            <w:pPr>
              <w:jc w:val="center"/>
              <w:rPr>
                <w:color w:val="000000"/>
                <w:sz w:val="20"/>
                <w:szCs w:val="20"/>
              </w:rPr>
            </w:pPr>
            <w:r w:rsidRPr="002A3BDE">
              <w:rPr>
                <w:color w:val="000000"/>
                <w:sz w:val="20"/>
                <w:szCs w:val="20"/>
              </w:rPr>
              <w:t>97% (</w:t>
            </w:r>
            <w:r w:rsidR="004A5733">
              <w:rPr>
                <w:color w:val="000000"/>
                <w:sz w:val="20"/>
                <w:szCs w:val="20"/>
              </w:rPr>
              <w:t>101/104</w:t>
            </w:r>
            <w:r w:rsidRPr="002A3BDE">
              <w:rPr>
                <w:color w:val="000000"/>
                <w:sz w:val="20"/>
                <w:szCs w:val="20"/>
              </w:rPr>
              <w:t>)</w:t>
            </w:r>
          </w:p>
        </w:tc>
      </w:tr>
      <w:tr w:rsidR="00363143" w:rsidRPr="002A3BDE" w:rsidTr="002A3BDE">
        <w:trPr>
          <w:trHeight w:val="300"/>
          <w:jc w:val="center"/>
        </w:trPr>
        <w:tc>
          <w:tcPr>
            <w:tcW w:w="10365" w:type="dxa"/>
            <w:gridSpan w:val="5"/>
            <w:tcBorders>
              <w:top w:val="single" w:sz="4" w:space="0" w:color="auto"/>
              <w:left w:val="single" w:sz="4" w:space="0" w:color="auto"/>
              <w:bottom w:val="single" w:sz="4" w:space="0" w:color="auto"/>
              <w:right w:val="single" w:sz="8" w:space="0" w:color="auto"/>
            </w:tcBorders>
            <w:shd w:val="clear" w:color="auto" w:fill="auto"/>
            <w:vAlign w:val="bottom"/>
          </w:tcPr>
          <w:p w:rsidR="00363143" w:rsidRPr="002A3BDE" w:rsidRDefault="00363143" w:rsidP="00812C6B">
            <w:pPr>
              <w:rPr>
                <w:color w:val="000000"/>
                <w:sz w:val="20"/>
                <w:szCs w:val="20"/>
              </w:rPr>
            </w:pPr>
            <w:r w:rsidRPr="002A3BDE">
              <w:rPr>
                <w:color w:val="000000"/>
                <w:sz w:val="20"/>
                <w:szCs w:val="20"/>
              </w:rPr>
              <w:t>Outcome for subjects without SVR</w:t>
            </w:r>
          </w:p>
        </w:tc>
      </w:tr>
      <w:tr w:rsidR="00363143" w:rsidRPr="002A3BDE" w:rsidTr="002A3BDE">
        <w:trPr>
          <w:trHeight w:val="300"/>
          <w:jc w:val="center"/>
        </w:trPr>
        <w:tc>
          <w:tcPr>
            <w:tcW w:w="2085" w:type="dxa"/>
            <w:tcBorders>
              <w:top w:val="nil"/>
              <w:left w:val="single" w:sz="4" w:space="0" w:color="auto"/>
              <w:bottom w:val="nil"/>
              <w:right w:val="nil"/>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 xml:space="preserve">On-treatment </w:t>
            </w:r>
            <w:proofErr w:type="spellStart"/>
            <w:r w:rsidRPr="002A3BDE">
              <w:rPr>
                <w:color w:val="000000"/>
                <w:sz w:val="20"/>
                <w:szCs w:val="20"/>
              </w:rPr>
              <w:t>Virologic</w:t>
            </w:r>
            <w:proofErr w:type="spellEnd"/>
            <w:r w:rsidRPr="002A3BDE">
              <w:rPr>
                <w:color w:val="000000"/>
                <w:sz w:val="20"/>
                <w:szCs w:val="20"/>
              </w:rPr>
              <w:t xml:space="preserve"> Failure*</w:t>
            </w:r>
          </w:p>
        </w:tc>
        <w:tc>
          <w:tcPr>
            <w:tcW w:w="1980" w:type="dxa"/>
            <w:tcBorders>
              <w:top w:val="nil"/>
              <w:left w:val="single" w:sz="8" w:space="0" w:color="auto"/>
              <w:bottom w:val="nil"/>
              <w:right w:val="nil"/>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0% (0/105)</w:t>
            </w:r>
          </w:p>
        </w:tc>
        <w:tc>
          <w:tcPr>
            <w:tcW w:w="2160" w:type="dxa"/>
            <w:tcBorders>
              <w:top w:val="nil"/>
              <w:left w:val="single" w:sz="8" w:space="0" w:color="auto"/>
              <w:bottom w:val="nil"/>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0% (0/104)</w:t>
            </w:r>
          </w:p>
        </w:tc>
        <w:tc>
          <w:tcPr>
            <w:tcW w:w="1980" w:type="dxa"/>
            <w:tcBorders>
              <w:top w:val="nil"/>
              <w:left w:val="single" w:sz="8" w:space="0" w:color="auto"/>
              <w:bottom w:val="nil"/>
              <w:right w:val="single" w:sz="4" w:space="0" w:color="auto"/>
            </w:tcBorders>
            <w:vAlign w:val="center"/>
          </w:tcPr>
          <w:p w:rsidR="00363143" w:rsidRPr="002A3BDE" w:rsidRDefault="004A5733" w:rsidP="00812C6B">
            <w:pPr>
              <w:jc w:val="center"/>
              <w:rPr>
                <w:color w:val="000000"/>
                <w:sz w:val="20"/>
                <w:szCs w:val="20"/>
              </w:rPr>
            </w:pPr>
            <w:r w:rsidRPr="007701C4">
              <w:rPr>
                <w:color w:val="000000"/>
                <w:sz w:val="20"/>
                <w:szCs w:val="20"/>
              </w:rPr>
              <w:t>2% (2/101)</w:t>
            </w:r>
          </w:p>
        </w:tc>
        <w:tc>
          <w:tcPr>
            <w:tcW w:w="2160" w:type="dxa"/>
            <w:tcBorders>
              <w:top w:val="nil"/>
              <w:left w:val="single" w:sz="8" w:space="0" w:color="auto"/>
              <w:bottom w:val="nil"/>
              <w:right w:val="single" w:sz="4" w:space="0" w:color="auto"/>
            </w:tcBorders>
            <w:vAlign w:val="center"/>
          </w:tcPr>
          <w:p w:rsidR="00363143" w:rsidRPr="002A3BDE" w:rsidRDefault="00363143" w:rsidP="004A5733">
            <w:pPr>
              <w:jc w:val="center"/>
              <w:rPr>
                <w:color w:val="000000"/>
                <w:sz w:val="20"/>
                <w:szCs w:val="20"/>
              </w:rPr>
            </w:pPr>
            <w:r w:rsidRPr="002A3BDE">
              <w:rPr>
                <w:color w:val="000000"/>
                <w:sz w:val="20"/>
                <w:szCs w:val="20"/>
              </w:rPr>
              <w:t>0% (0/</w:t>
            </w:r>
            <w:r w:rsidR="004A5733">
              <w:rPr>
                <w:color w:val="000000"/>
                <w:sz w:val="20"/>
                <w:szCs w:val="20"/>
              </w:rPr>
              <w:t>104</w:t>
            </w:r>
            <w:r w:rsidRPr="002A3BDE">
              <w:rPr>
                <w:color w:val="000000"/>
                <w:sz w:val="20"/>
                <w:szCs w:val="20"/>
              </w:rPr>
              <w:t>)</w:t>
            </w:r>
          </w:p>
        </w:tc>
      </w:tr>
      <w:tr w:rsidR="00363143" w:rsidRPr="002A3BDE" w:rsidTr="002A3BDE">
        <w:trPr>
          <w:trHeight w:val="300"/>
          <w:jc w:val="center"/>
        </w:trPr>
        <w:tc>
          <w:tcPr>
            <w:tcW w:w="2085" w:type="dxa"/>
            <w:tcBorders>
              <w:top w:val="nil"/>
              <w:left w:val="single" w:sz="4" w:space="0" w:color="auto"/>
              <w:bottom w:val="nil"/>
              <w:right w:val="nil"/>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Relapse</w:t>
            </w:r>
          </w:p>
        </w:tc>
        <w:tc>
          <w:tcPr>
            <w:tcW w:w="1980" w:type="dxa"/>
            <w:tcBorders>
              <w:top w:val="nil"/>
              <w:left w:val="single" w:sz="8" w:space="0" w:color="auto"/>
              <w:bottom w:val="nil"/>
              <w:right w:val="nil"/>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6% (6/105)</w:t>
            </w:r>
          </w:p>
        </w:tc>
        <w:tc>
          <w:tcPr>
            <w:tcW w:w="2160" w:type="dxa"/>
            <w:tcBorders>
              <w:top w:val="nil"/>
              <w:left w:val="single" w:sz="8" w:space="0" w:color="auto"/>
              <w:bottom w:val="nil"/>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6% (6/104)</w:t>
            </w:r>
          </w:p>
        </w:tc>
        <w:tc>
          <w:tcPr>
            <w:tcW w:w="1980" w:type="dxa"/>
            <w:tcBorders>
              <w:top w:val="nil"/>
              <w:left w:val="single" w:sz="8" w:space="0" w:color="auto"/>
              <w:bottom w:val="nil"/>
              <w:right w:val="single" w:sz="4" w:space="0" w:color="auto"/>
            </w:tcBorders>
            <w:vAlign w:val="center"/>
          </w:tcPr>
          <w:p w:rsidR="00363143" w:rsidRPr="002A3BDE" w:rsidRDefault="00363143" w:rsidP="004A5733">
            <w:pPr>
              <w:jc w:val="center"/>
              <w:rPr>
                <w:color w:val="000000"/>
                <w:sz w:val="20"/>
                <w:szCs w:val="20"/>
              </w:rPr>
            </w:pPr>
            <w:r w:rsidRPr="002A3BDE">
              <w:rPr>
                <w:color w:val="000000"/>
                <w:sz w:val="20"/>
                <w:szCs w:val="20"/>
              </w:rPr>
              <w:t>4% (4/</w:t>
            </w:r>
            <w:r w:rsidR="004A5733">
              <w:rPr>
                <w:color w:val="000000"/>
                <w:sz w:val="20"/>
                <w:szCs w:val="20"/>
              </w:rPr>
              <w:t>101</w:t>
            </w:r>
            <w:r w:rsidRPr="002A3BDE">
              <w:rPr>
                <w:color w:val="000000"/>
                <w:sz w:val="20"/>
                <w:szCs w:val="20"/>
              </w:rPr>
              <w:t>)</w:t>
            </w:r>
          </w:p>
        </w:tc>
        <w:tc>
          <w:tcPr>
            <w:tcW w:w="2160" w:type="dxa"/>
            <w:tcBorders>
              <w:top w:val="nil"/>
              <w:left w:val="single" w:sz="8" w:space="0" w:color="auto"/>
              <w:bottom w:val="nil"/>
              <w:right w:val="single" w:sz="4" w:space="0" w:color="auto"/>
            </w:tcBorders>
            <w:vAlign w:val="center"/>
          </w:tcPr>
          <w:p w:rsidR="00363143" w:rsidRPr="002A3BDE" w:rsidRDefault="00363143" w:rsidP="004A5733">
            <w:pPr>
              <w:jc w:val="center"/>
              <w:rPr>
                <w:color w:val="000000"/>
                <w:sz w:val="20"/>
                <w:szCs w:val="20"/>
              </w:rPr>
            </w:pPr>
            <w:r w:rsidRPr="002A3BDE">
              <w:rPr>
                <w:color w:val="000000"/>
                <w:sz w:val="20"/>
                <w:szCs w:val="20"/>
              </w:rPr>
              <w:t>0% (0/</w:t>
            </w:r>
            <w:r w:rsidR="004A5733">
              <w:rPr>
                <w:color w:val="000000"/>
                <w:sz w:val="20"/>
                <w:szCs w:val="20"/>
              </w:rPr>
              <w:t>104</w:t>
            </w:r>
            <w:r w:rsidRPr="002A3BDE">
              <w:rPr>
                <w:color w:val="000000"/>
                <w:sz w:val="20"/>
                <w:szCs w:val="20"/>
              </w:rPr>
              <w:t>)</w:t>
            </w:r>
          </w:p>
        </w:tc>
      </w:tr>
      <w:tr w:rsidR="00363143" w:rsidRPr="002A3BDE" w:rsidTr="002A3BDE">
        <w:trPr>
          <w:trHeight w:val="300"/>
          <w:jc w:val="center"/>
        </w:trPr>
        <w:tc>
          <w:tcPr>
            <w:tcW w:w="2085" w:type="dxa"/>
            <w:tcBorders>
              <w:top w:val="nil"/>
              <w:left w:val="single" w:sz="4" w:space="0" w:color="auto"/>
              <w:bottom w:val="single" w:sz="4" w:space="0" w:color="auto"/>
              <w:right w:val="nil"/>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Other</w:t>
            </w:r>
            <w:r w:rsidRPr="002A3BDE">
              <w:rPr>
                <w:color w:val="000000"/>
                <w:sz w:val="20"/>
                <w:szCs w:val="20"/>
                <w:vertAlign w:val="superscript"/>
              </w:rPr>
              <w:t>†</w:t>
            </w:r>
          </w:p>
        </w:tc>
        <w:tc>
          <w:tcPr>
            <w:tcW w:w="1980" w:type="dxa"/>
            <w:tcBorders>
              <w:top w:val="nil"/>
              <w:left w:val="single" w:sz="8" w:space="0" w:color="auto"/>
              <w:bottom w:val="single" w:sz="4" w:space="0" w:color="auto"/>
              <w:right w:val="nil"/>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2% (2/105)</w:t>
            </w:r>
          </w:p>
        </w:tc>
        <w:tc>
          <w:tcPr>
            <w:tcW w:w="2160" w:type="dxa"/>
            <w:tcBorders>
              <w:top w:val="nil"/>
              <w:left w:val="single" w:sz="8"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0% (0/104)</w:t>
            </w:r>
          </w:p>
        </w:tc>
        <w:tc>
          <w:tcPr>
            <w:tcW w:w="1980" w:type="dxa"/>
            <w:tcBorders>
              <w:top w:val="nil"/>
              <w:left w:val="single" w:sz="8" w:space="0" w:color="auto"/>
              <w:bottom w:val="single" w:sz="4" w:space="0" w:color="auto"/>
              <w:right w:val="single" w:sz="4" w:space="0" w:color="auto"/>
            </w:tcBorders>
            <w:vAlign w:val="center"/>
          </w:tcPr>
          <w:p w:rsidR="00363143" w:rsidRPr="002A3BDE" w:rsidRDefault="00363143" w:rsidP="004A5733">
            <w:pPr>
              <w:jc w:val="center"/>
              <w:rPr>
                <w:color w:val="000000"/>
                <w:sz w:val="20"/>
                <w:szCs w:val="20"/>
              </w:rPr>
            </w:pPr>
            <w:r w:rsidRPr="002A3BDE">
              <w:rPr>
                <w:color w:val="000000"/>
                <w:sz w:val="20"/>
                <w:szCs w:val="20"/>
              </w:rPr>
              <w:t>1% (1/</w:t>
            </w:r>
            <w:r w:rsidR="004A5733">
              <w:rPr>
                <w:color w:val="000000"/>
                <w:sz w:val="20"/>
                <w:szCs w:val="20"/>
              </w:rPr>
              <w:t>101</w:t>
            </w:r>
            <w:r w:rsidRPr="002A3BDE">
              <w:rPr>
                <w:color w:val="000000"/>
                <w:sz w:val="20"/>
                <w:szCs w:val="20"/>
              </w:rPr>
              <w:t>)</w:t>
            </w:r>
          </w:p>
        </w:tc>
        <w:tc>
          <w:tcPr>
            <w:tcW w:w="2160" w:type="dxa"/>
            <w:tcBorders>
              <w:top w:val="nil"/>
              <w:left w:val="single" w:sz="8" w:space="0" w:color="auto"/>
              <w:bottom w:val="single" w:sz="4" w:space="0" w:color="auto"/>
              <w:right w:val="single" w:sz="4" w:space="0" w:color="auto"/>
            </w:tcBorders>
            <w:vAlign w:val="center"/>
          </w:tcPr>
          <w:p w:rsidR="00363143" w:rsidRPr="002A3BDE" w:rsidRDefault="00363143" w:rsidP="004A5733">
            <w:pPr>
              <w:jc w:val="center"/>
              <w:rPr>
                <w:color w:val="000000"/>
                <w:sz w:val="20"/>
                <w:szCs w:val="20"/>
              </w:rPr>
            </w:pPr>
            <w:r w:rsidRPr="002A3BDE">
              <w:rPr>
                <w:color w:val="000000"/>
                <w:sz w:val="20"/>
                <w:szCs w:val="20"/>
              </w:rPr>
              <w:t>3% (3/</w:t>
            </w:r>
            <w:r w:rsidR="004A5733">
              <w:rPr>
                <w:color w:val="000000"/>
                <w:sz w:val="20"/>
                <w:szCs w:val="20"/>
              </w:rPr>
              <w:t>104</w:t>
            </w:r>
            <w:r w:rsidRPr="002A3BDE">
              <w:rPr>
                <w:color w:val="000000"/>
                <w:sz w:val="20"/>
                <w:szCs w:val="20"/>
              </w:rPr>
              <w:t>)</w:t>
            </w:r>
          </w:p>
        </w:tc>
      </w:tr>
      <w:tr w:rsidR="00363143" w:rsidRPr="002A3BDE" w:rsidTr="002A3BDE">
        <w:trPr>
          <w:trHeight w:val="300"/>
          <w:jc w:val="center"/>
        </w:trPr>
        <w:tc>
          <w:tcPr>
            <w:tcW w:w="10365" w:type="dxa"/>
            <w:gridSpan w:val="5"/>
            <w:tcBorders>
              <w:top w:val="nil"/>
              <w:left w:val="single" w:sz="4" w:space="0" w:color="auto"/>
              <w:bottom w:val="single" w:sz="4" w:space="0" w:color="auto"/>
              <w:right w:val="single" w:sz="4" w:space="0" w:color="auto"/>
            </w:tcBorders>
            <w:shd w:val="clear" w:color="auto" w:fill="auto"/>
            <w:vAlign w:val="center"/>
          </w:tcPr>
          <w:p w:rsidR="00363143" w:rsidRPr="002A3BDE" w:rsidRDefault="00363143" w:rsidP="00812C6B">
            <w:pPr>
              <w:rPr>
                <w:color w:val="000000"/>
                <w:sz w:val="20"/>
                <w:szCs w:val="20"/>
              </w:rPr>
            </w:pPr>
            <w:r w:rsidRPr="002A3BDE">
              <w:rPr>
                <w:color w:val="000000"/>
                <w:sz w:val="20"/>
                <w:szCs w:val="20"/>
              </w:rPr>
              <w:t>SVR by Genotype</w:t>
            </w:r>
          </w:p>
        </w:tc>
      </w:tr>
      <w:tr w:rsidR="00363143" w:rsidRPr="002A3BDE" w:rsidTr="002A3BDE">
        <w:trPr>
          <w:trHeight w:val="300"/>
          <w:jc w:val="center"/>
        </w:trPr>
        <w:tc>
          <w:tcPr>
            <w:tcW w:w="2085" w:type="dxa"/>
            <w:tcBorders>
              <w:top w:val="single" w:sz="4" w:space="0" w:color="auto"/>
              <w:left w:val="single" w:sz="4" w:space="0" w:color="auto"/>
              <w:bottom w:val="nil"/>
              <w:right w:val="nil"/>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GT 1a</w:t>
            </w:r>
          </w:p>
        </w:tc>
        <w:tc>
          <w:tcPr>
            <w:tcW w:w="1980" w:type="dxa"/>
            <w:tcBorders>
              <w:top w:val="single" w:sz="4" w:space="0" w:color="auto"/>
              <w:left w:val="single" w:sz="8" w:space="0" w:color="auto"/>
              <w:bottom w:val="nil"/>
              <w:right w:val="nil"/>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90% (55/61)</w:t>
            </w:r>
          </w:p>
        </w:tc>
        <w:tc>
          <w:tcPr>
            <w:tcW w:w="2160" w:type="dxa"/>
            <w:tcBorders>
              <w:top w:val="single" w:sz="4" w:space="0" w:color="auto"/>
              <w:left w:val="single" w:sz="8" w:space="0" w:color="auto"/>
              <w:bottom w:val="nil"/>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93% (56/60)</w:t>
            </w:r>
          </w:p>
        </w:tc>
        <w:tc>
          <w:tcPr>
            <w:tcW w:w="1980" w:type="dxa"/>
            <w:tcBorders>
              <w:top w:val="single" w:sz="4" w:space="0" w:color="auto"/>
              <w:left w:val="single" w:sz="8" w:space="0" w:color="auto"/>
              <w:bottom w:val="nil"/>
              <w:right w:val="single" w:sz="4" w:space="0" w:color="auto"/>
            </w:tcBorders>
            <w:vAlign w:val="center"/>
          </w:tcPr>
          <w:p w:rsidR="00363143" w:rsidRPr="002A3BDE" w:rsidRDefault="00363143" w:rsidP="00812C6B">
            <w:pPr>
              <w:jc w:val="center"/>
              <w:rPr>
                <w:color w:val="000000"/>
                <w:sz w:val="20"/>
                <w:szCs w:val="20"/>
              </w:rPr>
            </w:pPr>
            <w:r w:rsidRPr="002A3BDE">
              <w:rPr>
                <w:color w:val="000000"/>
                <w:sz w:val="20"/>
                <w:szCs w:val="20"/>
              </w:rPr>
              <w:t>94% (45/48)</w:t>
            </w:r>
          </w:p>
        </w:tc>
        <w:tc>
          <w:tcPr>
            <w:tcW w:w="2160" w:type="dxa"/>
            <w:tcBorders>
              <w:top w:val="single" w:sz="4" w:space="0" w:color="auto"/>
              <w:left w:val="single" w:sz="8" w:space="0" w:color="auto"/>
              <w:bottom w:val="nil"/>
              <w:right w:val="single" w:sz="4" w:space="0" w:color="auto"/>
            </w:tcBorders>
            <w:vAlign w:val="center"/>
          </w:tcPr>
          <w:p w:rsidR="00363143" w:rsidRPr="002A3BDE" w:rsidRDefault="00363143" w:rsidP="00812C6B">
            <w:pPr>
              <w:jc w:val="center"/>
              <w:rPr>
                <w:color w:val="000000"/>
                <w:sz w:val="20"/>
                <w:szCs w:val="20"/>
              </w:rPr>
            </w:pPr>
            <w:r w:rsidRPr="002A3BDE">
              <w:rPr>
                <w:color w:val="000000"/>
                <w:sz w:val="20"/>
                <w:szCs w:val="20"/>
              </w:rPr>
              <w:t>95% (55/58)</w:t>
            </w:r>
          </w:p>
        </w:tc>
      </w:tr>
      <w:tr w:rsidR="00363143" w:rsidRPr="002A3BDE" w:rsidTr="002A3BDE">
        <w:trPr>
          <w:trHeight w:val="300"/>
          <w:jc w:val="center"/>
        </w:trPr>
        <w:tc>
          <w:tcPr>
            <w:tcW w:w="2085" w:type="dxa"/>
            <w:tcBorders>
              <w:top w:val="nil"/>
              <w:left w:val="single" w:sz="4" w:space="0" w:color="auto"/>
              <w:bottom w:val="nil"/>
              <w:right w:val="nil"/>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GT 1b</w:t>
            </w:r>
            <w:r w:rsidRPr="002A3BDE">
              <w:rPr>
                <w:color w:val="000000"/>
                <w:sz w:val="20"/>
                <w:szCs w:val="20"/>
                <w:vertAlign w:val="superscript"/>
              </w:rPr>
              <w:t xml:space="preserve">‡, </w:t>
            </w:r>
          </w:p>
        </w:tc>
        <w:tc>
          <w:tcPr>
            <w:tcW w:w="1980" w:type="dxa"/>
            <w:tcBorders>
              <w:top w:val="nil"/>
              <w:left w:val="single" w:sz="8" w:space="0" w:color="auto"/>
              <w:bottom w:val="nil"/>
              <w:right w:val="nil"/>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100% (35/35)</w:t>
            </w:r>
          </w:p>
        </w:tc>
        <w:tc>
          <w:tcPr>
            <w:tcW w:w="2160" w:type="dxa"/>
            <w:tcBorders>
              <w:top w:val="nil"/>
              <w:left w:val="single" w:sz="8" w:space="0" w:color="auto"/>
              <w:bottom w:val="nil"/>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97% (28/29)</w:t>
            </w:r>
          </w:p>
        </w:tc>
        <w:tc>
          <w:tcPr>
            <w:tcW w:w="1980" w:type="dxa"/>
            <w:tcBorders>
              <w:top w:val="nil"/>
              <w:left w:val="single" w:sz="8" w:space="0" w:color="auto"/>
              <w:bottom w:val="nil"/>
              <w:right w:val="single" w:sz="4" w:space="0" w:color="auto"/>
            </w:tcBorders>
            <w:vAlign w:val="center"/>
          </w:tcPr>
          <w:p w:rsidR="00363143" w:rsidRPr="002A3BDE" w:rsidRDefault="00363143" w:rsidP="00812C6B">
            <w:pPr>
              <w:jc w:val="center"/>
              <w:rPr>
                <w:color w:val="000000"/>
                <w:sz w:val="20"/>
                <w:szCs w:val="20"/>
              </w:rPr>
            </w:pPr>
            <w:r w:rsidRPr="002A3BDE">
              <w:rPr>
                <w:color w:val="000000"/>
                <w:sz w:val="20"/>
                <w:szCs w:val="20"/>
              </w:rPr>
              <w:t>96% (46/48)</w:t>
            </w:r>
          </w:p>
        </w:tc>
        <w:tc>
          <w:tcPr>
            <w:tcW w:w="2160" w:type="dxa"/>
            <w:tcBorders>
              <w:top w:val="nil"/>
              <w:left w:val="single" w:sz="8" w:space="0" w:color="auto"/>
              <w:bottom w:val="nil"/>
              <w:right w:val="single" w:sz="4" w:space="0" w:color="auto"/>
            </w:tcBorders>
            <w:vAlign w:val="center"/>
          </w:tcPr>
          <w:p w:rsidR="00363143" w:rsidRPr="002A3BDE" w:rsidRDefault="00363143" w:rsidP="00812C6B">
            <w:pPr>
              <w:jc w:val="center"/>
              <w:rPr>
                <w:color w:val="000000"/>
                <w:sz w:val="20"/>
                <w:szCs w:val="20"/>
              </w:rPr>
            </w:pPr>
            <w:r w:rsidRPr="002A3BDE">
              <w:rPr>
                <w:color w:val="000000"/>
                <w:sz w:val="20"/>
                <w:szCs w:val="20"/>
              </w:rPr>
              <w:t>100% (38/38)</w:t>
            </w:r>
          </w:p>
        </w:tc>
      </w:tr>
      <w:tr w:rsidR="00363143" w:rsidRPr="002A3BDE" w:rsidTr="00197B3D">
        <w:trPr>
          <w:trHeight w:val="300"/>
          <w:jc w:val="center"/>
        </w:trPr>
        <w:tc>
          <w:tcPr>
            <w:tcW w:w="2085" w:type="dxa"/>
            <w:tcBorders>
              <w:top w:val="nil"/>
              <w:left w:val="single" w:sz="4" w:space="0" w:color="auto"/>
              <w:bottom w:val="single" w:sz="4" w:space="0" w:color="auto"/>
              <w:right w:val="nil"/>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GT 4</w:t>
            </w:r>
          </w:p>
        </w:tc>
        <w:tc>
          <w:tcPr>
            <w:tcW w:w="1980" w:type="dxa"/>
            <w:tcBorders>
              <w:top w:val="nil"/>
              <w:left w:val="single" w:sz="8" w:space="0" w:color="auto"/>
              <w:bottom w:val="single" w:sz="4" w:space="0" w:color="auto"/>
              <w:right w:val="nil"/>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78% (7/9)</w:t>
            </w:r>
          </w:p>
        </w:tc>
        <w:tc>
          <w:tcPr>
            <w:tcW w:w="2160" w:type="dxa"/>
            <w:tcBorders>
              <w:top w:val="nil"/>
              <w:left w:val="single" w:sz="8"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93% (14/15)</w:t>
            </w:r>
          </w:p>
        </w:tc>
        <w:tc>
          <w:tcPr>
            <w:tcW w:w="1980" w:type="dxa"/>
            <w:tcBorders>
              <w:top w:val="nil"/>
              <w:left w:val="single" w:sz="8" w:space="0" w:color="auto"/>
              <w:bottom w:val="single" w:sz="4" w:space="0" w:color="auto"/>
              <w:right w:val="single" w:sz="4" w:space="0" w:color="auto"/>
            </w:tcBorders>
            <w:vAlign w:val="center"/>
          </w:tcPr>
          <w:p w:rsidR="00363143" w:rsidRPr="002A3BDE" w:rsidRDefault="00363143" w:rsidP="00812C6B">
            <w:pPr>
              <w:jc w:val="center"/>
              <w:rPr>
                <w:color w:val="000000"/>
                <w:sz w:val="20"/>
                <w:szCs w:val="20"/>
              </w:rPr>
            </w:pPr>
            <w:r w:rsidRPr="002A3BDE">
              <w:rPr>
                <w:color w:val="000000"/>
                <w:sz w:val="20"/>
                <w:szCs w:val="20"/>
              </w:rPr>
              <w:t>60% (3/5)</w:t>
            </w:r>
          </w:p>
        </w:tc>
        <w:tc>
          <w:tcPr>
            <w:tcW w:w="2160" w:type="dxa"/>
            <w:tcBorders>
              <w:top w:val="nil"/>
              <w:left w:val="single" w:sz="8" w:space="0" w:color="auto"/>
              <w:bottom w:val="single" w:sz="4" w:space="0" w:color="auto"/>
              <w:right w:val="single" w:sz="4" w:space="0" w:color="auto"/>
            </w:tcBorders>
            <w:vAlign w:val="center"/>
          </w:tcPr>
          <w:p w:rsidR="00363143" w:rsidRPr="002A3BDE" w:rsidRDefault="00363143" w:rsidP="00812C6B">
            <w:pPr>
              <w:jc w:val="center"/>
              <w:rPr>
                <w:color w:val="000000"/>
                <w:sz w:val="20"/>
                <w:szCs w:val="20"/>
              </w:rPr>
            </w:pPr>
            <w:r w:rsidRPr="002A3BDE">
              <w:rPr>
                <w:color w:val="000000"/>
                <w:sz w:val="20"/>
                <w:szCs w:val="20"/>
              </w:rPr>
              <w:t>100% (8/8)</w:t>
            </w:r>
          </w:p>
        </w:tc>
      </w:tr>
      <w:tr w:rsidR="00363143" w:rsidRPr="002A3BDE" w:rsidTr="00197B3D">
        <w:trPr>
          <w:trHeight w:val="300"/>
          <w:jc w:val="center"/>
        </w:trPr>
        <w:tc>
          <w:tcPr>
            <w:tcW w:w="103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363143" w:rsidP="00812C6B">
            <w:pPr>
              <w:rPr>
                <w:color w:val="000000"/>
                <w:sz w:val="20"/>
                <w:szCs w:val="20"/>
              </w:rPr>
            </w:pPr>
            <w:r w:rsidRPr="002A3BDE">
              <w:rPr>
                <w:color w:val="000000"/>
                <w:sz w:val="20"/>
                <w:szCs w:val="20"/>
              </w:rPr>
              <w:t>SVR by Cirrhosis status</w:t>
            </w:r>
          </w:p>
        </w:tc>
      </w:tr>
      <w:tr w:rsidR="00363143" w:rsidRPr="002A3BDE" w:rsidTr="002A3BDE">
        <w:trPr>
          <w:trHeight w:val="300"/>
          <w:jc w:val="center"/>
        </w:trPr>
        <w:tc>
          <w:tcPr>
            <w:tcW w:w="2085" w:type="dxa"/>
            <w:tcBorders>
              <w:top w:val="single" w:sz="4" w:space="0" w:color="auto"/>
              <w:left w:val="single" w:sz="8" w:space="0" w:color="auto"/>
              <w:bottom w:val="nil"/>
              <w:right w:val="nil"/>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Non-cirrhotic</w:t>
            </w:r>
          </w:p>
        </w:tc>
        <w:tc>
          <w:tcPr>
            <w:tcW w:w="1980" w:type="dxa"/>
            <w:tcBorders>
              <w:top w:val="single" w:sz="4" w:space="0" w:color="auto"/>
              <w:left w:val="single" w:sz="8" w:space="0" w:color="auto"/>
              <w:bottom w:val="nil"/>
              <w:right w:val="nil"/>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94% (64/68)</w:t>
            </w:r>
          </w:p>
        </w:tc>
        <w:tc>
          <w:tcPr>
            <w:tcW w:w="2160" w:type="dxa"/>
            <w:tcBorders>
              <w:top w:val="single" w:sz="4" w:space="0" w:color="auto"/>
              <w:left w:val="single" w:sz="8" w:space="0" w:color="auto"/>
              <w:bottom w:val="nil"/>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97% (67/69)</w:t>
            </w:r>
          </w:p>
        </w:tc>
        <w:tc>
          <w:tcPr>
            <w:tcW w:w="1980" w:type="dxa"/>
            <w:tcBorders>
              <w:top w:val="single" w:sz="4" w:space="0" w:color="auto"/>
              <w:left w:val="single" w:sz="8" w:space="0" w:color="auto"/>
              <w:bottom w:val="nil"/>
              <w:right w:val="single" w:sz="4" w:space="0" w:color="auto"/>
            </w:tcBorders>
            <w:vAlign w:val="center"/>
          </w:tcPr>
          <w:p w:rsidR="00363143" w:rsidRPr="002A3BDE" w:rsidRDefault="004A5733" w:rsidP="00812C6B">
            <w:pPr>
              <w:jc w:val="center"/>
              <w:rPr>
                <w:color w:val="000000"/>
                <w:sz w:val="20"/>
                <w:szCs w:val="20"/>
              </w:rPr>
            </w:pPr>
            <w:r w:rsidRPr="007701C4">
              <w:rPr>
                <w:color w:val="000000"/>
                <w:sz w:val="20"/>
                <w:szCs w:val="20"/>
              </w:rPr>
              <w:t>92% (60/65)</w:t>
            </w:r>
          </w:p>
        </w:tc>
        <w:tc>
          <w:tcPr>
            <w:tcW w:w="2160" w:type="dxa"/>
            <w:tcBorders>
              <w:top w:val="single" w:sz="4" w:space="0" w:color="auto"/>
              <w:left w:val="single" w:sz="8" w:space="0" w:color="auto"/>
              <w:bottom w:val="nil"/>
              <w:right w:val="single" w:sz="4" w:space="0" w:color="auto"/>
            </w:tcBorders>
            <w:vAlign w:val="center"/>
          </w:tcPr>
          <w:p w:rsidR="00363143" w:rsidRPr="002A3BDE" w:rsidRDefault="00363143" w:rsidP="004A5733">
            <w:pPr>
              <w:jc w:val="center"/>
              <w:rPr>
                <w:color w:val="000000"/>
                <w:sz w:val="20"/>
                <w:szCs w:val="20"/>
              </w:rPr>
            </w:pPr>
            <w:r w:rsidRPr="002A3BDE">
              <w:rPr>
                <w:color w:val="000000"/>
                <w:sz w:val="20"/>
                <w:szCs w:val="20"/>
              </w:rPr>
              <w:t>96% (</w:t>
            </w:r>
            <w:r w:rsidR="004A5733">
              <w:rPr>
                <w:color w:val="000000"/>
                <w:sz w:val="20"/>
                <w:szCs w:val="20"/>
              </w:rPr>
              <w:t>65/68</w:t>
            </w:r>
            <w:r w:rsidRPr="002A3BDE">
              <w:rPr>
                <w:color w:val="000000"/>
                <w:sz w:val="20"/>
                <w:szCs w:val="20"/>
              </w:rPr>
              <w:t>)</w:t>
            </w:r>
          </w:p>
        </w:tc>
      </w:tr>
      <w:tr w:rsidR="00363143" w:rsidRPr="002A3BDE" w:rsidTr="002A3BDE">
        <w:trPr>
          <w:trHeight w:val="315"/>
          <w:jc w:val="center"/>
        </w:trPr>
        <w:tc>
          <w:tcPr>
            <w:tcW w:w="2085" w:type="dxa"/>
            <w:tcBorders>
              <w:top w:val="nil"/>
              <w:left w:val="single" w:sz="8" w:space="0" w:color="auto"/>
              <w:bottom w:val="single" w:sz="4" w:space="0" w:color="auto"/>
              <w:right w:val="nil"/>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Cirrhotic</w:t>
            </w:r>
          </w:p>
        </w:tc>
        <w:tc>
          <w:tcPr>
            <w:tcW w:w="1980" w:type="dxa"/>
            <w:tcBorders>
              <w:top w:val="nil"/>
              <w:left w:val="single" w:sz="8" w:space="0" w:color="auto"/>
              <w:bottom w:val="single" w:sz="4" w:space="0" w:color="auto"/>
              <w:right w:val="nil"/>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89% (33/37)</w:t>
            </w:r>
          </w:p>
        </w:tc>
        <w:tc>
          <w:tcPr>
            <w:tcW w:w="2160" w:type="dxa"/>
            <w:tcBorders>
              <w:top w:val="nil"/>
              <w:left w:val="single" w:sz="8"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89% (31/35)</w:t>
            </w:r>
          </w:p>
        </w:tc>
        <w:tc>
          <w:tcPr>
            <w:tcW w:w="1980" w:type="dxa"/>
            <w:tcBorders>
              <w:top w:val="nil"/>
              <w:left w:val="single" w:sz="8" w:space="0" w:color="auto"/>
              <w:bottom w:val="single" w:sz="4" w:space="0" w:color="auto"/>
              <w:right w:val="single" w:sz="4" w:space="0" w:color="auto"/>
            </w:tcBorders>
            <w:vAlign w:val="center"/>
          </w:tcPr>
          <w:p w:rsidR="00363143" w:rsidRPr="002A3BDE" w:rsidRDefault="004A5733" w:rsidP="00812C6B">
            <w:pPr>
              <w:jc w:val="center"/>
              <w:rPr>
                <w:color w:val="000000"/>
                <w:sz w:val="20"/>
                <w:szCs w:val="20"/>
              </w:rPr>
            </w:pPr>
            <w:r w:rsidRPr="007701C4">
              <w:rPr>
                <w:color w:val="000000"/>
                <w:sz w:val="20"/>
                <w:szCs w:val="20"/>
              </w:rPr>
              <w:t>94%  (34/36)</w:t>
            </w:r>
          </w:p>
        </w:tc>
        <w:tc>
          <w:tcPr>
            <w:tcW w:w="2160" w:type="dxa"/>
            <w:tcBorders>
              <w:top w:val="nil"/>
              <w:left w:val="single" w:sz="8" w:space="0" w:color="auto"/>
              <w:bottom w:val="single" w:sz="4" w:space="0" w:color="auto"/>
              <w:right w:val="single" w:sz="4" w:space="0" w:color="auto"/>
            </w:tcBorders>
            <w:vAlign w:val="center"/>
          </w:tcPr>
          <w:p w:rsidR="00363143" w:rsidRPr="002A3BDE" w:rsidRDefault="00363143" w:rsidP="004A5733">
            <w:pPr>
              <w:jc w:val="center"/>
              <w:rPr>
                <w:color w:val="000000"/>
                <w:sz w:val="20"/>
                <w:szCs w:val="20"/>
              </w:rPr>
            </w:pPr>
            <w:r w:rsidRPr="002A3BDE">
              <w:rPr>
                <w:color w:val="000000"/>
                <w:sz w:val="20"/>
                <w:szCs w:val="20"/>
              </w:rPr>
              <w:t>100% (</w:t>
            </w:r>
            <w:r w:rsidR="004A5733">
              <w:rPr>
                <w:color w:val="000000"/>
                <w:sz w:val="20"/>
                <w:szCs w:val="20"/>
              </w:rPr>
              <w:t>36/36</w:t>
            </w:r>
            <w:r w:rsidRPr="002A3BDE">
              <w:rPr>
                <w:color w:val="000000"/>
                <w:sz w:val="20"/>
                <w:szCs w:val="20"/>
              </w:rPr>
              <w:t>)</w:t>
            </w:r>
          </w:p>
        </w:tc>
      </w:tr>
      <w:tr w:rsidR="00363143" w:rsidRPr="002A3BDE" w:rsidTr="002A3BDE">
        <w:trPr>
          <w:trHeight w:val="315"/>
          <w:jc w:val="center"/>
        </w:trPr>
        <w:tc>
          <w:tcPr>
            <w:tcW w:w="10365" w:type="dxa"/>
            <w:gridSpan w:val="5"/>
            <w:tcBorders>
              <w:top w:val="nil"/>
              <w:left w:val="single" w:sz="8" w:space="0" w:color="auto"/>
              <w:bottom w:val="single" w:sz="4" w:space="0" w:color="auto"/>
              <w:right w:val="single" w:sz="4" w:space="0" w:color="auto"/>
            </w:tcBorders>
            <w:shd w:val="clear" w:color="auto" w:fill="auto"/>
            <w:vAlign w:val="center"/>
          </w:tcPr>
          <w:p w:rsidR="00363143" w:rsidRPr="002A3BDE" w:rsidRDefault="00987D9F" w:rsidP="00812C6B">
            <w:pPr>
              <w:rPr>
                <w:color w:val="000000"/>
                <w:sz w:val="20"/>
                <w:szCs w:val="20"/>
              </w:rPr>
            </w:pPr>
            <w:r>
              <w:rPr>
                <w:color w:val="000000"/>
                <w:sz w:val="20"/>
                <w:szCs w:val="20"/>
              </w:rPr>
              <w:t xml:space="preserve">SVR by </w:t>
            </w:r>
            <w:r w:rsidR="00363143" w:rsidRPr="002A3BDE">
              <w:rPr>
                <w:color w:val="000000"/>
                <w:sz w:val="20"/>
                <w:szCs w:val="20"/>
              </w:rPr>
              <w:t>Response to Prior HCV Therapy</w:t>
            </w:r>
          </w:p>
        </w:tc>
      </w:tr>
      <w:tr w:rsidR="00363143" w:rsidRPr="002A3BDE" w:rsidTr="002A3BDE">
        <w:trPr>
          <w:trHeight w:val="315"/>
          <w:jc w:val="center"/>
        </w:trPr>
        <w:tc>
          <w:tcPr>
            <w:tcW w:w="2085" w:type="dxa"/>
            <w:tcBorders>
              <w:top w:val="single" w:sz="4" w:space="0" w:color="auto"/>
              <w:left w:val="single" w:sz="8"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 xml:space="preserve">On-treatment </w:t>
            </w:r>
            <w:proofErr w:type="spellStart"/>
            <w:r w:rsidRPr="002A3BDE">
              <w:rPr>
                <w:color w:val="000000"/>
                <w:sz w:val="20"/>
                <w:szCs w:val="20"/>
              </w:rPr>
              <w:t>Virologic</w:t>
            </w:r>
            <w:proofErr w:type="spellEnd"/>
            <w:r w:rsidRPr="002A3BDE">
              <w:rPr>
                <w:color w:val="000000"/>
                <w:sz w:val="20"/>
                <w:szCs w:val="20"/>
              </w:rPr>
              <w:t xml:space="preserve"> Failure</w:t>
            </w:r>
            <w:r w:rsidRPr="002A3BDE">
              <w:rPr>
                <w:color w:val="000000"/>
                <w:sz w:val="20"/>
                <w:szCs w:val="20"/>
                <w:vertAlign w:val="superscript"/>
              </w:rPr>
              <w:t>¶</w:t>
            </w:r>
          </w:p>
        </w:tc>
        <w:tc>
          <w:tcPr>
            <w:tcW w:w="1980" w:type="dxa"/>
            <w:tcBorders>
              <w:top w:val="single" w:sz="4" w:space="0" w:color="auto"/>
              <w:left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89% (62/70)</w:t>
            </w:r>
          </w:p>
        </w:tc>
        <w:tc>
          <w:tcPr>
            <w:tcW w:w="2160" w:type="dxa"/>
            <w:tcBorders>
              <w:top w:val="single" w:sz="4" w:space="0" w:color="auto"/>
              <w:left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91% (60/66)</w:t>
            </w:r>
          </w:p>
        </w:tc>
        <w:tc>
          <w:tcPr>
            <w:tcW w:w="1980" w:type="dxa"/>
            <w:tcBorders>
              <w:top w:val="single" w:sz="4" w:space="0" w:color="auto"/>
              <w:left w:val="single" w:sz="4" w:space="0" w:color="auto"/>
              <w:right w:val="single" w:sz="4" w:space="0" w:color="auto"/>
            </w:tcBorders>
            <w:vAlign w:val="center"/>
          </w:tcPr>
          <w:p w:rsidR="00363143" w:rsidRPr="002A3BDE" w:rsidRDefault="004A5733" w:rsidP="00812C6B">
            <w:pPr>
              <w:jc w:val="center"/>
              <w:rPr>
                <w:color w:val="000000"/>
                <w:sz w:val="20"/>
                <w:szCs w:val="20"/>
              </w:rPr>
            </w:pPr>
            <w:r w:rsidRPr="007701C4">
              <w:rPr>
                <w:color w:val="000000"/>
                <w:sz w:val="20"/>
                <w:szCs w:val="20"/>
              </w:rPr>
              <w:t>92% (60/65)</w:t>
            </w:r>
          </w:p>
        </w:tc>
        <w:tc>
          <w:tcPr>
            <w:tcW w:w="2160" w:type="dxa"/>
            <w:tcBorders>
              <w:top w:val="single" w:sz="4" w:space="0" w:color="auto"/>
              <w:left w:val="single" w:sz="4" w:space="0" w:color="auto"/>
              <w:right w:val="single" w:sz="4" w:space="0" w:color="auto"/>
            </w:tcBorders>
            <w:vAlign w:val="center"/>
          </w:tcPr>
          <w:p w:rsidR="00363143" w:rsidRPr="002A3BDE" w:rsidRDefault="00363143" w:rsidP="00812C6B">
            <w:pPr>
              <w:jc w:val="center"/>
              <w:rPr>
                <w:color w:val="000000"/>
                <w:sz w:val="20"/>
                <w:szCs w:val="20"/>
              </w:rPr>
            </w:pPr>
            <w:r w:rsidRPr="002A3BDE">
              <w:rPr>
                <w:color w:val="000000"/>
                <w:sz w:val="20"/>
                <w:szCs w:val="20"/>
              </w:rPr>
              <w:t>95% (63/66)</w:t>
            </w:r>
          </w:p>
        </w:tc>
      </w:tr>
      <w:tr w:rsidR="00363143" w:rsidRPr="002A3BDE" w:rsidTr="002A3BDE">
        <w:trPr>
          <w:trHeight w:val="315"/>
          <w:jc w:val="center"/>
        </w:trPr>
        <w:tc>
          <w:tcPr>
            <w:tcW w:w="2085" w:type="dxa"/>
            <w:tcBorders>
              <w:left w:val="single" w:sz="8" w:space="0" w:color="auto"/>
              <w:bottom w:val="single" w:sz="4"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proofErr w:type="spellStart"/>
            <w:r w:rsidRPr="002A3BDE">
              <w:rPr>
                <w:color w:val="000000"/>
                <w:sz w:val="20"/>
                <w:szCs w:val="20"/>
              </w:rPr>
              <w:t>Relapser</w:t>
            </w:r>
            <w:proofErr w:type="spellEnd"/>
          </w:p>
        </w:tc>
        <w:tc>
          <w:tcPr>
            <w:tcW w:w="1980" w:type="dxa"/>
            <w:tcBorders>
              <w:left w:val="single" w:sz="4"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100% (35/35)</w:t>
            </w:r>
          </w:p>
        </w:tc>
        <w:tc>
          <w:tcPr>
            <w:tcW w:w="2160" w:type="dxa"/>
            <w:tcBorders>
              <w:left w:val="single" w:sz="4"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100% (38/38)</w:t>
            </w:r>
          </w:p>
        </w:tc>
        <w:tc>
          <w:tcPr>
            <w:tcW w:w="1980" w:type="dxa"/>
            <w:tcBorders>
              <w:left w:val="single" w:sz="4" w:space="0" w:color="auto"/>
              <w:bottom w:val="single" w:sz="4" w:space="0" w:color="auto"/>
              <w:right w:val="single" w:sz="4" w:space="0" w:color="auto"/>
            </w:tcBorders>
          </w:tcPr>
          <w:p w:rsidR="00363143" w:rsidRPr="002A3BDE" w:rsidRDefault="004A5733" w:rsidP="00812C6B">
            <w:pPr>
              <w:jc w:val="center"/>
              <w:rPr>
                <w:color w:val="000000"/>
                <w:sz w:val="20"/>
                <w:szCs w:val="20"/>
              </w:rPr>
            </w:pPr>
            <w:r w:rsidRPr="007701C4">
              <w:rPr>
                <w:color w:val="000000"/>
                <w:sz w:val="20"/>
                <w:szCs w:val="20"/>
              </w:rPr>
              <w:t>94% (34/36)</w:t>
            </w:r>
          </w:p>
        </w:tc>
        <w:tc>
          <w:tcPr>
            <w:tcW w:w="2160" w:type="dxa"/>
            <w:tcBorders>
              <w:left w:val="single" w:sz="4" w:space="0" w:color="auto"/>
              <w:bottom w:val="single" w:sz="4" w:space="0" w:color="auto"/>
              <w:right w:val="single" w:sz="4" w:space="0" w:color="auto"/>
            </w:tcBorders>
            <w:vAlign w:val="center"/>
          </w:tcPr>
          <w:p w:rsidR="00363143" w:rsidRPr="002A3BDE" w:rsidRDefault="00363143" w:rsidP="004A5733">
            <w:pPr>
              <w:jc w:val="center"/>
              <w:rPr>
                <w:color w:val="000000"/>
                <w:sz w:val="20"/>
                <w:szCs w:val="20"/>
              </w:rPr>
            </w:pPr>
            <w:r w:rsidRPr="002A3BDE">
              <w:rPr>
                <w:color w:val="000000"/>
                <w:sz w:val="20"/>
                <w:szCs w:val="20"/>
              </w:rPr>
              <w:t>100% (</w:t>
            </w:r>
            <w:r w:rsidR="004A5733">
              <w:rPr>
                <w:color w:val="000000"/>
                <w:sz w:val="20"/>
                <w:szCs w:val="20"/>
              </w:rPr>
              <w:t>38/38</w:t>
            </w:r>
            <w:r w:rsidRPr="002A3BDE">
              <w:rPr>
                <w:color w:val="000000"/>
                <w:sz w:val="20"/>
                <w:szCs w:val="20"/>
              </w:rPr>
              <w:t>)</w:t>
            </w:r>
          </w:p>
        </w:tc>
      </w:tr>
      <w:tr w:rsidR="00363143" w:rsidRPr="002A3BDE" w:rsidTr="002A3BDE">
        <w:trPr>
          <w:trHeight w:val="315"/>
          <w:jc w:val="center"/>
        </w:trPr>
        <w:tc>
          <w:tcPr>
            <w:tcW w:w="10365"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363143" w:rsidRPr="002A3BDE" w:rsidRDefault="00363143" w:rsidP="00812C6B">
            <w:pPr>
              <w:rPr>
                <w:color w:val="000000"/>
                <w:sz w:val="20"/>
                <w:szCs w:val="20"/>
              </w:rPr>
            </w:pPr>
            <w:r w:rsidRPr="002A3BDE">
              <w:rPr>
                <w:color w:val="000000"/>
                <w:sz w:val="20"/>
                <w:szCs w:val="20"/>
              </w:rPr>
              <w:t>SVR by HIV status</w:t>
            </w:r>
          </w:p>
        </w:tc>
      </w:tr>
      <w:tr w:rsidR="00363143" w:rsidRPr="002A3BDE" w:rsidTr="002A3BDE">
        <w:trPr>
          <w:trHeight w:val="315"/>
          <w:jc w:val="center"/>
        </w:trPr>
        <w:tc>
          <w:tcPr>
            <w:tcW w:w="2085" w:type="dxa"/>
            <w:tcBorders>
              <w:top w:val="single" w:sz="4" w:space="0" w:color="auto"/>
              <w:left w:val="single" w:sz="8" w:space="0" w:color="auto"/>
              <w:bottom w:val="nil"/>
              <w:right w:val="nil"/>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HCV mono-infected</w:t>
            </w:r>
          </w:p>
        </w:tc>
        <w:tc>
          <w:tcPr>
            <w:tcW w:w="1980" w:type="dxa"/>
            <w:tcBorders>
              <w:top w:val="single" w:sz="4" w:space="0" w:color="auto"/>
              <w:left w:val="single" w:sz="8" w:space="0" w:color="auto"/>
              <w:bottom w:val="nil"/>
              <w:right w:val="nil"/>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92% (91/99)</w:t>
            </w:r>
          </w:p>
        </w:tc>
        <w:tc>
          <w:tcPr>
            <w:tcW w:w="2160" w:type="dxa"/>
            <w:tcBorders>
              <w:top w:val="single" w:sz="4" w:space="0" w:color="auto"/>
              <w:left w:val="single" w:sz="8" w:space="0" w:color="auto"/>
              <w:bottom w:val="nil"/>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94% (93/99)</w:t>
            </w:r>
          </w:p>
        </w:tc>
        <w:tc>
          <w:tcPr>
            <w:tcW w:w="1980" w:type="dxa"/>
            <w:tcBorders>
              <w:top w:val="single" w:sz="4" w:space="0" w:color="auto"/>
              <w:left w:val="single" w:sz="8" w:space="0" w:color="auto"/>
              <w:bottom w:val="nil"/>
              <w:right w:val="single" w:sz="4" w:space="0" w:color="auto"/>
            </w:tcBorders>
            <w:vAlign w:val="center"/>
          </w:tcPr>
          <w:p w:rsidR="00363143" w:rsidRPr="002A3BDE" w:rsidRDefault="004A5733" w:rsidP="00812C6B">
            <w:pPr>
              <w:jc w:val="center"/>
              <w:rPr>
                <w:color w:val="000000"/>
                <w:sz w:val="20"/>
                <w:szCs w:val="20"/>
              </w:rPr>
            </w:pPr>
            <w:r w:rsidRPr="007701C4">
              <w:rPr>
                <w:color w:val="000000"/>
                <w:sz w:val="20"/>
                <w:szCs w:val="20"/>
              </w:rPr>
              <w:t>94% (89/95)</w:t>
            </w:r>
          </w:p>
        </w:tc>
        <w:tc>
          <w:tcPr>
            <w:tcW w:w="2160" w:type="dxa"/>
            <w:tcBorders>
              <w:top w:val="single" w:sz="4" w:space="0" w:color="auto"/>
              <w:left w:val="single" w:sz="8" w:space="0" w:color="auto"/>
              <w:bottom w:val="nil"/>
              <w:right w:val="single" w:sz="4" w:space="0" w:color="auto"/>
            </w:tcBorders>
            <w:vAlign w:val="center"/>
          </w:tcPr>
          <w:p w:rsidR="00363143" w:rsidRPr="002A3BDE" w:rsidRDefault="00363143" w:rsidP="004A5733">
            <w:pPr>
              <w:jc w:val="center"/>
              <w:rPr>
                <w:color w:val="000000"/>
                <w:sz w:val="20"/>
                <w:szCs w:val="20"/>
              </w:rPr>
            </w:pPr>
            <w:r w:rsidRPr="002A3BDE">
              <w:rPr>
                <w:color w:val="000000"/>
                <w:sz w:val="20"/>
                <w:szCs w:val="20"/>
              </w:rPr>
              <w:t>97% (</w:t>
            </w:r>
            <w:r w:rsidR="004A5733">
              <w:rPr>
                <w:color w:val="000000"/>
                <w:sz w:val="20"/>
                <w:szCs w:val="20"/>
              </w:rPr>
              <w:t>97/100</w:t>
            </w:r>
            <w:r w:rsidRPr="002A3BDE">
              <w:rPr>
                <w:color w:val="000000"/>
                <w:sz w:val="20"/>
                <w:szCs w:val="20"/>
              </w:rPr>
              <w:t>)</w:t>
            </w:r>
          </w:p>
        </w:tc>
      </w:tr>
      <w:tr w:rsidR="00363143" w:rsidRPr="002A3BDE" w:rsidTr="002A3BDE">
        <w:trPr>
          <w:trHeight w:val="315"/>
          <w:jc w:val="center"/>
        </w:trPr>
        <w:tc>
          <w:tcPr>
            <w:tcW w:w="2085" w:type="dxa"/>
            <w:tcBorders>
              <w:top w:val="nil"/>
              <w:left w:val="single" w:sz="8" w:space="0" w:color="auto"/>
              <w:bottom w:val="single" w:sz="8" w:space="0" w:color="auto"/>
              <w:right w:val="nil"/>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HCV/HIV</w:t>
            </w:r>
            <w:r w:rsidR="00F76CE4">
              <w:rPr>
                <w:color w:val="000000"/>
                <w:sz w:val="20"/>
                <w:szCs w:val="20"/>
              </w:rPr>
              <w:t>-1</w:t>
            </w:r>
            <w:r w:rsidRPr="002A3BDE">
              <w:rPr>
                <w:color w:val="000000"/>
                <w:sz w:val="20"/>
                <w:szCs w:val="20"/>
              </w:rPr>
              <w:t xml:space="preserve"> co-infected</w:t>
            </w:r>
          </w:p>
        </w:tc>
        <w:tc>
          <w:tcPr>
            <w:tcW w:w="1980" w:type="dxa"/>
            <w:tcBorders>
              <w:top w:val="nil"/>
              <w:left w:val="single" w:sz="8" w:space="0" w:color="auto"/>
              <w:bottom w:val="single" w:sz="8" w:space="0" w:color="auto"/>
              <w:right w:val="nil"/>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100% (6/6)</w:t>
            </w:r>
          </w:p>
        </w:tc>
        <w:tc>
          <w:tcPr>
            <w:tcW w:w="2160" w:type="dxa"/>
            <w:tcBorders>
              <w:top w:val="nil"/>
              <w:left w:val="single" w:sz="8" w:space="0" w:color="auto"/>
              <w:bottom w:val="single" w:sz="8"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100% (5/5)</w:t>
            </w:r>
          </w:p>
        </w:tc>
        <w:tc>
          <w:tcPr>
            <w:tcW w:w="1980" w:type="dxa"/>
            <w:tcBorders>
              <w:top w:val="nil"/>
              <w:left w:val="single" w:sz="8" w:space="0" w:color="auto"/>
              <w:bottom w:val="single" w:sz="8" w:space="0" w:color="auto"/>
              <w:right w:val="single" w:sz="4" w:space="0" w:color="auto"/>
            </w:tcBorders>
            <w:vAlign w:val="center"/>
          </w:tcPr>
          <w:p w:rsidR="00363143" w:rsidRPr="002A3BDE" w:rsidRDefault="00363143" w:rsidP="00812C6B">
            <w:pPr>
              <w:jc w:val="center"/>
              <w:rPr>
                <w:color w:val="000000"/>
                <w:sz w:val="20"/>
                <w:szCs w:val="20"/>
              </w:rPr>
            </w:pPr>
            <w:r w:rsidRPr="002A3BDE">
              <w:rPr>
                <w:color w:val="000000"/>
                <w:sz w:val="20"/>
                <w:szCs w:val="20"/>
              </w:rPr>
              <w:t>83% (5/6)</w:t>
            </w:r>
          </w:p>
        </w:tc>
        <w:tc>
          <w:tcPr>
            <w:tcW w:w="2160" w:type="dxa"/>
            <w:tcBorders>
              <w:top w:val="nil"/>
              <w:left w:val="single" w:sz="8" w:space="0" w:color="auto"/>
              <w:bottom w:val="single" w:sz="8" w:space="0" w:color="auto"/>
              <w:right w:val="single" w:sz="4" w:space="0" w:color="auto"/>
            </w:tcBorders>
            <w:vAlign w:val="center"/>
          </w:tcPr>
          <w:p w:rsidR="00363143" w:rsidRPr="002A3BDE" w:rsidRDefault="00363143" w:rsidP="00812C6B">
            <w:pPr>
              <w:jc w:val="center"/>
              <w:rPr>
                <w:color w:val="000000"/>
                <w:sz w:val="20"/>
                <w:szCs w:val="20"/>
              </w:rPr>
            </w:pPr>
            <w:r w:rsidRPr="002A3BDE">
              <w:rPr>
                <w:color w:val="000000"/>
                <w:sz w:val="20"/>
                <w:szCs w:val="20"/>
              </w:rPr>
              <w:t>100% (4/4)</w:t>
            </w:r>
          </w:p>
        </w:tc>
      </w:tr>
    </w:tbl>
    <w:p w:rsidR="00363143" w:rsidRPr="00856BED" w:rsidRDefault="00363143" w:rsidP="00363143">
      <w:pPr>
        <w:pStyle w:val="BodyText1"/>
        <w:spacing w:before="0"/>
        <w:ind w:left="-360" w:firstLine="0"/>
        <w:jc w:val="both"/>
        <w:rPr>
          <w:rFonts w:ascii="Arial" w:hAnsi="Arial"/>
          <w:sz w:val="18"/>
          <w:szCs w:val="18"/>
        </w:rPr>
      </w:pPr>
      <w:r w:rsidRPr="00856BED">
        <w:rPr>
          <w:rFonts w:ascii="Arial" w:hAnsi="Arial"/>
          <w:sz w:val="18"/>
          <w:szCs w:val="18"/>
        </w:rPr>
        <w:t xml:space="preserve">*Includes subjects with </w:t>
      </w:r>
      <w:proofErr w:type="spellStart"/>
      <w:r w:rsidRPr="00856BED">
        <w:rPr>
          <w:rFonts w:ascii="Arial" w:hAnsi="Arial"/>
          <w:sz w:val="18"/>
          <w:szCs w:val="18"/>
        </w:rPr>
        <w:t>virologic</w:t>
      </w:r>
      <w:proofErr w:type="spellEnd"/>
      <w:r w:rsidRPr="00856BED">
        <w:rPr>
          <w:rFonts w:ascii="Arial" w:hAnsi="Arial"/>
          <w:sz w:val="18"/>
          <w:szCs w:val="18"/>
        </w:rPr>
        <w:t xml:space="preserve"> breakthrough or rebound.</w:t>
      </w:r>
    </w:p>
    <w:p w:rsidR="00363143" w:rsidRPr="000D7FE6" w:rsidRDefault="00363143" w:rsidP="00363143">
      <w:pPr>
        <w:pStyle w:val="BodyText1"/>
        <w:spacing w:before="0"/>
        <w:ind w:left="-360" w:firstLine="0"/>
        <w:jc w:val="both"/>
        <w:rPr>
          <w:rFonts w:ascii="Arial" w:hAnsi="Arial"/>
          <w:sz w:val="18"/>
          <w:szCs w:val="18"/>
        </w:rPr>
      </w:pPr>
      <w:r w:rsidRPr="00A50E86">
        <w:rPr>
          <w:rFonts w:ascii="Arial" w:hAnsi="Arial"/>
          <w:sz w:val="18"/>
          <w:szCs w:val="18"/>
          <w:vertAlign w:val="superscript"/>
        </w:rPr>
        <w:t>†</w:t>
      </w:r>
      <w:r w:rsidRPr="00E40192">
        <w:rPr>
          <w:rFonts w:ascii="Arial" w:hAnsi="Arial"/>
          <w:sz w:val="18"/>
          <w:szCs w:val="18"/>
        </w:rPr>
        <w:t>Other includes subjects who discontinued due to adverse event,</w:t>
      </w:r>
      <w:r w:rsidRPr="00A34C1F">
        <w:rPr>
          <w:rFonts w:ascii="Arial" w:hAnsi="Arial"/>
          <w:sz w:val="18"/>
          <w:szCs w:val="18"/>
        </w:rPr>
        <w:t xml:space="preserve"> lost to follow-up, or subject withdrawal.</w:t>
      </w:r>
      <w:r w:rsidRPr="000D7FE6">
        <w:rPr>
          <w:rFonts w:ascii="Arial" w:hAnsi="Arial"/>
          <w:sz w:val="18"/>
          <w:szCs w:val="18"/>
        </w:rPr>
        <w:t xml:space="preserve"> </w:t>
      </w:r>
    </w:p>
    <w:p w:rsidR="00363143" w:rsidRPr="00F42F76" w:rsidRDefault="00363143" w:rsidP="00363143">
      <w:pPr>
        <w:pStyle w:val="BodyText1"/>
        <w:spacing w:before="0"/>
        <w:ind w:left="-360" w:firstLine="0"/>
        <w:jc w:val="both"/>
        <w:rPr>
          <w:rFonts w:ascii="Arial" w:hAnsi="Arial"/>
          <w:sz w:val="18"/>
          <w:szCs w:val="18"/>
        </w:rPr>
      </w:pPr>
      <w:r w:rsidRPr="00F42F76">
        <w:rPr>
          <w:rFonts w:ascii="Arial" w:hAnsi="Arial"/>
          <w:color w:val="000000"/>
          <w:sz w:val="18"/>
          <w:szCs w:val="18"/>
          <w:vertAlign w:val="superscript"/>
        </w:rPr>
        <w:t>‡</w:t>
      </w:r>
      <w:r w:rsidRPr="00F42F76">
        <w:rPr>
          <w:rFonts w:ascii="Arial" w:hAnsi="Arial"/>
          <w:sz w:val="18"/>
          <w:szCs w:val="18"/>
        </w:rPr>
        <w:t>Includes genotype 1 subtypes other than 1a or 1b.</w:t>
      </w:r>
    </w:p>
    <w:p w:rsidR="00363143" w:rsidRPr="00856BED" w:rsidRDefault="00363143" w:rsidP="00363143">
      <w:pPr>
        <w:pStyle w:val="BodyText1"/>
        <w:spacing w:before="0"/>
        <w:ind w:left="-360" w:firstLine="0"/>
        <w:jc w:val="both"/>
        <w:rPr>
          <w:rFonts w:ascii="Arial" w:hAnsi="Arial"/>
          <w:sz w:val="18"/>
          <w:szCs w:val="18"/>
        </w:rPr>
      </w:pPr>
    </w:p>
    <w:p w:rsidR="00363143" w:rsidRPr="00A34C1F" w:rsidRDefault="00363143" w:rsidP="00363143">
      <w:pPr>
        <w:pStyle w:val="BodyText1"/>
        <w:spacing w:before="0"/>
        <w:ind w:left="-360" w:firstLine="0"/>
        <w:jc w:val="both"/>
        <w:rPr>
          <w:rFonts w:ascii="Arial" w:hAnsi="Arial"/>
          <w:sz w:val="18"/>
          <w:szCs w:val="18"/>
        </w:rPr>
      </w:pPr>
      <w:r w:rsidRPr="00A50E86">
        <w:rPr>
          <w:rFonts w:ascii="Arial" w:hAnsi="Arial"/>
          <w:sz w:val="18"/>
          <w:szCs w:val="18"/>
          <w:vertAlign w:val="superscript"/>
        </w:rPr>
        <w:t>¶</w:t>
      </w:r>
      <w:r w:rsidRPr="00E40192">
        <w:rPr>
          <w:rFonts w:ascii="Arial" w:hAnsi="Arial"/>
          <w:sz w:val="18"/>
          <w:szCs w:val="18"/>
        </w:rPr>
        <w:t>Includes null responders and partial responders.</w:t>
      </w:r>
    </w:p>
    <w:p w:rsidR="004D184A" w:rsidRDefault="004D184A" w:rsidP="002A3BDE"/>
    <w:p w:rsidR="00363143" w:rsidDel="00F54044" w:rsidRDefault="00363143" w:rsidP="002A3BDE">
      <w:r w:rsidDel="00F54044">
        <w:t xml:space="preserve">Overall SVR was achieved in 92% and 97% of subjects receiving </w:t>
      </w:r>
      <w:r w:rsidR="000D7FE6">
        <w:t>ZEPATIER</w:t>
      </w:r>
      <w:r w:rsidDel="00F54044">
        <w:t xml:space="preserve"> for 12 weeks and </w:t>
      </w:r>
      <w:r w:rsidR="000D7FE6">
        <w:t>ZEPATIER</w:t>
      </w:r>
      <w:r w:rsidDel="00F54044">
        <w:t xml:space="preserve"> + RBV for 16 weeks, respectively. SVR was 100% in prior </w:t>
      </w:r>
      <w:proofErr w:type="spellStart"/>
      <w:r w:rsidDel="00F54044">
        <w:t>relapsers</w:t>
      </w:r>
      <w:proofErr w:type="spellEnd"/>
      <w:r w:rsidDel="00F54044">
        <w:t xml:space="preserve"> who received </w:t>
      </w:r>
      <w:r w:rsidR="000D7FE6">
        <w:t>ZEPATIER</w:t>
      </w:r>
      <w:r w:rsidDel="00F54044">
        <w:t xml:space="preserve"> for 12 weeks, regardless of genotype or presence of cirrhosis. SVR was 100% in genotype 1b subjects who received </w:t>
      </w:r>
      <w:r w:rsidR="000D7FE6">
        <w:t>ZEPATIER</w:t>
      </w:r>
      <w:r w:rsidDel="00F54044">
        <w:t xml:space="preserve"> for 12 weeks, regardless of the presence of cirrhosis or response to prior HCV therapy. </w:t>
      </w:r>
    </w:p>
    <w:p w:rsidR="00363143" w:rsidRPr="00507AB0" w:rsidDel="00F54044" w:rsidRDefault="00363143" w:rsidP="002A3BDE">
      <w:r w:rsidRPr="006C6D19" w:rsidDel="00F54044">
        <w:lastRenderedPageBreak/>
        <w:t>Among genotype 1a</w:t>
      </w:r>
      <w:r w:rsidR="004A5733">
        <w:t xml:space="preserve"> or</w:t>
      </w:r>
      <w:r w:rsidRPr="006C6D19" w:rsidDel="00F54044">
        <w:t xml:space="preserve"> 4, null or partial responders, the highest response was achieved with the administration of </w:t>
      </w:r>
      <w:r w:rsidR="000D7FE6">
        <w:t>ZEPATIER</w:t>
      </w:r>
      <w:r w:rsidRPr="006C6D19" w:rsidDel="00F54044">
        <w:t xml:space="preserve"> + RBV for 16 weeks.</w:t>
      </w:r>
      <w:r w:rsidDel="00F54044">
        <w:t xml:space="preserve"> </w:t>
      </w:r>
      <w:r w:rsidRPr="006C6D19" w:rsidDel="00F54044">
        <w:t xml:space="preserve">In subjects receiving </w:t>
      </w:r>
      <w:r w:rsidR="000D7FE6">
        <w:t>ZEPATIER</w:t>
      </w:r>
      <w:r w:rsidRPr="006C6D19" w:rsidDel="00F54044">
        <w:t xml:space="preserve"> + RBV for 16 weeks, treatment outcomes were consistent in subjects with or without cirrhosis, and no subject failed due to </w:t>
      </w:r>
      <w:proofErr w:type="spellStart"/>
      <w:r w:rsidRPr="006C6D19" w:rsidDel="00F54044">
        <w:t>virologic</w:t>
      </w:r>
      <w:proofErr w:type="spellEnd"/>
      <w:r w:rsidRPr="006C6D19" w:rsidDel="00F54044">
        <w:t xml:space="preserve"> failure.</w:t>
      </w:r>
      <w:r w:rsidDel="00F54044">
        <w:t xml:space="preserve"> </w:t>
      </w:r>
      <w:r w:rsidR="00CA3EA5" w:rsidRPr="00A050ED">
        <w:rPr>
          <w:bCs/>
          <w:color w:val="000000"/>
          <w:szCs w:val="18"/>
        </w:rPr>
        <w:t>Among genotype 1a or 4, null or partial responders,</w:t>
      </w:r>
      <w:r w:rsidR="00CA3EA5">
        <w:rPr>
          <w:bCs/>
          <w:color w:val="000000"/>
          <w:szCs w:val="18"/>
        </w:rPr>
        <w:t xml:space="preserve"> </w:t>
      </w:r>
      <w:r w:rsidRPr="006C6D19" w:rsidDel="00F54044">
        <w:t xml:space="preserve">SVR was achieved in 93% of subjects receiving </w:t>
      </w:r>
      <w:r w:rsidR="000D7FE6">
        <w:t>ZEPATIER</w:t>
      </w:r>
      <w:r w:rsidRPr="006C6D19" w:rsidDel="00F54044">
        <w:t xml:space="preserve"> + RBV for 16 weeks; 90% in subjects receiving </w:t>
      </w:r>
      <w:r w:rsidR="000D7FE6">
        <w:t>ZEPATIER</w:t>
      </w:r>
      <w:r w:rsidRPr="006C6D19" w:rsidDel="00F54044">
        <w:t xml:space="preserve"> alone for 16 weeks; 90% in subjects receiving </w:t>
      </w:r>
      <w:r w:rsidR="000D7FE6">
        <w:t>ZEPATIER</w:t>
      </w:r>
      <w:r w:rsidRPr="006C6D19" w:rsidDel="00F54044">
        <w:t xml:space="preserve"> + RBV for 12 weeks; and 84% in subjects receiving </w:t>
      </w:r>
      <w:r w:rsidR="000D7FE6">
        <w:t>ZEPATIER</w:t>
      </w:r>
      <w:r w:rsidRPr="006C6D19" w:rsidDel="00F54044">
        <w:t xml:space="preserve"> alone for 12 weeks.</w:t>
      </w:r>
    </w:p>
    <w:p w:rsidR="00363143" w:rsidDel="00F54044" w:rsidRDefault="00363143" w:rsidP="002A3BDE">
      <w:r w:rsidRPr="00E26FCB" w:rsidDel="00F54044">
        <w:t xml:space="preserve">No HIV-1 virological failures were observed in subjects who failed prior </w:t>
      </w:r>
      <w:r w:rsidDel="00F54044">
        <w:t xml:space="preserve">peg-IFN + </w:t>
      </w:r>
      <w:r w:rsidRPr="00E26FCB" w:rsidDel="00F54044">
        <w:t>RBV with HCV/HIV</w:t>
      </w:r>
      <w:r w:rsidDel="00F54044">
        <w:t>-1</w:t>
      </w:r>
      <w:r w:rsidRPr="00E26FCB" w:rsidDel="00F54044">
        <w:t xml:space="preserve"> co-infection</w:t>
      </w:r>
      <w:r w:rsidDel="00F54044">
        <w:t xml:space="preserve">. </w:t>
      </w:r>
      <w:r w:rsidRPr="00E26FCB" w:rsidDel="00F54044">
        <w:t>In treatment</w:t>
      </w:r>
      <w:r w:rsidDel="00F54044">
        <w:t>-experienced</w:t>
      </w:r>
      <w:r w:rsidRPr="00E26FCB" w:rsidDel="00F54044">
        <w:t xml:space="preserve"> subjects, treatment outcomes were consistent in subjects with or without</w:t>
      </w:r>
      <w:r w:rsidDel="00F54044">
        <w:t xml:space="preserve"> compensated</w:t>
      </w:r>
      <w:r w:rsidRPr="00E26FCB" w:rsidDel="00F54044">
        <w:t xml:space="preserve"> cirrhosis and in subjects with or without HCV/HIV</w:t>
      </w:r>
      <w:r w:rsidDel="00F54044">
        <w:t>-1</w:t>
      </w:r>
      <w:r w:rsidRPr="00E26FCB" w:rsidDel="00F54044">
        <w:t xml:space="preserve"> co-infection</w:t>
      </w:r>
      <w:r w:rsidDel="00F54044">
        <w:t>.</w:t>
      </w:r>
    </w:p>
    <w:p w:rsidR="00363143" w:rsidRDefault="00363143" w:rsidP="00363143"/>
    <w:p w:rsidR="00363143" w:rsidRPr="002A3BDE" w:rsidRDefault="00363143" w:rsidP="002A3BDE">
      <w:pPr>
        <w:rPr>
          <w:u w:val="single"/>
        </w:rPr>
      </w:pPr>
      <w:r w:rsidRPr="002A3BDE">
        <w:rPr>
          <w:u w:val="single"/>
        </w:rPr>
        <w:t>C-SALVAGE Trial – Treatment-Experienced Subjects who Failed Prior P</w:t>
      </w:r>
      <w:r w:rsidR="00F76CE4">
        <w:rPr>
          <w:u w:val="single"/>
        </w:rPr>
        <w:t>eg</w:t>
      </w:r>
      <w:r w:rsidRPr="002A3BDE">
        <w:rPr>
          <w:u w:val="single"/>
        </w:rPr>
        <w:t>-IFN + RBV + HCV Protease Inhibitor Therapy (</w:t>
      </w:r>
      <w:proofErr w:type="spellStart"/>
      <w:r w:rsidRPr="002A3BDE">
        <w:rPr>
          <w:u w:val="single"/>
        </w:rPr>
        <w:t>Boceprevir</w:t>
      </w:r>
      <w:proofErr w:type="spellEnd"/>
      <w:r w:rsidRPr="002A3BDE">
        <w:rPr>
          <w:u w:val="single"/>
        </w:rPr>
        <w:t xml:space="preserve">, </w:t>
      </w:r>
      <w:proofErr w:type="spellStart"/>
      <w:r w:rsidRPr="002A3BDE">
        <w:rPr>
          <w:u w:val="single"/>
        </w:rPr>
        <w:t>Simeprevir</w:t>
      </w:r>
      <w:proofErr w:type="spellEnd"/>
      <w:r w:rsidRPr="002A3BDE">
        <w:rPr>
          <w:u w:val="single"/>
        </w:rPr>
        <w:t xml:space="preserve">, or </w:t>
      </w:r>
      <w:proofErr w:type="spellStart"/>
      <w:r w:rsidRPr="002A3BDE">
        <w:rPr>
          <w:u w:val="single"/>
        </w:rPr>
        <w:t>Telaprevir</w:t>
      </w:r>
      <w:proofErr w:type="spellEnd"/>
      <w:r w:rsidRPr="002A3BDE">
        <w:rPr>
          <w:u w:val="single"/>
        </w:rPr>
        <w:t>)</w:t>
      </w:r>
    </w:p>
    <w:p w:rsidR="00363143" w:rsidRDefault="00363143" w:rsidP="002A3BDE">
      <w:r w:rsidRPr="00E11AD3">
        <w:t xml:space="preserve">In the C-SALVAGE trial, subjects who failed prior peg-IFN + RBV with an HCV protease inhibitor with genotype 1 infection with or without cirrhosis treated with </w:t>
      </w:r>
      <w:r w:rsidR="00853808" w:rsidRPr="00E11AD3">
        <w:t xml:space="preserve">EBR </w:t>
      </w:r>
      <w:r w:rsidR="00853808">
        <w:t xml:space="preserve">+ </w:t>
      </w:r>
      <w:r w:rsidRPr="00E11AD3">
        <w:t>GZR + RBV for 12 weeks had a median age of 55 years (range: 23 to 75); 58% of the subjects were male; 97% were White; 3% were Black or African American; 15% were Hispanic or Latino; mean body mass index was 28 kg/m</w:t>
      </w:r>
      <w:r w:rsidRPr="00E11AD3">
        <w:rPr>
          <w:vertAlign w:val="superscript"/>
        </w:rPr>
        <w:t>2</w:t>
      </w:r>
      <w:r w:rsidRPr="00E11AD3">
        <w:t>; 63% had baseline HCV RNA levels greater than 800,000 IU/mL; 43% had cirrhosis; 97% had non-C/C IL28B alleles (CT or TT); and 46% had baseline NS3 resistance-associated substitutions.</w:t>
      </w:r>
    </w:p>
    <w:p w:rsidR="00363143" w:rsidRDefault="00363143" w:rsidP="002A3BDE">
      <w:r w:rsidRPr="00933422">
        <w:t xml:space="preserve">Overall SVR was achieved in 96% (76/79) of subjects receiving </w:t>
      </w:r>
      <w:r w:rsidR="00853808" w:rsidRPr="00E11AD3">
        <w:t xml:space="preserve">EBR </w:t>
      </w:r>
      <w:r w:rsidR="00853808">
        <w:t xml:space="preserve">+ </w:t>
      </w:r>
      <w:r w:rsidRPr="00933422">
        <w:t>GZR + RBV for 12 weeks. Four percent (3/79) of subjects did not achieve SVR due to relapse. Treatment outcomes were consistent in genotype 1a and genotype 1b subjects, in subjects with different response to previous HCV therapy, and in subjects with or without cirrhosis. Treatment outcomes were consistent in subjects with or without NS3 resistance</w:t>
      </w:r>
      <w:r>
        <w:t>-</w:t>
      </w:r>
      <w:r w:rsidRPr="00933422">
        <w:t>associated substitutions at</w:t>
      </w:r>
      <w:r w:rsidRPr="001B2FED">
        <w:t xml:space="preserve"> baseline</w:t>
      </w:r>
      <w:r>
        <w:t xml:space="preserve"> </w:t>
      </w:r>
      <w:r w:rsidR="002A3BDE">
        <w:rPr>
          <w:i/>
        </w:rPr>
        <w:t>(</w:t>
      </w:r>
      <w:r w:rsidRPr="00F07DE7">
        <w:rPr>
          <w:i/>
        </w:rPr>
        <w:t>see</w:t>
      </w:r>
      <w:r w:rsidR="00A0174C" w:rsidRPr="00A0174C">
        <w:rPr>
          <w:i/>
        </w:rPr>
        <w:t xml:space="preserve"> </w:t>
      </w:r>
      <w:r w:rsidR="00A0174C">
        <w:rPr>
          <w:i/>
        </w:rPr>
        <w:t xml:space="preserve">PHARMACOLOGY, Microbiology, </w:t>
      </w:r>
      <w:proofErr w:type="gramStart"/>
      <w:r w:rsidR="00A0174C">
        <w:rPr>
          <w:i/>
        </w:rPr>
        <w:t>Resistance</w:t>
      </w:r>
      <w:proofErr w:type="gramEnd"/>
      <w:r w:rsidR="002A3BDE">
        <w:rPr>
          <w:i/>
          <w:iCs/>
        </w:rPr>
        <w:t>)</w:t>
      </w:r>
      <w:r>
        <w:t xml:space="preserve">. </w:t>
      </w:r>
    </w:p>
    <w:p w:rsidR="00363143" w:rsidRDefault="00363143" w:rsidP="002A3BDE">
      <w:r w:rsidRPr="0009214D">
        <w:t xml:space="preserve">Based on the lack of impact of baseline NS3 </w:t>
      </w:r>
      <w:r w:rsidRPr="00933422">
        <w:t>resistance</w:t>
      </w:r>
      <w:r>
        <w:t>-</w:t>
      </w:r>
      <w:r w:rsidRPr="00933422">
        <w:t>associated substitutions</w:t>
      </w:r>
      <w:r w:rsidRPr="00A7375F">
        <w:t xml:space="preserve"> on treatment outcomes, and efficacy analyses among </w:t>
      </w:r>
      <w:r>
        <w:t>treatment-experienced</w:t>
      </w:r>
      <w:r w:rsidRPr="00A7375F">
        <w:t xml:space="preserve"> subjects in the C-SALVAGE and C-EDGE TE trials, the recommended treatment regimen for </w:t>
      </w:r>
      <w:r>
        <w:t>treatment-experienced</w:t>
      </w:r>
      <w:r w:rsidRPr="00A7375F">
        <w:t xml:space="preserve"> patients who have failed </w:t>
      </w:r>
      <w:r>
        <w:t xml:space="preserve">peg-IFN + RBV </w:t>
      </w:r>
      <w:r w:rsidRPr="00A7375F">
        <w:t xml:space="preserve">with </w:t>
      </w:r>
      <w:proofErr w:type="spellStart"/>
      <w:r w:rsidRPr="00A7375F">
        <w:t>bocepr</w:t>
      </w:r>
      <w:r w:rsidRPr="000F6AFA">
        <w:t>evir</w:t>
      </w:r>
      <w:proofErr w:type="spellEnd"/>
      <w:r w:rsidRPr="000F6AFA">
        <w:t xml:space="preserve">, </w:t>
      </w:r>
      <w:proofErr w:type="spellStart"/>
      <w:r w:rsidRPr="000F6AFA">
        <w:t>simeprevir</w:t>
      </w:r>
      <w:proofErr w:type="spellEnd"/>
      <w:r w:rsidRPr="000F6AFA">
        <w:t xml:space="preserve"> or </w:t>
      </w:r>
      <w:proofErr w:type="spellStart"/>
      <w:r w:rsidRPr="000F6AFA">
        <w:t>telaprevir</w:t>
      </w:r>
      <w:proofErr w:type="spellEnd"/>
      <w:r w:rsidRPr="000F6AFA">
        <w:t xml:space="preserve"> is as follows: for </w:t>
      </w:r>
      <w:r w:rsidR="00CA3EA5">
        <w:t xml:space="preserve">genotype 1 </w:t>
      </w:r>
      <w:proofErr w:type="spellStart"/>
      <w:r w:rsidRPr="000F6AFA">
        <w:t>relapsers</w:t>
      </w:r>
      <w:proofErr w:type="spellEnd"/>
      <w:r w:rsidRPr="000F6AFA">
        <w:t xml:space="preserve">, administer </w:t>
      </w:r>
      <w:r w:rsidR="000D7FE6">
        <w:t>ZEPATIER</w:t>
      </w:r>
      <w:r w:rsidRPr="0092796B">
        <w:t xml:space="preserve"> for 12 weeks</w:t>
      </w:r>
      <w:r>
        <w:t>;</w:t>
      </w:r>
      <w:r w:rsidRPr="0092796B">
        <w:t xml:space="preserve"> for genotype 1b prior on-treatment </w:t>
      </w:r>
      <w:proofErr w:type="spellStart"/>
      <w:r w:rsidRPr="0092796B">
        <w:t>virologic</w:t>
      </w:r>
      <w:proofErr w:type="spellEnd"/>
      <w:r w:rsidRPr="0092796B">
        <w:t xml:space="preserve"> failures, administer </w:t>
      </w:r>
      <w:r w:rsidR="000D7FE6">
        <w:t>ZEPATIER</w:t>
      </w:r>
      <w:r w:rsidRPr="0092796B">
        <w:t xml:space="preserve"> for 12 weeks</w:t>
      </w:r>
      <w:r>
        <w:t>;</w:t>
      </w:r>
      <w:r w:rsidRPr="0092796B">
        <w:t xml:space="preserve"> and for genotype 1a</w:t>
      </w:r>
      <w:r w:rsidR="00130136">
        <w:t xml:space="preserve"> </w:t>
      </w:r>
      <w:r w:rsidRPr="0092796B">
        <w:t xml:space="preserve">prior on-treatment </w:t>
      </w:r>
      <w:proofErr w:type="spellStart"/>
      <w:r w:rsidRPr="0092796B">
        <w:t>virologic</w:t>
      </w:r>
      <w:proofErr w:type="spellEnd"/>
      <w:r w:rsidRPr="0092796B">
        <w:t xml:space="preserve"> failures, administer </w:t>
      </w:r>
      <w:r w:rsidR="000D7FE6">
        <w:t>ZEPATIER</w:t>
      </w:r>
      <w:r w:rsidRPr="0092796B">
        <w:t xml:space="preserve"> + RBV for 1</w:t>
      </w:r>
      <w:r w:rsidRPr="0009214D">
        <w:t xml:space="preserve">6 weeks </w:t>
      </w:r>
      <w:r w:rsidR="002A3BDE">
        <w:t>(</w:t>
      </w:r>
      <w:r w:rsidRPr="0009214D">
        <w:rPr>
          <w:i/>
        </w:rPr>
        <w:t>see D</w:t>
      </w:r>
      <w:r w:rsidR="002A3BDE">
        <w:rPr>
          <w:i/>
        </w:rPr>
        <w:t>OSAGE AND ADMINISTRATION</w:t>
      </w:r>
      <w:r w:rsidRPr="0009214D">
        <w:rPr>
          <w:i/>
        </w:rPr>
        <w:t>)</w:t>
      </w:r>
      <w:r w:rsidRPr="0009214D">
        <w:t xml:space="preserve">. </w:t>
      </w:r>
    </w:p>
    <w:p w:rsidR="00363143" w:rsidRPr="0049566A" w:rsidRDefault="00363143" w:rsidP="00363143">
      <w:pPr>
        <w:autoSpaceDE w:val="0"/>
        <w:autoSpaceDN w:val="0"/>
        <w:adjustRightInd w:val="0"/>
        <w:ind w:firstLine="547"/>
        <w:jc w:val="both"/>
        <w:rPr>
          <w:b/>
          <w:bCs/>
          <w:szCs w:val="18"/>
        </w:rPr>
      </w:pPr>
    </w:p>
    <w:p w:rsidR="00363143" w:rsidRPr="002A3BDE" w:rsidRDefault="00363143" w:rsidP="002A3BDE">
      <w:pPr>
        <w:pStyle w:val="Heading2"/>
      </w:pPr>
      <w:r w:rsidRPr="002A3BDE">
        <w:t>Clinical Trial in Subjects with Advanced Chronic Kidney Disease with Genotype 1 Chronic Hepatitis C Infection</w:t>
      </w:r>
    </w:p>
    <w:p w:rsidR="00363143" w:rsidRDefault="00363143" w:rsidP="002A3BDE">
      <w:r>
        <w:rPr>
          <w:bCs/>
          <w:color w:val="000000"/>
          <w:szCs w:val="18"/>
        </w:rPr>
        <w:t xml:space="preserve">In the C-SURFER trial, </w:t>
      </w:r>
      <w:r w:rsidRPr="00C10448">
        <w:rPr>
          <w:bCs/>
          <w:color w:val="000000"/>
        </w:rPr>
        <w:t>subjects with genotype 1 infection</w:t>
      </w:r>
      <w:r>
        <w:rPr>
          <w:bCs/>
          <w:color w:val="000000"/>
        </w:rPr>
        <w:t>,</w:t>
      </w:r>
      <w:r w:rsidRPr="00C10448">
        <w:t xml:space="preserve"> </w:t>
      </w:r>
      <w:r w:rsidRPr="00C10448">
        <w:rPr>
          <w:bCs/>
          <w:color w:val="000000"/>
        </w:rPr>
        <w:t>with or without cirrhosis,</w:t>
      </w:r>
      <w:r>
        <w:rPr>
          <w:bCs/>
          <w:color w:val="000000"/>
        </w:rPr>
        <w:t xml:space="preserve"> </w:t>
      </w:r>
      <w:r w:rsidRPr="00C10448">
        <w:t xml:space="preserve">with </w:t>
      </w:r>
      <w:r>
        <w:t xml:space="preserve">advanced </w:t>
      </w:r>
      <w:r w:rsidRPr="00C10448">
        <w:rPr>
          <w:bCs/>
        </w:rPr>
        <w:t xml:space="preserve">chronic </w:t>
      </w:r>
      <w:r w:rsidRPr="0009214D">
        <w:rPr>
          <w:bCs/>
        </w:rPr>
        <w:t xml:space="preserve">kidney disease (CKD) </w:t>
      </w:r>
      <w:r>
        <w:rPr>
          <w:bCs/>
        </w:rPr>
        <w:t>S</w:t>
      </w:r>
      <w:r w:rsidRPr="0009214D">
        <w:rPr>
          <w:bCs/>
        </w:rPr>
        <w:t>tage 4</w:t>
      </w:r>
      <w:r>
        <w:rPr>
          <w:bCs/>
        </w:rPr>
        <w:t xml:space="preserve"> </w:t>
      </w:r>
      <w:r w:rsidRPr="009266D8">
        <w:t>(</w:t>
      </w:r>
      <w:proofErr w:type="spellStart"/>
      <w:r>
        <w:t>e</w:t>
      </w:r>
      <w:r w:rsidRPr="009266D8">
        <w:t>GFR</w:t>
      </w:r>
      <w:proofErr w:type="spellEnd"/>
      <w:r w:rsidRPr="009266D8">
        <w:t xml:space="preserve"> 15-29 m</w:t>
      </w:r>
      <w:r>
        <w:t>L</w:t>
      </w:r>
      <w:r w:rsidRPr="009266D8">
        <w:t>/min/1.73 m</w:t>
      </w:r>
      <w:r w:rsidRPr="009266D8">
        <w:rPr>
          <w:vertAlign w:val="superscript"/>
        </w:rPr>
        <w:t>2</w:t>
      </w:r>
      <w:r w:rsidRPr="009266D8">
        <w:t xml:space="preserve">) </w:t>
      </w:r>
      <w:r>
        <w:t xml:space="preserve">or Stage </w:t>
      </w:r>
      <w:r w:rsidRPr="009266D8">
        <w:t>5 (</w:t>
      </w:r>
      <w:proofErr w:type="spellStart"/>
      <w:r>
        <w:t>e</w:t>
      </w:r>
      <w:r w:rsidRPr="009266D8">
        <w:t>GFR</w:t>
      </w:r>
      <w:proofErr w:type="spellEnd"/>
      <w:r w:rsidRPr="009266D8">
        <w:t xml:space="preserve"> &lt;15 m</w:t>
      </w:r>
      <w:r>
        <w:t>L</w:t>
      </w:r>
      <w:r w:rsidRPr="009266D8">
        <w:t>/min/1.73 m</w:t>
      </w:r>
      <w:r w:rsidRPr="009266D8">
        <w:rPr>
          <w:vertAlign w:val="superscript"/>
        </w:rPr>
        <w:t>2</w:t>
      </w:r>
      <w:r w:rsidRPr="009266D8">
        <w:t>)</w:t>
      </w:r>
      <w:r w:rsidRPr="00A7375F">
        <w:t xml:space="preserve">, </w:t>
      </w:r>
      <w:r>
        <w:t>including subjects on</w:t>
      </w:r>
      <w:r w:rsidRPr="00C10448">
        <w:t xml:space="preserve"> </w:t>
      </w:r>
      <w:r w:rsidR="00AA259D">
        <w:t>haemodialysis</w:t>
      </w:r>
      <w:r>
        <w:t>,</w:t>
      </w:r>
      <w:r w:rsidRPr="00C10448">
        <w:t xml:space="preserve"> who were treatment-naïve or who had failed prior therapy with </w:t>
      </w:r>
      <w:r w:rsidRPr="00C10448">
        <w:rPr>
          <w:bCs/>
          <w:color w:val="000000"/>
        </w:rPr>
        <w:t>IFN or peg-IFN ± RBV therapy</w:t>
      </w:r>
      <w:r>
        <w:rPr>
          <w:bCs/>
          <w:color w:val="000000"/>
        </w:rPr>
        <w:t xml:space="preserve"> </w:t>
      </w:r>
      <w:r>
        <w:rPr>
          <w:bCs/>
          <w:color w:val="000000"/>
          <w:szCs w:val="18"/>
        </w:rPr>
        <w:t xml:space="preserve">had a median </w:t>
      </w:r>
      <w:r w:rsidRPr="006E708C">
        <w:rPr>
          <w:szCs w:val="18"/>
        </w:rPr>
        <w:t xml:space="preserve">age </w:t>
      </w:r>
      <w:r>
        <w:rPr>
          <w:szCs w:val="18"/>
        </w:rPr>
        <w:t>of</w:t>
      </w:r>
      <w:r w:rsidRPr="006E708C">
        <w:rPr>
          <w:szCs w:val="18"/>
        </w:rPr>
        <w:t xml:space="preserve"> </w:t>
      </w:r>
      <w:r>
        <w:rPr>
          <w:szCs w:val="18"/>
        </w:rPr>
        <w:t xml:space="preserve">58 </w:t>
      </w:r>
      <w:r w:rsidRPr="006E708C">
        <w:rPr>
          <w:szCs w:val="18"/>
        </w:rPr>
        <w:t xml:space="preserve">years (range: </w:t>
      </w:r>
      <w:r>
        <w:rPr>
          <w:szCs w:val="18"/>
        </w:rPr>
        <w:t xml:space="preserve">31 </w:t>
      </w:r>
      <w:r w:rsidRPr="006E708C">
        <w:rPr>
          <w:szCs w:val="18"/>
        </w:rPr>
        <w:t>to</w:t>
      </w:r>
      <w:r>
        <w:rPr>
          <w:szCs w:val="18"/>
        </w:rPr>
        <w:t xml:space="preserve"> 76</w:t>
      </w:r>
      <w:r w:rsidRPr="006E708C">
        <w:rPr>
          <w:szCs w:val="18"/>
        </w:rPr>
        <w:t xml:space="preserve">); </w:t>
      </w:r>
      <w:r>
        <w:rPr>
          <w:szCs w:val="18"/>
        </w:rPr>
        <w:t>75</w:t>
      </w:r>
      <w:r w:rsidRPr="006E708C">
        <w:rPr>
          <w:szCs w:val="18"/>
        </w:rPr>
        <w:t xml:space="preserve">% of the subjects were male; </w:t>
      </w:r>
      <w:r>
        <w:rPr>
          <w:szCs w:val="18"/>
        </w:rPr>
        <w:t>50</w:t>
      </w:r>
      <w:r w:rsidRPr="006E708C">
        <w:rPr>
          <w:szCs w:val="18"/>
        </w:rPr>
        <w:t xml:space="preserve">% were White; </w:t>
      </w:r>
      <w:r>
        <w:rPr>
          <w:szCs w:val="18"/>
        </w:rPr>
        <w:t>45</w:t>
      </w:r>
      <w:r w:rsidRPr="006E708C">
        <w:rPr>
          <w:szCs w:val="18"/>
        </w:rPr>
        <w:t>% were</w:t>
      </w:r>
      <w:r w:rsidR="00F76CE4">
        <w:rPr>
          <w:szCs w:val="18"/>
        </w:rPr>
        <w:t xml:space="preserve"> Black or</w:t>
      </w:r>
      <w:r>
        <w:rPr>
          <w:szCs w:val="18"/>
        </w:rPr>
        <w:t xml:space="preserve"> African </w:t>
      </w:r>
      <w:r w:rsidRPr="00E11AD3">
        <w:rPr>
          <w:szCs w:val="18"/>
        </w:rPr>
        <w:t>American; 11% were Hispanic or Latino; 57% had baseline HCV RNA levels greater than 800,000 IU/mL; 75% were on dialysis; 6%</w:t>
      </w:r>
      <w:r w:rsidRPr="00D2409A">
        <w:rPr>
          <w:szCs w:val="18"/>
        </w:rPr>
        <w:t xml:space="preserve"> </w:t>
      </w:r>
      <w:r>
        <w:rPr>
          <w:szCs w:val="18"/>
        </w:rPr>
        <w:t>had</w:t>
      </w:r>
      <w:r w:rsidRPr="00D2409A">
        <w:rPr>
          <w:szCs w:val="18"/>
        </w:rPr>
        <w:t xml:space="preserve"> cirrhosis; a</w:t>
      </w:r>
      <w:r>
        <w:rPr>
          <w:szCs w:val="18"/>
        </w:rPr>
        <w:t>nd 72</w:t>
      </w:r>
      <w:r w:rsidRPr="006E708C">
        <w:rPr>
          <w:szCs w:val="18"/>
        </w:rPr>
        <w:t>% had non-C/C IL28B alleles (CT or TT)</w:t>
      </w:r>
      <w:r>
        <w:rPr>
          <w:szCs w:val="18"/>
        </w:rPr>
        <w:t>.</w:t>
      </w:r>
    </w:p>
    <w:p w:rsidR="00363143" w:rsidRDefault="00363143" w:rsidP="002A3BDE">
      <w:pPr>
        <w:rPr>
          <w:bCs/>
          <w:color w:val="000000"/>
          <w:szCs w:val="18"/>
        </w:rPr>
      </w:pPr>
      <w:r>
        <w:rPr>
          <w:bCs/>
          <w:color w:val="000000"/>
          <w:szCs w:val="18"/>
        </w:rPr>
        <w:t xml:space="preserve">Treatment outcomes in subjects treated with </w:t>
      </w:r>
      <w:r w:rsidR="000D7FE6">
        <w:rPr>
          <w:bCs/>
          <w:color w:val="000000"/>
          <w:szCs w:val="18"/>
        </w:rPr>
        <w:t>ZEPATIER</w:t>
      </w:r>
      <w:r>
        <w:rPr>
          <w:bCs/>
          <w:color w:val="000000"/>
          <w:szCs w:val="18"/>
        </w:rPr>
        <w:t xml:space="preserve"> for 12 weeks in the i</w:t>
      </w:r>
      <w:r w:rsidRPr="00C10448">
        <w:rPr>
          <w:bCs/>
          <w:color w:val="000000"/>
        </w:rPr>
        <w:t>mmediate treatment group</w:t>
      </w:r>
      <w:r>
        <w:rPr>
          <w:bCs/>
          <w:color w:val="000000"/>
        </w:rPr>
        <w:t xml:space="preserve"> and </w:t>
      </w:r>
      <w:r w:rsidRPr="00C10448">
        <w:rPr>
          <w:bCs/>
          <w:color w:val="000000"/>
        </w:rPr>
        <w:t xml:space="preserve">intensive PK arm </w:t>
      </w:r>
      <w:r>
        <w:rPr>
          <w:bCs/>
          <w:color w:val="000000"/>
          <w:szCs w:val="18"/>
        </w:rPr>
        <w:t xml:space="preserve">are presented in </w:t>
      </w:r>
      <w:r w:rsidR="002A3BDE">
        <w:rPr>
          <w:bCs/>
          <w:color w:val="000000"/>
          <w:szCs w:val="18"/>
        </w:rPr>
        <w:fldChar w:fldCharType="begin"/>
      </w:r>
      <w:r w:rsidR="002A3BDE">
        <w:rPr>
          <w:bCs/>
          <w:color w:val="000000"/>
          <w:szCs w:val="18"/>
        </w:rPr>
        <w:instrText xml:space="preserve"> REF _Ref423005129 \h </w:instrText>
      </w:r>
      <w:r w:rsidR="002A3BDE">
        <w:rPr>
          <w:bCs/>
          <w:color w:val="000000"/>
          <w:szCs w:val="18"/>
        </w:rPr>
      </w:r>
      <w:r w:rsidR="002A3BDE">
        <w:rPr>
          <w:bCs/>
          <w:color w:val="000000"/>
          <w:szCs w:val="18"/>
        </w:rPr>
        <w:fldChar w:fldCharType="separate"/>
      </w:r>
      <w:r w:rsidR="008B30DE">
        <w:t xml:space="preserve">Table </w:t>
      </w:r>
      <w:r w:rsidR="00E5382C">
        <w:t>7</w:t>
      </w:r>
      <w:r w:rsidR="002A3BDE">
        <w:rPr>
          <w:bCs/>
          <w:color w:val="000000"/>
          <w:szCs w:val="18"/>
        </w:rPr>
        <w:fldChar w:fldCharType="end"/>
      </w:r>
      <w:r>
        <w:rPr>
          <w:bCs/>
          <w:color w:val="000000"/>
          <w:szCs w:val="18"/>
        </w:rPr>
        <w:t>.</w:t>
      </w:r>
    </w:p>
    <w:p w:rsidR="00A84A45" w:rsidRDefault="00A84A45">
      <w:pPr>
        <w:spacing w:before="0" w:after="0"/>
        <w:rPr>
          <w:b/>
          <w:bCs/>
          <w:sz w:val="20"/>
        </w:rPr>
      </w:pPr>
      <w:bookmarkStart w:id="6" w:name="_Ref423005129"/>
    </w:p>
    <w:p w:rsidR="00787CE0" w:rsidRDefault="00787CE0">
      <w:pPr>
        <w:spacing w:before="0" w:after="0"/>
        <w:rPr>
          <w:b/>
          <w:bCs/>
          <w:sz w:val="20"/>
        </w:rPr>
      </w:pPr>
      <w:r>
        <w:br w:type="page"/>
      </w:r>
    </w:p>
    <w:p w:rsidR="00363143" w:rsidRPr="002A3BDE" w:rsidRDefault="002A3BDE" w:rsidP="002A3BDE">
      <w:pPr>
        <w:pStyle w:val="Caption"/>
        <w:keepNext/>
        <w:jc w:val="center"/>
        <w:rPr>
          <w:bCs w:val="0"/>
          <w:color w:val="000000"/>
          <w:u w:val="single"/>
        </w:rPr>
      </w:pPr>
      <w:r>
        <w:lastRenderedPageBreak/>
        <w:t xml:space="preserve">Table </w:t>
      </w:r>
      <w:r w:rsidR="00E5382C">
        <w:t>7</w:t>
      </w:r>
      <w:bookmarkEnd w:id="6"/>
      <w:r w:rsidR="00363143" w:rsidRPr="002A3BDE">
        <w:t xml:space="preserve">: C-SURFER Trial: Treatment Outcomes in Subjects </w:t>
      </w:r>
      <w:r w:rsidR="00363143" w:rsidRPr="002A3BDE">
        <w:rPr>
          <w:bCs w:val="0"/>
          <w:color w:val="000000"/>
          <w:szCs w:val="18"/>
        </w:rPr>
        <w:t>with Advanced Chronic Kidney Disease</w:t>
      </w:r>
      <w:r w:rsidR="00363143" w:rsidRPr="002A3BDE">
        <w:t xml:space="preserve"> who were Treatment-Naïve or had Failed Prior</w:t>
      </w:r>
      <w:r w:rsidR="00120FDF">
        <w:t xml:space="preserve"> IFN or</w:t>
      </w:r>
      <w:r w:rsidR="00363143" w:rsidRPr="002A3BDE">
        <w:t xml:space="preserve"> Peg-IFN </w:t>
      </w:r>
      <w:r w:rsidR="00363143" w:rsidRPr="002A3BDE">
        <w:rPr>
          <w:bCs w:val="0"/>
          <w:color w:val="000000"/>
        </w:rPr>
        <w:t>±</w:t>
      </w:r>
      <w:r w:rsidR="00363143" w:rsidRPr="002A3BDE">
        <w:t xml:space="preserve"> RBV, with or without Cirrhosis,</w:t>
      </w:r>
      <w:r w:rsidR="00363143" w:rsidRPr="002A3BDE">
        <w:rPr>
          <w:bCs w:val="0"/>
          <w:color w:val="000000"/>
          <w:szCs w:val="18"/>
        </w:rPr>
        <w:t xml:space="preserve"> with Genotype 1 Chronic Hepatitis C Infection</w:t>
      </w:r>
    </w:p>
    <w:tbl>
      <w:tblPr>
        <w:tblW w:w="9285" w:type="dxa"/>
        <w:jc w:val="center"/>
        <w:tblLayout w:type="fixed"/>
        <w:tblLook w:val="04A0" w:firstRow="1" w:lastRow="0" w:firstColumn="1" w:lastColumn="0" w:noHBand="0" w:noVBand="1"/>
      </w:tblPr>
      <w:tblGrid>
        <w:gridCol w:w="3615"/>
        <w:gridCol w:w="5670"/>
      </w:tblGrid>
      <w:tr w:rsidR="00363143" w:rsidRPr="002A3BDE" w:rsidTr="00394C9F">
        <w:trPr>
          <w:trHeight w:val="403"/>
          <w:jc w:val="center"/>
        </w:trPr>
        <w:tc>
          <w:tcPr>
            <w:tcW w:w="3615" w:type="dxa"/>
            <w:tcBorders>
              <w:top w:val="single" w:sz="4" w:space="0" w:color="auto"/>
              <w:left w:val="single" w:sz="4" w:space="0" w:color="auto"/>
              <w:bottom w:val="single" w:sz="4" w:space="0" w:color="auto"/>
              <w:right w:val="single" w:sz="4" w:space="0" w:color="auto"/>
            </w:tcBorders>
            <w:shd w:val="clear" w:color="auto" w:fill="auto"/>
          </w:tcPr>
          <w:p w:rsidR="00363143" w:rsidRPr="002A3BDE" w:rsidRDefault="00363143" w:rsidP="00812C6B">
            <w:pPr>
              <w:jc w:val="center"/>
              <w:rPr>
                <w:b/>
                <w:color w:val="000000"/>
                <w:sz w:val="20"/>
                <w:szCs w:val="20"/>
              </w:rPr>
            </w:pPr>
            <w:r w:rsidRPr="002A3BDE">
              <w:rPr>
                <w:b/>
                <w:color w:val="000000"/>
                <w:sz w:val="20"/>
                <w:szCs w:val="20"/>
              </w:rPr>
              <w:t>Regimen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63143" w:rsidRPr="002A3BDE" w:rsidRDefault="003D50E4" w:rsidP="00812C6B">
            <w:pPr>
              <w:jc w:val="center"/>
              <w:rPr>
                <w:b/>
                <w:color w:val="000000"/>
                <w:sz w:val="20"/>
                <w:szCs w:val="20"/>
              </w:rPr>
            </w:pPr>
            <w:r>
              <w:rPr>
                <w:b/>
                <w:color w:val="000000"/>
                <w:sz w:val="20"/>
                <w:szCs w:val="20"/>
              </w:rPr>
              <w:t xml:space="preserve">EBR + </w:t>
            </w:r>
            <w:r w:rsidR="00363143" w:rsidRPr="002A3BDE">
              <w:rPr>
                <w:b/>
                <w:color w:val="000000"/>
                <w:sz w:val="20"/>
                <w:szCs w:val="20"/>
              </w:rPr>
              <w:t xml:space="preserve">GZR </w:t>
            </w:r>
          </w:p>
          <w:p w:rsidR="00363143" w:rsidRPr="002A3BDE" w:rsidRDefault="00363143" w:rsidP="00812C6B">
            <w:pPr>
              <w:jc w:val="center"/>
              <w:rPr>
                <w:b/>
                <w:color w:val="000000"/>
                <w:sz w:val="20"/>
                <w:szCs w:val="20"/>
              </w:rPr>
            </w:pPr>
            <w:r w:rsidRPr="002A3BDE">
              <w:rPr>
                <w:b/>
                <w:color w:val="000000"/>
                <w:sz w:val="20"/>
                <w:szCs w:val="20"/>
              </w:rPr>
              <w:t>12 weeks</w:t>
            </w:r>
          </w:p>
          <w:p w:rsidR="00363143" w:rsidRPr="002A3BDE" w:rsidRDefault="00363143" w:rsidP="00812C6B">
            <w:pPr>
              <w:jc w:val="center"/>
              <w:rPr>
                <w:b/>
                <w:color w:val="000000"/>
                <w:sz w:val="20"/>
                <w:szCs w:val="20"/>
              </w:rPr>
            </w:pPr>
            <w:r w:rsidRPr="002A3BDE">
              <w:rPr>
                <w:b/>
                <w:color w:val="000000"/>
                <w:sz w:val="20"/>
                <w:szCs w:val="20"/>
              </w:rPr>
              <w:t>N=122*</w:t>
            </w:r>
          </w:p>
        </w:tc>
      </w:tr>
      <w:tr w:rsidR="00363143" w:rsidRPr="002A3BDE" w:rsidTr="00394C9F">
        <w:trPr>
          <w:trHeight w:val="300"/>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tcPr>
          <w:p w:rsidR="00363143" w:rsidRPr="002A3BDE" w:rsidRDefault="00363143" w:rsidP="00812C6B">
            <w:pPr>
              <w:rPr>
                <w:color w:val="000000"/>
                <w:sz w:val="20"/>
                <w:szCs w:val="20"/>
              </w:rPr>
            </w:pPr>
            <w:r w:rsidRPr="002A3BDE">
              <w:rPr>
                <w:color w:val="000000"/>
                <w:sz w:val="20"/>
                <w:szCs w:val="20"/>
              </w:rPr>
              <w:t xml:space="preserve">Overall SVR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363143" w:rsidRPr="002A3BDE" w:rsidRDefault="00363143" w:rsidP="00812C6B">
            <w:pPr>
              <w:jc w:val="center"/>
              <w:rPr>
                <w:color w:val="000000"/>
                <w:sz w:val="20"/>
                <w:szCs w:val="20"/>
              </w:rPr>
            </w:pPr>
            <w:r w:rsidRPr="002A3BDE">
              <w:rPr>
                <w:sz w:val="20"/>
                <w:szCs w:val="20"/>
              </w:rPr>
              <w:t>94% (115/122)</w:t>
            </w:r>
            <w:r w:rsidRPr="002A3BDE">
              <w:rPr>
                <w:sz w:val="20"/>
                <w:szCs w:val="20"/>
                <w:vertAlign w:val="superscript"/>
              </w:rPr>
              <w:t>†</w:t>
            </w:r>
          </w:p>
        </w:tc>
      </w:tr>
      <w:tr w:rsidR="00363143" w:rsidRPr="002A3BDE" w:rsidTr="00394C9F">
        <w:trPr>
          <w:trHeight w:val="300"/>
          <w:jc w:val="center"/>
        </w:trPr>
        <w:tc>
          <w:tcPr>
            <w:tcW w:w="928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63143" w:rsidRPr="002A3BDE" w:rsidRDefault="00363143" w:rsidP="00812C6B">
            <w:pPr>
              <w:rPr>
                <w:sz w:val="20"/>
                <w:szCs w:val="20"/>
              </w:rPr>
            </w:pPr>
            <w:r w:rsidRPr="002A3BDE">
              <w:rPr>
                <w:color w:val="000000"/>
                <w:sz w:val="20"/>
                <w:szCs w:val="20"/>
              </w:rPr>
              <w:t>Outcome for subjects without SVR</w:t>
            </w:r>
          </w:p>
        </w:tc>
      </w:tr>
      <w:tr w:rsidR="00363143" w:rsidRPr="002A3BDE" w:rsidTr="00394C9F">
        <w:trPr>
          <w:trHeight w:val="300"/>
          <w:jc w:val="center"/>
        </w:trPr>
        <w:tc>
          <w:tcPr>
            <w:tcW w:w="3615" w:type="dxa"/>
            <w:tcBorders>
              <w:top w:val="single" w:sz="4" w:space="0" w:color="auto"/>
              <w:left w:val="single" w:sz="4"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 xml:space="preserve">On-treatment </w:t>
            </w:r>
            <w:proofErr w:type="spellStart"/>
            <w:r w:rsidRPr="002A3BDE">
              <w:rPr>
                <w:color w:val="000000"/>
                <w:sz w:val="20"/>
                <w:szCs w:val="20"/>
              </w:rPr>
              <w:t>Virologic</w:t>
            </w:r>
            <w:proofErr w:type="spellEnd"/>
            <w:r w:rsidRPr="002A3BDE">
              <w:rPr>
                <w:color w:val="000000"/>
                <w:sz w:val="20"/>
                <w:szCs w:val="20"/>
              </w:rPr>
              <w:t xml:space="preserve"> Failure</w:t>
            </w:r>
          </w:p>
        </w:tc>
        <w:tc>
          <w:tcPr>
            <w:tcW w:w="5670" w:type="dxa"/>
            <w:tcBorders>
              <w:top w:val="single" w:sz="4" w:space="0" w:color="auto"/>
              <w:left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0% (0/122)</w:t>
            </w:r>
          </w:p>
        </w:tc>
      </w:tr>
      <w:tr w:rsidR="00363143" w:rsidRPr="002A3BDE" w:rsidTr="00394C9F">
        <w:trPr>
          <w:trHeight w:val="300"/>
          <w:jc w:val="center"/>
        </w:trPr>
        <w:tc>
          <w:tcPr>
            <w:tcW w:w="3615" w:type="dxa"/>
            <w:tcBorders>
              <w:left w:val="single" w:sz="4"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Relapse</w:t>
            </w:r>
          </w:p>
        </w:tc>
        <w:tc>
          <w:tcPr>
            <w:tcW w:w="5670" w:type="dxa"/>
            <w:tcBorders>
              <w:left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&lt;1% (1/122)</w:t>
            </w:r>
          </w:p>
        </w:tc>
      </w:tr>
      <w:tr w:rsidR="00363143" w:rsidRPr="002A3BDE" w:rsidTr="00394C9F">
        <w:trPr>
          <w:trHeight w:val="300"/>
          <w:jc w:val="center"/>
        </w:trPr>
        <w:tc>
          <w:tcPr>
            <w:tcW w:w="3615" w:type="dxa"/>
            <w:tcBorders>
              <w:left w:val="single" w:sz="4" w:space="0" w:color="auto"/>
              <w:bottom w:val="single" w:sz="4"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Other</w:t>
            </w:r>
            <w:r w:rsidRPr="002A3BDE">
              <w:rPr>
                <w:color w:val="000000"/>
                <w:sz w:val="20"/>
                <w:szCs w:val="20"/>
                <w:vertAlign w:val="superscript"/>
              </w:rPr>
              <w:t>‡</w:t>
            </w:r>
          </w:p>
        </w:tc>
        <w:tc>
          <w:tcPr>
            <w:tcW w:w="5670" w:type="dxa"/>
            <w:tcBorders>
              <w:left w:val="single" w:sz="4"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5% (6/122)</w:t>
            </w:r>
          </w:p>
        </w:tc>
      </w:tr>
      <w:tr w:rsidR="00363143" w:rsidRPr="002A3BDE" w:rsidTr="00394C9F">
        <w:trPr>
          <w:trHeight w:val="300"/>
          <w:jc w:val="center"/>
        </w:trPr>
        <w:tc>
          <w:tcPr>
            <w:tcW w:w="9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363143" w:rsidP="00812C6B">
            <w:pPr>
              <w:rPr>
                <w:color w:val="000000"/>
                <w:sz w:val="20"/>
                <w:szCs w:val="20"/>
              </w:rPr>
            </w:pPr>
            <w:r w:rsidRPr="002A3BDE">
              <w:rPr>
                <w:color w:val="000000"/>
                <w:sz w:val="20"/>
                <w:szCs w:val="20"/>
              </w:rPr>
              <w:t>SVR by Genotype</w:t>
            </w:r>
          </w:p>
        </w:tc>
      </w:tr>
      <w:tr w:rsidR="00363143" w:rsidRPr="002A3BDE" w:rsidTr="00394C9F">
        <w:trPr>
          <w:trHeight w:val="300"/>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GT 1a</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97% (61/63)</w:t>
            </w:r>
          </w:p>
        </w:tc>
      </w:tr>
      <w:tr w:rsidR="00363143" w:rsidRPr="002A3BDE" w:rsidTr="00394C9F">
        <w:trPr>
          <w:trHeight w:val="300"/>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GT 1b</w:t>
            </w:r>
            <w:r w:rsidRPr="002A3BDE">
              <w:rPr>
                <w:color w:val="000000"/>
                <w:sz w:val="20"/>
                <w:szCs w:val="20"/>
                <w:vertAlign w:val="superscript"/>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92% (54/59)</w:t>
            </w:r>
          </w:p>
        </w:tc>
      </w:tr>
      <w:tr w:rsidR="00363143" w:rsidRPr="002A3BDE" w:rsidTr="00394C9F">
        <w:trPr>
          <w:trHeight w:val="300"/>
          <w:jc w:val="center"/>
        </w:trPr>
        <w:tc>
          <w:tcPr>
            <w:tcW w:w="9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363143" w:rsidP="00812C6B">
            <w:pPr>
              <w:rPr>
                <w:color w:val="000000"/>
                <w:sz w:val="20"/>
                <w:szCs w:val="20"/>
              </w:rPr>
            </w:pPr>
            <w:r w:rsidRPr="002A3BDE">
              <w:rPr>
                <w:color w:val="000000"/>
                <w:sz w:val="20"/>
                <w:szCs w:val="20"/>
              </w:rPr>
              <w:t>SVR by Cirrhosis status</w:t>
            </w:r>
          </w:p>
        </w:tc>
      </w:tr>
      <w:tr w:rsidR="00363143" w:rsidRPr="002A3BDE" w:rsidTr="00394C9F">
        <w:trPr>
          <w:trHeight w:val="300"/>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Non-cirrhotic</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95% (109/115)</w:t>
            </w:r>
          </w:p>
        </w:tc>
      </w:tr>
      <w:tr w:rsidR="00363143" w:rsidRPr="002A3BDE" w:rsidTr="00394C9F">
        <w:trPr>
          <w:trHeight w:val="315"/>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Cirrhotic</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86% (6/7)</w:t>
            </w:r>
          </w:p>
        </w:tc>
      </w:tr>
      <w:tr w:rsidR="00363143" w:rsidRPr="002A3BDE" w:rsidTr="00394C9F">
        <w:trPr>
          <w:trHeight w:val="315"/>
          <w:jc w:val="center"/>
        </w:trPr>
        <w:tc>
          <w:tcPr>
            <w:tcW w:w="9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792FB7" w:rsidP="00812C6B">
            <w:pPr>
              <w:rPr>
                <w:color w:val="000000"/>
                <w:sz w:val="20"/>
                <w:szCs w:val="20"/>
              </w:rPr>
            </w:pPr>
            <w:r>
              <w:rPr>
                <w:color w:val="000000"/>
                <w:sz w:val="20"/>
                <w:szCs w:val="20"/>
              </w:rPr>
              <w:t xml:space="preserve">SVR by </w:t>
            </w:r>
            <w:r w:rsidR="00363143" w:rsidRPr="002A3BDE">
              <w:rPr>
                <w:color w:val="000000"/>
                <w:sz w:val="20"/>
                <w:szCs w:val="20"/>
              </w:rPr>
              <w:t>Prior HCV Treatment Status</w:t>
            </w:r>
          </w:p>
        </w:tc>
      </w:tr>
      <w:tr w:rsidR="00363143" w:rsidRPr="002A3BDE" w:rsidTr="00394C9F">
        <w:trPr>
          <w:trHeight w:val="315"/>
          <w:jc w:val="center"/>
        </w:trPr>
        <w:tc>
          <w:tcPr>
            <w:tcW w:w="3615" w:type="dxa"/>
            <w:tcBorders>
              <w:top w:val="single" w:sz="4" w:space="0" w:color="auto"/>
              <w:left w:val="single" w:sz="8"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Treatment-naïve</w:t>
            </w:r>
          </w:p>
        </w:tc>
        <w:tc>
          <w:tcPr>
            <w:tcW w:w="5670" w:type="dxa"/>
            <w:tcBorders>
              <w:top w:val="single" w:sz="4" w:space="0" w:color="auto"/>
              <w:left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95% (96/101)</w:t>
            </w:r>
          </w:p>
        </w:tc>
      </w:tr>
      <w:tr w:rsidR="00363143" w:rsidRPr="002A3BDE" w:rsidTr="00394C9F">
        <w:trPr>
          <w:trHeight w:val="315"/>
          <w:jc w:val="center"/>
        </w:trPr>
        <w:tc>
          <w:tcPr>
            <w:tcW w:w="3615" w:type="dxa"/>
            <w:tcBorders>
              <w:top w:val="nil"/>
              <w:left w:val="single" w:sz="8" w:space="0" w:color="auto"/>
              <w:bottom w:val="single" w:sz="4"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Treatment-experienced</w:t>
            </w:r>
          </w:p>
        </w:tc>
        <w:tc>
          <w:tcPr>
            <w:tcW w:w="5670" w:type="dxa"/>
            <w:tcBorders>
              <w:top w:val="nil"/>
              <w:left w:val="single" w:sz="4"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90% (19/21)</w:t>
            </w:r>
          </w:p>
        </w:tc>
      </w:tr>
      <w:tr w:rsidR="00363143" w:rsidRPr="002A3BDE" w:rsidTr="00394C9F">
        <w:trPr>
          <w:trHeight w:val="315"/>
          <w:jc w:val="center"/>
        </w:trPr>
        <w:tc>
          <w:tcPr>
            <w:tcW w:w="9285" w:type="dxa"/>
            <w:gridSpan w:val="2"/>
            <w:tcBorders>
              <w:top w:val="nil"/>
              <w:left w:val="single" w:sz="8" w:space="0" w:color="auto"/>
              <w:bottom w:val="single" w:sz="4" w:space="0" w:color="auto"/>
              <w:right w:val="single" w:sz="4" w:space="0" w:color="auto"/>
            </w:tcBorders>
            <w:shd w:val="clear" w:color="auto" w:fill="auto"/>
            <w:vAlign w:val="center"/>
          </w:tcPr>
          <w:p w:rsidR="00363143" w:rsidRPr="002A3BDE" w:rsidRDefault="00792FB7" w:rsidP="00812C6B">
            <w:pPr>
              <w:rPr>
                <w:color w:val="000000"/>
                <w:sz w:val="20"/>
                <w:szCs w:val="20"/>
              </w:rPr>
            </w:pPr>
            <w:r>
              <w:rPr>
                <w:color w:val="000000"/>
                <w:sz w:val="20"/>
                <w:szCs w:val="20"/>
              </w:rPr>
              <w:t xml:space="preserve">SVR by </w:t>
            </w:r>
            <w:r w:rsidR="00363143" w:rsidRPr="002A3BDE">
              <w:rPr>
                <w:color w:val="000000"/>
                <w:sz w:val="20"/>
                <w:szCs w:val="20"/>
              </w:rPr>
              <w:t>Dialysis Status</w:t>
            </w:r>
          </w:p>
        </w:tc>
      </w:tr>
      <w:tr w:rsidR="00363143" w:rsidRPr="002A3BDE" w:rsidTr="00394C9F">
        <w:trPr>
          <w:trHeight w:val="315"/>
          <w:jc w:val="center"/>
        </w:trPr>
        <w:tc>
          <w:tcPr>
            <w:tcW w:w="3615" w:type="dxa"/>
            <w:tcBorders>
              <w:top w:val="nil"/>
              <w:left w:val="single" w:sz="8"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No</w:t>
            </w:r>
          </w:p>
        </w:tc>
        <w:tc>
          <w:tcPr>
            <w:tcW w:w="5670" w:type="dxa"/>
            <w:tcBorders>
              <w:top w:val="nil"/>
              <w:left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97% (29/30)</w:t>
            </w:r>
          </w:p>
        </w:tc>
      </w:tr>
      <w:tr w:rsidR="00363143" w:rsidRPr="002A3BDE" w:rsidTr="00394C9F">
        <w:trPr>
          <w:trHeight w:val="315"/>
          <w:jc w:val="center"/>
        </w:trPr>
        <w:tc>
          <w:tcPr>
            <w:tcW w:w="3615" w:type="dxa"/>
            <w:tcBorders>
              <w:top w:val="nil"/>
              <w:left w:val="single" w:sz="8" w:space="0" w:color="auto"/>
              <w:bottom w:val="single" w:sz="4"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Yes</w:t>
            </w:r>
          </w:p>
        </w:tc>
        <w:tc>
          <w:tcPr>
            <w:tcW w:w="5670" w:type="dxa"/>
            <w:tcBorders>
              <w:top w:val="nil"/>
              <w:left w:val="single" w:sz="4"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93% (86/92)</w:t>
            </w:r>
          </w:p>
        </w:tc>
      </w:tr>
      <w:tr w:rsidR="00363143" w:rsidRPr="002A3BDE" w:rsidTr="00394C9F">
        <w:trPr>
          <w:trHeight w:val="315"/>
          <w:jc w:val="center"/>
        </w:trPr>
        <w:tc>
          <w:tcPr>
            <w:tcW w:w="9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143" w:rsidRPr="002A3BDE" w:rsidRDefault="00792FB7" w:rsidP="00812C6B">
            <w:pPr>
              <w:rPr>
                <w:color w:val="000000"/>
                <w:sz w:val="20"/>
                <w:szCs w:val="20"/>
              </w:rPr>
            </w:pPr>
            <w:r>
              <w:rPr>
                <w:color w:val="000000"/>
                <w:sz w:val="20"/>
                <w:szCs w:val="20"/>
              </w:rPr>
              <w:t xml:space="preserve">SVR by </w:t>
            </w:r>
            <w:r w:rsidR="00363143" w:rsidRPr="002A3BDE">
              <w:rPr>
                <w:color w:val="000000"/>
                <w:sz w:val="20"/>
                <w:szCs w:val="20"/>
              </w:rPr>
              <w:t>Chronic Kidney Disease Stage</w:t>
            </w:r>
          </w:p>
        </w:tc>
      </w:tr>
      <w:tr w:rsidR="00363143" w:rsidRPr="002A3BDE" w:rsidTr="00394C9F">
        <w:trPr>
          <w:trHeight w:val="315"/>
          <w:jc w:val="center"/>
        </w:trPr>
        <w:tc>
          <w:tcPr>
            <w:tcW w:w="3615" w:type="dxa"/>
            <w:tcBorders>
              <w:top w:val="nil"/>
              <w:left w:val="single" w:sz="8"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Stage 4</w:t>
            </w:r>
          </w:p>
        </w:tc>
        <w:tc>
          <w:tcPr>
            <w:tcW w:w="5670" w:type="dxa"/>
            <w:tcBorders>
              <w:top w:val="nil"/>
              <w:left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100% (22/22)</w:t>
            </w:r>
          </w:p>
        </w:tc>
      </w:tr>
      <w:tr w:rsidR="00363143" w:rsidRPr="002A3BDE" w:rsidTr="00394C9F">
        <w:trPr>
          <w:trHeight w:val="315"/>
          <w:jc w:val="center"/>
        </w:trPr>
        <w:tc>
          <w:tcPr>
            <w:tcW w:w="3615" w:type="dxa"/>
            <w:tcBorders>
              <w:top w:val="nil"/>
              <w:left w:val="single" w:sz="8" w:space="0" w:color="auto"/>
              <w:bottom w:val="single" w:sz="4" w:space="0" w:color="auto"/>
              <w:right w:val="single" w:sz="4" w:space="0" w:color="auto"/>
            </w:tcBorders>
            <w:shd w:val="clear" w:color="auto" w:fill="auto"/>
            <w:vAlign w:val="center"/>
          </w:tcPr>
          <w:p w:rsidR="00363143" w:rsidRPr="002A3BDE" w:rsidRDefault="00363143" w:rsidP="00812C6B">
            <w:pPr>
              <w:ind w:left="177"/>
              <w:rPr>
                <w:color w:val="000000"/>
                <w:sz w:val="20"/>
                <w:szCs w:val="20"/>
              </w:rPr>
            </w:pPr>
            <w:r w:rsidRPr="002A3BDE">
              <w:rPr>
                <w:color w:val="000000"/>
                <w:sz w:val="20"/>
                <w:szCs w:val="20"/>
              </w:rPr>
              <w:t>Stage 5</w:t>
            </w:r>
          </w:p>
        </w:tc>
        <w:tc>
          <w:tcPr>
            <w:tcW w:w="5670" w:type="dxa"/>
            <w:tcBorders>
              <w:top w:val="nil"/>
              <w:left w:val="single" w:sz="4" w:space="0" w:color="auto"/>
              <w:bottom w:val="single" w:sz="4" w:space="0" w:color="auto"/>
              <w:right w:val="single" w:sz="4" w:space="0" w:color="auto"/>
            </w:tcBorders>
            <w:shd w:val="clear" w:color="auto" w:fill="auto"/>
            <w:vAlign w:val="center"/>
          </w:tcPr>
          <w:p w:rsidR="00363143" w:rsidRPr="002A3BDE" w:rsidRDefault="00363143" w:rsidP="00812C6B">
            <w:pPr>
              <w:jc w:val="center"/>
              <w:rPr>
                <w:color w:val="000000"/>
                <w:sz w:val="20"/>
                <w:szCs w:val="20"/>
              </w:rPr>
            </w:pPr>
            <w:r w:rsidRPr="002A3BDE">
              <w:rPr>
                <w:color w:val="000000"/>
                <w:sz w:val="20"/>
                <w:szCs w:val="20"/>
              </w:rPr>
              <w:t>93% (93/100)</w:t>
            </w:r>
          </w:p>
        </w:tc>
      </w:tr>
    </w:tbl>
    <w:p w:rsidR="00363143" w:rsidRPr="00F42F76" w:rsidRDefault="00363143" w:rsidP="00F42F76">
      <w:pPr>
        <w:pStyle w:val="NoSpacing"/>
        <w:rPr>
          <w:sz w:val="18"/>
          <w:szCs w:val="18"/>
        </w:rPr>
      </w:pPr>
      <w:r w:rsidRPr="00F42F76">
        <w:rPr>
          <w:sz w:val="18"/>
          <w:szCs w:val="18"/>
        </w:rPr>
        <w:t xml:space="preserve">*Includes subjects in the intensive PK arm </w:t>
      </w:r>
    </w:p>
    <w:p w:rsidR="00363143" w:rsidRPr="00F42F76" w:rsidRDefault="00363143" w:rsidP="00F42F76">
      <w:pPr>
        <w:pStyle w:val="NoSpacing"/>
        <w:rPr>
          <w:sz w:val="18"/>
          <w:szCs w:val="18"/>
        </w:rPr>
      </w:pPr>
      <w:r w:rsidRPr="00F42F76">
        <w:rPr>
          <w:sz w:val="18"/>
          <w:szCs w:val="18"/>
          <w:vertAlign w:val="superscript"/>
        </w:rPr>
        <w:t>†</w:t>
      </w:r>
      <w:r w:rsidRPr="00F42F76">
        <w:rPr>
          <w:sz w:val="18"/>
          <w:szCs w:val="18"/>
        </w:rPr>
        <w:t>SVR was achieved in 99% (115/116) of subjects in the pre-specified primary analysis population, which excluded subjects not receiving at least one dose of study treatment and those with missing data due to death or early study discontinuation for reasons unrelated to treatment response.</w:t>
      </w:r>
    </w:p>
    <w:p w:rsidR="00363143" w:rsidRPr="00F42F76" w:rsidRDefault="00363143" w:rsidP="00F42F76">
      <w:pPr>
        <w:pStyle w:val="NoSpacing"/>
        <w:rPr>
          <w:sz w:val="18"/>
          <w:szCs w:val="18"/>
        </w:rPr>
      </w:pPr>
      <w:r w:rsidRPr="00F42F76">
        <w:rPr>
          <w:sz w:val="18"/>
          <w:szCs w:val="18"/>
          <w:vertAlign w:val="superscript"/>
        </w:rPr>
        <w:t>‡</w:t>
      </w:r>
      <w:r w:rsidRPr="00F42F76">
        <w:rPr>
          <w:sz w:val="18"/>
          <w:szCs w:val="18"/>
        </w:rPr>
        <w:t>Other includes subjects who discontinued due to adverse event, lost to follow-up, or subject withdrawal.</w:t>
      </w:r>
    </w:p>
    <w:p w:rsidR="00363143" w:rsidRPr="00F42F76" w:rsidRDefault="00363143" w:rsidP="00F42F76">
      <w:pPr>
        <w:pStyle w:val="NoSpacing"/>
        <w:rPr>
          <w:sz w:val="18"/>
          <w:szCs w:val="18"/>
        </w:rPr>
      </w:pPr>
      <w:r w:rsidRPr="00F42F76">
        <w:rPr>
          <w:sz w:val="18"/>
          <w:szCs w:val="18"/>
          <w:vertAlign w:val="superscript"/>
        </w:rPr>
        <w:t>§</w:t>
      </w:r>
      <w:r w:rsidRPr="00F42F76">
        <w:rPr>
          <w:sz w:val="18"/>
          <w:szCs w:val="18"/>
        </w:rPr>
        <w:t>Includes genotype 1 subtypes other than 1a or 1b.</w:t>
      </w:r>
    </w:p>
    <w:p w:rsidR="00363143" w:rsidRDefault="00363143" w:rsidP="00363143"/>
    <w:p w:rsidR="00363143" w:rsidRPr="00F84D0C" w:rsidRDefault="00363143" w:rsidP="0065247B">
      <w:pPr>
        <w:spacing w:before="0" w:after="0"/>
        <w:rPr>
          <w:b/>
          <w:sz w:val="24"/>
        </w:rPr>
      </w:pPr>
      <w:r w:rsidRPr="00F84D0C">
        <w:rPr>
          <w:b/>
          <w:sz w:val="24"/>
        </w:rPr>
        <w:t>Clinical Trial in Treatment-Naïve Subjects with Genotype 3 Chronic Hepatitis C Infection</w:t>
      </w:r>
    </w:p>
    <w:p w:rsidR="00363143" w:rsidRPr="00B85173" w:rsidRDefault="004A5733" w:rsidP="002A3BDE">
      <w:pPr>
        <w:rPr>
          <w:bCs/>
          <w:color w:val="000000"/>
        </w:rPr>
      </w:pPr>
      <w:r w:rsidRPr="00B85173">
        <w:t xml:space="preserve">ZEPATIER </w:t>
      </w:r>
      <w:r w:rsidR="00F84D0C">
        <w:t xml:space="preserve">+ </w:t>
      </w:r>
      <w:proofErr w:type="spellStart"/>
      <w:r w:rsidR="00F84D0C">
        <w:t>sofosbuvir</w:t>
      </w:r>
      <w:proofErr w:type="spellEnd"/>
      <w:r w:rsidR="00F84D0C">
        <w:t xml:space="preserve"> </w:t>
      </w:r>
      <w:proofErr w:type="gramStart"/>
      <w:r w:rsidR="00F84D0C">
        <w:t>has</w:t>
      </w:r>
      <w:proofErr w:type="gramEnd"/>
      <w:r w:rsidR="00F84D0C">
        <w:t xml:space="preserve"> been evaluated in a limited number of </w:t>
      </w:r>
      <w:r w:rsidRPr="00B85173">
        <w:t xml:space="preserve">patients with genotype 3 infection.  </w:t>
      </w:r>
      <w:r w:rsidR="00363143" w:rsidRPr="00B85173">
        <w:t xml:space="preserve">In the C-SWIFT study, </w:t>
      </w:r>
      <w:r w:rsidR="00F84D0C">
        <w:t xml:space="preserve">41 </w:t>
      </w:r>
      <w:r w:rsidR="00363143" w:rsidRPr="00B85173">
        <w:t xml:space="preserve">treatment naïve subjects with genotype 3 CHC with or without cirrhosis </w:t>
      </w:r>
      <w:r w:rsidR="00F84D0C">
        <w:t xml:space="preserve">were </w:t>
      </w:r>
      <w:r w:rsidR="00363143" w:rsidRPr="00B85173">
        <w:t xml:space="preserve">treated with </w:t>
      </w:r>
      <w:r w:rsidR="000D7FE6" w:rsidRPr="00B85173">
        <w:t>ZEPATIER</w:t>
      </w:r>
      <w:r w:rsidR="00363143" w:rsidRPr="00B85173">
        <w:t xml:space="preserve"> + </w:t>
      </w:r>
      <w:proofErr w:type="spellStart"/>
      <w:r w:rsidR="00363143" w:rsidRPr="00B85173">
        <w:t>sofosbuvir</w:t>
      </w:r>
      <w:proofErr w:type="spellEnd"/>
      <w:r w:rsidR="00363143" w:rsidRPr="00B85173">
        <w:t xml:space="preserve"> for 8 or 12 weeks</w:t>
      </w:r>
      <w:r w:rsidR="00F84D0C">
        <w:t>. The</w:t>
      </w:r>
      <w:r w:rsidR="00363143" w:rsidRPr="00B85173">
        <w:t xml:space="preserve">  median age was 52 years (range: 26 to 69); 71% of the subjects were male; 100% were White; 49% were </w:t>
      </w:r>
      <w:r w:rsidR="00363143" w:rsidRPr="00B85173">
        <w:lastRenderedPageBreak/>
        <w:t>Hispanic or Latino; mean body mass index was 29 kg/m</w:t>
      </w:r>
      <w:r w:rsidR="00363143" w:rsidRPr="00B85173">
        <w:rPr>
          <w:vertAlign w:val="superscript"/>
        </w:rPr>
        <w:t>2</w:t>
      </w:r>
      <w:r w:rsidR="00363143" w:rsidRPr="00B85173">
        <w:t>; 51% had baseline HCV RNA levels greater than or equal to 800,000 IU/mL; 29% had cirrhosis; and 63% had non-C/C IL28B alleles (CT or TT).</w:t>
      </w:r>
      <w:r w:rsidR="00363143" w:rsidRPr="00B85173">
        <w:rPr>
          <w:bCs/>
          <w:color w:val="000000"/>
        </w:rPr>
        <w:t xml:space="preserve"> Treatment outcomes are presented in </w:t>
      </w:r>
      <w:r w:rsidR="002A3BDE" w:rsidRPr="00B85173">
        <w:rPr>
          <w:bCs/>
          <w:color w:val="000000"/>
        </w:rPr>
        <w:fldChar w:fldCharType="begin"/>
      </w:r>
      <w:r w:rsidR="002A3BDE" w:rsidRPr="00F84D0C">
        <w:rPr>
          <w:bCs/>
          <w:color w:val="000000"/>
        </w:rPr>
        <w:instrText xml:space="preserve"> REF _Ref423005179 \h </w:instrText>
      </w:r>
      <w:r w:rsidR="00EB116C" w:rsidRPr="00F84D0C">
        <w:rPr>
          <w:bCs/>
          <w:color w:val="000000"/>
        </w:rPr>
        <w:instrText xml:space="preserve"> \* MERGEFORMAT </w:instrText>
      </w:r>
      <w:r w:rsidR="002A3BDE" w:rsidRPr="00B85173">
        <w:rPr>
          <w:bCs/>
          <w:color w:val="000000"/>
        </w:rPr>
      </w:r>
      <w:r w:rsidR="002A3BDE" w:rsidRPr="00B85173">
        <w:rPr>
          <w:bCs/>
          <w:color w:val="000000"/>
        </w:rPr>
        <w:fldChar w:fldCharType="separate"/>
      </w:r>
      <w:r w:rsidR="008B30DE" w:rsidRPr="00F84D0C">
        <w:t xml:space="preserve">Table </w:t>
      </w:r>
      <w:r w:rsidR="002A3BDE" w:rsidRPr="00B85173">
        <w:rPr>
          <w:bCs/>
          <w:color w:val="000000"/>
        </w:rPr>
        <w:fldChar w:fldCharType="end"/>
      </w:r>
      <w:r w:rsidR="00E5382C" w:rsidRPr="00B85173">
        <w:rPr>
          <w:bCs/>
          <w:color w:val="000000"/>
        </w:rPr>
        <w:t>8</w:t>
      </w:r>
      <w:r w:rsidR="00363143" w:rsidRPr="00B85173">
        <w:rPr>
          <w:bCs/>
          <w:color w:val="000000"/>
        </w:rPr>
        <w:t xml:space="preserve">.  </w:t>
      </w:r>
    </w:p>
    <w:p w:rsidR="00363143" w:rsidRPr="00B85173" w:rsidRDefault="00363143" w:rsidP="00363143">
      <w:pPr>
        <w:autoSpaceDE w:val="0"/>
        <w:autoSpaceDN w:val="0"/>
        <w:adjustRightInd w:val="0"/>
        <w:ind w:firstLine="720"/>
        <w:rPr>
          <w:bCs/>
          <w:color w:val="000000"/>
        </w:rPr>
      </w:pPr>
    </w:p>
    <w:p w:rsidR="00363143" w:rsidRPr="00B85173" w:rsidRDefault="002A3BDE" w:rsidP="00F42F76">
      <w:pPr>
        <w:pStyle w:val="Caption"/>
        <w:jc w:val="center"/>
      </w:pPr>
      <w:bookmarkStart w:id="7" w:name="_Ref423005179"/>
      <w:r w:rsidRPr="00B85173">
        <w:t xml:space="preserve">Table </w:t>
      </w:r>
      <w:r w:rsidR="00E5382C" w:rsidRPr="00B85173">
        <w:t>8</w:t>
      </w:r>
      <w:bookmarkEnd w:id="7"/>
      <w:r w:rsidR="00363143" w:rsidRPr="00B85173">
        <w:t>: C-SWIFT Study: Treatment Outcomes in Treatment</w:t>
      </w:r>
      <w:r w:rsidR="00AB54F8" w:rsidRPr="00B85173">
        <w:t>-</w:t>
      </w:r>
      <w:r w:rsidR="00363143" w:rsidRPr="00B85173">
        <w:t>Naïve Subjects, with or without Cirrhosis, with Genotype 3 Chronic Hepatitis C Infection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876"/>
        <w:gridCol w:w="3436"/>
      </w:tblGrid>
      <w:tr w:rsidR="00363143" w:rsidRPr="00B85173" w:rsidTr="00394C9F">
        <w:trPr>
          <w:jc w:val="center"/>
        </w:trPr>
        <w:tc>
          <w:tcPr>
            <w:tcW w:w="3362" w:type="dxa"/>
            <w:tcBorders>
              <w:top w:val="single" w:sz="4" w:space="0" w:color="auto"/>
              <w:left w:val="single" w:sz="4" w:space="0" w:color="auto"/>
              <w:bottom w:val="single" w:sz="4" w:space="0" w:color="auto"/>
              <w:right w:val="single" w:sz="4" w:space="0" w:color="auto"/>
            </w:tcBorders>
            <w:hideMark/>
          </w:tcPr>
          <w:p w:rsidR="00363143" w:rsidRPr="00B85173" w:rsidRDefault="00363143" w:rsidP="00812C6B">
            <w:pPr>
              <w:jc w:val="center"/>
              <w:rPr>
                <w:b/>
                <w:bCs/>
                <w:color w:val="000000"/>
                <w:sz w:val="20"/>
                <w:szCs w:val="20"/>
              </w:rPr>
            </w:pPr>
            <w:r w:rsidRPr="00B85173">
              <w:rPr>
                <w:b/>
                <w:bCs/>
                <w:color w:val="000000"/>
                <w:sz w:val="20"/>
                <w:szCs w:val="20"/>
              </w:rPr>
              <w:t>Regimen</w:t>
            </w:r>
          </w:p>
        </w:tc>
        <w:tc>
          <w:tcPr>
            <w:tcW w:w="2953" w:type="dxa"/>
            <w:tcBorders>
              <w:top w:val="single" w:sz="4" w:space="0" w:color="auto"/>
              <w:left w:val="single" w:sz="4" w:space="0" w:color="auto"/>
              <w:bottom w:val="single" w:sz="4" w:space="0" w:color="auto"/>
              <w:right w:val="single" w:sz="4" w:space="0" w:color="auto"/>
            </w:tcBorders>
          </w:tcPr>
          <w:p w:rsidR="00363143" w:rsidRPr="00B85173" w:rsidRDefault="000D7FE6" w:rsidP="00812C6B">
            <w:pPr>
              <w:jc w:val="center"/>
              <w:rPr>
                <w:b/>
                <w:bCs/>
                <w:color w:val="000000"/>
                <w:sz w:val="20"/>
                <w:szCs w:val="20"/>
              </w:rPr>
            </w:pPr>
            <w:r w:rsidRPr="00B85173">
              <w:rPr>
                <w:b/>
                <w:bCs/>
                <w:color w:val="000000"/>
                <w:sz w:val="20"/>
                <w:szCs w:val="20"/>
              </w:rPr>
              <w:t>ZEPATIER</w:t>
            </w:r>
            <w:r w:rsidR="00363143" w:rsidRPr="00B85173">
              <w:rPr>
                <w:b/>
                <w:bCs/>
                <w:color w:val="000000"/>
                <w:sz w:val="20"/>
                <w:szCs w:val="20"/>
              </w:rPr>
              <w:t xml:space="preserve"> + </w:t>
            </w:r>
            <w:proofErr w:type="spellStart"/>
            <w:r w:rsidR="00363143" w:rsidRPr="00B85173">
              <w:rPr>
                <w:b/>
                <w:bCs/>
                <w:color w:val="000000"/>
                <w:sz w:val="20"/>
                <w:szCs w:val="20"/>
              </w:rPr>
              <w:t>Sofosbuvir</w:t>
            </w:r>
            <w:proofErr w:type="spellEnd"/>
          </w:p>
          <w:p w:rsidR="00363143" w:rsidRPr="00B85173" w:rsidRDefault="00363143" w:rsidP="00812C6B">
            <w:pPr>
              <w:jc w:val="center"/>
              <w:rPr>
                <w:b/>
                <w:bCs/>
                <w:color w:val="000000"/>
                <w:sz w:val="20"/>
                <w:szCs w:val="20"/>
              </w:rPr>
            </w:pPr>
            <w:r w:rsidRPr="00B85173">
              <w:rPr>
                <w:b/>
                <w:bCs/>
                <w:color w:val="000000"/>
                <w:sz w:val="20"/>
                <w:szCs w:val="20"/>
              </w:rPr>
              <w:t>8 Weeks</w:t>
            </w:r>
          </w:p>
          <w:p w:rsidR="00363143" w:rsidRPr="00B85173" w:rsidRDefault="00363143" w:rsidP="00812C6B">
            <w:pPr>
              <w:jc w:val="center"/>
              <w:rPr>
                <w:b/>
                <w:bCs/>
                <w:color w:val="000000"/>
                <w:sz w:val="20"/>
                <w:szCs w:val="20"/>
              </w:rPr>
            </w:pPr>
            <w:r w:rsidRPr="00B85173">
              <w:rPr>
                <w:b/>
                <w:bCs/>
                <w:color w:val="000000"/>
                <w:sz w:val="20"/>
                <w:szCs w:val="20"/>
              </w:rPr>
              <w:t>N=15</w:t>
            </w:r>
          </w:p>
        </w:tc>
        <w:tc>
          <w:tcPr>
            <w:tcW w:w="3540" w:type="dxa"/>
            <w:tcBorders>
              <w:top w:val="single" w:sz="4" w:space="0" w:color="auto"/>
              <w:left w:val="single" w:sz="4" w:space="0" w:color="auto"/>
              <w:bottom w:val="single" w:sz="4" w:space="0" w:color="auto"/>
              <w:right w:val="single" w:sz="4" w:space="0" w:color="auto"/>
            </w:tcBorders>
            <w:hideMark/>
          </w:tcPr>
          <w:p w:rsidR="00363143" w:rsidRPr="00B85173" w:rsidRDefault="000D7FE6" w:rsidP="00812C6B">
            <w:pPr>
              <w:jc w:val="center"/>
              <w:rPr>
                <w:b/>
                <w:bCs/>
                <w:color w:val="000000"/>
                <w:sz w:val="20"/>
                <w:szCs w:val="20"/>
              </w:rPr>
            </w:pPr>
            <w:r w:rsidRPr="00B85173">
              <w:rPr>
                <w:b/>
                <w:bCs/>
                <w:color w:val="000000"/>
                <w:sz w:val="20"/>
                <w:szCs w:val="20"/>
              </w:rPr>
              <w:t>ZEPATIER</w:t>
            </w:r>
            <w:r w:rsidR="00363143" w:rsidRPr="00B85173">
              <w:rPr>
                <w:b/>
                <w:bCs/>
                <w:color w:val="000000"/>
                <w:sz w:val="20"/>
                <w:szCs w:val="20"/>
              </w:rPr>
              <w:t xml:space="preserve"> + </w:t>
            </w:r>
            <w:proofErr w:type="spellStart"/>
            <w:r w:rsidR="00363143" w:rsidRPr="00B85173">
              <w:rPr>
                <w:b/>
                <w:bCs/>
                <w:color w:val="000000"/>
                <w:sz w:val="20"/>
                <w:szCs w:val="20"/>
              </w:rPr>
              <w:t>Sofosbuvir</w:t>
            </w:r>
            <w:proofErr w:type="spellEnd"/>
          </w:p>
          <w:p w:rsidR="00363143" w:rsidRPr="00B85173" w:rsidRDefault="00363143" w:rsidP="00812C6B">
            <w:pPr>
              <w:jc w:val="center"/>
              <w:rPr>
                <w:b/>
                <w:bCs/>
                <w:color w:val="000000"/>
                <w:sz w:val="20"/>
                <w:szCs w:val="20"/>
              </w:rPr>
            </w:pPr>
            <w:r w:rsidRPr="00B85173">
              <w:rPr>
                <w:b/>
                <w:bCs/>
                <w:color w:val="000000"/>
                <w:sz w:val="20"/>
                <w:szCs w:val="20"/>
              </w:rPr>
              <w:t>12 Weeks</w:t>
            </w:r>
          </w:p>
          <w:p w:rsidR="00363143" w:rsidRPr="00B85173" w:rsidRDefault="00363143" w:rsidP="00812C6B">
            <w:pPr>
              <w:jc w:val="center"/>
              <w:rPr>
                <w:b/>
                <w:bCs/>
                <w:color w:val="000000"/>
                <w:sz w:val="20"/>
                <w:szCs w:val="20"/>
              </w:rPr>
            </w:pPr>
            <w:r w:rsidRPr="00B85173">
              <w:rPr>
                <w:b/>
                <w:bCs/>
                <w:color w:val="000000"/>
                <w:sz w:val="20"/>
                <w:szCs w:val="20"/>
              </w:rPr>
              <w:t>N=26</w:t>
            </w:r>
          </w:p>
        </w:tc>
      </w:tr>
      <w:tr w:rsidR="00363143" w:rsidRPr="00B85173" w:rsidTr="00394C9F">
        <w:trPr>
          <w:jc w:val="center"/>
        </w:trPr>
        <w:tc>
          <w:tcPr>
            <w:tcW w:w="3362" w:type="dxa"/>
            <w:tcBorders>
              <w:top w:val="single" w:sz="4" w:space="0" w:color="auto"/>
              <w:left w:val="single" w:sz="4" w:space="0" w:color="auto"/>
              <w:bottom w:val="single" w:sz="4" w:space="0" w:color="auto"/>
              <w:right w:val="single" w:sz="4" w:space="0" w:color="auto"/>
            </w:tcBorders>
            <w:hideMark/>
          </w:tcPr>
          <w:p w:rsidR="00363143" w:rsidRPr="00EB4F57" w:rsidRDefault="00363143" w:rsidP="00812C6B">
            <w:pPr>
              <w:rPr>
                <w:bCs/>
                <w:color w:val="000000"/>
                <w:sz w:val="20"/>
                <w:szCs w:val="20"/>
              </w:rPr>
            </w:pPr>
            <w:r w:rsidRPr="00EB4F57">
              <w:rPr>
                <w:bCs/>
                <w:color w:val="000000"/>
                <w:sz w:val="20"/>
                <w:szCs w:val="20"/>
              </w:rPr>
              <w:t xml:space="preserve">Overall SVR </w:t>
            </w:r>
          </w:p>
        </w:tc>
        <w:tc>
          <w:tcPr>
            <w:tcW w:w="2953" w:type="dxa"/>
            <w:tcBorders>
              <w:top w:val="single" w:sz="4" w:space="0" w:color="auto"/>
              <w:left w:val="single" w:sz="4" w:space="0" w:color="auto"/>
              <w:bottom w:val="single" w:sz="4" w:space="0" w:color="auto"/>
              <w:right w:val="single" w:sz="4" w:space="0" w:color="auto"/>
            </w:tcBorders>
          </w:tcPr>
          <w:p w:rsidR="00363143" w:rsidRPr="00EB4F57" w:rsidRDefault="00363143" w:rsidP="00812C6B">
            <w:pPr>
              <w:jc w:val="center"/>
              <w:rPr>
                <w:bCs/>
                <w:color w:val="000000"/>
                <w:sz w:val="20"/>
                <w:szCs w:val="20"/>
              </w:rPr>
            </w:pPr>
            <w:r w:rsidRPr="00EB4F57">
              <w:rPr>
                <w:bCs/>
                <w:color w:val="000000"/>
                <w:sz w:val="20"/>
                <w:szCs w:val="20"/>
              </w:rPr>
              <w:t>93% (14/15)</w:t>
            </w:r>
          </w:p>
        </w:tc>
        <w:tc>
          <w:tcPr>
            <w:tcW w:w="3540" w:type="dxa"/>
            <w:tcBorders>
              <w:top w:val="single" w:sz="4" w:space="0" w:color="auto"/>
              <w:left w:val="single" w:sz="4" w:space="0" w:color="auto"/>
              <w:bottom w:val="single" w:sz="4" w:space="0" w:color="auto"/>
              <w:right w:val="single" w:sz="4" w:space="0" w:color="auto"/>
            </w:tcBorders>
          </w:tcPr>
          <w:p w:rsidR="00363143" w:rsidRPr="00B85173" w:rsidRDefault="00CA3EA5" w:rsidP="00CA3EA5">
            <w:pPr>
              <w:jc w:val="center"/>
              <w:rPr>
                <w:bCs/>
                <w:color w:val="000000"/>
                <w:sz w:val="20"/>
                <w:szCs w:val="20"/>
              </w:rPr>
            </w:pPr>
            <w:r w:rsidRPr="00B85173">
              <w:rPr>
                <w:bCs/>
                <w:color w:val="000000"/>
                <w:sz w:val="20"/>
                <w:szCs w:val="20"/>
              </w:rPr>
              <w:t>92</w:t>
            </w:r>
            <w:r w:rsidR="00363143" w:rsidRPr="00B85173">
              <w:rPr>
                <w:bCs/>
                <w:color w:val="000000"/>
                <w:sz w:val="20"/>
                <w:szCs w:val="20"/>
              </w:rPr>
              <w:t>% (24/26)</w:t>
            </w:r>
          </w:p>
        </w:tc>
      </w:tr>
      <w:tr w:rsidR="00363143" w:rsidRPr="00B85173" w:rsidTr="00394C9F">
        <w:trPr>
          <w:jc w:val="center"/>
        </w:trPr>
        <w:tc>
          <w:tcPr>
            <w:tcW w:w="9855" w:type="dxa"/>
            <w:gridSpan w:val="3"/>
            <w:tcBorders>
              <w:top w:val="single" w:sz="4" w:space="0" w:color="auto"/>
              <w:left w:val="single" w:sz="4" w:space="0" w:color="auto"/>
              <w:bottom w:val="single" w:sz="4" w:space="0" w:color="auto"/>
              <w:right w:val="single" w:sz="4" w:space="0" w:color="auto"/>
            </w:tcBorders>
          </w:tcPr>
          <w:p w:rsidR="00363143" w:rsidRPr="00B85173" w:rsidRDefault="00363143" w:rsidP="00812C6B">
            <w:pPr>
              <w:rPr>
                <w:bCs/>
                <w:color w:val="000000"/>
                <w:sz w:val="20"/>
                <w:szCs w:val="20"/>
              </w:rPr>
            </w:pPr>
            <w:r w:rsidRPr="00B85173">
              <w:rPr>
                <w:bCs/>
                <w:color w:val="000000"/>
                <w:sz w:val="20"/>
                <w:szCs w:val="20"/>
              </w:rPr>
              <w:t>Outcome for subjects without SVR</w:t>
            </w:r>
          </w:p>
        </w:tc>
      </w:tr>
      <w:tr w:rsidR="00363143" w:rsidRPr="00B85173" w:rsidTr="00394C9F">
        <w:trPr>
          <w:jc w:val="center"/>
        </w:trPr>
        <w:tc>
          <w:tcPr>
            <w:tcW w:w="3362" w:type="dxa"/>
            <w:tcBorders>
              <w:top w:val="single" w:sz="4" w:space="0" w:color="auto"/>
              <w:left w:val="single" w:sz="4" w:space="0" w:color="auto"/>
              <w:bottom w:val="single" w:sz="4" w:space="0" w:color="auto"/>
              <w:right w:val="single" w:sz="4" w:space="0" w:color="auto"/>
            </w:tcBorders>
            <w:vAlign w:val="center"/>
            <w:hideMark/>
          </w:tcPr>
          <w:p w:rsidR="00363143" w:rsidRPr="00B85173" w:rsidRDefault="00363143" w:rsidP="00812C6B">
            <w:pPr>
              <w:ind w:left="177"/>
              <w:rPr>
                <w:color w:val="000000"/>
                <w:sz w:val="20"/>
                <w:szCs w:val="20"/>
              </w:rPr>
            </w:pPr>
            <w:r w:rsidRPr="00B85173">
              <w:rPr>
                <w:color w:val="000000"/>
                <w:sz w:val="20"/>
                <w:szCs w:val="20"/>
              </w:rPr>
              <w:t xml:space="preserve">On-treatment </w:t>
            </w:r>
            <w:proofErr w:type="spellStart"/>
            <w:r w:rsidRPr="00B85173">
              <w:rPr>
                <w:color w:val="000000"/>
                <w:sz w:val="20"/>
                <w:szCs w:val="20"/>
              </w:rPr>
              <w:t>Virologic</w:t>
            </w:r>
            <w:proofErr w:type="spellEnd"/>
            <w:r w:rsidRPr="00B85173">
              <w:rPr>
                <w:color w:val="000000"/>
                <w:sz w:val="20"/>
                <w:szCs w:val="20"/>
              </w:rPr>
              <w:t xml:space="preserve"> Failure </w:t>
            </w:r>
          </w:p>
        </w:tc>
        <w:tc>
          <w:tcPr>
            <w:tcW w:w="2953" w:type="dxa"/>
            <w:tcBorders>
              <w:top w:val="single" w:sz="4" w:space="0" w:color="auto"/>
              <w:left w:val="single" w:sz="4" w:space="0" w:color="auto"/>
              <w:bottom w:val="single" w:sz="4" w:space="0" w:color="auto"/>
              <w:right w:val="single" w:sz="4" w:space="0" w:color="auto"/>
            </w:tcBorders>
          </w:tcPr>
          <w:p w:rsidR="00363143" w:rsidRPr="00B85173" w:rsidRDefault="00363143" w:rsidP="00812C6B">
            <w:pPr>
              <w:jc w:val="center"/>
              <w:rPr>
                <w:bCs/>
                <w:color w:val="000000"/>
                <w:sz w:val="20"/>
                <w:szCs w:val="20"/>
              </w:rPr>
            </w:pPr>
            <w:r w:rsidRPr="00B85173">
              <w:rPr>
                <w:bCs/>
                <w:color w:val="000000"/>
                <w:sz w:val="20"/>
                <w:szCs w:val="20"/>
              </w:rPr>
              <w:t>0% (0/15)</w:t>
            </w:r>
          </w:p>
        </w:tc>
        <w:tc>
          <w:tcPr>
            <w:tcW w:w="3540" w:type="dxa"/>
            <w:tcBorders>
              <w:top w:val="single" w:sz="4" w:space="0" w:color="auto"/>
              <w:left w:val="single" w:sz="4" w:space="0" w:color="auto"/>
              <w:bottom w:val="single" w:sz="4" w:space="0" w:color="auto"/>
              <w:right w:val="single" w:sz="4" w:space="0" w:color="auto"/>
            </w:tcBorders>
          </w:tcPr>
          <w:p w:rsidR="00363143" w:rsidRPr="00B85173" w:rsidRDefault="00363143" w:rsidP="00812C6B">
            <w:pPr>
              <w:jc w:val="center"/>
              <w:rPr>
                <w:bCs/>
                <w:color w:val="000000"/>
                <w:sz w:val="20"/>
                <w:szCs w:val="20"/>
              </w:rPr>
            </w:pPr>
            <w:r w:rsidRPr="00B85173">
              <w:rPr>
                <w:bCs/>
                <w:color w:val="000000"/>
                <w:sz w:val="20"/>
                <w:szCs w:val="20"/>
              </w:rPr>
              <w:t>0% (0/26)</w:t>
            </w:r>
          </w:p>
        </w:tc>
      </w:tr>
      <w:tr w:rsidR="00363143" w:rsidRPr="00B85173" w:rsidTr="00394C9F">
        <w:trPr>
          <w:jc w:val="center"/>
        </w:trPr>
        <w:tc>
          <w:tcPr>
            <w:tcW w:w="3362" w:type="dxa"/>
            <w:tcBorders>
              <w:top w:val="single" w:sz="4" w:space="0" w:color="auto"/>
              <w:left w:val="single" w:sz="4" w:space="0" w:color="auto"/>
              <w:bottom w:val="single" w:sz="4" w:space="0" w:color="auto"/>
              <w:right w:val="single" w:sz="4" w:space="0" w:color="auto"/>
            </w:tcBorders>
            <w:vAlign w:val="center"/>
            <w:hideMark/>
          </w:tcPr>
          <w:p w:rsidR="00363143" w:rsidRPr="00B85173" w:rsidRDefault="00363143" w:rsidP="00812C6B">
            <w:pPr>
              <w:rPr>
                <w:color w:val="000000"/>
                <w:sz w:val="20"/>
                <w:szCs w:val="20"/>
              </w:rPr>
            </w:pPr>
            <w:r w:rsidRPr="00B85173">
              <w:rPr>
                <w:color w:val="000000"/>
                <w:sz w:val="20"/>
                <w:szCs w:val="20"/>
              </w:rPr>
              <w:t>Relapse</w:t>
            </w:r>
          </w:p>
        </w:tc>
        <w:tc>
          <w:tcPr>
            <w:tcW w:w="2953" w:type="dxa"/>
            <w:tcBorders>
              <w:top w:val="single" w:sz="4" w:space="0" w:color="auto"/>
              <w:left w:val="single" w:sz="4" w:space="0" w:color="auto"/>
              <w:bottom w:val="single" w:sz="4" w:space="0" w:color="auto"/>
              <w:right w:val="single" w:sz="4" w:space="0" w:color="auto"/>
            </w:tcBorders>
          </w:tcPr>
          <w:p w:rsidR="00363143" w:rsidRPr="00B85173" w:rsidRDefault="00363143" w:rsidP="00812C6B">
            <w:pPr>
              <w:jc w:val="center"/>
              <w:rPr>
                <w:bCs/>
                <w:color w:val="000000"/>
                <w:sz w:val="20"/>
                <w:szCs w:val="20"/>
              </w:rPr>
            </w:pPr>
            <w:r w:rsidRPr="00B85173">
              <w:rPr>
                <w:bCs/>
                <w:color w:val="000000"/>
                <w:sz w:val="20"/>
                <w:szCs w:val="20"/>
              </w:rPr>
              <w:t>7% (1/15)</w:t>
            </w:r>
          </w:p>
        </w:tc>
        <w:tc>
          <w:tcPr>
            <w:tcW w:w="3540" w:type="dxa"/>
            <w:tcBorders>
              <w:top w:val="single" w:sz="4" w:space="0" w:color="auto"/>
              <w:left w:val="single" w:sz="4" w:space="0" w:color="auto"/>
              <w:bottom w:val="single" w:sz="4" w:space="0" w:color="auto"/>
              <w:right w:val="single" w:sz="4" w:space="0" w:color="auto"/>
            </w:tcBorders>
          </w:tcPr>
          <w:p w:rsidR="00363143" w:rsidRPr="00B85173" w:rsidRDefault="00363143" w:rsidP="00812C6B">
            <w:pPr>
              <w:jc w:val="center"/>
              <w:rPr>
                <w:bCs/>
                <w:color w:val="000000"/>
                <w:sz w:val="20"/>
                <w:szCs w:val="20"/>
              </w:rPr>
            </w:pPr>
            <w:r w:rsidRPr="00B85173">
              <w:rPr>
                <w:bCs/>
                <w:color w:val="000000"/>
                <w:sz w:val="20"/>
                <w:szCs w:val="20"/>
              </w:rPr>
              <w:t>4% (1/26)</w:t>
            </w:r>
          </w:p>
        </w:tc>
      </w:tr>
      <w:tr w:rsidR="00363143" w:rsidRPr="00B85173" w:rsidTr="00394C9F">
        <w:trPr>
          <w:jc w:val="center"/>
        </w:trPr>
        <w:tc>
          <w:tcPr>
            <w:tcW w:w="3362" w:type="dxa"/>
            <w:tcBorders>
              <w:top w:val="single" w:sz="4" w:space="0" w:color="auto"/>
              <w:left w:val="single" w:sz="4" w:space="0" w:color="auto"/>
              <w:bottom w:val="single" w:sz="4" w:space="0" w:color="auto"/>
              <w:right w:val="single" w:sz="4" w:space="0" w:color="auto"/>
            </w:tcBorders>
            <w:vAlign w:val="center"/>
            <w:hideMark/>
          </w:tcPr>
          <w:p w:rsidR="00363143" w:rsidRPr="00B85173" w:rsidRDefault="00363143" w:rsidP="00812C6B">
            <w:pPr>
              <w:ind w:left="177"/>
              <w:rPr>
                <w:color w:val="000000"/>
                <w:sz w:val="20"/>
                <w:szCs w:val="20"/>
              </w:rPr>
            </w:pPr>
            <w:r w:rsidRPr="00B85173">
              <w:rPr>
                <w:color w:val="000000"/>
                <w:sz w:val="20"/>
                <w:szCs w:val="20"/>
              </w:rPr>
              <w:t>Other*</w:t>
            </w:r>
          </w:p>
        </w:tc>
        <w:tc>
          <w:tcPr>
            <w:tcW w:w="2953" w:type="dxa"/>
            <w:tcBorders>
              <w:top w:val="single" w:sz="4" w:space="0" w:color="auto"/>
              <w:left w:val="single" w:sz="4" w:space="0" w:color="auto"/>
              <w:bottom w:val="single" w:sz="4" w:space="0" w:color="auto"/>
              <w:right w:val="single" w:sz="4" w:space="0" w:color="auto"/>
            </w:tcBorders>
          </w:tcPr>
          <w:p w:rsidR="00363143" w:rsidRPr="00B85173" w:rsidRDefault="00363143" w:rsidP="00812C6B">
            <w:pPr>
              <w:jc w:val="center"/>
              <w:rPr>
                <w:bCs/>
                <w:color w:val="000000"/>
                <w:sz w:val="20"/>
                <w:szCs w:val="20"/>
              </w:rPr>
            </w:pPr>
            <w:r w:rsidRPr="00B85173">
              <w:rPr>
                <w:bCs/>
                <w:color w:val="000000"/>
                <w:sz w:val="20"/>
                <w:szCs w:val="20"/>
              </w:rPr>
              <w:t>0% (0/15)</w:t>
            </w:r>
          </w:p>
        </w:tc>
        <w:tc>
          <w:tcPr>
            <w:tcW w:w="3540" w:type="dxa"/>
            <w:tcBorders>
              <w:top w:val="single" w:sz="4" w:space="0" w:color="auto"/>
              <w:left w:val="single" w:sz="4" w:space="0" w:color="auto"/>
              <w:bottom w:val="single" w:sz="4" w:space="0" w:color="auto"/>
              <w:right w:val="single" w:sz="4" w:space="0" w:color="auto"/>
            </w:tcBorders>
          </w:tcPr>
          <w:p w:rsidR="00363143" w:rsidRPr="00B85173" w:rsidRDefault="00363143" w:rsidP="00812C6B">
            <w:pPr>
              <w:jc w:val="center"/>
              <w:rPr>
                <w:bCs/>
                <w:color w:val="000000"/>
                <w:sz w:val="20"/>
                <w:szCs w:val="20"/>
              </w:rPr>
            </w:pPr>
            <w:r w:rsidRPr="00B85173">
              <w:rPr>
                <w:bCs/>
                <w:color w:val="000000"/>
                <w:sz w:val="20"/>
                <w:szCs w:val="20"/>
              </w:rPr>
              <w:t>4% (1/26)</w:t>
            </w:r>
          </w:p>
        </w:tc>
      </w:tr>
      <w:tr w:rsidR="00363143" w:rsidRPr="00B85173" w:rsidTr="00394C9F">
        <w:trPr>
          <w:jc w:val="center"/>
        </w:trPr>
        <w:tc>
          <w:tcPr>
            <w:tcW w:w="9855" w:type="dxa"/>
            <w:gridSpan w:val="3"/>
            <w:tcBorders>
              <w:top w:val="single" w:sz="4" w:space="0" w:color="auto"/>
              <w:left w:val="single" w:sz="4" w:space="0" w:color="auto"/>
              <w:bottom w:val="single" w:sz="4" w:space="0" w:color="auto"/>
              <w:right w:val="single" w:sz="4" w:space="0" w:color="auto"/>
            </w:tcBorders>
          </w:tcPr>
          <w:p w:rsidR="00363143" w:rsidRPr="00B85173" w:rsidRDefault="00363143" w:rsidP="00812C6B">
            <w:pPr>
              <w:rPr>
                <w:bCs/>
                <w:color w:val="000000"/>
                <w:sz w:val="20"/>
                <w:szCs w:val="20"/>
              </w:rPr>
            </w:pPr>
            <w:r w:rsidRPr="00B85173">
              <w:rPr>
                <w:color w:val="000000"/>
                <w:sz w:val="20"/>
                <w:szCs w:val="20"/>
              </w:rPr>
              <w:t>SVR by Cirrhosis status</w:t>
            </w:r>
          </w:p>
        </w:tc>
      </w:tr>
      <w:tr w:rsidR="00363143" w:rsidRPr="00B85173" w:rsidTr="00394C9F">
        <w:trPr>
          <w:jc w:val="center"/>
        </w:trPr>
        <w:tc>
          <w:tcPr>
            <w:tcW w:w="3362" w:type="dxa"/>
            <w:tcBorders>
              <w:top w:val="single" w:sz="4" w:space="0" w:color="auto"/>
              <w:left w:val="single" w:sz="4" w:space="0" w:color="auto"/>
              <w:bottom w:val="single" w:sz="4" w:space="0" w:color="auto"/>
              <w:right w:val="single" w:sz="4" w:space="0" w:color="auto"/>
            </w:tcBorders>
            <w:vAlign w:val="center"/>
            <w:hideMark/>
          </w:tcPr>
          <w:p w:rsidR="00363143" w:rsidRPr="00B85173" w:rsidRDefault="00363143" w:rsidP="00812C6B">
            <w:pPr>
              <w:ind w:left="177"/>
              <w:rPr>
                <w:color w:val="000000"/>
                <w:sz w:val="20"/>
                <w:szCs w:val="20"/>
              </w:rPr>
            </w:pPr>
            <w:r w:rsidRPr="00B85173">
              <w:rPr>
                <w:color w:val="000000"/>
                <w:sz w:val="20"/>
                <w:szCs w:val="20"/>
              </w:rPr>
              <w:t>Non-cirrhotic</w:t>
            </w:r>
          </w:p>
        </w:tc>
        <w:tc>
          <w:tcPr>
            <w:tcW w:w="2953" w:type="dxa"/>
            <w:tcBorders>
              <w:top w:val="single" w:sz="4" w:space="0" w:color="auto"/>
              <w:left w:val="single" w:sz="4" w:space="0" w:color="auto"/>
              <w:bottom w:val="single" w:sz="4" w:space="0" w:color="auto"/>
              <w:right w:val="single" w:sz="4" w:space="0" w:color="auto"/>
            </w:tcBorders>
          </w:tcPr>
          <w:p w:rsidR="00363143" w:rsidRPr="00B85173" w:rsidRDefault="00363143" w:rsidP="00812C6B">
            <w:pPr>
              <w:jc w:val="center"/>
              <w:rPr>
                <w:bCs/>
                <w:color w:val="000000"/>
                <w:sz w:val="20"/>
                <w:szCs w:val="20"/>
              </w:rPr>
            </w:pPr>
            <w:r w:rsidRPr="00B85173">
              <w:rPr>
                <w:bCs/>
                <w:color w:val="000000"/>
                <w:sz w:val="20"/>
                <w:szCs w:val="20"/>
              </w:rPr>
              <w:t>93% (14/15)</w:t>
            </w:r>
          </w:p>
        </w:tc>
        <w:tc>
          <w:tcPr>
            <w:tcW w:w="3540" w:type="dxa"/>
            <w:tcBorders>
              <w:top w:val="single" w:sz="4" w:space="0" w:color="auto"/>
              <w:left w:val="single" w:sz="4" w:space="0" w:color="auto"/>
              <w:bottom w:val="single" w:sz="4" w:space="0" w:color="auto"/>
              <w:right w:val="single" w:sz="4" w:space="0" w:color="auto"/>
            </w:tcBorders>
          </w:tcPr>
          <w:p w:rsidR="00363143" w:rsidRPr="00B85173" w:rsidRDefault="00363143" w:rsidP="00812C6B">
            <w:pPr>
              <w:jc w:val="center"/>
              <w:rPr>
                <w:bCs/>
                <w:color w:val="000000"/>
                <w:sz w:val="20"/>
                <w:szCs w:val="20"/>
              </w:rPr>
            </w:pPr>
            <w:r w:rsidRPr="00B85173">
              <w:rPr>
                <w:bCs/>
                <w:color w:val="000000"/>
                <w:sz w:val="20"/>
                <w:szCs w:val="20"/>
              </w:rPr>
              <w:t>100% (14/14)</w:t>
            </w:r>
          </w:p>
        </w:tc>
      </w:tr>
      <w:tr w:rsidR="00363143" w:rsidRPr="00B85173" w:rsidTr="00394C9F">
        <w:trPr>
          <w:jc w:val="center"/>
        </w:trPr>
        <w:tc>
          <w:tcPr>
            <w:tcW w:w="3362" w:type="dxa"/>
            <w:tcBorders>
              <w:top w:val="single" w:sz="4" w:space="0" w:color="auto"/>
              <w:left w:val="single" w:sz="4" w:space="0" w:color="auto"/>
              <w:bottom w:val="single" w:sz="4" w:space="0" w:color="auto"/>
              <w:right w:val="single" w:sz="4" w:space="0" w:color="auto"/>
            </w:tcBorders>
            <w:vAlign w:val="center"/>
            <w:hideMark/>
          </w:tcPr>
          <w:p w:rsidR="00363143" w:rsidRPr="00B85173" w:rsidRDefault="00363143" w:rsidP="00812C6B">
            <w:pPr>
              <w:ind w:left="177"/>
              <w:rPr>
                <w:color w:val="000000"/>
                <w:sz w:val="20"/>
                <w:szCs w:val="20"/>
              </w:rPr>
            </w:pPr>
            <w:r w:rsidRPr="00B85173">
              <w:rPr>
                <w:color w:val="000000"/>
                <w:sz w:val="20"/>
                <w:szCs w:val="20"/>
              </w:rPr>
              <w:t>Cirrhotic</w:t>
            </w:r>
          </w:p>
        </w:tc>
        <w:tc>
          <w:tcPr>
            <w:tcW w:w="2953" w:type="dxa"/>
            <w:tcBorders>
              <w:top w:val="single" w:sz="4" w:space="0" w:color="auto"/>
              <w:left w:val="single" w:sz="4" w:space="0" w:color="auto"/>
              <w:bottom w:val="single" w:sz="4" w:space="0" w:color="auto"/>
              <w:right w:val="single" w:sz="4" w:space="0" w:color="auto"/>
            </w:tcBorders>
          </w:tcPr>
          <w:p w:rsidR="00363143" w:rsidRPr="00B85173" w:rsidRDefault="00363143" w:rsidP="00812C6B">
            <w:pPr>
              <w:jc w:val="center"/>
              <w:rPr>
                <w:bCs/>
                <w:color w:val="000000"/>
                <w:sz w:val="20"/>
                <w:szCs w:val="20"/>
              </w:rPr>
            </w:pPr>
            <w:r w:rsidRPr="00B85173">
              <w:rPr>
                <w:bCs/>
                <w:color w:val="000000"/>
                <w:sz w:val="20"/>
                <w:szCs w:val="20"/>
              </w:rPr>
              <w:t>-----</w:t>
            </w:r>
          </w:p>
        </w:tc>
        <w:tc>
          <w:tcPr>
            <w:tcW w:w="3540" w:type="dxa"/>
            <w:tcBorders>
              <w:top w:val="single" w:sz="4" w:space="0" w:color="auto"/>
              <w:left w:val="single" w:sz="4" w:space="0" w:color="auto"/>
              <w:bottom w:val="single" w:sz="4" w:space="0" w:color="auto"/>
              <w:right w:val="single" w:sz="4" w:space="0" w:color="auto"/>
            </w:tcBorders>
          </w:tcPr>
          <w:p w:rsidR="00363143" w:rsidRPr="00B85173" w:rsidRDefault="00363143" w:rsidP="00812C6B">
            <w:pPr>
              <w:jc w:val="center"/>
              <w:rPr>
                <w:bCs/>
                <w:color w:val="000000"/>
                <w:sz w:val="20"/>
                <w:szCs w:val="20"/>
              </w:rPr>
            </w:pPr>
            <w:r w:rsidRPr="00B85173">
              <w:rPr>
                <w:bCs/>
                <w:color w:val="000000"/>
                <w:sz w:val="20"/>
                <w:szCs w:val="20"/>
              </w:rPr>
              <w:t>83% (10/12)</w:t>
            </w:r>
          </w:p>
        </w:tc>
      </w:tr>
    </w:tbl>
    <w:p w:rsidR="00363143" w:rsidRPr="00B85173" w:rsidRDefault="00363143" w:rsidP="00363143">
      <w:pPr>
        <w:pStyle w:val="BodyText1"/>
        <w:spacing w:before="0"/>
        <w:ind w:left="-720" w:firstLine="720"/>
        <w:jc w:val="both"/>
        <w:rPr>
          <w:rFonts w:ascii="Arial" w:hAnsi="Arial"/>
          <w:sz w:val="18"/>
          <w:szCs w:val="20"/>
        </w:rPr>
      </w:pPr>
      <w:r w:rsidRPr="00B85173">
        <w:rPr>
          <w:rFonts w:ascii="Arial" w:hAnsi="Arial"/>
          <w:color w:val="000000"/>
          <w:sz w:val="18"/>
          <w:szCs w:val="20"/>
        </w:rPr>
        <w:t>*</w:t>
      </w:r>
      <w:r w:rsidRPr="00B85173">
        <w:rPr>
          <w:rFonts w:ascii="Arial" w:hAnsi="Arial"/>
          <w:sz w:val="18"/>
          <w:szCs w:val="20"/>
        </w:rPr>
        <w:t>Other includes subjects who discontinued due to adverse event, lost to follow-up, or subject withdrawal.</w:t>
      </w:r>
    </w:p>
    <w:p w:rsidR="00363143" w:rsidRPr="00B85173" w:rsidRDefault="00363143" w:rsidP="00363143">
      <w:pPr>
        <w:ind w:firstLine="547"/>
        <w:jc w:val="both"/>
        <w:rPr>
          <w:bCs/>
          <w:color w:val="000000"/>
        </w:rPr>
      </w:pPr>
    </w:p>
    <w:p w:rsidR="00363143" w:rsidRPr="003F15B7" w:rsidRDefault="00363143" w:rsidP="002A3BDE">
      <w:pPr>
        <w:rPr>
          <w:bCs/>
          <w:color w:val="000000"/>
        </w:rPr>
      </w:pPr>
      <w:r w:rsidRPr="00B85173">
        <w:t xml:space="preserve">Overall SVR was achieved in </w:t>
      </w:r>
      <w:r w:rsidR="00CA3EA5" w:rsidRPr="00B85173">
        <w:t>92</w:t>
      </w:r>
      <w:r w:rsidRPr="00B85173">
        <w:t xml:space="preserve">% (24/26) in treatment-naïve subjects with genotype 3 with or without cirrhosis who received </w:t>
      </w:r>
      <w:r w:rsidR="00CA3EA5" w:rsidRPr="00B85173">
        <w:t xml:space="preserve">ZEPATIER </w:t>
      </w:r>
      <w:r w:rsidRPr="00B85173">
        <w:t xml:space="preserve">with </w:t>
      </w:r>
      <w:proofErr w:type="spellStart"/>
      <w:r w:rsidRPr="00B85173">
        <w:t>sofosbuvir</w:t>
      </w:r>
      <w:proofErr w:type="spellEnd"/>
      <w:r w:rsidRPr="00B85173">
        <w:t xml:space="preserve"> for 12 weeks and in 93% (14/15) treatment-naïve subjects without cirrhosis who received </w:t>
      </w:r>
      <w:r w:rsidR="00CA3EA5" w:rsidRPr="00B85173">
        <w:t xml:space="preserve">ZEPATIER </w:t>
      </w:r>
      <w:r w:rsidRPr="00B85173">
        <w:t xml:space="preserve">with </w:t>
      </w:r>
      <w:proofErr w:type="spellStart"/>
      <w:r w:rsidRPr="00B85173">
        <w:t>sofosbuvir</w:t>
      </w:r>
      <w:proofErr w:type="spellEnd"/>
      <w:r w:rsidRPr="00B85173">
        <w:t xml:space="preserve"> for 8 weeks. </w:t>
      </w:r>
    </w:p>
    <w:p w:rsidR="00363143" w:rsidRPr="00363143" w:rsidRDefault="00363143" w:rsidP="00363143"/>
    <w:bookmarkEnd w:id="2"/>
    <w:p w:rsidR="00FE2882" w:rsidRDefault="00FE2882">
      <w:pPr>
        <w:spacing w:before="0" w:after="0"/>
        <w:rPr>
          <w:b/>
          <w:caps/>
          <w:kern w:val="28"/>
          <w:sz w:val="24"/>
          <w:u w:val="single"/>
        </w:rPr>
      </w:pPr>
      <w:r>
        <w:rPr>
          <w:b/>
          <w:caps/>
          <w:kern w:val="28"/>
          <w:sz w:val="24"/>
          <w:u w:val="single"/>
        </w:rPr>
        <w:br w:type="page"/>
      </w:r>
    </w:p>
    <w:p w:rsidR="00CC78DD" w:rsidRPr="0065247B" w:rsidRDefault="00CC78DD" w:rsidP="0065247B">
      <w:pPr>
        <w:spacing w:before="0" w:after="0"/>
        <w:rPr>
          <w:b/>
          <w:caps/>
          <w:kern w:val="28"/>
          <w:sz w:val="24"/>
          <w:u w:val="single"/>
        </w:rPr>
      </w:pPr>
      <w:r w:rsidRPr="0065247B">
        <w:rPr>
          <w:b/>
          <w:caps/>
          <w:kern w:val="28"/>
          <w:sz w:val="24"/>
          <w:u w:val="single"/>
        </w:rPr>
        <w:lastRenderedPageBreak/>
        <w:t>INDICATIONS</w:t>
      </w:r>
    </w:p>
    <w:p w:rsidR="00DF08CD" w:rsidRDefault="00DF08CD" w:rsidP="00A56051">
      <w:pPr>
        <w:rPr>
          <w:highlight w:val="green"/>
        </w:rPr>
      </w:pPr>
    </w:p>
    <w:p w:rsidR="001D4865" w:rsidRDefault="000D7FE6" w:rsidP="001D4865">
      <w:r>
        <w:t>ZEPATIER</w:t>
      </w:r>
      <w:r w:rsidR="00323298" w:rsidRPr="001D4865">
        <w:t xml:space="preserve"> is indicated for the treatment of </w:t>
      </w:r>
      <w:r w:rsidR="00935FF6" w:rsidRPr="001D4865">
        <w:t>C</w:t>
      </w:r>
      <w:r w:rsidR="00323298" w:rsidRPr="001D4865">
        <w:t xml:space="preserve">hronic </w:t>
      </w:r>
      <w:r w:rsidR="00935FF6" w:rsidRPr="001D4865">
        <w:t>H</w:t>
      </w:r>
      <w:r w:rsidR="00323298" w:rsidRPr="001D4865">
        <w:t>epatit</w:t>
      </w:r>
      <w:r w:rsidR="00935FF6" w:rsidRPr="001D4865">
        <w:t xml:space="preserve">is C </w:t>
      </w:r>
      <w:r w:rsidR="00550CA7">
        <w:t xml:space="preserve">genotype 1 </w:t>
      </w:r>
      <w:r w:rsidR="00130136">
        <w:t xml:space="preserve">or </w:t>
      </w:r>
      <w:r w:rsidR="00550CA7">
        <w:t xml:space="preserve">4 </w:t>
      </w:r>
      <w:r w:rsidR="00935FF6" w:rsidRPr="001D4865">
        <w:t xml:space="preserve">infection in adults (see DOSAGE AND ADMINISTRATION and CLINICAL TRIALS). </w:t>
      </w:r>
    </w:p>
    <w:p w:rsidR="00323298" w:rsidRDefault="00323298" w:rsidP="00A56051"/>
    <w:p w:rsidR="0060746F" w:rsidRPr="00582773" w:rsidRDefault="00CC78DD" w:rsidP="00DC43F1">
      <w:pPr>
        <w:pStyle w:val="Heading1"/>
        <w:rPr>
          <w:u w:val="single"/>
        </w:rPr>
      </w:pPr>
      <w:r w:rsidRPr="00582773">
        <w:rPr>
          <w:u w:val="single"/>
        </w:rPr>
        <w:t>CONTRAINDICATIONS</w:t>
      </w:r>
    </w:p>
    <w:p w:rsidR="00F71FA4" w:rsidRDefault="000D7FE6" w:rsidP="00C52E19">
      <w:pPr>
        <w:pStyle w:val="ListParagraph"/>
        <w:numPr>
          <w:ilvl w:val="0"/>
          <w:numId w:val="4"/>
        </w:numPr>
      </w:pPr>
      <w:r>
        <w:t>ZEPATIER</w:t>
      </w:r>
      <w:r w:rsidR="00F71FA4" w:rsidRPr="00C553BE">
        <w:t xml:space="preserve"> is contraindicated in patients with known hypersensitivity to</w:t>
      </w:r>
      <w:r w:rsidR="00A24540">
        <w:rPr>
          <w:szCs w:val="18"/>
        </w:rPr>
        <w:t xml:space="preserve"> </w:t>
      </w:r>
      <w:proofErr w:type="spellStart"/>
      <w:r w:rsidR="00A24540">
        <w:rPr>
          <w:szCs w:val="18"/>
        </w:rPr>
        <w:t>elbasvir</w:t>
      </w:r>
      <w:proofErr w:type="spellEnd"/>
      <w:r w:rsidR="00A24540">
        <w:rPr>
          <w:szCs w:val="18"/>
        </w:rPr>
        <w:t xml:space="preserve">, </w:t>
      </w:r>
      <w:proofErr w:type="spellStart"/>
      <w:r w:rsidR="00F71FA4">
        <w:t>grazoprevir</w:t>
      </w:r>
      <w:proofErr w:type="spellEnd"/>
      <w:r w:rsidR="00F71FA4">
        <w:t xml:space="preserve">, </w:t>
      </w:r>
      <w:r w:rsidR="00F71FA4" w:rsidRPr="00C553BE">
        <w:t>or any of its</w:t>
      </w:r>
      <w:r w:rsidR="00F71FA4">
        <w:t xml:space="preserve"> components</w:t>
      </w:r>
      <w:r w:rsidR="00F71FA4" w:rsidRPr="00C553BE">
        <w:t xml:space="preserve">. </w:t>
      </w:r>
    </w:p>
    <w:p w:rsidR="00F71FA4" w:rsidRDefault="008A0A66" w:rsidP="00C52E19">
      <w:pPr>
        <w:pStyle w:val="ListParagraph"/>
        <w:numPr>
          <w:ilvl w:val="0"/>
          <w:numId w:val="4"/>
        </w:numPr>
      </w:pPr>
      <w:r w:rsidRPr="00AD6BF4">
        <w:t xml:space="preserve">ZEPATIER is contraindicated in patients with moderate hepatic impairment (Child-Pugh B) due to a lack of clinical safety and efficacy experience in this patient population and the expected increase in </w:t>
      </w:r>
      <w:proofErr w:type="spellStart"/>
      <w:r w:rsidRPr="00AD6BF4">
        <w:t>grazoprevir</w:t>
      </w:r>
      <w:proofErr w:type="spellEnd"/>
      <w:r w:rsidRPr="00AD6BF4">
        <w:t xml:space="preserve"> plasma concentration.</w:t>
      </w:r>
      <w:r>
        <w:t xml:space="preserve"> </w:t>
      </w:r>
      <w:r w:rsidR="000D7FE6">
        <w:t>ZEPATIER</w:t>
      </w:r>
      <w:r w:rsidR="00F71FA4" w:rsidRPr="00603704">
        <w:t xml:space="preserve"> is contraindicated in patients with severe hepatic impairment</w:t>
      </w:r>
      <w:r>
        <w:t xml:space="preserve"> (Child-Pugh C)</w:t>
      </w:r>
      <w:r w:rsidR="00F71FA4" w:rsidRPr="00603704">
        <w:t xml:space="preserve"> due to the expected significantly increa</w:t>
      </w:r>
      <w:r w:rsidR="00F71FA4" w:rsidRPr="00745E62">
        <w:t xml:space="preserve">sed </w:t>
      </w:r>
      <w:proofErr w:type="spellStart"/>
      <w:r w:rsidR="00F71FA4" w:rsidRPr="00745E62">
        <w:t>grazoprevir</w:t>
      </w:r>
      <w:proofErr w:type="spellEnd"/>
      <w:r w:rsidR="00F71FA4" w:rsidRPr="00745E62">
        <w:t xml:space="preserve"> plasma concentration and the increased risk of alanine aminotransferase (ALT) elevations </w:t>
      </w:r>
      <w:r w:rsidR="00F71FA4">
        <w:rPr>
          <w:i/>
        </w:rPr>
        <w:t>(</w:t>
      </w:r>
      <w:r w:rsidR="00F71FA4" w:rsidRPr="00F71FA4">
        <w:rPr>
          <w:i/>
        </w:rPr>
        <w:t>s</w:t>
      </w:r>
      <w:r w:rsidR="00F71FA4">
        <w:rPr>
          <w:i/>
        </w:rPr>
        <w:t xml:space="preserve">ee </w:t>
      </w:r>
      <w:r w:rsidR="001D4865">
        <w:rPr>
          <w:i/>
        </w:rPr>
        <w:t>PRECAUTIONS: Hepatic Impairment</w:t>
      </w:r>
      <w:r w:rsidR="00F71FA4" w:rsidRPr="00F71FA4">
        <w:rPr>
          <w:i/>
        </w:rPr>
        <w:t>)</w:t>
      </w:r>
      <w:r w:rsidR="00F71FA4" w:rsidRPr="00745E62">
        <w:t>.</w:t>
      </w:r>
    </w:p>
    <w:p w:rsidR="004C36C2" w:rsidRPr="004C36C2" w:rsidRDefault="004C36C2" w:rsidP="004C36C2">
      <w:pPr>
        <w:pStyle w:val="ListParagraph"/>
        <w:numPr>
          <w:ilvl w:val="0"/>
          <w:numId w:val="4"/>
        </w:numPr>
        <w:ind w:left="709" w:hanging="283"/>
        <w:rPr>
          <w:color w:val="000000"/>
        </w:rPr>
      </w:pPr>
      <w:r w:rsidRPr="004C36C2">
        <w:rPr>
          <w:color w:val="000000"/>
        </w:rPr>
        <w:t xml:space="preserve">ZEPATIER is contraindicated with </w:t>
      </w:r>
      <w:r w:rsidRPr="004C36C2">
        <w:t xml:space="preserve">inhibitors of </w:t>
      </w:r>
      <w:r w:rsidRPr="004C36C2">
        <w:rPr>
          <w:color w:val="000000"/>
        </w:rPr>
        <w:t xml:space="preserve">organic anion transporting polypeptides 1B1/3 (OATP1B1/3) that are known or expected to significantly increase </w:t>
      </w:r>
      <w:proofErr w:type="spellStart"/>
      <w:r w:rsidRPr="004C36C2">
        <w:rPr>
          <w:color w:val="000000"/>
        </w:rPr>
        <w:t>grazoprevir</w:t>
      </w:r>
      <w:proofErr w:type="spellEnd"/>
      <w:r w:rsidRPr="004C36C2">
        <w:rPr>
          <w:color w:val="000000"/>
        </w:rPr>
        <w:t xml:space="preserve"> plasma concentrations, strong inducers of cytochrome P450 3A (CYP3A), and </w:t>
      </w:r>
      <w:proofErr w:type="spellStart"/>
      <w:r w:rsidRPr="004C36C2">
        <w:rPr>
          <w:color w:val="000000"/>
        </w:rPr>
        <w:t>efavirenz</w:t>
      </w:r>
      <w:proofErr w:type="spellEnd"/>
      <w:r w:rsidRPr="004C36C2">
        <w:rPr>
          <w:color w:val="000000"/>
        </w:rPr>
        <w:t xml:space="preserve"> </w:t>
      </w:r>
      <w:r w:rsidRPr="004C36C2">
        <w:rPr>
          <w:i/>
          <w:color w:val="000000"/>
        </w:rPr>
        <w:t xml:space="preserve">(see PRECAUTIONS: </w:t>
      </w:r>
      <w:r w:rsidRPr="004C36C2">
        <w:rPr>
          <w:i/>
        </w:rPr>
        <w:t>Risk of Adverse Reactions or Reduced Therapeutic Effect Due to Drug Interactions</w:t>
      </w:r>
      <w:r w:rsidRPr="004C36C2">
        <w:rPr>
          <w:i/>
          <w:color w:val="000000"/>
        </w:rPr>
        <w:t xml:space="preserve"> and INTERACTIONS WITH OTHER MEDICINES)</w:t>
      </w:r>
      <w:r w:rsidRPr="004C36C2">
        <w:rPr>
          <w:color w:val="000000"/>
        </w:rPr>
        <w:t>.</w:t>
      </w:r>
    </w:p>
    <w:p w:rsidR="004C36C2" w:rsidRPr="004C36C2" w:rsidRDefault="004C36C2" w:rsidP="004C36C2">
      <w:pPr>
        <w:ind w:left="709"/>
        <w:rPr>
          <w:color w:val="000000"/>
        </w:rPr>
      </w:pPr>
      <w:r>
        <w:rPr>
          <w:color w:val="000000"/>
        </w:rPr>
        <w:t xml:space="preserve">Table 9 lists medicines that are contraindicated with ZEPATIER. </w:t>
      </w:r>
    </w:p>
    <w:p w:rsidR="008A0A66" w:rsidRPr="00F23983" w:rsidRDefault="008A0A66" w:rsidP="004C36C2">
      <w:pPr>
        <w:rPr>
          <w:b/>
          <w:i/>
        </w:rPr>
      </w:pPr>
      <w:r w:rsidRPr="00F23983">
        <w:rPr>
          <w:b/>
          <w:i/>
        </w:rPr>
        <w:t>If ZEPATIER is administered with ribavirin, the contraindications to ribavirin also apply to this combination regimen. Refer to the ribavirin prescribing information for a list of contraindications for ribavirin.</w:t>
      </w:r>
    </w:p>
    <w:p w:rsidR="00FE2882" w:rsidRPr="007E7526" w:rsidRDefault="00FE2882" w:rsidP="00FE2882">
      <w:pPr>
        <w:jc w:val="center"/>
        <w:rPr>
          <w:b/>
          <w:bCs/>
          <w:sz w:val="20"/>
        </w:rPr>
      </w:pPr>
      <w:r w:rsidRPr="007E7526">
        <w:rPr>
          <w:b/>
          <w:bCs/>
          <w:sz w:val="20"/>
        </w:rPr>
        <w:t>Table</w:t>
      </w:r>
      <w:r>
        <w:rPr>
          <w:b/>
          <w:bCs/>
          <w:sz w:val="20"/>
        </w:rPr>
        <w:t xml:space="preserve"> 9</w:t>
      </w:r>
      <w:r w:rsidRPr="007E7526">
        <w:rPr>
          <w:b/>
          <w:bCs/>
          <w:sz w:val="20"/>
        </w:rPr>
        <w:t xml:space="preserve">: </w:t>
      </w:r>
      <w:r>
        <w:rPr>
          <w:b/>
          <w:bCs/>
          <w:sz w:val="20"/>
        </w:rPr>
        <w:t xml:space="preserve">Drugs that are </w:t>
      </w:r>
      <w:proofErr w:type="gramStart"/>
      <w:r>
        <w:rPr>
          <w:b/>
          <w:bCs/>
          <w:sz w:val="20"/>
        </w:rPr>
        <w:t>Contraindicated</w:t>
      </w:r>
      <w:proofErr w:type="gramEnd"/>
      <w:r>
        <w:rPr>
          <w:b/>
          <w:bCs/>
          <w:sz w:val="20"/>
        </w:rPr>
        <w:t xml:space="preserve"> with ZEPATIER</w:t>
      </w:r>
    </w:p>
    <w:tbl>
      <w:tblPr>
        <w:tblW w:w="9868" w:type="dxa"/>
        <w:tblLayout w:type="fixed"/>
        <w:tblCellMar>
          <w:left w:w="0" w:type="dxa"/>
          <w:right w:w="0" w:type="dxa"/>
        </w:tblCellMar>
        <w:tblLook w:val="01E0" w:firstRow="1" w:lastRow="1" w:firstColumn="1" w:lastColumn="1" w:noHBand="0" w:noVBand="0"/>
      </w:tblPr>
      <w:tblGrid>
        <w:gridCol w:w="2133"/>
        <w:gridCol w:w="1984"/>
        <w:gridCol w:w="5751"/>
      </w:tblGrid>
      <w:tr w:rsidR="00F23983" w:rsidRPr="00BC31F7" w:rsidTr="00F23983">
        <w:trPr>
          <w:trHeight w:hRule="exact" w:val="885"/>
        </w:trPr>
        <w:tc>
          <w:tcPr>
            <w:tcW w:w="2133" w:type="dxa"/>
            <w:tcBorders>
              <w:top w:val="single" w:sz="5" w:space="0" w:color="000000"/>
              <w:left w:val="single" w:sz="5" w:space="0" w:color="000000"/>
              <w:bottom w:val="single" w:sz="5" w:space="0" w:color="000000"/>
              <w:right w:val="single" w:sz="5" w:space="0" w:color="000000"/>
            </w:tcBorders>
          </w:tcPr>
          <w:p w:rsidR="00FE2882" w:rsidRPr="00BC31F7" w:rsidRDefault="00FE2882" w:rsidP="00F23983">
            <w:pPr>
              <w:pStyle w:val="TableParagraph"/>
              <w:ind w:left="148"/>
              <w:rPr>
                <w:rFonts w:ascii="Arial" w:eastAsia="Arial" w:hAnsi="Arial" w:cs="Arial"/>
                <w:sz w:val="20"/>
                <w:szCs w:val="20"/>
              </w:rPr>
            </w:pPr>
            <w:r w:rsidRPr="00BC31F7">
              <w:rPr>
                <w:rFonts w:ascii="Arial"/>
                <w:b/>
                <w:spacing w:val="-2"/>
                <w:sz w:val="20"/>
                <w:szCs w:val="20"/>
              </w:rPr>
              <w:t>Drug</w:t>
            </w:r>
            <w:r w:rsidRPr="00BC31F7">
              <w:rPr>
                <w:rFonts w:ascii="Arial"/>
                <w:b/>
                <w:spacing w:val="-6"/>
                <w:sz w:val="20"/>
                <w:szCs w:val="20"/>
              </w:rPr>
              <w:t xml:space="preserve"> </w:t>
            </w:r>
            <w:r w:rsidRPr="00BC31F7">
              <w:rPr>
                <w:rFonts w:ascii="Arial"/>
                <w:b/>
                <w:spacing w:val="-2"/>
                <w:sz w:val="20"/>
                <w:szCs w:val="20"/>
              </w:rPr>
              <w:t>Class</w:t>
            </w:r>
          </w:p>
        </w:tc>
        <w:tc>
          <w:tcPr>
            <w:tcW w:w="1984"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ight="336"/>
              <w:rPr>
                <w:rFonts w:ascii="Arial" w:eastAsia="Arial" w:hAnsi="Arial" w:cs="Arial"/>
                <w:sz w:val="20"/>
                <w:szCs w:val="20"/>
              </w:rPr>
            </w:pPr>
            <w:r w:rsidRPr="00BC31F7">
              <w:rPr>
                <w:rFonts w:ascii="Arial"/>
                <w:b/>
                <w:spacing w:val="-2"/>
                <w:sz w:val="20"/>
                <w:szCs w:val="20"/>
              </w:rPr>
              <w:t>Drug(s)</w:t>
            </w:r>
            <w:r w:rsidRPr="00BC31F7">
              <w:rPr>
                <w:rFonts w:ascii="Arial"/>
                <w:b/>
                <w:spacing w:val="-13"/>
                <w:sz w:val="20"/>
                <w:szCs w:val="20"/>
              </w:rPr>
              <w:t xml:space="preserve"> </w:t>
            </w:r>
            <w:r w:rsidRPr="00BC31F7">
              <w:rPr>
                <w:rFonts w:ascii="Arial"/>
                <w:b/>
                <w:spacing w:val="-2"/>
                <w:sz w:val="20"/>
                <w:szCs w:val="20"/>
              </w:rPr>
              <w:t>within</w:t>
            </w:r>
            <w:r w:rsidRPr="00BC31F7">
              <w:rPr>
                <w:rFonts w:ascii="Arial"/>
                <w:b/>
                <w:spacing w:val="-6"/>
                <w:sz w:val="20"/>
                <w:szCs w:val="20"/>
              </w:rPr>
              <w:t xml:space="preserve"> </w:t>
            </w:r>
            <w:r w:rsidRPr="00BC31F7">
              <w:rPr>
                <w:rFonts w:ascii="Arial"/>
                <w:b/>
                <w:spacing w:val="-3"/>
                <w:sz w:val="20"/>
                <w:szCs w:val="20"/>
              </w:rPr>
              <w:t>Class</w:t>
            </w:r>
            <w:r w:rsidRPr="00BC31F7">
              <w:rPr>
                <w:rFonts w:ascii="Arial"/>
                <w:b/>
                <w:spacing w:val="28"/>
                <w:sz w:val="20"/>
                <w:szCs w:val="20"/>
              </w:rPr>
              <w:t xml:space="preserve"> </w:t>
            </w:r>
            <w:r w:rsidRPr="00BC31F7">
              <w:rPr>
                <w:rFonts w:ascii="Arial"/>
                <w:b/>
                <w:spacing w:val="-1"/>
                <w:sz w:val="20"/>
                <w:szCs w:val="20"/>
              </w:rPr>
              <w:t>that</w:t>
            </w:r>
            <w:r w:rsidRPr="00BC31F7">
              <w:rPr>
                <w:rFonts w:ascii="Arial"/>
                <w:b/>
                <w:spacing w:val="-13"/>
                <w:sz w:val="20"/>
                <w:szCs w:val="20"/>
              </w:rPr>
              <w:t xml:space="preserve"> </w:t>
            </w:r>
            <w:r w:rsidRPr="00BC31F7">
              <w:rPr>
                <w:rFonts w:ascii="Arial"/>
                <w:b/>
                <w:spacing w:val="-2"/>
                <w:sz w:val="20"/>
                <w:szCs w:val="20"/>
              </w:rPr>
              <w:t>are</w:t>
            </w:r>
            <w:r w:rsidRPr="00BC31F7">
              <w:rPr>
                <w:rFonts w:ascii="Arial"/>
                <w:b/>
                <w:spacing w:val="-15"/>
                <w:sz w:val="20"/>
                <w:szCs w:val="20"/>
              </w:rPr>
              <w:t xml:space="preserve"> </w:t>
            </w:r>
            <w:r w:rsidRPr="00BC31F7">
              <w:rPr>
                <w:rFonts w:ascii="Arial"/>
                <w:b/>
                <w:spacing w:val="-3"/>
                <w:sz w:val="20"/>
                <w:szCs w:val="20"/>
              </w:rPr>
              <w:t>Contraindicated</w:t>
            </w:r>
          </w:p>
        </w:tc>
        <w:tc>
          <w:tcPr>
            <w:tcW w:w="5751"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1362"/>
              <w:rPr>
                <w:rFonts w:ascii="Arial" w:eastAsia="Arial" w:hAnsi="Arial" w:cs="Arial"/>
                <w:sz w:val="20"/>
                <w:szCs w:val="20"/>
              </w:rPr>
            </w:pPr>
            <w:r w:rsidRPr="00BC31F7">
              <w:rPr>
                <w:rFonts w:ascii="Arial"/>
                <w:b/>
                <w:spacing w:val="-2"/>
                <w:sz w:val="20"/>
                <w:szCs w:val="20"/>
              </w:rPr>
              <w:t>Clinical</w:t>
            </w:r>
            <w:r w:rsidRPr="00BC31F7">
              <w:rPr>
                <w:rFonts w:ascii="Arial"/>
                <w:b/>
                <w:spacing w:val="-16"/>
                <w:sz w:val="20"/>
                <w:szCs w:val="20"/>
              </w:rPr>
              <w:t xml:space="preserve"> </w:t>
            </w:r>
            <w:r w:rsidRPr="00BC31F7">
              <w:rPr>
                <w:rFonts w:ascii="Arial"/>
                <w:b/>
                <w:spacing w:val="-2"/>
                <w:sz w:val="20"/>
                <w:szCs w:val="20"/>
              </w:rPr>
              <w:t>Comment*</w:t>
            </w:r>
          </w:p>
        </w:tc>
      </w:tr>
      <w:tr w:rsidR="00F23983" w:rsidRPr="00BC31F7" w:rsidTr="00F23983">
        <w:trPr>
          <w:trHeight w:hRule="exact" w:val="840"/>
        </w:trPr>
        <w:tc>
          <w:tcPr>
            <w:tcW w:w="2133"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Pr>
                <w:rFonts w:ascii="Arial" w:eastAsia="Arial" w:hAnsi="Arial" w:cs="Arial"/>
                <w:sz w:val="20"/>
                <w:szCs w:val="20"/>
              </w:rPr>
            </w:pPr>
            <w:r w:rsidRPr="00BC31F7">
              <w:rPr>
                <w:rFonts w:ascii="Arial"/>
                <w:spacing w:val="-2"/>
                <w:sz w:val="20"/>
                <w:szCs w:val="20"/>
              </w:rPr>
              <w:t>Anticonvulsants</w:t>
            </w:r>
          </w:p>
        </w:tc>
        <w:tc>
          <w:tcPr>
            <w:tcW w:w="1984" w:type="dxa"/>
            <w:tcBorders>
              <w:top w:val="single" w:sz="5" w:space="0" w:color="000000"/>
              <w:left w:val="single" w:sz="5" w:space="0" w:color="000000"/>
              <w:bottom w:val="single" w:sz="5" w:space="0" w:color="000000"/>
              <w:right w:val="single" w:sz="5" w:space="0" w:color="000000"/>
            </w:tcBorders>
          </w:tcPr>
          <w:p w:rsidR="00FE2882" w:rsidRPr="00BC31F7" w:rsidRDefault="00FE2882" w:rsidP="00F23983">
            <w:pPr>
              <w:pStyle w:val="TableParagraph"/>
              <w:tabs>
                <w:tab w:val="left" w:pos="1417"/>
                <w:tab w:val="left" w:pos="1701"/>
                <w:tab w:val="left" w:pos="1842"/>
              </w:tabs>
              <w:ind w:left="99" w:right="283"/>
              <w:rPr>
                <w:rFonts w:ascii="Arial" w:eastAsia="Arial" w:hAnsi="Arial" w:cs="Arial"/>
                <w:sz w:val="20"/>
                <w:szCs w:val="20"/>
              </w:rPr>
            </w:pPr>
            <w:r w:rsidRPr="00BC31F7">
              <w:rPr>
                <w:rFonts w:ascii="Arial"/>
                <w:spacing w:val="-1"/>
                <w:sz w:val="20"/>
                <w:szCs w:val="20"/>
              </w:rPr>
              <w:t>Phenytoin</w:t>
            </w:r>
            <w:r w:rsidRPr="00BC31F7">
              <w:rPr>
                <w:rFonts w:ascii="Arial"/>
                <w:spacing w:val="24"/>
                <w:sz w:val="20"/>
                <w:szCs w:val="20"/>
              </w:rPr>
              <w:t xml:space="preserve"> </w:t>
            </w:r>
            <w:r w:rsidRPr="00BC31F7">
              <w:rPr>
                <w:rFonts w:ascii="Arial"/>
                <w:spacing w:val="-2"/>
                <w:sz w:val="20"/>
                <w:szCs w:val="20"/>
              </w:rPr>
              <w:t>Carbamazepine</w:t>
            </w:r>
          </w:p>
        </w:tc>
        <w:tc>
          <w:tcPr>
            <w:tcW w:w="5751"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ight="267"/>
              <w:rPr>
                <w:rFonts w:ascii="Arial" w:eastAsia="Arial" w:hAnsi="Arial" w:cs="Arial"/>
                <w:sz w:val="20"/>
                <w:szCs w:val="20"/>
              </w:rPr>
            </w:pPr>
            <w:r w:rsidRPr="00BC31F7">
              <w:rPr>
                <w:rFonts w:ascii="Arial"/>
                <w:spacing w:val="-1"/>
                <w:sz w:val="20"/>
                <w:szCs w:val="20"/>
              </w:rPr>
              <w:t>May</w:t>
            </w:r>
            <w:r w:rsidRPr="00BC31F7">
              <w:rPr>
                <w:rFonts w:ascii="Arial"/>
                <w:spacing w:val="-8"/>
                <w:sz w:val="20"/>
                <w:szCs w:val="20"/>
              </w:rPr>
              <w:t xml:space="preserve"> </w:t>
            </w:r>
            <w:r w:rsidRPr="00BC31F7">
              <w:rPr>
                <w:rFonts w:ascii="Arial"/>
                <w:spacing w:val="-1"/>
                <w:sz w:val="20"/>
                <w:szCs w:val="20"/>
              </w:rPr>
              <w:t>lead</w:t>
            </w:r>
            <w:r w:rsidRPr="00BC31F7">
              <w:rPr>
                <w:rFonts w:ascii="Arial"/>
                <w:spacing w:val="-5"/>
                <w:sz w:val="20"/>
                <w:szCs w:val="20"/>
              </w:rPr>
              <w:t xml:space="preserve"> </w:t>
            </w:r>
            <w:r w:rsidRPr="00BC31F7">
              <w:rPr>
                <w:rFonts w:ascii="Arial"/>
                <w:sz w:val="20"/>
                <w:szCs w:val="20"/>
              </w:rPr>
              <w:t>to</w:t>
            </w:r>
            <w:r w:rsidRPr="00BC31F7">
              <w:rPr>
                <w:rFonts w:ascii="Arial"/>
                <w:spacing w:val="-10"/>
                <w:sz w:val="20"/>
                <w:szCs w:val="20"/>
              </w:rPr>
              <w:t xml:space="preserve"> </w:t>
            </w:r>
            <w:r w:rsidRPr="00BC31F7">
              <w:rPr>
                <w:rFonts w:ascii="Arial"/>
                <w:spacing w:val="-1"/>
                <w:sz w:val="20"/>
                <w:szCs w:val="20"/>
              </w:rPr>
              <w:t>loss</w:t>
            </w:r>
            <w:r w:rsidRPr="00BC31F7">
              <w:rPr>
                <w:rFonts w:ascii="Arial"/>
                <w:spacing w:val="-8"/>
                <w:sz w:val="20"/>
                <w:szCs w:val="20"/>
              </w:rPr>
              <w:t xml:space="preserve"> </w:t>
            </w:r>
            <w:r w:rsidRPr="00BC31F7">
              <w:rPr>
                <w:rFonts w:ascii="Arial"/>
                <w:spacing w:val="-1"/>
                <w:sz w:val="20"/>
                <w:szCs w:val="20"/>
              </w:rPr>
              <w:t>of</w:t>
            </w:r>
            <w:r w:rsidRPr="00BC31F7">
              <w:rPr>
                <w:rFonts w:ascii="Arial"/>
                <w:spacing w:val="-7"/>
                <w:sz w:val="20"/>
                <w:szCs w:val="20"/>
              </w:rPr>
              <w:t xml:space="preserve"> </w:t>
            </w:r>
            <w:proofErr w:type="spellStart"/>
            <w:r w:rsidRPr="00BC31F7">
              <w:rPr>
                <w:rFonts w:ascii="Arial"/>
                <w:spacing w:val="-1"/>
                <w:sz w:val="20"/>
                <w:szCs w:val="20"/>
              </w:rPr>
              <w:t>virologic</w:t>
            </w:r>
            <w:proofErr w:type="spellEnd"/>
            <w:r w:rsidRPr="00BC31F7">
              <w:rPr>
                <w:rFonts w:ascii="Arial"/>
                <w:spacing w:val="-3"/>
                <w:sz w:val="20"/>
                <w:szCs w:val="20"/>
              </w:rPr>
              <w:t xml:space="preserve"> response</w:t>
            </w:r>
            <w:r w:rsidRPr="00BC31F7">
              <w:rPr>
                <w:rFonts w:ascii="Arial"/>
                <w:spacing w:val="-5"/>
                <w:sz w:val="20"/>
                <w:szCs w:val="20"/>
              </w:rPr>
              <w:t xml:space="preserve"> </w:t>
            </w:r>
            <w:r w:rsidRPr="00BC31F7">
              <w:rPr>
                <w:rFonts w:ascii="Arial"/>
                <w:spacing w:val="1"/>
                <w:sz w:val="20"/>
                <w:szCs w:val="20"/>
              </w:rPr>
              <w:t>to</w:t>
            </w:r>
            <w:r w:rsidRPr="00BC31F7">
              <w:rPr>
                <w:rFonts w:ascii="Arial"/>
                <w:spacing w:val="26"/>
                <w:sz w:val="20"/>
                <w:szCs w:val="20"/>
              </w:rPr>
              <w:t xml:space="preserve"> </w:t>
            </w:r>
            <w:r w:rsidRPr="00BC31F7">
              <w:rPr>
                <w:rFonts w:ascii="Arial"/>
                <w:spacing w:val="-1"/>
                <w:sz w:val="20"/>
                <w:szCs w:val="20"/>
              </w:rPr>
              <w:t>ZEPATIER</w:t>
            </w:r>
            <w:r w:rsidRPr="00BC31F7">
              <w:rPr>
                <w:rFonts w:ascii="Arial"/>
                <w:spacing w:val="-10"/>
                <w:sz w:val="20"/>
                <w:szCs w:val="20"/>
              </w:rPr>
              <w:t xml:space="preserve"> </w:t>
            </w:r>
            <w:r w:rsidRPr="00BC31F7">
              <w:rPr>
                <w:rFonts w:ascii="Arial"/>
                <w:spacing w:val="-2"/>
                <w:sz w:val="20"/>
                <w:szCs w:val="20"/>
              </w:rPr>
              <w:t>due</w:t>
            </w:r>
            <w:r w:rsidRPr="00BC31F7">
              <w:rPr>
                <w:rFonts w:ascii="Arial"/>
                <w:spacing w:val="-15"/>
                <w:sz w:val="20"/>
                <w:szCs w:val="20"/>
              </w:rPr>
              <w:t xml:space="preserve"> </w:t>
            </w:r>
            <w:r w:rsidRPr="00BC31F7">
              <w:rPr>
                <w:rFonts w:ascii="Arial"/>
                <w:sz w:val="20"/>
                <w:szCs w:val="20"/>
              </w:rPr>
              <w:t>to</w:t>
            </w:r>
            <w:r w:rsidRPr="00BC31F7">
              <w:rPr>
                <w:rFonts w:ascii="Arial"/>
                <w:spacing w:val="-5"/>
                <w:sz w:val="20"/>
                <w:szCs w:val="20"/>
              </w:rPr>
              <w:t xml:space="preserve"> </w:t>
            </w:r>
            <w:r w:rsidRPr="00BC31F7">
              <w:rPr>
                <w:rFonts w:ascii="Arial"/>
                <w:spacing w:val="-2"/>
                <w:sz w:val="20"/>
                <w:szCs w:val="20"/>
              </w:rPr>
              <w:t>significant</w:t>
            </w:r>
            <w:r w:rsidRPr="00BC31F7">
              <w:rPr>
                <w:rFonts w:ascii="Arial"/>
                <w:spacing w:val="-7"/>
                <w:sz w:val="20"/>
                <w:szCs w:val="20"/>
              </w:rPr>
              <w:t xml:space="preserve"> </w:t>
            </w:r>
            <w:r w:rsidRPr="00BC31F7">
              <w:rPr>
                <w:rFonts w:ascii="Arial"/>
                <w:spacing w:val="-3"/>
                <w:sz w:val="20"/>
                <w:szCs w:val="20"/>
              </w:rPr>
              <w:t>decreases</w:t>
            </w:r>
            <w:r w:rsidRPr="00BC31F7">
              <w:rPr>
                <w:rFonts w:ascii="Arial"/>
                <w:spacing w:val="-8"/>
                <w:sz w:val="20"/>
                <w:szCs w:val="20"/>
              </w:rPr>
              <w:t xml:space="preserve"> </w:t>
            </w:r>
            <w:r w:rsidRPr="00BC31F7">
              <w:rPr>
                <w:rFonts w:ascii="Arial"/>
                <w:spacing w:val="3"/>
                <w:sz w:val="20"/>
                <w:szCs w:val="20"/>
              </w:rPr>
              <w:t>in</w:t>
            </w:r>
            <w:r w:rsidRPr="00BC31F7">
              <w:rPr>
                <w:rFonts w:ascii="Arial"/>
                <w:spacing w:val="54"/>
                <w:sz w:val="20"/>
                <w:szCs w:val="20"/>
              </w:rPr>
              <w:t xml:space="preserve"> </w:t>
            </w:r>
            <w:proofErr w:type="spellStart"/>
            <w:r w:rsidRPr="00BC31F7">
              <w:rPr>
                <w:rFonts w:ascii="Arial"/>
                <w:spacing w:val="-2"/>
                <w:sz w:val="20"/>
                <w:szCs w:val="20"/>
              </w:rPr>
              <w:t>elbasvir</w:t>
            </w:r>
            <w:proofErr w:type="spellEnd"/>
            <w:r w:rsidRPr="00BC31F7">
              <w:rPr>
                <w:rFonts w:ascii="Arial"/>
                <w:spacing w:val="-8"/>
                <w:sz w:val="20"/>
                <w:szCs w:val="20"/>
              </w:rPr>
              <w:t xml:space="preserve"> </w:t>
            </w:r>
            <w:r w:rsidRPr="00BC31F7">
              <w:rPr>
                <w:rFonts w:ascii="Arial"/>
                <w:spacing w:val="-3"/>
                <w:sz w:val="20"/>
                <w:szCs w:val="20"/>
              </w:rPr>
              <w:t>and</w:t>
            </w:r>
            <w:r w:rsidRPr="00BC31F7">
              <w:rPr>
                <w:rFonts w:ascii="Arial"/>
                <w:spacing w:val="-10"/>
                <w:sz w:val="20"/>
                <w:szCs w:val="20"/>
              </w:rPr>
              <w:t xml:space="preserve"> </w:t>
            </w:r>
            <w:proofErr w:type="spellStart"/>
            <w:r w:rsidRPr="00BC31F7">
              <w:rPr>
                <w:rFonts w:ascii="Arial"/>
                <w:spacing w:val="-2"/>
                <w:sz w:val="20"/>
                <w:szCs w:val="20"/>
              </w:rPr>
              <w:t>grazoprevir</w:t>
            </w:r>
            <w:proofErr w:type="spellEnd"/>
            <w:r w:rsidRPr="00BC31F7">
              <w:rPr>
                <w:rFonts w:ascii="Arial"/>
                <w:spacing w:val="-13"/>
                <w:sz w:val="20"/>
                <w:szCs w:val="20"/>
              </w:rPr>
              <w:t xml:space="preserve"> </w:t>
            </w:r>
            <w:r w:rsidRPr="00BC31F7">
              <w:rPr>
                <w:rFonts w:ascii="Arial"/>
                <w:spacing w:val="-2"/>
                <w:sz w:val="20"/>
                <w:szCs w:val="20"/>
              </w:rPr>
              <w:t>plasma</w:t>
            </w:r>
            <w:r w:rsidRPr="00BC31F7">
              <w:rPr>
                <w:rFonts w:ascii="Arial"/>
                <w:spacing w:val="-15"/>
                <w:sz w:val="20"/>
                <w:szCs w:val="20"/>
              </w:rPr>
              <w:t xml:space="preserve"> </w:t>
            </w:r>
            <w:r w:rsidRPr="00BC31F7">
              <w:rPr>
                <w:rFonts w:ascii="Arial"/>
                <w:spacing w:val="-2"/>
                <w:sz w:val="20"/>
                <w:szCs w:val="20"/>
              </w:rPr>
              <w:t>concentrations</w:t>
            </w:r>
            <w:r w:rsidRPr="00BC31F7">
              <w:rPr>
                <w:rFonts w:ascii="Arial"/>
                <w:spacing w:val="29"/>
                <w:sz w:val="20"/>
                <w:szCs w:val="20"/>
              </w:rPr>
              <w:t xml:space="preserve"> </w:t>
            </w:r>
            <w:r w:rsidRPr="00BC31F7">
              <w:rPr>
                <w:rFonts w:ascii="Arial"/>
                <w:spacing w:val="-2"/>
                <w:sz w:val="20"/>
                <w:szCs w:val="20"/>
              </w:rPr>
              <w:t>caused</w:t>
            </w:r>
            <w:r w:rsidRPr="00BC31F7">
              <w:rPr>
                <w:rFonts w:ascii="Arial"/>
                <w:spacing w:val="-10"/>
                <w:sz w:val="20"/>
                <w:szCs w:val="20"/>
              </w:rPr>
              <w:t xml:space="preserve"> </w:t>
            </w:r>
            <w:r w:rsidRPr="00BC31F7">
              <w:rPr>
                <w:rFonts w:ascii="Arial"/>
                <w:spacing w:val="-1"/>
                <w:sz w:val="20"/>
                <w:szCs w:val="20"/>
              </w:rPr>
              <w:t>by</w:t>
            </w:r>
            <w:r w:rsidRPr="00BC31F7">
              <w:rPr>
                <w:rFonts w:ascii="Arial"/>
                <w:spacing w:val="-8"/>
                <w:sz w:val="20"/>
                <w:szCs w:val="20"/>
              </w:rPr>
              <w:t xml:space="preserve"> </w:t>
            </w:r>
            <w:r w:rsidRPr="00BC31F7">
              <w:rPr>
                <w:rFonts w:ascii="Arial"/>
                <w:spacing w:val="-2"/>
                <w:sz w:val="20"/>
                <w:szCs w:val="20"/>
              </w:rPr>
              <w:t>strong</w:t>
            </w:r>
            <w:r w:rsidRPr="00BC31F7">
              <w:rPr>
                <w:rFonts w:ascii="Arial"/>
                <w:spacing w:val="-10"/>
                <w:sz w:val="20"/>
                <w:szCs w:val="20"/>
              </w:rPr>
              <w:t xml:space="preserve"> </w:t>
            </w:r>
            <w:r w:rsidRPr="00BC31F7">
              <w:rPr>
                <w:rFonts w:ascii="Arial"/>
                <w:spacing w:val="-2"/>
                <w:sz w:val="20"/>
                <w:szCs w:val="20"/>
              </w:rPr>
              <w:t>CYP3A</w:t>
            </w:r>
            <w:r w:rsidRPr="00BC31F7">
              <w:rPr>
                <w:rFonts w:ascii="Arial"/>
                <w:spacing w:val="-8"/>
                <w:sz w:val="20"/>
                <w:szCs w:val="20"/>
              </w:rPr>
              <w:t xml:space="preserve"> </w:t>
            </w:r>
            <w:r w:rsidRPr="00BC31F7">
              <w:rPr>
                <w:rFonts w:ascii="Arial"/>
                <w:spacing w:val="-2"/>
                <w:sz w:val="20"/>
                <w:szCs w:val="20"/>
              </w:rPr>
              <w:t>induction.</w:t>
            </w:r>
          </w:p>
        </w:tc>
      </w:tr>
      <w:tr w:rsidR="00F23983" w:rsidRPr="00BC31F7" w:rsidTr="00F23983">
        <w:trPr>
          <w:trHeight w:hRule="exact" w:val="1831"/>
        </w:trPr>
        <w:tc>
          <w:tcPr>
            <w:tcW w:w="2133"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Pr>
                <w:rFonts w:ascii="Arial" w:eastAsia="Arial" w:hAnsi="Arial" w:cs="Arial"/>
                <w:sz w:val="20"/>
                <w:szCs w:val="20"/>
              </w:rPr>
            </w:pPr>
            <w:proofErr w:type="spellStart"/>
            <w:r w:rsidRPr="00BC31F7">
              <w:rPr>
                <w:rFonts w:ascii="Arial"/>
                <w:spacing w:val="-2"/>
                <w:sz w:val="20"/>
                <w:szCs w:val="20"/>
              </w:rPr>
              <w:t>Antimycobacterials</w:t>
            </w:r>
            <w:proofErr w:type="spellEnd"/>
          </w:p>
        </w:tc>
        <w:tc>
          <w:tcPr>
            <w:tcW w:w="1984"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Pr>
                <w:rFonts w:ascii="Arial" w:eastAsia="Arial" w:hAnsi="Arial" w:cs="Arial"/>
                <w:sz w:val="20"/>
                <w:szCs w:val="20"/>
              </w:rPr>
            </w:pPr>
            <w:r w:rsidRPr="00BC31F7">
              <w:rPr>
                <w:rFonts w:ascii="Arial"/>
                <w:spacing w:val="-1"/>
                <w:sz w:val="20"/>
                <w:szCs w:val="20"/>
              </w:rPr>
              <w:t>Rifampin</w:t>
            </w:r>
          </w:p>
        </w:tc>
        <w:tc>
          <w:tcPr>
            <w:tcW w:w="5751" w:type="dxa"/>
            <w:tcBorders>
              <w:top w:val="single" w:sz="5" w:space="0" w:color="000000"/>
              <w:left w:val="single" w:sz="5" w:space="0" w:color="000000"/>
              <w:bottom w:val="single" w:sz="5" w:space="0" w:color="000000"/>
              <w:right w:val="single" w:sz="5" w:space="0" w:color="000000"/>
            </w:tcBorders>
          </w:tcPr>
          <w:p w:rsidR="00FE2882" w:rsidRPr="00BC31F7" w:rsidRDefault="00F23983" w:rsidP="00F23983">
            <w:pPr>
              <w:pStyle w:val="TableParagraph"/>
              <w:ind w:left="99" w:right="267"/>
              <w:rPr>
                <w:rFonts w:ascii="Arial" w:eastAsia="Arial" w:hAnsi="Arial" w:cs="Arial"/>
                <w:sz w:val="20"/>
                <w:szCs w:val="20"/>
              </w:rPr>
            </w:pPr>
            <w:r>
              <w:rPr>
                <w:rFonts w:ascii="Arial"/>
                <w:spacing w:val="-1"/>
                <w:sz w:val="20"/>
                <w:szCs w:val="20"/>
              </w:rPr>
              <w:t xml:space="preserve">Leads to an initial significant increase in </w:t>
            </w:r>
            <w:proofErr w:type="spellStart"/>
            <w:r>
              <w:rPr>
                <w:rFonts w:ascii="Arial"/>
                <w:spacing w:val="-1"/>
                <w:sz w:val="20"/>
                <w:szCs w:val="20"/>
              </w:rPr>
              <w:t>grazoprevir</w:t>
            </w:r>
            <w:proofErr w:type="spellEnd"/>
            <w:r>
              <w:rPr>
                <w:rFonts w:ascii="Arial"/>
                <w:spacing w:val="-1"/>
                <w:sz w:val="20"/>
                <w:szCs w:val="20"/>
              </w:rPr>
              <w:t xml:space="preserve"> </w:t>
            </w:r>
            <w:r w:rsidRPr="00F23983">
              <w:rPr>
                <w:rFonts w:ascii="Arial"/>
                <w:spacing w:val="-1"/>
                <w:sz w:val="20"/>
                <w:szCs w:val="20"/>
              </w:rPr>
              <w:t xml:space="preserve">plasma concentration on </w:t>
            </w:r>
            <w:proofErr w:type="spellStart"/>
            <w:r w:rsidRPr="00F23983">
              <w:rPr>
                <w:rFonts w:ascii="Arial"/>
                <w:spacing w:val="-1"/>
                <w:sz w:val="20"/>
                <w:szCs w:val="20"/>
              </w:rPr>
              <w:t>coadministration</w:t>
            </w:r>
            <w:proofErr w:type="spellEnd"/>
            <w:r w:rsidRPr="00F23983">
              <w:rPr>
                <w:rFonts w:ascii="Arial"/>
                <w:spacing w:val="-1"/>
                <w:sz w:val="20"/>
                <w:szCs w:val="20"/>
              </w:rPr>
              <w:t xml:space="preserve"> (due to OATP1B inhibition), which may increase the risk of ALT elevations, followed by decreases in </w:t>
            </w:r>
            <w:proofErr w:type="spellStart"/>
            <w:r w:rsidRPr="00F23983">
              <w:rPr>
                <w:rFonts w:ascii="Arial"/>
                <w:spacing w:val="-1"/>
                <w:sz w:val="20"/>
                <w:szCs w:val="20"/>
              </w:rPr>
              <w:t>elbasvir</w:t>
            </w:r>
            <w:proofErr w:type="spellEnd"/>
            <w:r w:rsidRPr="00F23983">
              <w:rPr>
                <w:rFonts w:ascii="Arial"/>
                <w:spacing w:val="-1"/>
                <w:sz w:val="20"/>
                <w:szCs w:val="20"/>
              </w:rPr>
              <w:t xml:space="preserve"> and </w:t>
            </w:r>
            <w:proofErr w:type="spellStart"/>
            <w:r w:rsidRPr="00F23983">
              <w:rPr>
                <w:rFonts w:ascii="Arial"/>
                <w:spacing w:val="-1"/>
                <w:sz w:val="20"/>
                <w:szCs w:val="20"/>
              </w:rPr>
              <w:t>grazoprevir</w:t>
            </w:r>
            <w:proofErr w:type="spellEnd"/>
            <w:r w:rsidRPr="00F23983">
              <w:rPr>
                <w:rFonts w:ascii="Arial"/>
                <w:spacing w:val="-1"/>
                <w:sz w:val="20"/>
                <w:szCs w:val="20"/>
              </w:rPr>
              <w:t xml:space="preserve"> plasma concentrations during continued </w:t>
            </w:r>
            <w:proofErr w:type="spellStart"/>
            <w:r w:rsidRPr="00F23983">
              <w:rPr>
                <w:rFonts w:ascii="Arial"/>
                <w:spacing w:val="-1"/>
                <w:sz w:val="20"/>
                <w:szCs w:val="20"/>
              </w:rPr>
              <w:t>coadministration</w:t>
            </w:r>
            <w:proofErr w:type="spellEnd"/>
            <w:r w:rsidRPr="00F23983">
              <w:rPr>
                <w:rFonts w:ascii="Arial"/>
                <w:spacing w:val="-1"/>
                <w:sz w:val="20"/>
                <w:szCs w:val="20"/>
              </w:rPr>
              <w:t xml:space="preserve"> (due to strong CYP3A induction), which</w:t>
            </w:r>
            <w:r>
              <w:rPr>
                <w:rFonts w:ascii="Arial"/>
                <w:spacing w:val="-1"/>
                <w:sz w:val="20"/>
                <w:szCs w:val="20"/>
              </w:rPr>
              <w:t xml:space="preserve"> m</w:t>
            </w:r>
            <w:r w:rsidR="00FE2882" w:rsidRPr="00BC31F7">
              <w:rPr>
                <w:rFonts w:ascii="Arial"/>
                <w:spacing w:val="-1"/>
                <w:sz w:val="20"/>
                <w:szCs w:val="20"/>
              </w:rPr>
              <w:t>ay</w:t>
            </w:r>
            <w:r w:rsidR="00FE2882" w:rsidRPr="00BC31F7">
              <w:rPr>
                <w:rFonts w:ascii="Arial"/>
                <w:spacing w:val="-8"/>
                <w:sz w:val="20"/>
                <w:szCs w:val="20"/>
              </w:rPr>
              <w:t xml:space="preserve"> </w:t>
            </w:r>
            <w:r w:rsidR="00FE2882" w:rsidRPr="00BC31F7">
              <w:rPr>
                <w:rFonts w:ascii="Arial"/>
                <w:spacing w:val="-1"/>
                <w:sz w:val="20"/>
                <w:szCs w:val="20"/>
              </w:rPr>
              <w:t>lead</w:t>
            </w:r>
            <w:r w:rsidR="00FE2882" w:rsidRPr="00BC31F7">
              <w:rPr>
                <w:rFonts w:ascii="Arial"/>
                <w:spacing w:val="-5"/>
                <w:sz w:val="20"/>
                <w:szCs w:val="20"/>
              </w:rPr>
              <w:t xml:space="preserve"> </w:t>
            </w:r>
            <w:r w:rsidR="00FE2882" w:rsidRPr="00BC31F7">
              <w:rPr>
                <w:rFonts w:ascii="Arial"/>
                <w:sz w:val="20"/>
                <w:szCs w:val="20"/>
              </w:rPr>
              <w:t>to</w:t>
            </w:r>
            <w:r w:rsidR="00FE2882" w:rsidRPr="00BC31F7">
              <w:rPr>
                <w:rFonts w:ascii="Arial"/>
                <w:spacing w:val="-10"/>
                <w:sz w:val="20"/>
                <w:szCs w:val="20"/>
              </w:rPr>
              <w:t xml:space="preserve"> </w:t>
            </w:r>
            <w:r w:rsidR="00FE2882" w:rsidRPr="00BC31F7">
              <w:rPr>
                <w:rFonts w:ascii="Arial"/>
                <w:spacing w:val="-1"/>
                <w:sz w:val="20"/>
                <w:szCs w:val="20"/>
              </w:rPr>
              <w:t>loss</w:t>
            </w:r>
            <w:r w:rsidR="00FE2882" w:rsidRPr="00BC31F7">
              <w:rPr>
                <w:rFonts w:ascii="Arial"/>
                <w:spacing w:val="-8"/>
                <w:sz w:val="20"/>
                <w:szCs w:val="20"/>
              </w:rPr>
              <w:t xml:space="preserve"> </w:t>
            </w:r>
            <w:r w:rsidR="00FE2882" w:rsidRPr="00BC31F7">
              <w:rPr>
                <w:rFonts w:ascii="Arial"/>
                <w:spacing w:val="-1"/>
                <w:sz w:val="20"/>
                <w:szCs w:val="20"/>
              </w:rPr>
              <w:t>of</w:t>
            </w:r>
            <w:r w:rsidR="00FE2882" w:rsidRPr="00BC31F7">
              <w:rPr>
                <w:rFonts w:ascii="Arial"/>
                <w:spacing w:val="-7"/>
                <w:sz w:val="20"/>
                <w:szCs w:val="20"/>
              </w:rPr>
              <w:t xml:space="preserve"> </w:t>
            </w:r>
            <w:proofErr w:type="spellStart"/>
            <w:r w:rsidR="00FE2882" w:rsidRPr="00BC31F7">
              <w:rPr>
                <w:rFonts w:ascii="Arial"/>
                <w:spacing w:val="-1"/>
                <w:sz w:val="20"/>
                <w:szCs w:val="20"/>
              </w:rPr>
              <w:t>virologic</w:t>
            </w:r>
            <w:proofErr w:type="spellEnd"/>
            <w:r w:rsidR="00FE2882" w:rsidRPr="00BC31F7">
              <w:rPr>
                <w:rFonts w:ascii="Arial"/>
                <w:spacing w:val="-3"/>
                <w:sz w:val="20"/>
                <w:szCs w:val="20"/>
              </w:rPr>
              <w:t xml:space="preserve"> response</w:t>
            </w:r>
            <w:r w:rsidR="00FE2882" w:rsidRPr="00BC31F7">
              <w:rPr>
                <w:rFonts w:ascii="Arial"/>
                <w:spacing w:val="-5"/>
                <w:sz w:val="20"/>
                <w:szCs w:val="20"/>
              </w:rPr>
              <w:t xml:space="preserve"> </w:t>
            </w:r>
            <w:r w:rsidR="00FE2882" w:rsidRPr="00BC31F7">
              <w:rPr>
                <w:rFonts w:ascii="Arial"/>
                <w:spacing w:val="1"/>
                <w:sz w:val="20"/>
                <w:szCs w:val="20"/>
              </w:rPr>
              <w:t>to</w:t>
            </w:r>
            <w:r>
              <w:rPr>
                <w:rFonts w:ascii="Arial"/>
                <w:spacing w:val="1"/>
                <w:sz w:val="20"/>
                <w:szCs w:val="20"/>
              </w:rPr>
              <w:t xml:space="preserve">. </w:t>
            </w:r>
          </w:p>
        </w:tc>
      </w:tr>
      <w:tr w:rsidR="00F23983" w:rsidRPr="00BC31F7" w:rsidTr="00F23983">
        <w:trPr>
          <w:trHeight w:hRule="exact" w:val="862"/>
        </w:trPr>
        <w:tc>
          <w:tcPr>
            <w:tcW w:w="2133"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Pr>
                <w:rFonts w:ascii="Arial" w:eastAsia="Arial" w:hAnsi="Arial" w:cs="Arial"/>
                <w:sz w:val="20"/>
                <w:szCs w:val="20"/>
              </w:rPr>
            </w:pPr>
            <w:r w:rsidRPr="00BC31F7">
              <w:rPr>
                <w:rFonts w:ascii="Arial"/>
                <w:spacing w:val="-2"/>
                <w:sz w:val="20"/>
                <w:szCs w:val="20"/>
              </w:rPr>
              <w:t>Herbal</w:t>
            </w:r>
            <w:r w:rsidRPr="00BC31F7">
              <w:rPr>
                <w:rFonts w:ascii="Arial"/>
                <w:spacing w:val="-10"/>
                <w:sz w:val="20"/>
                <w:szCs w:val="20"/>
              </w:rPr>
              <w:t xml:space="preserve"> </w:t>
            </w:r>
            <w:r w:rsidRPr="00BC31F7">
              <w:rPr>
                <w:rFonts w:ascii="Arial"/>
                <w:spacing w:val="-2"/>
                <w:sz w:val="20"/>
                <w:szCs w:val="20"/>
              </w:rPr>
              <w:t>Products</w:t>
            </w:r>
          </w:p>
        </w:tc>
        <w:tc>
          <w:tcPr>
            <w:tcW w:w="1984"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ight="189"/>
              <w:rPr>
                <w:rFonts w:ascii="Arial" w:eastAsia="Arial" w:hAnsi="Arial" w:cs="Arial"/>
                <w:sz w:val="20"/>
                <w:szCs w:val="20"/>
              </w:rPr>
            </w:pPr>
            <w:r w:rsidRPr="00BC31F7">
              <w:rPr>
                <w:rFonts w:ascii="Arial" w:eastAsia="Arial" w:hAnsi="Arial" w:cs="Arial"/>
                <w:spacing w:val="-2"/>
                <w:sz w:val="20"/>
                <w:szCs w:val="20"/>
              </w:rPr>
              <w:t>St.</w:t>
            </w:r>
            <w:r w:rsidRPr="00BC31F7">
              <w:rPr>
                <w:rFonts w:ascii="Arial" w:eastAsia="Arial" w:hAnsi="Arial" w:cs="Arial"/>
                <w:spacing w:val="-7"/>
                <w:sz w:val="20"/>
                <w:szCs w:val="20"/>
              </w:rPr>
              <w:t xml:space="preserve"> </w:t>
            </w:r>
            <w:r w:rsidRPr="00BC31F7">
              <w:rPr>
                <w:rFonts w:ascii="Arial" w:eastAsia="Arial" w:hAnsi="Arial" w:cs="Arial"/>
                <w:spacing w:val="-2"/>
                <w:sz w:val="20"/>
                <w:szCs w:val="20"/>
              </w:rPr>
              <w:t>John’s</w:t>
            </w:r>
            <w:r w:rsidRPr="00BC31F7">
              <w:rPr>
                <w:rFonts w:ascii="Arial" w:eastAsia="Arial" w:hAnsi="Arial" w:cs="Arial"/>
                <w:spacing w:val="-18"/>
                <w:sz w:val="20"/>
                <w:szCs w:val="20"/>
              </w:rPr>
              <w:t xml:space="preserve"> </w:t>
            </w:r>
            <w:proofErr w:type="spellStart"/>
            <w:r w:rsidRPr="00BC31F7">
              <w:rPr>
                <w:rFonts w:ascii="Arial" w:eastAsia="Arial" w:hAnsi="Arial" w:cs="Arial"/>
                <w:spacing w:val="2"/>
                <w:sz w:val="20"/>
                <w:szCs w:val="20"/>
              </w:rPr>
              <w:t>Wort</w:t>
            </w:r>
            <w:proofErr w:type="spellEnd"/>
            <w:r w:rsidRPr="00BC31F7">
              <w:rPr>
                <w:rFonts w:ascii="Arial" w:eastAsia="Arial" w:hAnsi="Arial" w:cs="Arial"/>
                <w:spacing w:val="-11"/>
                <w:sz w:val="20"/>
                <w:szCs w:val="20"/>
              </w:rPr>
              <w:t xml:space="preserve"> </w:t>
            </w:r>
            <w:r w:rsidRPr="00F23983">
              <w:rPr>
                <w:rFonts w:ascii="Arial" w:eastAsia="Arial" w:hAnsi="Arial" w:cs="Arial"/>
                <w:i/>
                <w:spacing w:val="-2"/>
                <w:sz w:val="20"/>
                <w:szCs w:val="20"/>
              </w:rPr>
              <w:t>(</w:t>
            </w:r>
            <w:proofErr w:type="spellStart"/>
            <w:r w:rsidRPr="00F23983">
              <w:rPr>
                <w:rFonts w:ascii="Arial" w:eastAsia="Arial" w:hAnsi="Arial" w:cs="Arial"/>
                <w:i/>
                <w:spacing w:val="-2"/>
                <w:sz w:val="20"/>
                <w:szCs w:val="20"/>
              </w:rPr>
              <w:t>Hypericum</w:t>
            </w:r>
            <w:proofErr w:type="spellEnd"/>
            <w:r w:rsidRPr="00F23983">
              <w:rPr>
                <w:rFonts w:ascii="Arial" w:eastAsia="Arial" w:hAnsi="Arial" w:cs="Arial"/>
                <w:i/>
                <w:spacing w:val="27"/>
                <w:sz w:val="20"/>
                <w:szCs w:val="20"/>
              </w:rPr>
              <w:t xml:space="preserve"> </w:t>
            </w:r>
            <w:proofErr w:type="spellStart"/>
            <w:r w:rsidRPr="00F23983">
              <w:rPr>
                <w:rFonts w:ascii="Arial" w:eastAsia="Arial" w:hAnsi="Arial" w:cs="Arial"/>
                <w:i/>
                <w:spacing w:val="-1"/>
                <w:sz w:val="20"/>
                <w:szCs w:val="20"/>
              </w:rPr>
              <w:t>perforatum</w:t>
            </w:r>
            <w:proofErr w:type="spellEnd"/>
            <w:r w:rsidRPr="00F23983">
              <w:rPr>
                <w:rFonts w:ascii="Arial" w:eastAsia="Arial" w:hAnsi="Arial" w:cs="Arial"/>
                <w:i/>
                <w:spacing w:val="-1"/>
                <w:sz w:val="20"/>
                <w:szCs w:val="20"/>
              </w:rPr>
              <w:t>)</w:t>
            </w:r>
          </w:p>
        </w:tc>
        <w:tc>
          <w:tcPr>
            <w:tcW w:w="5751"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ight="267"/>
              <w:rPr>
                <w:rFonts w:ascii="Arial" w:eastAsia="Arial" w:hAnsi="Arial" w:cs="Arial"/>
                <w:sz w:val="20"/>
                <w:szCs w:val="20"/>
              </w:rPr>
            </w:pPr>
            <w:r w:rsidRPr="00BC31F7">
              <w:rPr>
                <w:rFonts w:ascii="Arial"/>
                <w:spacing w:val="-1"/>
                <w:sz w:val="20"/>
                <w:szCs w:val="20"/>
              </w:rPr>
              <w:t>May</w:t>
            </w:r>
            <w:r w:rsidRPr="00BC31F7">
              <w:rPr>
                <w:rFonts w:ascii="Arial"/>
                <w:spacing w:val="-8"/>
                <w:sz w:val="20"/>
                <w:szCs w:val="20"/>
              </w:rPr>
              <w:t xml:space="preserve"> </w:t>
            </w:r>
            <w:r w:rsidRPr="00BC31F7">
              <w:rPr>
                <w:rFonts w:ascii="Arial"/>
                <w:spacing w:val="-1"/>
                <w:sz w:val="20"/>
                <w:szCs w:val="20"/>
              </w:rPr>
              <w:t>lead</w:t>
            </w:r>
            <w:r w:rsidRPr="00BC31F7">
              <w:rPr>
                <w:rFonts w:ascii="Arial"/>
                <w:spacing w:val="-5"/>
                <w:sz w:val="20"/>
                <w:szCs w:val="20"/>
              </w:rPr>
              <w:t xml:space="preserve"> </w:t>
            </w:r>
            <w:r w:rsidRPr="00BC31F7">
              <w:rPr>
                <w:rFonts w:ascii="Arial"/>
                <w:sz w:val="20"/>
                <w:szCs w:val="20"/>
              </w:rPr>
              <w:t>to</w:t>
            </w:r>
            <w:r w:rsidRPr="00BC31F7">
              <w:rPr>
                <w:rFonts w:ascii="Arial"/>
                <w:spacing w:val="-10"/>
                <w:sz w:val="20"/>
                <w:szCs w:val="20"/>
              </w:rPr>
              <w:t xml:space="preserve"> </w:t>
            </w:r>
            <w:r w:rsidRPr="00BC31F7">
              <w:rPr>
                <w:rFonts w:ascii="Arial"/>
                <w:spacing w:val="-1"/>
                <w:sz w:val="20"/>
                <w:szCs w:val="20"/>
              </w:rPr>
              <w:t>loss</w:t>
            </w:r>
            <w:r w:rsidRPr="00BC31F7">
              <w:rPr>
                <w:rFonts w:ascii="Arial"/>
                <w:spacing w:val="-8"/>
                <w:sz w:val="20"/>
                <w:szCs w:val="20"/>
              </w:rPr>
              <w:t xml:space="preserve"> </w:t>
            </w:r>
            <w:r w:rsidRPr="00BC31F7">
              <w:rPr>
                <w:rFonts w:ascii="Arial"/>
                <w:spacing w:val="-1"/>
                <w:sz w:val="20"/>
                <w:szCs w:val="20"/>
              </w:rPr>
              <w:t>of</w:t>
            </w:r>
            <w:r w:rsidRPr="00BC31F7">
              <w:rPr>
                <w:rFonts w:ascii="Arial"/>
                <w:spacing w:val="-7"/>
                <w:sz w:val="20"/>
                <w:szCs w:val="20"/>
              </w:rPr>
              <w:t xml:space="preserve"> </w:t>
            </w:r>
            <w:proofErr w:type="spellStart"/>
            <w:r w:rsidRPr="00BC31F7">
              <w:rPr>
                <w:rFonts w:ascii="Arial"/>
                <w:spacing w:val="-1"/>
                <w:sz w:val="20"/>
                <w:szCs w:val="20"/>
              </w:rPr>
              <w:t>virologic</w:t>
            </w:r>
            <w:proofErr w:type="spellEnd"/>
            <w:r w:rsidRPr="00BC31F7">
              <w:rPr>
                <w:rFonts w:ascii="Arial"/>
                <w:spacing w:val="-3"/>
                <w:sz w:val="20"/>
                <w:szCs w:val="20"/>
              </w:rPr>
              <w:t xml:space="preserve"> response</w:t>
            </w:r>
            <w:r w:rsidRPr="00BC31F7">
              <w:rPr>
                <w:rFonts w:ascii="Arial"/>
                <w:spacing w:val="-5"/>
                <w:sz w:val="20"/>
                <w:szCs w:val="20"/>
              </w:rPr>
              <w:t xml:space="preserve"> </w:t>
            </w:r>
            <w:r w:rsidRPr="00BC31F7">
              <w:rPr>
                <w:rFonts w:ascii="Arial"/>
                <w:spacing w:val="1"/>
                <w:sz w:val="20"/>
                <w:szCs w:val="20"/>
              </w:rPr>
              <w:t>to</w:t>
            </w:r>
            <w:r w:rsidRPr="00BC31F7">
              <w:rPr>
                <w:rFonts w:ascii="Arial"/>
                <w:spacing w:val="26"/>
                <w:sz w:val="20"/>
                <w:szCs w:val="20"/>
              </w:rPr>
              <w:t xml:space="preserve"> </w:t>
            </w:r>
            <w:r w:rsidRPr="00BC31F7">
              <w:rPr>
                <w:rFonts w:ascii="Arial"/>
                <w:spacing w:val="-1"/>
                <w:sz w:val="20"/>
                <w:szCs w:val="20"/>
              </w:rPr>
              <w:t>ZEPATIER</w:t>
            </w:r>
            <w:r w:rsidRPr="00BC31F7">
              <w:rPr>
                <w:rFonts w:ascii="Arial"/>
                <w:spacing w:val="-10"/>
                <w:sz w:val="20"/>
                <w:szCs w:val="20"/>
              </w:rPr>
              <w:t xml:space="preserve"> </w:t>
            </w:r>
            <w:r w:rsidRPr="00BC31F7">
              <w:rPr>
                <w:rFonts w:ascii="Arial"/>
                <w:spacing w:val="-2"/>
                <w:sz w:val="20"/>
                <w:szCs w:val="20"/>
              </w:rPr>
              <w:t>due</w:t>
            </w:r>
            <w:r w:rsidRPr="00BC31F7">
              <w:rPr>
                <w:rFonts w:ascii="Arial"/>
                <w:spacing w:val="-15"/>
                <w:sz w:val="20"/>
                <w:szCs w:val="20"/>
              </w:rPr>
              <w:t xml:space="preserve"> </w:t>
            </w:r>
            <w:r w:rsidRPr="00BC31F7">
              <w:rPr>
                <w:rFonts w:ascii="Arial"/>
                <w:sz w:val="20"/>
                <w:szCs w:val="20"/>
              </w:rPr>
              <w:t>to</w:t>
            </w:r>
            <w:r w:rsidRPr="00BC31F7">
              <w:rPr>
                <w:rFonts w:ascii="Arial"/>
                <w:spacing w:val="-5"/>
                <w:sz w:val="20"/>
                <w:szCs w:val="20"/>
              </w:rPr>
              <w:t xml:space="preserve"> </w:t>
            </w:r>
            <w:r w:rsidRPr="00BC31F7">
              <w:rPr>
                <w:rFonts w:ascii="Arial"/>
                <w:spacing w:val="-2"/>
                <w:sz w:val="20"/>
                <w:szCs w:val="20"/>
              </w:rPr>
              <w:t>significant</w:t>
            </w:r>
            <w:r w:rsidRPr="00BC31F7">
              <w:rPr>
                <w:rFonts w:ascii="Arial"/>
                <w:spacing w:val="-7"/>
                <w:sz w:val="20"/>
                <w:szCs w:val="20"/>
              </w:rPr>
              <w:t xml:space="preserve"> </w:t>
            </w:r>
            <w:r w:rsidRPr="00BC31F7">
              <w:rPr>
                <w:rFonts w:ascii="Arial"/>
                <w:spacing w:val="-3"/>
                <w:sz w:val="20"/>
                <w:szCs w:val="20"/>
              </w:rPr>
              <w:t>decreases</w:t>
            </w:r>
            <w:r w:rsidRPr="00BC31F7">
              <w:rPr>
                <w:rFonts w:ascii="Arial"/>
                <w:spacing w:val="-8"/>
                <w:sz w:val="20"/>
                <w:szCs w:val="20"/>
              </w:rPr>
              <w:t xml:space="preserve"> </w:t>
            </w:r>
            <w:r w:rsidRPr="00BC31F7">
              <w:rPr>
                <w:rFonts w:ascii="Arial"/>
                <w:spacing w:val="3"/>
                <w:sz w:val="20"/>
                <w:szCs w:val="20"/>
              </w:rPr>
              <w:t>in</w:t>
            </w:r>
            <w:r w:rsidRPr="00BC31F7">
              <w:rPr>
                <w:rFonts w:ascii="Arial"/>
                <w:spacing w:val="54"/>
                <w:sz w:val="20"/>
                <w:szCs w:val="20"/>
              </w:rPr>
              <w:t xml:space="preserve"> </w:t>
            </w:r>
            <w:proofErr w:type="spellStart"/>
            <w:r w:rsidRPr="00BC31F7">
              <w:rPr>
                <w:rFonts w:ascii="Arial"/>
                <w:spacing w:val="-2"/>
                <w:sz w:val="20"/>
                <w:szCs w:val="20"/>
              </w:rPr>
              <w:t>elbasvir</w:t>
            </w:r>
            <w:proofErr w:type="spellEnd"/>
            <w:r w:rsidRPr="00BC31F7">
              <w:rPr>
                <w:rFonts w:ascii="Arial"/>
                <w:spacing w:val="-8"/>
                <w:sz w:val="20"/>
                <w:szCs w:val="20"/>
              </w:rPr>
              <w:t xml:space="preserve"> </w:t>
            </w:r>
            <w:r w:rsidRPr="00BC31F7">
              <w:rPr>
                <w:rFonts w:ascii="Arial"/>
                <w:spacing w:val="-3"/>
                <w:sz w:val="20"/>
                <w:szCs w:val="20"/>
              </w:rPr>
              <w:t>and</w:t>
            </w:r>
            <w:r w:rsidRPr="00BC31F7">
              <w:rPr>
                <w:rFonts w:ascii="Arial"/>
                <w:spacing w:val="-10"/>
                <w:sz w:val="20"/>
                <w:szCs w:val="20"/>
              </w:rPr>
              <w:t xml:space="preserve"> </w:t>
            </w:r>
            <w:proofErr w:type="spellStart"/>
            <w:r w:rsidRPr="00BC31F7">
              <w:rPr>
                <w:rFonts w:ascii="Arial"/>
                <w:spacing w:val="-2"/>
                <w:sz w:val="20"/>
                <w:szCs w:val="20"/>
              </w:rPr>
              <w:t>grazoprevir</w:t>
            </w:r>
            <w:proofErr w:type="spellEnd"/>
            <w:r w:rsidRPr="00BC31F7">
              <w:rPr>
                <w:rFonts w:ascii="Arial"/>
                <w:spacing w:val="-13"/>
                <w:sz w:val="20"/>
                <w:szCs w:val="20"/>
              </w:rPr>
              <w:t xml:space="preserve"> </w:t>
            </w:r>
            <w:r w:rsidRPr="00BC31F7">
              <w:rPr>
                <w:rFonts w:ascii="Arial"/>
                <w:spacing w:val="-2"/>
                <w:sz w:val="20"/>
                <w:szCs w:val="20"/>
              </w:rPr>
              <w:t>plasma</w:t>
            </w:r>
            <w:r w:rsidRPr="00BC31F7">
              <w:rPr>
                <w:rFonts w:ascii="Arial"/>
                <w:spacing w:val="-15"/>
                <w:sz w:val="20"/>
                <w:szCs w:val="20"/>
              </w:rPr>
              <w:t xml:space="preserve"> </w:t>
            </w:r>
            <w:r w:rsidRPr="00BC31F7">
              <w:rPr>
                <w:rFonts w:ascii="Arial"/>
                <w:spacing w:val="-2"/>
                <w:sz w:val="20"/>
                <w:szCs w:val="20"/>
              </w:rPr>
              <w:t>concentrations</w:t>
            </w:r>
            <w:r w:rsidRPr="00BC31F7">
              <w:rPr>
                <w:rFonts w:ascii="Arial"/>
                <w:spacing w:val="29"/>
                <w:sz w:val="20"/>
                <w:szCs w:val="20"/>
              </w:rPr>
              <w:t xml:space="preserve"> </w:t>
            </w:r>
            <w:r w:rsidRPr="00BC31F7">
              <w:rPr>
                <w:rFonts w:ascii="Arial"/>
                <w:spacing w:val="-2"/>
                <w:sz w:val="20"/>
                <w:szCs w:val="20"/>
              </w:rPr>
              <w:t>caused</w:t>
            </w:r>
            <w:r w:rsidRPr="00BC31F7">
              <w:rPr>
                <w:rFonts w:ascii="Arial"/>
                <w:spacing w:val="-10"/>
                <w:sz w:val="20"/>
                <w:szCs w:val="20"/>
              </w:rPr>
              <w:t xml:space="preserve"> </w:t>
            </w:r>
            <w:r w:rsidRPr="00BC31F7">
              <w:rPr>
                <w:rFonts w:ascii="Arial"/>
                <w:spacing w:val="-1"/>
                <w:sz w:val="20"/>
                <w:szCs w:val="20"/>
              </w:rPr>
              <w:t>by</w:t>
            </w:r>
            <w:r w:rsidRPr="00BC31F7">
              <w:rPr>
                <w:rFonts w:ascii="Arial"/>
                <w:spacing w:val="-8"/>
                <w:sz w:val="20"/>
                <w:szCs w:val="20"/>
              </w:rPr>
              <w:t xml:space="preserve"> </w:t>
            </w:r>
            <w:r w:rsidRPr="00BC31F7">
              <w:rPr>
                <w:rFonts w:ascii="Arial"/>
                <w:spacing w:val="-2"/>
                <w:sz w:val="20"/>
                <w:szCs w:val="20"/>
              </w:rPr>
              <w:t>strong</w:t>
            </w:r>
            <w:r w:rsidRPr="00BC31F7">
              <w:rPr>
                <w:rFonts w:ascii="Arial"/>
                <w:spacing w:val="-10"/>
                <w:sz w:val="20"/>
                <w:szCs w:val="20"/>
              </w:rPr>
              <w:t xml:space="preserve"> </w:t>
            </w:r>
            <w:r w:rsidRPr="00BC31F7">
              <w:rPr>
                <w:rFonts w:ascii="Arial"/>
                <w:spacing w:val="-2"/>
                <w:sz w:val="20"/>
                <w:szCs w:val="20"/>
              </w:rPr>
              <w:t>CYP3A</w:t>
            </w:r>
            <w:r w:rsidRPr="00BC31F7">
              <w:rPr>
                <w:rFonts w:ascii="Arial"/>
                <w:spacing w:val="-8"/>
                <w:sz w:val="20"/>
                <w:szCs w:val="20"/>
              </w:rPr>
              <w:t xml:space="preserve"> </w:t>
            </w:r>
            <w:r w:rsidRPr="00BC31F7">
              <w:rPr>
                <w:rFonts w:ascii="Arial"/>
                <w:spacing w:val="-2"/>
                <w:sz w:val="20"/>
                <w:szCs w:val="20"/>
              </w:rPr>
              <w:t>induction.</w:t>
            </w:r>
          </w:p>
        </w:tc>
      </w:tr>
      <w:tr w:rsidR="00F23983" w:rsidRPr="00BC31F7" w:rsidTr="00F23983">
        <w:trPr>
          <w:trHeight w:hRule="exact" w:val="1171"/>
        </w:trPr>
        <w:tc>
          <w:tcPr>
            <w:tcW w:w="2133"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Pr>
                <w:rFonts w:ascii="Arial" w:eastAsia="Arial" w:hAnsi="Arial" w:cs="Arial"/>
                <w:sz w:val="20"/>
                <w:szCs w:val="20"/>
              </w:rPr>
            </w:pPr>
            <w:r w:rsidRPr="00BC31F7">
              <w:rPr>
                <w:rFonts w:ascii="Arial"/>
                <w:spacing w:val="-1"/>
                <w:sz w:val="20"/>
                <w:szCs w:val="20"/>
              </w:rPr>
              <w:t>HIV</w:t>
            </w:r>
            <w:r w:rsidRPr="00BC31F7">
              <w:rPr>
                <w:rFonts w:ascii="Arial"/>
                <w:spacing w:val="-18"/>
                <w:sz w:val="20"/>
                <w:szCs w:val="20"/>
              </w:rPr>
              <w:t xml:space="preserve"> </w:t>
            </w:r>
            <w:r w:rsidRPr="00BC31F7">
              <w:rPr>
                <w:rFonts w:ascii="Arial"/>
                <w:spacing w:val="-2"/>
                <w:sz w:val="20"/>
                <w:szCs w:val="20"/>
              </w:rPr>
              <w:t>Medications</w:t>
            </w:r>
          </w:p>
        </w:tc>
        <w:tc>
          <w:tcPr>
            <w:tcW w:w="1984"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Pr>
                <w:rFonts w:ascii="Arial" w:eastAsia="Arial" w:hAnsi="Arial" w:cs="Arial"/>
                <w:sz w:val="20"/>
                <w:szCs w:val="20"/>
              </w:rPr>
            </w:pPr>
            <w:proofErr w:type="spellStart"/>
            <w:r w:rsidRPr="00BC31F7">
              <w:rPr>
                <w:rFonts w:ascii="Arial" w:eastAsia="Arial" w:hAnsi="Arial" w:cs="Arial"/>
                <w:spacing w:val="-1"/>
                <w:sz w:val="20"/>
                <w:szCs w:val="20"/>
              </w:rPr>
              <w:t>Efavirenz</w:t>
            </w:r>
            <w:proofErr w:type="spellEnd"/>
            <w:r w:rsidRPr="00BC31F7">
              <w:rPr>
                <w:rFonts w:ascii="Arial" w:eastAsia="Arial" w:hAnsi="Arial" w:cs="Arial"/>
                <w:spacing w:val="-1"/>
                <w:position w:val="10"/>
                <w:sz w:val="20"/>
                <w:szCs w:val="20"/>
              </w:rPr>
              <w:t>†</w:t>
            </w:r>
          </w:p>
        </w:tc>
        <w:tc>
          <w:tcPr>
            <w:tcW w:w="5751"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ight="267"/>
              <w:rPr>
                <w:rFonts w:ascii="Arial" w:eastAsia="Arial" w:hAnsi="Arial" w:cs="Arial"/>
                <w:sz w:val="20"/>
                <w:szCs w:val="20"/>
              </w:rPr>
            </w:pPr>
            <w:r w:rsidRPr="00BC31F7">
              <w:rPr>
                <w:rFonts w:ascii="Arial"/>
                <w:spacing w:val="-1"/>
                <w:sz w:val="20"/>
                <w:szCs w:val="20"/>
              </w:rPr>
              <w:t>May</w:t>
            </w:r>
            <w:r w:rsidRPr="00BC31F7">
              <w:rPr>
                <w:rFonts w:ascii="Arial"/>
                <w:spacing w:val="-8"/>
                <w:sz w:val="20"/>
                <w:szCs w:val="20"/>
              </w:rPr>
              <w:t xml:space="preserve"> </w:t>
            </w:r>
            <w:r w:rsidRPr="00BC31F7">
              <w:rPr>
                <w:rFonts w:ascii="Arial"/>
                <w:spacing w:val="-1"/>
                <w:sz w:val="20"/>
                <w:szCs w:val="20"/>
              </w:rPr>
              <w:t>lead</w:t>
            </w:r>
            <w:r w:rsidRPr="00BC31F7">
              <w:rPr>
                <w:rFonts w:ascii="Arial"/>
                <w:spacing w:val="-5"/>
                <w:sz w:val="20"/>
                <w:szCs w:val="20"/>
              </w:rPr>
              <w:t xml:space="preserve"> </w:t>
            </w:r>
            <w:r w:rsidRPr="00BC31F7">
              <w:rPr>
                <w:rFonts w:ascii="Arial"/>
                <w:sz w:val="20"/>
                <w:szCs w:val="20"/>
              </w:rPr>
              <w:t>to</w:t>
            </w:r>
            <w:r w:rsidRPr="00BC31F7">
              <w:rPr>
                <w:rFonts w:ascii="Arial"/>
                <w:spacing w:val="-10"/>
                <w:sz w:val="20"/>
                <w:szCs w:val="20"/>
              </w:rPr>
              <w:t xml:space="preserve"> </w:t>
            </w:r>
            <w:r w:rsidRPr="00BC31F7">
              <w:rPr>
                <w:rFonts w:ascii="Arial"/>
                <w:spacing w:val="-1"/>
                <w:sz w:val="20"/>
                <w:szCs w:val="20"/>
              </w:rPr>
              <w:t>loss</w:t>
            </w:r>
            <w:r w:rsidRPr="00BC31F7">
              <w:rPr>
                <w:rFonts w:ascii="Arial"/>
                <w:spacing w:val="-8"/>
                <w:sz w:val="20"/>
                <w:szCs w:val="20"/>
              </w:rPr>
              <w:t xml:space="preserve"> </w:t>
            </w:r>
            <w:r w:rsidRPr="00BC31F7">
              <w:rPr>
                <w:rFonts w:ascii="Arial"/>
                <w:spacing w:val="-1"/>
                <w:sz w:val="20"/>
                <w:szCs w:val="20"/>
              </w:rPr>
              <w:t>of</w:t>
            </w:r>
            <w:r w:rsidRPr="00BC31F7">
              <w:rPr>
                <w:rFonts w:ascii="Arial"/>
                <w:spacing w:val="-7"/>
                <w:sz w:val="20"/>
                <w:szCs w:val="20"/>
              </w:rPr>
              <w:t xml:space="preserve"> </w:t>
            </w:r>
            <w:proofErr w:type="spellStart"/>
            <w:r w:rsidRPr="00BC31F7">
              <w:rPr>
                <w:rFonts w:ascii="Arial"/>
                <w:spacing w:val="-1"/>
                <w:sz w:val="20"/>
                <w:szCs w:val="20"/>
              </w:rPr>
              <w:t>virologic</w:t>
            </w:r>
            <w:proofErr w:type="spellEnd"/>
            <w:r w:rsidRPr="00BC31F7">
              <w:rPr>
                <w:rFonts w:ascii="Arial"/>
                <w:spacing w:val="-3"/>
                <w:sz w:val="20"/>
                <w:szCs w:val="20"/>
              </w:rPr>
              <w:t xml:space="preserve"> response</w:t>
            </w:r>
            <w:r w:rsidRPr="00BC31F7">
              <w:rPr>
                <w:rFonts w:ascii="Arial"/>
                <w:spacing w:val="-5"/>
                <w:sz w:val="20"/>
                <w:szCs w:val="20"/>
              </w:rPr>
              <w:t xml:space="preserve"> </w:t>
            </w:r>
            <w:r w:rsidRPr="00BC31F7">
              <w:rPr>
                <w:rFonts w:ascii="Arial"/>
                <w:spacing w:val="1"/>
                <w:sz w:val="20"/>
                <w:szCs w:val="20"/>
              </w:rPr>
              <w:t>to</w:t>
            </w:r>
            <w:r w:rsidRPr="00BC31F7">
              <w:rPr>
                <w:rFonts w:ascii="Arial"/>
                <w:spacing w:val="26"/>
                <w:sz w:val="20"/>
                <w:szCs w:val="20"/>
              </w:rPr>
              <w:t xml:space="preserve"> Z</w:t>
            </w:r>
            <w:r w:rsidRPr="00BC31F7">
              <w:rPr>
                <w:rFonts w:ascii="Arial"/>
                <w:spacing w:val="-1"/>
                <w:sz w:val="20"/>
                <w:szCs w:val="20"/>
              </w:rPr>
              <w:t>EPATIER</w:t>
            </w:r>
            <w:r w:rsidRPr="00BC31F7">
              <w:rPr>
                <w:rFonts w:ascii="Arial"/>
                <w:spacing w:val="-10"/>
                <w:sz w:val="20"/>
                <w:szCs w:val="20"/>
              </w:rPr>
              <w:t xml:space="preserve"> </w:t>
            </w:r>
            <w:r w:rsidRPr="00BC31F7">
              <w:rPr>
                <w:rFonts w:ascii="Arial"/>
                <w:spacing w:val="-2"/>
                <w:sz w:val="20"/>
                <w:szCs w:val="20"/>
              </w:rPr>
              <w:t>due</w:t>
            </w:r>
            <w:r w:rsidRPr="00BC31F7">
              <w:rPr>
                <w:rFonts w:ascii="Arial"/>
                <w:spacing w:val="-15"/>
                <w:sz w:val="20"/>
                <w:szCs w:val="20"/>
              </w:rPr>
              <w:t xml:space="preserve"> </w:t>
            </w:r>
            <w:r w:rsidRPr="00BC31F7">
              <w:rPr>
                <w:rFonts w:ascii="Arial"/>
                <w:sz w:val="20"/>
                <w:szCs w:val="20"/>
              </w:rPr>
              <w:t>to</w:t>
            </w:r>
            <w:r w:rsidRPr="00BC31F7">
              <w:rPr>
                <w:rFonts w:ascii="Arial"/>
                <w:spacing w:val="-5"/>
                <w:sz w:val="20"/>
                <w:szCs w:val="20"/>
              </w:rPr>
              <w:t xml:space="preserve"> </w:t>
            </w:r>
            <w:r w:rsidRPr="00BC31F7">
              <w:rPr>
                <w:rFonts w:ascii="Arial"/>
                <w:spacing w:val="-2"/>
                <w:sz w:val="20"/>
                <w:szCs w:val="20"/>
              </w:rPr>
              <w:t>significant</w:t>
            </w:r>
            <w:r w:rsidRPr="00BC31F7">
              <w:rPr>
                <w:rFonts w:ascii="Arial"/>
                <w:spacing w:val="-7"/>
                <w:sz w:val="20"/>
                <w:szCs w:val="20"/>
              </w:rPr>
              <w:t xml:space="preserve"> </w:t>
            </w:r>
            <w:r w:rsidRPr="00BC31F7">
              <w:rPr>
                <w:rFonts w:ascii="Arial"/>
                <w:spacing w:val="-3"/>
                <w:sz w:val="20"/>
                <w:szCs w:val="20"/>
              </w:rPr>
              <w:t>decreases</w:t>
            </w:r>
            <w:r w:rsidRPr="00BC31F7">
              <w:rPr>
                <w:rFonts w:ascii="Arial"/>
                <w:spacing w:val="-8"/>
                <w:sz w:val="20"/>
                <w:szCs w:val="20"/>
              </w:rPr>
              <w:t xml:space="preserve"> </w:t>
            </w:r>
            <w:r w:rsidRPr="00BC31F7">
              <w:rPr>
                <w:rFonts w:ascii="Arial"/>
                <w:spacing w:val="3"/>
                <w:sz w:val="20"/>
                <w:szCs w:val="20"/>
              </w:rPr>
              <w:t>in</w:t>
            </w:r>
            <w:r w:rsidRPr="00BC31F7">
              <w:rPr>
                <w:rFonts w:ascii="Arial"/>
                <w:spacing w:val="54"/>
                <w:sz w:val="20"/>
                <w:szCs w:val="20"/>
              </w:rPr>
              <w:t xml:space="preserve"> </w:t>
            </w:r>
            <w:proofErr w:type="spellStart"/>
            <w:r w:rsidRPr="00BC31F7">
              <w:rPr>
                <w:rFonts w:ascii="Arial"/>
                <w:spacing w:val="-2"/>
                <w:sz w:val="20"/>
                <w:szCs w:val="20"/>
              </w:rPr>
              <w:t>elbasvir</w:t>
            </w:r>
            <w:proofErr w:type="spellEnd"/>
            <w:r w:rsidRPr="00BC31F7">
              <w:rPr>
                <w:rFonts w:ascii="Arial"/>
                <w:spacing w:val="-8"/>
                <w:sz w:val="20"/>
                <w:szCs w:val="20"/>
              </w:rPr>
              <w:t xml:space="preserve"> </w:t>
            </w:r>
            <w:r w:rsidRPr="00BC31F7">
              <w:rPr>
                <w:rFonts w:ascii="Arial"/>
                <w:spacing w:val="-3"/>
                <w:sz w:val="20"/>
                <w:szCs w:val="20"/>
              </w:rPr>
              <w:t>and</w:t>
            </w:r>
            <w:r w:rsidRPr="00BC31F7">
              <w:rPr>
                <w:rFonts w:ascii="Arial"/>
                <w:spacing w:val="-10"/>
                <w:sz w:val="20"/>
                <w:szCs w:val="20"/>
              </w:rPr>
              <w:t xml:space="preserve"> </w:t>
            </w:r>
            <w:proofErr w:type="spellStart"/>
            <w:r w:rsidRPr="00BC31F7">
              <w:rPr>
                <w:rFonts w:ascii="Arial"/>
                <w:spacing w:val="-2"/>
                <w:sz w:val="20"/>
                <w:szCs w:val="20"/>
              </w:rPr>
              <w:t>grazoprevir</w:t>
            </w:r>
            <w:proofErr w:type="spellEnd"/>
            <w:r w:rsidRPr="00BC31F7">
              <w:rPr>
                <w:rFonts w:ascii="Arial"/>
                <w:spacing w:val="-13"/>
                <w:sz w:val="20"/>
                <w:szCs w:val="20"/>
              </w:rPr>
              <w:t xml:space="preserve"> </w:t>
            </w:r>
            <w:r w:rsidRPr="00BC31F7">
              <w:rPr>
                <w:rFonts w:ascii="Arial"/>
                <w:spacing w:val="-2"/>
                <w:sz w:val="20"/>
                <w:szCs w:val="20"/>
              </w:rPr>
              <w:t>plasma</w:t>
            </w:r>
            <w:r w:rsidRPr="00BC31F7">
              <w:rPr>
                <w:rFonts w:ascii="Arial"/>
                <w:spacing w:val="-15"/>
                <w:sz w:val="20"/>
                <w:szCs w:val="20"/>
              </w:rPr>
              <w:t xml:space="preserve"> </w:t>
            </w:r>
            <w:r w:rsidRPr="00BC31F7">
              <w:rPr>
                <w:rFonts w:ascii="Arial"/>
                <w:spacing w:val="-2"/>
                <w:sz w:val="20"/>
                <w:szCs w:val="20"/>
              </w:rPr>
              <w:t>concentrations</w:t>
            </w:r>
            <w:r w:rsidRPr="00BC31F7">
              <w:rPr>
                <w:rFonts w:ascii="Arial"/>
                <w:spacing w:val="29"/>
                <w:sz w:val="20"/>
                <w:szCs w:val="20"/>
              </w:rPr>
              <w:t xml:space="preserve"> </w:t>
            </w:r>
            <w:r w:rsidRPr="00BC31F7">
              <w:rPr>
                <w:rFonts w:ascii="Arial"/>
                <w:spacing w:val="-2"/>
                <w:sz w:val="20"/>
                <w:szCs w:val="20"/>
              </w:rPr>
              <w:t>caused</w:t>
            </w:r>
            <w:r w:rsidRPr="00BC31F7">
              <w:rPr>
                <w:rFonts w:ascii="Arial"/>
                <w:spacing w:val="-10"/>
                <w:sz w:val="20"/>
                <w:szCs w:val="20"/>
              </w:rPr>
              <w:t xml:space="preserve"> </w:t>
            </w:r>
            <w:r w:rsidRPr="00BC31F7">
              <w:rPr>
                <w:rFonts w:ascii="Arial"/>
                <w:spacing w:val="-1"/>
                <w:sz w:val="20"/>
                <w:szCs w:val="20"/>
              </w:rPr>
              <w:t>by</w:t>
            </w:r>
            <w:r w:rsidRPr="00BC31F7">
              <w:rPr>
                <w:rFonts w:ascii="Arial"/>
                <w:spacing w:val="-13"/>
                <w:sz w:val="20"/>
                <w:szCs w:val="20"/>
              </w:rPr>
              <w:t xml:space="preserve"> </w:t>
            </w:r>
            <w:r w:rsidRPr="00BC31F7">
              <w:rPr>
                <w:rFonts w:ascii="Arial"/>
                <w:spacing w:val="-2"/>
                <w:sz w:val="20"/>
                <w:szCs w:val="20"/>
              </w:rPr>
              <w:t>CYP3A</w:t>
            </w:r>
            <w:r w:rsidRPr="00BC31F7">
              <w:rPr>
                <w:rFonts w:ascii="Arial"/>
                <w:spacing w:val="-3"/>
                <w:sz w:val="20"/>
                <w:szCs w:val="20"/>
              </w:rPr>
              <w:t xml:space="preserve"> </w:t>
            </w:r>
            <w:r w:rsidRPr="00BC31F7">
              <w:rPr>
                <w:rFonts w:ascii="Arial"/>
                <w:spacing w:val="-1"/>
                <w:sz w:val="20"/>
                <w:szCs w:val="20"/>
              </w:rPr>
              <w:t>induction.</w:t>
            </w:r>
          </w:p>
        </w:tc>
      </w:tr>
      <w:tr w:rsidR="00F23983" w:rsidRPr="00BC31F7" w:rsidTr="00F23983">
        <w:trPr>
          <w:trHeight w:hRule="exact" w:val="1384"/>
        </w:trPr>
        <w:tc>
          <w:tcPr>
            <w:tcW w:w="2133"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Pr>
                <w:rFonts w:ascii="Arial" w:eastAsia="Arial" w:hAnsi="Arial" w:cs="Arial"/>
                <w:sz w:val="20"/>
                <w:szCs w:val="20"/>
              </w:rPr>
            </w:pPr>
            <w:r w:rsidRPr="00BC31F7">
              <w:rPr>
                <w:rFonts w:ascii="Arial"/>
                <w:spacing w:val="-1"/>
                <w:sz w:val="20"/>
                <w:szCs w:val="20"/>
              </w:rPr>
              <w:lastRenderedPageBreak/>
              <w:t>HIV</w:t>
            </w:r>
            <w:r w:rsidRPr="00BC31F7">
              <w:rPr>
                <w:rFonts w:ascii="Arial"/>
                <w:spacing w:val="-18"/>
                <w:sz w:val="20"/>
                <w:szCs w:val="20"/>
              </w:rPr>
              <w:t xml:space="preserve"> </w:t>
            </w:r>
            <w:r w:rsidRPr="00BC31F7">
              <w:rPr>
                <w:rFonts w:ascii="Arial"/>
                <w:spacing w:val="-2"/>
                <w:sz w:val="20"/>
                <w:szCs w:val="20"/>
              </w:rPr>
              <w:t>Medications</w:t>
            </w:r>
          </w:p>
        </w:tc>
        <w:tc>
          <w:tcPr>
            <w:tcW w:w="1984" w:type="dxa"/>
            <w:tcBorders>
              <w:top w:val="single" w:sz="5" w:space="0" w:color="000000"/>
              <w:left w:val="single" w:sz="5" w:space="0" w:color="000000"/>
              <w:bottom w:val="single" w:sz="5" w:space="0" w:color="000000"/>
              <w:right w:val="single" w:sz="5" w:space="0" w:color="000000"/>
            </w:tcBorders>
          </w:tcPr>
          <w:p w:rsidR="00F23983" w:rsidRDefault="00FE2882" w:rsidP="00F23983">
            <w:pPr>
              <w:pStyle w:val="TableParagraph"/>
              <w:ind w:left="99" w:right="425"/>
              <w:rPr>
                <w:rFonts w:ascii="Arial"/>
                <w:spacing w:val="21"/>
                <w:sz w:val="20"/>
                <w:szCs w:val="20"/>
              </w:rPr>
            </w:pPr>
            <w:proofErr w:type="spellStart"/>
            <w:r w:rsidRPr="00BC31F7">
              <w:rPr>
                <w:rFonts w:ascii="Arial"/>
                <w:spacing w:val="-2"/>
                <w:sz w:val="20"/>
                <w:szCs w:val="20"/>
              </w:rPr>
              <w:t>Atazanavir</w:t>
            </w:r>
            <w:proofErr w:type="spellEnd"/>
            <w:r w:rsidRPr="00BC31F7">
              <w:rPr>
                <w:rFonts w:ascii="Arial"/>
                <w:spacing w:val="21"/>
                <w:sz w:val="20"/>
                <w:szCs w:val="20"/>
              </w:rPr>
              <w:t xml:space="preserve"> </w:t>
            </w:r>
          </w:p>
          <w:p w:rsidR="00F23983" w:rsidRDefault="00FE2882" w:rsidP="00F23983">
            <w:pPr>
              <w:pStyle w:val="TableParagraph"/>
              <w:ind w:left="99" w:right="425"/>
              <w:rPr>
                <w:rFonts w:ascii="Arial"/>
                <w:spacing w:val="22"/>
                <w:sz w:val="20"/>
                <w:szCs w:val="20"/>
              </w:rPr>
            </w:pPr>
            <w:proofErr w:type="spellStart"/>
            <w:r w:rsidRPr="00BC31F7">
              <w:rPr>
                <w:rFonts w:ascii="Arial"/>
                <w:spacing w:val="-2"/>
                <w:sz w:val="20"/>
                <w:szCs w:val="20"/>
              </w:rPr>
              <w:t>Darunavir</w:t>
            </w:r>
            <w:proofErr w:type="spellEnd"/>
            <w:r w:rsidRPr="00BC31F7">
              <w:rPr>
                <w:rFonts w:ascii="Arial"/>
                <w:spacing w:val="22"/>
                <w:sz w:val="20"/>
                <w:szCs w:val="20"/>
              </w:rPr>
              <w:t xml:space="preserve"> </w:t>
            </w:r>
          </w:p>
          <w:p w:rsidR="00F23983" w:rsidRDefault="00FE2882" w:rsidP="00F23983">
            <w:pPr>
              <w:pStyle w:val="TableParagraph"/>
              <w:ind w:left="99" w:right="425"/>
              <w:rPr>
                <w:rFonts w:ascii="Arial"/>
                <w:spacing w:val="20"/>
                <w:sz w:val="20"/>
                <w:szCs w:val="20"/>
              </w:rPr>
            </w:pPr>
            <w:proofErr w:type="spellStart"/>
            <w:r w:rsidRPr="00BC31F7">
              <w:rPr>
                <w:rFonts w:ascii="Arial"/>
                <w:spacing w:val="-2"/>
                <w:sz w:val="20"/>
                <w:szCs w:val="20"/>
              </w:rPr>
              <w:t>Lopinavir</w:t>
            </w:r>
            <w:proofErr w:type="spellEnd"/>
            <w:r w:rsidRPr="00BC31F7">
              <w:rPr>
                <w:rFonts w:ascii="Arial"/>
                <w:spacing w:val="20"/>
                <w:sz w:val="20"/>
                <w:szCs w:val="20"/>
              </w:rPr>
              <w:t xml:space="preserve"> </w:t>
            </w:r>
          </w:p>
          <w:p w:rsidR="00F23983" w:rsidRDefault="00FE2882" w:rsidP="00F23983">
            <w:pPr>
              <w:pStyle w:val="TableParagraph"/>
              <w:ind w:left="99" w:right="425"/>
              <w:rPr>
                <w:rFonts w:ascii="Arial"/>
                <w:spacing w:val="21"/>
                <w:sz w:val="20"/>
                <w:szCs w:val="20"/>
              </w:rPr>
            </w:pPr>
            <w:proofErr w:type="spellStart"/>
            <w:r w:rsidRPr="00BC31F7">
              <w:rPr>
                <w:rFonts w:ascii="Arial"/>
                <w:spacing w:val="-2"/>
                <w:sz w:val="20"/>
                <w:szCs w:val="20"/>
              </w:rPr>
              <w:t>Saquinavir</w:t>
            </w:r>
            <w:proofErr w:type="spellEnd"/>
            <w:r w:rsidRPr="00BC31F7">
              <w:rPr>
                <w:rFonts w:ascii="Arial"/>
                <w:spacing w:val="21"/>
                <w:sz w:val="20"/>
                <w:szCs w:val="20"/>
              </w:rPr>
              <w:t xml:space="preserve"> </w:t>
            </w:r>
          </w:p>
          <w:p w:rsidR="00FE2882" w:rsidRPr="00BC31F7" w:rsidRDefault="00FE2882" w:rsidP="00F23983">
            <w:pPr>
              <w:pStyle w:val="TableParagraph"/>
              <w:ind w:left="99" w:right="425"/>
              <w:rPr>
                <w:rFonts w:ascii="Arial" w:eastAsia="Arial" w:hAnsi="Arial" w:cs="Arial"/>
                <w:sz w:val="20"/>
                <w:szCs w:val="20"/>
              </w:rPr>
            </w:pPr>
            <w:proofErr w:type="spellStart"/>
            <w:r w:rsidRPr="00BC31F7">
              <w:rPr>
                <w:rFonts w:ascii="Arial"/>
                <w:spacing w:val="-2"/>
                <w:sz w:val="20"/>
                <w:szCs w:val="20"/>
              </w:rPr>
              <w:t>Tipranavir</w:t>
            </w:r>
            <w:proofErr w:type="spellEnd"/>
          </w:p>
        </w:tc>
        <w:tc>
          <w:tcPr>
            <w:tcW w:w="5751"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ight="167"/>
              <w:rPr>
                <w:rFonts w:ascii="Arial" w:eastAsia="Arial" w:hAnsi="Arial" w:cs="Arial"/>
                <w:sz w:val="20"/>
                <w:szCs w:val="20"/>
              </w:rPr>
            </w:pPr>
            <w:r w:rsidRPr="00BC31F7">
              <w:rPr>
                <w:rFonts w:ascii="Arial"/>
                <w:spacing w:val="-1"/>
                <w:sz w:val="20"/>
                <w:szCs w:val="20"/>
              </w:rPr>
              <w:t>May</w:t>
            </w:r>
            <w:r w:rsidRPr="00BC31F7">
              <w:rPr>
                <w:rFonts w:ascii="Arial"/>
                <w:spacing w:val="-8"/>
                <w:sz w:val="20"/>
                <w:szCs w:val="20"/>
              </w:rPr>
              <w:t xml:space="preserve"> </w:t>
            </w:r>
            <w:r w:rsidRPr="00BC31F7">
              <w:rPr>
                <w:rFonts w:ascii="Arial"/>
                <w:spacing w:val="-1"/>
                <w:sz w:val="20"/>
                <w:szCs w:val="20"/>
              </w:rPr>
              <w:t>increase</w:t>
            </w:r>
            <w:r w:rsidRPr="00BC31F7">
              <w:rPr>
                <w:rFonts w:ascii="Arial"/>
                <w:spacing w:val="-5"/>
                <w:sz w:val="20"/>
                <w:szCs w:val="20"/>
              </w:rPr>
              <w:t xml:space="preserve"> </w:t>
            </w:r>
            <w:r w:rsidRPr="00BC31F7">
              <w:rPr>
                <w:rFonts w:ascii="Arial"/>
                <w:spacing w:val="-1"/>
                <w:sz w:val="20"/>
                <w:szCs w:val="20"/>
              </w:rPr>
              <w:t>the</w:t>
            </w:r>
            <w:r w:rsidRPr="00BC31F7">
              <w:rPr>
                <w:rFonts w:ascii="Arial"/>
                <w:spacing w:val="-5"/>
                <w:sz w:val="20"/>
                <w:szCs w:val="20"/>
              </w:rPr>
              <w:t xml:space="preserve"> </w:t>
            </w:r>
            <w:r w:rsidRPr="00BC31F7">
              <w:rPr>
                <w:rFonts w:ascii="Arial"/>
                <w:spacing w:val="-2"/>
                <w:sz w:val="20"/>
                <w:szCs w:val="20"/>
              </w:rPr>
              <w:t>risk</w:t>
            </w:r>
            <w:r w:rsidRPr="00BC31F7">
              <w:rPr>
                <w:rFonts w:ascii="Arial"/>
                <w:spacing w:val="2"/>
                <w:sz w:val="20"/>
                <w:szCs w:val="20"/>
              </w:rPr>
              <w:t xml:space="preserve"> </w:t>
            </w:r>
            <w:r w:rsidRPr="00BC31F7">
              <w:rPr>
                <w:rFonts w:ascii="Arial"/>
                <w:spacing w:val="-4"/>
                <w:sz w:val="20"/>
                <w:szCs w:val="20"/>
              </w:rPr>
              <w:t>of</w:t>
            </w:r>
            <w:r w:rsidRPr="00BC31F7">
              <w:rPr>
                <w:rFonts w:ascii="Arial"/>
                <w:spacing w:val="-2"/>
                <w:sz w:val="20"/>
                <w:szCs w:val="20"/>
              </w:rPr>
              <w:t xml:space="preserve"> </w:t>
            </w:r>
            <w:r w:rsidRPr="00BC31F7">
              <w:rPr>
                <w:rFonts w:ascii="Arial"/>
                <w:spacing w:val="-3"/>
                <w:sz w:val="20"/>
                <w:szCs w:val="20"/>
              </w:rPr>
              <w:t>ALT</w:t>
            </w:r>
            <w:r w:rsidRPr="00BC31F7">
              <w:rPr>
                <w:rFonts w:ascii="Arial"/>
                <w:spacing w:val="-2"/>
                <w:sz w:val="20"/>
                <w:szCs w:val="20"/>
              </w:rPr>
              <w:t xml:space="preserve"> elevations</w:t>
            </w:r>
            <w:r w:rsidRPr="00BC31F7">
              <w:rPr>
                <w:rFonts w:ascii="Arial"/>
                <w:spacing w:val="-8"/>
                <w:sz w:val="20"/>
                <w:szCs w:val="20"/>
              </w:rPr>
              <w:t xml:space="preserve"> </w:t>
            </w:r>
            <w:r w:rsidRPr="00BC31F7">
              <w:rPr>
                <w:rFonts w:ascii="Arial"/>
                <w:spacing w:val="-2"/>
                <w:sz w:val="20"/>
                <w:szCs w:val="20"/>
              </w:rPr>
              <w:t>due</w:t>
            </w:r>
            <w:r w:rsidRPr="00BC31F7">
              <w:rPr>
                <w:rFonts w:ascii="Arial"/>
                <w:spacing w:val="-5"/>
                <w:sz w:val="20"/>
                <w:szCs w:val="20"/>
              </w:rPr>
              <w:t xml:space="preserve"> </w:t>
            </w:r>
            <w:r w:rsidRPr="00BC31F7">
              <w:rPr>
                <w:rFonts w:ascii="Arial"/>
                <w:sz w:val="20"/>
                <w:szCs w:val="20"/>
              </w:rPr>
              <w:t>to</w:t>
            </w:r>
            <w:r w:rsidRPr="00BC31F7">
              <w:rPr>
                <w:rFonts w:ascii="Arial"/>
                <w:spacing w:val="-5"/>
                <w:sz w:val="20"/>
                <w:szCs w:val="20"/>
              </w:rPr>
              <w:t xml:space="preserve"> </w:t>
            </w:r>
            <w:r w:rsidRPr="00BC31F7">
              <w:rPr>
                <w:rFonts w:ascii="Arial"/>
                <w:sz w:val="20"/>
                <w:szCs w:val="20"/>
              </w:rPr>
              <w:t>a</w:t>
            </w:r>
            <w:r w:rsidRPr="00BC31F7">
              <w:rPr>
                <w:rFonts w:ascii="Arial"/>
                <w:spacing w:val="21"/>
                <w:sz w:val="20"/>
                <w:szCs w:val="20"/>
              </w:rPr>
              <w:t xml:space="preserve"> </w:t>
            </w:r>
            <w:r w:rsidRPr="00BC31F7">
              <w:rPr>
                <w:rFonts w:ascii="Arial"/>
                <w:spacing w:val="-1"/>
                <w:sz w:val="20"/>
                <w:szCs w:val="20"/>
              </w:rPr>
              <w:t>significant</w:t>
            </w:r>
            <w:r w:rsidRPr="00BC31F7">
              <w:rPr>
                <w:rFonts w:ascii="Arial"/>
                <w:spacing w:val="-11"/>
                <w:sz w:val="20"/>
                <w:szCs w:val="20"/>
              </w:rPr>
              <w:t xml:space="preserve"> </w:t>
            </w:r>
            <w:r w:rsidRPr="00BC31F7">
              <w:rPr>
                <w:rFonts w:ascii="Arial"/>
                <w:spacing w:val="-1"/>
                <w:sz w:val="20"/>
                <w:szCs w:val="20"/>
              </w:rPr>
              <w:t>increase</w:t>
            </w:r>
            <w:r w:rsidRPr="00BC31F7">
              <w:rPr>
                <w:rFonts w:ascii="Arial"/>
                <w:spacing w:val="-10"/>
                <w:sz w:val="20"/>
                <w:szCs w:val="20"/>
              </w:rPr>
              <w:t xml:space="preserve"> </w:t>
            </w:r>
            <w:r w:rsidRPr="00BC31F7">
              <w:rPr>
                <w:rFonts w:ascii="Arial"/>
                <w:spacing w:val="1"/>
                <w:sz w:val="20"/>
                <w:szCs w:val="20"/>
              </w:rPr>
              <w:t>in</w:t>
            </w:r>
            <w:r w:rsidRPr="00BC31F7">
              <w:rPr>
                <w:rFonts w:ascii="Arial"/>
                <w:spacing w:val="-10"/>
                <w:sz w:val="20"/>
                <w:szCs w:val="20"/>
              </w:rPr>
              <w:t xml:space="preserve"> </w:t>
            </w:r>
            <w:proofErr w:type="spellStart"/>
            <w:r w:rsidRPr="00BC31F7">
              <w:rPr>
                <w:rFonts w:ascii="Arial"/>
                <w:spacing w:val="-3"/>
                <w:sz w:val="20"/>
                <w:szCs w:val="20"/>
              </w:rPr>
              <w:t>grazoprevir</w:t>
            </w:r>
            <w:proofErr w:type="spellEnd"/>
            <w:r w:rsidRPr="00BC31F7">
              <w:rPr>
                <w:rFonts w:ascii="Arial"/>
                <w:spacing w:val="-8"/>
                <w:sz w:val="20"/>
                <w:szCs w:val="20"/>
              </w:rPr>
              <w:t xml:space="preserve"> </w:t>
            </w:r>
            <w:r w:rsidRPr="00BC31F7">
              <w:rPr>
                <w:rFonts w:ascii="Arial"/>
                <w:spacing w:val="-2"/>
                <w:sz w:val="20"/>
                <w:szCs w:val="20"/>
              </w:rPr>
              <w:t>plasma</w:t>
            </w:r>
            <w:r w:rsidRPr="00BC31F7">
              <w:rPr>
                <w:rFonts w:ascii="Arial"/>
                <w:spacing w:val="39"/>
                <w:sz w:val="20"/>
                <w:szCs w:val="20"/>
              </w:rPr>
              <w:t xml:space="preserve"> </w:t>
            </w:r>
            <w:r w:rsidRPr="00BC31F7">
              <w:rPr>
                <w:rFonts w:ascii="Arial"/>
                <w:spacing w:val="-2"/>
                <w:sz w:val="20"/>
                <w:szCs w:val="20"/>
              </w:rPr>
              <w:t>concentrations</w:t>
            </w:r>
            <w:r w:rsidRPr="00BC31F7">
              <w:rPr>
                <w:rFonts w:ascii="Arial"/>
                <w:spacing w:val="-13"/>
                <w:sz w:val="20"/>
                <w:szCs w:val="20"/>
              </w:rPr>
              <w:t xml:space="preserve"> </w:t>
            </w:r>
            <w:r w:rsidRPr="00BC31F7">
              <w:rPr>
                <w:rFonts w:ascii="Arial"/>
                <w:spacing w:val="-2"/>
                <w:sz w:val="20"/>
                <w:szCs w:val="20"/>
              </w:rPr>
              <w:t>caused</w:t>
            </w:r>
            <w:r w:rsidRPr="00BC31F7">
              <w:rPr>
                <w:rFonts w:ascii="Arial"/>
                <w:spacing w:val="-10"/>
                <w:sz w:val="20"/>
                <w:szCs w:val="20"/>
              </w:rPr>
              <w:t xml:space="preserve"> </w:t>
            </w:r>
            <w:r w:rsidRPr="00BC31F7">
              <w:rPr>
                <w:rFonts w:ascii="Arial"/>
                <w:spacing w:val="-1"/>
                <w:sz w:val="20"/>
                <w:szCs w:val="20"/>
              </w:rPr>
              <w:t>by</w:t>
            </w:r>
            <w:r w:rsidRPr="00BC31F7">
              <w:rPr>
                <w:rFonts w:ascii="Arial"/>
                <w:spacing w:val="-13"/>
                <w:sz w:val="20"/>
                <w:szCs w:val="20"/>
              </w:rPr>
              <w:t xml:space="preserve"> </w:t>
            </w:r>
            <w:r w:rsidRPr="00BC31F7">
              <w:rPr>
                <w:rFonts w:ascii="Arial"/>
                <w:spacing w:val="-1"/>
                <w:sz w:val="20"/>
                <w:szCs w:val="20"/>
              </w:rPr>
              <w:t>OATP1B1/</w:t>
            </w:r>
            <w:proofErr w:type="gramStart"/>
            <w:r w:rsidRPr="00BC31F7">
              <w:rPr>
                <w:rFonts w:ascii="Arial"/>
                <w:spacing w:val="-1"/>
                <w:sz w:val="20"/>
                <w:szCs w:val="20"/>
              </w:rPr>
              <w:t>3</w:t>
            </w:r>
            <w:r w:rsidRPr="00BC31F7">
              <w:rPr>
                <w:rFonts w:ascii="Arial"/>
                <w:sz w:val="20"/>
                <w:szCs w:val="20"/>
              </w:rPr>
              <w:t xml:space="preserve"> </w:t>
            </w:r>
            <w:r w:rsidRPr="00BC31F7">
              <w:rPr>
                <w:rFonts w:ascii="Arial"/>
                <w:spacing w:val="27"/>
                <w:sz w:val="20"/>
                <w:szCs w:val="20"/>
              </w:rPr>
              <w:t xml:space="preserve"> </w:t>
            </w:r>
            <w:r w:rsidRPr="00BC31F7">
              <w:rPr>
                <w:rFonts w:ascii="Arial"/>
                <w:spacing w:val="-2"/>
                <w:sz w:val="20"/>
                <w:szCs w:val="20"/>
              </w:rPr>
              <w:t>inhibition</w:t>
            </w:r>
            <w:proofErr w:type="gramEnd"/>
            <w:r w:rsidRPr="00BC31F7">
              <w:rPr>
                <w:rFonts w:ascii="Arial"/>
                <w:spacing w:val="-2"/>
                <w:sz w:val="20"/>
                <w:szCs w:val="20"/>
              </w:rPr>
              <w:t>.</w:t>
            </w:r>
          </w:p>
        </w:tc>
      </w:tr>
      <w:tr w:rsidR="00F23983" w:rsidRPr="00BC31F7" w:rsidTr="00F23983">
        <w:trPr>
          <w:trHeight w:hRule="exact" w:val="855"/>
        </w:trPr>
        <w:tc>
          <w:tcPr>
            <w:tcW w:w="2133"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Pr>
                <w:rFonts w:ascii="Arial" w:eastAsia="Arial" w:hAnsi="Arial" w:cs="Arial"/>
                <w:sz w:val="20"/>
                <w:szCs w:val="20"/>
              </w:rPr>
            </w:pPr>
            <w:proofErr w:type="spellStart"/>
            <w:r w:rsidRPr="00BC31F7">
              <w:rPr>
                <w:rFonts w:ascii="Arial"/>
                <w:spacing w:val="-2"/>
                <w:sz w:val="20"/>
                <w:szCs w:val="20"/>
              </w:rPr>
              <w:t>Immunosuppressants</w:t>
            </w:r>
            <w:proofErr w:type="spellEnd"/>
          </w:p>
        </w:tc>
        <w:tc>
          <w:tcPr>
            <w:tcW w:w="1984"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Pr>
                <w:rFonts w:ascii="Arial" w:eastAsia="Arial" w:hAnsi="Arial" w:cs="Arial"/>
                <w:sz w:val="20"/>
                <w:szCs w:val="20"/>
              </w:rPr>
            </w:pPr>
            <w:r w:rsidRPr="00BC31F7">
              <w:rPr>
                <w:rFonts w:ascii="Arial"/>
                <w:spacing w:val="-1"/>
                <w:sz w:val="20"/>
                <w:szCs w:val="20"/>
              </w:rPr>
              <w:t>Cyclosporine</w:t>
            </w:r>
          </w:p>
        </w:tc>
        <w:tc>
          <w:tcPr>
            <w:tcW w:w="5751" w:type="dxa"/>
            <w:tcBorders>
              <w:top w:val="single" w:sz="5" w:space="0" w:color="000000"/>
              <w:left w:val="single" w:sz="5" w:space="0" w:color="000000"/>
              <w:bottom w:val="single" w:sz="5" w:space="0" w:color="000000"/>
              <w:right w:val="single" w:sz="5" w:space="0" w:color="000000"/>
            </w:tcBorders>
          </w:tcPr>
          <w:p w:rsidR="00FE2882" w:rsidRPr="00BC31F7" w:rsidRDefault="00FE2882" w:rsidP="00B7112C">
            <w:pPr>
              <w:pStyle w:val="TableParagraph"/>
              <w:ind w:left="99" w:right="167"/>
              <w:rPr>
                <w:rFonts w:ascii="Arial" w:eastAsia="Arial" w:hAnsi="Arial" w:cs="Arial"/>
                <w:sz w:val="20"/>
                <w:szCs w:val="20"/>
              </w:rPr>
            </w:pPr>
            <w:r w:rsidRPr="00BC31F7">
              <w:rPr>
                <w:rFonts w:ascii="Arial"/>
                <w:spacing w:val="-1"/>
                <w:sz w:val="20"/>
                <w:szCs w:val="20"/>
              </w:rPr>
              <w:t>May</w:t>
            </w:r>
            <w:r w:rsidRPr="00BC31F7">
              <w:rPr>
                <w:rFonts w:ascii="Arial"/>
                <w:spacing w:val="-8"/>
                <w:sz w:val="20"/>
                <w:szCs w:val="20"/>
              </w:rPr>
              <w:t xml:space="preserve"> </w:t>
            </w:r>
            <w:r w:rsidRPr="00BC31F7">
              <w:rPr>
                <w:rFonts w:ascii="Arial"/>
                <w:spacing w:val="-1"/>
                <w:sz w:val="20"/>
                <w:szCs w:val="20"/>
              </w:rPr>
              <w:t>increase</w:t>
            </w:r>
            <w:r w:rsidRPr="00BC31F7">
              <w:rPr>
                <w:rFonts w:ascii="Arial"/>
                <w:spacing w:val="-5"/>
                <w:sz w:val="20"/>
                <w:szCs w:val="20"/>
              </w:rPr>
              <w:t xml:space="preserve"> </w:t>
            </w:r>
            <w:r w:rsidRPr="00BC31F7">
              <w:rPr>
                <w:rFonts w:ascii="Arial"/>
                <w:spacing w:val="-1"/>
                <w:sz w:val="20"/>
                <w:szCs w:val="20"/>
              </w:rPr>
              <w:t>the</w:t>
            </w:r>
            <w:r w:rsidRPr="00BC31F7">
              <w:rPr>
                <w:rFonts w:ascii="Arial"/>
                <w:spacing w:val="-5"/>
                <w:sz w:val="20"/>
                <w:szCs w:val="20"/>
              </w:rPr>
              <w:t xml:space="preserve"> </w:t>
            </w:r>
            <w:r w:rsidRPr="00BC31F7">
              <w:rPr>
                <w:rFonts w:ascii="Arial"/>
                <w:spacing w:val="-2"/>
                <w:sz w:val="20"/>
                <w:szCs w:val="20"/>
              </w:rPr>
              <w:t>risk</w:t>
            </w:r>
            <w:r w:rsidRPr="00BC31F7">
              <w:rPr>
                <w:rFonts w:ascii="Arial"/>
                <w:spacing w:val="2"/>
                <w:sz w:val="20"/>
                <w:szCs w:val="20"/>
              </w:rPr>
              <w:t xml:space="preserve"> </w:t>
            </w:r>
            <w:r w:rsidRPr="00BC31F7">
              <w:rPr>
                <w:rFonts w:ascii="Arial"/>
                <w:spacing w:val="-4"/>
                <w:sz w:val="20"/>
                <w:szCs w:val="20"/>
              </w:rPr>
              <w:t>of</w:t>
            </w:r>
            <w:r w:rsidRPr="00BC31F7">
              <w:rPr>
                <w:rFonts w:ascii="Arial"/>
                <w:spacing w:val="-2"/>
                <w:sz w:val="20"/>
                <w:szCs w:val="20"/>
              </w:rPr>
              <w:t xml:space="preserve"> </w:t>
            </w:r>
            <w:r w:rsidRPr="00BC31F7">
              <w:rPr>
                <w:rFonts w:ascii="Arial"/>
                <w:spacing w:val="-3"/>
                <w:sz w:val="20"/>
                <w:szCs w:val="20"/>
              </w:rPr>
              <w:t>ALT</w:t>
            </w:r>
            <w:r w:rsidRPr="00BC31F7">
              <w:rPr>
                <w:rFonts w:ascii="Arial"/>
                <w:spacing w:val="-2"/>
                <w:sz w:val="20"/>
                <w:szCs w:val="20"/>
              </w:rPr>
              <w:t xml:space="preserve"> elevations</w:t>
            </w:r>
            <w:r w:rsidRPr="00BC31F7">
              <w:rPr>
                <w:rFonts w:ascii="Arial"/>
                <w:spacing w:val="-8"/>
                <w:sz w:val="20"/>
                <w:szCs w:val="20"/>
              </w:rPr>
              <w:t xml:space="preserve"> </w:t>
            </w:r>
            <w:r w:rsidRPr="00BC31F7">
              <w:rPr>
                <w:rFonts w:ascii="Arial"/>
                <w:spacing w:val="-2"/>
                <w:sz w:val="20"/>
                <w:szCs w:val="20"/>
              </w:rPr>
              <w:t>due</w:t>
            </w:r>
            <w:r w:rsidRPr="00BC31F7">
              <w:rPr>
                <w:rFonts w:ascii="Arial"/>
                <w:spacing w:val="-5"/>
                <w:sz w:val="20"/>
                <w:szCs w:val="20"/>
              </w:rPr>
              <w:t xml:space="preserve"> </w:t>
            </w:r>
            <w:r w:rsidRPr="00BC31F7">
              <w:rPr>
                <w:rFonts w:ascii="Arial"/>
                <w:sz w:val="20"/>
                <w:szCs w:val="20"/>
              </w:rPr>
              <w:t>to</w:t>
            </w:r>
            <w:r w:rsidRPr="00BC31F7">
              <w:rPr>
                <w:rFonts w:ascii="Arial"/>
                <w:spacing w:val="-5"/>
                <w:sz w:val="20"/>
                <w:szCs w:val="20"/>
              </w:rPr>
              <w:t xml:space="preserve"> </w:t>
            </w:r>
            <w:r w:rsidRPr="00BC31F7">
              <w:rPr>
                <w:rFonts w:ascii="Arial"/>
                <w:sz w:val="20"/>
                <w:szCs w:val="20"/>
              </w:rPr>
              <w:t>a</w:t>
            </w:r>
            <w:r w:rsidRPr="00BC31F7">
              <w:rPr>
                <w:rFonts w:ascii="Arial"/>
                <w:spacing w:val="21"/>
                <w:sz w:val="20"/>
                <w:szCs w:val="20"/>
              </w:rPr>
              <w:t xml:space="preserve"> </w:t>
            </w:r>
            <w:r w:rsidRPr="00BC31F7">
              <w:rPr>
                <w:rFonts w:ascii="Arial"/>
                <w:spacing w:val="-1"/>
                <w:sz w:val="20"/>
                <w:szCs w:val="20"/>
              </w:rPr>
              <w:t>significant</w:t>
            </w:r>
            <w:r w:rsidRPr="00BC31F7">
              <w:rPr>
                <w:rFonts w:ascii="Arial"/>
                <w:spacing w:val="-11"/>
                <w:sz w:val="20"/>
                <w:szCs w:val="20"/>
              </w:rPr>
              <w:t xml:space="preserve"> </w:t>
            </w:r>
            <w:r w:rsidRPr="00BC31F7">
              <w:rPr>
                <w:rFonts w:ascii="Arial"/>
                <w:spacing w:val="-1"/>
                <w:sz w:val="20"/>
                <w:szCs w:val="20"/>
              </w:rPr>
              <w:t>increase</w:t>
            </w:r>
            <w:r w:rsidRPr="00BC31F7">
              <w:rPr>
                <w:rFonts w:ascii="Arial"/>
                <w:spacing w:val="-10"/>
                <w:sz w:val="20"/>
                <w:szCs w:val="20"/>
              </w:rPr>
              <w:t xml:space="preserve"> </w:t>
            </w:r>
            <w:r w:rsidRPr="00BC31F7">
              <w:rPr>
                <w:rFonts w:ascii="Arial"/>
                <w:spacing w:val="1"/>
                <w:sz w:val="20"/>
                <w:szCs w:val="20"/>
              </w:rPr>
              <w:t>in</w:t>
            </w:r>
            <w:r w:rsidRPr="00BC31F7">
              <w:rPr>
                <w:rFonts w:ascii="Arial"/>
                <w:spacing w:val="-10"/>
                <w:sz w:val="20"/>
                <w:szCs w:val="20"/>
              </w:rPr>
              <w:t xml:space="preserve"> </w:t>
            </w:r>
            <w:proofErr w:type="spellStart"/>
            <w:r w:rsidRPr="00BC31F7">
              <w:rPr>
                <w:rFonts w:ascii="Arial"/>
                <w:spacing w:val="-3"/>
                <w:sz w:val="20"/>
                <w:szCs w:val="20"/>
              </w:rPr>
              <w:t>grazoprevir</w:t>
            </w:r>
            <w:proofErr w:type="spellEnd"/>
            <w:r w:rsidRPr="00BC31F7">
              <w:rPr>
                <w:rFonts w:ascii="Arial"/>
                <w:spacing w:val="-8"/>
                <w:sz w:val="20"/>
                <w:szCs w:val="20"/>
              </w:rPr>
              <w:t xml:space="preserve"> </w:t>
            </w:r>
            <w:r w:rsidRPr="00BC31F7">
              <w:rPr>
                <w:rFonts w:ascii="Arial"/>
                <w:spacing w:val="-2"/>
                <w:sz w:val="20"/>
                <w:szCs w:val="20"/>
              </w:rPr>
              <w:t>plasma</w:t>
            </w:r>
            <w:r w:rsidRPr="00BC31F7">
              <w:rPr>
                <w:rFonts w:ascii="Arial"/>
                <w:spacing w:val="39"/>
                <w:sz w:val="20"/>
                <w:szCs w:val="20"/>
              </w:rPr>
              <w:t xml:space="preserve"> </w:t>
            </w:r>
            <w:r w:rsidRPr="00BC31F7">
              <w:rPr>
                <w:rFonts w:ascii="Arial"/>
                <w:spacing w:val="-2"/>
                <w:sz w:val="20"/>
                <w:szCs w:val="20"/>
              </w:rPr>
              <w:t>concentrations</w:t>
            </w:r>
            <w:r w:rsidRPr="00BC31F7">
              <w:rPr>
                <w:rFonts w:ascii="Arial"/>
                <w:spacing w:val="-13"/>
                <w:sz w:val="20"/>
                <w:szCs w:val="20"/>
              </w:rPr>
              <w:t xml:space="preserve"> </w:t>
            </w:r>
            <w:r w:rsidRPr="00BC31F7">
              <w:rPr>
                <w:rFonts w:ascii="Arial"/>
                <w:spacing w:val="-2"/>
                <w:sz w:val="20"/>
                <w:szCs w:val="20"/>
              </w:rPr>
              <w:t>caused</w:t>
            </w:r>
            <w:r w:rsidRPr="00BC31F7">
              <w:rPr>
                <w:rFonts w:ascii="Arial"/>
                <w:spacing w:val="-10"/>
                <w:sz w:val="20"/>
                <w:szCs w:val="20"/>
              </w:rPr>
              <w:t xml:space="preserve"> </w:t>
            </w:r>
            <w:r w:rsidRPr="00BC31F7">
              <w:rPr>
                <w:rFonts w:ascii="Arial"/>
                <w:spacing w:val="-1"/>
                <w:sz w:val="20"/>
                <w:szCs w:val="20"/>
              </w:rPr>
              <w:t>by</w:t>
            </w:r>
            <w:r w:rsidRPr="00BC31F7">
              <w:rPr>
                <w:rFonts w:ascii="Arial"/>
                <w:spacing w:val="-13"/>
                <w:sz w:val="20"/>
                <w:szCs w:val="20"/>
              </w:rPr>
              <w:t xml:space="preserve"> </w:t>
            </w:r>
            <w:r w:rsidRPr="00BC31F7">
              <w:rPr>
                <w:rFonts w:ascii="Arial"/>
                <w:spacing w:val="-1"/>
                <w:sz w:val="20"/>
                <w:szCs w:val="20"/>
              </w:rPr>
              <w:t>OATP1B1/</w:t>
            </w:r>
            <w:proofErr w:type="gramStart"/>
            <w:r w:rsidRPr="00BC31F7">
              <w:rPr>
                <w:rFonts w:ascii="Arial"/>
                <w:spacing w:val="-1"/>
                <w:sz w:val="20"/>
                <w:szCs w:val="20"/>
              </w:rPr>
              <w:t>3</w:t>
            </w:r>
            <w:r w:rsidRPr="00BC31F7">
              <w:rPr>
                <w:rFonts w:ascii="Arial"/>
                <w:sz w:val="20"/>
                <w:szCs w:val="20"/>
              </w:rPr>
              <w:t xml:space="preserve"> </w:t>
            </w:r>
            <w:r w:rsidRPr="00BC31F7">
              <w:rPr>
                <w:rFonts w:ascii="Arial"/>
                <w:spacing w:val="27"/>
                <w:sz w:val="20"/>
                <w:szCs w:val="20"/>
              </w:rPr>
              <w:t xml:space="preserve"> </w:t>
            </w:r>
            <w:r w:rsidRPr="00BC31F7">
              <w:rPr>
                <w:rFonts w:ascii="Arial"/>
                <w:spacing w:val="-2"/>
                <w:sz w:val="20"/>
                <w:szCs w:val="20"/>
              </w:rPr>
              <w:t>inhibition</w:t>
            </w:r>
            <w:proofErr w:type="gramEnd"/>
            <w:r w:rsidRPr="00BC31F7">
              <w:rPr>
                <w:rFonts w:ascii="Arial"/>
                <w:spacing w:val="-2"/>
                <w:sz w:val="20"/>
                <w:szCs w:val="20"/>
              </w:rPr>
              <w:t>.</w:t>
            </w:r>
          </w:p>
        </w:tc>
      </w:tr>
    </w:tbl>
    <w:p w:rsidR="00FE2882" w:rsidRPr="007E7526" w:rsidRDefault="00FE2882" w:rsidP="00FE2882">
      <w:pPr>
        <w:spacing w:before="0" w:after="0" w:line="178" w:lineRule="exact"/>
        <w:rPr>
          <w:sz w:val="18"/>
          <w:szCs w:val="20"/>
          <w:lang w:val="en-US"/>
        </w:rPr>
      </w:pPr>
      <w:r w:rsidRPr="007E7526">
        <w:rPr>
          <w:sz w:val="18"/>
          <w:szCs w:val="20"/>
          <w:lang w:val="en-US"/>
        </w:rPr>
        <w:t>*This table is not a comprehensive list of all drugs that inhibit OATP1B1/3 or strongly induce CYP3A.</w:t>
      </w:r>
    </w:p>
    <w:p w:rsidR="008A0A66" w:rsidRPr="004D7663" w:rsidRDefault="00FE2882" w:rsidP="004C36C2">
      <w:pPr>
        <w:pStyle w:val="ListParagraph"/>
        <w:spacing w:before="0" w:after="0"/>
        <w:ind w:left="0"/>
      </w:pPr>
      <w:proofErr w:type="gramStart"/>
      <w:r w:rsidRPr="007E7526">
        <w:rPr>
          <w:sz w:val="18"/>
          <w:szCs w:val="20"/>
          <w:lang w:val="en-US"/>
        </w:rPr>
        <w:t xml:space="preserve">†  </w:t>
      </w:r>
      <w:proofErr w:type="spellStart"/>
      <w:r w:rsidRPr="007E7526">
        <w:rPr>
          <w:sz w:val="18"/>
          <w:szCs w:val="20"/>
          <w:lang w:val="en-US"/>
        </w:rPr>
        <w:t>Efavirenz</w:t>
      </w:r>
      <w:proofErr w:type="spellEnd"/>
      <w:proofErr w:type="gramEnd"/>
      <w:r w:rsidRPr="007E7526">
        <w:rPr>
          <w:sz w:val="18"/>
          <w:szCs w:val="20"/>
          <w:lang w:val="en-US"/>
        </w:rPr>
        <w:t xml:space="preserve"> is included as a strong CYP3A inducer in this table, since co-administration reduced </w:t>
      </w:r>
      <w:proofErr w:type="spellStart"/>
      <w:r w:rsidRPr="007E7526">
        <w:rPr>
          <w:sz w:val="18"/>
          <w:szCs w:val="20"/>
          <w:lang w:val="en-US"/>
        </w:rPr>
        <w:t>grazoprevir</w:t>
      </w:r>
      <w:proofErr w:type="spellEnd"/>
      <w:r w:rsidRPr="007E7526">
        <w:rPr>
          <w:sz w:val="18"/>
          <w:szCs w:val="20"/>
          <w:lang w:val="en-US"/>
        </w:rPr>
        <w:t xml:space="preserve"> exposure by ≥80%</w:t>
      </w:r>
    </w:p>
    <w:p w:rsidR="00FE2882" w:rsidRDefault="00FE2882" w:rsidP="0065247B">
      <w:pPr>
        <w:spacing w:before="0" w:after="0"/>
        <w:rPr>
          <w:b/>
          <w:caps/>
          <w:kern w:val="28"/>
          <w:sz w:val="24"/>
          <w:u w:val="single"/>
        </w:rPr>
      </w:pPr>
    </w:p>
    <w:p w:rsidR="00FE2882" w:rsidRDefault="00FE2882" w:rsidP="0065247B">
      <w:pPr>
        <w:spacing w:before="0" w:after="0"/>
        <w:rPr>
          <w:b/>
          <w:caps/>
          <w:kern w:val="28"/>
          <w:sz w:val="24"/>
          <w:u w:val="single"/>
        </w:rPr>
      </w:pPr>
    </w:p>
    <w:p w:rsidR="00CC78DD" w:rsidRPr="0065247B" w:rsidRDefault="00CC78DD" w:rsidP="0065247B">
      <w:pPr>
        <w:spacing w:before="0" w:after="0"/>
        <w:rPr>
          <w:b/>
          <w:caps/>
          <w:kern w:val="28"/>
          <w:sz w:val="24"/>
          <w:u w:val="single"/>
        </w:rPr>
      </w:pPr>
      <w:r w:rsidRPr="0065247B">
        <w:rPr>
          <w:b/>
          <w:caps/>
          <w:kern w:val="28"/>
          <w:sz w:val="24"/>
          <w:u w:val="single"/>
        </w:rPr>
        <w:t>PRECAUTIONS</w:t>
      </w:r>
    </w:p>
    <w:p w:rsidR="00F71FA4" w:rsidRDefault="00F71FA4" w:rsidP="003467BC">
      <w:pPr>
        <w:rPr>
          <w:color w:val="010202"/>
        </w:rPr>
      </w:pPr>
      <w:r w:rsidRPr="003467BC">
        <w:rPr>
          <w:b/>
        </w:rPr>
        <w:t>Increased Risk of ALT Elevations</w:t>
      </w:r>
      <w:r w:rsidR="003467BC">
        <w:rPr>
          <w:b/>
        </w:rPr>
        <w:t xml:space="preserve">: </w:t>
      </w:r>
      <w:r w:rsidRPr="00116F4B">
        <w:rPr>
          <w:color w:val="000000"/>
          <w:szCs w:val="18"/>
        </w:rPr>
        <w:t xml:space="preserve">During clinical trials with </w:t>
      </w:r>
      <w:r w:rsidR="000D7FE6">
        <w:rPr>
          <w:color w:val="000000"/>
          <w:szCs w:val="18"/>
        </w:rPr>
        <w:t>ZEPATIER</w:t>
      </w:r>
      <w:r w:rsidRPr="00116F4B">
        <w:rPr>
          <w:color w:val="000000"/>
          <w:szCs w:val="18"/>
        </w:rPr>
        <w:t xml:space="preserve"> with or without </w:t>
      </w:r>
      <w:r>
        <w:rPr>
          <w:color w:val="000000"/>
          <w:szCs w:val="18"/>
        </w:rPr>
        <w:t>ribavirin</w:t>
      </w:r>
      <w:r w:rsidRPr="00116F4B">
        <w:rPr>
          <w:color w:val="000000"/>
          <w:szCs w:val="18"/>
        </w:rPr>
        <w:t>,</w:t>
      </w:r>
      <w:r w:rsidRPr="00116F4B">
        <w:rPr>
          <w:color w:val="010202"/>
        </w:rPr>
        <w:t xml:space="preserve"> </w:t>
      </w:r>
      <w:r>
        <w:rPr>
          <w:color w:val="010202"/>
        </w:rPr>
        <w:t>&lt;1</w:t>
      </w:r>
      <w:r w:rsidRPr="00116F4B">
        <w:rPr>
          <w:color w:val="000000"/>
          <w:szCs w:val="18"/>
        </w:rPr>
        <w:t xml:space="preserve">% of subjects experienced elevations of ALT from normal levels to greater than 5 times the upper limit of normal (ULN), generally </w:t>
      </w:r>
      <w:r w:rsidRPr="00116F4B">
        <w:rPr>
          <w:color w:val="010202"/>
        </w:rPr>
        <w:t>at or after treatment week 8</w:t>
      </w:r>
      <w:r w:rsidRPr="00116F4B">
        <w:rPr>
          <w:color w:val="000000"/>
          <w:szCs w:val="18"/>
        </w:rPr>
        <w:t>.</w:t>
      </w:r>
      <w:r>
        <w:rPr>
          <w:color w:val="000000"/>
          <w:szCs w:val="18"/>
        </w:rPr>
        <w:t xml:space="preserve"> </w:t>
      </w:r>
      <w:r w:rsidRPr="004349E4">
        <w:rPr>
          <w:color w:val="010202"/>
        </w:rPr>
        <w:t>ALT elevations were typically asymptomatic</w:t>
      </w:r>
      <w:r>
        <w:rPr>
          <w:color w:val="010202"/>
        </w:rPr>
        <w:t xml:space="preserve"> </w:t>
      </w:r>
      <w:r w:rsidRPr="004349E4">
        <w:rPr>
          <w:color w:val="010202"/>
        </w:rPr>
        <w:t>and most resolved with ongoing</w:t>
      </w:r>
      <w:r>
        <w:rPr>
          <w:color w:val="010202"/>
        </w:rPr>
        <w:t xml:space="preserve"> or completion of</w:t>
      </w:r>
      <w:r w:rsidRPr="004349E4">
        <w:rPr>
          <w:color w:val="010202"/>
        </w:rPr>
        <w:t xml:space="preserve"> therapy</w:t>
      </w:r>
      <w:r w:rsidR="00613EED" w:rsidRPr="00AA1DB3">
        <w:rPr>
          <w:color w:val="010202"/>
        </w:rPr>
        <w:t xml:space="preserve"> .Higher rates of late ALT elevations occurred in females (2% [11/652]), Asians (2% [4/165]), and subjects aged ≥65 years (2% [3/187])</w:t>
      </w:r>
      <w:r>
        <w:rPr>
          <w:color w:val="010202"/>
        </w:rPr>
        <w:t xml:space="preserve"> </w:t>
      </w:r>
      <w:r>
        <w:rPr>
          <w:i/>
          <w:color w:val="010202"/>
        </w:rPr>
        <w:t>(see ADVERSE EFFECTS)</w:t>
      </w:r>
      <w:r w:rsidRPr="004349E4">
        <w:rPr>
          <w:color w:val="010202"/>
        </w:rPr>
        <w:t xml:space="preserve">. </w:t>
      </w:r>
    </w:p>
    <w:p w:rsidR="00F71FA4" w:rsidRDefault="00F71FA4" w:rsidP="00F71FA4">
      <w:pPr>
        <w:autoSpaceDE w:val="0"/>
        <w:autoSpaceDN w:val="0"/>
        <w:adjustRightInd w:val="0"/>
        <w:jc w:val="both"/>
        <w:rPr>
          <w:color w:val="000000"/>
          <w:szCs w:val="18"/>
        </w:rPr>
      </w:pPr>
      <w:r>
        <w:rPr>
          <w:color w:val="000000"/>
          <w:szCs w:val="18"/>
        </w:rPr>
        <w:t>Hepatic laboratory testing should be performed prior to therapy</w:t>
      </w:r>
      <w:r w:rsidR="00613EED" w:rsidRPr="00AA1DB3">
        <w:rPr>
          <w:color w:val="000000"/>
        </w:rPr>
        <w:t>, at treatment week 8, and as clinically indicated. For patients receiving 16 weeks of therapy, additional hepatic laboratory testing should be performed at treatment week 12</w:t>
      </w:r>
      <w:r>
        <w:rPr>
          <w:color w:val="000000"/>
          <w:szCs w:val="18"/>
        </w:rPr>
        <w:t xml:space="preserve">. </w:t>
      </w:r>
    </w:p>
    <w:p w:rsidR="00F71FA4" w:rsidRPr="00275195" w:rsidRDefault="00F71FA4" w:rsidP="00C52E19">
      <w:pPr>
        <w:numPr>
          <w:ilvl w:val="0"/>
          <w:numId w:val="5"/>
        </w:numPr>
        <w:autoSpaceDE w:val="0"/>
        <w:autoSpaceDN w:val="0"/>
        <w:adjustRightInd w:val="0"/>
        <w:spacing w:before="0" w:after="0"/>
        <w:jc w:val="both"/>
        <w:rPr>
          <w:color w:val="000000"/>
          <w:szCs w:val="18"/>
        </w:rPr>
      </w:pPr>
      <w:r w:rsidRPr="00275195">
        <w:rPr>
          <w:color w:val="000000"/>
          <w:szCs w:val="18"/>
        </w:rPr>
        <w:t xml:space="preserve">Patients should be instructed to consult their healthcare professional without delay if they have onset of fatigue, weakness, lack of appetite, nausea and vomiting, jaundice or </w:t>
      </w:r>
      <w:r w:rsidR="00EC2F3B" w:rsidRPr="00275195">
        <w:rPr>
          <w:color w:val="000000"/>
          <w:szCs w:val="18"/>
        </w:rPr>
        <w:t>discoloured</w:t>
      </w:r>
      <w:r w:rsidRPr="00275195">
        <w:rPr>
          <w:color w:val="000000"/>
          <w:szCs w:val="18"/>
        </w:rPr>
        <w:t xml:space="preserve"> </w:t>
      </w:r>
      <w:r w:rsidR="00EC2F3B" w:rsidRPr="00275195">
        <w:rPr>
          <w:color w:val="000000"/>
          <w:szCs w:val="18"/>
        </w:rPr>
        <w:t>faeces</w:t>
      </w:r>
      <w:r w:rsidRPr="00275195">
        <w:rPr>
          <w:color w:val="000000"/>
          <w:szCs w:val="18"/>
        </w:rPr>
        <w:t>.</w:t>
      </w:r>
    </w:p>
    <w:p w:rsidR="00F71FA4" w:rsidRPr="00275195" w:rsidRDefault="00F71FA4" w:rsidP="00C52E19">
      <w:pPr>
        <w:numPr>
          <w:ilvl w:val="0"/>
          <w:numId w:val="5"/>
        </w:numPr>
        <w:autoSpaceDE w:val="0"/>
        <w:autoSpaceDN w:val="0"/>
        <w:adjustRightInd w:val="0"/>
        <w:spacing w:before="0" w:after="0"/>
        <w:jc w:val="both"/>
        <w:rPr>
          <w:color w:val="000000"/>
          <w:szCs w:val="18"/>
        </w:rPr>
      </w:pPr>
      <w:r w:rsidRPr="00275195">
        <w:rPr>
          <w:color w:val="000000"/>
          <w:szCs w:val="18"/>
        </w:rPr>
        <w:t xml:space="preserve">Consider discontinuing </w:t>
      </w:r>
      <w:r w:rsidR="000D7FE6">
        <w:rPr>
          <w:color w:val="000000"/>
          <w:szCs w:val="18"/>
        </w:rPr>
        <w:t>ZEPATIER</w:t>
      </w:r>
      <w:r w:rsidRPr="00275195">
        <w:rPr>
          <w:color w:val="000000"/>
          <w:szCs w:val="18"/>
        </w:rPr>
        <w:t xml:space="preserve"> if ALT levels remain persistently greater than 10 times the ULN.</w:t>
      </w:r>
    </w:p>
    <w:p w:rsidR="00F71FA4" w:rsidRPr="00275195" w:rsidRDefault="00F71FA4" w:rsidP="00C52E19">
      <w:pPr>
        <w:numPr>
          <w:ilvl w:val="0"/>
          <w:numId w:val="5"/>
        </w:numPr>
        <w:autoSpaceDE w:val="0"/>
        <w:autoSpaceDN w:val="0"/>
        <w:adjustRightInd w:val="0"/>
        <w:spacing w:before="0" w:after="0"/>
        <w:jc w:val="both"/>
        <w:rPr>
          <w:color w:val="000000"/>
          <w:szCs w:val="18"/>
        </w:rPr>
      </w:pPr>
      <w:r w:rsidRPr="00275195">
        <w:rPr>
          <w:color w:val="000000"/>
          <w:szCs w:val="18"/>
        </w:rPr>
        <w:t xml:space="preserve">Discontinue </w:t>
      </w:r>
      <w:r w:rsidR="000D7FE6">
        <w:rPr>
          <w:color w:val="000000"/>
          <w:szCs w:val="18"/>
        </w:rPr>
        <w:t>ZEPATIER</w:t>
      </w:r>
      <w:r>
        <w:rPr>
          <w:color w:val="000000"/>
          <w:szCs w:val="18"/>
        </w:rPr>
        <w:t xml:space="preserve"> </w:t>
      </w:r>
      <w:r w:rsidRPr="00275195">
        <w:rPr>
          <w:color w:val="000000"/>
          <w:szCs w:val="18"/>
        </w:rPr>
        <w:t>if ALT elevation is accompanied by signs or symptoms of liver inflammation or increasing conjugated bilirubin, alkaline phosphatase, or INR.</w:t>
      </w:r>
    </w:p>
    <w:p w:rsidR="00F71FA4" w:rsidRPr="00CF0EF6" w:rsidRDefault="00F71FA4" w:rsidP="00F71FA4">
      <w:pPr>
        <w:pStyle w:val="BodyText1"/>
        <w:spacing w:before="0"/>
        <w:ind w:firstLine="540"/>
        <w:jc w:val="both"/>
        <w:rPr>
          <w:rFonts w:ascii="Arial" w:hAnsi="Arial"/>
          <w:sz w:val="20"/>
          <w:szCs w:val="20"/>
        </w:rPr>
      </w:pPr>
    </w:p>
    <w:p w:rsidR="00F71FA4" w:rsidRPr="003012B9" w:rsidRDefault="00F71FA4" w:rsidP="003467BC">
      <w:pPr>
        <w:rPr>
          <w:color w:val="000000"/>
          <w:szCs w:val="18"/>
        </w:rPr>
      </w:pPr>
      <w:r w:rsidRPr="003467BC">
        <w:rPr>
          <w:b/>
        </w:rPr>
        <w:t>Risks Associated with Ribavirin Combination</w:t>
      </w:r>
      <w:r w:rsidR="003467BC">
        <w:rPr>
          <w:b/>
        </w:rPr>
        <w:t xml:space="preserve">: </w:t>
      </w:r>
      <w:r w:rsidRPr="003012B9">
        <w:rPr>
          <w:color w:val="000000"/>
          <w:szCs w:val="18"/>
        </w:rPr>
        <w:t xml:space="preserve">If </w:t>
      </w:r>
      <w:r w:rsidR="000D7FE6">
        <w:rPr>
          <w:color w:val="000000"/>
          <w:szCs w:val="18"/>
        </w:rPr>
        <w:t>ZEPATIER</w:t>
      </w:r>
      <w:r w:rsidRPr="003012B9">
        <w:rPr>
          <w:color w:val="000000"/>
          <w:szCs w:val="18"/>
        </w:rPr>
        <w:t xml:space="preserve"> is administered with</w:t>
      </w:r>
      <w:r>
        <w:rPr>
          <w:color w:val="000000"/>
          <w:szCs w:val="18"/>
        </w:rPr>
        <w:t xml:space="preserve"> ribavirin</w:t>
      </w:r>
      <w:r w:rsidRPr="003012B9">
        <w:rPr>
          <w:color w:val="000000"/>
          <w:szCs w:val="18"/>
        </w:rPr>
        <w:t xml:space="preserve">, the warnings and precautions for </w:t>
      </w:r>
      <w:r>
        <w:rPr>
          <w:color w:val="000000"/>
          <w:szCs w:val="18"/>
        </w:rPr>
        <w:t>ribavirin</w:t>
      </w:r>
      <w:r w:rsidRPr="003012B9">
        <w:rPr>
          <w:color w:val="000000"/>
          <w:szCs w:val="18"/>
        </w:rPr>
        <w:t xml:space="preserve">, </w:t>
      </w:r>
      <w:r>
        <w:rPr>
          <w:szCs w:val="18"/>
        </w:rPr>
        <w:t xml:space="preserve">including </w:t>
      </w:r>
      <w:r w:rsidRPr="003012B9">
        <w:rPr>
          <w:szCs w:val="18"/>
        </w:rPr>
        <w:t xml:space="preserve">the </w:t>
      </w:r>
      <w:r w:rsidRPr="00033C79">
        <w:rPr>
          <w:szCs w:val="18"/>
        </w:rPr>
        <w:t>pregnancy avoidance warning,</w:t>
      </w:r>
      <w:r w:rsidRPr="003012B9">
        <w:rPr>
          <w:szCs w:val="18"/>
        </w:rPr>
        <w:t xml:space="preserve"> </w:t>
      </w:r>
      <w:r w:rsidRPr="003012B9">
        <w:rPr>
          <w:color w:val="000000"/>
          <w:szCs w:val="18"/>
        </w:rPr>
        <w:t xml:space="preserve">also apply to this combination regimen. Refer to the </w:t>
      </w:r>
      <w:r>
        <w:rPr>
          <w:color w:val="000000"/>
          <w:szCs w:val="18"/>
        </w:rPr>
        <w:t>ribavirin</w:t>
      </w:r>
      <w:r w:rsidRPr="003012B9">
        <w:rPr>
          <w:color w:val="000000"/>
          <w:szCs w:val="18"/>
        </w:rPr>
        <w:t xml:space="preserve"> prescribing information for a list of warnings and precautions for </w:t>
      </w:r>
      <w:r>
        <w:rPr>
          <w:color w:val="000000"/>
          <w:szCs w:val="18"/>
        </w:rPr>
        <w:t>ribavirin</w:t>
      </w:r>
      <w:r w:rsidRPr="003012B9">
        <w:rPr>
          <w:color w:val="000000"/>
          <w:szCs w:val="18"/>
        </w:rPr>
        <w:t>.</w:t>
      </w:r>
    </w:p>
    <w:p w:rsidR="00130136" w:rsidRDefault="00130136" w:rsidP="00F42F76">
      <w:pPr>
        <w:pStyle w:val="Heading4"/>
        <w:rPr>
          <w:b w:val="0"/>
          <w:color w:val="000000"/>
          <w:szCs w:val="18"/>
        </w:rPr>
      </w:pPr>
    </w:p>
    <w:p w:rsidR="00CC455B" w:rsidRPr="008F2853" w:rsidRDefault="00CC455B" w:rsidP="00F42F76">
      <w:pPr>
        <w:pStyle w:val="Heading4"/>
      </w:pPr>
      <w:r w:rsidRPr="008F2853">
        <w:t>Risk of Adverse Reactions or Reduced Therapeutic Effect Due to Drug Interactions</w:t>
      </w:r>
    </w:p>
    <w:p w:rsidR="007E5E68" w:rsidRDefault="007E5E68" w:rsidP="007E5E68">
      <w:pPr>
        <w:rPr>
          <w:color w:val="010202"/>
        </w:rPr>
      </w:pPr>
      <w:r w:rsidRPr="008F2853">
        <w:rPr>
          <w:b/>
        </w:rPr>
        <w:t>OATP1B inhibitors</w:t>
      </w:r>
      <w:r w:rsidRPr="008F2853">
        <w:t xml:space="preserve">: Co-administration of </w:t>
      </w:r>
      <w:r>
        <w:t>ZEPATIER</w:t>
      </w:r>
      <w:r w:rsidRPr="008F2853">
        <w:t xml:space="preserve"> and OATP1B inhibitors </w:t>
      </w:r>
      <w:r w:rsidR="00C16811">
        <w:t xml:space="preserve">that are known to or expected to </w:t>
      </w:r>
      <w:r w:rsidRPr="008F2853">
        <w:t xml:space="preserve">significantly increase </w:t>
      </w:r>
      <w:proofErr w:type="spellStart"/>
      <w:r w:rsidRPr="008F2853">
        <w:t>grazoprevir</w:t>
      </w:r>
      <w:proofErr w:type="spellEnd"/>
      <w:r w:rsidRPr="008F2853">
        <w:t xml:space="preserve"> plasma concentrations is </w:t>
      </w:r>
      <w:r>
        <w:t xml:space="preserve">contraindicated </w:t>
      </w:r>
      <w:r w:rsidRPr="00F2356B">
        <w:rPr>
          <w:iCs/>
          <w:color w:val="010202"/>
        </w:rPr>
        <w:t>(</w:t>
      </w:r>
      <w:r w:rsidRPr="00F2356B">
        <w:t>see CONTRAINDICATIONS and INTERACTIONS WITH OTHER MEDICINES)</w:t>
      </w:r>
      <w:r w:rsidRPr="0000714D">
        <w:t>.</w:t>
      </w:r>
    </w:p>
    <w:p w:rsidR="00F71FA4" w:rsidRPr="008F2853" w:rsidRDefault="007E5E68" w:rsidP="003467BC">
      <w:r>
        <w:rPr>
          <w:b/>
        </w:rPr>
        <w:t>S</w:t>
      </w:r>
      <w:r w:rsidR="003467BC" w:rsidRPr="008F2853">
        <w:rPr>
          <w:b/>
        </w:rPr>
        <w:t>trong CYP3A inducers</w:t>
      </w:r>
      <w:r>
        <w:rPr>
          <w:b/>
        </w:rPr>
        <w:t xml:space="preserve"> or </w:t>
      </w:r>
      <w:proofErr w:type="spellStart"/>
      <w:r>
        <w:rPr>
          <w:b/>
        </w:rPr>
        <w:t>efavirenz</w:t>
      </w:r>
      <w:proofErr w:type="spellEnd"/>
      <w:r w:rsidR="003467BC" w:rsidRPr="008F2853">
        <w:rPr>
          <w:b/>
        </w:rPr>
        <w:t>:</w:t>
      </w:r>
      <w:r w:rsidR="003467BC" w:rsidRPr="008F2853">
        <w:t xml:space="preserve"> </w:t>
      </w:r>
      <w:r w:rsidR="00F71FA4" w:rsidRPr="008F2853">
        <w:t xml:space="preserve">The concomitant use of </w:t>
      </w:r>
      <w:r w:rsidR="000D7FE6">
        <w:t>ZEPATIER</w:t>
      </w:r>
      <w:r w:rsidR="00F71FA4" w:rsidRPr="008F2853">
        <w:t xml:space="preserve"> and strong CYP3A</w:t>
      </w:r>
      <w:r>
        <w:t xml:space="preserve"> </w:t>
      </w:r>
      <w:r w:rsidR="00F71FA4" w:rsidRPr="008F2853">
        <w:t xml:space="preserve">inducers </w:t>
      </w:r>
      <w:r>
        <w:t xml:space="preserve">or </w:t>
      </w:r>
      <w:proofErr w:type="spellStart"/>
      <w:r>
        <w:t>efavirenz</w:t>
      </w:r>
      <w:proofErr w:type="spellEnd"/>
      <w:r>
        <w:t xml:space="preserve"> </w:t>
      </w:r>
      <w:r w:rsidR="00F71FA4" w:rsidRPr="008F2853">
        <w:t xml:space="preserve">may significantly decrease </w:t>
      </w:r>
      <w:proofErr w:type="spellStart"/>
      <w:r w:rsidR="00A24540" w:rsidRPr="008F2853">
        <w:t>elbasvir</w:t>
      </w:r>
      <w:proofErr w:type="spellEnd"/>
      <w:r w:rsidR="00A24540" w:rsidRPr="008F2853">
        <w:t xml:space="preserve"> </w:t>
      </w:r>
      <w:r w:rsidR="00A24540">
        <w:t xml:space="preserve">and </w:t>
      </w:r>
      <w:proofErr w:type="spellStart"/>
      <w:r w:rsidR="00F71FA4" w:rsidRPr="008F2853">
        <w:t>grazoprevir</w:t>
      </w:r>
      <w:proofErr w:type="spellEnd"/>
      <w:r w:rsidR="00F71FA4" w:rsidRPr="008F2853">
        <w:t xml:space="preserve"> plasma concentrations and may lead to a reduced therapeutic effect of </w:t>
      </w:r>
      <w:r w:rsidR="000D7FE6">
        <w:t>ZEPATIER</w:t>
      </w:r>
      <w:r w:rsidR="00F71FA4" w:rsidRPr="008F2853">
        <w:t xml:space="preserve">. Therefore, the use of </w:t>
      </w:r>
      <w:r w:rsidR="000D7FE6">
        <w:t>ZEPATIER</w:t>
      </w:r>
      <w:r w:rsidR="00F71FA4" w:rsidRPr="008F2853">
        <w:t xml:space="preserve"> with strong CYP3A inducers </w:t>
      </w:r>
      <w:r>
        <w:t xml:space="preserve">or </w:t>
      </w:r>
      <w:proofErr w:type="spellStart"/>
      <w:r>
        <w:t>efavirenz</w:t>
      </w:r>
      <w:proofErr w:type="spellEnd"/>
      <w:r>
        <w:t xml:space="preserve"> </w:t>
      </w:r>
      <w:r w:rsidR="00F71FA4" w:rsidRPr="008F2853">
        <w:t xml:space="preserve">is </w:t>
      </w:r>
      <w:r>
        <w:t xml:space="preserve">contraindicated </w:t>
      </w:r>
      <w:r w:rsidR="003467BC" w:rsidRPr="008F2853">
        <w:rPr>
          <w:i/>
        </w:rPr>
        <w:t>(see I</w:t>
      </w:r>
      <w:r w:rsidR="00B66825" w:rsidRPr="008F2853">
        <w:rPr>
          <w:i/>
        </w:rPr>
        <w:t>NTERACTION</w:t>
      </w:r>
      <w:r w:rsidR="00CE2C56" w:rsidRPr="008F2853">
        <w:rPr>
          <w:i/>
        </w:rPr>
        <w:t>S</w:t>
      </w:r>
      <w:r w:rsidR="00B66825" w:rsidRPr="008F2853">
        <w:rPr>
          <w:i/>
        </w:rPr>
        <w:t xml:space="preserve"> WITH OTHER MEDICINES</w:t>
      </w:r>
      <w:r w:rsidR="003467BC" w:rsidRPr="008F2853">
        <w:rPr>
          <w:i/>
        </w:rPr>
        <w:t>)</w:t>
      </w:r>
      <w:r w:rsidR="00F71FA4" w:rsidRPr="008F2853">
        <w:t>.</w:t>
      </w:r>
    </w:p>
    <w:p w:rsidR="007E5E68" w:rsidRPr="004E1FE9" w:rsidRDefault="007E5E68" w:rsidP="007E5E68">
      <w:pPr>
        <w:rPr>
          <w:color w:val="000000"/>
        </w:rPr>
      </w:pPr>
      <w:r>
        <w:rPr>
          <w:b/>
        </w:rPr>
        <w:t xml:space="preserve">Moderate </w:t>
      </w:r>
      <w:r w:rsidRPr="008F2853">
        <w:rPr>
          <w:b/>
        </w:rPr>
        <w:t>CYP3A inducers</w:t>
      </w:r>
      <w:r>
        <w:rPr>
          <w:b/>
        </w:rPr>
        <w:t xml:space="preserve">: </w:t>
      </w:r>
      <w:r w:rsidRPr="004E1FE9">
        <w:rPr>
          <w:color w:val="000000"/>
        </w:rPr>
        <w:t xml:space="preserve">The concomitant use of </w:t>
      </w:r>
      <w:r>
        <w:rPr>
          <w:color w:val="000000"/>
        </w:rPr>
        <w:t>ZEPATIER</w:t>
      </w:r>
      <w:r w:rsidRPr="004E1FE9">
        <w:rPr>
          <w:color w:val="000000"/>
        </w:rPr>
        <w:t xml:space="preserve"> and moderate CYP3A inducers may decrease </w:t>
      </w:r>
      <w:proofErr w:type="spellStart"/>
      <w:r w:rsidRPr="004E1FE9">
        <w:rPr>
          <w:color w:val="000000"/>
        </w:rPr>
        <w:t>elbasvir</w:t>
      </w:r>
      <w:proofErr w:type="spellEnd"/>
      <w:r w:rsidRPr="004E1FE9">
        <w:rPr>
          <w:color w:val="000000"/>
        </w:rPr>
        <w:t xml:space="preserve"> and </w:t>
      </w:r>
      <w:proofErr w:type="spellStart"/>
      <w:r w:rsidRPr="004E1FE9">
        <w:rPr>
          <w:color w:val="000000"/>
        </w:rPr>
        <w:t>grazoprevir</w:t>
      </w:r>
      <w:proofErr w:type="spellEnd"/>
      <w:r w:rsidRPr="004E1FE9">
        <w:rPr>
          <w:color w:val="000000"/>
        </w:rPr>
        <w:t xml:space="preserve"> plasma concentrations and may lead to a reduced therapeutic effect of </w:t>
      </w:r>
      <w:r>
        <w:rPr>
          <w:color w:val="000000"/>
        </w:rPr>
        <w:t>ZEPATIER</w:t>
      </w:r>
      <w:r w:rsidRPr="004E1FE9">
        <w:rPr>
          <w:color w:val="000000"/>
        </w:rPr>
        <w:t xml:space="preserve">. Therefore, the use of </w:t>
      </w:r>
      <w:r>
        <w:rPr>
          <w:color w:val="000000"/>
        </w:rPr>
        <w:t>ZEPATIER</w:t>
      </w:r>
      <w:r w:rsidRPr="004E1FE9">
        <w:rPr>
          <w:color w:val="000000"/>
        </w:rPr>
        <w:t xml:space="preserve"> with moderate </w:t>
      </w:r>
      <w:r w:rsidRPr="004E1FE9">
        <w:rPr>
          <w:color w:val="000000"/>
        </w:rPr>
        <w:lastRenderedPageBreak/>
        <w:t xml:space="preserve">CYP3A inducers is not recommended </w:t>
      </w:r>
      <w:r w:rsidRPr="00F2356B">
        <w:rPr>
          <w:i/>
          <w:color w:val="000000"/>
        </w:rPr>
        <w:t xml:space="preserve">(see INTERACTIONS WITH OTHER MEDICINES Effects of Other Drugs on ZEPATIER and Table </w:t>
      </w:r>
      <w:r w:rsidR="003704C6">
        <w:rPr>
          <w:i/>
          <w:color w:val="000000"/>
        </w:rPr>
        <w:t>10</w:t>
      </w:r>
      <w:r w:rsidRPr="00F2356B">
        <w:rPr>
          <w:i/>
          <w:color w:val="000000"/>
        </w:rPr>
        <w:t>)</w:t>
      </w:r>
      <w:r w:rsidRPr="004E1FE9">
        <w:rPr>
          <w:color w:val="000000"/>
        </w:rPr>
        <w:t>.</w:t>
      </w:r>
    </w:p>
    <w:p w:rsidR="007E5E68" w:rsidRPr="00CC4036" w:rsidRDefault="007E5E68" w:rsidP="007E5E68">
      <w:pPr>
        <w:autoSpaceDE w:val="0"/>
        <w:autoSpaceDN w:val="0"/>
        <w:adjustRightInd w:val="0"/>
        <w:jc w:val="both"/>
        <w:rPr>
          <w:color w:val="000000"/>
        </w:rPr>
      </w:pPr>
      <w:r>
        <w:rPr>
          <w:b/>
        </w:rPr>
        <w:t xml:space="preserve">Strong </w:t>
      </w:r>
      <w:r w:rsidRPr="008F2853">
        <w:rPr>
          <w:b/>
        </w:rPr>
        <w:t>CYP3A</w:t>
      </w:r>
      <w:r>
        <w:rPr>
          <w:b/>
        </w:rPr>
        <w:t xml:space="preserve"> inhibitors: </w:t>
      </w:r>
      <w:r w:rsidRPr="004E1FE9">
        <w:rPr>
          <w:color w:val="000000"/>
        </w:rPr>
        <w:t xml:space="preserve">The concomitant use of </w:t>
      </w:r>
      <w:r>
        <w:rPr>
          <w:color w:val="000000"/>
        </w:rPr>
        <w:t>ZEPATIER</w:t>
      </w:r>
      <w:r w:rsidRPr="004E1FE9">
        <w:rPr>
          <w:color w:val="000000"/>
        </w:rPr>
        <w:t xml:space="preserve"> and</w:t>
      </w:r>
      <w:r w:rsidRPr="004E1FE9">
        <w:t xml:space="preserve"> strong CYP3A inhibitors increases </w:t>
      </w:r>
      <w:proofErr w:type="spellStart"/>
      <w:r w:rsidRPr="004E1FE9">
        <w:t>elbasvir</w:t>
      </w:r>
      <w:proofErr w:type="spellEnd"/>
      <w:r w:rsidRPr="004E1FE9">
        <w:t xml:space="preserve"> and </w:t>
      </w:r>
      <w:proofErr w:type="spellStart"/>
      <w:r w:rsidRPr="004E1FE9">
        <w:t>grazoprevir</w:t>
      </w:r>
      <w:proofErr w:type="spellEnd"/>
      <w:r w:rsidRPr="004E1FE9">
        <w:t xml:space="preserve"> concentrations. Co-administration of </w:t>
      </w:r>
      <w:r>
        <w:t>ZEPATIER</w:t>
      </w:r>
      <w:r w:rsidRPr="004E1FE9">
        <w:t xml:space="preserve"> with certain strong CYP3A inhibitors is not recommended </w:t>
      </w:r>
      <w:r w:rsidRPr="00F2356B">
        <w:rPr>
          <w:i/>
        </w:rPr>
        <w:t xml:space="preserve">(see INTERACTIONS WITH OTHER MEDICINES Effects of Other Drugs on ZEPATIER and Table </w:t>
      </w:r>
      <w:r w:rsidR="003704C6">
        <w:rPr>
          <w:i/>
        </w:rPr>
        <w:t>10</w:t>
      </w:r>
      <w:r w:rsidRPr="00F2356B">
        <w:rPr>
          <w:i/>
        </w:rPr>
        <w:t>).</w:t>
      </w:r>
      <w:r>
        <w:t xml:space="preserve"> </w:t>
      </w:r>
    </w:p>
    <w:p w:rsidR="00F71FA4" w:rsidRDefault="00F71FA4" w:rsidP="003467BC">
      <w:r w:rsidRPr="008F2853">
        <w:rPr>
          <w:color w:val="010202"/>
        </w:rPr>
        <w:t xml:space="preserve">See </w:t>
      </w:r>
      <w:r w:rsidRPr="00DC68C3">
        <w:rPr>
          <w:b/>
          <w:color w:val="010202"/>
        </w:rPr>
        <w:t xml:space="preserve">Table </w:t>
      </w:r>
      <w:r w:rsidR="00213FA9">
        <w:rPr>
          <w:b/>
          <w:color w:val="010202"/>
        </w:rPr>
        <w:t>10</w:t>
      </w:r>
      <w:r w:rsidR="00CE5DB9" w:rsidRPr="00CE5DB9">
        <w:rPr>
          <w:i/>
        </w:rPr>
        <w:t xml:space="preserve"> </w:t>
      </w:r>
      <w:r w:rsidR="00CE5DB9" w:rsidRPr="00DC68C3">
        <w:rPr>
          <w:b/>
        </w:rPr>
        <w:t>Drug Interactions</w:t>
      </w:r>
      <w:r w:rsidR="00213FA9">
        <w:rPr>
          <w:b/>
        </w:rPr>
        <w:t xml:space="preserve">: </w:t>
      </w:r>
      <w:r w:rsidR="00213FA9" w:rsidRPr="00213FA9">
        <w:rPr>
          <w:b/>
        </w:rPr>
        <w:t>Alteration in Dose May Be Recommended or Co-administration Contraindicated Based on Results from Drug Interaction Studies or Predicted Interactions</w:t>
      </w:r>
      <w:r w:rsidRPr="008F2853">
        <w:rPr>
          <w:color w:val="010202"/>
        </w:rPr>
        <w:t xml:space="preserve"> for steps to prevent or manage these possible and known significant drug interactions, includ</w:t>
      </w:r>
      <w:r w:rsidRPr="00745E62">
        <w:rPr>
          <w:color w:val="010202"/>
        </w:rPr>
        <w:t xml:space="preserve">ing dosing recommendations </w:t>
      </w:r>
      <w:r w:rsidR="00CC455B">
        <w:rPr>
          <w:i/>
          <w:iCs/>
          <w:color w:val="010202"/>
        </w:rPr>
        <w:t>(</w:t>
      </w:r>
      <w:r w:rsidR="00B66825">
        <w:rPr>
          <w:i/>
        </w:rPr>
        <w:t>see INTERACTION</w:t>
      </w:r>
      <w:r w:rsidR="009F3801">
        <w:rPr>
          <w:i/>
        </w:rPr>
        <w:t>S</w:t>
      </w:r>
      <w:r w:rsidR="00B66825">
        <w:rPr>
          <w:i/>
        </w:rPr>
        <w:t xml:space="preserve"> WITH OTHER MEDICINES</w:t>
      </w:r>
      <w:r w:rsidR="00CC455B">
        <w:rPr>
          <w:i/>
        </w:rPr>
        <w:t>)</w:t>
      </w:r>
      <w:r w:rsidRPr="00745E62">
        <w:rPr>
          <w:color w:val="010202"/>
        </w:rPr>
        <w:t>. Co</w:t>
      </w:r>
      <w:r w:rsidRPr="003B4C12">
        <w:rPr>
          <w:color w:val="010202"/>
        </w:rPr>
        <w:t>nsider the</w:t>
      </w:r>
      <w:r>
        <w:rPr>
          <w:color w:val="010202"/>
        </w:rPr>
        <w:t xml:space="preserve"> </w:t>
      </w:r>
      <w:r w:rsidRPr="003B4C12">
        <w:rPr>
          <w:color w:val="010202"/>
        </w:rPr>
        <w:t xml:space="preserve">potential for drug interactions prior to and during </w:t>
      </w:r>
      <w:r w:rsidR="000D7FE6">
        <w:rPr>
          <w:color w:val="010202"/>
        </w:rPr>
        <w:t>ZEPATIER</w:t>
      </w:r>
      <w:r>
        <w:rPr>
          <w:color w:val="010202"/>
        </w:rPr>
        <w:t xml:space="preserve"> </w:t>
      </w:r>
      <w:r w:rsidRPr="003B4C12">
        <w:rPr>
          <w:color w:val="010202"/>
        </w:rPr>
        <w:t>therapy; review concomitant</w:t>
      </w:r>
      <w:r>
        <w:rPr>
          <w:color w:val="010202"/>
        </w:rPr>
        <w:t xml:space="preserve"> </w:t>
      </w:r>
      <w:r w:rsidRPr="003B4C12">
        <w:rPr>
          <w:color w:val="010202"/>
        </w:rPr>
        <w:t xml:space="preserve">medications during </w:t>
      </w:r>
      <w:r w:rsidR="000D7FE6">
        <w:rPr>
          <w:color w:val="010202"/>
        </w:rPr>
        <w:t>ZEPATIER</w:t>
      </w:r>
      <w:r w:rsidRPr="003B4C12">
        <w:rPr>
          <w:color w:val="010202"/>
        </w:rPr>
        <w:t xml:space="preserve"> therapy; and monitor for the adverse reactions associated</w:t>
      </w:r>
      <w:r>
        <w:rPr>
          <w:color w:val="010202"/>
        </w:rPr>
        <w:t xml:space="preserve"> </w:t>
      </w:r>
      <w:r w:rsidRPr="003B4C12">
        <w:rPr>
          <w:color w:val="010202"/>
        </w:rPr>
        <w:t xml:space="preserve">with the concomitant drugs </w:t>
      </w:r>
      <w:r w:rsidR="00CC455B">
        <w:rPr>
          <w:i/>
          <w:iCs/>
          <w:color w:val="010202"/>
        </w:rPr>
        <w:t>(</w:t>
      </w:r>
      <w:r w:rsidR="00CC455B">
        <w:rPr>
          <w:i/>
        </w:rPr>
        <w:t>see I</w:t>
      </w:r>
      <w:r w:rsidR="00B66825">
        <w:rPr>
          <w:i/>
        </w:rPr>
        <w:t>NTERACTION</w:t>
      </w:r>
      <w:r w:rsidR="009F3801">
        <w:rPr>
          <w:i/>
        </w:rPr>
        <w:t>S</w:t>
      </w:r>
      <w:r w:rsidR="00B66825">
        <w:rPr>
          <w:i/>
        </w:rPr>
        <w:t xml:space="preserve"> WITH OTHER MEDICINES</w:t>
      </w:r>
      <w:r w:rsidR="00CC455B">
        <w:rPr>
          <w:i/>
          <w:iCs/>
        </w:rPr>
        <w:t>)</w:t>
      </w:r>
      <w:r w:rsidRPr="0095251B">
        <w:t>.</w:t>
      </w:r>
    </w:p>
    <w:p w:rsidR="003F2551" w:rsidRPr="0045653A" w:rsidDel="00547C2D" w:rsidRDefault="003F2551" w:rsidP="003F2551">
      <w:pPr>
        <w:rPr>
          <w:b/>
          <w:i/>
          <w:noProof/>
        </w:rPr>
      </w:pPr>
      <w:r w:rsidRPr="0045653A" w:rsidDel="00547C2D">
        <w:rPr>
          <w:b/>
          <w:i/>
          <w:noProof/>
        </w:rPr>
        <w:t xml:space="preserve">If </w:t>
      </w:r>
      <w:r w:rsidR="000D7FE6">
        <w:rPr>
          <w:b/>
          <w:i/>
          <w:noProof/>
        </w:rPr>
        <w:t>ZEPATIER</w:t>
      </w:r>
      <w:r w:rsidRPr="0045653A" w:rsidDel="00547C2D">
        <w:rPr>
          <w:b/>
          <w:i/>
          <w:noProof/>
        </w:rPr>
        <w:t xml:space="preserve"> is co-administered with ribavirin, the information for ribavirin with regard to contraception, pregnancy testing, pregnancy, breast-feeding, and fertility also applies to this combination regimen (refer to the prescribing information of the co-administered medicinal product for additional information). </w:t>
      </w:r>
    </w:p>
    <w:p w:rsidR="003F7A82" w:rsidRDefault="003F7A82" w:rsidP="003F7A82">
      <w:pPr>
        <w:rPr>
          <w:b/>
        </w:rPr>
      </w:pPr>
    </w:p>
    <w:p w:rsidR="003F7A82" w:rsidRDefault="003F7A82" w:rsidP="00F42F76">
      <w:pPr>
        <w:pStyle w:val="Heading4"/>
      </w:pPr>
      <w:r w:rsidRPr="00103CB3">
        <w:t xml:space="preserve">Effects on </w:t>
      </w:r>
      <w:r w:rsidR="002A6A42">
        <w:t>F</w:t>
      </w:r>
      <w:r w:rsidRPr="00103CB3">
        <w:t>ertility</w:t>
      </w:r>
      <w:r>
        <w:t xml:space="preserve"> </w:t>
      </w:r>
    </w:p>
    <w:p w:rsidR="00464060" w:rsidRDefault="00464060" w:rsidP="00464060">
      <w:pPr>
        <w:rPr>
          <w:rFonts w:eastAsia="UniversLTStd-Cn"/>
        </w:rPr>
      </w:pPr>
      <w:r w:rsidRPr="0088577B">
        <w:rPr>
          <w:rFonts w:eastAsia="UniversLTStd-Cn"/>
        </w:rPr>
        <w:t xml:space="preserve">No human data on the effect of </w:t>
      </w:r>
      <w:proofErr w:type="spellStart"/>
      <w:r w:rsidR="002F7134">
        <w:rPr>
          <w:rFonts w:eastAsia="UniversLTStd-Cn"/>
        </w:rPr>
        <w:t>elbasvir</w:t>
      </w:r>
      <w:proofErr w:type="spellEnd"/>
      <w:r w:rsidR="002F7134">
        <w:rPr>
          <w:rFonts w:eastAsia="UniversLTStd-Cn"/>
        </w:rPr>
        <w:t xml:space="preserve"> or </w:t>
      </w:r>
      <w:proofErr w:type="spellStart"/>
      <w:r w:rsidRPr="0088577B">
        <w:rPr>
          <w:rFonts w:eastAsia="UniversLTStd-Cn"/>
        </w:rPr>
        <w:t>grazoprevir</w:t>
      </w:r>
      <w:proofErr w:type="spellEnd"/>
      <w:r w:rsidRPr="0088577B">
        <w:rPr>
          <w:rFonts w:eastAsia="UniversLTStd-Cn"/>
        </w:rPr>
        <w:t xml:space="preserve"> on fertility are available. No effects on mating, female or male fertility, or early embryonic development were observed in rats </w:t>
      </w:r>
      <w:r>
        <w:rPr>
          <w:rFonts w:eastAsia="UniversLTStd-Cn"/>
        </w:rPr>
        <w:t xml:space="preserve">up to the highest </w:t>
      </w:r>
      <w:r w:rsidR="003F7EFD">
        <w:rPr>
          <w:rFonts w:eastAsia="UniversLTStd-Cn"/>
        </w:rPr>
        <w:t xml:space="preserve">oral </w:t>
      </w:r>
      <w:r>
        <w:rPr>
          <w:rFonts w:eastAsia="UniversLTStd-Cn"/>
        </w:rPr>
        <w:t>dose</w:t>
      </w:r>
      <w:r w:rsidR="003F7EFD">
        <w:rPr>
          <w:rFonts w:eastAsia="UniversLTStd-Cn"/>
        </w:rPr>
        <w:t>s</w:t>
      </w:r>
      <w:r>
        <w:rPr>
          <w:rFonts w:eastAsia="UniversLTStd-Cn"/>
        </w:rPr>
        <w:t xml:space="preserve"> tested</w:t>
      </w:r>
      <w:r w:rsidR="003F7EFD">
        <w:rPr>
          <w:rFonts w:eastAsia="UniversLTStd-Cn"/>
        </w:rPr>
        <w:t xml:space="preserve"> (1000 mg/kg/day </w:t>
      </w:r>
      <w:proofErr w:type="spellStart"/>
      <w:r w:rsidR="003F7EFD">
        <w:rPr>
          <w:rFonts w:eastAsia="UniversLTStd-Cn"/>
        </w:rPr>
        <w:t>elbasvir</w:t>
      </w:r>
      <w:proofErr w:type="spellEnd"/>
      <w:r w:rsidR="003F7EFD">
        <w:rPr>
          <w:rFonts w:eastAsia="UniversLTStd-Cn"/>
        </w:rPr>
        <w:t xml:space="preserve">, 200 mg/kg </w:t>
      </w:r>
      <w:proofErr w:type="spellStart"/>
      <w:r w:rsidR="003F7EFD">
        <w:rPr>
          <w:rFonts w:eastAsia="UniversLTStd-Cn"/>
        </w:rPr>
        <w:t>grazoprevir</w:t>
      </w:r>
      <w:proofErr w:type="spellEnd"/>
      <w:r w:rsidR="003F7EFD">
        <w:rPr>
          <w:rFonts w:eastAsia="UniversLTStd-Cn"/>
        </w:rPr>
        <w:t xml:space="preserve"> twice daily)</w:t>
      </w:r>
      <w:r>
        <w:rPr>
          <w:rFonts w:eastAsia="UniversLTStd-Cn"/>
        </w:rPr>
        <w:t xml:space="preserve">. </w:t>
      </w:r>
      <w:r w:rsidRPr="0088577B">
        <w:t xml:space="preserve">AUC exposure to </w:t>
      </w:r>
      <w:proofErr w:type="spellStart"/>
      <w:r w:rsidR="002F7134">
        <w:t>elbasvir</w:t>
      </w:r>
      <w:proofErr w:type="spellEnd"/>
      <w:r w:rsidR="002F7134">
        <w:t xml:space="preserve"> and </w:t>
      </w:r>
      <w:proofErr w:type="spellStart"/>
      <w:r w:rsidRPr="0088577B">
        <w:t>grazoprevir</w:t>
      </w:r>
      <w:proofErr w:type="spellEnd"/>
      <w:r w:rsidRPr="0088577B">
        <w:t xml:space="preserve"> was approximately </w:t>
      </w:r>
      <w:r w:rsidR="00BC1F26">
        <w:t xml:space="preserve">7- and </w:t>
      </w:r>
      <w:r w:rsidR="003F7EFD">
        <w:t>107</w:t>
      </w:r>
      <w:r w:rsidRPr="003B3FD8">
        <w:t xml:space="preserve"> -fold,</w:t>
      </w:r>
      <w:r w:rsidRPr="0088577B">
        <w:t xml:space="preserve"> respectively, the exposure in humans at the recommended clinical dose</w:t>
      </w:r>
      <w:r w:rsidRPr="0088577B">
        <w:rPr>
          <w:rFonts w:eastAsia="UniversLTStd-Cn"/>
        </w:rPr>
        <w:t xml:space="preserve">. </w:t>
      </w:r>
    </w:p>
    <w:p w:rsidR="0053196A" w:rsidRDefault="0053196A" w:rsidP="0053196A">
      <w:pPr>
        <w:rPr>
          <w:rFonts w:eastAsia="UniversLTStd-Cn"/>
        </w:rPr>
      </w:pPr>
      <w:r w:rsidRPr="00D43A52">
        <w:rPr>
          <w:rFonts w:eastAsia="UniversLTStd-Cn"/>
          <w:b/>
        </w:rPr>
        <w:t>Use with ribavirin:</w:t>
      </w:r>
      <w:r w:rsidRPr="00D43A52">
        <w:rPr>
          <w:rFonts w:eastAsia="UniversLTStd-Cn"/>
        </w:rPr>
        <w:t xml:space="preserve"> In fertility studies in animals, ribavirin caused reversible testicular toxicity in males. Refer to the product information for ribavirin for additional information.</w:t>
      </w:r>
      <w:r>
        <w:rPr>
          <w:rFonts w:eastAsia="UniversLTStd-Cn"/>
        </w:rPr>
        <w:t xml:space="preserve"> </w:t>
      </w:r>
    </w:p>
    <w:p w:rsidR="004D184A" w:rsidRPr="0088577B" w:rsidRDefault="004D184A" w:rsidP="00464060">
      <w:pPr>
        <w:rPr>
          <w:rFonts w:eastAsia="UniversLTStd-Cn"/>
        </w:rPr>
      </w:pPr>
    </w:p>
    <w:p w:rsidR="0045653A" w:rsidRDefault="001775CC" w:rsidP="00F42F76">
      <w:pPr>
        <w:pStyle w:val="Heading4"/>
        <w:rPr>
          <w:iCs/>
        </w:rPr>
      </w:pPr>
      <w:r w:rsidRPr="00103CB3">
        <w:t>Use in Pregnancy</w:t>
      </w:r>
      <w:r w:rsidR="00F76CE4">
        <w:t>: ZEPATIER</w:t>
      </w:r>
      <w:r w:rsidRPr="00103CB3">
        <w:t xml:space="preserve"> </w:t>
      </w:r>
      <w:r w:rsidRPr="00F42F76">
        <w:t>(</w:t>
      </w:r>
      <w:r w:rsidR="0045653A" w:rsidRPr="00F42F76">
        <w:t xml:space="preserve">Pregnancy </w:t>
      </w:r>
      <w:r w:rsidRPr="00F42F76">
        <w:t xml:space="preserve">Category </w:t>
      </w:r>
      <w:r w:rsidR="00116EBC" w:rsidRPr="00F42F76">
        <w:t>B</w:t>
      </w:r>
      <w:r w:rsidR="00F76CE4" w:rsidRPr="00F42F76">
        <w:t>1</w:t>
      </w:r>
      <w:r w:rsidR="00866638" w:rsidRPr="00F42F76">
        <w:t>)</w:t>
      </w:r>
      <w:r w:rsidR="00866638" w:rsidRPr="00103CB3">
        <w:rPr>
          <w:iCs/>
        </w:rPr>
        <w:t xml:space="preserve"> </w:t>
      </w:r>
    </w:p>
    <w:p w:rsidR="001775CC" w:rsidRDefault="001775CC" w:rsidP="00103CB3">
      <w:pPr>
        <w:rPr>
          <w:szCs w:val="18"/>
        </w:rPr>
      </w:pPr>
      <w:r w:rsidRPr="00FF498D">
        <w:rPr>
          <w:szCs w:val="18"/>
        </w:rPr>
        <w:t xml:space="preserve">There are no adequate and well-controlled studies with </w:t>
      </w:r>
      <w:r w:rsidR="000D7FE6">
        <w:rPr>
          <w:szCs w:val="18"/>
        </w:rPr>
        <w:t>ZEPATIER</w:t>
      </w:r>
      <w:r w:rsidRPr="00FF498D">
        <w:rPr>
          <w:szCs w:val="18"/>
        </w:rPr>
        <w:t xml:space="preserve"> in pregnant women. No effects on </w:t>
      </w:r>
      <w:proofErr w:type="spellStart"/>
      <w:r w:rsidRPr="00FF498D">
        <w:rPr>
          <w:szCs w:val="18"/>
        </w:rPr>
        <w:t>embryo</w:t>
      </w:r>
      <w:r w:rsidR="00EC2F3B">
        <w:rPr>
          <w:szCs w:val="18"/>
        </w:rPr>
        <w:t>fetal</w:t>
      </w:r>
      <w:proofErr w:type="spellEnd"/>
      <w:r w:rsidRPr="00FF498D">
        <w:rPr>
          <w:szCs w:val="18"/>
        </w:rPr>
        <w:t xml:space="preserve"> development were observed in rats or rabbits at </w:t>
      </w:r>
      <w:proofErr w:type="spellStart"/>
      <w:r w:rsidR="00CF4E61" w:rsidRPr="00FF498D">
        <w:rPr>
          <w:szCs w:val="18"/>
        </w:rPr>
        <w:t>elbasvir</w:t>
      </w:r>
      <w:proofErr w:type="spellEnd"/>
      <w:r w:rsidR="00CF4E61" w:rsidRPr="00FF498D">
        <w:rPr>
          <w:szCs w:val="18"/>
        </w:rPr>
        <w:t xml:space="preserve"> </w:t>
      </w:r>
      <w:r w:rsidR="00CF4E61">
        <w:rPr>
          <w:szCs w:val="18"/>
        </w:rPr>
        <w:t xml:space="preserve">or </w:t>
      </w:r>
      <w:proofErr w:type="spellStart"/>
      <w:r w:rsidRPr="00FF498D">
        <w:rPr>
          <w:szCs w:val="18"/>
        </w:rPr>
        <w:t>grazoprevir</w:t>
      </w:r>
      <w:proofErr w:type="spellEnd"/>
      <w:r w:rsidRPr="00FF498D">
        <w:rPr>
          <w:szCs w:val="18"/>
        </w:rPr>
        <w:t xml:space="preserve"> exposures higher than exposures in humans at the recommended clinical dos</w:t>
      </w:r>
      <w:r w:rsidRPr="004C2521">
        <w:rPr>
          <w:szCs w:val="18"/>
        </w:rPr>
        <w:t>e.</w:t>
      </w:r>
      <w:r w:rsidRPr="00FF498D">
        <w:rPr>
          <w:szCs w:val="18"/>
        </w:rPr>
        <w:t xml:space="preserve"> Because animal reproduction studies are not always predictive of human response, </w:t>
      </w:r>
      <w:r w:rsidR="000D7FE6">
        <w:rPr>
          <w:szCs w:val="18"/>
        </w:rPr>
        <w:t>ZEPATIER</w:t>
      </w:r>
      <w:r w:rsidRPr="00FF498D">
        <w:rPr>
          <w:szCs w:val="18"/>
        </w:rPr>
        <w:t xml:space="preserve"> should be used during pregnancy only if the potential benefit justifies the potential risk to the </w:t>
      </w:r>
      <w:proofErr w:type="spellStart"/>
      <w:r w:rsidR="00EC2F3B">
        <w:rPr>
          <w:szCs w:val="18"/>
        </w:rPr>
        <w:t>fetus</w:t>
      </w:r>
      <w:proofErr w:type="spellEnd"/>
      <w:r w:rsidRPr="00FF498D">
        <w:rPr>
          <w:szCs w:val="18"/>
        </w:rPr>
        <w:t>.</w:t>
      </w:r>
      <w:r w:rsidRPr="0096184C">
        <w:rPr>
          <w:szCs w:val="18"/>
        </w:rPr>
        <w:t xml:space="preserve"> </w:t>
      </w:r>
    </w:p>
    <w:p w:rsidR="00CF4E61" w:rsidRPr="00BD301F" w:rsidRDefault="00CF4E61" w:rsidP="00CF4E61">
      <w:proofErr w:type="spellStart"/>
      <w:r w:rsidRPr="00582773">
        <w:rPr>
          <w:u w:val="single"/>
        </w:rPr>
        <w:t>Elbasvir</w:t>
      </w:r>
      <w:proofErr w:type="spellEnd"/>
      <w:r w:rsidRPr="00BD301F">
        <w:t xml:space="preserve">: </w:t>
      </w:r>
    </w:p>
    <w:p w:rsidR="00CF4E61" w:rsidRDefault="00CF4E61" w:rsidP="00CF4E61">
      <w:pPr>
        <w:rPr>
          <w:b/>
        </w:rPr>
      </w:pPr>
      <w:r w:rsidRPr="00BD301F">
        <w:t xml:space="preserve">No effects on </w:t>
      </w:r>
      <w:proofErr w:type="spellStart"/>
      <w:r w:rsidRPr="00BD301F">
        <w:t>embryo</w:t>
      </w:r>
      <w:r>
        <w:t>fetal</w:t>
      </w:r>
      <w:proofErr w:type="spellEnd"/>
      <w:r w:rsidRPr="00BD301F">
        <w:t xml:space="preserve"> development or maternal toxicity have been observed in rats or rabbits when dams were administered </w:t>
      </w:r>
      <w:proofErr w:type="spellStart"/>
      <w:r w:rsidRPr="00BD301F">
        <w:t>elbasvir</w:t>
      </w:r>
      <w:proofErr w:type="spellEnd"/>
      <w:r w:rsidRPr="00BD301F">
        <w:t xml:space="preserve"> up to the highest dose tested</w:t>
      </w:r>
      <w:r w:rsidR="0053196A">
        <w:t xml:space="preserve"> </w:t>
      </w:r>
      <w:r w:rsidR="0053196A" w:rsidRPr="00D43A52">
        <w:t>(10</w:t>
      </w:r>
      <w:r w:rsidR="00D43A52">
        <w:t>0</w:t>
      </w:r>
      <w:r w:rsidR="0053196A" w:rsidRPr="00D43A52">
        <w:t>0mg/kg/day PO to rats and rabbits)</w:t>
      </w:r>
      <w:r w:rsidRPr="00BD301F">
        <w:t xml:space="preserve"> during early embryonic development (rats), organogenesis (rats and rabbits), or perinatal period (rats). In the rat and rabbit, AUC exposure to </w:t>
      </w:r>
      <w:proofErr w:type="spellStart"/>
      <w:r w:rsidRPr="00BD301F">
        <w:t>elbasvir</w:t>
      </w:r>
      <w:proofErr w:type="spellEnd"/>
      <w:r w:rsidRPr="00BD301F">
        <w:t xml:space="preserve"> was approximately 9- and 17-fold, respectively, the exposure in humans at the recommended clinical dose. In both species, </w:t>
      </w:r>
      <w:proofErr w:type="spellStart"/>
      <w:r w:rsidRPr="00BD301F">
        <w:t>elbasvir</w:t>
      </w:r>
      <w:proofErr w:type="spellEnd"/>
      <w:r w:rsidRPr="00BD301F">
        <w:t xml:space="preserve"> has been shown to cross the placenta.</w:t>
      </w:r>
    </w:p>
    <w:p w:rsidR="00F76CE4" w:rsidRPr="00BD301F" w:rsidRDefault="00F76CE4" w:rsidP="00F76CE4">
      <w:proofErr w:type="spellStart"/>
      <w:r w:rsidRPr="00582773">
        <w:rPr>
          <w:u w:val="single"/>
        </w:rPr>
        <w:t>Grazoprevir</w:t>
      </w:r>
      <w:proofErr w:type="spellEnd"/>
      <w:r w:rsidRPr="00BD301F">
        <w:t xml:space="preserve">: </w:t>
      </w:r>
    </w:p>
    <w:p w:rsidR="00103CB3" w:rsidRDefault="00F76CE4" w:rsidP="00E8714E">
      <w:r w:rsidRPr="00BD301F">
        <w:t xml:space="preserve">No effects on </w:t>
      </w:r>
      <w:proofErr w:type="spellStart"/>
      <w:r w:rsidRPr="00BD301F">
        <w:t>embryo</w:t>
      </w:r>
      <w:r>
        <w:t>fetal</w:t>
      </w:r>
      <w:proofErr w:type="spellEnd"/>
      <w:r w:rsidRPr="00BD301F">
        <w:t xml:space="preserve"> development or maternal toxicity have been observed in rats or rabbits when dams were administered </w:t>
      </w:r>
      <w:proofErr w:type="spellStart"/>
      <w:r w:rsidRPr="00BD301F">
        <w:t>grazoprevir</w:t>
      </w:r>
      <w:proofErr w:type="spellEnd"/>
      <w:r w:rsidRPr="00BD301F">
        <w:t xml:space="preserve"> up to the highest dose tested </w:t>
      </w:r>
      <w:r w:rsidR="0053196A">
        <w:t>(</w:t>
      </w:r>
      <w:r w:rsidR="0053196A" w:rsidRPr="00D43A52">
        <w:t>200mg/kg PO bid in rats, 100mg/kg/day IV in rabbits)</w:t>
      </w:r>
      <w:r w:rsidR="0053196A">
        <w:t xml:space="preserve"> </w:t>
      </w:r>
      <w:r w:rsidRPr="00BD301F">
        <w:t xml:space="preserve">during early embryonic development (rats), organogenesis (rats and rabbits), or perinatal period (rats). In the rat and rabbit, AUC exposure </w:t>
      </w:r>
      <w:r w:rsidRPr="00BD301F">
        <w:lastRenderedPageBreak/>
        <w:t xml:space="preserve">to </w:t>
      </w:r>
      <w:proofErr w:type="spellStart"/>
      <w:r w:rsidRPr="00BD301F">
        <w:t>grazoprevir</w:t>
      </w:r>
      <w:proofErr w:type="spellEnd"/>
      <w:r w:rsidRPr="00BD301F">
        <w:t xml:space="preserve"> was approximately </w:t>
      </w:r>
      <w:r w:rsidR="0053196A">
        <w:t>110</w:t>
      </w:r>
      <w:r w:rsidRPr="00BD301F">
        <w:t xml:space="preserve">- and </w:t>
      </w:r>
      <w:r w:rsidR="0053196A">
        <w:t>37</w:t>
      </w:r>
      <w:r w:rsidRPr="00BD301F">
        <w:t xml:space="preserve">-fold, respectively, the exposure in humans at the recommended clinical dose. In both species, </w:t>
      </w:r>
      <w:proofErr w:type="spellStart"/>
      <w:r w:rsidRPr="00BD301F">
        <w:t>grazoprevir</w:t>
      </w:r>
      <w:proofErr w:type="spellEnd"/>
      <w:r w:rsidRPr="00BD301F">
        <w:t xml:space="preserve"> has been shown to cross the placenta.</w:t>
      </w:r>
    </w:p>
    <w:p w:rsidR="0053196A" w:rsidRDefault="0053196A" w:rsidP="0053196A">
      <w:r w:rsidRPr="00D43A52">
        <w:rPr>
          <w:b/>
          <w:bCs/>
        </w:rPr>
        <w:t xml:space="preserve">Use in Pregnancy: Use with ribavirin (Pregnancy Category X) </w:t>
      </w:r>
      <w:r w:rsidRPr="00D43A52">
        <w:t xml:space="preserve">Significant teratogenic and/or </w:t>
      </w:r>
      <w:proofErr w:type="spellStart"/>
      <w:r w:rsidRPr="00D43A52">
        <w:t>embryocidal</w:t>
      </w:r>
      <w:proofErr w:type="spellEnd"/>
      <w:r w:rsidRPr="00D43A52">
        <w:t xml:space="preserve"> effects have been demonstrated in all animal species exposed to ribavirin. When ZEPATIER is used in combination with ribavirin, extreme care must be taken to avoid pregnancy in female patients and in female partners of male patients. Women of childbearing potential and their male partners must use effective contraception during treatment and for approximately six months after the treatment has concluded as recommended in the product information for ribavirin. If ribavirin is </w:t>
      </w:r>
      <w:proofErr w:type="spellStart"/>
      <w:r w:rsidRPr="00D43A52">
        <w:t>coadministered</w:t>
      </w:r>
      <w:proofErr w:type="spellEnd"/>
      <w:r w:rsidRPr="00D43A52">
        <w:t xml:space="preserve"> with ZEPATIER, the contraindications regarding use of ribavirin apply (refer to ribavirin product information).</w:t>
      </w:r>
    </w:p>
    <w:p w:rsidR="00F76CE4" w:rsidRDefault="00F76CE4" w:rsidP="00110F5A">
      <w:pPr>
        <w:rPr>
          <w:b/>
        </w:rPr>
      </w:pPr>
    </w:p>
    <w:p w:rsidR="0045653A" w:rsidRDefault="006E71CA" w:rsidP="00F42F76">
      <w:pPr>
        <w:pStyle w:val="Heading4"/>
        <w:rPr>
          <w:i/>
        </w:rPr>
      </w:pPr>
      <w:r w:rsidRPr="004A4D89">
        <w:t xml:space="preserve">Use in </w:t>
      </w:r>
      <w:r w:rsidR="00866638" w:rsidRPr="004A4D89">
        <w:t>Lactation</w:t>
      </w:r>
      <w:r w:rsidR="00446C92" w:rsidRPr="004A4D89">
        <w:rPr>
          <w:i/>
        </w:rPr>
        <w:t xml:space="preserve"> </w:t>
      </w:r>
    </w:p>
    <w:p w:rsidR="001775CC" w:rsidRDefault="001775CC" w:rsidP="00E8714E">
      <w:pPr>
        <w:rPr>
          <w:szCs w:val="18"/>
        </w:rPr>
      </w:pPr>
      <w:r w:rsidRPr="005121D4">
        <w:rPr>
          <w:szCs w:val="18"/>
        </w:rPr>
        <w:t xml:space="preserve">There </w:t>
      </w:r>
      <w:r>
        <w:rPr>
          <w:szCs w:val="18"/>
        </w:rPr>
        <w:t>are</w:t>
      </w:r>
      <w:r w:rsidRPr="005121D4">
        <w:rPr>
          <w:szCs w:val="18"/>
        </w:rPr>
        <w:t xml:space="preserve"> no human data to assess whether </w:t>
      </w:r>
      <w:r w:rsidR="000D7FE6">
        <w:rPr>
          <w:szCs w:val="18"/>
        </w:rPr>
        <w:t>ZEPATIER</w:t>
      </w:r>
      <w:r w:rsidRPr="005121D4">
        <w:rPr>
          <w:szCs w:val="18"/>
        </w:rPr>
        <w:t xml:space="preserve"> is excreted in human breast milk. </w:t>
      </w:r>
      <w:proofErr w:type="spellStart"/>
      <w:r w:rsidR="00CF4E61">
        <w:rPr>
          <w:szCs w:val="18"/>
        </w:rPr>
        <w:t>E</w:t>
      </w:r>
      <w:r w:rsidR="00CF4E61" w:rsidRPr="005121D4">
        <w:rPr>
          <w:szCs w:val="18"/>
        </w:rPr>
        <w:t>lbasvir</w:t>
      </w:r>
      <w:proofErr w:type="spellEnd"/>
      <w:r w:rsidR="00CF4E61" w:rsidRPr="005121D4">
        <w:rPr>
          <w:szCs w:val="18"/>
        </w:rPr>
        <w:t xml:space="preserve"> </w:t>
      </w:r>
      <w:r w:rsidR="00CF4E61">
        <w:rPr>
          <w:szCs w:val="18"/>
        </w:rPr>
        <w:t xml:space="preserve">and </w:t>
      </w:r>
      <w:proofErr w:type="spellStart"/>
      <w:r w:rsidR="00CF4E61">
        <w:rPr>
          <w:szCs w:val="18"/>
        </w:rPr>
        <w:t>g</w:t>
      </w:r>
      <w:r w:rsidRPr="005121D4">
        <w:rPr>
          <w:szCs w:val="18"/>
        </w:rPr>
        <w:t>razoprevir</w:t>
      </w:r>
      <w:proofErr w:type="spellEnd"/>
      <w:r w:rsidRPr="005121D4">
        <w:rPr>
          <w:szCs w:val="18"/>
        </w:rPr>
        <w:t xml:space="preserve"> are excreted in the milk of lactating rats</w:t>
      </w:r>
      <w:r w:rsidRPr="006B14D2">
        <w:rPr>
          <w:szCs w:val="18"/>
        </w:rPr>
        <w:t xml:space="preserve">. </w:t>
      </w:r>
      <w:r w:rsidR="00CF4E61">
        <w:rPr>
          <w:szCs w:val="18"/>
        </w:rPr>
        <w:t>Concentrations</w:t>
      </w:r>
      <w:r w:rsidR="00CF4E61" w:rsidRPr="006B14D2">
        <w:rPr>
          <w:szCs w:val="18"/>
        </w:rPr>
        <w:t xml:space="preserve"> of </w:t>
      </w:r>
      <w:proofErr w:type="spellStart"/>
      <w:r w:rsidR="00CF4E61" w:rsidRPr="006B14D2">
        <w:rPr>
          <w:szCs w:val="18"/>
        </w:rPr>
        <w:t>elbasvir</w:t>
      </w:r>
      <w:proofErr w:type="spellEnd"/>
      <w:r w:rsidR="00CF4E61" w:rsidRPr="006B14D2">
        <w:rPr>
          <w:szCs w:val="18"/>
        </w:rPr>
        <w:t xml:space="preserve"> were higher </w:t>
      </w:r>
      <w:r w:rsidR="00CF4E61">
        <w:rPr>
          <w:szCs w:val="18"/>
        </w:rPr>
        <w:t>and c</w:t>
      </w:r>
      <w:r w:rsidRPr="006B14D2">
        <w:rPr>
          <w:szCs w:val="18"/>
        </w:rPr>
        <w:t xml:space="preserve">oncentrations of </w:t>
      </w:r>
      <w:proofErr w:type="spellStart"/>
      <w:r w:rsidRPr="006B14D2">
        <w:rPr>
          <w:szCs w:val="18"/>
        </w:rPr>
        <w:t>grazoprevir</w:t>
      </w:r>
      <w:proofErr w:type="spellEnd"/>
      <w:r w:rsidRPr="006B14D2">
        <w:rPr>
          <w:szCs w:val="18"/>
        </w:rPr>
        <w:t xml:space="preserve"> were lower in breast milk than maternal plasma in rats.</w:t>
      </w:r>
      <w:r>
        <w:rPr>
          <w:szCs w:val="18"/>
        </w:rPr>
        <w:t xml:space="preserve"> </w:t>
      </w:r>
      <w:r w:rsidRPr="005121D4">
        <w:rPr>
          <w:szCs w:val="18"/>
        </w:rPr>
        <w:t>No effects on postnatal development were obser</w:t>
      </w:r>
      <w:r w:rsidRPr="004C2521">
        <w:rPr>
          <w:szCs w:val="18"/>
        </w:rPr>
        <w:t xml:space="preserve">ved in nursing rats when lactating dams were exposed to </w:t>
      </w:r>
      <w:proofErr w:type="spellStart"/>
      <w:r w:rsidR="00CF4E61" w:rsidRPr="004C2521">
        <w:rPr>
          <w:szCs w:val="18"/>
        </w:rPr>
        <w:t>elbasvir</w:t>
      </w:r>
      <w:proofErr w:type="spellEnd"/>
      <w:r w:rsidR="00CF4E61" w:rsidRPr="004C2521">
        <w:rPr>
          <w:szCs w:val="18"/>
        </w:rPr>
        <w:t xml:space="preserve"> </w:t>
      </w:r>
      <w:r w:rsidR="00CF4E61">
        <w:rPr>
          <w:szCs w:val="18"/>
        </w:rPr>
        <w:t xml:space="preserve">or </w:t>
      </w:r>
      <w:proofErr w:type="spellStart"/>
      <w:r w:rsidRPr="004C2521">
        <w:rPr>
          <w:szCs w:val="18"/>
        </w:rPr>
        <w:t>grazoprevir</w:t>
      </w:r>
      <w:proofErr w:type="spellEnd"/>
      <w:r w:rsidRPr="004C2521">
        <w:rPr>
          <w:szCs w:val="18"/>
        </w:rPr>
        <w:t>.</w:t>
      </w:r>
    </w:p>
    <w:p w:rsidR="001775CC" w:rsidRDefault="001775CC" w:rsidP="00E8714E">
      <w:pPr>
        <w:rPr>
          <w:szCs w:val="18"/>
        </w:rPr>
      </w:pPr>
      <w:r w:rsidRPr="005121D4">
        <w:rPr>
          <w:szCs w:val="18"/>
        </w:rPr>
        <w:t xml:space="preserve">The developmental and health benefits of breastfeeding should be considered along with the mother’s clinical need for </w:t>
      </w:r>
      <w:r w:rsidR="000D7FE6">
        <w:rPr>
          <w:szCs w:val="18"/>
        </w:rPr>
        <w:t>ZEPATIER</w:t>
      </w:r>
      <w:r w:rsidRPr="005121D4">
        <w:rPr>
          <w:szCs w:val="18"/>
        </w:rPr>
        <w:t xml:space="preserve"> and any potential adverse effects on the breastfed child from </w:t>
      </w:r>
      <w:r w:rsidR="000D7FE6">
        <w:rPr>
          <w:szCs w:val="18"/>
        </w:rPr>
        <w:t>ZEPATIER</w:t>
      </w:r>
      <w:r w:rsidRPr="005121D4">
        <w:rPr>
          <w:szCs w:val="18"/>
        </w:rPr>
        <w:t xml:space="preserve"> or from the underlying maternal condition. </w:t>
      </w:r>
    </w:p>
    <w:p w:rsidR="00CF4E61" w:rsidRPr="005121D4" w:rsidRDefault="00CF4E61" w:rsidP="00CF4E61">
      <w:pPr>
        <w:jc w:val="both"/>
        <w:rPr>
          <w:szCs w:val="18"/>
        </w:rPr>
      </w:pPr>
      <w:proofErr w:type="spellStart"/>
      <w:r w:rsidRPr="00582773">
        <w:rPr>
          <w:u w:val="single"/>
        </w:rPr>
        <w:t>Elbasvir</w:t>
      </w:r>
      <w:proofErr w:type="spellEnd"/>
      <w:r w:rsidRPr="00BD301F">
        <w:t>:</w:t>
      </w:r>
    </w:p>
    <w:p w:rsidR="00CF4E61" w:rsidRPr="00C730BC" w:rsidRDefault="00CF4E61" w:rsidP="00CF4E61">
      <w:pPr>
        <w:rPr>
          <w:b/>
        </w:rPr>
      </w:pPr>
      <w:r w:rsidRPr="00BD301F">
        <w:t xml:space="preserve">No effects on postnatal development in nursing rats and no maternal toxicity have been observed when lactating dams were administered </w:t>
      </w:r>
      <w:proofErr w:type="spellStart"/>
      <w:r w:rsidRPr="00BD301F">
        <w:t>elbasvir</w:t>
      </w:r>
      <w:proofErr w:type="spellEnd"/>
      <w:r w:rsidRPr="00BD301F">
        <w:t xml:space="preserve"> up to the highest </w:t>
      </w:r>
      <w:r w:rsidR="000B0D70">
        <w:t xml:space="preserve">oral </w:t>
      </w:r>
      <w:r w:rsidRPr="00BD301F">
        <w:t>dose tested</w:t>
      </w:r>
      <w:r w:rsidR="000B0D70">
        <w:t xml:space="preserve"> </w:t>
      </w:r>
      <w:r w:rsidR="000B0D70" w:rsidRPr="007450CA">
        <w:t>(1000mg/kg/day)</w:t>
      </w:r>
      <w:r w:rsidRPr="00BD301F">
        <w:t xml:space="preserve">. AUC exposure to </w:t>
      </w:r>
      <w:proofErr w:type="spellStart"/>
      <w:r w:rsidRPr="00BD301F">
        <w:t>elbasvir</w:t>
      </w:r>
      <w:proofErr w:type="spellEnd"/>
      <w:r w:rsidRPr="00BD301F">
        <w:t xml:space="preserve"> was approximately 9-fold the exposure in humans at the recommended clinical dose. </w:t>
      </w:r>
      <w:proofErr w:type="spellStart"/>
      <w:r w:rsidRPr="00BD301F">
        <w:t>Elbasvir</w:t>
      </w:r>
      <w:proofErr w:type="spellEnd"/>
      <w:r w:rsidRPr="00BD301F">
        <w:t xml:space="preserve"> has been shown to be excreted into the milk of lactating rats. </w:t>
      </w:r>
      <w:proofErr w:type="spellStart"/>
      <w:r w:rsidRPr="00BD301F">
        <w:t>Elbasvir</w:t>
      </w:r>
      <w:proofErr w:type="spellEnd"/>
      <w:r w:rsidRPr="00BD301F">
        <w:t xml:space="preserve"> was excreted into the milk of lactating rats with concentrations 4-fold that of the maternal plasma concentrations.</w:t>
      </w:r>
    </w:p>
    <w:p w:rsidR="00F76CE4" w:rsidRDefault="00F76CE4" w:rsidP="001775CC">
      <w:pPr>
        <w:jc w:val="both"/>
        <w:rPr>
          <w:szCs w:val="18"/>
        </w:rPr>
      </w:pPr>
      <w:proofErr w:type="spellStart"/>
      <w:r w:rsidRPr="00582773">
        <w:rPr>
          <w:u w:val="single"/>
        </w:rPr>
        <w:t>Grazoprevir</w:t>
      </w:r>
      <w:proofErr w:type="spellEnd"/>
      <w:r w:rsidRPr="00BD301F">
        <w:t>:</w:t>
      </w:r>
      <w:r>
        <w:t xml:space="preserve"> </w:t>
      </w:r>
    </w:p>
    <w:p w:rsidR="00F76CE4" w:rsidRDefault="00F76CE4" w:rsidP="00E8714E">
      <w:r w:rsidRPr="00BD301F">
        <w:t xml:space="preserve">No effects on postnatal development in nursing rats and no maternal toxicity have been observed when lactating dams were administered </w:t>
      </w:r>
      <w:proofErr w:type="spellStart"/>
      <w:r w:rsidRPr="00BD301F">
        <w:t>grazoprevir</w:t>
      </w:r>
      <w:proofErr w:type="spellEnd"/>
      <w:r w:rsidRPr="00BD301F">
        <w:t xml:space="preserve"> up to the highest</w:t>
      </w:r>
      <w:r w:rsidR="000B0D70">
        <w:t xml:space="preserve"> oral</w:t>
      </w:r>
      <w:r w:rsidRPr="00BD301F">
        <w:t xml:space="preserve"> dose tested</w:t>
      </w:r>
      <w:r w:rsidR="000B0D70">
        <w:t xml:space="preserve"> </w:t>
      </w:r>
      <w:r w:rsidR="000B0D70" w:rsidRPr="007450CA">
        <w:t>(200mg/kg bid)</w:t>
      </w:r>
      <w:r w:rsidRPr="00BD301F">
        <w:t xml:space="preserve">. AUC exposure to </w:t>
      </w:r>
      <w:proofErr w:type="spellStart"/>
      <w:r w:rsidRPr="00BD301F">
        <w:t>grazoprevir</w:t>
      </w:r>
      <w:proofErr w:type="spellEnd"/>
      <w:r w:rsidRPr="00BD301F">
        <w:t xml:space="preserve"> was approximately </w:t>
      </w:r>
      <w:r w:rsidR="000B0D70">
        <w:t>110</w:t>
      </w:r>
      <w:r w:rsidRPr="00BD301F">
        <w:t xml:space="preserve">-fold the exposure in humans at the recommended clinical dose. </w:t>
      </w:r>
      <w:proofErr w:type="spellStart"/>
      <w:r w:rsidRPr="00BD301F">
        <w:t>Grazoprevir</w:t>
      </w:r>
      <w:proofErr w:type="spellEnd"/>
      <w:r w:rsidRPr="00BD301F">
        <w:t xml:space="preserve"> has been shown to be excreted into the milk of lactating rats. </w:t>
      </w:r>
      <w:proofErr w:type="spellStart"/>
      <w:r w:rsidRPr="00BD301F">
        <w:t>Grazoprevir</w:t>
      </w:r>
      <w:proofErr w:type="spellEnd"/>
      <w:r w:rsidRPr="00BD301F">
        <w:t xml:space="preserve"> was excreted into the milk of lactating rats with concentrations</w:t>
      </w:r>
      <w:r w:rsidR="000B0D70">
        <w:t xml:space="preserve"> approximately 60-80%</w:t>
      </w:r>
      <w:r w:rsidRPr="00BD301F">
        <w:t xml:space="preserve"> of the maternal plasma concentrations.</w:t>
      </w:r>
    </w:p>
    <w:p w:rsidR="000B0D70" w:rsidRDefault="000B0D70" w:rsidP="000B0D70">
      <w:r w:rsidRPr="000B0D70">
        <w:rPr>
          <w:b/>
          <w:u w:val="single"/>
        </w:rPr>
        <w:t>Use with ribavirin:</w:t>
      </w:r>
      <w:r w:rsidRPr="007450CA">
        <w:t xml:space="preserve"> Refer to the product information for ribavirin.</w:t>
      </w:r>
      <w:r>
        <w:t xml:space="preserve"> </w:t>
      </w:r>
    </w:p>
    <w:p w:rsidR="00103CB3" w:rsidRDefault="00103CB3" w:rsidP="00110F5A">
      <w:pPr>
        <w:rPr>
          <w:b/>
        </w:rPr>
      </w:pPr>
    </w:p>
    <w:p w:rsidR="0045653A" w:rsidRDefault="0045653A" w:rsidP="00F42F76">
      <w:pPr>
        <w:pStyle w:val="Heading4"/>
      </w:pPr>
      <w:r>
        <w:t xml:space="preserve">Paediatric Use </w:t>
      </w:r>
    </w:p>
    <w:p w:rsidR="00103CB3" w:rsidRDefault="00103CB3" w:rsidP="003F2551">
      <w:r w:rsidRPr="00745E62">
        <w:t xml:space="preserve">Safety and efficacy of </w:t>
      </w:r>
      <w:r w:rsidR="000D7FE6">
        <w:t>ZEPATIER</w:t>
      </w:r>
      <w:r w:rsidRPr="00745E62">
        <w:t xml:space="preserve"> have not been established in </w:t>
      </w:r>
      <w:r w:rsidR="0045653A" w:rsidRPr="00745E62">
        <w:t>paediatric</w:t>
      </w:r>
      <w:r w:rsidRPr="00745E62">
        <w:t xml:space="preserve"> patients less than 18 years of age.</w:t>
      </w:r>
    </w:p>
    <w:p w:rsidR="00464060" w:rsidRDefault="00464060" w:rsidP="003F2551">
      <w:pPr>
        <w:rPr>
          <w:b/>
        </w:rPr>
      </w:pPr>
    </w:p>
    <w:p w:rsidR="0045653A" w:rsidRDefault="0045653A" w:rsidP="00F42F76">
      <w:pPr>
        <w:pStyle w:val="Heading4"/>
      </w:pPr>
      <w:r>
        <w:t xml:space="preserve">Use in the </w:t>
      </w:r>
      <w:r w:rsidR="006E71CA" w:rsidRPr="00103CB3">
        <w:t xml:space="preserve">Elderly </w:t>
      </w:r>
    </w:p>
    <w:p w:rsidR="00103CB3" w:rsidRDefault="00103CB3" w:rsidP="003F2551">
      <w:r w:rsidRPr="00745E62">
        <w:t>N</w:t>
      </w:r>
      <w:r w:rsidRPr="00DE30A7">
        <w:t>o overall differences in safe</w:t>
      </w:r>
      <w:r w:rsidRPr="0016477C">
        <w:t xml:space="preserve">ty or efficacy were observed between subjects aged 65 </w:t>
      </w:r>
      <w:r w:rsidR="00F76CE4">
        <w:t xml:space="preserve">years </w:t>
      </w:r>
      <w:r w:rsidRPr="0016477C">
        <w:t>and over and</w:t>
      </w:r>
      <w:r w:rsidRPr="00DE30A7">
        <w:t xml:space="preserve"> younger subjects, but greater sensitivity of some older individuals cannot be ruled out.</w:t>
      </w:r>
      <w:r>
        <w:t xml:space="preserve"> </w:t>
      </w:r>
    </w:p>
    <w:p w:rsidR="00103CB3" w:rsidRDefault="00103CB3" w:rsidP="003F2551">
      <w:r>
        <w:t xml:space="preserve">Higher </w:t>
      </w:r>
      <w:proofErr w:type="spellStart"/>
      <w:r w:rsidR="00CF4E61">
        <w:t>elbasvir</w:t>
      </w:r>
      <w:proofErr w:type="spellEnd"/>
      <w:r w:rsidR="00CF4E61">
        <w:t xml:space="preserve"> and </w:t>
      </w:r>
      <w:proofErr w:type="spellStart"/>
      <w:r>
        <w:t>grazoprevir</w:t>
      </w:r>
      <w:proofErr w:type="spellEnd"/>
      <w:r>
        <w:t xml:space="preserve"> plasma concentrations were observed in subjects aged 65 </w:t>
      </w:r>
      <w:r w:rsidR="00F76CE4">
        <w:t xml:space="preserve">years </w:t>
      </w:r>
      <w:r>
        <w:t xml:space="preserve">and over. </w:t>
      </w:r>
      <w:r w:rsidRPr="00DE30A7">
        <w:t xml:space="preserve">No dosage adjustment of </w:t>
      </w:r>
      <w:r w:rsidR="000D7FE6">
        <w:t>ZEPATIER</w:t>
      </w:r>
      <w:r w:rsidRPr="00DE30A7">
        <w:t xml:space="preserve"> is </w:t>
      </w:r>
      <w:r>
        <w:t>recommended</w:t>
      </w:r>
      <w:r w:rsidRPr="00DE30A7">
        <w:t xml:space="preserve"> in geriatric patients.</w:t>
      </w:r>
    </w:p>
    <w:p w:rsidR="00464060" w:rsidRDefault="00464060" w:rsidP="003F2551">
      <w:pPr>
        <w:rPr>
          <w:b/>
          <w:iCs/>
        </w:rPr>
      </w:pPr>
    </w:p>
    <w:p w:rsidR="002A6A42" w:rsidRPr="00D63B6C" w:rsidRDefault="002A6A42" w:rsidP="00F42F76">
      <w:pPr>
        <w:pStyle w:val="Heading4"/>
      </w:pPr>
      <w:proofErr w:type="spellStart"/>
      <w:r w:rsidRPr="001C3857">
        <w:lastRenderedPageBreak/>
        <w:t>Genotoxicity</w:t>
      </w:r>
      <w:proofErr w:type="spellEnd"/>
      <w:r w:rsidRPr="00D63B6C">
        <w:t xml:space="preserve"> </w:t>
      </w:r>
    </w:p>
    <w:p w:rsidR="002A6A42" w:rsidRDefault="001C3857" w:rsidP="002A6A42">
      <w:pPr>
        <w:rPr>
          <w:b/>
        </w:rPr>
      </w:pPr>
      <w:proofErr w:type="spellStart"/>
      <w:r>
        <w:rPr>
          <w:rFonts w:eastAsia="UniversLTStd-Cn"/>
        </w:rPr>
        <w:t>E</w:t>
      </w:r>
      <w:r w:rsidRPr="00BC4DB5">
        <w:rPr>
          <w:rFonts w:eastAsia="UniversLTStd-Cn"/>
        </w:rPr>
        <w:t>lbasvir</w:t>
      </w:r>
      <w:proofErr w:type="spellEnd"/>
      <w:r>
        <w:rPr>
          <w:rFonts w:eastAsia="UniversLTStd-Cn"/>
        </w:rPr>
        <w:t xml:space="preserve"> and </w:t>
      </w:r>
      <w:proofErr w:type="spellStart"/>
      <w:r>
        <w:rPr>
          <w:rFonts w:eastAsia="UniversLTStd-Cn"/>
        </w:rPr>
        <w:t>g</w:t>
      </w:r>
      <w:r w:rsidR="002A6A42" w:rsidRPr="00BC4DB5">
        <w:t>razoprevir</w:t>
      </w:r>
      <w:proofErr w:type="spellEnd"/>
      <w:r w:rsidR="002A6A42" w:rsidRPr="00BC4DB5">
        <w:t xml:space="preserve"> were not </w:t>
      </w:r>
      <w:proofErr w:type="spellStart"/>
      <w:r w:rsidR="002A6A42" w:rsidRPr="00BC4DB5">
        <w:t>genotoxic</w:t>
      </w:r>
      <w:proofErr w:type="spellEnd"/>
      <w:r w:rsidR="002A6A42" w:rsidRPr="00BC4DB5">
        <w:t xml:space="preserve"> in a battery of </w:t>
      </w:r>
      <w:r w:rsidR="002A6A42" w:rsidRPr="00BC4DB5">
        <w:rPr>
          <w:i/>
          <w:iCs/>
        </w:rPr>
        <w:t xml:space="preserve">in vitro </w:t>
      </w:r>
      <w:r w:rsidR="002A6A42" w:rsidRPr="00BC4DB5">
        <w:t xml:space="preserve">or </w:t>
      </w:r>
      <w:r w:rsidR="002A6A42" w:rsidRPr="00BC4DB5">
        <w:rPr>
          <w:i/>
          <w:iCs/>
        </w:rPr>
        <w:t xml:space="preserve">in vivo </w:t>
      </w:r>
      <w:r w:rsidR="002A6A42" w:rsidRPr="00BC4DB5">
        <w:t xml:space="preserve">assays, including </w:t>
      </w:r>
      <w:r w:rsidR="000B0D70">
        <w:t xml:space="preserve">bacterial </w:t>
      </w:r>
      <w:r w:rsidR="002A6A42" w:rsidRPr="00BC4DB5">
        <w:t xml:space="preserve">mutagenesis, chromosomal aberration in Chinese Hamster Ovary cells, and in </w:t>
      </w:r>
      <w:r w:rsidR="002A6A42" w:rsidRPr="001A00D7">
        <w:rPr>
          <w:i/>
        </w:rPr>
        <w:t>in vivo</w:t>
      </w:r>
      <w:r w:rsidR="002A6A42">
        <w:t xml:space="preserve"> rat micronucleus assays. </w:t>
      </w:r>
    </w:p>
    <w:p w:rsidR="002A6A42" w:rsidRDefault="002A6A42" w:rsidP="002A6A42">
      <w:r w:rsidRPr="00BC4DB5">
        <w:t xml:space="preserve">If </w:t>
      </w:r>
      <w:r w:rsidR="000D7FE6">
        <w:t>ZEPATIER</w:t>
      </w:r>
      <w:r w:rsidRPr="00BC4DB5">
        <w:t xml:space="preserve"> is administered in a regimen containing ribavirin, the information for ribavirin on mutagenesis also applies to this combination regimen </w:t>
      </w:r>
      <w:r>
        <w:rPr>
          <w:i/>
        </w:rPr>
        <w:t>(</w:t>
      </w:r>
      <w:r w:rsidRPr="007057E9">
        <w:rPr>
          <w:i/>
        </w:rPr>
        <w:t>see prescribing information for ribavirin</w:t>
      </w:r>
      <w:r>
        <w:rPr>
          <w:i/>
        </w:rPr>
        <w:t>)</w:t>
      </w:r>
      <w:r w:rsidRPr="00BC4DB5">
        <w:t>.</w:t>
      </w:r>
    </w:p>
    <w:p w:rsidR="002A6A42" w:rsidRDefault="002A6A42" w:rsidP="00103CB3">
      <w:pPr>
        <w:rPr>
          <w:b/>
          <w:iCs/>
        </w:rPr>
      </w:pPr>
    </w:p>
    <w:p w:rsidR="00103CB3" w:rsidRPr="004A4D89" w:rsidRDefault="00103CB3" w:rsidP="00F42F76">
      <w:pPr>
        <w:pStyle w:val="Heading4"/>
      </w:pPr>
      <w:r w:rsidRPr="001C3857">
        <w:t>Carcinogen</w:t>
      </w:r>
      <w:r w:rsidR="002A6A42" w:rsidRPr="001C3857">
        <w:t>icity</w:t>
      </w:r>
      <w:r w:rsidR="002A6A42">
        <w:t xml:space="preserve"> </w:t>
      </w:r>
    </w:p>
    <w:p w:rsidR="002A6A42" w:rsidRDefault="00464060" w:rsidP="009D3283">
      <w:r w:rsidRPr="00BC4DB5">
        <w:rPr>
          <w:rFonts w:eastAsia="UniversLTStd-Cn"/>
        </w:rPr>
        <w:t xml:space="preserve">Carcinogenicity studies with </w:t>
      </w:r>
      <w:proofErr w:type="spellStart"/>
      <w:r w:rsidR="001C3857" w:rsidRPr="00BC4DB5">
        <w:rPr>
          <w:rFonts w:eastAsia="UniversLTStd-Cn"/>
        </w:rPr>
        <w:t>elbasvir</w:t>
      </w:r>
      <w:proofErr w:type="spellEnd"/>
      <w:r w:rsidR="001C3857" w:rsidRPr="00BC4DB5">
        <w:rPr>
          <w:rFonts w:eastAsia="UniversLTStd-Cn"/>
        </w:rPr>
        <w:t xml:space="preserve"> </w:t>
      </w:r>
      <w:r w:rsidR="001C3857">
        <w:rPr>
          <w:rFonts w:eastAsia="UniversLTStd-Cn"/>
        </w:rPr>
        <w:t xml:space="preserve">or </w:t>
      </w:r>
      <w:proofErr w:type="spellStart"/>
      <w:r w:rsidRPr="00BC4DB5">
        <w:rPr>
          <w:rFonts w:eastAsia="UniversLTStd-Cn"/>
        </w:rPr>
        <w:t>grazoprevir</w:t>
      </w:r>
      <w:proofErr w:type="spellEnd"/>
      <w:r w:rsidRPr="00BC4DB5">
        <w:rPr>
          <w:rFonts w:eastAsia="UniversLTStd-Cn"/>
        </w:rPr>
        <w:t xml:space="preserve"> have not been conducted.</w:t>
      </w:r>
      <w:r w:rsidRPr="00464060">
        <w:t xml:space="preserve"> </w:t>
      </w:r>
    </w:p>
    <w:p w:rsidR="002A6A42" w:rsidRDefault="002A6A42" w:rsidP="002A6A42">
      <w:r w:rsidRPr="00BC4DB5">
        <w:t xml:space="preserve">If </w:t>
      </w:r>
      <w:r w:rsidR="000D7FE6">
        <w:t>ZEPATIER</w:t>
      </w:r>
      <w:r w:rsidRPr="00BC4DB5">
        <w:t xml:space="preserve"> is administered in a regimen containing ribavirin, the information for ribavirin on </w:t>
      </w:r>
      <w:r>
        <w:t xml:space="preserve">carcinogenesis </w:t>
      </w:r>
      <w:r w:rsidRPr="00BC4DB5">
        <w:t xml:space="preserve">also applies to this combination regimen </w:t>
      </w:r>
      <w:r>
        <w:rPr>
          <w:i/>
        </w:rPr>
        <w:t>(</w:t>
      </w:r>
      <w:r w:rsidRPr="007057E9">
        <w:rPr>
          <w:i/>
        </w:rPr>
        <w:t>see prescribing information for ribavirin</w:t>
      </w:r>
      <w:r>
        <w:rPr>
          <w:i/>
        </w:rPr>
        <w:t>)</w:t>
      </w:r>
      <w:r w:rsidRPr="00BC4DB5">
        <w:t>.</w:t>
      </w:r>
    </w:p>
    <w:p w:rsidR="006934B3" w:rsidRDefault="006934B3">
      <w:pPr>
        <w:spacing w:before="0" w:after="0"/>
        <w:rPr>
          <w:b/>
          <w:noProof/>
          <w:sz w:val="24"/>
        </w:rPr>
      </w:pPr>
    </w:p>
    <w:p w:rsidR="006934B3" w:rsidRPr="00E40192" w:rsidRDefault="006934B3" w:rsidP="00F42F76">
      <w:pPr>
        <w:pStyle w:val="Heading4"/>
      </w:pPr>
      <w:r w:rsidRPr="00E40192">
        <w:t xml:space="preserve">Gender </w:t>
      </w:r>
    </w:p>
    <w:p w:rsidR="006934B3" w:rsidRPr="00D63B6C" w:rsidRDefault="006934B3" w:rsidP="006934B3">
      <w:pPr>
        <w:pStyle w:val="BodyText1"/>
        <w:spacing w:before="0"/>
        <w:ind w:firstLine="0"/>
        <w:jc w:val="both"/>
        <w:rPr>
          <w:rFonts w:ascii="Arial" w:hAnsi="Arial"/>
          <w:sz w:val="22"/>
          <w:szCs w:val="22"/>
        </w:rPr>
      </w:pPr>
      <w:r w:rsidRPr="00D63B6C">
        <w:rPr>
          <w:rFonts w:ascii="Arial" w:hAnsi="Arial"/>
          <w:sz w:val="22"/>
          <w:szCs w:val="22"/>
        </w:rPr>
        <w:t xml:space="preserve">Higher </w:t>
      </w:r>
      <w:proofErr w:type="spellStart"/>
      <w:r w:rsidR="001C3857" w:rsidRPr="00D63B6C">
        <w:rPr>
          <w:rFonts w:ascii="Arial" w:hAnsi="Arial"/>
          <w:sz w:val="22"/>
          <w:szCs w:val="22"/>
        </w:rPr>
        <w:t>elbasvir</w:t>
      </w:r>
      <w:proofErr w:type="spellEnd"/>
      <w:r w:rsidR="001C3857" w:rsidRPr="00D63B6C">
        <w:rPr>
          <w:rFonts w:ascii="Arial" w:hAnsi="Arial"/>
          <w:sz w:val="22"/>
          <w:szCs w:val="22"/>
        </w:rPr>
        <w:t xml:space="preserve"> </w:t>
      </w:r>
      <w:r w:rsidR="001C3857">
        <w:rPr>
          <w:rFonts w:ascii="Arial" w:hAnsi="Arial"/>
          <w:sz w:val="22"/>
          <w:szCs w:val="22"/>
        </w:rPr>
        <w:t xml:space="preserve">and </w:t>
      </w:r>
      <w:proofErr w:type="spellStart"/>
      <w:r w:rsidRPr="00D63B6C">
        <w:rPr>
          <w:rFonts w:ascii="Arial" w:hAnsi="Arial"/>
          <w:sz w:val="22"/>
          <w:szCs w:val="22"/>
        </w:rPr>
        <w:t>grazoprevir</w:t>
      </w:r>
      <w:proofErr w:type="spellEnd"/>
      <w:r w:rsidRPr="00D63B6C">
        <w:rPr>
          <w:rFonts w:ascii="Arial" w:hAnsi="Arial"/>
          <w:sz w:val="22"/>
          <w:szCs w:val="22"/>
        </w:rPr>
        <w:t xml:space="preserve"> plasma concentrations were observed in females compared to males. </w:t>
      </w:r>
      <w:r w:rsidR="00AD6A5F">
        <w:rPr>
          <w:rFonts w:ascii="Arial" w:hAnsi="Arial"/>
          <w:sz w:val="22"/>
          <w:szCs w:val="22"/>
        </w:rPr>
        <w:t>N</w:t>
      </w:r>
      <w:r w:rsidRPr="00D63B6C">
        <w:rPr>
          <w:rFonts w:ascii="Arial" w:hAnsi="Arial"/>
          <w:sz w:val="22"/>
          <w:szCs w:val="22"/>
        </w:rPr>
        <w:t xml:space="preserve">o dose adjustment of </w:t>
      </w:r>
      <w:r w:rsidR="000D7FE6">
        <w:rPr>
          <w:rFonts w:ascii="Arial" w:hAnsi="Arial"/>
          <w:sz w:val="22"/>
          <w:szCs w:val="22"/>
        </w:rPr>
        <w:t>ZEPATIER</w:t>
      </w:r>
      <w:r w:rsidRPr="00D63B6C">
        <w:rPr>
          <w:rFonts w:ascii="Arial" w:hAnsi="Arial"/>
          <w:sz w:val="22"/>
          <w:szCs w:val="22"/>
        </w:rPr>
        <w:t xml:space="preserve"> is recommended based on gender.</w:t>
      </w:r>
    </w:p>
    <w:p w:rsidR="006934B3" w:rsidRDefault="006934B3" w:rsidP="00F42F76"/>
    <w:p w:rsidR="006934B3" w:rsidRPr="00E40192" w:rsidRDefault="006934B3" w:rsidP="00F42F76">
      <w:pPr>
        <w:pStyle w:val="Heading4"/>
      </w:pPr>
      <w:r w:rsidRPr="00E40192">
        <w:t>Race</w:t>
      </w:r>
    </w:p>
    <w:p w:rsidR="006934B3" w:rsidRPr="00D63B6C" w:rsidRDefault="006934B3" w:rsidP="006934B3">
      <w:pPr>
        <w:pStyle w:val="BodyText1"/>
        <w:spacing w:before="0"/>
        <w:ind w:firstLine="0"/>
        <w:rPr>
          <w:rFonts w:ascii="Arial" w:hAnsi="Arial"/>
          <w:sz w:val="22"/>
          <w:szCs w:val="22"/>
        </w:rPr>
      </w:pPr>
      <w:r w:rsidRPr="00D63B6C">
        <w:rPr>
          <w:rFonts w:ascii="Arial" w:hAnsi="Arial"/>
          <w:sz w:val="22"/>
          <w:szCs w:val="22"/>
        </w:rPr>
        <w:t xml:space="preserve">Higher </w:t>
      </w:r>
      <w:proofErr w:type="spellStart"/>
      <w:r w:rsidR="001C3857" w:rsidRPr="00D63B6C">
        <w:rPr>
          <w:rFonts w:ascii="Arial" w:hAnsi="Arial"/>
          <w:sz w:val="22"/>
          <w:szCs w:val="22"/>
        </w:rPr>
        <w:t>elbasvir</w:t>
      </w:r>
      <w:proofErr w:type="spellEnd"/>
      <w:r w:rsidR="001C3857" w:rsidRPr="00D63B6C">
        <w:rPr>
          <w:rFonts w:ascii="Arial" w:hAnsi="Arial"/>
          <w:sz w:val="22"/>
          <w:szCs w:val="22"/>
        </w:rPr>
        <w:t xml:space="preserve"> </w:t>
      </w:r>
      <w:r w:rsidR="001C3857">
        <w:rPr>
          <w:rFonts w:ascii="Arial" w:hAnsi="Arial"/>
          <w:sz w:val="22"/>
          <w:szCs w:val="22"/>
        </w:rPr>
        <w:t xml:space="preserve">and </w:t>
      </w:r>
      <w:proofErr w:type="spellStart"/>
      <w:r w:rsidRPr="00D63B6C">
        <w:rPr>
          <w:rFonts w:ascii="Arial" w:hAnsi="Arial"/>
          <w:sz w:val="22"/>
          <w:szCs w:val="22"/>
        </w:rPr>
        <w:t>grazoprevir</w:t>
      </w:r>
      <w:proofErr w:type="spellEnd"/>
      <w:r w:rsidRPr="00D63B6C">
        <w:rPr>
          <w:rFonts w:ascii="Arial" w:hAnsi="Arial"/>
          <w:sz w:val="22"/>
          <w:szCs w:val="22"/>
        </w:rPr>
        <w:t xml:space="preserve"> plasma concentrations were observed in Asians compared to Whites. </w:t>
      </w:r>
      <w:r w:rsidR="00AD6A5F">
        <w:rPr>
          <w:rFonts w:ascii="Arial" w:hAnsi="Arial"/>
          <w:sz w:val="22"/>
          <w:szCs w:val="22"/>
        </w:rPr>
        <w:t>N</w:t>
      </w:r>
      <w:r w:rsidRPr="00D63B6C">
        <w:rPr>
          <w:rFonts w:ascii="Arial" w:hAnsi="Arial"/>
          <w:sz w:val="22"/>
          <w:szCs w:val="22"/>
        </w:rPr>
        <w:t xml:space="preserve">o dose adjustment of </w:t>
      </w:r>
      <w:r w:rsidR="000D7FE6">
        <w:rPr>
          <w:rFonts w:ascii="Arial" w:hAnsi="Arial"/>
          <w:sz w:val="22"/>
          <w:szCs w:val="22"/>
        </w:rPr>
        <w:t>ZEPATIER</w:t>
      </w:r>
      <w:r w:rsidRPr="00D63B6C">
        <w:rPr>
          <w:rFonts w:ascii="Arial" w:hAnsi="Arial"/>
          <w:sz w:val="22"/>
          <w:szCs w:val="22"/>
        </w:rPr>
        <w:t xml:space="preserve"> is recommended based on race/ethnicity.</w:t>
      </w:r>
    </w:p>
    <w:p w:rsidR="006934B3" w:rsidRDefault="006934B3" w:rsidP="00F42F76"/>
    <w:p w:rsidR="006934B3" w:rsidRPr="00E40192" w:rsidRDefault="006934B3" w:rsidP="00F42F76">
      <w:pPr>
        <w:pStyle w:val="Heading4"/>
      </w:pPr>
      <w:r w:rsidRPr="00E40192">
        <w:t>Renal Impairment</w:t>
      </w:r>
    </w:p>
    <w:p w:rsidR="006934B3" w:rsidRDefault="006934B3" w:rsidP="006934B3">
      <w:pPr>
        <w:pStyle w:val="BodyText1"/>
        <w:spacing w:before="0"/>
        <w:ind w:firstLine="0"/>
        <w:rPr>
          <w:rFonts w:ascii="Arial" w:hAnsi="Arial"/>
          <w:sz w:val="22"/>
          <w:szCs w:val="22"/>
        </w:rPr>
      </w:pPr>
      <w:r w:rsidRPr="00D63B6C">
        <w:rPr>
          <w:rFonts w:ascii="Arial" w:hAnsi="Arial"/>
          <w:sz w:val="22"/>
          <w:szCs w:val="22"/>
        </w:rPr>
        <w:t xml:space="preserve">No dosage adjustment of </w:t>
      </w:r>
      <w:r w:rsidR="000D7FE6">
        <w:rPr>
          <w:rFonts w:ascii="Arial" w:hAnsi="Arial"/>
          <w:sz w:val="22"/>
          <w:szCs w:val="22"/>
        </w:rPr>
        <w:t>ZEPATIER</w:t>
      </w:r>
      <w:r w:rsidRPr="00D63B6C">
        <w:rPr>
          <w:rFonts w:ascii="Arial" w:hAnsi="Arial"/>
          <w:sz w:val="22"/>
          <w:szCs w:val="22"/>
        </w:rPr>
        <w:t xml:space="preserve"> is recommended in patients with mild, moderate, or severe renal impairment. No dosage adjustment of </w:t>
      </w:r>
      <w:r w:rsidR="000D7FE6">
        <w:rPr>
          <w:rFonts w:ascii="Arial" w:hAnsi="Arial"/>
          <w:sz w:val="22"/>
          <w:szCs w:val="22"/>
        </w:rPr>
        <w:t>ZEPATIER</w:t>
      </w:r>
      <w:r w:rsidRPr="00D63B6C">
        <w:rPr>
          <w:rFonts w:ascii="Arial" w:hAnsi="Arial"/>
          <w:sz w:val="22"/>
          <w:szCs w:val="22"/>
        </w:rPr>
        <w:t xml:space="preserve"> is recommended in patients who are on dialysis (including </w:t>
      </w:r>
      <w:proofErr w:type="spellStart"/>
      <w:r>
        <w:rPr>
          <w:rFonts w:ascii="Arial" w:hAnsi="Arial"/>
          <w:sz w:val="22"/>
          <w:szCs w:val="22"/>
        </w:rPr>
        <w:t>haemodialysis</w:t>
      </w:r>
      <w:proofErr w:type="spellEnd"/>
      <w:r w:rsidRPr="00D63B6C">
        <w:rPr>
          <w:rFonts w:ascii="Arial" w:hAnsi="Arial"/>
          <w:sz w:val="22"/>
          <w:szCs w:val="22"/>
        </w:rPr>
        <w:t xml:space="preserve"> or peritoneal dialysis).</w:t>
      </w:r>
      <w:r w:rsidRPr="00D63B6C" w:rsidDel="000C70EA">
        <w:rPr>
          <w:rFonts w:ascii="Arial" w:hAnsi="Arial"/>
          <w:sz w:val="22"/>
          <w:szCs w:val="22"/>
        </w:rPr>
        <w:t xml:space="preserve"> </w:t>
      </w:r>
    </w:p>
    <w:p w:rsidR="006934B3" w:rsidRPr="00D63B6C" w:rsidRDefault="006934B3" w:rsidP="006934B3">
      <w:pPr>
        <w:pStyle w:val="BodyText1"/>
        <w:spacing w:before="0"/>
        <w:ind w:firstLine="0"/>
        <w:rPr>
          <w:rFonts w:ascii="Arial" w:hAnsi="Arial"/>
          <w:sz w:val="22"/>
          <w:szCs w:val="22"/>
        </w:rPr>
      </w:pPr>
    </w:p>
    <w:p w:rsidR="006934B3" w:rsidRPr="00D63B6C" w:rsidRDefault="006934B3" w:rsidP="006934B3">
      <w:pPr>
        <w:pStyle w:val="BodyText1"/>
        <w:spacing w:before="0"/>
        <w:ind w:firstLine="0"/>
        <w:rPr>
          <w:rFonts w:ascii="Arial" w:hAnsi="Arial"/>
          <w:sz w:val="22"/>
          <w:szCs w:val="22"/>
        </w:rPr>
      </w:pPr>
      <w:r w:rsidRPr="00D63B6C">
        <w:rPr>
          <w:rFonts w:ascii="Arial" w:hAnsi="Arial"/>
          <w:sz w:val="22"/>
          <w:szCs w:val="22"/>
        </w:rPr>
        <w:t xml:space="preserve">In patients with severe renal impairment </w:t>
      </w:r>
      <w:r w:rsidRPr="00FC6CC5">
        <w:rPr>
          <w:rFonts w:ascii="Arial" w:hAnsi="Arial"/>
          <w:sz w:val="22"/>
          <w:szCs w:val="22"/>
          <w:lang w:val="en-AU"/>
        </w:rPr>
        <w:t>(</w:t>
      </w:r>
      <w:proofErr w:type="spellStart"/>
      <w:r w:rsidRPr="00FC6CC5">
        <w:rPr>
          <w:rFonts w:ascii="Arial" w:hAnsi="Arial"/>
          <w:sz w:val="22"/>
          <w:szCs w:val="22"/>
          <w:lang w:val="en-AU"/>
        </w:rPr>
        <w:t>eGFR</w:t>
      </w:r>
      <w:proofErr w:type="spellEnd"/>
      <w:r w:rsidRPr="00D63B6C">
        <w:rPr>
          <w:rFonts w:ascii="Arial" w:hAnsi="Arial"/>
          <w:sz w:val="22"/>
          <w:szCs w:val="22"/>
        </w:rPr>
        <w:t xml:space="preserve"> &lt;30 mL/min/1.73 m</w:t>
      </w:r>
      <w:r w:rsidRPr="00D63B6C">
        <w:rPr>
          <w:rFonts w:ascii="Arial" w:hAnsi="Arial"/>
          <w:sz w:val="22"/>
          <w:szCs w:val="22"/>
          <w:vertAlign w:val="superscript"/>
        </w:rPr>
        <w:t>2</w:t>
      </w:r>
      <w:r w:rsidRPr="00D63B6C">
        <w:rPr>
          <w:rFonts w:ascii="Arial" w:hAnsi="Arial"/>
          <w:sz w:val="22"/>
          <w:szCs w:val="22"/>
        </w:rPr>
        <w:t xml:space="preserve">) or with ESRD, including patients on dialysis, administer </w:t>
      </w:r>
      <w:r w:rsidR="000D7FE6">
        <w:rPr>
          <w:rFonts w:ascii="Arial" w:hAnsi="Arial"/>
          <w:sz w:val="22"/>
          <w:szCs w:val="22"/>
        </w:rPr>
        <w:t>ZEPATIER</w:t>
      </w:r>
      <w:r w:rsidRPr="00D63B6C">
        <w:rPr>
          <w:rFonts w:ascii="Arial" w:hAnsi="Arial"/>
          <w:sz w:val="22"/>
          <w:szCs w:val="22"/>
        </w:rPr>
        <w:t xml:space="preserve"> without ribavirin (see </w:t>
      </w:r>
      <w:r w:rsidRPr="00D63B6C">
        <w:rPr>
          <w:rFonts w:ascii="Arial" w:hAnsi="Arial"/>
          <w:i/>
          <w:sz w:val="22"/>
          <w:szCs w:val="22"/>
        </w:rPr>
        <w:t>DOSAGE AND ADMINIS</w:t>
      </w:r>
      <w:r>
        <w:rPr>
          <w:rFonts w:ascii="Arial" w:hAnsi="Arial"/>
          <w:i/>
          <w:sz w:val="22"/>
          <w:szCs w:val="22"/>
        </w:rPr>
        <w:t>T</w:t>
      </w:r>
      <w:r w:rsidRPr="00D63B6C">
        <w:rPr>
          <w:rFonts w:ascii="Arial" w:hAnsi="Arial"/>
          <w:i/>
          <w:sz w:val="22"/>
          <w:szCs w:val="22"/>
        </w:rPr>
        <w:t xml:space="preserve">RATION). </w:t>
      </w:r>
    </w:p>
    <w:p w:rsidR="006934B3" w:rsidRDefault="006934B3" w:rsidP="00F42F76"/>
    <w:p w:rsidR="006934B3" w:rsidRPr="00D63B6C" w:rsidRDefault="006934B3" w:rsidP="00F42F76">
      <w:pPr>
        <w:pStyle w:val="Heading4"/>
      </w:pPr>
      <w:r w:rsidRPr="00D63B6C">
        <w:t>Hepatic Impairment</w:t>
      </w:r>
    </w:p>
    <w:p w:rsidR="006934B3" w:rsidRPr="00D63B6C" w:rsidRDefault="006934B3" w:rsidP="006934B3">
      <w:pPr>
        <w:pStyle w:val="BodyText20"/>
        <w:ind w:firstLine="0"/>
        <w:rPr>
          <w:sz w:val="22"/>
          <w:szCs w:val="22"/>
        </w:rPr>
      </w:pPr>
      <w:r w:rsidRPr="00D63B6C">
        <w:rPr>
          <w:rFonts w:ascii="Arial" w:hAnsi="Arial"/>
          <w:sz w:val="22"/>
          <w:szCs w:val="22"/>
        </w:rPr>
        <w:t xml:space="preserve">No dosage adjustment of </w:t>
      </w:r>
      <w:r w:rsidR="000D7FE6">
        <w:rPr>
          <w:rFonts w:ascii="Arial" w:hAnsi="Arial"/>
          <w:sz w:val="22"/>
          <w:szCs w:val="22"/>
        </w:rPr>
        <w:t>ZEPATIER</w:t>
      </w:r>
      <w:r w:rsidRPr="00D63B6C">
        <w:rPr>
          <w:rFonts w:ascii="Arial" w:hAnsi="Arial"/>
          <w:sz w:val="22"/>
          <w:szCs w:val="22"/>
        </w:rPr>
        <w:t xml:space="preserve"> is recommended in patients with mild hepatic impairment (Child-Pugh A). </w:t>
      </w:r>
      <w:r w:rsidR="000D7FE6">
        <w:rPr>
          <w:rFonts w:ascii="Arial" w:hAnsi="Arial"/>
          <w:sz w:val="22"/>
          <w:szCs w:val="22"/>
        </w:rPr>
        <w:t>ZEPATIER</w:t>
      </w:r>
      <w:r w:rsidRPr="00D63B6C">
        <w:rPr>
          <w:rFonts w:ascii="Arial" w:hAnsi="Arial"/>
          <w:sz w:val="22"/>
          <w:szCs w:val="22"/>
        </w:rPr>
        <w:t xml:space="preserve"> is </w:t>
      </w:r>
      <w:r w:rsidR="00AD6A5F">
        <w:rPr>
          <w:rFonts w:ascii="Arial" w:hAnsi="Arial"/>
          <w:sz w:val="22"/>
          <w:szCs w:val="22"/>
        </w:rPr>
        <w:t xml:space="preserve">contraindicated </w:t>
      </w:r>
      <w:r w:rsidRPr="00D63B6C">
        <w:rPr>
          <w:rFonts w:ascii="Arial" w:hAnsi="Arial"/>
          <w:sz w:val="22"/>
          <w:szCs w:val="22"/>
        </w:rPr>
        <w:t xml:space="preserve">in patients with moderate hepatic impairment (Child-Pugh B) due to a lack of clinical safety and efficacy experience in this population and the expected increase in </w:t>
      </w:r>
      <w:proofErr w:type="spellStart"/>
      <w:r w:rsidRPr="00D63B6C">
        <w:rPr>
          <w:rFonts w:ascii="Arial" w:hAnsi="Arial"/>
          <w:sz w:val="22"/>
          <w:szCs w:val="22"/>
        </w:rPr>
        <w:t>grazoprevir</w:t>
      </w:r>
      <w:proofErr w:type="spellEnd"/>
      <w:r w:rsidRPr="00D63B6C">
        <w:rPr>
          <w:rFonts w:ascii="Arial" w:hAnsi="Arial"/>
          <w:sz w:val="22"/>
          <w:szCs w:val="22"/>
        </w:rPr>
        <w:t xml:space="preserve"> exposure of 5-fold. </w:t>
      </w:r>
      <w:r w:rsidR="000D7FE6">
        <w:rPr>
          <w:rFonts w:ascii="Arial" w:hAnsi="Arial"/>
          <w:sz w:val="22"/>
          <w:szCs w:val="22"/>
        </w:rPr>
        <w:t>ZEPATIER</w:t>
      </w:r>
      <w:r w:rsidRPr="00D63B6C">
        <w:rPr>
          <w:rFonts w:ascii="Arial" w:hAnsi="Arial"/>
          <w:sz w:val="22"/>
          <w:szCs w:val="22"/>
        </w:rPr>
        <w:t xml:space="preserve"> is contraindicated in patients with severe hepatic impairment (Child-Pugh C) based on the expected significant increase in </w:t>
      </w:r>
      <w:proofErr w:type="spellStart"/>
      <w:r w:rsidRPr="00D63B6C">
        <w:rPr>
          <w:rFonts w:ascii="Arial" w:hAnsi="Arial"/>
          <w:sz w:val="22"/>
          <w:szCs w:val="22"/>
        </w:rPr>
        <w:t>grazoprevir</w:t>
      </w:r>
      <w:proofErr w:type="spellEnd"/>
      <w:r w:rsidRPr="00D63B6C">
        <w:rPr>
          <w:rFonts w:ascii="Arial" w:hAnsi="Arial"/>
          <w:sz w:val="22"/>
          <w:szCs w:val="22"/>
        </w:rPr>
        <w:t xml:space="preserve"> exposure of approximately 12-fold (see </w:t>
      </w:r>
      <w:r w:rsidRPr="00D63B6C">
        <w:rPr>
          <w:rFonts w:ascii="Arial" w:hAnsi="Arial"/>
          <w:i/>
          <w:sz w:val="22"/>
          <w:szCs w:val="22"/>
        </w:rPr>
        <w:t>CONTRAINDICATIONS and DOSAGE AND ADMINISTRATION).</w:t>
      </w:r>
      <w:r w:rsidRPr="00D63B6C">
        <w:rPr>
          <w:rFonts w:ascii="Arial" w:hAnsi="Arial"/>
          <w:sz w:val="22"/>
          <w:szCs w:val="22"/>
        </w:rPr>
        <w:t xml:space="preserve"> </w:t>
      </w:r>
    </w:p>
    <w:p w:rsidR="006934B3" w:rsidRDefault="006934B3" w:rsidP="00F42F76"/>
    <w:p w:rsidR="006934B3" w:rsidRPr="00D63B6C" w:rsidRDefault="006934B3" w:rsidP="006934B3">
      <w:pPr>
        <w:pStyle w:val="Heading2"/>
        <w:tabs>
          <w:tab w:val="left" w:pos="540"/>
        </w:tabs>
        <w:spacing w:before="0"/>
        <w:ind w:left="540" w:hanging="540"/>
        <w:jc w:val="both"/>
        <w:rPr>
          <w:sz w:val="22"/>
        </w:rPr>
      </w:pPr>
      <w:r w:rsidRPr="00D63B6C">
        <w:rPr>
          <w:sz w:val="22"/>
        </w:rPr>
        <w:t>Other HCV Genotypes</w:t>
      </w:r>
    </w:p>
    <w:p w:rsidR="006934B3" w:rsidRPr="00D63B6C" w:rsidRDefault="006934B3" w:rsidP="006934B3">
      <w:r w:rsidRPr="00D63B6C">
        <w:t xml:space="preserve">The efficacy of </w:t>
      </w:r>
      <w:r w:rsidR="000D7FE6">
        <w:t>ZEPATIER</w:t>
      </w:r>
      <w:r w:rsidRPr="00D63B6C">
        <w:t xml:space="preserve"> ha</w:t>
      </w:r>
      <w:r>
        <w:t>s</w:t>
      </w:r>
      <w:r w:rsidRPr="00D63B6C">
        <w:t xml:space="preserve"> not been established in patients infected with HCV genotypes 2</w:t>
      </w:r>
      <w:r w:rsidR="00FE2882">
        <w:t>,</w:t>
      </w:r>
      <w:r w:rsidRPr="00D63B6C">
        <w:t xml:space="preserve"> </w:t>
      </w:r>
      <w:r w:rsidR="00C16811">
        <w:t xml:space="preserve">3, </w:t>
      </w:r>
      <w:r w:rsidRPr="00D63B6C">
        <w:t>5</w:t>
      </w:r>
      <w:r w:rsidR="00FE2882">
        <w:t xml:space="preserve"> and 6</w:t>
      </w:r>
      <w:r w:rsidRPr="00D63B6C">
        <w:t xml:space="preserve"> (see </w:t>
      </w:r>
      <w:r w:rsidRPr="00D63B6C">
        <w:rPr>
          <w:i/>
        </w:rPr>
        <w:t>INDICATIONS</w:t>
      </w:r>
      <w:r w:rsidR="00FE2882">
        <w:rPr>
          <w:i/>
        </w:rPr>
        <w:t xml:space="preserve"> and DOSAGE &amp; ADMINISTRATION</w:t>
      </w:r>
      <w:r w:rsidRPr="00D63B6C">
        <w:rPr>
          <w:i/>
        </w:rPr>
        <w:t>).</w:t>
      </w:r>
    </w:p>
    <w:p w:rsidR="003D6964" w:rsidRDefault="003D6964">
      <w:pPr>
        <w:spacing w:before="0" w:after="0"/>
        <w:rPr>
          <w:b/>
          <w:noProof/>
          <w:sz w:val="24"/>
        </w:rPr>
      </w:pPr>
    </w:p>
    <w:p w:rsidR="00884ACD" w:rsidRDefault="00884ACD">
      <w:pPr>
        <w:spacing w:before="0" w:after="0"/>
        <w:rPr>
          <w:b/>
          <w:noProof/>
          <w:sz w:val="24"/>
          <w:u w:val="single"/>
        </w:rPr>
      </w:pPr>
      <w:r>
        <w:rPr>
          <w:noProof/>
          <w:u w:val="single"/>
        </w:rPr>
        <w:br w:type="page"/>
      </w:r>
    </w:p>
    <w:p w:rsidR="00A9214A" w:rsidRPr="00E40192" w:rsidRDefault="00CC78DD" w:rsidP="00E40192">
      <w:pPr>
        <w:pStyle w:val="Heading2"/>
        <w:rPr>
          <w:noProof/>
          <w:u w:val="single"/>
        </w:rPr>
      </w:pPr>
      <w:r w:rsidRPr="00E40192">
        <w:rPr>
          <w:noProof/>
          <w:u w:val="single"/>
        </w:rPr>
        <w:lastRenderedPageBreak/>
        <w:t>I</w:t>
      </w:r>
      <w:r w:rsidR="003D6964" w:rsidRPr="00E40192">
        <w:rPr>
          <w:noProof/>
          <w:u w:val="single"/>
        </w:rPr>
        <w:t xml:space="preserve">NTERACTIONS WITH OTHER MEDICINES </w:t>
      </w:r>
    </w:p>
    <w:p w:rsidR="00D63B6C" w:rsidRPr="008F2853" w:rsidRDefault="00D63B6C" w:rsidP="00D63B6C">
      <w:r w:rsidRPr="008F2853">
        <w:t xml:space="preserve">See </w:t>
      </w:r>
      <w:r w:rsidR="00F2356B" w:rsidRPr="00F2356B">
        <w:rPr>
          <w:i/>
        </w:rPr>
        <w:t>CONTRAINDICATIONS,</w:t>
      </w:r>
      <w:r w:rsidR="00F2356B">
        <w:t xml:space="preserve"> </w:t>
      </w:r>
      <w:r w:rsidRPr="008F2853">
        <w:rPr>
          <w:i/>
        </w:rPr>
        <w:t>PRECAUTIONS:</w:t>
      </w:r>
      <w:r w:rsidRPr="008F2853">
        <w:t xml:space="preserve"> Risk of Adverse Reactions or Reduced Therapeutic Effect Due to Drug Interactions.</w:t>
      </w:r>
    </w:p>
    <w:p w:rsidR="00D63B6C" w:rsidRDefault="00D63B6C" w:rsidP="00CC455B"/>
    <w:p w:rsidR="00CC455B" w:rsidRDefault="00CC455B" w:rsidP="00CC455B">
      <w:r w:rsidRPr="000449C6">
        <w:t xml:space="preserve">As </w:t>
      </w:r>
      <w:r w:rsidR="000D7FE6">
        <w:t>ZEPATIER</w:t>
      </w:r>
      <w:r w:rsidRPr="000449C6">
        <w:t xml:space="preserve"> contains </w:t>
      </w:r>
      <w:proofErr w:type="spellStart"/>
      <w:r w:rsidR="00A24540" w:rsidRPr="008F2853">
        <w:t>elbasvir</w:t>
      </w:r>
      <w:proofErr w:type="spellEnd"/>
      <w:r w:rsidR="00A24540" w:rsidRPr="008F2853">
        <w:t xml:space="preserve"> </w:t>
      </w:r>
      <w:r w:rsidR="00A24540">
        <w:t xml:space="preserve">and </w:t>
      </w:r>
      <w:proofErr w:type="spellStart"/>
      <w:r>
        <w:t>grazoprevir</w:t>
      </w:r>
      <w:proofErr w:type="spellEnd"/>
      <w:r w:rsidRPr="000449C6">
        <w:t xml:space="preserve">, interactions that have been identified with these agents individually may occur with </w:t>
      </w:r>
      <w:r w:rsidR="000D7FE6">
        <w:t>ZEPATIER</w:t>
      </w:r>
      <w:r w:rsidR="00DF15C9">
        <w:t xml:space="preserve"> (</w:t>
      </w:r>
      <w:r w:rsidR="00DF15C9" w:rsidRPr="00DF15C9">
        <w:rPr>
          <w:i/>
        </w:rPr>
        <w:t>see PHARMACOLOGY: Drug Interaction Studies</w:t>
      </w:r>
      <w:r w:rsidR="00DF15C9">
        <w:t>)</w:t>
      </w:r>
      <w:r w:rsidRPr="000449C6">
        <w:t>.</w:t>
      </w:r>
    </w:p>
    <w:p w:rsidR="00CC455B" w:rsidRDefault="00CC455B" w:rsidP="00CC455B">
      <w:pPr>
        <w:rPr>
          <w:b/>
        </w:rPr>
      </w:pPr>
    </w:p>
    <w:p w:rsidR="00CC455B" w:rsidRDefault="00CC455B" w:rsidP="00F42F76">
      <w:pPr>
        <w:pStyle w:val="Heading4"/>
      </w:pPr>
      <w:r w:rsidRPr="00745E62">
        <w:t>Effects of Other D</w:t>
      </w:r>
      <w:r>
        <w:t xml:space="preserve">rugs </w:t>
      </w:r>
      <w:r w:rsidRPr="00745E62">
        <w:t xml:space="preserve">on </w:t>
      </w:r>
      <w:r w:rsidR="000D7FE6">
        <w:t>ZEPATIER</w:t>
      </w:r>
    </w:p>
    <w:p w:rsidR="007F6A89" w:rsidRPr="00D462FE" w:rsidRDefault="007F6A89" w:rsidP="007F6A89">
      <w:proofErr w:type="spellStart"/>
      <w:r>
        <w:t>Grazoprevir</w:t>
      </w:r>
      <w:proofErr w:type="spellEnd"/>
      <w:r w:rsidRPr="004A5867">
        <w:t xml:space="preserve"> is </w:t>
      </w:r>
      <w:r w:rsidRPr="003964F1">
        <w:t>a substrate of OATP1B</w:t>
      </w:r>
      <w:r>
        <w:t xml:space="preserve"> drug transporters.</w:t>
      </w:r>
      <w:r w:rsidRPr="00BF1F6B">
        <w:t xml:space="preserve"> </w:t>
      </w:r>
      <w:r w:rsidR="00C16811">
        <w:t>C</w:t>
      </w:r>
      <w:r>
        <w:t xml:space="preserve">o-administration of ZEPATIER with OATP1B inhibitors </w:t>
      </w:r>
      <w:r w:rsidR="00C16811">
        <w:t xml:space="preserve">that are known or expected to significantly increase </w:t>
      </w:r>
      <w:proofErr w:type="spellStart"/>
      <w:r w:rsidR="00C16811">
        <w:t>grazoprevir</w:t>
      </w:r>
      <w:proofErr w:type="spellEnd"/>
      <w:r w:rsidR="00C16811">
        <w:t xml:space="preserve"> plasma concentrations </w:t>
      </w:r>
      <w:r>
        <w:t xml:space="preserve">is contraindicated </w:t>
      </w:r>
      <w:r>
        <w:rPr>
          <w:i/>
        </w:rPr>
        <w:t>(see CONTRAINDICATIONS).</w:t>
      </w:r>
    </w:p>
    <w:p w:rsidR="007F6A89" w:rsidRDefault="00A24540" w:rsidP="00CC455B">
      <w:pPr>
        <w:rPr>
          <w:i/>
        </w:rPr>
      </w:pPr>
      <w:proofErr w:type="spellStart"/>
      <w:r>
        <w:t>E</w:t>
      </w:r>
      <w:r w:rsidRPr="008F2853">
        <w:t>lbasvir</w:t>
      </w:r>
      <w:proofErr w:type="spellEnd"/>
      <w:r w:rsidRPr="008F2853">
        <w:t xml:space="preserve"> </w:t>
      </w:r>
      <w:r>
        <w:t xml:space="preserve">and </w:t>
      </w:r>
      <w:proofErr w:type="spellStart"/>
      <w:r>
        <w:t>g</w:t>
      </w:r>
      <w:r w:rsidR="00CC455B">
        <w:t>razoprevir</w:t>
      </w:r>
      <w:proofErr w:type="spellEnd"/>
      <w:r w:rsidR="00CC455B">
        <w:t xml:space="preserve"> are substrates of CYP3A</w:t>
      </w:r>
      <w:r w:rsidR="007F6A89">
        <w:t xml:space="preserve"> and </w:t>
      </w:r>
      <w:r w:rsidR="00CC455B">
        <w:t>P-</w:t>
      </w:r>
      <w:proofErr w:type="spellStart"/>
      <w:r w:rsidR="00CC455B">
        <w:t>gp</w:t>
      </w:r>
      <w:proofErr w:type="spellEnd"/>
      <w:r w:rsidR="00CC455B">
        <w:t>. Co-administration of strong inducers of CYP3A</w:t>
      </w:r>
      <w:r w:rsidR="007F6A89">
        <w:t xml:space="preserve"> or </w:t>
      </w:r>
      <w:proofErr w:type="spellStart"/>
      <w:r w:rsidR="007F6A89">
        <w:t>efavirenz</w:t>
      </w:r>
      <w:proofErr w:type="spellEnd"/>
      <w:r w:rsidR="007F6A89">
        <w:t xml:space="preserve"> </w:t>
      </w:r>
      <w:r w:rsidR="00CC455B">
        <w:t xml:space="preserve">with </w:t>
      </w:r>
      <w:r w:rsidR="000D7FE6">
        <w:t>ZEPATIER</w:t>
      </w:r>
      <w:r w:rsidR="00CC455B">
        <w:t xml:space="preserve"> may</w:t>
      </w:r>
      <w:r w:rsidR="00F2356B">
        <w:t xml:space="preserve"> significantly</w:t>
      </w:r>
      <w:r w:rsidR="00CC455B">
        <w:t xml:space="preserve"> decrease </w:t>
      </w:r>
      <w:proofErr w:type="spellStart"/>
      <w:r w:rsidRPr="008F2853">
        <w:t>elbasvir</w:t>
      </w:r>
      <w:proofErr w:type="spellEnd"/>
      <w:r w:rsidRPr="008F2853">
        <w:t xml:space="preserve"> </w:t>
      </w:r>
      <w:r>
        <w:t xml:space="preserve">and </w:t>
      </w:r>
      <w:proofErr w:type="spellStart"/>
      <w:r w:rsidR="00CC455B">
        <w:t>grazoprevir</w:t>
      </w:r>
      <w:proofErr w:type="spellEnd"/>
      <w:r w:rsidR="00CC455B">
        <w:t xml:space="preserve"> plasma concentrations, leading to reduced therapeutic effect of </w:t>
      </w:r>
      <w:r w:rsidR="000D7FE6">
        <w:t>ZEPATIER</w:t>
      </w:r>
      <w:r w:rsidR="00CC455B">
        <w:t xml:space="preserve">. Co-administration of </w:t>
      </w:r>
      <w:r w:rsidR="000D7FE6">
        <w:t>ZEPATIER</w:t>
      </w:r>
      <w:r w:rsidR="00CC455B">
        <w:t xml:space="preserve"> with strong CYP3A</w:t>
      </w:r>
      <w:r w:rsidR="007F6A89">
        <w:t xml:space="preserve"> </w:t>
      </w:r>
      <w:r w:rsidR="00CC455B">
        <w:t xml:space="preserve">inducers </w:t>
      </w:r>
      <w:r w:rsidR="00F8118F">
        <w:t xml:space="preserve">or </w:t>
      </w:r>
      <w:proofErr w:type="spellStart"/>
      <w:r w:rsidR="00F8118F">
        <w:t>efavirenz</w:t>
      </w:r>
      <w:proofErr w:type="spellEnd"/>
      <w:r w:rsidR="00F8118F">
        <w:t xml:space="preserve"> </w:t>
      </w:r>
      <w:r w:rsidR="00CC455B">
        <w:t xml:space="preserve">is </w:t>
      </w:r>
      <w:r w:rsidR="007F6A89">
        <w:t xml:space="preserve">contraindicated </w:t>
      </w:r>
      <w:r w:rsidR="00CC455B">
        <w:rPr>
          <w:i/>
        </w:rPr>
        <w:t xml:space="preserve">(see </w:t>
      </w:r>
      <w:r w:rsidR="007F6A89">
        <w:rPr>
          <w:i/>
        </w:rPr>
        <w:t>CONTRAINDICATIONS</w:t>
      </w:r>
      <w:r w:rsidR="00CC455B">
        <w:rPr>
          <w:i/>
        </w:rPr>
        <w:t xml:space="preserve">). </w:t>
      </w:r>
    </w:p>
    <w:p w:rsidR="007F6A89" w:rsidRDefault="007F6A89" w:rsidP="00CC455B">
      <w:pPr>
        <w:rPr>
          <w:i/>
        </w:rPr>
      </w:pPr>
      <w:r w:rsidRPr="005979C8">
        <w:t xml:space="preserve">Co-administration of moderate inducers of CYP3A with ZEPATIER may decrease </w:t>
      </w:r>
      <w:proofErr w:type="spellStart"/>
      <w:r w:rsidRPr="005979C8">
        <w:t>elbasvir</w:t>
      </w:r>
      <w:proofErr w:type="spellEnd"/>
      <w:r w:rsidRPr="005979C8">
        <w:t xml:space="preserve"> and </w:t>
      </w:r>
      <w:proofErr w:type="spellStart"/>
      <w:r w:rsidRPr="005979C8">
        <w:t>grazoprevir</w:t>
      </w:r>
      <w:proofErr w:type="spellEnd"/>
      <w:r w:rsidRPr="005979C8">
        <w:t xml:space="preserve"> plasma concentrations, leading to reduced therapeutic effect of ZEPATIER. Co-administration of ZEPATIER with moderate CYP3A inducers is not recommended</w:t>
      </w:r>
      <w:r>
        <w:t xml:space="preserve"> </w:t>
      </w:r>
      <w:r w:rsidRPr="005979C8">
        <w:rPr>
          <w:i/>
        </w:rPr>
        <w:t xml:space="preserve">(see PRECAUTIONS: Risk of Adverse Reactions or Reduced Therapeutic Effect Due to Drug Interactions and Table </w:t>
      </w:r>
      <w:r w:rsidR="003704C6">
        <w:rPr>
          <w:i/>
        </w:rPr>
        <w:t>10</w:t>
      </w:r>
      <w:r w:rsidRPr="005979C8">
        <w:rPr>
          <w:i/>
        </w:rPr>
        <w:t>)</w:t>
      </w:r>
      <w:r>
        <w:t>.</w:t>
      </w:r>
    </w:p>
    <w:p w:rsidR="00CC455B" w:rsidRDefault="00CC455B" w:rsidP="00CC455B">
      <w:r>
        <w:t xml:space="preserve">Co-administration of </w:t>
      </w:r>
      <w:r w:rsidR="000D7FE6">
        <w:t>ZEPATIER</w:t>
      </w:r>
      <w:r>
        <w:t xml:space="preserve"> with strong CYP3A4</w:t>
      </w:r>
      <w:r w:rsidR="004C177F">
        <w:t xml:space="preserve"> </w:t>
      </w:r>
      <w:r>
        <w:t xml:space="preserve">inhibitors increases </w:t>
      </w:r>
      <w:proofErr w:type="spellStart"/>
      <w:r w:rsidR="00A24540" w:rsidRPr="008F2853">
        <w:t>elbasvir</w:t>
      </w:r>
      <w:proofErr w:type="spellEnd"/>
      <w:r w:rsidR="00A24540" w:rsidRPr="008F2853">
        <w:t xml:space="preserve"> </w:t>
      </w:r>
      <w:r w:rsidR="00A24540">
        <w:t xml:space="preserve">and </w:t>
      </w:r>
      <w:proofErr w:type="spellStart"/>
      <w:r>
        <w:t>grazoprevir</w:t>
      </w:r>
      <w:proofErr w:type="spellEnd"/>
      <w:r>
        <w:t xml:space="preserve"> </w:t>
      </w:r>
      <w:r w:rsidRPr="00E11AD3">
        <w:t>plasma conce</w:t>
      </w:r>
      <w:r w:rsidRPr="00692F5F">
        <w:t>ntrations</w:t>
      </w:r>
      <w:r w:rsidR="004C177F">
        <w:t xml:space="preserve">. </w:t>
      </w:r>
      <w:r w:rsidR="004C177F" w:rsidRPr="005979C8">
        <w:t xml:space="preserve">Co-administration of ZEPATIER with certain strong CYP3A inhibitors is not recommended </w:t>
      </w:r>
      <w:r w:rsidR="004C177F">
        <w:t>(see PRECAUTIONS</w:t>
      </w:r>
      <w:r w:rsidR="004C177F" w:rsidRPr="005979C8">
        <w:rPr>
          <w:i/>
        </w:rPr>
        <w:t xml:space="preserve">: Risk of Adverse Reactions or Reduced Therapeutic Effect Due to Drug Interactions and Table </w:t>
      </w:r>
      <w:r w:rsidR="003704C6">
        <w:rPr>
          <w:i/>
        </w:rPr>
        <w:t>10</w:t>
      </w:r>
      <w:r w:rsidR="004C177F" w:rsidRPr="005979C8">
        <w:rPr>
          <w:i/>
        </w:rPr>
        <w:t>)</w:t>
      </w:r>
      <w:r w:rsidR="004C177F" w:rsidRPr="005979C8">
        <w:t>. Co-administration of ZEPATIER with P-</w:t>
      </w:r>
      <w:proofErr w:type="spellStart"/>
      <w:r w:rsidR="004C177F" w:rsidRPr="005979C8">
        <w:t>gp</w:t>
      </w:r>
      <w:proofErr w:type="spellEnd"/>
      <w:r w:rsidR="004C177F" w:rsidRPr="005979C8">
        <w:t xml:space="preserve"> inhibitors is expected to have a minimal effect on the plasma concentrations of ZEPATIER</w:t>
      </w:r>
      <w:r w:rsidR="00F8118F">
        <w:t>.</w:t>
      </w:r>
      <w:r w:rsidR="004C177F">
        <w:t xml:space="preserve"> </w:t>
      </w:r>
    </w:p>
    <w:p w:rsidR="00CC455B" w:rsidRDefault="00CC455B" w:rsidP="00CC455B">
      <w:pPr>
        <w:rPr>
          <w:b/>
        </w:rPr>
      </w:pPr>
    </w:p>
    <w:p w:rsidR="00CC455B" w:rsidRDefault="00CC455B" w:rsidP="00F42F76">
      <w:pPr>
        <w:pStyle w:val="Heading4"/>
      </w:pPr>
      <w:r w:rsidRPr="002D50F6">
        <w:t>Effects of</w:t>
      </w:r>
      <w:r>
        <w:t xml:space="preserve"> </w:t>
      </w:r>
      <w:r w:rsidR="000D7FE6">
        <w:t>ZEPATIER</w:t>
      </w:r>
      <w:r w:rsidRPr="002D50F6">
        <w:t xml:space="preserve"> on </w:t>
      </w:r>
      <w:r>
        <w:t>O</w:t>
      </w:r>
      <w:r w:rsidRPr="002D50F6">
        <w:t xml:space="preserve">ther </w:t>
      </w:r>
      <w:r>
        <w:t>Drugs</w:t>
      </w:r>
    </w:p>
    <w:p w:rsidR="00CC455B" w:rsidRDefault="00CF4E61" w:rsidP="00CC455B">
      <w:proofErr w:type="spellStart"/>
      <w:r>
        <w:t>E</w:t>
      </w:r>
      <w:r w:rsidRPr="008F2853">
        <w:t>lbasvir</w:t>
      </w:r>
      <w:proofErr w:type="spellEnd"/>
      <w:r w:rsidRPr="008F2853">
        <w:t xml:space="preserve"> </w:t>
      </w:r>
      <w:r>
        <w:t xml:space="preserve">and </w:t>
      </w:r>
      <w:proofErr w:type="spellStart"/>
      <w:r>
        <w:t>g</w:t>
      </w:r>
      <w:r w:rsidR="00CC455B" w:rsidRPr="0016477C">
        <w:t>razoprevir</w:t>
      </w:r>
      <w:proofErr w:type="spellEnd"/>
      <w:r w:rsidR="00CC455B" w:rsidRPr="0016477C">
        <w:t xml:space="preserve"> are inhibitors of the drug transporter breast cancer resistance protein (BCRP) at the intestinal level in humans and may increase plasma concentrations of co-administered BCRP substrates. </w:t>
      </w:r>
      <w:proofErr w:type="spellStart"/>
      <w:r w:rsidR="00CC455B" w:rsidRPr="0016477C">
        <w:t>Elbasvir</w:t>
      </w:r>
      <w:proofErr w:type="spellEnd"/>
      <w:r w:rsidR="00CC455B" w:rsidRPr="0016477C">
        <w:t xml:space="preserve"> is not a CYP3A inhibitor </w:t>
      </w:r>
      <w:r w:rsidR="00CC455B" w:rsidRPr="0016477C">
        <w:rPr>
          <w:i/>
        </w:rPr>
        <w:t>in vitro</w:t>
      </w:r>
      <w:r w:rsidR="00CC455B" w:rsidRPr="0016477C">
        <w:t xml:space="preserve"> and </w:t>
      </w:r>
      <w:proofErr w:type="spellStart"/>
      <w:r w:rsidR="00CC455B" w:rsidRPr="0016477C">
        <w:t>grazoprevir</w:t>
      </w:r>
      <w:proofErr w:type="spellEnd"/>
      <w:r w:rsidR="00CC455B" w:rsidRPr="0016477C">
        <w:t xml:space="preserve"> is a weak</w:t>
      </w:r>
      <w:r w:rsidR="00157EE1">
        <w:t xml:space="preserve">, </w:t>
      </w:r>
      <w:r w:rsidR="00157EE1" w:rsidRPr="00F04DCF">
        <w:t>but not clinically relevant</w:t>
      </w:r>
      <w:r w:rsidR="00157EE1">
        <w:t>,</w:t>
      </w:r>
      <w:r w:rsidR="00CC455B" w:rsidRPr="0016477C">
        <w:t xml:space="preserve"> CYP3A inhibitor in humans. Therefore, no dose adjustment is required for CYP3A substrates when co-administered with </w:t>
      </w:r>
      <w:r w:rsidR="000D7FE6">
        <w:t>ZEPATIER</w:t>
      </w:r>
      <w:r w:rsidR="00CC455B" w:rsidRPr="0016477C">
        <w:t xml:space="preserve">. </w:t>
      </w:r>
    </w:p>
    <w:p w:rsidR="00157EE1" w:rsidRPr="00412C57" w:rsidRDefault="00980E87" w:rsidP="00EC2F3B">
      <w:pPr>
        <w:pStyle w:val="Body"/>
        <w:ind w:firstLine="0"/>
        <w:jc w:val="left"/>
        <w:rPr>
          <w:sz w:val="22"/>
          <w:lang w:val="en-AU"/>
        </w:rPr>
      </w:pPr>
      <w:proofErr w:type="spellStart"/>
      <w:r>
        <w:rPr>
          <w:sz w:val="22"/>
          <w:lang w:val="en-AU"/>
        </w:rPr>
        <w:t>E</w:t>
      </w:r>
      <w:r w:rsidRPr="00412C57">
        <w:rPr>
          <w:sz w:val="22"/>
          <w:lang w:val="en-AU"/>
        </w:rPr>
        <w:t>lbasvir</w:t>
      </w:r>
      <w:proofErr w:type="spellEnd"/>
      <w:r w:rsidRPr="00412C57">
        <w:rPr>
          <w:sz w:val="22"/>
          <w:lang w:val="en-AU"/>
        </w:rPr>
        <w:t xml:space="preserve"> has minimal intestinal P-</w:t>
      </w:r>
      <w:proofErr w:type="spellStart"/>
      <w:r w:rsidRPr="00412C57">
        <w:rPr>
          <w:sz w:val="22"/>
          <w:lang w:val="en-AU"/>
        </w:rPr>
        <w:t>gp</w:t>
      </w:r>
      <w:proofErr w:type="spellEnd"/>
      <w:r w:rsidRPr="00412C57">
        <w:rPr>
          <w:sz w:val="22"/>
          <w:lang w:val="en-AU"/>
        </w:rPr>
        <w:t xml:space="preserve"> inhibition in humans </w:t>
      </w:r>
      <w:r>
        <w:rPr>
          <w:sz w:val="22"/>
          <w:lang w:val="en-AU"/>
        </w:rPr>
        <w:t xml:space="preserve">and </w:t>
      </w:r>
      <w:proofErr w:type="spellStart"/>
      <w:r>
        <w:rPr>
          <w:sz w:val="22"/>
          <w:lang w:val="en-AU"/>
        </w:rPr>
        <w:t>g</w:t>
      </w:r>
      <w:r w:rsidR="00157EE1" w:rsidRPr="00412C57">
        <w:rPr>
          <w:sz w:val="22"/>
          <w:lang w:val="en-AU"/>
        </w:rPr>
        <w:t>razoprevir</w:t>
      </w:r>
      <w:proofErr w:type="spellEnd"/>
      <w:r w:rsidR="00157EE1" w:rsidRPr="00412C57">
        <w:rPr>
          <w:sz w:val="22"/>
          <w:lang w:val="en-AU"/>
        </w:rPr>
        <w:t xml:space="preserve"> is not a P-</w:t>
      </w:r>
      <w:proofErr w:type="spellStart"/>
      <w:r w:rsidR="00157EE1" w:rsidRPr="00412C57">
        <w:rPr>
          <w:sz w:val="22"/>
          <w:lang w:val="en-AU"/>
        </w:rPr>
        <w:t>gp</w:t>
      </w:r>
      <w:proofErr w:type="spellEnd"/>
      <w:r w:rsidR="00157EE1" w:rsidRPr="00412C57">
        <w:rPr>
          <w:sz w:val="22"/>
          <w:lang w:val="en-AU"/>
        </w:rPr>
        <w:t xml:space="preserve"> inhibitor in vitro. Therefore, P-</w:t>
      </w:r>
      <w:proofErr w:type="spellStart"/>
      <w:r w:rsidR="00157EE1" w:rsidRPr="00412C57">
        <w:rPr>
          <w:sz w:val="22"/>
          <w:lang w:val="en-AU"/>
        </w:rPr>
        <w:t>gp</w:t>
      </w:r>
      <w:proofErr w:type="spellEnd"/>
      <w:r w:rsidR="00157EE1" w:rsidRPr="00412C57">
        <w:rPr>
          <w:sz w:val="22"/>
          <w:lang w:val="en-AU"/>
        </w:rPr>
        <w:t xml:space="preserve"> substrates may be administered without dose adjustment when co-administered with </w:t>
      </w:r>
      <w:r w:rsidR="000D7FE6">
        <w:rPr>
          <w:sz w:val="22"/>
          <w:lang w:val="en-AU"/>
        </w:rPr>
        <w:t>ZEPATIER</w:t>
      </w:r>
      <w:r w:rsidR="00157EE1" w:rsidRPr="00412C57">
        <w:rPr>
          <w:sz w:val="22"/>
          <w:lang w:val="en-AU"/>
        </w:rPr>
        <w:t xml:space="preserve">. </w:t>
      </w:r>
      <w:proofErr w:type="spellStart"/>
      <w:r w:rsidR="00CF4E61">
        <w:rPr>
          <w:sz w:val="22"/>
          <w:lang w:val="en-AU"/>
        </w:rPr>
        <w:t>E</w:t>
      </w:r>
      <w:r w:rsidR="00CF4E61" w:rsidRPr="00564C90">
        <w:rPr>
          <w:sz w:val="22"/>
          <w:lang w:val="en-AU"/>
        </w:rPr>
        <w:t>lbasvir</w:t>
      </w:r>
      <w:proofErr w:type="spellEnd"/>
      <w:r w:rsidR="00CF4E61" w:rsidRPr="00564C90">
        <w:rPr>
          <w:sz w:val="22"/>
          <w:lang w:val="en-AU"/>
        </w:rPr>
        <w:t xml:space="preserve"> and </w:t>
      </w:r>
      <w:proofErr w:type="spellStart"/>
      <w:r w:rsidR="00CF4E61" w:rsidRPr="00564C90">
        <w:rPr>
          <w:sz w:val="22"/>
          <w:lang w:val="en-AU"/>
        </w:rPr>
        <w:t>g</w:t>
      </w:r>
      <w:r w:rsidR="00157EE1" w:rsidRPr="00412C57">
        <w:rPr>
          <w:sz w:val="22"/>
          <w:lang w:val="en-AU"/>
        </w:rPr>
        <w:t>razoprevir</w:t>
      </w:r>
      <w:proofErr w:type="spellEnd"/>
      <w:r w:rsidR="00157EE1" w:rsidRPr="00412C57">
        <w:rPr>
          <w:sz w:val="22"/>
          <w:lang w:val="en-AU"/>
        </w:rPr>
        <w:t xml:space="preserve"> are not OATP1B inhibitors in humans.  Clinically significant drug interactions with </w:t>
      </w:r>
      <w:r w:rsidR="000D7FE6">
        <w:rPr>
          <w:sz w:val="22"/>
          <w:lang w:val="en-AU"/>
        </w:rPr>
        <w:t>ZEPATIER</w:t>
      </w:r>
      <w:r w:rsidR="00157EE1" w:rsidRPr="00412C57">
        <w:rPr>
          <w:sz w:val="22"/>
          <w:lang w:val="en-AU"/>
        </w:rPr>
        <w:t xml:space="preserve"> as an inhibitor of other CYP enzymes, UGT1A1, </w:t>
      </w:r>
      <w:proofErr w:type="spellStart"/>
      <w:r w:rsidR="00157EE1" w:rsidRPr="00412C57">
        <w:rPr>
          <w:sz w:val="22"/>
          <w:lang w:val="en-AU"/>
        </w:rPr>
        <w:t>esterases</w:t>
      </w:r>
      <w:proofErr w:type="spellEnd"/>
      <w:r w:rsidR="00157EE1" w:rsidRPr="00412C57">
        <w:rPr>
          <w:sz w:val="22"/>
          <w:lang w:val="en-AU"/>
        </w:rPr>
        <w:t xml:space="preserve"> (CES1, CES2, and </w:t>
      </w:r>
      <w:proofErr w:type="spellStart"/>
      <w:r w:rsidR="00157EE1" w:rsidRPr="00412C57">
        <w:rPr>
          <w:sz w:val="22"/>
          <w:lang w:val="en-AU"/>
        </w:rPr>
        <w:t>CatA</w:t>
      </w:r>
      <w:proofErr w:type="spellEnd"/>
      <w:r w:rsidR="00157EE1" w:rsidRPr="00412C57">
        <w:rPr>
          <w:sz w:val="22"/>
          <w:lang w:val="en-AU"/>
        </w:rPr>
        <w:t xml:space="preserve">), </w:t>
      </w:r>
      <w:r w:rsidR="00C16811">
        <w:rPr>
          <w:sz w:val="22"/>
          <w:lang w:val="en-AU"/>
        </w:rPr>
        <w:t xml:space="preserve">organic anion transporters (OAT)1 and OAT3, and organic </w:t>
      </w:r>
      <w:proofErr w:type="spellStart"/>
      <w:r w:rsidR="00C16811">
        <w:rPr>
          <w:sz w:val="22"/>
          <w:lang w:val="en-AU"/>
        </w:rPr>
        <w:t>cation</w:t>
      </w:r>
      <w:proofErr w:type="spellEnd"/>
      <w:r w:rsidR="00C16811">
        <w:rPr>
          <w:sz w:val="22"/>
          <w:lang w:val="en-AU"/>
        </w:rPr>
        <w:t xml:space="preserve"> transporters (OCT)2 </w:t>
      </w:r>
      <w:r w:rsidR="00157EE1" w:rsidRPr="00412C57">
        <w:rPr>
          <w:sz w:val="22"/>
          <w:lang w:val="en-AU"/>
        </w:rPr>
        <w:t xml:space="preserve">are not expected, and multiple-dose administration of </w:t>
      </w:r>
      <w:proofErr w:type="spellStart"/>
      <w:r w:rsidR="00CF4E61" w:rsidRPr="008F2853">
        <w:t>elbasvir</w:t>
      </w:r>
      <w:proofErr w:type="spellEnd"/>
      <w:r w:rsidR="00CF4E61" w:rsidRPr="008F2853">
        <w:t xml:space="preserve"> </w:t>
      </w:r>
      <w:r w:rsidR="00CF4E61">
        <w:t xml:space="preserve"> or </w:t>
      </w:r>
      <w:proofErr w:type="spellStart"/>
      <w:r w:rsidR="00157EE1" w:rsidRPr="00412C57">
        <w:rPr>
          <w:sz w:val="22"/>
          <w:lang w:val="en-AU"/>
        </w:rPr>
        <w:t>grazoprevir</w:t>
      </w:r>
      <w:proofErr w:type="spellEnd"/>
      <w:r w:rsidR="00157EE1" w:rsidRPr="00412C57">
        <w:rPr>
          <w:sz w:val="22"/>
          <w:lang w:val="en-AU"/>
        </w:rPr>
        <w:t xml:space="preserve"> is unlikely to induce the metabolism of drugs </w:t>
      </w:r>
      <w:r w:rsidR="00F76A28">
        <w:rPr>
          <w:sz w:val="22"/>
          <w:lang w:val="en-AU"/>
        </w:rPr>
        <w:t>metabolise</w:t>
      </w:r>
      <w:r w:rsidR="00157EE1" w:rsidRPr="00412C57">
        <w:rPr>
          <w:sz w:val="22"/>
          <w:lang w:val="en-AU"/>
        </w:rPr>
        <w:t xml:space="preserve">d by CYP isoforms based on </w:t>
      </w:r>
      <w:r w:rsidR="00157EE1" w:rsidRPr="00412C57">
        <w:rPr>
          <w:i/>
          <w:sz w:val="22"/>
          <w:lang w:val="en-AU"/>
        </w:rPr>
        <w:t>in vitro</w:t>
      </w:r>
      <w:r w:rsidR="00157EE1" w:rsidRPr="00412C57">
        <w:rPr>
          <w:sz w:val="22"/>
          <w:lang w:val="en-AU"/>
        </w:rPr>
        <w:t xml:space="preserve"> data.</w:t>
      </w:r>
    </w:p>
    <w:p w:rsidR="00CC455B" w:rsidRPr="00943023" w:rsidRDefault="00CC455B" w:rsidP="00CC455B">
      <w:pPr>
        <w:rPr>
          <w:b/>
        </w:rPr>
      </w:pPr>
    </w:p>
    <w:p w:rsidR="00CC455B" w:rsidRDefault="00CC455B" w:rsidP="00F42F76">
      <w:pPr>
        <w:pStyle w:val="Heading4"/>
      </w:pPr>
      <w:r w:rsidRPr="00745E62">
        <w:t>Es</w:t>
      </w:r>
      <w:r>
        <w:t xml:space="preserve">tablished and other Potential Drug Interactions </w:t>
      </w:r>
    </w:p>
    <w:p w:rsidR="00CC455B" w:rsidRDefault="00CC455B" w:rsidP="00CC455B">
      <w:r>
        <w:t xml:space="preserve">If dose adjustments of concomitant medications are made due to treatment with </w:t>
      </w:r>
      <w:r w:rsidR="000D7FE6">
        <w:t>ZEPATIER</w:t>
      </w:r>
      <w:r>
        <w:t xml:space="preserve">, doses should be readjusted after administration of </w:t>
      </w:r>
      <w:r w:rsidR="000D7FE6">
        <w:t>ZEPATIER</w:t>
      </w:r>
      <w:r>
        <w:t xml:space="preserve"> is completed. </w:t>
      </w:r>
    </w:p>
    <w:p w:rsidR="00CC455B" w:rsidRDefault="008B30DE" w:rsidP="00D803FD">
      <w:pPr>
        <w:autoSpaceDE w:val="0"/>
        <w:autoSpaceDN w:val="0"/>
        <w:adjustRightInd w:val="0"/>
        <w:rPr>
          <w:noProof/>
        </w:rPr>
      </w:pPr>
      <w:r w:rsidRPr="006F240C">
        <w:rPr>
          <w:noProof/>
        </w:rPr>
        <w:lastRenderedPageBreak/>
        <w:fldChar w:fldCharType="begin"/>
      </w:r>
      <w:r w:rsidRPr="006F240C">
        <w:rPr>
          <w:noProof/>
        </w:rPr>
        <w:instrText xml:space="preserve"> REF _Ref423010379 \h </w:instrText>
      </w:r>
      <w:r w:rsidR="00792A5E" w:rsidRPr="00197B3D">
        <w:rPr>
          <w:noProof/>
        </w:rPr>
        <w:instrText xml:space="preserve"> \* MERGEFORMAT </w:instrText>
      </w:r>
      <w:r w:rsidRPr="006F240C">
        <w:rPr>
          <w:noProof/>
        </w:rPr>
      </w:r>
      <w:r w:rsidRPr="006F240C">
        <w:rPr>
          <w:noProof/>
        </w:rPr>
        <w:fldChar w:fldCharType="separate"/>
      </w:r>
      <w:r w:rsidRPr="006F240C">
        <w:t>Table</w:t>
      </w:r>
      <w:r w:rsidR="00E5382C" w:rsidRPr="006F240C">
        <w:t xml:space="preserve"> </w:t>
      </w:r>
      <w:r w:rsidR="00213FA9" w:rsidRPr="00197B3D">
        <w:t>10</w:t>
      </w:r>
      <w:r w:rsidRPr="006F240C">
        <w:rPr>
          <w:noProof/>
        </w:rPr>
        <w:fldChar w:fldCharType="end"/>
      </w:r>
      <w:r w:rsidRPr="006F240C">
        <w:rPr>
          <w:noProof/>
        </w:rPr>
        <w:t xml:space="preserve"> </w:t>
      </w:r>
      <w:r w:rsidR="00157EE1" w:rsidRPr="006F240C">
        <w:rPr>
          <w:noProof/>
        </w:rPr>
        <w:t>provides a listing of established or potentially clinically significant drug interactions. The drug</w:t>
      </w:r>
      <w:r w:rsidR="00157EE1" w:rsidRPr="00F04DCF">
        <w:rPr>
          <w:noProof/>
        </w:rPr>
        <w:t xml:space="preserve"> interactions described are based on studies conducted with either </w:t>
      </w:r>
      <w:r w:rsidR="000D7FE6">
        <w:rPr>
          <w:noProof/>
        </w:rPr>
        <w:t>ZEPATIER</w:t>
      </w:r>
      <w:r w:rsidR="00157EE1" w:rsidRPr="00F04DCF">
        <w:rPr>
          <w:noProof/>
        </w:rPr>
        <w:t xml:space="preserve">, the components of </w:t>
      </w:r>
      <w:r w:rsidR="000D7FE6">
        <w:rPr>
          <w:noProof/>
        </w:rPr>
        <w:t>ZEPATIER</w:t>
      </w:r>
      <w:r w:rsidR="00157EE1" w:rsidRPr="00F04DCF">
        <w:rPr>
          <w:noProof/>
        </w:rPr>
        <w:t xml:space="preserve"> (</w:t>
      </w:r>
      <w:r w:rsidR="00CF4E61" w:rsidRPr="00F04DCF">
        <w:rPr>
          <w:noProof/>
        </w:rPr>
        <w:t>elbasvir [EBR]</w:t>
      </w:r>
      <w:r w:rsidR="00CF4E61">
        <w:rPr>
          <w:noProof/>
        </w:rPr>
        <w:t xml:space="preserve"> and </w:t>
      </w:r>
      <w:r w:rsidR="00157EE1" w:rsidRPr="00F04DCF">
        <w:rPr>
          <w:noProof/>
        </w:rPr>
        <w:t xml:space="preserve">grazoprevir [GZR]) as individual agents, or are predicted drug interactions that may occur with </w:t>
      </w:r>
      <w:r w:rsidR="000D7FE6">
        <w:rPr>
          <w:noProof/>
        </w:rPr>
        <w:t>ZEPATIER</w:t>
      </w:r>
      <w:r w:rsidR="00F76CE4">
        <w:rPr>
          <w:noProof/>
        </w:rPr>
        <w:t xml:space="preserve"> </w:t>
      </w:r>
      <w:r w:rsidR="00F76CE4">
        <w:rPr>
          <w:i/>
        </w:rPr>
        <w:t>(see PRECAUTIONS: Risk of Adverse Reactions or Reduced Therapeutic Effect Due to Drug Interactions)</w:t>
      </w:r>
      <w:r w:rsidR="00157EE1">
        <w:rPr>
          <w:noProof/>
        </w:rPr>
        <w:t xml:space="preserve">. </w:t>
      </w:r>
    </w:p>
    <w:p w:rsidR="00CC455B" w:rsidRPr="00157EE1" w:rsidRDefault="00CC455B" w:rsidP="00CC455B">
      <w:pPr>
        <w:ind w:left="360" w:hanging="360"/>
        <w:rPr>
          <w:b/>
          <w:sz w:val="20"/>
          <w:szCs w:val="20"/>
        </w:rPr>
      </w:pPr>
    </w:p>
    <w:p w:rsidR="00CC455B" w:rsidRPr="00157EE1" w:rsidRDefault="008B30DE" w:rsidP="008B30DE">
      <w:pPr>
        <w:pStyle w:val="Caption"/>
        <w:keepNext/>
        <w:jc w:val="center"/>
        <w:rPr>
          <w:szCs w:val="20"/>
        </w:rPr>
      </w:pPr>
      <w:bookmarkStart w:id="8" w:name="_Ref423010379"/>
      <w:r w:rsidRPr="00157EE1">
        <w:rPr>
          <w:szCs w:val="20"/>
        </w:rPr>
        <w:t xml:space="preserve">Table </w:t>
      </w:r>
      <w:bookmarkEnd w:id="8"/>
      <w:r w:rsidR="00213FA9">
        <w:rPr>
          <w:szCs w:val="20"/>
        </w:rPr>
        <w:t>10</w:t>
      </w:r>
      <w:r w:rsidR="00CC455B" w:rsidRPr="00157EE1">
        <w:rPr>
          <w:szCs w:val="20"/>
        </w:rPr>
        <w:t xml:space="preserve">: </w:t>
      </w:r>
      <w:r w:rsidR="00CC455B" w:rsidRPr="00213FA9">
        <w:rPr>
          <w:szCs w:val="20"/>
        </w:rPr>
        <w:t xml:space="preserve">Drug Interactions: Alteration in Dose May Be Recommended </w:t>
      </w:r>
      <w:r w:rsidR="00213FA9">
        <w:rPr>
          <w:szCs w:val="20"/>
        </w:rPr>
        <w:t xml:space="preserve">or Co-administration Contraindicated </w:t>
      </w:r>
      <w:r w:rsidR="00CC455B" w:rsidRPr="00213FA9">
        <w:rPr>
          <w:szCs w:val="20"/>
        </w:rPr>
        <w:t>Based on Results from Drug Interaction Studies or Predicted Interactions*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701"/>
        <w:gridCol w:w="5391"/>
      </w:tblGrid>
      <w:tr w:rsidR="00432ADD" w:rsidRPr="00432ADD" w:rsidTr="000D6E58">
        <w:tc>
          <w:tcPr>
            <w:tcW w:w="2376" w:type="dxa"/>
            <w:shd w:val="clear" w:color="auto" w:fill="auto"/>
          </w:tcPr>
          <w:p w:rsidR="00432ADD" w:rsidRPr="00432ADD" w:rsidRDefault="00432ADD" w:rsidP="0072744D">
            <w:pPr>
              <w:pStyle w:val="Default"/>
              <w:jc w:val="center"/>
              <w:rPr>
                <w:rFonts w:ascii="Arial" w:hAnsi="Arial" w:cs="Arial"/>
                <w:sz w:val="20"/>
                <w:szCs w:val="20"/>
              </w:rPr>
            </w:pPr>
            <w:r w:rsidRPr="00432ADD">
              <w:rPr>
                <w:rFonts w:ascii="Arial" w:hAnsi="Arial" w:cs="Arial"/>
                <w:b/>
                <w:bCs/>
                <w:sz w:val="20"/>
                <w:szCs w:val="20"/>
              </w:rPr>
              <w:t>Concomitant Drug Class: Drug Name</w:t>
            </w:r>
          </w:p>
        </w:tc>
        <w:tc>
          <w:tcPr>
            <w:tcW w:w="1701" w:type="dxa"/>
            <w:shd w:val="clear" w:color="auto" w:fill="auto"/>
          </w:tcPr>
          <w:p w:rsidR="00432ADD" w:rsidRPr="00432ADD" w:rsidRDefault="00432ADD" w:rsidP="0072744D">
            <w:pPr>
              <w:pStyle w:val="Default"/>
              <w:jc w:val="center"/>
              <w:rPr>
                <w:rFonts w:ascii="Arial" w:hAnsi="Arial" w:cs="Arial"/>
                <w:sz w:val="20"/>
                <w:szCs w:val="20"/>
              </w:rPr>
            </w:pPr>
            <w:r w:rsidRPr="00432ADD">
              <w:rPr>
                <w:rFonts w:ascii="Arial" w:hAnsi="Arial" w:cs="Arial"/>
                <w:b/>
                <w:bCs/>
                <w:sz w:val="20"/>
                <w:szCs w:val="20"/>
              </w:rPr>
              <w:t>Effect on Concentration</w:t>
            </w:r>
            <w:r w:rsidRPr="00432ADD">
              <w:rPr>
                <w:rFonts w:ascii="Arial" w:hAnsi="Arial" w:cs="Arial"/>
                <w:b/>
                <w:bCs/>
                <w:sz w:val="20"/>
                <w:szCs w:val="20"/>
                <w:vertAlign w:val="superscript"/>
              </w:rPr>
              <w:t>†</w:t>
            </w:r>
          </w:p>
        </w:tc>
        <w:tc>
          <w:tcPr>
            <w:tcW w:w="5391" w:type="dxa"/>
            <w:shd w:val="clear" w:color="auto" w:fill="auto"/>
          </w:tcPr>
          <w:p w:rsidR="00432ADD" w:rsidRPr="00432ADD" w:rsidRDefault="00432ADD" w:rsidP="0072744D">
            <w:pPr>
              <w:pStyle w:val="Default"/>
              <w:jc w:val="center"/>
              <w:rPr>
                <w:rFonts w:ascii="Arial" w:hAnsi="Arial" w:cs="Arial"/>
                <w:sz w:val="20"/>
                <w:szCs w:val="20"/>
              </w:rPr>
            </w:pPr>
            <w:r w:rsidRPr="00432ADD">
              <w:rPr>
                <w:rFonts w:ascii="Arial" w:hAnsi="Arial" w:cs="Arial"/>
                <w:b/>
                <w:bCs/>
                <w:sz w:val="20"/>
                <w:szCs w:val="20"/>
              </w:rPr>
              <w:t>Clinical Comment</w:t>
            </w:r>
          </w:p>
        </w:tc>
      </w:tr>
      <w:tr w:rsidR="00432ADD" w:rsidRPr="00432ADD" w:rsidTr="000D6E58">
        <w:tc>
          <w:tcPr>
            <w:tcW w:w="2376" w:type="dxa"/>
            <w:shd w:val="clear" w:color="auto" w:fill="auto"/>
          </w:tcPr>
          <w:p w:rsidR="00432ADD" w:rsidRPr="00432ADD" w:rsidRDefault="00432ADD" w:rsidP="0072744D">
            <w:pPr>
              <w:pStyle w:val="Default"/>
              <w:rPr>
                <w:rFonts w:ascii="Arial" w:hAnsi="Arial" w:cs="Arial"/>
                <w:sz w:val="20"/>
                <w:szCs w:val="20"/>
                <w:lang w:val="en"/>
              </w:rPr>
            </w:pPr>
            <w:r w:rsidRPr="00432ADD">
              <w:rPr>
                <w:rFonts w:ascii="Arial" w:hAnsi="Arial" w:cs="Arial"/>
                <w:b/>
                <w:sz w:val="20"/>
                <w:szCs w:val="20"/>
                <w:lang w:val="en"/>
              </w:rPr>
              <w:t>Antibiotic</w:t>
            </w:r>
            <w:r w:rsidRPr="00432ADD">
              <w:rPr>
                <w:rFonts w:ascii="Arial" w:hAnsi="Arial" w:cs="Arial"/>
                <w:sz w:val="20"/>
                <w:szCs w:val="20"/>
                <w:lang w:val="en"/>
              </w:rPr>
              <w:t>:</w:t>
            </w:r>
          </w:p>
          <w:p w:rsidR="00432ADD" w:rsidRPr="00432ADD" w:rsidRDefault="00432ADD" w:rsidP="0072744D">
            <w:pPr>
              <w:pStyle w:val="Default"/>
              <w:rPr>
                <w:rFonts w:ascii="Arial" w:hAnsi="Arial" w:cs="Arial"/>
                <w:sz w:val="20"/>
                <w:szCs w:val="20"/>
                <w:lang w:val="en"/>
              </w:rPr>
            </w:pPr>
            <w:proofErr w:type="spellStart"/>
            <w:r w:rsidRPr="00432ADD">
              <w:rPr>
                <w:rFonts w:ascii="Arial" w:hAnsi="Arial" w:cs="Arial"/>
                <w:sz w:val="20"/>
                <w:szCs w:val="20"/>
                <w:lang w:val="en"/>
              </w:rPr>
              <w:t>nafcillin</w:t>
            </w:r>
            <w:proofErr w:type="spellEnd"/>
          </w:p>
        </w:tc>
        <w:tc>
          <w:tcPr>
            <w:tcW w:w="1701" w:type="dxa"/>
            <w:shd w:val="clear" w:color="auto" w:fill="auto"/>
          </w:tcPr>
          <w:p w:rsidR="00CF4E61" w:rsidRDefault="00CF4E61" w:rsidP="0072744D">
            <w:pPr>
              <w:pStyle w:val="Default"/>
              <w:rPr>
                <w:rFonts w:ascii="Arial" w:hAnsi="Arial" w:cs="Arial"/>
                <w:bCs/>
                <w:sz w:val="20"/>
                <w:szCs w:val="20"/>
              </w:rPr>
            </w:pPr>
            <w:r w:rsidRPr="00432ADD">
              <w:rPr>
                <w:rFonts w:ascii="Arial" w:hAnsi="Arial" w:cs="Arial"/>
                <w:bCs/>
                <w:sz w:val="20"/>
                <w:szCs w:val="20"/>
              </w:rPr>
              <w:t xml:space="preserve">↓ EBR </w:t>
            </w:r>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GZR</w:t>
            </w:r>
          </w:p>
          <w:p w:rsidR="00432ADD" w:rsidRPr="00432ADD" w:rsidRDefault="00432ADD" w:rsidP="0072744D">
            <w:pPr>
              <w:pStyle w:val="Default"/>
              <w:rPr>
                <w:rFonts w:ascii="Arial" w:hAnsi="Arial" w:cs="Arial"/>
                <w:b/>
                <w:bCs/>
                <w:sz w:val="20"/>
                <w:szCs w:val="20"/>
              </w:rPr>
            </w:pPr>
          </w:p>
        </w:tc>
        <w:tc>
          <w:tcPr>
            <w:tcW w:w="5391" w:type="dxa"/>
            <w:shd w:val="clear" w:color="auto" w:fill="auto"/>
          </w:tcPr>
          <w:p w:rsidR="00432ADD" w:rsidRPr="00432ADD" w:rsidRDefault="00432ADD" w:rsidP="00CF4E61">
            <w:pPr>
              <w:pStyle w:val="Default"/>
              <w:rPr>
                <w:rFonts w:ascii="Arial" w:hAnsi="Arial" w:cs="Arial"/>
                <w:bCs/>
                <w:sz w:val="20"/>
                <w:szCs w:val="20"/>
              </w:rPr>
            </w:pPr>
            <w:r w:rsidRPr="00432ADD">
              <w:rPr>
                <w:rFonts w:ascii="Arial" w:hAnsi="Arial" w:cs="Arial"/>
                <w:sz w:val="20"/>
                <w:szCs w:val="20"/>
              </w:rPr>
              <w:t xml:space="preserve">Co-administration of </w:t>
            </w:r>
            <w:r w:rsidR="000D7FE6">
              <w:rPr>
                <w:rFonts w:ascii="Arial" w:hAnsi="Arial" w:cs="Arial"/>
                <w:sz w:val="20"/>
                <w:szCs w:val="20"/>
              </w:rPr>
              <w:t>ZEPATIER</w:t>
            </w:r>
            <w:r w:rsidRPr="00432ADD">
              <w:rPr>
                <w:rFonts w:ascii="Arial" w:hAnsi="Arial" w:cs="Arial"/>
                <w:sz w:val="20"/>
                <w:szCs w:val="20"/>
              </w:rPr>
              <w:t xml:space="preserve"> with </w:t>
            </w:r>
            <w:proofErr w:type="spellStart"/>
            <w:r w:rsidRPr="00432ADD">
              <w:rPr>
                <w:rFonts w:ascii="Arial" w:hAnsi="Arial" w:cs="Arial"/>
                <w:sz w:val="20"/>
                <w:szCs w:val="20"/>
              </w:rPr>
              <w:t>nafcillin</w:t>
            </w:r>
            <w:proofErr w:type="spellEnd"/>
            <w:r w:rsidRPr="00432ADD">
              <w:rPr>
                <w:rFonts w:ascii="Arial" w:hAnsi="Arial" w:cs="Arial"/>
                <w:sz w:val="20"/>
                <w:szCs w:val="20"/>
              </w:rPr>
              <w:t xml:space="preserve">, a moderate CYP3A inducer, may decrease </w:t>
            </w:r>
            <w:proofErr w:type="gramStart"/>
            <w:r w:rsidR="00CF4E61" w:rsidRPr="00432ADD">
              <w:rPr>
                <w:rFonts w:ascii="Arial" w:hAnsi="Arial" w:cs="Arial"/>
                <w:sz w:val="20"/>
                <w:szCs w:val="20"/>
              </w:rPr>
              <w:t xml:space="preserve">EBR </w:t>
            </w:r>
            <w:r w:rsidR="00CF4E61">
              <w:rPr>
                <w:rFonts w:ascii="Arial" w:hAnsi="Arial" w:cs="Arial"/>
                <w:sz w:val="20"/>
                <w:szCs w:val="20"/>
              </w:rPr>
              <w:t xml:space="preserve"> and</w:t>
            </w:r>
            <w:proofErr w:type="gramEnd"/>
            <w:r w:rsidR="00CF4E61">
              <w:rPr>
                <w:rFonts w:ascii="Arial" w:hAnsi="Arial" w:cs="Arial"/>
                <w:sz w:val="20"/>
                <w:szCs w:val="20"/>
              </w:rPr>
              <w:t xml:space="preserve"> </w:t>
            </w:r>
            <w:r w:rsidRPr="00432ADD">
              <w:rPr>
                <w:rFonts w:ascii="Arial" w:hAnsi="Arial" w:cs="Arial"/>
                <w:sz w:val="20"/>
                <w:szCs w:val="20"/>
              </w:rPr>
              <w:t xml:space="preserve">GZR concentrations, leading to reduced therapeutic effect of </w:t>
            </w:r>
            <w:r w:rsidR="000D7FE6">
              <w:rPr>
                <w:rFonts w:ascii="Arial" w:hAnsi="Arial" w:cs="Arial"/>
                <w:sz w:val="20"/>
                <w:szCs w:val="20"/>
              </w:rPr>
              <w:t>ZEPATIER</w:t>
            </w:r>
            <w:r w:rsidRPr="00432ADD">
              <w:rPr>
                <w:rFonts w:ascii="Arial" w:hAnsi="Arial" w:cs="Arial"/>
                <w:sz w:val="20"/>
                <w:szCs w:val="20"/>
              </w:rPr>
              <w:t xml:space="preserve">. </w:t>
            </w:r>
            <w:r w:rsidRPr="00432ADD">
              <w:rPr>
                <w:rFonts w:ascii="Arial" w:hAnsi="Arial" w:cs="Arial"/>
                <w:bCs/>
                <w:sz w:val="20"/>
                <w:szCs w:val="20"/>
              </w:rPr>
              <w:t>Co-administration is not recommended.</w:t>
            </w:r>
          </w:p>
        </w:tc>
      </w:tr>
      <w:tr w:rsidR="002B7ECF" w:rsidRPr="00432ADD" w:rsidTr="000D6E58">
        <w:tc>
          <w:tcPr>
            <w:tcW w:w="2376" w:type="dxa"/>
            <w:shd w:val="clear" w:color="auto" w:fill="auto"/>
          </w:tcPr>
          <w:p w:rsidR="002B7ECF" w:rsidRPr="005E256E" w:rsidRDefault="002B7ECF" w:rsidP="002B7ECF">
            <w:pPr>
              <w:pStyle w:val="Default"/>
              <w:rPr>
                <w:rFonts w:ascii="Arial" w:hAnsi="Arial" w:cs="Arial"/>
                <w:b/>
                <w:sz w:val="20"/>
                <w:szCs w:val="20"/>
              </w:rPr>
            </w:pPr>
            <w:r w:rsidRPr="005E256E">
              <w:rPr>
                <w:rFonts w:ascii="Arial" w:hAnsi="Arial" w:cs="Arial"/>
                <w:b/>
                <w:sz w:val="20"/>
                <w:szCs w:val="20"/>
              </w:rPr>
              <w:t>Antifungals</w:t>
            </w:r>
            <w:r>
              <w:rPr>
                <w:rFonts w:ascii="Arial" w:hAnsi="Arial" w:cs="Arial"/>
                <w:b/>
                <w:sz w:val="20"/>
                <w:szCs w:val="20"/>
              </w:rPr>
              <w:t>:</w:t>
            </w:r>
          </w:p>
          <w:p w:rsidR="002B7ECF" w:rsidRPr="00432ADD" w:rsidRDefault="002B7ECF" w:rsidP="0072744D">
            <w:pPr>
              <w:pStyle w:val="Default"/>
              <w:rPr>
                <w:rFonts w:ascii="Arial" w:hAnsi="Arial" w:cs="Arial"/>
                <w:b/>
                <w:sz w:val="20"/>
                <w:szCs w:val="20"/>
              </w:rPr>
            </w:pPr>
            <w:r w:rsidRPr="005E256E">
              <w:rPr>
                <w:rFonts w:ascii="Arial" w:hAnsi="Arial" w:cs="Arial"/>
                <w:sz w:val="20"/>
                <w:szCs w:val="20"/>
              </w:rPr>
              <w:t>ketoconazole‡</w:t>
            </w:r>
          </w:p>
        </w:tc>
        <w:tc>
          <w:tcPr>
            <w:tcW w:w="1701" w:type="dxa"/>
            <w:shd w:val="clear" w:color="auto" w:fill="auto"/>
          </w:tcPr>
          <w:p w:rsidR="002B7ECF" w:rsidRPr="005E256E" w:rsidRDefault="002B7ECF" w:rsidP="002B7ECF">
            <w:pPr>
              <w:pStyle w:val="Default"/>
              <w:rPr>
                <w:rFonts w:ascii="Arial" w:hAnsi="Arial" w:cs="Arial"/>
                <w:sz w:val="20"/>
                <w:szCs w:val="20"/>
              </w:rPr>
            </w:pPr>
            <w:r w:rsidRPr="005E256E">
              <w:rPr>
                <w:rFonts w:ascii="Arial" w:hAnsi="Arial" w:cs="Arial" w:hint="eastAsia"/>
                <w:sz w:val="20"/>
                <w:szCs w:val="20"/>
              </w:rPr>
              <w:t>↑</w:t>
            </w:r>
            <w:r w:rsidRPr="005E256E">
              <w:rPr>
                <w:rFonts w:ascii="Arial" w:hAnsi="Arial" w:cs="Arial"/>
                <w:sz w:val="20"/>
                <w:szCs w:val="20"/>
              </w:rPr>
              <w:t xml:space="preserve"> EBR</w:t>
            </w:r>
          </w:p>
          <w:p w:rsidR="002B7ECF" w:rsidRPr="00432ADD" w:rsidRDefault="002B7ECF" w:rsidP="0072744D">
            <w:pPr>
              <w:pStyle w:val="Default"/>
              <w:rPr>
                <w:rFonts w:ascii="Arial" w:hAnsi="Arial" w:cs="Arial"/>
                <w:bCs/>
                <w:sz w:val="20"/>
                <w:szCs w:val="20"/>
              </w:rPr>
            </w:pPr>
            <w:r w:rsidRPr="005E256E">
              <w:rPr>
                <w:rFonts w:ascii="Arial" w:hAnsi="Arial" w:cs="Arial" w:hint="eastAsia"/>
                <w:sz w:val="20"/>
                <w:szCs w:val="20"/>
              </w:rPr>
              <w:t>↑</w:t>
            </w:r>
            <w:r w:rsidRPr="005E256E">
              <w:rPr>
                <w:rFonts w:ascii="Arial" w:hAnsi="Arial" w:cs="Arial"/>
                <w:sz w:val="20"/>
                <w:szCs w:val="20"/>
              </w:rPr>
              <w:t xml:space="preserve"> GZR</w:t>
            </w:r>
          </w:p>
        </w:tc>
        <w:tc>
          <w:tcPr>
            <w:tcW w:w="5391" w:type="dxa"/>
            <w:shd w:val="clear" w:color="auto" w:fill="auto"/>
          </w:tcPr>
          <w:p w:rsidR="002B7ECF" w:rsidRPr="00432ADD" w:rsidRDefault="002B7ECF" w:rsidP="00CF4E61">
            <w:pPr>
              <w:pStyle w:val="Default"/>
              <w:rPr>
                <w:rFonts w:ascii="Arial" w:hAnsi="Arial" w:cs="Arial"/>
                <w:sz w:val="20"/>
                <w:szCs w:val="20"/>
              </w:rPr>
            </w:pPr>
            <w:r w:rsidRPr="005E256E">
              <w:rPr>
                <w:rFonts w:ascii="Arial" w:hAnsi="Arial" w:cs="Arial"/>
                <w:sz w:val="20"/>
                <w:szCs w:val="20"/>
              </w:rPr>
              <w:t xml:space="preserve">Concomitant use of systemic ketoconazole and ZEPATIER increases </w:t>
            </w:r>
            <w:proofErr w:type="spellStart"/>
            <w:r w:rsidRPr="005E256E">
              <w:rPr>
                <w:rFonts w:ascii="Arial" w:hAnsi="Arial" w:cs="Arial"/>
                <w:sz w:val="20"/>
                <w:szCs w:val="20"/>
              </w:rPr>
              <w:t>grazoprevir</w:t>
            </w:r>
            <w:proofErr w:type="spellEnd"/>
            <w:r w:rsidRPr="005E256E">
              <w:rPr>
                <w:rFonts w:ascii="Arial" w:hAnsi="Arial" w:cs="Arial"/>
                <w:sz w:val="20"/>
                <w:szCs w:val="20"/>
              </w:rPr>
              <w:t xml:space="preserve"> exposure and may increase the overall risk of hepatotoxicity; co-administration of ketoconazole is not recommended.</w:t>
            </w:r>
          </w:p>
        </w:tc>
      </w:tr>
      <w:tr w:rsidR="00432ADD" w:rsidRPr="00432ADD" w:rsidTr="000D6E58">
        <w:tc>
          <w:tcPr>
            <w:tcW w:w="2376" w:type="dxa"/>
            <w:shd w:val="clear" w:color="auto" w:fill="auto"/>
          </w:tcPr>
          <w:p w:rsidR="00432ADD" w:rsidRPr="00432ADD" w:rsidRDefault="00432ADD" w:rsidP="0072744D">
            <w:pPr>
              <w:pStyle w:val="Default"/>
              <w:rPr>
                <w:rFonts w:ascii="Arial" w:hAnsi="Arial" w:cs="Arial"/>
                <w:b/>
                <w:sz w:val="20"/>
                <w:szCs w:val="20"/>
              </w:rPr>
            </w:pPr>
            <w:r w:rsidRPr="00432ADD">
              <w:rPr>
                <w:rFonts w:ascii="Arial" w:hAnsi="Arial" w:cs="Arial"/>
                <w:b/>
                <w:sz w:val="20"/>
                <w:szCs w:val="20"/>
              </w:rPr>
              <w:t>Anticonvulsants:</w:t>
            </w:r>
          </w:p>
          <w:p w:rsidR="00432ADD" w:rsidRPr="00432ADD" w:rsidRDefault="00432ADD" w:rsidP="0072744D">
            <w:pPr>
              <w:pStyle w:val="Default"/>
              <w:rPr>
                <w:rFonts w:ascii="Arial" w:hAnsi="Arial" w:cs="Arial"/>
                <w:sz w:val="20"/>
                <w:szCs w:val="20"/>
              </w:rPr>
            </w:pPr>
            <w:r w:rsidRPr="00432ADD">
              <w:rPr>
                <w:rFonts w:ascii="Arial" w:hAnsi="Arial" w:cs="Arial"/>
                <w:sz w:val="20"/>
                <w:szCs w:val="20"/>
              </w:rPr>
              <w:t>carbamazepine</w:t>
            </w:r>
          </w:p>
          <w:p w:rsidR="00432ADD" w:rsidRPr="00432ADD" w:rsidRDefault="00432ADD" w:rsidP="0072744D">
            <w:pPr>
              <w:pStyle w:val="Default"/>
              <w:rPr>
                <w:rFonts w:ascii="Arial" w:hAnsi="Arial" w:cs="Arial"/>
                <w:b/>
                <w:sz w:val="20"/>
                <w:szCs w:val="20"/>
                <w:lang w:val="en"/>
              </w:rPr>
            </w:pPr>
            <w:r w:rsidRPr="00432ADD">
              <w:rPr>
                <w:rFonts w:ascii="Arial" w:hAnsi="Arial" w:cs="Arial"/>
                <w:sz w:val="20"/>
                <w:szCs w:val="20"/>
              </w:rPr>
              <w:t>phenytoin</w:t>
            </w:r>
          </w:p>
        </w:tc>
        <w:tc>
          <w:tcPr>
            <w:tcW w:w="1701" w:type="dxa"/>
            <w:shd w:val="clear" w:color="auto" w:fill="auto"/>
          </w:tcPr>
          <w:p w:rsidR="00CF4E61" w:rsidRDefault="00CF4E61" w:rsidP="0072744D">
            <w:pPr>
              <w:pStyle w:val="Default"/>
              <w:rPr>
                <w:rFonts w:ascii="Arial" w:hAnsi="Arial" w:cs="Arial"/>
                <w:bCs/>
                <w:sz w:val="20"/>
                <w:szCs w:val="20"/>
              </w:rPr>
            </w:pPr>
            <w:r w:rsidRPr="00432ADD">
              <w:rPr>
                <w:rFonts w:ascii="Arial" w:hAnsi="Arial" w:cs="Arial"/>
                <w:bCs/>
                <w:sz w:val="20"/>
                <w:szCs w:val="20"/>
              </w:rPr>
              <w:t>↓ EBR</w:t>
            </w:r>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GZR</w:t>
            </w:r>
          </w:p>
          <w:p w:rsidR="00432ADD" w:rsidRPr="00432ADD" w:rsidRDefault="00432ADD" w:rsidP="0072744D">
            <w:pPr>
              <w:pStyle w:val="Default"/>
              <w:rPr>
                <w:rFonts w:ascii="Arial" w:hAnsi="Arial" w:cs="Arial"/>
                <w:bCs/>
                <w:sz w:val="20"/>
                <w:szCs w:val="20"/>
              </w:rPr>
            </w:pPr>
          </w:p>
        </w:tc>
        <w:tc>
          <w:tcPr>
            <w:tcW w:w="5391" w:type="dxa"/>
            <w:shd w:val="clear" w:color="auto" w:fill="auto"/>
          </w:tcPr>
          <w:p w:rsidR="00432ADD" w:rsidRPr="00432ADD" w:rsidRDefault="00432ADD" w:rsidP="00B7112C">
            <w:pPr>
              <w:pStyle w:val="Default"/>
              <w:rPr>
                <w:rFonts w:ascii="Arial" w:hAnsi="Arial" w:cs="Arial"/>
                <w:bCs/>
                <w:sz w:val="20"/>
                <w:szCs w:val="20"/>
              </w:rPr>
            </w:pPr>
            <w:r w:rsidRPr="00432ADD">
              <w:rPr>
                <w:rFonts w:ascii="Arial" w:hAnsi="Arial" w:cs="Arial"/>
                <w:sz w:val="20"/>
                <w:szCs w:val="20"/>
              </w:rPr>
              <w:t xml:space="preserve">Co-administration of </w:t>
            </w:r>
            <w:r w:rsidR="000D7FE6">
              <w:rPr>
                <w:rFonts w:ascii="Arial" w:hAnsi="Arial" w:cs="Arial"/>
                <w:sz w:val="20"/>
                <w:szCs w:val="20"/>
              </w:rPr>
              <w:t>ZEPATIER</w:t>
            </w:r>
            <w:r w:rsidRPr="00432ADD">
              <w:rPr>
                <w:rFonts w:ascii="Arial" w:hAnsi="Arial" w:cs="Arial"/>
                <w:sz w:val="20"/>
                <w:szCs w:val="20"/>
              </w:rPr>
              <w:t xml:space="preserve"> with carbamazepine or phenytoin, strong CYP3A inducers, may decrease </w:t>
            </w:r>
            <w:proofErr w:type="gramStart"/>
            <w:r w:rsidR="00CF4E61" w:rsidRPr="00432ADD">
              <w:rPr>
                <w:rFonts w:ascii="Arial" w:hAnsi="Arial" w:cs="Arial"/>
                <w:sz w:val="20"/>
                <w:szCs w:val="20"/>
              </w:rPr>
              <w:t xml:space="preserve">EBR </w:t>
            </w:r>
            <w:r w:rsidR="00CF4E61">
              <w:rPr>
                <w:rFonts w:ascii="Arial" w:hAnsi="Arial" w:cs="Arial"/>
                <w:sz w:val="20"/>
                <w:szCs w:val="20"/>
              </w:rPr>
              <w:t xml:space="preserve"> and</w:t>
            </w:r>
            <w:proofErr w:type="gramEnd"/>
            <w:r w:rsidR="00CF4E61">
              <w:rPr>
                <w:rFonts w:ascii="Arial" w:hAnsi="Arial" w:cs="Arial"/>
                <w:sz w:val="20"/>
                <w:szCs w:val="20"/>
              </w:rPr>
              <w:t xml:space="preserve"> </w:t>
            </w:r>
            <w:r w:rsidRPr="00432ADD">
              <w:rPr>
                <w:rFonts w:ascii="Arial" w:hAnsi="Arial" w:cs="Arial"/>
                <w:sz w:val="20"/>
                <w:szCs w:val="20"/>
              </w:rPr>
              <w:t xml:space="preserve">GZR concentrations, leading to reduced therapeutic effect of </w:t>
            </w:r>
            <w:r w:rsidR="000D7FE6">
              <w:rPr>
                <w:rFonts w:ascii="Arial" w:hAnsi="Arial" w:cs="Arial"/>
                <w:sz w:val="20"/>
                <w:szCs w:val="20"/>
              </w:rPr>
              <w:t>ZEPATIER</w:t>
            </w:r>
            <w:r w:rsidRPr="00432ADD">
              <w:rPr>
                <w:rFonts w:ascii="Arial" w:hAnsi="Arial" w:cs="Arial"/>
                <w:sz w:val="20"/>
                <w:szCs w:val="20"/>
              </w:rPr>
              <w:t xml:space="preserve">. </w:t>
            </w:r>
            <w:r w:rsidRPr="00432ADD">
              <w:rPr>
                <w:rFonts w:ascii="Arial" w:hAnsi="Arial" w:cs="Arial"/>
                <w:bCs/>
                <w:sz w:val="20"/>
                <w:szCs w:val="20"/>
              </w:rPr>
              <w:t xml:space="preserve">Co-administration is </w:t>
            </w:r>
            <w:r w:rsidR="00B7112C">
              <w:rPr>
                <w:rFonts w:ascii="Arial" w:hAnsi="Arial" w:cs="Arial"/>
                <w:bCs/>
                <w:sz w:val="20"/>
                <w:szCs w:val="20"/>
              </w:rPr>
              <w:t>contraindicated</w:t>
            </w:r>
            <w:r w:rsidRPr="00432ADD">
              <w:rPr>
                <w:rFonts w:ascii="Arial" w:hAnsi="Arial" w:cs="Arial"/>
                <w:bCs/>
                <w:sz w:val="20"/>
                <w:szCs w:val="20"/>
              </w:rPr>
              <w:t>.</w:t>
            </w:r>
          </w:p>
        </w:tc>
      </w:tr>
      <w:tr w:rsidR="00432ADD" w:rsidRPr="00432ADD" w:rsidTr="000D6E58">
        <w:tc>
          <w:tcPr>
            <w:tcW w:w="2376" w:type="dxa"/>
            <w:shd w:val="clear" w:color="auto" w:fill="auto"/>
          </w:tcPr>
          <w:p w:rsidR="00432ADD" w:rsidRPr="00432ADD" w:rsidRDefault="00432ADD" w:rsidP="0072744D">
            <w:pPr>
              <w:pStyle w:val="Default"/>
              <w:rPr>
                <w:rFonts w:ascii="Arial" w:hAnsi="Arial" w:cs="Arial"/>
                <w:b/>
                <w:bCs/>
                <w:sz w:val="20"/>
                <w:szCs w:val="20"/>
              </w:rPr>
            </w:pPr>
            <w:proofErr w:type="spellStart"/>
            <w:r w:rsidRPr="00432ADD">
              <w:rPr>
                <w:rFonts w:ascii="Arial" w:hAnsi="Arial" w:cs="Arial"/>
                <w:b/>
                <w:bCs/>
                <w:sz w:val="20"/>
                <w:szCs w:val="20"/>
              </w:rPr>
              <w:t>Antimycobacterials</w:t>
            </w:r>
            <w:proofErr w:type="spellEnd"/>
            <w:r w:rsidRPr="00432ADD">
              <w:rPr>
                <w:rFonts w:ascii="Arial" w:hAnsi="Arial" w:cs="Arial"/>
                <w:b/>
                <w:bCs/>
                <w:sz w:val="20"/>
                <w:szCs w:val="20"/>
              </w:rPr>
              <w:t xml:space="preserve">: </w:t>
            </w:r>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rifampin</w:t>
            </w:r>
            <w:r w:rsidRPr="00432ADD">
              <w:rPr>
                <w:rFonts w:ascii="Arial" w:hAnsi="Arial" w:cs="Arial"/>
                <w:bCs/>
                <w:sz w:val="20"/>
                <w:szCs w:val="20"/>
                <w:vertAlign w:val="superscript"/>
              </w:rPr>
              <w:t>‡</w:t>
            </w:r>
          </w:p>
        </w:tc>
        <w:tc>
          <w:tcPr>
            <w:tcW w:w="1701" w:type="dxa"/>
            <w:shd w:val="clear" w:color="auto" w:fill="auto"/>
          </w:tcPr>
          <w:p w:rsidR="00E00C3C" w:rsidRDefault="00E00C3C" w:rsidP="0072744D">
            <w:pPr>
              <w:pStyle w:val="Default"/>
              <w:rPr>
                <w:rFonts w:ascii="Arial" w:hAnsi="Arial" w:cs="Arial"/>
                <w:bCs/>
                <w:sz w:val="20"/>
                <w:szCs w:val="20"/>
              </w:rPr>
            </w:pPr>
            <w:r w:rsidRPr="00E00C3C">
              <w:rPr>
                <w:rFonts w:ascii="Arial" w:hAnsi="Arial" w:cs="Arial"/>
                <w:bCs/>
                <w:sz w:val="20"/>
                <w:szCs w:val="20"/>
              </w:rPr>
              <w:t xml:space="preserve">↑ GZR and </w:t>
            </w:r>
          </w:p>
          <w:p w:rsidR="00F52B60" w:rsidRDefault="00E00C3C" w:rsidP="0072744D">
            <w:pPr>
              <w:pStyle w:val="Default"/>
              <w:rPr>
                <w:rFonts w:ascii="Arial" w:hAnsi="Arial" w:cs="Arial"/>
                <w:bCs/>
                <w:sz w:val="20"/>
                <w:szCs w:val="20"/>
              </w:rPr>
            </w:pPr>
            <w:r w:rsidRPr="00E00C3C">
              <w:rPr>
                <w:rFonts w:ascii="Arial" w:hAnsi="Arial" w:cs="Arial"/>
                <w:bCs/>
                <w:sz w:val="20"/>
                <w:szCs w:val="20"/>
              </w:rPr>
              <w:t>↔</w:t>
            </w:r>
            <w:r w:rsidR="00F52B60">
              <w:rPr>
                <w:rFonts w:ascii="Arial" w:hAnsi="Arial" w:cs="Arial"/>
                <w:bCs/>
                <w:sz w:val="20"/>
                <w:szCs w:val="20"/>
              </w:rPr>
              <w:t xml:space="preserve"> EBR followed by </w:t>
            </w:r>
          </w:p>
          <w:p w:rsidR="00F52B60" w:rsidRDefault="00F52B60" w:rsidP="0072744D">
            <w:pPr>
              <w:pStyle w:val="Default"/>
              <w:rPr>
                <w:rFonts w:ascii="Arial" w:hAnsi="Arial" w:cs="Arial"/>
                <w:bCs/>
                <w:sz w:val="20"/>
                <w:szCs w:val="20"/>
              </w:rPr>
            </w:pPr>
            <w:r w:rsidRPr="00432ADD">
              <w:rPr>
                <w:rFonts w:ascii="Arial" w:hAnsi="Arial" w:cs="Arial"/>
                <w:bCs/>
                <w:sz w:val="20"/>
                <w:szCs w:val="20"/>
              </w:rPr>
              <w:t xml:space="preserve">↓ GZR </w:t>
            </w:r>
            <w:r>
              <w:rPr>
                <w:rFonts w:ascii="Arial" w:hAnsi="Arial" w:cs="Arial"/>
                <w:bCs/>
                <w:sz w:val="20"/>
                <w:szCs w:val="20"/>
              </w:rPr>
              <w:t xml:space="preserve">, </w:t>
            </w:r>
            <w:r w:rsidRPr="00432ADD">
              <w:rPr>
                <w:rFonts w:ascii="Arial" w:hAnsi="Arial" w:cs="Arial"/>
                <w:bCs/>
                <w:sz w:val="20"/>
                <w:szCs w:val="20"/>
              </w:rPr>
              <w:t>↓ EBR</w:t>
            </w:r>
            <w:r w:rsidRPr="00432ADD" w:rsidDel="00E00C3C">
              <w:rPr>
                <w:rFonts w:ascii="Arial" w:hAnsi="Arial" w:cs="Arial"/>
                <w:bCs/>
                <w:sz w:val="20"/>
                <w:szCs w:val="20"/>
              </w:rPr>
              <w:t xml:space="preserve"> </w:t>
            </w:r>
          </w:p>
          <w:p w:rsidR="00E00C3C" w:rsidRDefault="00CF4E61" w:rsidP="0072744D">
            <w:pPr>
              <w:pStyle w:val="Default"/>
              <w:rPr>
                <w:rFonts w:ascii="Arial" w:hAnsi="Arial" w:cs="Arial"/>
                <w:bCs/>
                <w:sz w:val="20"/>
                <w:szCs w:val="20"/>
                <w:vertAlign w:val="superscript"/>
              </w:rPr>
            </w:pPr>
            <w:r w:rsidRPr="00432ADD">
              <w:rPr>
                <w:rFonts w:ascii="Arial" w:hAnsi="Arial" w:cs="Arial"/>
                <w:bCs/>
                <w:sz w:val="20"/>
                <w:szCs w:val="20"/>
              </w:rPr>
              <w:t xml:space="preserve"> </w:t>
            </w:r>
          </w:p>
          <w:p w:rsidR="00432ADD" w:rsidRPr="00432ADD" w:rsidRDefault="00432ADD" w:rsidP="0072744D">
            <w:pPr>
              <w:pStyle w:val="Default"/>
              <w:rPr>
                <w:rFonts w:ascii="Arial" w:hAnsi="Arial" w:cs="Arial"/>
                <w:bCs/>
                <w:sz w:val="20"/>
                <w:szCs w:val="20"/>
              </w:rPr>
            </w:pPr>
          </w:p>
          <w:p w:rsidR="00432ADD" w:rsidRPr="00432ADD" w:rsidRDefault="00432ADD" w:rsidP="0072744D">
            <w:pPr>
              <w:pStyle w:val="Default"/>
              <w:rPr>
                <w:rFonts w:ascii="Arial" w:hAnsi="Arial" w:cs="Arial"/>
                <w:b/>
                <w:bCs/>
                <w:sz w:val="20"/>
                <w:szCs w:val="20"/>
              </w:rPr>
            </w:pPr>
          </w:p>
        </w:tc>
        <w:tc>
          <w:tcPr>
            <w:tcW w:w="5391" w:type="dxa"/>
            <w:shd w:val="clear" w:color="auto" w:fill="auto"/>
          </w:tcPr>
          <w:p w:rsidR="00432ADD" w:rsidRPr="00432ADD" w:rsidRDefault="00E00C3C" w:rsidP="00E00C3C">
            <w:pPr>
              <w:pStyle w:val="Default"/>
              <w:rPr>
                <w:rFonts w:ascii="Arial" w:hAnsi="Arial" w:cs="Arial"/>
                <w:bCs/>
                <w:sz w:val="20"/>
                <w:szCs w:val="20"/>
              </w:rPr>
            </w:pPr>
            <w:r w:rsidRPr="00432ADD">
              <w:rPr>
                <w:rFonts w:ascii="Arial" w:hAnsi="Arial" w:cs="Arial"/>
                <w:sz w:val="20"/>
                <w:szCs w:val="20"/>
              </w:rPr>
              <w:t xml:space="preserve">Co-administration of </w:t>
            </w:r>
            <w:r>
              <w:rPr>
                <w:rFonts w:ascii="Arial" w:hAnsi="Arial" w:cs="Arial"/>
                <w:sz w:val="20"/>
                <w:szCs w:val="20"/>
              </w:rPr>
              <w:t>ZEPATIER</w:t>
            </w:r>
            <w:r w:rsidRPr="00432ADD">
              <w:rPr>
                <w:rFonts w:ascii="Arial" w:hAnsi="Arial" w:cs="Arial"/>
                <w:sz w:val="20"/>
                <w:szCs w:val="20"/>
              </w:rPr>
              <w:t xml:space="preserve"> with </w:t>
            </w:r>
            <w:r>
              <w:rPr>
                <w:rFonts w:ascii="Arial" w:hAnsi="Arial" w:cs="Arial"/>
                <w:sz w:val="20"/>
                <w:szCs w:val="20"/>
              </w:rPr>
              <w:t xml:space="preserve">rifampin initially increases GZR concentrations significantly (due to OAT1B inhibition), which may increase the risk of ALT elevations, followed by decreases in EBR and GZR concentrations during continued </w:t>
            </w:r>
            <w:proofErr w:type="spellStart"/>
            <w:r>
              <w:rPr>
                <w:rFonts w:ascii="Arial" w:hAnsi="Arial" w:cs="Arial"/>
                <w:sz w:val="20"/>
                <w:szCs w:val="20"/>
              </w:rPr>
              <w:t>coadministration</w:t>
            </w:r>
            <w:proofErr w:type="spellEnd"/>
            <w:r>
              <w:rPr>
                <w:rFonts w:ascii="Arial" w:hAnsi="Arial" w:cs="Arial"/>
                <w:sz w:val="20"/>
                <w:szCs w:val="20"/>
              </w:rPr>
              <w:t xml:space="preserve"> (due to strong CYP3A induction), which may lead to reduced therapeutic effect of ZEPATIER. </w:t>
            </w:r>
            <w:r w:rsidR="00432ADD" w:rsidRPr="00432ADD">
              <w:rPr>
                <w:rFonts w:ascii="Arial" w:hAnsi="Arial" w:cs="Arial"/>
                <w:bCs/>
                <w:sz w:val="20"/>
                <w:szCs w:val="20"/>
              </w:rPr>
              <w:t xml:space="preserve">Co-administration is </w:t>
            </w:r>
            <w:r w:rsidR="00B7112C">
              <w:rPr>
                <w:rFonts w:ascii="Arial" w:hAnsi="Arial" w:cs="Arial"/>
                <w:bCs/>
                <w:sz w:val="20"/>
                <w:szCs w:val="20"/>
              </w:rPr>
              <w:t>contraindicated</w:t>
            </w:r>
            <w:r w:rsidR="00432ADD" w:rsidRPr="00432ADD">
              <w:rPr>
                <w:rFonts w:ascii="Arial" w:hAnsi="Arial" w:cs="Arial"/>
                <w:bCs/>
                <w:sz w:val="20"/>
                <w:szCs w:val="20"/>
              </w:rPr>
              <w:t>.</w:t>
            </w:r>
          </w:p>
        </w:tc>
      </w:tr>
      <w:tr w:rsidR="00432ADD" w:rsidRPr="00432ADD" w:rsidTr="000D6E58">
        <w:tc>
          <w:tcPr>
            <w:tcW w:w="2376" w:type="dxa"/>
            <w:shd w:val="clear" w:color="auto" w:fill="auto"/>
          </w:tcPr>
          <w:p w:rsidR="00432ADD" w:rsidRPr="00432ADD" w:rsidRDefault="00432ADD" w:rsidP="0072744D">
            <w:pPr>
              <w:pStyle w:val="Default"/>
              <w:rPr>
                <w:rFonts w:ascii="Arial" w:hAnsi="Arial" w:cs="Arial"/>
                <w:b/>
                <w:sz w:val="20"/>
                <w:szCs w:val="20"/>
                <w:lang w:val="en"/>
              </w:rPr>
            </w:pPr>
            <w:proofErr w:type="spellStart"/>
            <w:r w:rsidRPr="00432ADD">
              <w:rPr>
                <w:rFonts w:ascii="Arial" w:hAnsi="Arial" w:cs="Arial"/>
                <w:b/>
                <w:sz w:val="20"/>
                <w:szCs w:val="20"/>
                <w:lang w:val="en"/>
              </w:rPr>
              <w:t>Endothelin</w:t>
            </w:r>
            <w:proofErr w:type="spellEnd"/>
            <w:r w:rsidRPr="00432ADD">
              <w:rPr>
                <w:rFonts w:ascii="Arial" w:hAnsi="Arial" w:cs="Arial"/>
                <w:b/>
                <w:sz w:val="20"/>
                <w:szCs w:val="20"/>
                <w:lang w:val="en"/>
              </w:rPr>
              <w:t xml:space="preserve"> Antagonist:</w:t>
            </w:r>
          </w:p>
          <w:p w:rsidR="00432ADD" w:rsidRPr="00432ADD" w:rsidRDefault="00432ADD" w:rsidP="0072744D">
            <w:pPr>
              <w:pStyle w:val="Default"/>
              <w:rPr>
                <w:rFonts w:ascii="Arial" w:hAnsi="Arial" w:cs="Arial"/>
                <w:sz w:val="20"/>
                <w:szCs w:val="20"/>
                <w:lang w:val="en"/>
              </w:rPr>
            </w:pPr>
            <w:proofErr w:type="spellStart"/>
            <w:r w:rsidRPr="00432ADD">
              <w:rPr>
                <w:rFonts w:ascii="Arial" w:hAnsi="Arial" w:cs="Arial"/>
                <w:sz w:val="20"/>
                <w:szCs w:val="20"/>
                <w:lang w:val="en"/>
              </w:rPr>
              <w:t>bosentan</w:t>
            </w:r>
            <w:proofErr w:type="spellEnd"/>
          </w:p>
        </w:tc>
        <w:tc>
          <w:tcPr>
            <w:tcW w:w="1701" w:type="dxa"/>
            <w:shd w:val="clear" w:color="auto" w:fill="auto"/>
          </w:tcPr>
          <w:p w:rsidR="00CF4E61" w:rsidRDefault="00CF4E61" w:rsidP="0072744D">
            <w:pPr>
              <w:pStyle w:val="Default"/>
              <w:rPr>
                <w:rFonts w:ascii="Arial" w:hAnsi="Arial" w:cs="Arial"/>
                <w:bCs/>
                <w:sz w:val="20"/>
                <w:szCs w:val="20"/>
              </w:rPr>
            </w:pPr>
            <w:r w:rsidRPr="00432ADD">
              <w:rPr>
                <w:rFonts w:ascii="Arial" w:hAnsi="Arial" w:cs="Arial"/>
                <w:bCs/>
                <w:sz w:val="20"/>
                <w:szCs w:val="20"/>
              </w:rPr>
              <w:t xml:space="preserve">↓ EBR </w:t>
            </w:r>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GZR</w:t>
            </w:r>
          </w:p>
          <w:p w:rsidR="00432ADD" w:rsidRPr="00432ADD" w:rsidRDefault="00432ADD" w:rsidP="0072744D">
            <w:pPr>
              <w:pStyle w:val="Default"/>
              <w:rPr>
                <w:rFonts w:ascii="Arial" w:hAnsi="Arial" w:cs="Arial"/>
                <w:b/>
                <w:bCs/>
                <w:sz w:val="20"/>
                <w:szCs w:val="20"/>
              </w:rPr>
            </w:pPr>
          </w:p>
        </w:tc>
        <w:tc>
          <w:tcPr>
            <w:tcW w:w="5391" w:type="dxa"/>
            <w:shd w:val="clear" w:color="auto" w:fill="auto"/>
          </w:tcPr>
          <w:p w:rsidR="00432ADD" w:rsidRPr="00432ADD" w:rsidRDefault="00432ADD" w:rsidP="00CF4E61">
            <w:pPr>
              <w:pStyle w:val="Default"/>
              <w:rPr>
                <w:rFonts w:ascii="Arial" w:hAnsi="Arial" w:cs="Arial"/>
                <w:bCs/>
                <w:sz w:val="20"/>
                <w:szCs w:val="20"/>
              </w:rPr>
            </w:pPr>
            <w:r w:rsidRPr="00432ADD">
              <w:rPr>
                <w:rFonts w:ascii="Arial" w:hAnsi="Arial" w:cs="Arial"/>
                <w:sz w:val="20"/>
                <w:szCs w:val="20"/>
              </w:rPr>
              <w:t xml:space="preserve">Co-administration of </w:t>
            </w:r>
            <w:r w:rsidR="000D7FE6">
              <w:rPr>
                <w:rFonts w:ascii="Arial" w:hAnsi="Arial" w:cs="Arial"/>
                <w:sz w:val="20"/>
                <w:szCs w:val="20"/>
              </w:rPr>
              <w:t>ZEPATIER</w:t>
            </w:r>
            <w:r w:rsidRPr="00432ADD">
              <w:rPr>
                <w:rFonts w:ascii="Arial" w:hAnsi="Arial" w:cs="Arial"/>
                <w:sz w:val="20"/>
                <w:szCs w:val="20"/>
              </w:rPr>
              <w:t xml:space="preserve"> with </w:t>
            </w:r>
            <w:proofErr w:type="spellStart"/>
            <w:r w:rsidRPr="00432ADD">
              <w:rPr>
                <w:rFonts w:ascii="Arial" w:hAnsi="Arial" w:cs="Arial"/>
                <w:sz w:val="20"/>
                <w:szCs w:val="20"/>
              </w:rPr>
              <w:t>bosentan</w:t>
            </w:r>
            <w:proofErr w:type="spellEnd"/>
            <w:r w:rsidRPr="00432ADD">
              <w:rPr>
                <w:rFonts w:ascii="Arial" w:hAnsi="Arial" w:cs="Arial"/>
                <w:sz w:val="20"/>
                <w:szCs w:val="20"/>
              </w:rPr>
              <w:t xml:space="preserve">, a moderate CYP3A inducer, may decrease </w:t>
            </w:r>
            <w:proofErr w:type="gramStart"/>
            <w:r w:rsidR="00CF4E61" w:rsidRPr="00432ADD">
              <w:rPr>
                <w:rFonts w:ascii="Arial" w:hAnsi="Arial" w:cs="Arial"/>
                <w:sz w:val="20"/>
                <w:szCs w:val="20"/>
              </w:rPr>
              <w:t xml:space="preserve">EBR </w:t>
            </w:r>
            <w:r w:rsidR="00CF4E61">
              <w:rPr>
                <w:rFonts w:ascii="Arial" w:hAnsi="Arial" w:cs="Arial"/>
                <w:sz w:val="20"/>
                <w:szCs w:val="20"/>
              </w:rPr>
              <w:t xml:space="preserve"> and</w:t>
            </w:r>
            <w:proofErr w:type="gramEnd"/>
            <w:r w:rsidR="00CF4E61">
              <w:rPr>
                <w:rFonts w:ascii="Arial" w:hAnsi="Arial" w:cs="Arial"/>
                <w:sz w:val="20"/>
                <w:szCs w:val="20"/>
              </w:rPr>
              <w:t xml:space="preserve"> </w:t>
            </w:r>
            <w:r w:rsidRPr="00432ADD">
              <w:rPr>
                <w:rFonts w:ascii="Arial" w:hAnsi="Arial" w:cs="Arial"/>
                <w:sz w:val="20"/>
                <w:szCs w:val="20"/>
              </w:rPr>
              <w:t xml:space="preserve">GZR concentrations, leading to reduced therapeutic effect of </w:t>
            </w:r>
            <w:r w:rsidR="000D7FE6">
              <w:rPr>
                <w:rFonts w:ascii="Arial" w:hAnsi="Arial" w:cs="Arial"/>
                <w:sz w:val="20"/>
                <w:szCs w:val="20"/>
              </w:rPr>
              <w:t>ZEPATIER</w:t>
            </w:r>
            <w:r w:rsidRPr="00432ADD">
              <w:rPr>
                <w:rFonts w:ascii="Arial" w:hAnsi="Arial" w:cs="Arial"/>
                <w:sz w:val="20"/>
                <w:szCs w:val="20"/>
              </w:rPr>
              <w:t xml:space="preserve">. </w:t>
            </w:r>
            <w:r w:rsidRPr="00432ADD">
              <w:rPr>
                <w:rFonts w:ascii="Arial" w:hAnsi="Arial" w:cs="Arial"/>
                <w:bCs/>
                <w:sz w:val="20"/>
                <w:szCs w:val="20"/>
              </w:rPr>
              <w:t>Co-administration is not recommended.</w:t>
            </w:r>
          </w:p>
        </w:tc>
      </w:tr>
      <w:tr w:rsidR="002B7ECF" w:rsidRPr="00432ADD" w:rsidTr="000D6E58">
        <w:tc>
          <w:tcPr>
            <w:tcW w:w="2376" w:type="dxa"/>
            <w:shd w:val="clear" w:color="auto" w:fill="auto"/>
          </w:tcPr>
          <w:p w:rsidR="002B7ECF" w:rsidRPr="005E256E" w:rsidRDefault="002B7ECF" w:rsidP="002B7ECF">
            <w:pPr>
              <w:pStyle w:val="Default"/>
              <w:rPr>
                <w:rFonts w:ascii="Arial" w:hAnsi="Arial" w:cs="Arial"/>
                <w:b/>
                <w:sz w:val="20"/>
                <w:szCs w:val="20"/>
              </w:rPr>
            </w:pPr>
            <w:proofErr w:type="spellStart"/>
            <w:r w:rsidRPr="005E256E">
              <w:rPr>
                <w:rFonts w:ascii="Arial" w:hAnsi="Arial" w:cs="Arial"/>
                <w:b/>
                <w:sz w:val="20"/>
                <w:szCs w:val="20"/>
              </w:rPr>
              <w:t>Immunosuppressants</w:t>
            </w:r>
            <w:proofErr w:type="spellEnd"/>
            <w:r w:rsidRPr="005E256E">
              <w:rPr>
                <w:rFonts w:ascii="Arial" w:hAnsi="Arial" w:cs="Arial"/>
                <w:b/>
                <w:sz w:val="20"/>
                <w:szCs w:val="20"/>
              </w:rPr>
              <w:t>:</w:t>
            </w:r>
          </w:p>
          <w:p w:rsidR="002B7ECF" w:rsidRPr="00432ADD" w:rsidRDefault="002B7ECF" w:rsidP="0072744D">
            <w:pPr>
              <w:pStyle w:val="Default"/>
              <w:rPr>
                <w:rFonts w:ascii="Arial" w:hAnsi="Arial" w:cs="Arial"/>
                <w:b/>
                <w:sz w:val="20"/>
                <w:szCs w:val="20"/>
              </w:rPr>
            </w:pPr>
            <w:proofErr w:type="spellStart"/>
            <w:r w:rsidRPr="005E256E">
              <w:rPr>
                <w:rFonts w:ascii="Arial" w:hAnsi="Arial" w:cs="Arial"/>
                <w:sz w:val="20"/>
                <w:szCs w:val="20"/>
              </w:rPr>
              <w:t>tacrolimus</w:t>
            </w:r>
            <w:proofErr w:type="spellEnd"/>
            <w:r w:rsidRPr="005E256E">
              <w:rPr>
                <w:rFonts w:ascii="Arial" w:hAnsi="Arial" w:cs="Arial"/>
                <w:sz w:val="20"/>
                <w:szCs w:val="20"/>
              </w:rPr>
              <w:t>‡</w:t>
            </w:r>
          </w:p>
        </w:tc>
        <w:tc>
          <w:tcPr>
            <w:tcW w:w="1701" w:type="dxa"/>
            <w:shd w:val="clear" w:color="auto" w:fill="auto"/>
          </w:tcPr>
          <w:p w:rsidR="002B7ECF" w:rsidRPr="005E256E" w:rsidRDefault="002B7ECF" w:rsidP="002B7ECF">
            <w:pPr>
              <w:pStyle w:val="Default"/>
              <w:rPr>
                <w:rFonts w:ascii="Arial" w:hAnsi="Arial" w:cs="Arial"/>
                <w:sz w:val="20"/>
                <w:szCs w:val="20"/>
              </w:rPr>
            </w:pPr>
            <w:r w:rsidRPr="005E256E">
              <w:rPr>
                <w:rFonts w:ascii="Arial" w:hAnsi="Arial" w:cs="Arial" w:hint="eastAsia"/>
                <w:sz w:val="20"/>
                <w:szCs w:val="20"/>
              </w:rPr>
              <w:t>↑</w:t>
            </w:r>
            <w:r w:rsidRPr="005E256E">
              <w:rPr>
                <w:rFonts w:ascii="Arial" w:hAnsi="Arial" w:cs="Arial"/>
                <w:sz w:val="20"/>
                <w:szCs w:val="20"/>
              </w:rPr>
              <w:t xml:space="preserve"> </w:t>
            </w:r>
            <w:proofErr w:type="spellStart"/>
            <w:r w:rsidRPr="005E256E">
              <w:rPr>
                <w:rFonts w:ascii="Arial" w:hAnsi="Arial" w:cs="Arial"/>
                <w:sz w:val="20"/>
                <w:szCs w:val="20"/>
              </w:rPr>
              <w:t>tacrolimus</w:t>
            </w:r>
            <w:proofErr w:type="spellEnd"/>
          </w:p>
          <w:p w:rsidR="002B7ECF" w:rsidRPr="00432ADD" w:rsidRDefault="002B7ECF" w:rsidP="0072744D">
            <w:pPr>
              <w:pStyle w:val="Default"/>
              <w:rPr>
                <w:rFonts w:ascii="Arial" w:hAnsi="Arial" w:cs="Arial"/>
                <w:bCs/>
                <w:sz w:val="20"/>
                <w:szCs w:val="20"/>
              </w:rPr>
            </w:pPr>
          </w:p>
        </w:tc>
        <w:tc>
          <w:tcPr>
            <w:tcW w:w="5391" w:type="dxa"/>
            <w:shd w:val="clear" w:color="auto" w:fill="auto"/>
          </w:tcPr>
          <w:p w:rsidR="002B7ECF" w:rsidRPr="00432ADD" w:rsidRDefault="002B7ECF" w:rsidP="00CF4E61">
            <w:pPr>
              <w:pStyle w:val="Default"/>
              <w:rPr>
                <w:rFonts w:ascii="Arial" w:hAnsi="Arial" w:cs="Arial"/>
                <w:sz w:val="20"/>
                <w:szCs w:val="20"/>
              </w:rPr>
            </w:pPr>
            <w:r w:rsidRPr="005E256E">
              <w:rPr>
                <w:rFonts w:ascii="Arial" w:hAnsi="Arial" w:cs="Arial"/>
                <w:sz w:val="20"/>
                <w:szCs w:val="20"/>
              </w:rPr>
              <w:t xml:space="preserve">Co-administration of ZEPATIER with systemic </w:t>
            </w:r>
            <w:proofErr w:type="spellStart"/>
            <w:r w:rsidRPr="005E256E">
              <w:rPr>
                <w:rFonts w:ascii="Arial" w:hAnsi="Arial" w:cs="Arial"/>
                <w:sz w:val="20"/>
                <w:szCs w:val="20"/>
              </w:rPr>
              <w:t>tacrolimus</w:t>
            </w:r>
            <w:proofErr w:type="spellEnd"/>
            <w:r w:rsidRPr="005E256E">
              <w:rPr>
                <w:rFonts w:ascii="Arial" w:hAnsi="Arial" w:cs="Arial"/>
                <w:sz w:val="20"/>
                <w:szCs w:val="20"/>
              </w:rPr>
              <w:t xml:space="preserve"> increases the concentrations of </w:t>
            </w:r>
            <w:proofErr w:type="spellStart"/>
            <w:r w:rsidRPr="005E256E">
              <w:rPr>
                <w:rFonts w:ascii="Arial" w:hAnsi="Arial" w:cs="Arial"/>
                <w:sz w:val="20"/>
                <w:szCs w:val="20"/>
              </w:rPr>
              <w:t>tacrolimus</w:t>
            </w:r>
            <w:proofErr w:type="spellEnd"/>
            <w:r w:rsidRPr="005E256E">
              <w:rPr>
                <w:rFonts w:ascii="Arial" w:hAnsi="Arial" w:cs="Arial"/>
                <w:sz w:val="20"/>
                <w:szCs w:val="20"/>
              </w:rPr>
              <w:t xml:space="preserve">. Frequent monitoring of </w:t>
            </w:r>
            <w:proofErr w:type="spellStart"/>
            <w:r w:rsidRPr="005E256E">
              <w:rPr>
                <w:rFonts w:ascii="Arial" w:hAnsi="Arial" w:cs="Arial"/>
                <w:sz w:val="20"/>
                <w:szCs w:val="20"/>
              </w:rPr>
              <w:t>tacrolimus</w:t>
            </w:r>
            <w:proofErr w:type="spellEnd"/>
            <w:r w:rsidRPr="005E256E">
              <w:rPr>
                <w:rFonts w:ascii="Arial" w:hAnsi="Arial" w:cs="Arial"/>
                <w:sz w:val="20"/>
                <w:szCs w:val="20"/>
              </w:rPr>
              <w:t xml:space="preserve"> whole blood concentrations, changes in renal function, and </w:t>
            </w:r>
            <w:proofErr w:type="spellStart"/>
            <w:r w:rsidRPr="005E256E">
              <w:rPr>
                <w:rFonts w:ascii="Arial" w:hAnsi="Arial" w:cs="Arial"/>
                <w:sz w:val="20"/>
                <w:szCs w:val="20"/>
              </w:rPr>
              <w:t>tacrolimus</w:t>
            </w:r>
            <w:proofErr w:type="spellEnd"/>
            <w:r w:rsidRPr="005E256E">
              <w:rPr>
                <w:rFonts w:ascii="Arial" w:hAnsi="Arial" w:cs="Arial"/>
                <w:sz w:val="20"/>
                <w:szCs w:val="20"/>
              </w:rPr>
              <w:t>-associated adverse events upon the initiation of co-administration is recommended.</w:t>
            </w:r>
          </w:p>
        </w:tc>
      </w:tr>
      <w:tr w:rsidR="00432ADD" w:rsidRPr="00432ADD" w:rsidTr="000D6E58">
        <w:tc>
          <w:tcPr>
            <w:tcW w:w="2376" w:type="dxa"/>
            <w:shd w:val="clear" w:color="auto" w:fill="auto"/>
          </w:tcPr>
          <w:p w:rsidR="00432ADD" w:rsidRPr="00432ADD" w:rsidRDefault="00432ADD" w:rsidP="0072744D">
            <w:pPr>
              <w:pStyle w:val="Default"/>
              <w:rPr>
                <w:rFonts w:ascii="Arial" w:hAnsi="Arial" w:cs="Arial"/>
                <w:b/>
                <w:sz w:val="20"/>
                <w:szCs w:val="20"/>
              </w:rPr>
            </w:pPr>
            <w:r w:rsidRPr="00432ADD">
              <w:rPr>
                <w:rFonts w:ascii="Arial" w:hAnsi="Arial" w:cs="Arial"/>
                <w:b/>
                <w:sz w:val="20"/>
                <w:szCs w:val="20"/>
              </w:rPr>
              <w:t>Herbal Supplements:</w:t>
            </w:r>
          </w:p>
          <w:p w:rsidR="00432ADD" w:rsidRPr="00432ADD" w:rsidRDefault="00432ADD" w:rsidP="0072744D">
            <w:pPr>
              <w:pStyle w:val="Default"/>
              <w:rPr>
                <w:rFonts w:ascii="Arial" w:hAnsi="Arial" w:cs="Arial"/>
                <w:sz w:val="20"/>
                <w:szCs w:val="20"/>
              </w:rPr>
            </w:pPr>
            <w:r w:rsidRPr="00432ADD">
              <w:rPr>
                <w:rFonts w:ascii="Arial" w:hAnsi="Arial" w:cs="Arial"/>
                <w:sz w:val="20"/>
                <w:szCs w:val="20"/>
              </w:rPr>
              <w:t xml:space="preserve">St. John’s </w:t>
            </w:r>
            <w:proofErr w:type="spellStart"/>
            <w:r w:rsidRPr="00432ADD">
              <w:rPr>
                <w:rFonts w:ascii="Arial" w:hAnsi="Arial" w:cs="Arial"/>
                <w:sz w:val="20"/>
                <w:szCs w:val="20"/>
              </w:rPr>
              <w:t>Wort</w:t>
            </w:r>
            <w:proofErr w:type="spellEnd"/>
          </w:p>
          <w:p w:rsidR="00432ADD" w:rsidRPr="00432ADD" w:rsidRDefault="00432ADD" w:rsidP="0072744D">
            <w:pPr>
              <w:pStyle w:val="Default"/>
              <w:rPr>
                <w:rFonts w:ascii="Arial" w:hAnsi="Arial" w:cs="Arial"/>
                <w:b/>
                <w:sz w:val="20"/>
                <w:szCs w:val="20"/>
                <w:lang w:val="en"/>
              </w:rPr>
            </w:pPr>
            <w:r w:rsidRPr="00432ADD">
              <w:rPr>
                <w:rFonts w:ascii="Arial" w:hAnsi="Arial" w:cs="Arial"/>
                <w:sz w:val="20"/>
                <w:szCs w:val="20"/>
                <w:lang w:val="en"/>
              </w:rPr>
              <w:t>(</w:t>
            </w:r>
            <w:proofErr w:type="spellStart"/>
            <w:r w:rsidRPr="00F4012A">
              <w:rPr>
                <w:rFonts w:ascii="Arial" w:hAnsi="Arial" w:cs="Arial"/>
                <w:i/>
                <w:sz w:val="20"/>
                <w:szCs w:val="20"/>
                <w:lang w:val="en"/>
              </w:rPr>
              <w:t>Hypericum</w:t>
            </w:r>
            <w:proofErr w:type="spellEnd"/>
            <w:r w:rsidRPr="00F4012A">
              <w:rPr>
                <w:rFonts w:ascii="Arial" w:hAnsi="Arial" w:cs="Arial"/>
                <w:i/>
                <w:sz w:val="20"/>
                <w:szCs w:val="20"/>
                <w:lang w:val="en"/>
              </w:rPr>
              <w:t xml:space="preserve"> </w:t>
            </w:r>
            <w:proofErr w:type="spellStart"/>
            <w:r w:rsidRPr="00F4012A">
              <w:rPr>
                <w:rFonts w:ascii="Arial" w:hAnsi="Arial" w:cs="Arial"/>
                <w:i/>
                <w:sz w:val="20"/>
                <w:szCs w:val="20"/>
                <w:lang w:val="en"/>
              </w:rPr>
              <w:t>perforatum</w:t>
            </w:r>
            <w:proofErr w:type="spellEnd"/>
            <w:r w:rsidRPr="00432ADD">
              <w:rPr>
                <w:rFonts w:ascii="Arial" w:hAnsi="Arial" w:cs="Arial"/>
                <w:sz w:val="20"/>
                <w:szCs w:val="20"/>
                <w:lang w:val="en"/>
              </w:rPr>
              <w:t>)</w:t>
            </w:r>
          </w:p>
        </w:tc>
        <w:tc>
          <w:tcPr>
            <w:tcW w:w="1701" w:type="dxa"/>
            <w:shd w:val="clear" w:color="auto" w:fill="auto"/>
          </w:tcPr>
          <w:p w:rsidR="00CF4E61" w:rsidRDefault="00CF4E61" w:rsidP="0072744D">
            <w:pPr>
              <w:pStyle w:val="Default"/>
              <w:rPr>
                <w:rFonts w:ascii="Arial" w:hAnsi="Arial" w:cs="Arial"/>
                <w:bCs/>
                <w:sz w:val="20"/>
                <w:szCs w:val="20"/>
              </w:rPr>
            </w:pPr>
            <w:r w:rsidRPr="00432ADD">
              <w:rPr>
                <w:rFonts w:ascii="Arial" w:hAnsi="Arial" w:cs="Arial"/>
                <w:bCs/>
                <w:sz w:val="20"/>
                <w:szCs w:val="20"/>
              </w:rPr>
              <w:t xml:space="preserve">↓ EBR </w:t>
            </w:r>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GZR</w:t>
            </w:r>
          </w:p>
          <w:p w:rsidR="00432ADD" w:rsidRPr="00432ADD" w:rsidRDefault="00432ADD" w:rsidP="0072744D">
            <w:pPr>
              <w:pStyle w:val="Default"/>
              <w:rPr>
                <w:rFonts w:ascii="Arial" w:hAnsi="Arial" w:cs="Arial"/>
                <w:b/>
                <w:bCs/>
                <w:sz w:val="20"/>
                <w:szCs w:val="20"/>
              </w:rPr>
            </w:pPr>
          </w:p>
        </w:tc>
        <w:tc>
          <w:tcPr>
            <w:tcW w:w="5391" w:type="dxa"/>
            <w:shd w:val="clear" w:color="auto" w:fill="auto"/>
          </w:tcPr>
          <w:p w:rsidR="00432ADD" w:rsidRPr="00432ADD" w:rsidRDefault="00432ADD" w:rsidP="00B808F4">
            <w:pPr>
              <w:pStyle w:val="Default"/>
              <w:rPr>
                <w:rFonts w:ascii="Arial" w:hAnsi="Arial" w:cs="Arial"/>
                <w:bCs/>
                <w:sz w:val="20"/>
                <w:szCs w:val="20"/>
              </w:rPr>
            </w:pPr>
            <w:r w:rsidRPr="00432ADD">
              <w:rPr>
                <w:rFonts w:ascii="Arial" w:hAnsi="Arial" w:cs="Arial"/>
                <w:sz w:val="20"/>
                <w:szCs w:val="20"/>
              </w:rPr>
              <w:t xml:space="preserve">Co-administration of </w:t>
            </w:r>
            <w:r w:rsidR="000D7FE6">
              <w:rPr>
                <w:rFonts w:ascii="Arial" w:hAnsi="Arial" w:cs="Arial"/>
                <w:sz w:val="20"/>
                <w:szCs w:val="20"/>
              </w:rPr>
              <w:t>ZEPATIER</w:t>
            </w:r>
            <w:r w:rsidRPr="00432ADD">
              <w:rPr>
                <w:rFonts w:ascii="Arial" w:hAnsi="Arial" w:cs="Arial"/>
                <w:sz w:val="20"/>
                <w:szCs w:val="20"/>
              </w:rPr>
              <w:t xml:space="preserve"> with St. John’s </w:t>
            </w:r>
            <w:proofErr w:type="spellStart"/>
            <w:r w:rsidRPr="00432ADD">
              <w:rPr>
                <w:rFonts w:ascii="Arial" w:hAnsi="Arial" w:cs="Arial"/>
                <w:sz w:val="20"/>
                <w:szCs w:val="20"/>
              </w:rPr>
              <w:t>Wort</w:t>
            </w:r>
            <w:proofErr w:type="spellEnd"/>
            <w:r w:rsidRPr="00432ADD">
              <w:rPr>
                <w:rFonts w:ascii="Arial" w:hAnsi="Arial" w:cs="Arial"/>
                <w:sz w:val="20"/>
                <w:szCs w:val="20"/>
              </w:rPr>
              <w:t xml:space="preserve">, a strong CYP3A inducer, may decrease </w:t>
            </w:r>
            <w:r w:rsidR="00CF4E61" w:rsidRPr="00432ADD">
              <w:rPr>
                <w:rFonts w:ascii="Arial" w:hAnsi="Arial" w:cs="Arial"/>
                <w:sz w:val="20"/>
                <w:szCs w:val="20"/>
              </w:rPr>
              <w:t xml:space="preserve">EBR </w:t>
            </w:r>
            <w:r w:rsidR="00CF4E61">
              <w:rPr>
                <w:rFonts w:ascii="Arial" w:hAnsi="Arial" w:cs="Arial"/>
                <w:sz w:val="20"/>
                <w:szCs w:val="20"/>
              </w:rPr>
              <w:t xml:space="preserve">and </w:t>
            </w:r>
            <w:r w:rsidRPr="00432ADD">
              <w:rPr>
                <w:rFonts w:ascii="Arial" w:hAnsi="Arial" w:cs="Arial"/>
                <w:sz w:val="20"/>
                <w:szCs w:val="20"/>
              </w:rPr>
              <w:t xml:space="preserve">GZR concentrations, leading to reduced therapeutic effect of </w:t>
            </w:r>
            <w:r w:rsidR="000D7FE6">
              <w:rPr>
                <w:rFonts w:ascii="Arial" w:hAnsi="Arial" w:cs="Arial"/>
                <w:sz w:val="20"/>
                <w:szCs w:val="20"/>
              </w:rPr>
              <w:t>ZEPATIER</w:t>
            </w:r>
            <w:r w:rsidRPr="00432ADD">
              <w:rPr>
                <w:rFonts w:ascii="Arial" w:hAnsi="Arial" w:cs="Arial"/>
                <w:sz w:val="20"/>
                <w:szCs w:val="20"/>
              </w:rPr>
              <w:t xml:space="preserve">. </w:t>
            </w:r>
            <w:r w:rsidRPr="00432ADD">
              <w:rPr>
                <w:rFonts w:ascii="Arial" w:hAnsi="Arial" w:cs="Arial"/>
                <w:bCs/>
                <w:sz w:val="20"/>
                <w:szCs w:val="20"/>
              </w:rPr>
              <w:t>Co-administration is</w:t>
            </w:r>
            <w:r w:rsidR="00B7112C">
              <w:rPr>
                <w:rFonts w:ascii="Arial" w:hAnsi="Arial" w:cs="Arial"/>
                <w:bCs/>
                <w:sz w:val="20"/>
                <w:szCs w:val="20"/>
              </w:rPr>
              <w:t xml:space="preserve"> contraindicated</w:t>
            </w:r>
            <w:r w:rsidRPr="00432ADD">
              <w:rPr>
                <w:rFonts w:ascii="Arial" w:hAnsi="Arial" w:cs="Arial"/>
                <w:bCs/>
                <w:sz w:val="20"/>
                <w:szCs w:val="20"/>
              </w:rPr>
              <w:t>.</w:t>
            </w:r>
          </w:p>
        </w:tc>
      </w:tr>
      <w:tr w:rsidR="00432ADD" w:rsidRPr="00432ADD" w:rsidTr="0072744D">
        <w:tc>
          <w:tcPr>
            <w:tcW w:w="9468" w:type="dxa"/>
            <w:gridSpan w:val="3"/>
            <w:shd w:val="clear" w:color="auto" w:fill="auto"/>
          </w:tcPr>
          <w:p w:rsidR="00432ADD" w:rsidRPr="00432ADD" w:rsidRDefault="00432ADD" w:rsidP="0072744D">
            <w:pPr>
              <w:pStyle w:val="Default"/>
              <w:rPr>
                <w:rFonts w:ascii="Arial" w:hAnsi="Arial" w:cs="Arial"/>
                <w:b/>
                <w:bCs/>
                <w:sz w:val="20"/>
                <w:szCs w:val="20"/>
              </w:rPr>
            </w:pPr>
            <w:r w:rsidRPr="00432ADD">
              <w:rPr>
                <w:rFonts w:ascii="Arial" w:hAnsi="Arial" w:cs="Arial"/>
                <w:b/>
                <w:bCs/>
                <w:sz w:val="20"/>
                <w:szCs w:val="20"/>
              </w:rPr>
              <w:t>HIV Medications:</w:t>
            </w:r>
          </w:p>
        </w:tc>
      </w:tr>
      <w:tr w:rsidR="00B7112C" w:rsidRPr="00432ADD" w:rsidTr="000D6E58">
        <w:tc>
          <w:tcPr>
            <w:tcW w:w="2376" w:type="dxa"/>
            <w:shd w:val="clear" w:color="auto" w:fill="auto"/>
          </w:tcPr>
          <w:p w:rsidR="00B7112C" w:rsidRPr="00432ADD" w:rsidRDefault="00B7112C" w:rsidP="00B7112C">
            <w:pPr>
              <w:pStyle w:val="Default"/>
              <w:rPr>
                <w:rFonts w:ascii="Arial" w:hAnsi="Arial" w:cs="Arial"/>
                <w:bCs/>
                <w:sz w:val="20"/>
                <w:szCs w:val="20"/>
              </w:rPr>
            </w:pPr>
            <w:proofErr w:type="spellStart"/>
            <w:r w:rsidRPr="00432ADD">
              <w:rPr>
                <w:rFonts w:ascii="Arial" w:hAnsi="Arial" w:cs="Arial"/>
                <w:bCs/>
                <w:sz w:val="20"/>
                <w:szCs w:val="20"/>
              </w:rPr>
              <w:t>efavirenz</w:t>
            </w:r>
            <w:proofErr w:type="spellEnd"/>
            <w:r w:rsidRPr="00432ADD">
              <w:rPr>
                <w:rFonts w:ascii="Arial" w:hAnsi="Arial" w:cs="Arial"/>
                <w:bCs/>
                <w:sz w:val="20"/>
                <w:szCs w:val="20"/>
                <w:vertAlign w:val="superscript"/>
              </w:rPr>
              <w:t>‡</w:t>
            </w:r>
          </w:p>
          <w:p w:rsidR="00B7112C" w:rsidRPr="00432ADD" w:rsidRDefault="00B7112C" w:rsidP="0072744D">
            <w:pPr>
              <w:pStyle w:val="Default"/>
              <w:rPr>
                <w:rFonts w:ascii="Arial" w:hAnsi="Arial" w:cs="Arial"/>
                <w:bCs/>
                <w:sz w:val="20"/>
                <w:szCs w:val="20"/>
              </w:rPr>
            </w:pPr>
          </w:p>
        </w:tc>
        <w:tc>
          <w:tcPr>
            <w:tcW w:w="1701" w:type="dxa"/>
            <w:shd w:val="clear" w:color="auto" w:fill="auto"/>
          </w:tcPr>
          <w:p w:rsidR="00B7112C" w:rsidRDefault="00B7112C" w:rsidP="00B7112C">
            <w:pPr>
              <w:pStyle w:val="Default"/>
              <w:rPr>
                <w:rFonts w:ascii="Arial" w:hAnsi="Arial" w:cs="Arial"/>
                <w:bCs/>
                <w:sz w:val="20"/>
                <w:szCs w:val="20"/>
              </w:rPr>
            </w:pPr>
            <w:r w:rsidRPr="00432ADD">
              <w:rPr>
                <w:rFonts w:ascii="Arial" w:hAnsi="Arial" w:cs="Arial"/>
                <w:bCs/>
                <w:sz w:val="20"/>
                <w:szCs w:val="20"/>
              </w:rPr>
              <w:t xml:space="preserve">↓ EBR </w:t>
            </w:r>
          </w:p>
          <w:p w:rsidR="00B7112C" w:rsidRPr="00432ADD" w:rsidRDefault="00B7112C" w:rsidP="00B7112C">
            <w:pPr>
              <w:pStyle w:val="Default"/>
              <w:rPr>
                <w:rFonts w:ascii="Arial" w:hAnsi="Arial" w:cs="Arial"/>
                <w:bCs/>
                <w:sz w:val="20"/>
                <w:szCs w:val="20"/>
              </w:rPr>
            </w:pPr>
            <w:r w:rsidRPr="00432ADD">
              <w:rPr>
                <w:rFonts w:ascii="Arial" w:hAnsi="Arial" w:cs="Arial"/>
                <w:bCs/>
                <w:sz w:val="20"/>
                <w:szCs w:val="20"/>
              </w:rPr>
              <w:t>↓ GZR</w:t>
            </w:r>
          </w:p>
          <w:p w:rsidR="00B7112C" w:rsidRPr="00432ADD" w:rsidRDefault="00B7112C" w:rsidP="0072744D">
            <w:pPr>
              <w:pStyle w:val="Default"/>
              <w:rPr>
                <w:rFonts w:ascii="Arial" w:hAnsi="Arial" w:cs="Arial"/>
                <w:bCs/>
                <w:sz w:val="20"/>
                <w:szCs w:val="20"/>
              </w:rPr>
            </w:pPr>
          </w:p>
        </w:tc>
        <w:tc>
          <w:tcPr>
            <w:tcW w:w="5391" w:type="dxa"/>
            <w:shd w:val="clear" w:color="auto" w:fill="auto"/>
          </w:tcPr>
          <w:p w:rsidR="00B7112C" w:rsidRPr="00432ADD" w:rsidRDefault="00B7112C" w:rsidP="00C16811">
            <w:pPr>
              <w:pStyle w:val="Default"/>
              <w:rPr>
                <w:rFonts w:ascii="Arial" w:hAnsi="Arial" w:cs="Arial"/>
                <w:sz w:val="20"/>
                <w:szCs w:val="20"/>
              </w:rPr>
            </w:pPr>
            <w:r w:rsidRPr="00432ADD">
              <w:rPr>
                <w:rFonts w:ascii="Arial" w:hAnsi="Arial" w:cs="Arial"/>
                <w:sz w:val="20"/>
                <w:szCs w:val="20"/>
              </w:rPr>
              <w:t xml:space="preserve">Co-administration of </w:t>
            </w:r>
            <w:r>
              <w:rPr>
                <w:rFonts w:ascii="Arial" w:hAnsi="Arial" w:cs="Arial"/>
                <w:sz w:val="20"/>
                <w:szCs w:val="20"/>
              </w:rPr>
              <w:t>ZEPATIER</w:t>
            </w:r>
            <w:r w:rsidRPr="00432ADD">
              <w:rPr>
                <w:rFonts w:ascii="Arial" w:hAnsi="Arial" w:cs="Arial"/>
                <w:sz w:val="20"/>
                <w:szCs w:val="20"/>
              </w:rPr>
              <w:t xml:space="preserve"> with </w:t>
            </w:r>
            <w:proofErr w:type="spellStart"/>
            <w:r w:rsidRPr="00432ADD">
              <w:rPr>
                <w:rFonts w:ascii="Arial" w:hAnsi="Arial" w:cs="Arial"/>
                <w:sz w:val="20"/>
                <w:szCs w:val="20"/>
              </w:rPr>
              <w:t>efavirenz</w:t>
            </w:r>
            <w:proofErr w:type="spellEnd"/>
            <w:r w:rsidRPr="00432ADD">
              <w:rPr>
                <w:rFonts w:ascii="Arial" w:hAnsi="Arial" w:cs="Arial"/>
                <w:sz w:val="20"/>
                <w:szCs w:val="20"/>
              </w:rPr>
              <w:t xml:space="preserve"> decrease</w:t>
            </w:r>
            <w:r w:rsidR="00C16811">
              <w:rPr>
                <w:rFonts w:ascii="Arial" w:hAnsi="Arial" w:cs="Arial"/>
                <w:sz w:val="20"/>
                <w:szCs w:val="20"/>
              </w:rPr>
              <w:t>s</w:t>
            </w:r>
            <w:r w:rsidRPr="00432ADD">
              <w:rPr>
                <w:rFonts w:ascii="Arial" w:hAnsi="Arial" w:cs="Arial"/>
                <w:sz w:val="20"/>
                <w:szCs w:val="20"/>
              </w:rPr>
              <w:t xml:space="preserve"> EBR </w:t>
            </w:r>
            <w:r>
              <w:rPr>
                <w:rFonts w:ascii="Arial" w:hAnsi="Arial" w:cs="Arial"/>
                <w:sz w:val="20"/>
                <w:szCs w:val="20"/>
              </w:rPr>
              <w:t xml:space="preserve">and </w:t>
            </w:r>
            <w:r w:rsidRPr="00432ADD">
              <w:rPr>
                <w:rFonts w:ascii="Arial" w:hAnsi="Arial" w:cs="Arial"/>
                <w:sz w:val="20"/>
                <w:szCs w:val="20"/>
              </w:rPr>
              <w:t>GZR concentrations</w:t>
            </w:r>
            <w:r>
              <w:rPr>
                <w:rFonts w:ascii="Arial" w:hAnsi="Arial" w:cs="Arial"/>
                <w:sz w:val="20"/>
                <w:szCs w:val="20"/>
              </w:rPr>
              <w:t xml:space="preserve"> caused by CYP3A induction</w:t>
            </w:r>
            <w:r w:rsidRPr="00432ADD">
              <w:rPr>
                <w:rFonts w:ascii="Arial" w:hAnsi="Arial" w:cs="Arial"/>
                <w:sz w:val="20"/>
                <w:szCs w:val="20"/>
              </w:rPr>
              <w:t xml:space="preserve">, leading to reduced therapeutic effect of </w:t>
            </w:r>
            <w:r>
              <w:rPr>
                <w:rFonts w:ascii="Arial" w:hAnsi="Arial" w:cs="Arial"/>
                <w:sz w:val="20"/>
                <w:szCs w:val="20"/>
              </w:rPr>
              <w:t>ZEPATIER</w:t>
            </w:r>
            <w:r w:rsidRPr="00432ADD">
              <w:rPr>
                <w:rFonts w:ascii="Arial" w:hAnsi="Arial" w:cs="Arial"/>
                <w:sz w:val="20"/>
                <w:szCs w:val="20"/>
              </w:rPr>
              <w:t xml:space="preserve">. </w:t>
            </w:r>
            <w:r w:rsidRPr="00432ADD">
              <w:rPr>
                <w:rFonts w:ascii="Arial" w:hAnsi="Arial" w:cs="Arial"/>
                <w:bCs/>
                <w:sz w:val="20"/>
                <w:szCs w:val="20"/>
              </w:rPr>
              <w:t xml:space="preserve">Co-administration is </w:t>
            </w:r>
            <w:r>
              <w:rPr>
                <w:rFonts w:ascii="Arial" w:hAnsi="Arial" w:cs="Arial"/>
                <w:bCs/>
                <w:sz w:val="20"/>
                <w:szCs w:val="20"/>
              </w:rPr>
              <w:t>contraindicated</w:t>
            </w:r>
            <w:r w:rsidRPr="00432ADD">
              <w:rPr>
                <w:rFonts w:ascii="Arial" w:hAnsi="Arial" w:cs="Arial"/>
                <w:bCs/>
                <w:sz w:val="20"/>
                <w:szCs w:val="20"/>
              </w:rPr>
              <w:t>.</w:t>
            </w:r>
          </w:p>
        </w:tc>
      </w:tr>
      <w:tr w:rsidR="00432ADD" w:rsidRPr="00432ADD" w:rsidTr="000D6E58">
        <w:tc>
          <w:tcPr>
            <w:tcW w:w="2376" w:type="dxa"/>
            <w:shd w:val="clear" w:color="auto" w:fill="auto"/>
          </w:tcPr>
          <w:p w:rsidR="00432ADD" w:rsidRPr="00432ADD" w:rsidRDefault="00432ADD" w:rsidP="0072744D">
            <w:pPr>
              <w:pStyle w:val="Default"/>
              <w:rPr>
                <w:rFonts w:ascii="Arial" w:hAnsi="Arial" w:cs="Arial"/>
                <w:bCs/>
                <w:sz w:val="20"/>
                <w:szCs w:val="20"/>
              </w:rPr>
            </w:pPr>
            <w:proofErr w:type="spellStart"/>
            <w:r w:rsidRPr="00432ADD">
              <w:rPr>
                <w:rFonts w:ascii="Arial" w:hAnsi="Arial" w:cs="Arial"/>
                <w:bCs/>
                <w:sz w:val="20"/>
                <w:szCs w:val="20"/>
              </w:rPr>
              <w:t>etravirine</w:t>
            </w:r>
            <w:proofErr w:type="spellEnd"/>
          </w:p>
        </w:tc>
        <w:tc>
          <w:tcPr>
            <w:tcW w:w="1701" w:type="dxa"/>
            <w:shd w:val="clear" w:color="auto" w:fill="auto"/>
          </w:tcPr>
          <w:p w:rsidR="00CF4E61" w:rsidRDefault="00CF4E61" w:rsidP="0072744D">
            <w:pPr>
              <w:pStyle w:val="Default"/>
              <w:rPr>
                <w:rFonts w:ascii="Arial" w:hAnsi="Arial" w:cs="Arial"/>
                <w:bCs/>
                <w:sz w:val="20"/>
                <w:szCs w:val="20"/>
              </w:rPr>
            </w:pPr>
            <w:r w:rsidRPr="00432ADD">
              <w:rPr>
                <w:rFonts w:ascii="Arial" w:hAnsi="Arial" w:cs="Arial"/>
                <w:bCs/>
                <w:sz w:val="20"/>
                <w:szCs w:val="20"/>
              </w:rPr>
              <w:t xml:space="preserve">↓ EBR </w:t>
            </w:r>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GZR</w:t>
            </w:r>
          </w:p>
          <w:p w:rsidR="00432ADD" w:rsidRPr="00432ADD" w:rsidRDefault="00432ADD" w:rsidP="0072744D">
            <w:pPr>
              <w:pStyle w:val="Default"/>
              <w:rPr>
                <w:rFonts w:ascii="Arial" w:hAnsi="Arial" w:cs="Arial"/>
                <w:b/>
                <w:bCs/>
                <w:sz w:val="20"/>
                <w:szCs w:val="20"/>
              </w:rPr>
            </w:pPr>
          </w:p>
        </w:tc>
        <w:tc>
          <w:tcPr>
            <w:tcW w:w="5391" w:type="dxa"/>
            <w:shd w:val="clear" w:color="auto" w:fill="auto"/>
          </w:tcPr>
          <w:p w:rsidR="00432ADD" w:rsidRPr="00432ADD" w:rsidRDefault="00432ADD" w:rsidP="000D6E58">
            <w:pPr>
              <w:pStyle w:val="Default"/>
              <w:rPr>
                <w:rFonts w:ascii="Arial" w:hAnsi="Arial" w:cs="Arial"/>
                <w:bCs/>
                <w:sz w:val="20"/>
                <w:szCs w:val="20"/>
              </w:rPr>
            </w:pPr>
            <w:r w:rsidRPr="00432ADD">
              <w:rPr>
                <w:rFonts w:ascii="Arial" w:hAnsi="Arial" w:cs="Arial"/>
                <w:sz w:val="20"/>
                <w:szCs w:val="20"/>
              </w:rPr>
              <w:t xml:space="preserve">Co-administration of </w:t>
            </w:r>
            <w:r w:rsidR="00B7112C">
              <w:rPr>
                <w:rFonts w:ascii="Arial" w:hAnsi="Arial" w:cs="Arial"/>
                <w:sz w:val="20"/>
                <w:szCs w:val="20"/>
              </w:rPr>
              <w:t xml:space="preserve">ZEPATIER </w:t>
            </w:r>
            <w:r w:rsidRPr="00432ADD">
              <w:rPr>
                <w:rFonts w:ascii="Arial" w:hAnsi="Arial" w:cs="Arial"/>
                <w:sz w:val="20"/>
                <w:szCs w:val="20"/>
              </w:rPr>
              <w:t xml:space="preserve">with </w:t>
            </w:r>
            <w:proofErr w:type="spellStart"/>
            <w:r w:rsidRPr="00432ADD">
              <w:rPr>
                <w:rFonts w:ascii="Arial" w:hAnsi="Arial" w:cs="Arial"/>
                <w:sz w:val="20"/>
                <w:szCs w:val="20"/>
              </w:rPr>
              <w:t>etravirine</w:t>
            </w:r>
            <w:proofErr w:type="spellEnd"/>
            <w:r w:rsidRPr="00432ADD">
              <w:rPr>
                <w:rFonts w:ascii="Arial" w:hAnsi="Arial" w:cs="Arial"/>
                <w:sz w:val="20"/>
                <w:szCs w:val="20"/>
              </w:rPr>
              <w:t xml:space="preserve">, </w:t>
            </w:r>
            <w:r w:rsidR="00B7112C">
              <w:rPr>
                <w:rFonts w:ascii="Arial" w:hAnsi="Arial" w:cs="Arial"/>
                <w:sz w:val="20"/>
                <w:szCs w:val="20"/>
              </w:rPr>
              <w:t xml:space="preserve">a </w:t>
            </w:r>
            <w:r w:rsidRPr="00432ADD">
              <w:rPr>
                <w:rFonts w:ascii="Arial" w:hAnsi="Arial" w:cs="Arial"/>
                <w:sz w:val="20"/>
                <w:szCs w:val="20"/>
              </w:rPr>
              <w:t xml:space="preserve">moderate CYP3A inducer, </w:t>
            </w:r>
            <w:r w:rsidR="000D6E58">
              <w:rPr>
                <w:rFonts w:ascii="Arial" w:hAnsi="Arial" w:cs="Arial"/>
                <w:sz w:val="20"/>
                <w:szCs w:val="20"/>
              </w:rPr>
              <w:t xml:space="preserve">may </w:t>
            </w:r>
            <w:r w:rsidRPr="00432ADD">
              <w:rPr>
                <w:rFonts w:ascii="Arial" w:hAnsi="Arial" w:cs="Arial"/>
                <w:sz w:val="20"/>
                <w:szCs w:val="20"/>
              </w:rPr>
              <w:t xml:space="preserve">decrease </w:t>
            </w:r>
            <w:r w:rsidR="00CF4E61" w:rsidRPr="00432ADD">
              <w:rPr>
                <w:rFonts w:ascii="Arial" w:hAnsi="Arial" w:cs="Arial"/>
                <w:sz w:val="20"/>
                <w:szCs w:val="20"/>
              </w:rPr>
              <w:t xml:space="preserve">EBR </w:t>
            </w:r>
            <w:r w:rsidR="00CF4E61">
              <w:rPr>
                <w:rFonts w:ascii="Arial" w:hAnsi="Arial" w:cs="Arial"/>
                <w:sz w:val="20"/>
                <w:szCs w:val="20"/>
              </w:rPr>
              <w:t xml:space="preserve">and </w:t>
            </w:r>
            <w:r w:rsidRPr="00432ADD">
              <w:rPr>
                <w:rFonts w:ascii="Arial" w:hAnsi="Arial" w:cs="Arial"/>
                <w:sz w:val="20"/>
                <w:szCs w:val="20"/>
              </w:rPr>
              <w:t xml:space="preserve">GZR concentrations, leading to reduced therapeutic effect of </w:t>
            </w:r>
            <w:r w:rsidR="000D7FE6">
              <w:rPr>
                <w:rFonts w:ascii="Arial" w:hAnsi="Arial" w:cs="Arial"/>
                <w:sz w:val="20"/>
                <w:szCs w:val="20"/>
              </w:rPr>
              <w:t>ZEPATIER</w:t>
            </w:r>
            <w:r w:rsidRPr="00432ADD">
              <w:rPr>
                <w:rFonts w:ascii="Arial" w:hAnsi="Arial" w:cs="Arial"/>
                <w:sz w:val="20"/>
                <w:szCs w:val="20"/>
              </w:rPr>
              <w:t xml:space="preserve">. </w:t>
            </w:r>
            <w:r w:rsidRPr="00432ADD">
              <w:rPr>
                <w:rFonts w:ascii="Arial" w:hAnsi="Arial" w:cs="Arial"/>
                <w:bCs/>
                <w:sz w:val="20"/>
                <w:szCs w:val="20"/>
              </w:rPr>
              <w:t>Co-administration is not recommended.</w:t>
            </w:r>
          </w:p>
        </w:tc>
      </w:tr>
      <w:tr w:rsidR="002B7ECF" w:rsidRPr="00432ADD" w:rsidTr="000D6E58">
        <w:tc>
          <w:tcPr>
            <w:tcW w:w="2376" w:type="dxa"/>
            <w:shd w:val="clear" w:color="auto" w:fill="auto"/>
          </w:tcPr>
          <w:p w:rsidR="002B7ECF" w:rsidRPr="00432ADD" w:rsidRDefault="002B7ECF" w:rsidP="001352F3">
            <w:pPr>
              <w:pStyle w:val="Default"/>
              <w:spacing w:before="120" w:after="120"/>
              <w:rPr>
                <w:rFonts w:ascii="Arial" w:hAnsi="Arial" w:cs="Arial"/>
                <w:bCs/>
                <w:sz w:val="20"/>
                <w:szCs w:val="20"/>
              </w:rPr>
            </w:pPr>
            <w:proofErr w:type="spellStart"/>
            <w:r w:rsidRPr="005E256E">
              <w:rPr>
                <w:rFonts w:ascii="Arial" w:hAnsi="Arial" w:cs="Arial"/>
                <w:bCs/>
                <w:sz w:val="20"/>
                <w:szCs w:val="20"/>
              </w:rPr>
              <w:t>elvitegravir</w:t>
            </w:r>
            <w:proofErr w:type="spellEnd"/>
            <w:r w:rsidRPr="005E256E">
              <w:rPr>
                <w:rFonts w:ascii="Arial" w:hAnsi="Arial" w:cs="Arial"/>
                <w:bCs/>
                <w:sz w:val="20"/>
                <w:szCs w:val="20"/>
              </w:rPr>
              <w:t>/</w:t>
            </w:r>
            <w:proofErr w:type="spellStart"/>
            <w:r w:rsidRPr="005E256E">
              <w:rPr>
                <w:rFonts w:ascii="Arial" w:hAnsi="Arial" w:cs="Arial"/>
                <w:bCs/>
                <w:sz w:val="20"/>
                <w:szCs w:val="20"/>
              </w:rPr>
              <w:t>cobicistat</w:t>
            </w:r>
            <w:proofErr w:type="spellEnd"/>
            <w:r w:rsidRPr="005E256E">
              <w:rPr>
                <w:rFonts w:ascii="Arial" w:hAnsi="Arial" w:cs="Arial"/>
                <w:bCs/>
                <w:sz w:val="20"/>
                <w:szCs w:val="20"/>
              </w:rPr>
              <w:t>/</w:t>
            </w:r>
            <w:proofErr w:type="spellStart"/>
            <w:r w:rsidRPr="005E256E">
              <w:rPr>
                <w:rFonts w:ascii="Arial" w:hAnsi="Arial" w:cs="Arial"/>
                <w:bCs/>
                <w:sz w:val="20"/>
                <w:szCs w:val="20"/>
              </w:rPr>
              <w:t>emtricitabine</w:t>
            </w:r>
            <w:proofErr w:type="spellEnd"/>
            <w:r w:rsidRPr="005E256E">
              <w:rPr>
                <w:rFonts w:ascii="Arial" w:hAnsi="Arial" w:cs="Arial"/>
                <w:bCs/>
                <w:sz w:val="20"/>
                <w:szCs w:val="20"/>
              </w:rPr>
              <w:t>/</w:t>
            </w:r>
            <w:proofErr w:type="spellStart"/>
            <w:r w:rsidRPr="005E256E">
              <w:rPr>
                <w:rFonts w:ascii="Arial" w:hAnsi="Arial" w:cs="Arial"/>
                <w:bCs/>
                <w:sz w:val="20"/>
                <w:szCs w:val="20"/>
              </w:rPr>
              <w:t>tenofovir</w:t>
            </w:r>
            <w:proofErr w:type="spellEnd"/>
            <w:r w:rsidRPr="005E256E">
              <w:rPr>
                <w:rFonts w:ascii="Arial" w:hAnsi="Arial" w:cs="Arial"/>
                <w:bCs/>
                <w:sz w:val="20"/>
                <w:szCs w:val="20"/>
              </w:rPr>
              <w:t xml:space="preserve"> </w:t>
            </w:r>
            <w:proofErr w:type="spellStart"/>
            <w:r w:rsidRPr="005E256E">
              <w:rPr>
                <w:rFonts w:ascii="Arial" w:hAnsi="Arial" w:cs="Arial"/>
                <w:bCs/>
                <w:sz w:val="20"/>
                <w:szCs w:val="20"/>
              </w:rPr>
              <w:lastRenderedPageBreak/>
              <w:t>disoproxil</w:t>
            </w:r>
            <w:proofErr w:type="spellEnd"/>
            <w:r w:rsidRPr="005E256E">
              <w:rPr>
                <w:rFonts w:ascii="Arial" w:hAnsi="Arial" w:cs="Arial"/>
                <w:bCs/>
                <w:sz w:val="20"/>
                <w:szCs w:val="20"/>
              </w:rPr>
              <w:t xml:space="preserve"> </w:t>
            </w:r>
            <w:proofErr w:type="spellStart"/>
            <w:r w:rsidRPr="005E256E">
              <w:rPr>
                <w:rFonts w:ascii="Arial" w:hAnsi="Arial" w:cs="Arial"/>
                <w:bCs/>
                <w:sz w:val="20"/>
                <w:szCs w:val="20"/>
              </w:rPr>
              <w:t>fumarate</w:t>
            </w:r>
            <w:proofErr w:type="spellEnd"/>
            <w:r w:rsidRPr="005E256E">
              <w:rPr>
                <w:rFonts w:ascii="Arial" w:hAnsi="Arial" w:cs="Arial"/>
                <w:bCs/>
                <w:sz w:val="20"/>
                <w:szCs w:val="20"/>
              </w:rPr>
              <w:t xml:space="preserve">‡ or </w:t>
            </w:r>
            <w:proofErr w:type="spellStart"/>
            <w:r w:rsidRPr="005E256E">
              <w:rPr>
                <w:rFonts w:ascii="Arial" w:hAnsi="Arial" w:cs="Arial"/>
                <w:bCs/>
                <w:sz w:val="20"/>
                <w:szCs w:val="20"/>
              </w:rPr>
              <w:t>alafenamide</w:t>
            </w:r>
            <w:proofErr w:type="spellEnd"/>
            <w:r w:rsidRPr="005E256E">
              <w:rPr>
                <w:rFonts w:ascii="Arial" w:hAnsi="Arial" w:cs="Arial"/>
                <w:bCs/>
                <w:sz w:val="20"/>
                <w:szCs w:val="20"/>
              </w:rPr>
              <w:t xml:space="preserve"> (fixed-dose combination)</w:t>
            </w:r>
          </w:p>
        </w:tc>
        <w:tc>
          <w:tcPr>
            <w:tcW w:w="1701" w:type="dxa"/>
            <w:shd w:val="clear" w:color="auto" w:fill="auto"/>
          </w:tcPr>
          <w:p w:rsidR="002B7ECF" w:rsidRPr="00432ADD" w:rsidRDefault="002B7ECF" w:rsidP="002B7ECF">
            <w:pPr>
              <w:pStyle w:val="Default"/>
              <w:rPr>
                <w:rFonts w:ascii="Arial" w:hAnsi="Arial" w:cs="Arial"/>
                <w:bCs/>
                <w:sz w:val="20"/>
                <w:szCs w:val="20"/>
              </w:rPr>
            </w:pPr>
            <w:r w:rsidRPr="00432ADD">
              <w:rPr>
                <w:rFonts w:ascii="Arial" w:hAnsi="Arial" w:cs="Arial"/>
                <w:bCs/>
                <w:sz w:val="20"/>
                <w:szCs w:val="20"/>
              </w:rPr>
              <w:lastRenderedPageBreak/>
              <w:t>↑ GZR</w:t>
            </w:r>
          </w:p>
          <w:p w:rsidR="002B7ECF" w:rsidRPr="00432ADD" w:rsidRDefault="002B7ECF" w:rsidP="0072744D">
            <w:pPr>
              <w:pStyle w:val="Default"/>
              <w:rPr>
                <w:rFonts w:ascii="Arial" w:hAnsi="Arial" w:cs="Arial"/>
                <w:bCs/>
                <w:sz w:val="20"/>
                <w:szCs w:val="20"/>
              </w:rPr>
            </w:pPr>
            <w:r w:rsidRPr="00432ADD">
              <w:rPr>
                <w:rFonts w:ascii="Arial" w:hAnsi="Arial" w:cs="Arial"/>
                <w:bCs/>
                <w:sz w:val="20"/>
                <w:szCs w:val="20"/>
              </w:rPr>
              <w:t>↑ EBR</w:t>
            </w:r>
          </w:p>
        </w:tc>
        <w:tc>
          <w:tcPr>
            <w:tcW w:w="5391" w:type="dxa"/>
            <w:shd w:val="clear" w:color="auto" w:fill="auto"/>
          </w:tcPr>
          <w:p w:rsidR="002B7ECF" w:rsidRPr="00432ADD" w:rsidRDefault="002B7ECF" w:rsidP="00CF4E61">
            <w:pPr>
              <w:pStyle w:val="Default"/>
              <w:rPr>
                <w:rFonts w:ascii="Arial" w:hAnsi="Arial" w:cs="Arial"/>
                <w:sz w:val="20"/>
                <w:szCs w:val="20"/>
              </w:rPr>
            </w:pPr>
            <w:r w:rsidRPr="005E256E">
              <w:rPr>
                <w:rFonts w:ascii="Arial" w:hAnsi="Arial" w:cs="Arial"/>
                <w:bCs/>
                <w:sz w:val="20"/>
                <w:szCs w:val="20"/>
              </w:rPr>
              <w:t>Co</w:t>
            </w:r>
            <w:r w:rsidRPr="005E256E">
              <w:rPr>
                <w:rFonts w:ascii="Arial" w:hAnsi="Arial" w:cs="Arial"/>
                <w:bCs/>
                <w:sz w:val="20"/>
                <w:szCs w:val="20"/>
              </w:rPr>
              <w:noBreakHyphen/>
              <w:t xml:space="preserve">administration of ZEPATIER with the fixed-dose combination of </w:t>
            </w:r>
            <w:proofErr w:type="spellStart"/>
            <w:r w:rsidRPr="005E256E">
              <w:rPr>
                <w:rFonts w:ascii="Arial" w:hAnsi="Arial" w:cs="Arial"/>
                <w:bCs/>
                <w:sz w:val="20"/>
                <w:szCs w:val="20"/>
              </w:rPr>
              <w:t>elvitegravir</w:t>
            </w:r>
            <w:proofErr w:type="spellEnd"/>
            <w:r w:rsidRPr="005E256E">
              <w:rPr>
                <w:rFonts w:ascii="Arial" w:hAnsi="Arial" w:cs="Arial"/>
                <w:bCs/>
                <w:sz w:val="20"/>
                <w:szCs w:val="20"/>
              </w:rPr>
              <w:t>/</w:t>
            </w:r>
            <w:proofErr w:type="spellStart"/>
            <w:r w:rsidRPr="005E256E">
              <w:rPr>
                <w:rFonts w:ascii="Arial" w:hAnsi="Arial" w:cs="Arial"/>
                <w:bCs/>
                <w:sz w:val="20"/>
                <w:szCs w:val="20"/>
              </w:rPr>
              <w:t>cobicistat</w:t>
            </w:r>
            <w:proofErr w:type="spellEnd"/>
            <w:r w:rsidRPr="005E256E">
              <w:rPr>
                <w:rFonts w:ascii="Arial" w:hAnsi="Arial" w:cs="Arial"/>
                <w:bCs/>
                <w:sz w:val="20"/>
                <w:szCs w:val="20"/>
              </w:rPr>
              <w:t>/</w:t>
            </w:r>
            <w:proofErr w:type="spellStart"/>
            <w:r w:rsidRPr="005E256E">
              <w:rPr>
                <w:rFonts w:ascii="Arial" w:hAnsi="Arial" w:cs="Arial"/>
                <w:bCs/>
                <w:sz w:val="20"/>
                <w:szCs w:val="20"/>
              </w:rPr>
              <w:t>emtricitabine</w:t>
            </w:r>
            <w:proofErr w:type="spellEnd"/>
            <w:r w:rsidRPr="005E256E">
              <w:rPr>
                <w:rFonts w:ascii="Arial" w:hAnsi="Arial" w:cs="Arial"/>
                <w:bCs/>
                <w:sz w:val="20"/>
                <w:szCs w:val="20"/>
              </w:rPr>
              <w:t>/</w:t>
            </w:r>
            <w:r w:rsidR="00B808F4">
              <w:rPr>
                <w:rFonts w:ascii="Arial" w:hAnsi="Arial" w:cs="Arial"/>
                <w:bCs/>
                <w:sz w:val="20"/>
                <w:szCs w:val="20"/>
              </w:rPr>
              <w:t xml:space="preserve"> </w:t>
            </w:r>
            <w:proofErr w:type="spellStart"/>
            <w:r w:rsidRPr="005E256E">
              <w:rPr>
                <w:rFonts w:ascii="Arial" w:hAnsi="Arial" w:cs="Arial"/>
                <w:bCs/>
                <w:sz w:val="20"/>
                <w:szCs w:val="20"/>
              </w:rPr>
              <w:t>tenofovir</w:t>
            </w:r>
            <w:proofErr w:type="spellEnd"/>
            <w:r w:rsidRPr="005E256E">
              <w:rPr>
                <w:rFonts w:ascii="Arial" w:hAnsi="Arial" w:cs="Arial"/>
                <w:bCs/>
                <w:sz w:val="20"/>
                <w:szCs w:val="20"/>
              </w:rPr>
              <w:t xml:space="preserve"> </w:t>
            </w:r>
            <w:proofErr w:type="spellStart"/>
            <w:r w:rsidRPr="005E256E">
              <w:rPr>
                <w:rFonts w:ascii="Arial" w:hAnsi="Arial" w:cs="Arial"/>
                <w:bCs/>
                <w:sz w:val="20"/>
                <w:szCs w:val="20"/>
              </w:rPr>
              <w:t>disoproxil</w:t>
            </w:r>
            <w:proofErr w:type="spellEnd"/>
            <w:r w:rsidRPr="005E256E">
              <w:rPr>
                <w:rFonts w:ascii="Arial" w:hAnsi="Arial" w:cs="Arial"/>
                <w:bCs/>
                <w:sz w:val="20"/>
                <w:szCs w:val="20"/>
              </w:rPr>
              <w:t xml:space="preserve"> </w:t>
            </w:r>
            <w:proofErr w:type="spellStart"/>
            <w:r w:rsidRPr="005E256E">
              <w:rPr>
                <w:rFonts w:ascii="Arial" w:hAnsi="Arial" w:cs="Arial"/>
                <w:bCs/>
                <w:sz w:val="20"/>
                <w:szCs w:val="20"/>
              </w:rPr>
              <w:t>fumarate</w:t>
            </w:r>
            <w:proofErr w:type="spellEnd"/>
            <w:r w:rsidRPr="005E256E">
              <w:rPr>
                <w:rFonts w:ascii="Arial" w:hAnsi="Arial" w:cs="Arial"/>
                <w:bCs/>
                <w:sz w:val="20"/>
                <w:szCs w:val="20"/>
              </w:rPr>
              <w:t xml:space="preserve"> or </w:t>
            </w:r>
            <w:proofErr w:type="spellStart"/>
            <w:r w:rsidRPr="005E256E">
              <w:rPr>
                <w:rFonts w:ascii="Arial" w:hAnsi="Arial" w:cs="Arial"/>
                <w:bCs/>
                <w:sz w:val="20"/>
                <w:szCs w:val="20"/>
              </w:rPr>
              <w:t>alafenamide</w:t>
            </w:r>
            <w:proofErr w:type="spellEnd"/>
            <w:r w:rsidRPr="005E256E">
              <w:rPr>
                <w:rFonts w:ascii="Arial" w:hAnsi="Arial" w:cs="Arial"/>
                <w:bCs/>
                <w:sz w:val="20"/>
                <w:szCs w:val="20"/>
              </w:rPr>
              <w:t xml:space="preserve"> resulted </w:t>
            </w:r>
            <w:r w:rsidR="00E00C3C">
              <w:rPr>
                <w:rFonts w:ascii="Arial" w:hAnsi="Arial" w:cs="Arial"/>
                <w:bCs/>
                <w:sz w:val="20"/>
                <w:szCs w:val="20"/>
              </w:rPr>
              <w:t xml:space="preserve">or </w:t>
            </w:r>
            <w:r w:rsidR="00E00C3C">
              <w:rPr>
                <w:rFonts w:ascii="Arial" w:hAnsi="Arial" w:cs="Arial"/>
                <w:bCs/>
                <w:sz w:val="20"/>
                <w:szCs w:val="20"/>
              </w:rPr>
              <w:lastRenderedPageBreak/>
              <w:t xml:space="preserve">may result </w:t>
            </w:r>
            <w:r w:rsidRPr="005E256E">
              <w:rPr>
                <w:rFonts w:ascii="Arial" w:hAnsi="Arial" w:cs="Arial"/>
                <w:bCs/>
                <w:sz w:val="20"/>
                <w:szCs w:val="20"/>
              </w:rPr>
              <w:t>in increases in EBR and GZR concentrations. Co</w:t>
            </w:r>
            <w:r w:rsidRPr="005E256E">
              <w:rPr>
                <w:rFonts w:ascii="Arial" w:hAnsi="Arial" w:cs="Arial"/>
                <w:bCs/>
                <w:sz w:val="20"/>
                <w:szCs w:val="20"/>
              </w:rPr>
              <w:noBreakHyphen/>
              <w:t>administration with ZEPATIER is not recommended.</w:t>
            </w:r>
          </w:p>
        </w:tc>
      </w:tr>
      <w:tr w:rsidR="00432ADD" w:rsidRPr="00432ADD" w:rsidTr="000D6E58">
        <w:tc>
          <w:tcPr>
            <w:tcW w:w="2376" w:type="dxa"/>
            <w:shd w:val="clear" w:color="auto" w:fill="auto"/>
          </w:tcPr>
          <w:p w:rsidR="00432ADD" w:rsidRPr="00432ADD" w:rsidRDefault="00432ADD" w:rsidP="0072744D">
            <w:pPr>
              <w:pStyle w:val="Default"/>
              <w:rPr>
                <w:rFonts w:ascii="Arial" w:hAnsi="Arial" w:cs="Arial"/>
                <w:bCs/>
                <w:sz w:val="20"/>
                <w:szCs w:val="20"/>
              </w:rPr>
            </w:pPr>
            <w:proofErr w:type="spellStart"/>
            <w:r w:rsidRPr="00432ADD">
              <w:rPr>
                <w:rFonts w:ascii="Arial" w:hAnsi="Arial" w:cs="Arial"/>
                <w:bCs/>
                <w:sz w:val="20"/>
                <w:szCs w:val="20"/>
              </w:rPr>
              <w:lastRenderedPageBreak/>
              <w:t>atazanavir</w:t>
            </w:r>
            <w:proofErr w:type="spellEnd"/>
            <w:r w:rsidR="00E00C3C" w:rsidRPr="00432ADD" w:rsidDel="00E00C3C">
              <w:rPr>
                <w:rFonts w:ascii="Arial" w:hAnsi="Arial" w:cs="Arial"/>
                <w:bCs/>
                <w:sz w:val="20"/>
                <w:szCs w:val="20"/>
              </w:rPr>
              <w:t xml:space="preserve"> </w:t>
            </w:r>
            <w:r w:rsidRPr="00432ADD">
              <w:rPr>
                <w:rFonts w:ascii="Arial" w:hAnsi="Arial" w:cs="Arial"/>
                <w:bCs/>
                <w:sz w:val="20"/>
                <w:szCs w:val="20"/>
                <w:vertAlign w:val="superscript"/>
              </w:rPr>
              <w:t>‡</w:t>
            </w:r>
          </w:p>
          <w:p w:rsidR="00432ADD" w:rsidRPr="00432ADD" w:rsidRDefault="00432ADD" w:rsidP="0072744D">
            <w:pPr>
              <w:pStyle w:val="Default"/>
              <w:rPr>
                <w:rFonts w:ascii="Arial" w:hAnsi="Arial" w:cs="Arial"/>
                <w:bCs/>
                <w:sz w:val="20"/>
                <w:szCs w:val="20"/>
              </w:rPr>
            </w:pPr>
            <w:proofErr w:type="spellStart"/>
            <w:r w:rsidRPr="00432ADD">
              <w:rPr>
                <w:rFonts w:ascii="Arial" w:hAnsi="Arial" w:cs="Arial"/>
                <w:bCs/>
                <w:sz w:val="20"/>
                <w:szCs w:val="20"/>
              </w:rPr>
              <w:t>darunavir</w:t>
            </w:r>
            <w:proofErr w:type="spellEnd"/>
            <w:r w:rsidR="00E00C3C" w:rsidRPr="00432ADD" w:rsidDel="00E00C3C">
              <w:rPr>
                <w:rFonts w:ascii="Arial" w:hAnsi="Arial" w:cs="Arial"/>
                <w:bCs/>
                <w:sz w:val="20"/>
                <w:szCs w:val="20"/>
              </w:rPr>
              <w:t xml:space="preserve"> </w:t>
            </w:r>
            <w:r w:rsidRPr="00432ADD">
              <w:rPr>
                <w:rFonts w:ascii="Arial" w:hAnsi="Arial" w:cs="Arial"/>
                <w:bCs/>
                <w:sz w:val="20"/>
                <w:szCs w:val="20"/>
                <w:vertAlign w:val="superscript"/>
              </w:rPr>
              <w:t>‡</w:t>
            </w:r>
          </w:p>
          <w:p w:rsidR="00432ADD" w:rsidRPr="00432ADD" w:rsidRDefault="00432ADD" w:rsidP="0072744D">
            <w:pPr>
              <w:pStyle w:val="Default"/>
              <w:rPr>
                <w:rFonts w:ascii="Arial" w:hAnsi="Arial" w:cs="Arial"/>
                <w:bCs/>
                <w:sz w:val="20"/>
                <w:szCs w:val="20"/>
                <w:vertAlign w:val="superscript"/>
              </w:rPr>
            </w:pPr>
            <w:proofErr w:type="spellStart"/>
            <w:r w:rsidRPr="00432ADD">
              <w:rPr>
                <w:rFonts w:ascii="Arial" w:hAnsi="Arial" w:cs="Arial"/>
                <w:bCs/>
                <w:sz w:val="20"/>
                <w:szCs w:val="20"/>
              </w:rPr>
              <w:t>lopinavir</w:t>
            </w:r>
            <w:proofErr w:type="spellEnd"/>
            <w:r w:rsidR="00E00C3C" w:rsidRPr="00432ADD" w:rsidDel="00E00C3C">
              <w:rPr>
                <w:rFonts w:ascii="Arial" w:hAnsi="Arial" w:cs="Arial"/>
                <w:bCs/>
                <w:sz w:val="20"/>
                <w:szCs w:val="20"/>
              </w:rPr>
              <w:t xml:space="preserve"> </w:t>
            </w:r>
            <w:r w:rsidRPr="00432ADD">
              <w:rPr>
                <w:rFonts w:ascii="Arial" w:hAnsi="Arial" w:cs="Arial"/>
                <w:bCs/>
                <w:sz w:val="20"/>
                <w:szCs w:val="20"/>
                <w:vertAlign w:val="superscript"/>
              </w:rPr>
              <w:t>‡</w:t>
            </w:r>
          </w:p>
          <w:p w:rsidR="00432ADD" w:rsidRPr="00432ADD" w:rsidRDefault="00432ADD" w:rsidP="0072744D">
            <w:pPr>
              <w:pStyle w:val="Default"/>
              <w:rPr>
                <w:rFonts w:ascii="Arial" w:hAnsi="Arial" w:cs="Arial"/>
                <w:sz w:val="20"/>
                <w:szCs w:val="20"/>
              </w:rPr>
            </w:pPr>
            <w:proofErr w:type="spellStart"/>
            <w:r w:rsidRPr="00432ADD">
              <w:rPr>
                <w:rFonts w:ascii="Arial" w:hAnsi="Arial" w:cs="Arial"/>
                <w:sz w:val="20"/>
                <w:szCs w:val="20"/>
              </w:rPr>
              <w:t>saquinavir</w:t>
            </w:r>
            <w:proofErr w:type="spellEnd"/>
          </w:p>
          <w:p w:rsidR="00432ADD" w:rsidRPr="00432ADD" w:rsidRDefault="00432ADD" w:rsidP="0072744D">
            <w:pPr>
              <w:pStyle w:val="Default"/>
              <w:rPr>
                <w:rFonts w:ascii="Arial" w:hAnsi="Arial" w:cs="Arial"/>
                <w:sz w:val="20"/>
                <w:szCs w:val="20"/>
              </w:rPr>
            </w:pPr>
            <w:proofErr w:type="spellStart"/>
            <w:r w:rsidRPr="00432ADD">
              <w:rPr>
                <w:rFonts w:ascii="Arial" w:hAnsi="Arial" w:cs="Arial"/>
                <w:sz w:val="20"/>
                <w:szCs w:val="20"/>
              </w:rPr>
              <w:t>tipranavir</w:t>
            </w:r>
            <w:proofErr w:type="spellEnd"/>
          </w:p>
          <w:p w:rsidR="00432ADD" w:rsidRPr="00432ADD" w:rsidRDefault="00432ADD" w:rsidP="0072744D">
            <w:pPr>
              <w:pStyle w:val="Default"/>
              <w:rPr>
                <w:rFonts w:ascii="Arial" w:hAnsi="Arial" w:cs="Arial"/>
                <w:bCs/>
                <w:sz w:val="20"/>
                <w:szCs w:val="20"/>
              </w:rPr>
            </w:pPr>
          </w:p>
        </w:tc>
        <w:tc>
          <w:tcPr>
            <w:tcW w:w="1701" w:type="dxa"/>
            <w:shd w:val="clear" w:color="auto" w:fill="auto"/>
          </w:tcPr>
          <w:p w:rsidR="00CF4E61" w:rsidRDefault="00CF4E61" w:rsidP="0072744D">
            <w:pPr>
              <w:pStyle w:val="Default"/>
              <w:rPr>
                <w:rFonts w:ascii="Arial" w:hAnsi="Arial" w:cs="Arial"/>
                <w:bCs/>
                <w:sz w:val="20"/>
                <w:szCs w:val="20"/>
              </w:rPr>
            </w:pPr>
            <w:r w:rsidRPr="00432ADD">
              <w:rPr>
                <w:rFonts w:ascii="Arial" w:hAnsi="Arial" w:cs="Arial"/>
                <w:bCs/>
                <w:sz w:val="20"/>
                <w:szCs w:val="20"/>
              </w:rPr>
              <w:t xml:space="preserve">↑ EBR </w:t>
            </w:r>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GZR</w:t>
            </w:r>
          </w:p>
          <w:p w:rsidR="00432ADD" w:rsidRPr="00432ADD" w:rsidRDefault="00432ADD" w:rsidP="0072744D">
            <w:pPr>
              <w:pStyle w:val="Default"/>
              <w:rPr>
                <w:rFonts w:ascii="Arial" w:hAnsi="Arial" w:cs="Arial"/>
                <w:b/>
                <w:bCs/>
                <w:sz w:val="20"/>
                <w:szCs w:val="20"/>
              </w:rPr>
            </w:pPr>
          </w:p>
        </w:tc>
        <w:tc>
          <w:tcPr>
            <w:tcW w:w="5391" w:type="dxa"/>
            <w:shd w:val="clear" w:color="auto" w:fill="auto"/>
          </w:tcPr>
          <w:p w:rsidR="00432ADD" w:rsidRPr="00432ADD" w:rsidRDefault="00432ADD" w:rsidP="00B808F4">
            <w:pPr>
              <w:pStyle w:val="Default"/>
              <w:rPr>
                <w:rFonts w:ascii="Arial" w:hAnsi="Arial" w:cs="Arial"/>
                <w:bCs/>
                <w:sz w:val="20"/>
                <w:szCs w:val="20"/>
              </w:rPr>
            </w:pPr>
            <w:r w:rsidRPr="00432ADD">
              <w:rPr>
                <w:rFonts w:ascii="Arial" w:hAnsi="Arial" w:cs="Arial"/>
                <w:sz w:val="20"/>
                <w:szCs w:val="20"/>
              </w:rPr>
              <w:t xml:space="preserve">Concentrations of </w:t>
            </w:r>
            <w:r w:rsidR="00CF4E61" w:rsidRPr="00432ADD">
              <w:rPr>
                <w:rFonts w:ascii="Arial" w:hAnsi="Arial" w:cs="Arial"/>
                <w:sz w:val="20"/>
                <w:szCs w:val="20"/>
              </w:rPr>
              <w:t>EBR</w:t>
            </w:r>
            <w:r w:rsidR="00CF4E61">
              <w:rPr>
                <w:rFonts w:ascii="Arial" w:hAnsi="Arial" w:cs="Arial"/>
                <w:sz w:val="20"/>
                <w:szCs w:val="20"/>
              </w:rPr>
              <w:t xml:space="preserve"> and </w:t>
            </w:r>
            <w:r w:rsidRPr="00432ADD">
              <w:rPr>
                <w:rFonts w:ascii="Arial" w:hAnsi="Arial" w:cs="Arial"/>
                <w:sz w:val="20"/>
                <w:szCs w:val="20"/>
              </w:rPr>
              <w:t xml:space="preserve">GZR are increased or may increase when these HIV medications are co-administered with </w:t>
            </w:r>
            <w:proofErr w:type="gramStart"/>
            <w:r w:rsidR="00CF4E61" w:rsidRPr="00432ADD">
              <w:rPr>
                <w:rFonts w:ascii="Arial" w:hAnsi="Arial" w:cs="Arial"/>
                <w:sz w:val="20"/>
                <w:szCs w:val="20"/>
              </w:rPr>
              <w:t xml:space="preserve">EBR </w:t>
            </w:r>
            <w:r w:rsidR="00CF4E61">
              <w:rPr>
                <w:rFonts w:ascii="Arial" w:hAnsi="Arial" w:cs="Arial"/>
                <w:sz w:val="20"/>
                <w:szCs w:val="20"/>
              </w:rPr>
              <w:t xml:space="preserve"> and</w:t>
            </w:r>
            <w:proofErr w:type="gramEnd"/>
            <w:r w:rsidR="00CF4E61">
              <w:rPr>
                <w:rFonts w:ascii="Arial" w:hAnsi="Arial" w:cs="Arial"/>
                <w:sz w:val="20"/>
                <w:szCs w:val="20"/>
              </w:rPr>
              <w:t xml:space="preserve"> </w:t>
            </w:r>
            <w:r w:rsidRPr="00432ADD">
              <w:rPr>
                <w:rFonts w:ascii="Arial" w:hAnsi="Arial" w:cs="Arial"/>
                <w:sz w:val="20"/>
                <w:szCs w:val="20"/>
              </w:rPr>
              <w:t>GZR. Co-administration is</w:t>
            </w:r>
            <w:r w:rsidR="00E00C3C">
              <w:rPr>
                <w:rFonts w:ascii="Arial" w:hAnsi="Arial" w:cs="Arial"/>
                <w:sz w:val="20"/>
                <w:szCs w:val="20"/>
              </w:rPr>
              <w:t xml:space="preserve"> contraindicated</w:t>
            </w:r>
            <w:r w:rsidRPr="00432ADD">
              <w:rPr>
                <w:rFonts w:ascii="Arial" w:hAnsi="Arial" w:cs="Arial"/>
                <w:sz w:val="20"/>
                <w:szCs w:val="20"/>
              </w:rPr>
              <w:t xml:space="preserve">. </w:t>
            </w:r>
          </w:p>
        </w:tc>
      </w:tr>
      <w:tr w:rsidR="00432ADD" w:rsidRPr="00432ADD" w:rsidTr="0072744D">
        <w:trPr>
          <w:trHeight w:val="260"/>
        </w:trPr>
        <w:tc>
          <w:tcPr>
            <w:tcW w:w="9468" w:type="dxa"/>
            <w:gridSpan w:val="3"/>
            <w:shd w:val="clear" w:color="auto" w:fill="auto"/>
          </w:tcPr>
          <w:p w:rsidR="00432ADD" w:rsidRPr="00432ADD" w:rsidRDefault="00432ADD" w:rsidP="0072744D">
            <w:pPr>
              <w:pStyle w:val="Default"/>
              <w:rPr>
                <w:rFonts w:ascii="Arial" w:hAnsi="Arial" w:cs="Arial"/>
                <w:sz w:val="20"/>
                <w:szCs w:val="20"/>
              </w:rPr>
            </w:pPr>
            <w:r w:rsidRPr="00432ADD">
              <w:rPr>
                <w:rFonts w:ascii="Arial" w:hAnsi="Arial" w:cs="Arial"/>
                <w:b/>
                <w:bCs/>
                <w:sz w:val="20"/>
                <w:szCs w:val="20"/>
              </w:rPr>
              <w:t>HMG-CoA Reductase Inhibitors</w:t>
            </w:r>
            <w:r w:rsidRPr="00432ADD">
              <w:rPr>
                <w:rFonts w:ascii="Arial" w:hAnsi="Arial" w:cs="Arial"/>
                <w:b/>
                <w:bCs/>
                <w:sz w:val="20"/>
                <w:szCs w:val="20"/>
                <w:vertAlign w:val="superscript"/>
              </w:rPr>
              <w:t>#</w:t>
            </w:r>
            <w:r w:rsidRPr="00432ADD">
              <w:rPr>
                <w:rFonts w:ascii="Arial" w:hAnsi="Arial" w:cs="Arial"/>
                <w:b/>
                <w:bCs/>
                <w:sz w:val="20"/>
                <w:szCs w:val="20"/>
              </w:rPr>
              <w:t>:</w:t>
            </w:r>
          </w:p>
        </w:tc>
      </w:tr>
      <w:tr w:rsidR="00432ADD" w:rsidRPr="00432ADD" w:rsidTr="000D6E58">
        <w:tc>
          <w:tcPr>
            <w:tcW w:w="2376" w:type="dxa"/>
            <w:shd w:val="clear" w:color="auto" w:fill="auto"/>
          </w:tcPr>
          <w:p w:rsidR="00432ADD" w:rsidRPr="00432ADD" w:rsidRDefault="00432ADD" w:rsidP="0072744D">
            <w:pPr>
              <w:pStyle w:val="Default"/>
              <w:rPr>
                <w:rFonts w:ascii="Arial" w:hAnsi="Arial" w:cs="Arial"/>
                <w:bCs/>
                <w:sz w:val="20"/>
                <w:szCs w:val="20"/>
                <w:vertAlign w:val="superscript"/>
              </w:rPr>
            </w:pPr>
            <w:r w:rsidRPr="00432ADD">
              <w:rPr>
                <w:rFonts w:ascii="Arial" w:hAnsi="Arial" w:cs="Arial"/>
                <w:bCs/>
                <w:sz w:val="20"/>
                <w:szCs w:val="20"/>
              </w:rPr>
              <w:t>atorvastatin</w:t>
            </w:r>
            <w:r w:rsidRPr="00432ADD">
              <w:rPr>
                <w:rFonts w:ascii="Arial" w:hAnsi="Arial" w:cs="Arial"/>
                <w:bCs/>
                <w:sz w:val="20"/>
                <w:szCs w:val="20"/>
                <w:vertAlign w:val="superscript"/>
              </w:rPr>
              <w:t>‡</w:t>
            </w:r>
          </w:p>
          <w:p w:rsidR="00432ADD" w:rsidRPr="00432ADD" w:rsidRDefault="00432ADD" w:rsidP="0072744D">
            <w:pPr>
              <w:pStyle w:val="Default"/>
              <w:rPr>
                <w:rFonts w:ascii="Arial" w:hAnsi="Arial" w:cs="Arial"/>
                <w:bCs/>
                <w:sz w:val="20"/>
                <w:szCs w:val="20"/>
              </w:rPr>
            </w:pPr>
          </w:p>
          <w:p w:rsidR="00432ADD" w:rsidRPr="00432ADD" w:rsidRDefault="00432ADD" w:rsidP="0072744D">
            <w:pPr>
              <w:pStyle w:val="Default"/>
              <w:rPr>
                <w:rFonts w:ascii="Arial" w:hAnsi="Arial" w:cs="Arial"/>
                <w:bCs/>
                <w:sz w:val="20"/>
                <w:szCs w:val="20"/>
              </w:rPr>
            </w:pPr>
          </w:p>
          <w:p w:rsidR="00432ADD" w:rsidRPr="00432ADD" w:rsidRDefault="00432ADD" w:rsidP="0072744D">
            <w:pPr>
              <w:pStyle w:val="Default"/>
              <w:rPr>
                <w:rFonts w:ascii="Arial" w:hAnsi="Arial" w:cs="Arial"/>
                <w:bCs/>
                <w:sz w:val="20"/>
                <w:szCs w:val="20"/>
              </w:rPr>
            </w:pPr>
          </w:p>
        </w:tc>
        <w:tc>
          <w:tcPr>
            <w:tcW w:w="1701" w:type="dxa"/>
            <w:shd w:val="clear" w:color="auto" w:fill="auto"/>
          </w:tcPr>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xml:space="preserve">↑ atorvastatin </w:t>
            </w:r>
          </w:p>
          <w:p w:rsidR="00432ADD" w:rsidRPr="00432ADD" w:rsidRDefault="00432ADD" w:rsidP="0072744D">
            <w:pPr>
              <w:pStyle w:val="Default"/>
              <w:rPr>
                <w:rFonts w:ascii="Arial" w:hAnsi="Arial" w:cs="Arial"/>
                <w:bCs/>
                <w:sz w:val="20"/>
                <w:szCs w:val="20"/>
              </w:rPr>
            </w:pPr>
          </w:p>
        </w:tc>
        <w:tc>
          <w:tcPr>
            <w:tcW w:w="5391" w:type="dxa"/>
            <w:shd w:val="clear" w:color="auto" w:fill="auto"/>
          </w:tcPr>
          <w:p w:rsidR="00432ADD" w:rsidRPr="00432ADD" w:rsidRDefault="00432ADD" w:rsidP="00CF4E61">
            <w:pPr>
              <w:pStyle w:val="Default"/>
              <w:rPr>
                <w:rFonts w:ascii="Arial" w:hAnsi="Arial" w:cs="Arial"/>
                <w:bCs/>
                <w:sz w:val="20"/>
                <w:szCs w:val="20"/>
              </w:rPr>
            </w:pPr>
            <w:r w:rsidRPr="00432ADD">
              <w:rPr>
                <w:rFonts w:ascii="Arial" w:hAnsi="Arial" w:cs="Arial"/>
                <w:bCs/>
                <w:sz w:val="20"/>
                <w:szCs w:val="20"/>
              </w:rPr>
              <w:t>Co-administration of</w:t>
            </w:r>
            <w:r w:rsidR="00CF4E61" w:rsidRPr="00432ADD">
              <w:rPr>
                <w:rFonts w:ascii="Arial" w:hAnsi="Arial" w:cs="Arial"/>
                <w:sz w:val="20"/>
                <w:szCs w:val="20"/>
              </w:rPr>
              <w:t xml:space="preserve"> </w:t>
            </w:r>
            <w:proofErr w:type="gramStart"/>
            <w:r w:rsidR="00CF4E61" w:rsidRPr="00432ADD">
              <w:rPr>
                <w:rFonts w:ascii="Arial" w:hAnsi="Arial" w:cs="Arial"/>
                <w:sz w:val="20"/>
                <w:szCs w:val="20"/>
              </w:rPr>
              <w:t xml:space="preserve">EBR </w:t>
            </w:r>
            <w:r w:rsidR="00CF4E61">
              <w:rPr>
                <w:rFonts w:ascii="Arial" w:hAnsi="Arial" w:cs="Arial"/>
                <w:sz w:val="20"/>
                <w:szCs w:val="20"/>
              </w:rPr>
              <w:t xml:space="preserve"> and</w:t>
            </w:r>
            <w:proofErr w:type="gramEnd"/>
            <w:r w:rsidRPr="00432ADD">
              <w:rPr>
                <w:rFonts w:ascii="Arial" w:hAnsi="Arial" w:cs="Arial"/>
                <w:bCs/>
                <w:sz w:val="20"/>
                <w:szCs w:val="20"/>
              </w:rPr>
              <w:t xml:space="preserve"> GZR with atorvastatin increases the concentrations of atorvastatin. </w:t>
            </w:r>
            <w:r w:rsidRPr="00432ADD">
              <w:rPr>
                <w:rFonts w:ascii="Arial" w:hAnsi="Arial" w:cs="Arial"/>
                <w:sz w:val="20"/>
                <w:szCs w:val="20"/>
              </w:rPr>
              <w:t xml:space="preserve">The dose of atorvastatin should not exceed a daily dose of 20 mg when co-administered with </w:t>
            </w:r>
            <w:r w:rsidR="000D7FE6">
              <w:rPr>
                <w:rFonts w:ascii="Arial" w:hAnsi="Arial" w:cs="Arial"/>
                <w:sz w:val="20"/>
                <w:szCs w:val="20"/>
              </w:rPr>
              <w:t>ZEPATIER</w:t>
            </w:r>
            <w:proofErr w:type="gramStart"/>
            <w:r w:rsidRPr="00432ADD">
              <w:rPr>
                <w:rFonts w:ascii="Arial" w:hAnsi="Arial" w:cs="Arial"/>
                <w:sz w:val="20"/>
                <w:szCs w:val="20"/>
              </w:rPr>
              <w:t>.</w:t>
            </w:r>
            <w:r w:rsidRPr="00432ADD">
              <w:rPr>
                <w:rFonts w:ascii="Arial" w:hAnsi="Arial" w:cs="Arial"/>
                <w:sz w:val="20"/>
                <w:szCs w:val="20"/>
                <w:vertAlign w:val="superscript"/>
              </w:rPr>
              <w:t>#</w:t>
            </w:r>
            <w:proofErr w:type="gramEnd"/>
          </w:p>
        </w:tc>
      </w:tr>
      <w:tr w:rsidR="00432ADD" w:rsidRPr="00432ADD" w:rsidTr="000D6E58">
        <w:tc>
          <w:tcPr>
            <w:tcW w:w="2376" w:type="dxa"/>
            <w:shd w:val="clear" w:color="auto" w:fill="auto"/>
          </w:tcPr>
          <w:p w:rsidR="00432ADD" w:rsidRPr="00432ADD" w:rsidRDefault="00432ADD" w:rsidP="0072744D">
            <w:pPr>
              <w:pStyle w:val="Default"/>
              <w:rPr>
                <w:rFonts w:ascii="Arial" w:hAnsi="Arial" w:cs="Arial"/>
                <w:bCs/>
                <w:sz w:val="20"/>
                <w:szCs w:val="20"/>
                <w:vertAlign w:val="superscript"/>
              </w:rPr>
            </w:pPr>
            <w:proofErr w:type="spellStart"/>
            <w:r w:rsidRPr="00432ADD">
              <w:rPr>
                <w:rFonts w:ascii="Arial" w:hAnsi="Arial" w:cs="Arial"/>
                <w:bCs/>
                <w:sz w:val="20"/>
                <w:szCs w:val="20"/>
              </w:rPr>
              <w:t>rosuvastatin</w:t>
            </w:r>
            <w:proofErr w:type="spellEnd"/>
            <w:r w:rsidRPr="00432ADD">
              <w:rPr>
                <w:rFonts w:ascii="Arial" w:hAnsi="Arial" w:cs="Arial"/>
                <w:bCs/>
                <w:sz w:val="20"/>
                <w:szCs w:val="20"/>
                <w:vertAlign w:val="superscript"/>
              </w:rPr>
              <w:t>‡</w:t>
            </w:r>
          </w:p>
          <w:p w:rsidR="00432ADD" w:rsidRPr="00432ADD" w:rsidRDefault="00432ADD" w:rsidP="0072744D">
            <w:pPr>
              <w:pStyle w:val="Default"/>
              <w:rPr>
                <w:rFonts w:ascii="Arial" w:hAnsi="Arial" w:cs="Arial"/>
                <w:b/>
                <w:bCs/>
                <w:sz w:val="20"/>
                <w:szCs w:val="20"/>
              </w:rPr>
            </w:pPr>
          </w:p>
        </w:tc>
        <w:tc>
          <w:tcPr>
            <w:tcW w:w="1701" w:type="dxa"/>
            <w:shd w:val="clear" w:color="auto" w:fill="auto"/>
          </w:tcPr>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xml:space="preserve">↑ </w:t>
            </w:r>
            <w:proofErr w:type="spellStart"/>
            <w:r w:rsidRPr="00432ADD">
              <w:rPr>
                <w:rFonts w:ascii="Arial" w:hAnsi="Arial" w:cs="Arial"/>
                <w:bCs/>
                <w:sz w:val="20"/>
                <w:szCs w:val="20"/>
              </w:rPr>
              <w:t>rosuvastatin</w:t>
            </w:r>
            <w:proofErr w:type="spellEnd"/>
          </w:p>
          <w:p w:rsidR="00432ADD" w:rsidRPr="00432ADD" w:rsidRDefault="00432ADD" w:rsidP="0072744D">
            <w:pPr>
              <w:pStyle w:val="Default"/>
              <w:rPr>
                <w:rFonts w:ascii="Arial" w:hAnsi="Arial" w:cs="Arial"/>
                <w:bCs/>
                <w:sz w:val="20"/>
                <w:szCs w:val="20"/>
              </w:rPr>
            </w:pPr>
          </w:p>
        </w:tc>
        <w:tc>
          <w:tcPr>
            <w:tcW w:w="5391" w:type="dxa"/>
            <w:shd w:val="clear" w:color="auto" w:fill="auto"/>
          </w:tcPr>
          <w:p w:rsidR="00432ADD" w:rsidRPr="00432ADD" w:rsidRDefault="00432ADD" w:rsidP="00CF4E61">
            <w:pPr>
              <w:pStyle w:val="Default"/>
              <w:rPr>
                <w:rFonts w:ascii="Arial" w:hAnsi="Arial" w:cs="Arial"/>
                <w:sz w:val="20"/>
                <w:szCs w:val="20"/>
              </w:rPr>
            </w:pPr>
            <w:r w:rsidRPr="00432ADD">
              <w:rPr>
                <w:rFonts w:ascii="Arial" w:hAnsi="Arial" w:cs="Arial"/>
                <w:bCs/>
                <w:sz w:val="20"/>
                <w:szCs w:val="20"/>
              </w:rPr>
              <w:t xml:space="preserve">Co-administration of </w:t>
            </w:r>
            <w:proofErr w:type="gramStart"/>
            <w:r w:rsidR="00CF4E61" w:rsidRPr="00432ADD">
              <w:rPr>
                <w:rFonts w:ascii="Arial" w:hAnsi="Arial" w:cs="Arial"/>
                <w:sz w:val="20"/>
                <w:szCs w:val="20"/>
              </w:rPr>
              <w:t xml:space="preserve">EBR </w:t>
            </w:r>
            <w:r w:rsidR="00CF4E61">
              <w:rPr>
                <w:rFonts w:ascii="Arial" w:hAnsi="Arial" w:cs="Arial"/>
                <w:sz w:val="20"/>
                <w:szCs w:val="20"/>
              </w:rPr>
              <w:t xml:space="preserve"> and</w:t>
            </w:r>
            <w:proofErr w:type="gramEnd"/>
            <w:r w:rsidR="00CF4E61">
              <w:rPr>
                <w:rFonts w:ascii="Arial" w:hAnsi="Arial" w:cs="Arial"/>
                <w:sz w:val="20"/>
                <w:szCs w:val="20"/>
              </w:rPr>
              <w:t xml:space="preserve"> </w:t>
            </w:r>
            <w:r w:rsidRPr="00432ADD">
              <w:rPr>
                <w:rFonts w:ascii="Arial" w:hAnsi="Arial" w:cs="Arial"/>
                <w:bCs/>
                <w:sz w:val="20"/>
                <w:szCs w:val="20"/>
              </w:rPr>
              <w:t xml:space="preserve">GZR with </w:t>
            </w:r>
            <w:proofErr w:type="spellStart"/>
            <w:r w:rsidRPr="00432ADD">
              <w:rPr>
                <w:rFonts w:ascii="Arial" w:hAnsi="Arial" w:cs="Arial"/>
                <w:bCs/>
                <w:sz w:val="20"/>
                <w:szCs w:val="20"/>
              </w:rPr>
              <w:t>rosuvastatin</w:t>
            </w:r>
            <w:proofErr w:type="spellEnd"/>
            <w:r w:rsidRPr="00432ADD">
              <w:rPr>
                <w:rFonts w:ascii="Arial" w:hAnsi="Arial" w:cs="Arial"/>
                <w:bCs/>
                <w:sz w:val="20"/>
                <w:szCs w:val="20"/>
              </w:rPr>
              <w:t xml:space="preserve"> increases the concentrations of </w:t>
            </w:r>
            <w:proofErr w:type="spellStart"/>
            <w:r w:rsidRPr="00432ADD">
              <w:rPr>
                <w:rFonts w:ascii="Arial" w:hAnsi="Arial" w:cs="Arial"/>
                <w:bCs/>
                <w:sz w:val="20"/>
                <w:szCs w:val="20"/>
              </w:rPr>
              <w:t>rosuvastatin</w:t>
            </w:r>
            <w:proofErr w:type="spellEnd"/>
            <w:r w:rsidRPr="00432ADD">
              <w:rPr>
                <w:rFonts w:ascii="Arial" w:hAnsi="Arial" w:cs="Arial"/>
                <w:bCs/>
                <w:sz w:val="20"/>
                <w:szCs w:val="20"/>
              </w:rPr>
              <w:t xml:space="preserve">. </w:t>
            </w:r>
            <w:r w:rsidRPr="00432ADD">
              <w:rPr>
                <w:rFonts w:ascii="Arial" w:hAnsi="Arial" w:cs="Arial"/>
                <w:sz w:val="20"/>
                <w:szCs w:val="20"/>
              </w:rPr>
              <w:t xml:space="preserve">The dose of </w:t>
            </w:r>
            <w:proofErr w:type="spellStart"/>
            <w:r w:rsidRPr="00432ADD">
              <w:rPr>
                <w:rFonts w:ascii="Arial" w:hAnsi="Arial" w:cs="Arial"/>
                <w:sz w:val="20"/>
                <w:szCs w:val="20"/>
              </w:rPr>
              <w:t>rosuvastatin</w:t>
            </w:r>
            <w:proofErr w:type="spellEnd"/>
            <w:r w:rsidRPr="00432ADD">
              <w:rPr>
                <w:rFonts w:ascii="Arial" w:hAnsi="Arial" w:cs="Arial"/>
                <w:sz w:val="20"/>
                <w:szCs w:val="20"/>
              </w:rPr>
              <w:t xml:space="preserve"> should not exceed a daily dose of 10 mg when co-administered with </w:t>
            </w:r>
            <w:r w:rsidR="000D7FE6">
              <w:rPr>
                <w:rFonts w:ascii="Arial" w:hAnsi="Arial" w:cs="Arial"/>
                <w:bCs/>
                <w:sz w:val="20"/>
                <w:szCs w:val="20"/>
              </w:rPr>
              <w:t>ZEPATIER</w:t>
            </w:r>
            <w:proofErr w:type="gramStart"/>
            <w:r w:rsidRPr="00432ADD">
              <w:rPr>
                <w:rFonts w:ascii="Arial" w:hAnsi="Arial" w:cs="Arial"/>
                <w:sz w:val="20"/>
                <w:szCs w:val="20"/>
              </w:rPr>
              <w:t>.</w:t>
            </w:r>
            <w:r w:rsidRPr="00432ADD">
              <w:rPr>
                <w:rFonts w:ascii="Arial" w:hAnsi="Arial" w:cs="Arial"/>
                <w:sz w:val="20"/>
                <w:szCs w:val="20"/>
                <w:vertAlign w:val="superscript"/>
              </w:rPr>
              <w:t>#</w:t>
            </w:r>
            <w:proofErr w:type="gramEnd"/>
            <w:r w:rsidRPr="00432ADD">
              <w:rPr>
                <w:rFonts w:ascii="Arial" w:hAnsi="Arial" w:cs="Arial"/>
                <w:sz w:val="20"/>
                <w:szCs w:val="20"/>
              </w:rPr>
              <w:t xml:space="preserve">  </w:t>
            </w:r>
          </w:p>
        </w:tc>
      </w:tr>
      <w:tr w:rsidR="00432ADD" w:rsidRPr="00432ADD" w:rsidTr="000D6E58">
        <w:tc>
          <w:tcPr>
            <w:tcW w:w="2376" w:type="dxa"/>
            <w:shd w:val="clear" w:color="auto" w:fill="auto"/>
          </w:tcPr>
          <w:p w:rsidR="00432ADD" w:rsidRPr="00432ADD" w:rsidRDefault="00432ADD" w:rsidP="0072744D">
            <w:pPr>
              <w:pStyle w:val="Default"/>
              <w:rPr>
                <w:rFonts w:ascii="Arial" w:hAnsi="Arial" w:cs="Arial"/>
                <w:bCs/>
                <w:sz w:val="20"/>
                <w:szCs w:val="20"/>
              </w:rPr>
            </w:pPr>
            <w:proofErr w:type="spellStart"/>
            <w:r w:rsidRPr="00432ADD">
              <w:rPr>
                <w:rFonts w:ascii="Arial" w:hAnsi="Arial" w:cs="Arial"/>
                <w:bCs/>
                <w:sz w:val="20"/>
                <w:szCs w:val="20"/>
              </w:rPr>
              <w:t>fluvastatin</w:t>
            </w:r>
            <w:proofErr w:type="spellEnd"/>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lovastatin</w:t>
            </w:r>
          </w:p>
          <w:p w:rsidR="00432ADD" w:rsidRPr="00432ADD" w:rsidRDefault="00432ADD" w:rsidP="0072744D">
            <w:pPr>
              <w:pStyle w:val="Default"/>
              <w:rPr>
                <w:rFonts w:ascii="Arial" w:hAnsi="Arial" w:cs="Arial"/>
                <w:b/>
                <w:bCs/>
                <w:sz w:val="20"/>
                <w:szCs w:val="20"/>
              </w:rPr>
            </w:pPr>
            <w:r w:rsidRPr="00432ADD">
              <w:rPr>
                <w:rFonts w:ascii="Arial" w:hAnsi="Arial" w:cs="Arial"/>
                <w:bCs/>
                <w:sz w:val="20"/>
                <w:szCs w:val="20"/>
              </w:rPr>
              <w:t>simvastatin</w:t>
            </w:r>
          </w:p>
        </w:tc>
        <w:tc>
          <w:tcPr>
            <w:tcW w:w="1701" w:type="dxa"/>
            <w:shd w:val="clear" w:color="auto" w:fill="auto"/>
          </w:tcPr>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xml:space="preserve">↑ </w:t>
            </w:r>
            <w:proofErr w:type="spellStart"/>
            <w:r w:rsidRPr="00432ADD">
              <w:rPr>
                <w:rFonts w:ascii="Arial" w:hAnsi="Arial" w:cs="Arial"/>
                <w:bCs/>
                <w:sz w:val="20"/>
                <w:szCs w:val="20"/>
              </w:rPr>
              <w:t>fluvastatin</w:t>
            </w:r>
            <w:proofErr w:type="spellEnd"/>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lovastatin</w:t>
            </w:r>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simvastatin</w:t>
            </w:r>
          </w:p>
          <w:p w:rsidR="00432ADD" w:rsidRPr="00432ADD" w:rsidRDefault="00432ADD" w:rsidP="0072744D">
            <w:pPr>
              <w:pStyle w:val="Default"/>
              <w:rPr>
                <w:rFonts w:ascii="Arial" w:hAnsi="Arial" w:cs="Arial"/>
                <w:bCs/>
                <w:sz w:val="20"/>
                <w:szCs w:val="20"/>
              </w:rPr>
            </w:pPr>
          </w:p>
        </w:tc>
        <w:tc>
          <w:tcPr>
            <w:tcW w:w="5391" w:type="dxa"/>
            <w:shd w:val="clear" w:color="auto" w:fill="auto"/>
          </w:tcPr>
          <w:p w:rsidR="00432ADD" w:rsidRPr="00432ADD" w:rsidRDefault="00432ADD" w:rsidP="0072744D">
            <w:pPr>
              <w:pStyle w:val="Default"/>
              <w:rPr>
                <w:rFonts w:ascii="Arial" w:hAnsi="Arial" w:cs="Arial"/>
                <w:sz w:val="20"/>
                <w:szCs w:val="20"/>
              </w:rPr>
            </w:pPr>
            <w:r w:rsidRPr="00432ADD">
              <w:rPr>
                <w:rFonts w:ascii="Arial" w:hAnsi="Arial" w:cs="Arial"/>
                <w:sz w:val="20"/>
                <w:szCs w:val="20"/>
              </w:rPr>
              <w:t xml:space="preserve">Co-administration of </w:t>
            </w:r>
            <w:r w:rsidR="000D7FE6">
              <w:rPr>
                <w:rFonts w:ascii="Arial" w:hAnsi="Arial" w:cs="Arial"/>
                <w:sz w:val="20"/>
                <w:szCs w:val="20"/>
              </w:rPr>
              <w:t>ZEPATIER</w:t>
            </w:r>
            <w:r w:rsidRPr="00432ADD">
              <w:rPr>
                <w:rFonts w:ascii="Arial" w:hAnsi="Arial" w:cs="Arial"/>
                <w:sz w:val="20"/>
                <w:szCs w:val="20"/>
              </w:rPr>
              <w:t xml:space="preserve"> with these statins has not been studied but may increase the concentrations of these statins. The dose of </w:t>
            </w:r>
            <w:proofErr w:type="spellStart"/>
            <w:r w:rsidRPr="00432ADD">
              <w:rPr>
                <w:rFonts w:ascii="Arial" w:hAnsi="Arial" w:cs="Arial"/>
                <w:sz w:val="20"/>
                <w:szCs w:val="20"/>
              </w:rPr>
              <w:t>fluvastatin</w:t>
            </w:r>
            <w:proofErr w:type="spellEnd"/>
            <w:r w:rsidRPr="00432ADD">
              <w:rPr>
                <w:rFonts w:ascii="Arial" w:hAnsi="Arial" w:cs="Arial"/>
                <w:sz w:val="20"/>
                <w:szCs w:val="20"/>
              </w:rPr>
              <w:t xml:space="preserve">, lovastatin, or simvastatin should not exceed a daily dose of 20 mg when co-administered with </w:t>
            </w:r>
            <w:r w:rsidR="000D7FE6">
              <w:rPr>
                <w:rFonts w:ascii="Arial" w:hAnsi="Arial" w:cs="Arial"/>
                <w:sz w:val="20"/>
                <w:szCs w:val="20"/>
              </w:rPr>
              <w:t>ZEPATIER</w:t>
            </w:r>
            <w:proofErr w:type="gramStart"/>
            <w:r w:rsidRPr="00432ADD">
              <w:rPr>
                <w:rFonts w:ascii="Arial" w:hAnsi="Arial" w:cs="Arial"/>
                <w:sz w:val="20"/>
                <w:szCs w:val="20"/>
              </w:rPr>
              <w:t>.</w:t>
            </w:r>
            <w:r w:rsidRPr="00432ADD">
              <w:rPr>
                <w:rFonts w:ascii="Arial" w:hAnsi="Arial" w:cs="Arial"/>
                <w:sz w:val="20"/>
                <w:szCs w:val="20"/>
                <w:vertAlign w:val="superscript"/>
              </w:rPr>
              <w:t>#</w:t>
            </w:r>
            <w:proofErr w:type="gramEnd"/>
          </w:p>
        </w:tc>
      </w:tr>
      <w:tr w:rsidR="00432ADD" w:rsidRPr="00432ADD" w:rsidTr="000D6E58">
        <w:tc>
          <w:tcPr>
            <w:tcW w:w="2376" w:type="dxa"/>
            <w:shd w:val="clear" w:color="auto" w:fill="auto"/>
          </w:tcPr>
          <w:p w:rsidR="00432ADD" w:rsidRPr="00432ADD" w:rsidRDefault="00432ADD" w:rsidP="0072744D">
            <w:pPr>
              <w:pStyle w:val="Default"/>
              <w:rPr>
                <w:rFonts w:ascii="Arial" w:hAnsi="Arial" w:cs="Arial"/>
                <w:b/>
                <w:bCs/>
                <w:sz w:val="20"/>
                <w:szCs w:val="20"/>
              </w:rPr>
            </w:pPr>
            <w:r w:rsidRPr="00432ADD">
              <w:rPr>
                <w:rFonts w:ascii="Arial" w:hAnsi="Arial" w:cs="Arial"/>
                <w:b/>
                <w:bCs/>
                <w:sz w:val="20"/>
                <w:szCs w:val="20"/>
              </w:rPr>
              <w:t>Immunosuppressant:</w:t>
            </w:r>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cyclosporine</w:t>
            </w:r>
            <w:r w:rsidRPr="00432ADD">
              <w:rPr>
                <w:rFonts w:ascii="Arial" w:hAnsi="Arial" w:cs="Arial"/>
                <w:bCs/>
                <w:sz w:val="20"/>
                <w:szCs w:val="20"/>
                <w:vertAlign w:val="superscript"/>
              </w:rPr>
              <w:t>‡</w:t>
            </w:r>
          </w:p>
        </w:tc>
        <w:tc>
          <w:tcPr>
            <w:tcW w:w="1701" w:type="dxa"/>
            <w:shd w:val="clear" w:color="auto" w:fill="auto"/>
          </w:tcPr>
          <w:p w:rsidR="00CF4E61" w:rsidRDefault="00CF4E61" w:rsidP="0072744D">
            <w:pPr>
              <w:pStyle w:val="Default"/>
              <w:rPr>
                <w:rFonts w:ascii="Arial" w:hAnsi="Arial" w:cs="Arial"/>
                <w:bCs/>
                <w:sz w:val="20"/>
                <w:szCs w:val="20"/>
              </w:rPr>
            </w:pPr>
            <w:r w:rsidRPr="00432ADD">
              <w:rPr>
                <w:rFonts w:ascii="Arial" w:hAnsi="Arial" w:cs="Arial"/>
                <w:bCs/>
                <w:sz w:val="20"/>
                <w:szCs w:val="20"/>
              </w:rPr>
              <w:t xml:space="preserve">↑ EBR </w:t>
            </w:r>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GZR</w:t>
            </w:r>
          </w:p>
          <w:p w:rsidR="00432ADD" w:rsidRPr="00432ADD" w:rsidRDefault="00432ADD" w:rsidP="0072744D">
            <w:pPr>
              <w:pStyle w:val="Default"/>
              <w:rPr>
                <w:rFonts w:ascii="Arial" w:hAnsi="Arial" w:cs="Arial"/>
                <w:b/>
                <w:bCs/>
                <w:sz w:val="20"/>
                <w:szCs w:val="20"/>
              </w:rPr>
            </w:pPr>
          </w:p>
        </w:tc>
        <w:tc>
          <w:tcPr>
            <w:tcW w:w="5391" w:type="dxa"/>
            <w:shd w:val="clear" w:color="auto" w:fill="auto"/>
          </w:tcPr>
          <w:p w:rsidR="00432ADD" w:rsidRPr="00432ADD" w:rsidRDefault="00432ADD" w:rsidP="00BF1A25">
            <w:pPr>
              <w:pStyle w:val="Default"/>
              <w:rPr>
                <w:rFonts w:ascii="Arial" w:hAnsi="Arial" w:cs="Arial"/>
                <w:bCs/>
                <w:sz w:val="20"/>
                <w:szCs w:val="20"/>
              </w:rPr>
            </w:pPr>
            <w:r w:rsidRPr="00432ADD">
              <w:rPr>
                <w:rFonts w:ascii="Arial" w:hAnsi="Arial" w:cs="Arial"/>
                <w:sz w:val="20"/>
                <w:szCs w:val="20"/>
              </w:rPr>
              <w:t>Concentrations of</w:t>
            </w:r>
            <w:r w:rsidR="00CF4E61" w:rsidRPr="00432ADD">
              <w:rPr>
                <w:rFonts w:ascii="Arial" w:hAnsi="Arial" w:cs="Arial"/>
                <w:sz w:val="20"/>
                <w:szCs w:val="20"/>
              </w:rPr>
              <w:t xml:space="preserve"> </w:t>
            </w:r>
            <w:proofErr w:type="gramStart"/>
            <w:r w:rsidR="00CF4E61" w:rsidRPr="00432ADD">
              <w:rPr>
                <w:rFonts w:ascii="Arial" w:hAnsi="Arial" w:cs="Arial"/>
                <w:sz w:val="20"/>
                <w:szCs w:val="20"/>
              </w:rPr>
              <w:t xml:space="preserve">EBR </w:t>
            </w:r>
            <w:r w:rsidR="00CF4E61">
              <w:rPr>
                <w:rFonts w:ascii="Arial" w:hAnsi="Arial" w:cs="Arial"/>
                <w:sz w:val="20"/>
                <w:szCs w:val="20"/>
              </w:rPr>
              <w:t xml:space="preserve"> and</w:t>
            </w:r>
            <w:proofErr w:type="gramEnd"/>
            <w:r w:rsidRPr="00432ADD">
              <w:rPr>
                <w:rFonts w:ascii="Arial" w:hAnsi="Arial" w:cs="Arial"/>
                <w:sz w:val="20"/>
                <w:szCs w:val="20"/>
              </w:rPr>
              <w:t xml:space="preserve"> GZR are increased when cyclosporine is co-administered with </w:t>
            </w:r>
            <w:r w:rsidR="00CF4E61" w:rsidRPr="00432ADD">
              <w:rPr>
                <w:rFonts w:ascii="Arial" w:hAnsi="Arial" w:cs="Arial"/>
                <w:sz w:val="20"/>
                <w:szCs w:val="20"/>
              </w:rPr>
              <w:t xml:space="preserve">EBR </w:t>
            </w:r>
            <w:r w:rsidR="00CF4E61">
              <w:rPr>
                <w:rFonts w:ascii="Arial" w:hAnsi="Arial" w:cs="Arial"/>
                <w:sz w:val="20"/>
                <w:szCs w:val="20"/>
              </w:rPr>
              <w:t xml:space="preserve"> and </w:t>
            </w:r>
            <w:r w:rsidRPr="00432ADD">
              <w:rPr>
                <w:rFonts w:ascii="Arial" w:hAnsi="Arial" w:cs="Arial"/>
                <w:sz w:val="20"/>
                <w:szCs w:val="20"/>
              </w:rPr>
              <w:t xml:space="preserve">GZR. Co-administration is </w:t>
            </w:r>
            <w:r w:rsidR="00BF1A25">
              <w:rPr>
                <w:rFonts w:ascii="Arial" w:hAnsi="Arial" w:cs="Arial"/>
                <w:sz w:val="20"/>
                <w:szCs w:val="20"/>
              </w:rPr>
              <w:t>contraindicated</w:t>
            </w:r>
            <w:r w:rsidRPr="00432ADD">
              <w:rPr>
                <w:rFonts w:ascii="Arial" w:hAnsi="Arial" w:cs="Arial"/>
                <w:sz w:val="20"/>
                <w:szCs w:val="20"/>
              </w:rPr>
              <w:t>.</w:t>
            </w:r>
          </w:p>
        </w:tc>
      </w:tr>
      <w:tr w:rsidR="00432ADD" w:rsidRPr="00432ADD" w:rsidTr="000D6E58">
        <w:tc>
          <w:tcPr>
            <w:tcW w:w="2376" w:type="dxa"/>
            <w:tcBorders>
              <w:bottom w:val="single" w:sz="4" w:space="0" w:color="auto"/>
            </w:tcBorders>
            <w:shd w:val="clear" w:color="auto" w:fill="auto"/>
          </w:tcPr>
          <w:p w:rsidR="00432ADD" w:rsidRPr="00432ADD" w:rsidRDefault="00432ADD" w:rsidP="0072744D">
            <w:pPr>
              <w:pStyle w:val="Default"/>
              <w:rPr>
                <w:rFonts w:ascii="Arial" w:hAnsi="Arial" w:cs="Arial"/>
                <w:b/>
                <w:sz w:val="20"/>
                <w:szCs w:val="20"/>
                <w:lang w:val="en"/>
              </w:rPr>
            </w:pPr>
            <w:r w:rsidRPr="00432ADD">
              <w:rPr>
                <w:rFonts w:ascii="Arial" w:hAnsi="Arial" w:cs="Arial"/>
                <w:b/>
                <w:sz w:val="20"/>
                <w:szCs w:val="20"/>
                <w:lang w:val="en"/>
              </w:rPr>
              <w:t>Wakefulness-Promoting Agents:</w:t>
            </w:r>
          </w:p>
          <w:p w:rsidR="00432ADD" w:rsidRPr="00432ADD" w:rsidRDefault="00432ADD" w:rsidP="0072744D">
            <w:pPr>
              <w:pStyle w:val="Default"/>
              <w:rPr>
                <w:rFonts w:ascii="Arial" w:hAnsi="Arial" w:cs="Arial"/>
                <w:sz w:val="20"/>
                <w:szCs w:val="20"/>
                <w:lang w:val="en"/>
              </w:rPr>
            </w:pPr>
            <w:proofErr w:type="spellStart"/>
            <w:r w:rsidRPr="00432ADD">
              <w:rPr>
                <w:rFonts w:ascii="Arial" w:hAnsi="Arial" w:cs="Arial"/>
                <w:sz w:val="20"/>
                <w:szCs w:val="20"/>
                <w:lang w:val="en"/>
              </w:rPr>
              <w:t>modafinil</w:t>
            </w:r>
            <w:proofErr w:type="spellEnd"/>
          </w:p>
        </w:tc>
        <w:tc>
          <w:tcPr>
            <w:tcW w:w="1701" w:type="dxa"/>
            <w:tcBorders>
              <w:bottom w:val="single" w:sz="4" w:space="0" w:color="auto"/>
            </w:tcBorders>
            <w:shd w:val="clear" w:color="auto" w:fill="auto"/>
          </w:tcPr>
          <w:p w:rsidR="00CF4E61" w:rsidRDefault="00CF4E61" w:rsidP="0072744D">
            <w:pPr>
              <w:pStyle w:val="Default"/>
              <w:rPr>
                <w:rFonts w:ascii="Arial" w:hAnsi="Arial" w:cs="Arial"/>
                <w:bCs/>
                <w:sz w:val="20"/>
                <w:szCs w:val="20"/>
              </w:rPr>
            </w:pPr>
            <w:r w:rsidRPr="00432ADD">
              <w:rPr>
                <w:rFonts w:ascii="Arial" w:hAnsi="Arial" w:cs="Arial"/>
                <w:bCs/>
                <w:sz w:val="20"/>
                <w:szCs w:val="20"/>
              </w:rPr>
              <w:t xml:space="preserve">↓ EBR </w:t>
            </w:r>
          </w:p>
          <w:p w:rsidR="00432ADD" w:rsidRPr="00432ADD" w:rsidRDefault="00432ADD" w:rsidP="0072744D">
            <w:pPr>
              <w:pStyle w:val="Default"/>
              <w:rPr>
                <w:rFonts w:ascii="Arial" w:hAnsi="Arial" w:cs="Arial"/>
                <w:bCs/>
                <w:sz w:val="20"/>
                <w:szCs w:val="20"/>
              </w:rPr>
            </w:pPr>
            <w:r w:rsidRPr="00432ADD">
              <w:rPr>
                <w:rFonts w:ascii="Arial" w:hAnsi="Arial" w:cs="Arial"/>
                <w:bCs/>
                <w:sz w:val="20"/>
                <w:szCs w:val="20"/>
              </w:rPr>
              <w:t>↓ GZR</w:t>
            </w:r>
          </w:p>
          <w:p w:rsidR="00432ADD" w:rsidRPr="00432ADD" w:rsidRDefault="00432ADD" w:rsidP="0072744D">
            <w:pPr>
              <w:pStyle w:val="Default"/>
              <w:rPr>
                <w:rFonts w:ascii="Arial" w:hAnsi="Arial" w:cs="Arial"/>
                <w:b/>
                <w:bCs/>
                <w:sz w:val="20"/>
                <w:szCs w:val="20"/>
              </w:rPr>
            </w:pPr>
          </w:p>
        </w:tc>
        <w:tc>
          <w:tcPr>
            <w:tcW w:w="5391" w:type="dxa"/>
            <w:tcBorders>
              <w:bottom w:val="single" w:sz="4" w:space="0" w:color="auto"/>
            </w:tcBorders>
            <w:shd w:val="clear" w:color="auto" w:fill="auto"/>
          </w:tcPr>
          <w:p w:rsidR="00432ADD" w:rsidRPr="00432ADD" w:rsidRDefault="00432ADD" w:rsidP="00CF4E61">
            <w:pPr>
              <w:pStyle w:val="Default"/>
              <w:rPr>
                <w:rFonts w:ascii="Arial" w:hAnsi="Arial" w:cs="Arial"/>
                <w:bCs/>
                <w:sz w:val="20"/>
                <w:szCs w:val="20"/>
              </w:rPr>
            </w:pPr>
            <w:r w:rsidRPr="00432ADD">
              <w:rPr>
                <w:rFonts w:ascii="Arial" w:hAnsi="Arial" w:cs="Arial"/>
                <w:sz w:val="20"/>
                <w:szCs w:val="20"/>
              </w:rPr>
              <w:t xml:space="preserve">Co-administration of </w:t>
            </w:r>
            <w:r w:rsidR="000D7FE6">
              <w:rPr>
                <w:rFonts w:ascii="Arial" w:hAnsi="Arial" w:cs="Arial"/>
                <w:sz w:val="20"/>
                <w:szCs w:val="20"/>
              </w:rPr>
              <w:t>ZEPATIER</w:t>
            </w:r>
            <w:r w:rsidRPr="00432ADD">
              <w:rPr>
                <w:rFonts w:ascii="Arial" w:hAnsi="Arial" w:cs="Arial"/>
                <w:sz w:val="20"/>
                <w:szCs w:val="20"/>
              </w:rPr>
              <w:t xml:space="preserve"> with </w:t>
            </w:r>
            <w:proofErr w:type="spellStart"/>
            <w:r w:rsidRPr="00432ADD">
              <w:rPr>
                <w:rFonts w:ascii="Arial" w:hAnsi="Arial" w:cs="Arial"/>
                <w:sz w:val="20"/>
                <w:szCs w:val="20"/>
              </w:rPr>
              <w:t>modafinil</w:t>
            </w:r>
            <w:proofErr w:type="spellEnd"/>
            <w:r w:rsidRPr="00432ADD">
              <w:rPr>
                <w:rFonts w:ascii="Arial" w:hAnsi="Arial" w:cs="Arial"/>
                <w:sz w:val="20"/>
                <w:szCs w:val="20"/>
              </w:rPr>
              <w:t xml:space="preserve">, a moderate CYP3A inducer, may decrease </w:t>
            </w:r>
            <w:proofErr w:type="gramStart"/>
            <w:r w:rsidR="00CF4E61" w:rsidRPr="00432ADD">
              <w:rPr>
                <w:rFonts w:ascii="Arial" w:hAnsi="Arial" w:cs="Arial"/>
                <w:sz w:val="20"/>
                <w:szCs w:val="20"/>
              </w:rPr>
              <w:t xml:space="preserve">EBR </w:t>
            </w:r>
            <w:r w:rsidR="00CF4E61">
              <w:rPr>
                <w:rFonts w:ascii="Arial" w:hAnsi="Arial" w:cs="Arial"/>
                <w:sz w:val="20"/>
                <w:szCs w:val="20"/>
              </w:rPr>
              <w:t xml:space="preserve"> and</w:t>
            </w:r>
            <w:proofErr w:type="gramEnd"/>
            <w:r w:rsidR="00CF4E61">
              <w:rPr>
                <w:rFonts w:ascii="Arial" w:hAnsi="Arial" w:cs="Arial"/>
                <w:sz w:val="20"/>
                <w:szCs w:val="20"/>
              </w:rPr>
              <w:t xml:space="preserve"> </w:t>
            </w:r>
            <w:r w:rsidRPr="00432ADD">
              <w:rPr>
                <w:rFonts w:ascii="Arial" w:hAnsi="Arial" w:cs="Arial"/>
                <w:sz w:val="20"/>
                <w:szCs w:val="20"/>
              </w:rPr>
              <w:t xml:space="preserve">GZR concentrations, leading to reduced therapeutic effect of </w:t>
            </w:r>
            <w:r w:rsidR="000D7FE6">
              <w:rPr>
                <w:rFonts w:ascii="Arial" w:hAnsi="Arial" w:cs="Arial"/>
                <w:sz w:val="20"/>
                <w:szCs w:val="20"/>
              </w:rPr>
              <w:t>ZEPATIER</w:t>
            </w:r>
            <w:r w:rsidRPr="00432ADD">
              <w:rPr>
                <w:rFonts w:ascii="Arial" w:hAnsi="Arial" w:cs="Arial"/>
                <w:sz w:val="20"/>
                <w:szCs w:val="20"/>
              </w:rPr>
              <w:t xml:space="preserve">. </w:t>
            </w:r>
            <w:r w:rsidRPr="00432ADD">
              <w:rPr>
                <w:rFonts w:ascii="Arial" w:hAnsi="Arial" w:cs="Arial"/>
                <w:bCs/>
                <w:sz w:val="20"/>
                <w:szCs w:val="20"/>
              </w:rPr>
              <w:t>Co-administration is not recommended.</w:t>
            </w:r>
          </w:p>
        </w:tc>
      </w:tr>
      <w:tr w:rsidR="00432ADD" w:rsidRPr="00432ADD" w:rsidTr="0072744D">
        <w:trPr>
          <w:trHeight w:val="287"/>
        </w:trPr>
        <w:tc>
          <w:tcPr>
            <w:tcW w:w="9468" w:type="dxa"/>
            <w:gridSpan w:val="3"/>
            <w:tcBorders>
              <w:left w:val="nil"/>
              <w:bottom w:val="nil"/>
              <w:right w:val="nil"/>
            </w:tcBorders>
            <w:shd w:val="clear" w:color="auto" w:fill="auto"/>
          </w:tcPr>
          <w:p w:rsidR="00432ADD" w:rsidRPr="00F42F76" w:rsidRDefault="00432ADD" w:rsidP="00F42F76">
            <w:pPr>
              <w:pStyle w:val="NoSpacing"/>
              <w:rPr>
                <w:sz w:val="18"/>
              </w:rPr>
            </w:pPr>
            <w:r w:rsidRPr="00F42F76">
              <w:rPr>
                <w:sz w:val="18"/>
              </w:rPr>
              <w:t xml:space="preserve">*This table is not all inclusive. </w:t>
            </w:r>
          </w:p>
          <w:p w:rsidR="00432ADD" w:rsidRPr="00F42F76" w:rsidRDefault="00432ADD" w:rsidP="00F42F76">
            <w:pPr>
              <w:pStyle w:val="NoSpacing"/>
              <w:rPr>
                <w:sz w:val="18"/>
              </w:rPr>
            </w:pPr>
            <w:r w:rsidRPr="00F42F76">
              <w:rPr>
                <w:sz w:val="18"/>
                <w:vertAlign w:val="superscript"/>
              </w:rPr>
              <w:t>†</w:t>
            </w:r>
            <w:r w:rsidRPr="00F42F76">
              <w:rPr>
                <w:rFonts w:hint="eastAsia"/>
                <w:sz w:val="18"/>
              </w:rPr>
              <w:t>↓ = decrease, ↑ = increase</w:t>
            </w:r>
            <w:r w:rsidR="00213FA9" w:rsidRPr="00213FA9">
              <w:rPr>
                <w:sz w:val="18"/>
              </w:rPr>
              <w:t>, ↔ = no change</w:t>
            </w:r>
            <w:r w:rsidRPr="00F42F76">
              <w:rPr>
                <w:rFonts w:hint="eastAsia"/>
                <w:sz w:val="18"/>
              </w:rPr>
              <w:t xml:space="preserve">. </w:t>
            </w:r>
          </w:p>
          <w:p w:rsidR="00432ADD" w:rsidRPr="00F42F76" w:rsidRDefault="00432ADD" w:rsidP="00F42F76">
            <w:pPr>
              <w:pStyle w:val="NoSpacing"/>
              <w:rPr>
                <w:sz w:val="18"/>
              </w:rPr>
            </w:pPr>
            <w:r w:rsidRPr="00F42F76">
              <w:rPr>
                <w:bCs/>
                <w:sz w:val="18"/>
                <w:vertAlign w:val="superscript"/>
              </w:rPr>
              <w:t>‡</w:t>
            </w:r>
            <w:r w:rsidRPr="00F42F76">
              <w:rPr>
                <w:sz w:val="18"/>
              </w:rPr>
              <w:t>These interactions have been studied in healthy adults.</w:t>
            </w:r>
          </w:p>
          <w:p w:rsidR="00432ADD" w:rsidRPr="00432ADD" w:rsidRDefault="00432ADD" w:rsidP="00F42F76">
            <w:pPr>
              <w:pStyle w:val="NoSpacing"/>
            </w:pPr>
            <w:r w:rsidRPr="00F42F76">
              <w:rPr>
                <w:i/>
                <w:sz w:val="18"/>
                <w:vertAlign w:val="superscript"/>
              </w:rPr>
              <w:t>#</w:t>
            </w:r>
            <w:r w:rsidRPr="00F42F76">
              <w:rPr>
                <w:i/>
                <w:sz w:val="18"/>
              </w:rPr>
              <w:t xml:space="preserve">See </w:t>
            </w:r>
            <w:r w:rsidR="00157EE1" w:rsidRPr="00F42F76">
              <w:rPr>
                <w:i/>
                <w:sz w:val="18"/>
              </w:rPr>
              <w:t xml:space="preserve">Interactions with Other Medicines: Drugs without Clinically Significant Interactions with </w:t>
            </w:r>
            <w:r w:rsidR="000D7FE6">
              <w:rPr>
                <w:i/>
                <w:sz w:val="18"/>
              </w:rPr>
              <w:t>ZEPATIER</w:t>
            </w:r>
            <w:r w:rsidRPr="00F42F76">
              <w:rPr>
                <w:sz w:val="18"/>
              </w:rPr>
              <w:t xml:space="preserve"> for a list of HMG Co-A reductase inhibitors without clinically relevant interactions with </w:t>
            </w:r>
            <w:r w:rsidR="000D7FE6">
              <w:rPr>
                <w:sz w:val="18"/>
              </w:rPr>
              <w:t>ZEPATIER</w:t>
            </w:r>
            <w:r w:rsidRPr="00F42F76">
              <w:rPr>
                <w:sz w:val="18"/>
              </w:rPr>
              <w:t>.</w:t>
            </w:r>
          </w:p>
        </w:tc>
      </w:tr>
    </w:tbl>
    <w:p w:rsidR="0071229A" w:rsidRDefault="0071229A">
      <w:pPr>
        <w:spacing w:before="0" w:after="0"/>
        <w:rPr>
          <w:b/>
          <w:noProof/>
          <w:highlight w:val="magenta"/>
        </w:rPr>
      </w:pPr>
    </w:p>
    <w:p w:rsidR="00157EE1" w:rsidRPr="00157EE1" w:rsidRDefault="00157EE1" w:rsidP="00F42F76">
      <w:pPr>
        <w:pStyle w:val="Heading4"/>
      </w:pPr>
      <w:r w:rsidRPr="00157EE1">
        <w:t xml:space="preserve">Drugs without Clinically Significant Interactions with </w:t>
      </w:r>
      <w:r w:rsidR="000D7FE6">
        <w:t>ZEPATIER</w:t>
      </w:r>
    </w:p>
    <w:p w:rsidR="00157EE1" w:rsidRDefault="00157EE1" w:rsidP="00EC2F3B">
      <w:pPr>
        <w:pStyle w:val="BodyText1"/>
        <w:spacing w:before="0"/>
        <w:ind w:firstLine="0"/>
        <w:rPr>
          <w:rFonts w:ascii="Arial" w:hAnsi="Arial"/>
          <w:sz w:val="22"/>
          <w:szCs w:val="22"/>
        </w:rPr>
      </w:pPr>
      <w:r w:rsidRPr="00157EE1">
        <w:rPr>
          <w:rFonts w:ascii="Arial" w:hAnsi="Arial"/>
          <w:sz w:val="22"/>
          <w:szCs w:val="22"/>
        </w:rPr>
        <w:t xml:space="preserve">The interaction between the components of </w:t>
      </w:r>
      <w:r w:rsidR="000D7FE6">
        <w:rPr>
          <w:rFonts w:ascii="Arial" w:hAnsi="Arial"/>
          <w:sz w:val="22"/>
          <w:szCs w:val="22"/>
        </w:rPr>
        <w:t>ZEPATIER</w:t>
      </w:r>
      <w:r w:rsidRPr="00157EE1">
        <w:rPr>
          <w:rFonts w:ascii="Arial" w:hAnsi="Arial"/>
          <w:sz w:val="22"/>
          <w:szCs w:val="22"/>
        </w:rPr>
        <w:t xml:space="preserve"> (</w:t>
      </w:r>
      <w:proofErr w:type="spellStart"/>
      <w:r w:rsidR="00CF4E61" w:rsidRPr="00157EE1">
        <w:rPr>
          <w:rFonts w:ascii="Arial" w:hAnsi="Arial"/>
          <w:sz w:val="22"/>
          <w:szCs w:val="22"/>
        </w:rPr>
        <w:t>elbasvir</w:t>
      </w:r>
      <w:proofErr w:type="spellEnd"/>
      <w:r w:rsidR="00CF4E61" w:rsidRPr="00157EE1">
        <w:rPr>
          <w:rFonts w:ascii="Arial" w:hAnsi="Arial"/>
          <w:sz w:val="22"/>
          <w:szCs w:val="22"/>
        </w:rPr>
        <w:t xml:space="preserve"> </w:t>
      </w:r>
      <w:r w:rsidR="00CF4E61">
        <w:rPr>
          <w:rFonts w:ascii="Arial" w:hAnsi="Arial"/>
          <w:sz w:val="22"/>
          <w:szCs w:val="22"/>
        </w:rPr>
        <w:t xml:space="preserve">or </w:t>
      </w:r>
      <w:proofErr w:type="spellStart"/>
      <w:r w:rsidRPr="00157EE1">
        <w:rPr>
          <w:rFonts w:ascii="Arial" w:hAnsi="Arial"/>
          <w:sz w:val="22"/>
          <w:szCs w:val="22"/>
        </w:rPr>
        <w:t>grazoprevir</w:t>
      </w:r>
      <w:proofErr w:type="spellEnd"/>
      <w:r w:rsidRPr="00157EE1">
        <w:rPr>
          <w:rFonts w:ascii="Arial" w:hAnsi="Arial"/>
          <w:sz w:val="22"/>
          <w:szCs w:val="22"/>
        </w:rPr>
        <w:t xml:space="preserve">) or </w:t>
      </w:r>
      <w:r w:rsidR="000D7FE6">
        <w:rPr>
          <w:rFonts w:ascii="Arial" w:hAnsi="Arial"/>
          <w:sz w:val="22"/>
          <w:szCs w:val="22"/>
        </w:rPr>
        <w:t>ZEPATIER</w:t>
      </w:r>
      <w:r w:rsidRPr="00157EE1">
        <w:rPr>
          <w:rFonts w:ascii="Arial" w:hAnsi="Arial"/>
          <w:sz w:val="22"/>
          <w:szCs w:val="22"/>
        </w:rPr>
        <w:t xml:space="preserve"> and the following drugs were evaluated in clinical studies, and no dose adjustments are needed when </w:t>
      </w:r>
      <w:r w:rsidR="000D7FE6">
        <w:rPr>
          <w:rFonts w:ascii="Arial" w:hAnsi="Arial"/>
          <w:sz w:val="22"/>
          <w:szCs w:val="22"/>
        </w:rPr>
        <w:t>ZEPATIER</w:t>
      </w:r>
      <w:r w:rsidRPr="00157EE1">
        <w:rPr>
          <w:rFonts w:ascii="Arial" w:hAnsi="Arial"/>
          <w:sz w:val="22"/>
          <w:szCs w:val="22"/>
        </w:rPr>
        <w:t xml:space="preserve"> is used with the following drugs individually: acid reducing agents (proton pump inhibitors, H2 blockers, antacids), buprenorphine/naloxone, digoxin, </w:t>
      </w:r>
      <w:proofErr w:type="spellStart"/>
      <w:r w:rsidRPr="00157EE1">
        <w:rPr>
          <w:rFonts w:ascii="Arial" w:hAnsi="Arial"/>
          <w:sz w:val="22"/>
          <w:szCs w:val="22"/>
        </w:rPr>
        <w:t>dolutegravir</w:t>
      </w:r>
      <w:proofErr w:type="spellEnd"/>
      <w:r w:rsidRPr="00157EE1">
        <w:rPr>
          <w:rFonts w:ascii="Arial" w:hAnsi="Arial"/>
          <w:sz w:val="22"/>
          <w:szCs w:val="22"/>
        </w:rPr>
        <w:t xml:space="preserve">, methadone, </w:t>
      </w:r>
      <w:proofErr w:type="spellStart"/>
      <w:r w:rsidRPr="00157EE1">
        <w:rPr>
          <w:rFonts w:ascii="Arial" w:hAnsi="Arial"/>
          <w:sz w:val="22"/>
          <w:szCs w:val="22"/>
        </w:rPr>
        <w:t>mycophenolate</w:t>
      </w:r>
      <w:proofErr w:type="spellEnd"/>
      <w:r w:rsidRPr="00157EE1">
        <w:rPr>
          <w:rFonts w:ascii="Arial" w:hAnsi="Arial"/>
          <w:sz w:val="22"/>
          <w:szCs w:val="22"/>
        </w:rPr>
        <w:t xml:space="preserve"> </w:t>
      </w:r>
      <w:proofErr w:type="spellStart"/>
      <w:r w:rsidRPr="00157EE1">
        <w:rPr>
          <w:rFonts w:ascii="Arial" w:hAnsi="Arial"/>
          <w:sz w:val="22"/>
          <w:szCs w:val="22"/>
        </w:rPr>
        <w:t>mofetil</w:t>
      </w:r>
      <w:proofErr w:type="spellEnd"/>
      <w:r w:rsidRPr="00157EE1">
        <w:rPr>
          <w:rFonts w:ascii="Arial" w:hAnsi="Arial"/>
          <w:sz w:val="22"/>
          <w:szCs w:val="22"/>
        </w:rPr>
        <w:t xml:space="preserve">, oral contraceptive pills, phosphate binders, </w:t>
      </w:r>
      <w:proofErr w:type="spellStart"/>
      <w:r w:rsidRPr="00157EE1">
        <w:rPr>
          <w:rFonts w:ascii="Arial" w:hAnsi="Arial"/>
          <w:sz w:val="22"/>
          <w:szCs w:val="22"/>
        </w:rPr>
        <w:t>pitavastatin</w:t>
      </w:r>
      <w:proofErr w:type="spellEnd"/>
      <w:r w:rsidRPr="00157EE1">
        <w:rPr>
          <w:rFonts w:ascii="Arial" w:hAnsi="Arial"/>
          <w:sz w:val="22"/>
          <w:szCs w:val="22"/>
        </w:rPr>
        <w:t xml:space="preserve">, pravastatin, prednisone, </w:t>
      </w:r>
      <w:proofErr w:type="spellStart"/>
      <w:r w:rsidRPr="00157EE1">
        <w:rPr>
          <w:rFonts w:ascii="Arial" w:hAnsi="Arial"/>
          <w:sz w:val="22"/>
          <w:szCs w:val="22"/>
        </w:rPr>
        <w:t>raltegravir</w:t>
      </w:r>
      <w:proofErr w:type="spellEnd"/>
      <w:r w:rsidRPr="00157EE1">
        <w:rPr>
          <w:rFonts w:ascii="Arial" w:hAnsi="Arial"/>
          <w:sz w:val="22"/>
          <w:szCs w:val="22"/>
        </w:rPr>
        <w:t xml:space="preserve">, ribavirin, </w:t>
      </w:r>
      <w:proofErr w:type="spellStart"/>
      <w:r w:rsidRPr="00157EE1">
        <w:rPr>
          <w:rFonts w:ascii="Arial" w:hAnsi="Arial"/>
          <w:sz w:val="22"/>
          <w:szCs w:val="22"/>
        </w:rPr>
        <w:t>rilpivirine</w:t>
      </w:r>
      <w:proofErr w:type="spellEnd"/>
      <w:r w:rsidRPr="00157EE1">
        <w:rPr>
          <w:rFonts w:ascii="Arial" w:hAnsi="Arial"/>
          <w:sz w:val="22"/>
          <w:szCs w:val="22"/>
        </w:rPr>
        <w:t xml:space="preserve">, </w:t>
      </w:r>
      <w:proofErr w:type="spellStart"/>
      <w:r w:rsidRPr="00157EE1">
        <w:rPr>
          <w:rFonts w:ascii="Arial" w:hAnsi="Arial"/>
          <w:sz w:val="22"/>
          <w:szCs w:val="22"/>
        </w:rPr>
        <w:t>tenofovir</w:t>
      </w:r>
      <w:proofErr w:type="spellEnd"/>
      <w:r w:rsidRPr="00157EE1">
        <w:rPr>
          <w:rFonts w:ascii="Arial" w:hAnsi="Arial"/>
          <w:sz w:val="22"/>
          <w:szCs w:val="22"/>
        </w:rPr>
        <w:t xml:space="preserve"> </w:t>
      </w:r>
      <w:proofErr w:type="spellStart"/>
      <w:r w:rsidRPr="00157EE1">
        <w:rPr>
          <w:rFonts w:ascii="Arial" w:hAnsi="Arial"/>
          <w:sz w:val="22"/>
          <w:szCs w:val="22"/>
        </w:rPr>
        <w:t>disoproxil</w:t>
      </w:r>
      <w:proofErr w:type="spellEnd"/>
      <w:r w:rsidRPr="00157EE1">
        <w:rPr>
          <w:rFonts w:ascii="Arial" w:hAnsi="Arial"/>
          <w:sz w:val="22"/>
          <w:szCs w:val="22"/>
        </w:rPr>
        <w:t xml:space="preserve"> </w:t>
      </w:r>
      <w:proofErr w:type="spellStart"/>
      <w:r w:rsidRPr="00157EE1">
        <w:rPr>
          <w:rFonts w:ascii="Arial" w:hAnsi="Arial"/>
          <w:sz w:val="22"/>
          <w:szCs w:val="22"/>
        </w:rPr>
        <w:t>fumarate</w:t>
      </w:r>
      <w:proofErr w:type="spellEnd"/>
      <w:r w:rsidRPr="00157EE1">
        <w:rPr>
          <w:rFonts w:ascii="Arial" w:hAnsi="Arial"/>
          <w:sz w:val="22"/>
          <w:szCs w:val="22"/>
        </w:rPr>
        <w:t xml:space="preserve">, and </w:t>
      </w:r>
      <w:proofErr w:type="spellStart"/>
      <w:r w:rsidRPr="00157EE1">
        <w:rPr>
          <w:rFonts w:ascii="Arial" w:hAnsi="Arial"/>
          <w:sz w:val="22"/>
          <w:szCs w:val="22"/>
        </w:rPr>
        <w:t>sofosbuvir</w:t>
      </w:r>
      <w:proofErr w:type="spellEnd"/>
      <w:r w:rsidRPr="00157EE1">
        <w:rPr>
          <w:rFonts w:ascii="Arial" w:hAnsi="Arial"/>
          <w:sz w:val="22"/>
          <w:szCs w:val="22"/>
        </w:rPr>
        <w:t xml:space="preserve">. </w:t>
      </w:r>
    </w:p>
    <w:p w:rsidR="00547C2D" w:rsidRPr="00157EE1" w:rsidRDefault="00547C2D" w:rsidP="00EC2F3B">
      <w:pPr>
        <w:pStyle w:val="BodyText1"/>
        <w:spacing w:before="0"/>
        <w:ind w:firstLine="0"/>
        <w:rPr>
          <w:rFonts w:ascii="Arial" w:hAnsi="Arial"/>
          <w:sz w:val="22"/>
          <w:szCs w:val="22"/>
        </w:rPr>
      </w:pPr>
    </w:p>
    <w:p w:rsidR="00157EE1" w:rsidRPr="00157EE1" w:rsidRDefault="00157EE1" w:rsidP="00EC2F3B">
      <w:pPr>
        <w:pStyle w:val="BodyText1"/>
        <w:spacing w:before="0"/>
        <w:ind w:firstLine="0"/>
        <w:rPr>
          <w:sz w:val="22"/>
          <w:szCs w:val="22"/>
        </w:rPr>
      </w:pPr>
      <w:r w:rsidRPr="00157EE1">
        <w:rPr>
          <w:rFonts w:ascii="Arial" w:hAnsi="Arial"/>
          <w:sz w:val="22"/>
          <w:szCs w:val="22"/>
        </w:rPr>
        <w:t xml:space="preserve">No clinically relevant drug-drug interaction is expected when </w:t>
      </w:r>
      <w:r w:rsidR="000D7FE6">
        <w:rPr>
          <w:rFonts w:ascii="Arial" w:hAnsi="Arial"/>
          <w:sz w:val="22"/>
          <w:szCs w:val="22"/>
        </w:rPr>
        <w:t>ZEPATIER</w:t>
      </w:r>
      <w:r w:rsidRPr="00157EE1">
        <w:rPr>
          <w:rFonts w:ascii="Arial" w:hAnsi="Arial"/>
          <w:sz w:val="22"/>
          <w:szCs w:val="22"/>
        </w:rPr>
        <w:t xml:space="preserve"> is co-administered with </w:t>
      </w:r>
      <w:proofErr w:type="spellStart"/>
      <w:r w:rsidRPr="00157EE1">
        <w:rPr>
          <w:rFonts w:ascii="Arial" w:hAnsi="Arial"/>
          <w:sz w:val="22"/>
          <w:szCs w:val="22"/>
        </w:rPr>
        <w:t>abacavir</w:t>
      </w:r>
      <w:proofErr w:type="spellEnd"/>
      <w:r w:rsidRPr="00157EE1">
        <w:rPr>
          <w:rFonts w:ascii="Arial" w:hAnsi="Arial"/>
          <w:sz w:val="22"/>
          <w:szCs w:val="22"/>
        </w:rPr>
        <w:t xml:space="preserve">, </w:t>
      </w:r>
      <w:proofErr w:type="spellStart"/>
      <w:r w:rsidRPr="00157EE1">
        <w:rPr>
          <w:rFonts w:ascii="Arial" w:hAnsi="Arial"/>
          <w:sz w:val="22"/>
          <w:szCs w:val="22"/>
        </w:rPr>
        <w:t>emtricitabine</w:t>
      </w:r>
      <w:proofErr w:type="spellEnd"/>
      <w:r w:rsidRPr="00157EE1">
        <w:rPr>
          <w:rFonts w:ascii="Arial" w:hAnsi="Arial"/>
          <w:sz w:val="22"/>
          <w:szCs w:val="22"/>
        </w:rPr>
        <w:t xml:space="preserve">, </w:t>
      </w:r>
      <w:proofErr w:type="spellStart"/>
      <w:r w:rsidRPr="00157EE1">
        <w:rPr>
          <w:rFonts w:ascii="Arial" w:hAnsi="Arial"/>
          <w:sz w:val="22"/>
          <w:szCs w:val="22"/>
        </w:rPr>
        <w:t>entecavir</w:t>
      </w:r>
      <w:proofErr w:type="spellEnd"/>
      <w:r w:rsidRPr="00157EE1">
        <w:rPr>
          <w:rFonts w:ascii="Arial" w:hAnsi="Arial"/>
          <w:sz w:val="22"/>
          <w:szCs w:val="22"/>
        </w:rPr>
        <w:t>, and lamivudine.</w:t>
      </w:r>
    </w:p>
    <w:p w:rsidR="00C512D6" w:rsidRDefault="00C512D6">
      <w:pPr>
        <w:spacing w:before="0" w:after="0"/>
        <w:rPr>
          <w:b/>
          <w:noProof/>
          <w:highlight w:val="magenta"/>
        </w:rPr>
      </w:pPr>
    </w:p>
    <w:p w:rsidR="000D6E58" w:rsidRDefault="000D6E58">
      <w:pPr>
        <w:spacing w:before="0" w:after="0"/>
        <w:rPr>
          <w:b/>
          <w:caps/>
          <w:kern w:val="28"/>
          <w:sz w:val="24"/>
        </w:rPr>
      </w:pPr>
      <w:r>
        <w:br w:type="page"/>
      </w:r>
    </w:p>
    <w:p w:rsidR="00CC78DD" w:rsidRPr="000D6E58" w:rsidRDefault="00CC78DD">
      <w:pPr>
        <w:pStyle w:val="Heading1"/>
        <w:rPr>
          <w:u w:val="single"/>
        </w:rPr>
      </w:pPr>
      <w:r w:rsidRPr="000D6E58">
        <w:rPr>
          <w:u w:val="single"/>
        </w:rPr>
        <w:lastRenderedPageBreak/>
        <w:t xml:space="preserve">ADVERSE </w:t>
      </w:r>
      <w:r w:rsidR="007121DA" w:rsidRPr="000D6E58">
        <w:rPr>
          <w:u w:val="single"/>
        </w:rPr>
        <w:t>effects</w:t>
      </w:r>
    </w:p>
    <w:p w:rsidR="002173FB" w:rsidRPr="0071229A" w:rsidRDefault="002173FB" w:rsidP="002173FB">
      <w:pPr>
        <w:rPr>
          <w:b/>
          <w:i/>
        </w:rPr>
      </w:pPr>
      <w:r w:rsidRPr="0071229A">
        <w:rPr>
          <w:b/>
          <w:i/>
        </w:rPr>
        <w:t xml:space="preserve">If </w:t>
      </w:r>
      <w:r w:rsidR="000D7FE6">
        <w:rPr>
          <w:b/>
          <w:i/>
        </w:rPr>
        <w:t>ZEPATIER</w:t>
      </w:r>
      <w:r w:rsidRPr="0071229A">
        <w:rPr>
          <w:b/>
          <w:i/>
        </w:rPr>
        <w:t xml:space="preserve"> is administered with ribavirin, refer to the prescribing information for ribavirin for a list of ribavirin-associated adverse reactions.</w:t>
      </w:r>
    </w:p>
    <w:p w:rsidR="002173FB" w:rsidRPr="0071229A" w:rsidRDefault="002173FB" w:rsidP="00F42F76">
      <w:pPr>
        <w:pStyle w:val="Heading2"/>
      </w:pPr>
      <w:r w:rsidRPr="0071229A">
        <w:t>Clinical Trials Experience</w:t>
      </w:r>
    </w:p>
    <w:p w:rsidR="002173FB" w:rsidRPr="00F42F76" w:rsidRDefault="002173FB">
      <w:pPr>
        <w:rPr>
          <w:b/>
        </w:rPr>
      </w:pPr>
      <w:r w:rsidRPr="00F42F76">
        <w:rPr>
          <w:b/>
        </w:rPr>
        <w:t>Adults</w:t>
      </w:r>
    </w:p>
    <w:p w:rsidR="002173FB" w:rsidRDefault="002173FB" w:rsidP="002173FB">
      <w:r w:rsidRPr="00E11AD3">
        <w:t xml:space="preserve">The safety of </w:t>
      </w:r>
      <w:r w:rsidR="000D7FE6">
        <w:t>ZEPATIER</w:t>
      </w:r>
      <w:r w:rsidRPr="00E11AD3">
        <w:t xml:space="preserve"> was assessed </w:t>
      </w:r>
      <w:r w:rsidR="00D63B6C">
        <w:t xml:space="preserve">based on </w:t>
      </w:r>
      <w:r w:rsidRPr="00E11AD3">
        <w:t xml:space="preserve">2 placebo-controlled trials and </w:t>
      </w:r>
      <w:r>
        <w:t>8</w:t>
      </w:r>
      <w:r w:rsidRPr="00E11AD3">
        <w:t xml:space="preserve"> uncontrolled Phase 2 and 3 clinical trials in approximately 2000 subjects with chronic hepatitis C infection with compensated liver disease (with or without cirrhosis).</w:t>
      </w:r>
      <w:r>
        <w:t xml:space="preserve"> </w:t>
      </w:r>
    </w:p>
    <w:p w:rsidR="002173FB" w:rsidRPr="002173FB" w:rsidRDefault="002173FB" w:rsidP="002173FB">
      <w:pPr>
        <w:rPr>
          <w:u w:val="single"/>
        </w:rPr>
      </w:pPr>
      <w:r w:rsidRPr="002173FB">
        <w:rPr>
          <w:u w:val="single"/>
        </w:rPr>
        <w:t xml:space="preserve">Adverse Reactions in Subjects Receiving </w:t>
      </w:r>
      <w:r w:rsidR="000D7FE6">
        <w:rPr>
          <w:u w:val="single"/>
        </w:rPr>
        <w:t>ZEPATIER</w:t>
      </w:r>
      <w:r w:rsidRPr="002173FB">
        <w:rPr>
          <w:u w:val="single"/>
        </w:rPr>
        <w:t xml:space="preserve"> Alone </w:t>
      </w:r>
    </w:p>
    <w:p w:rsidR="002173FB" w:rsidRDefault="002173FB" w:rsidP="002173FB">
      <w:pPr>
        <w:rPr>
          <w:color w:val="000000"/>
        </w:rPr>
      </w:pPr>
      <w:r>
        <w:t xml:space="preserve">C-EDGE TN was a Phase 3 placebo-controlled trial in treatment-naïve (TN) subjects. Adverse reactions </w:t>
      </w:r>
      <w:r w:rsidRPr="00D12282">
        <w:rPr>
          <w:color w:val="000000"/>
        </w:rPr>
        <w:t xml:space="preserve">(adverse events assessed as causally related by the investigator, all grades) </w:t>
      </w:r>
      <w:r>
        <w:t xml:space="preserve">occurring in C-EDGE TN at ≥5% frequency in subjects treated with </w:t>
      </w:r>
      <w:r w:rsidR="000D7FE6">
        <w:t>ZEPATIER</w:t>
      </w:r>
      <w:r>
        <w:t xml:space="preserve"> for 12 weeks are presented in </w:t>
      </w:r>
      <w:r>
        <w:fldChar w:fldCharType="begin"/>
      </w:r>
      <w:r>
        <w:instrText xml:space="preserve"> REF _Ref423000311 \h </w:instrText>
      </w:r>
      <w:r>
        <w:fldChar w:fldCharType="separate"/>
      </w:r>
      <w:r w:rsidR="008B30DE">
        <w:t xml:space="preserve">Table </w:t>
      </w:r>
      <w:r w:rsidR="00E400B9">
        <w:t>11</w:t>
      </w:r>
      <w:r>
        <w:fldChar w:fldCharType="end"/>
      </w:r>
      <w:r>
        <w:t>.</w:t>
      </w:r>
      <w:r w:rsidDel="00E51BC2">
        <w:rPr>
          <w:color w:val="000000"/>
        </w:rPr>
        <w:t xml:space="preserve"> </w:t>
      </w:r>
      <w:r>
        <w:rPr>
          <w:color w:val="000000"/>
        </w:rPr>
        <w:t xml:space="preserve">No </w:t>
      </w:r>
      <w:r w:rsidRPr="00C35766">
        <w:rPr>
          <w:color w:val="000000"/>
        </w:rPr>
        <w:t>subject</w:t>
      </w:r>
      <w:r>
        <w:rPr>
          <w:color w:val="000000"/>
        </w:rPr>
        <w:t>s</w:t>
      </w:r>
      <w:r w:rsidRPr="00C35766">
        <w:rPr>
          <w:color w:val="000000"/>
        </w:rPr>
        <w:t xml:space="preserve"> treated with </w:t>
      </w:r>
      <w:r w:rsidR="000D7FE6">
        <w:rPr>
          <w:color w:val="000000"/>
        </w:rPr>
        <w:t>ZEPATIER</w:t>
      </w:r>
      <w:r w:rsidRPr="00C35766">
        <w:rPr>
          <w:color w:val="000000"/>
        </w:rPr>
        <w:t xml:space="preserve"> or placebo </w:t>
      </w:r>
      <w:r>
        <w:rPr>
          <w:color w:val="000000"/>
        </w:rPr>
        <w:t xml:space="preserve">had </w:t>
      </w:r>
      <w:r w:rsidRPr="00FB63D1">
        <w:rPr>
          <w:color w:val="1A1A1A"/>
        </w:rPr>
        <w:t xml:space="preserve">serious adverse </w:t>
      </w:r>
      <w:r>
        <w:rPr>
          <w:color w:val="1A1A1A"/>
        </w:rPr>
        <w:t>reactions</w:t>
      </w:r>
      <w:r>
        <w:rPr>
          <w:color w:val="000000"/>
        </w:rPr>
        <w:t>. The proportion of subjects</w:t>
      </w:r>
      <w:r w:rsidRPr="00000CB2">
        <w:rPr>
          <w:color w:val="000000"/>
        </w:rPr>
        <w:t xml:space="preserve"> </w:t>
      </w:r>
      <w:r>
        <w:rPr>
          <w:color w:val="000000"/>
        </w:rPr>
        <w:t xml:space="preserve">treated with </w:t>
      </w:r>
      <w:r w:rsidR="000D7FE6">
        <w:rPr>
          <w:color w:val="000000"/>
        </w:rPr>
        <w:t>ZEPATIER</w:t>
      </w:r>
      <w:r>
        <w:rPr>
          <w:color w:val="000000"/>
        </w:rPr>
        <w:t xml:space="preserve"> or placebo</w:t>
      </w:r>
      <w:r w:rsidDel="00656D89">
        <w:rPr>
          <w:color w:val="000000"/>
        </w:rPr>
        <w:t xml:space="preserve"> </w:t>
      </w:r>
      <w:r>
        <w:rPr>
          <w:color w:val="000000"/>
        </w:rPr>
        <w:t xml:space="preserve">who </w:t>
      </w:r>
      <w:r w:rsidRPr="00C35766">
        <w:rPr>
          <w:color w:val="000000"/>
        </w:rPr>
        <w:t xml:space="preserve">permanently discontinued treatment due to adverse </w:t>
      </w:r>
      <w:r>
        <w:rPr>
          <w:color w:val="000000"/>
        </w:rPr>
        <w:t>reactions was &lt;1% and 1%, respectively.</w:t>
      </w:r>
    </w:p>
    <w:p w:rsidR="002173FB" w:rsidRDefault="002173FB" w:rsidP="002173FB">
      <w:pPr>
        <w:rPr>
          <w:color w:val="000000"/>
        </w:rPr>
      </w:pPr>
      <w:r w:rsidRPr="007938E2">
        <w:t xml:space="preserve">Adverse reactions occurring in a pooled analysis of Phase 2 and 3 clinical trials at ≥5% frequency in subjects treated with </w:t>
      </w:r>
      <w:r w:rsidR="000D7FE6">
        <w:t>ZEPATIER</w:t>
      </w:r>
      <w:r>
        <w:t xml:space="preserve"> </w:t>
      </w:r>
      <w:r w:rsidRPr="007938E2">
        <w:t>for 12 weeks are pre</w:t>
      </w:r>
      <w:r w:rsidRPr="00B66825">
        <w:t xml:space="preserve">sented in Table </w:t>
      </w:r>
      <w:r w:rsidR="00E400B9">
        <w:t>11</w:t>
      </w:r>
      <w:r w:rsidRPr="00B66825">
        <w:t>. The majority of the adverse reactions were mild in severity.</w:t>
      </w:r>
      <w:r w:rsidRPr="00B66825">
        <w:rPr>
          <w:color w:val="000000"/>
        </w:rPr>
        <w:t xml:space="preserve"> No subjects treated with </w:t>
      </w:r>
      <w:r w:rsidR="000D7FE6">
        <w:rPr>
          <w:color w:val="000000"/>
        </w:rPr>
        <w:t>ZEPATIER</w:t>
      </w:r>
      <w:r w:rsidRPr="00B66825">
        <w:rPr>
          <w:color w:val="000000"/>
        </w:rPr>
        <w:t xml:space="preserve"> had </w:t>
      </w:r>
      <w:r w:rsidRPr="00B66825">
        <w:rPr>
          <w:color w:val="1A1A1A"/>
        </w:rPr>
        <w:t>serious adverse reactions</w:t>
      </w:r>
      <w:r w:rsidRPr="00B66825">
        <w:rPr>
          <w:color w:val="000000"/>
        </w:rPr>
        <w:t>. The proportion of subjects who permanently discontinued</w:t>
      </w:r>
      <w:r w:rsidRPr="007938E2">
        <w:rPr>
          <w:color w:val="000000"/>
        </w:rPr>
        <w:t xml:space="preserve"> treatment due to adverse reactions was &lt;1%.</w:t>
      </w:r>
      <w:r w:rsidRPr="007938E2" w:rsidDel="00B84BDE">
        <w:rPr>
          <w:color w:val="000000"/>
        </w:rPr>
        <w:t xml:space="preserve"> </w:t>
      </w:r>
      <w:r w:rsidRPr="007938E2">
        <w:rPr>
          <w:color w:val="000000"/>
        </w:rPr>
        <w:t>The type and severity of adverse reactions in subjects with cirrhosis were comparable to those seen in subjects without cirrhosis.</w:t>
      </w:r>
      <w:r>
        <w:rPr>
          <w:color w:val="000000"/>
        </w:rPr>
        <w:t xml:space="preserve"> </w:t>
      </w:r>
    </w:p>
    <w:p w:rsidR="005727BF" w:rsidRDefault="005727BF" w:rsidP="002173FB">
      <w:pPr>
        <w:rPr>
          <w:color w:val="000000"/>
        </w:rPr>
      </w:pPr>
    </w:p>
    <w:p w:rsidR="002173FB" w:rsidRDefault="002173FB" w:rsidP="002173FB">
      <w:pPr>
        <w:pStyle w:val="Caption"/>
        <w:keepNext/>
        <w:jc w:val="center"/>
        <w:rPr>
          <w:b w:val="0"/>
          <w:szCs w:val="18"/>
        </w:rPr>
      </w:pPr>
      <w:bookmarkStart w:id="9" w:name="_Ref423000311"/>
      <w:r>
        <w:t xml:space="preserve">Table </w:t>
      </w:r>
      <w:bookmarkEnd w:id="9"/>
      <w:r w:rsidR="003704C6">
        <w:t>11</w:t>
      </w:r>
      <w:r w:rsidRPr="002173FB">
        <w:rPr>
          <w:szCs w:val="18"/>
        </w:rPr>
        <w:t xml:space="preserve">: Adverse Reactions Occurring at ≥5% Frequency in Subjects with Chronic Hepatitis C Infection Treated with </w:t>
      </w:r>
      <w:r w:rsidR="000D7FE6">
        <w:rPr>
          <w:szCs w:val="18"/>
        </w:rPr>
        <w:t>ZEPATIER</w:t>
      </w:r>
      <w:r w:rsidRPr="002173FB">
        <w:rPr>
          <w:szCs w:val="18"/>
        </w:rPr>
        <w:t xml:space="preserve"> for 12 Weeks in C-EDGE TN </w:t>
      </w:r>
      <w:r w:rsidR="00D63B6C">
        <w:rPr>
          <w:szCs w:val="18"/>
        </w:rPr>
        <w:t xml:space="preserve">or </w:t>
      </w:r>
      <w:r w:rsidRPr="002173FB">
        <w:rPr>
          <w:szCs w:val="18"/>
        </w:rPr>
        <w:t xml:space="preserve">with </w:t>
      </w:r>
      <w:r w:rsidR="000D7FE6">
        <w:rPr>
          <w:szCs w:val="18"/>
        </w:rPr>
        <w:t>ZEPATIER</w:t>
      </w:r>
      <w:r w:rsidRPr="002173FB">
        <w:rPr>
          <w:szCs w:val="18"/>
        </w:rPr>
        <w:t xml:space="preserve"> for 12 </w:t>
      </w:r>
      <w:r w:rsidR="00F76CE4">
        <w:rPr>
          <w:szCs w:val="18"/>
        </w:rPr>
        <w:t>W</w:t>
      </w:r>
      <w:r w:rsidRPr="002173FB">
        <w:rPr>
          <w:szCs w:val="18"/>
        </w:rPr>
        <w:t>eeks in the Pooled Phase 2 and 3 Clinical Trials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6"/>
        <w:gridCol w:w="2152"/>
        <w:gridCol w:w="2287"/>
      </w:tblGrid>
      <w:tr w:rsidR="002173FB" w:rsidRPr="00F542E0" w:rsidTr="005727BF">
        <w:trPr>
          <w:jc w:val="center"/>
        </w:trPr>
        <w:tc>
          <w:tcPr>
            <w:tcW w:w="1699" w:type="dxa"/>
            <w:shd w:val="clear" w:color="auto" w:fill="auto"/>
          </w:tcPr>
          <w:p w:rsidR="002173FB" w:rsidRPr="00F542E0" w:rsidRDefault="002173FB" w:rsidP="00812C6B">
            <w:pPr>
              <w:pStyle w:val="BodyText1"/>
              <w:spacing w:before="0"/>
              <w:ind w:firstLine="0"/>
              <w:jc w:val="both"/>
              <w:rPr>
                <w:rFonts w:ascii="Arial" w:hAnsi="Arial"/>
                <w:sz w:val="20"/>
                <w:szCs w:val="20"/>
              </w:rPr>
            </w:pPr>
          </w:p>
        </w:tc>
        <w:tc>
          <w:tcPr>
            <w:tcW w:w="4438" w:type="dxa"/>
            <w:gridSpan w:val="2"/>
          </w:tcPr>
          <w:p w:rsidR="002173FB" w:rsidRDefault="002173FB" w:rsidP="00812C6B">
            <w:pPr>
              <w:pStyle w:val="BodyText1"/>
              <w:spacing w:before="0"/>
              <w:ind w:firstLine="0"/>
              <w:jc w:val="center"/>
              <w:rPr>
                <w:rFonts w:ascii="Arial" w:hAnsi="Arial"/>
                <w:b/>
                <w:sz w:val="20"/>
                <w:szCs w:val="20"/>
              </w:rPr>
            </w:pPr>
            <w:r w:rsidRPr="00BE5406">
              <w:rPr>
                <w:rFonts w:ascii="Arial" w:hAnsi="Arial"/>
                <w:b/>
                <w:sz w:val="20"/>
                <w:szCs w:val="20"/>
              </w:rPr>
              <w:t>C-EDGE TN</w:t>
            </w:r>
          </w:p>
        </w:tc>
        <w:tc>
          <w:tcPr>
            <w:tcW w:w="2287" w:type="dxa"/>
            <w:shd w:val="clear" w:color="auto" w:fill="auto"/>
          </w:tcPr>
          <w:p w:rsidR="002173FB" w:rsidRPr="00F542E0" w:rsidRDefault="002173FB" w:rsidP="00812C6B">
            <w:pPr>
              <w:pStyle w:val="BodyText1"/>
              <w:spacing w:before="0"/>
              <w:ind w:firstLine="0"/>
              <w:jc w:val="center"/>
              <w:rPr>
                <w:rFonts w:ascii="Arial" w:hAnsi="Arial"/>
                <w:b/>
                <w:sz w:val="20"/>
                <w:szCs w:val="20"/>
              </w:rPr>
            </w:pPr>
            <w:r>
              <w:rPr>
                <w:rFonts w:ascii="Arial" w:hAnsi="Arial"/>
                <w:b/>
                <w:sz w:val="20"/>
                <w:szCs w:val="20"/>
              </w:rPr>
              <w:t>Pooled*</w:t>
            </w:r>
          </w:p>
        </w:tc>
      </w:tr>
      <w:tr w:rsidR="002173FB" w:rsidRPr="00F542E0" w:rsidTr="005727BF">
        <w:trPr>
          <w:jc w:val="center"/>
        </w:trPr>
        <w:tc>
          <w:tcPr>
            <w:tcW w:w="1699" w:type="dxa"/>
            <w:shd w:val="clear" w:color="auto" w:fill="auto"/>
          </w:tcPr>
          <w:p w:rsidR="002173FB" w:rsidRPr="00F542E0" w:rsidRDefault="002173FB" w:rsidP="00812C6B">
            <w:pPr>
              <w:pStyle w:val="BodyText1"/>
              <w:spacing w:before="0"/>
              <w:ind w:firstLine="0"/>
              <w:jc w:val="both"/>
              <w:rPr>
                <w:rFonts w:ascii="Arial" w:hAnsi="Arial"/>
                <w:sz w:val="20"/>
                <w:szCs w:val="20"/>
              </w:rPr>
            </w:pPr>
          </w:p>
        </w:tc>
        <w:tc>
          <w:tcPr>
            <w:tcW w:w="2286" w:type="dxa"/>
          </w:tcPr>
          <w:p w:rsidR="002173FB" w:rsidRDefault="000D7FE6" w:rsidP="00812C6B">
            <w:pPr>
              <w:pStyle w:val="BodyText1"/>
              <w:spacing w:before="0"/>
              <w:ind w:firstLine="0"/>
              <w:jc w:val="center"/>
              <w:rPr>
                <w:rFonts w:ascii="Arial" w:hAnsi="Arial"/>
                <w:b/>
                <w:sz w:val="20"/>
                <w:szCs w:val="20"/>
              </w:rPr>
            </w:pPr>
            <w:r>
              <w:rPr>
                <w:rFonts w:ascii="Arial" w:hAnsi="Arial"/>
                <w:b/>
                <w:sz w:val="20"/>
                <w:szCs w:val="20"/>
              </w:rPr>
              <w:t>ZEPATIER</w:t>
            </w:r>
          </w:p>
          <w:p w:rsidR="002173FB" w:rsidRDefault="002173FB" w:rsidP="00812C6B">
            <w:pPr>
              <w:pStyle w:val="BodyText1"/>
              <w:spacing w:before="0"/>
              <w:ind w:firstLine="0"/>
              <w:jc w:val="center"/>
              <w:rPr>
                <w:rFonts w:ascii="Arial" w:hAnsi="Arial"/>
                <w:b/>
                <w:sz w:val="20"/>
                <w:szCs w:val="20"/>
              </w:rPr>
            </w:pPr>
            <w:r>
              <w:rPr>
                <w:rFonts w:ascii="Arial" w:hAnsi="Arial"/>
                <w:b/>
                <w:sz w:val="20"/>
                <w:szCs w:val="20"/>
              </w:rPr>
              <w:t>N=316</w:t>
            </w:r>
          </w:p>
          <w:p w:rsidR="002173FB" w:rsidRDefault="002173FB" w:rsidP="00812C6B">
            <w:pPr>
              <w:pStyle w:val="BodyText1"/>
              <w:spacing w:before="0"/>
              <w:ind w:firstLine="0"/>
              <w:jc w:val="center"/>
              <w:rPr>
                <w:rFonts w:ascii="Arial" w:hAnsi="Arial"/>
                <w:b/>
                <w:sz w:val="20"/>
                <w:szCs w:val="20"/>
              </w:rPr>
            </w:pPr>
            <w:r w:rsidRPr="00F542E0">
              <w:rPr>
                <w:rFonts w:ascii="Arial" w:hAnsi="Arial"/>
                <w:b/>
                <w:sz w:val="20"/>
                <w:szCs w:val="20"/>
              </w:rPr>
              <w:t>% (n)</w:t>
            </w:r>
          </w:p>
          <w:p w:rsidR="002173FB" w:rsidRPr="00F542E0" w:rsidRDefault="002173FB" w:rsidP="00812C6B">
            <w:pPr>
              <w:pStyle w:val="BodyText1"/>
              <w:spacing w:before="0"/>
              <w:ind w:firstLine="0"/>
              <w:jc w:val="center"/>
              <w:rPr>
                <w:rFonts w:ascii="Arial" w:hAnsi="Arial"/>
                <w:b/>
                <w:sz w:val="20"/>
                <w:szCs w:val="20"/>
              </w:rPr>
            </w:pPr>
            <w:r>
              <w:rPr>
                <w:rFonts w:ascii="Arial" w:hAnsi="Arial"/>
                <w:b/>
                <w:sz w:val="20"/>
                <w:szCs w:val="20"/>
              </w:rPr>
              <w:t>12 weeks</w:t>
            </w:r>
          </w:p>
        </w:tc>
        <w:tc>
          <w:tcPr>
            <w:tcW w:w="2152" w:type="dxa"/>
          </w:tcPr>
          <w:p w:rsidR="002173FB" w:rsidRDefault="002173FB" w:rsidP="00812C6B">
            <w:pPr>
              <w:pStyle w:val="BodyText1"/>
              <w:spacing w:before="0"/>
              <w:ind w:firstLine="0"/>
              <w:jc w:val="center"/>
              <w:rPr>
                <w:rFonts w:ascii="Arial" w:hAnsi="Arial"/>
                <w:b/>
                <w:sz w:val="20"/>
                <w:szCs w:val="20"/>
              </w:rPr>
            </w:pPr>
            <w:r>
              <w:rPr>
                <w:rFonts w:ascii="Arial" w:hAnsi="Arial"/>
                <w:b/>
                <w:sz w:val="20"/>
                <w:szCs w:val="20"/>
              </w:rPr>
              <w:t>Placebo</w:t>
            </w:r>
          </w:p>
          <w:p w:rsidR="002173FB" w:rsidRDefault="002173FB" w:rsidP="00812C6B">
            <w:pPr>
              <w:pStyle w:val="BodyText1"/>
              <w:spacing w:before="0"/>
              <w:ind w:firstLine="0"/>
              <w:jc w:val="center"/>
              <w:rPr>
                <w:rFonts w:ascii="Arial" w:hAnsi="Arial"/>
                <w:b/>
                <w:sz w:val="20"/>
                <w:szCs w:val="20"/>
              </w:rPr>
            </w:pPr>
            <w:r>
              <w:rPr>
                <w:rFonts w:ascii="Arial" w:hAnsi="Arial"/>
                <w:b/>
                <w:sz w:val="20"/>
                <w:szCs w:val="20"/>
              </w:rPr>
              <w:t>N=105</w:t>
            </w:r>
          </w:p>
          <w:p w:rsidR="002173FB" w:rsidRDefault="002173FB" w:rsidP="00812C6B">
            <w:pPr>
              <w:pStyle w:val="BodyText1"/>
              <w:spacing w:before="0"/>
              <w:ind w:firstLine="0"/>
              <w:jc w:val="center"/>
              <w:rPr>
                <w:rFonts w:ascii="Arial" w:hAnsi="Arial"/>
                <w:b/>
                <w:sz w:val="20"/>
                <w:szCs w:val="20"/>
              </w:rPr>
            </w:pPr>
            <w:r w:rsidRPr="00F542E0">
              <w:rPr>
                <w:rFonts w:ascii="Arial" w:hAnsi="Arial"/>
                <w:b/>
                <w:sz w:val="20"/>
                <w:szCs w:val="20"/>
              </w:rPr>
              <w:t>% (n)</w:t>
            </w:r>
          </w:p>
          <w:p w:rsidR="002173FB" w:rsidRPr="00F542E0" w:rsidRDefault="002173FB" w:rsidP="00812C6B">
            <w:pPr>
              <w:pStyle w:val="BodyText1"/>
              <w:spacing w:before="0"/>
              <w:ind w:firstLine="0"/>
              <w:jc w:val="center"/>
              <w:rPr>
                <w:rFonts w:ascii="Arial" w:hAnsi="Arial"/>
                <w:b/>
                <w:sz w:val="20"/>
                <w:szCs w:val="20"/>
              </w:rPr>
            </w:pPr>
            <w:r>
              <w:rPr>
                <w:rFonts w:ascii="Arial" w:hAnsi="Arial"/>
                <w:b/>
                <w:sz w:val="20"/>
                <w:szCs w:val="20"/>
              </w:rPr>
              <w:t>12 weeks</w:t>
            </w:r>
          </w:p>
        </w:tc>
        <w:tc>
          <w:tcPr>
            <w:tcW w:w="2287" w:type="dxa"/>
            <w:shd w:val="clear" w:color="auto" w:fill="auto"/>
          </w:tcPr>
          <w:p w:rsidR="002173FB" w:rsidRPr="00F542E0" w:rsidRDefault="000D7FE6" w:rsidP="00812C6B">
            <w:pPr>
              <w:pStyle w:val="BodyText1"/>
              <w:spacing w:before="0"/>
              <w:ind w:firstLine="0"/>
              <w:jc w:val="center"/>
              <w:rPr>
                <w:rFonts w:ascii="Arial" w:hAnsi="Arial"/>
                <w:b/>
                <w:sz w:val="20"/>
                <w:szCs w:val="20"/>
              </w:rPr>
            </w:pPr>
            <w:r>
              <w:rPr>
                <w:rFonts w:ascii="Arial" w:hAnsi="Arial"/>
                <w:b/>
                <w:sz w:val="20"/>
                <w:szCs w:val="20"/>
              </w:rPr>
              <w:t>ZEPATIER</w:t>
            </w:r>
          </w:p>
          <w:p w:rsidR="002173FB" w:rsidRPr="00F542E0" w:rsidRDefault="002173FB" w:rsidP="00812C6B">
            <w:pPr>
              <w:pStyle w:val="BodyText1"/>
              <w:spacing w:before="0"/>
              <w:ind w:firstLine="0"/>
              <w:jc w:val="center"/>
              <w:rPr>
                <w:rFonts w:ascii="Arial" w:hAnsi="Arial"/>
                <w:b/>
                <w:sz w:val="20"/>
                <w:szCs w:val="20"/>
              </w:rPr>
            </w:pPr>
            <w:r w:rsidRPr="00F542E0">
              <w:rPr>
                <w:rFonts w:ascii="Arial" w:hAnsi="Arial"/>
                <w:b/>
                <w:sz w:val="20"/>
                <w:szCs w:val="20"/>
              </w:rPr>
              <w:t>N=</w:t>
            </w:r>
            <w:r>
              <w:rPr>
                <w:rFonts w:ascii="Arial" w:hAnsi="Arial"/>
                <w:b/>
                <w:sz w:val="20"/>
                <w:szCs w:val="20"/>
              </w:rPr>
              <w:t>834</w:t>
            </w:r>
          </w:p>
          <w:p w:rsidR="002173FB" w:rsidRDefault="002173FB" w:rsidP="00812C6B">
            <w:pPr>
              <w:pStyle w:val="BodyText1"/>
              <w:spacing w:before="0"/>
              <w:ind w:firstLine="0"/>
              <w:jc w:val="center"/>
              <w:rPr>
                <w:rFonts w:ascii="Arial" w:hAnsi="Arial"/>
                <w:b/>
                <w:sz w:val="20"/>
                <w:szCs w:val="20"/>
              </w:rPr>
            </w:pPr>
            <w:r w:rsidRPr="00F542E0">
              <w:rPr>
                <w:rFonts w:ascii="Arial" w:hAnsi="Arial"/>
                <w:b/>
                <w:sz w:val="20"/>
                <w:szCs w:val="20"/>
              </w:rPr>
              <w:t>% (n)</w:t>
            </w:r>
          </w:p>
          <w:p w:rsidR="002173FB" w:rsidRPr="00F542E0" w:rsidRDefault="002173FB" w:rsidP="00812C6B">
            <w:pPr>
              <w:pStyle w:val="BodyText1"/>
              <w:spacing w:before="0"/>
              <w:ind w:firstLine="0"/>
              <w:jc w:val="center"/>
              <w:rPr>
                <w:rFonts w:ascii="Arial" w:hAnsi="Arial"/>
                <w:b/>
                <w:sz w:val="20"/>
                <w:szCs w:val="20"/>
              </w:rPr>
            </w:pPr>
            <w:r>
              <w:rPr>
                <w:rFonts w:ascii="Arial" w:hAnsi="Arial"/>
                <w:b/>
                <w:sz w:val="20"/>
                <w:szCs w:val="20"/>
              </w:rPr>
              <w:t>12 weeks</w:t>
            </w:r>
          </w:p>
        </w:tc>
      </w:tr>
      <w:tr w:rsidR="002173FB" w:rsidRPr="00F542E0" w:rsidTr="005727BF">
        <w:trPr>
          <w:jc w:val="center"/>
        </w:trPr>
        <w:tc>
          <w:tcPr>
            <w:tcW w:w="8424" w:type="dxa"/>
            <w:gridSpan w:val="4"/>
            <w:shd w:val="clear" w:color="auto" w:fill="auto"/>
          </w:tcPr>
          <w:p w:rsidR="002173FB" w:rsidRPr="00CF13CB" w:rsidDel="00CF13CB" w:rsidRDefault="002173FB" w:rsidP="00812C6B">
            <w:pPr>
              <w:pStyle w:val="BodyText1"/>
              <w:spacing w:before="0"/>
              <w:ind w:firstLine="0"/>
              <w:rPr>
                <w:rFonts w:ascii="Arial" w:hAnsi="Arial"/>
                <w:b/>
                <w:sz w:val="20"/>
                <w:szCs w:val="20"/>
              </w:rPr>
            </w:pPr>
            <w:r w:rsidRPr="00CF13CB">
              <w:rPr>
                <w:rFonts w:ascii="Arial" w:hAnsi="Arial"/>
                <w:b/>
                <w:sz w:val="20"/>
                <w:szCs w:val="22"/>
              </w:rPr>
              <w:t>Nervous system disorders</w:t>
            </w:r>
          </w:p>
        </w:tc>
      </w:tr>
      <w:tr w:rsidR="002173FB" w:rsidRPr="00F542E0" w:rsidTr="005727BF">
        <w:trPr>
          <w:jc w:val="center"/>
        </w:trPr>
        <w:tc>
          <w:tcPr>
            <w:tcW w:w="1699" w:type="dxa"/>
            <w:shd w:val="clear" w:color="auto" w:fill="auto"/>
          </w:tcPr>
          <w:p w:rsidR="002173FB" w:rsidRPr="00F542E0" w:rsidRDefault="002173FB" w:rsidP="00812C6B">
            <w:pPr>
              <w:pStyle w:val="BodyText1"/>
              <w:spacing w:before="0"/>
              <w:ind w:firstLine="0"/>
              <w:jc w:val="both"/>
              <w:rPr>
                <w:rFonts w:ascii="Arial" w:hAnsi="Arial"/>
                <w:sz w:val="20"/>
                <w:szCs w:val="20"/>
              </w:rPr>
            </w:pPr>
            <w:r>
              <w:rPr>
                <w:rFonts w:ascii="Arial" w:hAnsi="Arial"/>
                <w:sz w:val="20"/>
                <w:szCs w:val="20"/>
              </w:rPr>
              <w:t xml:space="preserve">   Headache</w:t>
            </w:r>
          </w:p>
        </w:tc>
        <w:tc>
          <w:tcPr>
            <w:tcW w:w="2286" w:type="dxa"/>
          </w:tcPr>
          <w:p w:rsidR="002173FB" w:rsidRPr="00F542E0" w:rsidRDefault="002173FB" w:rsidP="00812C6B">
            <w:pPr>
              <w:pStyle w:val="BodyText1"/>
              <w:spacing w:before="0"/>
              <w:ind w:firstLine="0"/>
              <w:jc w:val="center"/>
              <w:rPr>
                <w:rFonts w:ascii="Arial" w:hAnsi="Arial"/>
                <w:sz w:val="20"/>
                <w:szCs w:val="20"/>
              </w:rPr>
            </w:pPr>
            <w:r>
              <w:rPr>
                <w:rFonts w:ascii="Arial" w:hAnsi="Arial"/>
                <w:sz w:val="20"/>
                <w:szCs w:val="20"/>
              </w:rPr>
              <w:t>10% (31)</w:t>
            </w:r>
          </w:p>
        </w:tc>
        <w:tc>
          <w:tcPr>
            <w:tcW w:w="2152" w:type="dxa"/>
          </w:tcPr>
          <w:p w:rsidR="002173FB" w:rsidRPr="00F542E0" w:rsidRDefault="002173FB" w:rsidP="00812C6B">
            <w:pPr>
              <w:pStyle w:val="BodyText1"/>
              <w:spacing w:before="0"/>
              <w:ind w:firstLine="0"/>
              <w:jc w:val="center"/>
              <w:rPr>
                <w:rFonts w:ascii="Arial" w:hAnsi="Arial"/>
                <w:sz w:val="20"/>
                <w:szCs w:val="20"/>
              </w:rPr>
            </w:pPr>
            <w:r>
              <w:rPr>
                <w:rFonts w:ascii="Arial" w:hAnsi="Arial"/>
                <w:sz w:val="20"/>
                <w:szCs w:val="20"/>
              </w:rPr>
              <w:t>9% (9)</w:t>
            </w:r>
          </w:p>
        </w:tc>
        <w:tc>
          <w:tcPr>
            <w:tcW w:w="2287" w:type="dxa"/>
            <w:shd w:val="clear" w:color="auto" w:fill="auto"/>
          </w:tcPr>
          <w:p w:rsidR="002173FB" w:rsidRPr="00F542E0" w:rsidRDefault="002173FB" w:rsidP="00812C6B">
            <w:pPr>
              <w:pStyle w:val="BodyText1"/>
              <w:spacing w:before="0"/>
              <w:ind w:firstLine="0"/>
              <w:jc w:val="center"/>
              <w:rPr>
                <w:rFonts w:ascii="Arial" w:hAnsi="Arial"/>
                <w:sz w:val="20"/>
                <w:szCs w:val="20"/>
              </w:rPr>
            </w:pPr>
            <w:r>
              <w:rPr>
                <w:rFonts w:ascii="Arial" w:hAnsi="Arial"/>
                <w:sz w:val="20"/>
                <w:szCs w:val="20"/>
              </w:rPr>
              <w:t>10% (86)</w:t>
            </w:r>
          </w:p>
        </w:tc>
      </w:tr>
      <w:tr w:rsidR="002173FB" w:rsidRPr="00F542E0" w:rsidTr="005727BF">
        <w:trPr>
          <w:jc w:val="center"/>
        </w:trPr>
        <w:tc>
          <w:tcPr>
            <w:tcW w:w="8424" w:type="dxa"/>
            <w:gridSpan w:val="4"/>
            <w:shd w:val="clear" w:color="auto" w:fill="auto"/>
          </w:tcPr>
          <w:p w:rsidR="002173FB" w:rsidRPr="00CF13CB" w:rsidRDefault="002173FB" w:rsidP="00812C6B">
            <w:pPr>
              <w:pStyle w:val="BodyText1"/>
              <w:spacing w:before="0"/>
              <w:ind w:firstLine="0"/>
              <w:rPr>
                <w:rFonts w:ascii="Arial" w:hAnsi="Arial"/>
                <w:b/>
                <w:sz w:val="20"/>
                <w:szCs w:val="20"/>
              </w:rPr>
            </w:pPr>
            <w:r w:rsidRPr="00CF13CB">
              <w:rPr>
                <w:rFonts w:ascii="Arial" w:hAnsi="Arial"/>
                <w:b/>
                <w:sz w:val="20"/>
                <w:szCs w:val="20"/>
              </w:rPr>
              <w:t>Gastrointestinal disorders</w:t>
            </w:r>
          </w:p>
        </w:tc>
      </w:tr>
      <w:tr w:rsidR="002173FB" w:rsidRPr="00F542E0" w:rsidTr="005727BF">
        <w:trPr>
          <w:jc w:val="center"/>
        </w:trPr>
        <w:tc>
          <w:tcPr>
            <w:tcW w:w="1699" w:type="dxa"/>
            <w:shd w:val="clear" w:color="auto" w:fill="auto"/>
          </w:tcPr>
          <w:p w:rsidR="002173FB" w:rsidRPr="00F542E0" w:rsidRDefault="002173FB" w:rsidP="00812C6B">
            <w:pPr>
              <w:pStyle w:val="BodyText1"/>
              <w:spacing w:before="0"/>
              <w:ind w:firstLine="0"/>
              <w:jc w:val="both"/>
              <w:rPr>
                <w:rFonts w:ascii="Arial" w:hAnsi="Arial"/>
                <w:sz w:val="20"/>
                <w:szCs w:val="20"/>
              </w:rPr>
            </w:pPr>
            <w:r>
              <w:rPr>
                <w:rFonts w:ascii="Arial" w:hAnsi="Arial"/>
                <w:sz w:val="20"/>
                <w:szCs w:val="20"/>
              </w:rPr>
              <w:t xml:space="preserve">   Nausea</w:t>
            </w:r>
          </w:p>
        </w:tc>
        <w:tc>
          <w:tcPr>
            <w:tcW w:w="2286" w:type="dxa"/>
          </w:tcPr>
          <w:p w:rsidR="002173FB" w:rsidRPr="00F54F0E" w:rsidRDefault="002173FB" w:rsidP="00812C6B">
            <w:pPr>
              <w:pStyle w:val="BodyText1"/>
              <w:spacing w:before="0"/>
              <w:ind w:firstLine="0"/>
              <w:jc w:val="center"/>
              <w:rPr>
                <w:rFonts w:ascii="Arial" w:hAnsi="Arial"/>
                <w:sz w:val="20"/>
                <w:szCs w:val="20"/>
              </w:rPr>
            </w:pPr>
            <w:r w:rsidRPr="00F54F0E">
              <w:rPr>
                <w:rFonts w:ascii="Arial" w:hAnsi="Arial"/>
                <w:sz w:val="20"/>
                <w:szCs w:val="20"/>
              </w:rPr>
              <w:t>4% (14)</w:t>
            </w:r>
          </w:p>
        </w:tc>
        <w:tc>
          <w:tcPr>
            <w:tcW w:w="2152" w:type="dxa"/>
          </w:tcPr>
          <w:p w:rsidR="002173FB" w:rsidRPr="00701C94" w:rsidRDefault="002173FB" w:rsidP="00812C6B">
            <w:pPr>
              <w:pStyle w:val="BodyText1"/>
              <w:spacing w:before="0"/>
              <w:ind w:firstLine="0"/>
              <w:jc w:val="center"/>
              <w:rPr>
                <w:rFonts w:ascii="Arial" w:hAnsi="Arial"/>
                <w:sz w:val="20"/>
                <w:szCs w:val="20"/>
              </w:rPr>
            </w:pPr>
            <w:r>
              <w:rPr>
                <w:rFonts w:ascii="Arial" w:hAnsi="Arial"/>
                <w:sz w:val="20"/>
                <w:szCs w:val="20"/>
              </w:rPr>
              <w:t>5</w:t>
            </w:r>
            <w:r w:rsidRPr="00701C94">
              <w:rPr>
                <w:rFonts w:ascii="Arial" w:hAnsi="Arial"/>
                <w:sz w:val="20"/>
                <w:szCs w:val="20"/>
              </w:rPr>
              <w:t>% (5)</w:t>
            </w:r>
          </w:p>
        </w:tc>
        <w:tc>
          <w:tcPr>
            <w:tcW w:w="2287" w:type="dxa"/>
            <w:shd w:val="clear" w:color="auto" w:fill="auto"/>
          </w:tcPr>
          <w:p w:rsidR="002173FB" w:rsidRPr="00701C94" w:rsidRDefault="002173FB" w:rsidP="00812C6B">
            <w:pPr>
              <w:pStyle w:val="BodyText1"/>
              <w:spacing w:before="0"/>
              <w:ind w:firstLine="0"/>
              <w:jc w:val="center"/>
              <w:rPr>
                <w:rFonts w:ascii="Arial" w:hAnsi="Arial"/>
                <w:sz w:val="20"/>
                <w:szCs w:val="20"/>
              </w:rPr>
            </w:pPr>
            <w:r w:rsidRPr="00701C94">
              <w:rPr>
                <w:rFonts w:ascii="Arial" w:hAnsi="Arial"/>
                <w:sz w:val="20"/>
                <w:szCs w:val="20"/>
              </w:rPr>
              <w:t>5% (43)</w:t>
            </w:r>
          </w:p>
        </w:tc>
      </w:tr>
      <w:tr w:rsidR="002173FB" w:rsidRPr="00F542E0" w:rsidTr="005727BF">
        <w:trPr>
          <w:jc w:val="center"/>
        </w:trPr>
        <w:tc>
          <w:tcPr>
            <w:tcW w:w="8424" w:type="dxa"/>
            <w:gridSpan w:val="4"/>
            <w:shd w:val="clear" w:color="auto" w:fill="auto"/>
          </w:tcPr>
          <w:p w:rsidR="002173FB" w:rsidRPr="00CF13CB" w:rsidRDefault="002173FB" w:rsidP="00812C6B">
            <w:pPr>
              <w:pStyle w:val="BodyText1"/>
              <w:spacing w:before="0"/>
              <w:ind w:firstLine="0"/>
              <w:rPr>
                <w:rFonts w:ascii="Arial" w:hAnsi="Arial"/>
                <w:b/>
                <w:sz w:val="20"/>
                <w:szCs w:val="20"/>
              </w:rPr>
            </w:pPr>
            <w:r w:rsidRPr="00CF13CB">
              <w:rPr>
                <w:rFonts w:ascii="Arial" w:hAnsi="Arial"/>
                <w:b/>
                <w:sz w:val="20"/>
                <w:szCs w:val="20"/>
              </w:rPr>
              <w:t>General disorders and administration site conditions</w:t>
            </w:r>
          </w:p>
        </w:tc>
      </w:tr>
      <w:tr w:rsidR="002173FB" w:rsidRPr="00F542E0" w:rsidTr="005727BF">
        <w:trPr>
          <w:jc w:val="center"/>
        </w:trPr>
        <w:tc>
          <w:tcPr>
            <w:tcW w:w="1699" w:type="dxa"/>
            <w:shd w:val="clear" w:color="auto" w:fill="auto"/>
          </w:tcPr>
          <w:p w:rsidR="002173FB" w:rsidRDefault="002173FB" w:rsidP="00812C6B">
            <w:pPr>
              <w:pStyle w:val="BodyText1"/>
              <w:spacing w:before="0"/>
              <w:ind w:firstLine="0"/>
              <w:jc w:val="both"/>
              <w:rPr>
                <w:rFonts w:ascii="Arial" w:hAnsi="Arial"/>
                <w:sz w:val="20"/>
                <w:szCs w:val="20"/>
              </w:rPr>
            </w:pPr>
            <w:r>
              <w:rPr>
                <w:rFonts w:ascii="Arial" w:hAnsi="Arial"/>
                <w:sz w:val="20"/>
                <w:szCs w:val="20"/>
              </w:rPr>
              <w:t xml:space="preserve">   Fatigue</w:t>
            </w:r>
          </w:p>
        </w:tc>
        <w:tc>
          <w:tcPr>
            <w:tcW w:w="2286" w:type="dxa"/>
          </w:tcPr>
          <w:p w:rsidR="002173FB" w:rsidRDefault="002173FB" w:rsidP="00812C6B">
            <w:pPr>
              <w:pStyle w:val="BodyText1"/>
              <w:spacing w:before="0"/>
              <w:ind w:firstLine="0"/>
              <w:jc w:val="center"/>
              <w:rPr>
                <w:rFonts w:ascii="Arial" w:hAnsi="Arial"/>
                <w:sz w:val="20"/>
                <w:szCs w:val="20"/>
              </w:rPr>
            </w:pPr>
            <w:r>
              <w:rPr>
                <w:rFonts w:ascii="Arial" w:hAnsi="Arial"/>
                <w:sz w:val="20"/>
                <w:szCs w:val="20"/>
              </w:rPr>
              <w:t>11% (35)</w:t>
            </w:r>
          </w:p>
        </w:tc>
        <w:tc>
          <w:tcPr>
            <w:tcW w:w="2152" w:type="dxa"/>
          </w:tcPr>
          <w:p w:rsidR="002173FB" w:rsidRDefault="002173FB" w:rsidP="00812C6B">
            <w:pPr>
              <w:pStyle w:val="BodyText1"/>
              <w:spacing w:before="0"/>
              <w:ind w:firstLine="0"/>
              <w:jc w:val="center"/>
              <w:rPr>
                <w:rFonts w:ascii="Arial" w:hAnsi="Arial"/>
                <w:sz w:val="20"/>
                <w:szCs w:val="20"/>
              </w:rPr>
            </w:pPr>
            <w:r>
              <w:rPr>
                <w:rFonts w:ascii="Arial" w:hAnsi="Arial"/>
                <w:sz w:val="20"/>
                <w:szCs w:val="20"/>
              </w:rPr>
              <w:t>10% (10)</w:t>
            </w:r>
          </w:p>
        </w:tc>
        <w:tc>
          <w:tcPr>
            <w:tcW w:w="2287" w:type="dxa"/>
            <w:shd w:val="clear" w:color="auto" w:fill="auto"/>
          </w:tcPr>
          <w:p w:rsidR="002173FB" w:rsidRDefault="002173FB" w:rsidP="00812C6B">
            <w:pPr>
              <w:pStyle w:val="BodyText1"/>
              <w:spacing w:before="0"/>
              <w:ind w:firstLine="0"/>
              <w:jc w:val="center"/>
              <w:rPr>
                <w:rFonts w:ascii="Arial" w:hAnsi="Arial"/>
                <w:sz w:val="20"/>
                <w:szCs w:val="20"/>
              </w:rPr>
            </w:pPr>
            <w:r>
              <w:rPr>
                <w:rFonts w:ascii="Arial" w:hAnsi="Arial"/>
                <w:sz w:val="20"/>
                <w:szCs w:val="20"/>
              </w:rPr>
              <w:t>11% (94)</w:t>
            </w:r>
          </w:p>
        </w:tc>
      </w:tr>
    </w:tbl>
    <w:p w:rsidR="002173FB" w:rsidRPr="00F42F76" w:rsidRDefault="002173FB" w:rsidP="00F42F76">
      <w:pPr>
        <w:pStyle w:val="NoSpacing"/>
        <w:jc w:val="center"/>
        <w:rPr>
          <w:sz w:val="18"/>
        </w:rPr>
      </w:pPr>
      <w:r w:rsidRPr="00F42F76">
        <w:rPr>
          <w:sz w:val="18"/>
        </w:rPr>
        <w:t>*Includes C-WORTHY, C-SCAPE, C-SALT, C-EDGE TN, C-EDGE COINFECTION, C-EDGE TE and P058</w:t>
      </w:r>
    </w:p>
    <w:p w:rsidR="002173FB" w:rsidRDefault="002173FB" w:rsidP="002173FB">
      <w:pPr>
        <w:pStyle w:val="BodyText1"/>
        <w:spacing w:before="0"/>
        <w:ind w:firstLine="0"/>
        <w:jc w:val="both"/>
        <w:rPr>
          <w:rFonts w:ascii="Arial" w:hAnsi="Arial"/>
          <w:sz w:val="18"/>
          <w:szCs w:val="20"/>
        </w:rPr>
      </w:pPr>
    </w:p>
    <w:p w:rsidR="002173FB" w:rsidRDefault="002173FB" w:rsidP="002173FB">
      <w:r w:rsidRPr="007938E2">
        <w:t xml:space="preserve">The type and severity of adverse reactions were comparable among subjects treated with 8, 12 or 16 weeks of </w:t>
      </w:r>
      <w:r w:rsidR="000D7FE6">
        <w:t>ZEPATIER</w:t>
      </w:r>
      <w:r w:rsidRPr="007938E2">
        <w:t>.</w:t>
      </w:r>
    </w:p>
    <w:p w:rsidR="002173FB" w:rsidRDefault="002173FB" w:rsidP="002173FB">
      <w:pPr>
        <w:pStyle w:val="Body"/>
        <w:tabs>
          <w:tab w:val="left" w:pos="540"/>
        </w:tabs>
        <w:ind w:left="540" w:hanging="540"/>
      </w:pPr>
    </w:p>
    <w:p w:rsidR="002173FB" w:rsidRPr="002173FB" w:rsidRDefault="002173FB" w:rsidP="00F42F76">
      <w:pPr>
        <w:pStyle w:val="Heading3"/>
      </w:pPr>
      <w:r w:rsidRPr="002173FB">
        <w:t xml:space="preserve">Adverse Reactions in Subjects Receiving </w:t>
      </w:r>
      <w:r w:rsidR="000D7FE6">
        <w:t>ZEPATIER</w:t>
      </w:r>
      <w:r w:rsidRPr="002173FB">
        <w:t xml:space="preserve"> with Ribavirin </w:t>
      </w:r>
    </w:p>
    <w:p w:rsidR="002173FB" w:rsidRDefault="002173FB" w:rsidP="002173FB">
      <w:pPr>
        <w:rPr>
          <w:color w:val="000000"/>
        </w:rPr>
      </w:pPr>
      <w:r>
        <w:t xml:space="preserve">C-EDGE TE was a Phase 3 open-label trial in treatment-experienced (TE) subjects. Adverse reactions occurring in C-EDGE TE at ≥5% frequency in subjects treated with </w:t>
      </w:r>
      <w:r w:rsidR="000D7FE6">
        <w:t>ZEPATIER</w:t>
      </w:r>
      <w:r>
        <w:t xml:space="preserve"> with ribavirin for 16 weeks are presented in </w:t>
      </w:r>
      <w:r w:rsidR="00A8461E">
        <w:fldChar w:fldCharType="begin"/>
      </w:r>
      <w:r w:rsidR="00A8461E">
        <w:instrText xml:space="preserve"> REF _Ref423000413 \h </w:instrText>
      </w:r>
      <w:r w:rsidR="00A8461E">
        <w:fldChar w:fldCharType="separate"/>
      </w:r>
      <w:r w:rsidR="008B30DE">
        <w:t xml:space="preserve">Table </w:t>
      </w:r>
      <w:r w:rsidR="00E400B9">
        <w:t>12</w:t>
      </w:r>
      <w:r w:rsidR="00A8461E">
        <w:fldChar w:fldCharType="end"/>
      </w:r>
      <w:r>
        <w:t xml:space="preserve">. </w:t>
      </w:r>
      <w:r w:rsidRPr="00C35766">
        <w:t>The majority of the adverse reactions were mild in severity.</w:t>
      </w:r>
      <w:r w:rsidRPr="0063198F">
        <w:rPr>
          <w:color w:val="000000"/>
        </w:rPr>
        <w:t xml:space="preserve"> </w:t>
      </w:r>
      <w:r>
        <w:rPr>
          <w:color w:val="000000"/>
        </w:rPr>
        <w:t>T</w:t>
      </w:r>
      <w:r w:rsidRPr="0063198F">
        <w:rPr>
          <w:color w:val="000000"/>
        </w:rPr>
        <w:t xml:space="preserve">he proportion of subjects treated with </w:t>
      </w:r>
      <w:r w:rsidR="000D7FE6">
        <w:rPr>
          <w:color w:val="000000"/>
        </w:rPr>
        <w:t>ZEPATIER</w:t>
      </w:r>
      <w:r>
        <w:rPr>
          <w:color w:val="000000"/>
        </w:rPr>
        <w:t xml:space="preserve"> with ribavirin</w:t>
      </w:r>
      <w:r w:rsidRPr="0063198F">
        <w:rPr>
          <w:color w:val="000000"/>
        </w:rPr>
        <w:t xml:space="preserve"> with </w:t>
      </w:r>
      <w:r w:rsidRPr="00FB63D1">
        <w:rPr>
          <w:color w:val="1A1A1A"/>
        </w:rPr>
        <w:t xml:space="preserve">serious adverse </w:t>
      </w:r>
      <w:r>
        <w:rPr>
          <w:color w:val="1A1A1A"/>
        </w:rPr>
        <w:t>reactions</w:t>
      </w:r>
      <w:r>
        <w:rPr>
          <w:color w:val="000000"/>
        </w:rPr>
        <w:t xml:space="preserve"> was</w:t>
      </w:r>
      <w:r w:rsidRPr="0063198F">
        <w:rPr>
          <w:color w:val="000000"/>
        </w:rPr>
        <w:t xml:space="preserve"> </w:t>
      </w:r>
      <w:r>
        <w:rPr>
          <w:color w:val="000000"/>
        </w:rPr>
        <w:t xml:space="preserve">&lt;1%. The portion of subjects who </w:t>
      </w:r>
      <w:r w:rsidRPr="0063198F">
        <w:rPr>
          <w:color w:val="000000"/>
        </w:rPr>
        <w:t>permanently discontinued treatm</w:t>
      </w:r>
      <w:r w:rsidRPr="00E11AD3">
        <w:rPr>
          <w:color w:val="000000"/>
        </w:rPr>
        <w:t xml:space="preserve">ent </w:t>
      </w:r>
      <w:r w:rsidRPr="00E11AD3">
        <w:rPr>
          <w:color w:val="000000"/>
        </w:rPr>
        <w:lastRenderedPageBreak/>
        <w:t>due to adverse reactions was 2%.</w:t>
      </w:r>
      <w:r w:rsidRPr="00E11AD3" w:rsidDel="00B84BDE">
        <w:rPr>
          <w:color w:val="000000"/>
        </w:rPr>
        <w:t xml:space="preserve"> </w:t>
      </w:r>
      <w:r w:rsidRPr="00E11AD3">
        <w:rPr>
          <w:color w:val="000000"/>
        </w:rPr>
        <w:t>The type and severity of adverse reactions in subjects with cirrhosis were co</w:t>
      </w:r>
      <w:r w:rsidRPr="007938E2">
        <w:rPr>
          <w:color w:val="000000"/>
        </w:rPr>
        <w:t xml:space="preserve">mparable to those seen in subjects without cirrhosis. </w:t>
      </w:r>
    </w:p>
    <w:p w:rsidR="00F42F76" w:rsidRDefault="00F42F76">
      <w:pPr>
        <w:spacing w:before="0" w:after="0"/>
        <w:rPr>
          <w:b/>
          <w:bCs/>
          <w:sz w:val="20"/>
        </w:rPr>
      </w:pPr>
      <w:bookmarkStart w:id="10" w:name="_Ref423000413"/>
    </w:p>
    <w:p w:rsidR="002173FB" w:rsidRPr="00025C14" w:rsidRDefault="005727BF" w:rsidP="005727BF">
      <w:pPr>
        <w:pStyle w:val="Caption"/>
        <w:keepNext/>
        <w:jc w:val="center"/>
        <w:rPr>
          <w:sz w:val="22"/>
        </w:rPr>
      </w:pPr>
      <w:r>
        <w:t xml:space="preserve">Table </w:t>
      </w:r>
      <w:r w:rsidR="003704C6">
        <w:t>12</w:t>
      </w:r>
      <w:bookmarkEnd w:id="10"/>
      <w:r w:rsidR="002173FB" w:rsidRPr="005727BF">
        <w:rPr>
          <w:szCs w:val="18"/>
        </w:rPr>
        <w:t xml:space="preserve">: Adverse Reactions Occurring at ≥5% Frequency in Subjects with Chronic Hepatitis C Infection Treated with </w:t>
      </w:r>
      <w:r w:rsidR="000D7FE6">
        <w:rPr>
          <w:szCs w:val="18"/>
        </w:rPr>
        <w:t>ZEPATIER</w:t>
      </w:r>
      <w:r w:rsidR="002173FB" w:rsidRPr="005727BF">
        <w:rPr>
          <w:szCs w:val="18"/>
        </w:rPr>
        <w:t xml:space="preserve"> + Ribavirin for 16 Weeks in C-EDGE TE</w:t>
      </w:r>
    </w:p>
    <w:tbl>
      <w:tblPr>
        <w:tblW w:w="0" w:type="auto"/>
        <w:jc w:val="center"/>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4731"/>
      </w:tblGrid>
      <w:tr w:rsidR="002173FB" w:rsidRPr="00F542E0" w:rsidTr="003F7A82">
        <w:trPr>
          <w:jc w:val="center"/>
        </w:trPr>
        <w:tc>
          <w:tcPr>
            <w:tcW w:w="3310" w:type="dxa"/>
            <w:shd w:val="clear" w:color="auto" w:fill="auto"/>
          </w:tcPr>
          <w:p w:rsidR="002173FB" w:rsidRPr="00F542E0" w:rsidRDefault="002173FB" w:rsidP="00812C6B">
            <w:pPr>
              <w:pStyle w:val="BodyText1"/>
              <w:spacing w:before="0"/>
              <w:ind w:firstLine="0"/>
              <w:jc w:val="both"/>
              <w:rPr>
                <w:rFonts w:ascii="Arial" w:hAnsi="Arial"/>
                <w:sz w:val="20"/>
                <w:szCs w:val="20"/>
              </w:rPr>
            </w:pPr>
          </w:p>
        </w:tc>
        <w:tc>
          <w:tcPr>
            <w:tcW w:w="4731" w:type="dxa"/>
            <w:shd w:val="clear" w:color="auto" w:fill="auto"/>
          </w:tcPr>
          <w:p w:rsidR="002173FB" w:rsidRPr="00F542E0" w:rsidRDefault="002173FB" w:rsidP="00812C6B">
            <w:pPr>
              <w:pStyle w:val="BodyText1"/>
              <w:spacing w:before="0"/>
              <w:ind w:firstLine="0"/>
              <w:jc w:val="center"/>
              <w:rPr>
                <w:rFonts w:ascii="Arial" w:hAnsi="Arial"/>
                <w:b/>
                <w:sz w:val="20"/>
                <w:szCs w:val="20"/>
              </w:rPr>
            </w:pPr>
            <w:r>
              <w:rPr>
                <w:rFonts w:ascii="Arial" w:hAnsi="Arial"/>
                <w:b/>
                <w:sz w:val="20"/>
                <w:szCs w:val="20"/>
              </w:rPr>
              <w:t>C-EDGE TE</w:t>
            </w:r>
          </w:p>
        </w:tc>
      </w:tr>
      <w:tr w:rsidR="002173FB" w:rsidRPr="00F542E0" w:rsidTr="003F7A82">
        <w:trPr>
          <w:jc w:val="center"/>
        </w:trPr>
        <w:tc>
          <w:tcPr>
            <w:tcW w:w="3310" w:type="dxa"/>
            <w:tcBorders>
              <w:bottom w:val="single" w:sz="4" w:space="0" w:color="auto"/>
            </w:tcBorders>
            <w:shd w:val="clear" w:color="auto" w:fill="auto"/>
          </w:tcPr>
          <w:p w:rsidR="002173FB" w:rsidRPr="00F542E0" w:rsidRDefault="002173FB" w:rsidP="00812C6B">
            <w:pPr>
              <w:pStyle w:val="BodyText1"/>
              <w:spacing w:before="0"/>
              <w:ind w:firstLine="0"/>
              <w:jc w:val="both"/>
              <w:rPr>
                <w:rFonts w:ascii="Arial" w:hAnsi="Arial"/>
                <w:sz w:val="20"/>
                <w:szCs w:val="20"/>
              </w:rPr>
            </w:pPr>
          </w:p>
        </w:tc>
        <w:tc>
          <w:tcPr>
            <w:tcW w:w="4731" w:type="dxa"/>
            <w:tcBorders>
              <w:bottom w:val="single" w:sz="4" w:space="0" w:color="auto"/>
            </w:tcBorders>
            <w:shd w:val="clear" w:color="auto" w:fill="auto"/>
          </w:tcPr>
          <w:p w:rsidR="002173FB" w:rsidRPr="00F542E0" w:rsidRDefault="000D7FE6" w:rsidP="00812C6B">
            <w:pPr>
              <w:pStyle w:val="BodyText1"/>
              <w:spacing w:before="0"/>
              <w:ind w:firstLine="0"/>
              <w:jc w:val="center"/>
              <w:rPr>
                <w:rFonts w:ascii="Arial" w:hAnsi="Arial"/>
                <w:b/>
                <w:sz w:val="20"/>
                <w:szCs w:val="20"/>
              </w:rPr>
            </w:pPr>
            <w:r>
              <w:rPr>
                <w:rFonts w:ascii="Arial" w:hAnsi="Arial"/>
                <w:b/>
                <w:sz w:val="20"/>
                <w:szCs w:val="20"/>
              </w:rPr>
              <w:t>ZEPATIER</w:t>
            </w:r>
            <w:r w:rsidR="002173FB">
              <w:rPr>
                <w:rFonts w:ascii="Arial" w:hAnsi="Arial"/>
                <w:b/>
                <w:sz w:val="20"/>
                <w:szCs w:val="20"/>
              </w:rPr>
              <w:t xml:space="preserve"> </w:t>
            </w:r>
            <w:r w:rsidR="002173FB" w:rsidRPr="00F542E0">
              <w:rPr>
                <w:rFonts w:ascii="Arial" w:hAnsi="Arial"/>
                <w:b/>
                <w:sz w:val="20"/>
                <w:szCs w:val="20"/>
              </w:rPr>
              <w:t>+</w:t>
            </w:r>
            <w:r w:rsidR="002173FB">
              <w:rPr>
                <w:rFonts w:ascii="Arial" w:hAnsi="Arial"/>
                <w:b/>
                <w:sz w:val="20"/>
                <w:szCs w:val="20"/>
              </w:rPr>
              <w:t xml:space="preserve"> </w:t>
            </w:r>
            <w:r w:rsidR="002173FB" w:rsidRPr="00F542E0">
              <w:rPr>
                <w:rFonts w:ascii="Arial" w:hAnsi="Arial"/>
                <w:b/>
                <w:sz w:val="20"/>
                <w:szCs w:val="20"/>
              </w:rPr>
              <w:t>R</w:t>
            </w:r>
            <w:r w:rsidR="002173FB">
              <w:rPr>
                <w:rFonts w:ascii="Arial" w:hAnsi="Arial"/>
                <w:b/>
                <w:sz w:val="20"/>
                <w:szCs w:val="20"/>
              </w:rPr>
              <w:t>ibavirin</w:t>
            </w:r>
          </w:p>
          <w:p w:rsidR="002173FB" w:rsidRPr="00F542E0" w:rsidRDefault="002173FB" w:rsidP="00812C6B">
            <w:pPr>
              <w:pStyle w:val="BodyText1"/>
              <w:spacing w:before="0"/>
              <w:ind w:firstLine="0"/>
              <w:jc w:val="center"/>
              <w:rPr>
                <w:rFonts w:ascii="Arial" w:hAnsi="Arial"/>
                <w:b/>
                <w:sz w:val="20"/>
                <w:szCs w:val="20"/>
              </w:rPr>
            </w:pPr>
            <w:r w:rsidRPr="00F542E0">
              <w:rPr>
                <w:rFonts w:ascii="Arial" w:hAnsi="Arial"/>
                <w:b/>
                <w:sz w:val="20"/>
                <w:szCs w:val="20"/>
              </w:rPr>
              <w:t>N=</w:t>
            </w:r>
            <w:r>
              <w:rPr>
                <w:rFonts w:ascii="Arial" w:hAnsi="Arial"/>
                <w:b/>
                <w:sz w:val="20"/>
                <w:szCs w:val="20"/>
              </w:rPr>
              <w:t>106</w:t>
            </w:r>
          </w:p>
          <w:p w:rsidR="002173FB" w:rsidRDefault="002173FB" w:rsidP="00812C6B">
            <w:pPr>
              <w:pStyle w:val="BodyText1"/>
              <w:spacing w:before="0"/>
              <w:ind w:firstLine="0"/>
              <w:jc w:val="center"/>
              <w:rPr>
                <w:rFonts w:ascii="Arial" w:hAnsi="Arial"/>
                <w:b/>
                <w:sz w:val="20"/>
                <w:szCs w:val="20"/>
              </w:rPr>
            </w:pPr>
            <w:r w:rsidRPr="00F542E0">
              <w:rPr>
                <w:rFonts w:ascii="Arial" w:hAnsi="Arial"/>
                <w:b/>
                <w:sz w:val="20"/>
                <w:szCs w:val="20"/>
              </w:rPr>
              <w:t>% (n)</w:t>
            </w:r>
          </w:p>
          <w:p w:rsidR="002173FB" w:rsidRPr="00F542E0" w:rsidRDefault="002173FB" w:rsidP="00812C6B">
            <w:pPr>
              <w:pStyle w:val="BodyText1"/>
              <w:spacing w:before="0"/>
              <w:ind w:firstLine="0"/>
              <w:jc w:val="center"/>
              <w:rPr>
                <w:rFonts w:ascii="Arial" w:hAnsi="Arial"/>
                <w:b/>
                <w:sz w:val="20"/>
                <w:szCs w:val="20"/>
              </w:rPr>
            </w:pPr>
            <w:r>
              <w:rPr>
                <w:rFonts w:ascii="Arial" w:hAnsi="Arial"/>
                <w:b/>
                <w:sz w:val="20"/>
                <w:szCs w:val="20"/>
              </w:rPr>
              <w:t>16 weeks</w:t>
            </w:r>
          </w:p>
        </w:tc>
      </w:tr>
      <w:tr w:rsidR="002173FB" w:rsidRPr="00F542E0" w:rsidTr="003F7A82">
        <w:trPr>
          <w:jc w:val="center"/>
        </w:trPr>
        <w:tc>
          <w:tcPr>
            <w:tcW w:w="8041" w:type="dxa"/>
            <w:gridSpan w:val="2"/>
            <w:shd w:val="clear" w:color="auto" w:fill="FFFFFF"/>
          </w:tcPr>
          <w:p w:rsidR="002173FB" w:rsidRPr="00593D47" w:rsidRDefault="002173FB" w:rsidP="00812C6B">
            <w:pPr>
              <w:pStyle w:val="BodyText1"/>
              <w:spacing w:before="0"/>
              <w:ind w:firstLine="0"/>
              <w:rPr>
                <w:rFonts w:ascii="Arial" w:hAnsi="Arial"/>
                <w:b/>
                <w:sz w:val="20"/>
                <w:szCs w:val="20"/>
              </w:rPr>
            </w:pPr>
            <w:r w:rsidRPr="00593D47">
              <w:rPr>
                <w:rFonts w:ascii="Arial" w:hAnsi="Arial"/>
                <w:b/>
                <w:sz w:val="20"/>
                <w:szCs w:val="20"/>
              </w:rPr>
              <w:t>Blood and lymphatic system disorders</w:t>
            </w:r>
          </w:p>
        </w:tc>
      </w:tr>
      <w:tr w:rsidR="002173FB" w:rsidRPr="00F542E0" w:rsidTr="003F7A82">
        <w:trPr>
          <w:jc w:val="center"/>
        </w:trPr>
        <w:tc>
          <w:tcPr>
            <w:tcW w:w="3310" w:type="dxa"/>
            <w:shd w:val="clear" w:color="auto" w:fill="auto"/>
          </w:tcPr>
          <w:p w:rsidR="002173FB" w:rsidRDefault="002173FB" w:rsidP="00812C6B">
            <w:pPr>
              <w:pStyle w:val="BodyText1"/>
              <w:spacing w:before="0"/>
              <w:ind w:firstLine="0"/>
              <w:jc w:val="both"/>
              <w:rPr>
                <w:rFonts w:ascii="Arial" w:hAnsi="Arial"/>
                <w:sz w:val="20"/>
                <w:szCs w:val="20"/>
              </w:rPr>
            </w:pPr>
            <w:r>
              <w:rPr>
                <w:rFonts w:ascii="Arial" w:hAnsi="Arial"/>
                <w:sz w:val="20"/>
                <w:szCs w:val="20"/>
              </w:rPr>
              <w:t xml:space="preserve">   Anemia</w:t>
            </w:r>
          </w:p>
        </w:tc>
        <w:tc>
          <w:tcPr>
            <w:tcW w:w="4731" w:type="dxa"/>
            <w:shd w:val="clear" w:color="auto" w:fill="auto"/>
          </w:tcPr>
          <w:p w:rsidR="002173FB" w:rsidRPr="00F542E0" w:rsidRDefault="002173FB" w:rsidP="00812C6B">
            <w:pPr>
              <w:pStyle w:val="BodyText1"/>
              <w:spacing w:before="0"/>
              <w:ind w:firstLine="0"/>
              <w:jc w:val="center"/>
              <w:rPr>
                <w:rFonts w:ascii="Arial" w:hAnsi="Arial"/>
                <w:sz w:val="20"/>
                <w:szCs w:val="20"/>
              </w:rPr>
            </w:pPr>
            <w:r>
              <w:rPr>
                <w:rFonts w:ascii="Arial" w:hAnsi="Arial"/>
                <w:sz w:val="20"/>
                <w:szCs w:val="20"/>
              </w:rPr>
              <w:t>16% (17)</w:t>
            </w:r>
          </w:p>
        </w:tc>
      </w:tr>
      <w:tr w:rsidR="002173FB" w:rsidRPr="00F542E0" w:rsidTr="003F7A82">
        <w:trPr>
          <w:jc w:val="center"/>
        </w:trPr>
        <w:tc>
          <w:tcPr>
            <w:tcW w:w="3310" w:type="dxa"/>
            <w:tcBorders>
              <w:bottom w:val="single" w:sz="4" w:space="0" w:color="auto"/>
            </w:tcBorders>
            <w:shd w:val="clear" w:color="auto" w:fill="auto"/>
          </w:tcPr>
          <w:p w:rsidR="002173FB" w:rsidRDefault="002173FB" w:rsidP="00812C6B">
            <w:pPr>
              <w:pStyle w:val="BodyText1"/>
              <w:spacing w:before="0"/>
              <w:ind w:firstLine="0"/>
              <w:jc w:val="both"/>
              <w:rPr>
                <w:rFonts w:ascii="Arial" w:hAnsi="Arial"/>
                <w:sz w:val="20"/>
                <w:szCs w:val="20"/>
              </w:rPr>
            </w:pPr>
            <w:r>
              <w:rPr>
                <w:rFonts w:ascii="Arial" w:hAnsi="Arial"/>
                <w:sz w:val="20"/>
                <w:szCs w:val="20"/>
              </w:rPr>
              <w:t xml:space="preserve">   </w:t>
            </w:r>
            <w:r w:rsidR="00AA259D" w:rsidRPr="00F42F76">
              <w:rPr>
                <w:rFonts w:ascii="Arial" w:hAnsi="Arial"/>
                <w:sz w:val="20"/>
                <w:szCs w:val="20"/>
                <w:lang w:val="en-AU"/>
              </w:rPr>
              <w:t>Haemoglobin</w:t>
            </w:r>
            <w:r>
              <w:rPr>
                <w:rFonts w:ascii="Arial" w:hAnsi="Arial"/>
                <w:sz w:val="20"/>
                <w:szCs w:val="20"/>
              </w:rPr>
              <w:t xml:space="preserve"> decreased</w:t>
            </w:r>
          </w:p>
        </w:tc>
        <w:tc>
          <w:tcPr>
            <w:tcW w:w="4731" w:type="dxa"/>
            <w:tcBorders>
              <w:bottom w:val="single" w:sz="4" w:space="0" w:color="auto"/>
            </w:tcBorders>
            <w:shd w:val="clear" w:color="auto" w:fill="auto"/>
          </w:tcPr>
          <w:p w:rsidR="002173FB" w:rsidRDefault="002173FB" w:rsidP="00812C6B">
            <w:pPr>
              <w:pStyle w:val="BodyText1"/>
              <w:spacing w:before="0"/>
              <w:ind w:firstLine="0"/>
              <w:jc w:val="center"/>
              <w:rPr>
                <w:rFonts w:ascii="Arial" w:hAnsi="Arial"/>
                <w:sz w:val="20"/>
                <w:szCs w:val="20"/>
              </w:rPr>
            </w:pPr>
            <w:r>
              <w:rPr>
                <w:rFonts w:ascii="Arial" w:hAnsi="Arial"/>
                <w:sz w:val="20"/>
                <w:szCs w:val="20"/>
              </w:rPr>
              <w:t>7% (7)</w:t>
            </w:r>
          </w:p>
        </w:tc>
      </w:tr>
      <w:tr w:rsidR="002173FB" w:rsidRPr="00F542E0" w:rsidTr="003F7A82">
        <w:trPr>
          <w:jc w:val="center"/>
        </w:trPr>
        <w:tc>
          <w:tcPr>
            <w:tcW w:w="8041" w:type="dxa"/>
            <w:gridSpan w:val="2"/>
            <w:shd w:val="clear" w:color="auto" w:fill="FFFFFF"/>
          </w:tcPr>
          <w:p w:rsidR="002173FB" w:rsidRPr="00593D47" w:rsidRDefault="002173FB" w:rsidP="00812C6B">
            <w:pPr>
              <w:pStyle w:val="BodyText1"/>
              <w:spacing w:before="0"/>
              <w:ind w:firstLine="0"/>
              <w:rPr>
                <w:rFonts w:ascii="Arial" w:hAnsi="Arial"/>
                <w:b/>
                <w:sz w:val="20"/>
                <w:szCs w:val="20"/>
              </w:rPr>
            </w:pPr>
            <w:r w:rsidRPr="00593D47">
              <w:rPr>
                <w:rFonts w:ascii="Arial" w:hAnsi="Arial"/>
                <w:b/>
                <w:sz w:val="20"/>
                <w:szCs w:val="22"/>
              </w:rPr>
              <w:t>Psychiatric disorders</w:t>
            </w:r>
          </w:p>
        </w:tc>
      </w:tr>
      <w:tr w:rsidR="002173FB" w:rsidRPr="00F542E0" w:rsidTr="003F7A82">
        <w:trPr>
          <w:jc w:val="center"/>
        </w:trPr>
        <w:tc>
          <w:tcPr>
            <w:tcW w:w="3310" w:type="dxa"/>
            <w:tcBorders>
              <w:bottom w:val="single" w:sz="4" w:space="0" w:color="auto"/>
            </w:tcBorders>
            <w:shd w:val="clear" w:color="auto" w:fill="auto"/>
          </w:tcPr>
          <w:p w:rsidR="002173FB" w:rsidRDefault="002173FB" w:rsidP="00812C6B">
            <w:pPr>
              <w:pStyle w:val="BodyText1"/>
              <w:spacing w:before="0"/>
              <w:ind w:firstLine="0"/>
              <w:jc w:val="both"/>
              <w:rPr>
                <w:rFonts w:ascii="Arial" w:hAnsi="Arial"/>
                <w:sz w:val="20"/>
                <w:szCs w:val="20"/>
              </w:rPr>
            </w:pPr>
            <w:r>
              <w:rPr>
                <w:rFonts w:ascii="Arial" w:hAnsi="Arial"/>
                <w:sz w:val="20"/>
                <w:szCs w:val="20"/>
              </w:rPr>
              <w:t xml:space="preserve">   Insomnia</w:t>
            </w:r>
          </w:p>
        </w:tc>
        <w:tc>
          <w:tcPr>
            <w:tcW w:w="4731" w:type="dxa"/>
            <w:tcBorders>
              <w:bottom w:val="single" w:sz="4" w:space="0" w:color="auto"/>
            </w:tcBorders>
            <w:shd w:val="clear" w:color="auto" w:fill="auto"/>
          </w:tcPr>
          <w:p w:rsidR="002173FB" w:rsidRDefault="002173FB" w:rsidP="00812C6B">
            <w:pPr>
              <w:pStyle w:val="BodyText1"/>
              <w:spacing w:before="0"/>
              <w:ind w:firstLine="0"/>
              <w:jc w:val="center"/>
              <w:rPr>
                <w:rFonts w:ascii="Arial" w:hAnsi="Arial"/>
                <w:sz w:val="20"/>
                <w:szCs w:val="20"/>
              </w:rPr>
            </w:pPr>
            <w:r>
              <w:rPr>
                <w:rFonts w:ascii="Arial" w:hAnsi="Arial"/>
                <w:sz w:val="20"/>
                <w:szCs w:val="20"/>
              </w:rPr>
              <w:t>6% (6)</w:t>
            </w:r>
          </w:p>
        </w:tc>
      </w:tr>
      <w:tr w:rsidR="002173FB" w:rsidRPr="00F542E0" w:rsidTr="003F7A82">
        <w:trPr>
          <w:jc w:val="center"/>
        </w:trPr>
        <w:tc>
          <w:tcPr>
            <w:tcW w:w="8041" w:type="dxa"/>
            <w:gridSpan w:val="2"/>
            <w:shd w:val="clear" w:color="auto" w:fill="auto"/>
          </w:tcPr>
          <w:p w:rsidR="002173FB" w:rsidRPr="00593D47" w:rsidRDefault="002173FB" w:rsidP="00812C6B">
            <w:pPr>
              <w:pStyle w:val="BodyText1"/>
              <w:spacing w:before="0"/>
              <w:ind w:firstLine="0"/>
              <w:rPr>
                <w:rFonts w:ascii="Arial" w:hAnsi="Arial"/>
                <w:b/>
                <w:sz w:val="20"/>
                <w:szCs w:val="20"/>
              </w:rPr>
            </w:pPr>
            <w:r w:rsidRPr="00593D47">
              <w:rPr>
                <w:rFonts w:ascii="Arial" w:hAnsi="Arial"/>
                <w:b/>
                <w:sz w:val="20"/>
                <w:szCs w:val="20"/>
              </w:rPr>
              <w:t>Nervous system disorders</w:t>
            </w:r>
          </w:p>
        </w:tc>
      </w:tr>
      <w:tr w:rsidR="002173FB" w:rsidRPr="00F542E0" w:rsidTr="003F7A82">
        <w:trPr>
          <w:jc w:val="center"/>
        </w:trPr>
        <w:tc>
          <w:tcPr>
            <w:tcW w:w="3310" w:type="dxa"/>
            <w:tcBorders>
              <w:bottom w:val="single" w:sz="4" w:space="0" w:color="auto"/>
            </w:tcBorders>
            <w:shd w:val="clear" w:color="auto" w:fill="auto"/>
          </w:tcPr>
          <w:p w:rsidR="002173FB" w:rsidRDefault="002173FB" w:rsidP="00812C6B">
            <w:pPr>
              <w:pStyle w:val="BodyText1"/>
              <w:spacing w:before="0"/>
              <w:ind w:firstLine="0"/>
              <w:jc w:val="both"/>
              <w:rPr>
                <w:rFonts w:ascii="Arial" w:hAnsi="Arial"/>
                <w:sz w:val="20"/>
                <w:szCs w:val="20"/>
              </w:rPr>
            </w:pPr>
            <w:r>
              <w:rPr>
                <w:rFonts w:ascii="Arial" w:hAnsi="Arial"/>
                <w:sz w:val="20"/>
                <w:szCs w:val="20"/>
              </w:rPr>
              <w:t xml:space="preserve">   Headache</w:t>
            </w:r>
          </w:p>
        </w:tc>
        <w:tc>
          <w:tcPr>
            <w:tcW w:w="4731" w:type="dxa"/>
            <w:tcBorders>
              <w:bottom w:val="single" w:sz="4" w:space="0" w:color="auto"/>
            </w:tcBorders>
            <w:shd w:val="clear" w:color="auto" w:fill="auto"/>
          </w:tcPr>
          <w:p w:rsidR="002173FB" w:rsidRDefault="002173FB" w:rsidP="00812C6B">
            <w:pPr>
              <w:pStyle w:val="BodyText1"/>
              <w:spacing w:before="0"/>
              <w:ind w:firstLine="0"/>
              <w:jc w:val="center"/>
              <w:rPr>
                <w:rFonts w:ascii="Arial" w:hAnsi="Arial"/>
                <w:sz w:val="20"/>
                <w:szCs w:val="20"/>
              </w:rPr>
            </w:pPr>
            <w:r>
              <w:rPr>
                <w:rFonts w:ascii="Arial" w:hAnsi="Arial"/>
                <w:sz w:val="20"/>
                <w:szCs w:val="20"/>
              </w:rPr>
              <w:t>17% (18)</w:t>
            </w:r>
          </w:p>
        </w:tc>
      </w:tr>
      <w:tr w:rsidR="002173FB" w:rsidRPr="00F542E0" w:rsidTr="003F7A82">
        <w:trPr>
          <w:jc w:val="center"/>
        </w:trPr>
        <w:tc>
          <w:tcPr>
            <w:tcW w:w="8041" w:type="dxa"/>
            <w:gridSpan w:val="2"/>
            <w:shd w:val="clear" w:color="auto" w:fill="auto"/>
          </w:tcPr>
          <w:p w:rsidR="002173FB" w:rsidRPr="000F013A" w:rsidRDefault="002173FB" w:rsidP="00812C6B">
            <w:pPr>
              <w:pStyle w:val="BodyText1"/>
              <w:spacing w:before="0"/>
              <w:ind w:firstLine="0"/>
              <w:rPr>
                <w:rFonts w:ascii="Arial" w:hAnsi="Arial"/>
                <w:b/>
                <w:sz w:val="20"/>
                <w:szCs w:val="20"/>
              </w:rPr>
            </w:pPr>
            <w:r w:rsidRPr="000F013A">
              <w:rPr>
                <w:rFonts w:ascii="Arial" w:hAnsi="Arial"/>
                <w:b/>
                <w:sz w:val="20"/>
                <w:szCs w:val="20"/>
              </w:rPr>
              <w:t>Respiratory, thoracic and mediastinal disorders</w:t>
            </w:r>
          </w:p>
        </w:tc>
      </w:tr>
      <w:tr w:rsidR="002173FB" w:rsidRPr="00F542E0" w:rsidTr="003F7A82">
        <w:trPr>
          <w:jc w:val="center"/>
        </w:trPr>
        <w:tc>
          <w:tcPr>
            <w:tcW w:w="3310" w:type="dxa"/>
            <w:shd w:val="clear" w:color="auto" w:fill="auto"/>
          </w:tcPr>
          <w:p w:rsidR="002173FB" w:rsidRDefault="002173FB" w:rsidP="00812C6B">
            <w:pPr>
              <w:pStyle w:val="BodyText1"/>
              <w:spacing w:before="0"/>
              <w:ind w:firstLine="0"/>
              <w:jc w:val="both"/>
              <w:rPr>
                <w:rFonts w:ascii="Arial" w:hAnsi="Arial"/>
                <w:sz w:val="20"/>
                <w:szCs w:val="20"/>
              </w:rPr>
            </w:pPr>
            <w:r>
              <w:rPr>
                <w:rFonts w:ascii="Arial" w:hAnsi="Arial"/>
                <w:sz w:val="20"/>
                <w:szCs w:val="20"/>
              </w:rPr>
              <w:t xml:space="preserve">   Dyspnea</w:t>
            </w:r>
          </w:p>
        </w:tc>
        <w:tc>
          <w:tcPr>
            <w:tcW w:w="4731" w:type="dxa"/>
            <w:shd w:val="clear" w:color="auto" w:fill="auto"/>
          </w:tcPr>
          <w:p w:rsidR="002173FB" w:rsidRDefault="002173FB" w:rsidP="00812C6B">
            <w:pPr>
              <w:pStyle w:val="BodyText1"/>
              <w:spacing w:before="0"/>
              <w:ind w:firstLine="0"/>
              <w:jc w:val="center"/>
              <w:rPr>
                <w:rFonts w:ascii="Arial" w:hAnsi="Arial"/>
                <w:sz w:val="20"/>
                <w:szCs w:val="20"/>
              </w:rPr>
            </w:pPr>
            <w:r>
              <w:rPr>
                <w:rFonts w:ascii="Arial" w:hAnsi="Arial"/>
                <w:sz w:val="20"/>
                <w:szCs w:val="20"/>
              </w:rPr>
              <w:t>8% (9)</w:t>
            </w:r>
          </w:p>
        </w:tc>
      </w:tr>
      <w:tr w:rsidR="002173FB" w:rsidRPr="00F542E0" w:rsidTr="003F7A82">
        <w:trPr>
          <w:jc w:val="center"/>
        </w:trPr>
        <w:tc>
          <w:tcPr>
            <w:tcW w:w="3310" w:type="dxa"/>
            <w:tcBorders>
              <w:bottom w:val="single" w:sz="4" w:space="0" w:color="auto"/>
            </w:tcBorders>
            <w:shd w:val="clear" w:color="auto" w:fill="auto"/>
          </w:tcPr>
          <w:p w:rsidR="002173FB" w:rsidRDefault="002173FB" w:rsidP="00812C6B">
            <w:pPr>
              <w:pStyle w:val="BodyText1"/>
              <w:spacing w:before="0"/>
              <w:ind w:firstLine="0"/>
              <w:jc w:val="both"/>
              <w:rPr>
                <w:rFonts w:ascii="Arial" w:hAnsi="Arial"/>
                <w:sz w:val="20"/>
                <w:szCs w:val="20"/>
              </w:rPr>
            </w:pPr>
            <w:r>
              <w:rPr>
                <w:rFonts w:ascii="Arial" w:hAnsi="Arial"/>
                <w:sz w:val="20"/>
                <w:szCs w:val="20"/>
              </w:rPr>
              <w:t xml:space="preserve">   Dyspnea exertional </w:t>
            </w:r>
          </w:p>
        </w:tc>
        <w:tc>
          <w:tcPr>
            <w:tcW w:w="4731" w:type="dxa"/>
            <w:tcBorders>
              <w:bottom w:val="single" w:sz="4" w:space="0" w:color="auto"/>
            </w:tcBorders>
            <w:shd w:val="clear" w:color="auto" w:fill="auto"/>
          </w:tcPr>
          <w:p w:rsidR="002173FB" w:rsidRDefault="002173FB" w:rsidP="00812C6B">
            <w:pPr>
              <w:pStyle w:val="BodyText1"/>
              <w:spacing w:before="0"/>
              <w:ind w:firstLine="0"/>
              <w:jc w:val="center"/>
              <w:rPr>
                <w:rFonts w:ascii="Arial" w:hAnsi="Arial"/>
                <w:sz w:val="20"/>
                <w:szCs w:val="20"/>
              </w:rPr>
            </w:pPr>
            <w:r>
              <w:rPr>
                <w:rFonts w:ascii="Arial" w:hAnsi="Arial"/>
                <w:sz w:val="20"/>
                <w:szCs w:val="20"/>
              </w:rPr>
              <w:t>6% (6)</w:t>
            </w:r>
          </w:p>
        </w:tc>
      </w:tr>
      <w:tr w:rsidR="002173FB" w:rsidRPr="00F542E0" w:rsidTr="003F7A82">
        <w:trPr>
          <w:jc w:val="center"/>
        </w:trPr>
        <w:tc>
          <w:tcPr>
            <w:tcW w:w="8041" w:type="dxa"/>
            <w:gridSpan w:val="2"/>
            <w:shd w:val="clear" w:color="auto" w:fill="auto"/>
          </w:tcPr>
          <w:p w:rsidR="002173FB" w:rsidRPr="000F013A" w:rsidRDefault="002173FB" w:rsidP="00812C6B">
            <w:pPr>
              <w:pStyle w:val="BodyText1"/>
              <w:spacing w:before="0"/>
              <w:ind w:firstLine="0"/>
              <w:rPr>
                <w:rFonts w:ascii="Arial" w:hAnsi="Arial"/>
                <w:b/>
                <w:sz w:val="20"/>
                <w:szCs w:val="20"/>
              </w:rPr>
            </w:pPr>
            <w:r w:rsidRPr="000F013A">
              <w:rPr>
                <w:rFonts w:ascii="Arial" w:hAnsi="Arial"/>
                <w:b/>
                <w:sz w:val="20"/>
                <w:szCs w:val="20"/>
              </w:rPr>
              <w:t>Gastrointestinal disorders</w:t>
            </w:r>
          </w:p>
        </w:tc>
      </w:tr>
      <w:tr w:rsidR="002173FB" w:rsidRPr="00F542E0" w:rsidTr="003F7A82">
        <w:trPr>
          <w:jc w:val="center"/>
        </w:trPr>
        <w:tc>
          <w:tcPr>
            <w:tcW w:w="3310" w:type="dxa"/>
            <w:shd w:val="clear" w:color="auto" w:fill="auto"/>
          </w:tcPr>
          <w:p w:rsidR="002173FB" w:rsidRPr="00F542E0" w:rsidRDefault="002173FB" w:rsidP="00812C6B">
            <w:pPr>
              <w:pStyle w:val="BodyText1"/>
              <w:spacing w:before="0"/>
              <w:ind w:firstLine="0"/>
              <w:jc w:val="both"/>
              <w:rPr>
                <w:rFonts w:ascii="Arial" w:hAnsi="Arial"/>
                <w:sz w:val="20"/>
                <w:szCs w:val="20"/>
              </w:rPr>
            </w:pPr>
            <w:r>
              <w:rPr>
                <w:rFonts w:ascii="Arial" w:hAnsi="Arial"/>
                <w:sz w:val="20"/>
                <w:szCs w:val="20"/>
              </w:rPr>
              <w:t xml:space="preserve">   Nausea</w:t>
            </w:r>
          </w:p>
        </w:tc>
        <w:tc>
          <w:tcPr>
            <w:tcW w:w="4731" w:type="dxa"/>
            <w:shd w:val="clear" w:color="auto" w:fill="auto"/>
          </w:tcPr>
          <w:p w:rsidR="002173FB" w:rsidRPr="00F542E0" w:rsidRDefault="002173FB" w:rsidP="00812C6B">
            <w:pPr>
              <w:pStyle w:val="BodyText1"/>
              <w:spacing w:before="0"/>
              <w:ind w:firstLine="0"/>
              <w:jc w:val="center"/>
              <w:rPr>
                <w:rFonts w:ascii="Arial" w:hAnsi="Arial"/>
                <w:sz w:val="20"/>
                <w:szCs w:val="20"/>
              </w:rPr>
            </w:pPr>
            <w:r>
              <w:rPr>
                <w:rFonts w:ascii="Arial" w:hAnsi="Arial"/>
                <w:sz w:val="20"/>
                <w:szCs w:val="20"/>
              </w:rPr>
              <w:t>12% (13)</w:t>
            </w:r>
          </w:p>
        </w:tc>
      </w:tr>
      <w:tr w:rsidR="002173FB" w:rsidRPr="00F542E0" w:rsidTr="003F7A82">
        <w:trPr>
          <w:jc w:val="center"/>
        </w:trPr>
        <w:tc>
          <w:tcPr>
            <w:tcW w:w="3310" w:type="dxa"/>
            <w:shd w:val="clear" w:color="auto" w:fill="auto"/>
          </w:tcPr>
          <w:p w:rsidR="002173FB" w:rsidRDefault="002173FB" w:rsidP="00812C6B">
            <w:pPr>
              <w:pStyle w:val="BodyText1"/>
              <w:spacing w:before="0"/>
              <w:ind w:firstLine="0"/>
              <w:jc w:val="both"/>
              <w:rPr>
                <w:rFonts w:ascii="Arial" w:hAnsi="Arial"/>
                <w:sz w:val="20"/>
                <w:szCs w:val="20"/>
              </w:rPr>
            </w:pPr>
            <w:r>
              <w:rPr>
                <w:rFonts w:ascii="Arial" w:hAnsi="Arial"/>
                <w:sz w:val="20"/>
                <w:szCs w:val="20"/>
              </w:rPr>
              <w:t xml:space="preserve">   Dyspepsia</w:t>
            </w:r>
          </w:p>
        </w:tc>
        <w:tc>
          <w:tcPr>
            <w:tcW w:w="4731" w:type="dxa"/>
            <w:shd w:val="clear" w:color="auto" w:fill="auto"/>
          </w:tcPr>
          <w:p w:rsidR="002173FB" w:rsidRDefault="002173FB" w:rsidP="00812C6B">
            <w:pPr>
              <w:pStyle w:val="BodyText1"/>
              <w:spacing w:before="0"/>
              <w:ind w:firstLine="0"/>
              <w:jc w:val="center"/>
              <w:rPr>
                <w:rFonts w:ascii="Arial" w:hAnsi="Arial"/>
                <w:sz w:val="20"/>
                <w:szCs w:val="20"/>
              </w:rPr>
            </w:pPr>
            <w:r>
              <w:rPr>
                <w:rFonts w:ascii="Arial" w:hAnsi="Arial"/>
                <w:sz w:val="20"/>
                <w:szCs w:val="20"/>
              </w:rPr>
              <w:t>6% (6)</w:t>
            </w:r>
          </w:p>
        </w:tc>
      </w:tr>
      <w:tr w:rsidR="002173FB" w:rsidRPr="00F542E0" w:rsidTr="003F7A82">
        <w:trPr>
          <w:jc w:val="center"/>
        </w:trPr>
        <w:tc>
          <w:tcPr>
            <w:tcW w:w="3310" w:type="dxa"/>
            <w:tcBorders>
              <w:bottom w:val="single" w:sz="4" w:space="0" w:color="auto"/>
            </w:tcBorders>
            <w:shd w:val="clear" w:color="auto" w:fill="auto"/>
          </w:tcPr>
          <w:p w:rsidR="002173FB" w:rsidRDefault="002173FB" w:rsidP="00812C6B">
            <w:pPr>
              <w:pStyle w:val="BodyText1"/>
              <w:spacing w:before="0"/>
              <w:ind w:firstLine="0"/>
              <w:jc w:val="both"/>
              <w:rPr>
                <w:rFonts w:ascii="Arial" w:hAnsi="Arial"/>
                <w:sz w:val="20"/>
                <w:szCs w:val="20"/>
              </w:rPr>
            </w:pPr>
            <w:r>
              <w:rPr>
                <w:rFonts w:ascii="Arial" w:hAnsi="Arial"/>
                <w:sz w:val="20"/>
                <w:szCs w:val="20"/>
              </w:rPr>
              <w:t xml:space="preserve">   Vomiting</w:t>
            </w:r>
          </w:p>
        </w:tc>
        <w:tc>
          <w:tcPr>
            <w:tcW w:w="4731" w:type="dxa"/>
            <w:tcBorders>
              <w:bottom w:val="single" w:sz="4" w:space="0" w:color="auto"/>
            </w:tcBorders>
            <w:shd w:val="clear" w:color="auto" w:fill="auto"/>
          </w:tcPr>
          <w:p w:rsidR="002173FB" w:rsidRDefault="002173FB" w:rsidP="00812C6B">
            <w:pPr>
              <w:pStyle w:val="BodyText1"/>
              <w:spacing w:before="0"/>
              <w:ind w:firstLine="0"/>
              <w:jc w:val="center"/>
              <w:rPr>
                <w:rFonts w:ascii="Arial" w:hAnsi="Arial"/>
                <w:sz w:val="20"/>
                <w:szCs w:val="20"/>
              </w:rPr>
            </w:pPr>
            <w:r>
              <w:rPr>
                <w:rFonts w:ascii="Arial" w:hAnsi="Arial"/>
                <w:sz w:val="20"/>
                <w:szCs w:val="20"/>
              </w:rPr>
              <w:t>6% (6)</w:t>
            </w:r>
          </w:p>
        </w:tc>
      </w:tr>
      <w:tr w:rsidR="002173FB" w:rsidRPr="00F542E0" w:rsidTr="003F7A82">
        <w:trPr>
          <w:jc w:val="center"/>
        </w:trPr>
        <w:tc>
          <w:tcPr>
            <w:tcW w:w="8041" w:type="dxa"/>
            <w:gridSpan w:val="2"/>
            <w:shd w:val="clear" w:color="auto" w:fill="auto"/>
          </w:tcPr>
          <w:p w:rsidR="002173FB" w:rsidRPr="000F013A" w:rsidRDefault="002173FB" w:rsidP="00812C6B">
            <w:pPr>
              <w:pStyle w:val="BodyText1"/>
              <w:spacing w:before="0"/>
              <w:ind w:firstLine="0"/>
              <w:rPr>
                <w:rFonts w:ascii="Arial" w:hAnsi="Arial"/>
                <w:b/>
                <w:sz w:val="20"/>
                <w:szCs w:val="20"/>
              </w:rPr>
            </w:pPr>
            <w:r w:rsidRPr="000F013A">
              <w:rPr>
                <w:rFonts w:ascii="Arial" w:hAnsi="Arial"/>
                <w:b/>
                <w:sz w:val="20"/>
                <w:szCs w:val="20"/>
              </w:rPr>
              <w:t>Skin and subcutaneous tissue disorders</w:t>
            </w:r>
          </w:p>
        </w:tc>
      </w:tr>
      <w:tr w:rsidR="002173FB" w:rsidRPr="00F542E0" w:rsidTr="003F7A82">
        <w:trPr>
          <w:jc w:val="center"/>
        </w:trPr>
        <w:tc>
          <w:tcPr>
            <w:tcW w:w="3310" w:type="dxa"/>
            <w:tcBorders>
              <w:bottom w:val="single" w:sz="4" w:space="0" w:color="auto"/>
            </w:tcBorders>
            <w:shd w:val="clear" w:color="auto" w:fill="auto"/>
          </w:tcPr>
          <w:p w:rsidR="002173FB" w:rsidRPr="00F542E0" w:rsidRDefault="002173FB" w:rsidP="00812C6B">
            <w:pPr>
              <w:pStyle w:val="BodyText1"/>
              <w:spacing w:before="0"/>
              <w:ind w:firstLine="0"/>
              <w:jc w:val="both"/>
              <w:rPr>
                <w:rFonts w:ascii="Arial" w:hAnsi="Arial"/>
                <w:sz w:val="20"/>
                <w:szCs w:val="20"/>
              </w:rPr>
            </w:pPr>
            <w:r>
              <w:rPr>
                <w:rFonts w:ascii="Arial" w:hAnsi="Arial"/>
                <w:sz w:val="20"/>
                <w:szCs w:val="20"/>
              </w:rPr>
              <w:t xml:space="preserve">   Pruritus </w:t>
            </w:r>
          </w:p>
        </w:tc>
        <w:tc>
          <w:tcPr>
            <w:tcW w:w="4731" w:type="dxa"/>
            <w:tcBorders>
              <w:bottom w:val="single" w:sz="4" w:space="0" w:color="auto"/>
            </w:tcBorders>
            <w:shd w:val="clear" w:color="auto" w:fill="auto"/>
          </w:tcPr>
          <w:p w:rsidR="002173FB" w:rsidRPr="00F542E0" w:rsidRDefault="002173FB" w:rsidP="00812C6B">
            <w:pPr>
              <w:pStyle w:val="BodyText1"/>
              <w:spacing w:before="0"/>
              <w:ind w:firstLine="0"/>
              <w:jc w:val="center"/>
              <w:rPr>
                <w:rFonts w:ascii="Arial" w:hAnsi="Arial"/>
                <w:sz w:val="20"/>
                <w:szCs w:val="20"/>
              </w:rPr>
            </w:pPr>
            <w:r>
              <w:rPr>
                <w:rFonts w:ascii="Arial" w:hAnsi="Arial"/>
                <w:sz w:val="20"/>
                <w:szCs w:val="20"/>
              </w:rPr>
              <w:t>9% (10)</w:t>
            </w:r>
          </w:p>
        </w:tc>
      </w:tr>
      <w:tr w:rsidR="002173FB" w:rsidRPr="00F542E0" w:rsidTr="003F7A82">
        <w:trPr>
          <w:jc w:val="center"/>
        </w:trPr>
        <w:tc>
          <w:tcPr>
            <w:tcW w:w="8041" w:type="dxa"/>
            <w:gridSpan w:val="2"/>
            <w:shd w:val="clear" w:color="auto" w:fill="auto"/>
          </w:tcPr>
          <w:p w:rsidR="002173FB" w:rsidRPr="000F013A" w:rsidRDefault="002173FB" w:rsidP="00812C6B">
            <w:pPr>
              <w:pStyle w:val="BodyText1"/>
              <w:spacing w:before="0"/>
              <w:ind w:firstLine="0"/>
              <w:rPr>
                <w:rFonts w:ascii="Arial" w:hAnsi="Arial"/>
                <w:b/>
                <w:sz w:val="20"/>
                <w:szCs w:val="20"/>
              </w:rPr>
            </w:pPr>
            <w:r w:rsidRPr="000F013A">
              <w:rPr>
                <w:rFonts w:ascii="Arial" w:hAnsi="Arial"/>
                <w:b/>
                <w:sz w:val="20"/>
                <w:szCs w:val="20"/>
              </w:rPr>
              <w:t>Musculoskeletal and connective tissue disorders</w:t>
            </w:r>
          </w:p>
        </w:tc>
      </w:tr>
      <w:tr w:rsidR="002173FB" w:rsidRPr="00F542E0" w:rsidTr="003F7A82">
        <w:trPr>
          <w:jc w:val="center"/>
        </w:trPr>
        <w:tc>
          <w:tcPr>
            <w:tcW w:w="3310" w:type="dxa"/>
            <w:tcBorders>
              <w:bottom w:val="single" w:sz="4" w:space="0" w:color="auto"/>
            </w:tcBorders>
            <w:shd w:val="clear" w:color="auto" w:fill="auto"/>
          </w:tcPr>
          <w:p w:rsidR="002173FB" w:rsidRPr="00F542E0" w:rsidRDefault="002173FB" w:rsidP="00812C6B">
            <w:pPr>
              <w:pStyle w:val="BodyText1"/>
              <w:spacing w:before="0"/>
              <w:ind w:firstLine="0"/>
              <w:jc w:val="both"/>
              <w:rPr>
                <w:rFonts w:ascii="Arial" w:hAnsi="Arial"/>
                <w:sz w:val="20"/>
                <w:szCs w:val="20"/>
              </w:rPr>
            </w:pPr>
            <w:r>
              <w:rPr>
                <w:rFonts w:ascii="Arial" w:hAnsi="Arial"/>
                <w:sz w:val="20"/>
                <w:szCs w:val="20"/>
              </w:rPr>
              <w:t xml:space="preserve">   Myalgia</w:t>
            </w:r>
          </w:p>
        </w:tc>
        <w:tc>
          <w:tcPr>
            <w:tcW w:w="4731" w:type="dxa"/>
            <w:tcBorders>
              <w:bottom w:val="single" w:sz="4" w:space="0" w:color="auto"/>
            </w:tcBorders>
            <w:shd w:val="clear" w:color="auto" w:fill="auto"/>
          </w:tcPr>
          <w:p w:rsidR="002173FB" w:rsidRPr="00F542E0" w:rsidRDefault="002173FB" w:rsidP="00812C6B">
            <w:pPr>
              <w:pStyle w:val="BodyText1"/>
              <w:spacing w:before="0"/>
              <w:ind w:firstLine="0"/>
              <w:jc w:val="center"/>
              <w:rPr>
                <w:rFonts w:ascii="Arial" w:hAnsi="Arial"/>
                <w:sz w:val="20"/>
                <w:szCs w:val="20"/>
              </w:rPr>
            </w:pPr>
            <w:r>
              <w:rPr>
                <w:rFonts w:ascii="Arial" w:hAnsi="Arial"/>
                <w:sz w:val="20"/>
                <w:szCs w:val="20"/>
              </w:rPr>
              <w:t>6% (6)</w:t>
            </w:r>
          </w:p>
        </w:tc>
      </w:tr>
      <w:tr w:rsidR="002173FB" w:rsidRPr="00F542E0" w:rsidTr="003F7A82">
        <w:trPr>
          <w:jc w:val="center"/>
        </w:trPr>
        <w:tc>
          <w:tcPr>
            <w:tcW w:w="8041" w:type="dxa"/>
            <w:gridSpan w:val="2"/>
            <w:shd w:val="clear" w:color="auto" w:fill="auto"/>
          </w:tcPr>
          <w:p w:rsidR="002173FB" w:rsidRPr="000F013A" w:rsidRDefault="002173FB" w:rsidP="00812C6B">
            <w:pPr>
              <w:pStyle w:val="BodyText1"/>
              <w:spacing w:before="0"/>
              <w:ind w:firstLine="0"/>
              <w:rPr>
                <w:rFonts w:ascii="Arial" w:hAnsi="Arial"/>
                <w:b/>
                <w:sz w:val="20"/>
                <w:szCs w:val="20"/>
              </w:rPr>
            </w:pPr>
            <w:r w:rsidRPr="000F013A">
              <w:rPr>
                <w:rFonts w:ascii="Arial" w:hAnsi="Arial"/>
                <w:b/>
                <w:sz w:val="20"/>
                <w:szCs w:val="20"/>
              </w:rPr>
              <w:t>General disorders and administration site conditions</w:t>
            </w:r>
          </w:p>
        </w:tc>
      </w:tr>
      <w:tr w:rsidR="002173FB" w:rsidRPr="00F542E0" w:rsidTr="003F7A82">
        <w:trPr>
          <w:jc w:val="center"/>
        </w:trPr>
        <w:tc>
          <w:tcPr>
            <w:tcW w:w="3310" w:type="dxa"/>
            <w:shd w:val="clear" w:color="auto" w:fill="auto"/>
          </w:tcPr>
          <w:p w:rsidR="002173FB" w:rsidRDefault="002173FB" w:rsidP="00812C6B">
            <w:pPr>
              <w:pStyle w:val="BodyText1"/>
              <w:spacing w:before="0"/>
              <w:ind w:firstLine="0"/>
              <w:jc w:val="both"/>
              <w:rPr>
                <w:rFonts w:ascii="Arial" w:hAnsi="Arial"/>
                <w:sz w:val="20"/>
                <w:szCs w:val="20"/>
              </w:rPr>
            </w:pPr>
            <w:r>
              <w:rPr>
                <w:rFonts w:ascii="Arial" w:hAnsi="Arial"/>
                <w:sz w:val="20"/>
                <w:szCs w:val="20"/>
              </w:rPr>
              <w:t xml:space="preserve">   Fatigue</w:t>
            </w:r>
          </w:p>
        </w:tc>
        <w:tc>
          <w:tcPr>
            <w:tcW w:w="4731" w:type="dxa"/>
            <w:shd w:val="clear" w:color="auto" w:fill="auto"/>
          </w:tcPr>
          <w:p w:rsidR="002173FB" w:rsidRDefault="002173FB" w:rsidP="00812C6B">
            <w:pPr>
              <w:pStyle w:val="BodyText1"/>
              <w:spacing w:before="0"/>
              <w:ind w:firstLine="0"/>
              <w:jc w:val="center"/>
              <w:rPr>
                <w:rFonts w:ascii="Arial" w:hAnsi="Arial"/>
                <w:sz w:val="20"/>
                <w:szCs w:val="20"/>
              </w:rPr>
            </w:pPr>
            <w:r>
              <w:rPr>
                <w:rFonts w:ascii="Arial" w:hAnsi="Arial"/>
                <w:sz w:val="20"/>
                <w:szCs w:val="20"/>
              </w:rPr>
              <w:t>25% (27)</w:t>
            </w:r>
          </w:p>
        </w:tc>
      </w:tr>
      <w:tr w:rsidR="002173FB" w:rsidRPr="00F542E0" w:rsidTr="003F7A82">
        <w:trPr>
          <w:jc w:val="center"/>
        </w:trPr>
        <w:tc>
          <w:tcPr>
            <w:tcW w:w="3310" w:type="dxa"/>
            <w:shd w:val="clear" w:color="auto" w:fill="auto"/>
          </w:tcPr>
          <w:p w:rsidR="002173FB" w:rsidRPr="00F542E0" w:rsidRDefault="002173FB" w:rsidP="00812C6B">
            <w:pPr>
              <w:pStyle w:val="BodyText1"/>
              <w:spacing w:before="0"/>
              <w:ind w:firstLine="0"/>
              <w:jc w:val="both"/>
              <w:rPr>
                <w:rFonts w:ascii="Arial" w:hAnsi="Arial"/>
                <w:sz w:val="20"/>
                <w:szCs w:val="20"/>
              </w:rPr>
            </w:pPr>
            <w:r>
              <w:rPr>
                <w:rFonts w:ascii="Arial" w:hAnsi="Arial"/>
                <w:sz w:val="20"/>
                <w:szCs w:val="20"/>
              </w:rPr>
              <w:t xml:space="preserve">   Asthenia</w:t>
            </w:r>
          </w:p>
        </w:tc>
        <w:tc>
          <w:tcPr>
            <w:tcW w:w="4731" w:type="dxa"/>
            <w:shd w:val="clear" w:color="auto" w:fill="auto"/>
          </w:tcPr>
          <w:p w:rsidR="002173FB" w:rsidRPr="00F542E0" w:rsidRDefault="002173FB" w:rsidP="00812C6B">
            <w:pPr>
              <w:pStyle w:val="BodyText1"/>
              <w:spacing w:before="0"/>
              <w:ind w:firstLine="0"/>
              <w:jc w:val="center"/>
              <w:rPr>
                <w:rFonts w:ascii="Arial" w:hAnsi="Arial"/>
                <w:sz w:val="20"/>
                <w:szCs w:val="20"/>
              </w:rPr>
            </w:pPr>
            <w:r>
              <w:rPr>
                <w:rFonts w:ascii="Arial" w:hAnsi="Arial"/>
                <w:sz w:val="20"/>
                <w:szCs w:val="20"/>
              </w:rPr>
              <w:t>8% (9)</w:t>
            </w:r>
          </w:p>
        </w:tc>
      </w:tr>
    </w:tbl>
    <w:p w:rsidR="002173FB" w:rsidRDefault="002173FB" w:rsidP="002173FB">
      <w:pPr>
        <w:pStyle w:val="Body"/>
        <w:tabs>
          <w:tab w:val="left" w:pos="540"/>
        </w:tabs>
        <w:ind w:left="540" w:hanging="540"/>
      </w:pPr>
    </w:p>
    <w:p w:rsidR="002173FB" w:rsidRPr="00A8461E" w:rsidRDefault="002173FB" w:rsidP="00F42F76">
      <w:pPr>
        <w:pStyle w:val="Heading3"/>
      </w:pPr>
      <w:r w:rsidRPr="00A8461E">
        <w:t xml:space="preserve">Laboratory Abnormalities in Subjects Receiving </w:t>
      </w:r>
      <w:r w:rsidR="000D7FE6">
        <w:t>ZEPATIER</w:t>
      </w:r>
      <w:r w:rsidRPr="00A8461E">
        <w:t xml:space="preserve"> with or without Ribavirin</w:t>
      </w:r>
    </w:p>
    <w:p w:rsidR="002173FB" w:rsidRDefault="002173FB" w:rsidP="00A8461E">
      <w:pPr>
        <w:rPr>
          <w:i/>
        </w:rPr>
      </w:pPr>
      <w:r w:rsidRPr="00260E56">
        <w:rPr>
          <w:i/>
        </w:rPr>
        <w:t>Serum</w:t>
      </w:r>
      <w:r w:rsidR="007F3EBE">
        <w:rPr>
          <w:i/>
        </w:rPr>
        <w:t xml:space="preserve"> Late</w:t>
      </w:r>
      <w:r w:rsidRPr="00260E56">
        <w:rPr>
          <w:i/>
        </w:rPr>
        <w:t xml:space="preserve"> ALT Elevations</w:t>
      </w:r>
    </w:p>
    <w:p w:rsidR="002173FB" w:rsidRDefault="002173FB" w:rsidP="00A8461E">
      <w:pPr>
        <w:rPr>
          <w:color w:val="010202"/>
        </w:rPr>
      </w:pPr>
      <w:r w:rsidRPr="00226787">
        <w:rPr>
          <w:color w:val="000000"/>
          <w:szCs w:val="18"/>
        </w:rPr>
        <w:t xml:space="preserve">During clinical trials with </w:t>
      </w:r>
      <w:r w:rsidR="000D7FE6">
        <w:rPr>
          <w:color w:val="000000"/>
          <w:szCs w:val="18"/>
        </w:rPr>
        <w:t>ZEPATIER</w:t>
      </w:r>
      <w:r w:rsidRPr="00226787">
        <w:rPr>
          <w:color w:val="000000"/>
          <w:szCs w:val="18"/>
        </w:rPr>
        <w:t xml:space="preserve"> with or without</w:t>
      </w:r>
      <w:r>
        <w:rPr>
          <w:color w:val="000000"/>
          <w:szCs w:val="18"/>
        </w:rPr>
        <w:t xml:space="preserve"> ribavirin, regardless of treatment duration</w:t>
      </w:r>
      <w:r w:rsidRPr="00226787">
        <w:rPr>
          <w:color w:val="000000"/>
          <w:szCs w:val="18"/>
        </w:rPr>
        <w:t>,</w:t>
      </w:r>
      <w:r>
        <w:rPr>
          <w:color w:val="000000"/>
          <w:szCs w:val="18"/>
        </w:rPr>
        <w:t xml:space="preserve"> &lt;1% </w:t>
      </w:r>
      <w:r w:rsidRPr="00116F4B">
        <w:rPr>
          <w:color w:val="000000"/>
          <w:szCs w:val="18"/>
        </w:rPr>
        <w:t xml:space="preserve">(13/1690) </w:t>
      </w:r>
      <w:r>
        <w:rPr>
          <w:color w:val="000000"/>
          <w:szCs w:val="18"/>
        </w:rPr>
        <w:t>of subjects experienced</w:t>
      </w:r>
      <w:r w:rsidRPr="006401DF">
        <w:rPr>
          <w:color w:val="000000"/>
          <w:szCs w:val="18"/>
        </w:rPr>
        <w:t xml:space="preserve"> </w:t>
      </w:r>
      <w:r>
        <w:rPr>
          <w:color w:val="000000"/>
          <w:szCs w:val="18"/>
        </w:rPr>
        <w:t xml:space="preserve">elevations of ALT from normal levels to greater than 5 times the ULN, generally </w:t>
      </w:r>
      <w:r>
        <w:rPr>
          <w:color w:val="010202"/>
        </w:rPr>
        <w:t xml:space="preserve">at or after treatment week 8 </w:t>
      </w:r>
      <w:r w:rsidRPr="004349E4">
        <w:rPr>
          <w:color w:val="010202"/>
        </w:rPr>
        <w:t>(mean</w:t>
      </w:r>
      <w:r>
        <w:rPr>
          <w:color w:val="010202"/>
        </w:rPr>
        <w:t xml:space="preserve"> onset</w:t>
      </w:r>
      <w:r w:rsidRPr="004349E4">
        <w:rPr>
          <w:color w:val="010202"/>
        </w:rPr>
        <w:t xml:space="preserve"> time </w:t>
      </w:r>
      <w:r>
        <w:rPr>
          <w:color w:val="010202"/>
        </w:rPr>
        <w:t>10</w:t>
      </w:r>
      <w:r w:rsidRPr="004349E4">
        <w:rPr>
          <w:color w:val="010202"/>
        </w:rPr>
        <w:t xml:space="preserve"> </w:t>
      </w:r>
      <w:r>
        <w:rPr>
          <w:color w:val="010202"/>
        </w:rPr>
        <w:t>weeks</w:t>
      </w:r>
      <w:r w:rsidRPr="004349E4">
        <w:rPr>
          <w:color w:val="010202"/>
        </w:rPr>
        <w:t xml:space="preserve">, range </w:t>
      </w:r>
      <w:r>
        <w:rPr>
          <w:color w:val="010202"/>
        </w:rPr>
        <w:t>6</w:t>
      </w:r>
      <w:r w:rsidRPr="004349E4">
        <w:rPr>
          <w:color w:val="010202"/>
        </w:rPr>
        <w:t>-</w:t>
      </w:r>
      <w:r>
        <w:rPr>
          <w:color w:val="010202"/>
        </w:rPr>
        <w:t>12</w:t>
      </w:r>
      <w:r w:rsidRPr="004349E4">
        <w:rPr>
          <w:color w:val="010202"/>
        </w:rPr>
        <w:t xml:space="preserve"> </w:t>
      </w:r>
      <w:r>
        <w:rPr>
          <w:color w:val="010202"/>
        </w:rPr>
        <w:t>weeks</w:t>
      </w:r>
      <w:r w:rsidRPr="004349E4">
        <w:rPr>
          <w:color w:val="010202"/>
        </w:rPr>
        <w:t>)</w:t>
      </w:r>
      <w:r>
        <w:rPr>
          <w:color w:val="010202"/>
        </w:rPr>
        <w:t>.</w:t>
      </w:r>
      <w:r>
        <w:rPr>
          <w:color w:val="000000"/>
          <w:szCs w:val="18"/>
        </w:rPr>
        <w:t xml:space="preserve"> </w:t>
      </w:r>
      <w:r w:rsidR="007F3EBE">
        <w:rPr>
          <w:color w:val="000000"/>
          <w:szCs w:val="18"/>
        </w:rPr>
        <w:t xml:space="preserve">These late </w:t>
      </w:r>
      <w:r w:rsidRPr="004349E4">
        <w:rPr>
          <w:color w:val="010202"/>
        </w:rPr>
        <w:t>ALT elevations were typically asymptomatic</w:t>
      </w:r>
      <w:r>
        <w:rPr>
          <w:color w:val="010202"/>
        </w:rPr>
        <w:t xml:space="preserve">. Most </w:t>
      </w:r>
      <w:r w:rsidR="007F3EBE">
        <w:rPr>
          <w:color w:val="010202"/>
        </w:rPr>
        <w:t xml:space="preserve">late </w:t>
      </w:r>
      <w:r>
        <w:rPr>
          <w:color w:val="010202"/>
        </w:rPr>
        <w:t xml:space="preserve">ALT elevations resolved with ongoing therapy with </w:t>
      </w:r>
      <w:r w:rsidR="000D7FE6">
        <w:rPr>
          <w:color w:val="010202"/>
        </w:rPr>
        <w:t>ZEPATIER</w:t>
      </w:r>
      <w:r>
        <w:rPr>
          <w:color w:val="010202"/>
        </w:rPr>
        <w:t xml:space="preserve"> or after completion of therapy </w:t>
      </w:r>
      <w:r w:rsidR="00CE2C56">
        <w:rPr>
          <w:color w:val="010202"/>
        </w:rPr>
        <w:t>(</w:t>
      </w:r>
      <w:r w:rsidR="00CE2C56" w:rsidRPr="00CE2C56">
        <w:rPr>
          <w:i/>
          <w:color w:val="010202"/>
        </w:rPr>
        <w:t>see</w:t>
      </w:r>
      <w:r w:rsidR="00CE2C56">
        <w:rPr>
          <w:color w:val="010202"/>
        </w:rPr>
        <w:t xml:space="preserve"> </w:t>
      </w:r>
      <w:r w:rsidR="00CE2C56" w:rsidRPr="00CE2C56">
        <w:rPr>
          <w:i/>
          <w:color w:val="010202"/>
        </w:rPr>
        <w:t xml:space="preserve">PRECAUTIONS: </w:t>
      </w:r>
      <w:r w:rsidR="00CE2C56" w:rsidRPr="00CE2C56">
        <w:rPr>
          <w:i/>
        </w:rPr>
        <w:t>Increased Risk of ALT Elevations</w:t>
      </w:r>
      <w:r w:rsidR="00CE2C56" w:rsidRPr="00CE2C56">
        <w:rPr>
          <w:i/>
          <w:iCs/>
          <w:color w:val="010202"/>
        </w:rPr>
        <w:t>)</w:t>
      </w:r>
      <w:r w:rsidRPr="00CE2C56">
        <w:rPr>
          <w:color w:val="010202"/>
        </w:rPr>
        <w:t xml:space="preserve">. </w:t>
      </w:r>
      <w:r w:rsidRPr="00CE2C56">
        <w:t xml:space="preserve">The frequency of </w:t>
      </w:r>
      <w:r w:rsidR="007F3EBE">
        <w:t xml:space="preserve">late </w:t>
      </w:r>
      <w:r w:rsidRPr="00CE2C56">
        <w:t xml:space="preserve">ALT elevations was higher in subjects with higher </w:t>
      </w:r>
      <w:proofErr w:type="spellStart"/>
      <w:r w:rsidRPr="00CE2C56">
        <w:t>grazoprevir</w:t>
      </w:r>
      <w:proofErr w:type="spellEnd"/>
      <w:r w:rsidRPr="00CE2C56">
        <w:t xml:space="preserve"> plasma con</w:t>
      </w:r>
      <w:r>
        <w:t xml:space="preserve">centration </w:t>
      </w:r>
      <w:r w:rsidR="008B30DE" w:rsidRPr="008B30DE">
        <w:rPr>
          <w:i/>
          <w:iCs/>
          <w:color w:val="010202"/>
        </w:rPr>
        <w:t>(</w:t>
      </w:r>
      <w:r w:rsidRPr="008B30DE">
        <w:rPr>
          <w:i/>
          <w:iCs/>
          <w:color w:val="010202"/>
        </w:rPr>
        <w:t xml:space="preserve">see </w:t>
      </w:r>
      <w:r w:rsidR="00CE2C56">
        <w:rPr>
          <w:i/>
          <w:iCs/>
          <w:color w:val="010202"/>
        </w:rPr>
        <w:t>INTERACTIONS WITH OTHER MEDICINES</w:t>
      </w:r>
      <w:r w:rsidRPr="008B30DE">
        <w:rPr>
          <w:i/>
          <w:iCs/>
        </w:rPr>
        <w:t>)</w:t>
      </w:r>
      <w:r w:rsidRPr="008B30DE">
        <w:t>.</w:t>
      </w:r>
      <w:r w:rsidRPr="00817320">
        <w:t xml:space="preserve"> </w:t>
      </w:r>
      <w:r>
        <w:rPr>
          <w:color w:val="010202"/>
        </w:rPr>
        <w:t xml:space="preserve">The incidence of late ALT elevations was not affected by treatment duration. </w:t>
      </w:r>
      <w:r w:rsidRPr="004349E4">
        <w:rPr>
          <w:color w:val="010202"/>
        </w:rPr>
        <w:t>Cirrhosis was not a risk factor for</w:t>
      </w:r>
      <w:r>
        <w:rPr>
          <w:color w:val="010202"/>
        </w:rPr>
        <w:t xml:space="preserve"> </w:t>
      </w:r>
      <w:r w:rsidR="007F3EBE">
        <w:rPr>
          <w:color w:val="010202"/>
        </w:rPr>
        <w:t xml:space="preserve">late </w:t>
      </w:r>
      <w:r w:rsidRPr="004349E4">
        <w:rPr>
          <w:color w:val="010202"/>
        </w:rPr>
        <w:t>ALT</w:t>
      </w:r>
      <w:r>
        <w:rPr>
          <w:color w:val="010202"/>
        </w:rPr>
        <w:t xml:space="preserve"> elevations. </w:t>
      </w:r>
    </w:p>
    <w:p w:rsidR="002173FB" w:rsidRDefault="002173FB" w:rsidP="00F42F76">
      <w:pPr>
        <w:rPr>
          <w:highlight w:val="yellow"/>
        </w:rPr>
      </w:pPr>
    </w:p>
    <w:p w:rsidR="002173FB" w:rsidRPr="00A8461E" w:rsidRDefault="002173FB" w:rsidP="00A8461E">
      <w:pPr>
        <w:rPr>
          <w:i/>
        </w:rPr>
      </w:pPr>
      <w:r w:rsidRPr="00A8461E">
        <w:rPr>
          <w:i/>
        </w:rPr>
        <w:t>Serum Bilirubin Elevations</w:t>
      </w:r>
    </w:p>
    <w:p w:rsidR="002173FB" w:rsidRDefault="002173FB" w:rsidP="00A8461E">
      <w:pPr>
        <w:rPr>
          <w:color w:val="000000"/>
        </w:rPr>
      </w:pPr>
      <w:r w:rsidRPr="00226787">
        <w:rPr>
          <w:color w:val="000000"/>
          <w:szCs w:val="18"/>
        </w:rPr>
        <w:t xml:space="preserve">During clinical trials with </w:t>
      </w:r>
      <w:r w:rsidR="000D7FE6">
        <w:rPr>
          <w:color w:val="000000"/>
          <w:szCs w:val="18"/>
        </w:rPr>
        <w:t>ZEPATIER</w:t>
      </w:r>
      <w:r w:rsidRPr="00226787">
        <w:rPr>
          <w:color w:val="000000"/>
          <w:szCs w:val="18"/>
        </w:rPr>
        <w:t xml:space="preserve"> with or without</w:t>
      </w:r>
      <w:r>
        <w:rPr>
          <w:color w:val="000000"/>
          <w:szCs w:val="18"/>
        </w:rPr>
        <w:t xml:space="preserve"> ribavirin, regardless of treatment duration</w:t>
      </w:r>
      <w:r w:rsidRPr="00226787">
        <w:rPr>
          <w:color w:val="000000"/>
          <w:szCs w:val="18"/>
        </w:rPr>
        <w:t>,</w:t>
      </w:r>
      <w:r>
        <w:rPr>
          <w:color w:val="000000"/>
        </w:rPr>
        <w:t xml:space="preserve"> e</w:t>
      </w:r>
      <w:r w:rsidRPr="00034B6A">
        <w:rPr>
          <w:color w:val="000000"/>
        </w:rPr>
        <w:t xml:space="preserve">levations in bilirubin at </w:t>
      </w:r>
      <w:r>
        <w:rPr>
          <w:color w:val="000000"/>
        </w:rPr>
        <w:t xml:space="preserve">greater than </w:t>
      </w:r>
      <w:r w:rsidRPr="00034B6A">
        <w:rPr>
          <w:color w:val="000000"/>
        </w:rPr>
        <w:t>2</w:t>
      </w:r>
      <w:r>
        <w:rPr>
          <w:color w:val="000000"/>
        </w:rPr>
        <w:t>.5 times</w:t>
      </w:r>
      <w:r w:rsidRPr="00034B6A">
        <w:rPr>
          <w:color w:val="000000"/>
        </w:rPr>
        <w:t xml:space="preserve"> ULN were observed in </w:t>
      </w:r>
      <w:r>
        <w:rPr>
          <w:color w:val="000000"/>
        </w:rPr>
        <w:t>6</w:t>
      </w:r>
      <w:r w:rsidRPr="00034B6A">
        <w:rPr>
          <w:color w:val="000000"/>
        </w:rPr>
        <w:t xml:space="preserve">% of subjects receiving </w:t>
      </w:r>
      <w:r w:rsidR="000D7FE6">
        <w:rPr>
          <w:color w:val="000000"/>
        </w:rPr>
        <w:t>ZEPATIER</w:t>
      </w:r>
      <w:r w:rsidRPr="00034B6A">
        <w:rPr>
          <w:color w:val="000000"/>
        </w:rPr>
        <w:t xml:space="preserve"> with ribavirin compared to </w:t>
      </w:r>
      <w:r>
        <w:rPr>
          <w:color w:val="000000"/>
        </w:rPr>
        <w:t>&lt;1</w:t>
      </w:r>
      <w:r w:rsidRPr="00034B6A">
        <w:rPr>
          <w:color w:val="000000"/>
        </w:rPr>
        <w:t xml:space="preserve">% in those receiving </w:t>
      </w:r>
      <w:r w:rsidR="000D7FE6">
        <w:rPr>
          <w:color w:val="000000"/>
        </w:rPr>
        <w:t>ZEPATIER</w:t>
      </w:r>
      <w:r w:rsidRPr="00034B6A">
        <w:rPr>
          <w:color w:val="000000"/>
        </w:rPr>
        <w:t xml:space="preserve"> alone. These bilirubin increases were predominately indirect and </w:t>
      </w:r>
      <w:r>
        <w:rPr>
          <w:color w:val="000000"/>
        </w:rPr>
        <w:t xml:space="preserve">generally observed </w:t>
      </w:r>
      <w:r w:rsidRPr="00034B6A">
        <w:rPr>
          <w:color w:val="000000"/>
        </w:rPr>
        <w:t>in association with ribavirin</w:t>
      </w:r>
      <w:r>
        <w:rPr>
          <w:color w:val="000000"/>
        </w:rPr>
        <w:t xml:space="preserve"> co-administration</w:t>
      </w:r>
      <w:r w:rsidRPr="00034B6A">
        <w:rPr>
          <w:color w:val="000000"/>
        </w:rPr>
        <w:t>. Bilirubin elevations were typically not associated with serum ALT elevations.</w:t>
      </w:r>
    </w:p>
    <w:p w:rsidR="002173FB" w:rsidRDefault="002173FB" w:rsidP="00F42F76">
      <w:pPr>
        <w:jc w:val="both"/>
        <w:rPr>
          <w:color w:val="000000"/>
        </w:rPr>
      </w:pPr>
    </w:p>
    <w:p w:rsidR="002173FB" w:rsidRPr="00A8461E" w:rsidRDefault="002173FB" w:rsidP="00A8461E">
      <w:pPr>
        <w:rPr>
          <w:i/>
        </w:rPr>
      </w:pPr>
      <w:r w:rsidRPr="00A8461E">
        <w:rPr>
          <w:i/>
        </w:rPr>
        <w:t xml:space="preserve">Decreased </w:t>
      </w:r>
      <w:r w:rsidR="00AA259D">
        <w:rPr>
          <w:i/>
        </w:rPr>
        <w:t>Haemoglobin</w:t>
      </w:r>
    </w:p>
    <w:p w:rsidR="00140277" w:rsidRPr="00034B6A" w:rsidRDefault="002173FB" w:rsidP="00A8461E">
      <w:r w:rsidRPr="0019144A">
        <w:rPr>
          <w:szCs w:val="18"/>
        </w:rPr>
        <w:t xml:space="preserve">During clinical trials with </w:t>
      </w:r>
      <w:r w:rsidR="000D7FE6">
        <w:rPr>
          <w:szCs w:val="18"/>
        </w:rPr>
        <w:t>ZEPATIER</w:t>
      </w:r>
      <w:r w:rsidRPr="0019144A">
        <w:rPr>
          <w:szCs w:val="18"/>
        </w:rPr>
        <w:t xml:space="preserve"> with or without </w:t>
      </w:r>
      <w:r>
        <w:rPr>
          <w:szCs w:val="18"/>
        </w:rPr>
        <w:t>ribavirin</w:t>
      </w:r>
      <w:r w:rsidRPr="0019144A">
        <w:rPr>
          <w:szCs w:val="18"/>
        </w:rPr>
        <w:t xml:space="preserve">, </w:t>
      </w:r>
      <w:r w:rsidRPr="0019144A">
        <w:t xml:space="preserve">the mean change from baseline in </w:t>
      </w:r>
      <w:r w:rsidR="00AA259D">
        <w:t>haemoglobin</w:t>
      </w:r>
      <w:r w:rsidRPr="0019144A">
        <w:t xml:space="preserve"> levels in subjects treated with </w:t>
      </w:r>
      <w:r w:rsidR="000D7FE6">
        <w:t>ZEPATIER</w:t>
      </w:r>
      <w:r>
        <w:t xml:space="preserve"> for 12 weeks was </w:t>
      </w:r>
      <w:r w:rsidRPr="007938E2">
        <w:t>–</w:t>
      </w:r>
      <w:r>
        <w:t>0.3 g/</w:t>
      </w:r>
      <w:proofErr w:type="spellStart"/>
      <w:r>
        <w:t>dL</w:t>
      </w:r>
      <w:proofErr w:type="spellEnd"/>
      <w:r>
        <w:t xml:space="preserve"> and with </w:t>
      </w:r>
      <w:r w:rsidR="000D7FE6">
        <w:t>ZEPATIER</w:t>
      </w:r>
      <w:r w:rsidRPr="007938E2">
        <w:t xml:space="preserve"> </w:t>
      </w:r>
      <w:r>
        <w:t>with ribavirin</w:t>
      </w:r>
      <w:r w:rsidRPr="007938E2">
        <w:t xml:space="preserve"> for 16 weeks was approximately –</w:t>
      </w:r>
      <w:r w:rsidR="007F3EBE">
        <w:t xml:space="preserve"> 2.2</w:t>
      </w:r>
      <w:r w:rsidRPr="007938E2">
        <w:t xml:space="preserve"> g/</w:t>
      </w:r>
      <w:proofErr w:type="spellStart"/>
      <w:r w:rsidRPr="007938E2">
        <w:t>dL</w:t>
      </w:r>
      <w:proofErr w:type="spellEnd"/>
      <w:r w:rsidRPr="007938E2">
        <w:t xml:space="preserve">. </w:t>
      </w:r>
      <w:r w:rsidR="00AA259D">
        <w:t>Haemoglobin</w:t>
      </w:r>
      <w:r w:rsidRPr="007938E2">
        <w:t xml:space="preserve"> declined during the first 8 weeks of treatment, remained low during the remainder of treatment, and </w:t>
      </w:r>
      <w:r w:rsidR="00F76A28">
        <w:t>normalise</w:t>
      </w:r>
      <w:r w:rsidRPr="007938E2">
        <w:t>d to baseline levels during follow-up. L</w:t>
      </w:r>
      <w:r w:rsidRPr="0019144A">
        <w:t xml:space="preserve">ess than 1% of subjects treated with </w:t>
      </w:r>
      <w:r w:rsidR="000D7FE6">
        <w:t>ZEPATIER</w:t>
      </w:r>
      <w:r w:rsidRPr="0019144A">
        <w:t xml:space="preserve"> </w:t>
      </w:r>
      <w:r>
        <w:t xml:space="preserve">with ribavirin </w:t>
      </w:r>
      <w:r w:rsidRPr="0019144A">
        <w:t xml:space="preserve">had </w:t>
      </w:r>
      <w:r w:rsidR="00AA259D">
        <w:t>haemoglobin</w:t>
      </w:r>
      <w:r w:rsidRPr="0019144A">
        <w:t xml:space="preserve"> levels decrease to less than 8.5 g/</w:t>
      </w:r>
      <w:proofErr w:type="spellStart"/>
      <w:r w:rsidRPr="0019144A">
        <w:t>dL</w:t>
      </w:r>
      <w:proofErr w:type="spellEnd"/>
      <w:r w:rsidRPr="0019144A">
        <w:t xml:space="preserve"> during treatment. No subjects treated with </w:t>
      </w:r>
      <w:r w:rsidR="000D7FE6">
        <w:t>ZEPATIER</w:t>
      </w:r>
      <w:r w:rsidRPr="0019144A">
        <w:t xml:space="preserve"> </w:t>
      </w:r>
      <w:r>
        <w:t xml:space="preserve">alone </w:t>
      </w:r>
      <w:r w:rsidRPr="0019144A">
        <w:t xml:space="preserve">had a </w:t>
      </w:r>
      <w:r w:rsidR="00AA259D">
        <w:t>haemoglobin</w:t>
      </w:r>
      <w:r w:rsidRPr="0019144A">
        <w:t xml:space="preserve"> level less than 8.5 g/</w:t>
      </w:r>
      <w:proofErr w:type="spellStart"/>
      <w:r w:rsidRPr="0019144A">
        <w:t>dL</w:t>
      </w:r>
      <w:proofErr w:type="spellEnd"/>
      <w:r>
        <w:t>.</w:t>
      </w:r>
    </w:p>
    <w:p w:rsidR="002173FB" w:rsidRDefault="002173FB" w:rsidP="00F42F76"/>
    <w:p w:rsidR="002173FB" w:rsidRPr="00A8461E" w:rsidRDefault="000D7FE6" w:rsidP="00F42F76">
      <w:pPr>
        <w:pStyle w:val="Heading3"/>
      </w:pPr>
      <w:r>
        <w:t>ZEPATIER</w:t>
      </w:r>
      <w:r w:rsidR="002173FB" w:rsidRPr="00A8461E">
        <w:t xml:space="preserve"> in Subjects with HCV/HIV-1 Co-Infection</w:t>
      </w:r>
    </w:p>
    <w:p w:rsidR="002173FB" w:rsidRPr="007938E2" w:rsidRDefault="000D7FE6" w:rsidP="00A8461E">
      <w:pPr>
        <w:rPr>
          <w:sz w:val="23"/>
          <w:szCs w:val="23"/>
        </w:rPr>
      </w:pPr>
      <w:r>
        <w:rPr>
          <w:color w:val="000000"/>
        </w:rPr>
        <w:t>ZEPATIER</w:t>
      </w:r>
      <w:r w:rsidR="002173FB" w:rsidRPr="007938E2">
        <w:rPr>
          <w:color w:val="000000"/>
        </w:rPr>
        <w:t xml:space="preserve"> and </w:t>
      </w:r>
      <w:r>
        <w:rPr>
          <w:color w:val="000000"/>
        </w:rPr>
        <w:t>ZEPATIER</w:t>
      </w:r>
      <w:r w:rsidR="002173FB" w:rsidRPr="007938E2">
        <w:rPr>
          <w:color w:val="000000"/>
        </w:rPr>
        <w:t xml:space="preserve"> with </w:t>
      </w:r>
      <w:r w:rsidR="002173FB">
        <w:rPr>
          <w:color w:val="000000"/>
        </w:rPr>
        <w:t>ribavirin</w:t>
      </w:r>
      <w:r w:rsidR="002173FB" w:rsidRPr="007938E2">
        <w:rPr>
          <w:color w:val="000000"/>
        </w:rPr>
        <w:t xml:space="preserve"> were assessed in 298 subjects with </w:t>
      </w:r>
      <w:r w:rsidR="002173FB" w:rsidRPr="007938E2">
        <w:t xml:space="preserve">HCV/HIV-1 co-infection. The type and severity of adverse reactions in subjects with HCV/HIV-1 co-infection were comparable to subjects without HCV/HIV-1 co-infection. </w:t>
      </w:r>
      <w:r w:rsidR="002173FB" w:rsidRPr="007938E2">
        <w:rPr>
          <w:szCs w:val="23"/>
        </w:rPr>
        <w:t xml:space="preserve">Median increase in CD4+ T-cell counts </w:t>
      </w:r>
      <w:proofErr w:type="gramStart"/>
      <w:r w:rsidR="002173FB" w:rsidRPr="007938E2">
        <w:rPr>
          <w:szCs w:val="23"/>
        </w:rPr>
        <w:t>of 32 cells/mm</w:t>
      </w:r>
      <w:r w:rsidR="002173FB" w:rsidRPr="007938E2">
        <w:rPr>
          <w:szCs w:val="23"/>
          <w:vertAlign w:val="superscript"/>
        </w:rPr>
        <w:t>3</w:t>
      </w:r>
      <w:proofErr w:type="gramEnd"/>
      <w:r w:rsidR="002173FB" w:rsidRPr="007938E2">
        <w:rPr>
          <w:szCs w:val="23"/>
        </w:rPr>
        <w:t xml:space="preserve"> was observed at the end of 12 weeks</w:t>
      </w:r>
      <w:r w:rsidR="002173FB">
        <w:rPr>
          <w:szCs w:val="23"/>
        </w:rPr>
        <w:t xml:space="preserve"> of</w:t>
      </w:r>
      <w:r w:rsidR="002173FB" w:rsidRPr="007938E2">
        <w:rPr>
          <w:szCs w:val="23"/>
        </w:rPr>
        <w:t xml:space="preserve"> treatment with </w:t>
      </w:r>
      <w:r>
        <w:rPr>
          <w:szCs w:val="23"/>
        </w:rPr>
        <w:t>ZEPATIER</w:t>
      </w:r>
      <w:r w:rsidR="002173FB">
        <w:rPr>
          <w:szCs w:val="23"/>
        </w:rPr>
        <w:t xml:space="preserve"> alone</w:t>
      </w:r>
      <w:r w:rsidR="002173FB" w:rsidRPr="007938E2">
        <w:rPr>
          <w:szCs w:val="23"/>
        </w:rPr>
        <w:t>. Median decrease in CD4+ T-cell count</w:t>
      </w:r>
      <w:r w:rsidR="002173FB" w:rsidRPr="00FA0A26">
        <w:rPr>
          <w:szCs w:val="23"/>
        </w:rPr>
        <w:t xml:space="preserve">s </w:t>
      </w:r>
      <w:proofErr w:type="gramStart"/>
      <w:r w:rsidR="002173FB" w:rsidRPr="00FA0A26">
        <w:rPr>
          <w:szCs w:val="23"/>
        </w:rPr>
        <w:t xml:space="preserve">of </w:t>
      </w:r>
      <w:r w:rsidR="007F3EBE" w:rsidRPr="00FA0A26">
        <w:rPr>
          <w:szCs w:val="23"/>
        </w:rPr>
        <w:t xml:space="preserve">135 </w:t>
      </w:r>
      <w:r w:rsidR="002173FB" w:rsidRPr="00FA0A26">
        <w:rPr>
          <w:szCs w:val="23"/>
        </w:rPr>
        <w:t>cells/mm</w:t>
      </w:r>
      <w:r w:rsidR="002173FB" w:rsidRPr="00FA0A26">
        <w:rPr>
          <w:szCs w:val="23"/>
          <w:vertAlign w:val="superscript"/>
        </w:rPr>
        <w:t>3</w:t>
      </w:r>
      <w:proofErr w:type="gramEnd"/>
      <w:r w:rsidR="002173FB" w:rsidRPr="007938E2">
        <w:rPr>
          <w:szCs w:val="23"/>
        </w:rPr>
        <w:t xml:space="preserve"> was observed at the end of 16 weeks </w:t>
      </w:r>
      <w:r w:rsidR="002173FB">
        <w:rPr>
          <w:szCs w:val="23"/>
        </w:rPr>
        <w:t xml:space="preserve">of </w:t>
      </w:r>
      <w:r w:rsidR="002173FB" w:rsidRPr="007938E2">
        <w:rPr>
          <w:szCs w:val="23"/>
        </w:rPr>
        <w:t xml:space="preserve">treatment with </w:t>
      </w:r>
      <w:r>
        <w:rPr>
          <w:szCs w:val="23"/>
        </w:rPr>
        <w:t>ZEPATIER</w:t>
      </w:r>
      <w:r w:rsidR="002173FB">
        <w:rPr>
          <w:szCs w:val="23"/>
        </w:rPr>
        <w:t xml:space="preserve"> with ribavirin</w:t>
      </w:r>
      <w:r w:rsidR="002173FB" w:rsidRPr="007938E2">
        <w:rPr>
          <w:szCs w:val="23"/>
        </w:rPr>
        <w:t>. No subject experienced an AIDS-related opportunistic infection.</w:t>
      </w:r>
    </w:p>
    <w:p w:rsidR="002173FB" w:rsidRPr="007938E2" w:rsidRDefault="002173FB" w:rsidP="00A8461E"/>
    <w:p w:rsidR="002173FB" w:rsidRPr="007938E2" w:rsidRDefault="000D7FE6" w:rsidP="00F42F76">
      <w:pPr>
        <w:pStyle w:val="Heading3"/>
      </w:pPr>
      <w:r>
        <w:t>ZEPATIER</w:t>
      </w:r>
      <w:r w:rsidR="002173FB" w:rsidRPr="003A5D20">
        <w:t xml:space="preserve"> i</w:t>
      </w:r>
      <w:r w:rsidR="002173FB" w:rsidRPr="007938E2">
        <w:t xml:space="preserve">n Subjects with Advanced Chronic Kidney Disease </w:t>
      </w:r>
    </w:p>
    <w:p w:rsidR="002173FB" w:rsidRDefault="002173FB" w:rsidP="00A8461E">
      <w:pPr>
        <w:rPr>
          <w:color w:val="000000"/>
        </w:rPr>
      </w:pPr>
      <w:r w:rsidRPr="007938E2">
        <w:t xml:space="preserve">The safety of </w:t>
      </w:r>
      <w:proofErr w:type="spellStart"/>
      <w:r w:rsidR="001C3857" w:rsidRPr="00D63B6C">
        <w:t>elbasvir</w:t>
      </w:r>
      <w:proofErr w:type="spellEnd"/>
      <w:r w:rsidR="001C3857" w:rsidRPr="00D63B6C">
        <w:t xml:space="preserve"> </w:t>
      </w:r>
      <w:r w:rsidR="001C3857">
        <w:t xml:space="preserve">and </w:t>
      </w:r>
      <w:proofErr w:type="spellStart"/>
      <w:r>
        <w:rPr>
          <w:bCs/>
          <w:color w:val="000000"/>
        </w:rPr>
        <w:t>grazoprevir</w:t>
      </w:r>
      <w:proofErr w:type="spellEnd"/>
      <w:r>
        <w:rPr>
          <w:bCs/>
          <w:color w:val="000000"/>
        </w:rPr>
        <w:t xml:space="preserve"> </w:t>
      </w:r>
      <w:r w:rsidRPr="007938E2">
        <w:t>in comparison to placebo in subjects with advanced chronic kidney disease (severe renal impairment or ESRD, including patients on dialysis) a</w:t>
      </w:r>
      <w:r>
        <w:t xml:space="preserve">nd </w:t>
      </w:r>
      <w:r w:rsidRPr="00C35766">
        <w:t xml:space="preserve">genotype 1 chronic hepatitis C infection with compensated liver disease (with or without cirrhosis) </w:t>
      </w:r>
      <w:r>
        <w:t>was assessed in 235 subjects (C-SURFER)</w:t>
      </w:r>
      <w:r w:rsidRPr="006100E6">
        <w:t>.</w:t>
      </w:r>
      <w:r w:rsidRPr="00C35766">
        <w:rPr>
          <w:color w:val="000000"/>
        </w:rPr>
        <w:t xml:space="preserve"> </w:t>
      </w:r>
      <w:r>
        <w:rPr>
          <w:color w:val="000000"/>
        </w:rPr>
        <w:t xml:space="preserve">The </w:t>
      </w:r>
      <w:r>
        <w:t xml:space="preserve">adverse reactions occurring at ≥5% frequency in subjects treated with </w:t>
      </w:r>
      <w:r w:rsidR="000D7FE6">
        <w:t>ZEPATIER</w:t>
      </w:r>
      <w:r>
        <w:t xml:space="preserve"> for 12 weeks are presented in </w:t>
      </w:r>
      <w:r w:rsidR="008B30DE">
        <w:fldChar w:fldCharType="begin"/>
      </w:r>
      <w:r w:rsidR="008B30DE">
        <w:instrText xml:space="preserve"> REF _Ref423010661 \h </w:instrText>
      </w:r>
      <w:r w:rsidR="008B30DE">
        <w:fldChar w:fldCharType="separate"/>
      </w:r>
      <w:r w:rsidR="008B30DE" w:rsidRPr="00A8461E">
        <w:t xml:space="preserve">Table </w:t>
      </w:r>
      <w:r w:rsidR="003704C6">
        <w:t>13</w:t>
      </w:r>
      <w:r w:rsidR="008B30DE">
        <w:fldChar w:fldCharType="end"/>
      </w:r>
      <w:r>
        <w:t>.</w:t>
      </w:r>
      <w:r w:rsidRPr="006100E6">
        <w:rPr>
          <w:color w:val="000000"/>
        </w:rPr>
        <w:t xml:space="preserve"> The majority of the adverse re</w:t>
      </w:r>
      <w:r>
        <w:rPr>
          <w:color w:val="000000"/>
        </w:rPr>
        <w:t xml:space="preserve">actions were mild in severity. </w:t>
      </w:r>
      <w:r w:rsidRPr="00C35766">
        <w:rPr>
          <w:color w:val="000000"/>
        </w:rPr>
        <w:t xml:space="preserve">The proportion of subjects treated with </w:t>
      </w:r>
      <w:r w:rsidR="000D7FE6">
        <w:rPr>
          <w:color w:val="000000"/>
        </w:rPr>
        <w:t>ZEPATIER</w:t>
      </w:r>
      <w:r w:rsidRPr="00C35766">
        <w:rPr>
          <w:color w:val="000000"/>
        </w:rPr>
        <w:t xml:space="preserve"> or placebo with </w:t>
      </w:r>
      <w:r>
        <w:rPr>
          <w:color w:val="000000"/>
        </w:rPr>
        <w:t>serious adverse reactions</w:t>
      </w:r>
      <w:r w:rsidRPr="00C35766">
        <w:rPr>
          <w:color w:val="000000"/>
        </w:rPr>
        <w:t xml:space="preserve"> was </w:t>
      </w:r>
      <w:r>
        <w:rPr>
          <w:color w:val="000000"/>
        </w:rPr>
        <w:t>0</w:t>
      </w:r>
      <w:r w:rsidRPr="00C35766">
        <w:rPr>
          <w:color w:val="000000"/>
        </w:rPr>
        <w:t xml:space="preserve">% and </w:t>
      </w:r>
      <w:r>
        <w:rPr>
          <w:color w:val="000000"/>
        </w:rPr>
        <w:t>&lt;1</w:t>
      </w:r>
      <w:r w:rsidRPr="00C35766">
        <w:rPr>
          <w:color w:val="000000"/>
        </w:rPr>
        <w:t xml:space="preserve">%, respectively, and </w:t>
      </w:r>
      <w:r>
        <w:rPr>
          <w:color w:val="000000"/>
        </w:rPr>
        <w:t>0</w:t>
      </w:r>
      <w:r w:rsidRPr="00C35766">
        <w:rPr>
          <w:color w:val="000000"/>
        </w:rPr>
        <w:t xml:space="preserve">% and </w:t>
      </w:r>
      <w:r>
        <w:rPr>
          <w:color w:val="000000"/>
        </w:rPr>
        <w:t>3</w:t>
      </w:r>
      <w:r w:rsidRPr="00C35766">
        <w:rPr>
          <w:color w:val="000000"/>
        </w:rPr>
        <w:t xml:space="preserve">% of subjects permanently discontinued treatment due to adverse </w:t>
      </w:r>
      <w:r>
        <w:rPr>
          <w:color w:val="000000"/>
        </w:rPr>
        <w:t xml:space="preserve">reactions </w:t>
      </w:r>
      <w:r w:rsidRPr="00C35766">
        <w:rPr>
          <w:color w:val="000000"/>
        </w:rPr>
        <w:t>in each treatment arm</w:t>
      </w:r>
      <w:r>
        <w:rPr>
          <w:color w:val="000000"/>
        </w:rPr>
        <w:t xml:space="preserve">. </w:t>
      </w:r>
    </w:p>
    <w:p w:rsidR="002173FB" w:rsidRDefault="002173FB" w:rsidP="00F42F76">
      <w:pPr>
        <w:pStyle w:val="BodyText1"/>
        <w:spacing w:before="0"/>
        <w:ind w:firstLine="0"/>
        <w:jc w:val="both"/>
        <w:rPr>
          <w:rFonts w:ascii="Arial" w:hAnsi="Arial"/>
          <w:color w:val="000000"/>
          <w:sz w:val="20"/>
          <w:szCs w:val="20"/>
        </w:rPr>
      </w:pPr>
    </w:p>
    <w:p w:rsidR="002173FB" w:rsidRPr="00A8461E" w:rsidRDefault="00A8461E" w:rsidP="00A8461E">
      <w:pPr>
        <w:pStyle w:val="Caption"/>
        <w:keepNext/>
        <w:jc w:val="center"/>
        <w:rPr>
          <w:szCs w:val="18"/>
        </w:rPr>
      </w:pPr>
      <w:bookmarkStart w:id="11" w:name="_Ref423010661"/>
      <w:r w:rsidRPr="00A8461E">
        <w:t xml:space="preserve">Table </w:t>
      </w:r>
      <w:r w:rsidR="003704C6">
        <w:t>13</w:t>
      </w:r>
      <w:bookmarkEnd w:id="11"/>
      <w:r w:rsidR="002173FB" w:rsidRPr="00A8461E">
        <w:rPr>
          <w:szCs w:val="18"/>
        </w:rPr>
        <w:t xml:space="preserve">: Adverse Reactions Occurring at ≥5% Frequency in Subjects with Advanced Chronic Kidney Disease and Chronic Hepatitis C Infection Treated with </w:t>
      </w:r>
      <w:r w:rsidR="000D7FE6">
        <w:rPr>
          <w:szCs w:val="18"/>
        </w:rPr>
        <w:t>ZEPATIER</w:t>
      </w:r>
      <w:r w:rsidR="002173FB" w:rsidRPr="00A8461E">
        <w:rPr>
          <w:szCs w:val="18"/>
        </w:rPr>
        <w:t xml:space="preserve"> in C-SURFER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3409"/>
        <w:gridCol w:w="3330"/>
      </w:tblGrid>
      <w:tr w:rsidR="002173FB" w:rsidRPr="002F2A20" w:rsidTr="00A8461E">
        <w:trPr>
          <w:jc w:val="center"/>
        </w:trPr>
        <w:tc>
          <w:tcPr>
            <w:tcW w:w="2819" w:type="dxa"/>
            <w:tcBorders>
              <w:bottom w:val="single" w:sz="4" w:space="0" w:color="auto"/>
            </w:tcBorders>
            <w:shd w:val="clear" w:color="auto" w:fill="auto"/>
          </w:tcPr>
          <w:p w:rsidR="002173FB" w:rsidRPr="0051217A" w:rsidRDefault="002173FB" w:rsidP="00812C6B">
            <w:pPr>
              <w:pStyle w:val="BodyText1"/>
              <w:spacing w:before="0"/>
              <w:ind w:firstLine="0"/>
              <w:jc w:val="both"/>
              <w:rPr>
                <w:rFonts w:ascii="Arial" w:hAnsi="Arial"/>
                <w:sz w:val="20"/>
                <w:szCs w:val="20"/>
              </w:rPr>
            </w:pPr>
          </w:p>
        </w:tc>
        <w:tc>
          <w:tcPr>
            <w:tcW w:w="3409" w:type="dxa"/>
            <w:tcBorders>
              <w:bottom w:val="single" w:sz="4" w:space="0" w:color="auto"/>
            </w:tcBorders>
            <w:shd w:val="clear" w:color="auto" w:fill="auto"/>
          </w:tcPr>
          <w:p w:rsidR="002173FB" w:rsidRPr="0051217A" w:rsidRDefault="000D7FE6" w:rsidP="00812C6B">
            <w:pPr>
              <w:pStyle w:val="BodyText1"/>
              <w:spacing w:before="0"/>
              <w:ind w:firstLine="0"/>
              <w:jc w:val="center"/>
              <w:rPr>
                <w:rFonts w:ascii="Arial" w:hAnsi="Arial"/>
                <w:b/>
                <w:sz w:val="20"/>
                <w:szCs w:val="20"/>
              </w:rPr>
            </w:pPr>
            <w:r>
              <w:rPr>
                <w:rFonts w:ascii="Arial" w:hAnsi="Arial"/>
                <w:b/>
                <w:sz w:val="20"/>
                <w:szCs w:val="20"/>
              </w:rPr>
              <w:t>ZEPATIER</w:t>
            </w:r>
          </w:p>
          <w:p w:rsidR="002173FB" w:rsidRPr="0051217A" w:rsidRDefault="002173FB" w:rsidP="00812C6B">
            <w:pPr>
              <w:pStyle w:val="BodyText1"/>
              <w:spacing w:before="0"/>
              <w:ind w:firstLine="0"/>
              <w:jc w:val="center"/>
              <w:rPr>
                <w:rFonts w:ascii="Arial" w:hAnsi="Arial"/>
                <w:b/>
                <w:sz w:val="20"/>
                <w:szCs w:val="20"/>
              </w:rPr>
            </w:pPr>
            <w:r w:rsidRPr="0051217A">
              <w:rPr>
                <w:rFonts w:ascii="Arial" w:hAnsi="Arial"/>
                <w:b/>
                <w:sz w:val="20"/>
                <w:szCs w:val="20"/>
              </w:rPr>
              <w:t>N=122</w:t>
            </w:r>
          </w:p>
          <w:p w:rsidR="002173FB" w:rsidRPr="0051217A" w:rsidRDefault="002173FB" w:rsidP="00812C6B">
            <w:pPr>
              <w:pStyle w:val="BodyText1"/>
              <w:spacing w:before="0"/>
              <w:ind w:firstLine="0"/>
              <w:jc w:val="center"/>
              <w:rPr>
                <w:rFonts w:ascii="Arial" w:hAnsi="Arial"/>
                <w:b/>
                <w:sz w:val="20"/>
                <w:szCs w:val="20"/>
              </w:rPr>
            </w:pPr>
            <w:r w:rsidRPr="0051217A">
              <w:rPr>
                <w:rFonts w:ascii="Arial" w:hAnsi="Arial"/>
                <w:b/>
                <w:sz w:val="20"/>
                <w:szCs w:val="20"/>
              </w:rPr>
              <w:t>% (n)</w:t>
            </w:r>
          </w:p>
          <w:p w:rsidR="002173FB" w:rsidRPr="00861009" w:rsidRDefault="002173FB" w:rsidP="00812C6B">
            <w:pPr>
              <w:pStyle w:val="BodyText1"/>
              <w:spacing w:before="0"/>
              <w:ind w:firstLine="0"/>
              <w:jc w:val="center"/>
              <w:rPr>
                <w:rFonts w:ascii="Arial" w:hAnsi="Arial"/>
                <w:b/>
                <w:sz w:val="20"/>
                <w:szCs w:val="20"/>
              </w:rPr>
            </w:pPr>
            <w:r w:rsidRPr="00861009">
              <w:rPr>
                <w:rFonts w:ascii="Arial" w:hAnsi="Arial"/>
                <w:b/>
                <w:sz w:val="20"/>
                <w:szCs w:val="20"/>
              </w:rPr>
              <w:t>12 weeks</w:t>
            </w:r>
          </w:p>
        </w:tc>
        <w:tc>
          <w:tcPr>
            <w:tcW w:w="3330" w:type="dxa"/>
            <w:tcBorders>
              <w:bottom w:val="single" w:sz="4" w:space="0" w:color="auto"/>
            </w:tcBorders>
            <w:shd w:val="clear" w:color="auto" w:fill="auto"/>
          </w:tcPr>
          <w:p w:rsidR="002173FB" w:rsidRPr="000536F1" w:rsidRDefault="002173FB" w:rsidP="00812C6B">
            <w:pPr>
              <w:pStyle w:val="BodyText1"/>
              <w:spacing w:before="0"/>
              <w:ind w:firstLine="0"/>
              <w:jc w:val="center"/>
              <w:rPr>
                <w:rFonts w:ascii="Arial" w:hAnsi="Arial"/>
                <w:b/>
                <w:sz w:val="20"/>
                <w:szCs w:val="20"/>
              </w:rPr>
            </w:pPr>
            <w:r w:rsidRPr="000536F1">
              <w:rPr>
                <w:rFonts w:ascii="Arial" w:hAnsi="Arial"/>
                <w:b/>
                <w:sz w:val="20"/>
                <w:szCs w:val="20"/>
              </w:rPr>
              <w:t>Placebo</w:t>
            </w:r>
          </w:p>
          <w:p w:rsidR="002173FB" w:rsidRPr="0025757F" w:rsidRDefault="002173FB" w:rsidP="00812C6B">
            <w:pPr>
              <w:pStyle w:val="BodyText1"/>
              <w:spacing w:before="0"/>
              <w:ind w:firstLine="0"/>
              <w:jc w:val="center"/>
              <w:rPr>
                <w:rFonts w:ascii="Arial" w:hAnsi="Arial"/>
                <w:b/>
                <w:sz w:val="20"/>
                <w:szCs w:val="20"/>
              </w:rPr>
            </w:pPr>
            <w:r w:rsidRPr="008F4EBB">
              <w:rPr>
                <w:rFonts w:ascii="Arial" w:hAnsi="Arial"/>
                <w:b/>
                <w:sz w:val="20"/>
                <w:szCs w:val="20"/>
              </w:rPr>
              <w:t>N=</w:t>
            </w:r>
            <w:r w:rsidRPr="0025757F">
              <w:rPr>
                <w:rFonts w:ascii="Arial" w:hAnsi="Arial"/>
                <w:b/>
                <w:sz w:val="20"/>
                <w:szCs w:val="20"/>
              </w:rPr>
              <w:t>113</w:t>
            </w:r>
          </w:p>
          <w:p w:rsidR="002173FB" w:rsidRPr="00933D3C" w:rsidRDefault="002173FB" w:rsidP="00812C6B">
            <w:pPr>
              <w:pStyle w:val="BodyText1"/>
              <w:spacing w:before="0"/>
              <w:ind w:firstLine="0"/>
              <w:jc w:val="center"/>
              <w:rPr>
                <w:rFonts w:ascii="Arial" w:hAnsi="Arial"/>
                <w:b/>
                <w:sz w:val="20"/>
                <w:szCs w:val="20"/>
              </w:rPr>
            </w:pPr>
            <w:r w:rsidRPr="00933D3C">
              <w:rPr>
                <w:rFonts w:ascii="Arial" w:hAnsi="Arial"/>
                <w:b/>
                <w:sz w:val="20"/>
                <w:szCs w:val="20"/>
              </w:rPr>
              <w:t>% (n)</w:t>
            </w:r>
          </w:p>
          <w:p w:rsidR="002173FB" w:rsidRPr="0051217A" w:rsidRDefault="002173FB" w:rsidP="00812C6B">
            <w:pPr>
              <w:pStyle w:val="BodyText1"/>
              <w:spacing w:before="0"/>
              <w:ind w:firstLine="0"/>
              <w:jc w:val="center"/>
              <w:rPr>
                <w:rFonts w:ascii="Arial" w:hAnsi="Arial"/>
                <w:b/>
                <w:sz w:val="20"/>
                <w:szCs w:val="20"/>
              </w:rPr>
            </w:pPr>
            <w:r w:rsidRPr="0051217A">
              <w:rPr>
                <w:rFonts w:ascii="Arial" w:hAnsi="Arial"/>
                <w:b/>
                <w:sz w:val="20"/>
                <w:szCs w:val="20"/>
              </w:rPr>
              <w:t>12 weeks</w:t>
            </w:r>
          </w:p>
        </w:tc>
      </w:tr>
      <w:tr w:rsidR="002173FB" w:rsidRPr="002F2A20" w:rsidTr="00A8461E">
        <w:trPr>
          <w:jc w:val="center"/>
        </w:trPr>
        <w:tc>
          <w:tcPr>
            <w:tcW w:w="9558" w:type="dxa"/>
            <w:gridSpan w:val="3"/>
            <w:shd w:val="pct5" w:color="auto" w:fill="auto"/>
          </w:tcPr>
          <w:p w:rsidR="002173FB" w:rsidRPr="005604E6" w:rsidRDefault="002173FB" w:rsidP="00812C6B">
            <w:pPr>
              <w:pStyle w:val="BodyText1"/>
              <w:spacing w:before="0"/>
              <w:ind w:firstLine="0"/>
              <w:rPr>
                <w:rFonts w:ascii="Arial" w:hAnsi="Arial"/>
                <w:b/>
                <w:sz w:val="20"/>
                <w:szCs w:val="20"/>
              </w:rPr>
            </w:pPr>
            <w:r w:rsidRPr="005604E6">
              <w:rPr>
                <w:rFonts w:ascii="Arial" w:hAnsi="Arial"/>
                <w:b/>
                <w:sz w:val="20"/>
                <w:szCs w:val="20"/>
              </w:rPr>
              <w:t>Nervous system disorders</w:t>
            </w:r>
          </w:p>
        </w:tc>
      </w:tr>
      <w:tr w:rsidR="002173FB" w:rsidRPr="002F2A20" w:rsidTr="00A8461E">
        <w:trPr>
          <w:jc w:val="center"/>
        </w:trPr>
        <w:tc>
          <w:tcPr>
            <w:tcW w:w="2819" w:type="dxa"/>
            <w:tcBorders>
              <w:bottom w:val="single" w:sz="4" w:space="0" w:color="auto"/>
            </w:tcBorders>
            <w:shd w:val="clear" w:color="auto" w:fill="auto"/>
          </w:tcPr>
          <w:p w:rsidR="002173FB" w:rsidRPr="0051217A" w:rsidRDefault="002173FB" w:rsidP="00812C6B">
            <w:pPr>
              <w:pStyle w:val="BodyText1"/>
              <w:tabs>
                <w:tab w:val="center" w:pos="1488"/>
              </w:tabs>
              <w:spacing w:before="0"/>
              <w:ind w:firstLine="0"/>
              <w:jc w:val="both"/>
              <w:rPr>
                <w:rFonts w:ascii="Arial" w:hAnsi="Arial"/>
                <w:sz w:val="20"/>
                <w:szCs w:val="20"/>
              </w:rPr>
            </w:pPr>
            <w:r>
              <w:rPr>
                <w:rFonts w:ascii="Arial" w:hAnsi="Arial"/>
                <w:sz w:val="20"/>
                <w:szCs w:val="20"/>
              </w:rPr>
              <w:t xml:space="preserve">   </w:t>
            </w:r>
            <w:r w:rsidRPr="0051217A">
              <w:rPr>
                <w:rFonts w:ascii="Arial" w:hAnsi="Arial"/>
                <w:sz w:val="20"/>
                <w:szCs w:val="20"/>
              </w:rPr>
              <w:t>Headache</w:t>
            </w:r>
          </w:p>
        </w:tc>
        <w:tc>
          <w:tcPr>
            <w:tcW w:w="3409" w:type="dxa"/>
            <w:tcBorders>
              <w:bottom w:val="single" w:sz="4" w:space="0" w:color="auto"/>
            </w:tcBorders>
            <w:shd w:val="clear" w:color="auto" w:fill="auto"/>
          </w:tcPr>
          <w:p w:rsidR="002173FB" w:rsidRPr="000536F1" w:rsidRDefault="002173FB" w:rsidP="00812C6B">
            <w:pPr>
              <w:pStyle w:val="BodyText1"/>
              <w:spacing w:before="0"/>
              <w:ind w:firstLine="0"/>
              <w:jc w:val="center"/>
              <w:rPr>
                <w:rFonts w:ascii="Arial" w:hAnsi="Arial"/>
                <w:sz w:val="20"/>
                <w:szCs w:val="20"/>
              </w:rPr>
            </w:pPr>
            <w:r w:rsidRPr="00861009">
              <w:rPr>
                <w:rFonts w:ascii="Arial" w:hAnsi="Arial"/>
                <w:sz w:val="20"/>
                <w:szCs w:val="20"/>
              </w:rPr>
              <w:t>11% (14)</w:t>
            </w:r>
          </w:p>
        </w:tc>
        <w:tc>
          <w:tcPr>
            <w:tcW w:w="3330" w:type="dxa"/>
            <w:tcBorders>
              <w:bottom w:val="single" w:sz="4" w:space="0" w:color="auto"/>
            </w:tcBorders>
            <w:shd w:val="clear" w:color="auto" w:fill="auto"/>
          </w:tcPr>
          <w:p w:rsidR="002173FB" w:rsidRPr="0051217A" w:rsidRDefault="002173FB" w:rsidP="00812C6B">
            <w:pPr>
              <w:pStyle w:val="BodyText1"/>
              <w:spacing w:before="0"/>
              <w:ind w:firstLine="0"/>
              <w:jc w:val="center"/>
              <w:rPr>
                <w:rFonts w:ascii="Arial" w:hAnsi="Arial"/>
                <w:sz w:val="20"/>
                <w:szCs w:val="20"/>
              </w:rPr>
            </w:pPr>
            <w:r w:rsidRPr="0051217A">
              <w:rPr>
                <w:rFonts w:ascii="Arial" w:hAnsi="Arial"/>
                <w:sz w:val="20"/>
                <w:szCs w:val="20"/>
              </w:rPr>
              <w:t>5% (6)</w:t>
            </w:r>
          </w:p>
        </w:tc>
      </w:tr>
      <w:tr w:rsidR="002173FB" w:rsidRPr="0051217A" w:rsidTr="00A8461E">
        <w:trPr>
          <w:jc w:val="center"/>
        </w:trPr>
        <w:tc>
          <w:tcPr>
            <w:tcW w:w="9558" w:type="dxa"/>
            <w:gridSpan w:val="3"/>
            <w:shd w:val="pct5" w:color="auto" w:fill="auto"/>
          </w:tcPr>
          <w:p w:rsidR="002173FB" w:rsidRPr="005604E6" w:rsidRDefault="002173FB" w:rsidP="00812C6B">
            <w:pPr>
              <w:pStyle w:val="BodyText1"/>
              <w:spacing w:before="0"/>
              <w:ind w:firstLine="0"/>
              <w:rPr>
                <w:rFonts w:ascii="Arial" w:hAnsi="Arial"/>
                <w:b/>
                <w:sz w:val="20"/>
                <w:szCs w:val="20"/>
              </w:rPr>
            </w:pPr>
            <w:r w:rsidRPr="005604E6">
              <w:rPr>
                <w:rFonts w:ascii="Arial" w:hAnsi="Arial"/>
                <w:b/>
                <w:sz w:val="20"/>
                <w:szCs w:val="20"/>
              </w:rPr>
              <w:t>Gastrointestinal disorders</w:t>
            </w:r>
          </w:p>
        </w:tc>
      </w:tr>
      <w:tr w:rsidR="002173FB" w:rsidRPr="0051217A" w:rsidTr="00A8461E">
        <w:trPr>
          <w:jc w:val="center"/>
        </w:trPr>
        <w:tc>
          <w:tcPr>
            <w:tcW w:w="2819" w:type="dxa"/>
            <w:shd w:val="clear" w:color="auto" w:fill="auto"/>
          </w:tcPr>
          <w:p w:rsidR="002173FB" w:rsidRPr="0051217A" w:rsidRDefault="002173FB" w:rsidP="00812C6B">
            <w:pPr>
              <w:pStyle w:val="BodyText1"/>
              <w:tabs>
                <w:tab w:val="center" w:pos="1488"/>
              </w:tabs>
              <w:spacing w:before="0"/>
              <w:ind w:firstLine="0"/>
              <w:jc w:val="both"/>
              <w:rPr>
                <w:rFonts w:ascii="Arial" w:hAnsi="Arial"/>
                <w:sz w:val="20"/>
                <w:szCs w:val="20"/>
              </w:rPr>
            </w:pPr>
            <w:r>
              <w:rPr>
                <w:rFonts w:ascii="Arial" w:hAnsi="Arial"/>
                <w:sz w:val="20"/>
                <w:szCs w:val="20"/>
              </w:rPr>
              <w:t xml:space="preserve">   </w:t>
            </w:r>
            <w:r w:rsidRPr="0051217A">
              <w:rPr>
                <w:rFonts w:ascii="Arial" w:hAnsi="Arial"/>
                <w:sz w:val="20"/>
                <w:szCs w:val="20"/>
              </w:rPr>
              <w:t>Nausea</w:t>
            </w:r>
            <w:r w:rsidRPr="0051217A">
              <w:rPr>
                <w:rFonts w:ascii="Arial" w:hAnsi="Arial"/>
                <w:sz w:val="20"/>
                <w:szCs w:val="20"/>
              </w:rPr>
              <w:tab/>
            </w:r>
          </w:p>
        </w:tc>
        <w:tc>
          <w:tcPr>
            <w:tcW w:w="3409" w:type="dxa"/>
            <w:shd w:val="clear" w:color="auto" w:fill="auto"/>
          </w:tcPr>
          <w:p w:rsidR="002173FB" w:rsidRPr="0051217A" w:rsidRDefault="002173FB" w:rsidP="00812C6B">
            <w:pPr>
              <w:pStyle w:val="BodyText1"/>
              <w:spacing w:before="0"/>
              <w:ind w:firstLine="0"/>
              <w:jc w:val="center"/>
              <w:rPr>
                <w:rFonts w:ascii="Arial" w:hAnsi="Arial"/>
                <w:sz w:val="20"/>
                <w:szCs w:val="20"/>
              </w:rPr>
            </w:pPr>
            <w:r w:rsidRPr="0051217A">
              <w:rPr>
                <w:rFonts w:ascii="Arial" w:hAnsi="Arial"/>
                <w:sz w:val="20"/>
                <w:szCs w:val="20"/>
              </w:rPr>
              <w:t>11% (14)</w:t>
            </w:r>
          </w:p>
        </w:tc>
        <w:tc>
          <w:tcPr>
            <w:tcW w:w="3330" w:type="dxa"/>
            <w:shd w:val="clear" w:color="auto" w:fill="auto"/>
          </w:tcPr>
          <w:p w:rsidR="002173FB" w:rsidRPr="0051217A" w:rsidRDefault="002173FB" w:rsidP="00812C6B">
            <w:pPr>
              <w:pStyle w:val="BodyText1"/>
              <w:spacing w:before="0"/>
              <w:ind w:firstLine="0"/>
              <w:jc w:val="center"/>
              <w:rPr>
                <w:rFonts w:ascii="Arial" w:hAnsi="Arial"/>
                <w:sz w:val="20"/>
                <w:szCs w:val="20"/>
              </w:rPr>
            </w:pPr>
            <w:r w:rsidRPr="0051217A">
              <w:rPr>
                <w:rFonts w:ascii="Arial" w:hAnsi="Arial"/>
                <w:sz w:val="20"/>
                <w:szCs w:val="20"/>
              </w:rPr>
              <w:t>8% (9)</w:t>
            </w:r>
          </w:p>
        </w:tc>
      </w:tr>
      <w:tr w:rsidR="002173FB" w:rsidRPr="0051217A" w:rsidTr="00A8461E">
        <w:trPr>
          <w:jc w:val="center"/>
        </w:trPr>
        <w:tc>
          <w:tcPr>
            <w:tcW w:w="9558" w:type="dxa"/>
            <w:gridSpan w:val="3"/>
            <w:shd w:val="pct5" w:color="auto" w:fill="auto"/>
          </w:tcPr>
          <w:p w:rsidR="002173FB" w:rsidRPr="005604E6" w:rsidRDefault="002173FB" w:rsidP="00812C6B">
            <w:pPr>
              <w:pStyle w:val="BodyText1"/>
              <w:spacing w:before="0"/>
              <w:ind w:firstLine="0"/>
              <w:rPr>
                <w:rFonts w:ascii="Arial" w:hAnsi="Arial"/>
                <w:b/>
                <w:sz w:val="20"/>
                <w:szCs w:val="20"/>
              </w:rPr>
            </w:pPr>
            <w:r w:rsidRPr="005604E6">
              <w:rPr>
                <w:rFonts w:ascii="Arial" w:hAnsi="Arial"/>
                <w:b/>
                <w:sz w:val="20"/>
                <w:szCs w:val="20"/>
              </w:rPr>
              <w:t>General disorders and administration site conditions</w:t>
            </w:r>
          </w:p>
        </w:tc>
      </w:tr>
      <w:tr w:rsidR="002173FB" w:rsidRPr="0051217A" w:rsidTr="00A8461E">
        <w:trPr>
          <w:jc w:val="center"/>
        </w:trPr>
        <w:tc>
          <w:tcPr>
            <w:tcW w:w="2819" w:type="dxa"/>
            <w:shd w:val="clear" w:color="auto" w:fill="auto"/>
          </w:tcPr>
          <w:p w:rsidR="002173FB" w:rsidRPr="0051217A" w:rsidRDefault="002173FB" w:rsidP="00812C6B">
            <w:pPr>
              <w:pStyle w:val="BodyText1"/>
              <w:tabs>
                <w:tab w:val="center" w:pos="1488"/>
              </w:tabs>
              <w:spacing w:before="0"/>
              <w:ind w:firstLine="0"/>
              <w:jc w:val="both"/>
              <w:rPr>
                <w:rFonts w:ascii="Arial" w:hAnsi="Arial"/>
                <w:sz w:val="20"/>
                <w:szCs w:val="20"/>
              </w:rPr>
            </w:pPr>
            <w:r>
              <w:rPr>
                <w:rFonts w:ascii="Arial" w:hAnsi="Arial"/>
                <w:sz w:val="20"/>
                <w:szCs w:val="20"/>
              </w:rPr>
              <w:t xml:space="preserve">   </w:t>
            </w:r>
            <w:r w:rsidRPr="0051217A">
              <w:rPr>
                <w:rFonts w:ascii="Arial" w:hAnsi="Arial"/>
                <w:sz w:val="20"/>
                <w:szCs w:val="20"/>
              </w:rPr>
              <w:t>Fatigue</w:t>
            </w:r>
          </w:p>
        </w:tc>
        <w:tc>
          <w:tcPr>
            <w:tcW w:w="3409" w:type="dxa"/>
            <w:shd w:val="clear" w:color="auto" w:fill="auto"/>
          </w:tcPr>
          <w:p w:rsidR="002173FB" w:rsidRPr="0051217A" w:rsidRDefault="002173FB" w:rsidP="00812C6B">
            <w:pPr>
              <w:pStyle w:val="BodyText1"/>
              <w:spacing w:before="0"/>
              <w:ind w:firstLine="0"/>
              <w:jc w:val="center"/>
              <w:rPr>
                <w:rFonts w:ascii="Arial" w:hAnsi="Arial"/>
                <w:sz w:val="20"/>
                <w:szCs w:val="20"/>
              </w:rPr>
            </w:pPr>
            <w:r w:rsidRPr="0051217A">
              <w:rPr>
                <w:rFonts w:ascii="Arial" w:hAnsi="Arial"/>
                <w:sz w:val="20"/>
                <w:szCs w:val="20"/>
              </w:rPr>
              <w:t>5% (6)</w:t>
            </w:r>
          </w:p>
        </w:tc>
        <w:tc>
          <w:tcPr>
            <w:tcW w:w="3330" w:type="dxa"/>
            <w:shd w:val="clear" w:color="auto" w:fill="auto"/>
          </w:tcPr>
          <w:p w:rsidR="002173FB" w:rsidRPr="0051217A" w:rsidRDefault="002173FB" w:rsidP="00812C6B">
            <w:pPr>
              <w:pStyle w:val="BodyText1"/>
              <w:spacing w:before="0"/>
              <w:ind w:firstLine="0"/>
              <w:jc w:val="center"/>
              <w:rPr>
                <w:rFonts w:ascii="Arial" w:hAnsi="Arial"/>
                <w:sz w:val="20"/>
                <w:szCs w:val="20"/>
              </w:rPr>
            </w:pPr>
            <w:r w:rsidRPr="0051217A">
              <w:rPr>
                <w:rFonts w:ascii="Arial" w:hAnsi="Arial"/>
                <w:sz w:val="20"/>
                <w:szCs w:val="20"/>
              </w:rPr>
              <w:t>8% (9)</w:t>
            </w:r>
          </w:p>
        </w:tc>
      </w:tr>
    </w:tbl>
    <w:p w:rsidR="002173FB" w:rsidRDefault="002173FB" w:rsidP="00F42F76">
      <w:pPr>
        <w:autoSpaceDE w:val="0"/>
        <w:autoSpaceDN w:val="0"/>
        <w:adjustRightInd w:val="0"/>
        <w:rPr>
          <w:u w:val="single"/>
        </w:rPr>
      </w:pPr>
    </w:p>
    <w:p w:rsidR="002173FB" w:rsidRPr="00363143" w:rsidRDefault="002173FB" w:rsidP="00F42F76">
      <w:pPr>
        <w:pStyle w:val="Heading3"/>
      </w:pPr>
      <w:r w:rsidRPr="00363143">
        <w:t xml:space="preserve">Adverse Reactions in Subjects Receiving </w:t>
      </w:r>
      <w:r w:rsidR="000D7FE6">
        <w:t>ZEPATIER</w:t>
      </w:r>
      <w:r w:rsidRPr="00363143">
        <w:t xml:space="preserve"> with </w:t>
      </w:r>
      <w:proofErr w:type="spellStart"/>
      <w:r w:rsidRPr="00363143">
        <w:t>Sofosbuvir</w:t>
      </w:r>
      <w:proofErr w:type="spellEnd"/>
    </w:p>
    <w:p w:rsidR="0071229A" w:rsidRDefault="002173FB" w:rsidP="00DC68C3">
      <w:r w:rsidRPr="00E11AD3">
        <w:t xml:space="preserve">The safety of </w:t>
      </w:r>
      <w:r w:rsidR="000D7FE6">
        <w:t>ZEPATIER</w:t>
      </w:r>
      <w:r w:rsidRPr="00E11AD3">
        <w:t xml:space="preserve"> with </w:t>
      </w:r>
      <w:proofErr w:type="spellStart"/>
      <w:r w:rsidRPr="00E11AD3">
        <w:t>sofosbuvir</w:t>
      </w:r>
      <w:proofErr w:type="spellEnd"/>
      <w:r w:rsidRPr="00E11AD3">
        <w:t xml:space="preserve"> in treatment-naïve subjects with chronic hepatitis C infection </w:t>
      </w:r>
      <w:r w:rsidRPr="00E11AD3">
        <w:rPr>
          <w:color w:val="000000"/>
        </w:rPr>
        <w:t>was assessed in 143 subjects (C-SWIFT)</w:t>
      </w:r>
      <w:r w:rsidRPr="00E11AD3">
        <w:t xml:space="preserve">. </w:t>
      </w:r>
      <w:r w:rsidRPr="00E11AD3">
        <w:rPr>
          <w:color w:val="000000"/>
        </w:rPr>
        <w:t xml:space="preserve">No adverse reactions were reported at a </w:t>
      </w:r>
      <w:r w:rsidRPr="00E11AD3">
        <w:rPr>
          <w:color w:val="000000"/>
        </w:rPr>
        <w:lastRenderedPageBreak/>
        <w:t xml:space="preserve">greater than 5% frequency. The most commonly reported adverse reactions ≥2% of subjects </w:t>
      </w:r>
      <w:proofErr w:type="gramStart"/>
      <w:r w:rsidRPr="00E11AD3">
        <w:rPr>
          <w:color w:val="000000"/>
        </w:rPr>
        <w:t>were</w:t>
      </w:r>
      <w:proofErr w:type="gramEnd"/>
      <w:r w:rsidRPr="00E11AD3">
        <w:rPr>
          <w:color w:val="000000"/>
        </w:rPr>
        <w:t xml:space="preserve"> nausea (2%) and headache (3%). No subjects treated with </w:t>
      </w:r>
      <w:r w:rsidR="000D7FE6">
        <w:rPr>
          <w:color w:val="000000"/>
        </w:rPr>
        <w:t>ZEPATIER</w:t>
      </w:r>
      <w:r w:rsidRPr="00E11AD3">
        <w:rPr>
          <w:color w:val="000000"/>
        </w:rPr>
        <w:t xml:space="preserve"> with </w:t>
      </w:r>
      <w:proofErr w:type="spellStart"/>
      <w:r w:rsidRPr="00E11AD3">
        <w:rPr>
          <w:color w:val="000000"/>
        </w:rPr>
        <w:t>sofosbuvir</w:t>
      </w:r>
      <w:proofErr w:type="spellEnd"/>
      <w:r w:rsidRPr="00E11AD3">
        <w:rPr>
          <w:color w:val="000000"/>
        </w:rPr>
        <w:t xml:space="preserve"> had serious adverse reactions and no subjects permanently discontinued treatment due to adverse reactions.</w:t>
      </w:r>
      <w:r w:rsidRPr="00BF4228">
        <w:rPr>
          <w:color w:val="000000"/>
        </w:rPr>
        <w:t xml:space="preserve"> </w:t>
      </w:r>
    </w:p>
    <w:p w:rsidR="00F54044" w:rsidRDefault="00F54044">
      <w:pPr>
        <w:spacing w:before="0" w:after="0"/>
        <w:rPr>
          <w:b/>
          <w:caps/>
          <w:kern w:val="28"/>
          <w:sz w:val="24"/>
          <w:u w:val="single"/>
        </w:rPr>
      </w:pPr>
    </w:p>
    <w:p w:rsidR="00787CE0" w:rsidRDefault="00787CE0">
      <w:pPr>
        <w:spacing w:before="0" w:after="0"/>
        <w:rPr>
          <w:b/>
          <w:caps/>
          <w:kern w:val="28"/>
          <w:sz w:val="24"/>
          <w:u w:val="single"/>
        </w:rPr>
      </w:pPr>
      <w:r>
        <w:rPr>
          <w:b/>
          <w:caps/>
          <w:kern w:val="28"/>
          <w:sz w:val="24"/>
          <w:u w:val="single"/>
        </w:rPr>
        <w:br w:type="page"/>
      </w:r>
    </w:p>
    <w:p w:rsidR="00CC78DD" w:rsidRPr="000D6E58" w:rsidRDefault="00CC78DD" w:rsidP="000D6E58">
      <w:pPr>
        <w:spacing w:before="0" w:after="0"/>
        <w:rPr>
          <w:b/>
          <w:caps/>
          <w:kern w:val="28"/>
          <w:sz w:val="24"/>
          <w:u w:val="single"/>
        </w:rPr>
      </w:pPr>
      <w:r w:rsidRPr="000D6E58">
        <w:rPr>
          <w:b/>
          <w:caps/>
          <w:kern w:val="28"/>
          <w:sz w:val="24"/>
          <w:u w:val="single"/>
        </w:rPr>
        <w:lastRenderedPageBreak/>
        <w:t>DOSAGE AND ADMINISTRATION</w:t>
      </w:r>
    </w:p>
    <w:p w:rsidR="00140277" w:rsidRPr="00A56051" w:rsidRDefault="000D7FE6" w:rsidP="00A56051">
      <w:bookmarkStart w:id="12" w:name="_Toc266429299"/>
      <w:r>
        <w:t>ZEPATIER</w:t>
      </w:r>
      <w:r w:rsidR="00A56051" w:rsidRPr="00A56051">
        <w:t xml:space="preserve"> is a two-drug, fixed-dose combination product containing </w:t>
      </w:r>
      <w:r w:rsidR="00A24540" w:rsidRPr="00A56051">
        <w:t xml:space="preserve">50 mg of </w:t>
      </w:r>
      <w:proofErr w:type="spellStart"/>
      <w:r w:rsidR="00A24540" w:rsidRPr="00A56051">
        <w:t>elbasvir</w:t>
      </w:r>
      <w:proofErr w:type="spellEnd"/>
      <w:r w:rsidR="00A24540" w:rsidRPr="00A56051">
        <w:t xml:space="preserve"> </w:t>
      </w:r>
      <w:r w:rsidR="00A24540">
        <w:t xml:space="preserve">and </w:t>
      </w:r>
      <w:r w:rsidR="00A56051" w:rsidRPr="00A56051">
        <w:t xml:space="preserve">100 mg of </w:t>
      </w:r>
      <w:proofErr w:type="spellStart"/>
      <w:r w:rsidR="00A56051" w:rsidRPr="00A56051">
        <w:t>grazoprevir</w:t>
      </w:r>
      <w:proofErr w:type="spellEnd"/>
      <w:r w:rsidR="00A56051" w:rsidRPr="00A56051">
        <w:t xml:space="preserve"> in a single tablet. The recommended dosage of </w:t>
      </w:r>
      <w:r>
        <w:t>ZEPATIER</w:t>
      </w:r>
      <w:r w:rsidR="00A56051" w:rsidRPr="00A56051">
        <w:t xml:space="preserve"> is one tablet taken orally once daily with or without food</w:t>
      </w:r>
      <w:r w:rsidR="005E7C34">
        <w:t xml:space="preserve">. </w:t>
      </w:r>
    </w:p>
    <w:bookmarkEnd w:id="12"/>
    <w:p w:rsidR="00A56051" w:rsidRPr="005E7C34" w:rsidRDefault="00A56051" w:rsidP="00F42F76">
      <w:pPr>
        <w:pStyle w:val="Heading3"/>
      </w:pPr>
      <w:r w:rsidRPr="005E7C34">
        <w:t>Treatment Regimen and Duration of Therapy</w:t>
      </w:r>
    </w:p>
    <w:p w:rsidR="00A56051" w:rsidRDefault="008B30DE" w:rsidP="00A56051">
      <w:r>
        <w:fldChar w:fldCharType="begin"/>
      </w:r>
      <w:r>
        <w:instrText xml:space="preserve"> REF _Ref422996262 \h </w:instrText>
      </w:r>
      <w:r>
        <w:fldChar w:fldCharType="separate"/>
      </w:r>
      <w:r>
        <w:t xml:space="preserve">Table </w:t>
      </w:r>
      <w:r w:rsidR="003704C6">
        <w:t>14</w:t>
      </w:r>
      <w:r>
        <w:fldChar w:fldCharType="end"/>
      </w:r>
      <w:r>
        <w:t xml:space="preserve"> </w:t>
      </w:r>
      <w:r w:rsidR="00A56051" w:rsidRPr="002D7622">
        <w:t xml:space="preserve">below provides the recommended </w:t>
      </w:r>
      <w:r w:rsidR="000D7FE6">
        <w:t>ZEPATIER</w:t>
      </w:r>
      <w:r w:rsidR="00A56051" w:rsidRPr="002D7622">
        <w:t xml:space="preserve"> treatment regimen and duration based on the patient population and genotype in HCV mono-infected and HCV/HIV-1 co-infected patients with or without cirrhosis.</w:t>
      </w:r>
      <w:r w:rsidR="00A56051" w:rsidRPr="00A3564F">
        <w:t xml:space="preserve"> </w:t>
      </w:r>
    </w:p>
    <w:p w:rsidR="00140277" w:rsidRDefault="00140277" w:rsidP="00A56051">
      <w:pPr>
        <w:autoSpaceDE w:val="0"/>
        <w:autoSpaceDN w:val="0"/>
        <w:adjustRightInd w:val="0"/>
        <w:jc w:val="both"/>
      </w:pPr>
    </w:p>
    <w:p w:rsidR="00A56051" w:rsidRPr="00BA6D62" w:rsidRDefault="00A56051" w:rsidP="00F42F76">
      <w:pPr>
        <w:pStyle w:val="Caption"/>
        <w:jc w:val="center"/>
      </w:pPr>
      <w:bookmarkStart w:id="13" w:name="_Ref422996262"/>
      <w:bookmarkStart w:id="14" w:name="_Ref422996252"/>
      <w:r>
        <w:t xml:space="preserve">Table </w:t>
      </w:r>
      <w:r w:rsidR="003704C6">
        <w:t>14</w:t>
      </w:r>
      <w:bookmarkEnd w:id="13"/>
      <w:r w:rsidRPr="008B30DE">
        <w:rPr>
          <w:bCs w:val="0"/>
        </w:rPr>
        <w:t xml:space="preserve">: Recommended Dosage Regimens and Durations for </w:t>
      </w:r>
      <w:r w:rsidR="000D7FE6">
        <w:rPr>
          <w:bCs w:val="0"/>
        </w:rPr>
        <w:t>ZEPATIER</w:t>
      </w:r>
      <w:r w:rsidRPr="008B30DE">
        <w:rPr>
          <w:bCs w:val="0"/>
        </w:rPr>
        <w:t xml:space="preserve"> for Treatment of Chronic Hepatitis C Infection</w:t>
      </w:r>
      <w:r w:rsidRPr="008B30DE">
        <w:t xml:space="preserve"> in Patients with or without Cirrhosis</w:t>
      </w:r>
      <w:bookmarkEnd w:id="14"/>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5130"/>
      </w:tblGrid>
      <w:tr w:rsidR="00A56051" w:rsidRPr="008B30DE" w:rsidTr="008B30DE">
        <w:trPr>
          <w:jc w:val="center"/>
        </w:trPr>
        <w:tc>
          <w:tcPr>
            <w:tcW w:w="4338" w:type="dxa"/>
            <w:shd w:val="clear" w:color="auto" w:fill="auto"/>
          </w:tcPr>
          <w:p w:rsidR="00A56051" w:rsidRPr="008B30DE" w:rsidRDefault="00A56051" w:rsidP="00812C6B">
            <w:pPr>
              <w:autoSpaceDE w:val="0"/>
              <w:autoSpaceDN w:val="0"/>
              <w:adjustRightInd w:val="0"/>
              <w:spacing w:before="60" w:after="60"/>
              <w:jc w:val="center"/>
              <w:rPr>
                <w:b/>
                <w:sz w:val="20"/>
                <w:szCs w:val="20"/>
              </w:rPr>
            </w:pPr>
            <w:proofErr w:type="spellStart"/>
            <w:r w:rsidRPr="008B30DE">
              <w:rPr>
                <w:b/>
                <w:sz w:val="20"/>
                <w:szCs w:val="20"/>
              </w:rPr>
              <w:t>Treatment</w:t>
            </w:r>
            <w:r w:rsidRPr="008B30DE">
              <w:rPr>
                <w:sz w:val="20"/>
                <w:szCs w:val="20"/>
                <w:vertAlign w:val="superscript"/>
              </w:rPr>
              <w:t>Þ</w:t>
            </w:r>
            <w:proofErr w:type="spellEnd"/>
          </w:p>
        </w:tc>
        <w:tc>
          <w:tcPr>
            <w:tcW w:w="5130" w:type="dxa"/>
            <w:shd w:val="clear" w:color="auto" w:fill="auto"/>
          </w:tcPr>
          <w:p w:rsidR="00A56051" w:rsidRPr="008B30DE" w:rsidRDefault="00A56051" w:rsidP="00812C6B">
            <w:pPr>
              <w:autoSpaceDE w:val="0"/>
              <w:autoSpaceDN w:val="0"/>
              <w:adjustRightInd w:val="0"/>
              <w:spacing w:before="60" w:after="60"/>
              <w:jc w:val="center"/>
              <w:rPr>
                <w:b/>
                <w:sz w:val="20"/>
                <w:szCs w:val="20"/>
              </w:rPr>
            </w:pPr>
            <w:r w:rsidRPr="008B30DE">
              <w:rPr>
                <w:b/>
                <w:sz w:val="20"/>
                <w:szCs w:val="20"/>
              </w:rPr>
              <w:t>Duration</w:t>
            </w:r>
          </w:p>
        </w:tc>
      </w:tr>
      <w:tr w:rsidR="00A56051" w:rsidRPr="008B30DE" w:rsidTr="008B30DE">
        <w:trPr>
          <w:jc w:val="center"/>
        </w:trPr>
        <w:tc>
          <w:tcPr>
            <w:tcW w:w="9468" w:type="dxa"/>
            <w:gridSpan w:val="2"/>
            <w:shd w:val="clear" w:color="auto" w:fill="auto"/>
          </w:tcPr>
          <w:p w:rsidR="00A56051" w:rsidRPr="008B30DE" w:rsidRDefault="00A56051" w:rsidP="005B4796">
            <w:pPr>
              <w:spacing w:before="60" w:after="60"/>
              <w:rPr>
                <w:sz w:val="20"/>
                <w:szCs w:val="20"/>
              </w:rPr>
            </w:pPr>
            <w:r w:rsidRPr="008B30DE">
              <w:rPr>
                <w:b/>
                <w:sz w:val="20"/>
                <w:szCs w:val="20"/>
              </w:rPr>
              <w:t xml:space="preserve">Treatment-Naïve or Treatment-Experienced* </w:t>
            </w:r>
            <w:proofErr w:type="spellStart"/>
            <w:r w:rsidRPr="008B30DE">
              <w:rPr>
                <w:b/>
                <w:sz w:val="20"/>
                <w:szCs w:val="20"/>
              </w:rPr>
              <w:t>Relapsers</w:t>
            </w:r>
            <w:proofErr w:type="spellEnd"/>
            <w:r w:rsidRPr="008B30DE">
              <w:rPr>
                <w:b/>
                <w:sz w:val="20"/>
                <w:szCs w:val="20"/>
              </w:rPr>
              <w:t xml:space="preserve"> - Genotype 1 </w:t>
            </w:r>
            <w:r w:rsidR="005B4796">
              <w:rPr>
                <w:b/>
                <w:sz w:val="20"/>
                <w:szCs w:val="20"/>
              </w:rPr>
              <w:t xml:space="preserve">or </w:t>
            </w:r>
            <w:r w:rsidRPr="008B30DE">
              <w:rPr>
                <w:b/>
                <w:sz w:val="20"/>
                <w:szCs w:val="20"/>
              </w:rPr>
              <w:t>4</w:t>
            </w:r>
          </w:p>
        </w:tc>
      </w:tr>
      <w:tr w:rsidR="00A56051" w:rsidRPr="008B30DE" w:rsidTr="00B808F4">
        <w:trPr>
          <w:trHeight w:val="373"/>
          <w:jc w:val="center"/>
        </w:trPr>
        <w:tc>
          <w:tcPr>
            <w:tcW w:w="4338" w:type="dxa"/>
            <w:shd w:val="clear" w:color="auto" w:fill="auto"/>
          </w:tcPr>
          <w:p w:rsidR="00A56051" w:rsidRPr="008B30DE" w:rsidRDefault="000D7FE6" w:rsidP="00812C6B">
            <w:pPr>
              <w:autoSpaceDE w:val="0"/>
              <w:autoSpaceDN w:val="0"/>
              <w:adjustRightInd w:val="0"/>
              <w:spacing w:before="60" w:after="60"/>
              <w:rPr>
                <w:sz w:val="20"/>
                <w:szCs w:val="20"/>
              </w:rPr>
            </w:pPr>
            <w:r>
              <w:rPr>
                <w:sz w:val="20"/>
                <w:szCs w:val="20"/>
              </w:rPr>
              <w:t>ZEPATIER</w:t>
            </w:r>
          </w:p>
        </w:tc>
        <w:tc>
          <w:tcPr>
            <w:tcW w:w="5130" w:type="dxa"/>
            <w:shd w:val="clear" w:color="auto" w:fill="auto"/>
          </w:tcPr>
          <w:p w:rsidR="00A56051" w:rsidRPr="008B30DE" w:rsidRDefault="00A56051" w:rsidP="00812C6B">
            <w:pPr>
              <w:autoSpaceDE w:val="0"/>
              <w:autoSpaceDN w:val="0"/>
              <w:adjustRightInd w:val="0"/>
              <w:spacing w:before="60" w:after="60"/>
              <w:jc w:val="both"/>
              <w:rPr>
                <w:sz w:val="20"/>
                <w:szCs w:val="20"/>
              </w:rPr>
            </w:pPr>
            <w:r w:rsidRPr="008B30DE">
              <w:rPr>
                <w:sz w:val="20"/>
                <w:szCs w:val="20"/>
              </w:rPr>
              <w:t xml:space="preserve">12 weeks </w:t>
            </w:r>
          </w:p>
          <w:p w:rsidR="00A56051" w:rsidRPr="008B30DE" w:rsidRDefault="00A56051" w:rsidP="00812C6B">
            <w:pPr>
              <w:autoSpaceDE w:val="0"/>
              <w:autoSpaceDN w:val="0"/>
              <w:adjustRightInd w:val="0"/>
              <w:spacing w:before="60" w:after="60"/>
              <w:jc w:val="both"/>
              <w:rPr>
                <w:sz w:val="20"/>
                <w:szCs w:val="20"/>
              </w:rPr>
            </w:pPr>
          </w:p>
        </w:tc>
      </w:tr>
      <w:tr w:rsidR="00A56051" w:rsidRPr="008B30DE" w:rsidTr="008B30DE">
        <w:trPr>
          <w:jc w:val="center"/>
        </w:trPr>
        <w:tc>
          <w:tcPr>
            <w:tcW w:w="9468" w:type="dxa"/>
            <w:gridSpan w:val="2"/>
            <w:shd w:val="clear" w:color="auto" w:fill="auto"/>
          </w:tcPr>
          <w:p w:rsidR="00A56051" w:rsidRPr="008B30DE" w:rsidRDefault="00A56051" w:rsidP="00987F7E">
            <w:pPr>
              <w:autoSpaceDE w:val="0"/>
              <w:autoSpaceDN w:val="0"/>
              <w:adjustRightInd w:val="0"/>
              <w:spacing w:before="60" w:after="60"/>
              <w:jc w:val="both"/>
              <w:rPr>
                <w:sz w:val="20"/>
                <w:szCs w:val="20"/>
              </w:rPr>
            </w:pPr>
            <w:r w:rsidRPr="008B30DE">
              <w:rPr>
                <w:b/>
                <w:sz w:val="20"/>
                <w:szCs w:val="20"/>
              </w:rPr>
              <w:t>Treatment-Experienced*</w:t>
            </w:r>
            <w:r w:rsidRPr="008B30DE">
              <w:rPr>
                <w:b/>
                <w:sz w:val="20"/>
                <w:szCs w:val="20"/>
                <w:vertAlign w:val="superscript"/>
              </w:rPr>
              <w:t xml:space="preserve"> </w:t>
            </w:r>
            <w:r w:rsidRPr="008B30DE">
              <w:rPr>
                <w:b/>
                <w:sz w:val="20"/>
                <w:szCs w:val="20"/>
              </w:rPr>
              <w:t xml:space="preserve">On-Treatment </w:t>
            </w:r>
            <w:proofErr w:type="spellStart"/>
            <w:r w:rsidRPr="008B30DE">
              <w:rPr>
                <w:b/>
                <w:sz w:val="20"/>
                <w:szCs w:val="20"/>
              </w:rPr>
              <w:t>Virologic</w:t>
            </w:r>
            <w:proofErr w:type="spellEnd"/>
            <w:r w:rsidRPr="008B30DE">
              <w:rPr>
                <w:b/>
                <w:sz w:val="20"/>
                <w:szCs w:val="20"/>
              </w:rPr>
              <w:t xml:space="preserve"> Failures</w:t>
            </w:r>
            <w:r w:rsidRPr="008B30DE">
              <w:rPr>
                <w:b/>
                <w:sz w:val="20"/>
                <w:szCs w:val="20"/>
                <w:vertAlign w:val="superscript"/>
              </w:rPr>
              <w:t>§</w:t>
            </w:r>
            <w:r w:rsidRPr="008B30DE">
              <w:rPr>
                <w:b/>
                <w:sz w:val="20"/>
                <w:szCs w:val="20"/>
              </w:rPr>
              <w:t xml:space="preserve"> - Genotype 1 </w:t>
            </w:r>
            <w:r w:rsidR="00987F7E">
              <w:rPr>
                <w:b/>
                <w:sz w:val="20"/>
                <w:szCs w:val="20"/>
              </w:rPr>
              <w:t xml:space="preserve">or </w:t>
            </w:r>
            <w:r w:rsidRPr="008B30DE">
              <w:rPr>
                <w:b/>
                <w:sz w:val="20"/>
                <w:szCs w:val="20"/>
              </w:rPr>
              <w:t>4</w:t>
            </w:r>
            <w:r w:rsidR="005B4796">
              <w:rPr>
                <w:b/>
                <w:sz w:val="20"/>
                <w:szCs w:val="20"/>
              </w:rPr>
              <w:t xml:space="preserve"> </w:t>
            </w:r>
          </w:p>
        </w:tc>
      </w:tr>
      <w:tr w:rsidR="00A56051" w:rsidRPr="008B30DE" w:rsidTr="008B30DE">
        <w:trPr>
          <w:jc w:val="center"/>
        </w:trPr>
        <w:tc>
          <w:tcPr>
            <w:tcW w:w="4338" w:type="dxa"/>
            <w:shd w:val="clear" w:color="auto" w:fill="auto"/>
          </w:tcPr>
          <w:p w:rsidR="00A56051" w:rsidRPr="008B30DE" w:rsidRDefault="00A56051" w:rsidP="00812C6B">
            <w:pPr>
              <w:autoSpaceDE w:val="0"/>
              <w:autoSpaceDN w:val="0"/>
              <w:adjustRightInd w:val="0"/>
              <w:spacing w:before="60" w:after="60"/>
              <w:rPr>
                <w:sz w:val="20"/>
                <w:szCs w:val="20"/>
              </w:rPr>
            </w:pPr>
            <w:r w:rsidRPr="008B30DE">
              <w:rPr>
                <w:sz w:val="20"/>
                <w:szCs w:val="20"/>
              </w:rPr>
              <w:t>Genotype 1b</w:t>
            </w:r>
            <w:r w:rsidRPr="008B30DE">
              <w:rPr>
                <w:sz w:val="20"/>
                <w:szCs w:val="20"/>
                <w:vertAlign w:val="superscript"/>
              </w:rPr>
              <w:t>†</w:t>
            </w:r>
            <w:r w:rsidRPr="008B30DE">
              <w:rPr>
                <w:sz w:val="20"/>
                <w:szCs w:val="20"/>
              </w:rPr>
              <w:t xml:space="preserve"> </w:t>
            </w:r>
          </w:p>
          <w:p w:rsidR="00A56051" w:rsidRPr="008B30DE" w:rsidRDefault="00A56051" w:rsidP="00812C6B">
            <w:pPr>
              <w:autoSpaceDE w:val="0"/>
              <w:autoSpaceDN w:val="0"/>
              <w:adjustRightInd w:val="0"/>
              <w:spacing w:before="60" w:after="60"/>
              <w:rPr>
                <w:sz w:val="20"/>
                <w:szCs w:val="20"/>
              </w:rPr>
            </w:pPr>
            <w:r w:rsidRPr="008B30DE">
              <w:rPr>
                <w:sz w:val="20"/>
                <w:szCs w:val="20"/>
              </w:rPr>
              <w:t xml:space="preserve">    </w:t>
            </w:r>
            <w:r w:rsidR="000D7FE6">
              <w:rPr>
                <w:sz w:val="20"/>
                <w:szCs w:val="20"/>
              </w:rPr>
              <w:t>ZEPATIER</w:t>
            </w:r>
          </w:p>
        </w:tc>
        <w:tc>
          <w:tcPr>
            <w:tcW w:w="5130" w:type="dxa"/>
            <w:shd w:val="clear" w:color="auto" w:fill="auto"/>
          </w:tcPr>
          <w:p w:rsidR="00A56051" w:rsidRPr="008B30DE" w:rsidRDefault="00A56051" w:rsidP="00812C6B">
            <w:pPr>
              <w:autoSpaceDE w:val="0"/>
              <w:autoSpaceDN w:val="0"/>
              <w:adjustRightInd w:val="0"/>
              <w:spacing w:before="60" w:after="60"/>
              <w:jc w:val="both"/>
              <w:rPr>
                <w:sz w:val="20"/>
                <w:szCs w:val="20"/>
              </w:rPr>
            </w:pPr>
          </w:p>
          <w:p w:rsidR="00A56051" w:rsidRPr="008B30DE" w:rsidRDefault="00A56051" w:rsidP="00812C6B">
            <w:pPr>
              <w:autoSpaceDE w:val="0"/>
              <w:autoSpaceDN w:val="0"/>
              <w:adjustRightInd w:val="0"/>
              <w:spacing w:before="60" w:after="60"/>
              <w:jc w:val="both"/>
              <w:rPr>
                <w:sz w:val="20"/>
                <w:szCs w:val="20"/>
              </w:rPr>
            </w:pPr>
            <w:r w:rsidRPr="008B30DE">
              <w:rPr>
                <w:sz w:val="20"/>
                <w:szCs w:val="20"/>
              </w:rPr>
              <w:t>12 weeks</w:t>
            </w:r>
          </w:p>
        </w:tc>
      </w:tr>
      <w:tr w:rsidR="00A56051" w:rsidRPr="008B30DE" w:rsidTr="008B30DE">
        <w:trPr>
          <w:jc w:val="center"/>
        </w:trPr>
        <w:tc>
          <w:tcPr>
            <w:tcW w:w="4338" w:type="dxa"/>
            <w:shd w:val="clear" w:color="auto" w:fill="auto"/>
          </w:tcPr>
          <w:p w:rsidR="00A56051" w:rsidRPr="008B30DE" w:rsidRDefault="00A56051" w:rsidP="00812C6B">
            <w:pPr>
              <w:autoSpaceDE w:val="0"/>
              <w:autoSpaceDN w:val="0"/>
              <w:adjustRightInd w:val="0"/>
              <w:spacing w:before="60" w:after="60"/>
              <w:rPr>
                <w:sz w:val="20"/>
                <w:szCs w:val="20"/>
              </w:rPr>
            </w:pPr>
            <w:r w:rsidRPr="008B30DE">
              <w:rPr>
                <w:sz w:val="20"/>
                <w:szCs w:val="20"/>
              </w:rPr>
              <w:t>Genotype 1a</w:t>
            </w:r>
            <w:r w:rsidR="005B4796">
              <w:rPr>
                <w:sz w:val="20"/>
                <w:szCs w:val="20"/>
              </w:rPr>
              <w:t xml:space="preserve"> or</w:t>
            </w:r>
            <w:r w:rsidRPr="008B30DE">
              <w:rPr>
                <w:sz w:val="20"/>
                <w:szCs w:val="20"/>
              </w:rPr>
              <w:t xml:space="preserve"> 4 </w:t>
            </w:r>
          </w:p>
          <w:p w:rsidR="00A56051" w:rsidRPr="008B30DE" w:rsidRDefault="00A56051" w:rsidP="00812C6B">
            <w:pPr>
              <w:autoSpaceDE w:val="0"/>
              <w:autoSpaceDN w:val="0"/>
              <w:adjustRightInd w:val="0"/>
              <w:spacing w:before="60" w:after="60"/>
              <w:rPr>
                <w:sz w:val="20"/>
                <w:szCs w:val="20"/>
              </w:rPr>
            </w:pPr>
            <w:r w:rsidRPr="008B30DE">
              <w:rPr>
                <w:sz w:val="20"/>
                <w:szCs w:val="20"/>
              </w:rPr>
              <w:t xml:space="preserve">    </w:t>
            </w:r>
            <w:r w:rsidR="000D7FE6">
              <w:rPr>
                <w:sz w:val="20"/>
                <w:szCs w:val="20"/>
              </w:rPr>
              <w:t>ZEPATIER</w:t>
            </w:r>
            <w:r w:rsidRPr="008B30DE">
              <w:rPr>
                <w:sz w:val="20"/>
                <w:szCs w:val="20"/>
              </w:rPr>
              <w:t xml:space="preserve"> with ribavirin</w:t>
            </w:r>
            <w:r w:rsidRPr="008B30DE">
              <w:rPr>
                <w:sz w:val="20"/>
                <w:szCs w:val="20"/>
                <w:vertAlign w:val="superscript"/>
              </w:rPr>
              <w:t xml:space="preserve"> </w:t>
            </w:r>
            <w:r w:rsidRPr="008B30DE">
              <w:rPr>
                <w:color w:val="000000"/>
                <w:sz w:val="20"/>
                <w:szCs w:val="20"/>
                <w:vertAlign w:val="superscript"/>
              </w:rPr>
              <w:t>¶,#</w:t>
            </w:r>
          </w:p>
        </w:tc>
        <w:tc>
          <w:tcPr>
            <w:tcW w:w="5130" w:type="dxa"/>
            <w:shd w:val="clear" w:color="auto" w:fill="auto"/>
          </w:tcPr>
          <w:p w:rsidR="00A56051" w:rsidRPr="008B30DE" w:rsidRDefault="00A56051" w:rsidP="00812C6B">
            <w:pPr>
              <w:autoSpaceDE w:val="0"/>
              <w:autoSpaceDN w:val="0"/>
              <w:adjustRightInd w:val="0"/>
              <w:spacing w:before="60" w:after="60"/>
              <w:jc w:val="both"/>
              <w:rPr>
                <w:sz w:val="20"/>
                <w:szCs w:val="20"/>
              </w:rPr>
            </w:pPr>
          </w:p>
          <w:p w:rsidR="00A56051" w:rsidRPr="008B30DE" w:rsidRDefault="00A56051" w:rsidP="00812C6B">
            <w:pPr>
              <w:autoSpaceDE w:val="0"/>
              <w:autoSpaceDN w:val="0"/>
              <w:adjustRightInd w:val="0"/>
              <w:spacing w:before="60" w:after="60"/>
              <w:jc w:val="both"/>
              <w:rPr>
                <w:sz w:val="20"/>
                <w:szCs w:val="20"/>
              </w:rPr>
            </w:pPr>
            <w:r w:rsidRPr="008B30DE">
              <w:rPr>
                <w:sz w:val="20"/>
                <w:szCs w:val="20"/>
              </w:rPr>
              <w:t>16 weeks</w:t>
            </w:r>
          </w:p>
        </w:tc>
      </w:tr>
    </w:tbl>
    <w:p w:rsidR="00A56051" w:rsidRPr="00F42F76" w:rsidRDefault="00A56051" w:rsidP="00F42F76">
      <w:pPr>
        <w:pStyle w:val="NoSpacing"/>
        <w:rPr>
          <w:sz w:val="18"/>
          <w:szCs w:val="18"/>
          <w:lang w:val="en-CA"/>
        </w:rPr>
      </w:pPr>
      <w:proofErr w:type="gramStart"/>
      <w:r w:rsidRPr="00F42F76">
        <w:rPr>
          <w:sz w:val="18"/>
          <w:szCs w:val="18"/>
          <w:vertAlign w:val="superscript"/>
        </w:rPr>
        <w:t>Þ</w:t>
      </w:r>
      <w:r w:rsidRPr="00F42F76">
        <w:rPr>
          <w:sz w:val="18"/>
          <w:szCs w:val="18"/>
          <w:lang w:val="en-CA"/>
        </w:rPr>
        <w:t xml:space="preserve">Refer to the prescribing information of the medicinal products that are used in combination with </w:t>
      </w:r>
      <w:r w:rsidR="000D7FE6">
        <w:rPr>
          <w:sz w:val="18"/>
          <w:szCs w:val="18"/>
          <w:lang w:val="en-CA"/>
        </w:rPr>
        <w:t>ZEPATIER</w:t>
      </w:r>
      <w:r w:rsidRPr="00F42F76">
        <w:rPr>
          <w:sz w:val="18"/>
          <w:szCs w:val="18"/>
          <w:lang w:val="en-CA"/>
        </w:rPr>
        <w:t xml:space="preserve"> for specific dosing instructions.</w:t>
      </w:r>
      <w:proofErr w:type="gramEnd"/>
    </w:p>
    <w:p w:rsidR="00A56051" w:rsidRPr="00F42F76" w:rsidRDefault="00A56051" w:rsidP="00F42F76">
      <w:pPr>
        <w:pStyle w:val="NoSpacing"/>
        <w:rPr>
          <w:color w:val="000000"/>
          <w:sz w:val="18"/>
          <w:szCs w:val="18"/>
        </w:rPr>
      </w:pPr>
      <w:r w:rsidRPr="00F42F76">
        <w:rPr>
          <w:sz w:val="18"/>
          <w:szCs w:val="18"/>
        </w:rPr>
        <w:t>*</w:t>
      </w:r>
      <w:r w:rsidR="007F3EBE">
        <w:rPr>
          <w:sz w:val="18"/>
          <w:szCs w:val="18"/>
        </w:rPr>
        <w:t xml:space="preserve">Genotype </w:t>
      </w:r>
      <w:r w:rsidR="00463718">
        <w:rPr>
          <w:sz w:val="18"/>
          <w:szCs w:val="18"/>
        </w:rPr>
        <w:t>1</w:t>
      </w:r>
      <w:r w:rsidR="007F3EBE">
        <w:rPr>
          <w:sz w:val="18"/>
          <w:szCs w:val="18"/>
        </w:rPr>
        <w:t xml:space="preserve"> or 4 p</w:t>
      </w:r>
      <w:r w:rsidRPr="00F42F76">
        <w:rPr>
          <w:sz w:val="18"/>
          <w:szCs w:val="18"/>
        </w:rPr>
        <w:t xml:space="preserve">atients who have failed treatment with </w:t>
      </w:r>
      <w:proofErr w:type="spellStart"/>
      <w:r w:rsidRPr="00F42F76">
        <w:rPr>
          <w:sz w:val="18"/>
          <w:szCs w:val="18"/>
        </w:rPr>
        <w:t>peginterferon</w:t>
      </w:r>
      <w:proofErr w:type="spellEnd"/>
      <w:r w:rsidRPr="00F42F76">
        <w:rPr>
          <w:sz w:val="18"/>
          <w:szCs w:val="18"/>
        </w:rPr>
        <w:t xml:space="preserve"> </w:t>
      </w:r>
      <w:proofErr w:type="spellStart"/>
      <w:r w:rsidRPr="00F42F76">
        <w:rPr>
          <w:sz w:val="18"/>
          <w:szCs w:val="18"/>
        </w:rPr>
        <w:t>alfa</w:t>
      </w:r>
      <w:proofErr w:type="spellEnd"/>
      <w:r w:rsidRPr="00F42F76">
        <w:rPr>
          <w:sz w:val="18"/>
          <w:szCs w:val="18"/>
        </w:rPr>
        <w:t xml:space="preserve"> + ribavirin or </w:t>
      </w:r>
      <w:r w:rsidR="007F3EBE">
        <w:rPr>
          <w:sz w:val="18"/>
          <w:szCs w:val="18"/>
        </w:rPr>
        <w:t xml:space="preserve">genotype </w:t>
      </w:r>
      <w:r w:rsidR="00463718">
        <w:rPr>
          <w:sz w:val="18"/>
          <w:szCs w:val="18"/>
        </w:rPr>
        <w:t>1</w:t>
      </w:r>
      <w:r w:rsidR="007F3EBE">
        <w:rPr>
          <w:sz w:val="18"/>
          <w:szCs w:val="18"/>
        </w:rPr>
        <w:t xml:space="preserve"> patients who failed </w:t>
      </w:r>
      <w:proofErr w:type="spellStart"/>
      <w:r w:rsidRPr="00F42F76">
        <w:rPr>
          <w:sz w:val="18"/>
          <w:szCs w:val="18"/>
        </w:rPr>
        <w:t>peginterferon</w:t>
      </w:r>
      <w:proofErr w:type="spellEnd"/>
      <w:r w:rsidRPr="00F42F76">
        <w:rPr>
          <w:sz w:val="18"/>
          <w:szCs w:val="18"/>
        </w:rPr>
        <w:t xml:space="preserve"> </w:t>
      </w:r>
      <w:proofErr w:type="spellStart"/>
      <w:r w:rsidRPr="00F42F76">
        <w:rPr>
          <w:sz w:val="18"/>
          <w:szCs w:val="18"/>
        </w:rPr>
        <w:t>alfa</w:t>
      </w:r>
      <w:proofErr w:type="spellEnd"/>
      <w:r w:rsidRPr="00F42F76">
        <w:rPr>
          <w:sz w:val="18"/>
          <w:szCs w:val="18"/>
        </w:rPr>
        <w:t xml:space="preserve"> + ribavirin + </w:t>
      </w:r>
      <w:proofErr w:type="spellStart"/>
      <w:r w:rsidRPr="00F42F76">
        <w:rPr>
          <w:sz w:val="18"/>
          <w:szCs w:val="18"/>
        </w:rPr>
        <w:t>boceprevir</w:t>
      </w:r>
      <w:proofErr w:type="spellEnd"/>
      <w:r w:rsidRPr="00F42F76">
        <w:rPr>
          <w:sz w:val="18"/>
          <w:szCs w:val="18"/>
        </w:rPr>
        <w:t xml:space="preserve">, </w:t>
      </w:r>
      <w:proofErr w:type="spellStart"/>
      <w:r w:rsidRPr="00F42F76">
        <w:rPr>
          <w:sz w:val="18"/>
          <w:szCs w:val="18"/>
        </w:rPr>
        <w:t>simeprevir</w:t>
      </w:r>
      <w:proofErr w:type="spellEnd"/>
      <w:r w:rsidRPr="00F42F76">
        <w:rPr>
          <w:sz w:val="18"/>
          <w:szCs w:val="18"/>
        </w:rPr>
        <w:t xml:space="preserve">, or </w:t>
      </w:r>
      <w:proofErr w:type="spellStart"/>
      <w:r w:rsidRPr="00F42F76">
        <w:rPr>
          <w:sz w:val="18"/>
          <w:szCs w:val="18"/>
        </w:rPr>
        <w:t>telaprevir</w:t>
      </w:r>
      <w:proofErr w:type="spellEnd"/>
      <w:r w:rsidRPr="00F42F76">
        <w:rPr>
          <w:sz w:val="18"/>
          <w:szCs w:val="18"/>
        </w:rPr>
        <w:t>.</w:t>
      </w:r>
      <w:r w:rsidRPr="00F42F76">
        <w:rPr>
          <w:color w:val="000000"/>
          <w:sz w:val="18"/>
          <w:szCs w:val="18"/>
        </w:rPr>
        <w:t xml:space="preserve"> </w:t>
      </w:r>
    </w:p>
    <w:p w:rsidR="00A56051" w:rsidRPr="00F42F76" w:rsidRDefault="00A56051" w:rsidP="00F42F76">
      <w:pPr>
        <w:pStyle w:val="NoSpacing"/>
        <w:rPr>
          <w:sz w:val="18"/>
          <w:szCs w:val="18"/>
        </w:rPr>
      </w:pPr>
      <w:r w:rsidRPr="00A7146F">
        <w:rPr>
          <w:sz w:val="18"/>
          <w:szCs w:val="18"/>
          <w:vertAlign w:val="superscript"/>
        </w:rPr>
        <w:t>†</w:t>
      </w:r>
      <w:r w:rsidRPr="00A7146F">
        <w:rPr>
          <w:sz w:val="18"/>
          <w:szCs w:val="18"/>
        </w:rPr>
        <w:t>Includes patients with known genotype 1 subtypes other than 1a or 1b.</w:t>
      </w:r>
    </w:p>
    <w:p w:rsidR="00A56051" w:rsidRPr="00F42F76" w:rsidRDefault="00A56051" w:rsidP="00F42F76">
      <w:pPr>
        <w:pStyle w:val="NoSpacing"/>
        <w:rPr>
          <w:sz w:val="18"/>
          <w:szCs w:val="18"/>
        </w:rPr>
      </w:pPr>
      <w:r w:rsidRPr="00EB4F57">
        <w:rPr>
          <w:sz w:val="18"/>
          <w:szCs w:val="18"/>
          <w:vertAlign w:val="superscript"/>
        </w:rPr>
        <w:t>§</w:t>
      </w:r>
      <w:r w:rsidRPr="00EB4F57">
        <w:rPr>
          <w:sz w:val="18"/>
          <w:szCs w:val="18"/>
        </w:rPr>
        <w:t xml:space="preserve">On-treatment </w:t>
      </w:r>
      <w:proofErr w:type="spellStart"/>
      <w:r w:rsidRPr="00EB4F57">
        <w:rPr>
          <w:sz w:val="18"/>
          <w:szCs w:val="18"/>
        </w:rPr>
        <w:t>virologic</w:t>
      </w:r>
      <w:proofErr w:type="spellEnd"/>
      <w:r w:rsidRPr="00F42F76">
        <w:rPr>
          <w:sz w:val="18"/>
          <w:szCs w:val="18"/>
        </w:rPr>
        <w:t xml:space="preserve"> failures are patients who have had a null response, partial response, </w:t>
      </w:r>
      <w:proofErr w:type="spellStart"/>
      <w:r w:rsidRPr="00F42F76">
        <w:rPr>
          <w:sz w:val="18"/>
          <w:szCs w:val="18"/>
        </w:rPr>
        <w:t>virologic</w:t>
      </w:r>
      <w:proofErr w:type="spellEnd"/>
      <w:r w:rsidRPr="00F42F76">
        <w:rPr>
          <w:sz w:val="18"/>
          <w:szCs w:val="18"/>
        </w:rPr>
        <w:t xml:space="preserve"> breakthrough or rebound, or intolerance to prior treatment. </w:t>
      </w:r>
    </w:p>
    <w:p w:rsidR="00A56051" w:rsidRPr="00F42F76" w:rsidRDefault="00A56051" w:rsidP="00F42F76">
      <w:pPr>
        <w:pStyle w:val="NoSpacing"/>
        <w:rPr>
          <w:color w:val="000000"/>
          <w:sz w:val="18"/>
          <w:szCs w:val="18"/>
        </w:rPr>
      </w:pPr>
      <w:r w:rsidRPr="00F42F76">
        <w:rPr>
          <w:color w:val="000000"/>
          <w:sz w:val="18"/>
          <w:szCs w:val="18"/>
          <w:vertAlign w:val="superscript"/>
        </w:rPr>
        <w:t>¶</w:t>
      </w:r>
      <w:r w:rsidRPr="00F42F76">
        <w:rPr>
          <w:color w:val="000000"/>
          <w:sz w:val="18"/>
          <w:szCs w:val="18"/>
        </w:rPr>
        <w:t xml:space="preserve">In clinical trials, the dose of ribavirin was weight-based (&lt;66 kg = 800 mg/day, 66 to 80 kg = 1000 mg/day, 81 to 105 kg = 1200 mg/day, &gt;105 kg = 1400 mg/day) administered in two divided doses with food. For further information on ribavirin dosing and dose modifications, refer to the ribavirin prescribing information. </w:t>
      </w:r>
    </w:p>
    <w:p w:rsidR="00A56051" w:rsidRPr="00F42F76" w:rsidRDefault="00A56051" w:rsidP="00F42F76">
      <w:pPr>
        <w:pStyle w:val="NoSpacing"/>
        <w:rPr>
          <w:color w:val="000000"/>
          <w:sz w:val="18"/>
          <w:szCs w:val="18"/>
        </w:rPr>
      </w:pPr>
      <w:r w:rsidRPr="00F42F76">
        <w:rPr>
          <w:color w:val="000000"/>
          <w:sz w:val="18"/>
          <w:szCs w:val="18"/>
          <w:vertAlign w:val="superscript"/>
        </w:rPr>
        <w:t>#</w:t>
      </w:r>
      <w:r w:rsidRPr="00F42F76">
        <w:rPr>
          <w:color w:val="000000"/>
          <w:sz w:val="18"/>
          <w:szCs w:val="18"/>
        </w:rPr>
        <w:t>Patients with severe renal impairment (estimated Glomerular Filtration Rate [</w:t>
      </w:r>
      <w:proofErr w:type="spellStart"/>
      <w:r w:rsidRPr="00F42F76">
        <w:rPr>
          <w:color w:val="000000"/>
          <w:sz w:val="18"/>
          <w:szCs w:val="18"/>
        </w:rPr>
        <w:t>eGFR</w:t>
      </w:r>
      <w:proofErr w:type="spellEnd"/>
      <w:r w:rsidRPr="00F42F76">
        <w:rPr>
          <w:color w:val="000000"/>
          <w:sz w:val="18"/>
          <w:szCs w:val="18"/>
        </w:rPr>
        <w:t>] &lt;30 mL/min/1.73 m</w:t>
      </w:r>
      <w:r w:rsidRPr="00F42F76">
        <w:rPr>
          <w:color w:val="000000"/>
          <w:sz w:val="18"/>
          <w:szCs w:val="18"/>
          <w:vertAlign w:val="superscript"/>
        </w:rPr>
        <w:t>2</w:t>
      </w:r>
      <w:r w:rsidRPr="00F42F76">
        <w:rPr>
          <w:color w:val="000000"/>
          <w:sz w:val="18"/>
          <w:szCs w:val="18"/>
        </w:rPr>
        <w:t xml:space="preserve">) or with end stage renal disease (ESRD) should receive </w:t>
      </w:r>
      <w:r w:rsidR="000D7FE6">
        <w:rPr>
          <w:color w:val="000000"/>
          <w:sz w:val="18"/>
          <w:szCs w:val="18"/>
        </w:rPr>
        <w:t>ZEPATIER</w:t>
      </w:r>
      <w:r w:rsidRPr="00F42F76">
        <w:rPr>
          <w:color w:val="000000"/>
          <w:sz w:val="18"/>
          <w:szCs w:val="18"/>
        </w:rPr>
        <w:t xml:space="preserve"> without ribavirin </w:t>
      </w:r>
      <w:r w:rsidR="00F71FA4" w:rsidRPr="00F42F76">
        <w:rPr>
          <w:i/>
          <w:color w:val="000000"/>
          <w:sz w:val="18"/>
          <w:szCs w:val="18"/>
        </w:rPr>
        <w:t>(</w:t>
      </w:r>
      <w:r w:rsidRPr="00F42F76">
        <w:rPr>
          <w:i/>
          <w:color w:val="000000"/>
          <w:sz w:val="18"/>
          <w:szCs w:val="18"/>
        </w:rPr>
        <w:t>S</w:t>
      </w:r>
      <w:r w:rsidR="00F71FA4" w:rsidRPr="00F42F76">
        <w:rPr>
          <w:i/>
          <w:color w:val="000000"/>
          <w:sz w:val="18"/>
          <w:szCs w:val="18"/>
        </w:rPr>
        <w:t xml:space="preserve">ee </w:t>
      </w:r>
      <w:r w:rsidR="00F71FA4" w:rsidRPr="00F42F76">
        <w:rPr>
          <w:i/>
          <w:caps/>
          <w:color w:val="000000"/>
          <w:sz w:val="18"/>
          <w:szCs w:val="18"/>
        </w:rPr>
        <w:t>Dosage and Administration</w:t>
      </w:r>
      <w:r w:rsidR="00F71FA4" w:rsidRPr="00F42F76">
        <w:rPr>
          <w:i/>
          <w:color w:val="000000"/>
          <w:sz w:val="18"/>
          <w:szCs w:val="18"/>
        </w:rPr>
        <w:t>)</w:t>
      </w:r>
      <w:r w:rsidRPr="00F42F76">
        <w:rPr>
          <w:color w:val="000000"/>
          <w:sz w:val="18"/>
          <w:szCs w:val="18"/>
        </w:rPr>
        <w:t>.</w:t>
      </w:r>
    </w:p>
    <w:p w:rsidR="00A56051" w:rsidRDefault="00A56051" w:rsidP="00A56051">
      <w:pPr>
        <w:pStyle w:val="Body"/>
        <w:ind w:left="540" w:hanging="540"/>
      </w:pPr>
    </w:p>
    <w:p w:rsidR="00A56051" w:rsidRPr="00A56051" w:rsidRDefault="00A56051" w:rsidP="00F42F76">
      <w:pPr>
        <w:pStyle w:val="Heading3"/>
      </w:pPr>
      <w:r w:rsidRPr="00A56051">
        <w:t>Missed Dose</w:t>
      </w:r>
    </w:p>
    <w:p w:rsidR="00A56051" w:rsidRPr="004D2163" w:rsidRDefault="00A56051" w:rsidP="00A56051">
      <w:r w:rsidRPr="004D2163">
        <w:t xml:space="preserve">In case a dose of </w:t>
      </w:r>
      <w:r w:rsidR="000D7FE6">
        <w:t>ZEPATIER</w:t>
      </w:r>
      <w:r w:rsidRPr="004D2163">
        <w:t xml:space="preserve"> is missed and it is within 16 hours of the time </w:t>
      </w:r>
      <w:r w:rsidR="000D7FE6">
        <w:t>ZEPATIER</w:t>
      </w:r>
      <w:r w:rsidRPr="004D2163">
        <w:t xml:space="preserve"> is usually taken, the patient should be instructed to take </w:t>
      </w:r>
      <w:r w:rsidR="000D7FE6">
        <w:t>ZEPATIER</w:t>
      </w:r>
      <w:r w:rsidRPr="004D2163">
        <w:t xml:space="preserve"> as soon as possible and then take the next dose of </w:t>
      </w:r>
      <w:r w:rsidR="000D7FE6">
        <w:t>ZEPATIER</w:t>
      </w:r>
      <w:r w:rsidRPr="004D2163">
        <w:t xml:space="preserve"> at the usual time. If more than 16 hours have passed since </w:t>
      </w:r>
      <w:r w:rsidR="000D7FE6">
        <w:t>ZEPATIER</w:t>
      </w:r>
      <w:r w:rsidRPr="004D2163">
        <w:t xml:space="preserve"> is usually taken, then the patient should be instructed that the missed dose should NOT be taken and to take the next dose per the usual dosing schedule. Patients should be instructed not to take a double dose.</w:t>
      </w:r>
    </w:p>
    <w:p w:rsidR="00A56051" w:rsidRPr="00745E62" w:rsidRDefault="00A56051" w:rsidP="00A56051">
      <w:pPr>
        <w:pStyle w:val="Heading2"/>
      </w:pPr>
      <w:r>
        <w:t xml:space="preserve">Renal </w:t>
      </w:r>
      <w:r w:rsidR="00F76CE4">
        <w:t xml:space="preserve">Impairment </w:t>
      </w:r>
    </w:p>
    <w:p w:rsidR="00A56051" w:rsidRPr="00E11AD3" w:rsidRDefault="00A56051" w:rsidP="00A56051">
      <w:r w:rsidRPr="00745E62">
        <w:t>In genotype 1</w:t>
      </w:r>
      <w:r w:rsidR="005B4796">
        <w:t xml:space="preserve"> or</w:t>
      </w:r>
      <w:r w:rsidRPr="00745E62">
        <w:t xml:space="preserve"> 4 patients with severe renal impairment (</w:t>
      </w:r>
      <w:proofErr w:type="spellStart"/>
      <w:r w:rsidRPr="00745E62">
        <w:t>eGFR</w:t>
      </w:r>
      <w:proofErr w:type="spellEnd"/>
      <w:r w:rsidRPr="00745E62">
        <w:t>) &lt;30 mL/min/1.73 m</w:t>
      </w:r>
      <w:r w:rsidRPr="00745E62">
        <w:rPr>
          <w:vertAlign w:val="superscript"/>
        </w:rPr>
        <w:t>2</w:t>
      </w:r>
      <w:r w:rsidRPr="00745E62">
        <w:t xml:space="preserve">) or with </w:t>
      </w:r>
      <w:r w:rsidRPr="00E11AD3">
        <w:t xml:space="preserve">ESRD, including patients on dialysis, administer </w:t>
      </w:r>
      <w:r w:rsidR="000D7FE6">
        <w:t>ZEPATIER</w:t>
      </w:r>
      <w:r w:rsidRPr="00E11AD3">
        <w:t xml:space="preserve"> without ribavirin according to the treatment duration </w:t>
      </w:r>
      <w:r w:rsidRPr="00B66825">
        <w:t xml:space="preserve">in Table </w:t>
      </w:r>
      <w:r w:rsidR="003704C6">
        <w:t>14</w:t>
      </w:r>
      <w:r w:rsidRPr="00E11AD3">
        <w:t xml:space="preserve"> </w:t>
      </w:r>
      <w:r>
        <w:rPr>
          <w:i/>
        </w:rPr>
        <w:t>(</w:t>
      </w:r>
      <w:r w:rsidRPr="00D63B6C">
        <w:t xml:space="preserve">see </w:t>
      </w:r>
      <w:r w:rsidR="00D63B6C" w:rsidRPr="00D63B6C">
        <w:rPr>
          <w:i/>
          <w:szCs w:val="18"/>
        </w:rPr>
        <w:t>PRECAUTIONS, Renal Impairment</w:t>
      </w:r>
      <w:r>
        <w:rPr>
          <w:i/>
          <w:szCs w:val="18"/>
        </w:rPr>
        <w:t>)</w:t>
      </w:r>
      <w:r w:rsidRPr="00E11AD3">
        <w:t xml:space="preserve">. </w:t>
      </w:r>
      <w:r w:rsidR="007F3EBE">
        <w:t>In genotype 1a</w:t>
      </w:r>
      <w:r w:rsidR="00BC1AD2">
        <w:t xml:space="preserve"> or</w:t>
      </w:r>
      <w:r w:rsidR="007F3EBE">
        <w:t xml:space="preserve"> 4</w:t>
      </w:r>
      <w:r w:rsidR="007F3EBE" w:rsidRPr="00017DDB">
        <w:t xml:space="preserve"> </w:t>
      </w:r>
      <w:r w:rsidR="007F3EBE" w:rsidRPr="0043559E">
        <w:t>patients</w:t>
      </w:r>
      <w:r w:rsidR="007F3EBE">
        <w:t xml:space="preserve"> </w:t>
      </w:r>
      <w:r w:rsidR="007F3EBE" w:rsidRPr="0043559E">
        <w:t xml:space="preserve">with severe renal impairment or with ESRD who experienced on treatment-failure </w:t>
      </w:r>
      <w:r w:rsidR="007F3EBE" w:rsidRPr="0043559E">
        <w:lastRenderedPageBreak/>
        <w:t xml:space="preserve">during prior </w:t>
      </w:r>
      <w:proofErr w:type="spellStart"/>
      <w:r w:rsidR="007F3EBE" w:rsidRPr="0043559E">
        <w:t>peginterferon</w:t>
      </w:r>
      <w:proofErr w:type="spellEnd"/>
      <w:r w:rsidR="007F3EBE" w:rsidRPr="0043559E">
        <w:t xml:space="preserve"> </w:t>
      </w:r>
      <w:proofErr w:type="spellStart"/>
      <w:r w:rsidR="007F3EBE" w:rsidRPr="0043559E">
        <w:t>alfa</w:t>
      </w:r>
      <w:proofErr w:type="spellEnd"/>
      <w:r w:rsidR="007F3EBE" w:rsidRPr="0043559E">
        <w:t xml:space="preserve"> + ribavirin or interferon only treatment, 12 weeks treatment duration of </w:t>
      </w:r>
      <w:r w:rsidR="007F3EBE">
        <w:t>ZEPATIER</w:t>
      </w:r>
      <w:r w:rsidR="007F3EBE" w:rsidRPr="0043559E">
        <w:t xml:space="preserve"> may be considered</w:t>
      </w:r>
      <w:r w:rsidR="007F3EBE">
        <w:t xml:space="preserve">. </w:t>
      </w:r>
    </w:p>
    <w:p w:rsidR="00A56051" w:rsidRPr="00485427" w:rsidRDefault="00A56051" w:rsidP="00A56051">
      <w:pPr>
        <w:pStyle w:val="Heading2"/>
      </w:pPr>
      <w:r>
        <w:t>Hepatic Impairment</w:t>
      </w:r>
    </w:p>
    <w:p w:rsidR="00A56051" w:rsidRPr="00E11AD3" w:rsidRDefault="00A56051" w:rsidP="00A56051">
      <w:r w:rsidRPr="00116F4B">
        <w:t xml:space="preserve">No dosage adjustment of </w:t>
      </w:r>
      <w:r w:rsidR="000D7FE6">
        <w:t>ZEPATIER</w:t>
      </w:r>
      <w:r w:rsidRPr="00116F4B">
        <w:t xml:space="preserve"> is </w:t>
      </w:r>
      <w:r>
        <w:t xml:space="preserve">recommended </w:t>
      </w:r>
      <w:r w:rsidRPr="00116F4B">
        <w:t xml:space="preserve">in patients with mild hepatic impairment (Child-Pugh A). </w:t>
      </w:r>
      <w:r w:rsidR="000D7FE6">
        <w:t>ZEPATIER</w:t>
      </w:r>
      <w:r w:rsidRPr="00116F4B">
        <w:t xml:space="preserve"> is</w:t>
      </w:r>
      <w:r w:rsidR="007F3EBE">
        <w:t xml:space="preserve"> contraindicated </w:t>
      </w:r>
      <w:r w:rsidRPr="00116F4B">
        <w:t xml:space="preserve">in patients with moderate hepatic impairment (Child-Pugh B) due to a lack of clinical safety and efficacy experience in this </w:t>
      </w:r>
      <w:r>
        <w:t xml:space="preserve">patient </w:t>
      </w:r>
      <w:r w:rsidRPr="00116F4B">
        <w:t xml:space="preserve">population </w:t>
      </w:r>
      <w:r>
        <w:t xml:space="preserve">and </w:t>
      </w:r>
      <w:r w:rsidRPr="00116F4B">
        <w:t xml:space="preserve">the </w:t>
      </w:r>
      <w:r>
        <w:t>expected</w:t>
      </w:r>
      <w:r w:rsidRPr="00116F4B">
        <w:t xml:space="preserve"> increase in </w:t>
      </w:r>
      <w:proofErr w:type="spellStart"/>
      <w:r w:rsidRPr="00116F4B">
        <w:t>grazoprevir</w:t>
      </w:r>
      <w:proofErr w:type="spellEnd"/>
      <w:r w:rsidRPr="00116F4B">
        <w:t xml:space="preserve"> </w:t>
      </w:r>
      <w:r>
        <w:t xml:space="preserve">plasma concentration. </w:t>
      </w:r>
      <w:r w:rsidR="000D7FE6">
        <w:t>ZEPATIER</w:t>
      </w:r>
      <w:r w:rsidRPr="00116F4B">
        <w:t xml:space="preserve"> is contraindicated in patients with severe hepatic impairment (Child-Pugh C) </w:t>
      </w:r>
      <w:r>
        <w:t>due to</w:t>
      </w:r>
      <w:r w:rsidRPr="00116F4B">
        <w:t xml:space="preserve"> the </w:t>
      </w:r>
      <w:r>
        <w:t xml:space="preserve">expected significant </w:t>
      </w:r>
      <w:r w:rsidRPr="00116F4B">
        <w:t xml:space="preserve">increase in </w:t>
      </w:r>
      <w:proofErr w:type="spellStart"/>
      <w:r w:rsidRPr="00116F4B">
        <w:t>grazoprevir</w:t>
      </w:r>
      <w:proofErr w:type="spellEnd"/>
      <w:r w:rsidRPr="00116F4B">
        <w:t xml:space="preserve"> </w:t>
      </w:r>
      <w:r>
        <w:t>plasma concentration</w:t>
      </w:r>
      <w:r w:rsidR="00037470">
        <w:rPr>
          <w:i/>
        </w:rPr>
        <w:t xml:space="preserve"> (see CONTRAINDICATION</w:t>
      </w:r>
      <w:r w:rsidR="007F3EBE">
        <w:rPr>
          <w:i/>
        </w:rPr>
        <w:t>S</w:t>
      </w:r>
      <w:r>
        <w:rPr>
          <w:i/>
        </w:rPr>
        <w:t xml:space="preserve"> and </w:t>
      </w:r>
      <w:r w:rsidR="00771B82">
        <w:rPr>
          <w:i/>
        </w:rPr>
        <w:t>PREC</w:t>
      </w:r>
      <w:r w:rsidR="00AE7FCD">
        <w:rPr>
          <w:i/>
        </w:rPr>
        <w:t>A</w:t>
      </w:r>
      <w:r w:rsidR="00771B82">
        <w:rPr>
          <w:i/>
        </w:rPr>
        <w:t>UTIONS: Hepatic Impairment</w:t>
      </w:r>
      <w:r w:rsidRPr="00745E62">
        <w:rPr>
          <w:i/>
          <w:szCs w:val="18"/>
        </w:rPr>
        <w:t>)</w:t>
      </w:r>
      <w:r w:rsidRPr="00E11AD3">
        <w:rPr>
          <w:i/>
        </w:rPr>
        <w:t>.</w:t>
      </w:r>
      <w:r w:rsidRPr="00E11AD3">
        <w:t xml:space="preserve"> </w:t>
      </w:r>
    </w:p>
    <w:p w:rsidR="00A56051" w:rsidRPr="00E11AD3" w:rsidRDefault="00A56051" w:rsidP="00A56051">
      <w:pPr>
        <w:rPr>
          <w:rFonts w:ascii="Segoe UI" w:hAnsi="Segoe UI" w:cs="Segoe UI"/>
          <w:color w:val="1A1A1A"/>
        </w:rPr>
      </w:pPr>
      <w:r w:rsidRPr="00E11AD3">
        <w:t xml:space="preserve">The safety and efficacy of </w:t>
      </w:r>
      <w:r w:rsidR="000D7FE6">
        <w:t>ZEPATIER</w:t>
      </w:r>
      <w:r w:rsidRPr="00E11AD3">
        <w:t xml:space="preserve"> have not been established in patients awaiting liver transplant or in liver transplant recipients. The plasma concentration of </w:t>
      </w:r>
      <w:proofErr w:type="spellStart"/>
      <w:r w:rsidRPr="00E11AD3">
        <w:t>grazoprevir</w:t>
      </w:r>
      <w:proofErr w:type="spellEnd"/>
      <w:r w:rsidRPr="00E11AD3">
        <w:t xml:space="preserve"> is increased if </w:t>
      </w:r>
      <w:r w:rsidR="000D7FE6">
        <w:t>ZEPATIER</w:t>
      </w:r>
      <w:r w:rsidRPr="00E11AD3">
        <w:t xml:space="preserve"> is co-administered with cyclosporine. Co-administration with cyclosporine is </w:t>
      </w:r>
      <w:r w:rsidR="007F3EBE">
        <w:t xml:space="preserve">contraindicated </w:t>
      </w:r>
      <w:r>
        <w:rPr>
          <w:i/>
          <w:color w:val="1A1A1A"/>
        </w:rPr>
        <w:t>(</w:t>
      </w:r>
      <w:r w:rsidRPr="00E11AD3">
        <w:rPr>
          <w:i/>
          <w:color w:val="1A1A1A"/>
        </w:rPr>
        <w:t xml:space="preserve">see </w:t>
      </w:r>
      <w:r w:rsidR="00614D3C">
        <w:rPr>
          <w:i/>
          <w:color w:val="1A1A1A"/>
        </w:rPr>
        <w:t>CONTRAINDICATIONS</w:t>
      </w:r>
      <w:r>
        <w:rPr>
          <w:i/>
          <w:color w:val="1A1A1A"/>
        </w:rPr>
        <w:t>)</w:t>
      </w:r>
      <w:r w:rsidRPr="00E11AD3">
        <w:rPr>
          <w:i/>
          <w:color w:val="1A1A1A"/>
        </w:rPr>
        <w:t>.</w:t>
      </w:r>
      <w:r w:rsidRPr="00E11AD3">
        <w:rPr>
          <w:color w:val="1A1A1A"/>
        </w:rPr>
        <w:t xml:space="preserve"> </w:t>
      </w:r>
    </w:p>
    <w:p w:rsidR="00A56051" w:rsidRPr="00E11AD3" w:rsidRDefault="00840CD7" w:rsidP="00A56051">
      <w:pPr>
        <w:pStyle w:val="Heading2"/>
        <w:rPr>
          <w:color w:val="1A1A1A"/>
        </w:rPr>
      </w:pPr>
      <w:r>
        <w:t>HCV/</w:t>
      </w:r>
      <w:r w:rsidR="00A56051">
        <w:t>HBV</w:t>
      </w:r>
      <w:r w:rsidR="00771B82">
        <w:t xml:space="preserve"> (Hepatitis B Virus) Co-Infection</w:t>
      </w:r>
    </w:p>
    <w:p w:rsidR="00A56051" w:rsidRPr="006B3753" w:rsidRDefault="00A56051" w:rsidP="00A56051">
      <w:pPr>
        <w:rPr>
          <w:color w:val="1A1A1A"/>
        </w:rPr>
      </w:pPr>
      <w:r w:rsidRPr="00E11AD3">
        <w:t xml:space="preserve">The safety and efficacy of </w:t>
      </w:r>
      <w:r w:rsidR="000D7FE6">
        <w:t>ZEPATIER</w:t>
      </w:r>
      <w:r w:rsidRPr="00E11AD3">
        <w:t xml:space="preserve"> have not been studied in HCV/HBV co-infected patients. For dosing recommendations of HBV medicinal products, </w:t>
      </w:r>
      <w:r w:rsidRPr="00E11AD3">
        <w:rPr>
          <w:i/>
          <w:color w:val="1A1A1A"/>
        </w:rPr>
        <w:t xml:space="preserve">see </w:t>
      </w:r>
      <w:r w:rsidR="001D1F5A">
        <w:rPr>
          <w:i/>
          <w:color w:val="1A1A1A"/>
        </w:rPr>
        <w:t xml:space="preserve">INTERACTIONS WITH OTHER MEDICINES </w:t>
      </w:r>
      <w:r w:rsidRPr="00E11AD3">
        <w:rPr>
          <w:i/>
          <w:color w:val="1A1A1A"/>
        </w:rPr>
        <w:t xml:space="preserve">and </w:t>
      </w:r>
      <w:r w:rsidR="00037470">
        <w:rPr>
          <w:i/>
          <w:color w:val="1A1A1A"/>
          <w:highlight w:val="cyan"/>
        </w:rPr>
        <w:fldChar w:fldCharType="begin"/>
      </w:r>
      <w:r w:rsidR="00037470">
        <w:rPr>
          <w:i/>
          <w:color w:val="1A1A1A"/>
        </w:rPr>
        <w:instrText xml:space="preserve"> REF _Ref423010379 \h </w:instrText>
      </w:r>
      <w:r w:rsidR="00037470">
        <w:rPr>
          <w:i/>
          <w:color w:val="1A1A1A"/>
          <w:highlight w:val="cyan"/>
        </w:rPr>
      </w:r>
      <w:r w:rsidR="00037470">
        <w:rPr>
          <w:i/>
          <w:color w:val="1A1A1A"/>
          <w:highlight w:val="cyan"/>
        </w:rPr>
        <w:fldChar w:fldCharType="separate"/>
      </w:r>
      <w:r w:rsidR="00037470">
        <w:t xml:space="preserve">Table </w:t>
      </w:r>
      <w:r w:rsidR="003704C6">
        <w:t>10</w:t>
      </w:r>
      <w:r w:rsidR="00037470">
        <w:rPr>
          <w:i/>
          <w:color w:val="1A1A1A"/>
          <w:highlight w:val="cyan"/>
        </w:rPr>
        <w:fldChar w:fldCharType="end"/>
      </w:r>
      <w:r w:rsidR="00CE5DB9">
        <w:rPr>
          <w:i/>
          <w:color w:val="1A1A1A"/>
        </w:rPr>
        <w:t xml:space="preserve"> </w:t>
      </w:r>
      <w:r w:rsidR="00CE5DB9">
        <w:rPr>
          <w:i/>
        </w:rPr>
        <w:t>Drug Interactions</w:t>
      </w:r>
      <w:r w:rsidRPr="00E11AD3">
        <w:rPr>
          <w:i/>
          <w:color w:val="1A1A1A"/>
        </w:rPr>
        <w:t>.</w:t>
      </w:r>
      <w:r w:rsidRPr="00D158D0">
        <w:rPr>
          <w:color w:val="1A1A1A"/>
        </w:rPr>
        <w:t xml:space="preserve"> </w:t>
      </w:r>
    </w:p>
    <w:p w:rsidR="005E7C34" w:rsidRDefault="00EC2F3B" w:rsidP="005E7C34">
      <w:pPr>
        <w:pStyle w:val="Heading2"/>
      </w:pPr>
      <w:r>
        <w:t>Paediatric</w:t>
      </w:r>
      <w:r w:rsidR="005E7C34">
        <w:t xml:space="preserve"> Patients</w:t>
      </w:r>
    </w:p>
    <w:p w:rsidR="005E7C34" w:rsidRDefault="005E7C34" w:rsidP="005E7C34">
      <w:r w:rsidRPr="00DE30A7">
        <w:t xml:space="preserve">Safety and efficacy of </w:t>
      </w:r>
      <w:r w:rsidR="000D7FE6">
        <w:t>ZEPATIER</w:t>
      </w:r>
      <w:r>
        <w:t xml:space="preserve"> </w:t>
      </w:r>
      <w:r w:rsidRPr="00DE30A7">
        <w:t xml:space="preserve">have not been established in </w:t>
      </w:r>
      <w:r w:rsidR="00EC2F3B">
        <w:t>paediatric</w:t>
      </w:r>
      <w:r w:rsidRPr="00DE30A7">
        <w:t xml:space="preserve"> patients less than 18 years of age.</w:t>
      </w:r>
    </w:p>
    <w:p w:rsidR="005E7C34" w:rsidRDefault="005E7C34" w:rsidP="005E7C34">
      <w:pPr>
        <w:pStyle w:val="Heading2"/>
      </w:pPr>
      <w:r>
        <w:t>Geriatric Patients</w:t>
      </w:r>
    </w:p>
    <w:p w:rsidR="005E7C34" w:rsidRPr="00745E62" w:rsidRDefault="005E7C34" w:rsidP="005E7C34">
      <w:r w:rsidRPr="00745E62">
        <w:t xml:space="preserve">No dosage adjustment of </w:t>
      </w:r>
      <w:r w:rsidR="000D7FE6">
        <w:t>ZEPATIER</w:t>
      </w:r>
      <w:r w:rsidRPr="00745E62">
        <w:t xml:space="preserve"> is recommended in geriatric patients </w:t>
      </w:r>
      <w:r>
        <w:rPr>
          <w:i/>
          <w:iCs/>
        </w:rPr>
        <w:t>(</w:t>
      </w:r>
      <w:r w:rsidRPr="00745E62">
        <w:rPr>
          <w:i/>
          <w:iCs/>
        </w:rPr>
        <w:t xml:space="preserve">see </w:t>
      </w:r>
      <w:r w:rsidR="00D63B6C">
        <w:rPr>
          <w:i/>
          <w:iCs/>
        </w:rPr>
        <w:t>PREC</w:t>
      </w:r>
      <w:r w:rsidR="00771B82">
        <w:rPr>
          <w:i/>
          <w:iCs/>
        </w:rPr>
        <w:t>A</w:t>
      </w:r>
      <w:r w:rsidR="00D63B6C">
        <w:rPr>
          <w:i/>
          <w:iCs/>
        </w:rPr>
        <w:t>UTIONS: Use in Elderly</w:t>
      </w:r>
      <w:r>
        <w:rPr>
          <w:i/>
          <w:iCs/>
        </w:rPr>
        <w:t>).</w:t>
      </w:r>
    </w:p>
    <w:p w:rsidR="008F2853" w:rsidRDefault="008F2853">
      <w:pPr>
        <w:spacing w:before="0" w:after="0"/>
        <w:rPr>
          <w:b/>
          <w:caps/>
          <w:kern w:val="28"/>
          <w:sz w:val="24"/>
          <w:u w:val="single"/>
        </w:rPr>
      </w:pPr>
    </w:p>
    <w:p w:rsidR="00C07ED9" w:rsidRPr="00F42F76" w:rsidRDefault="00CC78DD" w:rsidP="00F42F76">
      <w:pPr>
        <w:pStyle w:val="Heading2"/>
      </w:pPr>
      <w:r w:rsidRPr="00F42F76">
        <w:t>OVERDOSAGE</w:t>
      </w:r>
    </w:p>
    <w:p w:rsidR="00363143" w:rsidRDefault="00363143" w:rsidP="00363143">
      <w:pPr>
        <w:rPr>
          <w:rFonts w:ascii="Times New Roman" w:hAnsi="Times New Roman"/>
          <w:sz w:val="18"/>
        </w:rPr>
      </w:pPr>
      <w:r w:rsidRPr="00224DEB">
        <w:t xml:space="preserve">Human experience of overdose with </w:t>
      </w:r>
      <w:r w:rsidR="000D7FE6">
        <w:t>ZEPATIER</w:t>
      </w:r>
      <w:r w:rsidRPr="00224DEB">
        <w:t xml:space="preserve"> is limited. No specific antidote is available for overdose with </w:t>
      </w:r>
      <w:r w:rsidR="000D7FE6">
        <w:t>ZEPATIER</w:t>
      </w:r>
      <w:r w:rsidRPr="00224DEB">
        <w:t xml:space="preserve">. In case of overdose, it is recommended that the patient be monitored for any signs or symptoms of adverse reactions and appropriate symptomatic treatment instituted. </w:t>
      </w:r>
    </w:p>
    <w:p w:rsidR="00363143" w:rsidRDefault="00363143" w:rsidP="00363143">
      <w:r w:rsidRPr="00351493">
        <w:t>H</w:t>
      </w:r>
      <w:r w:rsidR="00AA259D">
        <w:t>a</w:t>
      </w:r>
      <w:r w:rsidRPr="00351493">
        <w:t xml:space="preserve">emodialysis </w:t>
      </w:r>
      <w:r w:rsidRPr="00DC3B91">
        <w:t xml:space="preserve">does not </w:t>
      </w:r>
      <w:r w:rsidRPr="00937C61">
        <w:t>r</w:t>
      </w:r>
      <w:r w:rsidRPr="00351493">
        <w:t xml:space="preserve">emove </w:t>
      </w:r>
      <w:proofErr w:type="spellStart"/>
      <w:r w:rsidR="00A24540" w:rsidRPr="00351493">
        <w:t>elbasvir</w:t>
      </w:r>
      <w:proofErr w:type="spellEnd"/>
      <w:r w:rsidR="00A24540" w:rsidRPr="00351493">
        <w:t xml:space="preserve"> </w:t>
      </w:r>
      <w:r w:rsidR="00A24540">
        <w:t xml:space="preserve">or </w:t>
      </w:r>
      <w:proofErr w:type="spellStart"/>
      <w:r w:rsidRPr="00351493">
        <w:t>grazoprevir</w:t>
      </w:r>
      <w:proofErr w:type="spellEnd"/>
      <w:r w:rsidRPr="00351493">
        <w:t xml:space="preserve"> since </w:t>
      </w:r>
      <w:proofErr w:type="spellStart"/>
      <w:r w:rsidR="00A24540" w:rsidRPr="00351493">
        <w:t>elbasvir</w:t>
      </w:r>
      <w:proofErr w:type="spellEnd"/>
      <w:r w:rsidR="00A24540" w:rsidRPr="00351493">
        <w:t xml:space="preserve"> </w:t>
      </w:r>
      <w:r w:rsidR="00A24540">
        <w:t xml:space="preserve">and </w:t>
      </w:r>
      <w:proofErr w:type="spellStart"/>
      <w:r w:rsidRPr="00351493">
        <w:t>grazoprevir</w:t>
      </w:r>
      <w:proofErr w:type="spellEnd"/>
      <w:r w:rsidRPr="00351493">
        <w:t xml:space="preserve"> are highly bound to plasma protein</w:t>
      </w:r>
      <w:r w:rsidR="00771B82">
        <w:t xml:space="preserve">. </w:t>
      </w:r>
    </w:p>
    <w:p w:rsidR="00771B82" w:rsidRPr="00903683" w:rsidRDefault="00771B82" w:rsidP="00771B82">
      <w:r w:rsidRPr="00903683">
        <w:t>For information on the management of overdose, contact the Poison Information Centre on 131126 (Australia).</w:t>
      </w:r>
    </w:p>
    <w:p w:rsidR="0071229A" w:rsidRDefault="0071229A" w:rsidP="00F42F76"/>
    <w:p w:rsidR="00CC78DD" w:rsidRPr="000D6E58" w:rsidRDefault="00CC78DD">
      <w:pPr>
        <w:pStyle w:val="Heading1"/>
        <w:rPr>
          <w:u w:val="single"/>
        </w:rPr>
      </w:pPr>
      <w:r w:rsidRPr="000D6E58">
        <w:rPr>
          <w:u w:val="single"/>
        </w:rPr>
        <w:t>PRESENTATION</w:t>
      </w:r>
      <w:r w:rsidR="0071229A" w:rsidRPr="000D6E58">
        <w:rPr>
          <w:u w:val="single"/>
        </w:rPr>
        <w:t xml:space="preserve"> &amp; STORAGE CONDITIONS </w:t>
      </w:r>
    </w:p>
    <w:p w:rsidR="0071229A" w:rsidRDefault="000D7FE6" w:rsidP="0071229A">
      <w:pPr>
        <w:autoSpaceDE w:val="0"/>
        <w:autoSpaceDN w:val="0"/>
        <w:adjustRightInd w:val="0"/>
        <w:jc w:val="both"/>
        <w:rPr>
          <w:szCs w:val="18"/>
        </w:rPr>
      </w:pPr>
      <w:r>
        <w:t>ZEPATIER</w:t>
      </w:r>
      <w:r w:rsidR="0071229A" w:rsidRPr="0071229A">
        <w:t xml:space="preserve"> is a fixed-dose combination tablet containing </w:t>
      </w:r>
      <w:proofErr w:type="spellStart"/>
      <w:r w:rsidR="00A24540" w:rsidRPr="00351493">
        <w:t>elbasvir</w:t>
      </w:r>
      <w:proofErr w:type="spellEnd"/>
      <w:r w:rsidR="00A24540" w:rsidRPr="00351493">
        <w:t xml:space="preserve"> </w:t>
      </w:r>
      <w:r w:rsidR="00A24540">
        <w:t xml:space="preserve">and </w:t>
      </w:r>
      <w:proofErr w:type="spellStart"/>
      <w:r w:rsidR="0071229A" w:rsidRPr="0071229A">
        <w:t>grazoprevir</w:t>
      </w:r>
      <w:proofErr w:type="spellEnd"/>
      <w:r w:rsidR="0071229A" w:rsidRPr="0071229A">
        <w:t xml:space="preserve"> for oral administration.</w:t>
      </w:r>
      <w:r w:rsidR="0071229A" w:rsidRPr="0071229A">
        <w:rPr>
          <w:szCs w:val="18"/>
        </w:rPr>
        <w:t xml:space="preserve"> </w:t>
      </w:r>
      <w:r w:rsidR="0071229A">
        <w:rPr>
          <w:szCs w:val="18"/>
        </w:rPr>
        <w:t xml:space="preserve">Each tablet contains </w:t>
      </w:r>
      <w:r w:rsidR="00A24540">
        <w:rPr>
          <w:szCs w:val="18"/>
        </w:rPr>
        <w:t xml:space="preserve">50mg </w:t>
      </w:r>
      <w:proofErr w:type="spellStart"/>
      <w:r w:rsidR="00A24540">
        <w:rPr>
          <w:szCs w:val="18"/>
        </w:rPr>
        <w:t>elbasvir</w:t>
      </w:r>
      <w:proofErr w:type="spellEnd"/>
      <w:r w:rsidR="00A24540">
        <w:rPr>
          <w:szCs w:val="18"/>
        </w:rPr>
        <w:t xml:space="preserve"> and </w:t>
      </w:r>
      <w:r w:rsidR="0071229A">
        <w:rPr>
          <w:szCs w:val="18"/>
        </w:rPr>
        <w:t xml:space="preserve">100mg </w:t>
      </w:r>
      <w:proofErr w:type="spellStart"/>
      <w:r w:rsidR="0071229A">
        <w:rPr>
          <w:szCs w:val="18"/>
        </w:rPr>
        <w:t>grazoprevir</w:t>
      </w:r>
      <w:proofErr w:type="spellEnd"/>
      <w:r w:rsidR="0071229A">
        <w:rPr>
          <w:szCs w:val="18"/>
        </w:rPr>
        <w:t xml:space="preserve">. </w:t>
      </w:r>
    </w:p>
    <w:p w:rsidR="0067622B" w:rsidRDefault="0067622B" w:rsidP="0067622B">
      <w:r w:rsidRPr="00D63B6C">
        <w:t>The tablets are packaged into a carton containing two cardboard</w:t>
      </w:r>
      <w:r w:rsidR="005E7C34" w:rsidRPr="00D63B6C">
        <w:t xml:space="preserve"> </w:t>
      </w:r>
      <w:r w:rsidR="00771B82">
        <w:t>wallets</w:t>
      </w:r>
      <w:r w:rsidRPr="00D63B6C">
        <w:t xml:space="preserve">, each cardboard </w:t>
      </w:r>
      <w:r w:rsidR="00771B82">
        <w:t xml:space="preserve">wallet </w:t>
      </w:r>
      <w:r w:rsidRPr="00D63B6C">
        <w:t xml:space="preserve">containing </w:t>
      </w:r>
      <w:r w:rsidR="00771B82">
        <w:t>14</w:t>
      </w:r>
      <w:r w:rsidRPr="00D63B6C">
        <w:t xml:space="preserve">-count </w:t>
      </w:r>
      <w:r w:rsidR="00771B82">
        <w:t>tablets within</w:t>
      </w:r>
      <w:r w:rsidR="00EA2384">
        <w:t xml:space="preserve"> Al/Al</w:t>
      </w:r>
      <w:r w:rsidR="00771B82">
        <w:t xml:space="preserve"> </w:t>
      </w:r>
      <w:r w:rsidRPr="00D63B6C">
        <w:t>blister</w:t>
      </w:r>
      <w:r w:rsidR="00771B82">
        <w:t xml:space="preserve">s.  Each carton contains </w:t>
      </w:r>
      <w:r w:rsidRPr="00D63B6C">
        <w:t xml:space="preserve">a total of 28 tablets. </w:t>
      </w:r>
    </w:p>
    <w:p w:rsidR="00394C9F" w:rsidRPr="004A0C05" w:rsidRDefault="00771B82" w:rsidP="00394C9F">
      <w:r>
        <w:lastRenderedPageBreak/>
        <w:t xml:space="preserve">Store </w:t>
      </w:r>
      <w:r w:rsidR="000D7FE6">
        <w:t>ZEPATIER</w:t>
      </w:r>
      <w:r>
        <w:t xml:space="preserve"> below</w:t>
      </w:r>
      <w:r w:rsidRPr="00F42F76">
        <w:t xml:space="preserve"> 30</w:t>
      </w:r>
      <w:r w:rsidRPr="00F42F76">
        <w:rPr>
          <w:rFonts w:cs="Calibri"/>
        </w:rPr>
        <w:t>°</w:t>
      </w:r>
      <w:r w:rsidRPr="00F42F76">
        <w:t>C.</w:t>
      </w:r>
      <w:r>
        <w:t xml:space="preserve"> </w:t>
      </w:r>
      <w:proofErr w:type="gramStart"/>
      <w:r w:rsidR="00394C9F" w:rsidRPr="00D63B6C">
        <w:t xml:space="preserve">Store </w:t>
      </w:r>
      <w:r w:rsidR="000D7FE6">
        <w:t>ZEPATIER</w:t>
      </w:r>
      <w:r w:rsidR="00394C9F" w:rsidRPr="00D63B6C">
        <w:t xml:space="preserve"> in the original blister package until use to protect from moisture.</w:t>
      </w:r>
      <w:proofErr w:type="gramEnd"/>
    </w:p>
    <w:p w:rsidR="0071229A" w:rsidRDefault="0071229A" w:rsidP="00F42F76"/>
    <w:p w:rsidR="00787CE0" w:rsidRDefault="00787CE0">
      <w:pPr>
        <w:spacing w:before="0" w:after="0"/>
        <w:rPr>
          <w:b/>
          <w:caps/>
          <w:kern w:val="28"/>
          <w:sz w:val="24"/>
        </w:rPr>
      </w:pPr>
      <w:r>
        <w:br w:type="page"/>
      </w:r>
    </w:p>
    <w:p w:rsidR="00EC55E3" w:rsidRPr="00F42F76" w:rsidRDefault="007121DA">
      <w:pPr>
        <w:pStyle w:val="Heading1"/>
      </w:pPr>
      <w:r w:rsidRPr="00F42F76">
        <w:lastRenderedPageBreak/>
        <w:t xml:space="preserve">name and address of the </w:t>
      </w:r>
      <w:r w:rsidR="00CC78DD" w:rsidRPr="00F42F76">
        <w:t xml:space="preserve">SPONSOR </w:t>
      </w:r>
      <w:r w:rsidR="00771B82" w:rsidRPr="00F42F76">
        <w:t>IN AUSTRALIA</w:t>
      </w:r>
    </w:p>
    <w:p w:rsidR="00394C9F" w:rsidRDefault="00EC55E3" w:rsidP="00DC43F1">
      <w:r w:rsidRPr="005F6BAA">
        <w:t xml:space="preserve">Merck Sharp &amp; </w:t>
      </w:r>
      <w:proofErr w:type="spellStart"/>
      <w:r w:rsidRPr="005F6BAA">
        <w:t>Dohme</w:t>
      </w:r>
      <w:proofErr w:type="spellEnd"/>
      <w:r w:rsidRPr="005F6BAA">
        <w:t xml:space="preserve"> (Australia) Pty Limited </w:t>
      </w:r>
    </w:p>
    <w:p w:rsidR="00394C9F" w:rsidRDefault="00394C9F" w:rsidP="00DC43F1">
      <w:r>
        <w:t>Level 1, Building A</w:t>
      </w:r>
    </w:p>
    <w:p w:rsidR="00394C9F" w:rsidRDefault="00394C9F" w:rsidP="00DC43F1">
      <w:r>
        <w:t>26 Talavera Road</w:t>
      </w:r>
    </w:p>
    <w:p w:rsidR="00EC55E3" w:rsidRPr="005F6BAA" w:rsidRDefault="00394C9F" w:rsidP="00DC43F1">
      <w:r>
        <w:t>Macquarie Park, 2113</w:t>
      </w:r>
      <w:r w:rsidR="00EC55E3" w:rsidRPr="005F6BAA">
        <w:t xml:space="preserve"> </w:t>
      </w:r>
    </w:p>
    <w:p w:rsidR="00EC55E3" w:rsidRDefault="00EC55E3" w:rsidP="00DC43F1">
      <w:r w:rsidRPr="005F6BAA">
        <w:t>Australia</w:t>
      </w:r>
    </w:p>
    <w:p w:rsidR="00CC78DD" w:rsidRPr="00F42F76" w:rsidRDefault="00CC78DD" w:rsidP="000D7FE6">
      <w:pPr>
        <w:pStyle w:val="Heading1"/>
      </w:pPr>
      <w:r w:rsidRPr="00F42F76">
        <w:t xml:space="preserve">POISON SCHEDULE OF THE </w:t>
      </w:r>
      <w:r w:rsidR="007121DA" w:rsidRPr="00F42F76">
        <w:t>MEDICINE</w:t>
      </w:r>
    </w:p>
    <w:p w:rsidR="00CC78DD" w:rsidRPr="005F6BAA" w:rsidRDefault="00CC78DD" w:rsidP="00DC43F1">
      <w:r w:rsidRPr="005F6BAA">
        <w:t xml:space="preserve">Schedule 4 </w:t>
      </w:r>
    </w:p>
    <w:p w:rsidR="00CC78DD" w:rsidRPr="005F6BAA" w:rsidRDefault="00CC78DD" w:rsidP="00DC43F1">
      <w:r w:rsidRPr="005F6BAA">
        <w:t>Prescription Only Medicine</w:t>
      </w:r>
    </w:p>
    <w:p w:rsidR="0071229A" w:rsidRDefault="0071229A" w:rsidP="00F42F76"/>
    <w:p w:rsidR="00762179" w:rsidRPr="0071229A" w:rsidRDefault="00762179" w:rsidP="00F42F76">
      <w:pPr>
        <w:pStyle w:val="Heading1"/>
      </w:pPr>
      <w:r w:rsidRPr="0071229A">
        <w:t>DATE OF FIRST INCLUSION IN THE AUSTRALIAN REGISTER OF THERAPEUTIC GOODS (THE ARTG)</w:t>
      </w:r>
    </w:p>
    <w:p w:rsidR="00CC78DD" w:rsidRDefault="001A42B2" w:rsidP="00DC43F1">
      <w:r>
        <w:t>29</w:t>
      </w:r>
      <w:r w:rsidR="001A13AF">
        <w:t xml:space="preserve"> </w:t>
      </w:r>
      <w:r>
        <w:t xml:space="preserve">August 2016 </w:t>
      </w:r>
    </w:p>
    <w:p w:rsidR="0071229A" w:rsidRDefault="0071229A" w:rsidP="00DC43F1"/>
    <w:p w:rsidR="0071229A" w:rsidRPr="0071229A" w:rsidRDefault="0071229A" w:rsidP="00F42F76">
      <w:pPr>
        <w:pStyle w:val="Heading1"/>
      </w:pPr>
      <w:r w:rsidRPr="0071229A">
        <w:t>DATE OF MOST RECENT AMENDMENT</w:t>
      </w:r>
    </w:p>
    <w:p w:rsidR="0071229A" w:rsidRPr="0071229A" w:rsidRDefault="0071229A" w:rsidP="00DC43F1">
      <w:r w:rsidRPr="0071229A">
        <w:t xml:space="preserve">There have been no amendments to this Product Information to date. </w:t>
      </w:r>
    </w:p>
    <w:sectPr w:rsidR="0071229A" w:rsidRPr="0071229A" w:rsidSect="00157EE1">
      <w:headerReference w:type="even" r:id="rId15"/>
      <w:headerReference w:type="default" r:id="rId16"/>
      <w:footerReference w:type="default" r:id="rId17"/>
      <w:headerReference w:type="first" r:id="rId18"/>
      <w:pgSz w:w="12240" w:h="15840" w:code="1"/>
      <w:pgMar w:top="1134" w:right="1440" w:bottom="720" w:left="1440" w:header="567" w:footer="2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A94" w:rsidRDefault="00A96A94" w:rsidP="00DC43F1">
      <w:r>
        <w:separator/>
      </w:r>
    </w:p>
  </w:endnote>
  <w:endnote w:type="continuationSeparator" w:id="0">
    <w:p w:rsidR="00A96A94" w:rsidRDefault="00A96A94" w:rsidP="00DC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MS Mincho"/>
    <w:panose1 w:val="00000000000000000000"/>
    <w:charset w:val="80"/>
    <w:family w:val="auto"/>
    <w:notTrueType/>
    <w:pitch w:val="default"/>
    <w:sig w:usb0="00000003" w:usb1="08070000" w:usb2="00000010" w:usb3="00000000" w:csb0="00020001" w:csb1="00000000"/>
  </w:font>
  <w:font w:name="UniversLTStd-Cn">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353809"/>
      <w:docPartObj>
        <w:docPartGallery w:val="Page Numbers (Bottom of Page)"/>
        <w:docPartUnique/>
      </w:docPartObj>
    </w:sdtPr>
    <w:sdtEndPr>
      <w:rPr>
        <w:noProof/>
      </w:rPr>
    </w:sdtEndPr>
    <w:sdtContent>
      <w:p w:rsidR="00A96A94" w:rsidRPr="001A47F2" w:rsidRDefault="00A96A94" w:rsidP="00017D6F">
        <w:pPr>
          <w:pStyle w:val="Footer"/>
          <w:rPr>
            <w:sz w:val="20"/>
            <w:szCs w:val="20"/>
          </w:rPr>
        </w:pPr>
      </w:p>
      <w:p w:rsidR="00A96A94" w:rsidRDefault="00A96A94" w:rsidP="00E44042">
        <w:pPr>
          <w:pStyle w:val="Footer"/>
          <w:tabs>
            <w:tab w:val="clear" w:pos="8640"/>
            <w:tab w:val="right" w:pos="9356"/>
          </w:tabs>
          <w:rPr>
            <w:noProof/>
          </w:rPr>
        </w:pPr>
        <w:r w:rsidRPr="001A47F2">
          <w:rPr>
            <w:sz w:val="20"/>
            <w:szCs w:val="20"/>
          </w:rPr>
          <w:t>CCDS-MK-5172A-T-022016</w:t>
        </w:r>
        <w:r w:rsidRPr="001A47F2">
          <w:rPr>
            <w:noProof/>
            <w:sz w:val="20"/>
            <w:szCs w:val="20"/>
          </w:rPr>
          <w:t xml:space="preserve"> </w:t>
        </w:r>
        <w:r>
          <w:rPr>
            <w:noProof/>
          </w:rPr>
          <w:t xml:space="preserve">            </w:t>
        </w:r>
        <w:r>
          <w:rPr>
            <w:noProof/>
          </w:rPr>
          <w:tab/>
        </w:r>
        <w:r>
          <w:rPr>
            <w:noProof/>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A94" w:rsidRDefault="00A96A94" w:rsidP="00DC43F1">
      <w:r>
        <w:separator/>
      </w:r>
    </w:p>
  </w:footnote>
  <w:footnote w:type="continuationSeparator" w:id="0">
    <w:p w:rsidR="00A96A94" w:rsidRDefault="00A96A94" w:rsidP="00DC4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94" w:rsidRPr="008C28C2" w:rsidRDefault="00A96A94" w:rsidP="00DC43F1">
    <w:r>
      <w:tab/>
    </w:r>
    <w:r w:rsidRPr="008C28C2">
      <w:t>CURRENT CIRCULAR SHOWING REVISIONS</w:t>
    </w:r>
    <w:r>
      <w:tab/>
    </w:r>
    <w:r w:rsidRPr="008C28C2">
      <w:t>COMMENTS / SUPPORT</w:t>
    </w:r>
  </w:p>
  <w:p w:rsidR="00A96A94" w:rsidRDefault="00A96A94" w:rsidP="00DC43F1">
    <w:pPr>
      <w:pStyle w:val="Header"/>
    </w:pPr>
  </w:p>
  <w:p w:rsidR="00A96A94" w:rsidRDefault="00A96A94" w:rsidP="00DC4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A96A94" w:rsidTr="00A96A94">
      <w:tc>
        <w:tcPr>
          <w:tcW w:w="8720" w:type="dxa"/>
          <w:shd w:val="clear" w:color="auto" w:fill="E4F2E0"/>
        </w:tcPr>
        <w:p w:rsidR="00A96A94" w:rsidRPr="00D361CA" w:rsidRDefault="00A96A94" w:rsidP="003C64B1">
          <w:pPr>
            <w:spacing w:before="40" w:after="40"/>
            <w:rPr>
              <w:b/>
              <w:sz w:val="20"/>
              <w:szCs w:val="20"/>
            </w:rPr>
          </w:pPr>
          <w:r w:rsidRPr="00D361CA">
            <w:rPr>
              <w:b/>
              <w:sz w:val="20"/>
              <w:szCs w:val="20"/>
            </w:rPr>
            <w:t xml:space="preserve">Attachment 1: Product information for </w:t>
          </w:r>
          <w:proofErr w:type="spellStart"/>
          <w:r w:rsidRPr="00D361CA">
            <w:rPr>
              <w:b/>
              <w:sz w:val="20"/>
              <w:szCs w:val="20"/>
            </w:rPr>
            <w:t>AusPAR</w:t>
          </w:r>
          <w:proofErr w:type="spellEnd"/>
          <w:r w:rsidRPr="00D361CA">
            <w:rPr>
              <w:b/>
              <w:sz w:val="20"/>
              <w:szCs w:val="20"/>
            </w:rPr>
            <w:t xml:space="preserve"> </w:t>
          </w:r>
          <w:proofErr w:type="spellStart"/>
          <w:r w:rsidR="003C64B1" w:rsidRPr="003C64B1">
            <w:rPr>
              <w:b/>
              <w:sz w:val="20"/>
              <w:szCs w:val="20"/>
            </w:rPr>
            <w:t>Zepatier</w:t>
          </w:r>
          <w:proofErr w:type="spellEnd"/>
          <w:r w:rsidR="003C64B1" w:rsidRPr="003C64B1">
            <w:rPr>
              <w:b/>
              <w:sz w:val="20"/>
              <w:szCs w:val="20"/>
            </w:rPr>
            <w:t xml:space="preserve"> </w:t>
          </w:r>
          <w:proofErr w:type="spellStart"/>
          <w:r w:rsidR="003C64B1" w:rsidRPr="003C64B1">
            <w:rPr>
              <w:b/>
              <w:sz w:val="20"/>
              <w:szCs w:val="20"/>
            </w:rPr>
            <w:t>Grazoprevir</w:t>
          </w:r>
          <w:proofErr w:type="spellEnd"/>
          <w:r w:rsidR="003C64B1" w:rsidRPr="003C64B1">
            <w:rPr>
              <w:b/>
              <w:sz w:val="20"/>
              <w:szCs w:val="20"/>
            </w:rPr>
            <w:t xml:space="preserve"> /</w:t>
          </w:r>
          <w:proofErr w:type="spellStart"/>
          <w:r w:rsidR="003C64B1" w:rsidRPr="003C64B1">
            <w:rPr>
              <w:b/>
              <w:sz w:val="20"/>
              <w:szCs w:val="20"/>
            </w:rPr>
            <w:t>Elbasvir</w:t>
          </w:r>
          <w:proofErr w:type="spellEnd"/>
          <w:r w:rsidR="003C64B1" w:rsidRPr="003C64B1">
            <w:rPr>
              <w:b/>
              <w:sz w:val="20"/>
              <w:szCs w:val="20"/>
            </w:rPr>
            <w:t xml:space="preserve"> Merck Sharp and</w:t>
          </w:r>
          <w:r w:rsidR="003C64B1">
            <w:rPr>
              <w:b/>
              <w:sz w:val="20"/>
              <w:szCs w:val="20"/>
            </w:rPr>
            <w:t xml:space="preserve"> </w:t>
          </w:r>
          <w:proofErr w:type="spellStart"/>
          <w:r w:rsidR="003C64B1">
            <w:rPr>
              <w:b/>
              <w:sz w:val="20"/>
              <w:szCs w:val="20"/>
            </w:rPr>
            <w:t>Dohme</w:t>
          </w:r>
          <w:proofErr w:type="spellEnd"/>
          <w:r w:rsidR="003C64B1">
            <w:rPr>
              <w:b/>
              <w:sz w:val="20"/>
              <w:szCs w:val="20"/>
            </w:rPr>
            <w:t xml:space="preserve"> (Australia) Pty Limited </w:t>
          </w:r>
          <w:r w:rsidR="003C64B1" w:rsidRPr="003C64B1">
            <w:rPr>
              <w:b/>
              <w:sz w:val="20"/>
              <w:szCs w:val="20"/>
            </w:rPr>
            <w:t>PM-2015-02428-1-2 15 May 2017</w:t>
          </w:r>
          <w:r w:rsidR="007233E7">
            <w:rPr>
              <w:b/>
              <w:sz w:val="20"/>
              <w:szCs w:val="20"/>
            </w:rPr>
            <w:t xml:space="preserve"> </w:t>
          </w:r>
          <w:r w:rsidRPr="00D361CA">
            <w:rPr>
              <w:b/>
              <w:sz w:val="20"/>
              <w:szCs w:val="20"/>
            </w:rPr>
            <w:t xml:space="preserve">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A96A94" w:rsidRPr="006316CA" w:rsidRDefault="00A96A94" w:rsidP="00E44042">
    <w:pPr>
      <w:pStyle w:val="Header"/>
      <w:tabs>
        <w:tab w:val="clear" w:pos="8640"/>
        <w:tab w:val="right" w:pos="9356"/>
      </w:tabs>
      <w:rPr>
        <w:b/>
      </w:rPr>
    </w:pPr>
    <w:r>
      <w:tab/>
      <w:t xml:space="preserve"> </w:t>
    </w:r>
    <w:r>
      <w:tab/>
      <w:t xml:space="preserve"> </w:t>
    </w:r>
    <w:r>
      <w:fldChar w:fldCharType="begin"/>
    </w:r>
    <w:r>
      <w:instrText xml:space="preserve"> PAGE   \* MERGEFORMAT </w:instrText>
    </w:r>
    <w:r>
      <w:fldChar w:fldCharType="separate"/>
    </w:r>
    <w:r w:rsidR="007233E7">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94" w:rsidRPr="008C28C2" w:rsidRDefault="00A96A94" w:rsidP="00DC43F1">
    <w:r>
      <w:tab/>
    </w:r>
    <w:r w:rsidRPr="008C28C2">
      <w:t>CURRENT CIRCULAR SHOWING REVISIONS</w:t>
    </w:r>
    <w:r>
      <w:tab/>
    </w:r>
    <w:r w:rsidRPr="008C28C2">
      <w:t>COMMENTS / SUPPORT</w:t>
    </w:r>
  </w:p>
  <w:p w:rsidR="00A96A94" w:rsidRDefault="00A96A94" w:rsidP="00DC43F1">
    <w:pPr>
      <w:pStyle w:val="Header"/>
    </w:pPr>
  </w:p>
  <w:p w:rsidR="00A96A94" w:rsidRDefault="00A96A94" w:rsidP="00DC4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43C8"/>
    <w:multiLevelType w:val="hybridMultilevel"/>
    <w:tmpl w:val="A38E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713C9"/>
    <w:multiLevelType w:val="hybridMultilevel"/>
    <w:tmpl w:val="74C4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B3B4F"/>
    <w:multiLevelType w:val="singleLevel"/>
    <w:tmpl w:val="2B942758"/>
    <w:lvl w:ilvl="0">
      <w:start w:val="1"/>
      <w:numFmt w:val="bullet"/>
      <w:pStyle w:val="bullet"/>
      <w:lvlText w:val=""/>
      <w:lvlJc w:val="left"/>
      <w:pPr>
        <w:tabs>
          <w:tab w:val="num" w:pos="360"/>
        </w:tabs>
        <w:ind w:left="360" w:hanging="360"/>
      </w:pPr>
      <w:rPr>
        <w:rFonts w:ascii="Symbol" w:hAnsi="Symbol" w:hint="default"/>
      </w:rPr>
    </w:lvl>
  </w:abstractNum>
  <w:abstractNum w:abstractNumId="3">
    <w:nsid w:val="1C397EE4"/>
    <w:multiLevelType w:val="singleLevel"/>
    <w:tmpl w:val="E9E6BF3C"/>
    <w:name w:val="WWtfl"/>
    <w:lvl w:ilvl="0">
      <w:start w:val="1"/>
      <w:numFmt w:val="lowerLetter"/>
      <w:pStyle w:val="TableFootnoteLetter"/>
      <w:lvlText w:val="%1"/>
      <w:lvlJc w:val="left"/>
      <w:pPr>
        <w:tabs>
          <w:tab w:val="num" w:pos="360"/>
        </w:tabs>
        <w:ind w:left="360" w:hanging="360"/>
      </w:pPr>
      <w:rPr>
        <w:rFonts w:ascii="Arial" w:hAnsi="Arial" w:cs="Arial" w:hint="default"/>
        <w:b w:val="0"/>
        <w:i w:val="0"/>
        <w:caps w:val="0"/>
        <w:sz w:val="18"/>
        <w:u w:val="none"/>
        <w:vertAlign w:val="superscript"/>
      </w:rPr>
    </w:lvl>
  </w:abstractNum>
  <w:abstractNum w:abstractNumId="4">
    <w:nsid w:val="1D5D3794"/>
    <w:multiLevelType w:val="hybridMultilevel"/>
    <w:tmpl w:val="0D2A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B77AA"/>
    <w:multiLevelType w:val="hybridMultilevel"/>
    <w:tmpl w:val="3310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E203A"/>
    <w:multiLevelType w:val="hybridMultilevel"/>
    <w:tmpl w:val="F000B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056264"/>
    <w:multiLevelType w:val="hybridMultilevel"/>
    <w:tmpl w:val="D432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B189D"/>
    <w:multiLevelType w:val="hybridMultilevel"/>
    <w:tmpl w:val="F0AA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0674B"/>
    <w:multiLevelType w:val="hybridMultilevel"/>
    <w:tmpl w:val="D98204E0"/>
    <w:lvl w:ilvl="0" w:tplc="E52EC98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42661108"/>
    <w:multiLevelType w:val="hybridMultilevel"/>
    <w:tmpl w:val="38B8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732F99"/>
    <w:multiLevelType w:val="multilevel"/>
    <w:tmpl w:val="879AB1C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nsid w:val="577903DC"/>
    <w:multiLevelType w:val="hybridMultilevel"/>
    <w:tmpl w:val="B3DA1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518B0"/>
    <w:multiLevelType w:val="hybridMultilevel"/>
    <w:tmpl w:val="F540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002D8C"/>
    <w:multiLevelType w:val="hybridMultilevel"/>
    <w:tmpl w:val="8834CEF0"/>
    <w:lvl w:ilvl="0" w:tplc="3802F9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3C1768"/>
    <w:multiLevelType w:val="hybridMultilevel"/>
    <w:tmpl w:val="5F605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BC043C1"/>
    <w:multiLevelType w:val="hybridMultilevel"/>
    <w:tmpl w:val="0B3E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04512B"/>
    <w:multiLevelType w:val="hybridMultilevel"/>
    <w:tmpl w:val="46A478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11"/>
  </w:num>
  <w:num w:numId="3">
    <w:abstractNumId w:val="3"/>
  </w:num>
  <w:num w:numId="4">
    <w:abstractNumId w:val="15"/>
  </w:num>
  <w:num w:numId="5">
    <w:abstractNumId w:val="17"/>
  </w:num>
  <w:num w:numId="6">
    <w:abstractNumId w:val="1"/>
  </w:num>
  <w:num w:numId="7">
    <w:abstractNumId w:val="4"/>
  </w:num>
  <w:num w:numId="8">
    <w:abstractNumId w:val="10"/>
  </w:num>
  <w:num w:numId="9">
    <w:abstractNumId w:val="13"/>
  </w:num>
  <w:num w:numId="10">
    <w:abstractNumId w:val="0"/>
  </w:num>
  <w:num w:numId="11">
    <w:abstractNumId w:val="6"/>
  </w:num>
  <w:num w:numId="12">
    <w:abstractNumId w:val="12"/>
  </w:num>
  <w:num w:numId="13">
    <w:abstractNumId w:val="14"/>
  </w:num>
  <w:num w:numId="14">
    <w:abstractNumId w:val="5"/>
  </w:num>
  <w:num w:numId="15">
    <w:abstractNumId w:val="8"/>
  </w:num>
  <w:num w:numId="16">
    <w:abstractNumId w:val="7"/>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DD"/>
    <w:rsid w:val="000019D4"/>
    <w:rsid w:val="00001A95"/>
    <w:rsid w:val="00003837"/>
    <w:rsid w:val="000058D8"/>
    <w:rsid w:val="000059B5"/>
    <w:rsid w:val="00010A82"/>
    <w:rsid w:val="0001214F"/>
    <w:rsid w:val="0001237C"/>
    <w:rsid w:val="00012749"/>
    <w:rsid w:val="000138A1"/>
    <w:rsid w:val="00015112"/>
    <w:rsid w:val="00017D6F"/>
    <w:rsid w:val="00017F03"/>
    <w:rsid w:val="000217A8"/>
    <w:rsid w:val="000242C4"/>
    <w:rsid w:val="00025D09"/>
    <w:rsid w:val="00027D97"/>
    <w:rsid w:val="00033907"/>
    <w:rsid w:val="00037470"/>
    <w:rsid w:val="000375C8"/>
    <w:rsid w:val="0003786F"/>
    <w:rsid w:val="00043EB7"/>
    <w:rsid w:val="00045FCB"/>
    <w:rsid w:val="00046538"/>
    <w:rsid w:val="00050A57"/>
    <w:rsid w:val="00053C55"/>
    <w:rsid w:val="000558BF"/>
    <w:rsid w:val="000566E7"/>
    <w:rsid w:val="0006149E"/>
    <w:rsid w:val="00062135"/>
    <w:rsid w:val="000703DF"/>
    <w:rsid w:val="00070867"/>
    <w:rsid w:val="00071A2E"/>
    <w:rsid w:val="00072EFC"/>
    <w:rsid w:val="00073D2C"/>
    <w:rsid w:val="00073F93"/>
    <w:rsid w:val="000742FE"/>
    <w:rsid w:val="0007597A"/>
    <w:rsid w:val="000772C2"/>
    <w:rsid w:val="00077AE7"/>
    <w:rsid w:val="000800DF"/>
    <w:rsid w:val="00080FB1"/>
    <w:rsid w:val="00081B9B"/>
    <w:rsid w:val="000836CD"/>
    <w:rsid w:val="00084625"/>
    <w:rsid w:val="00084F3D"/>
    <w:rsid w:val="00085892"/>
    <w:rsid w:val="00085DA4"/>
    <w:rsid w:val="0008697C"/>
    <w:rsid w:val="00087CA9"/>
    <w:rsid w:val="00090BA2"/>
    <w:rsid w:val="00091391"/>
    <w:rsid w:val="00093CC5"/>
    <w:rsid w:val="00096929"/>
    <w:rsid w:val="00097DE3"/>
    <w:rsid w:val="000A0F37"/>
    <w:rsid w:val="000A1258"/>
    <w:rsid w:val="000B0D70"/>
    <w:rsid w:val="000B10FA"/>
    <w:rsid w:val="000B18B5"/>
    <w:rsid w:val="000B3ED7"/>
    <w:rsid w:val="000B6763"/>
    <w:rsid w:val="000C0802"/>
    <w:rsid w:val="000C0FE7"/>
    <w:rsid w:val="000C3BB4"/>
    <w:rsid w:val="000C5B06"/>
    <w:rsid w:val="000D04DA"/>
    <w:rsid w:val="000D3016"/>
    <w:rsid w:val="000D6E58"/>
    <w:rsid w:val="000D71E8"/>
    <w:rsid w:val="000D7FE6"/>
    <w:rsid w:val="000E29ED"/>
    <w:rsid w:val="000E35F3"/>
    <w:rsid w:val="000E3685"/>
    <w:rsid w:val="000E388D"/>
    <w:rsid w:val="000E3A7F"/>
    <w:rsid w:val="000E5F8B"/>
    <w:rsid w:val="000E6320"/>
    <w:rsid w:val="000F1022"/>
    <w:rsid w:val="000F10F8"/>
    <w:rsid w:val="000F168E"/>
    <w:rsid w:val="000F2B02"/>
    <w:rsid w:val="000F4C80"/>
    <w:rsid w:val="00103CB3"/>
    <w:rsid w:val="001045F5"/>
    <w:rsid w:val="00104C02"/>
    <w:rsid w:val="00106628"/>
    <w:rsid w:val="00107340"/>
    <w:rsid w:val="00107C77"/>
    <w:rsid w:val="00110F5A"/>
    <w:rsid w:val="0011116A"/>
    <w:rsid w:val="00116023"/>
    <w:rsid w:val="001163E2"/>
    <w:rsid w:val="00116EBC"/>
    <w:rsid w:val="00117322"/>
    <w:rsid w:val="00120FDF"/>
    <w:rsid w:val="001259F1"/>
    <w:rsid w:val="00126F86"/>
    <w:rsid w:val="001275CA"/>
    <w:rsid w:val="00130136"/>
    <w:rsid w:val="0013037F"/>
    <w:rsid w:val="001352F3"/>
    <w:rsid w:val="00140277"/>
    <w:rsid w:val="00143F32"/>
    <w:rsid w:val="0014494D"/>
    <w:rsid w:val="00145586"/>
    <w:rsid w:val="00145C2C"/>
    <w:rsid w:val="0015049F"/>
    <w:rsid w:val="00154573"/>
    <w:rsid w:val="00156D9E"/>
    <w:rsid w:val="00157536"/>
    <w:rsid w:val="00157EE1"/>
    <w:rsid w:val="00161886"/>
    <w:rsid w:val="0016228C"/>
    <w:rsid w:val="00164252"/>
    <w:rsid w:val="00172DE0"/>
    <w:rsid w:val="00176FB5"/>
    <w:rsid w:val="001775CC"/>
    <w:rsid w:val="0018162C"/>
    <w:rsid w:val="00181F66"/>
    <w:rsid w:val="001835BD"/>
    <w:rsid w:val="00184A80"/>
    <w:rsid w:val="00185A28"/>
    <w:rsid w:val="001876D2"/>
    <w:rsid w:val="00191669"/>
    <w:rsid w:val="00192E3E"/>
    <w:rsid w:val="00197B3D"/>
    <w:rsid w:val="001A13AF"/>
    <w:rsid w:val="001A37BC"/>
    <w:rsid w:val="001A42B2"/>
    <w:rsid w:val="001A47F2"/>
    <w:rsid w:val="001B0739"/>
    <w:rsid w:val="001B10D4"/>
    <w:rsid w:val="001B1DF2"/>
    <w:rsid w:val="001B2741"/>
    <w:rsid w:val="001B345D"/>
    <w:rsid w:val="001B4561"/>
    <w:rsid w:val="001B657C"/>
    <w:rsid w:val="001B7653"/>
    <w:rsid w:val="001C06A5"/>
    <w:rsid w:val="001C3857"/>
    <w:rsid w:val="001C6080"/>
    <w:rsid w:val="001D1100"/>
    <w:rsid w:val="001D1CEE"/>
    <w:rsid w:val="001D1F5A"/>
    <w:rsid w:val="001D3A9F"/>
    <w:rsid w:val="001D40FB"/>
    <w:rsid w:val="001D4865"/>
    <w:rsid w:val="001D64B8"/>
    <w:rsid w:val="001D7203"/>
    <w:rsid w:val="001E295A"/>
    <w:rsid w:val="001F356C"/>
    <w:rsid w:val="001F66C9"/>
    <w:rsid w:val="001F7810"/>
    <w:rsid w:val="001F78E2"/>
    <w:rsid w:val="00200C20"/>
    <w:rsid w:val="00201D84"/>
    <w:rsid w:val="00203CBB"/>
    <w:rsid w:val="00206106"/>
    <w:rsid w:val="00207585"/>
    <w:rsid w:val="00210108"/>
    <w:rsid w:val="002105DD"/>
    <w:rsid w:val="002115E6"/>
    <w:rsid w:val="00213FA9"/>
    <w:rsid w:val="00215A00"/>
    <w:rsid w:val="002173FB"/>
    <w:rsid w:val="0022118B"/>
    <w:rsid w:val="00221A9E"/>
    <w:rsid w:val="0022498C"/>
    <w:rsid w:val="00226139"/>
    <w:rsid w:val="00226D1E"/>
    <w:rsid w:val="00230309"/>
    <w:rsid w:val="002303CB"/>
    <w:rsid w:val="00232454"/>
    <w:rsid w:val="00234E7D"/>
    <w:rsid w:val="00245642"/>
    <w:rsid w:val="00247110"/>
    <w:rsid w:val="00252522"/>
    <w:rsid w:val="002526AE"/>
    <w:rsid w:val="0025273D"/>
    <w:rsid w:val="00254F39"/>
    <w:rsid w:val="00255C38"/>
    <w:rsid w:val="00261944"/>
    <w:rsid w:val="00264A8D"/>
    <w:rsid w:val="00265397"/>
    <w:rsid w:val="00267020"/>
    <w:rsid w:val="0027147B"/>
    <w:rsid w:val="00275240"/>
    <w:rsid w:val="002769AA"/>
    <w:rsid w:val="00277932"/>
    <w:rsid w:val="00277D0A"/>
    <w:rsid w:val="00282545"/>
    <w:rsid w:val="00282CBA"/>
    <w:rsid w:val="00285FEF"/>
    <w:rsid w:val="002930A1"/>
    <w:rsid w:val="00295E6A"/>
    <w:rsid w:val="002A0DE9"/>
    <w:rsid w:val="002A3BDE"/>
    <w:rsid w:val="002A6A42"/>
    <w:rsid w:val="002B14CE"/>
    <w:rsid w:val="002B2848"/>
    <w:rsid w:val="002B3C46"/>
    <w:rsid w:val="002B49D3"/>
    <w:rsid w:val="002B7DB5"/>
    <w:rsid w:val="002B7ECF"/>
    <w:rsid w:val="002C04E2"/>
    <w:rsid w:val="002C3D14"/>
    <w:rsid w:val="002C51B3"/>
    <w:rsid w:val="002C6842"/>
    <w:rsid w:val="002D0394"/>
    <w:rsid w:val="002D1659"/>
    <w:rsid w:val="002D2906"/>
    <w:rsid w:val="002D401B"/>
    <w:rsid w:val="002D60CF"/>
    <w:rsid w:val="002E333F"/>
    <w:rsid w:val="002E7805"/>
    <w:rsid w:val="002F1B2D"/>
    <w:rsid w:val="002F2AED"/>
    <w:rsid w:val="002F3A02"/>
    <w:rsid w:val="002F463B"/>
    <w:rsid w:val="002F7134"/>
    <w:rsid w:val="002F79B0"/>
    <w:rsid w:val="002F7DEC"/>
    <w:rsid w:val="0030406F"/>
    <w:rsid w:val="00304079"/>
    <w:rsid w:val="00311F7C"/>
    <w:rsid w:val="0031224E"/>
    <w:rsid w:val="00321E50"/>
    <w:rsid w:val="00322562"/>
    <w:rsid w:val="00323298"/>
    <w:rsid w:val="00327D11"/>
    <w:rsid w:val="00330A9B"/>
    <w:rsid w:val="003314A1"/>
    <w:rsid w:val="00331B70"/>
    <w:rsid w:val="003346C7"/>
    <w:rsid w:val="00341751"/>
    <w:rsid w:val="00344E0E"/>
    <w:rsid w:val="00346512"/>
    <w:rsid w:val="003467BC"/>
    <w:rsid w:val="00346CB9"/>
    <w:rsid w:val="003508DE"/>
    <w:rsid w:val="00350C46"/>
    <w:rsid w:val="0035180C"/>
    <w:rsid w:val="0035480F"/>
    <w:rsid w:val="00356F58"/>
    <w:rsid w:val="00357B04"/>
    <w:rsid w:val="00357E55"/>
    <w:rsid w:val="003603B1"/>
    <w:rsid w:val="00363143"/>
    <w:rsid w:val="00364BF7"/>
    <w:rsid w:val="003704C6"/>
    <w:rsid w:val="003766F2"/>
    <w:rsid w:val="003771F7"/>
    <w:rsid w:val="00381C7D"/>
    <w:rsid w:val="00390535"/>
    <w:rsid w:val="003917D4"/>
    <w:rsid w:val="00391AC6"/>
    <w:rsid w:val="003934AA"/>
    <w:rsid w:val="00394C9F"/>
    <w:rsid w:val="00395616"/>
    <w:rsid w:val="003A2CB1"/>
    <w:rsid w:val="003B016A"/>
    <w:rsid w:val="003B1DC5"/>
    <w:rsid w:val="003B221B"/>
    <w:rsid w:val="003B5D72"/>
    <w:rsid w:val="003B6D11"/>
    <w:rsid w:val="003C0738"/>
    <w:rsid w:val="003C64B1"/>
    <w:rsid w:val="003C6900"/>
    <w:rsid w:val="003C6FFE"/>
    <w:rsid w:val="003C7518"/>
    <w:rsid w:val="003D24EA"/>
    <w:rsid w:val="003D49A9"/>
    <w:rsid w:val="003D50E4"/>
    <w:rsid w:val="003D6355"/>
    <w:rsid w:val="003D695D"/>
    <w:rsid w:val="003D6964"/>
    <w:rsid w:val="003E046C"/>
    <w:rsid w:val="003E0C36"/>
    <w:rsid w:val="003E0EE5"/>
    <w:rsid w:val="003E64DB"/>
    <w:rsid w:val="003E70EB"/>
    <w:rsid w:val="003F24A0"/>
    <w:rsid w:val="003F2551"/>
    <w:rsid w:val="003F7476"/>
    <w:rsid w:val="003F7A82"/>
    <w:rsid w:val="003F7EFD"/>
    <w:rsid w:val="00406C4F"/>
    <w:rsid w:val="00410344"/>
    <w:rsid w:val="004133BB"/>
    <w:rsid w:val="004135FD"/>
    <w:rsid w:val="004152D6"/>
    <w:rsid w:val="00417B71"/>
    <w:rsid w:val="00420CAB"/>
    <w:rsid w:val="0042247D"/>
    <w:rsid w:val="00423B2E"/>
    <w:rsid w:val="0042428A"/>
    <w:rsid w:val="0042458D"/>
    <w:rsid w:val="004274D5"/>
    <w:rsid w:val="00427B4D"/>
    <w:rsid w:val="00431EE2"/>
    <w:rsid w:val="00432ADD"/>
    <w:rsid w:val="00434AA3"/>
    <w:rsid w:val="00435BAF"/>
    <w:rsid w:val="00436CB7"/>
    <w:rsid w:val="004372EE"/>
    <w:rsid w:val="00440FE8"/>
    <w:rsid w:val="004410FB"/>
    <w:rsid w:val="0044197D"/>
    <w:rsid w:val="00442116"/>
    <w:rsid w:val="00442448"/>
    <w:rsid w:val="004434AD"/>
    <w:rsid w:val="00445043"/>
    <w:rsid w:val="00446C92"/>
    <w:rsid w:val="00454CE3"/>
    <w:rsid w:val="00455092"/>
    <w:rsid w:val="0045653A"/>
    <w:rsid w:val="0045707D"/>
    <w:rsid w:val="0046214E"/>
    <w:rsid w:val="00462A38"/>
    <w:rsid w:val="00463718"/>
    <w:rsid w:val="00464060"/>
    <w:rsid w:val="00465721"/>
    <w:rsid w:val="00466969"/>
    <w:rsid w:val="004710BB"/>
    <w:rsid w:val="00473B55"/>
    <w:rsid w:val="00474D2D"/>
    <w:rsid w:val="00483E8A"/>
    <w:rsid w:val="00492BE4"/>
    <w:rsid w:val="00497277"/>
    <w:rsid w:val="004A3DFD"/>
    <w:rsid w:val="004A4D89"/>
    <w:rsid w:val="004A5733"/>
    <w:rsid w:val="004A729C"/>
    <w:rsid w:val="004A7ADE"/>
    <w:rsid w:val="004B4B4D"/>
    <w:rsid w:val="004B73B5"/>
    <w:rsid w:val="004C0FAD"/>
    <w:rsid w:val="004C1209"/>
    <w:rsid w:val="004C177F"/>
    <w:rsid w:val="004C35BB"/>
    <w:rsid w:val="004C36C2"/>
    <w:rsid w:val="004D184A"/>
    <w:rsid w:val="004D7DF3"/>
    <w:rsid w:val="004E0DA2"/>
    <w:rsid w:val="004E1449"/>
    <w:rsid w:val="004E2231"/>
    <w:rsid w:val="004E66EA"/>
    <w:rsid w:val="004E6F9F"/>
    <w:rsid w:val="004F0EB3"/>
    <w:rsid w:val="004F1741"/>
    <w:rsid w:val="004F3085"/>
    <w:rsid w:val="004F49CB"/>
    <w:rsid w:val="004F6F1F"/>
    <w:rsid w:val="00504742"/>
    <w:rsid w:val="005047E8"/>
    <w:rsid w:val="005053D7"/>
    <w:rsid w:val="00507F44"/>
    <w:rsid w:val="005112D0"/>
    <w:rsid w:val="00513561"/>
    <w:rsid w:val="00515AA5"/>
    <w:rsid w:val="005179A0"/>
    <w:rsid w:val="00521CCB"/>
    <w:rsid w:val="005220BD"/>
    <w:rsid w:val="0053196A"/>
    <w:rsid w:val="005348E1"/>
    <w:rsid w:val="00534DCD"/>
    <w:rsid w:val="00536A4A"/>
    <w:rsid w:val="00536F37"/>
    <w:rsid w:val="005432CE"/>
    <w:rsid w:val="00543F65"/>
    <w:rsid w:val="00547C2D"/>
    <w:rsid w:val="00547D07"/>
    <w:rsid w:val="00550CA7"/>
    <w:rsid w:val="0055258C"/>
    <w:rsid w:val="00554CFB"/>
    <w:rsid w:val="0055572E"/>
    <w:rsid w:val="00556043"/>
    <w:rsid w:val="005570C3"/>
    <w:rsid w:val="0056128E"/>
    <w:rsid w:val="0056179C"/>
    <w:rsid w:val="00564C90"/>
    <w:rsid w:val="0056680F"/>
    <w:rsid w:val="005703EA"/>
    <w:rsid w:val="00571B2F"/>
    <w:rsid w:val="005727BF"/>
    <w:rsid w:val="005746E4"/>
    <w:rsid w:val="005756A8"/>
    <w:rsid w:val="0058087F"/>
    <w:rsid w:val="00581A5C"/>
    <w:rsid w:val="00582773"/>
    <w:rsid w:val="00582BF0"/>
    <w:rsid w:val="00584181"/>
    <w:rsid w:val="00584510"/>
    <w:rsid w:val="005845A9"/>
    <w:rsid w:val="0058547B"/>
    <w:rsid w:val="00585A5E"/>
    <w:rsid w:val="00587057"/>
    <w:rsid w:val="0058719A"/>
    <w:rsid w:val="00593BFC"/>
    <w:rsid w:val="00594136"/>
    <w:rsid w:val="00594385"/>
    <w:rsid w:val="005A0DFE"/>
    <w:rsid w:val="005A12CF"/>
    <w:rsid w:val="005A256D"/>
    <w:rsid w:val="005A571C"/>
    <w:rsid w:val="005B0116"/>
    <w:rsid w:val="005B013F"/>
    <w:rsid w:val="005B4796"/>
    <w:rsid w:val="005B4F9C"/>
    <w:rsid w:val="005B7800"/>
    <w:rsid w:val="005C1FE2"/>
    <w:rsid w:val="005C4D17"/>
    <w:rsid w:val="005D0825"/>
    <w:rsid w:val="005D1399"/>
    <w:rsid w:val="005D3019"/>
    <w:rsid w:val="005D520E"/>
    <w:rsid w:val="005D65D0"/>
    <w:rsid w:val="005D7125"/>
    <w:rsid w:val="005E0798"/>
    <w:rsid w:val="005E1B65"/>
    <w:rsid w:val="005E37B0"/>
    <w:rsid w:val="005E72BC"/>
    <w:rsid w:val="005E78FD"/>
    <w:rsid w:val="005E7C34"/>
    <w:rsid w:val="005F137B"/>
    <w:rsid w:val="005F2CBD"/>
    <w:rsid w:val="005F5232"/>
    <w:rsid w:val="005F6166"/>
    <w:rsid w:val="005F6BAA"/>
    <w:rsid w:val="005F7EE3"/>
    <w:rsid w:val="00600098"/>
    <w:rsid w:val="00600DC6"/>
    <w:rsid w:val="00602802"/>
    <w:rsid w:val="00604AB7"/>
    <w:rsid w:val="00604F57"/>
    <w:rsid w:val="0060746F"/>
    <w:rsid w:val="0061243C"/>
    <w:rsid w:val="00612C30"/>
    <w:rsid w:val="00613EED"/>
    <w:rsid w:val="00614D3C"/>
    <w:rsid w:val="00616762"/>
    <w:rsid w:val="00616BAF"/>
    <w:rsid w:val="00616F54"/>
    <w:rsid w:val="006264FD"/>
    <w:rsid w:val="00630959"/>
    <w:rsid w:val="006316CA"/>
    <w:rsid w:val="00631827"/>
    <w:rsid w:val="00631BC1"/>
    <w:rsid w:val="00632B39"/>
    <w:rsid w:val="00635D20"/>
    <w:rsid w:val="00636B86"/>
    <w:rsid w:val="00637167"/>
    <w:rsid w:val="00640D95"/>
    <w:rsid w:val="006411EE"/>
    <w:rsid w:val="00641402"/>
    <w:rsid w:val="00641E4E"/>
    <w:rsid w:val="0064378A"/>
    <w:rsid w:val="00646548"/>
    <w:rsid w:val="00646B15"/>
    <w:rsid w:val="006476C4"/>
    <w:rsid w:val="0065247B"/>
    <w:rsid w:val="0065461A"/>
    <w:rsid w:val="006549A6"/>
    <w:rsid w:val="00657DEF"/>
    <w:rsid w:val="00660AC2"/>
    <w:rsid w:val="006638FF"/>
    <w:rsid w:val="0066476C"/>
    <w:rsid w:val="00666D02"/>
    <w:rsid w:val="00670751"/>
    <w:rsid w:val="00671AB9"/>
    <w:rsid w:val="0067217F"/>
    <w:rsid w:val="0067490E"/>
    <w:rsid w:val="00675D53"/>
    <w:rsid w:val="0067622B"/>
    <w:rsid w:val="00676540"/>
    <w:rsid w:val="00676CEF"/>
    <w:rsid w:val="006838D9"/>
    <w:rsid w:val="00683CAE"/>
    <w:rsid w:val="0068457F"/>
    <w:rsid w:val="00684885"/>
    <w:rsid w:val="00684D3A"/>
    <w:rsid w:val="006914E8"/>
    <w:rsid w:val="006934B3"/>
    <w:rsid w:val="00693E4E"/>
    <w:rsid w:val="006955E2"/>
    <w:rsid w:val="006960F1"/>
    <w:rsid w:val="006970D5"/>
    <w:rsid w:val="00697F72"/>
    <w:rsid w:val="006B2380"/>
    <w:rsid w:val="006B433A"/>
    <w:rsid w:val="006B4684"/>
    <w:rsid w:val="006B7C42"/>
    <w:rsid w:val="006C0112"/>
    <w:rsid w:val="006D1F71"/>
    <w:rsid w:val="006D257E"/>
    <w:rsid w:val="006D382A"/>
    <w:rsid w:val="006D39C1"/>
    <w:rsid w:val="006D4653"/>
    <w:rsid w:val="006D4B33"/>
    <w:rsid w:val="006D560D"/>
    <w:rsid w:val="006D5905"/>
    <w:rsid w:val="006E1B21"/>
    <w:rsid w:val="006E2F38"/>
    <w:rsid w:val="006E349B"/>
    <w:rsid w:val="006E4398"/>
    <w:rsid w:val="006E49E4"/>
    <w:rsid w:val="006E5D7F"/>
    <w:rsid w:val="006E71CA"/>
    <w:rsid w:val="006F11F8"/>
    <w:rsid w:val="006F240C"/>
    <w:rsid w:val="006F2E48"/>
    <w:rsid w:val="006F581B"/>
    <w:rsid w:val="006F61C9"/>
    <w:rsid w:val="006F62F8"/>
    <w:rsid w:val="006F7A62"/>
    <w:rsid w:val="006F7A93"/>
    <w:rsid w:val="0070073A"/>
    <w:rsid w:val="0070202A"/>
    <w:rsid w:val="007037B3"/>
    <w:rsid w:val="00703837"/>
    <w:rsid w:val="00706C14"/>
    <w:rsid w:val="00706DF9"/>
    <w:rsid w:val="00711460"/>
    <w:rsid w:val="007121DA"/>
    <w:rsid w:val="0071229A"/>
    <w:rsid w:val="00717168"/>
    <w:rsid w:val="00720874"/>
    <w:rsid w:val="007233E7"/>
    <w:rsid w:val="00723AF5"/>
    <w:rsid w:val="007243D3"/>
    <w:rsid w:val="00725EBB"/>
    <w:rsid w:val="0072744D"/>
    <w:rsid w:val="0073291F"/>
    <w:rsid w:val="00732981"/>
    <w:rsid w:val="007334DD"/>
    <w:rsid w:val="00734145"/>
    <w:rsid w:val="00734C62"/>
    <w:rsid w:val="007358F5"/>
    <w:rsid w:val="00736432"/>
    <w:rsid w:val="00741262"/>
    <w:rsid w:val="00741E34"/>
    <w:rsid w:val="007426C2"/>
    <w:rsid w:val="007434DB"/>
    <w:rsid w:val="00750961"/>
    <w:rsid w:val="00750FF0"/>
    <w:rsid w:val="00753FFC"/>
    <w:rsid w:val="0075576D"/>
    <w:rsid w:val="00757A4E"/>
    <w:rsid w:val="00762179"/>
    <w:rsid w:val="007629CC"/>
    <w:rsid w:val="00764F1F"/>
    <w:rsid w:val="007655E3"/>
    <w:rsid w:val="00771B82"/>
    <w:rsid w:val="007811CE"/>
    <w:rsid w:val="007815BF"/>
    <w:rsid w:val="00785562"/>
    <w:rsid w:val="00787095"/>
    <w:rsid w:val="00787CE0"/>
    <w:rsid w:val="0079211F"/>
    <w:rsid w:val="00792A5E"/>
    <w:rsid w:val="00792FB7"/>
    <w:rsid w:val="00796C57"/>
    <w:rsid w:val="007A01E1"/>
    <w:rsid w:val="007A1782"/>
    <w:rsid w:val="007A373E"/>
    <w:rsid w:val="007B0BEE"/>
    <w:rsid w:val="007B3090"/>
    <w:rsid w:val="007B445C"/>
    <w:rsid w:val="007B4B3D"/>
    <w:rsid w:val="007B4D40"/>
    <w:rsid w:val="007C374B"/>
    <w:rsid w:val="007D1269"/>
    <w:rsid w:val="007D202C"/>
    <w:rsid w:val="007D50E2"/>
    <w:rsid w:val="007D7ADC"/>
    <w:rsid w:val="007E15B0"/>
    <w:rsid w:val="007E28F1"/>
    <w:rsid w:val="007E30AE"/>
    <w:rsid w:val="007E595F"/>
    <w:rsid w:val="007E5E68"/>
    <w:rsid w:val="007E690E"/>
    <w:rsid w:val="007F1FC3"/>
    <w:rsid w:val="007F3CFC"/>
    <w:rsid w:val="007F3EBE"/>
    <w:rsid w:val="007F58FF"/>
    <w:rsid w:val="007F5BDE"/>
    <w:rsid w:val="007F6A89"/>
    <w:rsid w:val="0080069E"/>
    <w:rsid w:val="00801404"/>
    <w:rsid w:val="008061E5"/>
    <w:rsid w:val="00807AB4"/>
    <w:rsid w:val="00810D01"/>
    <w:rsid w:val="00812115"/>
    <w:rsid w:val="00812C6B"/>
    <w:rsid w:val="008143AA"/>
    <w:rsid w:val="008154CC"/>
    <w:rsid w:val="00816DEC"/>
    <w:rsid w:val="00820DBE"/>
    <w:rsid w:val="00821AC2"/>
    <w:rsid w:val="0082249E"/>
    <w:rsid w:val="00823D59"/>
    <w:rsid w:val="0082416A"/>
    <w:rsid w:val="00824F33"/>
    <w:rsid w:val="00826F5B"/>
    <w:rsid w:val="00827872"/>
    <w:rsid w:val="008342A7"/>
    <w:rsid w:val="008342D7"/>
    <w:rsid w:val="00834DED"/>
    <w:rsid w:val="00835D49"/>
    <w:rsid w:val="00837233"/>
    <w:rsid w:val="0084006F"/>
    <w:rsid w:val="00840CD7"/>
    <w:rsid w:val="00842370"/>
    <w:rsid w:val="00843ACF"/>
    <w:rsid w:val="00844EBA"/>
    <w:rsid w:val="00853808"/>
    <w:rsid w:val="00853EE0"/>
    <w:rsid w:val="00856BED"/>
    <w:rsid w:val="0086173C"/>
    <w:rsid w:val="00865A27"/>
    <w:rsid w:val="008661ED"/>
    <w:rsid w:val="00866638"/>
    <w:rsid w:val="00867AB6"/>
    <w:rsid w:val="008761B8"/>
    <w:rsid w:val="0087716F"/>
    <w:rsid w:val="008816A7"/>
    <w:rsid w:val="00881A6A"/>
    <w:rsid w:val="008846FF"/>
    <w:rsid w:val="00884ACD"/>
    <w:rsid w:val="008907BF"/>
    <w:rsid w:val="008922AD"/>
    <w:rsid w:val="00892BDA"/>
    <w:rsid w:val="00892E21"/>
    <w:rsid w:val="00893323"/>
    <w:rsid w:val="00893527"/>
    <w:rsid w:val="00895D2C"/>
    <w:rsid w:val="00895E1B"/>
    <w:rsid w:val="00895F21"/>
    <w:rsid w:val="008A0A66"/>
    <w:rsid w:val="008A393F"/>
    <w:rsid w:val="008A3F90"/>
    <w:rsid w:val="008A46F5"/>
    <w:rsid w:val="008A48FF"/>
    <w:rsid w:val="008A7459"/>
    <w:rsid w:val="008B30DE"/>
    <w:rsid w:val="008B4D7F"/>
    <w:rsid w:val="008B4E5C"/>
    <w:rsid w:val="008B6664"/>
    <w:rsid w:val="008C1719"/>
    <w:rsid w:val="008C1CF2"/>
    <w:rsid w:val="008C2383"/>
    <w:rsid w:val="008C3294"/>
    <w:rsid w:val="008C65B6"/>
    <w:rsid w:val="008C68D7"/>
    <w:rsid w:val="008D4BA8"/>
    <w:rsid w:val="008D50C4"/>
    <w:rsid w:val="008D60B8"/>
    <w:rsid w:val="008D7314"/>
    <w:rsid w:val="008E05B7"/>
    <w:rsid w:val="008E3CEB"/>
    <w:rsid w:val="008F26E7"/>
    <w:rsid w:val="008F2853"/>
    <w:rsid w:val="008F65D2"/>
    <w:rsid w:val="00900E1D"/>
    <w:rsid w:val="00902487"/>
    <w:rsid w:val="00902701"/>
    <w:rsid w:val="009028DA"/>
    <w:rsid w:val="009041EC"/>
    <w:rsid w:val="0090420A"/>
    <w:rsid w:val="00904A7B"/>
    <w:rsid w:val="00905274"/>
    <w:rsid w:val="00905826"/>
    <w:rsid w:val="00906216"/>
    <w:rsid w:val="009076F7"/>
    <w:rsid w:val="00907B8F"/>
    <w:rsid w:val="009101B8"/>
    <w:rsid w:val="00910E71"/>
    <w:rsid w:val="00911C72"/>
    <w:rsid w:val="00911FD6"/>
    <w:rsid w:val="00912AB1"/>
    <w:rsid w:val="00912D62"/>
    <w:rsid w:val="00913263"/>
    <w:rsid w:val="009173B1"/>
    <w:rsid w:val="00920232"/>
    <w:rsid w:val="00923368"/>
    <w:rsid w:val="009236E8"/>
    <w:rsid w:val="00927960"/>
    <w:rsid w:val="00927D7B"/>
    <w:rsid w:val="0093012A"/>
    <w:rsid w:val="009319CC"/>
    <w:rsid w:val="00935C82"/>
    <w:rsid w:val="00935FF6"/>
    <w:rsid w:val="00937C0A"/>
    <w:rsid w:val="00943523"/>
    <w:rsid w:val="00944F58"/>
    <w:rsid w:val="00945607"/>
    <w:rsid w:val="0094711A"/>
    <w:rsid w:val="0095398C"/>
    <w:rsid w:val="00953E3C"/>
    <w:rsid w:val="009570BA"/>
    <w:rsid w:val="00957AA9"/>
    <w:rsid w:val="00960E52"/>
    <w:rsid w:val="00961C2A"/>
    <w:rsid w:val="00964424"/>
    <w:rsid w:val="00965B99"/>
    <w:rsid w:val="00972C98"/>
    <w:rsid w:val="00973543"/>
    <w:rsid w:val="009746ED"/>
    <w:rsid w:val="009771E5"/>
    <w:rsid w:val="00980E87"/>
    <w:rsid w:val="009817CA"/>
    <w:rsid w:val="009847A3"/>
    <w:rsid w:val="00985AD5"/>
    <w:rsid w:val="00985B6D"/>
    <w:rsid w:val="0098682F"/>
    <w:rsid w:val="00987D9F"/>
    <w:rsid w:val="00987F7E"/>
    <w:rsid w:val="009907C6"/>
    <w:rsid w:val="009916F7"/>
    <w:rsid w:val="00993153"/>
    <w:rsid w:val="009A0056"/>
    <w:rsid w:val="009A07A4"/>
    <w:rsid w:val="009A0919"/>
    <w:rsid w:val="009A3874"/>
    <w:rsid w:val="009A4679"/>
    <w:rsid w:val="009A4CD7"/>
    <w:rsid w:val="009A557E"/>
    <w:rsid w:val="009A6741"/>
    <w:rsid w:val="009A7B40"/>
    <w:rsid w:val="009B016C"/>
    <w:rsid w:val="009B3CBB"/>
    <w:rsid w:val="009B75D3"/>
    <w:rsid w:val="009C28F6"/>
    <w:rsid w:val="009C2F45"/>
    <w:rsid w:val="009C35D3"/>
    <w:rsid w:val="009C7931"/>
    <w:rsid w:val="009D0D69"/>
    <w:rsid w:val="009D2A46"/>
    <w:rsid w:val="009D3283"/>
    <w:rsid w:val="009D6C88"/>
    <w:rsid w:val="009D6FC8"/>
    <w:rsid w:val="009D7B85"/>
    <w:rsid w:val="009E0674"/>
    <w:rsid w:val="009F1FC9"/>
    <w:rsid w:val="009F3683"/>
    <w:rsid w:val="009F3801"/>
    <w:rsid w:val="009F4404"/>
    <w:rsid w:val="009F48E9"/>
    <w:rsid w:val="009F649B"/>
    <w:rsid w:val="00A0174C"/>
    <w:rsid w:val="00A0268A"/>
    <w:rsid w:val="00A115F6"/>
    <w:rsid w:val="00A124B4"/>
    <w:rsid w:val="00A205B7"/>
    <w:rsid w:val="00A20626"/>
    <w:rsid w:val="00A21F17"/>
    <w:rsid w:val="00A227AD"/>
    <w:rsid w:val="00A23977"/>
    <w:rsid w:val="00A24540"/>
    <w:rsid w:val="00A268AF"/>
    <w:rsid w:val="00A303C2"/>
    <w:rsid w:val="00A31C23"/>
    <w:rsid w:val="00A34C1F"/>
    <w:rsid w:val="00A37881"/>
    <w:rsid w:val="00A37E47"/>
    <w:rsid w:val="00A42249"/>
    <w:rsid w:val="00A428BD"/>
    <w:rsid w:val="00A430ED"/>
    <w:rsid w:val="00A440E1"/>
    <w:rsid w:val="00A461F2"/>
    <w:rsid w:val="00A468B8"/>
    <w:rsid w:val="00A5013F"/>
    <w:rsid w:val="00A50E86"/>
    <w:rsid w:val="00A51D1A"/>
    <w:rsid w:val="00A5591C"/>
    <w:rsid w:val="00A56051"/>
    <w:rsid w:val="00A5606D"/>
    <w:rsid w:val="00A5700C"/>
    <w:rsid w:val="00A5722C"/>
    <w:rsid w:val="00A6206F"/>
    <w:rsid w:val="00A632CA"/>
    <w:rsid w:val="00A64536"/>
    <w:rsid w:val="00A673FF"/>
    <w:rsid w:val="00A7079D"/>
    <w:rsid w:val="00A7146F"/>
    <w:rsid w:val="00A7171A"/>
    <w:rsid w:val="00A7449D"/>
    <w:rsid w:val="00A800A5"/>
    <w:rsid w:val="00A803DC"/>
    <w:rsid w:val="00A8461E"/>
    <w:rsid w:val="00A84A45"/>
    <w:rsid w:val="00A85D5A"/>
    <w:rsid w:val="00A8692F"/>
    <w:rsid w:val="00A9147C"/>
    <w:rsid w:val="00A9214A"/>
    <w:rsid w:val="00A92161"/>
    <w:rsid w:val="00A92287"/>
    <w:rsid w:val="00A93701"/>
    <w:rsid w:val="00A95804"/>
    <w:rsid w:val="00A96A94"/>
    <w:rsid w:val="00A96D6D"/>
    <w:rsid w:val="00A96E0A"/>
    <w:rsid w:val="00AA259D"/>
    <w:rsid w:val="00AA2CB7"/>
    <w:rsid w:val="00AA3250"/>
    <w:rsid w:val="00AA33F3"/>
    <w:rsid w:val="00AA347B"/>
    <w:rsid w:val="00AA59D6"/>
    <w:rsid w:val="00AA608C"/>
    <w:rsid w:val="00AA6DFA"/>
    <w:rsid w:val="00AA7A26"/>
    <w:rsid w:val="00AB035F"/>
    <w:rsid w:val="00AB2931"/>
    <w:rsid w:val="00AB30B3"/>
    <w:rsid w:val="00AB3310"/>
    <w:rsid w:val="00AB54F8"/>
    <w:rsid w:val="00AC0829"/>
    <w:rsid w:val="00AC20D9"/>
    <w:rsid w:val="00AC2124"/>
    <w:rsid w:val="00AC23A4"/>
    <w:rsid w:val="00AC5318"/>
    <w:rsid w:val="00AC5BD0"/>
    <w:rsid w:val="00AD1A27"/>
    <w:rsid w:val="00AD32B2"/>
    <w:rsid w:val="00AD41C5"/>
    <w:rsid w:val="00AD6671"/>
    <w:rsid w:val="00AD6A5F"/>
    <w:rsid w:val="00AE0C75"/>
    <w:rsid w:val="00AE1809"/>
    <w:rsid w:val="00AE29E8"/>
    <w:rsid w:val="00AE2C11"/>
    <w:rsid w:val="00AE54FC"/>
    <w:rsid w:val="00AE7FCD"/>
    <w:rsid w:val="00AF0EE9"/>
    <w:rsid w:val="00AF209D"/>
    <w:rsid w:val="00AF371E"/>
    <w:rsid w:val="00AF3EA9"/>
    <w:rsid w:val="00AF5D40"/>
    <w:rsid w:val="00B010D2"/>
    <w:rsid w:val="00B02A72"/>
    <w:rsid w:val="00B042E8"/>
    <w:rsid w:val="00B130C4"/>
    <w:rsid w:val="00B16F5F"/>
    <w:rsid w:val="00B219CF"/>
    <w:rsid w:val="00B21BAC"/>
    <w:rsid w:val="00B22EA3"/>
    <w:rsid w:val="00B23C82"/>
    <w:rsid w:val="00B24E42"/>
    <w:rsid w:val="00B2565E"/>
    <w:rsid w:val="00B264A7"/>
    <w:rsid w:val="00B30061"/>
    <w:rsid w:val="00B308CD"/>
    <w:rsid w:val="00B30B2D"/>
    <w:rsid w:val="00B3417C"/>
    <w:rsid w:val="00B3465A"/>
    <w:rsid w:val="00B352A6"/>
    <w:rsid w:val="00B412D1"/>
    <w:rsid w:val="00B41A80"/>
    <w:rsid w:val="00B41FB6"/>
    <w:rsid w:val="00B42035"/>
    <w:rsid w:val="00B448F4"/>
    <w:rsid w:val="00B4623B"/>
    <w:rsid w:val="00B5450E"/>
    <w:rsid w:val="00B613DA"/>
    <w:rsid w:val="00B66825"/>
    <w:rsid w:val="00B7112C"/>
    <w:rsid w:val="00B71310"/>
    <w:rsid w:val="00B72042"/>
    <w:rsid w:val="00B7479B"/>
    <w:rsid w:val="00B75348"/>
    <w:rsid w:val="00B76858"/>
    <w:rsid w:val="00B808F4"/>
    <w:rsid w:val="00B808F5"/>
    <w:rsid w:val="00B80E80"/>
    <w:rsid w:val="00B81C6A"/>
    <w:rsid w:val="00B833E9"/>
    <w:rsid w:val="00B84348"/>
    <w:rsid w:val="00B85173"/>
    <w:rsid w:val="00B905C1"/>
    <w:rsid w:val="00B919E8"/>
    <w:rsid w:val="00B93622"/>
    <w:rsid w:val="00B978B7"/>
    <w:rsid w:val="00BA1720"/>
    <w:rsid w:val="00BA1A88"/>
    <w:rsid w:val="00BA221A"/>
    <w:rsid w:val="00BA3310"/>
    <w:rsid w:val="00BA6A87"/>
    <w:rsid w:val="00BA7B47"/>
    <w:rsid w:val="00BB01F2"/>
    <w:rsid w:val="00BB06EF"/>
    <w:rsid w:val="00BB08AC"/>
    <w:rsid w:val="00BB10B8"/>
    <w:rsid w:val="00BB3A58"/>
    <w:rsid w:val="00BB5162"/>
    <w:rsid w:val="00BB66A1"/>
    <w:rsid w:val="00BB7596"/>
    <w:rsid w:val="00BC034E"/>
    <w:rsid w:val="00BC19C8"/>
    <w:rsid w:val="00BC1AD2"/>
    <w:rsid w:val="00BC1F26"/>
    <w:rsid w:val="00BC256A"/>
    <w:rsid w:val="00BC26A1"/>
    <w:rsid w:val="00BC4D77"/>
    <w:rsid w:val="00BD23EC"/>
    <w:rsid w:val="00BD2DB3"/>
    <w:rsid w:val="00BD7DCF"/>
    <w:rsid w:val="00BE0B82"/>
    <w:rsid w:val="00BE3ED3"/>
    <w:rsid w:val="00BE43E1"/>
    <w:rsid w:val="00BE4793"/>
    <w:rsid w:val="00BE52E4"/>
    <w:rsid w:val="00BE7E3A"/>
    <w:rsid w:val="00BF05BC"/>
    <w:rsid w:val="00BF1A25"/>
    <w:rsid w:val="00BF272C"/>
    <w:rsid w:val="00BF4203"/>
    <w:rsid w:val="00BF7F95"/>
    <w:rsid w:val="00C01C93"/>
    <w:rsid w:val="00C02D90"/>
    <w:rsid w:val="00C0353D"/>
    <w:rsid w:val="00C03635"/>
    <w:rsid w:val="00C05961"/>
    <w:rsid w:val="00C05A25"/>
    <w:rsid w:val="00C06EB4"/>
    <w:rsid w:val="00C07ED9"/>
    <w:rsid w:val="00C16811"/>
    <w:rsid w:val="00C20328"/>
    <w:rsid w:val="00C2183C"/>
    <w:rsid w:val="00C21971"/>
    <w:rsid w:val="00C2685E"/>
    <w:rsid w:val="00C32939"/>
    <w:rsid w:val="00C404B8"/>
    <w:rsid w:val="00C40B1A"/>
    <w:rsid w:val="00C40D4D"/>
    <w:rsid w:val="00C41D14"/>
    <w:rsid w:val="00C42E51"/>
    <w:rsid w:val="00C434A9"/>
    <w:rsid w:val="00C43E07"/>
    <w:rsid w:val="00C44368"/>
    <w:rsid w:val="00C45955"/>
    <w:rsid w:val="00C46D52"/>
    <w:rsid w:val="00C512D6"/>
    <w:rsid w:val="00C52E19"/>
    <w:rsid w:val="00C537A6"/>
    <w:rsid w:val="00C55BF8"/>
    <w:rsid w:val="00C61096"/>
    <w:rsid w:val="00C6140A"/>
    <w:rsid w:val="00C6202F"/>
    <w:rsid w:val="00C62549"/>
    <w:rsid w:val="00C634D4"/>
    <w:rsid w:val="00C66CF1"/>
    <w:rsid w:val="00C66DA9"/>
    <w:rsid w:val="00C70230"/>
    <w:rsid w:val="00C73B8D"/>
    <w:rsid w:val="00C80D83"/>
    <w:rsid w:val="00C83B4B"/>
    <w:rsid w:val="00C83F0C"/>
    <w:rsid w:val="00C85609"/>
    <w:rsid w:val="00C87F39"/>
    <w:rsid w:val="00C91F1C"/>
    <w:rsid w:val="00C92559"/>
    <w:rsid w:val="00C929C5"/>
    <w:rsid w:val="00C95A66"/>
    <w:rsid w:val="00C9625C"/>
    <w:rsid w:val="00CA124A"/>
    <w:rsid w:val="00CA198C"/>
    <w:rsid w:val="00CA3EA5"/>
    <w:rsid w:val="00CB1962"/>
    <w:rsid w:val="00CB5C24"/>
    <w:rsid w:val="00CB5FD6"/>
    <w:rsid w:val="00CB602F"/>
    <w:rsid w:val="00CB6F39"/>
    <w:rsid w:val="00CB7312"/>
    <w:rsid w:val="00CC070F"/>
    <w:rsid w:val="00CC455B"/>
    <w:rsid w:val="00CC4792"/>
    <w:rsid w:val="00CC5677"/>
    <w:rsid w:val="00CC78DD"/>
    <w:rsid w:val="00CC7F3B"/>
    <w:rsid w:val="00CD1EA3"/>
    <w:rsid w:val="00CD4EBC"/>
    <w:rsid w:val="00CD6BE2"/>
    <w:rsid w:val="00CE03F1"/>
    <w:rsid w:val="00CE1C90"/>
    <w:rsid w:val="00CE2C56"/>
    <w:rsid w:val="00CE3447"/>
    <w:rsid w:val="00CE5A78"/>
    <w:rsid w:val="00CE5DB9"/>
    <w:rsid w:val="00CE6F26"/>
    <w:rsid w:val="00CF03A8"/>
    <w:rsid w:val="00CF05BB"/>
    <w:rsid w:val="00CF2202"/>
    <w:rsid w:val="00CF464D"/>
    <w:rsid w:val="00CF4E61"/>
    <w:rsid w:val="00D11E06"/>
    <w:rsid w:val="00D130D1"/>
    <w:rsid w:val="00D17FC5"/>
    <w:rsid w:val="00D201F6"/>
    <w:rsid w:val="00D30CA5"/>
    <w:rsid w:val="00D31DED"/>
    <w:rsid w:val="00D3314C"/>
    <w:rsid w:val="00D336D6"/>
    <w:rsid w:val="00D358B1"/>
    <w:rsid w:val="00D371CF"/>
    <w:rsid w:val="00D37ECE"/>
    <w:rsid w:val="00D4084F"/>
    <w:rsid w:val="00D41403"/>
    <w:rsid w:val="00D424ED"/>
    <w:rsid w:val="00D436EC"/>
    <w:rsid w:val="00D43A52"/>
    <w:rsid w:val="00D44572"/>
    <w:rsid w:val="00D44F24"/>
    <w:rsid w:val="00D458D1"/>
    <w:rsid w:val="00D4750D"/>
    <w:rsid w:val="00D47D88"/>
    <w:rsid w:val="00D50318"/>
    <w:rsid w:val="00D5454E"/>
    <w:rsid w:val="00D568A3"/>
    <w:rsid w:val="00D56FB2"/>
    <w:rsid w:val="00D63B6C"/>
    <w:rsid w:val="00D64ACC"/>
    <w:rsid w:val="00D652A7"/>
    <w:rsid w:val="00D712C6"/>
    <w:rsid w:val="00D71ED8"/>
    <w:rsid w:val="00D72769"/>
    <w:rsid w:val="00D73228"/>
    <w:rsid w:val="00D768C1"/>
    <w:rsid w:val="00D8026D"/>
    <w:rsid w:val="00D803FD"/>
    <w:rsid w:val="00D81A72"/>
    <w:rsid w:val="00D848A4"/>
    <w:rsid w:val="00D84A11"/>
    <w:rsid w:val="00D90BC8"/>
    <w:rsid w:val="00D92692"/>
    <w:rsid w:val="00D92C2B"/>
    <w:rsid w:val="00D93263"/>
    <w:rsid w:val="00D94860"/>
    <w:rsid w:val="00D9536C"/>
    <w:rsid w:val="00D95EAA"/>
    <w:rsid w:val="00DA3313"/>
    <w:rsid w:val="00DA4624"/>
    <w:rsid w:val="00DB3D70"/>
    <w:rsid w:val="00DC16D0"/>
    <w:rsid w:val="00DC2293"/>
    <w:rsid w:val="00DC2415"/>
    <w:rsid w:val="00DC43F1"/>
    <w:rsid w:val="00DC68C3"/>
    <w:rsid w:val="00DD13BF"/>
    <w:rsid w:val="00DD24BA"/>
    <w:rsid w:val="00DD3AAC"/>
    <w:rsid w:val="00DD48B1"/>
    <w:rsid w:val="00DD6FA8"/>
    <w:rsid w:val="00DD784A"/>
    <w:rsid w:val="00DE023A"/>
    <w:rsid w:val="00DE33D8"/>
    <w:rsid w:val="00DE4FA6"/>
    <w:rsid w:val="00DE6FCF"/>
    <w:rsid w:val="00DE7F1A"/>
    <w:rsid w:val="00DF08CD"/>
    <w:rsid w:val="00DF15C9"/>
    <w:rsid w:val="00DF19CC"/>
    <w:rsid w:val="00DF33BF"/>
    <w:rsid w:val="00DF4F6E"/>
    <w:rsid w:val="00DF7E7E"/>
    <w:rsid w:val="00E00C3C"/>
    <w:rsid w:val="00E03DD5"/>
    <w:rsid w:val="00E05B8E"/>
    <w:rsid w:val="00E06587"/>
    <w:rsid w:val="00E06EE3"/>
    <w:rsid w:val="00E1684B"/>
    <w:rsid w:val="00E2115B"/>
    <w:rsid w:val="00E21D95"/>
    <w:rsid w:val="00E2577E"/>
    <w:rsid w:val="00E25C4E"/>
    <w:rsid w:val="00E30900"/>
    <w:rsid w:val="00E3265B"/>
    <w:rsid w:val="00E337FF"/>
    <w:rsid w:val="00E339D4"/>
    <w:rsid w:val="00E35659"/>
    <w:rsid w:val="00E361B2"/>
    <w:rsid w:val="00E37B06"/>
    <w:rsid w:val="00E400B9"/>
    <w:rsid w:val="00E40192"/>
    <w:rsid w:val="00E41554"/>
    <w:rsid w:val="00E42349"/>
    <w:rsid w:val="00E44042"/>
    <w:rsid w:val="00E44989"/>
    <w:rsid w:val="00E4652A"/>
    <w:rsid w:val="00E4718D"/>
    <w:rsid w:val="00E51E01"/>
    <w:rsid w:val="00E5382C"/>
    <w:rsid w:val="00E53AAD"/>
    <w:rsid w:val="00E56AA7"/>
    <w:rsid w:val="00E574ED"/>
    <w:rsid w:val="00E57B11"/>
    <w:rsid w:val="00E611BB"/>
    <w:rsid w:val="00E6131F"/>
    <w:rsid w:val="00E63284"/>
    <w:rsid w:val="00E6422D"/>
    <w:rsid w:val="00E6542A"/>
    <w:rsid w:val="00E655AA"/>
    <w:rsid w:val="00E80B0D"/>
    <w:rsid w:val="00E8116E"/>
    <w:rsid w:val="00E8152B"/>
    <w:rsid w:val="00E81E1B"/>
    <w:rsid w:val="00E83993"/>
    <w:rsid w:val="00E8478F"/>
    <w:rsid w:val="00E8714E"/>
    <w:rsid w:val="00E87C06"/>
    <w:rsid w:val="00E91301"/>
    <w:rsid w:val="00E94C5C"/>
    <w:rsid w:val="00E976C3"/>
    <w:rsid w:val="00E9781B"/>
    <w:rsid w:val="00EA0E1C"/>
    <w:rsid w:val="00EA15B4"/>
    <w:rsid w:val="00EA1685"/>
    <w:rsid w:val="00EA2384"/>
    <w:rsid w:val="00EA365E"/>
    <w:rsid w:val="00EA6660"/>
    <w:rsid w:val="00EA7207"/>
    <w:rsid w:val="00EB0289"/>
    <w:rsid w:val="00EB0FFB"/>
    <w:rsid w:val="00EB116C"/>
    <w:rsid w:val="00EB1E01"/>
    <w:rsid w:val="00EB2611"/>
    <w:rsid w:val="00EB4226"/>
    <w:rsid w:val="00EB4F57"/>
    <w:rsid w:val="00EC14CB"/>
    <w:rsid w:val="00EC2927"/>
    <w:rsid w:val="00EC2F3B"/>
    <w:rsid w:val="00EC3737"/>
    <w:rsid w:val="00EC4A91"/>
    <w:rsid w:val="00EC5473"/>
    <w:rsid w:val="00EC55E3"/>
    <w:rsid w:val="00ED02C5"/>
    <w:rsid w:val="00ED0CDE"/>
    <w:rsid w:val="00ED6531"/>
    <w:rsid w:val="00EE2020"/>
    <w:rsid w:val="00EF28A7"/>
    <w:rsid w:val="00EF2DE1"/>
    <w:rsid w:val="00EF4B20"/>
    <w:rsid w:val="00EF70FA"/>
    <w:rsid w:val="00EF73F5"/>
    <w:rsid w:val="00F0445B"/>
    <w:rsid w:val="00F05250"/>
    <w:rsid w:val="00F07E4E"/>
    <w:rsid w:val="00F10BB7"/>
    <w:rsid w:val="00F16902"/>
    <w:rsid w:val="00F22BCC"/>
    <w:rsid w:val="00F2313F"/>
    <w:rsid w:val="00F2356B"/>
    <w:rsid w:val="00F23983"/>
    <w:rsid w:val="00F24B0D"/>
    <w:rsid w:val="00F26DC7"/>
    <w:rsid w:val="00F270C0"/>
    <w:rsid w:val="00F27C30"/>
    <w:rsid w:val="00F32487"/>
    <w:rsid w:val="00F3396C"/>
    <w:rsid w:val="00F33F96"/>
    <w:rsid w:val="00F34397"/>
    <w:rsid w:val="00F346A5"/>
    <w:rsid w:val="00F35BAA"/>
    <w:rsid w:val="00F36E60"/>
    <w:rsid w:val="00F37185"/>
    <w:rsid w:val="00F4012A"/>
    <w:rsid w:val="00F41707"/>
    <w:rsid w:val="00F41792"/>
    <w:rsid w:val="00F42F76"/>
    <w:rsid w:val="00F46B7F"/>
    <w:rsid w:val="00F47338"/>
    <w:rsid w:val="00F50F86"/>
    <w:rsid w:val="00F51CE8"/>
    <w:rsid w:val="00F52B60"/>
    <w:rsid w:val="00F54044"/>
    <w:rsid w:val="00F56AFC"/>
    <w:rsid w:val="00F60163"/>
    <w:rsid w:val="00F622B5"/>
    <w:rsid w:val="00F62610"/>
    <w:rsid w:val="00F63877"/>
    <w:rsid w:val="00F67033"/>
    <w:rsid w:val="00F71FA4"/>
    <w:rsid w:val="00F73C7E"/>
    <w:rsid w:val="00F76A28"/>
    <w:rsid w:val="00F76CE4"/>
    <w:rsid w:val="00F80FFF"/>
    <w:rsid w:val="00F8118F"/>
    <w:rsid w:val="00F84323"/>
    <w:rsid w:val="00F84D0C"/>
    <w:rsid w:val="00F8576C"/>
    <w:rsid w:val="00F8608E"/>
    <w:rsid w:val="00F900AA"/>
    <w:rsid w:val="00F92767"/>
    <w:rsid w:val="00F953BB"/>
    <w:rsid w:val="00F964A1"/>
    <w:rsid w:val="00F97A5D"/>
    <w:rsid w:val="00FA0A26"/>
    <w:rsid w:val="00FA4E79"/>
    <w:rsid w:val="00FA53D3"/>
    <w:rsid w:val="00FA56C5"/>
    <w:rsid w:val="00FB13E0"/>
    <w:rsid w:val="00FB1773"/>
    <w:rsid w:val="00FB47DE"/>
    <w:rsid w:val="00FB549F"/>
    <w:rsid w:val="00FC340B"/>
    <w:rsid w:val="00FD0FAC"/>
    <w:rsid w:val="00FD6844"/>
    <w:rsid w:val="00FD727E"/>
    <w:rsid w:val="00FE2882"/>
    <w:rsid w:val="00FE3F91"/>
    <w:rsid w:val="00FF35B1"/>
    <w:rsid w:val="00FF3CB6"/>
    <w:rsid w:val="00FF5449"/>
    <w:rsid w:val="00FF67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F1"/>
    <w:pPr>
      <w:spacing w:before="80" w:after="80"/>
    </w:pPr>
    <w:rPr>
      <w:rFonts w:ascii="Arial" w:hAnsi="Arial" w:cs="Arial"/>
      <w:sz w:val="22"/>
      <w:szCs w:val="22"/>
      <w:lang w:eastAsia="en-US"/>
    </w:rPr>
  </w:style>
  <w:style w:type="paragraph" w:styleId="Heading1">
    <w:name w:val="heading 1"/>
    <w:basedOn w:val="Normal"/>
    <w:next w:val="Normal"/>
    <w:qFormat/>
    <w:pPr>
      <w:keepNext/>
      <w:spacing w:before="240" w:after="60"/>
      <w:outlineLvl w:val="0"/>
    </w:pPr>
    <w:rPr>
      <w:b/>
      <w:caps/>
      <w:kern w:val="28"/>
      <w:sz w:val="24"/>
    </w:rPr>
  </w:style>
  <w:style w:type="paragraph" w:styleId="Heading2">
    <w:name w:val="heading 2"/>
    <w:basedOn w:val="Normal"/>
    <w:next w:val="Normal"/>
    <w:qFormat/>
    <w:pPr>
      <w:keepNext/>
      <w:spacing w:before="240" w:after="60"/>
      <w:outlineLvl w:val="1"/>
    </w:pPr>
    <w:rPr>
      <w:b/>
      <w:sz w:val="24"/>
    </w:rPr>
  </w:style>
  <w:style w:type="paragraph" w:styleId="Heading3">
    <w:name w:val="heading 3"/>
    <w:basedOn w:val="Normal"/>
    <w:next w:val="Normal"/>
    <w:qFormat/>
    <w:pPr>
      <w:keepNext/>
      <w:spacing w:before="240" w:after="60"/>
      <w:outlineLvl w:val="2"/>
    </w:pPr>
    <w:rPr>
      <w:sz w:val="24"/>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outlineLvl w:val="6"/>
    </w:pPr>
    <w:rPr>
      <w:b/>
      <w:sz w:val="18"/>
    </w:rPr>
  </w:style>
  <w:style w:type="paragraph" w:styleId="Heading8">
    <w:name w:val="heading 8"/>
    <w:basedOn w:val="Normal"/>
    <w:next w:val="Normal"/>
    <w:qFormat/>
    <w:pPr>
      <w:numPr>
        <w:ilvl w:val="7"/>
        <w:numId w:val="2"/>
      </w:numPr>
      <w:spacing w:before="240" w:after="60"/>
      <w:jc w:val="both"/>
      <w:outlineLvl w:val="7"/>
    </w:pPr>
    <w:rPr>
      <w:i/>
      <w:sz w:val="20"/>
      <w:lang w:val="en-US"/>
    </w:rPr>
  </w:style>
  <w:style w:type="paragraph" w:styleId="Heading9">
    <w:name w:val="heading 9"/>
    <w:basedOn w:val="Normal"/>
    <w:next w:val="Normal"/>
    <w:qFormat/>
    <w:pPr>
      <w:numPr>
        <w:ilvl w:val="8"/>
        <w:numId w:val="2"/>
      </w:numPr>
      <w:spacing w:before="240" w:after="60"/>
      <w:jc w:val="both"/>
      <w:outlineLvl w:val="8"/>
    </w:pPr>
    <w:rPr>
      <w:b/>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900"/>
      </w:tabs>
      <w:suppressAutoHyphens/>
      <w:jc w:val="both"/>
    </w:pPr>
    <w:rPr>
      <w:rFonts w:ascii="Times New Roman" w:hAnsi="Times New Roman"/>
      <w:spacing w:val="-3"/>
      <w:vertAlign w:val="superscript"/>
    </w:rPr>
  </w:style>
  <w:style w:type="paragraph" w:styleId="Title">
    <w:name w:val="Title"/>
    <w:basedOn w:val="Normal"/>
    <w:qFormat/>
    <w:pPr>
      <w:spacing w:after="60"/>
      <w:jc w:val="center"/>
    </w:pPr>
    <w:rPr>
      <w:b/>
      <w:kern w:val="28"/>
      <w:sz w:val="28"/>
    </w:rPr>
  </w:style>
  <w:style w:type="paragraph" w:styleId="TOC2">
    <w:name w:val="toc 2"/>
    <w:basedOn w:val="Normal"/>
    <w:next w:val="Normal"/>
    <w:semiHidden/>
    <w:pPr>
      <w:widowControl w:val="0"/>
      <w:tabs>
        <w:tab w:val="left" w:leader="dot" w:pos="9000"/>
        <w:tab w:val="right" w:pos="9360"/>
      </w:tabs>
      <w:suppressAutoHyphens/>
      <w:spacing w:before="0"/>
      <w:ind w:left="1440" w:right="720" w:hanging="720"/>
    </w:pPr>
    <w:rPr>
      <w:rFonts w:ascii="Times New Roman" w:hAnsi="Times New Roman"/>
      <w:spacing w:val="-3"/>
      <w:sz w:val="18"/>
      <w:vertAlign w:val="superscript"/>
    </w:rPr>
  </w:style>
  <w:style w:type="paragraph" w:styleId="BodyText2">
    <w:name w:val="Body Text 2"/>
    <w:basedOn w:val="Normal"/>
    <w:rsid w:val="00F953BB"/>
    <w:pPr>
      <w:spacing w:before="0"/>
      <w:ind w:left="170" w:hanging="170"/>
    </w:pPr>
    <w:rPr>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customStyle="1" w:styleId="Table">
    <w:name w:val="Table"/>
    <w:basedOn w:val="Normal"/>
    <w:pPr>
      <w:spacing w:before="0"/>
    </w:pPr>
    <w:rPr>
      <w:sz w:val="20"/>
    </w:rPr>
  </w:style>
  <w:style w:type="paragraph" w:styleId="CommentText">
    <w:name w:val="annotation text"/>
    <w:basedOn w:val="Normal"/>
    <w:link w:val="CommentTextChar"/>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style>
  <w:style w:type="paragraph" w:styleId="TOAHeading">
    <w:name w:val="toa heading"/>
    <w:basedOn w:val="Normal"/>
    <w:next w:val="Normal"/>
    <w:semiHidden/>
    <w:pPr>
      <w:tabs>
        <w:tab w:val="left" w:pos="9000"/>
        <w:tab w:val="right" w:pos="9360"/>
      </w:tabs>
      <w:suppressAutoHyphens/>
      <w:spacing w:before="0" w:after="0"/>
    </w:pPr>
    <w:rPr>
      <w:lang w:val="en-US"/>
    </w:rPr>
  </w:style>
  <w:style w:type="paragraph" w:styleId="BodyText3">
    <w:name w:val="Body Text 3"/>
    <w:basedOn w:val="Normal"/>
    <w:pPr>
      <w:widowControl w:val="0"/>
      <w:tabs>
        <w:tab w:val="left" w:pos="-70"/>
      </w:tabs>
      <w:spacing w:before="0" w:after="0"/>
    </w:pPr>
    <w:rPr>
      <w:rFonts w:ascii="Courier" w:hAnsi="Courier"/>
    </w:rPr>
  </w:style>
  <w:style w:type="paragraph" w:customStyle="1" w:styleId="cellleft9">
    <w:name w:val="cell:left9"/>
    <w:basedOn w:val="Normal"/>
    <w:next w:val="Normal"/>
    <w:pPr>
      <w:spacing w:before="30" w:after="30"/>
    </w:pPr>
    <w:rPr>
      <w:sz w:val="18"/>
      <w:lang w:val="en-US"/>
    </w:rPr>
  </w:style>
  <w:style w:type="paragraph" w:customStyle="1" w:styleId="Uberschrift3">
    <w:name w:val="Uberschrift 3"/>
    <w:basedOn w:val="Normal"/>
    <w:pPr>
      <w:keepNext/>
      <w:tabs>
        <w:tab w:val="left" w:pos="567"/>
      </w:tabs>
      <w:spacing w:before="240"/>
      <w:jc w:val="center"/>
    </w:pPr>
    <w:rPr>
      <w:rFonts w:ascii="Courier" w:hAnsi="Courier"/>
      <w:b/>
      <w:kern w:val="28"/>
    </w:rPr>
  </w:style>
  <w:style w:type="paragraph" w:customStyle="1" w:styleId="bullet">
    <w:name w:val="bullet"/>
    <w:basedOn w:val="Normal"/>
    <w:next w:val="Normal"/>
    <w:pPr>
      <w:numPr>
        <w:numId w:val="1"/>
      </w:numPr>
      <w:tabs>
        <w:tab w:val="clear" w:pos="360"/>
        <w:tab w:val="left" w:pos="0"/>
        <w:tab w:val="left" w:pos="1080"/>
      </w:tabs>
      <w:spacing w:before="0" w:after="158"/>
      <w:ind w:left="1080"/>
      <w:jc w:val="both"/>
    </w:pPr>
    <w:rPr>
      <w:sz w:val="24"/>
      <w:lang w:val="en-US"/>
    </w:rPr>
  </w:style>
  <w:style w:type="paragraph" w:styleId="EndnoteText">
    <w:name w:val="endnote text"/>
    <w:basedOn w:val="Normal"/>
    <w:semiHidden/>
    <w:pPr>
      <w:tabs>
        <w:tab w:val="left" w:pos="567"/>
      </w:tabs>
      <w:spacing w:before="0" w:after="0"/>
    </w:pPr>
    <w:rPr>
      <w:rFonts w:ascii="Courier" w:hAnsi="Courier"/>
    </w:rPr>
  </w:style>
  <w:style w:type="paragraph" w:customStyle="1" w:styleId="toa">
    <w:name w:val="toa"/>
    <w:basedOn w:val="Normal"/>
    <w:pPr>
      <w:widowControl w:val="0"/>
      <w:tabs>
        <w:tab w:val="left" w:pos="9000"/>
        <w:tab w:val="right" w:pos="9360"/>
      </w:tabs>
      <w:suppressAutoHyphens/>
      <w:spacing w:before="0" w:after="0"/>
    </w:pPr>
    <w:rPr>
      <w:rFonts w:ascii="Courier" w:hAnsi="Courier"/>
      <w:sz w:val="24"/>
    </w:rPr>
  </w:style>
  <w:style w:type="paragraph" w:styleId="FootnoteText">
    <w:name w:val="footnote text"/>
    <w:basedOn w:val="Normal"/>
    <w:semiHidden/>
    <w:pPr>
      <w:widowControl w:val="0"/>
      <w:spacing w:before="0" w:after="0"/>
    </w:pPr>
    <w:rPr>
      <w:rFonts w:ascii="Courier" w:hAnsi="Courier"/>
      <w:sz w:val="20"/>
    </w:rPr>
  </w:style>
  <w:style w:type="character" w:styleId="FootnoteReference">
    <w:name w:val="footnote reference"/>
    <w:semiHidden/>
    <w:rPr>
      <w:vertAlign w:val="superscript"/>
    </w:rPr>
  </w:style>
  <w:style w:type="paragraph" w:customStyle="1" w:styleId="Uberschrift2">
    <w:name w:val="Uberschrift 2"/>
    <w:basedOn w:val="Normal"/>
    <w:pPr>
      <w:keepNext/>
      <w:tabs>
        <w:tab w:val="left" w:pos="567"/>
      </w:tabs>
      <w:spacing w:before="240"/>
    </w:pPr>
    <w:rPr>
      <w:rFonts w:ascii="Courier" w:hAnsi="Courier"/>
      <w:b/>
      <w:kern w:val="28"/>
    </w:rPr>
  </w:style>
  <w:style w:type="paragraph" w:customStyle="1" w:styleId="TOChead">
    <w:name w:val="TOC_head"/>
    <w:basedOn w:val="Normal"/>
    <w:next w:val="Normal"/>
    <w:pPr>
      <w:keepLines/>
      <w:tabs>
        <w:tab w:val="center" w:pos="4320"/>
        <w:tab w:val="right" w:pos="9000"/>
      </w:tabs>
      <w:spacing w:before="240" w:after="245" w:line="360" w:lineRule="auto"/>
    </w:pPr>
    <w:rPr>
      <w:b/>
      <w:sz w:val="24"/>
      <w:lang w:val="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character" w:customStyle="1" w:styleId="pfradkin">
    <w:name w:val="pfradkin"/>
    <w:semiHidden/>
    <w:rPr>
      <w:rFonts w:ascii="Arial" w:hAnsi="Arial" w:cs="Arial"/>
      <w:color w:val="auto"/>
      <w:sz w:val="20"/>
      <w:szCs w:val="20"/>
    </w:rPr>
  </w:style>
  <w:style w:type="paragraph" w:customStyle="1" w:styleId="cellcent9">
    <w:name w:val="cell:cent9"/>
    <w:basedOn w:val="Normal"/>
    <w:next w:val="Normal"/>
    <w:pPr>
      <w:spacing w:before="30" w:after="30"/>
      <w:jc w:val="center"/>
    </w:pPr>
    <w:rPr>
      <w:sz w:val="18"/>
      <w:lang w:val="en-US"/>
    </w:rPr>
  </w:style>
  <w:style w:type="paragraph" w:customStyle="1" w:styleId="cellftnote">
    <w:name w:val="cell:ftnote"/>
    <w:basedOn w:val="Normal"/>
    <w:pPr>
      <w:tabs>
        <w:tab w:val="left" w:pos="0"/>
        <w:tab w:val="left" w:pos="360"/>
      </w:tabs>
      <w:spacing w:before="30" w:after="30"/>
      <w:ind w:left="360" w:hanging="360"/>
    </w:pPr>
    <w:rPr>
      <w:sz w:val="18"/>
      <w:lang w:val="en-US"/>
    </w:rPr>
  </w:style>
  <w:style w:type="character" w:customStyle="1" w:styleId="msoins0">
    <w:name w:val="msoins"/>
    <w:basedOn w:val="DefaultParagraphFont"/>
  </w:style>
  <w:style w:type="character" w:styleId="LineNumber">
    <w:name w:val="line number"/>
    <w:basedOn w:val="DefaultParagraphFont"/>
  </w:style>
  <w:style w:type="paragraph" w:customStyle="1" w:styleId="Body">
    <w:name w:val="Body"/>
    <w:basedOn w:val="Normal"/>
    <w:link w:val="BodyChar"/>
    <w:pPr>
      <w:spacing w:before="0" w:after="0"/>
      <w:ind w:firstLine="288"/>
      <w:jc w:val="both"/>
    </w:pPr>
    <w:rPr>
      <w:sz w:val="20"/>
      <w:lang w:val="en-US"/>
    </w:rPr>
  </w:style>
  <w:style w:type="character" w:customStyle="1" w:styleId="BodyChar">
    <w:name w:val="Body Char"/>
    <w:link w:val="Body"/>
    <w:rPr>
      <w:rFonts w:ascii="Arial" w:hAnsi="Arial"/>
      <w:lang w:val="en-US" w:eastAsia="en-US" w:bidi="ar-SA"/>
    </w:rPr>
  </w:style>
  <w:style w:type="paragraph" w:customStyle="1" w:styleId="SubSectionHeadings">
    <w:name w:val="Sub Section Headings"/>
    <w:basedOn w:val="Normal"/>
    <w:next w:val="Body"/>
    <w:link w:val="SubSectionHeadingsChar"/>
    <w:pPr>
      <w:keepNext/>
      <w:keepLines/>
      <w:spacing w:before="0" w:after="0"/>
    </w:pPr>
    <w:rPr>
      <w:i/>
      <w:sz w:val="20"/>
      <w:lang w:val="en-US"/>
    </w:rPr>
  </w:style>
  <w:style w:type="character" w:customStyle="1" w:styleId="SubSectionHeadingsChar">
    <w:name w:val="Sub Section Headings Char"/>
    <w:link w:val="SubSectionHeadings"/>
    <w:rPr>
      <w:rFonts w:ascii="Arial" w:hAnsi="Arial"/>
      <w:i/>
      <w:lang w:val="en-US" w:eastAsia="en-US" w:bidi="ar-SA"/>
    </w:rPr>
  </w:style>
  <w:style w:type="paragraph" w:customStyle="1" w:styleId="SectionHeadings">
    <w:name w:val="Section Headings"/>
    <w:basedOn w:val="Normal"/>
    <w:next w:val="Body"/>
    <w:link w:val="SectionHeadingsChar"/>
    <w:pPr>
      <w:keepNext/>
      <w:keepLines/>
      <w:spacing w:before="240"/>
    </w:pPr>
    <w:rPr>
      <w:b/>
      <w:caps/>
      <w:sz w:val="20"/>
      <w:lang w:val="en-US"/>
    </w:rPr>
  </w:style>
  <w:style w:type="character" w:customStyle="1" w:styleId="SectionHeadingsChar">
    <w:name w:val="Section Headings Char"/>
    <w:link w:val="SectionHeadings"/>
    <w:rPr>
      <w:rFonts w:ascii="Arial" w:hAnsi="Arial"/>
      <w:b/>
      <w:caps/>
      <w:lang w:val="en-US" w:eastAsia="en-US" w:bidi="ar-SA"/>
    </w:rPr>
  </w:style>
  <w:style w:type="paragraph" w:customStyle="1" w:styleId="BodyText1">
    <w:name w:val="BodyText1"/>
    <w:basedOn w:val="Normal"/>
    <w:uiPriority w:val="99"/>
    <w:pPr>
      <w:spacing w:before="4" w:after="0"/>
      <w:ind w:firstLine="317"/>
    </w:pPr>
    <w:rPr>
      <w:rFonts w:ascii="Helvetica" w:hAnsi="Helvetica"/>
      <w:sz w:val="16"/>
      <w:szCs w:val="24"/>
      <w:lang w:val="en-US"/>
    </w:rPr>
  </w:style>
  <w:style w:type="paragraph" w:customStyle="1" w:styleId="TableLeft">
    <w:name w:val="Table Left"/>
    <w:link w:val="TableLeftChar"/>
    <w:pPr>
      <w:spacing w:before="60" w:after="60"/>
    </w:pPr>
    <w:rPr>
      <w:rFonts w:ascii="Arial" w:eastAsia="MS Gothic" w:hAnsi="Arial" w:cs="Arial"/>
      <w:bCs/>
      <w:sz w:val="24"/>
      <w:szCs w:val="24"/>
      <w:lang w:val="en-US" w:eastAsia="en-US"/>
    </w:rPr>
  </w:style>
  <w:style w:type="character" w:customStyle="1" w:styleId="TableLeftChar">
    <w:name w:val="Table Left Char"/>
    <w:link w:val="TableLeft"/>
    <w:rPr>
      <w:rFonts w:ascii="Arial" w:eastAsia="MS Gothic" w:hAnsi="Arial" w:cs="Arial"/>
      <w:bCs/>
      <w:sz w:val="24"/>
      <w:szCs w:val="24"/>
      <w:lang w:val="en-US" w:eastAsia="en-US" w:bidi="ar-SA"/>
    </w:rPr>
  </w:style>
  <w:style w:type="paragraph" w:customStyle="1" w:styleId="BodyText2Char">
    <w:name w:val="BodyText2 Char"/>
    <w:basedOn w:val="Normal"/>
    <w:link w:val="BodyText2CharChar"/>
    <w:pPr>
      <w:spacing w:before="4" w:after="0"/>
      <w:ind w:firstLine="317"/>
    </w:pPr>
    <w:rPr>
      <w:rFonts w:ascii="Helvetica" w:hAnsi="Helvetica"/>
      <w:sz w:val="16"/>
      <w:szCs w:val="24"/>
      <w:lang w:val="en-US"/>
    </w:rPr>
  </w:style>
  <w:style w:type="character" w:customStyle="1" w:styleId="BodyText2CharChar">
    <w:name w:val="BodyText2 Char Char"/>
    <w:link w:val="BodyText2Char"/>
    <w:rPr>
      <w:rFonts w:ascii="Helvetica" w:hAnsi="Helvetica"/>
      <w:sz w:val="16"/>
      <w:szCs w:val="24"/>
      <w:lang w:val="en-US" w:eastAsia="en-US" w:bidi="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en-US" w:bidi="ne-NP"/>
    </w:rPr>
  </w:style>
  <w:style w:type="paragraph" w:customStyle="1" w:styleId="Default">
    <w:name w:val="Default"/>
    <w:pPr>
      <w:autoSpaceDE w:val="0"/>
      <w:autoSpaceDN w:val="0"/>
      <w:adjustRightInd w:val="0"/>
    </w:pPr>
    <w:rPr>
      <w:rFonts w:eastAsia="SimSun"/>
      <w:color w:val="000000"/>
      <w:sz w:val="24"/>
      <w:szCs w:val="24"/>
      <w:lang w:val="en-US" w:eastAsia="zh-CN"/>
    </w:rPr>
  </w:style>
  <w:style w:type="paragraph" w:customStyle="1" w:styleId="BodyText20">
    <w:name w:val="BodyText2"/>
    <w:basedOn w:val="Normal"/>
    <w:pPr>
      <w:spacing w:before="4" w:after="0"/>
      <w:ind w:firstLine="317"/>
    </w:pPr>
    <w:rPr>
      <w:rFonts w:ascii="Helvetica" w:hAnsi="Helvetica"/>
      <w:sz w:val="16"/>
      <w:szCs w:val="24"/>
      <w:lang w:val="en-US"/>
    </w:rPr>
  </w:style>
  <w:style w:type="paragraph" w:customStyle="1" w:styleId="CharChar1CarCar">
    <w:name w:val="Char Char1 Car Car"/>
    <w:basedOn w:val="Normal"/>
    <w:next w:val="Normal"/>
    <w:rsid w:val="00015112"/>
    <w:pPr>
      <w:spacing w:before="0" w:after="160"/>
      <w:jc w:val="both"/>
    </w:pPr>
    <w:rPr>
      <w:rFonts w:ascii="Times New Roman" w:hAnsi="Times New Roman"/>
      <w:sz w:val="24"/>
    </w:rPr>
  </w:style>
  <w:style w:type="paragraph" w:customStyle="1" w:styleId="TableFootnoteLetter">
    <w:name w:val="Table Footnote Letter"/>
    <w:basedOn w:val="Normal"/>
    <w:link w:val="TableFootnoteLetterChar"/>
    <w:rsid w:val="00492BE4"/>
    <w:pPr>
      <w:keepLines/>
      <w:numPr>
        <w:numId w:val="3"/>
      </w:numPr>
      <w:spacing w:before="60" w:after="60"/>
    </w:pPr>
    <w:rPr>
      <w:rFonts w:eastAsia="MS Gothic"/>
      <w:sz w:val="18"/>
      <w:lang w:val="en-US"/>
    </w:rPr>
  </w:style>
  <w:style w:type="character" w:customStyle="1" w:styleId="TableTitleChar">
    <w:name w:val="Table Title Char"/>
    <w:link w:val="TableTitle"/>
    <w:locked/>
    <w:rsid w:val="00492BE4"/>
    <w:rPr>
      <w:rFonts w:ascii="Arial" w:eastAsia="MS Gothic" w:hAnsi="Arial"/>
      <w:b/>
      <w:color w:val="000000"/>
      <w:sz w:val="24"/>
      <w:szCs w:val="24"/>
      <w:lang w:val="en-US" w:eastAsia="en-US" w:bidi="ar-SA"/>
    </w:rPr>
  </w:style>
  <w:style w:type="character" w:customStyle="1" w:styleId="TableFootnoteLetterChar">
    <w:name w:val="Table Footnote Letter Char"/>
    <w:link w:val="TableFootnoteLetter"/>
    <w:locked/>
    <w:rsid w:val="00492BE4"/>
    <w:rPr>
      <w:rFonts w:ascii="Arial" w:eastAsia="MS Gothic" w:hAnsi="Arial" w:cs="Arial"/>
      <w:sz w:val="18"/>
      <w:szCs w:val="22"/>
      <w:lang w:val="en-US" w:eastAsia="en-US"/>
    </w:rPr>
  </w:style>
  <w:style w:type="paragraph" w:customStyle="1" w:styleId="TableCenter">
    <w:name w:val="Table Center"/>
    <w:rsid w:val="00492BE4"/>
    <w:pPr>
      <w:spacing w:before="60" w:after="60"/>
      <w:jc w:val="center"/>
    </w:pPr>
    <w:rPr>
      <w:rFonts w:ascii="Arial" w:eastAsia="MS Gothic" w:hAnsi="Arial"/>
      <w:sz w:val="24"/>
      <w:szCs w:val="24"/>
      <w:lang w:val="en-US" w:eastAsia="en-US"/>
    </w:rPr>
  </w:style>
  <w:style w:type="paragraph" w:customStyle="1" w:styleId="TableTitle">
    <w:name w:val="Table Title"/>
    <w:next w:val="Normal"/>
    <w:link w:val="TableTitleChar"/>
    <w:rsid w:val="00492BE4"/>
    <w:pPr>
      <w:keepNext/>
      <w:keepLines/>
      <w:tabs>
        <w:tab w:val="left" w:pos="1440"/>
      </w:tabs>
      <w:spacing w:before="60" w:after="120"/>
      <w:ind w:left="1440" w:hanging="1440"/>
    </w:pPr>
    <w:rPr>
      <w:rFonts w:ascii="Arial" w:eastAsia="MS Gothic" w:hAnsi="Arial"/>
      <w:b/>
      <w:color w:val="000000"/>
      <w:sz w:val="24"/>
      <w:szCs w:val="24"/>
      <w:lang w:val="en-US" w:eastAsia="en-US"/>
    </w:rPr>
  </w:style>
  <w:style w:type="paragraph" w:customStyle="1" w:styleId="ListEnd">
    <w:name w:val="List End"/>
    <w:next w:val="Normal"/>
    <w:semiHidden/>
    <w:rsid w:val="00492BE4"/>
    <w:rPr>
      <w:sz w:val="24"/>
      <w:lang w:val="en-US" w:eastAsia="en-US"/>
    </w:rPr>
  </w:style>
  <w:style w:type="paragraph" w:customStyle="1" w:styleId="Tablecentered">
    <w:name w:val="Table: centered"/>
    <w:basedOn w:val="Normal"/>
    <w:rsid w:val="00B978B7"/>
    <w:pPr>
      <w:keepNext/>
      <w:keepLines/>
      <w:spacing w:before="0" w:after="0"/>
      <w:jc w:val="center"/>
    </w:pPr>
    <w:rPr>
      <w:sz w:val="14"/>
      <w:lang w:val="en-US"/>
    </w:rPr>
  </w:style>
  <w:style w:type="character" w:customStyle="1" w:styleId="HTMLPreformattedChar">
    <w:name w:val="HTML Preformatted Char"/>
    <w:link w:val="HTMLPreformatted"/>
    <w:rsid w:val="006E349B"/>
    <w:rPr>
      <w:rFonts w:ascii="Courier New" w:hAnsi="Courier New" w:cs="Courier New"/>
      <w:lang w:val="en-US" w:eastAsia="en-US" w:bidi="ne-NP"/>
    </w:rPr>
  </w:style>
  <w:style w:type="paragraph" w:styleId="Revision">
    <w:name w:val="Revision"/>
    <w:hidden/>
    <w:uiPriority w:val="99"/>
    <w:semiHidden/>
    <w:rsid w:val="00AC23A4"/>
    <w:rPr>
      <w:rFonts w:ascii="Arial" w:hAnsi="Arial"/>
      <w:sz w:val="22"/>
      <w:lang w:val="en-GB"/>
    </w:rPr>
  </w:style>
  <w:style w:type="paragraph" w:customStyle="1" w:styleId="Paragraph">
    <w:name w:val="Paragraph"/>
    <w:link w:val="ParagraphChar"/>
    <w:rsid w:val="00C46D52"/>
    <w:pPr>
      <w:spacing w:before="60" w:after="240"/>
    </w:pPr>
    <w:rPr>
      <w:rFonts w:ascii="Arial" w:eastAsia="MS Gothic" w:hAnsi="Arial"/>
      <w:sz w:val="24"/>
      <w:szCs w:val="24"/>
      <w:lang w:val="en-US" w:eastAsia="en-US"/>
    </w:rPr>
  </w:style>
  <w:style w:type="character" w:customStyle="1" w:styleId="HeaderChar">
    <w:name w:val="Header Char"/>
    <w:link w:val="Header"/>
    <w:uiPriority w:val="99"/>
    <w:rsid w:val="00D92692"/>
    <w:rPr>
      <w:rFonts w:ascii="Arial" w:hAnsi="Arial"/>
      <w:sz w:val="22"/>
      <w:lang w:val="en-GB"/>
    </w:rPr>
  </w:style>
  <w:style w:type="paragraph" w:styleId="Caption">
    <w:name w:val="caption"/>
    <w:basedOn w:val="Normal"/>
    <w:next w:val="Normal"/>
    <w:unhideWhenUsed/>
    <w:qFormat/>
    <w:rsid w:val="00097DE3"/>
    <w:rPr>
      <w:b/>
      <w:bCs/>
      <w:sz w:val="20"/>
    </w:rPr>
  </w:style>
  <w:style w:type="character" w:customStyle="1" w:styleId="CommentTextChar">
    <w:name w:val="Comment Text Char"/>
    <w:link w:val="CommentText"/>
    <w:semiHidden/>
    <w:rsid w:val="00584181"/>
    <w:rPr>
      <w:rFonts w:ascii="Arial" w:hAnsi="Arial"/>
      <w:lang w:val="en-GB"/>
    </w:rPr>
  </w:style>
  <w:style w:type="paragraph" w:styleId="ListParagraph">
    <w:name w:val="List Paragraph"/>
    <w:basedOn w:val="Normal"/>
    <w:uiPriority w:val="34"/>
    <w:qFormat/>
    <w:rsid w:val="00DC43F1"/>
    <w:pPr>
      <w:ind w:left="720"/>
      <w:contextualSpacing/>
    </w:pPr>
  </w:style>
  <w:style w:type="character" w:styleId="EndnoteReference">
    <w:name w:val="endnote reference"/>
    <w:basedOn w:val="DefaultParagraphFont"/>
    <w:rsid w:val="00F92767"/>
    <w:rPr>
      <w:vertAlign w:val="superscript"/>
    </w:rPr>
  </w:style>
  <w:style w:type="character" w:customStyle="1" w:styleId="ParagraphChar">
    <w:name w:val="Paragraph Char"/>
    <w:link w:val="Paragraph"/>
    <w:locked/>
    <w:rsid w:val="00D11E06"/>
    <w:rPr>
      <w:rFonts w:ascii="Arial" w:eastAsia="MS Gothic" w:hAnsi="Arial"/>
      <w:sz w:val="24"/>
      <w:szCs w:val="24"/>
      <w:lang w:val="en-US" w:eastAsia="en-US"/>
    </w:rPr>
  </w:style>
  <w:style w:type="character" w:customStyle="1" w:styleId="LFI">
    <w:name w:val="LFI"/>
    <w:rsid w:val="00E56AA7"/>
    <w:rPr>
      <w:i/>
    </w:rPr>
  </w:style>
  <w:style w:type="character" w:customStyle="1" w:styleId="FooterChar">
    <w:name w:val="Footer Char"/>
    <w:basedOn w:val="DefaultParagraphFont"/>
    <w:link w:val="Footer"/>
    <w:uiPriority w:val="99"/>
    <w:rsid w:val="0071229A"/>
    <w:rPr>
      <w:rFonts w:ascii="Arial" w:hAnsi="Arial" w:cs="Arial"/>
      <w:sz w:val="22"/>
      <w:szCs w:val="22"/>
      <w:lang w:eastAsia="en-US"/>
    </w:rPr>
  </w:style>
  <w:style w:type="paragraph" w:styleId="NormalWeb">
    <w:name w:val="Normal (Web)"/>
    <w:basedOn w:val="Normal"/>
    <w:uiPriority w:val="99"/>
    <w:unhideWhenUsed/>
    <w:rsid w:val="00116EBC"/>
    <w:pPr>
      <w:spacing w:before="100" w:beforeAutospacing="1" w:after="100" w:afterAutospacing="1"/>
    </w:pPr>
    <w:rPr>
      <w:rFonts w:ascii="Times New Roman" w:hAnsi="Times New Roman" w:cs="Times New Roman"/>
      <w:sz w:val="24"/>
      <w:szCs w:val="24"/>
      <w:lang w:val="en-US"/>
    </w:rPr>
  </w:style>
  <w:style w:type="paragraph" w:styleId="NoSpacing">
    <w:name w:val="No Spacing"/>
    <w:uiPriority w:val="1"/>
    <w:qFormat/>
    <w:rsid w:val="00856BED"/>
    <w:rPr>
      <w:rFonts w:ascii="Arial" w:hAnsi="Arial" w:cs="Arial"/>
      <w:sz w:val="22"/>
      <w:szCs w:val="22"/>
      <w:lang w:eastAsia="en-US"/>
    </w:rPr>
  </w:style>
  <w:style w:type="paragraph" w:customStyle="1" w:styleId="TableParagraph">
    <w:name w:val="Table Paragraph"/>
    <w:basedOn w:val="Normal"/>
    <w:uiPriority w:val="1"/>
    <w:qFormat/>
    <w:rsid w:val="00FE2882"/>
    <w:pPr>
      <w:widowControl w:val="0"/>
      <w:spacing w:before="0" w:after="0"/>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F1"/>
    <w:pPr>
      <w:spacing w:before="80" w:after="80"/>
    </w:pPr>
    <w:rPr>
      <w:rFonts w:ascii="Arial" w:hAnsi="Arial" w:cs="Arial"/>
      <w:sz w:val="22"/>
      <w:szCs w:val="22"/>
      <w:lang w:eastAsia="en-US"/>
    </w:rPr>
  </w:style>
  <w:style w:type="paragraph" w:styleId="Heading1">
    <w:name w:val="heading 1"/>
    <w:basedOn w:val="Normal"/>
    <w:next w:val="Normal"/>
    <w:qFormat/>
    <w:pPr>
      <w:keepNext/>
      <w:spacing w:before="240" w:after="60"/>
      <w:outlineLvl w:val="0"/>
    </w:pPr>
    <w:rPr>
      <w:b/>
      <w:caps/>
      <w:kern w:val="28"/>
      <w:sz w:val="24"/>
    </w:rPr>
  </w:style>
  <w:style w:type="paragraph" w:styleId="Heading2">
    <w:name w:val="heading 2"/>
    <w:basedOn w:val="Normal"/>
    <w:next w:val="Normal"/>
    <w:qFormat/>
    <w:pPr>
      <w:keepNext/>
      <w:spacing w:before="240" w:after="60"/>
      <w:outlineLvl w:val="1"/>
    </w:pPr>
    <w:rPr>
      <w:b/>
      <w:sz w:val="24"/>
    </w:rPr>
  </w:style>
  <w:style w:type="paragraph" w:styleId="Heading3">
    <w:name w:val="heading 3"/>
    <w:basedOn w:val="Normal"/>
    <w:next w:val="Normal"/>
    <w:qFormat/>
    <w:pPr>
      <w:keepNext/>
      <w:spacing w:before="240" w:after="60"/>
      <w:outlineLvl w:val="2"/>
    </w:pPr>
    <w:rPr>
      <w:sz w:val="24"/>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outlineLvl w:val="6"/>
    </w:pPr>
    <w:rPr>
      <w:b/>
      <w:sz w:val="18"/>
    </w:rPr>
  </w:style>
  <w:style w:type="paragraph" w:styleId="Heading8">
    <w:name w:val="heading 8"/>
    <w:basedOn w:val="Normal"/>
    <w:next w:val="Normal"/>
    <w:qFormat/>
    <w:pPr>
      <w:numPr>
        <w:ilvl w:val="7"/>
        <w:numId w:val="2"/>
      </w:numPr>
      <w:spacing w:before="240" w:after="60"/>
      <w:jc w:val="both"/>
      <w:outlineLvl w:val="7"/>
    </w:pPr>
    <w:rPr>
      <w:i/>
      <w:sz w:val="20"/>
      <w:lang w:val="en-US"/>
    </w:rPr>
  </w:style>
  <w:style w:type="paragraph" w:styleId="Heading9">
    <w:name w:val="heading 9"/>
    <w:basedOn w:val="Normal"/>
    <w:next w:val="Normal"/>
    <w:qFormat/>
    <w:pPr>
      <w:numPr>
        <w:ilvl w:val="8"/>
        <w:numId w:val="2"/>
      </w:numPr>
      <w:spacing w:before="240" w:after="60"/>
      <w:jc w:val="both"/>
      <w:outlineLvl w:val="8"/>
    </w:pPr>
    <w:rPr>
      <w:b/>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900"/>
      </w:tabs>
      <w:suppressAutoHyphens/>
      <w:jc w:val="both"/>
    </w:pPr>
    <w:rPr>
      <w:rFonts w:ascii="Times New Roman" w:hAnsi="Times New Roman"/>
      <w:spacing w:val="-3"/>
      <w:vertAlign w:val="superscript"/>
    </w:rPr>
  </w:style>
  <w:style w:type="paragraph" w:styleId="Title">
    <w:name w:val="Title"/>
    <w:basedOn w:val="Normal"/>
    <w:qFormat/>
    <w:pPr>
      <w:spacing w:after="60"/>
      <w:jc w:val="center"/>
    </w:pPr>
    <w:rPr>
      <w:b/>
      <w:kern w:val="28"/>
      <w:sz w:val="28"/>
    </w:rPr>
  </w:style>
  <w:style w:type="paragraph" w:styleId="TOC2">
    <w:name w:val="toc 2"/>
    <w:basedOn w:val="Normal"/>
    <w:next w:val="Normal"/>
    <w:semiHidden/>
    <w:pPr>
      <w:widowControl w:val="0"/>
      <w:tabs>
        <w:tab w:val="left" w:leader="dot" w:pos="9000"/>
        <w:tab w:val="right" w:pos="9360"/>
      </w:tabs>
      <w:suppressAutoHyphens/>
      <w:spacing w:before="0"/>
      <w:ind w:left="1440" w:right="720" w:hanging="720"/>
    </w:pPr>
    <w:rPr>
      <w:rFonts w:ascii="Times New Roman" w:hAnsi="Times New Roman"/>
      <w:spacing w:val="-3"/>
      <w:sz w:val="18"/>
      <w:vertAlign w:val="superscript"/>
    </w:rPr>
  </w:style>
  <w:style w:type="paragraph" w:styleId="BodyText2">
    <w:name w:val="Body Text 2"/>
    <w:basedOn w:val="Normal"/>
    <w:rsid w:val="00F953BB"/>
    <w:pPr>
      <w:spacing w:before="0"/>
      <w:ind w:left="170" w:hanging="170"/>
    </w:pPr>
    <w:rPr>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customStyle="1" w:styleId="Table">
    <w:name w:val="Table"/>
    <w:basedOn w:val="Normal"/>
    <w:pPr>
      <w:spacing w:before="0"/>
    </w:pPr>
    <w:rPr>
      <w:sz w:val="20"/>
    </w:rPr>
  </w:style>
  <w:style w:type="paragraph" w:styleId="CommentText">
    <w:name w:val="annotation text"/>
    <w:basedOn w:val="Normal"/>
    <w:link w:val="CommentTextChar"/>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style>
  <w:style w:type="paragraph" w:styleId="TOAHeading">
    <w:name w:val="toa heading"/>
    <w:basedOn w:val="Normal"/>
    <w:next w:val="Normal"/>
    <w:semiHidden/>
    <w:pPr>
      <w:tabs>
        <w:tab w:val="left" w:pos="9000"/>
        <w:tab w:val="right" w:pos="9360"/>
      </w:tabs>
      <w:suppressAutoHyphens/>
      <w:spacing w:before="0" w:after="0"/>
    </w:pPr>
    <w:rPr>
      <w:lang w:val="en-US"/>
    </w:rPr>
  </w:style>
  <w:style w:type="paragraph" w:styleId="BodyText3">
    <w:name w:val="Body Text 3"/>
    <w:basedOn w:val="Normal"/>
    <w:pPr>
      <w:widowControl w:val="0"/>
      <w:tabs>
        <w:tab w:val="left" w:pos="-70"/>
      </w:tabs>
      <w:spacing w:before="0" w:after="0"/>
    </w:pPr>
    <w:rPr>
      <w:rFonts w:ascii="Courier" w:hAnsi="Courier"/>
    </w:rPr>
  </w:style>
  <w:style w:type="paragraph" w:customStyle="1" w:styleId="cellleft9">
    <w:name w:val="cell:left9"/>
    <w:basedOn w:val="Normal"/>
    <w:next w:val="Normal"/>
    <w:pPr>
      <w:spacing w:before="30" w:after="30"/>
    </w:pPr>
    <w:rPr>
      <w:sz w:val="18"/>
      <w:lang w:val="en-US"/>
    </w:rPr>
  </w:style>
  <w:style w:type="paragraph" w:customStyle="1" w:styleId="Uberschrift3">
    <w:name w:val="Uberschrift 3"/>
    <w:basedOn w:val="Normal"/>
    <w:pPr>
      <w:keepNext/>
      <w:tabs>
        <w:tab w:val="left" w:pos="567"/>
      </w:tabs>
      <w:spacing w:before="240"/>
      <w:jc w:val="center"/>
    </w:pPr>
    <w:rPr>
      <w:rFonts w:ascii="Courier" w:hAnsi="Courier"/>
      <w:b/>
      <w:kern w:val="28"/>
    </w:rPr>
  </w:style>
  <w:style w:type="paragraph" w:customStyle="1" w:styleId="bullet">
    <w:name w:val="bullet"/>
    <w:basedOn w:val="Normal"/>
    <w:next w:val="Normal"/>
    <w:pPr>
      <w:numPr>
        <w:numId w:val="1"/>
      </w:numPr>
      <w:tabs>
        <w:tab w:val="clear" w:pos="360"/>
        <w:tab w:val="left" w:pos="0"/>
        <w:tab w:val="left" w:pos="1080"/>
      </w:tabs>
      <w:spacing w:before="0" w:after="158"/>
      <w:ind w:left="1080"/>
      <w:jc w:val="both"/>
    </w:pPr>
    <w:rPr>
      <w:sz w:val="24"/>
      <w:lang w:val="en-US"/>
    </w:rPr>
  </w:style>
  <w:style w:type="paragraph" w:styleId="EndnoteText">
    <w:name w:val="endnote text"/>
    <w:basedOn w:val="Normal"/>
    <w:semiHidden/>
    <w:pPr>
      <w:tabs>
        <w:tab w:val="left" w:pos="567"/>
      </w:tabs>
      <w:spacing w:before="0" w:after="0"/>
    </w:pPr>
    <w:rPr>
      <w:rFonts w:ascii="Courier" w:hAnsi="Courier"/>
    </w:rPr>
  </w:style>
  <w:style w:type="paragraph" w:customStyle="1" w:styleId="toa">
    <w:name w:val="toa"/>
    <w:basedOn w:val="Normal"/>
    <w:pPr>
      <w:widowControl w:val="0"/>
      <w:tabs>
        <w:tab w:val="left" w:pos="9000"/>
        <w:tab w:val="right" w:pos="9360"/>
      </w:tabs>
      <w:suppressAutoHyphens/>
      <w:spacing w:before="0" w:after="0"/>
    </w:pPr>
    <w:rPr>
      <w:rFonts w:ascii="Courier" w:hAnsi="Courier"/>
      <w:sz w:val="24"/>
    </w:rPr>
  </w:style>
  <w:style w:type="paragraph" w:styleId="FootnoteText">
    <w:name w:val="footnote text"/>
    <w:basedOn w:val="Normal"/>
    <w:semiHidden/>
    <w:pPr>
      <w:widowControl w:val="0"/>
      <w:spacing w:before="0" w:after="0"/>
    </w:pPr>
    <w:rPr>
      <w:rFonts w:ascii="Courier" w:hAnsi="Courier"/>
      <w:sz w:val="20"/>
    </w:rPr>
  </w:style>
  <w:style w:type="character" w:styleId="FootnoteReference">
    <w:name w:val="footnote reference"/>
    <w:semiHidden/>
    <w:rPr>
      <w:vertAlign w:val="superscript"/>
    </w:rPr>
  </w:style>
  <w:style w:type="paragraph" w:customStyle="1" w:styleId="Uberschrift2">
    <w:name w:val="Uberschrift 2"/>
    <w:basedOn w:val="Normal"/>
    <w:pPr>
      <w:keepNext/>
      <w:tabs>
        <w:tab w:val="left" w:pos="567"/>
      </w:tabs>
      <w:spacing w:before="240"/>
    </w:pPr>
    <w:rPr>
      <w:rFonts w:ascii="Courier" w:hAnsi="Courier"/>
      <w:b/>
      <w:kern w:val="28"/>
    </w:rPr>
  </w:style>
  <w:style w:type="paragraph" w:customStyle="1" w:styleId="TOChead">
    <w:name w:val="TOC_head"/>
    <w:basedOn w:val="Normal"/>
    <w:next w:val="Normal"/>
    <w:pPr>
      <w:keepLines/>
      <w:tabs>
        <w:tab w:val="center" w:pos="4320"/>
        <w:tab w:val="right" w:pos="9000"/>
      </w:tabs>
      <w:spacing w:before="240" w:after="245" w:line="360" w:lineRule="auto"/>
    </w:pPr>
    <w:rPr>
      <w:b/>
      <w:sz w:val="24"/>
      <w:lang w:val="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character" w:customStyle="1" w:styleId="pfradkin">
    <w:name w:val="pfradkin"/>
    <w:semiHidden/>
    <w:rPr>
      <w:rFonts w:ascii="Arial" w:hAnsi="Arial" w:cs="Arial"/>
      <w:color w:val="auto"/>
      <w:sz w:val="20"/>
      <w:szCs w:val="20"/>
    </w:rPr>
  </w:style>
  <w:style w:type="paragraph" w:customStyle="1" w:styleId="cellcent9">
    <w:name w:val="cell:cent9"/>
    <w:basedOn w:val="Normal"/>
    <w:next w:val="Normal"/>
    <w:pPr>
      <w:spacing w:before="30" w:after="30"/>
      <w:jc w:val="center"/>
    </w:pPr>
    <w:rPr>
      <w:sz w:val="18"/>
      <w:lang w:val="en-US"/>
    </w:rPr>
  </w:style>
  <w:style w:type="paragraph" w:customStyle="1" w:styleId="cellftnote">
    <w:name w:val="cell:ftnote"/>
    <w:basedOn w:val="Normal"/>
    <w:pPr>
      <w:tabs>
        <w:tab w:val="left" w:pos="0"/>
        <w:tab w:val="left" w:pos="360"/>
      </w:tabs>
      <w:spacing w:before="30" w:after="30"/>
      <w:ind w:left="360" w:hanging="360"/>
    </w:pPr>
    <w:rPr>
      <w:sz w:val="18"/>
      <w:lang w:val="en-US"/>
    </w:rPr>
  </w:style>
  <w:style w:type="character" w:customStyle="1" w:styleId="msoins0">
    <w:name w:val="msoins"/>
    <w:basedOn w:val="DefaultParagraphFont"/>
  </w:style>
  <w:style w:type="character" w:styleId="LineNumber">
    <w:name w:val="line number"/>
    <w:basedOn w:val="DefaultParagraphFont"/>
  </w:style>
  <w:style w:type="paragraph" w:customStyle="1" w:styleId="Body">
    <w:name w:val="Body"/>
    <w:basedOn w:val="Normal"/>
    <w:link w:val="BodyChar"/>
    <w:pPr>
      <w:spacing w:before="0" w:after="0"/>
      <w:ind w:firstLine="288"/>
      <w:jc w:val="both"/>
    </w:pPr>
    <w:rPr>
      <w:sz w:val="20"/>
      <w:lang w:val="en-US"/>
    </w:rPr>
  </w:style>
  <w:style w:type="character" w:customStyle="1" w:styleId="BodyChar">
    <w:name w:val="Body Char"/>
    <w:link w:val="Body"/>
    <w:rPr>
      <w:rFonts w:ascii="Arial" w:hAnsi="Arial"/>
      <w:lang w:val="en-US" w:eastAsia="en-US" w:bidi="ar-SA"/>
    </w:rPr>
  </w:style>
  <w:style w:type="paragraph" w:customStyle="1" w:styleId="SubSectionHeadings">
    <w:name w:val="Sub Section Headings"/>
    <w:basedOn w:val="Normal"/>
    <w:next w:val="Body"/>
    <w:link w:val="SubSectionHeadingsChar"/>
    <w:pPr>
      <w:keepNext/>
      <w:keepLines/>
      <w:spacing w:before="0" w:after="0"/>
    </w:pPr>
    <w:rPr>
      <w:i/>
      <w:sz w:val="20"/>
      <w:lang w:val="en-US"/>
    </w:rPr>
  </w:style>
  <w:style w:type="character" w:customStyle="1" w:styleId="SubSectionHeadingsChar">
    <w:name w:val="Sub Section Headings Char"/>
    <w:link w:val="SubSectionHeadings"/>
    <w:rPr>
      <w:rFonts w:ascii="Arial" w:hAnsi="Arial"/>
      <w:i/>
      <w:lang w:val="en-US" w:eastAsia="en-US" w:bidi="ar-SA"/>
    </w:rPr>
  </w:style>
  <w:style w:type="paragraph" w:customStyle="1" w:styleId="SectionHeadings">
    <w:name w:val="Section Headings"/>
    <w:basedOn w:val="Normal"/>
    <w:next w:val="Body"/>
    <w:link w:val="SectionHeadingsChar"/>
    <w:pPr>
      <w:keepNext/>
      <w:keepLines/>
      <w:spacing w:before="240"/>
    </w:pPr>
    <w:rPr>
      <w:b/>
      <w:caps/>
      <w:sz w:val="20"/>
      <w:lang w:val="en-US"/>
    </w:rPr>
  </w:style>
  <w:style w:type="character" w:customStyle="1" w:styleId="SectionHeadingsChar">
    <w:name w:val="Section Headings Char"/>
    <w:link w:val="SectionHeadings"/>
    <w:rPr>
      <w:rFonts w:ascii="Arial" w:hAnsi="Arial"/>
      <w:b/>
      <w:caps/>
      <w:lang w:val="en-US" w:eastAsia="en-US" w:bidi="ar-SA"/>
    </w:rPr>
  </w:style>
  <w:style w:type="paragraph" w:customStyle="1" w:styleId="BodyText1">
    <w:name w:val="BodyText1"/>
    <w:basedOn w:val="Normal"/>
    <w:uiPriority w:val="99"/>
    <w:pPr>
      <w:spacing w:before="4" w:after="0"/>
      <w:ind w:firstLine="317"/>
    </w:pPr>
    <w:rPr>
      <w:rFonts w:ascii="Helvetica" w:hAnsi="Helvetica"/>
      <w:sz w:val="16"/>
      <w:szCs w:val="24"/>
      <w:lang w:val="en-US"/>
    </w:rPr>
  </w:style>
  <w:style w:type="paragraph" w:customStyle="1" w:styleId="TableLeft">
    <w:name w:val="Table Left"/>
    <w:link w:val="TableLeftChar"/>
    <w:pPr>
      <w:spacing w:before="60" w:after="60"/>
    </w:pPr>
    <w:rPr>
      <w:rFonts w:ascii="Arial" w:eastAsia="MS Gothic" w:hAnsi="Arial" w:cs="Arial"/>
      <w:bCs/>
      <w:sz w:val="24"/>
      <w:szCs w:val="24"/>
      <w:lang w:val="en-US" w:eastAsia="en-US"/>
    </w:rPr>
  </w:style>
  <w:style w:type="character" w:customStyle="1" w:styleId="TableLeftChar">
    <w:name w:val="Table Left Char"/>
    <w:link w:val="TableLeft"/>
    <w:rPr>
      <w:rFonts w:ascii="Arial" w:eastAsia="MS Gothic" w:hAnsi="Arial" w:cs="Arial"/>
      <w:bCs/>
      <w:sz w:val="24"/>
      <w:szCs w:val="24"/>
      <w:lang w:val="en-US" w:eastAsia="en-US" w:bidi="ar-SA"/>
    </w:rPr>
  </w:style>
  <w:style w:type="paragraph" w:customStyle="1" w:styleId="BodyText2Char">
    <w:name w:val="BodyText2 Char"/>
    <w:basedOn w:val="Normal"/>
    <w:link w:val="BodyText2CharChar"/>
    <w:pPr>
      <w:spacing w:before="4" w:after="0"/>
      <w:ind w:firstLine="317"/>
    </w:pPr>
    <w:rPr>
      <w:rFonts w:ascii="Helvetica" w:hAnsi="Helvetica"/>
      <w:sz w:val="16"/>
      <w:szCs w:val="24"/>
      <w:lang w:val="en-US"/>
    </w:rPr>
  </w:style>
  <w:style w:type="character" w:customStyle="1" w:styleId="BodyText2CharChar">
    <w:name w:val="BodyText2 Char Char"/>
    <w:link w:val="BodyText2Char"/>
    <w:rPr>
      <w:rFonts w:ascii="Helvetica" w:hAnsi="Helvetica"/>
      <w:sz w:val="16"/>
      <w:szCs w:val="24"/>
      <w:lang w:val="en-US" w:eastAsia="en-US" w:bidi="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en-US" w:bidi="ne-NP"/>
    </w:rPr>
  </w:style>
  <w:style w:type="paragraph" w:customStyle="1" w:styleId="Default">
    <w:name w:val="Default"/>
    <w:pPr>
      <w:autoSpaceDE w:val="0"/>
      <w:autoSpaceDN w:val="0"/>
      <w:adjustRightInd w:val="0"/>
    </w:pPr>
    <w:rPr>
      <w:rFonts w:eastAsia="SimSun"/>
      <w:color w:val="000000"/>
      <w:sz w:val="24"/>
      <w:szCs w:val="24"/>
      <w:lang w:val="en-US" w:eastAsia="zh-CN"/>
    </w:rPr>
  </w:style>
  <w:style w:type="paragraph" w:customStyle="1" w:styleId="BodyText20">
    <w:name w:val="BodyText2"/>
    <w:basedOn w:val="Normal"/>
    <w:pPr>
      <w:spacing w:before="4" w:after="0"/>
      <w:ind w:firstLine="317"/>
    </w:pPr>
    <w:rPr>
      <w:rFonts w:ascii="Helvetica" w:hAnsi="Helvetica"/>
      <w:sz w:val="16"/>
      <w:szCs w:val="24"/>
      <w:lang w:val="en-US"/>
    </w:rPr>
  </w:style>
  <w:style w:type="paragraph" w:customStyle="1" w:styleId="CharChar1CarCar">
    <w:name w:val="Char Char1 Car Car"/>
    <w:basedOn w:val="Normal"/>
    <w:next w:val="Normal"/>
    <w:rsid w:val="00015112"/>
    <w:pPr>
      <w:spacing w:before="0" w:after="160"/>
      <w:jc w:val="both"/>
    </w:pPr>
    <w:rPr>
      <w:rFonts w:ascii="Times New Roman" w:hAnsi="Times New Roman"/>
      <w:sz w:val="24"/>
    </w:rPr>
  </w:style>
  <w:style w:type="paragraph" w:customStyle="1" w:styleId="TableFootnoteLetter">
    <w:name w:val="Table Footnote Letter"/>
    <w:basedOn w:val="Normal"/>
    <w:link w:val="TableFootnoteLetterChar"/>
    <w:rsid w:val="00492BE4"/>
    <w:pPr>
      <w:keepLines/>
      <w:numPr>
        <w:numId w:val="3"/>
      </w:numPr>
      <w:spacing w:before="60" w:after="60"/>
    </w:pPr>
    <w:rPr>
      <w:rFonts w:eastAsia="MS Gothic"/>
      <w:sz w:val="18"/>
      <w:lang w:val="en-US"/>
    </w:rPr>
  </w:style>
  <w:style w:type="character" w:customStyle="1" w:styleId="TableTitleChar">
    <w:name w:val="Table Title Char"/>
    <w:link w:val="TableTitle"/>
    <w:locked/>
    <w:rsid w:val="00492BE4"/>
    <w:rPr>
      <w:rFonts w:ascii="Arial" w:eastAsia="MS Gothic" w:hAnsi="Arial"/>
      <w:b/>
      <w:color w:val="000000"/>
      <w:sz w:val="24"/>
      <w:szCs w:val="24"/>
      <w:lang w:val="en-US" w:eastAsia="en-US" w:bidi="ar-SA"/>
    </w:rPr>
  </w:style>
  <w:style w:type="character" w:customStyle="1" w:styleId="TableFootnoteLetterChar">
    <w:name w:val="Table Footnote Letter Char"/>
    <w:link w:val="TableFootnoteLetter"/>
    <w:locked/>
    <w:rsid w:val="00492BE4"/>
    <w:rPr>
      <w:rFonts w:ascii="Arial" w:eastAsia="MS Gothic" w:hAnsi="Arial" w:cs="Arial"/>
      <w:sz w:val="18"/>
      <w:szCs w:val="22"/>
      <w:lang w:val="en-US" w:eastAsia="en-US"/>
    </w:rPr>
  </w:style>
  <w:style w:type="paragraph" w:customStyle="1" w:styleId="TableCenter">
    <w:name w:val="Table Center"/>
    <w:rsid w:val="00492BE4"/>
    <w:pPr>
      <w:spacing w:before="60" w:after="60"/>
      <w:jc w:val="center"/>
    </w:pPr>
    <w:rPr>
      <w:rFonts w:ascii="Arial" w:eastAsia="MS Gothic" w:hAnsi="Arial"/>
      <w:sz w:val="24"/>
      <w:szCs w:val="24"/>
      <w:lang w:val="en-US" w:eastAsia="en-US"/>
    </w:rPr>
  </w:style>
  <w:style w:type="paragraph" w:customStyle="1" w:styleId="TableTitle">
    <w:name w:val="Table Title"/>
    <w:next w:val="Normal"/>
    <w:link w:val="TableTitleChar"/>
    <w:rsid w:val="00492BE4"/>
    <w:pPr>
      <w:keepNext/>
      <w:keepLines/>
      <w:tabs>
        <w:tab w:val="left" w:pos="1440"/>
      </w:tabs>
      <w:spacing w:before="60" w:after="120"/>
      <w:ind w:left="1440" w:hanging="1440"/>
    </w:pPr>
    <w:rPr>
      <w:rFonts w:ascii="Arial" w:eastAsia="MS Gothic" w:hAnsi="Arial"/>
      <w:b/>
      <w:color w:val="000000"/>
      <w:sz w:val="24"/>
      <w:szCs w:val="24"/>
      <w:lang w:val="en-US" w:eastAsia="en-US"/>
    </w:rPr>
  </w:style>
  <w:style w:type="paragraph" w:customStyle="1" w:styleId="ListEnd">
    <w:name w:val="List End"/>
    <w:next w:val="Normal"/>
    <w:semiHidden/>
    <w:rsid w:val="00492BE4"/>
    <w:rPr>
      <w:sz w:val="24"/>
      <w:lang w:val="en-US" w:eastAsia="en-US"/>
    </w:rPr>
  </w:style>
  <w:style w:type="paragraph" w:customStyle="1" w:styleId="Tablecentered">
    <w:name w:val="Table: centered"/>
    <w:basedOn w:val="Normal"/>
    <w:rsid w:val="00B978B7"/>
    <w:pPr>
      <w:keepNext/>
      <w:keepLines/>
      <w:spacing w:before="0" w:after="0"/>
      <w:jc w:val="center"/>
    </w:pPr>
    <w:rPr>
      <w:sz w:val="14"/>
      <w:lang w:val="en-US"/>
    </w:rPr>
  </w:style>
  <w:style w:type="character" w:customStyle="1" w:styleId="HTMLPreformattedChar">
    <w:name w:val="HTML Preformatted Char"/>
    <w:link w:val="HTMLPreformatted"/>
    <w:rsid w:val="006E349B"/>
    <w:rPr>
      <w:rFonts w:ascii="Courier New" w:hAnsi="Courier New" w:cs="Courier New"/>
      <w:lang w:val="en-US" w:eastAsia="en-US" w:bidi="ne-NP"/>
    </w:rPr>
  </w:style>
  <w:style w:type="paragraph" w:styleId="Revision">
    <w:name w:val="Revision"/>
    <w:hidden/>
    <w:uiPriority w:val="99"/>
    <w:semiHidden/>
    <w:rsid w:val="00AC23A4"/>
    <w:rPr>
      <w:rFonts w:ascii="Arial" w:hAnsi="Arial"/>
      <w:sz w:val="22"/>
      <w:lang w:val="en-GB"/>
    </w:rPr>
  </w:style>
  <w:style w:type="paragraph" w:customStyle="1" w:styleId="Paragraph">
    <w:name w:val="Paragraph"/>
    <w:link w:val="ParagraphChar"/>
    <w:rsid w:val="00C46D52"/>
    <w:pPr>
      <w:spacing w:before="60" w:after="240"/>
    </w:pPr>
    <w:rPr>
      <w:rFonts w:ascii="Arial" w:eastAsia="MS Gothic" w:hAnsi="Arial"/>
      <w:sz w:val="24"/>
      <w:szCs w:val="24"/>
      <w:lang w:val="en-US" w:eastAsia="en-US"/>
    </w:rPr>
  </w:style>
  <w:style w:type="character" w:customStyle="1" w:styleId="HeaderChar">
    <w:name w:val="Header Char"/>
    <w:link w:val="Header"/>
    <w:uiPriority w:val="99"/>
    <w:rsid w:val="00D92692"/>
    <w:rPr>
      <w:rFonts w:ascii="Arial" w:hAnsi="Arial"/>
      <w:sz w:val="22"/>
      <w:lang w:val="en-GB"/>
    </w:rPr>
  </w:style>
  <w:style w:type="paragraph" w:styleId="Caption">
    <w:name w:val="caption"/>
    <w:basedOn w:val="Normal"/>
    <w:next w:val="Normal"/>
    <w:unhideWhenUsed/>
    <w:qFormat/>
    <w:rsid w:val="00097DE3"/>
    <w:rPr>
      <w:b/>
      <w:bCs/>
      <w:sz w:val="20"/>
    </w:rPr>
  </w:style>
  <w:style w:type="character" w:customStyle="1" w:styleId="CommentTextChar">
    <w:name w:val="Comment Text Char"/>
    <w:link w:val="CommentText"/>
    <w:semiHidden/>
    <w:rsid w:val="00584181"/>
    <w:rPr>
      <w:rFonts w:ascii="Arial" w:hAnsi="Arial"/>
      <w:lang w:val="en-GB"/>
    </w:rPr>
  </w:style>
  <w:style w:type="paragraph" w:styleId="ListParagraph">
    <w:name w:val="List Paragraph"/>
    <w:basedOn w:val="Normal"/>
    <w:uiPriority w:val="34"/>
    <w:qFormat/>
    <w:rsid w:val="00DC43F1"/>
    <w:pPr>
      <w:ind w:left="720"/>
      <w:contextualSpacing/>
    </w:pPr>
  </w:style>
  <w:style w:type="character" w:styleId="EndnoteReference">
    <w:name w:val="endnote reference"/>
    <w:basedOn w:val="DefaultParagraphFont"/>
    <w:rsid w:val="00F92767"/>
    <w:rPr>
      <w:vertAlign w:val="superscript"/>
    </w:rPr>
  </w:style>
  <w:style w:type="character" w:customStyle="1" w:styleId="ParagraphChar">
    <w:name w:val="Paragraph Char"/>
    <w:link w:val="Paragraph"/>
    <w:locked/>
    <w:rsid w:val="00D11E06"/>
    <w:rPr>
      <w:rFonts w:ascii="Arial" w:eastAsia="MS Gothic" w:hAnsi="Arial"/>
      <w:sz w:val="24"/>
      <w:szCs w:val="24"/>
      <w:lang w:val="en-US" w:eastAsia="en-US"/>
    </w:rPr>
  </w:style>
  <w:style w:type="character" w:customStyle="1" w:styleId="LFI">
    <w:name w:val="LFI"/>
    <w:rsid w:val="00E56AA7"/>
    <w:rPr>
      <w:i/>
    </w:rPr>
  </w:style>
  <w:style w:type="character" w:customStyle="1" w:styleId="FooterChar">
    <w:name w:val="Footer Char"/>
    <w:basedOn w:val="DefaultParagraphFont"/>
    <w:link w:val="Footer"/>
    <w:uiPriority w:val="99"/>
    <w:rsid w:val="0071229A"/>
    <w:rPr>
      <w:rFonts w:ascii="Arial" w:hAnsi="Arial" w:cs="Arial"/>
      <w:sz w:val="22"/>
      <w:szCs w:val="22"/>
      <w:lang w:eastAsia="en-US"/>
    </w:rPr>
  </w:style>
  <w:style w:type="paragraph" w:styleId="NormalWeb">
    <w:name w:val="Normal (Web)"/>
    <w:basedOn w:val="Normal"/>
    <w:uiPriority w:val="99"/>
    <w:unhideWhenUsed/>
    <w:rsid w:val="00116EBC"/>
    <w:pPr>
      <w:spacing w:before="100" w:beforeAutospacing="1" w:after="100" w:afterAutospacing="1"/>
    </w:pPr>
    <w:rPr>
      <w:rFonts w:ascii="Times New Roman" w:hAnsi="Times New Roman" w:cs="Times New Roman"/>
      <w:sz w:val="24"/>
      <w:szCs w:val="24"/>
      <w:lang w:val="en-US"/>
    </w:rPr>
  </w:style>
  <w:style w:type="paragraph" w:styleId="NoSpacing">
    <w:name w:val="No Spacing"/>
    <w:uiPriority w:val="1"/>
    <w:qFormat/>
    <w:rsid w:val="00856BED"/>
    <w:rPr>
      <w:rFonts w:ascii="Arial" w:hAnsi="Arial" w:cs="Arial"/>
      <w:sz w:val="22"/>
      <w:szCs w:val="22"/>
      <w:lang w:eastAsia="en-US"/>
    </w:rPr>
  </w:style>
  <w:style w:type="paragraph" w:customStyle="1" w:styleId="TableParagraph">
    <w:name w:val="Table Paragraph"/>
    <w:basedOn w:val="Normal"/>
    <w:uiPriority w:val="1"/>
    <w:qFormat/>
    <w:rsid w:val="00FE2882"/>
    <w:pPr>
      <w:widowControl w:val="0"/>
      <w:spacing w:before="0" w:after="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91040">
      <w:bodyDiv w:val="1"/>
      <w:marLeft w:val="0"/>
      <w:marRight w:val="0"/>
      <w:marTop w:val="0"/>
      <w:marBottom w:val="0"/>
      <w:divBdr>
        <w:top w:val="none" w:sz="0" w:space="0" w:color="auto"/>
        <w:left w:val="none" w:sz="0" w:space="0" w:color="auto"/>
        <w:bottom w:val="none" w:sz="0" w:space="0" w:color="auto"/>
        <w:right w:val="none" w:sz="0" w:space="0" w:color="auto"/>
      </w:divBdr>
    </w:div>
    <w:div w:id="280457876">
      <w:bodyDiv w:val="1"/>
      <w:marLeft w:val="0"/>
      <w:marRight w:val="0"/>
      <w:marTop w:val="0"/>
      <w:marBottom w:val="0"/>
      <w:divBdr>
        <w:top w:val="none" w:sz="0" w:space="0" w:color="auto"/>
        <w:left w:val="none" w:sz="0" w:space="0" w:color="auto"/>
        <w:bottom w:val="none" w:sz="0" w:space="0" w:color="auto"/>
        <w:right w:val="none" w:sz="0" w:space="0" w:color="auto"/>
      </w:divBdr>
    </w:div>
    <w:div w:id="399914229">
      <w:bodyDiv w:val="1"/>
      <w:marLeft w:val="0"/>
      <w:marRight w:val="0"/>
      <w:marTop w:val="0"/>
      <w:marBottom w:val="0"/>
      <w:divBdr>
        <w:top w:val="none" w:sz="0" w:space="0" w:color="auto"/>
        <w:left w:val="none" w:sz="0" w:space="0" w:color="auto"/>
        <w:bottom w:val="none" w:sz="0" w:space="0" w:color="auto"/>
        <w:right w:val="none" w:sz="0" w:space="0" w:color="auto"/>
      </w:divBdr>
    </w:div>
    <w:div w:id="417866072">
      <w:bodyDiv w:val="1"/>
      <w:marLeft w:val="0"/>
      <w:marRight w:val="0"/>
      <w:marTop w:val="0"/>
      <w:marBottom w:val="0"/>
      <w:divBdr>
        <w:top w:val="none" w:sz="0" w:space="0" w:color="auto"/>
        <w:left w:val="none" w:sz="0" w:space="0" w:color="auto"/>
        <w:bottom w:val="none" w:sz="0" w:space="0" w:color="auto"/>
        <w:right w:val="none" w:sz="0" w:space="0" w:color="auto"/>
      </w:divBdr>
      <w:divsChild>
        <w:div w:id="1138767439">
          <w:marLeft w:val="0"/>
          <w:marRight w:val="0"/>
          <w:marTop w:val="0"/>
          <w:marBottom w:val="0"/>
          <w:divBdr>
            <w:top w:val="none" w:sz="0" w:space="0" w:color="auto"/>
            <w:left w:val="none" w:sz="0" w:space="0" w:color="auto"/>
            <w:bottom w:val="none" w:sz="0" w:space="0" w:color="auto"/>
            <w:right w:val="none" w:sz="0" w:space="0" w:color="auto"/>
          </w:divBdr>
          <w:divsChild>
            <w:div w:id="2034305633">
              <w:marLeft w:val="0"/>
              <w:marRight w:val="0"/>
              <w:marTop w:val="0"/>
              <w:marBottom w:val="0"/>
              <w:divBdr>
                <w:top w:val="none" w:sz="0" w:space="0" w:color="auto"/>
                <w:left w:val="none" w:sz="0" w:space="0" w:color="auto"/>
                <w:bottom w:val="none" w:sz="0" w:space="0" w:color="auto"/>
                <w:right w:val="none" w:sz="0" w:space="0" w:color="auto"/>
              </w:divBdr>
              <w:divsChild>
                <w:div w:id="30961725">
                  <w:marLeft w:val="0"/>
                  <w:marRight w:val="0"/>
                  <w:marTop w:val="0"/>
                  <w:marBottom w:val="0"/>
                  <w:divBdr>
                    <w:top w:val="none" w:sz="0" w:space="0" w:color="auto"/>
                    <w:left w:val="none" w:sz="0" w:space="0" w:color="auto"/>
                    <w:bottom w:val="none" w:sz="0" w:space="0" w:color="auto"/>
                    <w:right w:val="none" w:sz="0" w:space="0" w:color="auto"/>
                  </w:divBdr>
                  <w:divsChild>
                    <w:div w:id="1922904274">
                      <w:marLeft w:val="0"/>
                      <w:marRight w:val="0"/>
                      <w:marTop w:val="0"/>
                      <w:marBottom w:val="0"/>
                      <w:divBdr>
                        <w:top w:val="none" w:sz="0" w:space="0" w:color="auto"/>
                        <w:left w:val="none" w:sz="0" w:space="0" w:color="auto"/>
                        <w:bottom w:val="none" w:sz="0" w:space="0" w:color="auto"/>
                        <w:right w:val="none" w:sz="0" w:space="0" w:color="auto"/>
                      </w:divBdr>
                      <w:divsChild>
                        <w:div w:id="1991011909">
                          <w:marLeft w:val="0"/>
                          <w:marRight w:val="0"/>
                          <w:marTop w:val="0"/>
                          <w:marBottom w:val="0"/>
                          <w:divBdr>
                            <w:top w:val="none" w:sz="0" w:space="0" w:color="auto"/>
                            <w:left w:val="none" w:sz="0" w:space="0" w:color="auto"/>
                            <w:bottom w:val="none" w:sz="0" w:space="0" w:color="auto"/>
                            <w:right w:val="none" w:sz="0" w:space="0" w:color="auto"/>
                          </w:divBdr>
                          <w:divsChild>
                            <w:div w:id="125779492">
                              <w:marLeft w:val="0"/>
                              <w:marRight w:val="0"/>
                              <w:marTop w:val="0"/>
                              <w:marBottom w:val="0"/>
                              <w:divBdr>
                                <w:top w:val="none" w:sz="0" w:space="0" w:color="auto"/>
                                <w:left w:val="none" w:sz="0" w:space="0" w:color="auto"/>
                                <w:bottom w:val="none" w:sz="0" w:space="0" w:color="auto"/>
                                <w:right w:val="none" w:sz="0" w:space="0" w:color="auto"/>
                              </w:divBdr>
                              <w:divsChild>
                                <w:div w:id="651570236">
                                  <w:marLeft w:val="0"/>
                                  <w:marRight w:val="0"/>
                                  <w:marTop w:val="0"/>
                                  <w:marBottom w:val="0"/>
                                  <w:divBdr>
                                    <w:top w:val="none" w:sz="0" w:space="0" w:color="auto"/>
                                    <w:left w:val="none" w:sz="0" w:space="0" w:color="auto"/>
                                    <w:bottom w:val="none" w:sz="0" w:space="0" w:color="auto"/>
                                    <w:right w:val="none" w:sz="0" w:space="0" w:color="auto"/>
                                  </w:divBdr>
                                  <w:divsChild>
                                    <w:div w:id="1887642487">
                                      <w:marLeft w:val="0"/>
                                      <w:marRight w:val="0"/>
                                      <w:marTop w:val="0"/>
                                      <w:marBottom w:val="0"/>
                                      <w:divBdr>
                                        <w:top w:val="none" w:sz="0" w:space="0" w:color="auto"/>
                                        <w:left w:val="none" w:sz="0" w:space="0" w:color="auto"/>
                                        <w:bottom w:val="none" w:sz="0" w:space="0" w:color="auto"/>
                                        <w:right w:val="none" w:sz="0" w:space="0" w:color="auto"/>
                                      </w:divBdr>
                                      <w:divsChild>
                                        <w:div w:id="8170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003789">
      <w:bodyDiv w:val="1"/>
      <w:marLeft w:val="0"/>
      <w:marRight w:val="0"/>
      <w:marTop w:val="0"/>
      <w:marBottom w:val="0"/>
      <w:divBdr>
        <w:top w:val="none" w:sz="0" w:space="0" w:color="auto"/>
        <w:left w:val="none" w:sz="0" w:space="0" w:color="auto"/>
        <w:bottom w:val="none" w:sz="0" w:space="0" w:color="auto"/>
        <w:right w:val="none" w:sz="0" w:space="0" w:color="auto"/>
      </w:divBdr>
    </w:div>
    <w:div w:id="486744190">
      <w:bodyDiv w:val="1"/>
      <w:marLeft w:val="0"/>
      <w:marRight w:val="0"/>
      <w:marTop w:val="0"/>
      <w:marBottom w:val="0"/>
      <w:divBdr>
        <w:top w:val="none" w:sz="0" w:space="0" w:color="auto"/>
        <w:left w:val="none" w:sz="0" w:space="0" w:color="auto"/>
        <w:bottom w:val="none" w:sz="0" w:space="0" w:color="auto"/>
        <w:right w:val="none" w:sz="0" w:space="0" w:color="auto"/>
      </w:divBdr>
    </w:div>
    <w:div w:id="772820871">
      <w:bodyDiv w:val="1"/>
      <w:marLeft w:val="0"/>
      <w:marRight w:val="0"/>
      <w:marTop w:val="0"/>
      <w:marBottom w:val="0"/>
      <w:divBdr>
        <w:top w:val="none" w:sz="0" w:space="0" w:color="auto"/>
        <w:left w:val="none" w:sz="0" w:space="0" w:color="auto"/>
        <w:bottom w:val="none" w:sz="0" w:space="0" w:color="auto"/>
        <w:right w:val="none" w:sz="0" w:space="0" w:color="auto"/>
      </w:divBdr>
    </w:div>
    <w:div w:id="854349528">
      <w:bodyDiv w:val="1"/>
      <w:marLeft w:val="0"/>
      <w:marRight w:val="0"/>
      <w:marTop w:val="0"/>
      <w:marBottom w:val="0"/>
      <w:divBdr>
        <w:top w:val="none" w:sz="0" w:space="0" w:color="auto"/>
        <w:left w:val="none" w:sz="0" w:space="0" w:color="auto"/>
        <w:bottom w:val="none" w:sz="0" w:space="0" w:color="auto"/>
        <w:right w:val="none" w:sz="0" w:space="0" w:color="auto"/>
      </w:divBdr>
    </w:div>
    <w:div w:id="875774001">
      <w:bodyDiv w:val="1"/>
      <w:marLeft w:val="0"/>
      <w:marRight w:val="0"/>
      <w:marTop w:val="0"/>
      <w:marBottom w:val="0"/>
      <w:divBdr>
        <w:top w:val="none" w:sz="0" w:space="0" w:color="auto"/>
        <w:left w:val="none" w:sz="0" w:space="0" w:color="auto"/>
        <w:bottom w:val="none" w:sz="0" w:space="0" w:color="auto"/>
        <w:right w:val="none" w:sz="0" w:space="0" w:color="auto"/>
      </w:divBdr>
    </w:div>
    <w:div w:id="1096096629">
      <w:bodyDiv w:val="1"/>
      <w:marLeft w:val="0"/>
      <w:marRight w:val="0"/>
      <w:marTop w:val="0"/>
      <w:marBottom w:val="0"/>
      <w:divBdr>
        <w:top w:val="none" w:sz="0" w:space="0" w:color="auto"/>
        <w:left w:val="none" w:sz="0" w:space="0" w:color="auto"/>
        <w:bottom w:val="none" w:sz="0" w:space="0" w:color="auto"/>
        <w:right w:val="none" w:sz="0" w:space="0" w:color="auto"/>
      </w:divBdr>
    </w:div>
    <w:div w:id="1165782525">
      <w:bodyDiv w:val="1"/>
      <w:marLeft w:val="0"/>
      <w:marRight w:val="0"/>
      <w:marTop w:val="0"/>
      <w:marBottom w:val="0"/>
      <w:divBdr>
        <w:top w:val="none" w:sz="0" w:space="0" w:color="auto"/>
        <w:left w:val="none" w:sz="0" w:space="0" w:color="auto"/>
        <w:bottom w:val="none" w:sz="0" w:space="0" w:color="auto"/>
        <w:right w:val="none" w:sz="0" w:space="0" w:color="auto"/>
      </w:divBdr>
    </w:div>
    <w:div w:id="1302151428">
      <w:bodyDiv w:val="1"/>
      <w:marLeft w:val="0"/>
      <w:marRight w:val="0"/>
      <w:marTop w:val="0"/>
      <w:marBottom w:val="0"/>
      <w:divBdr>
        <w:top w:val="none" w:sz="0" w:space="0" w:color="auto"/>
        <w:left w:val="none" w:sz="0" w:space="0" w:color="auto"/>
        <w:bottom w:val="none" w:sz="0" w:space="0" w:color="auto"/>
        <w:right w:val="none" w:sz="0" w:space="0" w:color="auto"/>
      </w:divBdr>
    </w:div>
    <w:div w:id="1356496346">
      <w:bodyDiv w:val="1"/>
      <w:marLeft w:val="0"/>
      <w:marRight w:val="0"/>
      <w:marTop w:val="0"/>
      <w:marBottom w:val="0"/>
      <w:divBdr>
        <w:top w:val="none" w:sz="0" w:space="0" w:color="auto"/>
        <w:left w:val="none" w:sz="0" w:space="0" w:color="auto"/>
        <w:bottom w:val="none" w:sz="0" w:space="0" w:color="auto"/>
        <w:right w:val="none" w:sz="0" w:space="0" w:color="auto"/>
      </w:divBdr>
    </w:div>
    <w:div w:id="1529370723">
      <w:bodyDiv w:val="1"/>
      <w:marLeft w:val="0"/>
      <w:marRight w:val="0"/>
      <w:marTop w:val="0"/>
      <w:marBottom w:val="0"/>
      <w:divBdr>
        <w:top w:val="none" w:sz="0" w:space="0" w:color="auto"/>
        <w:left w:val="none" w:sz="0" w:space="0" w:color="auto"/>
        <w:bottom w:val="none" w:sz="0" w:space="0" w:color="auto"/>
        <w:right w:val="none" w:sz="0" w:space="0" w:color="auto"/>
      </w:divBdr>
    </w:div>
    <w:div w:id="19899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tg_x0020__x0023_ xmlns="8c974c60-4aaf-4345-8206-96551dd7e1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C3BA611F63F48AE1C95628CF920E8" ma:contentTypeVersion="3" ma:contentTypeDescription="Create a new document." ma:contentTypeScope="" ma:versionID="3ff33eead05cc5f596b3777a0999ed9a">
  <xsd:schema xmlns:xsd="http://www.w3.org/2001/XMLSchema" xmlns:xs="http://www.w3.org/2001/XMLSchema" xmlns:p="http://schemas.microsoft.com/office/2006/metadata/properties" xmlns:ns2="8c974c60-4aaf-4345-8206-96551dd7e15b" targetNamespace="http://schemas.microsoft.com/office/2006/metadata/properties" ma:root="true" ma:fieldsID="190e76ee1a3e9a8637bb0dfd8489d3cf" ns2:_="">
    <xsd:import namespace="8c974c60-4aaf-4345-8206-96551dd7e15b"/>
    <xsd:element name="properties">
      <xsd:complexType>
        <xsd:sequence>
          <xsd:element name="documentManagement">
            <xsd:complexType>
              <xsd:all>
                <xsd:element ref="ns2:Mtg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74c60-4aaf-4345-8206-96551dd7e15b" elementFormDefault="qualified">
    <xsd:import namespace="http://schemas.microsoft.com/office/2006/documentManagement/types"/>
    <xsd:import namespace="http://schemas.microsoft.com/office/infopath/2007/PartnerControls"/>
    <xsd:element name="Mtg_x0020__x0023_" ma:index="8" nillable="true" ma:displayName="Mtg #" ma:decimals="0" ma:description="Created to keep the mtg folders in chronological order" ma:internalName="Mtg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623D-EF03-4091-8D1F-EFDF3DB23F67}">
  <ds:schemaRef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8c974c60-4aaf-4345-8206-96551dd7e15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9F748EE-663E-4A9E-9C21-73798CC7DE68}">
  <ds:schemaRefs>
    <ds:schemaRef ds:uri="http://schemas.microsoft.com/sharepoint/v3/contenttype/forms"/>
  </ds:schemaRefs>
</ds:datastoreItem>
</file>

<file path=customXml/itemProps3.xml><?xml version="1.0" encoding="utf-8"?>
<ds:datastoreItem xmlns:ds="http://schemas.openxmlformats.org/officeDocument/2006/customXml" ds:itemID="{F99D987C-1707-4708-A0FC-AB7EDEC54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74c60-4aaf-4345-8206-96551dd7e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7B1DA-DCD5-4A2F-8F0D-17D1805ADD2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DDE446E-10DB-4EA9-9E57-3789403F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46</Pages>
  <Words>15146</Words>
  <Characters>86767</Characters>
  <Application>Microsoft Office Word</Application>
  <DocSecurity>0</DocSecurity>
  <Lines>3615</Lines>
  <Paragraphs>2079</Paragraphs>
  <ScaleCrop>false</ScaleCrop>
  <HeadingPairs>
    <vt:vector size="2" baseType="variant">
      <vt:variant>
        <vt:lpstr>Title</vt:lpstr>
      </vt:variant>
      <vt:variant>
        <vt:i4>1</vt:i4>
      </vt:variant>
    </vt:vector>
  </HeadingPairs>
  <TitlesOfParts>
    <vt:vector size="1" baseType="lpstr">
      <vt:lpstr>AusPAR Attachment 1: Product Information for </vt:lpstr>
    </vt:vector>
  </TitlesOfParts>
  <Company/>
  <LinksUpToDate>false</LinksUpToDate>
  <CharactersWithSpaces>99834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Grazoprevir / Elbasvir</dc:title>
  <dc:subject>Prescription medicines</dc:subject>
  <dc:creator>Merck Sharp and Dohme (Australia) Pty Limited</dc:creator>
  <cp:keywords>AusPARs</cp:keywords>
  <cp:lastModifiedBy>MORENO, David</cp:lastModifiedBy>
  <cp:revision>4</cp:revision>
  <cp:lastPrinted>2013-08-14T03:05:00Z</cp:lastPrinted>
  <dcterms:created xsi:type="dcterms:W3CDTF">2017-05-08T23:51:00Z</dcterms:created>
  <dcterms:modified xsi:type="dcterms:W3CDTF">2017-06-06T04:21:00Z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-2130297459</vt:i4>
  </property>
  <property fmtid="{D5CDD505-2E9C-101B-9397-08002B2CF9AE}" pid="4" name="_EmailSubject">
    <vt:lpwstr>First Draft of AusPAR for Zepatier-sponsor comments </vt:lpwstr>
  </property>
  <property fmtid="{D5CDD505-2E9C-101B-9397-08002B2CF9AE}" pid="5" name="_AuthorEmail">
    <vt:lpwstr>casey.gaisbauer@merck.com</vt:lpwstr>
  </property>
  <property fmtid="{D5CDD505-2E9C-101B-9397-08002B2CF9AE}" pid="6" name="_AuthorEmailDisplayName">
    <vt:lpwstr>Gaisbauer, Casey</vt:lpwstr>
  </property>
  <property fmtid="{D5CDD505-2E9C-101B-9397-08002B2CF9AE}" pid="7" name="_PreviousAdHocReviewCycleID">
    <vt:i4>724278033</vt:i4>
  </property>
  <property fmtid="{D5CDD505-2E9C-101B-9397-08002B2CF9AE}" pid="8" name="docIndexRef">
    <vt:lpwstr>295b4c48-261c-4d6e-8df5-f799d6ab0d87</vt:lpwstr>
  </property>
  <property fmtid="{D5CDD505-2E9C-101B-9397-08002B2CF9AE}" pid="9" name="bjSaver">
    <vt:lpwstr>FwZahRoin7V0VOYx9h/kyvcNyz2XcVL0</vt:lpwstr>
  </property>
  <property fmtid="{D5CDD505-2E9C-101B-9397-08002B2CF9AE}" pid="10"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11" name="bjDocumentLabelXML-0">
    <vt:lpwstr>nternal/label"&gt;&lt;element uid="9920fcc9-9f43-4d43-9e3e-b98a219cfd55" value="" /&gt;&lt;/sisl&gt;</vt:lpwstr>
  </property>
  <property fmtid="{D5CDD505-2E9C-101B-9397-08002B2CF9AE}" pid="12" name="bjDocumentSecurityLabel">
    <vt:lpwstr>Not Classified</vt:lpwstr>
  </property>
  <property fmtid="{D5CDD505-2E9C-101B-9397-08002B2CF9AE}" pid="13" name="_ReviewingToolsShownOnce">
    <vt:lpwstr/>
  </property>
</Properties>
</file>