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6C" w:rsidRPr="00BE4E5A" w:rsidRDefault="00643BFB" w:rsidP="00BE4E5A">
      <w:pPr>
        <w:pStyle w:val="PIMAINHEADING"/>
        <w:pBdr>
          <w:top w:val="single" w:sz="4" w:space="1" w:color="auto"/>
          <w:bottom w:val="none" w:sz="0" w:space="0" w:color="auto"/>
        </w:pBdr>
        <w:rPr>
          <w:rFonts w:ascii="Arial" w:hAnsi="Arial"/>
          <w:sz w:val="48"/>
          <w:lang w:val="en-GB"/>
        </w:rPr>
      </w:pPr>
      <w:r w:rsidRPr="00BE4E5A">
        <w:rPr>
          <w:rFonts w:ascii="Arial" w:hAnsi="Arial"/>
          <w:sz w:val="48"/>
          <w:lang w:val="en-GB"/>
        </w:rPr>
        <w:t>SIMPONI</w:t>
      </w:r>
      <w:r w:rsidR="009E0380" w:rsidRPr="00BE4E5A">
        <w:rPr>
          <w:rFonts w:ascii="Arial" w:hAnsi="Arial"/>
          <w:sz w:val="48"/>
          <w:vertAlign w:val="superscript"/>
          <w:lang w:val="en-GB"/>
        </w:rPr>
        <w:t xml:space="preserve">® </w:t>
      </w:r>
    </w:p>
    <w:p w:rsidR="00A67D6E" w:rsidRPr="008C50B0" w:rsidRDefault="00BC3E6C" w:rsidP="00BE4E5A">
      <w:pPr>
        <w:pStyle w:val="PIMAINHEADING"/>
        <w:pBdr>
          <w:top w:val="single" w:sz="4" w:space="1" w:color="auto"/>
          <w:bottom w:val="none" w:sz="0" w:space="0" w:color="auto"/>
        </w:pBdr>
        <w:rPr>
          <w:rFonts w:ascii="Arial" w:hAnsi="Arial"/>
          <w:sz w:val="32"/>
          <w:lang w:val="en-GB"/>
        </w:rPr>
      </w:pPr>
      <w:r w:rsidRPr="008C50B0">
        <w:rPr>
          <w:rFonts w:ascii="Arial" w:hAnsi="Arial"/>
          <w:sz w:val="32"/>
          <w:lang w:val="en-GB"/>
        </w:rPr>
        <w:t>Solution for Injection in a pre-filled syringe</w:t>
      </w:r>
    </w:p>
    <w:p w:rsidR="00BC3E6C" w:rsidRPr="008C50B0" w:rsidRDefault="00BC3E6C" w:rsidP="00BE4E5A">
      <w:pPr>
        <w:pStyle w:val="PIMAINHEADING"/>
        <w:pBdr>
          <w:top w:val="single" w:sz="4" w:space="1" w:color="auto"/>
          <w:bottom w:val="none" w:sz="0" w:space="0" w:color="auto"/>
        </w:pBdr>
        <w:rPr>
          <w:rFonts w:ascii="Arial" w:hAnsi="Arial"/>
          <w:sz w:val="32"/>
          <w:vertAlign w:val="superscript"/>
          <w:lang w:val="en-GB"/>
        </w:rPr>
      </w:pPr>
      <w:r w:rsidRPr="008C50B0">
        <w:rPr>
          <w:rFonts w:ascii="Arial" w:hAnsi="Arial"/>
          <w:sz w:val="32"/>
          <w:lang w:val="en-GB"/>
        </w:rPr>
        <w:t xml:space="preserve">Solution for Injection in a pre-filled pen, </w:t>
      </w:r>
      <w:proofErr w:type="spellStart"/>
      <w:r w:rsidRPr="008C50B0">
        <w:rPr>
          <w:rFonts w:ascii="Arial" w:hAnsi="Arial"/>
          <w:sz w:val="32"/>
          <w:lang w:val="en-GB"/>
        </w:rPr>
        <w:t>SmartJect</w:t>
      </w:r>
      <w:proofErr w:type="spellEnd"/>
      <w:r w:rsidR="00E20C4D" w:rsidRPr="008C50B0">
        <w:rPr>
          <w:rFonts w:ascii="Arial" w:hAnsi="Arial"/>
          <w:sz w:val="32"/>
          <w:vertAlign w:val="superscript"/>
          <w:lang w:val="en-GB"/>
        </w:rPr>
        <w:t>®</w:t>
      </w:r>
    </w:p>
    <w:p w:rsidR="00BE4E5A" w:rsidRDefault="00BE4E5A" w:rsidP="00023495">
      <w:pPr>
        <w:pStyle w:val="PIProductInfo"/>
        <w:keepLines/>
        <w:pBdr>
          <w:bottom w:val="none" w:sz="0" w:space="0" w:color="auto"/>
        </w:pBdr>
        <w:spacing w:before="240"/>
        <w:rPr>
          <w:rFonts w:ascii="Verdana" w:hAnsi="Verdana"/>
          <w:szCs w:val="36"/>
        </w:rPr>
      </w:pPr>
      <w:proofErr w:type="spellStart"/>
      <w:r>
        <w:rPr>
          <w:rFonts w:ascii="Verdana" w:hAnsi="Verdana"/>
          <w:szCs w:val="36"/>
        </w:rPr>
        <w:t>Golimumab</w:t>
      </w:r>
      <w:proofErr w:type="spellEnd"/>
    </w:p>
    <w:p w:rsidR="009E0380" w:rsidRPr="00BE4E5A" w:rsidRDefault="009E0380" w:rsidP="00BE4E5A">
      <w:pPr>
        <w:pStyle w:val="PIProductInfo"/>
        <w:keepLines/>
        <w:pBdr>
          <w:bottom w:val="single" w:sz="4" w:space="1" w:color="auto"/>
        </w:pBdr>
        <w:rPr>
          <w:rFonts w:ascii="Verdana" w:hAnsi="Verdana"/>
          <w:szCs w:val="36"/>
        </w:rPr>
      </w:pPr>
      <w:r w:rsidRPr="00BE4E5A">
        <w:rPr>
          <w:rFonts w:ascii="Verdana" w:hAnsi="Verdana"/>
          <w:szCs w:val="36"/>
        </w:rPr>
        <w:t>PRODUCT INFORMATION</w:t>
      </w:r>
    </w:p>
    <w:p w:rsidR="009E0380" w:rsidRPr="00023495" w:rsidRDefault="00BF443F" w:rsidP="00731EC2">
      <w:pPr>
        <w:pStyle w:val="Heading2"/>
        <w:spacing w:before="360" w:after="240"/>
        <w:rPr>
          <w:szCs w:val="28"/>
        </w:rPr>
      </w:pPr>
      <w:r w:rsidRPr="00BF443F">
        <w:t>NAME OF THE MEDICINE</w:t>
      </w:r>
    </w:p>
    <w:p w:rsidR="009E0380" w:rsidRPr="008D4475" w:rsidRDefault="00101B81">
      <w:pPr>
        <w:rPr>
          <w:rFonts w:cs="Arial"/>
          <w:szCs w:val="22"/>
        </w:rPr>
      </w:pPr>
      <w:proofErr w:type="spellStart"/>
      <w:r w:rsidRPr="008D4475">
        <w:rPr>
          <w:rFonts w:cs="Arial"/>
          <w:szCs w:val="22"/>
        </w:rPr>
        <w:t>Golimumab</w:t>
      </w:r>
      <w:proofErr w:type="spellEnd"/>
      <w:r w:rsidR="004E2EDB" w:rsidRPr="008D4475">
        <w:rPr>
          <w:rFonts w:cs="Arial"/>
          <w:szCs w:val="22"/>
        </w:rPr>
        <w:t xml:space="preserve"> (</w:t>
      </w:r>
      <w:proofErr w:type="spellStart"/>
      <w:r w:rsidR="004E2EDB" w:rsidRPr="008D4475">
        <w:rPr>
          <w:rFonts w:cs="Arial"/>
          <w:szCs w:val="22"/>
        </w:rPr>
        <w:t>rmc</w:t>
      </w:r>
      <w:proofErr w:type="spellEnd"/>
      <w:r w:rsidR="004E2EDB" w:rsidRPr="008D4475">
        <w:rPr>
          <w:rFonts w:cs="Arial"/>
          <w:szCs w:val="22"/>
        </w:rPr>
        <w:t>)</w:t>
      </w:r>
    </w:p>
    <w:p w:rsidR="009E0380" w:rsidRPr="00023495" w:rsidRDefault="00BF443F" w:rsidP="00731EC2">
      <w:pPr>
        <w:pStyle w:val="Heading2"/>
        <w:spacing w:before="360" w:after="240"/>
      </w:pPr>
      <w:r w:rsidRPr="00BF443F">
        <w:t>DESCRIPTION</w:t>
      </w:r>
    </w:p>
    <w:p w:rsidR="00660CBC" w:rsidRPr="008D4475" w:rsidRDefault="00660CBC" w:rsidP="00660CBC">
      <w:pPr>
        <w:rPr>
          <w:rFonts w:cs="Arial"/>
          <w:szCs w:val="22"/>
          <w:vertAlign w:val="superscript"/>
        </w:rPr>
      </w:pPr>
      <w:r w:rsidRPr="008D4475">
        <w:t xml:space="preserve">Each 0.5 </w:t>
      </w:r>
      <w:proofErr w:type="spellStart"/>
      <w:r w:rsidR="00BB0E09" w:rsidRPr="008D4475">
        <w:t>mL</w:t>
      </w:r>
      <w:proofErr w:type="spellEnd"/>
      <w:r w:rsidRPr="008D4475">
        <w:t xml:space="preserve"> single-use pre-filled syringe or pre-filled pen contains 50 mg of </w:t>
      </w:r>
      <w:proofErr w:type="spellStart"/>
      <w:r w:rsidRPr="008D4475">
        <w:t>golimumab</w:t>
      </w:r>
      <w:proofErr w:type="spellEnd"/>
      <w:r w:rsidRPr="008D4475">
        <w:t>. The solut</w:t>
      </w:r>
      <w:smartTag w:uri="urn:schemas-microsoft-com:office:smarttags" w:element="PersonName">
        <w:r w:rsidRPr="008D4475">
          <w:t>ion</w:t>
        </w:r>
      </w:smartTag>
      <w:r w:rsidRPr="008D4475">
        <w:t xml:space="preserve"> is clear to slightly opalescent, colourless to light yellow. </w:t>
      </w:r>
      <w:r w:rsidRPr="008D4475">
        <w:rPr>
          <w:rFonts w:cs="Arial"/>
          <w:bCs/>
          <w:szCs w:val="22"/>
        </w:rPr>
        <w:t>Inactive Ingredients:</w:t>
      </w:r>
      <w:r w:rsidR="00064C60">
        <w:rPr>
          <w:rFonts w:cs="Arial"/>
          <w:szCs w:val="22"/>
        </w:rPr>
        <w:t xml:space="preserve"> </w:t>
      </w:r>
      <w:proofErr w:type="spellStart"/>
      <w:r w:rsidRPr="008D4475">
        <w:rPr>
          <w:rFonts w:cs="Arial"/>
          <w:szCs w:val="22"/>
        </w:rPr>
        <w:t>Sorbitol</w:t>
      </w:r>
      <w:proofErr w:type="spellEnd"/>
      <w:r w:rsidRPr="008D4475">
        <w:rPr>
          <w:rFonts w:cs="Arial"/>
          <w:szCs w:val="22"/>
        </w:rPr>
        <w:t xml:space="preserve">, </w:t>
      </w:r>
      <w:proofErr w:type="spellStart"/>
      <w:r w:rsidRPr="008D4475">
        <w:rPr>
          <w:rFonts w:cs="Arial"/>
          <w:szCs w:val="22"/>
        </w:rPr>
        <w:t>histidine</w:t>
      </w:r>
      <w:proofErr w:type="spellEnd"/>
      <w:r w:rsidRPr="008D4475">
        <w:rPr>
          <w:rFonts w:cs="Arial"/>
          <w:szCs w:val="22"/>
        </w:rPr>
        <w:t xml:space="preserve">, </w:t>
      </w:r>
      <w:proofErr w:type="spellStart"/>
      <w:r w:rsidRPr="008D4475">
        <w:rPr>
          <w:rFonts w:cs="Arial"/>
          <w:szCs w:val="22"/>
        </w:rPr>
        <w:t>histidine</w:t>
      </w:r>
      <w:proofErr w:type="spellEnd"/>
      <w:r w:rsidRPr="008D4475">
        <w:rPr>
          <w:rFonts w:cs="Arial"/>
          <w:szCs w:val="22"/>
        </w:rPr>
        <w:t xml:space="preserve"> hydrochloride monohydrate, </w:t>
      </w:r>
      <w:proofErr w:type="spellStart"/>
      <w:r w:rsidRPr="008D4475">
        <w:rPr>
          <w:rFonts w:cs="Arial"/>
          <w:szCs w:val="22"/>
        </w:rPr>
        <w:t>polysorbate</w:t>
      </w:r>
      <w:proofErr w:type="spellEnd"/>
      <w:r w:rsidRPr="008D4475">
        <w:rPr>
          <w:rFonts w:cs="Arial"/>
          <w:szCs w:val="22"/>
        </w:rPr>
        <w:t xml:space="preserve"> 80 and water for injections.</w:t>
      </w:r>
    </w:p>
    <w:p w:rsidR="009E0380" w:rsidRPr="005F5F7A" w:rsidRDefault="00BF443F" w:rsidP="00731EC2">
      <w:pPr>
        <w:pStyle w:val="Heading2"/>
        <w:spacing w:before="360" w:after="240"/>
      </w:pPr>
      <w:r w:rsidRPr="00BF443F">
        <w:t>PHARMACOLOGY</w:t>
      </w:r>
    </w:p>
    <w:p w:rsidR="00660CBC" w:rsidRPr="008D4475" w:rsidRDefault="00660CBC" w:rsidP="00731EC2">
      <w:pPr>
        <w:rPr>
          <w:rFonts w:cs="Arial"/>
          <w:szCs w:val="22"/>
        </w:rPr>
      </w:pPr>
      <w:proofErr w:type="spellStart"/>
      <w:r w:rsidRPr="008D4475">
        <w:rPr>
          <w:rFonts w:cs="Arial"/>
          <w:szCs w:val="22"/>
        </w:rPr>
        <w:t>Golimumab</w:t>
      </w:r>
      <w:proofErr w:type="spellEnd"/>
      <w:r w:rsidRPr="008D4475">
        <w:rPr>
          <w:rFonts w:cs="Arial"/>
          <w:szCs w:val="22"/>
        </w:rPr>
        <w:t xml:space="preserve"> is a human IgG1κ monoclonal antibody produced by a </w:t>
      </w:r>
      <w:proofErr w:type="spellStart"/>
      <w:r w:rsidRPr="008D4475">
        <w:rPr>
          <w:rFonts w:cs="Arial"/>
          <w:szCs w:val="22"/>
        </w:rPr>
        <w:t>murine</w:t>
      </w:r>
      <w:proofErr w:type="spellEnd"/>
      <w:r w:rsidRPr="008D4475">
        <w:rPr>
          <w:rFonts w:cs="Arial"/>
          <w:szCs w:val="22"/>
        </w:rPr>
        <w:t xml:space="preserve"> </w:t>
      </w:r>
      <w:proofErr w:type="spellStart"/>
      <w:r w:rsidRPr="008D4475">
        <w:rPr>
          <w:rFonts w:cs="Arial"/>
          <w:szCs w:val="22"/>
        </w:rPr>
        <w:t>hybridoma</w:t>
      </w:r>
      <w:proofErr w:type="spellEnd"/>
      <w:r w:rsidRPr="008D4475">
        <w:rPr>
          <w:rFonts w:cs="Arial"/>
          <w:szCs w:val="22"/>
        </w:rPr>
        <w:t xml:space="preserve"> cell line with recombinant DNA technology.</w:t>
      </w:r>
      <w:r w:rsidR="003A3F72" w:rsidRPr="008D4475">
        <w:rPr>
          <w:rFonts w:cs="Arial"/>
          <w:szCs w:val="22"/>
        </w:rPr>
        <w:t xml:space="preserve"> It forms high affinity, stable complexes with both the soluble and </w:t>
      </w:r>
      <w:proofErr w:type="spellStart"/>
      <w:r w:rsidR="003A3F72" w:rsidRPr="008D4475">
        <w:rPr>
          <w:rFonts w:cs="Arial"/>
          <w:szCs w:val="22"/>
        </w:rPr>
        <w:t>transmembrane</w:t>
      </w:r>
      <w:proofErr w:type="spellEnd"/>
      <w:r w:rsidR="003A3F72" w:rsidRPr="008D4475">
        <w:rPr>
          <w:rFonts w:cs="Arial"/>
          <w:szCs w:val="22"/>
        </w:rPr>
        <w:t xml:space="preserve"> bioactive forms of human tumour necrosis factor (TNF), which prevents the binding of TNF to its receptors. Elevated express</w:t>
      </w:r>
      <w:smartTag w:uri="urn:schemas-microsoft-com:office:smarttags" w:element="PersonName">
        <w:r w:rsidR="003A3F72" w:rsidRPr="008D4475">
          <w:rPr>
            <w:rFonts w:cs="Arial"/>
            <w:szCs w:val="22"/>
          </w:rPr>
          <w:t>ion</w:t>
        </w:r>
      </w:smartTag>
      <w:r w:rsidR="003A3F72" w:rsidRPr="008D4475">
        <w:rPr>
          <w:rFonts w:cs="Arial"/>
          <w:szCs w:val="22"/>
        </w:rPr>
        <w:t xml:space="preserve"> of TNF has been linked to chronic inflammatory diseases such as rheumatoid arthritis (RA), as well as </w:t>
      </w:r>
      <w:proofErr w:type="spellStart"/>
      <w:r w:rsidR="003A3F72" w:rsidRPr="008D4475">
        <w:rPr>
          <w:rFonts w:cs="Arial"/>
          <w:szCs w:val="22"/>
        </w:rPr>
        <w:t>spondyloarthropathies</w:t>
      </w:r>
      <w:proofErr w:type="spellEnd"/>
      <w:r w:rsidR="003A3F72" w:rsidRPr="008D4475">
        <w:rPr>
          <w:rFonts w:cs="Arial"/>
          <w:szCs w:val="22"/>
        </w:rPr>
        <w:t xml:space="preserve"> such as psoriatic arthritis (</w:t>
      </w:r>
      <w:proofErr w:type="spellStart"/>
      <w:r w:rsidR="003A3F72" w:rsidRPr="008D4475">
        <w:rPr>
          <w:rFonts w:cs="Arial"/>
          <w:szCs w:val="22"/>
        </w:rPr>
        <w:t>PsA</w:t>
      </w:r>
      <w:proofErr w:type="spellEnd"/>
      <w:r w:rsidR="003A3F72" w:rsidRPr="008D4475">
        <w:rPr>
          <w:rFonts w:cs="Arial"/>
          <w:szCs w:val="22"/>
        </w:rPr>
        <w:t xml:space="preserve">) and </w:t>
      </w:r>
      <w:proofErr w:type="spellStart"/>
      <w:r w:rsidR="003A3F72" w:rsidRPr="008D4475">
        <w:rPr>
          <w:rFonts w:cs="Arial"/>
          <w:szCs w:val="22"/>
        </w:rPr>
        <w:t>ankylosing</w:t>
      </w:r>
      <w:proofErr w:type="spellEnd"/>
      <w:r w:rsidR="003A3F72" w:rsidRPr="008D4475">
        <w:rPr>
          <w:rFonts w:cs="Arial"/>
          <w:szCs w:val="22"/>
        </w:rPr>
        <w:t xml:space="preserve"> </w:t>
      </w:r>
      <w:proofErr w:type="spellStart"/>
      <w:r w:rsidR="003A3F72" w:rsidRPr="008D4475">
        <w:rPr>
          <w:rFonts w:cs="Arial"/>
          <w:szCs w:val="22"/>
        </w:rPr>
        <w:t>spondylitis</w:t>
      </w:r>
      <w:proofErr w:type="spellEnd"/>
      <w:r w:rsidR="003A3F72" w:rsidRPr="008D4475">
        <w:rPr>
          <w:rFonts w:cs="Arial"/>
          <w:szCs w:val="22"/>
        </w:rPr>
        <w:t xml:space="preserve"> (AS), and is an important mediator of the </w:t>
      </w:r>
      <w:proofErr w:type="spellStart"/>
      <w:r w:rsidR="003A3F72" w:rsidRPr="008D4475">
        <w:rPr>
          <w:rFonts w:cs="Arial"/>
          <w:szCs w:val="22"/>
        </w:rPr>
        <w:t>articular</w:t>
      </w:r>
      <w:proofErr w:type="spellEnd"/>
      <w:r w:rsidR="003A3F72" w:rsidRPr="008D4475">
        <w:rPr>
          <w:rFonts w:cs="Arial"/>
          <w:szCs w:val="22"/>
        </w:rPr>
        <w:t xml:space="preserve"> inflammat</w:t>
      </w:r>
      <w:smartTag w:uri="urn:schemas-microsoft-com:office:smarttags" w:element="PersonName">
        <w:r w:rsidR="003A3F72" w:rsidRPr="008D4475">
          <w:rPr>
            <w:rFonts w:cs="Arial"/>
            <w:szCs w:val="22"/>
          </w:rPr>
          <w:t>ion</w:t>
        </w:r>
      </w:smartTag>
      <w:r w:rsidR="003A3F72" w:rsidRPr="008D4475">
        <w:rPr>
          <w:rFonts w:cs="Arial"/>
          <w:szCs w:val="22"/>
        </w:rPr>
        <w:t xml:space="preserve"> and structural damage that are characteristic of these diseases.</w:t>
      </w:r>
    </w:p>
    <w:p w:rsidR="00AA40E0" w:rsidRPr="00C31214" w:rsidRDefault="00AA40E0" w:rsidP="00731EC2">
      <w:pPr>
        <w:pStyle w:val="Heading3"/>
        <w:spacing w:before="120"/>
        <w:rPr>
          <w:bCs/>
        </w:rPr>
      </w:pPr>
      <w:proofErr w:type="spellStart"/>
      <w:r w:rsidRPr="008D4475">
        <w:t>Pharmacodynamics</w:t>
      </w:r>
      <w:proofErr w:type="spellEnd"/>
    </w:p>
    <w:p w:rsidR="00AA40E0" w:rsidRPr="008D4475" w:rsidRDefault="00AA40E0" w:rsidP="00023495">
      <w:pPr>
        <w:rPr>
          <w:vertAlign w:val="superscript"/>
        </w:rPr>
      </w:pPr>
      <w:r w:rsidRPr="008D4475">
        <w:t xml:space="preserve">The binding of human TNF by </w:t>
      </w:r>
      <w:proofErr w:type="spellStart"/>
      <w:r w:rsidRPr="008D4475">
        <w:t>golimumab</w:t>
      </w:r>
      <w:proofErr w:type="spellEnd"/>
      <w:r w:rsidRPr="008D4475">
        <w:t xml:space="preserve"> was shown to neutralise TNF-induced cell-surface express</w:t>
      </w:r>
      <w:smartTag w:uri="urn:schemas-microsoft-com:office:smarttags" w:element="PersonName">
        <w:r w:rsidRPr="008D4475">
          <w:t>ion</w:t>
        </w:r>
      </w:smartTag>
      <w:r w:rsidRPr="008D4475">
        <w:t xml:space="preserve"> of the adhes</w:t>
      </w:r>
      <w:smartTag w:uri="urn:schemas-microsoft-com:office:smarttags" w:element="PersonName">
        <w:r w:rsidRPr="008D4475">
          <w:t>ion</w:t>
        </w:r>
      </w:smartTag>
      <w:r w:rsidRPr="008D4475">
        <w:t xml:space="preserve"> molecules E-</w:t>
      </w:r>
      <w:proofErr w:type="spellStart"/>
      <w:r w:rsidRPr="008D4475">
        <w:t>selectin</w:t>
      </w:r>
      <w:proofErr w:type="spellEnd"/>
      <w:r w:rsidRPr="008D4475">
        <w:t>, vascular cell adhes</w:t>
      </w:r>
      <w:smartTag w:uri="urn:schemas-microsoft-com:office:smarttags" w:element="PersonName">
        <w:r w:rsidRPr="008D4475">
          <w:t>ion</w:t>
        </w:r>
      </w:smartTag>
      <w:r w:rsidRPr="008D4475">
        <w:t xml:space="preserve"> molecule (VCAM)-1 and intercellular adhes</w:t>
      </w:r>
      <w:smartTag w:uri="urn:schemas-microsoft-com:office:smarttags" w:element="PersonName">
        <w:r w:rsidRPr="008D4475">
          <w:t>ion</w:t>
        </w:r>
      </w:smartTag>
      <w:r w:rsidRPr="008D4475">
        <w:t xml:space="preserve"> molecule (ICAM)-1 by human endothelial cells. TNF-induced secret</w:t>
      </w:r>
      <w:smartTag w:uri="urn:schemas-microsoft-com:office:smarttags" w:element="PersonName">
        <w:r w:rsidRPr="008D4475">
          <w:t>ion</w:t>
        </w:r>
      </w:smartTag>
      <w:r w:rsidRPr="008D4475">
        <w:t xml:space="preserve"> of interleukin (IL)-6, IL-8 and granulocyte-macrophage colony stimulating factor (GM-CSF) by human endothelial cells was also inhibited by </w:t>
      </w:r>
      <w:proofErr w:type="spellStart"/>
      <w:r w:rsidRPr="008D4475">
        <w:t>golimumab</w:t>
      </w:r>
      <w:proofErr w:type="spellEnd"/>
      <w:r w:rsidRPr="008D4475">
        <w:t>.</w:t>
      </w:r>
    </w:p>
    <w:p w:rsidR="00AA40E0" w:rsidRPr="008D4475" w:rsidRDefault="00643BFB" w:rsidP="00023495">
      <w:pPr>
        <w:rPr>
          <w:vertAlign w:val="superscript"/>
        </w:rPr>
      </w:pPr>
      <w:r>
        <w:t>SIMPONI</w:t>
      </w:r>
      <w:r w:rsidR="00AA40E0" w:rsidRPr="008D4475">
        <w:t xml:space="preserve"> was effective in modulating select markers of inflammat</w:t>
      </w:r>
      <w:smartTag w:uri="urn:schemas-microsoft-com:office:smarttags" w:element="PersonName">
        <w:r w:rsidR="00AA40E0" w:rsidRPr="008D4475">
          <w:t>ion</w:t>
        </w:r>
      </w:smartTag>
      <w:r w:rsidR="00AA40E0" w:rsidRPr="008D4475">
        <w:t xml:space="preserve"> and bone metabolism across indicat</w:t>
      </w:r>
      <w:smartTag w:uri="urn:schemas-microsoft-com:office:smarttags" w:element="PersonName">
        <w:r w:rsidR="00AA40E0" w:rsidRPr="008D4475">
          <w:t>ion</w:t>
        </w:r>
      </w:smartTag>
      <w:r w:rsidR="00AA40E0" w:rsidRPr="008D4475">
        <w:t xml:space="preserve">s. Improvement in C-reactive protein (CRP) levels were observed relative to placebo groups and treatment with </w:t>
      </w:r>
      <w:r>
        <w:t>SIMPONI</w:t>
      </w:r>
      <w:r w:rsidR="00AA40E0" w:rsidRPr="008D4475">
        <w:t xml:space="preserve"> resulted in significant reduct</w:t>
      </w:r>
      <w:smartTag w:uri="urn:schemas-microsoft-com:office:smarttags" w:element="PersonName">
        <w:r w:rsidR="00AA40E0" w:rsidRPr="008D4475">
          <w:t>ion</w:t>
        </w:r>
      </w:smartTag>
      <w:r w:rsidR="00AA40E0" w:rsidRPr="008D4475">
        <w:t xml:space="preserve">s from baseline in serum levels of IL-6, ICAM-1, matrix metalloproteinase-3 (MMP-3) and vascular endothelial growth factor (VEGF) compared to control treatment. </w:t>
      </w:r>
      <w:r w:rsidR="00AA40E0" w:rsidRPr="008D4475">
        <w:lastRenderedPageBreak/>
        <w:t>In addit</w:t>
      </w:r>
      <w:smartTag w:uri="urn:schemas-microsoft-com:office:smarttags" w:element="PersonName">
        <w:r w:rsidR="00AA40E0" w:rsidRPr="008D4475">
          <w:t>ion</w:t>
        </w:r>
      </w:smartTag>
      <w:r w:rsidR="00AA40E0" w:rsidRPr="008D4475">
        <w:t>, levels of TNF</w:t>
      </w:r>
      <w:r w:rsidR="00AA40E0" w:rsidRPr="008D4475">
        <w:sym w:font="Symbol" w:char="F061"/>
      </w:r>
      <w:r w:rsidR="00AA40E0" w:rsidRPr="008D4475">
        <w:t xml:space="preserve"> were reduced in RA and AS patients and levels of IL-8 were reduced in </w:t>
      </w:r>
      <w:proofErr w:type="spellStart"/>
      <w:r w:rsidR="00AA40E0" w:rsidRPr="008D4475">
        <w:t>PsA</w:t>
      </w:r>
      <w:proofErr w:type="spellEnd"/>
      <w:r w:rsidR="00AA40E0" w:rsidRPr="008D4475">
        <w:t xml:space="preserve"> patients. These changes were observed at the first assessment (</w:t>
      </w:r>
      <w:r w:rsidR="009C6804" w:rsidRPr="008D4475">
        <w:t>week</w:t>
      </w:r>
      <w:r w:rsidR="00AA40E0" w:rsidRPr="008D4475">
        <w:t xml:space="preserve"> 4) after the initial </w:t>
      </w:r>
      <w:r>
        <w:t>SIMPONI</w:t>
      </w:r>
      <w:r w:rsidR="00AA40E0" w:rsidRPr="008D4475">
        <w:t xml:space="preserve"> administration and were generally sustained through </w:t>
      </w:r>
      <w:r w:rsidR="009C6804" w:rsidRPr="008D4475">
        <w:t>week</w:t>
      </w:r>
      <w:r w:rsidR="00AA40E0" w:rsidRPr="008D4475">
        <w:t xml:space="preserve">s 14 and/or 24. </w:t>
      </w:r>
      <w:r>
        <w:t>SIMPONI</w:t>
      </w:r>
      <w:r w:rsidR="00AA40E0" w:rsidRPr="008D4475">
        <w:t xml:space="preserve"> with or without </w:t>
      </w:r>
      <w:proofErr w:type="spellStart"/>
      <w:r w:rsidR="00AA40E0" w:rsidRPr="008D4475">
        <w:t>methotrexate</w:t>
      </w:r>
      <w:proofErr w:type="spellEnd"/>
      <w:r w:rsidR="00AA40E0" w:rsidRPr="008D4475">
        <w:t xml:space="preserve"> (MTX) resulted in significant changes in serum levels of select markers of bone metabolism [increases in </w:t>
      </w:r>
      <w:proofErr w:type="spellStart"/>
      <w:r w:rsidR="00AA40E0" w:rsidRPr="008D4475">
        <w:t>osteocalcin</w:t>
      </w:r>
      <w:proofErr w:type="spellEnd"/>
      <w:r w:rsidR="00AA40E0" w:rsidRPr="008D4475">
        <w:t xml:space="preserve"> and </w:t>
      </w:r>
      <w:proofErr w:type="spellStart"/>
      <w:r w:rsidR="00AA40E0" w:rsidRPr="008D4475">
        <w:t>procollagen</w:t>
      </w:r>
      <w:proofErr w:type="spellEnd"/>
      <w:r w:rsidR="00AA40E0" w:rsidRPr="008D4475">
        <w:t xml:space="preserve"> type I N-terminal </w:t>
      </w:r>
      <w:proofErr w:type="spellStart"/>
      <w:r w:rsidR="00AA40E0" w:rsidRPr="008D4475">
        <w:t>propeptide</w:t>
      </w:r>
      <w:proofErr w:type="spellEnd"/>
      <w:r w:rsidR="00AA40E0" w:rsidRPr="008D4475">
        <w:t xml:space="preserve"> (PINP) and decreases in </w:t>
      </w:r>
      <w:proofErr w:type="spellStart"/>
      <w:r w:rsidR="00AA40E0" w:rsidRPr="008D4475">
        <w:t>deoxy-pyridinolin</w:t>
      </w:r>
      <w:proofErr w:type="spellEnd"/>
      <w:r w:rsidR="00AA40E0" w:rsidRPr="008D4475">
        <w:t xml:space="preserve"> (DPD) levels] at </w:t>
      </w:r>
      <w:r w:rsidR="009C6804" w:rsidRPr="008D4475">
        <w:t>week</w:t>
      </w:r>
      <w:r w:rsidR="009C17D5">
        <w:t xml:space="preserve"> 4.</w:t>
      </w:r>
    </w:p>
    <w:p w:rsidR="009E0380" w:rsidRPr="00C31214" w:rsidRDefault="009E0380" w:rsidP="00FE5455">
      <w:pPr>
        <w:pStyle w:val="Heading3"/>
        <w:rPr>
          <w:bCs/>
        </w:rPr>
      </w:pPr>
      <w:r w:rsidRPr="008D4475">
        <w:t>Pharmacokinetics</w:t>
      </w:r>
    </w:p>
    <w:p w:rsidR="00AA40E0" w:rsidRPr="00C31214" w:rsidRDefault="00AA40E0" w:rsidP="00AA40E0">
      <w:pPr>
        <w:rPr>
          <w:rFonts w:cs="Arial"/>
          <w:szCs w:val="22"/>
        </w:rPr>
      </w:pPr>
      <w:r w:rsidRPr="008D4475">
        <w:rPr>
          <w:rFonts w:cs="Arial"/>
          <w:szCs w:val="22"/>
        </w:rPr>
        <w:t>Following subcutaneous (SC) administrat</w:t>
      </w:r>
      <w:smartTag w:uri="urn:schemas-microsoft-com:office:smarttags" w:element="PersonName">
        <w:r w:rsidRPr="008D4475">
          <w:rPr>
            <w:rFonts w:cs="Arial"/>
            <w:szCs w:val="22"/>
          </w:rPr>
          <w:t>ion</w:t>
        </w:r>
      </w:smartTag>
      <w:r w:rsidRPr="008D4475">
        <w:rPr>
          <w:rFonts w:cs="Arial"/>
          <w:szCs w:val="22"/>
        </w:rPr>
        <w:t xml:space="preserve"> of </w:t>
      </w:r>
      <w:r w:rsidR="00643BFB">
        <w:rPr>
          <w:rFonts w:cs="Arial"/>
          <w:szCs w:val="22"/>
        </w:rPr>
        <w:t>SIMPONI</w:t>
      </w:r>
      <w:r w:rsidR="00D8365A" w:rsidRPr="008D4475">
        <w:rPr>
          <w:rFonts w:cs="Arial"/>
          <w:szCs w:val="22"/>
        </w:rPr>
        <w:t xml:space="preserve"> </w:t>
      </w:r>
      <w:r w:rsidRPr="008D4475">
        <w:rPr>
          <w:rFonts w:cs="Arial"/>
          <w:szCs w:val="22"/>
        </w:rPr>
        <w:t>to healthy subjects or patients with RA, the median time to reach maximum serum concentrat</w:t>
      </w:r>
      <w:smartTag w:uri="urn:schemas-microsoft-com:office:smarttags" w:element="PersonName">
        <w:r w:rsidRPr="008D4475">
          <w:rPr>
            <w:rFonts w:cs="Arial"/>
            <w:szCs w:val="22"/>
          </w:rPr>
          <w:t>ion</w:t>
        </w:r>
      </w:smartTag>
      <w:r w:rsidRPr="008D4475">
        <w:rPr>
          <w:rFonts w:cs="Arial"/>
          <w:szCs w:val="22"/>
        </w:rPr>
        <w:t>s (</w:t>
      </w:r>
      <w:proofErr w:type="spellStart"/>
      <w:r w:rsidRPr="008D4475">
        <w:rPr>
          <w:rFonts w:cs="Arial"/>
          <w:szCs w:val="22"/>
        </w:rPr>
        <w:t>T</w:t>
      </w:r>
      <w:r w:rsidRPr="008D4475">
        <w:rPr>
          <w:rFonts w:cs="Arial"/>
          <w:szCs w:val="22"/>
          <w:vertAlign w:val="subscript"/>
        </w:rPr>
        <w:t>max</w:t>
      </w:r>
      <w:proofErr w:type="spellEnd"/>
      <w:r w:rsidRPr="008D4475">
        <w:rPr>
          <w:rFonts w:cs="Arial"/>
          <w:szCs w:val="22"/>
        </w:rPr>
        <w:t>) ranged from 2 to 6 days. A SC inject</w:t>
      </w:r>
      <w:smartTag w:uri="urn:schemas-microsoft-com:office:smarttags" w:element="PersonName">
        <w:r w:rsidRPr="008D4475">
          <w:rPr>
            <w:rFonts w:cs="Arial"/>
            <w:szCs w:val="22"/>
          </w:rPr>
          <w:t>ion</w:t>
        </w:r>
      </w:smartTag>
      <w:r w:rsidRPr="008D4475">
        <w:rPr>
          <w:rFonts w:cs="Arial"/>
          <w:szCs w:val="22"/>
        </w:rPr>
        <w:t xml:space="preserve"> of 50 mg </w:t>
      </w:r>
      <w:proofErr w:type="spellStart"/>
      <w:r w:rsidRPr="008D4475">
        <w:rPr>
          <w:rFonts w:cs="Arial"/>
          <w:szCs w:val="22"/>
        </w:rPr>
        <w:t>golimumab</w:t>
      </w:r>
      <w:proofErr w:type="spellEnd"/>
      <w:r w:rsidRPr="008D4475">
        <w:rPr>
          <w:rFonts w:cs="Arial"/>
          <w:szCs w:val="22"/>
        </w:rPr>
        <w:t xml:space="preserve"> to healthy subjects produced a mean </w:t>
      </w:r>
      <w:r w:rsidR="00C736D1" w:rsidRPr="008D4475">
        <w:rPr>
          <w:rFonts w:cs="Arial"/>
          <w:szCs w:val="22"/>
        </w:rPr>
        <w:t xml:space="preserve">± standard deviation </w:t>
      </w:r>
      <w:r w:rsidRPr="008D4475">
        <w:rPr>
          <w:rFonts w:cs="Arial"/>
          <w:szCs w:val="22"/>
        </w:rPr>
        <w:t>maximum serum concentrat</w:t>
      </w:r>
      <w:smartTag w:uri="urn:schemas-microsoft-com:office:smarttags" w:element="PersonName">
        <w:r w:rsidRPr="008D4475">
          <w:rPr>
            <w:rFonts w:cs="Arial"/>
            <w:szCs w:val="22"/>
          </w:rPr>
          <w:t>ion</w:t>
        </w:r>
      </w:smartTag>
      <w:r w:rsidRPr="008D4475">
        <w:rPr>
          <w:rFonts w:cs="Arial"/>
          <w:szCs w:val="22"/>
        </w:rPr>
        <w:t xml:space="preserve"> (</w:t>
      </w:r>
      <w:proofErr w:type="spellStart"/>
      <w:r w:rsidRPr="008D4475">
        <w:rPr>
          <w:rFonts w:cs="Arial"/>
          <w:szCs w:val="22"/>
        </w:rPr>
        <w:t>C</w:t>
      </w:r>
      <w:r w:rsidRPr="008D4475">
        <w:rPr>
          <w:rFonts w:cs="Arial"/>
          <w:szCs w:val="22"/>
          <w:vertAlign w:val="subscript"/>
        </w:rPr>
        <w:t>max</w:t>
      </w:r>
      <w:proofErr w:type="spellEnd"/>
      <w:r w:rsidRPr="008D4475">
        <w:rPr>
          <w:rFonts w:cs="Arial"/>
          <w:szCs w:val="22"/>
        </w:rPr>
        <w:t xml:space="preserve">) of </w:t>
      </w:r>
      <w:r w:rsidR="00C87589" w:rsidRPr="008D4475">
        <w:rPr>
          <w:rFonts w:cs="Arial"/>
          <w:szCs w:val="22"/>
        </w:rPr>
        <w:t>3.1 ± 1.4</w:t>
      </w:r>
      <w:r w:rsidRPr="008D4475">
        <w:rPr>
          <w:rFonts w:cs="Arial"/>
          <w:szCs w:val="22"/>
        </w:rPr>
        <w:t> </w:t>
      </w:r>
      <w:r w:rsidRPr="008D4475">
        <w:rPr>
          <w:rFonts w:cs="Arial"/>
          <w:szCs w:val="22"/>
        </w:rPr>
        <w:sym w:font="Symbol" w:char="F06D"/>
      </w:r>
      <w:r w:rsidRPr="008D4475">
        <w:rPr>
          <w:rFonts w:cs="Arial"/>
          <w:szCs w:val="22"/>
        </w:rPr>
        <w:t>g/</w:t>
      </w:r>
      <w:proofErr w:type="spellStart"/>
      <w:r w:rsidR="00BB0E09" w:rsidRPr="008D4475">
        <w:rPr>
          <w:rFonts w:cs="Arial"/>
          <w:szCs w:val="22"/>
        </w:rPr>
        <w:t>mL</w:t>
      </w:r>
      <w:r w:rsidRPr="008D4475">
        <w:rPr>
          <w:rFonts w:cs="Arial"/>
          <w:szCs w:val="22"/>
        </w:rPr>
        <w:t>.</w:t>
      </w:r>
      <w:proofErr w:type="spellEnd"/>
      <w:r w:rsidRPr="008D4475">
        <w:rPr>
          <w:rFonts w:cs="Arial"/>
          <w:szCs w:val="22"/>
        </w:rPr>
        <w:t xml:space="preserve"> </w:t>
      </w:r>
      <w:proofErr w:type="spellStart"/>
      <w:r w:rsidRPr="008D4475">
        <w:rPr>
          <w:rFonts w:cs="Arial"/>
          <w:szCs w:val="22"/>
        </w:rPr>
        <w:t>Golimumab</w:t>
      </w:r>
      <w:proofErr w:type="spellEnd"/>
      <w:r w:rsidRPr="008D4475">
        <w:rPr>
          <w:rFonts w:cs="Arial"/>
          <w:szCs w:val="22"/>
        </w:rPr>
        <w:t xml:space="preserve"> exhibited dose-proportional pharmacokinetics in patients with RA over the dose range of 0.1 to 10.0 mg/kg following a single intravenous (IV) dose. Following a single IV administrat</w:t>
      </w:r>
      <w:smartTag w:uri="urn:schemas-microsoft-com:office:smarttags" w:element="PersonName">
        <w:r w:rsidRPr="008D4475">
          <w:rPr>
            <w:rFonts w:cs="Arial"/>
            <w:szCs w:val="22"/>
          </w:rPr>
          <w:t>ion</w:t>
        </w:r>
      </w:smartTag>
      <w:r w:rsidRPr="008D4475">
        <w:rPr>
          <w:rFonts w:cs="Arial"/>
          <w:szCs w:val="22"/>
        </w:rPr>
        <w:t xml:space="preserve"> over the same dose range in patients with RA, mean systemic clearance of </w:t>
      </w:r>
      <w:proofErr w:type="spellStart"/>
      <w:r w:rsidRPr="008D4475">
        <w:rPr>
          <w:rFonts w:cs="Arial"/>
          <w:szCs w:val="22"/>
        </w:rPr>
        <w:t>golimumab</w:t>
      </w:r>
      <w:proofErr w:type="spellEnd"/>
      <w:r w:rsidRPr="008D4475">
        <w:rPr>
          <w:rFonts w:cs="Arial"/>
          <w:szCs w:val="22"/>
        </w:rPr>
        <w:t xml:space="preserve"> was estimated to be 4.9 to 6.7 </w:t>
      </w:r>
      <w:proofErr w:type="spellStart"/>
      <w:r w:rsidR="00BB0E09" w:rsidRPr="008D4475">
        <w:rPr>
          <w:rFonts w:cs="Arial"/>
          <w:szCs w:val="22"/>
        </w:rPr>
        <w:t>mL</w:t>
      </w:r>
      <w:proofErr w:type="spellEnd"/>
      <w:r w:rsidRPr="008D4475">
        <w:rPr>
          <w:rFonts w:cs="Arial"/>
          <w:szCs w:val="22"/>
        </w:rPr>
        <w:t>/day/kg, and mean volume of distribut</w:t>
      </w:r>
      <w:smartTag w:uri="urn:schemas-microsoft-com:office:smarttags" w:element="PersonName">
        <w:r w:rsidRPr="008D4475">
          <w:rPr>
            <w:rFonts w:cs="Arial"/>
            <w:szCs w:val="22"/>
          </w:rPr>
          <w:t>ion</w:t>
        </w:r>
      </w:smartTag>
      <w:r w:rsidRPr="008D4475">
        <w:rPr>
          <w:rFonts w:cs="Arial"/>
          <w:szCs w:val="22"/>
        </w:rPr>
        <w:t xml:space="preserve"> ranged from 58 to 126 </w:t>
      </w:r>
      <w:proofErr w:type="spellStart"/>
      <w:r w:rsidR="00BB0E09" w:rsidRPr="008D4475">
        <w:rPr>
          <w:rFonts w:cs="Arial"/>
          <w:szCs w:val="22"/>
        </w:rPr>
        <w:t>mL</w:t>
      </w:r>
      <w:proofErr w:type="spellEnd"/>
      <w:r w:rsidRPr="008D4475">
        <w:rPr>
          <w:rFonts w:cs="Arial"/>
          <w:szCs w:val="22"/>
        </w:rPr>
        <w:t xml:space="preserve">/kg, which indicates that </w:t>
      </w:r>
      <w:proofErr w:type="spellStart"/>
      <w:r w:rsidRPr="008D4475">
        <w:rPr>
          <w:rFonts w:cs="Arial"/>
          <w:szCs w:val="22"/>
        </w:rPr>
        <w:t>golimumab</w:t>
      </w:r>
      <w:proofErr w:type="spellEnd"/>
      <w:r w:rsidRPr="008D4475">
        <w:rPr>
          <w:rFonts w:cs="Arial"/>
          <w:szCs w:val="22"/>
        </w:rPr>
        <w:t xml:space="preserve"> is distributed primarily in the circulatory system with limited </w:t>
      </w:r>
      <w:proofErr w:type="spellStart"/>
      <w:r w:rsidRPr="008D4475">
        <w:rPr>
          <w:rFonts w:cs="Arial"/>
          <w:szCs w:val="22"/>
        </w:rPr>
        <w:t>extravascular</w:t>
      </w:r>
      <w:proofErr w:type="spellEnd"/>
      <w:r w:rsidRPr="008D4475">
        <w:rPr>
          <w:rFonts w:cs="Arial"/>
          <w:szCs w:val="22"/>
        </w:rPr>
        <w:t xml:space="preserve"> distribut</w:t>
      </w:r>
      <w:smartTag w:uri="urn:schemas-microsoft-com:office:smarttags" w:element="PersonName">
        <w:r w:rsidRPr="008D4475">
          <w:rPr>
            <w:rFonts w:cs="Arial"/>
            <w:szCs w:val="22"/>
          </w:rPr>
          <w:t>ion</w:t>
        </w:r>
      </w:smartTag>
      <w:r w:rsidRPr="008D4475">
        <w:rPr>
          <w:rFonts w:cs="Arial"/>
          <w:szCs w:val="22"/>
        </w:rPr>
        <w:t xml:space="preserve">. Median terminal half-life values were estimated to be </w:t>
      </w:r>
      <w:r w:rsidR="00C87589" w:rsidRPr="008D4475">
        <w:rPr>
          <w:rFonts w:cs="Arial"/>
          <w:szCs w:val="22"/>
        </w:rPr>
        <w:t>12 ± 3 days</w:t>
      </w:r>
      <w:r w:rsidRPr="008D4475">
        <w:rPr>
          <w:rFonts w:cs="Arial"/>
          <w:szCs w:val="22"/>
        </w:rPr>
        <w:t xml:space="preserve"> in healthy subjects and patients with RA, </w:t>
      </w:r>
      <w:proofErr w:type="spellStart"/>
      <w:r w:rsidRPr="008D4475">
        <w:rPr>
          <w:rFonts w:cs="Arial"/>
          <w:szCs w:val="22"/>
        </w:rPr>
        <w:t>PsA</w:t>
      </w:r>
      <w:proofErr w:type="spellEnd"/>
      <w:r w:rsidRPr="008D4475">
        <w:rPr>
          <w:rFonts w:cs="Arial"/>
          <w:szCs w:val="22"/>
        </w:rPr>
        <w:t xml:space="preserve"> or AS. </w:t>
      </w:r>
      <w:r w:rsidR="00C87589" w:rsidRPr="008D4475">
        <w:rPr>
          <w:rFonts w:cs="Arial"/>
          <w:szCs w:val="22"/>
        </w:rPr>
        <w:t xml:space="preserve">Following a single SC injection of 100 mg, the absorption of </w:t>
      </w:r>
      <w:r w:rsidR="00643BFB">
        <w:rPr>
          <w:rFonts w:cs="Arial"/>
          <w:szCs w:val="22"/>
        </w:rPr>
        <w:t>SIMPONI</w:t>
      </w:r>
      <w:r w:rsidR="00C87589" w:rsidRPr="008D4475">
        <w:rPr>
          <w:rFonts w:cs="Arial"/>
          <w:szCs w:val="22"/>
        </w:rPr>
        <w:t xml:space="preserve"> was similar in the upper arm, abdomen, and thigh, with a mean absolute bioavailability of 51%. Since </w:t>
      </w:r>
      <w:r w:rsidR="00643BFB">
        <w:rPr>
          <w:rFonts w:cs="Arial"/>
          <w:szCs w:val="22"/>
        </w:rPr>
        <w:t>SIMPONI</w:t>
      </w:r>
      <w:r w:rsidR="00C87589" w:rsidRPr="008D4475">
        <w:rPr>
          <w:rFonts w:cs="Arial"/>
          <w:szCs w:val="22"/>
        </w:rPr>
        <w:t xml:space="preserve"> exhibited approximately dose proportional </w:t>
      </w:r>
      <w:r w:rsidR="0012635C" w:rsidRPr="008D4475">
        <w:rPr>
          <w:rFonts w:cs="Arial"/>
          <w:szCs w:val="22"/>
        </w:rPr>
        <w:t>pharmacokinetics</w:t>
      </w:r>
      <w:r w:rsidR="00C87589" w:rsidRPr="008D4475">
        <w:rPr>
          <w:rFonts w:cs="Arial"/>
          <w:szCs w:val="22"/>
        </w:rPr>
        <w:t xml:space="preserve"> following a SC administration, the absolute bioavailability of the </w:t>
      </w:r>
      <w:r w:rsidR="00643BFB">
        <w:rPr>
          <w:rFonts w:cs="Arial"/>
          <w:szCs w:val="22"/>
        </w:rPr>
        <w:t>SIMPONI</w:t>
      </w:r>
      <w:r w:rsidR="00C87589" w:rsidRPr="008D4475">
        <w:rPr>
          <w:rFonts w:cs="Arial"/>
          <w:szCs w:val="22"/>
        </w:rPr>
        <w:t xml:space="preserve"> 50 mg dose is expected to be similar to the 100 mg dose.</w:t>
      </w:r>
    </w:p>
    <w:p w:rsidR="00AA40E0" w:rsidRPr="008D4475" w:rsidRDefault="00AA40E0" w:rsidP="00A24983">
      <w:pPr>
        <w:rPr>
          <w:rFonts w:cs="Arial"/>
          <w:szCs w:val="22"/>
          <w:vertAlign w:val="superscript"/>
        </w:rPr>
      </w:pPr>
      <w:r w:rsidRPr="008D4475">
        <w:rPr>
          <w:rFonts w:cs="Arial"/>
          <w:szCs w:val="22"/>
        </w:rPr>
        <w:t xml:space="preserve">When 50 mg </w:t>
      </w:r>
      <w:r w:rsidR="00643BFB">
        <w:rPr>
          <w:rFonts w:cs="Arial"/>
          <w:szCs w:val="22"/>
        </w:rPr>
        <w:t>SIMPONI</w:t>
      </w:r>
      <w:r w:rsidR="00D8365A" w:rsidRPr="008D4475">
        <w:rPr>
          <w:rFonts w:cs="Arial"/>
          <w:szCs w:val="22"/>
        </w:rPr>
        <w:t xml:space="preserve"> </w:t>
      </w:r>
      <w:r w:rsidRPr="008D4475">
        <w:rPr>
          <w:rFonts w:cs="Arial"/>
          <w:szCs w:val="22"/>
        </w:rPr>
        <w:t xml:space="preserve">was administered SC to patients with RA, </w:t>
      </w:r>
      <w:proofErr w:type="spellStart"/>
      <w:r w:rsidRPr="008D4475">
        <w:rPr>
          <w:rFonts w:cs="Arial"/>
          <w:szCs w:val="22"/>
        </w:rPr>
        <w:t>PsA</w:t>
      </w:r>
      <w:proofErr w:type="spellEnd"/>
      <w:r w:rsidRPr="008D4475">
        <w:rPr>
          <w:rFonts w:cs="Arial"/>
          <w:szCs w:val="22"/>
        </w:rPr>
        <w:t xml:space="preserve"> or AS every 4</w:t>
      </w:r>
      <w:r w:rsidR="00750E4B" w:rsidRPr="008D4475">
        <w:rPr>
          <w:rFonts w:cs="Arial"/>
          <w:szCs w:val="22"/>
        </w:rPr>
        <w:t> </w:t>
      </w:r>
      <w:r w:rsidRPr="008D4475">
        <w:rPr>
          <w:rFonts w:cs="Arial"/>
          <w:szCs w:val="22"/>
        </w:rPr>
        <w:t>weeks, serum concentrat</w:t>
      </w:r>
      <w:smartTag w:uri="urn:schemas-microsoft-com:office:smarttags" w:element="PersonName">
        <w:r w:rsidRPr="008D4475">
          <w:rPr>
            <w:rFonts w:cs="Arial"/>
            <w:szCs w:val="22"/>
          </w:rPr>
          <w:t>ion</w:t>
        </w:r>
      </w:smartTag>
      <w:r w:rsidRPr="008D4475">
        <w:rPr>
          <w:rFonts w:cs="Arial"/>
          <w:szCs w:val="22"/>
        </w:rPr>
        <w:t xml:space="preserve">s reached steady state by </w:t>
      </w:r>
      <w:r w:rsidR="009C6804" w:rsidRPr="008D4475">
        <w:rPr>
          <w:rFonts w:cs="Arial"/>
          <w:szCs w:val="22"/>
        </w:rPr>
        <w:t>week</w:t>
      </w:r>
      <w:r w:rsidRPr="008D4475">
        <w:rPr>
          <w:rFonts w:cs="Arial"/>
          <w:szCs w:val="22"/>
        </w:rPr>
        <w:t xml:space="preserve"> 12. With concomitant use of MTX, treatment with 50 mg </w:t>
      </w:r>
      <w:r w:rsidR="00643BFB">
        <w:rPr>
          <w:rFonts w:cs="Arial"/>
          <w:szCs w:val="22"/>
        </w:rPr>
        <w:t>SIMPONI</w:t>
      </w:r>
      <w:r w:rsidR="00D8365A" w:rsidRPr="008D4475">
        <w:rPr>
          <w:rFonts w:cs="Arial"/>
          <w:szCs w:val="22"/>
        </w:rPr>
        <w:t xml:space="preserve"> </w:t>
      </w:r>
      <w:r w:rsidRPr="008D4475">
        <w:rPr>
          <w:rFonts w:cs="Arial"/>
          <w:szCs w:val="22"/>
        </w:rPr>
        <w:t>SC every 4 weeks resulted in a median steady-state trough serum concentrat</w:t>
      </w:r>
      <w:smartTag w:uri="urn:schemas-microsoft-com:office:smarttags" w:element="PersonName">
        <w:r w:rsidRPr="008D4475">
          <w:rPr>
            <w:rFonts w:cs="Arial"/>
            <w:szCs w:val="22"/>
          </w:rPr>
          <w:t>ion</w:t>
        </w:r>
      </w:smartTag>
      <w:r w:rsidRPr="008D4475">
        <w:rPr>
          <w:rFonts w:cs="Arial"/>
          <w:szCs w:val="22"/>
        </w:rPr>
        <w:t xml:space="preserve"> of approximately 0.6 </w:t>
      </w:r>
      <w:r w:rsidRPr="008D4475">
        <w:rPr>
          <w:rFonts w:cs="Arial"/>
          <w:szCs w:val="22"/>
        </w:rPr>
        <w:sym w:font="Symbol" w:char="F06D"/>
      </w:r>
      <w:r w:rsidRPr="008D4475">
        <w:rPr>
          <w:rFonts w:cs="Arial"/>
          <w:szCs w:val="22"/>
        </w:rPr>
        <w:t>g/</w:t>
      </w:r>
      <w:proofErr w:type="spellStart"/>
      <w:r w:rsidR="00BB0E09" w:rsidRPr="008D4475">
        <w:rPr>
          <w:rFonts w:cs="Arial"/>
          <w:szCs w:val="22"/>
        </w:rPr>
        <w:t>mL</w:t>
      </w:r>
      <w:proofErr w:type="spellEnd"/>
      <w:r w:rsidRPr="008D4475">
        <w:rPr>
          <w:rFonts w:cs="Arial"/>
          <w:szCs w:val="22"/>
        </w:rPr>
        <w:t xml:space="preserve"> in RA patients with active RA despite MTX therapy, and approximately 0.5 </w:t>
      </w:r>
      <w:r w:rsidRPr="008D4475">
        <w:rPr>
          <w:rFonts w:cs="Arial"/>
          <w:szCs w:val="22"/>
        </w:rPr>
        <w:sym w:font="Symbol" w:char="F06D"/>
      </w:r>
      <w:r w:rsidRPr="008D4475">
        <w:rPr>
          <w:rFonts w:cs="Arial"/>
          <w:szCs w:val="22"/>
        </w:rPr>
        <w:t>g/</w:t>
      </w:r>
      <w:proofErr w:type="spellStart"/>
      <w:r w:rsidR="00BB0E09" w:rsidRPr="008D4475">
        <w:rPr>
          <w:rFonts w:cs="Arial"/>
          <w:szCs w:val="22"/>
        </w:rPr>
        <w:t>mL</w:t>
      </w:r>
      <w:proofErr w:type="spellEnd"/>
      <w:r w:rsidRPr="008D4475">
        <w:rPr>
          <w:rFonts w:cs="Arial"/>
          <w:szCs w:val="22"/>
        </w:rPr>
        <w:t xml:space="preserve"> in patients with active </w:t>
      </w:r>
      <w:proofErr w:type="spellStart"/>
      <w:r w:rsidRPr="008D4475">
        <w:rPr>
          <w:rFonts w:cs="Arial"/>
          <w:szCs w:val="22"/>
        </w:rPr>
        <w:t>PsA</w:t>
      </w:r>
      <w:proofErr w:type="spellEnd"/>
      <w:r w:rsidRPr="008D4475">
        <w:rPr>
          <w:rFonts w:cs="Arial"/>
          <w:szCs w:val="22"/>
        </w:rPr>
        <w:t xml:space="preserve"> and approximately 0.6 </w:t>
      </w:r>
      <w:r w:rsidRPr="008D4475">
        <w:rPr>
          <w:rFonts w:cs="Arial"/>
          <w:szCs w:val="22"/>
        </w:rPr>
        <w:sym w:font="Symbol" w:char="F06D"/>
      </w:r>
      <w:r w:rsidRPr="008D4475">
        <w:rPr>
          <w:rFonts w:cs="Arial"/>
          <w:szCs w:val="22"/>
        </w:rPr>
        <w:t>g/</w:t>
      </w:r>
      <w:proofErr w:type="spellStart"/>
      <w:r w:rsidR="00BB0E09" w:rsidRPr="008D4475">
        <w:rPr>
          <w:rFonts w:cs="Arial"/>
          <w:szCs w:val="22"/>
        </w:rPr>
        <w:t>mL</w:t>
      </w:r>
      <w:proofErr w:type="spellEnd"/>
      <w:r w:rsidRPr="008D4475">
        <w:rPr>
          <w:rFonts w:cs="Arial"/>
          <w:szCs w:val="22"/>
        </w:rPr>
        <w:t xml:space="preserve"> in patients with AS. </w:t>
      </w:r>
      <w:r w:rsidR="00A24983" w:rsidRPr="008D4475">
        <w:rPr>
          <w:rFonts w:cs="Arial"/>
          <w:szCs w:val="22"/>
        </w:rPr>
        <w:t xml:space="preserve">Patients with RA, </w:t>
      </w:r>
      <w:proofErr w:type="spellStart"/>
      <w:r w:rsidR="00A24983" w:rsidRPr="008D4475">
        <w:rPr>
          <w:rFonts w:cs="Arial"/>
          <w:szCs w:val="22"/>
        </w:rPr>
        <w:t>PsA</w:t>
      </w:r>
      <w:proofErr w:type="spellEnd"/>
      <w:r w:rsidR="00A24983" w:rsidRPr="008D4475">
        <w:rPr>
          <w:rFonts w:cs="Arial"/>
          <w:szCs w:val="22"/>
        </w:rPr>
        <w:t xml:space="preserve"> and AS treated with </w:t>
      </w:r>
      <w:r w:rsidR="00643BFB">
        <w:rPr>
          <w:rFonts w:cs="Arial"/>
          <w:szCs w:val="22"/>
        </w:rPr>
        <w:t>SIMPONI</w:t>
      </w:r>
      <w:r w:rsidR="00A24983" w:rsidRPr="008D4475">
        <w:rPr>
          <w:rFonts w:cs="Arial"/>
          <w:szCs w:val="22"/>
        </w:rPr>
        <w:t xml:space="preserve"> 50 mg and MTX had approximately 52%, 36% and 21% higher mean steady-state trough concentrations of </w:t>
      </w:r>
      <w:proofErr w:type="spellStart"/>
      <w:r w:rsidR="00A24983" w:rsidRPr="008D4475">
        <w:rPr>
          <w:rFonts w:cs="Arial"/>
          <w:szCs w:val="22"/>
        </w:rPr>
        <w:t>golimumab</w:t>
      </w:r>
      <w:proofErr w:type="spellEnd"/>
      <w:r w:rsidR="00A24983" w:rsidRPr="008D4475">
        <w:rPr>
          <w:rFonts w:cs="Arial"/>
          <w:szCs w:val="22"/>
        </w:rPr>
        <w:t xml:space="preserve">, respectively, compared with those treated with </w:t>
      </w:r>
      <w:r w:rsidR="00643BFB">
        <w:rPr>
          <w:rFonts w:cs="Arial"/>
          <w:szCs w:val="22"/>
        </w:rPr>
        <w:t>SIMPONI</w:t>
      </w:r>
      <w:r w:rsidR="00A24983" w:rsidRPr="008D4475">
        <w:rPr>
          <w:rFonts w:cs="Arial"/>
          <w:szCs w:val="22"/>
        </w:rPr>
        <w:t xml:space="preserve"> 50 mg without MTX</w:t>
      </w:r>
      <w:r w:rsidRPr="008D4475">
        <w:rPr>
          <w:rFonts w:cs="Arial"/>
          <w:szCs w:val="22"/>
        </w:rPr>
        <w:t xml:space="preserve">. </w:t>
      </w:r>
      <w:r w:rsidR="00A24983" w:rsidRPr="008D4475">
        <w:t>The presence of MTX also decreased anti-</w:t>
      </w:r>
      <w:proofErr w:type="spellStart"/>
      <w:r w:rsidR="00A24983" w:rsidRPr="008D4475">
        <w:t>golimumab</w:t>
      </w:r>
      <w:proofErr w:type="spellEnd"/>
      <w:r w:rsidR="00A24983" w:rsidRPr="008D4475">
        <w:t xml:space="preserve"> antibody incidence from 7% to 2% (see CLINICAL TRIALS, “Immunogenicity”). </w:t>
      </w:r>
      <w:r w:rsidRPr="008D4475">
        <w:rPr>
          <w:rFonts w:cs="Arial"/>
          <w:szCs w:val="22"/>
        </w:rPr>
        <w:t xml:space="preserve">Population pharmacokinetic analysis in patients with RA also indicated that concomitant use of MTX could reduce the apparent clearance of </w:t>
      </w:r>
      <w:proofErr w:type="spellStart"/>
      <w:r w:rsidRPr="008D4475">
        <w:rPr>
          <w:rFonts w:cs="Arial"/>
          <w:szCs w:val="22"/>
        </w:rPr>
        <w:t>golimumab</w:t>
      </w:r>
      <w:proofErr w:type="spellEnd"/>
      <w:r w:rsidRPr="008D4475">
        <w:rPr>
          <w:rFonts w:cs="Arial"/>
          <w:szCs w:val="22"/>
        </w:rPr>
        <w:t xml:space="preserve"> by 17.1%. However, concomitant use of non-steroidal anti-inflammatory drugs, oral corticosteroids or </w:t>
      </w:r>
      <w:proofErr w:type="spellStart"/>
      <w:r w:rsidRPr="008D4475">
        <w:rPr>
          <w:rFonts w:cs="Arial"/>
          <w:szCs w:val="22"/>
        </w:rPr>
        <w:t>sulfasalazine</w:t>
      </w:r>
      <w:proofErr w:type="spellEnd"/>
      <w:r w:rsidRPr="008D4475">
        <w:rPr>
          <w:rFonts w:cs="Arial"/>
          <w:szCs w:val="22"/>
        </w:rPr>
        <w:t xml:space="preserve"> </w:t>
      </w:r>
      <w:r w:rsidR="00A84C6F" w:rsidRPr="008D4475">
        <w:rPr>
          <w:rFonts w:cs="Arial"/>
          <w:szCs w:val="22"/>
        </w:rPr>
        <w:t xml:space="preserve">(SSZ) </w:t>
      </w:r>
      <w:r w:rsidRPr="008D4475">
        <w:rPr>
          <w:rFonts w:cs="Arial"/>
          <w:szCs w:val="22"/>
        </w:rPr>
        <w:t xml:space="preserve">were not found to influence the apparent clearance of </w:t>
      </w:r>
      <w:proofErr w:type="spellStart"/>
      <w:r w:rsidRPr="008D4475">
        <w:rPr>
          <w:rFonts w:cs="Arial"/>
          <w:szCs w:val="22"/>
        </w:rPr>
        <w:t>golimumab</w:t>
      </w:r>
      <w:proofErr w:type="spellEnd"/>
      <w:r w:rsidRPr="008D4475">
        <w:rPr>
          <w:rFonts w:cs="Arial"/>
          <w:szCs w:val="22"/>
        </w:rPr>
        <w:t>.</w:t>
      </w:r>
    </w:p>
    <w:p w:rsidR="00AA40E0" w:rsidRPr="008D4475" w:rsidRDefault="00AA40E0" w:rsidP="00AA40E0">
      <w:pPr>
        <w:rPr>
          <w:rFonts w:cs="Arial"/>
          <w:szCs w:val="22"/>
          <w:vertAlign w:val="superscript"/>
        </w:rPr>
      </w:pPr>
      <w:r w:rsidRPr="008D4475">
        <w:rPr>
          <w:rFonts w:cs="Arial"/>
          <w:szCs w:val="22"/>
        </w:rPr>
        <w:t>Populat</w:t>
      </w:r>
      <w:smartTag w:uri="urn:schemas-microsoft-com:office:smarttags" w:element="PersonName">
        <w:r w:rsidRPr="008D4475">
          <w:rPr>
            <w:rFonts w:cs="Arial"/>
            <w:szCs w:val="22"/>
          </w:rPr>
          <w:t>ion</w:t>
        </w:r>
      </w:smartTag>
      <w:r w:rsidRPr="008D4475">
        <w:rPr>
          <w:rFonts w:cs="Arial"/>
          <w:szCs w:val="22"/>
        </w:rPr>
        <w:t xml:space="preserve"> pharmacokinetic analyses showed there was a trend toward higher apparent clearance of </w:t>
      </w:r>
      <w:proofErr w:type="spellStart"/>
      <w:r w:rsidRPr="008D4475">
        <w:rPr>
          <w:rFonts w:cs="Arial"/>
          <w:szCs w:val="22"/>
        </w:rPr>
        <w:t>golimumab</w:t>
      </w:r>
      <w:proofErr w:type="spellEnd"/>
      <w:r w:rsidRPr="008D4475">
        <w:rPr>
          <w:rFonts w:cs="Arial"/>
          <w:szCs w:val="22"/>
        </w:rPr>
        <w:t xml:space="preserve"> with increasing weight. However, subgroup analyses by weight quartiles did not demonstrate a meaningful difference in clinical efficacy between the different dose groups. Therefore, there is no need to adjust the dosage of </w:t>
      </w:r>
      <w:r w:rsidR="00643BFB">
        <w:rPr>
          <w:rFonts w:cs="Arial"/>
          <w:szCs w:val="22"/>
        </w:rPr>
        <w:t>SIMPONI</w:t>
      </w:r>
      <w:r w:rsidR="00D8365A" w:rsidRPr="008D4475">
        <w:rPr>
          <w:rFonts w:cs="Arial"/>
          <w:szCs w:val="22"/>
        </w:rPr>
        <w:t xml:space="preserve"> </w:t>
      </w:r>
      <w:r w:rsidRPr="008D4475">
        <w:rPr>
          <w:rFonts w:cs="Arial"/>
          <w:szCs w:val="22"/>
        </w:rPr>
        <w:t>based on the patient’s weight.</w:t>
      </w:r>
    </w:p>
    <w:p w:rsidR="00AA40E0" w:rsidRPr="008D4475" w:rsidRDefault="00AA40E0" w:rsidP="00AA40E0">
      <w:pPr>
        <w:rPr>
          <w:rFonts w:cs="Arial"/>
          <w:szCs w:val="22"/>
          <w:vertAlign w:val="superscript"/>
        </w:rPr>
      </w:pPr>
      <w:r w:rsidRPr="008D4475">
        <w:rPr>
          <w:rFonts w:cs="Arial"/>
          <w:szCs w:val="22"/>
        </w:rPr>
        <w:t>Patients who developed anti-</w:t>
      </w:r>
      <w:proofErr w:type="spellStart"/>
      <w:r w:rsidRPr="008D4475">
        <w:rPr>
          <w:rFonts w:cs="Arial"/>
          <w:szCs w:val="22"/>
        </w:rPr>
        <w:t>golimumab</w:t>
      </w:r>
      <w:proofErr w:type="spellEnd"/>
      <w:r w:rsidRPr="008D4475">
        <w:rPr>
          <w:rFonts w:cs="Arial"/>
          <w:szCs w:val="22"/>
        </w:rPr>
        <w:t xml:space="preserve"> antibodies generally </w:t>
      </w:r>
      <w:r w:rsidRPr="00DE1C16">
        <w:t xml:space="preserve">had </w:t>
      </w:r>
      <w:r w:rsidR="00606A14" w:rsidRPr="00DE1C16">
        <w:t xml:space="preserve">increased clearance and </w:t>
      </w:r>
      <w:r w:rsidRPr="00DE1C16">
        <w:t>low trough steady-state serum concentrat</w:t>
      </w:r>
      <w:smartTag w:uri="urn:schemas-microsoft-com:office:smarttags" w:element="PersonName">
        <w:r w:rsidRPr="00DE1C16">
          <w:t>ion</w:t>
        </w:r>
      </w:smartTag>
      <w:r w:rsidRPr="00DE1C16">
        <w:t xml:space="preserve">s of </w:t>
      </w:r>
      <w:proofErr w:type="spellStart"/>
      <w:r w:rsidRPr="00DE1C16">
        <w:t>golimu</w:t>
      </w:r>
      <w:r w:rsidRPr="008D4475">
        <w:rPr>
          <w:rFonts w:cs="Arial"/>
          <w:szCs w:val="22"/>
        </w:rPr>
        <w:t>mab</w:t>
      </w:r>
      <w:proofErr w:type="spellEnd"/>
      <w:r w:rsidRPr="008D4475">
        <w:rPr>
          <w:rFonts w:cs="Arial"/>
          <w:szCs w:val="22"/>
        </w:rPr>
        <w:t xml:space="preserve"> (see CLINICAL </w:t>
      </w:r>
      <w:r w:rsidR="00D8365A" w:rsidRPr="008D4475">
        <w:rPr>
          <w:rFonts w:cs="Arial"/>
          <w:szCs w:val="22"/>
        </w:rPr>
        <w:t>TRIALS</w:t>
      </w:r>
      <w:r w:rsidRPr="008D4475">
        <w:rPr>
          <w:rFonts w:cs="Arial"/>
          <w:szCs w:val="22"/>
        </w:rPr>
        <w:t>, “Immunogenicity”).</w:t>
      </w:r>
    </w:p>
    <w:p w:rsidR="00AA40E0" w:rsidRPr="008D4475" w:rsidRDefault="00AA40E0" w:rsidP="00FB6EEB">
      <w:pPr>
        <w:keepLines/>
        <w:rPr>
          <w:rFonts w:cs="Arial"/>
          <w:szCs w:val="22"/>
        </w:rPr>
      </w:pPr>
      <w:r w:rsidRPr="008D4475">
        <w:rPr>
          <w:rFonts w:cs="Arial"/>
          <w:szCs w:val="22"/>
        </w:rPr>
        <w:lastRenderedPageBreak/>
        <w:t xml:space="preserve">Phase 3 studies evaluated the safety and efficacy of </w:t>
      </w:r>
      <w:r w:rsidR="00643BFB">
        <w:rPr>
          <w:rFonts w:cs="Arial"/>
          <w:szCs w:val="22"/>
        </w:rPr>
        <w:t>SIMPONI</w:t>
      </w:r>
      <w:r w:rsidR="00D8365A" w:rsidRPr="008D4475">
        <w:rPr>
          <w:rFonts w:cs="Arial"/>
          <w:szCs w:val="22"/>
        </w:rPr>
        <w:t xml:space="preserve"> </w:t>
      </w:r>
      <w:r w:rsidRPr="008D4475">
        <w:rPr>
          <w:rFonts w:cs="Arial"/>
          <w:szCs w:val="22"/>
        </w:rPr>
        <w:t xml:space="preserve">at a dosage regimen of every 4 weeks with a prospectively allowed window of 3 to 7 days. Patients would receive a total of 13 doses over 1 year when </w:t>
      </w:r>
      <w:r w:rsidR="00643BFB">
        <w:rPr>
          <w:rFonts w:cs="Arial"/>
          <w:szCs w:val="22"/>
        </w:rPr>
        <w:t>SIMPONI</w:t>
      </w:r>
      <w:r w:rsidR="00D8365A" w:rsidRPr="008D4475">
        <w:rPr>
          <w:rFonts w:cs="Arial"/>
          <w:szCs w:val="22"/>
        </w:rPr>
        <w:t xml:space="preserve"> </w:t>
      </w:r>
      <w:r w:rsidRPr="008D4475">
        <w:rPr>
          <w:rFonts w:cs="Arial"/>
          <w:szCs w:val="22"/>
        </w:rPr>
        <w:t xml:space="preserve">is given every 4 weeks instead of 12 doses when given monthly. This results in a calculated difference in </w:t>
      </w:r>
      <w:proofErr w:type="spellStart"/>
      <w:r w:rsidRPr="008D4475">
        <w:rPr>
          <w:rFonts w:cs="Arial"/>
          <w:szCs w:val="22"/>
        </w:rPr>
        <w:t>golimumab</w:t>
      </w:r>
      <w:proofErr w:type="spellEnd"/>
      <w:r w:rsidRPr="008D4475">
        <w:rPr>
          <w:rFonts w:cs="Arial"/>
          <w:szCs w:val="22"/>
        </w:rPr>
        <w:t xml:space="preserve"> exposure of approximately 8% when administered monthly as recommended.</w:t>
      </w:r>
    </w:p>
    <w:p w:rsidR="00BB0E09" w:rsidRPr="008D4475" w:rsidRDefault="00BB0E09" w:rsidP="00AA40E0">
      <w:pPr>
        <w:rPr>
          <w:rFonts w:cs="Arial"/>
          <w:szCs w:val="22"/>
        </w:rPr>
      </w:pPr>
      <w:r w:rsidRPr="008D4475">
        <w:rPr>
          <w:rFonts w:cs="Arial"/>
          <w:szCs w:val="22"/>
        </w:rPr>
        <w:t xml:space="preserve">No formal study of the effect of renal or hepatic impairment on the </w:t>
      </w:r>
      <w:r w:rsidR="00A84C6F" w:rsidRPr="008D4475">
        <w:rPr>
          <w:rFonts w:cs="Arial"/>
          <w:szCs w:val="22"/>
        </w:rPr>
        <w:t>pharmacokinetics</w:t>
      </w:r>
      <w:r w:rsidRPr="008D4475">
        <w:rPr>
          <w:rFonts w:cs="Arial"/>
          <w:szCs w:val="22"/>
        </w:rPr>
        <w:t xml:space="preserve"> of </w:t>
      </w:r>
      <w:proofErr w:type="spellStart"/>
      <w:r w:rsidRPr="008D4475">
        <w:rPr>
          <w:rFonts w:cs="Arial"/>
          <w:szCs w:val="22"/>
        </w:rPr>
        <w:t>golimumab</w:t>
      </w:r>
      <w:proofErr w:type="spellEnd"/>
      <w:r w:rsidRPr="008D4475">
        <w:rPr>
          <w:rFonts w:cs="Arial"/>
          <w:szCs w:val="22"/>
        </w:rPr>
        <w:t xml:space="preserve"> was conducted.</w:t>
      </w:r>
    </w:p>
    <w:p w:rsidR="009E0380" w:rsidRPr="005F5F7A" w:rsidRDefault="00BF443F" w:rsidP="00FE5455">
      <w:pPr>
        <w:pStyle w:val="Heading2"/>
        <w:spacing w:before="360" w:after="240"/>
      </w:pPr>
      <w:r w:rsidRPr="00BF443F">
        <w:t>CLINICAL TRIALS</w:t>
      </w:r>
    </w:p>
    <w:p w:rsidR="00101B81" w:rsidRPr="008D4475" w:rsidRDefault="00101B81" w:rsidP="00FE5455">
      <w:pPr>
        <w:pStyle w:val="Heading3"/>
      </w:pPr>
      <w:r w:rsidRPr="008D4475">
        <w:t>Rheumatoid arthritis</w:t>
      </w:r>
    </w:p>
    <w:p w:rsidR="00750E4B" w:rsidRPr="008D4475" w:rsidRDefault="00750E4B" w:rsidP="00750E4B">
      <w:pPr>
        <w:rPr>
          <w:rFonts w:cs="Arial"/>
          <w:bCs/>
          <w:szCs w:val="22"/>
        </w:rPr>
      </w:pPr>
      <w:r w:rsidRPr="008D4475">
        <w:rPr>
          <w:rFonts w:cs="Arial"/>
          <w:bCs/>
          <w:szCs w:val="22"/>
        </w:rPr>
        <w:t xml:space="preserve">The efficacy and safety of </w:t>
      </w:r>
      <w:r w:rsidR="00643BFB">
        <w:rPr>
          <w:rFonts w:cs="Arial"/>
          <w:szCs w:val="22"/>
        </w:rPr>
        <w:t>SIMPONI</w:t>
      </w:r>
      <w:r w:rsidRPr="008D4475">
        <w:rPr>
          <w:rFonts w:cs="Arial"/>
          <w:szCs w:val="22"/>
        </w:rPr>
        <w:t xml:space="preserve"> </w:t>
      </w:r>
      <w:r w:rsidRPr="008D4475">
        <w:rPr>
          <w:rFonts w:cs="Arial"/>
          <w:bCs/>
          <w:szCs w:val="22"/>
        </w:rPr>
        <w:t>were evaluated in three multi-centre, ra</w:t>
      </w:r>
      <w:r w:rsidR="00155732">
        <w:rPr>
          <w:rFonts w:cs="Arial"/>
          <w:bCs/>
          <w:szCs w:val="22"/>
        </w:rPr>
        <w:t>ndomised, double-blind, placebo-</w:t>
      </w:r>
      <w:r w:rsidRPr="008D4475">
        <w:rPr>
          <w:rFonts w:cs="Arial"/>
          <w:bCs/>
          <w:szCs w:val="22"/>
        </w:rPr>
        <w:t xml:space="preserve">controlled studies in over 1,500 patients </w:t>
      </w:r>
      <w:r w:rsidRPr="008D4475">
        <w:rPr>
          <w:rFonts w:cs="Arial"/>
          <w:bCs/>
          <w:szCs w:val="22"/>
        </w:rPr>
        <w:sym w:font="Symbol" w:char="F0B3"/>
      </w:r>
      <w:r w:rsidRPr="008D4475">
        <w:rPr>
          <w:rFonts w:cs="Arial"/>
          <w:bCs/>
          <w:szCs w:val="22"/>
        </w:rPr>
        <w:t xml:space="preserve">18 years of age with moderately to severely active RA diagnosed according to American College of Rheumatology (ACR) criteria for at least 3 months prior to screening. Patients had at least 4 swollen and 4 tender joints. </w:t>
      </w:r>
      <w:r w:rsidR="00643BFB">
        <w:rPr>
          <w:rFonts w:cs="Arial"/>
          <w:szCs w:val="22"/>
        </w:rPr>
        <w:t>SIMPONI</w:t>
      </w:r>
      <w:r w:rsidRPr="008D4475">
        <w:rPr>
          <w:rFonts w:cs="Arial"/>
          <w:szCs w:val="22"/>
        </w:rPr>
        <w:t xml:space="preserve"> </w:t>
      </w:r>
      <w:r w:rsidRPr="008D4475">
        <w:rPr>
          <w:rFonts w:cs="Arial"/>
          <w:bCs/>
          <w:szCs w:val="22"/>
        </w:rPr>
        <w:t>was administered subcutaneously at doses of 50 mg or 100 mg, with or without MTX, every 4 weeks. Placebo-controlled efficacy data were collecte</w:t>
      </w:r>
      <w:r w:rsidR="00046947">
        <w:rPr>
          <w:rFonts w:cs="Arial"/>
          <w:bCs/>
          <w:szCs w:val="22"/>
        </w:rPr>
        <w:t>d and analysed through week 24.</w:t>
      </w:r>
    </w:p>
    <w:p w:rsidR="00750E4B" w:rsidRPr="008D4475" w:rsidRDefault="00750E4B" w:rsidP="00750E4B">
      <w:pPr>
        <w:rPr>
          <w:rFonts w:cs="Arial"/>
          <w:bCs/>
          <w:szCs w:val="22"/>
        </w:rPr>
      </w:pPr>
      <w:r w:rsidRPr="008D4475">
        <w:rPr>
          <w:rFonts w:cs="Arial"/>
          <w:bCs/>
          <w:szCs w:val="22"/>
        </w:rPr>
        <w:t>GO-FORWARD evaluated 44</w:t>
      </w:r>
      <w:r w:rsidR="00564B81">
        <w:rPr>
          <w:rFonts w:cs="Arial"/>
          <w:bCs/>
          <w:szCs w:val="22"/>
        </w:rPr>
        <w:t>4</w:t>
      </w:r>
      <w:r w:rsidRPr="008D4475">
        <w:rPr>
          <w:rFonts w:cs="Arial"/>
          <w:bCs/>
          <w:szCs w:val="22"/>
        </w:rPr>
        <w:t xml:space="preserve"> patients who had active RA despite a stable dose of at least 15 mg/week of </w:t>
      </w:r>
      <w:r w:rsidRPr="00DE1C16">
        <w:t>MTX</w:t>
      </w:r>
      <w:r w:rsidR="008D4475" w:rsidRPr="00DE1C16">
        <w:t xml:space="preserve">. This study excluded patients who previously received TNF blocking agents, and patients with serious or chronic infections, history of congestive heart failure (CHF), </w:t>
      </w:r>
      <w:proofErr w:type="spellStart"/>
      <w:r w:rsidR="008D4475" w:rsidRPr="00DE1C16">
        <w:t>demyelinating</w:t>
      </w:r>
      <w:proofErr w:type="spellEnd"/>
      <w:r w:rsidR="008D4475" w:rsidRPr="00DE1C16">
        <w:t xml:space="preserve"> disorders or a history of malignancy with the exception of treated non-melanoma skin cancers</w:t>
      </w:r>
      <w:r w:rsidRPr="00DE1C16">
        <w:t>. Patients</w:t>
      </w:r>
      <w:r w:rsidRPr="008D4475">
        <w:rPr>
          <w:rFonts w:cs="Arial"/>
          <w:bCs/>
          <w:szCs w:val="22"/>
        </w:rPr>
        <w:t xml:space="preserve"> were randomised to receive placebo + MTX (n=133), </w:t>
      </w:r>
      <w:r w:rsidR="00643BFB">
        <w:rPr>
          <w:rFonts w:cs="Arial"/>
          <w:bCs/>
          <w:szCs w:val="22"/>
        </w:rPr>
        <w:t>SIMPONI</w:t>
      </w:r>
      <w:r w:rsidRPr="008D4475">
        <w:rPr>
          <w:rFonts w:cs="Arial"/>
          <w:bCs/>
          <w:szCs w:val="22"/>
        </w:rPr>
        <w:t xml:space="preserve"> 50 mg + MTX (n=89), </w:t>
      </w:r>
      <w:r w:rsidR="00643BFB">
        <w:rPr>
          <w:rFonts w:cs="Arial"/>
          <w:bCs/>
          <w:szCs w:val="22"/>
        </w:rPr>
        <w:t>SIMPONI</w:t>
      </w:r>
      <w:r w:rsidRPr="008D4475">
        <w:rPr>
          <w:rFonts w:cs="Arial"/>
          <w:bCs/>
          <w:szCs w:val="22"/>
        </w:rPr>
        <w:t xml:space="preserve"> 100 mg + MTX (n=89) or </w:t>
      </w:r>
      <w:r w:rsidR="00643BFB">
        <w:rPr>
          <w:rFonts w:cs="Arial"/>
          <w:bCs/>
          <w:szCs w:val="22"/>
        </w:rPr>
        <w:t>SIMPONI</w:t>
      </w:r>
      <w:r w:rsidRPr="008D4475">
        <w:rPr>
          <w:rFonts w:cs="Arial"/>
          <w:bCs/>
          <w:szCs w:val="22"/>
        </w:rPr>
        <w:t xml:space="preserve"> 100 mg </w:t>
      </w:r>
      <w:proofErr w:type="spellStart"/>
      <w:r w:rsidRPr="008D4475">
        <w:rPr>
          <w:rFonts w:cs="Arial"/>
          <w:bCs/>
          <w:szCs w:val="22"/>
        </w:rPr>
        <w:t>monotherapy</w:t>
      </w:r>
      <w:proofErr w:type="spellEnd"/>
      <w:r w:rsidRPr="008D4475">
        <w:rPr>
          <w:rFonts w:cs="Arial"/>
          <w:bCs/>
          <w:szCs w:val="22"/>
        </w:rPr>
        <w:t xml:space="preserve"> + placebo (n=133).</w:t>
      </w:r>
      <w:r w:rsidR="00FA1207" w:rsidRPr="008D4475">
        <w:rPr>
          <w:rFonts w:cs="Arial"/>
          <w:bCs/>
          <w:szCs w:val="22"/>
        </w:rPr>
        <w:t xml:space="preserve"> The use of </w:t>
      </w:r>
      <w:r w:rsidR="00A84C6F" w:rsidRPr="008D4475">
        <w:rPr>
          <w:rFonts w:cs="Arial"/>
          <w:bCs/>
          <w:szCs w:val="22"/>
        </w:rPr>
        <w:t>disease-modifying anti-rheumatic drugs (</w:t>
      </w:r>
      <w:r w:rsidR="00FA1207" w:rsidRPr="008D4475">
        <w:rPr>
          <w:rFonts w:cs="Arial"/>
          <w:bCs/>
          <w:szCs w:val="22"/>
        </w:rPr>
        <w:t>DMARDs</w:t>
      </w:r>
      <w:r w:rsidR="00A84C6F" w:rsidRPr="008D4475">
        <w:rPr>
          <w:rFonts w:cs="Arial"/>
          <w:bCs/>
          <w:szCs w:val="22"/>
        </w:rPr>
        <w:t>)</w:t>
      </w:r>
      <w:r w:rsidR="00FA1207" w:rsidRPr="008D4475">
        <w:rPr>
          <w:rFonts w:cs="Arial"/>
          <w:bCs/>
          <w:szCs w:val="22"/>
        </w:rPr>
        <w:t xml:space="preserve"> including </w:t>
      </w:r>
      <w:proofErr w:type="spellStart"/>
      <w:r w:rsidR="00FA1207" w:rsidRPr="008D4475">
        <w:rPr>
          <w:rFonts w:cs="Arial"/>
          <w:bCs/>
          <w:szCs w:val="22"/>
        </w:rPr>
        <w:t>sulfasalazine</w:t>
      </w:r>
      <w:proofErr w:type="spellEnd"/>
      <w:r w:rsidR="00FA1207" w:rsidRPr="008D4475">
        <w:rPr>
          <w:rFonts w:cs="Arial"/>
          <w:bCs/>
          <w:szCs w:val="22"/>
        </w:rPr>
        <w:t xml:space="preserve"> (SSZ), </w:t>
      </w:r>
      <w:proofErr w:type="spellStart"/>
      <w:r w:rsidR="00FA1207" w:rsidRPr="008D4475">
        <w:rPr>
          <w:rFonts w:cs="Arial"/>
          <w:bCs/>
          <w:szCs w:val="22"/>
        </w:rPr>
        <w:t>hydroxychloroquine</w:t>
      </w:r>
      <w:proofErr w:type="spellEnd"/>
      <w:r w:rsidR="00FA1207" w:rsidRPr="008D4475">
        <w:rPr>
          <w:rFonts w:cs="Arial"/>
          <w:bCs/>
          <w:szCs w:val="22"/>
        </w:rPr>
        <w:t xml:space="preserve"> (HCQ), </w:t>
      </w:r>
      <w:proofErr w:type="spellStart"/>
      <w:r w:rsidR="00FA1207" w:rsidRPr="008D4475">
        <w:rPr>
          <w:rFonts w:cs="Arial"/>
          <w:bCs/>
          <w:szCs w:val="22"/>
        </w:rPr>
        <w:t>cytotoxic</w:t>
      </w:r>
      <w:proofErr w:type="spellEnd"/>
      <w:r w:rsidR="00FA1207" w:rsidRPr="008D4475">
        <w:rPr>
          <w:rFonts w:cs="Arial"/>
          <w:bCs/>
          <w:szCs w:val="22"/>
        </w:rPr>
        <w:t xml:space="preserve"> agents, or other </w:t>
      </w:r>
      <w:proofErr w:type="spellStart"/>
      <w:r w:rsidR="00FA1207" w:rsidRPr="008D4475">
        <w:rPr>
          <w:rFonts w:cs="Arial"/>
          <w:bCs/>
          <w:szCs w:val="22"/>
        </w:rPr>
        <w:t>biologicals</w:t>
      </w:r>
      <w:proofErr w:type="spellEnd"/>
      <w:r w:rsidR="00FA1207" w:rsidRPr="008D4475">
        <w:rPr>
          <w:rFonts w:cs="Arial"/>
          <w:bCs/>
          <w:szCs w:val="22"/>
        </w:rPr>
        <w:t xml:space="preserve"> was prohibited.</w:t>
      </w:r>
    </w:p>
    <w:p w:rsidR="00750E4B" w:rsidRPr="008D4475" w:rsidRDefault="00046947" w:rsidP="00750E4B">
      <w:pPr>
        <w:rPr>
          <w:rFonts w:cs="Arial"/>
          <w:bCs/>
          <w:szCs w:val="22"/>
        </w:rPr>
      </w:pPr>
      <w:r>
        <w:rPr>
          <w:rFonts w:cs="Arial"/>
          <w:bCs/>
          <w:szCs w:val="22"/>
        </w:rPr>
        <w:t>GO-</w:t>
      </w:r>
      <w:r w:rsidR="00750E4B" w:rsidRPr="008D4475">
        <w:rPr>
          <w:rFonts w:cs="Arial"/>
          <w:bCs/>
          <w:szCs w:val="22"/>
        </w:rPr>
        <w:t>AFTER evaluated 4</w:t>
      </w:r>
      <w:r w:rsidR="00564B81">
        <w:rPr>
          <w:rFonts w:cs="Arial"/>
          <w:bCs/>
          <w:szCs w:val="22"/>
        </w:rPr>
        <w:t>45</w:t>
      </w:r>
      <w:r w:rsidR="00750E4B" w:rsidRPr="008D4475">
        <w:rPr>
          <w:rFonts w:cs="Arial"/>
          <w:bCs/>
          <w:szCs w:val="22"/>
        </w:rPr>
        <w:t xml:space="preserve"> patients who were previously treat</w:t>
      </w:r>
      <w:r>
        <w:rPr>
          <w:rFonts w:cs="Arial"/>
          <w:bCs/>
          <w:szCs w:val="22"/>
        </w:rPr>
        <w:t>ed with one or more of the anti-</w:t>
      </w:r>
      <w:r w:rsidR="00750E4B" w:rsidRPr="008D4475">
        <w:rPr>
          <w:rFonts w:cs="Arial"/>
          <w:bCs/>
          <w:szCs w:val="22"/>
        </w:rPr>
        <w:t xml:space="preserve">TNF agents </w:t>
      </w:r>
      <w:proofErr w:type="spellStart"/>
      <w:r w:rsidR="00750E4B" w:rsidRPr="00DE1C16">
        <w:t>adalimumab</w:t>
      </w:r>
      <w:proofErr w:type="spellEnd"/>
      <w:r w:rsidR="00750E4B" w:rsidRPr="00DE1C16">
        <w:t xml:space="preserve">, </w:t>
      </w:r>
      <w:proofErr w:type="spellStart"/>
      <w:r w:rsidR="00750E4B" w:rsidRPr="00DE1C16">
        <w:t>etanercept</w:t>
      </w:r>
      <w:proofErr w:type="spellEnd"/>
      <w:r w:rsidR="00750E4B" w:rsidRPr="00DE1C16">
        <w:t xml:space="preserve">, or </w:t>
      </w:r>
      <w:proofErr w:type="spellStart"/>
      <w:r w:rsidR="00750E4B" w:rsidRPr="00DE1C16">
        <w:t>infliximab</w:t>
      </w:r>
      <w:proofErr w:type="spellEnd"/>
      <w:r w:rsidR="00750E4B" w:rsidRPr="00DE1C16">
        <w:t xml:space="preserve">. </w:t>
      </w:r>
      <w:r w:rsidR="008D4475" w:rsidRPr="00DE1C16">
        <w:t xml:space="preserve">This study excluded patients with serious or chronic infections, history of CHF, </w:t>
      </w:r>
      <w:proofErr w:type="spellStart"/>
      <w:r w:rsidR="008D4475" w:rsidRPr="00DE1C16">
        <w:t>demyelinating</w:t>
      </w:r>
      <w:proofErr w:type="spellEnd"/>
      <w:r w:rsidR="008D4475" w:rsidRPr="00DE1C16">
        <w:t xml:space="preserve"> disorders or a history of malignancy with the exception of treated non-melanoma skin cancers. </w:t>
      </w:r>
      <w:r w:rsidR="00750E4B" w:rsidRPr="00DE1C16">
        <w:t>Patients were randomised to receive placebo</w:t>
      </w:r>
      <w:r w:rsidR="00750E4B" w:rsidRPr="008D4475">
        <w:rPr>
          <w:rFonts w:cs="Arial"/>
          <w:bCs/>
          <w:szCs w:val="22"/>
        </w:rPr>
        <w:t xml:space="preserve"> (n=15</w:t>
      </w:r>
      <w:r w:rsidR="008241F7">
        <w:rPr>
          <w:rFonts w:cs="Arial"/>
          <w:bCs/>
          <w:szCs w:val="22"/>
        </w:rPr>
        <w:t>0</w:t>
      </w:r>
      <w:r w:rsidR="00750E4B" w:rsidRPr="008D4475">
        <w:rPr>
          <w:rFonts w:cs="Arial"/>
          <w:bCs/>
          <w:szCs w:val="22"/>
        </w:rPr>
        <w:t xml:space="preserve">), </w:t>
      </w:r>
      <w:r w:rsidR="00643BFB">
        <w:rPr>
          <w:rFonts w:cs="Arial"/>
          <w:szCs w:val="22"/>
        </w:rPr>
        <w:t>SIMPONI</w:t>
      </w:r>
      <w:r w:rsidR="00750E4B" w:rsidRPr="008D4475">
        <w:rPr>
          <w:rFonts w:cs="Arial"/>
          <w:szCs w:val="22"/>
        </w:rPr>
        <w:t xml:space="preserve"> </w:t>
      </w:r>
      <w:r w:rsidR="00750E4B" w:rsidRPr="008D4475">
        <w:rPr>
          <w:rFonts w:cs="Arial"/>
          <w:bCs/>
          <w:szCs w:val="22"/>
        </w:rPr>
        <w:t>50 mg (n=1</w:t>
      </w:r>
      <w:r w:rsidR="008241F7">
        <w:rPr>
          <w:rFonts w:cs="Arial"/>
          <w:bCs/>
          <w:szCs w:val="22"/>
        </w:rPr>
        <w:t>47</w:t>
      </w:r>
      <w:r w:rsidR="00750E4B" w:rsidRPr="008D4475">
        <w:rPr>
          <w:rFonts w:cs="Arial"/>
          <w:bCs/>
          <w:szCs w:val="22"/>
        </w:rPr>
        <w:t xml:space="preserve">), or </w:t>
      </w:r>
      <w:r w:rsidR="00643BFB">
        <w:rPr>
          <w:rFonts w:cs="Arial"/>
          <w:szCs w:val="22"/>
        </w:rPr>
        <w:t>SIMPONI</w:t>
      </w:r>
      <w:r w:rsidR="00750E4B" w:rsidRPr="008D4475">
        <w:rPr>
          <w:rFonts w:cs="Arial"/>
          <w:szCs w:val="22"/>
        </w:rPr>
        <w:t xml:space="preserve"> </w:t>
      </w:r>
      <w:r w:rsidR="00750E4B" w:rsidRPr="008D4475">
        <w:rPr>
          <w:rFonts w:cs="Arial"/>
          <w:bCs/>
          <w:szCs w:val="22"/>
        </w:rPr>
        <w:t>100 mg (n=1</w:t>
      </w:r>
      <w:r w:rsidR="008241F7">
        <w:rPr>
          <w:rFonts w:cs="Arial"/>
          <w:bCs/>
          <w:szCs w:val="22"/>
        </w:rPr>
        <w:t>48</w:t>
      </w:r>
      <w:r w:rsidR="00750E4B" w:rsidRPr="008D4475">
        <w:rPr>
          <w:rFonts w:cs="Arial"/>
          <w:bCs/>
          <w:szCs w:val="22"/>
        </w:rPr>
        <w:t xml:space="preserve">). Patients were allowed to continue concomitant DMARD therapy with MTX, </w:t>
      </w:r>
      <w:r w:rsidR="00A84C6F" w:rsidRPr="008D4475">
        <w:rPr>
          <w:rFonts w:cs="Arial"/>
          <w:bCs/>
          <w:szCs w:val="22"/>
        </w:rPr>
        <w:t>SSZ</w:t>
      </w:r>
      <w:r w:rsidR="00750E4B" w:rsidRPr="008D4475">
        <w:rPr>
          <w:rFonts w:cs="Arial"/>
          <w:bCs/>
          <w:szCs w:val="22"/>
        </w:rPr>
        <w:t xml:space="preserve">, and/or </w:t>
      </w:r>
      <w:r w:rsidR="00A84C6F" w:rsidRPr="008D4475">
        <w:rPr>
          <w:rFonts w:cs="Arial"/>
          <w:bCs/>
          <w:szCs w:val="22"/>
        </w:rPr>
        <w:t xml:space="preserve">HCQ </w:t>
      </w:r>
      <w:r w:rsidR="00750E4B" w:rsidRPr="008D4475">
        <w:rPr>
          <w:rFonts w:cs="Arial"/>
          <w:bCs/>
          <w:szCs w:val="22"/>
        </w:rPr>
        <w:t>during the study. Discontinuat</w:t>
      </w:r>
      <w:smartTag w:uri="urn:schemas-microsoft-com:office:smarttags" w:element="PersonName">
        <w:r w:rsidR="00750E4B" w:rsidRPr="008D4475">
          <w:rPr>
            <w:rFonts w:cs="Arial"/>
            <w:bCs/>
            <w:szCs w:val="22"/>
          </w:rPr>
          <w:t>ion</w:t>
        </w:r>
      </w:smartTag>
      <w:r w:rsidR="00750E4B" w:rsidRPr="008D4475">
        <w:rPr>
          <w:rFonts w:cs="Arial"/>
          <w:bCs/>
          <w:szCs w:val="22"/>
        </w:rPr>
        <w:t xml:space="preserve"> of prior anti-TNF therapies could have been for reasons including lack of efficacy (58%), intolerance (17%), and/or reasons other than safety or efficacy (40%).</w:t>
      </w:r>
      <w:r w:rsidR="00FA1207" w:rsidRPr="008D4475">
        <w:rPr>
          <w:rFonts w:cs="Arial"/>
          <w:bCs/>
          <w:szCs w:val="22"/>
        </w:rPr>
        <w:t xml:space="preserve"> Other than MTX, SSZ, and HCQ, the use of other DMARDs including </w:t>
      </w:r>
      <w:proofErr w:type="spellStart"/>
      <w:r w:rsidR="00FA1207" w:rsidRPr="008D4475">
        <w:rPr>
          <w:rFonts w:cs="Arial"/>
          <w:bCs/>
          <w:szCs w:val="22"/>
        </w:rPr>
        <w:t>cytotoxic</w:t>
      </w:r>
      <w:proofErr w:type="spellEnd"/>
      <w:r w:rsidR="00FA1207" w:rsidRPr="008D4475">
        <w:rPr>
          <w:rFonts w:cs="Arial"/>
          <w:bCs/>
          <w:szCs w:val="22"/>
        </w:rPr>
        <w:t xml:space="preserve"> agents or other biologics was prohibited.</w:t>
      </w:r>
    </w:p>
    <w:p w:rsidR="00750E4B" w:rsidRPr="008D4475" w:rsidRDefault="00046947" w:rsidP="00750E4B">
      <w:pPr>
        <w:rPr>
          <w:rFonts w:cs="Arial"/>
          <w:bCs/>
          <w:szCs w:val="22"/>
        </w:rPr>
      </w:pPr>
      <w:r>
        <w:rPr>
          <w:rFonts w:cs="Arial"/>
          <w:bCs/>
          <w:szCs w:val="22"/>
        </w:rPr>
        <w:t>GO-</w:t>
      </w:r>
      <w:r w:rsidR="00750E4B" w:rsidRPr="008D4475">
        <w:rPr>
          <w:rFonts w:cs="Arial"/>
          <w:bCs/>
          <w:szCs w:val="22"/>
        </w:rPr>
        <w:t xml:space="preserve">BEFORE evaluated 637 </w:t>
      </w:r>
      <w:r w:rsidR="00750E4B" w:rsidRPr="00DE1C16">
        <w:t>patients with active RA who were MTX-naïve</w:t>
      </w:r>
      <w:r w:rsidR="008D4475" w:rsidRPr="00DE1C16">
        <w:t>. This study excluded patients who previously received TNF block</w:t>
      </w:r>
      <w:r w:rsidR="00E24E6F">
        <w:t xml:space="preserve">ing agents, and patients </w:t>
      </w:r>
      <w:r>
        <w:t>with serious or chronic</w:t>
      </w:r>
      <w:r w:rsidR="008D4475" w:rsidRPr="00DE1C16">
        <w:t xml:space="preserve"> infections, history of C</w:t>
      </w:r>
      <w:r>
        <w:t xml:space="preserve">HF, </w:t>
      </w:r>
      <w:proofErr w:type="spellStart"/>
      <w:r>
        <w:t>demyelinating</w:t>
      </w:r>
      <w:proofErr w:type="spellEnd"/>
      <w:r>
        <w:t xml:space="preserve"> disorders or </w:t>
      </w:r>
      <w:r w:rsidR="008D4475" w:rsidRPr="00DE1C16">
        <w:t>history of malignancy with exce</w:t>
      </w:r>
      <w:r w:rsidR="00E24E6F">
        <w:t>ption of treated non-</w:t>
      </w:r>
      <w:r>
        <w:t xml:space="preserve">melanoma </w:t>
      </w:r>
      <w:r w:rsidR="008D4475" w:rsidRPr="00DE1C16">
        <w:t>skin cancers</w:t>
      </w:r>
      <w:r w:rsidR="00750E4B" w:rsidRPr="00DE1C16">
        <w:t>. Patients were randomised to receive placebo + MTX</w:t>
      </w:r>
      <w:r w:rsidR="00750E4B" w:rsidRPr="008D4475">
        <w:rPr>
          <w:rFonts w:cs="Arial"/>
          <w:bCs/>
          <w:szCs w:val="22"/>
        </w:rPr>
        <w:t xml:space="preserve"> (n = 160), </w:t>
      </w:r>
      <w:r w:rsidR="00643BFB">
        <w:rPr>
          <w:rFonts w:cs="Arial"/>
          <w:szCs w:val="22"/>
        </w:rPr>
        <w:t>SIMPONI</w:t>
      </w:r>
      <w:r w:rsidR="00750E4B" w:rsidRPr="008D4475">
        <w:rPr>
          <w:rFonts w:cs="Arial"/>
          <w:szCs w:val="22"/>
        </w:rPr>
        <w:t xml:space="preserve"> </w:t>
      </w:r>
      <w:r w:rsidR="00750E4B" w:rsidRPr="008D4475">
        <w:rPr>
          <w:rFonts w:cs="Arial"/>
          <w:bCs/>
          <w:szCs w:val="22"/>
        </w:rPr>
        <w:t xml:space="preserve">50 mg + MTX (n = 159), </w:t>
      </w:r>
      <w:r w:rsidR="00643BFB">
        <w:rPr>
          <w:rFonts w:cs="Arial"/>
          <w:szCs w:val="22"/>
        </w:rPr>
        <w:t>SIMPONI</w:t>
      </w:r>
      <w:r w:rsidR="00750E4B" w:rsidRPr="008D4475">
        <w:rPr>
          <w:rFonts w:cs="Arial"/>
          <w:szCs w:val="22"/>
        </w:rPr>
        <w:t xml:space="preserve"> </w:t>
      </w:r>
      <w:r w:rsidR="00750E4B" w:rsidRPr="008D4475">
        <w:rPr>
          <w:rFonts w:cs="Arial"/>
          <w:bCs/>
          <w:szCs w:val="22"/>
        </w:rPr>
        <w:t xml:space="preserve">100 mg + MTX (n = 159) or </w:t>
      </w:r>
      <w:r w:rsidR="00643BFB">
        <w:rPr>
          <w:rFonts w:cs="Arial"/>
          <w:szCs w:val="22"/>
        </w:rPr>
        <w:t>SIMPONI</w:t>
      </w:r>
      <w:r w:rsidR="00750E4B" w:rsidRPr="008D4475">
        <w:rPr>
          <w:rFonts w:cs="Arial"/>
          <w:szCs w:val="22"/>
        </w:rPr>
        <w:t xml:space="preserve"> </w:t>
      </w:r>
      <w:r w:rsidR="00750E4B" w:rsidRPr="008D4475">
        <w:rPr>
          <w:rFonts w:cs="Arial"/>
          <w:bCs/>
          <w:szCs w:val="22"/>
        </w:rPr>
        <w:t xml:space="preserve">100 mg </w:t>
      </w:r>
      <w:proofErr w:type="spellStart"/>
      <w:r w:rsidR="00750E4B" w:rsidRPr="008D4475">
        <w:rPr>
          <w:rFonts w:cs="Arial"/>
          <w:bCs/>
          <w:szCs w:val="22"/>
        </w:rPr>
        <w:t>monotherapy</w:t>
      </w:r>
      <w:proofErr w:type="spellEnd"/>
      <w:r w:rsidR="00750E4B" w:rsidRPr="008D4475">
        <w:rPr>
          <w:rFonts w:cs="Arial"/>
          <w:bCs/>
          <w:szCs w:val="22"/>
        </w:rPr>
        <w:t xml:space="preserve"> + placebo (n = 159). For patients receiving active MTX, MTX was administered at a dose of 10 mg/week beginning at </w:t>
      </w:r>
      <w:r w:rsidR="009C6804" w:rsidRPr="008D4475">
        <w:rPr>
          <w:rFonts w:cs="Arial"/>
          <w:bCs/>
          <w:szCs w:val="22"/>
        </w:rPr>
        <w:t>week</w:t>
      </w:r>
      <w:r w:rsidR="00750E4B" w:rsidRPr="008D4475">
        <w:rPr>
          <w:rFonts w:cs="Arial"/>
          <w:bCs/>
          <w:szCs w:val="22"/>
        </w:rPr>
        <w:t xml:space="preserve"> 0 and increased to 20 mg/week by </w:t>
      </w:r>
      <w:r w:rsidR="009C6804" w:rsidRPr="008D4475">
        <w:rPr>
          <w:rFonts w:cs="Arial"/>
          <w:bCs/>
          <w:szCs w:val="22"/>
        </w:rPr>
        <w:t>week</w:t>
      </w:r>
      <w:r w:rsidR="00750E4B" w:rsidRPr="008D4475">
        <w:rPr>
          <w:rFonts w:cs="Arial"/>
          <w:bCs/>
          <w:szCs w:val="22"/>
        </w:rPr>
        <w:t xml:space="preserve"> 8.</w:t>
      </w:r>
      <w:r w:rsidR="00FA1207" w:rsidRPr="008D4475">
        <w:rPr>
          <w:rFonts w:cs="Arial"/>
          <w:bCs/>
          <w:szCs w:val="22"/>
        </w:rPr>
        <w:t xml:space="preserve"> The use of other DMARDs including SSZ, HCQ, </w:t>
      </w:r>
      <w:proofErr w:type="spellStart"/>
      <w:r w:rsidR="00FA1207" w:rsidRPr="008D4475">
        <w:rPr>
          <w:rFonts w:cs="Arial"/>
          <w:bCs/>
          <w:szCs w:val="22"/>
        </w:rPr>
        <w:t>cytotoxic</w:t>
      </w:r>
      <w:proofErr w:type="spellEnd"/>
      <w:r w:rsidR="00FA1207" w:rsidRPr="008D4475">
        <w:rPr>
          <w:rFonts w:cs="Arial"/>
          <w:bCs/>
          <w:szCs w:val="22"/>
        </w:rPr>
        <w:t xml:space="preserve"> agents, or other biologics was prohibited.</w:t>
      </w:r>
    </w:p>
    <w:p w:rsidR="00FA1207" w:rsidRPr="008D4475" w:rsidRDefault="00FA1207" w:rsidP="00750E4B">
      <w:pPr>
        <w:rPr>
          <w:rFonts w:cs="Arial"/>
          <w:bCs/>
          <w:szCs w:val="22"/>
        </w:rPr>
      </w:pPr>
      <w:r w:rsidRPr="008D4475">
        <w:rPr>
          <w:rFonts w:cs="Arial"/>
          <w:bCs/>
          <w:szCs w:val="22"/>
        </w:rPr>
        <w:t>In GO-AFTER, GO-FORWARD, and GO-BEFORE, the median duration of RA disease was 9.4, 5.7, and 1.2 years, respectively.</w:t>
      </w:r>
    </w:p>
    <w:p w:rsidR="00750E4B" w:rsidRPr="008D4475" w:rsidRDefault="00750E4B" w:rsidP="00750E4B">
      <w:pPr>
        <w:rPr>
          <w:rFonts w:cs="Arial"/>
          <w:bCs/>
          <w:szCs w:val="22"/>
          <w:vertAlign w:val="superscript"/>
        </w:rPr>
      </w:pPr>
      <w:r w:rsidRPr="008D4475">
        <w:rPr>
          <w:rFonts w:cs="Arial"/>
          <w:bCs/>
          <w:szCs w:val="22"/>
        </w:rPr>
        <w:lastRenderedPageBreak/>
        <w:t xml:space="preserve">The co-primary endpoint in GO-FORWARD and </w:t>
      </w:r>
      <w:r w:rsidR="00057A2B" w:rsidRPr="008D4475">
        <w:rPr>
          <w:rFonts w:cs="Arial"/>
          <w:bCs/>
          <w:szCs w:val="22"/>
        </w:rPr>
        <w:t xml:space="preserve">the primary endpoint in </w:t>
      </w:r>
      <w:r w:rsidRPr="008D4475">
        <w:rPr>
          <w:rFonts w:cs="Arial"/>
          <w:bCs/>
          <w:szCs w:val="22"/>
        </w:rPr>
        <w:t xml:space="preserve">GO-AFTER was the percentage of patients achieving an ACR 20 response at </w:t>
      </w:r>
      <w:r w:rsidR="009C6804" w:rsidRPr="008D4475">
        <w:rPr>
          <w:rFonts w:cs="Arial"/>
          <w:bCs/>
          <w:szCs w:val="22"/>
        </w:rPr>
        <w:t>week</w:t>
      </w:r>
      <w:r w:rsidRPr="008D4475">
        <w:rPr>
          <w:rFonts w:cs="Arial"/>
          <w:bCs/>
          <w:szCs w:val="22"/>
        </w:rPr>
        <w:t xml:space="preserve"> 14. The other co-primary endpoint in GO-FORWARD was the improvement from baseline in the Health Assessment Quest</w:t>
      </w:r>
      <w:smartTag w:uri="urn:schemas-microsoft-com:office:smarttags" w:element="PersonName">
        <w:r w:rsidRPr="008D4475">
          <w:rPr>
            <w:rFonts w:cs="Arial"/>
            <w:bCs/>
            <w:szCs w:val="22"/>
          </w:rPr>
          <w:t>ion</w:t>
        </w:r>
      </w:smartTag>
      <w:r w:rsidRPr="008D4475">
        <w:rPr>
          <w:rFonts w:cs="Arial"/>
          <w:bCs/>
          <w:szCs w:val="22"/>
        </w:rPr>
        <w:t xml:space="preserve">naire (HAQ) score at </w:t>
      </w:r>
      <w:r w:rsidR="009C6804" w:rsidRPr="008D4475">
        <w:rPr>
          <w:rFonts w:cs="Arial"/>
          <w:bCs/>
          <w:szCs w:val="22"/>
        </w:rPr>
        <w:t>week</w:t>
      </w:r>
      <w:r w:rsidRPr="008D4475">
        <w:rPr>
          <w:rFonts w:cs="Arial"/>
          <w:bCs/>
          <w:szCs w:val="22"/>
        </w:rPr>
        <w:t xml:space="preserve"> 24. The primary endpoint for GO-BEFORE was the percentage of patients achieving ACR 50 response at </w:t>
      </w:r>
      <w:r w:rsidR="009C6804" w:rsidRPr="008D4475">
        <w:rPr>
          <w:rFonts w:cs="Arial"/>
          <w:bCs/>
          <w:szCs w:val="22"/>
        </w:rPr>
        <w:t>week</w:t>
      </w:r>
      <w:r w:rsidRPr="008D4475">
        <w:rPr>
          <w:rFonts w:cs="Arial"/>
          <w:bCs/>
          <w:szCs w:val="22"/>
        </w:rPr>
        <w:t xml:space="preserve"> 24. In addit</w:t>
      </w:r>
      <w:smartTag w:uri="urn:schemas-microsoft-com:office:smarttags" w:element="PersonName">
        <w:r w:rsidRPr="008D4475">
          <w:rPr>
            <w:rFonts w:cs="Arial"/>
            <w:bCs/>
            <w:szCs w:val="22"/>
          </w:rPr>
          <w:t>ion</w:t>
        </w:r>
      </w:smartTag>
      <w:r w:rsidRPr="008D4475">
        <w:rPr>
          <w:rFonts w:cs="Arial"/>
          <w:bCs/>
          <w:szCs w:val="22"/>
        </w:rPr>
        <w:t xml:space="preserve"> to the primary endpoint(s), addit</w:t>
      </w:r>
      <w:smartTag w:uri="urn:schemas-microsoft-com:office:smarttags" w:element="PersonName">
        <w:r w:rsidRPr="008D4475">
          <w:rPr>
            <w:rFonts w:cs="Arial"/>
            <w:bCs/>
            <w:szCs w:val="22"/>
          </w:rPr>
          <w:t>ion</w:t>
        </w:r>
      </w:smartTag>
      <w:r w:rsidRPr="008D4475">
        <w:rPr>
          <w:rFonts w:cs="Arial"/>
          <w:bCs/>
          <w:szCs w:val="22"/>
        </w:rPr>
        <w:t xml:space="preserve">al assessments of the impact of </w:t>
      </w:r>
      <w:r w:rsidR="00643BFB">
        <w:rPr>
          <w:rFonts w:cs="Arial"/>
          <w:szCs w:val="22"/>
        </w:rPr>
        <w:t>SIMPONI</w:t>
      </w:r>
      <w:r w:rsidRPr="008D4475">
        <w:rPr>
          <w:rFonts w:cs="Arial"/>
          <w:szCs w:val="22"/>
        </w:rPr>
        <w:t xml:space="preserve"> </w:t>
      </w:r>
      <w:r w:rsidRPr="008D4475">
        <w:rPr>
          <w:rFonts w:cs="Arial"/>
          <w:bCs/>
          <w:szCs w:val="22"/>
        </w:rPr>
        <w:t>treatment on the signs and symptoms of arthritis, physical funct</w:t>
      </w:r>
      <w:smartTag w:uri="urn:schemas-microsoft-com:office:smarttags" w:element="PersonName">
        <w:r w:rsidRPr="008D4475">
          <w:rPr>
            <w:rFonts w:cs="Arial"/>
            <w:bCs/>
            <w:szCs w:val="22"/>
          </w:rPr>
          <w:t>ion</w:t>
        </w:r>
      </w:smartTag>
      <w:r w:rsidR="00046947">
        <w:rPr>
          <w:rFonts w:cs="Arial"/>
          <w:bCs/>
          <w:szCs w:val="22"/>
        </w:rPr>
        <w:t xml:space="preserve"> and health-</w:t>
      </w:r>
      <w:r w:rsidRPr="008D4475">
        <w:rPr>
          <w:rFonts w:cs="Arial"/>
          <w:bCs/>
          <w:szCs w:val="22"/>
        </w:rPr>
        <w:t>related quality of life were performed.</w:t>
      </w:r>
    </w:p>
    <w:p w:rsidR="00750E4B" w:rsidRPr="008D4475" w:rsidRDefault="00750E4B" w:rsidP="00750E4B">
      <w:pPr>
        <w:rPr>
          <w:rFonts w:cs="Arial"/>
          <w:bCs/>
          <w:szCs w:val="22"/>
        </w:rPr>
      </w:pPr>
      <w:r w:rsidRPr="008D4475">
        <w:rPr>
          <w:rFonts w:cs="Arial"/>
          <w:bCs/>
          <w:szCs w:val="22"/>
        </w:rPr>
        <w:t xml:space="preserve">Key results for the 50 mg dose are shown in </w:t>
      </w:r>
      <w:r w:rsidR="00715198" w:rsidRPr="008D4475">
        <w:rPr>
          <w:rFonts w:cs="Arial"/>
          <w:bCs/>
          <w:szCs w:val="22"/>
        </w:rPr>
        <w:t>T</w:t>
      </w:r>
      <w:r w:rsidRPr="008D4475">
        <w:rPr>
          <w:rFonts w:cs="Arial"/>
          <w:bCs/>
          <w:szCs w:val="22"/>
        </w:rPr>
        <w:t xml:space="preserve">ables </w:t>
      </w:r>
      <w:r w:rsidR="007D20AD" w:rsidRPr="008D4475">
        <w:rPr>
          <w:rFonts w:cs="Arial"/>
          <w:bCs/>
          <w:szCs w:val="22"/>
        </w:rPr>
        <w:t>1</w:t>
      </w:r>
      <w:r w:rsidR="001332CA" w:rsidRPr="008D4475">
        <w:rPr>
          <w:rFonts w:cs="Arial"/>
          <w:bCs/>
          <w:szCs w:val="22"/>
        </w:rPr>
        <w:t xml:space="preserve"> and</w:t>
      </w:r>
      <w:r w:rsidRPr="008D4475">
        <w:rPr>
          <w:rFonts w:cs="Arial"/>
          <w:bCs/>
          <w:szCs w:val="22"/>
        </w:rPr>
        <w:t xml:space="preserve"> </w:t>
      </w:r>
      <w:r w:rsidR="007D20AD" w:rsidRPr="008D4475">
        <w:rPr>
          <w:rFonts w:cs="Arial"/>
          <w:bCs/>
          <w:szCs w:val="22"/>
        </w:rPr>
        <w:t xml:space="preserve">2 </w:t>
      </w:r>
      <w:r w:rsidRPr="008D4475">
        <w:rPr>
          <w:rFonts w:cs="Arial"/>
          <w:bCs/>
          <w:szCs w:val="22"/>
        </w:rPr>
        <w:t xml:space="preserve">below. In general, no clinically meaningful differences in measures of efficacy were observed between the </w:t>
      </w:r>
      <w:r w:rsidR="00643BFB">
        <w:rPr>
          <w:rFonts w:cs="Arial"/>
          <w:szCs w:val="22"/>
        </w:rPr>
        <w:t>SIMPONI</w:t>
      </w:r>
      <w:r w:rsidRPr="008D4475">
        <w:rPr>
          <w:rFonts w:cs="Arial"/>
          <w:szCs w:val="22"/>
        </w:rPr>
        <w:t xml:space="preserve"> </w:t>
      </w:r>
      <w:r w:rsidRPr="008D4475">
        <w:rPr>
          <w:rFonts w:cs="Arial"/>
          <w:bCs/>
          <w:szCs w:val="22"/>
        </w:rPr>
        <w:t>50 mg and 100 mg dosing regimens.</w:t>
      </w:r>
      <w:r w:rsidR="00FA1207" w:rsidRPr="008D4475">
        <w:rPr>
          <w:rFonts w:cs="Arial"/>
          <w:bCs/>
          <w:szCs w:val="22"/>
        </w:rPr>
        <w:t xml:space="preserve"> In GO-FORWARD and GO-BEFORE, the </w:t>
      </w:r>
      <w:r w:rsidR="00643BFB">
        <w:rPr>
          <w:rFonts w:cs="Arial"/>
          <w:bCs/>
          <w:szCs w:val="22"/>
        </w:rPr>
        <w:t>SIMPONI</w:t>
      </w:r>
      <w:r w:rsidR="00FA1207" w:rsidRPr="008D4475">
        <w:rPr>
          <w:rFonts w:cs="Arial"/>
          <w:bCs/>
          <w:szCs w:val="22"/>
        </w:rPr>
        <w:t xml:space="preserve"> 100 mg </w:t>
      </w:r>
      <w:proofErr w:type="spellStart"/>
      <w:r w:rsidR="00FA1207" w:rsidRPr="008D4475">
        <w:rPr>
          <w:rFonts w:cs="Arial"/>
          <w:bCs/>
          <w:szCs w:val="22"/>
        </w:rPr>
        <w:t>monotherapy</w:t>
      </w:r>
      <w:proofErr w:type="spellEnd"/>
      <w:r w:rsidR="00FA1207" w:rsidRPr="008D4475">
        <w:rPr>
          <w:rFonts w:cs="Arial"/>
          <w:bCs/>
          <w:szCs w:val="22"/>
        </w:rPr>
        <w:t xml:space="preserve"> groups were not statistically different from the MTX </w:t>
      </w:r>
      <w:proofErr w:type="spellStart"/>
      <w:r w:rsidR="00FA1207" w:rsidRPr="008D4475">
        <w:rPr>
          <w:rFonts w:cs="Arial"/>
          <w:bCs/>
          <w:szCs w:val="22"/>
        </w:rPr>
        <w:t>monotherapy</w:t>
      </w:r>
      <w:proofErr w:type="spellEnd"/>
      <w:r w:rsidR="00FA1207" w:rsidRPr="008D4475">
        <w:rPr>
          <w:rFonts w:cs="Arial"/>
          <w:bCs/>
          <w:szCs w:val="22"/>
        </w:rPr>
        <w:t xml:space="preserve"> groups in ACR response.</w:t>
      </w:r>
    </w:p>
    <w:p w:rsidR="00394855" w:rsidRPr="008D4475" w:rsidRDefault="00750E4B" w:rsidP="00750E4B">
      <w:pPr>
        <w:rPr>
          <w:rFonts w:cs="Arial"/>
          <w:bCs/>
          <w:szCs w:val="22"/>
        </w:rPr>
      </w:pPr>
      <w:r w:rsidRPr="008D4475">
        <w:rPr>
          <w:rFonts w:cs="Arial"/>
          <w:bCs/>
          <w:szCs w:val="22"/>
          <w:u w:val="single"/>
        </w:rPr>
        <w:t>Signs and symptoms</w:t>
      </w:r>
      <w:r w:rsidRPr="008D4475">
        <w:rPr>
          <w:rFonts w:cs="Arial"/>
          <w:bCs/>
          <w:szCs w:val="22"/>
        </w:rPr>
        <w:t xml:space="preserve">: In all phase 3 RA studies, a greater percentage of </w:t>
      </w:r>
      <w:r w:rsidR="00643BFB">
        <w:rPr>
          <w:rFonts w:cs="Arial"/>
          <w:szCs w:val="22"/>
        </w:rPr>
        <w:t>SIMPONI</w:t>
      </w:r>
      <w:r w:rsidRPr="008D4475">
        <w:rPr>
          <w:rFonts w:cs="Arial"/>
          <w:bCs/>
          <w:szCs w:val="22"/>
        </w:rPr>
        <w:t xml:space="preserve">-treated patients achieved ACR and Disease Activity Score 28 (DAS28) responses at </w:t>
      </w:r>
      <w:r w:rsidR="009C6804" w:rsidRPr="008D4475">
        <w:rPr>
          <w:rFonts w:cs="Arial"/>
          <w:bCs/>
          <w:szCs w:val="22"/>
        </w:rPr>
        <w:t>week</w:t>
      </w:r>
      <w:r w:rsidRPr="008D4475">
        <w:rPr>
          <w:rFonts w:cs="Arial"/>
          <w:bCs/>
          <w:szCs w:val="22"/>
        </w:rPr>
        <w:t>s 14 and 24 versus the control groups. Responses were observed at the first assessment (</w:t>
      </w:r>
      <w:r w:rsidR="009C6804" w:rsidRPr="008D4475">
        <w:rPr>
          <w:rFonts w:cs="Arial"/>
          <w:bCs/>
          <w:szCs w:val="22"/>
        </w:rPr>
        <w:t>week</w:t>
      </w:r>
      <w:r w:rsidRPr="008D4475">
        <w:rPr>
          <w:rFonts w:cs="Arial"/>
          <w:bCs/>
          <w:szCs w:val="22"/>
        </w:rPr>
        <w:t xml:space="preserve"> 4) after the initial </w:t>
      </w:r>
      <w:r w:rsidR="00643BFB">
        <w:rPr>
          <w:rFonts w:cs="Arial"/>
          <w:szCs w:val="22"/>
        </w:rPr>
        <w:t>SIMPONI</w:t>
      </w:r>
      <w:r w:rsidRPr="008D4475">
        <w:rPr>
          <w:rFonts w:cs="Arial"/>
          <w:szCs w:val="22"/>
        </w:rPr>
        <w:t xml:space="preserve"> </w:t>
      </w:r>
      <w:r w:rsidRPr="008D4475">
        <w:rPr>
          <w:rFonts w:cs="Arial"/>
          <w:bCs/>
          <w:szCs w:val="22"/>
        </w:rPr>
        <w:t>administration and we</w:t>
      </w:r>
      <w:r w:rsidR="00046947">
        <w:rPr>
          <w:rFonts w:cs="Arial"/>
          <w:bCs/>
          <w:szCs w:val="22"/>
        </w:rPr>
        <w:t>re maintained through week 24.</w:t>
      </w:r>
    </w:p>
    <w:p w:rsidR="00E8569A" w:rsidRPr="008D4475" w:rsidRDefault="00E8569A" w:rsidP="00E8569A">
      <w:pPr>
        <w:pStyle w:val="Caption"/>
        <w:keepNext/>
      </w:pPr>
      <w:r w:rsidRPr="008D4475">
        <w:t xml:space="preserve">Table </w:t>
      </w:r>
      <w:fldSimple w:instr=" SEQ Table \* ARABIC ">
        <w:r w:rsidR="009154D5">
          <w:rPr>
            <w:noProof/>
          </w:rPr>
          <w:t>1</w:t>
        </w:r>
      </w:fldSimple>
      <w:r w:rsidRPr="008D4475">
        <w:t>: Key efficacy outcomes from GO-FORWARD, GO-AFTER and GO-BEFORE</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80"/>
        <w:gridCol w:w="1061"/>
        <w:gridCol w:w="1459"/>
        <w:gridCol w:w="1026"/>
        <w:gridCol w:w="18"/>
        <w:gridCol w:w="1476"/>
        <w:gridCol w:w="1071"/>
        <w:gridCol w:w="1629"/>
      </w:tblGrid>
      <w:tr w:rsidR="00E8569A" w:rsidRPr="009D1DE2" w:rsidTr="007A5110">
        <w:trPr>
          <w:cantSplit/>
          <w:tblHeader/>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rPr>
                <w:rFonts w:cs="Arial"/>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GO-FORWARD</w:t>
            </w:r>
          </w:p>
          <w:p w:rsidR="00E8569A" w:rsidRPr="009D1DE2" w:rsidRDefault="00E8569A" w:rsidP="009D1DE2">
            <w:pPr>
              <w:spacing w:before="0" w:after="0"/>
              <w:jc w:val="center"/>
              <w:rPr>
                <w:rFonts w:cs="Arial"/>
                <w:sz w:val="20"/>
                <w:szCs w:val="20"/>
              </w:rPr>
            </w:pPr>
            <w:r w:rsidRPr="009D1DE2">
              <w:rPr>
                <w:rFonts w:cs="Arial"/>
                <w:sz w:val="20"/>
                <w:szCs w:val="20"/>
              </w:rPr>
              <w:t>Active RA despite MTX</w:t>
            </w:r>
          </w:p>
        </w:tc>
        <w:tc>
          <w:tcPr>
            <w:tcW w:w="2520" w:type="dxa"/>
            <w:gridSpan w:val="3"/>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GO-AFTER</w:t>
            </w:r>
          </w:p>
          <w:p w:rsidR="00E8569A" w:rsidRPr="009D1DE2" w:rsidRDefault="00E8569A" w:rsidP="009D1DE2">
            <w:pPr>
              <w:spacing w:before="0" w:after="0"/>
              <w:jc w:val="center"/>
              <w:rPr>
                <w:rFonts w:cs="Arial"/>
                <w:sz w:val="20"/>
                <w:szCs w:val="20"/>
              </w:rPr>
            </w:pPr>
            <w:r w:rsidRPr="009D1DE2">
              <w:rPr>
                <w:rFonts w:cs="Arial"/>
                <w:sz w:val="20"/>
                <w:szCs w:val="20"/>
              </w:rPr>
              <w:t>Active RA, previously treated with one or more anti-TNF agent(s)</w:t>
            </w:r>
          </w:p>
        </w:tc>
        <w:tc>
          <w:tcPr>
            <w:tcW w:w="2700"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GO-BEFORE</w:t>
            </w:r>
          </w:p>
          <w:p w:rsidR="00E8569A" w:rsidRPr="009D1DE2" w:rsidRDefault="00E8569A" w:rsidP="009D1DE2">
            <w:pPr>
              <w:spacing w:before="0" w:after="0"/>
              <w:jc w:val="center"/>
              <w:rPr>
                <w:rFonts w:cs="Arial"/>
                <w:sz w:val="20"/>
                <w:szCs w:val="20"/>
              </w:rPr>
            </w:pPr>
            <w:r w:rsidRPr="009D1DE2">
              <w:rPr>
                <w:rFonts w:cs="Arial"/>
                <w:sz w:val="20"/>
                <w:szCs w:val="20"/>
              </w:rPr>
              <w:t>Active RA, MTX Naïve</w:t>
            </w:r>
          </w:p>
        </w:tc>
      </w:tr>
      <w:tr w:rsidR="00E8569A" w:rsidRPr="009D1DE2" w:rsidTr="007A5110">
        <w:trPr>
          <w:cantSplit/>
          <w:tblHeader/>
          <w:jc w:val="center"/>
        </w:trPr>
        <w:tc>
          <w:tcPr>
            <w:tcW w:w="1080" w:type="dxa"/>
            <w:tcBorders>
              <w:top w:val="single" w:sz="4" w:space="0" w:color="auto"/>
              <w:left w:val="single" w:sz="4" w:space="0" w:color="auto"/>
              <w:bottom w:val="single" w:sz="4" w:space="0" w:color="auto"/>
              <w:right w:val="single" w:sz="4" w:space="0" w:color="auto"/>
            </w:tcBorders>
            <w:vAlign w:val="bottom"/>
          </w:tcPr>
          <w:p w:rsidR="00E8569A" w:rsidRPr="009D1DE2" w:rsidRDefault="00E8569A" w:rsidP="009D1DE2">
            <w:pPr>
              <w:spacing w:before="0" w:after="0"/>
              <w:rPr>
                <w:rFonts w:cs="Arial"/>
                <w:sz w:val="20"/>
                <w:szCs w:val="20"/>
              </w:rPr>
            </w:pP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Placebo</w:t>
            </w:r>
          </w:p>
          <w:p w:rsidR="00E8569A" w:rsidRPr="009D1DE2" w:rsidRDefault="00E8569A" w:rsidP="009D1DE2">
            <w:pPr>
              <w:spacing w:before="0" w:after="0"/>
              <w:jc w:val="center"/>
              <w:rPr>
                <w:rFonts w:cs="Arial"/>
                <w:sz w:val="20"/>
                <w:szCs w:val="20"/>
              </w:rPr>
            </w:pPr>
            <w:r w:rsidRPr="009D1DE2">
              <w:rPr>
                <w:rFonts w:cs="Arial"/>
                <w:sz w:val="20"/>
                <w:szCs w:val="20"/>
              </w:rPr>
              <w:t>+</w:t>
            </w:r>
          </w:p>
          <w:p w:rsidR="00E8569A" w:rsidRPr="009D1DE2" w:rsidRDefault="00E8569A" w:rsidP="009D1DE2">
            <w:pPr>
              <w:spacing w:before="0" w:after="0"/>
              <w:jc w:val="center"/>
              <w:rPr>
                <w:rFonts w:cs="Arial"/>
                <w:sz w:val="20"/>
                <w:szCs w:val="20"/>
              </w:rPr>
            </w:pPr>
            <w:r w:rsidRPr="009D1DE2">
              <w:rPr>
                <w:rFonts w:cs="Arial"/>
                <w:sz w:val="20"/>
                <w:szCs w:val="20"/>
              </w:rPr>
              <w:t>MTX</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643BFB" w:rsidP="009D1DE2">
            <w:pPr>
              <w:spacing w:before="0" w:after="0"/>
              <w:jc w:val="center"/>
              <w:rPr>
                <w:rFonts w:cs="Arial"/>
                <w:sz w:val="20"/>
                <w:szCs w:val="20"/>
              </w:rPr>
            </w:pPr>
            <w:r w:rsidRPr="009D1DE2">
              <w:rPr>
                <w:rFonts w:cs="Arial"/>
                <w:sz w:val="20"/>
                <w:szCs w:val="20"/>
              </w:rPr>
              <w:t>SIMPONI</w:t>
            </w:r>
            <w:r w:rsidR="00E8569A" w:rsidRPr="009D1DE2">
              <w:rPr>
                <w:rFonts w:cs="Arial"/>
                <w:sz w:val="20"/>
                <w:szCs w:val="20"/>
              </w:rPr>
              <w:t xml:space="preserve"> 50 mg</w:t>
            </w:r>
          </w:p>
          <w:p w:rsidR="00E8569A" w:rsidRPr="009D1DE2" w:rsidRDefault="00E8569A" w:rsidP="009D1DE2">
            <w:pPr>
              <w:spacing w:before="0" w:after="0"/>
              <w:jc w:val="center"/>
              <w:rPr>
                <w:rFonts w:cs="Arial"/>
                <w:sz w:val="20"/>
                <w:szCs w:val="20"/>
              </w:rPr>
            </w:pPr>
            <w:r w:rsidRPr="009D1DE2">
              <w:rPr>
                <w:rFonts w:cs="Arial"/>
                <w:sz w:val="20"/>
                <w:szCs w:val="20"/>
              </w:rPr>
              <w:t>+</w:t>
            </w:r>
          </w:p>
          <w:p w:rsidR="00E8569A" w:rsidRPr="009D1DE2" w:rsidRDefault="00E8569A" w:rsidP="009D1DE2">
            <w:pPr>
              <w:spacing w:before="0" w:after="0"/>
              <w:jc w:val="center"/>
              <w:rPr>
                <w:rFonts w:cs="Arial"/>
                <w:sz w:val="20"/>
                <w:szCs w:val="20"/>
              </w:rPr>
            </w:pPr>
            <w:r w:rsidRPr="009D1DE2">
              <w:rPr>
                <w:rFonts w:cs="Arial"/>
                <w:sz w:val="20"/>
                <w:szCs w:val="20"/>
              </w:rPr>
              <w:t>MTX</w:t>
            </w:r>
          </w:p>
        </w:tc>
        <w:tc>
          <w:tcPr>
            <w:tcW w:w="102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Placebo</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9D1DE2" w:rsidRDefault="00643BFB" w:rsidP="009D1DE2">
            <w:pPr>
              <w:spacing w:before="0" w:after="0"/>
              <w:jc w:val="center"/>
              <w:rPr>
                <w:rFonts w:cs="Arial"/>
                <w:sz w:val="20"/>
                <w:szCs w:val="20"/>
              </w:rPr>
            </w:pPr>
            <w:r w:rsidRPr="009D1DE2">
              <w:rPr>
                <w:rFonts w:cs="Arial"/>
                <w:sz w:val="20"/>
                <w:szCs w:val="20"/>
              </w:rPr>
              <w:t>SIMPONI</w:t>
            </w:r>
            <w:r w:rsidR="00E8569A" w:rsidRPr="009D1DE2">
              <w:rPr>
                <w:rFonts w:cs="Arial"/>
                <w:sz w:val="20"/>
                <w:szCs w:val="20"/>
              </w:rPr>
              <w:t xml:space="preserve"> 50 mg</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Placebo</w:t>
            </w:r>
          </w:p>
          <w:p w:rsidR="00E8569A" w:rsidRPr="009D1DE2" w:rsidRDefault="00E8569A" w:rsidP="009D1DE2">
            <w:pPr>
              <w:spacing w:before="0" w:after="0"/>
              <w:jc w:val="center"/>
              <w:rPr>
                <w:rFonts w:cs="Arial"/>
                <w:sz w:val="20"/>
                <w:szCs w:val="20"/>
              </w:rPr>
            </w:pPr>
            <w:r w:rsidRPr="009D1DE2">
              <w:rPr>
                <w:rFonts w:cs="Arial"/>
                <w:sz w:val="20"/>
                <w:szCs w:val="20"/>
              </w:rPr>
              <w:t>+</w:t>
            </w:r>
          </w:p>
          <w:p w:rsidR="00E8569A" w:rsidRPr="009D1DE2" w:rsidRDefault="00E8569A" w:rsidP="009D1DE2">
            <w:pPr>
              <w:spacing w:before="0" w:after="0"/>
              <w:jc w:val="center"/>
              <w:rPr>
                <w:rFonts w:cs="Arial"/>
                <w:sz w:val="20"/>
                <w:szCs w:val="20"/>
              </w:rPr>
            </w:pPr>
            <w:r w:rsidRPr="009D1DE2">
              <w:rPr>
                <w:rFonts w:cs="Arial"/>
                <w:sz w:val="20"/>
                <w:szCs w:val="20"/>
              </w:rPr>
              <w:t>MTX</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643BFB" w:rsidP="009D1DE2">
            <w:pPr>
              <w:spacing w:before="0" w:after="0"/>
              <w:jc w:val="center"/>
              <w:rPr>
                <w:rFonts w:cs="Arial"/>
                <w:sz w:val="20"/>
                <w:szCs w:val="20"/>
              </w:rPr>
            </w:pPr>
            <w:r w:rsidRPr="009D1DE2">
              <w:rPr>
                <w:rFonts w:cs="Arial"/>
                <w:sz w:val="20"/>
                <w:szCs w:val="20"/>
              </w:rPr>
              <w:t>SIMPONI</w:t>
            </w:r>
            <w:r w:rsidR="00E8569A" w:rsidRPr="009D1DE2">
              <w:rPr>
                <w:rFonts w:cs="Arial"/>
                <w:sz w:val="20"/>
                <w:szCs w:val="20"/>
              </w:rPr>
              <w:t xml:space="preserve"> 50 mg</w:t>
            </w:r>
          </w:p>
          <w:p w:rsidR="00E8569A" w:rsidRPr="009D1DE2" w:rsidRDefault="00E8569A" w:rsidP="009D1DE2">
            <w:pPr>
              <w:spacing w:before="0" w:after="0"/>
              <w:jc w:val="center"/>
              <w:rPr>
                <w:rFonts w:cs="Arial"/>
                <w:sz w:val="20"/>
                <w:szCs w:val="20"/>
              </w:rPr>
            </w:pPr>
            <w:r w:rsidRPr="009D1DE2">
              <w:rPr>
                <w:rFonts w:cs="Arial"/>
                <w:sz w:val="20"/>
                <w:szCs w:val="20"/>
              </w:rPr>
              <w:t>+</w:t>
            </w:r>
          </w:p>
          <w:p w:rsidR="00E8569A" w:rsidRPr="009D1DE2" w:rsidRDefault="00E8569A" w:rsidP="009D1DE2">
            <w:pPr>
              <w:spacing w:before="0" w:after="0"/>
              <w:jc w:val="center"/>
              <w:rPr>
                <w:rFonts w:cs="Arial"/>
                <w:sz w:val="20"/>
                <w:szCs w:val="20"/>
              </w:rPr>
            </w:pPr>
            <w:r w:rsidRPr="009D1DE2">
              <w:rPr>
                <w:rFonts w:cs="Arial"/>
                <w:sz w:val="20"/>
                <w:szCs w:val="20"/>
              </w:rPr>
              <w:t>MTX</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N</w:t>
            </w:r>
            <w:r w:rsidRPr="009D1DE2">
              <w:rPr>
                <w:rFonts w:cs="Arial"/>
                <w:sz w:val="20"/>
                <w:szCs w:val="20"/>
                <w:vertAlign w:val="superscript"/>
              </w:rPr>
              <w:t>a</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133</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89</w:t>
            </w:r>
          </w:p>
        </w:tc>
        <w:tc>
          <w:tcPr>
            <w:tcW w:w="102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15</w:t>
            </w:r>
            <w:r w:rsidR="001269A2" w:rsidRPr="009D1DE2">
              <w:rPr>
                <w:rFonts w:cs="Arial"/>
                <w:sz w:val="20"/>
                <w:szCs w:val="20"/>
              </w:rPr>
              <w:t>0</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w:t>
            </w:r>
            <w:r w:rsidR="001269A2" w:rsidRPr="009D1DE2">
              <w:rPr>
                <w:rFonts w:cs="Arial"/>
                <w:sz w:val="20"/>
                <w:szCs w:val="20"/>
              </w:rPr>
              <w:t>47</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160</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159</w:t>
            </w:r>
          </w:p>
        </w:tc>
      </w:tr>
      <w:tr w:rsidR="00E8569A" w:rsidRPr="009D1DE2" w:rsidTr="00E24E6F">
        <w:trPr>
          <w:cantSplit/>
          <w:jc w:val="center"/>
        </w:trPr>
        <w:tc>
          <w:tcPr>
            <w:tcW w:w="8820" w:type="dxa"/>
            <w:gridSpan w:val="8"/>
            <w:tcBorders>
              <w:top w:val="single" w:sz="4" w:space="0" w:color="auto"/>
              <w:left w:val="single" w:sz="4" w:space="0" w:color="auto"/>
              <w:bottom w:val="single" w:sz="4" w:space="0" w:color="auto"/>
            </w:tcBorders>
            <w:vAlign w:val="center"/>
          </w:tcPr>
          <w:p w:rsidR="00E8569A" w:rsidRPr="009D1DE2" w:rsidRDefault="00E8569A" w:rsidP="009D1DE2">
            <w:pPr>
              <w:spacing w:before="0" w:after="0"/>
              <w:rPr>
                <w:rFonts w:cs="Arial"/>
                <w:sz w:val="20"/>
                <w:szCs w:val="20"/>
              </w:rPr>
            </w:pPr>
            <w:r w:rsidRPr="009D1DE2">
              <w:rPr>
                <w:rFonts w:cs="Arial"/>
                <w:b/>
                <w:bCs/>
                <w:sz w:val="20"/>
                <w:szCs w:val="20"/>
              </w:rPr>
              <w:t>Responders, % of patients</w:t>
            </w:r>
          </w:p>
        </w:tc>
      </w:tr>
      <w:tr w:rsidR="00E8569A" w:rsidRPr="009D1DE2"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9D1DE2" w:rsidRDefault="00E8569A" w:rsidP="009D1DE2">
            <w:pPr>
              <w:spacing w:before="0" w:after="0"/>
              <w:rPr>
                <w:rFonts w:cs="Arial"/>
                <w:sz w:val="20"/>
                <w:szCs w:val="20"/>
              </w:rPr>
            </w:pPr>
            <w:r w:rsidRPr="009D1DE2">
              <w:rPr>
                <w:rFonts w:cs="Arial"/>
                <w:b/>
                <w:bCs/>
                <w:sz w:val="20"/>
                <w:szCs w:val="20"/>
              </w:rPr>
              <w:t>ACR 20</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Cs w:val="22"/>
              </w:rPr>
            </w:pPr>
            <w:r w:rsidRPr="009D1DE2">
              <w:rPr>
                <w:rFonts w:cs="Arial"/>
                <w:b/>
                <w:szCs w:val="22"/>
              </w:rPr>
              <w:t>33%</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Cs w:val="22"/>
              </w:rPr>
            </w:pPr>
            <w:r w:rsidRPr="009D1DE2">
              <w:rPr>
                <w:rFonts w:cs="Arial"/>
                <w:b/>
                <w:szCs w:val="22"/>
              </w:rPr>
              <w:t>55%*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Cs w:val="22"/>
              </w:rPr>
            </w:pPr>
            <w:r w:rsidRPr="009D1DE2">
              <w:rPr>
                <w:rFonts w:cs="Arial"/>
                <w:b/>
                <w:szCs w:val="22"/>
              </w:rPr>
              <w:t>18%</w:t>
            </w:r>
          </w:p>
        </w:tc>
        <w:tc>
          <w:tcPr>
            <w:tcW w:w="147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 w:val="20"/>
                <w:szCs w:val="20"/>
              </w:rPr>
            </w:pPr>
            <w:r w:rsidRPr="009D1DE2">
              <w:rPr>
                <w:rFonts w:cs="Arial"/>
                <w:b/>
                <w:sz w:val="20"/>
                <w:szCs w:val="20"/>
              </w:rPr>
              <w:t>35%*</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Cs/>
                <w:sz w:val="20"/>
                <w:szCs w:val="20"/>
              </w:rPr>
            </w:pPr>
            <w:r w:rsidRPr="009D1DE2">
              <w:rPr>
                <w:rFonts w:cs="Arial"/>
                <w:bCs/>
                <w:sz w:val="20"/>
                <w:szCs w:val="20"/>
              </w:rPr>
              <w:t>NA</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28%</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60%*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w:t>
            </w:r>
            <w:r w:rsidR="001269A2" w:rsidRPr="009D1DE2">
              <w:rPr>
                <w:rFonts w:cs="Arial"/>
                <w:sz w:val="20"/>
                <w:szCs w:val="20"/>
              </w:rPr>
              <w:t>6</w:t>
            </w:r>
            <w:r w:rsidRPr="009D1DE2">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1269A2" w:rsidRPr="009D1DE2" w:rsidRDefault="00E8569A" w:rsidP="009D1DE2">
            <w:pPr>
              <w:spacing w:before="0" w:after="0"/>
              <w:jc w:val="center"/>
              <w:rPr>
                <w:rFonts w:cs="Arial"/>
                <w:sz w:val="20"/>
                <w:szCs w:val="20"/>
              </w:rPr>
            </w:pPr>
            <w:r w:rsidRPr="009D1DE2">
              <w:rPr>
                <w:rFonts w:cs="Arial"/>
                <w:sz w:val="20"/>
                <w:szCs w:val="20"/>
              </w:rPr>
              <w:t>3</w:t>
            </w:r>
            <w:r w:rsidR="001269A2" w:rsidRPr="009D1DE2">
              <w:rPr>
                <w:rFonts w:cs="Arial"/>
                <w:sz w:val="20"/>
                <w:szCs w:val="20"/>
              </w:rPr>
              <w:t>1</w:t>
            </w:r>
            <w:r w:rsidRPr="009D1DE2">
              <w:rPr>
                <w:rFonts w:cs="Arial"/>
                <w:sz w:val="20"/>
                <w:szCs w:val="20"/>
              </w:rPr>
              <w:t>%</w:t>
            </w:r>
            <w:r w:rsidR="00A3120B" w:rsidRPr="009D1DE2">
              <w:rPr>
                <w:rFonts w:cs="Arial"/>
                <w:sz w:val="20"/>
                <w:szCs w:val="20"/>
              </w:rPr>
              <w:t xml:space="preserve"> p</w:t>
            </w:r>
            <w:r w:rsidR="001269A2" w:rsidRPr="009D1DE2">
              <w:rPr>
                <w:rFonts w:cs="Arial"/>
                <w:sz w:val="20"/>
                <w:szCs w:val="20"/>
              </w:rPr>
              <w:t>=0.002</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49%</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Cs/>
                <w:sz w:val="20"/>
                <w:szCs w:val="20"/>
              </w:rPr>
            </w:pPr>
            <w:r w:rsidRPr="009D1DE2">
              <w:rPr>
                <w:rFonts w:cs="Arial"/>
                <w:bCs/>
                <w:sz w:val="20"/>
                <w:szCs w:val="20"/>
              </w:rPr>
              <w:t>62% p=0.028</w:t>
            </w:r>
          </w:p>
        </w:tc>
      </w:tr>
      <w:tr w:rsidR="00E8569A" w:rsidRPr="009D1DE2"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9D1DE2" w:rsidRDefault="00E8569A" w:rsidP="009D1DE2">
            <w:pPr>
              <w:spacing w:before="0" w:after="0"/>
              <w:jc w:val="left"/>
              <w:rPr>
                <w:rFonts w:cs="Arial"/>
                <w:bCs/>
                <w:sz w:val="20"/>
                <w:szCs w:val="20"/>
              </w:rPr>
            </w:pPr>
            <w:r w:rsidRPr="009D1DE2">
              <w:rPr>
                <w:rFonts w:cs="Arial"/>
                <w:b/>
                <w:bCs/>
                <w:sz w:val="20"/>
                <w:szCs w:val="20"/>
              </w:rPr>
              <w:t>ACR 50</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10%</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35%*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7%</w:t>
            </w:r>
          </w:p>
        </w:tc>
        <w:tc>
          <w:tcPr>
            <w:tcW w:w="147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w:t>
            </w:r>
            <w:r w:rsidR="001269A2" w:rsidRPr="009D1DE2">
              <w:rPr>
                <w:rFonts w:cs="Arial"/>
                <w:sz w:val="20"/>
                <w:szCs w:val="20"/>
              </w:rPr>
              <w:t>5</w:t>
            </w:r>
            <w:r w:rsidRPr="009D1DE2">
              <w:rPr>
                <w:rFonts w:cs="Arial"/>
                <w:sz w:val="20"/>
                <w:szCs w:val="20"/>
              </w:rPr>
              <w:t>%</w:t>
            </w:r>
            <w:r w:rsidR="00A3120B" w:rsidRPr="009D1DE2">
              <w:rPr>
                <w:rFonts w:cs="Arial"/>
                <w:sz w:val="20"/>
                <w:szCs w:val="20"/>
              </w:rPr>
              <w:t xml:space="preserve"> </w:t>
            </w:r>
            <w:r w:rsidRPr="009D1DE2">
              <w:rPr>
                <w:rFonts w:cs="Arial"/>
                <w:sz w:val="20"/>
                <w:szCs w:val="20"/>
              </w:rPr>
              <w:t xml:space="preserve"> p=0.0</w:t>
            </w:r>
            <w:r w:rsidR="001269A2" w:rsidRPr="009D1DE2">
              <w:rPr>
                <w:rFonts w:cs="Arial"/>
                <w:sz w:val="20"/>
                <w:szCs w:val="20"/>
              </w:rPr>
              <w:t>21</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Cs/>
                <w:sz w:val="20"/>
                <w:szCs w:val="20"/>
              </w:rPr>
            </w:pPr>
            <w:r w:rsidRPr="009D1DE2">
              <w:rPr>
                <w:rFonts w:cs="Arial"/>
                <w:bCs/>
                <w:sz w:val="20"/>
                <w:szCs w:val="20"/>
              </w:rPr>
              <w:t>NA</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14%</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37%*</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A3120B" w:rsidP="009D1DE2">
            <w:pPr>
              <w:spacing w:before="0" w:after="0"/>
              <w:jc w:val="center"/>
              <w:rPr>
                <w:rFonts w:cs="Arial"/>
                <w:sz w:val="20"/>
                <w:szCs w:val="20"/>
              </w:rPr>
            </w:pPr>
            <w:r w:rsidRPr="009D1DE2">
              <w:rPr>
                <w:rFonts w:cs="Arial"/>
                <w:sz w:val="20"/>
                <w:szCs w:val="20"/>
              </w:rPr>
              <w:t>4</w:t>
            </w:r>
            <w:r w:rsidR="00E8569A" w:rsidRPr="009D1DE2">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w:t>
            </w:r>
            <w:r w:rsidR="00A3120B" w:rsidRPr="009D1DE2">
              <w:rPr>
                <w:rFonts w:cs="Arial"/>
                <w:sz w:val="20"/>
                <w:szCs w:val="20"/>
              </w:rPr>
              <w:t>6</w:t>
            </w:r>
            <w:r w:rsidRPr="009D1DE2">
              <w:rPr>
                <w:rFonts w:cs="Arial"/>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Cs w:val="22"/>
              </w:rPr>
            </w:pPr>
            <w:r w:rsidRPr="009D1DE2">
              <w:rPr>
                <w:rFonts w:cs="Arial"/>
                <w:b/>
                <w:szCs w:val="22"/>
              </w:rPr>
              <w:t>29%</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
                <w:szCs w:val="22"/>
                <w:vertAlign w:val="superscript"/>
              </w:rPr>
            </w:pPr>
            <w:r w:rsidRPr="009D1DE2">
              <w:rPr>
                <w:rFonts w:cs="Arial"/>
                <w:b/>
                <w:szCs w:val="22"/>
              </w:rPr>
              <w:t>40%</w:t>
            </w:r>
            <w:r w:rsidRPr="009D1DE2">
              <w:rPr>
                <w:rFonts w:cs="Arial"/>
                <w:b/>
                <w:szCs w:val="22"/>
                <w:vertAlign w:val="superscript"/>
              </w:rPr>
              <w:t xml:space="preserve"> </w:t>
            </w:r>
            <w:r w:rsidRPr="009D1DE2">
              <w:rPr>
                <w:rFonts w:cs="Arial"/>
                <w:b/>
                <w:szCs w:val="22"/>
              </w:rPr>
              <w:t>p=0.042</w:t>
            </w:r>
            <w:r w:rsidRPr="009D1DE2">
              <w:rPr>
                <w:rFonts w:cs="Arial"/>
                <w:b/>
                <w:szCs w:val="22"/>
                <w:vertAlign w:val="superscript"/>
              </w:rPr>
              <w:t>b</w:t>
            </w:r>
          </w:p>
        </w:tc>
      </w:tr>
      <w:tr w:rsidR="00E8569A" w:rsidRPr="009D1DE2"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9D1DE2" w:rsidRDefault="00E8569A" w:rsidP="009D1DE2">
            <w:pPr>
              <w:spacing w:before="0" w:after="0"/>
              <w:jc w:val="left"/>
              <w:rPr>
                <w:rFonts w:cs="Arial"/>
                <w:bCs/>
                <w:sz w:val="20"/>
                <w:szCs w:val="20"/>
              </w:rPr>
            </w:pPr>
            <w:r w:rsidRPr="009D1DE2">
              <w:rPr>
                <w:rFonts w:cs="Arial"/>
                <w:b/>
                <w:bCs/>
                <w:sz w:val="20"/>
                <w:szCs w:val="20"/>
              </w:rPr>
              <w:t>ACR 70</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4%</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14% p=0.008</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2%</w:t>
            </w:r>
          </w:p>
        </w:tc>
        <w:tc>
          <w:tcPr>
            <w:tcW w:w="1476"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w:t>
            </w:r>
            <w:r w:rsidR="00A3120B" w:rsidRPr="009D1DE2">
              <w:rPr>
                <w:rFonts w:cs="Arial"/>
                <w:sz w:val="20"/>
                <w:szCs w:val="20"/>
              </w:rPr>
              <w:t>0</w:t>
            </w:r>
            <w:r w:rsidRPr="009D1DE2">
              <w:rPr>
                <w:rFonts w:cs="Arial"/>
                <w:sz w:val="20"/>
                <w:szCs w:val="20"/>
              </w:rPr>
              <w:t>% p=0.00</w:t>
            </w:r>
            <w:r w:rsidR="00A3120B" w:rsidRPr="009D1DE2">
              <w:rPr>
                <w:rFonts w:cs="Arial"/>
                <w:sz w:val="20"/>
                <w:szCs w:val="20"/>
              </w:rPr>
              <w:t>5</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Cs/>
                <w:sz w:val="20"/>
                <w:szCs w:val="20"/>
              </w:rPr>
            </w:pPr>
            <w:r w:rsidRPr="009D1DE2">
              <w:rPr>
                <w:rFonts w:cs="Arial"/>
                <w:bCs/>
                <w:sz w:val="20"/>
                <w:szCs w:val="20"/>
              </w:rPr>
              <w:t>NA</w:t>
            </w:r>
          </w:p>
        </w:tc>
      </w:tr>
      <w:tr w:rsidR="00E8569A" w:rsidRPr="009D1DE2"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right"/>
              <w:rPr>
                <w:rFonts w:cs="Arial"/>
                <w:sz w:val="20"/>
                <w:szCs w:val="20"/>
              </w:rPr>
            </w:pPr>
            <w:r w:rsidRPr="009D1DE2">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5%</w:t>
            </w:r>
          </w:p>
        </w:tc>
        <w:tc>
          <w:tcPr>
            <w:tcW w:w="145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20%*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9D1DE2" w:rsidRDefault="00A3120B" w:rsidP="009D1DE2">
            <w:pPr>
              <w:spacing w:before="0" w:after="0"/>
              <w:jc w:val="center"/>
              <w:rPr>
                <w:rFonts w:cs="Arial"/>
                <w:sz w:val="20"/>
                <w:szCs w:val="20"/>
              </w:rPr>
            </w:pPr>
            <w:r w:rsidRPr="009D1DE2">
              <w:rPr>
                <w:rFonts w:cs="Arial"/>
                <w:sz w:val="20"/>
                <w:szCs w:val="20"/>
              </w:rPr>
              <w:t>2</w:t>
            </w:r>
            <w:r w:rsidR="00E8569A" w:rsidRPr="009D1DE2">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9D1DE2" w:rsidRDefault="00A3120B" w:rsidP="009D1DE2">
            <w:pPr>
              <w:spacing w:before="0" w:after="0"/>
              <w:jc w:val="center"/>
              <w:rPr>
                <w:rFonts w:cs="Arial"/>
                <w:sz w:val="20"/>
                <w:szCs w:val="20"/>
              </w:rPr>
            </w:pPr>
            <w:r w:rsidRPr="009D1DE2">
              <w:rPr>
                <w:rFonts w:cs="Arial"/>
                <w:sz w:val="20"/>
                <w:szCs w:val="20"/>
              </w:rPr>
              <w:t>9% p=0.009</w:t>
            </w:r>
          </w:p>
        </w:tc>
        <w:tc>
          <w:tcPr>
            <w:tcW w:w="1071"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sz w:val="20"/>
                <w:szCs w:val="20"/>
              </w:rPr>
            </w:pPr>
            <w:r w:rsidRPr="009D1DE2">
              <w:rPr>
                <w:rFonts w:cs="Arial"/>
                <w:sz w:val="20"/>
                <w:szCs w:val="20"/>
              </w:rPr>
              <w:t>16%</w:t>
            </w:r>
          </w:p>
        </w:tc>
        <w:tc>
          <w:tcPr>
            <w:tcW w:w="1629" w:type="dxa"/>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jc w:val="center"/>
              <w:rPr>
                <w:rFonts w:cs="Arial"/>
                <w:bCs/>
                <w:sz w:val="20"/>
                <w:szCs w:val="20"/>
              </w:rPr>
            </w:pPr>
            <w:r w:rsidRPr="009D1DE2">
              <w:rPr>
                <w:rFonts w:cs="Arial"/>
                <w:bCs/>
                <w:sz w:val="20"/>
                <w:szCs w:val="20"/>
              </w:rPr>
              <w:t>24% p=0.064</w:t>
            </w:r>
          </w:p>
        </w:tc>
      </w:tr>
      <w:tr w:rsidR="00E8569A" w:rsidRPr="009D1DE2"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tcPr>
          <w:p w:rsidR="00E8569A" w:rsidRPr="009D1DE2" w:rsidRDefault="00E8569A" w:rsidP="009D1DE2">
            <w:pPr>
              <w:spacing w:before="0" w:after="0"/>
              <w:ind w:left="425" w:hanging="425"/>
              <w:jc w:val="left"/>
              <w:rPr>
                <w:rFonts w:cs="Arial"/>
                <w:sz w:val="18"/>
                <w:szCs w:val="18"/>
              </w:rPr>
            </w:pPr>
            <w:r w:rsidRPr="009D1DE2">
              <w:rPr>
                <w:rFonts w:cs="Arial"/>
                <w:sz w:val="18"/>
                <w:szCs w:val="18"/>
              </w:rPr>
              <w:t xml:space="preserve">a:    </w:t>
            </w:r>
            <w:r w:rsidR="00DC47E2" w:rsidRPr="009D1DE2">
              <w:rPr>
                <w:rFonts w:cs="Arial"/>
                <w:sz w:val="18"/>
                <w:szCs w:val="18"/>
              </w:rPr>
              <w:t xml:space="preserve"> </w:t>
            </w:r>
            <w:r w:rsidRPr="009D1DE2">
              <w:rPr>
                <w:rFonts w:cs="Arial"/>
                <w:sz w:val="18"/>
                <w:szCs w:val="18"/>
              </w:rPr>
              <w:t xml:space="preserve">N reflects randomised patients; actual number of patients evaluable for each endpoint may vary by </w:t>
            </w:r>
            <w:proofErr w:type="spellStart"/>
            <w:r w:rsidRPr="009D1DE2">
              <w:rPr>
                <w:rFonts w:cs="Arial"/>
                <w:sz w:val="18"/>
                <w:szCs w:val="18"/>
              </w:rPr>
              <w:t>timepoint</w:t>
            </w:r>
            <w:proofErr w:type="spellEnd"/>
            <w:r w:rsidRPr="009D1DE2">
              <w:rPr>
                <w:rFonts w:cs="Arial"/>
                <w:sz w:val="18"/>
                <w:szCs w:val="18"/>
              </w:rPr>
              <w:t>.</w:t>
            </w:r>
          </w:p>
          <w:p w:rsidR="00E8569A" w:rsidRPr="009D1DE2" w:rsidRDefault="00E8569A" w:rsidP="009D1DE2">
            <w:pPr>
              <w:spacing w:before="0" w:after="0"/>
              <w:jc w:val="left"/>
              <w:rPr>
                <w:rFonts w:cs="Arial"/>
                <w:sz w:val="18"/>
                <w:szCs w:val="18"/>
              </w:rPr>
            </w:pPr>
            <w:r w:rsidRPr="009D1DE2">
              <w:rPr>
                <w:rFonts w:cs="Arial"/>
                <w:sz w:val="18"/>
                <w:szCs w:val="18"/>
              </w:rPr>
              <w:t xml:space="preserve">*:      p </w:t>
            </w:r>
            <w:r w:rsidRPr="009D1DE2">
              <w:rPr>
                <w:rFonts w:cs="Arial"/>
                <w:sz w:val="18"/>
                <w:szCs w:val="18"/>
              </w:rPr>
              <w:sym w:font="Symbol" w:char="F0A3"/>
            </w:r>
            <w:r w:rsidRPr="009D1DE2">
              <w:rPr>
                <w:rFonts w:cs="Arial"/>
                <w:sz w:val="18"/>
                <w:szCs w:val="18"/>
              </w:rPr>
              <w:t xml:space="preserve"> 0.001</w:t>
            </w:r>
          </w:p>
          <w:p w:rsidR="00E8569A" w:rsidRPr="009D1DE2" w:rsidRDefault="00E8569A" w:rsidP="009D1DE2">
            <w:pPr>
              <w:spacing w:before="0" w:after="0"/>
              <w:ind w:left="425" w:hanging="425"/>
              <w:jc w:val="left"/>
              <w:rPr>
                <w:rFonts w:cs="Arial"/>
                <w:sz w:val="18"/>
                <w:szCs w:val="18"/>
              </w:rPr>
            </w:pPr>
            <w:r w:rsidRPr="009D1DE2">
              <w:rPr>
                <w:rFonts w:cs="Arial"/>
                <w:sz w:val="18"/>
                <w:szCs w:val="18"/>
              </w:rPr>
              <w:t xml:space="preserve">b:   </w:t>
            </w:r>
            <w:r w:rsidR="00DC47E2" w:rsidRPr="009D1DE2">
              <w:rPr>
                <w:rFonts w:cs="Arial"/>
                <w:sz w:val="18"/>
                <w:szCs w:val="18"/>
              </w:rPr>
              <w:t xml:space="preserve">  T</w:t>
            </w:r>
            <w:r w:rsidRPr="009D1DE2">
              <w:rPr>
                <w:rFonts w:cs="Arial"/>
                <w:sz w:val="18"/>
                <w:szCs w:val="18"/>
              </w:rPr>
              <w:t xml:space="preserve">his p-value (50 mg vs. placebo) should not be interpreted as implying statistical significance, because the </w:t>
            </w:r>
            <w:proofErr w:type="spellStart"/>
            <w:r w:rsidRPr="009D1DE2">
              <w:rPr>
                <w:rFonts w:cs="Arial"/>
                <w:sz w:val="18"/>
                <w:szCs w:val="18"/>
              </w:rPr>
              <w:t>p</w:t>
            </w:r>
            <w:r w:rsidRPr="009D1DE2">
              <w:rPr>
                <w:rFonts w:cs="Arial"/>
                <w:sz w:val="18"/>
                <w:szCs w:val="18"/>
              </w:rPr>
              <w:noBreakHyphen/>
              <w:t>value</w:t>
            </w:r>
            <w:proofErr w:type="spellEnd"/>
            <w:r w:rsidRPr="009D1DE2">
              <w:rPr>
                <w:rFonts w:cs="Arial"/>
                <w:sz w:val="18"/>
                <w:szCs w:val="18"/>
              </w:rPr>
              <w:t xml:space="preserve"> for the primary analysis (combined </w:t>
            </w:r>
            <w:r w:rsidR="00643BFB" w:rsidRPr="009D1DE2">
              <w:rPr>
                <w:rFonts w:cs="Arial"/>
                <w:sz w:val="18"/>
                <w:szCs w:val="18"/>
              </w:rPr>
              <w:t>SIMPONI</w:t>
            </w:r>
            <w:r w:rsidRPr="009D1DE2">
              <w:rPr>
                <w:rFonts w:cs="Arial"/>
                <w:sz w:val="18"/>
                <w:szCs w:val="18"/>
              </w:rPr>
              <w:t xml:space="preserve"> 50 </w:t>
            </w:r>
            <w:r w:rsidR="00DC47E2" w:rsidRPr="009D1DE2">
              <w:rPr>
                <w:rFonts w:cs="Arial"/>
                <w:sz w:val="18"/>
                <w:szCs w:val="18"/>
              </w:rPr>
              <w:t xml:space="preserve">mg </w:t>
            </w:r>
            <w:r w:rsidRPr="009D1DE2">
              <w:rPr>
                <w:rFonts w:cs="Arial"/>
                <w:sz w:val="18"/>
                <w:szCs w:val="18"/>
              </w:rPr>
              <w:t>and 100 mg groups vs</w:t>
            </w:r>
            <w:r w:rsidR="00DC47E2" w:rsidRPr="009D1DE2">
              <w:rPr>
                <w:rFonts w:cs="Arial"/>
                <w:sz w:val="18"/>
                <w:szCs w:val="18"/>
              </w:rPr>
              <w:t>.</w:t>
            </w:r>
            <w:r w:rsidRPr="009D1DE2">
              <w:rPr>
                <w:rFonts w:cs="Arial"/>
                <w:sz w:val="18"/>
                <w:szCs w:val="18"/>
              </w:rPr>
              <w:t xml:space="preserve"> placebo) was not statistically significant (p=0.053) and a hierarchical approach was used for the</w:t>
            </w:r>
            <w:r w:rsidR="00DC47E2" w:rsidRPr="009D1DE2">
              <w:rPr>
                <w:rFonts w:cs="Arial"/>
                <w:sz w:val="18"/>
                <w:szCs w:val="18"/>
              </w:rPr>
              <w:t xml:space="preserve"> </w:t>
            </w:r>
            <w:r w:rsidRPr="009D1DE2">
              <w:rPr>
                <w:rFonts w:cs="Arial"/>
                <w:sz w:val="18"/>
                <w:szCs w:val="18"/>
              </w:rPr>
              <w:t>statistical ana</w:t>
            </w:r>
            <w:r w:rsidR="00046947" w:rsidRPr="009D1DE2">
              <w:rPr>
                <w:rFonts w:cs="Arial"/>
                <w:sz w:val="18"/>
                <w:szCs w:val="18"/>
              </w:rPr>
              <w:t>lyses.</w:t>
            </w:r>
          </w:p>
          <w:p w:rsidR="00E8569A" w:rsidRPr="009D1DE2" w:rsidRDefault="00E8569A" w:rsidP="009D1DE2">
            <w:pPr>
              <w:spacing w:before="0" w:after="0"/>
              <w:jc w:val="left"/>
              <w:rPr>
                <w:rFonts w:cs="Arial"/>
                <w:sz w:val="20"/>
                <w:szCs w:val="20"/>
              </w:rPr>
            </w:pPr>
            <w:r w:rsidRPr="009D1DE2">
              <w:rPr>
                <w:rFonts w:cs="Arial"/>
                <w:sz w:val="18"/>
                <w:szCs w:val="18"/>
              </w:rPr>
              <w:t>NA:  Not applicable, as data was not collected at week 14 in this study.</w:t>
            </w:r>
          </w:p>
        </w:tc>
      </w:tr>
    </w:tbl>
    <w:p w:rsidR="00DE1C16" w:rsidRPr="008D4475" w:rsidRDefault="00E8569A">
      <w:pPr>
        <w:rPr>
          <w:rFonts w:cs="Arial"/>
          <w:szCs w:val="22"/>
        </w:rPr>
      </w:pPr>
      <w:r w:rsidRPr="008D4475">
        <w:rPr>
          <w:rFonts w:cs="Arial"/>
          <w:bCs/>
          <w:szCs w:val="22"/>
        </w:rPr>
        <w:t xml:space="preserve">In GO-FORWARD and GO-AFTER all individual components of the ACR response criteria [number of tender and swollen joints, patient’s assessment of pain, patient’s and physician’s global assessment of disease activity, disability index (as measured by HAQ) and CRP] were significantly improved in the </w:t>
      </w:r>
      <w:r w:rsidR="00643BFB">
        <w:rPr>
          <w:rFonts w:cs="Arial"/>
          <w:szCs w:val="22"/>
        </w:rPr>
        <w:t>SIMPONI</w:t>
      </w:r>
      <w:r w:rsidRPr="008D4475">
        <w:rPr>
          <w:rFonts w:cs="Arial"/>
          <w:bCs/>
          <w:szCs w:val="22"/>
        </w:rPr>
        <w:t>-treated patients versus control patients (p</w:t>
      </w:r>
      <w:r w:rsidR="00650094">
        <w:rPr>
          <w:rFonts w:cs="Arial"/>
          <w:bCs/>
          <w:szCs w:val="22"/>
        </w:rPr>
        <w:t xml:space="preserve"> </w:t>
      </w:r>
      <w:r w:rsidRPr="008D4475">
        <w:rPr>
          <w:rFonts w:cs="Arial"/>
          <w:bCs/>
          <w:szCs w:val="22"/>
        </w:rPr>
        <w:t>&lt;</w:t>
      </w:r>
      <w:r w:rsidR="00650094">
        <w:rPr>
          <w:rFonts w:cs="Arial"/>
          <w:bCs/>
          <w:szCs w:val="22"/>
        </w:rPr>
        <w:t xml:space="preserve"> </w:t>
      </w:r>
      <w:r w:rsidRPr="008D4475">
        <w:rPr>
          <w:rFonts w:cs="Arial"/>
          <w:bCs/>
          <w:szCs w:val="22"/>
        </w:rPr>
        <w:t xml:space="preserve">0.001). </w:t>
      </w:r>
      <w:r w:rsidRPr="008D4475">
        <w:rPr>
          <w:rFonts w:cs="Arial"/>
          <w:szCs w:val="22"/>
        </w:rPr>
        <w:t xml:space="preserve">The results of the components of the ACR response criteria are shown in Table </w:t>
      </w:r>
      <w:r w:rsidR="00715198" w:rsidRPr="008D4475">
        <w:rPr>
          <w:rFonts w:cs="Arial"/>
          <w:szCs w:val="22"/>
        </w:rPr>
        <w:t>2</w:t>
      </w:r>
      <w:r w:rsidRPr="008D4475">
        <w:rPr>
          <w:rFonts w:cs="Arial"/>
          <w:szCs w:val="22"/>
        </w:rPr>
        <w:t>.</w:t>
      </w:r>
    </w:p>
    <w:p w:rsidR="006B5076" w:rsidRPr="008D4475" w:rsidRDefault="006B5076" w:rsidP="006B5076">
      <w:pPr>
        <w:pStyle w:val="Caption"/>
        <w:keepNext/>
      </w:pPr>
      <w:r w:rsidRPr="008D4475">
        <w:lastRenderedPageBreak/>
        <w:t xml:space="preserve">Table </w:t>
      </w:r>
      <w:fldSimple w:instr=" SEQ Table \* ARABIC ">
        <w:r w:rsidR="009154D5">
          <w:rPr>
            <w:noProof/>
          </w:rPr>
          <w:t>2</w:t>
        </w:r>
      </w:fldSimple>
      <w:r w:rsidRPr="008D4475">
        <w:t xml:space="preserve">: Percent </w:t>
      </w:r>
      <w:r w:rsidR="00A176D9" w:rsidRPr="008D4475">
        <w:t>improvement</w:t>
      </w:r>
      <w:r w:rsidRPr="008D4475">
        <w:t xml:space="preserve"> in components of ACR Response in RA trials GO-FORWARD, GO-AFTER and GO-BEFORE</w:t>
      </w:r>
    </w:p>
    <w:tbl>
      <w:tblPr>
        <w:tblW w:w="8492"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170"/>
        <w:gridCol w:w="1050"/>
        <w:gridCol w:w="1290"/>
        <w:gridCol w:w="1080"/>
        <w:gridCol w:w="1260"/>
        <w:gridCol w:w="953"/>
        <w:gridCol w:w="1689"/>
      </w:tblGrid>
      <w:tr w:rsidR="006B5076" w:rsidRPr="007A5110">
        <w:trPr>
          <w:cantSplit/>
          <w:jc w:val="center"/>
        </w:trPr>
        <w:tc>
          <w:tcPr>
            <w:tcW w:w="1170" w:type="dxa"/>
            <w:tcBorders>
              <w:top w:val="single" w:sz="4" w:space="0" w:color="auto"/>
              <w:left w:val="single" w:sz="4" w:space="0" w:color="auto"/>
              <w:bottom w:val="nil"/>
              <w:right w:val="single" w:sz="4" w:space="0" w:color="auto"/>
            </w:tcBorders>
          </w:tcPr>
          <w:p w:rsidR="006B5076" w:rsidRPr="007A5110" w:rsidRDefault="006B5076" w:rsidP="007A5110">
            <w:pPr>
              <w:pStyle w:val="Normal-Table"/>
              <w:spacing w:before="0" w:after="0"/>
              <w:rPr>
                <w:szCs w:val="20"/>
                <w:lang w:val="en-AU"/>
              </w:rPr>
            </w:pPr>
          </w:p>
        </w:tc>
        <w:tc>
          <w:tcPr>
            <w:tcW w:w="2340" w:type="dxa"/>
            <w:gridSpan w:val="2"/>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GO-FORWARD</w:t>
            </w:r>
          </w:p>
          <w:p w:rsidR="006B5076" w:rsidRPr="007A5110" w:rsidRDefault="006B5076" w:rsidP="007A5110">
            <w:pPr>
              <w:pStyle w:val="Normal-Table"/>
              <w:spacing w:before="0" w:after="0"/>
              <w:jc w:val="center"/>
              <w:rPr>
                <w:szCs w:val="20"/>
                <w:lang w:val="en-AU"/>
              </w:rPr>
            </w:pPr>
            <w:r w:rsidRPr="007A5110">
              <w:rPr>
                <w:szCs w:val="20"/>
                <w:lang w:val="en-AU"/>
              </w:rPr>
              <w:t>Active RA despite MTX</w:t>
            </w:r>
          </w:p>
        </w:tc>
        <w:tc>
          <w:tcPr>
            <w:tcW w:w="2340" w:type="dxa"/>
            <w:gridSpan w:val="2"/>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GO-AFTER</w:t>
            </w:r>
          </w:p>
          <w:p w:rsidR="006B5076" w:rsidRPr="007A5110" w:rsidRDefault="006B5076" w:rsidP="007A5110">
            <w:pPr>
              <w:pStyle w:val="Normal-Table"/>
              <w:spacing w:before="0" w:after="0"/>
              <w:jc w:val="center"/>
              <w:rPr>
                <w:szCs w:val="20"/>
                <w:lang w:val="en-AU"/>
              </w:rPr>
            </w:pPr>
            <w:r w:rsidRPr="007A5110">
              <w:rPr>
                <w:szCs w:val="20"/>
                <w:lang w:val="en-AU"/>
              </w:rPr>
              <w:t xml:space="preserve">Active RA, previously treated with one or more </w:t>
            </w:r>
            <w:r w:rsidRPr="007A5110">
              <w:rPr>
                <w:color w:val="000000"/>
                <w:szCs w:val="20"/>
                <w:lang w:val="en-AU"/>
              </w:rPr>
              <w:t>anti-TNF agent(s)</w:t>
            </w:r>
          </w:p>
        </w:tc>
        <w:tc>
          <w:tcPr>
            <w:tcW w:w="2642" w:type="dxa"/>
            <w:gridSpan w:val="2"/>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GO-BEFORE</w:t>
            </w:r>
          </w:p>
          <w:p w:rsidR="006B5076" w:rsidRPr="007A5110" w:rsidRDefault="006B5076" w:rsidP="007A5110">
            <w:pPr>
              <w:pStyle w:val="Normal-Table"/>
              <w:spacing w:before="0" w:after="0"/>
              <w:jc w:val="center"/>
              <w:rPr>
                <w:szCs w:val="20"/>
                <w:lang w:val="en-AU"/>
              </w:rPr>
            </w:pPr>
            <w:r w:rsidRPr="007A5110">
              <w:rPr>
                <w:szCs w:val="20"/>
                <w:lang w:val="en-AU"/>
              </w:rPr>
              <w:t>Active RA, MTX Naïve</w:t>
            </w:r>
          </w:p>
        </w:tc>
      </w:tr>
      <w:tr w:rsidR="006B5076" w:rsidRPr="007A5110">
        <w:trPr>
          <w:cantSplit/>
          <w:jc w:val="center"/>
        </w:trPr>
        <w:tc>
          <w:tcPr>
            <w:tcW w:w="1170" w:type="dxa"/>
            <w:tcBorders>
              <w:top w:val="nil"/>
              <w:left w:val="single" w:sz="4" w:space="0" w:color="auto"/>
              <w:bottom w:val="single" w:sz="4" w:space="0" w:color="auto"/>
              <w:right w:val="single" w:sz="4" w:space="0" w:color="auto"/>
            </w:tcBorders>
            <w:vAlign w:val="bottom"/>
          </w:tcPr>
          <w:p w:rsidR="006B5076" w:rsidRPr="007A5110" w:rsidRDefault="006B5076" w:rsidP="007A5110">
            <w:pPr>
              <w:pStyle w:val="Normal-Table"/>
              <w:spacing w:before="0" w:after="0"/>
              <w:rPr>
                <w:szCs w:val="20"/>
                <w:lang w:val="en-AU"/>
              </w:rPr>
            </w:pP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Placebo</w:t>
            </w:r>
          </w:p>
          <w:p w:rsidR="00B02725" w:rsidRPr="007A5110" w:rsidRDefault="006B5076" w:rsidP="007A5110">
            <w:pPr>
              <w:pStyle w:val="Normal-Table"/>
              <w:spacing w:before="0" w:after="0"/>
              <w:jc w:val="center"/>
              <w:rPr>
                <w:szCs w:val="20"/>
                <w:lang w:val="en-AU"/>
              </w:rPr>
            </w:pPr>
            <w:r w:rsidRPr="007A5110">
              <w:rPr>
                <w:szCs w:val="20"/>
                <w:lang w:val="en-AU"/>
              </w:rPr>
              <w:t xml:space="preserve">+ </w:t>
            </w:r>
          </w:p>
          <w:p w:rsidR="006B5076" w:rsidRPr="007A5110" w:rsidRDefault="006B5076" w:rsidP="007A5110">
            <w:pPr>
              <w:pStyle w:val="Normal-Table"/>
              <w:spacing w:before="0" w:after="0"/>
              <w:jc w:val="center"/>
              <w:rPr>
                <w:szCs w:val="20"/>
                <w:lang w:val="en-AU"/>
              </w:rPr>
            </w:pPr>
            <w:r w:rsidRPr="007A5110">
              <w:rPr>
                <w:szCs w:val="20"/>
                <w:lang w:val="en-AU"/>
              </w:rPr>
              <w:t>MTX</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43BFB" w:rsidP="007A5110">
            <w:pPr>
              <w:pStyle w:val="Normal-Table"/>
              <w:spacing w:before="0" w:after="0"/>
              <w:jc w:val="center"/>
              <w:rPr>
                <w:szCs w:val="20"/>
                <w:lang w:val="en-AU"/>
              </w:rPr>
            </w:pPr>
            <w:r w:rsidRPr="007A5110">
              <w:rPr>
                <w:szCs w:val="20"/>
                <w:lang w:val="en-AU"/>
              </w:rPr>
              <w:t>SIMPONI</w:t>
            </w:r>
          </w:p>
          <w:p w:rsidR="006B5076" w:rsidRPr="007A5110" w:rsidRDefault="006B5076" w:rsidP="007A5110">
            <w:pPr>
              <w:pStyle w:val="Normal-Table"/>
              <w:spacing w:before="0" w:after="0"/>
              <w:jc w:val="center"/>
              <w:rPr>
                <w:szCs w:val="20"/>
                <w:lang w:val="en-AU"/>
              </w:rPr>
            </w:pPr>
            <w:r w:rsidRPr="007A5110">
              <w:rPr>
                <w:szCs w:val="20"/>
                <w:lang w:val="en-AU"/>
              </w:rPr>
              <w:t>50 mg</w:t>
            </w:r>
          </w:p>
          <w:p w:rsidR="00B02725" w:rsidRPr="007A5110" w:rsidRDefault="006B5076" w:rsidP="007A5110">
            <w:pPr>
              <w:pStyle w:val="Normal-Table"/>
              <w:spacing w:before="0" w:after="0"/>
              <w:jc w:val="center"/>
              <w:rPr>
                <w:szCs w:val="20"/>
                <w:lang w:val="en-AU"/>
              </w:rPr>
            </w:pPr>
            <w:r w:rsidRPr="007A5110">
              <w:rPr>
                <w:szCs w:val="20"/>
                <w:lang w:val="en-AU"/>
              </w:rPr>
              <w:t xml:space="preserve">+ </w:t>
            </w:r>
          </w:p>
          <w:p w:rsidR="006B5076" w:rsidRPr="007A5110" w:rsidRDefault="006B5076" w:rsidP="007A5110">
            <w:pPr>
              <w:pStyle w:val="Normal-Table"/>
              <w:spacing w:before="0" w:after="0"/>
              <w:jc w:val="center"/>
              <w:rPr>
                <w:szCs w:val="20"/>
                <w:lang w:val="en-AU"/>
              </w:rPr>
            </w:pPr>
            <w:r w:rsidRPr="007A5110">
              <w:rPr>
                <w:szCs w:val="20"/>
                <w:lang w:val="en-AU"/>
              </w:rPr>
              <w:t>MTX</w:t>
            </w:r>
            <w:r w:rsidRPr="007A5110">
              <w:rPr>
                <w:b/>
                <w:bCs/>
                <w:szCs w:val="20"/>
                <w:lang w:val="en-AU"/>
              </w:rPr>
              <w:t>*</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Placebo</w:t>
            </w:r>
          </w:p>
          <w:p w:rsidR="006B5076" w:rsidRPr="007A5110" w:rsidRDefault="006B5076" w:rsidP="007A5110">
            <w:pPr>
              <w:pStyle w:val="Normal-Table"/>
              <w:spacing w:before="0" w:after="0"/>
              <w:jc w:val="center"/>
              <w:rPr>
                <w:szCs w:val="20"/>
                <w:lang w:val="en-AU"/>
              </w:rPr>
            </w:pP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43BFB" w:rsidP="007A5110">
            <w:pPr>
              <w:pStyle w:val="Normal-Table"/>
              <w:spacing w:before="0" w:after="0"/>
              <w:jc w:val="center"/>
              <w:rPr>
                <w:szCs w:val="20"/>
                <w:lang w:val="en-AU"/>
              </w:rPr>
            </w:pPr>
            <w:r w:rsidRPr="007A5110">
              <w:rPr>
                <w:szCs w:val="20"/>
                <w:lang w:val="en-AU"/>
              </w:rPr>
              <w:t>SIMPONI</w:t>
            </w:r>
          </w:p>
          <w:p w:rsidR="006B5076" w:rsidRPr="007A5110" w:rsidRDefault="006B5076" w:rsidP="007A5110">
            <w:pPr>
              <w:pStyle w:val="Normal-Table"/>
              <w:spacing w:before="0" w:after="0"/>
              <w:jc w:val="center"/>
              <w:rPr>
                <w:szCs w:val="20"/>
                <w:lang w:val="en-AU"/>
              </w:rPr>
            </w:pPr>
            <w:r w:rsidRPr="007A5110">
              <w:rPr>
                <w:szCs w:val="20"/>
                <w:lang w:val="en-AU"/>
              </w:rPr>
              <w:t>50 mg</w:t>
            </w:r>
            <w:r w:rsidRPr="007A5110">
              <w:rPr>
                <w:b/>
                <w:bCs/>
                <w:szCs w:val="20"/>
                <w:lang w:val="en-AU"/>
              </w:rPr>
              <w:t>*</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Placebo</w:t>
            </w:r>
          </w:p>
          <w:p w:rsidR="00B02725" w:rsidRPr="007A5110" w:rsidRDefault="006B5076" w:rsidP="007A5110">
            <w:pPr>
              <w:pStyle w:val="Normal-Table"/>
              <w:spacing w:before="0" w:after="0"/>
              <w:jc w:val="center"/>
              <w:rPr>
                <w:szCs w:val="20"/>
                <w:lang w:val="en-AU"/>
              </w:rPr>
            </w:pPr>
            <w:r w:rsidRPr="007A5110">
              <w:rPr>
                <w:szCs w:val="20"/>
                <w:lang w:val="en-AU"/>
              </w:rPr>
              <w:t xml:space="preserve">+ </w:t>
            </w:r>
          </w:p>
          <w:p w:rsidR="006B5076" w:rsidRPr="007A5110" w:rsidRDefault="006B5076" w:rsidP="007A5110">
            <w:pPr>
              <w:pStyle w:val="Normal-Table"/>
              <w:spacing w:before="0" w:after="0"/>
              <w:jc w:val="center"/>
              <w:rPr>
                <w:szCs w:val="20"/>
                <w:lang w:val="en-AU"/>
              </w:rPr>
            </w:pPr>
            <w:r w:rsidRPr="007A5110">
              <w:rPr>
                <w:szCs w:val="20"/>
                <w:lang w:val="en-AU"/>
              </w:rPr>
              <w:t>MTX</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43BFB" w:rsidP="007A5110">
            <w:pPr>
              <w:pStyle w:val="Normal-Table"/>
              <w:spacing w:before="0" w:after="0"/>
              <w:jc w:val="center"/>
              <w:rPr>
                <w:szCs w:val="20"/>
                <w:lang w:val="en-AU"/>
              </w:rPr>
            </w:pPr>
            <w:r w:rsidRPr="007A5110">
              <w:rPr>
                <w:szCs w:val="20"/>
                <w:lang w:val="en-AU"/>
              </w:rPr>
              <w:t>SIMPONI</w:t>
            </w:r>
          </w:p>
          <w:p w:rsidR="006B5076" w:rsidRPr="007A5110" w:rsidRDefault="006B5076" w:rsidP="007A5110">
            <w:pPr>
              <w:pStyle w:val="Normal-Table"/>
              <w:spacing w:before="0" w:after="0"/>
              <w:jc w:val="center"/>
              <w:rPr>
                <w:szCs w:val="20"/>
                <w:lang w:val="en-AU"/>
              </w:rPr>
            </w:pPr>
            <w:r w:rsidRPr="007A5110">
              <w:rPr>
                <w:szCs w:val="20"/>
                <w:lang w:val="en-AU"/>
              </w:rPr>
              <w:t>50 mg</w:t>
            </w:r>
          </w:p>
          <w:p w:rsidR="00B02725" w:rsidRPr="007A5110" w:rsidRDefault="006B5076" w:rsidP="007A5110">
            <w:pPr>
              <w:pStyle w:val="Normal-Table"/>
              <w:spacing w:before="0" w:after="0"/>
              <w:jc w:val="center"/>
              <w:rPr>
                <w:szCs w:val="20"/>
                <w:lang w:val="en-AU"/>
              </w:rPr>
            </w:pPr>
            <w:r w:rsidRPr="007A5110">
              <w:rPr>
                <w:szCs w:val="20"/>
                <w:lang w:val="en-AU"/>
              </w:rPr>
              <w:t xml:space="preserve">+ </w:t>
            </w:r>
          </w:p>
          <w:p w:rsidR="006B5076" w:rsidRPr="007A5110" w:rsidRDefault="006B5076" w:rsidP="007A5110">
            <w:pPr>
              <w:pStyle w:val="Normal-Table"/>
              <w:spacing w:before="0" w:after="0"/>
              <w:jc w:val="center"/>
              <w:rPr>
                <w:szCs w:val="20"/>
                <w:lang w:val="en-AU"/>
              </w:rPr>
            </w:pPr>
            <w:r w:rsidRPr="007A5110">
              <w:rPr>
                <w:szCs w:val="20"/>
                <w:lang w:val="en-AU"/>
              </w:rPr>
              <w:t>MTX</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right"/>
              <w:rPr>
                <w:szCs w:val="20"/>
                <w:lang w:val="en-AU"/>
              </w:rPr>
            </w:pPr>
            <w:r w:rsidRPr="007A5110">
              <w:rPr>
                <w:szCs w:val="20"/>
                <w:lang w:val="en-AU"/>
              </w:rPr>
              <w:t>N</w:t>
            </w:r>
            <w:r w:rsidRPr="007A5110">
              <w:rPr>
                <w:szCs w:val="20"/>
                <w:vertAlign w:val="superscript"/>
                <w:lang w:val="en-AU"/>
              </w:rPr>
              <w:t>a</w:t>
            </w:r>
          </w:p>
        </w:tc>
        <w:tc>
          <w:tcPr>
            <w:tcW w:w="105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133</w:t>
            </w:r>
          </w:p>
        </w:tc>
        <w:tc>
          <w:tcPr>
            <w:tcW w:w="129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89</w:t>
            </w:r>
          </w:p>
        </w:tc>
        <w:tc>
          <w:tcPr>
            <w:tcW w:w="108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15</w:t>
            </w:r>
            <w:r w:rsidR="00745E5D" w:rsidRPr="007A5110">
              <w:rPr>
                <w:szCs w:val="20"/>
                <w:lang w:val="en-AU"/>
              </w:rPr>
              <w:t>0</w:t>
            </w:r>
          </w:p>
        </w:tc>
        <w:tc>
          <w:tcPr>
            <w:tcW w:w="126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47</w:t>
            </w:r>
          </w:p>
        </w:tc>
        <w:tc>
          <w:tcPr>
            <w:tcW w:w="953"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160</w:t>
            </w:r>
          </w:p>
        </w:tc>
        <w:tc>
          <w:tcPr>
            <w:tcW w:w="1689"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center"/>
              <w:rPr>
                <w:szCs w:val="20"/>
                <w:lang w:val="en-AU"/>
              </w:rPr>
            </w:pPr>
            <w:r w:rsidRPr="007A5110">
              <w:rPr>
                <w:szCs w:val="20"/>
                <w:lang w:val="en-AU"/>
              </w:rPr>
              <w:t>159</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szCs w:val="20"/>
                <w:lang w:val="en-AU"/>
              </w:rPr>
            </w:pPr>
            <w:r w:rsidRPr="007A5110">
              <w:rPr>
                <w:b/>
                <w:bCs/>
                <w:szCs w:val="20"/>
                <w:lang w:val="en-AU"/>
              </w:rPr>
              <w:t>Number of swollen joints</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12.0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13.0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14</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1</w:t>
            </w:r>
            <w:r w:rsidR="00745E5D" w:rsidRPr="007A5110">
              <w:rPr>
                <w:szCs w:val="20"/>
                <w:lang w:val="en-AU"/>
              </w:rPr>
              <w:t>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11</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13</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38 %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2</w:t>
            </w:r>
            <w:r w:rsidR="00745E5D" w:rsidRPr="007A5110">
              <w:rPr>
                <w:szCs w:val="20"/>
                <w:lang w:val="en-AU"/>
              </w:rPr>
              <w:t>0</w:t>
            </w:r>
            <w:r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44 %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72 %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1</w:t>
            </w:r>
            <w:r w:rsidR="006B5076"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33</w:t>
            </w:r>
            <w:r w:rsidR="006B5076"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76 % (p=0.127)</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bCs/>
                <w:szCs w:val="20"/>
                <w:lang w:val="en-AU"/>
              </w:rPr>
            </w:pPr>
            <w:r w:rsidRPr="007A5110">
              <w:rPr>
                <w:b/>
                <w:bCs/>
                <w:szCs w:val="20"/>
                <w:lang w:val="en-AU"/>
              </w:rPr>
              <w:t>Number of tender joints</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21.0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26</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w:t>
            </w:r>
            <w:r w:rsidR="00745E5D" w:rsidRPr="007A5110">
              <w:rPr>
                <w:szCs w:val="20"/>
                <w:lang w:val="en-AU"/>
              </w:rPr>
              <w:t>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26</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21 %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w:t>
            </w:r>
            <w:r w:rsidR="00745E5D" w:rsidRPr="007A5110">
              <w:rPr>
                <w:szCs w:val="20"/>
                <w:lang w:val="en-AU"/>
              </w:rPr>
              <w:t>7</w:t>
            </w:r>
            <w:r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2</w:t>
            </w:r>
            <w:r w:rsidR="006B5076" w:rsidRPr="007A5110">
              <w:rPr>
                <w:szCs w:val="20"/>
                <w:lang w:val="en-AU"/>
              </w:rPr>
              <w:t>9 %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lang w:val="en-AU"/>
              </w:rPr>
            </w:pPr>
            <w:r w:rsidRPr="007A5110">
              <w:rPr>
                <w:szCs w:val="20"/>
                <w:lang w:val="en-AU"/>
              </w:rPr>
              <w:t>57 %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
                <w:bCs/>
                <w:szCs w:val="20"/>
                <w:vertAlign w:val="superscript"/>
                <w:lang w:val="en-AU"/>
              </w:rPr>
            </w:pPr>
            <w:r w:rsidRPr="007A5110">
              <w:rPr>
                <w:szCs w:val="20"/>
                <w:lang w:val="en-AU"/>
              </w:rPr>
              <w:t>67 % (p=0.023)</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bCs/>
                <w:szCs w:val="20"/>
                <w:lang w:val="en-AU"/>
              </w:rPr>
            </w:pPr>
            <w:r w:rsidRPr="007A5110">
              <w:rPr>
                <w:b/>
                <w:bCs/>
                <w:szCs w:val="20"/>
                <w:lang w:val="en-AU"/>
              </w:rPr>
              <w:t>Patient’s assessment of pain</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7</w:t>
            </w:r>
            <w:r w:rsidR="00745E5D" w:rsidRPr="007A5110">
              <w:rPr>
                <w:szCs w:val="20"/>
                <w:lang w:val="en-AU"/>
              </w:rPr>
              <w:t>.1</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7.0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7</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7</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2</w:t>
            </w:r>
            <w:r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w:t>
            </w:r>
            <w:r w:rsidR="00745E5D" w:rsidRPr="007A5110">
              <w:rPr>
                <w:szCs w:val="20"/>
                <w:lang w:val="en-AU"/>
              </w:rPr>
              <w:t>5</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4</w:t>
            </w:r>
            <w:r w:rsidR="006B5076"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w:t>
            </w:r>
            <w:r w:rsidR="00745E5D" w:rsidRPr="007A5110">
              <w:rPr>
                <w:szCs w:val="20"/>
                <w:lang w:val="en-AU"/>
              </w:rPr>
              <w:t>5</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44 %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52 % (p=0.028)</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b/>
                <w:bCs/>
                <w:szCs w:val="20"/>
                <w:lang w:val="en-AU"/>
              </w:rPr>
            </w:pPr>
            <w:r w:rsidRPr="007A5110">
              <w:rPr>
                <w:b/>
                <w:bCs/>
                <w:szCs w:val="20"/>
                <w:lang w:val="en-AU"/>
              </w:rPr>
              <w:t>Patient’s global assessment  of disease activity</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5.3</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6.7</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6</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8 %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29</w:t>
            </w:r>
            <w:r w:rsidR="006B5076"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48 %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2</w:t>
            </w:r>
            <w:r w:rsidR="006B5076"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w:t>
            </w:r>
            <w:r w:rsidR="00745E5D" w:rsidRPr="007A5110">
              <w:rPr>
                <w:szCs w:val="20"/>
                <w:lang w:val="en-AU"/>
              </w:rPr>
              <w:t>2</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50 % (p=0.042)</w:t>
            </w:r>
          </w:p>
        </w:tc>
      </w:tr>
      <w:tr w:rsidR="006B5076" w:rsidRPr="007A5110">
        <w:trPr>
          <w:cantSplit/>
          <w:trHeight w:val="184"/>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b/>
                <w:bCs/>
                <w:szCs w:val="20"/>
                <w:lang w:val="en-AU"/>
              </w:rPr>
            </w:pPr>
            <w:r w:rsidRPr="007A5110">
              <w:rPr>
                <w:b/>
                <w:bCs/>
                <w:szCs w:val="20"/>
                <w:lang w:val="en-AU"/>
              </w:rPr>
              <w:t>Physician’s global assessment of disease activity</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6.3</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6.5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6</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2</w:t>
            </w:r>
            <w:r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w:t>
            </w:r>
            <w:r w:rsidR="00745E5D" w:rsidRPr="007A5110">
              <w:rPr>
                <w:szCs w:val="20"/>
                <w:lang w:val="en-AU"/>
              </w:rPr>
              <w:t>8</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39 %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0</w:t>
            </w:r>
            <w:r w:rsidRPr="007A5110">
              <w:rPr>
                <w:szCs w:val="20"/>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35</w:t>
            </w:r>
            <w:r w:rsidR="006B5076"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67 % (p=0.206)</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szCs w:val="20"/>
                <w:lang w:val="en-AU"/>
              </w:rPr>
            </w:pPr>
            <w:r w:rsidRPr="007A5110">
              <w:rPr>
                <w:b/>
                <w:bCs/>
                <w:szCs w:val="20"/>
                <w:lang w:val="en-AU"/>
              </w:rPr>
              <w:t>HAQ score</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1.25</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1.38</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1.75</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1.63</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1.50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1.50</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13 %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31 %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1</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44 % (p=0.141)</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rPr>
                <w:szCs w:val="20"/>
                <w:lang w:val="en-AU"/>
              </w:rPr>
            </w:pPr>
            <w:r w:rsidRPr="007A5110">
              <w:rPr>
                <w:b/>
                <w:bCs/>
                <w:szCs w:val="20"/>
                <w:lang w:val="en-AU"/>
              </w:rPr>
              <w:t>CRP (mg/</w:t>
            </w:r>
            <w:r w:rsidR="00FD24ED" w:rsidRPr="007A5110">
              <w:rPr>
                <w:b/>
                <w:bCs/>
                <w:szCs w:val="20"/>
                <w:lang w:val="en-AU"/>
              </w:rPr>
              <w:t>L</w:t>
            </w:r>
            <w:r w:rsidRPr="007A5110">
              <w:rPr>
                <w:b/>
                <w:bCs/>
                <w:szCs w:val="20"/>
                <w:lang w:val="en-AU"/>
              </w:rPr>
              <w:t>)</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8D4475" w:rsidP="007A5110">
            <w:pPr>
              <w:pStyle w:val="Normal-Table"/>
              <w:spacing w:before="0" w:after="0"/>
              <w:jc w:val="center"/>
              <w:rPr>
                <w:szCs w:val="20"/>
                <w:lang w:val="en-AU"/>
              </w:rPr>
            </w:pPr>
            <w:r w:rsidRPr="007A5110">
              <w:rPr>
                <w:szCs w:val="20"/>
                <w:lang w:val="en-AU"/>
              </w:rPr>
              <w:t>8.0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8D4475" w:rsidP="007A5110">
            <w:pPr>
              <w:pStyle w:val="Normal-Table"/>
              <w:spacing w:before="0" w:after="0"/>
              <w:jc w:val="center"/>
              <w:rPr>
                <w:szCs w:val="20"/>
                <w:lang w:val="en-AU"/>
              </w:rPr>
            </w:pPr>
            <w:r w:rsidRPr="007A5110">
              <w:rPr>
                <w:szCs w:val="20"/>
                <w:lang w:val="en-AU"/>
              </w:rPr>
              <w:t>10.0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8D4475" w:rsidP="007A5110">
            <w:pPr>
              <w:pStyle w:val="Normal-Table"/>
              <w:spacing w:before="0" w:after="0"/>
              <w:jc w:val="center"/>
              <w:rPr>
                <w:szCs w:val="20"/>
                <w:lang w:val="en-AU"/>
              </w:rPr>
            </w:pPr>
            <w:r w:rsidRPr="007A5110">
              <w:rPr>
                <w:szCs w:val="20"/>
                <w:lang w:val="en-AU"/>
              </w:rPr>
              <w:t>10.0</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745E5D" w:rsidP="007A5110">
            <w:pPr>
              <w:pStyle w:val="Normal-Table"/>
              <w:spacing w:before="0" w:after="0"/>
              <w:jc w:val="center"/>
              <w:rPr>
                <w:szCs w:val="20"/>
                <w:lang w:val="en-AU"/>
              </w:rPr>
            </w:pPr>
            <w:r w:rsidRPr="007A5110">
              <w:rPr>
                <w:szCs w:val="20"/>
                <w:lang w:val="en-AU"/>
              </w:rPr>
              <w:t>9</w:t>
            </w:r>
            <w:r w:rsidR="008D4475" w:rsidRPr="007A5110">
              <w:rPr>
                <w:szCs w:val="20"/>
                <w:lang w:val="en-AU"/>
              </w:rPr>
              <w:t>.0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8D4475" w:rsidP="007A5110">
            <w:pPr>
              <w:pStyle w:val="Normal-Table"/>
              <w:spacing w:before="0" w:after="0"/>
              <w:jc w:val="center"/>
              <w:rPr>
                <w:szCs w:val="20"/>
                <w:lang w:val="en-AU"/>
              </w:rPr>
            </w:pPr>
            <w:r w:rsidRPr="007A5110">
              <w:rPr>
                <w:szCs w:val="20"/>
                <w:lang w:val="en-AU"/>
              </w:rPr>
              <w:t>14.0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8D4475" w:rsidP="007A5110">
            <w:pPr>
              <w:pStyle w:val="Normal-Table"/>
              <w:spacing w:before="0" w:after="0"/>
              <w:jc w:val="center"/>
              <w:rPr>
                <w:szCs w:val="20"/>
                <w:lang w:val="en-AU"/>
              </w:rPr>
            </w:pPr>
            <w:r w:rsidRPr="007A5110">
              <w:rPr>
                <w:szCs w:val="20"/>
                <w:lang w:val="en-AU"/>
              </w:rPr>
              <w:t>13.0</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44 %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w:t>
            </w:r>
            <w:r w:rsidR="00745E5D" w:rsidRPr="007A5110">
              <w:rPr>
                <w:szCs w:val="20"/>
                <w:lang w:val="en-AU"/>
              </w:rPr>
              <w:t>7</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NA</w:t>
            </w:r>
          </w:p>
        </w:tc>
      </w:tr>
      <w:tr w:rsidR="006B5076" w:rsidRPr="007A5110">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ind w:left="120"/>
              <w:jc w:val="right"/>
              <w:rPr>
                <w:szCs w:val="20"/>
                <w:lang w:val="en-AU"/>
              </w:rPr>
            </w:pPr>
            <w:r w:rsidRPr="007A5110">
              <w:rPr>
                <w:szCs w:val="20"/>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39 %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1</w:t>
            </w:r>
            <w:r w:rsidR="00745E5D" w:rsidRPr="007A5110">
              <w:rPr>
                <w:szCs w:val="20"/>
                <w:lang w:val="en-AU"/>
              </w:rPr>
              <w:t>5</w:t>
            </w:r>
            <w:r w:rsidRPr="007A5110">
              <w:rPr>
                <w:szCs w:val="20"/>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szCs w:val="20"/>
                <w:lang w:val="en-AU"/>
              </w:rPr>
            </w:pPr>
            <w:r w:rsidRPr="007A5110">
              <w:rPr>
                <w:szCs w:val="20"/>
                <w:lang w:val="en-AU"/>
              </w:rPr>
              <w:t>43 %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7A5110" w:rsidRDefault="006B5076" w:rsidP="007A5110">
            <w:pPr>
              <w:pStyle w:val="Normal-Table"/>
              <w:spacing w:before="0" w:after="0"/>
              <w:jc w:val="center"/>
              <w:rPr>
                <w:bCs/>
                <w:szCs w:val="20"/>
                <w:lang w:val="en-AU"/>
              </w:rPr>
            </w:pPr>
            <w:r w:rsidRPr="007A5110">
              <w:rPr>
                <w:szCs w:val="20"/>
                <w:lang w:val="en-AU"/>
              </w:rPr>
              <w:t>57 % (p=0.002)</w:t>
            </w:r>
          </w:p>
        </w:tc>
      </w:tr>
      <w:tr w:rsidR="006B5076" w:rsidRPr="007A5110">
        <w:trPr>
          <w:cantSplit/>
          <w:jc w:val="center"/>
        </w:trPr>
        <w:tc>
          <w:tcPr>
            <w:tcW w:w="8492" w:type="dxa"/>
            <w:gridSpan w:val="7"/>
            <w:tcBorders>
              <w:top w:val="single" w:sz="4" w:space="0" w:color="auto"/>
              <w:left w:val="single" w:sz="4" w:space="0" w:color="auto"/>
              <w:bottom w:val="single" w:sz="4" w:space="0" w:color="auto"/>
              <w:right w:val="single" w:sz="4" w:space="0" w:color="auto"/>
            </w:tcBorders>
          </w:tcPr>
          <w:p w:rsidR="006B5076" w:rsidRPr="007A5110" w:rsidRDefault="006B5076" w:rsidP="007A5110">
            <w:pPr>
              <w:pStyle w:val="Normal-Table"/>
              <w:spacing w:before="0" w:after="0"/>
              <w:jc w:val="left"/>
              <w:rPr>
                <w:sz w:val="18"/>
                <w:szCs w:val="18"/>
                <w:lang w:val="en-AU"/>
              </w:rPr>
            </w:pPr>
            <w:r w:rsidRPr="007A5110">
              <w:rPr>
                <w:sz w:val="18"/>
                <w:szCs w:val="18"/>
                <w:lang w:val="en-AU"/>
              </w:rPr>
              <w:t>*:      p </w:t>
            </w:r>
            <w:r w:rsidRPr="007A5110">
              <w:rPr>
                <w:sz w:val="18"/>
                <w:szCs w:val="18"/>
                <w:lang w:val="en-AU"/>
              </w:rPr>
              <w:sym w:font="Symbol" w:char="F0A3"/>
            </w:r>
            <w:r w:rsidRPr="007A5110">
              <w:rPr>
                <w:sz w:val="18"/>
                <w:szCs w:val="18"/>
                <w:lang w:val="en-AU"/>
              </w:rPr>
              <w:t> 0.001 for all comparisons.</w:t>
            </w:r>
          </w:p>
          <w:p w:rsidR="006B5076" w:rsidRPr="007A5110" w:rsidRDefault="006B5076" w:rsidP="007A5110">
            <w:pPr>
              <w:pStyle w:val="Normal-Table"/>
              <w:spacing w:before="0" w:after="0"/>
              <w:ind w:left="518" w:hanging="518"/>
              <w:jc w:val="left"/>
              <w:rPr>
                <w:sz w:val="18"/>
                <w:szCs w:val="18"/>
                <w:lang w:val="en-AU"/>
              </w:rPr>
            </w:pPr>
            <w:r w:rsidRPr="007A5110">
              <w:rPr>
                <w:sz w:val="18"/>
                <w:szCs w:val="18"/>
                <w:lang w:val="en-AU"/>
              </w:rPr>
              <w:t xml:space="preserve">a:      </w:t>
            </w:r>
            <w:r w:rsidR="00D275C2" w:rsidRPr="007A5110">
              <w:rPr>
                <w:sz w:val="18"/>
                <w:szCs w:val="18"/>
                <w:lang w:val="en-AU"/>
              </w:rPr>
              <w:t>N reflects randomis</w:t>
            </w:r>
            <w:r w:rsidRPr="007A5110">
              <w:rPr>
                <w:sz w:val="18"/>
                <w:szCs w:val="18"/>
                <w:lang w:val="en-AU"/>
              </w:rPr>
              <w:t xml:space="preserve">ed patients; actual number of patients evaluable for each endpoint may vary by </w:t>
            </w:r>
            <w:proofErr w:type="spellStart"/>
            <w:r w:rsidRPr="007A5110">
              <w:rPr>
                <w:sz w:val="18"/>
                <w:szCs w:val="18"/>
                <w:lang w:val="en-AU"/>
              </w:rPr>
              <w:t>timepoint</w:t>
            </w:r>
            <w:proofErr w:type="spellEnd"/>
            <w:r w:rsidRPr="007A5110">
              <w:rPr>
                <w:sz w:val="18"/>
                <w:szCs w:val="18"/>
                <w:lang w:val="en-AU"/>
              </w:rPr>
              <w:t>.</w:t>
            </w:r>
          </w:p>
          <w:p w:rsidR="006B5076" w:rsidRPr="007A5110" w:rsidRDefault="006B5076" w:rsidP="007A5110">
            <w:pPr>
              <w:pStyle w:val="Normal-Table"/>
              <w:spacing w:before="0" w:after="0"/>
              <w:jc w:val="left"/>
              <w:rPr>
                <w:bCs/>
                <w:sz w:val="18"/>
                <w:szCs w:val="18"/>
                <w:lang w:val="en-AU"/>
              </w:rPr>
            </w:pPr>
            <w:r w:rsidRPr="007A5110">
              <w:rPr>
                <w:sz w:val="18"/>
                <w:szCs w:val="18"/>
                <w:lang w:val="en-AU"/>
              </w:rPr>
              <w:t>NA:   Not applicable, as data was not collected at week 14 in this study.</w:t>
            </w:r>
          </w:p>
        </w:tc>
      </w:tr>
    </w:tbl>
    <w:p w:rsidR="006B5076" w:rsidRPr="008D4475" w:rsidRDefault="006B5076" w:rsidP="006B5076">
      <w:pPr>
        <w:rPr>
          <w:rFonts w:cs="Arial"/>
          <w:bCs/>
          <w:szCs w:val="22"/>
          <w:vertAlign w:val="superscript"/>
        </w:rPr>
      </w:pPr>
      <w:r w:rsidRPr="008D4475">
        <w:rPr>
          <w:rFonts w:cs="Arial"/>
          <w:bCs/>
          <w:szCs w:val="22"/>
        </w:rPr>
        <w:t xml:space="preserve">In GO-AFTER, the percentage of patients achieving an ACR 20 response was greater for patients receiving </w:t>
      </w:r>
      <w:r w:rsidR="00643BFB">
        <w:rPr>
          <w:rFonts w:cs="Arial"/>
          <w:bCs/>
          <w:szCs w:val="22"/>
        </w:rPr>
        <w:t>SIMPONI</w:t>
      </w:r>
      <w:r w:rsidRPr="008D4475">
        <w:rPr>
          <w:rFonts w:cs="Arial"/>
          <w:bCs/>
          <w:szCs w:val="22"/>
        </w:rPr>
        <w:t xml:space="preserve"> 50 mg than for patients receiving placebo regardless of the reason reported for discontinuat</w:t>
      </w:r>
      <w:smartTag w:uri="urn:schemas-microsoft-com:office:smarttags" w:element="PersonName">
        <w:r w:rsidRPr="008D4475">
          <w:rPr>
            <w:rFonts w:cs="Arial"/>
            <w:bCs/>
            <w:szCs w:val="22"/>
          </w:rPr>
          <w:t>ion</w:t>
        </w:r>
      </w:smartTag>
      <w:r w:rsidRPr="008D4475">
        <w:rPr>
          <w:rFonts w:cs="Arial"/>
          <w:bCs/>
          <w:szCs w:val="22"/>
        </w:rPr>
        <w:t xml:space="preserve"> of one or more prior anti-TNF therapies</w:t>
      </w:r>
      <w:r w:rsidR="00D85229">
        <w:rPr>
          <w:rFonts w:cs="Arial"/>
          <w:bCs/>
          <w:szCs w:val="22"/>
        </w:rPr>
        <w:t>.</w:t>
      </w:r>
    </w:p>
    <w:p w:rsidR="006B5076" w:rsidRPr="008D4475" w:rsidRDefault="006B5076" w:rsidP="006B5076">
      <w:pPr>
        <w:rPr>
          <w:rFonts w:cs="Arial"/>
          <w:bCs/>
          <w:szCs w:val="22"/>
        </w:rPr>
      </w:pPr>
      <w:r w:rsidRPr="008D4475">
        <w:rPr>
          <w:rFonts w:cs="Arial"/>
          <w:bCs/>
          <w:szCs w:val="22"/>
          <w:u w:val="single"/>
        </w:rPr>
        <w:t>Physical funct</w:t>
      </w:r>
      <w:smartTag w:uri="urn:schemas-microsoft-com:office:smarttags" w:element="PersonName">
        <w:r w:rsidRPr="008D4475">
          <w:rPr>
            <w:rFonts w:cs="Arial"/>
            <w:bCs/>
            <w:szCs w:val="22"/>
            <w:u w:val="single"/>
          </w:rPr>
          <w:t>ion</w:t>
        </w:r>
      </w:smartTag>
      <w:r w:rsidR="004A5E90">
        <w:rPr>
          <w:rFonts w:cs="Arial"/>
          <w:bCs/>
          <w:szCs w:val="22"/>
          <w:u w:val="single"/>
        </w:rPr>
        <w:t xml:space="preserve"> and health-</w:t>
      </w:r>
      <w:r w:rsidRPr="008D4475">
        <w:rPr>
          <w:rFonts w:cs="Arial"/>
          <w:bCs/>
          <w:szCs w:val="22"/>
          <w:u w:val="single"/>
        </w:rPr>
        <w:t>related quality of life</w:t>
      </w:r>
      <w:r w:rsidRPr="008D4475">
        <w:rPr>
          <w:rFonts w:cs="Arial"/>
          <w:bCs/>
          <w:szCs w:val="22"/>
        </w:rPr>
        <w:t xml:space="preserve">: </w:t>
      </w:r>
      <w:r w:rsidR="00EA5900" w:rsidRPr="008D4475">
        <w:rPr>
          <w:rFonts w:cs="Arial"/>
          <w:bCs/>
          <w:szCs w:val="22"/>
        </w:rPr>
        <w:t xml:space="preserve">In GO-AFTER and GO-FORWARD, the </w:t>
      </w:r>
      <w:r w:rsidR="00643BFB">
        <w:rPr>
          <w:rFonts w:cs="Arial"/>
          <w:bCs/>
          <w:szCs w:val="22"/>
        </w:rPr>
        <w:t>SIMPONI</w:t>
      </w:r>
      <w:r w:rsidR="00EA5900" w:rsidRPr="008D4475">
        <w:rPr>
          <w:rFonts w:cs="Arial"/>
          <w:bCs/>
          <w:szCs w:val="22"/>
        </w:rPr>
        <w:t xml:space="preserve"> 50 mg groups demonstrated a greater improvement compared to the control groups in the change in mean Health Assessment Questionnaire Disability Index (HAQ-DI) score from baseline to </w:t>
      </w:r>
      <w:r w:rsidR="009C6804" w:rsidRPr="008D4475">
        <w:rPr>
          <w:rFonts w:cs="Arial"/>
          <w:bCs/>
          <w:szCs w:val="22"/>
        </w:rPr>
        <w:t>week</w:t>
      </w:r>
      <w:r w:rsidR="00EA5900" w:rsidRPr="008D4475">
        <w:rPr>
          <w:rFonts w:cs="Arial"/>
          <w:bCs/>
          <w:szCs w:val="22"/>
        </w:rPr>
        <w:t xml:space="preserve"> 24: 0.2</w:t>
      </w:r>
      <w:r w:rsidR="005C69FF">
        <w:rPr>
          <w:rFonts w:cs="Arial"/>
          <w:bCs/>
          <w:szCs w:val="22"/>
        </w:rPr>
        <w:t>3</w:t>
      </w:r>
      <w:r w:rsidR="00EA5900" w:rsidRPr="008D4475">
        <w:rPr>
          <w:rFonts w:cs="Arial"/>
          <w:bCs/>
          <w:szCs w:val="22"/>
        </w:rPr>
        <w:t xml:space="preserve"> vs. 0.0</w:t>
      </w:r>
      <w:r w:rsidR="005C69FF">
        <w:rPr>
          <w:rFonts w:cs="Arial"/>
          <w:bCs/>
          <w:szCs w:val="22"/>
        </w:rPr>
        <w:t>3</w:t>
      </w:r>
      <w:r w:rsidR="00EA5900" w:rsidRPr="008D4475">
        <w:rPr>
          <w:rFonts w:cs="Arial"/>
          <w:bCs/>
          <w:szCs w:val="22"/>
        </w:rPr>
        <w:t xml:space="preserve"> in GO-AFTER, 0.47 vs. 0.13 in GO-FORWARD, respectively. Also in GO-AFTER and GO-FORWARD, the </w:t>
      </w:r>
      <w:r w:rsidR="00643BFB">
        <w:rPr>
          <w:rFonts w:cs="Arial"/>
          <w:bCs/>
          <w:szCs w:val="22"/>
        </w:rPr>
        <w:t>SIMPONI</w:t>
      </w:r>
      <w:r w:rsidR="00EA5900" w:rsidRPr="008D4475">
        <w:rPr>
          <w:rFonts w:cs="Arial"/>
          <w:bCs/>
          <w:szCs w:val="22"/>
        </w:rPr>
        <w:t xml:space="preserve"> 50 mg groups compared to the control groups had a greater proportion of HAQ responders (change from baseline &gt; 0.22) at </w:t>
      </w:r>
      <w:r w:rsidR="009C6804" w:rsidRPr="008D4475">
        <w:rPr>
          <w:rFonts w:cs="Arial"/>
          <w:bCs/>
          <w:szCs w:val="22"/>
        </w:rPr>
        <w:t>week</w:t>
      </w:r>
      <w:r w:rsidR="00EA5900" w:rsidRPr="008D4475">
        <w:rPr>
          <w:rFonts w:cs="Arial"/>
          <w:bCs/>
          <w:szCs w:val="22"/>
        </w:rPr>
        <w:t xml:space="preserve"> 24: 44% vs. 28%, 65% vs. 35%, respectively.</w:t>
      </w:r>
    </w:p>
    <w:p w:rsidR="006B5076" w:rsidRPr="008D4475" w:rsidRDefault="00B02725">
      <w:pPr>
        <w:rPr>
          <w:rFonts w:cs="Arial"/>
          <w:szCs w:val="22"/>
        </w:rPr>
      </w:pPr>
      <w:r w:rsidRPr="008D4475">
        <w:rPr>
          <w:rFonts w:cs="Arial"/>
          <w:bCs/>
          <w:szCs w:val="22"/>
        </w:rPr>
        <w:lastRenderedPageBreak/>
        <w:t xml:space="preserve">In GO-FORWARD clinically meaningful and statistically significant improvements were demonstrated in health-related quality of life as measured by the physical component score of the SF-36 in patients treated with </w:t>
      </w:r>
      <w:r w:rsidR="00643BFB">
        <w:rPr>
          <w:rFonts w:cs="Arial"/>
          <w:bCs/>
          <w:szCs w:val="22"/>
        </w:rPr>
        <w:t>SIMPONI</w:t>
      </w:r>
      <w:r w:rsidRPr="008D4475">
        <w:rPr>
          <w:rFonts w:cs="Arial"/>
          <w:bCs/>
          <w:szCs w:val="22"/>
        </w:rPr>
        <w:t xml:space="preserve"> versus placebo.</w:t>
      </w:r>
    </w:p>
    <w:p w:rsidR="00101B81" w:rsidRPr="008D4475" w:rsidRDefault="00101B81" w:rsidP="007A5110">
      <w:pPr>
        <w:pStyle w:val="Heading3"/>
      </w:pPr>
      <w:r w:rsidRPr="008D4475">
        <w:t>Psoriatic arthritis</w:t>
      </w:r>
    </w:p>
    <w:p w:rsidR="00B02725" w:rsidRPr="008D4475" w:rsidRDefault="00B02725" w:rsidP="00B02725">
      <w:pPr>
        <w:rPr>
          <w:rFonts w:cs="Arial"/>
          <w:szCs w:val="22"/>
        </w:rPr>
      </w:pPr>
      <w:r w:rsidRPr="008D4475">
        <w:rPr>
          <w:rFonts w:cs="Arial"/>
          <w:szCs w:val="22"/>
        </w:rPr>
        <w:t xml:space="preserve">The safety and efficacy of </w:t>
      </w:r>
      <w:r w:rsidR="00643BFB">
        <w:rPr>
          <w:rFonts w:cs="Arial"/>
          <w:szCs w:val="22"/>
        </w:rPr>
        <w:t>SIMPONI</w:t>
      </w:r>
      <w:r w:rsidRPr="008D4475">
        <w:rPr>
          <w:rFonts w:cs="Arial"/>
          <w:szCs w:val="22"/>
        </w:rPr>
        <w:t xml:space="preserve"> were evaluated in a multi-centre, randomised, double-blind, placebo-controlled study (GO-REVEAL) in 405 adult patients with active </w:t>
      </w:r>
      <w:proofErr w:type="spellStart"/>
      <w:r w:rsidRPr="008D4475">
        <w:rPr>
          <w:rFonts w:cs="Arial"/>
          <w:szCs w:val="22"/>
        </w:rPr>
        <w:t>PsA</w:t>
      </w:r>
      <w:proofErr w:type="spellEnd"/>
      <w:r w:rsidRPr="008D4475">
        <w:rPr>
          <w:rFonts w:cs="Arial"/>
          <w:szCs w:val="22"/>
        </w:rPr>
        <w:t xml:space="preserve"> (</w:t>
      </w:r>
      <w:r w:rsidRPr="008D4475">
        <w:rPr>
          <w:rFonts w:cs="Arial"/>
          <w:szCs w:val="22"/>
        </w:rPr>
        <w:sym w:font="Symbol" w:char="F0B3"/>
      </w:r>
      <w:r w:rsidRPr="008D4475">
        <w:rPr>
          <w:rFonts w:cs="Arial"/>
          <w:szCs w:val="22"/>
        </w:rPr>
        <w:t xml:space="preserve"> 3 swollen joints and </w:t>
      </w:r>
      <w:r w:rsidRPr="008D4475">
        <w:rPr>
          <w:rFonts w:cs="Arial"/>
          <w:szCs w:val="22"/>
        </w:rPr>
        <w:sym w:font="Symbol" w:char="F0B3"/>
      </w:r>
      <w:r w:rsidRPr="008D4475">
        <w:rPr>
          <w:rFonts w:cs="Arial"/>
          <w:szCs w:val="22"/>
        </w:rPr>
        <w:t xml:space="preserve"> 3 tender joints) despite non-steroidal anti-inflammatory (NSAID) or DMARD therapy. Patients in this study had a diagnosis of </w:t>
      </w:r>
      <w:proofErr w:type="spellStart"/>
      <w:r w:rsidRPr="008D4475">
        <w:rPr>
          <w:rFonts w:cs="Arial"/>
          <w:szCs w:val="22"/>
        </w:rPr>
        <w:t>PsA</w:t>
      </w:r>
      <w:proofErr w:type="spellEnd"/>
      <w:r w:rsidRPr="008D4475">
        <w:rPr>
          <w:rFonts w:cs="Arial"/>
          <w:szCs w:val="22"/>
        </w:rPr>
        <w:t xml:space="preserve"> for at least 6 months with a qualifying psoriatic skin les</w:t>
      </w:r>
      <w:smartTag w:uri="urn:schemas-microsoft-com:office:smarttags" w:element="PersonName">
        <w:r w:rsidRPr="008D4475">
          <w:rPr>
            <w:rFonts w:cs="Arial"/>
            <w:szCs w:val="22"/>
          </w:rPr>
          <w:t>ion</w:t>
        </w:r>
      </w:smartTag>
      <w:r w:rsidRPr="008D4475">
        <w:rPr>
          <w:rFonts w:cs="Arial"/>
          <w:szCs w:val="22"/>
        </w:rPr>
        <w:t xml:space="preserve"> of at least 2 cm in diameter. Patients with each sub-type of psoriatic arthritis were enrolled, including </w:t>
      </w:r>
      <w:proofErr w:type="spellStart"/>
      <w:r w:rsidRPr="008D4475">
        <w:rPr>
          <w:rFonts w:cs="Arial"/>
          <w:szCs w:val="22"/>
        </w:rPr>
        <w:t>polyarticular</w:t>
      </w:r>
      <w:proofErr w:type="spellEnd"/>
      <w:r w:rsidRPr="008D4475">
        <w:rPr>
          <w:rFonts w:cs="Arial"/>
          <w:szCs w:val="22"/>
        </w:rPr>
        <w:t xml:space="preserve"> arthritis with no rheumatoid nodules (43%), asymmetric peripheral arthritis (30%), distal </w:t>
      </w:r>
      <w:proofErr w:type="spellStart"/>
      <w:r w:rsidRPr="008D4475">
        <w:rPr>
          <w:rFonts w:cs="Arial"/>
          <w:szCs w:val="22"/>
        </w:rPr>
        <w:t>interphalangeal</w:t>
      </w:r>
      <w:proofErr w:type="spellEnd"/>
      <w:r w:rsidRPr="008D4475">
        <w:rPr>
          <w:rFonts w:cs="Arial"/>
          <w:szCs w:val="22"/>
        </w:rPr>
        <w:t xml:space="preserve"> (DIP) joint arthritis (15%), </w:t>
      </w:r>
      <w:proofErr w:type="spellStart"/>
      <w:r w:rsidRPr="008D4475">
        <w:rPr>
          <w:rFonts w:cs="Arial"/>
          <w:szCs w:val="22"/>
        </w:rPr>
        <w:t>spondylitis</w:t>
      </w:r>
      <w:proofErr w:type="spellEnd"/>
      <w:r w:rsidRPr="008D4475">
        <w:rPr>
          <w:rFonts w:cs="Arial"/>
          <w:szCs w:val="22"/>
        </w:rPr>
        <w:t xml:space="preserve"> with peripheral arthritis (11%), and arthritis </w:t>
      </w:r>
      <w:proofErr w:type="spellStart"/>
      <w:r w:rsidRPr="008D4475">
        <w:rPr>
          <w:rFonts w:cs="Arial"/>
          <w:szCs w:val="22"/>
        </w:rPr>
        <w:t>mutilans</w:t>
      </w:r>
      <w:proofErr w:type="spellEnd"/>
      <w:r w:rsidRPr="008D4475">
        <w:rPr>
          <w:rFonts w:cs="Arial"/>
          <w:szCs w:val="22"/>
        </w:rPr>
        <w:t xml:space="preserve"> (1%). </w:t>
      </w:r>
      <w:r w:rsidR="00EA5900" w:rsidRPr="008D4475">
        <w:rPr>
          <w:rFonts w:cs="Arial"/>
          <w:szCs w:val="22"/>
        </w:rPr>
        <w:t xml:space="preserve">The median duration of </w:t>
      </w:r>
      <w:proofErr w:type="spellStart"/>
      <w:r w:rsidR="00EA5900" w:rsidRPr="008D4475">
        <w:rPr>
          <w:rFonts w:cs="Arial"/>
          <w:szCs w:val="22"/>
        </w:rPr>
        <w:t>PsA</w:t>
      </w:r>
      <w:proofErr w:type="spellEnd"/>
      <w:r w:rsidR="00EA5900" w:rsidRPr="008D4475">
        <w:rPr>
          <w:rFonts w:cs="Arial"/>
          <w:szCs w:val="22"/>
        </w:rPr>
        <w:t xml:space="preserve"> disease was 5.1 </w:t>
      </w:r>
      <w:r w:rsidR="00EA5900" w:rsidRPr="00DE1C16">
        <w:t xml:space="preserve">years. </w:t>
      </w:r>
      <w:r w:rsidR="008D4475" w:rsidRPr="00DE1C16">
        <w:t xml:space="preserve">This study excluded patients previously treated with TNF blocking agents, and patients with serious or chronic infections, history of congestive heart failure, </w:t>
      </w:r>
      <w:proofErr w:type="spellStart"/>
      <w:r w:rsidR="008D4475" w:rsidRPr="00DE1C16">
        <w:t>demyelinating</w:t>
      </w:r>
      <w:proofErr w:type="spellEnd"/>
      <w:r w:rsidR="008D4475" w:rsidRPr="00DE1C16">
        <w:t xml:space="preserve"> disorders or a history of malignancy with the exception of treated basal skin cancer</w:t>
      </w:r>
      <w:r w:rsidRPr="00DE1C16">
        <w:t xml:space="preserve">. </w:t>
      </w:r>
      <w:r w:rsidR="00643BFB">
        <w:t>SIMPONI</w:t>
      </w:r>
      <w:r w:rsidRPr="00DE1C16">
        <w:t xml:space="preserve"> was</w:t>
      </w:r>
      <w:r w:rsidRPr="008D4475">
        <w:rPr>
          <w:rFonts w:cs="Arial"/>
          <w:szCs w:val="22"/>
        </w:rPr>
        <w:t xml:space="preserve"> administered subcutaneously at doses of 50 mg or 100 mg, with or without MTX, every 4 weeks. Patients were randomly assigned to placebo (n=113), </w:t>
      </w:r>
      <w:r w:rsidR="00643BFB">
        <w:rPr>
          <w:rFonts w:cs="Arial"/>
          <w:szCs w:val="22"/>
        </w:rPr>
        <w:t>SIMPONI</w:t>
      </w:r>
      <w:r w:rsidRPr="008D4475">
        <w:rPr>
          <w:rFonts w:cs="Arial"/>
          <w:szCs w:val="22"/>
        </w:rPr>
        <w:t xml:space="preserve"> 50 mg (n=146), and </w:t>
      </w:r>
      <w:r w:rsidR="00643BFB">
        <w:rPr>
          <w:rFonts w:cs="Arial"/>
          <w:szCs w:val="22"/>
        </w:rPr>
        <w:t>SIMPONI</w:t>
      </w:r>
      <w:r w:rsidRPr="008D4475">
        <w:rPr>
          <w:rFonts w:cs="Arial"/>
          <w:szCs w:val="22"/>
        </w:rPr>
        <w:t xml:space="preserve"> 100 mg (n</w:t>
      </w:r>
      <w:r w:rsidR="004C5765" w:rsidRPr="008D4475">
        <w:rPr>
          <w:rFonts w:cs="Arial"/>
          <w:szCs w:val="22"/>
        </w:rPr>
        <w:t>=</w:t>
      </w:r>
      <w:r w:rsidRPr="008D4475">
        <w:rPr>
          <w:rFonts w:cs="Arial"/>
          <w:szCs w:val="22"/>
        </w:rPr>
        <w:t xml:space="preserve">146). The primary endpoint was the percentage of patients achieving ACR 20 response at </w:t>
      </w:r>
      <w:r w:rsidR="009C6804" w:rsidRPr="008D4475">
        <w:rPr>
          <w:rFonts w:cs="Arial"/>
          <w:szCs w:val="22"/>
        </w:rPr>
        <w:t>week</w:t>
      </w:r>
      <w:r w:rsidRPr="008D4475">
        <w:rPr>
          <w:rFonts w:cs="Arial"/>
          <w:szCs w:val="22"/>
        </w:rPr>
        <w:t xml:space="preserve"> 14. </w:t>
      </w:r>
      <w:bookmarkStart w:id="0" w:name="OLE_LINK6"/>
      <w:r w:rsidR="00477978">
        <w:rPr>
          <w:rFonts w:cs="Arial"/>
          <w:szCs w:val="22"/>
        </w:rPr>
        <w:t>Placebo-</w:t>
      </w:r>
      <w:r w:rsidRPr="008D4475">
        <w:rPr>
          <w:rFonts w:cs="Arial"/>
          <w:szCs w:val="22"/>
        </w:rPr>
        <w:t>controlled efficacy data were collected and analysed through week 24.</w:t>
      </w:r>
      <w:bookmarkEnd w:id="0"/>
    </w:p>
    <w:p w:rsidR="00B02725" w:rsidRPr="008D4475" w:rsidRDefault="00B02725" w:rsidP="00B02725">
      <w:pPr>
        <w:rPr>
          <w:rFonts w:cs="Arial"/>
          <w:szCs w:val="22"/>
        </w:rPr>
      </w:pPr>
      <w:r w:rsidRPr="008D4475">
        <w:rPr>
          <w:rFonts w:cs="Arial"/>
          <w:szCs w:val="22"/>
        </w:rPr>
        <w:t xml:space="preserve">Key results for the 50 mg dose are shown in </w:t>
      </w:r>
      <w:r w:rsidR="00D275C2" w:rsidRPr="008D4475">
        <w:rPr>
          <w:rFonts w:cs="Arial"/>
          <w:szCs w:val="22"/>
        </w:rPr>
        <w:t>T</w:t>
      </w:r>
      <w:r w:rsidRPr="008D4475">
        <w:rPr>
          <w:rFonts w:cs="Arial"/>
          <w:szCs w:val="22"/>
        </w:rPr>
        <w:t xml:space="preserve">able </w:t>
      </w:r>
      <w:r w:rsidR="001332CA" w:rsidRPr="008D4475">
        <w:rPr>
          <w:rFonts w:cs="Arial"/>
          <w:szCs w:val="22"/>
        </w:rPr>
        <w:t xml:space="preserve">3 </w:t>
      </w:r>
      <w:r w:rsidRPr="008D4475">
        <w:rPr>
          <w:rFonts w:cs="Arial"/>
          <w:szCs w:val="22"/>
        </w:rPr>
        <w:t xml:space="preserve">below. In general, no clinically meaningful differences in measures of efficacy were observed between the </w:t>
      </w:r>
      <w:r w:rsidR="00643BFB">
        <w:rPr>
          <w:rFonts w:cs="Arial"/>
          <w:szCs w:val="22"/>
        </w:rPr>
        <w:t>SIMPONI</w:t>
      </w:r>
      <w:r w:rsidRPr="008D4475">
        <w:rPr>
          <w:rFonts w:cs="Arial"/>
          <w:szCs w:val="22"/>
        </w:rPr>
        <w:t xml:space="preserve"> 50 mg and 100 mg dosing regimens.</w:t>
      </w:r>
    </w:p>
    <w:p w:rsidR="00B02725" w:rsidRPr="008D4475" w:rsidRDefault="00B02725" w:rsidP="00B02725">
      <w:pPr>
        <w:pStyle w:val="Caption"/>
        <w:keepNext/>
      </w:pPr>
      <w:r w:rsidRPr="008D4475">
        <w:t xml:space="preserve">Table </w:t>
      </w:r>
      <w:fldSimple w:instr=" SEQ Table \* ARABIC ">
        <w:r w:rsidR="009154D5">
          <w:rPr>
            <w:noProof/>
          </w:rPr>
          <w:t>3</w:t>
        </w:r>
      </w:fldSimple>
      <w:r w:rsidRPr="008D4475">
        <w:t>: Key efficacy outcomes from GO-REVEAL</w:t>
      </w:r>
    </w:p>
    <w:tbl>
      <w:tblPr>
        <w:tblW w:w="7315" w:type="dxa"/>
        <w:jc w:val="center"/>
        <w:tblBorders>
          <w:top w:val="single" w:sz="4" w:space="0" w:color="auto"/>
          <w:left w:val="single" w:sz="4" w:space="0" w:color="auto"/>
          <w:bottom w:val="single" w:sz="4" w:space="0" w:color="auto"/>
          <w:right w:val="single" w:sz="4" w:space="0" w:color="auto"/>
        </w:tblBorders>
        <w:tblLook w:val="0000"/>
      </w:tblPr>
      <w:tblGrid>
        <w:gridCol w:w="2562"/>
        <w:gridCol w:w="2555"/>
        <w:gridCol w:w="2198"/>
      </w:tblGrid>
      <w:tr w:rsidR="00B02725" w:rsidRPr="007A5110" w:rsidTr="002A2223">
        <w:trPr>
          <w:cantSplit/>
          <w:tblHeade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rPr>
                <w:szCs w:val="20"/>
                <w:lang w:val="en-AU"/>
              </w:rPr>
            </w:pPr>
          </w:p>
        </w:tc>
        <w:tc>
          <w:tcPr>
            <w:tcW w:w="2555" w:type="dxa"/>
            <w:tcBorders>
              <w:top w:val="single" w:sz="4" w:space="0" w:color="auto"/>
              <w:left w:val="single" w:sz="4" w:space="0" w:color="auto"/>
              <w:bottom w:val="single" w:sz="4" w:space="0" w:color="auto"/>
              <w:right w:val="single" w:sz="4" w:space="0" w:color="auto"/>
            </w:tcBorders>
          </w:tcPr>
          <w:p w:rsidR="00B02725" w:rsidRPr="007A5110" w:rsidRDefault="00B02725" w:rsidP="007A5110">
            <w:pPr>
              <w:pStyle w:val="Normal-Table"/>
              <w:spacing w:before="0" w:after="0"/>
              <w:jc w:val="center"/>
              <w:rPr>
                <w:szCs w:val="20"/>
                <w:lang w:val="en-AU"/>
              </w:rPr>
            </w:pPr>
            <w:r w:rsidRPr="007A5110">
              <w:rPr>
                <w:szCs w:val="20"/>
                <w:lang w:val="en-AU"/>
              </w:rPr>
              <w:t>Placebo</w:t>
            </w:r>
          </w:p>
        </w:tc>
        <w:tc>
          <w:tcPr>
            <w:tcW w:w="2198" w:type="dxa"/>
            <w:tcBorders>
              <w:top w:val="single" w:sz="4" w:space="0" w:color="auto"/>
              <w:left w:val="single" w:sz="4" w:space="0" w:color="auto"/>
              <w:bottom w:val="single" w:sz="4" w:space="0" w:color="auto"/>
              <w:right w:val="single" w:sz="4" w:space="0" w:color="auto"/>
            </w:tcBorders>
          </w:tcPr>
          <w:p w:rsidR="00B02725" w:rsidRPr="007A5110" w:rsidRDefault="00643BFB" w:rsidP="007A5110">
            <w:pPr>
              <w:pStyle w:val="Normal-Table"/>
              <w:spacing w:before="0" w:after="0"/>
              <w:jc w:val="center"/>
              <w:rPr>
                <w:szCs w:val="20"/>
                <w:lang w:val="en-AU"/>
              </w:rPr>
            </w:pPr>
            <w:r w:rsidRPr="007A5110">
              <w:rPr>
                <w:szCs w:val="20"/>
                <w:lang w:val="en-AU"/>
              </w:rPr>
              <w:t>SIMPONI</w:t>
            </w:r>
          </w:p>
          <w:p w:rsidR="00B02725" w:rsidRPr="007A5110" w:rsidRDefault="00B02725" w:rsidP="007A5110">
            <w:pPr>
              <w:pStyle w:val="Normal-Table"/>
              <w:spacing w:before="0" w:after="0"/>
              <w:jc w:val="center"/>
              <w:rPr>
                <w:szCs w:val="20"/>
                <w:lang w:val="en-AU"/>
              </w:rPr>
            </w:pPr>
            <w:r w:rsidRPr="007A5110">
              <w:rPr>
                <w:szCs w:val="20"/>
                <w:lang w:val="en-AU"/>
              </w:rPr>
              <w:t>50 mg*</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b/>
                <w:bCs/>
                <w:szCs w:val="20"/>
                <w:lang w:val="en-AU"/>
              </w:rPr>
            </w:pPr>
            <w:r w:rsidRPr="007A5110">
              <w:rPr>
                <w:szCs w:val="20"/>
                <w:lang w:val="en-AU"/>
              </w:rPr>
              <w:t>N</w:t>
            </w:r>
            <w:r w:rsidRPr="007A5110">
              <w:rPr>
                <w:szCs w:val="20"/>
                <w:vertAlign w:val="superscript"/>
                <w:lang w:val="en-AU"/>
              </w:rPr>
              <w:t>a</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113</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146</w:t>
            </w:r>
          </w:p>
        </w:tc>
      </w:tr>
      <w:tr w:rsidR="00B02725" w:rsidRPr="007A5110">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rPr>
                <w:b/>
                <w:bCs/>
                <w:szCs w:val="20"/>
                <w:lang w:val="en-AU"/>
              </w:rPr>
            </w:pPr>
            <w:r w:rsidRPr="007A5110">
              <w:rPr>
                <w:b/>
                <w:bCs/>
                <w:szCs w:val="20"/>
                <w:lang w:val="en-AU"/>
              </w:rPr>
              <w:t>Responders, % of patients</w:t>
            </w:r>
          </w:p>
        </w:tc>
      </w:tr>
      <w:tr w:rsidR="00B02725" w:rsidRPr="007A5110">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rPr>
                <w:b/>
                <w:bCs/>
                <w:szCs w:val="20"/>
                <w:lang w:val="en-AU"/>
              </w:rPr>
            </w:pPr>
            <w:r w:rsidRPr="007A5110">
              <w:rPr>
                <w:b/>
                <w:bCs/>
                <w:szCs w:val="20"/>
                <w:lang w:val="en-AU"/>
              </w:rPr>
              <w:t>ACR 20</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szCs w:val="20"/>
                <w:lang w:val="en-AU"/>
              </w:rPr>
            </w:pPr>
            <w:r w:rsidRPr="007A5110">
              <w:rPr>
                <w:b/>
                <w:szCs w:val="20"/>
                <w:lang w:val="en-AU"/>
              </w:rPr>
              <w:t>9 %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szCs w:val="20"/>
                <w:lang w:val="en-AU"/>
              </w:rPr>
            </w:pPr>
            <w:r w:rsidRPr="007A5110">
              <w:rPr>
                <w:b/>
                <w:szCs w:val="20"/>
                <w:lang w:val="en-AU"/>
              </w:rPr>
              <w:t>51 %</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52 %</w:t>
            </w:r>
          </w:p>
        </w:tc>
      </w:tr>
      <w:tr w:rsidR="00B02725" w:rsidRPr="007A5110">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left"/>
              <w:rPr>
                <w:b/>
                <w:bCs/>
                <w:szCs w:val="20"/>
                <w:lang w:val="en-AU"/>
              </w:rPr>
            </w:pPr>
            <w:r w:rsidRPr="007A5110">
              <w:rPr>
                <w:b/>
                <w:bCs/>
                <w:szCs w:val="20"/>
                <w:lang w:val="en-AU"/>
              </w:rPr>
              <w:t>ACR 50</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30 %</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4 %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32 %</w:t>
            </w:r>
          </w:p>
        </w:tc>
      </w:tr>
      <w:tr w:rsidR="00B02725" w:rsidRPr="007A5110">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left"/>
              <w:rPr>
                <w:b/>
                <w:bCs/>
                <w:szCs w:val="20"/>
                <w:lang w:val="en-AU"/>
              </w:rPr>
            </w:pPr>
            <w:r w:rsidRPr="007A5110">
              <w:rPr>
                <w:b/>
                <w:bCs/>
                <w:szCs w:val="20"/>
                <w:lang w:val="en-AU"/>
              </w:rPr>
              <w:t>ACR 70</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12 %</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19 %</w:t>
            </w:r>
          </w:p>
        </w:tc>
      </w:tr>
      <w:tr w:rsidR="00B02725" w:rsidRPr="007A5110">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left"/>
              <w:rPr>
                <w:b/>
                <w:bCs/>
                <w:szCs w:val="20"/>
                <w:lang w:val="en-AU"/>
              </w:rPr>
            </w:pPr>
            <w:r w:rsidRPr="007A5110">
              <w:rPr>
                <w:b/>
                <w:bCs/>
                <w:szCs w:val="20"/>
                <w:lang w:val="en-AU"/>
              </w:rPr>
              <w:t>PASI 75</w:t>
            </w:r>
            <w:r w:rsidRPr="007A5110">
              <w:rPr>
                <w:b/>
                <w:bCs/>
                <w:szCs w:val="20"/>
                <w:vertAlign w:val="superscript"/>
                <w:lang w:val="en-AU"/>
              </w:rPr>
              <w:t>b</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b/>
                <w:bCs/>
                <w:szCs w:val="20"/>
                <w:lang w:val="en-AU"/>
              </w:rPr>
            </w:pPr>
            <w:r w:rsidRPr="007A5110">
              <w:rPr>
                <w:szCs w:val="20"/>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bCs/>
                <w:szCs w:val="20"/>
                <w:lang w:val="en-AU"/>
              </w:rPr>
            </w:pPr>
            <w:r w:rsidRPr="007A5110">
              <w:rPr>
                <w:szCs w:val="20"/>
                <w:lang w:val="en-AU"/>
              </w:rPr>
              <w:t>3 %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bCs/>
                <w:szCs w:val="20"/>
                <w:lang w:val="en-AU"/>
              </w:rPr>
            </w:pPr>
            <w:r w:rsidRPr="007A5110">
              <w:rPr>
                <w:szCs w:val="20"/>
                <w:lang w:val="en-AU"/>
              </w:rPr>
              <w:t>40 %</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b/>
                <w:bCs/>
                <w:szCs w:val="20"/>
                <w:lang w:val="en-AU"/>
              </w:rPr>
            </w:pPr>
            <w:r w:rsidRPr="007A5110">
              <w:rPr>
                <w:szCs w:val="20"/>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bCs/>
                <w:szCs w:val="20"/>
                <w:lang w:val="en-AU"/>
              </w:rPr>
            </w:pPr>
            <w:r w:rsidRPr="007A5110">
              <w:rPr>
                <w:szCs w:val="20"/>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b/>
                <w:bCs/>
                <w:szCs w:val="20"/>
                <w:lang w:val="en-AU"/>
              </w:rPr>
            </w:pPr>
            <w:r w:rsidRPr="007A5110">
              <w:rPr>
                <w:szCs w:val="20"/>
                <w:lang w:val="en-AU"/>
              </w:rPr>
              <w:t>56 %</w:t>
            </w:r>
          </w:p>
        </w:tc>
      </w:tr>
      <w:tr w:rsidR="00B02725" w:rsidRPr="007A5110">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rPr>
                <w:szCs w:val="20"/>
                <w:lang w:val="en-AU"/>
              </w:rPr>
            </w:pPr>
            <w:r w:rsidRPr="007A5110">
              <w:rPr>
                <w:b/>
                <w:bCs/>
                <w:szCs w:val="20"/>
                <w:lang w:val="en-AU"/>
              </w:rPr>
              <w:t xml:space="preserve">HAQ Baseline score </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right"/>
              <w:rPr>
                <w:szCs w:val="20"/>
                <w:lang w:val="en-AU"/>
              </w:rPr>
            </w:pPr>
            <w:r w:rsidRPr="007A5110">
              <w:rPr>
                <w:szCs w:val="20"/>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1.00</w:t>
            </w:r>
          </w:p>
        </w:tc>
      </w:tr>
      <w:tr w:rsidR="00B02725" w:rsidRPr="007A5110">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rPr>
                <w:szCs w:val="20"/>
                <w:lang w:val="en-AU"/>
              </w:rPr>
            </w:pPr>
            <w:r w:rsidRPr="007A5110">
              <w:rPr>
                <w:b/>
                <w:bCs/>
                <w:szCs w:val="20"/>
                <w:lang w:val="en-AU"/>
              </w:rPr>
              <w:t>Improvement in HAQ</w:t>
            </w:r>
          </w:p>
        </w:tc>
      </w:tr>
      <w:tr w:rsidR="00B02725" w:rsidRPr="007A5110"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7A5110" w:rsidRDefault="00AA78C4" w:rsidP="007A5110">
            <w:pPr>
              <w:pStyle w:val="Normal-Table"/>
              <w:spacing w:before="0" w:after="0"/>
              <w:jc w:val="right"/>
              <w:rPr>
                <w:szCs w:val="20"/>
                <w:lang w:val="en-AU"/>
              </w:rPr>
            </w:pPr>
            <w:r w:rsidRPr="007A5110">
              <w:rPr>
                <w:szCs w:val="20"/>
                <w:lang w:val="en-AU"/>
              </w:rPr>
              <w:t xml:space="preserve">Week </w:t>
            </w:r>
            <w:r w:rsidR="002A2223" w:rsidRPr="007A5110">
              <w:rPr>
                <w:szCs w:val="20"/>
                <w:lang w:val="en-AU"/>
              </w:rPr>
              <w:t xml:space="preserve">14 and </w:t>
            </w:r>
            <w:r w:rsidRPr="007A5110">
              <w:rPr>
                <w:szCs w:val="20"/>
                <w:lang w:val="en-AU"/>
              </w:rPr>
              <w:t>24</w:t>
            </w:r>
            <w:r w:rsidR="002A2223" w:rsidRPr="007A5110">
              <w:rPr>
                <w:szCs w:val="20"/>
                <w:lang w:val="en-AU"/>
              </w:rPr>
              <w:t xml:space="preserve">  </w:t>
            </w:r>
            <w:r w:rsidRPr="007A5110">
              <w:rPr>
                <w:szCs w:val="20"/>
                <w:lang w:val="en-AU"/>
              </w:rPr>
              <w:t xml:space="preserve">  </w:t>
            </w:r>
            <w:r w:rsidR="00B02725" w:rsidRPr="007A5110">
              <w:rPr>
                <w:szCs w:val="20"/>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0.00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7A5110" w:rsidRDefault="00B02725" w:rsidP="007A5110">
            <w:pPr>
              <w:pStyle w:val="Normal-Table"/>
              <w:spacing w:before="0" w:after="0"/>
              <w:jc w:val="center"/>
              <w:rPr>
                <w:szCs w:val="20"/>
                <w:lang w:val="en-AU"/>
              </w:rPr>
            </w:pPr>
            <w:r w:rsidRPr="007A5110">
              <w:rPr>
                <w:szCs w:val="20"/>
                <w:lang w:val="en-AU"/>
              </w:rPr>
              <w:t>0.25</w:t>
            </w:r>
          </w:p>
        </w:tc>
      </w:tr>
      <w:tr w:rsidR="00B02725" w:rsidRPr="007A5110">
        <w:trPr>
          <w:trHeight w:val="233"/>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7A5110" w:rsidRDefault="00C1353B" w:rsidP="007A5110">
            <w:pPr>
              <w:pStyle w:val="Normal-Table"/>
              <w:spacing w:before="0" w:after="0"/>
              <w:ind w:left="377" w:hanging="377"/>
              <w:rPr>
                <w:sz w:val="18"/>
                <w:szCs w:val="18"/>
                <w:lang w:val="en-AU"/>
              </w:rPr>
            </w:pPr>
            <w:r w:rsidRPr="007A5110">
              <w:rPr>
                <w:sz w:val="18"/>
                <w:szCs w:val="18"/>
                <w:lang w:val="en-AU"/>
              </w:rPr>
              <w:t xml:space="preserve">*:  </w:t>
            </w:r>
            <w:r w:rsidR="00B02725" w:rsidRPr="007A5110">
              <w:rPr>
                <w:sz w:val="18"/>
                <w:szCs w:val="18"/>
                <w:lang w:val="en-AU"/>
              </w:rPr>
              <w:t>p &lt; 0.05 for all comparisons; p-value calculations are based on comparisons  of median values for continuous variables</w:t>
            </w:r>
          </w:p>
          <w:p w:rsidR="00B02725" w:rsidRPr="007A5110" w:rsidRDefault="00C1353B" w:rsidP="007A5110">
            <w:pPr>
              <w:pStyle w:val="Normal-Table"/>
              <w:spacing w:before="0" w:after="0"/>
              <w:ind w:left="377" w:hanging="377"/>
              <w:rPr>
                <w:sz w:val="18"/>
                <w:szCs w:val="18"/>
                <w:lang w:val="en-AU"/>
              </w:rPr>
            </w:pPr>
            <w:r w:rsidRPr="007A5110">
              <w:rPr>
                <w:sz w:val="18"/>
                <w:szCs w:val="18"/>
                <w:lang w:val="en-AU"/>
              </w:rPr>
              <w:t xml:space="preserve">a:  </w:t>
            </w:r>
            <w:r w:rsidR="00B02725" w:rsidRPr="007A5110">
              <w:rPr>
                <w:sz w:val="18"/>
                <w:szCs w:val="18"/>
                <w:lang w:val="en-AU"/>
              </w:rPr>
              <w:t xml:space="preserve">N reflects randomised patients; actual number of patients evaluable for each endpoint may vary by </w:t>
            </w:r>
            <w:proofErr w:type="spellStart"/>
            <w:r w:rsidR="00B02725" w:rsidRPr="007A5110">
              <w:rPr>
                <w:sz w:val="18"/>
                <w:szCs w:val="18"/>
                <w:lang w:val="en-AU"/>
              </w:rPr>
              <w:t>timepoint</w:t>
            </w:r>
            <w:proofErr w:type="spellEnd"/>
          </w:p>
          <w:p w:rsidR="00B02725" w:rsidRPr="007A5110" w:rsidRDefault="00080281" w:rsidP="007A5110">
            <w:pPr>
              <w:pStyle w:val="Normal-Table"/>
              <w:spacing w:before="0" w:after="0"/>
              <w:ind w:left="377" w:hanging="377"/>
              <w:rPr>
                <w:sz w:val="18"/>
                <w:szCs w:val="18"/>
                <w:lang w:val="en-AU"/>
              </w:rPr>
            </w:pPr>
            <w:r w:rsidRPr="007A5110">
              <w:rPr>
                <w:sz w:val="18"/>
                <w:szCs w:val="18"/>
                <w:lang w:val="en-AU"/>
              </w:rPr>
              <w:t xml:space="preserve">b: </w:t>
            </w:r>
            <w:r w:rsidR="00C1353B" w:rsidRPr="007A5110">
              <w:rPr>
                <w:sz w:val="18"/>
                <w:szCs w:val="18"/>
                <w:lang w:val="en-AU"/>
              </w:rPr>
              <w:t xml:space="preserve"> </w:t>
            </w:r>
            <w:r w:rsidR="00B02725" w:rsidRPr="007A5110">
              <w:rPr>
                <w:sz w:val="18"/>
                <w:szCs w:val="18"/>
                <w:lang w:val="en-AU"/>
              </w:rPr>
              <w:t xml:space="preserve">Based on the subset of patients with </w:t>
            </w:r>
            <w:r w:rsidR="00B02725" w:rsidRPr="007A5110">
              <w:rPr>
                <w:sz w:val="18"/>
                <w:szCs w:val="18"/>
                <w:lang w:val="en-AU"/>
              </w:rPr>
              <w:sym w:font="Symbol" w:char="F0B3"/>
            </w:r>
            <w:r w:rsidR="00B02725" w:rsidRPr="007A5110">
              <w:rPr>
                <w:sz w:val="18"/>
                <w:szCs w:val="18"/>
                <w:lang w:val="en-AU"/>
              </w:rPr>
              <w:t xml:space="preserve"> 3% </w:t>
            </w:r>
            <w:r w:rsidRPr="007A5110">
              <w:rPr>
                <w:sz w:val="18"/>
                <w:szCs w:val="18"/>
                <w:lang w:val="en-AU"/>
              </w:rPr>
              <w:t>body surface area (</w:t>
            </w:r>
            <w:r w:rsidR="00B02725" w:rsidRPr="007A5110">
              <w:rPr>
                <w:sz w:val="18"/>
                <w:szCs w:val="18"/>
                <w:lang w:val="en-AU"/>
              </w:rPr>
              <w:t>BSA</w:t>
            </w:r>
            <w:r w:rsidRPr="007A5110">
              <w:rPr>
                <w:sz w:val="18"/>
                <w:szCs w:val="18"/>
                <w:lang w:val="en-AU"/>
              </w:rPr>
              <w:t>)</w:t>
            </w:r>
            <w:r w:rsidR="00B02725" w:rsidRPr="007A5110">
              <w:rPr>
                <w:sz w:val="18"/>
                <w:szCs w:val="18"/>
                <w:lang w:val="en-AU"/>
              </w:rPr>
              <w:t xml:space="preserve"> involvement at baseline</w:t>
            </w:r>
          </w:p>
        </w:tc>
      </w:tr>
    </w:tbl>
    <w:p w:rsidR="00660CBC" w:rsidRPr="008D4475" w:rsidRDefault="00B02725">
      <w:pPr>
        <w:rPr>
          <w:rFonts w:cs="Arial"/>
          <w:szCs w:val="22"/>
        </w:rPr>
      </w:pPr>
      <w:r w:rsidRPr="008D4475">
        <w:rPr>
          <w:rFonts w:cs="Arial"/>
          <w:szCs w:val="22"/>
        </w:rPr>
        <w:lastRenderedPageBreak/>
        <w:t>Improvements in key measures of disease activity were observed at the first assessment (</w:t>
      </w:r>
      <w:r w:rsidR="009C6804" w:rsidRPr="008D4475">
        <w:rPr>
          <w:rFonts w:cs="Arial"/>
          <w:szCs w:val="22"/>
        </w:rPr>
        <w:t>week</w:t>
      </w:r>
      <w:r w:rsidRPr="008D4475">
        <w:rPr>
          <w:rFonts w:cs="Arial"/>
          <w:szCs w:val="22"/>
        </w:rPr>
        <w:t xml:space="preserve"> 4) after the initial </w:t>
      </w:r>
      <w:r w:rsidR="00643BFB">
        <w:rPr>
          <w:rFonts w:cs="Arial"/>
          <w:szCs w:val="22"/>
        </w:rPr>
        <w:t>SIMPONI</w:t>
      </w:r>
      <w:r w:rsidRPr="008D4475">
        <w:rPr>
          <w:rFonts w:cs="Arial"/>
          <w:szCs w:val="22"/>
        </w:rPr>
        <w:t xml:space="preserve"> administrat</w:t>
      </w:r>
      <w:smartTag w:uri="urn:schemas-microsoft-com:office:smarttags" w:element="PersonName">
        <w:r w:rsidRPr="008D4475">
          <w:rPr>
            <w:rFonts w:cs="Arial"/>
            <w:szCs w:val="22"/>
          </w:rPr>
          <w:t>ion</w:t>
        </w:r>
      </w:smartTag>
      <w:r w:rsidRPr="008D4475">
        <w:rPr>
          <w:rFonts w:cs="Arial"/>
          <w:szCs w:val="22"/>
        </w:rPr>
        <w:t xml:space="preserve"> and were maintained through </w:t>
      </w:r>
      <w:r w:rsidR="009C6804" w:rsidRPr="008D4475">
        <w:rPr>
          <w:rFonts w:cs="Arial"/>
          <w:szCs w:val="22"/>
        </w:rPr>
        <w:t>week</w:t>
      </w:r>
      <w:r w:rsidRPr="008D4475">
        <w:rPr>
          <w:rFonts w:cs="Arial"/>
          <w:szCs w:val="22"/>
        </w:rPr>
        <w:t xml:space="preserve"> 24. Similar ACR 20 responses at week 14 were observed in patients with different </w:t>
      </w:r>
      <w:proofErr w:type="spellStart"/>
      <w:r w:rsidRPr="008D4475">
        <w:rPr>
          <w:rFonts w:cs="Arial"/>
          <w:szCs w:val="22"/>
        </w:rPr>
        <w:t>PsA</w:t>
      </w:r>
      <w:proofErr w:type="spellEnd"/>
      <w:r w:rsidRPr="008D4475">
        <w:rPr>
          <w:rFonts w:cs="Arial"/>
          <w:szCs w:val="22"/>
        </w:rPr>
        <w:t xml:space="preserve"> subtypes including </w:t>
      </w:r>
      <w:proofErr w:type="spellStart"/>
      <w:r w:rsidRPr="008D4475">
        <w:rPr>
          <w:rFonts w:cs="Arial"/>
          <w:szCs w:val="22"/>
        </w:rPr>
        <w:t>polyarticular</w:t>
      </w:r>
      <w:proofErr w:type="spellEnd"/>
      <w:r w:rsidRPr="008D4475">
        <w:rPr>
          <w:rFonts w:cs="Arial"/>
          <w:szCs w:val="22"/>
        </w:rPr>
        <w:t xml:space="preserve"> arthritis with no rheumatoid nodules, asymmetric peripheral arthritis, DIP arthritis, and </w:t>
      </w:r>
      <w:proofErr w:type="spellStart"/>
      <w:r w:rsidRPr="008D4475">
        <w:rPr>
          <w:rFonts w:cs="Arial"/>
          <w:szCs w:val="22"/>
        </w:rPr>
        <w:t>spondylitis</w:t>
      </w:r>
      <w:proofErr w:type="spellEnd"/>
      <w:r w:rsidRPr="008D4475">
        <w:rPr>
          <w:rFonts w:cs="Arial"/>
          <w:szCs w:val="22"/>
        </w:rPr>
        <w:t xml:space="preserve"> with peripheral arthritis. The number of patients with arthritis </w:t>
      </w:r>
      <w:proofErr w:type="spellStart"/>
      <w:r w:rsidRPr="008D4475">
        <w:rPr>
          <w:rFonts w:cs="Arial"/>
          <w:szCs w:val="22"/>
        </w:rPr>
        <w:t>mutilans</w:t>
      </w:r>
      <w:proofErr w:type="spellEnd"/>
      <w:r w:rsidRPr="008D4475">
        <w:rPr>
          <w:rFonts w:cs="Arial"/>
          <w:szCs w:val="22"/>
        </w:rPr>
        <w:t xml:space="preserve"> was too small to allow meaningful assessment. Responses observed in the </w:t>
      </w:r>
      <w:r w:rsidR="00643BFB">
        <w:rPr>
          <w:rFonts w:cs="Arial"/>
          <w:szCs w:val="22"/>
        </w:rPr>
        <w:t>SIMPONI</w:t>
      </w:r>
      <w:r w:rsidR="00E20C4D" w:rsidRPr="008D4475">
        <w:rPr>
          <w:rFonts w:cs="Arial"/>
          <w:szCs w:val="22"/>
        </w:rPr>
        <w:t>-</w:t>
      </w:r>
      <w:r w:rsidRPr="008D4475">
        <w:rPr>
          <w:rFonts w:cs="Arial"/>
          <w:szCs w:val="22"/>
        </w:rPr>
        <w:t>treated groups were similar in patients receiving and not receiving concomitant MTX.</w:t>
      </w:r>
    </w:p>
    <w:p w:rsidR="00B02725" w:rsidRPr="008D4475" w:rsidRDefault="00B02725" w:rsidP="00B02725">
      <w:r w:rsidRPr="008D4475">
        <w:rPr>
          <w:iCs/>
        </w:rPr>
        <w:t xml:space="preserve">Improvements in parameters of peripheral activity characteristic of psoriatic arthritis (e.g. number of swollen joints, number of painful/tender joints, </w:t>
      </w:r>
      <w:proofErr w:type="spellStart"/>
      <w:r w:rsidRPr="008D4475">
        <w:rPr>
          <w:iCs/>
        </w:rPr>
        <w:t>dactylitis</w:t>
      </w:r>
      <w:proofErr w:type="spellEnd"/>
      <w:r w:rsidRPr="008D4475">
        <w:rPr>
          <w:iCs/>
        </w:rPr>
        <w:t xml:space="preserve"> and </w:t>
      </w:r>
      <w:proofErr w:type="spellStart"/>
      <w:r w:rsidRPr="008D4475">
        <w:rPr>
          <w:iCs/>
        </w:rPr>
        <w:t>enthesitis</w:t>
      </w:r>
      <w:proofErr w:type="spellEnd"/>
      <w:r w:rsidRPr="008D4475">
        <w:rPr>
          <w:iCs/>
        </w:rPr>
        <w:t xml:space="preserve">) were seen in the </w:t>
      </w:r>
      <w:r w:rsidR="00643BFB">
        <w:rPr>
          <w:iCs/>
        </w:rPr>
        <w:t>SIMPONI</w:t>
      </w:r>
      <w:r w:rsidR="00545E22">
        <w:rPr>
          <w:iCs/>
        </w:rPr>
        <w:t>-</w:t>
      </w:r>
      <w:r w:rsidRPr="008D4475">
        <w:rPr>
          <w:iCs/>
        </w:rPr>
        <w:t>treated patients.</w:t>
      </w:r>
    </w:p>
    <w:p w:rsidR="00B02725" w:rsidRPr="0020704E" w:rsidRDefault="00643BFB" w:rsidP="00B02725">
      <w:r>
        <w:t>SIMPONI</w:t>
      </w:r>
      <w:r w:rsidR="00B02725" w:rsidRPr="008D4475">
        <w:t xml:space="preserve"> treatment resulted in significant improvement in physical funct</w:t>
      </w:r>
      <w:smartTag w:uri="urn:schemas-microsoft-com:office:smarttags" w:element="PersonName">
        <w:r w:rsidR="00B02725" w:rsidRPr="008D4475">
          <w:t>ion</w:t>
        </w:r>
      </w:smartTag>
      <w:r w:rsidR="00B02725" w:rsidRPr="008D4475">
        <w:t xml:space="preserve"> as assessed by HAQ, as well as sig</w:t>
      </w:r>
      <w:r w:rsidR="00545E22">
        <w:t>nificant improvements in health-</w:t>
      </w:r>
      <w:r w:rsidR="00B02725" w:rsidRPr="008D4475">
        <w:t>related quality of life as measured by the physical and mental com</w:t>
      </w:r>
      <w:r w:rsidR="00545E22">
        <w:t>ponent summary scores of the SF-</w:t>
      </w:r>
      <w:r w:rsidR="00C44A0D">
        <w:t>36.</w:t>
      </w:r>
    </w:p>
    <w:p w:rsidR="00101B81" w:rsidRPr="008D4475" w:rsidRDefault="00101B81" w:rsidP="005F20A1">
      <w:pPr>
        <w:pStyle w:val="Heading3"/>
      </w:pPr>
      <w:proofErr w:type="spellStart"/>
      <w:r w:rsidRPr="008D4475">
        <w:t>Ankylosing</w:t>
      </w:r>
      <w:proofErr w:type="spellEnd"/>
      <w:r w:rsidRPr="008D4475">
        <w:t xml:space="preserve"> </w:t>
      </w:r>
      <w:proofErr w:type="spellStart"/>
      <w:r w:rsidRPr="008D4475">
        <w:t>spondylitis</w:t>
      </w:r>
      <w:proofErr w:type="spellEnd"/>
    </w:p>
    <w:p w:rsidR="00B02725" w:rsidRPr="008D4475" w:rsidRDefault="00B02725">
      <w:pPr>
        <w:rPr>
          <w:rFonts w:cs="Arial"/>
          <w:bCs/>
          <w:szCs w:val="22"/>
          <w:vertAlign w:val="superscript"/>
        </w:rPr>
      </w:pPr>
      <w:r w:rsidRPr="008D4475">
        <w:rPr>
          <w:rFonts w:cs="Arial"/>
          <w:bCs/>
          <w:szCs w:val="22"/>
        </w:rPr>
        <w:t xml:space="preserve">The safety and efficacy of </w:t>
      </w:r>
      <w:r w:rsidR="00643BFB">
        <w:rPr>
          <w:rFonts w:cs="Arial"/>
          <w:bCs/>
          <w:szCs w:val="22"/>
        </w:rPr>
        <w:t>SIMPONI</w:t>
      </w:r>
      <w:r w:rsidR="00545E22">
        <w:rPr>
          <w:rFonts w:cs="Arial"/>
          <w:bCs/>
          <w:szCs w:val="22"/>
        </w:rPr>
        <w:t xml:space="preserve"> were evaluated in a multi-centre, randomised, double-blind, placebo-</w:t>
      </w:r>
      <w:r w:rsidR="00661B8F">
        <w:rPr>
          <w:rFonts w:cs="Arial"/>
          <w:bCs/>
          <w:szCs w:val="22"/>
        </w:rPr>
        <w:t>controlled study (GO-</w:t>
      </w:r>
      <w:r w:rsidRPr="008D4475">
        <w:rPr>
          <w:rFonts w:cs="Arial"/>
          <w:bCs/>
          <w:szCs w:val="22"/>
        </w:rPr>
        <w:t xml:space="preserve">RAISE) in 356 adult patients with active </w:t>
      </w:r>
      <w:proofErr w:type="spellStart"/>
      <w:r w:rsidRPr="008D4475">
        <w:rPr>
          <w:rFonts w:cs="Arial"/>
          <w:bCs/>
          <w:szCs w:val="22"/>
        </w:rPr>
        <w:t>ankylosing</w:t>
      </w:r>
      <w:proofErr w:type="spellEnd"/>
      <w:r w:rsidRPr="008D4475">
        <w:rPr>
          <w:rFonts w:cs="Arial"/>
          <w:bCs/>
          <w:szCs w:val="22"/>
        </w:rPr>
        <w:t xml:space="preserve"> </w:t>
      </w:r>
      <w:proofErr w:type="spellStart"/>
      <w:r w:rsidRPr="008D4475">
        <w:rPr>
          <w:rFonts w:cs="Arial"/>
          <w:bCs/>
          <w:szCs w:val="22"/>
        </w:rPr>
        <w:t>spondylitis</w:t>
      </w:r>
      <w:proofErr w:type="spellEnd"/>
      <w:r w:rsidRPr="008D4475">
        <w:rPr>
          <w:rFonts w:cs="Arial"/>
          <w:bCs/>
          <w:szCs w:val="22"/>
        </w:rPr>
        <w:t xml:space="preserve"> (defined as a </w:t>
      </w:r>
      <w:r w:rsidRPr="008D4475">
        <w:rPr>
          <w:rFonts w:cs="Arial"/>
          <w:szCs w:val="22"/>
        </w:rPr>
        <w:t xml:space="preserve">Bath </w:t>
      </w:r>
      <w:proofErr w:type="spellStart"/>
      <w:r w:rsidRPr="008D4475">
        <w:rPr>
          <w:rFonts w:cs="Arial"/>
          <w:szCs w:val="22"/>
        </w:rPr>
        <w:t>Ankylosing</w:t>
      </w:r>
      <w:proofErr w:type="spellEnd"/>
      <w:r w:rsidRPr="008D4475">
        <w:rPr>
          <w:rFonts w:cs="Arial"/>
          <w:szCs w:val="22"/>
        </w:rPr>
        <w:t xml:space="preserve"> </w:t>
      </w:r>
      <w:proofErr w:type="spellStart"/>
      <w:r w:rsidRPr="008D4475">
        <w:rPr>
          <w:rFonts w:cs="Arial"/>
          <w:szCs w:val="22"/>
        </w:rPr>
        <w:t>Spondylitis</w:t>
      </w:r>
      <w:proofErr w:type="spellEnd"/>
      <w:r w:rsidRPr="008D4475">
        <w:rPr>
          <w:rFonts w:cs="Arial"/>
          <w:szCs w:val="22"/>
        </w:rPr>
        <w:t xml:space="preserve"> Disease Activity Index (</w:t>
      </w:r>
      <w:r w:rsidRPr="008D4475">
        <w:rPr>
          <w:rFonts w:cs="Arial"/>
          <w:bCs/>
          <w:szCs w:val="22"/>
        </w:rPr>
        <w:t>BASDAI) score ≥</w:t>
      </w:r>
      <w:r w:rsidR="00C1353B">
        <w:rPr>
          <w:rFonts w:cs="Arial"/>
          <w:bCs/>
          <w:szCs w:val="22"/>
        </w:rPr>
        <w:t xml:space="preserve"> </w:t>
      </w:r>
      <w:r w:rsidRPr="008D4475">
        <w:rPr>
          <w:rFonts w:cs="Arial"/>
          <w:bCs/>
          <w:szCs w:val="22"/>
        </w:rPr>
        <w:t xml:space="preserve">4 and a </w:t>
      </w:r>
      <w:r w:rsidRPr="008D4475">
        <w:rPr>
          <w:rFonts w:cs="Arial"/>
          <w:szCs w:val="22"/>
        </w:rPr>
        <w:t xml:space="preserve">visual </w:t>
      </w:r>
      <w:proofErr w:type="spellStart"/>
      <w:r w:rsidRPr="008D4475">
        <w:rPr>
          <w:rFonts w:cs="Arial"/>
          <w:szCs w:val="22"/>
        </w:rPr>
        <w:t>analog</w:t>
      </w:r>
      <w:proofErr w:type="spellEnd"/>
      <w:r w:rsidRPr="008D4475">
        <w:rPr>
          <w:rFonts w:cs="Arial"/>
          <w:szCs w:val="22"/>
        </w:rPr>
        <w:t xml:space="preserve"> score (</w:t>
      </w:r>
      <w:r w:rsidRPr="008D4475">
        <w:rPr>
          <w:rFonts w:cs="Arial"/>
          <w:bCs/>
          <w:szCs w:val="22"/>
        </w:rPr>
        <w:t>VAS) for total back pain of ≥</w:t>
      </w:r>
      <w:r w:rsidR="00C1353B">
        <w:rPr>
          <w:rFonts w:cs="Arial"/>
          <w:bCs/>
          <w:szCs w:val="22"/>
        </w:rPr>
        <w:t xml:space="preserve"> </w:t>
      </w:r>
      <w:r w:rsidRPr="008D4475">
        <w:rPr>
          <w:rFonts w:cs="Arial"/>
          <w:bCs/>
          <w:szCs w:val="22"/>
        </w:rPr>
        <w:t xml:space="preserve">4, on a scale of 0 to 10 cm). Patients enrolled in this study had symptoms of active disease despite current or previous NSAID or DMARD therapy. </w:t>
      </w:r>
      <w:r w:rsidR="00EA5900" w:rsidRPr="008D4475">
        <w:rPr>
          <w:rFonts w:cs="Arial"/>
          <w:bCs/>
          <w:szCs w:val="22"/>
        </w:rPr>
        <w:t xml:space="preserve">The median duration of AS disease was 5.6 years. </w:t>
      </w:r>
      <w:r w:rsidRPr="008D4475">
        <w:rPr>
          <w:rFonts w:cs="Arial"/>
          <w:bCs/>
          <w:szCs w:val="22"/>
        </w:rPr>
        <w:t xml:space="preserve">Patients with complete </w:t>
      </w:r>
      <w:proofErr w:type="spellStart"/>
      <w:r w:rsidRPr="008D4475">
        <w:rPr>
          <w:rFonts w:cs="Arial"/>
          <w:bCs/>
          <w:szCs w:val="22"/>
        </w:rPr>
        <w:t>ankylosis</w:t>
      </w:r>
      <w:proofErr w:type="spellEnd"/>
      <w:r w:rsidRPr="008D4475">
        <w:rPr>
          <w:rFonts w:cs="Arial"/>
          <w:bCs/>
          <w:szCs w:val="22"/>
        </w:rPr>
        <w:t xml:space="preserve"> of the spine were excluded from study </w:t>
      </w:r>
      <w:r w:rsidRPr="00DE1C16">
        <w:t xml:space="preserve">participation. </w:t>
      </w:r>
      <w:r w:rsidR="008D4475" w:rsidRPr="00DE1C16">
        <w:t>Thi</w:t>
      </w:r>
      <w:r w:rsidR="00545E22">
        <w:t xml:space="preserve">s study also excluded patients </w:t>
      </w:r>
      <w:r w:rsidR="008D4475" w:rsidRPr="00DE1C16">
        <w:t xml:space="preserve">previously treated with TNF blocking agents, and patients with serious or chronic infections, history of congestive heart failure, </w:t>
      </w:r>
      <w:proofErr w:type="spellStart"/>
      <w:r w:rsidR="008D4475" w:rsidRPr="00DE1C16">
        <w:t>demyelinating</w:t>
      </w:r>
      <w:proofErr w:type="spellEnd"/>
      <w:r w:rsidR="008D4475" w:rsidRPr="00DE1C16">
        <w:t xml:space="preserve"> disorders or a history of malignancy with the exception of treated non-melanoma skin cancer. </w:t>
      </w:r>
      <w:r w:rsidR="00643BFB">
        <w:t>SIMPONI</w:t>
      </w:r>
      <w:r w:rsidRPr="00DE1C16">
        <w:t xml:space="preserve"> was administered subcutaneously at doses of 50 mg or 100 mg</w:t>
      </w:r>
      <w:r w:rsidRPr="008D4475">
        <w:rPr>
          <w:rFonts w:cs="Arial"/>
          <w:bCs/>
          <w:szCs w:val="22"/>
        </w:rPr>
        <w:t xml:space="preserve"> every 4 weeks. Patients were randomly assigned to placebo (n=78), </w:t>
      </w:r>
      <w:r w:rsidR="00643BFB">
        <w:rPr>
          <w:rFonts w:cs="Arial"/>
          <w:bCs/>
          <w:szCs w:val="22"/>
        </w:rPr>
        <w:t>SIMPONI</w:t>
      </w:r>
      <w:r w:rsidRPr="008D4475">
        <w:rPr>
          <w:rFonts w:cs="Arial"/>
          <w:bCs/>
          <w:szCs w:val="22"/>
        </w:rPr>
        <w:t xml:space="preserve"> 50 mg (n=138) and </w:t>
      </w:r>
      <w:r w:rsidR="00643BFB">
        <w:rPr>
          <w:rFonts w:cs="Arial"/>
          <w:bCs/>
          <w:szCs w:val="22"/>
        </w:rPr>
        <w:t>SIMPONI</w:t>
      </w:r>
      <w:r w:rsidRPr="008D4475">
        <w:rPr>
          <w:rFonts w:cs="Arial"/>
          <w:bCs/>
          <w:szCs w:val="22"/>
        </w:rPr>
        <w:t xml:space="preserve"> 100 mg (n=140). The primary endpoint was the percentage of patients achieving a 20% improvement in the Assessment in </w:t>
      </w:r>
      <w:proofErr w:type="spellStart"/>
      <w:r w:rsidRPr="008D4475">
        <w:rPr>
          <w:rFonts w:cs="Arial"/>
          <w:bCs/>
          <w:szCs w:val="22"/>
        </w:rPr>
        <w:t>Ankylosing</w:t>
      </w:r>
      <w:proofErr w:type="spellEnd"/>
      <w:r w:rsidRPr="008D4475">
        <w:rPr>
          <w:rFonts w:cs="Arial"/>
          <w:bCs/>
          <w:szCs w:val="22"/>
        </w:rPr>
        <w:t xml:space="preserve"> </w:t>
      </w:r>
      <w:proofErr w:type="spellStart"/>
      <w:r w:rsidRPr="008D4475">
        <w:rPr>
          <w:rFonts w:cs="Arial"/>
          <w:bCs/>
          <w:szCs w:val="22"/>
        </w:rPr>
        <w:t>Spondylitis</w:t>
      </w:r>
      <w:proofErr w:type="spellEnd"/>
      <w:r w:rsidRPr="008D4475">
        <w:rPr>
          <w:rFonts w:cs="Arial"/>
          <w:bCs/>
          <w:szCs w:val="22"/>
        </w:rPr>
        <w:t xml:space="preserve"> (ASAS 20) response criteria at </w:t>
      </w:r>
      <w:r w:rsidR="009C6804" w:rsidRPr="008D4475">
        <w:rPr>
          <w:rFonts w:cs="Arial"/>
          <w:bCs/>
          <w:szCs w:val="22"/>
        </w:rPr>
        <w:t>week</w:t>
      </w:r>
      <w:r w:rsidR="00545E22">
        <w:rPr>
          <w:rFonts w:cs="Arial"/>
          <w:bCs/>
          <w:szCs w:val="22"/>
        </w:rPr>
        <w:t xml:space="preserve"> 14. Placebo-</w:t>
      </w:r>
      <w:r w:rsidRPr="008D4475">
        <w:rPr>
          <w:rFonts w:cs="Arial"/>
          <w:bCs/>
          <w:szCs w:val="22"/>
        </w:rPr>
        <w:t>controlled efficacy data were collected and analysed through week 24.</w:t>
      </w:r>
    </w:p>
    <w:p w:rsidR="005C0522" w:rsidRPr="008D4475" w:rsidRDefault="005C0522" w:rsidP="005C0522">
      <w:pPr>
        <w:rPr>
          <w:rFonts w:cs="Arial"/>
          <w:bCs/>
          <w:szCs w:val="22"/>
        </w:rPr>
      </w:pPr>
      <w:r w:rsidRPr="008D4475">
        <w:rPr>
          <w:rFonts w:cs="Arial"/>
          <w:bCs/>
          <w:szCs w:val="22"/>
        </w:rPr>
        <w:t xml:space="preserve">Key results for the 50 mg dose are shown in </w:t>
      </w:r>
      <w:r w:rsidR="001479F5" w:rsidRPr="008D4475">
        <w:rPr>
          <w:rFonts w:cs="Arial"/>
          <w:bCs/>
          <w:szCs w:val="22"/>
        </w:rPr>
        <w:t>T</w:t>
      </w:r>
      <w:r w:rsidRPr="008D4475">
        <w:rPr>
          <w:rFonts w:cs="Arial"/>
          <w:bCs/>
          <w:szCs w:val="22"/>
        </w:rPr>
        <w:t xml:space="preserve">able </w:t>
      </w:r>
      <w:r w:rsidR="001332CA" w:rsidRPr="008D4475">
        <w:rPr>
          <w:rFonts w:cs="Arial"/>
          <w:bCs/>
          <w:szCs w:val="22"/>
        </w:rPr>
        <w:t xml:space="preserve">4 </w:t>
      </w:r>
      <w:r w:rsidRPr="008D4475">
        <w:rPr>
          <w:rFonts w:cs="Arial"/>
          <w:bCs/>
          <w:szCs w:val="22"/>
        </w:rPr>
        <w:t xml:space="preserve">below. In general, no clinically meaningful differences in measures of efficacy were observed between the </w:t>
      </w:r>
      <w:r w:rsidR="00643BFB">
        <w:rPr>
          <w:rFonts w:cs="Arial"/>
          <w:bCs/>
          <w:szCs w:val="22"/>
        </w:rPr>
        <w:t>SIMPONI</w:t>
      </w:r>
      <w:r w:rsidRPr="008D4475">
        <w:rPr>
          <w:rFonts w:cs="Arial"/>
          <w:bCs/>
          <w:szCs w:val="22"/>
        </w:rPr>
        <w:t xml:space="preserve"> 50 mg and 100 mg dosing regimens.</w:t>
      </w:r>
    </w:p>
    <w:p w:rsidR="005C0522" w:rsidRDefault="00155732" w:rsidP="00155732">
      <w:pPr>
        <w:jc w:val="center"/>
        <w:rPr>
          <w:b/>
          <w:bCs/>
          <w:sz w:val="20"/>
          <w:szCs w:val="20"/>
        </w:rPr>
      </w:pPr>
      <w:r>
        <w:rPr>
          <w:rFonts w:cs="Arial"/>
          <w:bCs/>
          <w:szCs w:val="22"/>
        </w:rPr>
        <w:br w:type="page"/>
      </w:r>
      <w:r w:rsidR="005C0522" w:rsidRPr="00155732">
        <w:rPr>
          <w:b/>
          <w:bCs/>
          <w:sz w:val="20"/>
          <w:szCs w:val="20"/>
        </w:rPr>
        <w:lastRenderedPageBreak/>
        <w:t xml:space="preserve">Table </w:t>
      </w:r>
      <w:r w:rsidR="0007267C" w:rsidRPr="00155732">
        <w:rPr>
          <w:b/>
          <w:bCs/>
          <w:sz w:val="20"/>
          <w:szCs w:val="20"/>
        </w:rPr>
        <w:fldChar w:fldCharType="begin"/>
      </w:r>
      <w:r w:rsidR="005C0522" w:rsidRPr="00155732">
        <w:rPr>
          <w:b/>
          <w:bCs/>
          <w:sz w:val="20"/>
          <w:szCs w:val="20"/>
        </w:rPr>
        <w:instrText xml:space="preserve"> SEQ Table \* ARABIC </w:instrText>
      </w:r>
      <w:r w:rsidR="0007267C" w:rsidRPr="00155732">
        <w:rPr>
          <w:b/>
          <w:bCs/>
          <w:sz w:val="20"/>
          <w:szCs w:val="20"/>
        </w:rPr>
        <w:fldChar w:fldCharType="separate"/>
      </w:r>
      <w:r w:rsidR="009154D5">
        <w:rPr>
          <w:b/>
          <w:bCs/>
          <w:noProof/>
          <w:sz w:val="20"/>
          <w:szCs w:val="20"/>
        </w:rPr>
        <w:t>4</w:t>
      </w:r>
      <w:r w:rsidR="0007267C" w:rsidRPr="00155732">
        <w:rPr>
          <w:b/>
          <w:bCs/>
          <w:sz w:val="20"/>
          <w:szCs w:val="20"/>
        </w:rPr>
        <w:fldChar w:fldCharType="end"/>
      </w:r>
      <w:r w:rsidR="005C0522" w:rsidRPr="00155732">
        <w:rPr>
          <w:b/>
          <w:bCs/>
          <w:sz w:val="20"/>
          <w:szCs w:val="20"/>
        </w:rPr>
        <w:t>: Key efficacy outcomes from GO</w:t>
      </w:r>
      <w:r w:rsidR="001479F5" w:rsidRPr="00155732">
        <w:rPr>
          <w:b/>
          <w:bCs/>
          <w:sz w:val="20"/>
          <w:szCs w:val="20"/>
        </w:rPr>
        <w:t>-</w:t>
      </w:r>
      <w:r w:rsidR="005C0522" w:rsidRPr="00155732">
        <w:rPr>
          <w:b/>
          <w:bCs/>
          <w:sz w:val="20"/>
          <w:szCs w:val="20"/>
        </w:rPr>
        <w:t>RAISE</w:t>
      </w:r>
    </w:p>
    <w:tbl>
      <w:tblPr>
        <w:tblW w:w="7399"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1"/>
        <w:gridCol w:w="2626"/>
        <w:gridCol w:w="2322"/>
      </w:tblGrid>
      <w:tr w:rsidR="005C0522" w:rsidRPr="005F20A1">
        <w:trPr>
          <w:cantSplit/>
          <w:jc w:val="center"/>
        </w:trPr>
        <w:tc>
          <w:tcPr>
            <w:tcW w:w="2451" w:type="dxa"/>
            <w:vAlign w:val="center"/>
          </w:tcPr>
          <w:p w:rsidR="005C0522" w:rsidRPr="005F20A1" w:rsidRDefault="005C0522" w:rsidP="005F20A1">
            <w:pPr>
              <w:pStyle w:val="Normal-Table"/>
              <w:spacing w:before="0" w:after="0"/>
              <w:rPr>
                <w:szCs w:val="20"/>
                <w:lang w:val="en-AU"/>
              </w:rPr>
            </w:pPr>
          </w:p>
        </w:tc>
        <w:tc>
          <w:tcPr>
            <w:tcW w:w="2626" w:type="dxa"/>
          </w:tcPr>
          <w:p w:rsidR="005C0522" w:rsidRPr="005F20A1" w:rsidRDefault="005C0522" w:rsidP="005F20A1">
            <w:pPr>
              <w:pStyle w:val="Normal-Table"/>
              <w:spacing w:before="0" w:after="0"/>
              <w:jc w:val="center"/>
              <w:rPr>
                <w:szCs w:val="20"/>
                <w:lang w:val="en-AU"/>
              </w:rPr>
            </w:pPr>
            <w:r w:rsidRPr="005F20A1">
              <w:rPr>
                <w:szCs w:val="20"/>
                <w:lang w:val="en-AU"/>
              </w:rPr>
              <w:t>Placebo</w:t>
            </w:r>
          </w:p>
        </w:tc>
        <w:tc>
          <w:tcPr>
            <w:tcW w:w="2322" w:type="dxa"/>
          </w:tcPr>
          <w:p w:rsidR="005C0522" w:rsidRPr="005F20A1" w:rsidRDefault="00643BFB" w:rsidP="005F20A1">
            <w:pPr>
              <w:pStyle w:val="Normal-Table"/>
              <w:spacing w:before="0" w:after="0"/>
              <w:jc w:val="center"/>
              <w:rPr>
                <w:szCs w:val="20"/>
                <w:lang w:val="en-AU"/>
              </w:rPr>
            </w:pPr>
            <w:r w:rsidRPr="005F20A1">
              <w:rPr>
                <w:szCs w:val="20"/>
                <w:lang w:val="en-AU"/>
              </w:rPr>
              <w:t>SIMPONI</w:t>
            </w:r>
            <w:r w:rsidR="00545961" w:rsidRPr="005F20A1">
              <w:rPr>
                <w:szCs w:val="20"/>
                <w:lang w:val="en-AU"/>
              </w:rPr>
              <w:t xml:space="preserve"> </w:t>
            </w:r>
            <w:r w:rsidR="005C0522" w:rsidRPr="005F20A1">
              <w:rPr>
                <w:szCs w:val="20"/>
                <w:lang w:val="en-AU"/>
              </w:rPr>
              <w:t>50 mg*</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N</w:t>
            </w:r>
            <w:r w:rsidRPr="005F20A1">
              <w:rPr>
                <w:szCs w:val="20"/>
                <w:vertAlign w:val="superscript"/>
                <w:lang w:val="en-AU"/>
              </w:rPr>
              <w:t>a</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78</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138</w:t>
            </w:r>
          </w:p>
        </w:tc>
      </w:tr>
      <w:tr w:rsidR="005C0522" w:rsidRPr="005F20A1">
        <w:trPr>
          <w:cantSplit/>
          <w:jc w:val="center"/>
        </w:trPr>
        <w:tc>
          <w:tcPr>
            <w:tcW w:w="7399" w:type="dxa"/>
            <w:gridSpan w:val="3"/>
            <w:vAlign w:val="center"/>
          </w:tcPr>
          <w:p w:rsidR="005C0522" w:rsidRPr="005F20A1" w:rsidRDefault="005C0522" w:rsidP="005F20A1">
            <w:pPr>
              <w:pStyle w:val="Normal-Table"/>
              <w:spacing w:before="0" w:after="0"/>
              <w:rPr>
                <w:szCs w:val="20"/>
                <w:lang w:val="en-AU"/>
              </w:rPr>
            </w:pPr>
            <w:r w:rsidRPr="005F20A1">
              <w:rPr>
                <w:b/>
                <w:bCs/>
                <w:szCs w:val="20"/>
                <w:lang w:val="en-AU"/>
              </w:rPr>
              <w:t>Responders, % of patients</w:t>
            </w:r>
          </w:p>
        </w:tc>
      </w:tr>
      <w:tr w:rsidR="005C0522" w:rsidRPr="005F20A1">
        <w:trPr>
          <w:cantSplit/>
          <w:jc w:val="center"/>
        </w:trPr>
        <w:tc>
          <w:tcPr>
            <w:tcW w:w="7399" w:type="dxa"/>
            <w:gridSpan w:val="3"/>
            <w:vAlign w:val="center"/>
          </w:tcPr>
          <w:p w:rsidR="005C0522" w:rsidRPr="005F20A1" w:rsidRDefault="005C0522" w:rsidP="005F20A1">
            <w:pPr>
              <w:pStyle w:val="Normal-Table"/>
              <w:spacing w:before="0" w:after="0"/>
              <w:rPr>
                <w:szCs w:val="20"/>
                <w:lang w:val="en-AU"/>
              </w:rPr>
            </w:pPr>
            <w:r w:rsidRPr="005F20A1">
              <w:rPr>
                <w:b/>
                <w:bCs/>
                <w:szCs w:val="20"/>
                <w:lang w:val="en-AU"/>
              </w:rPr>
              <w:t>ASAS 20</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14</w:t>
            </w:r>
          </w:p>
        </w:tc>
        <w:tc>
          <w:tcPr>
            <w:tcW w:w="2626" w:type="dxa"/>
            <w:vAlign w:val="center"/>
          </w:tcPr>
          <w:p w:rsidR="005C0522" w:rsidRPr="005F20A1" w:rsidRDefault="005C0522" w:rsidP="005F20A1">
            <w:pPr>
              <w:pStyle w:val="Normal-Table"/>
              <w:spacing w:before="0" w:after="0"/>
              <w:jc w:val="center"/>
              <w:rPr>
                <w:b/>
                <w:sz w:val="22"/>
                <w:lang w:val="en-AU"/>
              </w:rPr>
            </w:pPr>
            <w:r w:rsidRPr="005F20A1">
              <w:rPr>
                <w:b/>
                <w:sz w:val="22"/>
                <w:lang w:val="en-AU"/>
              </w:rPr>
              <w:t>22 %</w:t>
            </w:r>
          </w:p>
        </w:tc>
        <w:tc>
          <w:tcPr>
            <w:tcW w:w="2322" w:type="dxa"/>
            <w:vAlign w:val="center"/>
          </w:tcPr>
          <w:p w:rsidR="005C0522" w:rsidRPr="005F20A1" w:rsidRDefault="005C0522" w:rsidP="005F20A1">
            <w:pPr>
              <w:pStyle w:val="Normal-Table"/>
              <w:spacing w:before="0" w:after="0"/>
              <w:jc w:val="center"/>
              <w:rPr>
                <w:b/>
                <w:sz w:val="22"/>
                <w:lang w:val="en-AU"/>
              </w:rPr>
            </w:pPr>
            <w:r w:rsidRPr="005F20A1">
              <w:rPr>
                <w:b/>
                <w:sz w:val="22"/>
                <w:lang w:val="en-AU"/>
              </w:rPr>
              <w:t>59 %</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24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23 %</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56 %</w:t>
            </w:r>
          </w:p>
        </w:tc>
      </w:tr>
      <w:tr w:rsidR="005C0522" w:rsidRPr="005F20A1">
        <w:trPr>
          <w:jc w:val="center"/>
        </w:trPr>
        <w:tc>
          <w:tcPr>
            <w:tcW w:w="7399" w:type="dxa"/>
            <w:gridSpan w:val="3"/>
            <w:vAlign w:val="center"/>
          </w:tcPr>
          <w:p w:rsidR="005C0522" w:rsidRPr="005F20A1" w:rsidRDefault="005C0522" w:rsidP="005F20A1">
            <w:pPr>
              <w:pStyle w:val="Normal-Table"/>
              <w:spacing w:before="0" w:after="0"/>
              <w:rPr>
                <w:b/>
                <w:bCs/>
                <w:szCs w:val="20"/>
                <w:lang w:val="en-AU"/>
              </w:rPr>
            </w:pPr>
            <w:r w:rsidRPr="005F20A1">
              <w:rPr>
                <w:b/>
                <w:bCs/>
                <w:szCs w:val="20"/>
                <w:lang w:val="en-AU"/>
              </w:rPr>
              <w:t xml:space="preserve">ASAS 40 </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14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15 %</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45 %</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24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15 %</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44 %</w:t>
            </w:r>
          </w:p>
        </w:tc>
      </w:tr>
      <w:tr w:rsidR="005C0522" w:rsidRPr="005F20A1">
        <w:trPr>
          <w:jc w:val="center"/>
        </w:trPr>
        <w:tc>
          <w:tcPr>
            <w:tcW w:w="7399" w:type="dxa"/>
            <w:gridSpan w:val="3"/>
            <w:vAlign w:val="center"/>
          </w:tcPr>
          <w:p w:rsidR="005C0522" w:rsidRPr="005F20A1" w:rsidRDefault="005C0522" w:rsidP="005F20A1">
            <w:pPr>
              <w:pStyle w:val="Normal-Table"/>
              <w:spacing w:before="0" w:after="0"/>
              <w:rPr>
                <w:b/>
                <w:bCs/>
                <w:szCs w:val="20"/>
                <w:lang w:val="en-AU"/>
              </w:rPr>
            </w:pPr>
            <w:r w:rsidRPr="005F20A1">
              <w:rPr>
                <w:b/>
                <w:bCs/>
                <w:szCs w:val="20"/>
                <w:lang w:val="en-AU"/>
              </w:rPr>
              <w:t>ASAS 5/6</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14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8 %</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50 %</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24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13 %</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49 %</w:t>
            </w:r>
          </w:p>
        </w:tc>
      </w:tr>
      <w:tr w:rsidR="005C0522" w:rsidRPr="005F20A1">
        <w:trPr>
          <w:cantSplit/>
          <w:jc w:val="center"/>
        </w:trPr>
        <w:tc>
          <w:tcPr>
            <w:tcW w:w="7399" w:type="dxa"/>
            <w:gridSpan w:val="3"/>
            <w:vAlign w:val="center"/>
          </w:tcPr>
          <w:p w:rsidR="005C0522" w:rsidRPr="005F20A1" w:rsidRDefault="00155732" w:rsidP="005F20A1">
            <w:pPr>
              <w:pStyle w:val="Normal-Table"/>
              <w:spacing w:before="0" w:after="0"/>
              <w:rPr>
                <w:szCs w:val="20"/>
                <w:lang w:val="en-AU"/>
              </w:rPr>
            </w:pPr>
            <w:r w:rsidRPr="005F20A1">
              <w:rPr>
                <w:b/>
                <w:bCs/>
                <w:szCs w:val="20"/>
                <w:lang w:val="en-AU"/>
              </w:rPr>
              <w:t>BASFI (0-</w:t>
            </w:r>
            <w:r w:rsidR="005C0522" w:rsidRPr="005F20A1">
              <w:rPr>
                <w:b/>
                <w:bCs/>
                <w:szCs w:val="20"/>
                <w:lang w:val="en-AU"/>
              </w:rPr>
              <w:t>10): median change from baseline</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Baseline</w:t>
            </w:r>
            <w:r w:rsidR="009747E7" w:rsidRPr="005F20A1">
              <w:rPr>
                <w:szCs w:val="20"/>
                <w:lang w:val="en-AU"/>
              </w:rPr>
              <w:t xml:space="preserve"> </w:t>
            </w:r>
            <w:r w:rsidRPr="005F20A1">
              <w:rPr>
                <w:szCs w:val="20"/>
                <w:lang w:val="en-AU"/>
              </w:rPr>
              <w:t>(median)</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4.9</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5.0</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14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0.1</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noBreakHyphen/>
              <w:t>1.4</w:t>
            </w:r>
          </w:p>
        </w:tc>
      </w:tr>
      <w:tr w:rsidR="005C0522" w:rsidRPr="005F20A1">
        <w:trPr>
          <w:jc w:val="center"/>
        </w:trPr>
        <w:tc>
          <w:tcPr>
            <w:tcW w:w="2451" w:type="dxa"/>
            <w:vAlign w:val="center"/>
          </w:tcPr>
          <w:p w:rsidR="005C0522" w:rsidRPr="005F20A1" w:rsidRDefault="005C0522" w:rsidP="005F20A1">
            <w:pPr>
              <w:pStyle w:val="Normal-Table"/>
              <w:spacing w:before="0" w:after="0"/>
              <w:jc w:val="right"/>
              <w:rPr>
                <w:szCs w:val="20"/>
                <w:lang w:val="en-AU"/>
              </w:rPr>
            </w:pPr>
            <w:r w:rsidRPr="005F20A1">
              <w:rPr>
                <w:szCs w:val="20"/>
                <w:lang w:val="en-AU"/>
              </w:rPr>
              <w:t>Week 24</w:t>
            </w:r>
          </w:p>
        </w:tc>
        <w:tc>
          <w:tcPr>
            <w:tcW w:w="2626" w:type="dxa"/>
            <w:vAlign w:val="center"/>
          </w:tcPr>
          <w:p w:rsidR="005C0522" w:rsidRPr="005F20A1" w:rsidRDefault="005C0522" w:rsidP="005F20A1">
            <w:pPr>
              <w:pStyle w:val="Normal-Table"/>
              <w:spacing w:before="0" w:after="0"/>
              <w:jc w:val="center"/>
              <w:rPr>
                <w:szCs w:val="20"/>
                <w:lang w:val="en-AU"/>
              </w:rPr>
            </w:pPr>
            <w:r w:rsidRPr="005F20A1">
              <w:rPr>
                <w:szCs w:val="20"/>
                <w:lang w:val="en-AU"/>
              </w:rPr>
              <w:t>0.4</w:t>
            </w:r>
          </w:p>
        </w:tc>
        <w:tc>
          <w:tcPr>
            <w:tcW w:w="2322" w:type="dxa"/>
            <w:vAlign w:val="center"/>
          </w:tcPr>
          <w:p w:rsidR="005C0522" w:rsidRPr="005F20A1" w:rsidRDefault="005C0522" w:rsidP="005F20A1">
            <w:pPr>
              <w:pStyle w:val="Normal-Table"/>
              <w:spacing w:before="0" w:after="0"/>
              <w:jc w:val="center"/>
              <w:rPr>
                <w:szCs w:val="20"/>
                <w:lang w:val="en-AU"/>
              </w:rPr>
            </w:pPr>
            <w:r w:rsidRPr="005F20A1">
              <w:rPr>
                <w:szCs w:val="20"/>
                <w:lang w:val="en-AU"/>
              </w:rPr>
              <w:noBreakHyphen/>
              <w:t>1.6</w:t>
            </w:r>
          </w:p>
        </w:tc>
      </w:tr>
      <w:tr w:rsidR="005C0522" w:rsidRPr="005F20A1">
        <w:trPr>
          <w:trHeight w:val="460"/>
          <w:jc w:val="center"/>
        </w:trPr>
        <w:tc>
          <w:tcPr>
            <w:tcW w:w="7399" w:type="dxa"/>
            <w:gridSpan w:val="3"/>
            <w:tcBorders>
              <w:bottom w:val="single" w:sz="4" w:space="0" w:color="auto"/>
            </w:tcBorders>
            <w:vAlign w:val="center"/>
          </w:tcPr>
          <w:p w:rsidR="005C0522" w:rsidRPr="005F20A1" w:rsidRDefault="005C0522" w:rsidP="005F20A1">
            <w:pPr>
              <w:pStyle w:val="Normal-Table"/>
              <w:spacing w:before="0" w:after="0"/>
              <w:ind w:left="339" w:hanging="339"/>
              <w:jc w:val="left"/>
              <w:rPr>
                <w:sz w:val="16"/>
                <w:szCs w:val="16"/>
                <w:lang w:val="en-AU"/>
              </w:rPr>
            </w:pPr>
            <w:r w:rsidRPr="005F20A1">
              <w:rPr>
                <w:sz w:val="16"/>
                <w:szCs w:val="16"/>
                <w:lang w:val="en-AU"/>
              </w:rPr>
              <w:t xml:space="preserve">*:    p </w:t>
            </w:r>
            <w:r w:rsidRPr="005F20A1">
              <w:rPr>
                <w:sz w:val="16"/>
                <w:szCs w:val="16"/>
                <w:lang w:val="en-AU"/>
              </w:rPr>
              <w:sym w:font="Symbol" w:char="F0A3"/>
            </w:r>
            <w:r w:rsidRPr="005F20A1">
              <w:rPr>
                <w:sz w:val="16"/>
                <w:szCs w:val="16"/>
                <w:lang w:val="en-AU"/>
              </w:rPr>
              <w:t xml:space="preserve"> 0.001 for all comparisons </w:t>
            </w:r>
          </w:p>
          <w:p w:rsidR="005C0522" w:rsidRPr="005F20A1" w:rsidRDefault="005C0522" w:rsidP="005F20A1">
            <w:pPr>
              <w:pStyle w:val="Normal-Table"/>
              <w:spacing w:before="0" w:after="0"/>
              <w:ind w:left="339" w:hanging="339"/>
              <w:jc w:val="left"/>
              <w:rPr>
                <w:sz w:val="16"/>
                <w:szCs w:val="16"/>
                <w:lang w:val="en-AU"/>
              </w:rPr>
            </w:pPr>
            <w:r w:rsidRPr="005F20A1">
              <w:rPr>
                <w:sz w:val="16"/>
                <w:szCs w:val="16"/>
                <w:lang w:val="en-AU"/>
              </w:rPr>
              <w:t>a</w:t>
            </w:r>
            <w:bookmarkStart w:id="1" w:name="OLE_LINK4"/>
            <w:r w:rsidRPr="005F20A1">
              <w:rPr>
                <w:sz w:val="16"/>
                <w:szCs w:val="16"/>
                <w:lang w:val="en-AU"/>
              </w:rPr>
              <w:t xml:space="preserve">:   N reflects randomised patients; actual number of patients evaluable for each endpoint may vary by </w:t>
            </w:r>
            <w:proofErr w:type="spellStart"/>
            <w:r w:rsidRPr="005F20A1">
              <w:rPr>
                <w:sz w:val="16"/>
                <w:szCs w:val="16"/>
                <w:lang w:val="en-AU"/>
              </w:rPr>
              <w:t>timepoint</w:t>
            </w:r>
            <w:bookmarkEnd w:id="1"/>
            <w:proofErr w:type="spellEnd"/>
          </w:p>
        </w:tc>
      </w:tr>
    </w:tbl>
    <w:p w:rsidR="005C0522" w:rsidRPr="008D4475" w:rsidRDefault="005C0522" w:rsidP="005C0522">
      <w:r w:rsidRPr="008D4475">
        <w:t xml:space="preserve">Compared with placebo, </w:t>
      </w:r>
      <w:r w:rsidR="00643BFB">
        <w:t>SIMPONI</w:t>
      </w:r>
      <w:r w:rsidRPr="008D4475">
        <w:t xml:space="preserve"> treatment resulted in a significant improvement in signs and symptoms as demonstrated by the ASAS and BASDAI scores at </w:t>
      </w:r>
      <w:r w:rsidR="009C6804" w:rsidRPr="008D4475">
        <w:t>week</w:t>
      </w:r>
      <w:r w:rsidRPr="008D4475">
        <w:t xml:space="preserve">s 14 and 24. Patients treated with </w:t>
      </w:r>
      <w:r w:rsidR="00643BFB">
        <w:t>SIMPONI</w:t>
      </w:r>
      <w:r w:rsidRPr="008D4475">
        <w:t xml:space="preserve"> achieved significantly greater improvement in all ASAS 20 components compared with placebo. Improvements in key measures of disease activity were observed at the first assessment (</w:t>
      </w:r>
      <w:r w:rsidR="009C6804" w:rsidRPr="008D4475">
        <w:t>week</w:t>
      </w:r>
      <w:r w:rsidRPr="008D4475">
        <w:t xml:space="preserve"> 4) after the initial </w:t>
      </w:r>
      <w:r w:rsidR="00643BFB">
        <w:t>SIMPONI</w:t>
      </w:r>
      <w:r w:rsidRPr="008D4475">
        <w:t xml:space="preserve"> administrat</w:t>
      </w:r>
      <w:smartTag w:uri="urn:schemas-microsoft-com:office:smarttags" w:element="PersonName">
        <w:r w:rsidRPr="008D4475">
          <w:t>ion</w:t>
        </w:r>
      </w:smartTag>
      <w:r w:rsidRPr="008D4475">
        <w:t xml:space="preserve"> and were maintained through week 24. Consistent efficacy was seen in patients</w:t>
      </w:r>
      <w:r w:rsidR="00545E22">
        <w:t xml:space="preserve"> regardless of HLA-</w:t>
      </w:r>
      <w:r w:rsidRPr="008D4475">
        <w:t>B27 antigen status or baseline CRP levels as assessed b</w:t>
      </w:r>
      <w:r w:rsidR="00545E22">
        <w:t>y ASAS 20 responses at week 14.</w:t>
      </w:r>
    </w:p>
    <w:p w:rsidR="000233B7" w:rsidRPr="008D4475" w:rsidRDefault="00643BFB" w:rsidP="000233B7">
      <w:pPr>
        <w:rPr>
          <w:bCs/>
          <w:vertAlign w:val="superscript"/>
        </w:rPr>
      </w:pPr>
      <w:r>
        <w:rPr>
          <w:bCs/>
        </w:rPr>
        <w:t>SIMPONI</w:t>
      </w:r>
      <w:r w:rsidR="000233B7" w:rsidRPr="008D4475">
        <w:rPr>
          <w:bCs/>
        </w:rPr>
        <w:t xml:space="preserve"> treatment resulted in significant improvements in physical funct</w:t>
      </w:r>
      <w:smartTag w:uri="urn:schemas-microsoft-com:office:smarttags" w:element="PersonName">
        <w:r w:rsidR="000233B7" w:rsidRPr="008D4475">
          <w:rPr>
            <w:bCs/>
          </w:rPr>
          <w:t>ion</w:t>
        </w:r>
      </w:smartTag>
      <w:r w:rsidR="000233B7" w:rsidRPr="008D4475">
        <w:rPr>
          <w:bCs/>
        </w:rPr>
        <w:t xml:space="preserve"> as assessed by changes from baseline in the </w:t>
      </w:r>
      <w:r w:rsidR="000233B7" w:rsidRPr="008D4475">
        <w:t xml:space="preserve">Bath </w:t>
      </w:r>
      <w:proofErr w:type="spellStart"/>
      <w:r w:rsidR="000233B7" w:rsidRPr="008D4475">
        <w:t>Ankylosing</w:t>
      </w:r>
      <w:proofErr w:type="spellEnd"/>
      <w:r w:rsidR="000233B7" w:rsidRPr="008D4475">
        <w:t xml:space="preserve"> </w:t>
      </w:r>
      <w:proofErr w:type="spellStart"/>
      <w:r w:rsidR="000233B7" w:rsidRPr="008D4475">
        <w:t>Spondylitis</w:t>
      </w:r>
      <w:proofErr w:type="spellEnd"/>
      <w:r w:rsidR="000233B7" w:rsidRPr="008D4475">
        <w:t xml:space="preserve"> Funct</w:t>
      </w:r>
      <w:smartTag w:uri="urn:schemas-microsoft-com:office:smarttags" w:element="PersonName">
        <w:r w:rsidR="000233B7" w:rsidRPr="008D4475">
          <w:t>ion</w:t>
        </w:r>
      </w:smartTag>
      <w:r w:rsidR="000233B7" w:rsidRPr="008D4475">
        <w:t>al Index (</w:t>
      </w:r>
      <w:r w:rsidR="000233B7" w:rsidRPr="008D4475">
        <w:rPr>
          <w:bCs/>
        </w:rPr>
        <w:t xml:space="preserve">BASFI) at </w:t>
      </w:r>
      <w:r w:rsidR="009C6804" w:rsidRPr="008D4475">
        <w:rPr>
          <w:bCs/>
        </w:rPr>
        <w:t>week</w:t>
      </w:r>
      <w:r w:rsidR="000233B7" w:rsidRPr="008D4475">
        <w:rPr>
          <w:bCs/>
        </w:rPr>
        <w:t xml:space="preserve">s 14 and 24. Median improvement in BASFI at </w:t>
      </w:r>
      <w:r w:rsidR="009C6804" w:rsidRPr="008D4475">
        <w:rPr>
          <w:bCs/>
        </w:rPr>
        <w:t>week</w:t>
      </w:r>
      <w:r w:rsidR="000233B7" w:rsidRPr="008D4475">
        <w:rPr>
          <w:bCs/>
        </w:rPr>
        <w:t xml:space="preserve"> 14 was 1.4 in the </w:t>
      </w:r>
      <w:r>
        <w:rPr>
          <w:bCs/>
        </w:rPr>
        <w:t>SIMPONI</w:t>
      </w:r>
      <w:r w:rsidR="000233B7" w:rsidRPr="008D4475">
        <w:rPr>
          <w:bCs/>
        </w:rPr>
        <w:t xml:space="preserve"> 50 mg group, compared with worsening by 0.1 in the placebo group (p &lt;</w:t>
      </w:r>
      <w:r w:rsidR="00C1353B">
        <w:rPr>
          <w:bCs/>
        </w:rPr>
        <w:t xml:space="preserve"> </w:t>
      </w:r>
      <w:r w:rsidR="000233B7" w:rsidRPr="008D4475">
        <w:rPr>
          <w:bCs/>
        </w:rPr>
        <w:t>0.001). The improvement in physical funct</w:t>
      </w:r>
      <w:smartTag w:uri="urn:schemas-microsoft-com:office:smarttags" w:element="PersonName">
        <w:r w:rsidR="000233B7" w:rsidRPr="008D4475">
          <w:rPr>
            <w:bCs/>
          </w:rPr>
          <w:t>ion</w:t>
        </w:r>
      </w:smartTag>
      <w:r w:rsidR="000233B7" w:rsidRPr="008D4475">
        <w:rPr>
          <w:bCs/>
        </w:rPr>
        <w:t xml:space="preserve"> was maintained through week 24 in </w:t>
      </w:r>
      <w:r>
        <w:rPr>
          <w:bCs/>
        </w:rPr>
        <w:t>SIMPONI</w:t>
      </w:r>
      <w:r w:rsidR="00545E22">
        <w:rPr>
          <w:bCs/>
        </w:rPr>
        <w:t>-</w:t>
      </w:r>
      <w:r w:rsidR="000233B7" w:rsidRPr="008D4475">
        <w:rPr>
          <w:bCs/>
        </w:rPr>
        <w:t>treated patients.</w:t>
      </w:r>
      <w:r w:rsidR="00545E22">
        <w:rPr>
          <w:bCs/>
        </w:rPr>
        <w:t xml:space="preserve"> Health-</w:t>
      </w:r>
      <w:r w:rsidR="000233B7" w:rsidRPr="008D4475">
        <w:rPr>
          <w:bCs/>
        </w:rPr>
        <w:t>related quality of life as measured by the phy</w:t>
      </w:r>
      <w:r w:rsidR="00545E22">
        <w:rPr>
          <w:bCs/>
        </w:rPr>
        <w:t>sical component score of the SF-</w:t>
      </w:r>
      <w:r w:rsidR="000233B7" w:rsidRPr="008D4475">
        <w:rPr>
          <w:bCs/>
        </w:rPr>
        <w:t xml:space="preserve">36 was also improved significantly at weeks 14 and 24. </w:t>
      </w:r>
    </w:p>
    <w:p w:rsidR="000233B7" w:rsidRPr="008D4475" w:rsidRDefault="000233B7" w:rsidP="000233B7">
      <w:pPr>
        <w:rPr>
          <w:b/>
          <w:bCs/>
          <w:vertAlign w:val="superscript"/>
        </w:rPr>
      </w:pPr>
      <w:r w:rsidRPr="008D4475">
        <w:rPr>
          <w:u w:val="single"/>
        </w:rPr>
        <w:t>Immunogenicity</w:t>
      </w:r>
      <w:r w:rsidRPr="008D4475">
        <w:t xml:space="preserve">: Antibodies to </w:t>
      </w:r>
      <w:proofErr w:type="spellStart"/>
      <w:r w:rsidRPr="008D4475">
        <w:t>golimumab</w:t>
      </w:r>
      <w:proofErr w:type="spellEnd"/>
      <w:r w:rsidR="0012635C" w:rsidRPr="008D4475">
        <w:t xml:space="preserve">, nearly all neutralising </w:t>
      </w:r>
      <w:r w:rsidR="0012635C" w:rsidRPr="008D4475">
        <w:rPr>
          <w:i/>
          <w:iCs/>
        </w:rPr>
        <w:t>in vitro</w:t>
      </w:r>
      <w:r w:rsidR="0012635C" w:rsidRPr="008D4475">
        <w:t>,</w:t>
      </w:r>
      <w:r w:rsidRPr="008D4475">
        <w:t xml:space="preserve"> were detected in 4.3% (57/1322) of </w:t>
      </w:r>
      <w:r w:rsidR="00643BFB">
        <w:t>SIMPONI</w:t>
      </w:r>
      <w:r w:rsidR="00E20C4D" w:rsidRPr="008D4475">
        <w:t>-</w:t>
      </w:r>
      <w:r w:rsidRPr="008D4475">
        <w:t xml:space="preserve">treated patients across the Phase 3 RA, </w:t>
      </w:r>
      <w:proofErr w:type="spellStart"/>
      <w:r w:rsidRPr="008D4475">
        <w:t>PsA</w:t>
      </w:r>
      <w:proofErr w:type="spellEnd"/>
      <w:r w:rsidRPr="008D4475">
        <w:t xml:space="preserve"> and AS studies through week 24, and similar rates were shown across rheumatologic indicat</w:t>
      </w:r>
      <w:smartTag w:uri="urn:schemas-microsoft-com:office:smarttags" w:element="PersonName">
        <w:r w:rsidRPr="008D4475">
          <w:t>ion</w:t>
        </w:r>
      </w:smartTag>
      <w:r w:rsidRPr="008D4475">
        <w:t>s. Treatment with concomitant MTX resulted in a lower proport</w:t>
      </w:r>
      <w:smartTag w:uri="urn:schemas-microsoft-com:office:smarttags" w:element="PersonName">
        <w:r w:rsidRPr="008D4475">
          <w:t>ion</w:t>
        </w:r>
      </w:smartTag>
      <w:r w:rsidRPr="008D4475">
        <w:t xml:space="preserve"> of patients with antibodies to </w:t>
      </w:r>
      <w:proofErr w:type="spellStart"/>
      <w:r w:rsidRPr="008D4475">
        <w:t>golimumab</w:t>
      </w:r>
      <w:proofErr w:type="spellEnd"/>
      <w:r w:rsidRPr="008D4475">
        <w:t xml:space="preserve"> than patients receiving </w:t>
      </w:r>
      <w:r w:rsidR="00643BFB">
        <w:t>SIMPONI</w:t>
      </w:r>
      <w:r w:rsidRPr="008D4475">
        <w:t xml:space="preserve"> without MTX (approximately 2% [14/719] versus 7% [43/603], respectively).</w:t>
      </w:r>
    </w:p>
    <w:p w:rsidR="000233B7" w:rsidRPr="008D4475" w:rsidRDefault="000233B7" w:rsidP="000233B7">
      <w:r w:rsidRPr="008D4475">
        <w:t xml:space="preserve">The small number of patients positive for antibodies to </w:t>
      </w:r>
      <w:proofErr w:type="spellStart"/>
      <w:r w:rsidRPr="008D4475">
        <w:t>golimumab</w:t>
      </w:r>
      <w:proofErr w:type="spellEnd"/>
      <w:r w:rsidRPr="008D4475">
        <w:t xml:space="preserve"> limits the ability to draw definitive conclus</w:t>
      </w:r>
      <w:smartTag w:uri="urn:schemas-microsoft-com:office:smarttags" w:element="PersonName">
        <w:r w:rsidRPr="008D4475">
          <w:t>ion</w:t>
        </w:r>
      </w:smartTag>
      <w:r w:rsidRPr="008D4475">
        <w:t>s regarding the relat</w:t>
      </w:r>
      <w:smartTag w:uri="urn:schemas-microsoft-com:office:smarttags" w:element="PersonName">
        <w:r w:rsidRPr="008D4475">
          <w:t>ion</w:t>
        </w:r>
      </w:smartTag>
      <w:r w:rsidRPr="008D4475">
        <w:t xml:space="preserve">ship between antibodies to </w:t>
      </w:r>
      <w:proofErr w:type="spellStart"/>
      <w:r w:rsidRPr="008D4475">
        <w:t>golimumab</w:t>
      </w:r>
      <w:proofErr w:type="spellEnd"/>
      <w:r w:rsidRPr="008D4475">
        <w:t xml:space="preserve"> and clinical efficacy or safety measures.</w:t>
      </w:r>
    </w:p>
    <w:p w:rsidR="000233B7" w:rsidRPr="008D4475" w:rsidRDefault="000233B7" w:rsidP="000233B7">
      <w:r w:rsidRPr="008D4475">
        <w:t>Because immu</w:t>
      </w:r>
      <w:r w:rsidR="00545E22">
        <w:t>nogenicity analyses are product- and assay-</w:t>
      </w:r>
      <w:r w:rsidRPr="008D4475">
        <w:t>specific, comparison of antibody rates with those from other products is not appropriate.</w:t>
      </w:r>
    </w:p>
    <w:p w:rsidR="009E0380" w:rsidRPr="005F5F7A" w:rsidRDefault="00155732" w:rsidP="00A4490A">
      <w:pPr>
        <w:pStyle w:val="Heading2"/>
        <w:spacing w:after="0"/>
      </w:pPr>
      <w:r>
        <w:br w:type="page"/>
      </w:r>
      <w:r w:rsidR="00BF443F" w:rsidRPr="00BF443F">
        <w:lastRenderedPageBreak/>
        <w:t>INDICATIONS</w:t>
      </w:r>
    </w:p>
    <w:p w:rsidR="000233B7" w:rsidRPr="008C49E0" w:rsidRDefault="000233B7" w:rsidP="008C49E0">
      <w:pPr>
        <w:pStyle w:val="Heading3"/>
        <w:spacing w:after="0"/>
        <w:rPr>
          <w:b w:val="0"/>
          <w:u w:val="single"/>
        </w:rPr>
      </w:pPr>
      <w:r w:rsidRPr="008C49E0">
        <w:rPr>
          <w:b w:val="0"/>
          <w:u w:val="single"/>
        </w:rPr>
        <w:t>Rheumatoid arthritis (RA)</w:t>
      </w:r>
    </w:p>
    <w:p w:rsidR="000233B7" w:rsidRPr="008D4475" w:rsidRDefault="00643BFB" w:rsidP="00A4490A">
      <w:pPr>
        <w:spacing w:before="0"/>
        <w:rPr>
          <w:rFonts w:cs="Arial"/>
          <w:szCs w:val="22"/>
        </w:rPr>
      </w:pPr>
      <w:r>
        <w:rPr>
          <w:rFonts w:cs="Arial"/>
          <w:szCs w:val="22"/>
        </w:rPr>
        <w:t>SIMPONI</w:t>
      </w:r>
      <w:r w:rsidR="000233B7" w:rsidRPr="008D4475">
        <w:rPr>
          <w:rFonts w:cs="Arial"/>
          <w:szCs w:val="22"/>
        </w:rPr>
        <w:t>, in combinat</w:t>
      </w:r>
      <w:smartTag w:uri="urn:schemas-microsoft-com:office:smarttags" w:element="PersonName">
        <w:r w:rsidR="000233B7" w:rsidRPr="008D4475">
          <w:rPr>
            <w:rFonts w:cs="Arial"/>
            <w:szCs w:val="22"/>
          </w:rPr>
          <w:t>ion</w:t>
        </w:r>
      </w:smartTag>
      <w:r w:rsidR="000233B7" w:rsidRPr="008D4475">
        <w:rPr>
          <w:rFonts w:cs="Arial"/>
          <w:szCs w:val="22"/>
        </w:rPr>
        <w:t xml:space="preserve"> with </w:t>
      </w:r>
      <w:proofErr w:type="spellStart"/>
      <w:r w:rsidR="00B3417B" w:rsidRPr="008D4475">
        <w:rPr>
          <w:rFonts w:cs="Arial"/>
          <w:szCs w:val="22"/>
        </w:rPr>
        <w:t>methotrexate</w:t>
      </w:r>
      <w:proofErr w:type="spellEnd"/>
      <w:r w:rsidR="00545E22">
        <w:rPr>
          <w:rFonts w:cs="Arial"/>
          <w:szCs w:val="22"/>
        </w:rPr>
        <w:t>, is indicated for:</w:t>
      </w:r>
    </w:p>
    <w:p w:rsidR="000233B7" w:rsidRPr="008D4475" w:rsidRDefault="00E20C4D" w:rsidP="00A4490A">
      <w:pPr>
        <w:spacing w:before="0"/>
        <w:rPr>
          <w:rFonts w:cs="Arial"/>
          <w:szCs w:val="22"/>
        </w:rPr>
      </w:pPr>
      <w:r w:rsidRPr="008D4475">
        <w:rPr>
          <w:rFonts w:cs="Arial"/>
          <w:szCs w:val="22"/>
        </w:rPr>
        <w:t>T</w:t>
      </w:r>
      <w:r w:rsidR="000233B7" w:rsidRPr="008D4475">
        <w:rPr>
          <w:rFonts w:cs="Arial"/>
          <w:szCs w:val="22"/>
        </w:rPr>
        <w:t xml:space="preserve">he treatment of </w:t>
      </w:r>
      <w:r w:rsidR="00EA5900" w:rsidRPr="008D4475">
        <w:rPr>
          <w:rFonts w:cs="Arial"/>
          <w:szCs w:val="22"/>
        </w:rPr>
        <w:t xml:space="preserve">moderate to severely </w:t>
      </w:r>
      <w:r w:rsidR="000233B7" w:rsidRPr="008D4475">
        <w:rPr>
          <w:rFonts w:cs="Arial"/>
          <w:szCs w:val="22"/>
        </w:rPr>
        <w:t xml:space="preserve">active rheumatoid arthritis in adult patients when the response to </w:t>
      </w:r>
      <w:r w:rsidR="00EA5900" w:rsidRPr="008D4475">
        <w:rPr>
          <w:rFonts w:cs="Arial"/>
          <w:bCs/>
          <w:szCs w:val="22"/>
        </w:rPr>
        <w:t>disease-modifying anti-rheumatic drug</w:t>
      </w:r>
      <w:r w:rsidR="000233B7" w:rsidRPr="008D4475">
        <w:rPr>
          <w:rFonts w:cs="Arial"/>
          <w:szCs w:val="22"/>
        </w:rPr>
        <w:t xml:space="preserve"> therapy</w:t>
      </w:r>
      <w:r w:rsidR="00EA5900" w:rsidRPr="008D4475">
        <w:rPr>
          <w:rFonts w:cs="Arial"/>
          <w:szCs w:val="22"/>
        </w:rPr>
        <w:t xml:space="preserve">, including </w:t>
      </w:r>
      <w:proofErr w:type="spellStart"/>
      <w:r w:rsidR="00EA5900" w:rsidRPr="008D4475">
        <w:rPr>
          <w:rFonts w:cs="Arial"/>
          <w:szCs w:val="22"/>
        </w:rPr>
        <w:t>methotrexate</w:t>
      </w:r>
      <w:proofErr w:type="spellEnd"/>
      <w:r w:rsidR="00EA5900" w:rsidRPr="008D4475">
        <w:rPr>
          <w:rFonts w:cs="Arial"/>
          <w:szCs w:val="22"/>
        </w:rPr>
        <w:t>,</w:t>
      </w:r>
      <w:r w:rsidR="000233B7" w:rsidRPr="008D4475">
        <w:rPr>
          <w:rFonts w:cs="Arial"/>
          <w:szCs w:val="22"/>
        </w:rPr>
        <w:t xml:space="preserve"> has been inadequate. </w:t>
      </w:r>
    </w:p>
    <w:p w:rsidR="00B33322" w:rsidRPr="008C49E0" w:rsidRDefault="000233B7" w:rsidP="008C49E0">
      <w:pPr>
        <w:pStyle w:val="Heading3"/>
        <w:spacing w:after="0"/>
        <w:rPr>
          <w:b w:val="0"/>
          <w:u w:val="single"/>
          <w:vertAlign w:val="superscript"/>
        </w:rPr>
      </w:pPr>
      <w:r w:rsidRPr="008C49E0">
        <w:rPr>
          <w:b w:val="0"/>
          <w:u w:val="single"/>
        </w:rPr>
        <w:t>Psoriatic arthritis (</w:t>
      </w:r>
      <w:proofErr w:type="spellStart"/>
      <w:r w:rsidRPr="008C49E0">
        <w:rPr>
          <w:b w:val="0"/>
          <w:u w:val="single"/>
        </w:rPr>
        <w:t>PsA</w:t>
      </w:r>
      <w:proofErr w:type="spellEnd"/>
      <w:r w:rsidRPr="008C49E0">
        <w:rPr>
          <w:b w:val="0"/>
          <w:u w:val="single"/>
        </w:rPr>
        <w:t>)</w:t>
      </w:r>
    </w:p>
    <w:p w:rsidR="000233B7" w:rsidRPr="008D4475" w:rsidRDefault="00643BFB" w:rsidP="00A4490A">
      <w:pPr>
        <w:spacing w:before="0"/>
      </w:pPr>
      <w:r>
        <w:t>SIMPONI</w:t>
      </w:r>
      <w:r w:rsidR="000233B7" w:rsidRPr="008D4475">
        <w:t>, alone or in combinat</w:t>
      </w:r>
      <w:smartTag w:uri="urn:schemas-microsoft-com:office:smarttags" w:element="PersonName">
        <w:r w:rsidR="000233B7" w:rsidRPr="008D4475">
          <w:t>ion</w:t>
        </w:r>
      </w:smartTag>
      <w:r w:rsidR="000233B7" w:rsidRPr="008D4475">
        <w:t xml:space="preserve"> with </w:t>
      </w:r>
      <w:proofErr w:type="spellStart"/>
      <w:r w:rsidR="00B3417B" w:rsidRPr="008D4475">
        <w:t>methotrexate</w:t>
      </w:r>
      <w:proofErr w:type="spellEnd"/>
      <w:r w:rsidR="000233B7" w:rsidRPr="008D4475">
        <w:t>, is indicated for:</w:t>
      </w:r>
    </w:p>
    <w:p w:rsidR="000233B7" w:rsidRPr="008D4475" w:rsidRDefault="000233B7" w:rsidP="00A4490A">
      <w:pPr>
        <w:spacing w:before="0"/>
      </w:pPr>
      <w:r w:rsidRPr="008D4475">
        <w:t xml:space="preserve">The treatment of active </w:t>
      </w:r>
      <w:r w:rsidR="00EA5900" w:rsidRPr="008D4475">
        <w:t xml:space="preserve">and progressive </w:t>
      </w:r>
      <w:r w:rsidRPr="008D4475">
        <w:t xml:space="preserve">psoriatic arthritis in adult patients when the response to previous </w:t>
      </w:r>
      <w:r w:rsidR="00EA5900" w:rsidRPr="008D4475">
        <w:rPr>
          <w:rFonts w:cs="Arial"/>
          <w:bCs/>
          <w:szCs w:val="22"/>
        </w:rPr>
        <w:t>disease-modifying anti-rheumatic drug</w:t>
      </w:r>
      <w:r w:rsidR="00EA5900" w:rsidRPr="008D4475">
        <w:rPr>
          <w:rFonts w:cs="Arial"/>
          <w:szCs w:val="22"/>
        </w:rPr>
        <w:t xml:space="preserve"> </w:t>
      </w:r>
      <w:r w:rsidRPr="008D4475">
        <w:t xml:space="preserve">therapy has been inadequate. </w:t>
      </w:r>
      <w:r w:rsidR="00643BFB">
        <w:t>SIMPONI</w:t>
      </w:r>
      <w:r w:rsidRPr="008D4475">
        <w:t xml:space="preserve"> has also been shown to improve physical function.</w:t>
      </w:r>
    </w:p>
    <w:p w:rsidR="000233B7" w:rsidRPr="008C49E0" w:rsidRDefault="000233B7" w:rsidP="008C49E0">
      <w:pPr>
        <w:pStyle w:val="Heading3"/>
        <w:spacing w:after="0"/>
        <w:rPr>
          <w:u w:val="single"/>
        </w:rPr>
      </w:pPr>
      <w:proofErr w:type="spellStart"/>
      <w:r w:rsidRPr="008C49E0">
        <w:rPr>
          <w:rStyle w:val="PI-Header3Char"/>
          <w:lang w:val="en-AU"/>
        </w:rPr>
        <w:t>Ankylosing</w:t>
      </w:r>
      <w:proofErr w:type="spellEnd"/>
      <w:r w:rsidRPr="008C49E0">
        <w:rPr>
          <w:rStyle w:val="PI-Header3Char"/>
          <w:lang w:val="en-AU"/>
        </w:rPr>
        <w:t xml:space="preserve"> </w:t>
      </w:r>
      <w:proofErr w:type="spellStart"/>
      <w:r w:rsidRPr="008C49E0">
        <w:rPr>
          <w:rStyle w:val="PI-Header3Char"/>
          <w:lang w:val="en-AU"/>
        </w:rPr>
        <w:t>spondylitis</w:t>
      </w:r>
      <w:proofErr w:type="spellEnd"/>
      <w:r w:rsidRPr="008C49E0">
        <w:rPr>
          <w:rStyle w:val="PI-Header3Char"/>
          <w:lang w:val="en-AU"/>
        </w:rPr>
        <w:t xml:space="preserve"> (AS)</w:t>
      </w:r>
    </w:p>
    <w:p w:rsidR="000233B7" w:rsidRPr="008D4475" w:rsidRDefault="00643BFB" w:rsidP="00A4490A">
      <w:pPr>
        <w:spacing w:before="0"/>
      </w:pPr>
      <w:r>
        <w:t>SIMPONI</w:t>
      </w:r>
      <w:r w:rsidR="000233B7" w:rsidRPr="008D4475">
        <w:t xml:space="preserve"> is indicated for:</w:t>
      </w:r>
    </w:p>
    <w:p w:rsidR="000233B7" w:rsidRPr="008D4475" w:rsidRDefault="000233B7" w:rsidP="00A4490A">
      <w:pPr>
        <w:spacing w:before="0"/>
      </w:pPr>
      <w:r w:rsidRPr="008D4475">
        <w:t xml:space="preserve">The treatment of active </w:t>
      </w:r>
      <w:proofErr w:type="spellStart"/>
      <w:r w:rsidRPr="008D4475">
        <w:t>ankylosing</w:t>
      </w:r>
      <w:proofErr w:type="spellEnd"/>
      <w:r w:rsidRPr="008D4475">
        <w:t xml:space="preserve"> </w:t>
      </w:r>
      <w:proofErr w:type="spellStart"/>
      <w:r w:rsidRPr="008D4475">
        <w:t>spondylitis</w:t>
      </w:r>
      <w:proofErr w:type="spellEnd"/>
      <w:r w:rsidRPr="008D4475">
        <w:t xml:space="preserve"> in adul</w:t>
      </w:r>
      <w:r w:rsidR="00BD6AB1">
        <w:t>t patients.</w:t>
      </w:r>
    </w:p>
    <w:p w:rsidR="009E0380" w:rsidRPr="005F5F7A" w:rsidRDefault="00BF443F" w:rsidP="00FB6EEB">
      <w:pPr>
        <w:pStyle w:val="Heading2"/>
        <w:spacing w:before="360" w:after="120"/>
      </w:pPr>
      <w:r w:rsidRPr="00BF443F">
        <w:t>CONTRAINDICATIONS</w:t>
      </w:r>
    </w:p>
    <w:p w:rsidR="00EA5900" w:rsidRPr="008D4475" w:rsidRDefault="00EA5900" w:rsidP="00A4490A">
      <w:pPr>
        <w:spacing w:before="0"/>
        <w:rPr>
          <w:rFonts w:cs="Arial"/>
          <w:szCs w:val="22"/>
        </w:rPr>
      </w:pPr>
      <w:r w:rsidRPr="008D4475">
        <w:rPr>
          <w:rFonts w:cs="Arial"/>
          <w:szCs w:val="22"/>
        </w:rPr>
        <w:t>Active tuberculosis or other severe infections such as sepsis, and opportunistic infections (see PRECAUTIONS).</w:t>
      </w:r>
    </w:p>
    <w:p w:rsidR="00EA5900" w:rsidRPr="008D4475" w:rsidRDefault="00EA5900" w:rsidP="00A4490A">
      <w:pPr>
        <w:spacing w:before="0"/>
        <w:rPr>
          <w:rFonts w:cs="Arial"/>
          <w:szCs w:val="22"/>
        </w:rPr>
      </w:pPr>
      <w:r w:rsidRPr="008D4475">
        <w:rPr>
          <w:rFonts w:cs="Arial"/>
          <w:szCs w:val="22"/>
        </w:rPr>
        <w:t xml:space="preserve">Concurrent administration of </w:t>
      </w:r>
      <w:r w:rsidR="00643BFB">
        <w:rPr>
          <w:rFonts w:cs="Arial"/>
          <w:szCs w:val="22"/>
        </w:rPr>
        <w:t>SIMPONI</w:t>
      </w:r>
      <w:r w:rsidRPr="008D4475">
        <w:rPr>
          <w:rFonts w:cs="Arial"/>
          <w:szCs w:val="22"/>
        </w:rPr>
        <w:t xml:space="preserve"> with </w:t>
      </w:r>
      <w:proofErr w:type="spellStart"/>
      <w:r w:rsidRPr="008D4475">
        <w:rPr>
          <w:rFonts w:cs="Arial"/>
          <w:szCs w:val="22"/>
        </w:rPr>
        <w:t>anakinra</w:t>
      </w:r>
      <w:proofErr w:type="spellEnd"/>
      <w:r w:rsidRPr="008D4475">
        <w:rPr>
          <w:rFonts w:cs="Arial"/>
          <w:szCs w:val="22"/>
        </w:rPr>
        <w:t xml:space="preserve"> or </w:t>
      </w:r>
      <w:proofErr w:type="spellStart"/>
      <w:r w:rsidRPr="008D4475">
        <w:rPr>
          <w:rFonts w:cs="Arial"/>
          <w:szCs w:val="22"/>
        </w:rPr>
        <w:t>abatacept</w:t>
      </w:r>
      <w:proofErr w:type="spellEnd"/>
      <w:r w:rsidRPr="008D4475">
        <w:rPr>
          <w:rFonts w:cs="Arial"/>
          <w:szCs w:val="22"/>
        </w:rPr>
        <w:t xml:space="preserve"> (see PRECAUTIONS).</w:t>
      </w:r>
    </w:p>
    <w:p w:rsidR="00EA5900" w:rsidRPr="008D4475" w:rsidRDefault="00EA5900" w:rsidP="00A4490A">
      <w:pPr>
        <w:spacing w:before="0"/>
        <w:rPr>
          <w:rFonts w:cs="Arial"/>
          <w:szCs w:val="22"/>
        </w:rPr>
      </w:pPr>
      <w:r w:rsidRPr="008D4475">
        <w:rPr>
          <w:rFonts w:cs="Arial"/>
          <w:szCs w:val="22"/>
        </w:rPr>
        <w:t>Moderate or severe heart failure (NYHA class III/IV) (see PRECAUTIONS).</w:t>
      </w:r>
    </w:p>
    <w:p w:rsidR="00B33322" w:rsidRPr="008D4475" w:rsidRDefault="00B33322" w:rsidP="00A4490A">
      <w:pPr>
        <w:spacing w:before="0"/>
        <w:rPr>
          <w:rFonts w:cs="Arial"/>
          <w:szCs w:val="22"/>
        </w:rPr>
      </w:pPr>
      <w:r w:rsidRPr="008D4475">
        <w:rPr>
          <w:rFonts w:cs="Arial"/>
          <w:szCs w:val="22"/>
        </w:rPr>
        <w:t xml:space="preserve">Hypersensitivity to the active substance or to any of the </w:t>
      </w:r>
      <w:proofErr w:type="spellStart"/>
      <w:r w:rsidRPr="008D4475">
        <w:rPr>
          <w:rFonts w:cs="Arial"/>
          <w:szCs w:val="22"/>
        </w:rPr>
        <w:t>excipients</w:t>
      </w:r>
      <w:proofErr w:type="spellEnd"/>
      <w:r w:rsidRPr="008D4475">
        <w:rPr>
          <w:rFonts w:cs="Arial"/>
          <w:szCs w:val="22"/>
        </w:rPr>
        <w:t>.</w:t>
      </w:r>
    </w:p>
    <w:p w:rsidR="009E0380" w:rsidRPr="005F5F7A" w:rsidRDefault="00BF443F" w:rsidP="00FB6EEB">
      <w:pPr>
        <w:pStyle w:val="Heading2"/>
        <w:spacing w:before="360" w:after="0"/>
        <w:rPr>
          <w:bCs/>
        </w:rPr>
      </w:pPr>
      <w:r w:rsidRPr="00BF443F">
        <w:t>PRECAUTIONS</w:t>
      </w:r>
    </w:p>
    <w:p w:rsidR="00DC2826" w:rsidRPr="008C49E0" w:rsidRDefault="00DC2826" w:rsidP="00FB6EEB">
      <w:pPr>
        <w:pStyle w:val="Heading3"/>
        <w:spacing w:before="120" w:after="0"/>
        <w:rPr>
          <w:b w:val="0"/>
          <w:u w:val="single"/>
        </w:rPr>
      </w:pPr>
      <w:r w:rsidRPr="008C49E0">
        <w:rPr>
          <w:b w:val="0"/>
          <w:u w:val="single"/>
        </w:rPr>
        <w:t>Infections</w:t>
      </w:r>
    </w:p>
    <w:p w:rsidR="00EA5900" w:rsidRPr="008D4475" w:rsidRDefault="00EA5900" w:rsidP="00DF618E">
      <w:r w:rsidRPr="008D4475">
        <w:t>Serious and sometimes fatal infections due to bacterial</w:t>
      </w:r>
      <w:r w:rsidR="00215E46">
        <w:t xml:space="preserve"> (including sepsis and pneumonia)</w:t>
      </w:r>
      <w:r w:rsidRPr="008D4475">
        <w:t xml:space="preserve">, </w:t>
      </w:r>
      <w:proofErr w:type="spellStart"/>
      <w:r w:rsidRPr="008D4475">
        <w:t>mycobacterial</w:t>
      </w:r>
      <w:proofErr w:type="spellEnd"/>
      <w:r w:rsidRPr="008D4475">
        <w:t xml:space="preserve">, invasive fungal, viral, </w:t>
      </w:r>
      <w:proofErr w:type="spellStart"/>
      <w:r w:rsidRPr="008D4475">
        <w:t>protozoal</w:t>
      </w:r>
      <w:proofErr w:type="spellEnd"/>
      <w:r w:rsidRPr="008D4475">
        <w:t xml:space="preserve">, or other opportunistic pathogens have been reported in patients receiving TNF-blockers including </w:t>
      </w:r>
      <w:r w:rsidR="00643BFB">
        <w:t>SIMPONI</w:t>
      </w:r>
      <w:r w:rsidRPr="008D4475">
        <w:t xml:space="preserve">. Among opportunistic infections, tuberculosis, </w:t>
      </w:r>
      <w:proofErr w:type="spellStart"/>
      <w:r w:rsidRPr="008D4475">
        <w:t>histoplasmosis</w:t>
      </w:r>
      <w:proofErr w:type="spellEnd"/>
      <w:r w:rsidRPr="008D4475">
        <w:t xml:space="preserve">, </w:t>
      </w:r>
      <w:proofErr w:type="spellStart"/>
      <w:r w:rsidRPr="008D4475">
        <w:t>aspergillosis</w:t>
      </w:r>
      <w:proofErr w:type="spellEnd"/>
      <w:r w:rsidRPr="008D4475">
        <w:t xml:space="preserve">, </w:t>
      </w:r>
      <w:proofErr w:type="spellStart"/>
      <w:r w:rsidRPr="008D4475">
        <w:t>candidiasis</w:t>
      </w:r>
      <w:proofErr w:type="spellEnd"/>
      <w:r w:rsidRPr="008D4475">
        <w:t xml:space="preserve">, </w:t>
      </w:r>
      <w:proofErr w:type="spellStart"/>
      <w:r w:rsidRPr="008D4475">
        <w:t>coccidioidomycosis</w:t>
      </w:r>
      <w:proofErr w:type="spellEnd"/>
      <w:r w:rsidRPr="008D4475">
        <w:t xml:space="preserve">, </w:t>
      </w:r>
      <w:proofErr w:type="spellStart"/>
      <w:r w:rsidRPr="008D4475">
        <w:t>listeriosis</w:t>
      </w:r>
      <w:proofErr w:type="spellEnd"/>
      <w:r w:rsidRPr="008D4475">
        <w:t xml:space="preserve">, and </w:t>
      </w:r>
      <w:proofErr w:type="spellStart"/>
      <w:r w:rsidRPr="008D4475">
        <w:t>pneumocystosis</w:t>
      </w:r>
      <w:proofErr w:type="spellEnd"/>
      <w:r w:rsidRPr="008D4475">
        <w:t xml:space="preserve"> were the most commonly reported with TNF-blockers. Patients have frequently presented with disseminated rather than local</w:t>
      </w:r>
      <w:r w:rsidR="00E20C4D" w:rsidRPr="008D4475">
        <w:t>ise</w:t>
      </w:r>
      <w:r w:rsidRPr="008D4475">
        <w:t xml:space="preserve">d disease, and were often taking concomitant </w:t>
      </w:r>
      <w:proofErr w:type="spellStart"/>
      <w:r w:rsidRPr="008D4475">
        <w:t>immunosuppressants</w:t>
      </w:r>
      <w:proofErr w:type="spellEnd"/>
      <w:r w:rsidRPr="008D4475">
        <w:t xml:space="preserve"> such as </w:t>
      </w:r>
      <w:proofErr w:type="spellStart"/>
      <w:r w:rsidRPr="008D4475">
        <w:t>methotrexate</w:t>
      </w:r>
      <w:proofErr w:type="spellEnd"/>
      <w:r w:rsidRPr="008D4475">
        <w:t xml:space="preserve"> </w:t>
      </w:r>
      <w:r w:rsidR="00B3417B" w:rsidRPr="008D4475">
        <w:t xml:space="preserve">(MTX) </w:t>
      </w:r>
      <w:r w:rsidRPr="008D4475">
        <w:t xml:space="preserve">or corticosteroids. The concomitant use of a TNF-blocker and </w:t>
      </w:r>
      <w:proofErr w:type="spellStart"/>
      <w:r w:rsidRPr="008D4475">
        <w:t>abatacept</w:t>
      </w:r>
      <w:proofErr w:type="spellEnd"/>
      <w:r w:rsidRPr="008D4475">
        <w:t xml:space="preserve"> or </w:t>
      </w:r>
      <w:proofErr w:type="spellStart"/>
      <w:r w:rsidRPr="008D4475">
        <w:t>anakinra</w:t>
      </w:r>
      <w:proofErr w:type="spellEnd"/>
      <w:r w:rsidRPr="008D4475">
        <w:t xml:space="preserve"> was associated with a higher risk of serious infections; therefore, the concomitant use of </w:t>
      </w:r>
      <w:r w:rsidR="00643BFB">
        <w:t>SIMPONI</w:t>
      </w:r>
      <w:r w:rsidRPr="008D4475">
        <w:t xml:space="preserve"> and these biologic products is not recommended (see </w:t>
      </w:r>
      <w:r w:rsidR="00B3417B" w:rsidRPr="008D4475">
        <w:t xml:space="preserve">CONTRAINDICATIONS and </w:t>
      </w:r>
      <w:r w:rsidRPr="008D4475">
        <w:t xml:space="preserve">PRECAUTIONS, </w:t>
      </w:r>
      <w:r w:rsidR="00B3417B" w:rsidRPr="008D4475">
        <w:t>“</w:t>
      </w:r>
      <w:r w:rsidRPr="008D4475">
        <w:t>Interactions with other medicines</w:t>
      </w:r>
      <w:r w:rsidR="00B3417B" w:rsidRPr="008D4475">
        <w:t>”</w:t>
      </w:r>
      <w:r w:rsidRPr="008D4475">
        <w:t>).</w:t>
      </w:r>
    </w:p>
    <w:p w:rsidR="00EA5900" w:rsidRPr="008D4475" w:rsidRDefault="00EA5900" w:rsidP="00DF618E">
      <w:r w:rsidRPr="008D4475">
        <w:t xml:space="preserve">Treatment with </w:t>
      </w:r>
      <w:r w:rsidR="00643BFB">
        <w:t>SIMPONI</w:t>
      </w:r>
      <w:r w:rsidRPr="008D4475">
        <w:t xml:space="preserve"> should not be initiated in patients with an active infection, including clinically important localised infections. The risks and benefits of treatment should be considered prior to initiating </w:t>
      </w:r>
      <w:r w:rsidR="00643BFB">
        <w:t>SIMPONI</w:t>
      </w:r>
      <w:r w:rsidRPr="008D4475">
        <w:t xml:space="preserve"> in patients:</w:t>
      </w:r>
    </w:p>
    <w:p w:rsidR="00DF618E" w:rsidRPr="008D4475" w:rsidRDefault="00EA5900" w:rsidP="00A4490A">
      <w:pPr>
        <w:numPr>
          <w:ilvl w:val="0"/>
          <w:numId w:val="8"/>
        </w:numPr>
        <w:spacing w:after="0"/>
        <w:rPr>
          <w:rFonts w:cs="Arial"/>
          <w:szCs w:val="22"/>
        </w:rPr>
      </w:pPr>
      <w:r w:rsidRPr="008D4475">
        <w:t>with chronic or recurrent infection;</w:t>
      </w:r>
    </w:p>
    <w:p w:rsidR="00DF618E" w:rsidRPr="008D4475" w:rsidRDefault="00EA5900" w:rsidP="00A4490A">
      <w:pPr>
        <w:numPr>
          <w:ilvl w:val="0"/>
          <w:numId w:val="8"/>
        </w:numPr>
        <w:spacing w:before="0" w:after="0"/>
        <w:rPr>
          <w:rFonts w:cs="Arial"/>
          <w:szCs w:val="22"/>
        </w:rPr>
      </w:pPr>
      <w:r w:rsidRPr="008D4475">
        <w:t>who have been exposed to tuberculosis;</w:t>
      </w:r>
    </w:p>
    <w:p w:rsidR="00DF618E" w:rsidRPr="008D4475" w:rsidRDefault="00EA5900" w:rsidP="00A4490A">
      <w:pPr>
        <w:numPr>
          <w:ilvl w:val="0"/>
          <w:numId w:val="8"/>
        </w:numPr>
        <w:spacing w:before="0" w:after="0"/>
        <w:rPr>
          <w:rFonts w:cs="Arial"/>
          <w:szCs w:val="22"/>
        </w:rPr>
      </w:pPr>
      <w:r w:rsidRPr="008D4475">
        <w:t>with a history of an opportunistic infection;</w:t>
      </w:r>
    </w:p>
    <w:p w:rsidR="00DF618E" w:rsidRPr="008D4475" w:rsidRDefault="00EA5900" w:rsidP="00A4490A">
      <w:pPr>
        <w:numPr>
          <w:ilvl w:val="0"/>
          <w:numId w:val="8"/>
        </w:numPr>
        <w:spacing w:before="0" w:after="0"/>
        <w:rPr>
          <w:rFonts w:cs="Arial"/>
          <w:szCs w:val="22"/>
        </w:rPr>
      </w:pPr>
      <w:r w:rsidRPr="008D4475">
        <w:lastRenderedPageBreak/>
        <w:t>who have resided or trave</w:t>
      </w:r>
      <w:r w:rsidR="00B3417B" w:rsidRPr="008D4475">
        <w:t>l</w:t>
      </w:r>
      <w:r w:rsidRPr="008D4475">
        <w:t xml:space="preserve">led in areas of endemic tuberculosis or endemic mycoses, such as </w:t>
      </w:r>
      <w:proofErr w:type="spellStart"/>
      <w:r w:rsidRPr="008D4475">
        <w:t>histoplasmosis</w:t>
      </w:r>
      <w:proofErr w:type="spellEnd"/>
      <w:r w:rsidRPr="008D4475">
        <w:t xml:space="preserve">, </w:t>
      </w:r>
      <w:proofErr w:type="spellStart"/>
      <w:r w:rsidRPr="008D4475">
        <w:t>coccidioidomycosis</w:t>
      </w:r>
      <w:proofErr w:type="spellEnd"/>
      <w:r w:rsidRPr="008D4475">
        <w:t xml:space="preserve">, or </w:t>
      </w:r>
      <w:proofErr w:type="spellStart"/>
      <w:r w:rsidRPr="008D4475">
        <w:t>blastomycosis</w:t>
      </w:r>
      <w:proofErr w:type="spellEnd"/>
      <w:r w:rsidRPr="008D4475">
        <w:t>; or</w:t>
      </w:r>
    </w:p>
    <w:p w:rsidR="00EA5900" w:rsidRPr="008D4475" w:rsidRDefault="00EA5900" w:rsidP="00824E35">
      <w:pPr>
        <w:numPr>
          <w:ilvl w:val="0"/>
          <w:numId w:val="8"/>
        </w:numPr>
        <w:spacing w:before="0"/>
        <w:rPr>
          <w:rFonts w:cs="Arial"/>
          <w:szCs w:val="22"/>
        </w:rPr>
      </w:pPr>
      <w:r w:rsidRPr="008D4475">
        <w:t>with underlying conditions that may predispose them to infection.</w:t>
      </w:r>
    </w:p>
    <w:p w:rsidR="00EA5900" w:rsidRPr="008D4475" w:rsidRDefault="00EA5900" w:rsidP="003944EE">
      <w:pPr>
        <w:autoSpaceDE w:val="0"/>
        <w:autoSpaceDN w:val="0"/>
        <w:adjustRightInd w:val="0"/>
      </w:pPr>
      <w:r w:rsidRPr="008D4475">
        <w:t>Patients should be closely monitored for the development of signs and symptoms of infection during and after</w:t>
      </w:r>
      <w:r w:rsidR="00DF618E" w:rsidRPr="008D4475">
        <w:t xml:space="preserve"> </w:t>
      </w:r>
      <w:r w:rsidRPr="008D4475">
        <w:t xml:space="preserve">treatment with </w:t>
      </w:r>
      <w:r w:rsidR="00643BFB">
        <w:t>SIMPONI</w:t>
      </w:r>
      <w:r w:rsidRPr="008D4475">
        <w:t xml:space="preserve">. </w:t>
      </w:r>
      <w:r w:rsidR="00D93940" w:rsidRPr="001847F4">
        <w:rPr>
          <w:rFonts w:cs="TimesNewRomanPSMT"/>
          <w:szCs w:val="22"/>
          <w:lang w:bidi="gu-IN"/>
        </w:rPr>
        <w:t xml:space="preserve">Because the elimination of </w:t>
      </w:r>
      <w:proofErr w:type="spellStart"/>
      <w:r w:rsidR="00D93940" w:rsidRPr="001847F4">
        <w:rPr>
          <w:rFonts w:cs="TimesNewRomanPSMT"/>
          <w:szCs w:val="22"/>
          <w:lang w:bidi="gu-IN"/>
        </w:rPr>
        <w:t>golimumab</w:t>
      </w:r>
      <w:proofErr w:type="spellEnd"/>
      <w:r w:rsidR="00D93940" w:rsidRPr="001847F4">
        <w:rPr>
          <w:rFonts w:cs="TimesNewRomanPSMT"/>
          <w:szCs w:val="22"/>
          <w:lang w:bidi="gu-IN"/>
        </w:rPr>
        <w:t xml:space="preserve"> may take up to 5 months, monitoring should be continued throughout this period. </w:t>
      </w:r>
      <w:r w:rsidR="00643BFB">
        <w:t>SIMPONI</w:t>
      </w:r>
      <w:r w:rsidRPr="008D4475">
        <w:t xml:space="preserve"> should be discontinued if a patient develops a serious infection, an opportunistic infection, or sepsis. A patient who develops a new infection during treatment with </w:t>
      </w:r>
      <w:r w:rsidR="00643BFB">
        <w:t>SIMPONI</w:t>
      </w:r>
      <w:r w:rsidRPr="008D4475">
        <w:t xml:space="preserve"> should undergo a prompt and complete diagnostic workup appropriate for an </w:t>
      </w:r>
      <w:proofErr w:type="spellStart"/>
      <w:r w:rsidRPr="008D4475">
        <w:t>immunocompromised</w:t>
      </w:r>
      <w:proofErr w:type="spellEnd"/>
      <w:r w:rsidRPr="008D4475">
        <w:t xml:space="preserve"> patient, appropriate antimicrobial therapy should be initiated, and the patient should be closely monitored.</w:t>
      </w:r>
    </w:p>
    <w:p w:rsidR="00DF618E" w:rsidRPr="00824E35" w:rsidRDefault="00DF618E" w:rsidP="00824E35">
      <w:pPr>
        <w:pStyle w:val="Heading4"/>
      </w:pPr>
      <w:r w:rsidRPr="008D4475">
        <w:t>Invasive Fungal Infections</w:t>
      </w:r>
    </w:p>
    <w:p w:rsidR="00DF618E" w:rsidRPr="008D4475" w:rsidRDefault="00BF72A8" w:rsidP="00613D51">
      <w:r w:rsidRPr="008D4475">
        <w:t xml:space="preserve">For </w:t>
      </w:r>
      <w:r w:rsidR="00643BFB">
        <w:t>SIMPONI</w:t>
      </w:r>
      <w:r w:rsidRPr="008D4475">
        <w:t xml:space="preserve">-treated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w:t>
      </w:r>
      <w:proofErr w:type="spellStart"/>
      <w:r w:rsidRPr="008D4475">
        <w:t>histoplasmosis</w:t>
      </w:r>
      <w:proofErr w:type="spellEnd"/>
      <w:r w:rsidRPr="008D4475">
        <w:t xml:space="preserve">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w:t>
      </w:r>
      <w:r w:rsidR="00DF618E" w:rsidRPr="008D4475">
        <w:t>.</w:t>
      </w:r>
    </w:p>
    <w:p w:rsidR="00DC2826" w:rsidRPr="00824E35" w:rsidRDefault="00DC2826" w:rsidP="00824E35">
      <w:pPr>
        <w:pStyle w:val="Heading3"/>
        <w:rPr>
          <w:b w:val="0"/>
          <w:u w:val="single"/>
        </w:rPr>
      </w:pPr>
      <w:r w:rsidRPr="00824E35">
        <w:rPr>
          <w:b w:val="0"/>
          <w:u w:val="single"/>
        </w:rPr>
        <w:t>Tuberculosis</w:t>
      </w:r>
    </w:p>
    <w:p w:rsidR="00DC2826" w:rsidRPr="008D4475" w:rsidRDefault="00DF618E" w:rsidP="00613D51">
      <w:r w:rsidRPr="008D4475">
        <w:t xml:space="preserve">Cases of reactivation of tuberculosis or new tuberculosis infections have been observed in patients receiving TNF-blockers, </w:t>
      </w:r>
      <w:r w:rsidR="00D93940">
        <w:t xml:space="preserve">including </w:t>
      </w:r>
      <w:r w:rsidR="00643BFB">
        <w:t>SIMPONI</w:t>
      </w:r>
      <w:r w:rsidR="00D93940">
        <w:t>. In addition,</w:t>
      </w:r>
      <w:r w:rsidRPr="008D4475">
        <w:t xml:space="preserve"> patients who have previously received treatment for latent or active tuberculosis</w:t>
      </w:r>
      <w:r w:rsidR="00D93940">
        <w:t xml:space="preserve"> have developed tuberculosis while receiving TNF-blockers</w:t>
      </w:r>
      <w:r w:rsidRPr="008D4475">
        <w:t xml:space="preserve">. </w:t>
      </w:r>
      <w:r w:rsidR="00BF72A8" w:rsidRPr="008D4475">
        <w:t xml:space="preserve">Patients with tuberculosis have frequently presented with disseminated or </w:t>
      </w:r>
      <w:proofErr w:type="spellStart"/>
      <w:r w:rsidR="00BF72A8" w:rsidRPr="008D4475">
        <w:t>extrapulmonary</w:t>
      </w:r>
      <w:proofErr w:type="spellEnd"/>
      <w:r w:rsidR="00BF72A8" w:rsidRPr="008D4475">
        <w:t xml:space="preserve"> disease. </w:t>
      </w:r>
      <w:r w:rsidRPr="008D4475">
        <w:t xml:space="preserve">Patients should be evaluated for tuberculosis risk factors (including close contact with a person with active tuberculosis) and tested for latent infection prior to initiating </w:t>
      </w:r>
      <w:r w:rsidR="00643BFB">
        <w:t>SIMPONI</w:t>
      </w:r>
      <w:r w:rsidRPr="008D4475">
        <w:t xml:space="preserve"> and periodically during therapy.</w:t>
      </w:r>
      <w:r w:rsidR="00AD2C17" w:rsidRPr="008D4475">
        <w:t xml:space="preserve"> </w:t>
      </w:r>
      <w:r w:rsidR="00DC2826" w:rsidRPr="008D4475">
        <w:t>Treatment of latent tuberculosis infect</w:t>
      </w:r>
      <w:smartTag w:uri="urn:schemas-microsoft-com:office:smarttags" w:element="PersonName">
        <w:r w:rsidR="00DC2826" w:rsidRPr="008D4475">
          <w:t>ion</w:t>
        </w:r>
      </w:smartTag>
      <w:r w:rsidR="00DC2826" w:rsidRPr="008D4475">
        <w:t xml:space="preserve"> should be initiated prior to therapy with </w:t>
      </w:r>
      <w:r w:rsidR="00643BFB">
        <w:t>SIMPONI</w:t>
      </w:r>
      <w:r w:rsidR="00DC2826" w:rsidRPr="008D4475">
        <w:t>.</w:t>
      </w:r>
    </w:p>
    <w:p w:rsidR="00DC2826" w:rsidRPr="008D4475" w:rsidRDefault="00DC2826" w:rsidP="00DC2826">
      <w:r w:rsidRPr="008D4475">
        <w:t>Anti</w:t>
      </w:r>
      <w:r w:rsidR="00424EC5">
        <w:t>-</w:t>
      </w:r>
      <w:r w:rsidRPr="008D4475">
        <w:t>tuberculosis therapy should be considered prior to initiat</w:t>
      </w:r>
      <w:smartTag w:uri="urn:schemas-microsoft-com:office:smarttags" w:element="PersonName">
        <w:r w:rsidRPr="008D4475">
          <w:t>ion</w:t>
        </w:r>
      </w:smartTag>
      <w:r w:rsidRPr="008D4475">
        <w:t xml:space="preserve"> of </w:t>
      </w:r>
      <w:r w:rsidR="00643BFB">
        <w:t>SIMPONI</w:t>
      </w:r>
      <w:r w:rsidRPr="008D4475">
        <w:t xml:space="preserve"> in patients with a past history of latent or active tuberculosis in whom an adequate course of treatment cannot be confirmed.</w:t>
      </w:r>
    </w:p>
    <w:p w:rsidR="00DC2826" w:rsidRPr="008D4475" w:rsidRDefault="00DC2826" w:rsidP="00DC2826">
      <w:r w:rsidRPr="008D4475">
        <w:t xml:space="preserve">Tests for latent tuberculosis may yield false negative results, especially in patients who are </w:t>
      </w:r>
      <w:proofErr w:type="spellStart"/>
      <w:r w:rsidRPr="008D4475">
        <w:t>immunocompromised</w:t>
      </w:r>
      <w:proofErr w:type="spellEnd"/>
      <w:r w:rsidRPr="008D4475">
        <w:t xml:space="preserve"> or severely ill. Prior to initiating </w:t>
      </w:r>
      <w:r w:rsidR="00643BFB">
        <w:t>SIMPONI</w:t>
      </w:r>
      <w:r w:rsidRPr="008D4475">
        <w:t xml:space="preserve">, treatment for latent </w:t>
      </w:r>
      <w:r w:rsidR="00B3417B" w:rsidRPr="008D4475">
        <w:t xml:space="preserve">tuberculosis </w:t>
      </w:r>
      <w:r w:rsidRPr="008D4475">
        <w:t xml:space="preserve">should be considered in patients who have significant risk factors for </w:t>
      </w:r>
      <w:r w:rsidR="00B3417B" w:rsidRPr="008D4475">
        <w:t xml:space="preserve">tuberculosis </w:t>
      </w:r>
      <w:r w:rsidRPr="008D4475">
        <w:t>despite a negative test for latent tuberculosis. The decis</w:t>
      </w:r>
      <w:smartTag w:uri="urn:schemas-microsoft-com:office:smarttags" w:element="PersonName">
        <w:r w:rsidRPr="008D4475">
          <w:t>ion</w:t>
        </w:r>
      </w:smartTag>
      <w:r w:rsidR="00BD6AB1">
        <w:t xml:space="preserve"> to initiate anti-</w:t>
      </w:r>
      <w:r w:rsidRPr="008D4475">
        <w:t>tuberculosis therapy in these patients should only be made following consultat</w:t>
      </w:r>
      <w:smartTag w:uri="urn:schemas-microsoft-com:office:smarttags" w:element="PersonName">
        <w:r w:rsidRPr="008D4475">
          <w:t>ion</w:t>
        </w:r>
      </w:smartTag>
      <w:r w:rsidRPr="008D4475">
        <w:t xml:space="preserve"> with a physician with expertise in the treatment of tuberculosis and taking into account both the risk for latent tuberculosis infect</w:t>
      </w:r>
      <w:smartTag w:uri="urn:schemas-microsoft-com:office:smarttags" w:element="PersonName">
        <w:r w:rsidRPr="008D4475">
          <w:t>ion</w:t>
        </w:r>
      </w:smartTag>
      <w:r w:rsidR="00BD6AB1">
        <w:t xml:space="preserve"> and the risks of anti-</w:t>
      </w:r>
      <w:r w:rsidRPr="008D4475">
        <w:t>tuberculosis therapy.</w:t>
      </w:r>
    </w:p>
    <w:p w:rsidR="00DF618E" w:rsidRPr="008D4475" w:rsidRDefault="00DC2826" w:rsidP="00DF618E">
      <w:r w:rsidRPr="008D4475">
        <w:t xml:space="preserve">Patients receiving </w:t>
      </w:r>
      <w:r w:rsidR="00643BFB">
        <w:t>SIMPONI</w:t>
      </w:r>
      <w:r w:rsidRPr="008D4475">
        <w:t xml:space="preserve"> should be monitored closely for signs and symptoms of active tuberculosis during and after treatment, including patients who tested negative for latent tuberculosis infect</w:t>
      </w:r>
      <w:smartTag w:uri="urn:schemas-microsoft-com:office:smarttags" w:element="PersonName">
        <w:r w:rsidRPr="008D4475">
          <w:t>ion</w:t>
        </w:r>
      </w:smartTag>
      <w:r w:rsidRPr="008D4475">
        <w:t>s.</w:t>
      </w:r>
      <w:r w:rsidR="00DF618E" w:rsidRPr="008D4475">
        <w:t xml:space="preserve"> Tuberculosis should be strongly considered in patients who develop a new infection during </w:t>
      </w:r>
      <w:r w:rsidR="00643BFB">
        <w:t>SIMPONI</w:t>
      </w:r>
      <w:r w:rsidR="00DF618E" w:rsidRPr="008D4475">
        <w:t xml:space="preserve"> treatment, especially in patients who have previously or recently travelled to countries with a high prevalence of tuberculosis, or who have had close contact with a person with active tuberculosis.</w:t>
      </w:r>
    </w:p>
    <w:p w:rsidR="00DC2826" w:rsidRPr="008D4475" w:rsidRDefault="00DF618E" w:rsidP="00915E36">
      <w:r w:rsidRPr="008D4475">
        <w:lastRenderedPageBreak/>
        <w:t xml:space="preserve">In the controlled and uncontrolled portions of the Phase 2 RA and Phase 3 RA, </w:t>
      </w:r>
      <w:proofErr w:type="spellStart"/>
      <w:r w:rsidRPr="008D4475">
        <w:t>PsA</w:t>
      </w:r>
      <w:proofErr w:type="spellEnd"/>
      <w:r w:rsidRPr="008D4475">
        <w:t xml:space="preserve">, and AS trials, the incidence of active </w:t>
      </w:r>
      <w:r w:rsidR="00B3417B" w:rsidRPr="008D4475">
        <w:t xml:space="preserve">tuberculosis </w:t>
      </w:r>
      <w:r w:rsidRPr="008D4475">
        <w:t xml:space="preserve">was 0.23 and 0 per 100 patient-years in 2347 </w:t>
      </w:r>
      <w:r w:rsidR="00643BFB">
        <w:t>SIMPONI</w:t>
      </w:r>
      <w:r w:rsidRPr="008D4475">
        <w:t xml:space="preserve">-treated patients and 674 placebo-treated patients, respectively. Cases of </w:t>
      </w:r>
      <w:r w:rsidR="00B3417B" w:rsidRPr="008D4475">
        <w:t xml:space="preserve">tuberculosis </w:t>
      </w:r>
      <w:r w:rsidRPr="008D4475">
        <w:t xml:space="preserve">included pulmonary and extra pulmonary </w:t>
      </w:r>
      <w:r w:rsidR="00B3417B" w:rsidRPr="008D4475">
        <w:t>tuberculosis</w:t>
      </w:r>
      <w:r w:rsidRPr="008D4475">
        <w:t xml:space="preserve">. The overwhelming majority of the </w:t>
      </w:r>
      <w:r w:rsidR="00B3417B" w:rsidRPr="008D4475">
        <w:t xml:space="preserve">tuberculosis </w:t>
      </w:r>
      <w:r w:rsidRPr="008D4475">
        <w:t xml:space="preserve">cases occurred in countries with a high incidence rate of </w:t>
      </w:r>
      <w:r w:rsidR="00B3417B" w:rsidRPr="008D4475">
        <w:t>tuberculosis</w:t>
      </w:r>
      <w:r w:rsidRPr="008D4475">
        <w:t>.</w:t>
      </w:r>
    </w:p>
    <w:p w:rsidR="00DC2826" w:rsidRPr="004558DD" w:rsidRDefault="00DC2826" w:rsidP="00915E36">
      <w:pPr>
        <w:pStyle w:val="Heading3"/>
        <w:spacing w:before="120" w:after="0"/>
        <w:rPr>
          <w:b w:val="0"/>
          <w:u w:val="single"/>
        </w:rPr>
      </w:pPr>
      <w:r w:rsidRPr="004558DD">
        <w:rPr>
          <w:b w:val="0"/>
          <w:u w:val="single"/>
        </w:rPr>
        <w:t>Hepatitis B virus reactivation</w:t>
      </w:r>
    </w:p>
    <w:p w:rsidR="00DF618E" w:rsidRPr="008D4475" w:rsidRDefault="00DF618E" w:rsidP="00915E36">
      <w:r w:rsidRPr="008D4475">
        <w:t xml:space="preserve">The use of TNF-blockers including </w:t>
      </w:r>
      <w:r w:rsidR="00643BFB">
        <w:t>SIMPONI</w:t>
      </w:r>
      <w:r w:rsidRPr="008D4475">
        <w:t xml:space="preserve"> has been associated with reactivation of hepatitis B virus (HBV) in patients who are chronic hepatitis B carriers (i.e. surface antigen positive). </w:t>
      </w:r>
      <w:r w:rsidR="00AF6CCE">
        <w:t xml:space="preserve">Patients should be tested for Hepatitis B virus (HBV) infection before initiating treatment with </w:t>
      </w:r>
      <w:proofErr w:type="spellStart"/>
      <w:r w:rsidR="00AF6CCE">
        <w:t>immunosuppressants</w:t>
      </w:r>
      <w:proofErr w:type="spellEnd"/>
      <w:r w:rsidR="00AF6CCE">
        <w:t xml:space="preserve">, including SIMPONI.  For patients who test positive for hepatitis B surface antigen, consultation with a physician with expertise in the treatment of hepatitis B is recommended. </w:t>
      </w:r>
      <w:r w:rsidRPr="008D4475">
        <w:t xml:space="preserve">In some instances, HBV reactivation occurring in conjunction with TNF-blocker therapy has been fatal. The majority of these reports have occurred in patients who received concomitant </w:t>
      </w:r>
      <w:proofErr w:type="spellStart"/>
      <w:r w:rsidRPr="008D4475">
        <w:t>immunosuppressants</w:t>
      </w:r>
      <w:proofErr w:type="spellEnd"/>
      <w:r w:rsidRPr="008D4475">
        <w:t>.</w:t>
      </w:r>
    </w:p>
    <w:p w:rsidR="00DF618E" w:rsidRPr="008D4475" w:rsidRDefault="00DF618E" w:rsidP="00915E36">
      <w:r w:rsidRPr="008D4475">
        <w:t xml:space="preserve">Patients at risk for HBV infection should be evaluated for prior evidence of HBV infection before initiating TNF-blocker therapy. The risks and benefits of treatment should be considered prior to prescribing </w:t>
      </w:r>
      <w:r w:rsidR="00E20C4D" w:rsidRPr="008D4475">
        <w:t>TNF-block</w:t>
      </w:r>
      <w:r w:rsidRPr="008D4475">
        <w:t xml:space="preserve">ers, including </w:t>
      </w:r>
      <w:r w:rsidR="00643BFB">
        <w:t>SIMPONI</w:t>
      </w:r>
      <w:r w:rsidRPr="008D4475">
        <w:t>, to patients who are carriers of HBV. Adequate data are not available on whether anti-viral therapy can reduce the risk of HBV reactivation in HBV carriers who are treated with TNF-blockers. Patients who are carriers of HBV and require treatment with TNF-blockers should be closely monitored for clinical and laboratory signs of active HBV infection throughout therapy and for several months following termination of therapy.</w:t>
      </w:r>
    </w:p>
    <w:p w:rsidR="00DF618E" w:rsidRPr="008D4475" w:rsidRDefault="00DF618E" w:rsidP="00915E36">
      <w:r w:rsidRPr="008D4475">
        <w:t xml:space="preserve">In patients who develop HBV reactivation, TNF-blockers should be stopped and antiviral therapy with appropriate supportive treatment should be initiated. The safety of resuming TNF-blockers after HBV reactivation has been controlled is not known. Therefore, </w:t>
      </w:r>
      <w:r w:rsidR="00AD2C17" w:rsidRPr="008D4475">
        <w:t>physician</w:t>
      </w:r>
      <w:r w:rsidRPr="008D4475">
        <w:t>s should exercise caution when considering resumption of TNF-blockers in this situation and monitor patients closely.</w:t>
      </w:r>
    </w:p>
    <w:p w:rsidR="00DC2826" w:rsidRPr="004558DD" w:rsidRDefault="00DC2826" w:rsidP="00915E36">
      <w:pPr>
        <w:pStyle w:val="Heading3"/>
        <w:spacing w:before="120" w:after="0"/>
        <w:rPr>
          <w:b w:val="0"/>
          <w:u w:val="single"/>
        </w:rPr>
      </w:pPr>
      <w:r w:rsidRPr="004558DD">
        <w:rPr>
          <w:b w:val="0"/>
          <w:u w:val="single"/>
        </w:rPr>
        <w:t>Malignancies</w:t>
      </w:r>
    </w:p>
    <w:p w:rsidR="00DC2826" w:rsidRPr="008D4475" w:rsidRDefault="00BD6AB1" w:rsidP="00915E36">
      <w:r>
        <w:t>The potential role of TNF-</w:t>
      </w:r>
      <w:r w:rsidR="00DC2826" w:rsidRPr="008D4475">
        <w:t>blocking therapy in the development of malignancies is not known. Caut</w:t>
      </w:r>
      <w:smartTag w:uri="urn:schemas-microsoft-com:office:smarttags" w:element="PersonName">
        <w:r w:rsidR="00DC2826" w:rsidRPr="008D4475">
          <w:t>ion</w:t>
        </w:r>
      </w:smartTag>
      <w:r w:rsidR="00DC2826" w:rsidRPr="008D4475">
        <w:t xml:space="preserve"> should be exercised when considering</w:t>
      </w:r>
      <w:r>
        <w:t xml:space="preserve"> TNF-</w:t>
      </w:r>
      <w:r w:rsidR="00DC2826" w:rsidRPr="008D4475">
        <w:t>blocking therapy for patients with a history of malignancy or when considering continuing treatment in patients who develop malignancy.</w:t>
      </w:r>
    </w:p>
    <w:p w:rsidR="00701492" w:rsidRPr="008D4475" w:rsidRDefault="00701492" w:rsidP="00915E36">
      <w:pPr>
        <w:pStyle w:val="Heading4"/>
        <w:spacing w:after="0"/>
      </w:pPr>
      <w:r w:rsidRPr="008D4475">
        <w:t>P</w:t>
      </w:r>
      <w:r w:rsidR="0048057A" w:rsidRPr="008D4475">
        <w:t>a</w:t>
      </w:r>
      <w:r w:rsidRPr="008D4475">
        <w:t>ediatric Malignancy</w:t>
      </w:r>
    </w:p>
    <w:p w:rsidR="00701492" w:rsidRPr="008D4475" w:rsidRDefault="00701492" w:rsidP="00915E36">
      <w:pPr>
        <w:spacing w:before="0"/>
        <w:rPr>
          <w:bCs/>
        </w:rPr>
      </w:pPr>
      <w:r w:rsidRPr="008D4475">
        <w:rPr>
          <w:bCs/>
        </w:rPr>
        <w:t xml:space="preserve">Post-marketing cases of malignancies, some fatal, have been reported among children, adolescents and young adults (up to 22 years of age) who received TNF-blocking agents (initiation of therapy ≤ 18 years of age) to treat Juvenile Idiopathic Arthritis (JIA), </w:t>
      </w:r>
      <w:proofErr w:type="spellStart"/>
      <w:r w:rsidRPr="008D4475">
        <w:rPr>
          <w:bCs/>
        </w:rPr>
        <w:t>Crohn’s</w:t>
      </w:r>
      <w:proofErr w:type="spellEnd"/>
      <w:r w:rsidRPr="008D4475">
        <w:rPr>
          <w:bCs/>
        </w:rPr>
        <w:t xml:space="preserve"> disease or other conditions. Approximately half the reports were lymphomas</w:t>
      </w:r>
      <w:r w:rsidR="00FB4EC9" w:rsidRPr="008D4475">
        <w:rPr>
          <w:bCs/>
        </w:rPr>
        <w:t xml:space="preserve"> </w:t>
      </w:r>
      <w:r w:rsidR="00FB4EC9" w:rsidRPr="008D4475">
        <w:t>(Hodgkin’s and non-Hodgkin’s lymphoma)</w:t>
      </w:r>
      <w:r w:rsidRPr="008D4475">
        <w:t>.</w:t>
      </w:r>
      <w:r w:rsidRPr="008D4475">
        <w:rPr>
          <w:bCs/>
        </w:rPr>
        <w:t xml:space="preserve"> The other cases represented a variety of different malignancies and included malignancies that are not usually observed in children and adolescents. Most of the patients were receiving concomitant </w:t>
      </w:r>
      <w:proofErr w:type="spellStart"/>
      <w:r w:rsidRPr="008D4475">
        <w:rPr>
          <w:bCs/>
        </w:rPr>
        <w:t>immunosuppressants</w:t>
      </w:r>
      <w:proofErr w:type="spellEnd"/>
      <w:r w:rsidRPr="008D4475">
        <w:rPr>
          <w:bCs/>
        </w:rPr>
        <w:t xml:space="preserve">, such as </w:t>
      </w:r>
      <w:proofErr w:type="spellStart"/>
      <w:r w:rsidRPr="008D4475">
        <w:rPr>
          <w:bCs/>
        </w:rPr>
        <w:t>methotrexate</w:t>
      </w:r>
      <w:proofErr w:type="spellEnd"/>
      <w:r w:rsidRPr="008D4475">
        <w:rPr>
          <w:bCs/>
        </w:rPr>
        <w:t xml:space="preserve">, </w:t>
      </w:r>
      <w:proofErr w:type="spellStart"/>
      <w:r w:rsidRPr="008D4475">
        <w:rPr>
          <w:bCs/>
        </w:rPr>
        <w:t>az</w:t>
      </w:r>
      <w:r w:rsidR="00BD6AB1">
        <w:rPr>
          <w:bCs/>
        </w:rPr>
        <w:t>athioprine</w:t>
      </w:r>
      <w:proofErr w:type="spellEnd"/>
      <w:r w:rsidR="00BD6AB1">
        <w:rPr>
          <w:bCs/>
        </w:rPr>
        <w:t xml:space="preserve"> or 6-mercaptopurine.</w:t>
      </w:r>
      <w:r w:rsidRPr="008D4475">
        <w:rPr>
          <w:bCs/>
        </w:rPr>
        <w:t xml:space="preserve"> The role of TNF blockers in the development of malignancies in children and adolescents remains unclear.</w:t>
      </w:r>
    </w:p>
    <w:p w:rsidR="000225B6" w:rsidRPr="008D4475" w:rsidRDefault="00DC2826" w:rsidP="00915E36">
      <w:pPr>
        <w:pStyle w:val="PI-Header4"/>
        <w:spacing w:before="0" w:after="0"/>
        <w:rPr>
          <w:lang w:val="en-AU"/>
        </w:rPr>
      </w:pPr>
      <w:r w:rsidRPr="008D4475">
        <w:rPr>
          <w:lang w:val="en-AU"/>
        </w:rPr>
        <w:t>Lymphoma</w:t>
      </w:r>
    </w:p>
    <w:p w:rsidR="00DC2826" w:rsidRPr="008D4475" w:rsidRDefault="00DC2826" w:rsidP="006E44A1">
      <w:pPr>
        <w:spacing w:after="0"/>
        <w:rPr>
          <w:i/>
          <w:iCs/>
        </w:rPr>
      </w:pPr>
      <w:r w:rsidRPr="008D4475">
        <w:t>In the controlled port</w:t>
      </w:r>
      <w:smartTag w:uri="urn:schemas-microsoft-com:office:smarttags" w:element="PersonName">
        <w:r w:rsidRPr="008D4475">
          <w:t>ion</w:t>
        </w:r>
      </w:smartTag>
      <w:r w:rsidRPr="008D4475">
        <w:t>s of</w:t>
      </w:r>
      <w:r w:rsidR="00D9459E">
        <w:t xml:space="preserve"> clinical trials of all the TNF-</w:t>
      </w:r>
      <w:r w:rsidRPr="008D4475">
        <w:t xml:space="preserve">blocking agents including </w:t>
      </w:r>
      <w:r w:rsidR="00643BFB">
        <w:t>SIMPONI</w:t>
      </w:r>
      <w:r w:rsidRPr="008D4475">
        <w:t>, more cases of lymphoma have been observe</w:t>
      </w:r>
      <w:r w:rsidR="00B25053">
        <w:t>d among patients receiving anti-</w:t>
      </w:r>
      <w:r w:rsidRPr="008D4475">
        <w:t xml:space="preserve">TNF treatment compared with control patients. During the </w:t>
      </w:r>
      <w:r w:rsidR="00643BFB">
        <w:t>SIMPONI</w:t>
      </w:r>
      <w:r w:rsidRPr="008D4475">
        <w:t xml:space="preserve"> Phase 2 and Phase </w:t>
      </w:r>
      <w:r w:rsidRPr="008D4475">
        <w:lastRenderedPageBreak/>
        <w:t xml:space="preserve">3 clinical trials, the incidence of lymphoma in </w:t>
      </w:r>
      <w:r w:rsidR="00643BFB">
        <w:t>SIMPONI</w:t>
      </w:r>
      <w:r w:rsidR="00D9459E">
        <w:t>-</w:t>
      </w:r>
      <w:r w:rsidRPr="008D4475">
        <w:t>treated patients was higher than expected in the general populat</w:t>
      </w:r>
      <w:smartTag w:uri="urn:schemas-microsoft-com:office:smarttags" w:element="PersonName">
        <w:r w:rsidRPr="008D4475">
          <w:t>ion</w:t>
        </w:r>
      </w:smartTag>
      <w:r w:rsidRPr="008D4475">
        <w:t>. Patients with rheumatoid arthritis and other chronic inflammatory diseases, particularly patients with highly active disease and/or chronic exposure to immunosuppressant therapies, may be at higher risk (up to several fold) than the general populat</w:t>
      </w:r>
      <w:smartTag w:uri="urn:schemas-microsoft-com:office:smarttags" w:element="PersonName">
        <w:r w:rsidRPr="008D4475">
          <w:t>ion</w:t>
        </w:r>
      </w:smartTag>
      <w:r w:rsidRPr="008D4475">
        <w:t xml:space="preserve"> for the development of lymph</w:t>
      </w:r>
      <w:r w:rsidR="00D9459E">
        <w:t>oma, even in the absence of TNF-</w:t>
      </w:r>
      <w:r w:rsidR="00BD6AB1">
        <w:t>blocking therapy.</w:t>
      </w:r>
    </w:p>
    <w:p w:rsidR="007B66A1" w:rsidRPr="008D4475" w:rsidRDefault="007B66A1" w:rsidP="006E44A1">
      <w:pPr>
        <w:pStyle w:val="Heading4"/>
        <w:spacing w:after="0"/>
      </w:pPr>
      <w:r w:rsidRPr="008D4475">
        <w:t>Leuk</w:t>
      </w:r>
      <w:r w:rsidR="00246961">
        <w:t>a</w:t>
      </w:r>
      <w:r w:rsidRPr="008D4475">
        <w:t>emia</w:t>
      </w:r>
    </w:p>
    <w:p w:rsidR="007B66A1" w:rsidRPr="008D4475" w:rsidRDefault="007B66A1" w:rsidP="006E44A1">
      <w:pPr>
        <w:spacing w:before="0" w:after="0"/>
      </w:pPr>
      <w:r w:rsidRPr="008D4475">
        <w:rPr>
          <w:bCs/>
        </w:rPr>
        <w:t>Cases of acute and chronic leuk</w:t>
      </w:r>
      <w:r w:rsidR="00246961">
        <w:rPr>
          <w:bCs/>
        </w:rPr>
        <w:t>a</w:t>
      </w:r>
      <w:r w:rsidRPr="008D4475">
        <w:rPr>
          <w:bCs/>
        </w:rPr>
        <w:t>emia have been reported with post-marketing TNF-blocker use in rheumatoid a</w:t>
      </w:r>
      <w:r w:rsidR="00BD6AB1">
        <w:rPr>
          <w:bCs/>
        </w:rPr>
        <w:t>rthritis and other indications.</w:t>
      </w:r>
      <w:r w:rsidRPr="008D4475">
        <w:rPr>
          <w:bCs/>
        </w:rPr>
        <w:t xml:space="preserve"> Even in the absence of TNF blocker therapy, patients with rheumatoid arthritis may be at a higher risk (approximately 2-fold) than the general population for the development of leuk</w:t>
      </w:r>
      <w:r w:rsidR="00246961">
        <w:rPr>
          <w:bCs/>
        </w:rPr>
        <w:t>a</w:t>
      </w:r>
      <w:r w:rsidRPr="008D4475">
        <w:rPr>
          <w:bCs/>
        </w:rPr>
        <w:t>emia.</w:t>
      </w:r>
    </w:p>
    <w:p w:rsidR="00DC2826" w:rsidRPr="008D4475" w:rsidRDefault="00DC2826" w:rsidP="006E44A1">
      <w:pPr>
        <w:pStyle w:val="PI-Header4"/>
        <w:spacing w:after="0"/>
        <w:rPr>
          <w:lang w:val="en-AU"/>
        </w:rPr>
      </w:pPr>
      <w:r w:rsidRPr="008D4475">
        <w:rPr>
          <w:lang w:val="en-AU"/>
        </w:rPr>
        <w:t>Malignancies other than lymphoma</w:t>
      </w:r>
    </w:p>
    <w:p w:rsidR="00DC2826" w:rsidRPr="008D4475" w:rsidRDefault="00DC2826" w:rsidP="006E44A1">
      <w:pPr>
        <w:spacing w:before="0" w:after="0"/>
      </w:pPr>
      <w:r w:rsidRPr="008D4475">
        <w:t>In the controlled port</w:t>
      </w:r>
      <w:smartTag w:uri="urn:schemas-microsoft-com:office:smarttags" w:element="PersonName">
        <w:r w:rsidRPr="008D4475">
          <w:t>ion</w:t>
        </w:r>
      </w:smartTag>
      <w:r w:rsidRPr="008D4475">
        <w:t xml:space="preserve">s of the </w:t>
      </w:r>
      <w:r w:rsidR="00643BFB">
        <w:t>SIMPONI</w:t>
      </w:r>
      <w:r w:rsidRPr="008D4475">
        <w:t xml:space="preserve"> Phase 2 and Phase 3 clinical trials in RA, </w:t>
      </w:r>
      <w:proofErr w:type="spellStart"/>
      <w:r w:rsidRPr="008D4475">
        <w:t>Ps</w:t>
      </w:r>
      <w:r w:rsidR="00D9459E">
        <w:t>A</w:t>
      </w:r>
      <w:proofErr w:type="spellEnd"/>
      <w:r w:rsidR="00D9459E">
        <w:t>, and AS, the incidence of non-</w:t>
      </w:r>
      <w:r w:rsidRPr="008D4475">
        <w:t>lymph</w:t>
      </w:r>
      <w:r w:rsidR="00D9459E">
        <w:t>oma malignancies (excluding non-</w:t>
      </w:r>
      <w:r w:rsidRPr="008D4475">
        <w:t xml:space="preserve">melanoma skin cancer) was similar between the </w:t>
      </w:r>
      <w:r w:rsidR="00643BFB">
        <w:t>SIMPONI</w:t>
      </w:r>
      <w:r w:rsidRPr="008D4475">
        <w:t xml:space="preserve"> and the control groups.</w:t>
      </w:r>
    </w:p>
    <w:p w:rsidR="00DC2826" w:rsidRPr="008D4475" w:rsidRDefault="00DC2826" w:rsidP="006E44A1">
      <w:pPr>
        <w:spacing w:after="0"/>
      </w:pPr>
      <w:r w:rsidRPr="008D4475">
        <w:t xml:space="preserve">In an exploratory clinical trial evaluating the use of </w:t>
      </w:r>
      <w:r w:rsidR="00643BFB">
        <w:t>SIMPONI</w:t>
      </w:r>
      <w:r w:rsidRPr="008D4475">
        <w:t xml:space="preserve"> in patients with severe persistent asthma, more malignancies were reported in patients treated with </w:t>
      </w:r>
      <w:r w:rsidR="00643BFB">
        <w:t>SIMPONI</w:t>
      </w:r>
      <w:r w:rsidRPr="008D4475">
        <w:t xml:space="preserve"> compared with control patients (see ADVERSE </w:t>
      </w:r>
      <w:r w:rsidR="00AD2C17" w:rsidRPr="008D4475">
        <w:t>EFFECTS</w:t>
      </w:r>
      <w:r w:rsidRPr="008D4475">
        <w:t>). The significance of this finding is unknown.</w:t>
      </w:r>
    </w:p>
    <w:p w:rsidR="00BF72A8" w:rsidRPr="008D4475" w:rsidRDefault="00BF72A8" w:rsidP="006E44A1">
      <w:pPr>
        <w:spacing w:after="0"/>
      </w:pPr>
      <w:r w:rsidRPr="008D4475">
        <w:t xml:space="preserve">In an exploratory clinical trial evaluating the use of another anti-TNF agent, </w:t>
      </w:r>
      <w:proofErr w:type="spellStart"/>
      <w:r w:rsidRPr="008D4475">
        <w:t>infliximab</w:t>
      </w:r>
      <w:proofErr w:type="spellEnd"/>
      <w:r w:rsidRPr="008D4475">
        <w:t xml:space="preserve">, in patients with moderate to severe chronic obstructive pulmonary disease (COPD), more malignancies, mostly in the lung or head and neck, were reported in </w:t>
      </w:r>
      <w:proofErr w:type="spellStart"/>
      <w:r w:rsidRPr="008D4475">
        <w:t>infliximab</w:t>
      </w:r>
      <w:proofErr w:type="spellEnd"/>
      <w:r w:rsidRPr="008D4475">
        <w:t>-treated patients compared with control patients. All patients had a history of heavy smoking. Therefore, caution should be exercised when using any TNF-antagonist in COPD patients, as well as in patients with increased risk for malignancy due to heavy smoking.</w:t>
      </w:r>
    </w:p>
    <w:p w:rsidR="00E317AE" w:rsidRPr="00F83C0E" w:rsidRDefault="00E317AE" w:rsidP="006E44A1">
      <w:pPr>
        <w:pStyle w:val="Heading4"/>
        <w:spacing w:after="0"/>
      </w:pPr>
      <w:r w:rsidRPr="00F83C0E">
        <w:t>Skin cancers</w:t>
      </w:r>
    </w:p>
    <w:p w:rsidR="00E317AE" w:rsidRPr="00E317AE" w:rsidRDefault="00E317AE" w:rsidP="006E44A1">
      <w:pPr>
        <w:spacing w:before="0" w:after="0"/>
      </w:pPr>
      <w:r w:rsidRPr="00F83C0E">
        <w:t>Melanoma has been reported in patients treated with TNF blocking agents, including SIMPONI. Merkel cell carcinoma has been reported in patients treated with other TNF- blocking agents (</w:t>
      </w:r>
      <w:r w:rsidR="000A39D3" w:rsidRPr="00F83C0E">
        <w:t xml:space="preserve">see </w:t>
      </w:r>
      <w:r w:rsidRPr="00F83C0E">
        <w:t>ADVERSE EFFECTS). Periodic skin examination is recommended for all patients, particularly those with risk factors for skin cancer.</w:t>
      </w:r>
    </w:p>
    <w:p w:rsidR="00DC2826" w:rsidRPr="001B22C7" w:rsidRDefault="00DC2826" w:rsidP="006E44A1">
      <w:pPr>
        <w:pStyle w:val="Heading3"/>
        <w:spacing w:before="120" w:after="0"/>
        <w:rPr>
          <w:b w:val="0"/>
          <w:u w:val="single"/>
        </w:rPr>
      </w:pPr>
      <w:r w:rsidRPr="001B22C7">
        <w:rPr>
          <w:b w:val="0"/>
          <w:u w:val="single"/>
        </w:rPr>
        <w:t>Congestive Heart Failure</w:t>
      </w:r>
    </w:p>
    <w:p w:rsidR="009B3460" w:rsidRPr="008D4475" w:rsidRDefault="00DF618E" w:rsidP="006E44A1">
      <w:pPr>
        <w:spacing w:before="0" w:after="0"/>
      </w:pPr>
      <w:r w:rsidRPr="008D4475">
        <w:t>Cases of worsening congestive heart failure (CHF) and new onset CHF have been reported with TNF-blockers</w:t>
      </w:r>
      <w:r w:rsidR="00950371">
        <w:t xml:space="preserve"> including SIMPONI</w:t>
      </w:r>
      <w:r w:rsidRPr="008D4475">
        <w:t xml:space="preserve">. </w:t>
      </w:r>
      <w:r w:rsidR="00613D51" w:rsidRPr="008D4475">
        <w:t xml:space="preserve">Cases of CHF in patients with known cardiovascular risk factors have been observed with </w:t>
      </w:r>
      <w:r w:rsidR="00643BFB">
        <w:t>SIMPONI</w:t>
      </w:r>
      <w:r w:rsidR="00613D51" w:rsidRPr="008D4475">
        <w:t xml:space="preserve">. </w:t>
      </w:r>
      <w:r w:rsidRPr="008D4475">
        <w:t>In several exploratory trials of other TNF-blockers in the treatment of CHF, there were greater proportions of TNF-blocker treated patients who had CHF ex</w:t>
      </w:r>
      <w:r w:rsidR="00AD2C17" w:rsidRPr="008D4475">
        <w:t>acerbations requiring hospitalis</w:t>
      </w:r>
      <w:r w:rsidRPr="008D4475">
        <w:t xml:space="preserve">ation or increased mortality. </w:t>
      </w:r>
      <w:r w:rsidR="00643BFB">
        <w:t>SIMPONI</w:t>
      </w:r>
      <w:r w:rsidRPr="008D4475">
        <w:t xml:space="preserve"> has not been studied in patients with a history of CHF and </w:t>
      </w:r>
      <w:r w:rsidR="00643BFB">
        <w:t>SIMPONI</w:t>
      </w:r>
      <w:r w:rsidRPr="008D4475">
        <w:t xml:space="preserve"> should be used with caution in patients with CHF. If a decision is made to administer </w:t>
      </w:r>
      <w:r w:rsidR="00643BFB">
        <w:t>SIMPONI</w:t>
      </w:r>
      <w:r w:rsidRPr="008D4475">
        <w:t xml:space="preserve"> to patients with CHF, these patients should be closely monitored during therapy, and </w:t>
      </w:r>
      <w:r w:rsidR="00643BFB">
        <w:t>SIMPONI</w:t>
      </w:r>
      <w:r w:rsidRPr="008D4475">
        <w:t xml:space="preserve"> should be discontinued if new or worsening symptoms of CHF appear.</w:t>
      </w:r>
    </w:p>
    <w:p w:rsidR="00DC2826" w:rsidRPr="001B22C7" w:rsidRDefault="00DC2826" w:rsidP="006E44A1">
      <w:pPr>
        <w:pStyle w:val="Heading3"/>
        <w:spacing w:before="120" w:after="0"/>
        <w:rPr>
          <w:b w:val="0"/>
          <w:u w:val="single"/>
        </w:rPr>
      </w:pPr>
      <w:r w:rsidRPr="001B22C7">
        <w:rPr>
          <w:b w:val="0"/>
          <w:u w:val="single"/>
        </w:rPr>
        <w:t>Neurological events</w:t>
      </w:r>
    </w:p>
    <w:p w:rsidR="00DC2826" w:rsidRDefault="00DC2826" w:rsidP="006E44A1">
      <w:pPr>
        <w:spacing w:after="0"/>
      </w:pPr>
      <w:bookmarkStart w:id="2" w:name="OLE_LINK7"/>
      <w:r w:rsidRPr="008D4475">
        <w:t xml:space="preserve">Use of </w:t>
      </w:r>
      <w:r w:rsidR="00E20C4D" w:rsidRPr="008D4475">
        <w:t>TNF-block</w:t>
      </w:r>
      <w:r w:rsidRPr="008D4475">
        <w:t>ing agents</w:t>
      </w:r>
      <w:r w:rsidR="00145D8F" w:rsidRPr="008D4475">
        <w:t xml:space="preserve"> </w:t>
      </w:r>
      <w:r w:rsidRPr="008D4475">
        <w:t xml:space="preserve">has been associated </w:t>
      </w:r>
      <w:bookmarkEnd w:id="2"/>
      <w:r w:rsidRPr="008D4475">
        <w:t>with</w:t>
      </w:r>
      <w:r w:rsidR="00950371">
        <w:t xml:space="preserve"> cases of</w:t>
      </w:r>
      <w:r w:rsidRPr="008D4475">
        <w:t xml:space="preserve"> new onset or exacerbat</w:t>
      </w:r>
      <w:smartTag w:uri="urn:schemas-microsoft-com:office:smarttags" w:element="PersonName">
        <w:r w:rsidRPr="008D4475">
          <w:t>ion</w:t>
        </w:r>
      </w:smartTag>
      <w:r w:rsidRPr="008D4475">
        <w:t xml:space="preserve"> of clinical symptoms and/or radiographic evidence of central nervous system </w:t>
      </w:r>
      <w:proofErr w:type="spellStart"/>
      <w:r w:rsidRPr="008D4475">
        <w:t>demyelinating</w:t>
      </w:r>
      <w:proofErr w:type="spellEnd"/>
      <w:r w:rsidRPr="008D4475">
        <w:t xml:space="preserve"> disorders, including multiple sclerosis</w:t>
      </w:r>
      <w:r w:rsidR="00950371">
        <w:t xml:space="preserve"> (MS) and peripheral </w:t>
      </w:r>
      <w:proofErr w:type="spellStart"/>
      <w:r w:rsidR="00950371">
        <w:t>demyelinating</w:t>
      </w:r>
      <w:proofErr w:type="spellEnd"/>
      <w:r w:rsidR="00950371">
        <w:t xml:space="preserve"> disorders, including </w:t>
      </w:r>
      <w:proofErr w:type="spellStart"/>
      <w:r w:rsidR="00950371">
        <w:t>Guillain-Barr</w:t>
      </w:r>
      <w:r w:rsidR="00950371">
        <w:rPr>
          <w:rFonts w:cs="Arial"/>
        </w:rPr>
        <w:t>é</w:t>
      </w:r>
      <w:proofErr w:type="spellEnd"/>
      <w:r w:rsidR="00950371">
        <w:t xml:space="preserve"> syndrome</w:t>
      </w:r>
      <w:r w:rsidRPr="008D4475">
        <w:t xml:space="preserve">. </w:t>
      </w:r>
      <w:r w:rsidR="00950371">
        <w:t xml:space="preserve"> Prescribers should exercise caution in considering the use of TNF-blockers, including SIMPONI</w:t>
      </w:r>
      <w:r w:rsidR="00B543CD">
        <w:t>,</w:t>
      </w:r>
      <w:r w:rsidR="00950371">
        <w:t xml:space="preserve"> in patients with central or peripheral nervous system </w:t>
      </w:r>
      <w:proofErr w:type="spellStart"/>
      <w:r w:rsidR="00950371">
        <w:t>demyelinating</w:t>
      </w:r>
      <w:proofErr w:type="spellEnd"/>
      <w:r w:rsidR="00950371">
        <w:t xml:space="preserve"> disorders.  Discontinuation of SIMPONI should be considered if these disorders develop. </w:t>
      </w:r>
    </w:p>
    <w:p w:rsidR="00BF72A8" w:rsidRPr="006D57DE" w:rsidRDefault="00BF72A8" w:rsidP="000E3CBB">
      <w:pPr>
        <w:pStyle w:val="Heading3"/>
        <w:spacing w:after="0"/>
        <w:rPr>
          <w:b w:val="0"/>
          <w:u w:val="single"/>
        </w:rPr>
      </w:pPr>
      <w:r w:rsidRPr="006D57DE">
        <w:rPr>
          <w:b w:val="0"/>
          <w:u w:val="single"/>
        </w:rPr>
        <w:lastRenderedPageBreak/>
        <w:t xml:space="preserve">Haematological </w:t>
      </w:r>
      <w:proofErr w:type="spellStart"/>
      <w:r w:rsidRPr="006D57DE">
        <w:rPr>
          <w:b w:val="0"/>
          <w:u w:val="single"/>
        </w:rPr>
        <w:t>cytop</w:t>
      </w:r>
      <w:r w:rsidR="00643BFB" w:rsidRPr="006D57DE">
        <w:rPr>
          <w:b w:val="0"/>
          <w:u w:val="single"/>
        </w:rPr>
        <w:t>a</w:t>
      </w:r>
      <w:r w:rsidRPr="006D57DE">
        <w:rPr>
          <w:b w:val="0"/>
          <w:u w:val="single"/>
        </w:rPr>
        <w:t>enias</w:t>
      </w:r>
      <w:proofErr w:type="spellEnd"/>
    </w:p>
    <w:p w:rsidR="00BF72A8" w:rsidRDefault="00BF72A8" w:rsidP="000E3CBB">
      <w:pPr>
        <w:spacing w:before="0" w:after="0"/>
      </w:pPr>
      <w:r w:rsidRPr="008D4475">
        <w:t xml:space="preserve">There have been post-marketing reports of </w:t>
      </w:r>
      <w:proofErr w:type="spellStart"/>
      <w:r w:rsidRPr="008D4475">
        <w:t>pancytop</w:t>
      </w:r>
      <w:r w:rsidR="00643BFB">
        <w:t>a</w:t>
      </w:r>
      <w:r w:rsidRPr="008D4475">
        <w:t>enia</w:t>
      </w:r>
      <w:proofErr w:type="spellEnd"/>
      <w:r w:rsidRPr="008D4475">
        <w:t xml:space="preserve">, </w:t>
      </w:r>
      <w:proofErr w:type="spellStart"/>
      <w:r w:rsidRPr="008D4475">
        <w:t>leukop</w:t>
      </w:r>
      <w:r w:rsidR="00643BFB">
        <w:t>a</w:t>
      </w:r>
      <w:r w:rsidRPr="008D4475">
        <w:t>enia</w:t>
      </w:r>
      <w:proofErr w:type="spellEnd"/>
      <w:r w:rsidRPr="008D4475">
        <w:t xml:space="preserve">, </w:t>
      </w:r>
      <w:proofErr w:type="spellStart"/>
      <w:r w:rsidRPr="008D4475">
        <w:t>neutrop</w:t>
      </w:r>
      <w:r w:rsidR="00643BFB">
        <w:t>a</w:t>
      </w:r>
      <w:r w:rsidRPr="008D4475">
        <w:t>enia</w:t>
      </w:r>
      <w:proofErr w:type="spellEnd"/>
      <w:r w:rsidRPr="008D4475">
        <w:t xml:space="preserve">, </w:t>
      </w:r>
      <w:proofErr w:type="spellStart"/>
      <w:r w:rsidRPr="008D4475">
        <w:t>aplastic</w:t>
      </w:r>
      <w:proofErr w:type="spellEnd"/>
      <w:r w:rsidRPr="008D4475">
        <w:t xml:space="preserve"> anaemia, and </w:t>
      </w:r>
      <w:proofErr w:type="spellStart"/>
      <w:r w:rsidRPr="008D4475">
        <w:t>thrombocytop</w:t>
      </w:r>
      <w:r w:rsidR="00643BFB">
        <w:t>a</w:t>
      </w:r>
      <w:r w:rsidRPr="008D4475">
        <w:t>enia</w:t>
      </w:r>
      <w:proofErr w:type="spellEnd"/>
      <w:r w:rsidRPr="008D4475">
        <w:t xml:space="preserve"> in patients receiving TNF-blockers. </w:t>
      </w:r>
      <w:proofErr w:type="spellStart"/>
      <w:r w:rsidRPr="008D4475">
        <w:t>Cytop</w:t>
      </w:r>
      <w:r w:rsidR="00643BFB">
        <w:t>a</w:t>
      </w:r>
      <w:r w:rsidRPr="008D4475">
        <w:t>enias</w:t>
      </w:r>
      <w:proofErr w:type="spellEnd"/>
      <w:r w:rsidRPr="008D4475">
        <w:t xml:space="preserve"> including </w:t>
      </w:r>
      <w:proofErr w:type="spellStart"/>
      <w:r w:rsidRPr="008D4475">
        <w:t>pancytop</w:t>
      </w:r>
      <w:r w:rsidR="00643BFB">
        <w:t>a</w:t>
      </w:r>
      <w:r w:rsidRPr="008D4475">
        <w:t>enia</w:t>
      </w:r>
      <w:proofErr w:type="spellEnd"/>
      <w:r w:rsidRPr="008D4475">
        <w:t xml:space="preserve">, have been infrequently reported with </w:t>
      </w:r>
      <w:r w:rsidR="00643BFB">
        <w:t>SIMPONI</w:t>
      </w:r>
      <w:r w:rsidRPr="008D4475">
        <w:t xml:space="preserve"> in clinical trials. All patients should be advised to seek immediate medical attention if they develop signs and symptoms suggestive of blood </w:t>
      </w:r>
      <w:proofErr w:type="spellStart"/>
      <w:r w:rsidRPr="008D4475">
        <w:t>dyscrasias</w:t>
      </w:r>
      <w:proofErr w:type="spellEnd"/>
      <w:r w:rsidRPr="008D4475">
        <w:t xml:space="preserve"> (e.g. persistent fever, bruising, bleeding, pallor). Discontinuation of </w:t>
      </w:r>
      <w:r w:rsidR="00643BFB">
        <w:t>SIMPONI</w:t>
      </w:r>
      <w:r w:rsidRPr="008D4475">
        <w:t xml:space="preserve"> therapy should be considered in patients with confirmed significant haematological abnormalities.</w:t>
      </w:r>
    </w:p>
    <w:p w:rsidR="00DC2826" w:rsidRPr="006D57DE" w:rsidRDefault="00DC2826" w:rsidP="000E3CBB">
      <w:pPr>
        <w:pStyle w:val="Heading3"/>
        <w:spacing w:after="0"/>
        <w:rPr>
          <w:b w:val="0"/>
          <w:u w:val="single"/>
        </w:rPr>
      </w:pPr>
      <w:r w:rsidRPr="006D57DE">
        <w:rPr>
          <w:b w:val="0"/>
          <w:u w:val="single"/>
        </w:rPr>
        <w:t xml:space="preserve">Concurrent administration of </w:t>
      </w:r>
      <w:r w:rsidR="00643BFB" w:rsidRPr="006D57DE">
        <w:rPr>
          <w:b w:val="0"/>
          <w:u w:val="single"/>
        </w:rPr>
        <w:t>SIMPONI</w:t>
      </w:r>
      <w:r w:rsidR="00064C60" w:rsidRPr="006D57DE">
        <w:rPr>
          <w:b w:val="0"/>
          <w:u w:val="single"/>
        </w:rPr>
        <w:t xml:space="preserve"> with </w:t>
      </w:r>
      <w:proofErr w:type="spellStart"/>
      <w:r w:rsidR="00064C60" w:rsidRPr="006D57DE">
        <w:rPr>
          <w:b w:val="0"/>
          <w:u w:val="single"/>
        </w:rPr>
        <w:t>anakinra</w:t>
      </w:r>
      <w:proofErr w:type="spellEnd"/>
    </w:p>
    <w:p w:rsidR="00DC2826" w:rsidRPr="008D4475" w:rsidRDefault="00DC2826" w:rsidP="000E3CBB">
      <w:pPr>
        <w:spacing w:before="0" w:after="0"/>
      </w:pPr>
      <w:r w:rsidRPr="008D4475">
        <w:t>Serious infect</w:t>
      </w:r>
      <w:smartTag w:uri="urn:schemas-microsoft-com:office:smarttags" w:element="PersonName">
        <w:r w:rsidRPr="008D4475">
          <w:t>ion</w:t>
        </w:r>
      </w:smartTag>
      <w:r w:rsidRPr="008D4475">
        <w:t xml:space="preserve">s </w:t>
      </w:r>
      <w:r w:rsidR="00C42831" w:rsidRPr="008D4475">
        <w:t xml:space="preserve">and </w:t>
      </w:r>
      <w:proofErr w:type="spellStart"/>
      <w:r w:rsidR="00C42831" w:rsidRPr="008D4475">
        <w:t>neutrop</w:t>
      </w:r>
      <w:r w:rsidR="00643BFB">
        <w:t>a</w:t>
      </w:r>
      <w:r w:rsidR="00C42831" w:rsidRPr="008D4475">
        <w:t>enia</w:t>
      </w:r>
      <w:proofErr w:type="spellEnd"/>
      <w:r w:rsidR="00C42831" w:rsidRPr="008D4475">
        <w:t xml:space="preserve"> </w:t>
      </w:r>
      <w:r w:rsidRPr="008D4475">
        <w:t xml:space="preserve">were seen in clinical studies with concurrent use of </w:t>
      </w:r>
      <w:proofErr w:type="spellStart"/>
      <w:r w:rsidRPr="008D4475">
        <w:t>anakinra</w:t>
      </w:r>
      <w:proofErr w:type="spellEnd"/>
      <w:r w:rsidRPr="008D4475">
        <w:t xml:space="preserve"> and another </w:t>
      </w:r>
      <w:r w:rsidR="00E20C4D" w:rsidRPr="008D4475">
        <w:t>TNF-block</w:t>
      </w:r>
      <w:r w:rsidRPr="008D4475">
        <w:t>ing agent, with no added clinical benefit. Because of the nature of the adverse events seen with this combinat</w:t>
      </w:r>
      <w:smartTag w:uri="urn:schemas-microsoft-com:office:smarttags" w:element="PersonName">
        <w:r w:rsidRPr="008D4475">
          <w:t>ion</w:t>
        </w:r>
      </w:smartTag>
      <w:r w:rsidRPr="008D4475">
        <w:t xml:space="preserve"> therapy, similar toxicities may also result from the combinat</w:t>
      </w:r>
      <w:smartTag w:uri="urn:schemas-microsoft-com:office:smarttags" w:element="PersonName">
        <w:r w:rsidRPr="008D4475">
          <w:t>ion</w:t>
        </w:r>
      </w:smartTag>
      <w:r w:rsidRPr="008D4475">
        <w:t xml:space="preserve"> of </w:t>
      </w:r>
      <w:proofErr w:type="spellStart"/>
      <w:r w:rsidRPr="008D4475">
        <w:t>anakinra</w:t>
      </w:r>
      <w:proofErr w:type="spellEnd"/>
      <w:r w:rsidRPr="008D4475">
        <w:t xml:space="preserve"> and other </w:t>
      </w:r>
      <w:r w:rsidR="00E20C4D" w:rsidRPr="008D4475">
        <w:t>TNF-block</w:t>
      </w:r>
      <w:r w:rsidRPr="008D4475">
        <w:t>ing agents. Therefore, the combinat</w:t>
      </w:r>
      <w:smartTag w:uri="urn:schemas-microsoft-com:office:smarttags" w:element="PersonName">
        <w:r w:rsidRPr="008D4475">
          <w:t>ion</w:t>
        </w:r>
      </w:smartTag>
      <w:r w:rsidRPr="008D4475">
        <w:t xml:space="preserve"> of </w:t>
      </w:r>
      <w:r w:rsidR="00643BFB">
        <w:t>SIMPONI</w:t>
      </w:r>
      <w:r w:rsidRPr="008D4475">
        <w:t xml:space="preserve"> and </w:t>
      </w:r>
      <w:proofErr w:type="spellStart"/>
      <w:r w:rsidRPr="008D4475">
        <w:t>anakinra</w:t>
      </w:r>
      <w:proofErr w:type="spellEnd"/>
      <w:r w:rsidRPr="008D4475">
        <w:t xml:space="preserve"> is not recommended</w:t>
      </w:r>
      <w:r w:rsidR="00C42831" w:rsidRPr="008D4475">
        <w:t xml:space="preserve"> (see CONTRAINDICATIONS and PRECAUTIONS, </w:t>
      </w:r>
      <w:r w:rsidR="00AD2C17" w:rsidRPr="008D4475">
        <w:t>“</w:t>
      </w:r>
      <w:r w:rsidR="00C42831" w:rsidRPr="008D4475">
        <w:t>Interactions with other medicines</w:t>
      </w:r>
      <w:r w:rsidR="00AD2C17" w:rsidRPr="008D4475">
        <w:t>”)</w:t>
      </w:r>
      <w:r w:rsidRPr="008D4475">
        <w:t>.</w:t>
      </w:r>
    </w:p>
    <w:p w:rsidR="008C6574" w:rsidRPr="006D57DE" w:rsidRDefault="008C6574" w:rsidP="000E3CBB">
      <w:pPr>
        <w:pStyle w:val="Heading3"/>
        <w:spacing w:after="0"/>
        <w:rPr>
          <w:b w:val="0"/>
          <w:u w:val="single"/>
        </w:rPr>
      </w:pPr>
      <w:r w:rsidRPr="006D57DE">
        <w:rPr>
          <w:b w:val="0"/>
          <w:u w:val="single"/>
        </w:rPr>
        <w:t xml:space="preserve">Concurrent administration of </w:t>
      </w:r>
      <w:r w:rsidR="00643BFB" w:rsidRPr="006D57DE">
        <w:rPr>
          <w:b w:val="0"/>
          <w:u w:val="single"/>
        </w:rPr>
        <w:t>SIMPONI</w:t>
      </w:r>
      <w:r w:rsidRPr="006D57DE">
        <w:rPr>
          <w:b w:val="0"/>
          <w:u w:val="single"/>
        </w:rPr>
        <w:t xml:space="preserve"> with </w:t>
      </w:r>
      <w:proofErr w:type="spellStart"/>
      <w:r w:rsidRPr="006D57DE">
        <w:rPr>
          <w:b w:val="0"/>
          <w:u w:val="single"/>
        </w:rPr>
        <w:t>abatacept</w:t>
      </w:r>
      <w:proofErr w:type="spellEnd"/>
      <w:r w:rsidRPr="006D57DE">
        <w:rPr>
          <w:b w:val="0"/>
          <w:u w:val="single"/>
        </w:rPr>
        <w:t xml:space="preserve"> </w:t>
      </w:r>
    </w:p>
    <w:p w:rsidR="008C6574" w:rsidRDefault="008C6574" w:rsidP="000E3CBB">
      <w:pPr>
        <w:spacing w:after="0"/>
      </w:pPr>
      <w:r w:rsidRPr="008D4475">
        <w:t xml:space="preserve">In controlled trials, the concurrent administration of another TNF-blocker and </w:t>
      </w:r>
      <w:proofErr w:type="spellStart"/>
      <w:r w:rsidRPr="008D4475">
        <w:t>abatacept</w:t>
      </w:r>
      <w:proofErr w:type="spellEnd"/>
      <w:r w:rsidRPr="008D4475">
        <w:t xml:space="preserve"> was associated with a greater proportion of serious infections than the use of a TNF-blocker alone; and the combination therapy, compared to the use of a TNF-blocker alone, has not demonstrated improved clinical benefit in the treatment of RA. Therefore, the combination of TNF-blockers including </w:t>
      </w:r>
      <w:r w:rsidR="00643BFB">
        <w:t>SIMPONI</w:t>
      </w:r>
      <w:r w:rsidRPr="008D4475">
        <w:t xml:space="preserve"> and </w:t>
      </w:r>
      <w:proofErr w:type="spellStart"/>
      <w:r w:rsidRPr="008D4475">
        <w:t>abatacept</w:t>
      </w:r>
      <w:proofErr w:type="spellEnd"/>
      <w:r w:rsidRPr="008D4475">
        <w:t xml:space="preserve"> is not recommended (see CONTRAINDICATIONS and PRECAUTIONS, </w:t>
      </w:r>
      <w:r w:rsidR="00AD2C17" w:rsidRPr="008D4475">
        <w:t>“</w:t>
      </w:r>
      <w:r w:rsidRPr="008D4475">
        <w:t>Interactions with other medicines</w:t>
      </w:r>
      <w:r w:rsidR="00AD2C17" w:rsidRPr="008D4475">
        <w:t>”</w:t>
      </w:r>
      <w:r w:rsidRPr="008D4475">
        <w:t>).</w:t>
      </w:r>
    </w:p>
    <w:p w:rsidR="00C72FB2" w:rsidRPr="006D57DE" w:rsidRDefault="00557DDC" w:rsidP="000E3CBB">
      <w:pPr>
        <w:pStyle w:val="Heading3"/>
        <w:spacing w:after="0"/>
        <w:rPr>
          <w:b w:val="0"/>
          <w:u w:val="single"/>
        </w:rPr>
      </w:pPr>
      <w:r w:rsidRPr="006D57DE">
        <w:rPr>
          <w:b w:val="0"/>
          <w:u w:val="single"/>
        </w:rPr>
        <w:t>Concurrent Administration with other Biological Therapeutics</w:t>
      </w:r>
    </w:p>
    <w:p w:rsidR="00C72FB2" w:rsidRDefault="00C72FB2" w:rsidP="000E3CBB">
      <w:pPr>
        <w:spacing w:after="0"/>
      </w:pPr>
      <w:r>
        <w:t>There is insufficient information regarding the concomitant use of SIMPONI with other biological therapeutics used to treat the same conditions as SIMPONI. The concomitant use of SIMPONI with these biologics is not recommended because of the possibility of an increased risk of infection.</w:t>
      </w:r>
    </w:p>
    <w:p w:rsidR="003C32D5" w:rsidRPr="006D57DE" w:rsidRDefault="003C32D5" w:rsidP="000E3CBB">
      <w:pPr>
        <w:pStyle w:val="Heading3"/>
        <w:spacing w:after="0"/>
        <w:rPr>
          <w:b w:val="0"/>
          <w:u w:val="single"/>
        </w:rPr>
      </w:pPr>
      <w:r w:rsidRPr="006D57DE">
        <w:rPr>
          <w:b w:val="0"/>
          <w:u w:val="single"/>
        </w:rPr>
        <w:t xml:space="preserve">Switching between </w:t>
      </w:r>
      <w:r w:rsidR="00C72FB2" w:rsidRPr="006D57DE">
        <w:rPr>
          <w:b w:val="0"/>
          <w:u w:val="single"/>
        </w:rPr>
        <w:t>B</w:t>
      </w:r>
      <w:r w:rsidRPr="006D57DE">
        <w:rPr>
          <w:b w:val="0"/>
          <w:u w:val="single"/>
        </w:rPr>
        <w:t xml:space="preserve">iological </w:t>
      </w:r>
      <w:r w:rsidR="00C72FB2" w:rsidRPr="006D57DE">
        <w:rPr>
          <w:b w:val="0"/>
          <w:u w:val="single"/>
        </w:rPr>
        <w:t>Therapeutics</w:t>
      </w:r>
    </w:p>
    <w:p w:rsidR="003C32D5" w:rsidRDefault="003C32D5" w:rsidP="000E3CBB">
      <w:pPr>
        <w:autoSpaceDE w:val="0"/>
        <w:autoSpaceDN w:val="0"/>
        <w:adjustRightInd w:val="0"/>
        <w:spacing w:after="0"/>
        <w:jc w:val="left"/>
        <w:rPr>
          <w:rFonts w:cs="TimesNewRomanPSMT"/>
          <w:szCs w:val="22"/>
          <w:lang w:bidi="gu-IN"/>
        </w:rPr>
      </w:pPr>
      <w:r>
        <w:rPr>
          <w:rFonts w:cs="TimesNewRomanPSMT"/>
          <w:szCs w:val="22"/>
          <w:lang w:bidi="gu-IN"/>
        </w:rPr>
        <w:t>W</w:t>
      </w:r>
      <w:r w:rsidRPr="001847F4">
        <w:rPr>
          <w:rFonts w:cs="TimesNewRomanPSMT"/>
          <w:szCs w:val="22"/>
          <w:lang w:bidi="gu-IN"/>
        </w:rPr>
        <w:t>he</w:t>
      </w:r>
      <w:r>
        <w:rPr>
          <w:rFonts w:cs="TimesNewRomanPSMT"/>
          <w:szCs w:val="22"/>
          <w:lang w:bidi="gu-IN"/>
        </w:rPr>
        <w:t>n switching from one biologic to another, patients should continue to be monitored</w:t>
      </w:r>
      <w:r w:rsidR="00C72FB2">
        <w:rPr>
          <w:rFonts w:cs="TimesNewRomanPSMT"/>
          <w:szCs w:val="22"/>
          <w:lang w:bidi="gu-IN"/>
        </w:rPr>
        <w:t>, since overlapping biological activity may further increase the risk of infection</w:t>
      </w:r>
      <w:r>
        <w:rPr>
          <w:rFonts w:cs="TimesNewRomanPSMT"/>
          <w:szCs w:val="22"/>
          <w:lang w:bidi="gu-IN"/>
        </w:rPr>
        <w:t>.</w:t>
      </w:r>
    </w:p>
    <w:p w:rsidR="00D93940" w:rsidRPr="006D57DE" w:rsidRDefault="00D93940" w:rsidP="000E3CBB">
      <w:pPr>
        <w:pStyle w:val="Heading3"/>
        <w:spacing w:after="0"/>
        <w:rPr>
          <w:b w:val="0"/>
          <w:u w:val="single"/>
          <w:lang w:bidi="gu-IN"/>
        </w:rPr>
      </w:pPr>
      <w:r w:rsidRPr="006D57DE">
        <w:rPr>
          <w:b w:val="0"/>
          <w:u w:val="single"/>
          <w:lang w:bidi="gu-IN"/>
        </w:rPr>
        <w:t>Surgery</w:t>
      </w:r>
    </w:p>
    <w:p w:rsidR="008C6574" w:rsidRPr="001847F4" w:rsidRDefault="00D93940" w:rsidP="000E3CBB">
      <w:pPr>
        <w:autoSpaceDE w:val="0"/>
        <w:autoSpaceDN w:val="0"/>
        <w:adjustRightInd w:val="0"/>
        <w:spacing w:after="0"/>
        <w:rPr>
          <w:rFonts w:cs="TimesNewRomanPSMT"/>
          <w:szCs w:val="22"/>
          <w:lang w:bidi="gu-IN"/>
        </w:rPr>
      </w:pPr>
      <w:r w:rsidRPr="001847F4">
        <w:rPr>
          <w:rFonts w:cs="TimesNewRomanPSMT"/>
          <w:szCs w:val="22"/>
          <w:lang w:bidi="gu-IN"/>
        </w:rPr>
        <w:t xml:space="preserve">There is limited safety experience of </w:t>
      </w:r>
      <w:r w:rsidR="00643BFB">
        <w:rPr>
          <w:rFonts w:cs="TimesNewRomanPSMT"/>
          <w:szCs w:val="22"/>
          <w:lang w:bidi="gu-IN"/>
        </w:rPr>
        <w:t>SIMPONI</w:t>
      </w:r>
      <w:r w:rsidRPr="001847F4">
        <w:rPr>
          <w:rFonts w:cs="TimesNewRomanPSMT"/>
          <w:szCs w:val="22"/>
          <w:lang w:bidi="gu-IN"/>
        </w:rPr>
        <w:t xml:space="preserve"> treatment in patients who have undergone surgical procedures, including</w:t>
      </w:r>
      <w:r w:rsidR="00F83C0E">
        <w:rPr>
          <w:rFonts w:cs="TimesNewRomanPSMT"/>
          <w:szCs w:val="22"/>
          <w:lang w:bidi="gu-IN"/>
        </w:rPr>
        <w:t xml:space="preserve"> </w:t>
      </w:r>
      <w:proofErr w:type="spellStart"/>
      <w:r w:rsidR="00F83C0E">
        <w:rPr>
          <w:rFonts w:cs="TimesNewRomanPSMT"/>
          <w:szCs w:val="22"/>
          <w:lang w:bidi="gu-IN"/>
        </w:rPr>
        <w:t>arthroplasty</w:t>
      </w:r>
      <w:proofErr w:type="spellEnd"/>
      <w:r w:rsidRPr="001847F4">
        <w:rPr>
          <w:rFonts w:cs="TimesNewRomanPSMT"/>
          <w:szCs w:val="22"/>
          <w:lang w:bidi="gu-IN"/>
        </w:rPr>
        <w:t xml:space="preserve">. The long half-life should be taken into consideration if a surgical procedure is planned. A patient who requires surgery while on </w:t>
      </w:r>
      <w:r w:rsidR="00643BFB">
        <w:rPr>
          <w:rFonts w:cs="TimesNewRomanPSMT"/>
          <w:szCs w:val="22"/>
          <w:lang w:bidi="gu-IN"/>
        </w:rPr>
        <w:t>SIMPONI</w:t>
      </w:r>
      <w:r w:rsidRPr="001847F4">
        <w:rPr>
          <w:rFonts w:cs="TimesNewRomanPSMT"/>
          <w:szCs w:val="22"/>
          <w:lang w:bidi="gu-IN"/>
        </w:rPr>
        <w:t xml:space="preserve"> should be closely monitored for infections, and appropriate actions should be taken.</w:t>
      </w:r>
    </w:p>
    <w:p w:rsidR="00AA78C4" w:rsidRPr="006D57DE" w:rsidRDefault="00BD6AB1" w:rsidP="000E3CBB">
      <w:pPr>
        <w:pStyle w:val="Heading3"/>
        <w:spacing w:after="0"/>
        <w:rPr>
          <w:b w:val="0"/>
          <w:u w:val="single"/>
        </w:rPr>
      </w:pPr>
      <w:proofErr w:type="spellStart"/>
      <w:r w:rsidRPr="006D57DE">
        <w:rPr>
          <w:b w:val="0"/>
          <w:u w:val="single"/>
        </w:rPr>
        <w:t>Immunosuppression</w:t>
      </w:r>
      <w:proofErr w:type="spellEnd"/>
    </w:p>
    <w:p w:rsidR="00AA78C4" w:rsidRDefault="00AA78C4" w:rsidP="000E3CBB">
      <w:pPr>
        <w:spacing w:after="0"/>
      </w:pPr>
      <w:r w:rsidRPr="008D4475">
        <w:t xml:space="preserve">The possibility exists for TNF-blocking agents, including </w:t>
      </w:r>
      <w:r w:rsidR="00643BFB">
        <w:t>SIMPONI</w:t>
      </w:r>
      <w:r w:rsidRPr="008D4475">
        <w:t xml:space="preserve">, to affect host defences against infections and malignancies since TNF mediates inflammation and modulates cellular immune responses. In Phase I RA studies, in 81 patients evaluated, there were no substantial differences between subjects receiving </w:t>
      </w:r>
      <w:proofErr w:type="spellStart"/>
      <w:r w:rsidRPr="008D4475">
        <w:t>golimumab</w:t>
      </w:r>
      <w:proofErr w:type="spellEnd"/>
      <w:r w:rsidRPr="008D4475">
        <w:t xml:space="preserve"> and placebo with respect to responses to delayed-type hypersensitivity antigens. The impact of treatment with </w:t>
      </w:r>
      <w:proofErr w:type="spellStart"/>
      <w:r w:rsidRPr="008D4475">
        <w:t>golimumab</w:t>
      </w:r>
      <w:proofErr w:type="spellEnd"/>
      <w:r w:rsidRPr="008D4475">
        <w:t xml:space="preserve"> on the development and course of malignancies, as well as active and/or chronic infections, is not fully understood.</w:t>
      </w:r>
    </w:p>
    <w:p w:rsidR="00DC2826" w:rsidRPr="00A85AF0" w:rsidRDefault="00DC2826" w:rsidP="0061169B">
      <w:pPr>
        <w:pStyle w:val="Heading3"/>
        <w:rPr>
          <w:b w:val="0"/>
          <w:u w:val="single"/>
        </w:rPr>
      </w:pPr>
      <w:r w:rsidRPr="00A85AF0">
        <w:rPr>
          <w:b w:val="0"/>
          <w:u w:val="single"/>
        </w:rPr>
        <w:lastRenderedPageBreak/>
        <w:t>Vaccinations</w:t>
      </w:r>
    </w:p>
    <w:p w:rsidR="00DC2826" w:rsidRPr="008D4475" w:rsidRDefault="00DC2826" w:rsidP="0061169B">
      <w:pPr>
        <w:rPr>
          <w:vertAlign w:val="superscript"/>
        </w:rPr>
      </w:pPr>
      <w:r w:rsidRPr="008D4475">
        <w:t xml:space="preserve">Patients treated with </w:t>
      </w:r>
      <w:r w:rsidR="00643BFB">
        <w:t>SIMPONI</w:t>
      </w:r>
      <w:r w:rsidRPr="008D4475">
        <w:t xml:space="preserve"> may receive concurrent vaccinat</w:t>
      </w:r>
      <w:smartTag w:uri="urn:schemas-microsoft-com:office:smarttags" w:element="PersonName">
        <w:r w:rsidRPr="008D4475">
          <w:t>ion</w:t>
        </w:r>
      </w:smartTag>
      <w:r w:rsidRPr="008D4475">
        <w:t>s, except for live vaccines. No data are available on the response to vaccinat</w:t>
      </w:r>
      <w:smartTag w:uri="urn:schemas-microsoft-com:office:smarttags" w:element="PersonName">
        <w:r w:rsidRPr="008D4475">
          <w:t>ion</w:t>
        </w:r>
      </w:smartTag>
      <w:r w:rsidRPr="008D4475">
        <w:t>, risk of infect</w:t>
      </w:r>
      <w:smartTag w:uri="urn:schemas-microsoft-com:office:smarttags" w:element="PersonName">
        <w:r w:rsidRPr="008D4475">
          <w:t>ion</w:t>
        </w:r>
      </w:smartTag>
      <w:r w:rsidRPr="008D4475">
        <w:t xml:space="preserve"> or transmiss</w:t>
      </w:r>
      <w:smartTag w:uri="urn:schemas-microsoft-com:office:smarttags" w:element="PersonName">
        <w:r w:rsidRPr="008D4475">
          <w:t>ion</w:t>
        </w:r>
      </w:smartTag>
      <w:r w:rsidRPr="008D4475">
        <w:t xml:space="preserve"> of infect</w:t>
      </w:r>
      <w:smartTag w:uri="urn:schemas-microsoft-com:office:smarttags" w:element="PersonName">
        <w:r w:rsidRPr="008D4475">
          <w:t>ion</w:t>
        </w:r>
      </w:smartTag>
      <w:r w:rsidRPr="008D4475">
        <w:t xml:space="preserve"> with the administrat</w:t>
      </w:r>
      <w:smartTag w:uri="urn:schemas-microsoft-com:office:smarttags" w:element="PersonName">
        <w:r w:rsidRPr="008D4475">
          <w:t>ion</w:t>
        </w:r>
      </w:smartTag>
      <w:r w:rsidRPr="008D4475">
        <w:t xml:space="preserve"> of live vaccines to patients receiving </w:t>
      </w:r>
      <w:r w:rsidR="00643BFB">
        <w:t>SIMPONI</w:t>
      </w:r>
      <w:r w:rsidRPr="008D4475">
        <w:t xml:space="preserve">. Psoriatic arthritis patients treated with </w:t>
      </w:r>
      <w:r w:rsidR="00643BFB">
        <w:t>SIMPONI</w:t>
      </w:r>
      <w:r w:rsidRPr="008D4475">
        <w:t xml:space="preserve"> in one Phase 3 </w:t>
      </w:r>
      <w:proofErr w:type="spellStart"/>
      <w:r w:rsidRPr="008D4475">
        <w:t>PsA</w:t>
      </w:r>
      <w:proofErr w:type="spellEnd"/>
      <w:r w:rsidRPr="008D4475">
        <w:t xml:space="preserve"> study</w:t>
      </w:r>
      <w:r w:rsidR="00BD6AB1">
        <w:t xml:space="preserve"> were able to mount effective B-</w:t>
      </w:r>
      <w:r w:rsidRPr="008D4475">
        <w:t xml:space="preserve">cell immune responses to pneumococcal polysaccharide vaccine. Similar numbers of psoriatic arthritis patients receiving </w:t>
      </w:r>
      <w:r w:rsidR="00643BFB">
        <w:t>SIMPONI</w:t>
      </w:r>
      <w:r w:rsidRPr="008D4475">
        <w:t xml:space="preserve"> and not receiving </w:t>
      </w:r>
      <w:r w:rsidR="00643BFB">
        <w:t>SIMPONI</w:t>
      </w:r>
      <w:r w:rsidR="00BD6AB1">
        <w:t xml:space="preserve"> had at least a 2-</w:t>
      </w:r>
      <w:r w:rsidRPr="008D4475">
        <w:t>fold increase in antibody titres. The proport</w:t>
      </w:r>
      <w:smartTag w:uri="urn:schemas-microsoft-com:office:smarttags" w:element="PersonName">
        <w:r w:rsidRPr="008D4475">
          <w:t>ion</w:t>
        </w:r>
      </w:smartTag>
      <w:r w:rsidRPr="008D4475">
        <w:t xml:space="preserve">s of patients with response to pneumococcal vaccine were lower among </w:t>
      </w:r>
      <w:r w:rsidR="00643BFB">
        <w:t>SIMPONI</w:t>
      </w:r>
      <w:r w:rsidR="00BD6AB1">
        <w:t xml:space="preserve"> and control-</w:t>
      </w:r>
      <w:r w:rsidRPr="008D4475">
        <w:t xml:space="preserve">treated patients receiving MTX compared with patients not receiving MTX. Overall, the data indicate that </w:t>
      </w:r>
      <w:r w:rsidR="00643BFB">
        <w:t>SIMPONI</w:t>
      </w:r>
      <w:r w:rsidRPr="008D4475">
        <w:t xml:space="preserve"> does not suppress the </w:t>
      </w:r>
      <w:proofErr w:type="spellStart"/>
      <w:r w:rsidRPr="008D4475">
        <w:t>humoral</w:t>
      </w:r>
      <w:proofErr w:type="spellEnd"/>
      <w:r w:rsidRPr="008D4475">
        <w:t xml:space="preserve"> immune response to this vaccine.</w:t>
      </w:r>
    </w:p>
    <w:p w:rsidR="00DC2826" w:rsidRPr="00A85AF0" w:rsidRDefault="00DC2826" w:rsidP="00AB5244">
      <w:pPr>
        <w:pStyle w:val="Heading3"/>
        <w:spacing w:before="120" w:after="0"/>
        <w:rPr>
          <w:b w:val="0"/>
          <w:u w:val="single"/>
        </w:rPr>
      </w:pPr>
      <w:r w:rsidRPr="00A85AF0">
        <w:rPr>
          <w:b w:val="0"/>
          <w:u w:val="single"/>
        </w:rPr>
        <w:t>Allergic reactions</w:t>
      </w:r>
    </w:p>
    <w:p w:rsidR="008C6574" w:rsidRPr="008D4475" w:rsidRDefault="00613D51" w:rsidP="00AB5244">
      <w:pPr>
        <w:spacing w:before="0" w:after="0"/>
      </w:pPr>
      <w:r w:rsidRPr="008D4475">
        <w:t xml:space="preserve">Allergic reactions (e.g., rash, </w:t>
      </w:r>
      <w:proofErr w:type="spellStart"/>
      <w:r w:rsidRPr="008D4475">
        <w:t>urticaria</w:t>
      </w:r>
      <w:proofErr w:type="spellEnd"/>
      <w:r w:rsidRPr="008D4475">
        <w:t>, and rarely anaphylaxis and serum sickness-like reactions) have been observed in patients treated with TNF-blocking agents.</w:t>
      </w:r>
      <w:r w:rsidRPr="00BD6AB1">
        <w:t xml:space="preserve"> </w:t>
      </w:r>
      <w:r w:rsidR="008C6574" w:rsidRPr="008D4475">
        <w:t xml:space="preserve">Serious allergic adverse reactions have not been reported with subcutaneous administration of </w:t>
      </w:r>
      <w:r w:rsidR="00643BFB">
        <w:t>SIMPONI</w:t>
      </w:r>
      <w:r w:rsidR="008C6574" w:rsidRPr="008D4475">
        <w:t xml:space="preserve"> during clinical trials. Non-serious allergic reactions associated with </w:t>
      </w:r>
      <w:r w:rsidR="00643BFB">
        <w:t>SIMPONI</w:t>
      </w:r>
      <w:r w:rsidR="00FC619B" w:rsidRPr="008D4475">
        <w:t xml:space="preserve"> </w:t>
      </w:r>
      <w:r w:rsidR="008C6574" w:rsidRPr="008D4475">
        <w:t xml:space="preserve">occurred in clinical trials, and included </w:t>
      </w:r>
      <w:proofErr w:type="spellStart"/>
      <w:r w:rsidR="008C6574" w:rsidRPr="008D4475">
        <w:t>urticaria</w:t>
      </w:r>
      <w:proofErr w:type="spellEnd"/>
      <w:r w:rsidR="008C6574" w:rsidRPr="008D4475">
        <w:t xml:space="preserve">, </w:t>
      </w:r>
      <w:proofErr w:type="spellStart"/>
      <w:r w:rsidR="008C6574" w:rsidRPr="008D4475">
        <w:t>bronchospasm</w:t>
      </w:r>
      <w:proofErr w:type="spellEnd"/>
      <w:r w:rsidR="008C6574" w:rsidRPr="008D4475">
        <w:t xml:space="preserve"> and hypersensitivity. If an anaphylactic reaction or other serious allergic reactions occurs, administration of </w:t>
      </w:r>
      <w:r w:rsidR="00643BFB">
        <w:t>SIMPONI</w:t>
      </w:r>
      <w:r w:rsidR="00FC619B" w:rsidRPr="008D4475">
        <w:t xml:space="preserve"> </w:t>
      </w:r>
      <w:r w:rsidR="008C6574" w:rsidRPr="008D4475">
        <w:t>should be discontinued immediately and appropriate therapy initiated.</w:t>
      </w:r>
    </w:p>
    <w:p w:rsidR="00DC2826" w:rsidRPr="008D4475" w:rsidRDefault="00DC2826" w:rsidP="00AB5244">
      <w:pPr>
        <w:pStyle w:val="Heading4"/>
        <w:spacing w:after="0"/>
      </w:pPr>
      <w:r w:rsidRPr="008D4475">
        <w:t>Latex sensitivity</w:t>
      </w:r>
    </w:p>
    <w:p w:rsidR="00DC2826" w:rsidRDefault="00DC2826" w:rsidP="00AB5244">
      <w:pPr>
        <w:spacing w:before="0" w:after="0"/>
      </w:pPr>
      <w:bookmarkStart w:id="3" w:name="OLE_LINK2"/>
      <w:r w:rsidRPr="008D4475">
        <w:t xml:space="preserve">The needle cover on the </w:t>
      </w:r>
      <w:r w:rsidR="008C6574" w:rsidRPr="008D4475">
        <w:t xml:space="preserve">pre-filled syringe and the pre-filled </w:t>
      </w:r>
      <w:r w:rsidR="00BD6AB1">
        <w:t>syringe in the pre-</w:t>
      </w:r>
      <w:r w:rsidRPr="008D4475">
        <w:t>filled pen</w:t>
      </w:r>
      <w:bookmarkEnd w:id="3"/>
      <w:r w:rsidR="00FC619B" w:rsidRPr="008D4475">
        <w:t>,</w:t>
      </w:r>
      <w:r w:rsidRPr="008D4475">
        <w:t xml:space="preserve"> is manufactured from dry natural rubber containing latex, and may cause allergic react</w:t>
      </w:r>
      <w:smartTag w:uri="urn:schemas-microsoft-com:office:smarttags" w:element="PersonName">
        <w:r w:rsidRPr="008D4475">
          <w:t>ion</w:t>
        </w:r>
      </w:smartTag>
      <w:r w:rsidRPr="008D4475">
        <w:t>s in individuals sensitive to latex.</w:t>
      </w:r>
    </w:p>
    <w:p w:rsidR="00011E35" w:rsidRPr="00011E35" w:rsidRDefault="00011E35" w:rsidP="00AB5244">
      <w:pPr>
        <w:pStyle w:val="Heading4"/>
        <w:spacing w:after="0"/>
      </w:pPr>
      <w:r w:rsidRPr="00011E35">
        <w:t>Hypersensitivity reactions</w:t>
      </w:r>
    </w:p>
    <w:p w:rsidR="00DC2826" w:rsidRDefault="00011E35" w:rsidP="00AB5244">
      <w:pPr>
        <w:spacing w:before="0" w:after="0"/>
      </w:pPr>
      <w:r>
        <w:t>In-post marketing experience, serious systemic hypersensitivity reactions (including anaphylactic reaction) have been reported following SIMPONI administration.</w:t>
      </w:r>
      <w:r w:rsidR="00F30DA1">
        <w:t xml:space="preserve"> Some of these reactions occurred after the first administration </w:t>
      </w:r>
      <w:r w:rsidR="00945DAC">
        <w:t>of</w:t>
      </w:r>
      <w:r w:rsidR="00F30DA1">
        <w:t xml:space="preserve"> SIMPONI.</w:t>
      </w:r>
      <w:r>
        <w:t xml:space="preserve">  If an anaphylactic or other serious allergic reaction occurs, administration of SIMPONI should be discontinued immediately and appropriate therapy instituted.</w:t>
      </w:r>
    </w:p>
    <w:p w:rsidR="00613D51" w:rsidRPr="00A85AF0" w:rsidRDefault="00F561B6" w:rsidP="00AB5244">
      <w:pPr>
        <w:pStyle w:val="Heading3"/>
        <w:spacing w:before="120" w:after="0"/>
        <w:rPr>
          <w:b w:val="0"/>
          <w:u w:val="single"/>
        </w:rPr>
      </w:pPr>
      <w:r w:rsidRPr="00A85AF0">
        <w:rPr>
          <w:b w:val="0"/>
          <w:u w:val="single"/>
        </w:rPr>
        <w:t>Autoimmunity</w:t>
      </w:r>
    </w:p>
    <w:p w:rsidR="00613D51" w:rsidRPr="008D4475" w:rsidRDefault="00613D51" w:rsidP="00AB5244">
      <w:pPr>
        <w:spacing w:before="0" w:after="0"/>
      </w:pPr>
      <w:r w:rsidRPr="008D4475">
        <w:t xml:space="preserve">Treatment with </w:t>
      </w:r>
      <w:r w:rsidR="00643BFB">
        <w:t>SIMPONI</w:t>
      </w:r>
      <w:r w:rsidRPr="008D4475">
        <w:t xml:space="preserve"> may result in the formation of </w:t>
      </w:r>
      <w:proofErr w:type="spellStart"/>
      <w:r w:rsidRPr="008D4475">
        <w:t>autoantibodies</w:t>
      </w:r>
      <w:proofErr w:type="spellEnd"/>
      <w:r w:rsidRPr="008D4475">
        <w:t xml:space="preserve"> and, rarely, in the development of a lupus-like syndrome. If a patient develops symptoms of a lupus-like syndrome following treatment with </w:t>
      </w:r>
      <w:proofErr w:type="spellStart"/>
      <w:r w:rsidRPr="008D4475">
        <w:t>golimumab</w:t>
      </w:r>
      <w:proofErr w:type="spellEnd"/>
      <w:r w:rsidRPr="008D4475">
        <w:t>, treatment should be discontinued (see ADVERSE EFFECTS, “Antinuclear antibodies (ANA)/anti-double-stranded DNA (</w:t>
      </w:r>
      <w:proofErr w:type="spellStart"/>
      <w:r w:rsidRPr="008D4475">
        <w:t>dsDNA</w:t>
      </w:r>
      <w:proofErr w:type="spellEnd"/>
      <w:r w:rsidRPr="008D4475">
        <w:t>) antibodies”</w:t>
      </w:r>
      <w:r w:rsidR="00557223">
        <w:t>)</w:t>
      </w:r>
      <w:r w:rsidR="00F561B6">
        <w:t>.</w:t>
      </w:r>
    </w:p>
    <w:p w:rsidR="00DC2826" w:rsidRPr="00A85AF0" w:rsidRDefault="00391A04" w:rsidP="00AB5244">
      <w:pPr>
        <w:pStyle w:val="Heading3"/>
        <w:spacing w:before="120" w:after="0"/>
        <w:rPr>
          <w:b w:val="0"/>
          <w:u w:val="single"/>
        </w:rPr>
      </w:pPr>
      <w:r w:rsidRPr="00A85AF0">
        <w:rPr>
          <w:b w:val="0"/>
          <w:u w:val="single"/>
        </w:rPr>
        <w:t>U</w:t>
      </w:r>
      <w:r w:rsidR="00DC2826" w:rsidRPr="00A85AF0">
        <w:rPr>
          <w:b w:val="0"/>
          <w:u w:val="single"/>
        </w:rPr>
        <w:t>se</w:t>
      </w:r>
      <w:r w:rsidRPr="00A85AF0">
        <w:rPr>
          <w:b w:val="0"/>
          <w:u w:val="single"/>
        </w:rPr>
        <w:t xml:space="preserve"> in children and adolescents</w:t>
      </w:r>
    </w:p>
    <w:p w:rsidR="00DC2826" w:rsidRPr="008D4475" w:rsidRDefault="00DC2826" w:rsidP="00AB5244">
      <w:pPr>
        <w:spacing w:after="0"/>
      </w:pPr>
      <w:r w:rsidRPr="008D4475">
        <w:t xml:space="preserve">Specific studies of </w:t>
      </w:r>
      <w:r w:rsidR="00643BFB">
        <w:t>SIMPONI</w:t>
      </w:r>
      <w:r w:rsidRPr="008D4475">
        <w:t xml:space="preserve"> in p</w:t>
      </w:r>
      <w:r w:rsidR="000225B6" w:rsidRPr="008D4475">
        <w:t>a</w:t>
      </w:r>
      <w:r w:rsidRPr="008D4475">
        <w:t>ediatric patients have not been conducted.</w:t>
      </w:r>
    </w:p>
    <w:p w:rsidR="00DC2826" w:rsidRPr="00A85AF0" w:rsidRDefault="00391A04" w:rsidP="00AB5244">
      <w:pPr>
        <w:pStyle w:val="Heading3"/>
        <w:spacing w:after="0"/>
        <w:rPr>
          <w:b w:val="0"/>
          <w:u w:val="single"/>
        </w:rPr>
      </w:pPr>
      <w:r w:rsidRPr="00A85AF0">
        <w:rPr>
          <w:b w:val="0"/>
          <w:u w:val="single"/>
        </w:rPr>
        <w:t>U</w:t>
      </w:r>
      <w:r w:rsidR="00DC2826" w:rsidRPr="00A85AF0">
        <w:rPr>
          <w:b w:val="0"/>
          <w:u w:val="single"/>
        </w:rPr>
        <w:t>se</w:t>
      </w:r>
      <w:r w:rsidRPr="00A85AF0">
        <w:rPr>
          <w:b w:val="0"/>
          <w:u w:val="single"/>
        </w:rPr>
        <w:t xml:space="preserve"> in </w:t>
      </w:r>
      <w:r w:rsidR="00BB0E09" w:rsidRPr="00A85AF0">
        <w:rPr>
          <w:b w:val="0"/>
          <w:u w:val="single"/>
        </w:rPr>
        <w:t xml:space="preserve">the </w:t>
      </w:r>
      <w:r w:rsidRPr="00A85AF0">
        <w:rPr>
          <w:b w:val="0"/>
          <w:u w:val="single"/>
        </w:rPr>
        <w:t>elderly</w:t>
      </w:r>
    </w:p>
    <w:p w:rsidR="00DC2826" w:rsidRPr="008D4475" w:rsidRDefault="00DC2826" w:rsidP="00AB5244">
      <w:pPr>
        <w:spacing w:after="0"/>
      </w:pPr>
      <w:r w:rsidRPr="008D4475">
        <w:t xml:space="preserve">In the Phase 3 studies in RA, </w:t>
      </w:r>
      <w:proofErr w:type="spellStart"/>
      <w:r w:rsidRPr="008D4475">
        <w:t>PsA</w:t>
      </w:r>
      <w:proofErr w:type="spellEnd"/>
      <w:r w:rsidRPr="008D4475">
        <w:t xml:space="preserve">, and AS, no overall differences in </w:t>
      </w:r>
      <w:r w:rsidR="00A81547" w:rsidRPr="008D4475">
        <w:t>adverse effects (</w:t>
      </w:r>
      <w:r w:rsidRPr="008D4475">
        <w:t>AEs</w:t>
      </w:r>
      <w:r w:rsidR="00A81547" w:rsidRPr="008D4475">
        <w:t>)</w:t>
      </w:r>
      <w:r w:rsidRPr="008D4475">
        <w:t xml:space="preserve">, </w:t>
      </w:r>
      <w:r w:rsidR="00A81547" w:rsidRPr="008D4475">
        <w:t>serious adverse effects (</w:t>
      </w:r>
      <w:r w:rsidRPr="008D4475">
        <w:t>SAEs</w:t>
      </w:r>
      <w:r w:rsidR="00A81547" w:rsidRPr="008D4475">
        <w:t>)</w:t>
      </w:r>
      <w:r w:rsidRPr="008D4475">
        <w:t>, and serious infect</w:t>
      </w:r>
      <w:smartTag w:uri="urn:schemas-microsoft-com:office:smarttags" w:element="PersonName">
        <w:r w:rsidRPr="008D4475">
          <w:t>ion</w:t>
        </w:r>
      </w:smartTag>
      <w:r w:rsidRPr="008D4475">
        <w:t xml:space="preserve">s in patients age 65 or older (N=155) who received </w:t>
      </w:r>
      <w:r w:rsidR="00643BFB">
        <w:t>SIMPONI</w:t>
      </w:r>
      <w:r w:rsidRPr="008D4475">
        <w:t xml:space="preserve"> were observed compared with younger patients. Because there is a higher incidence of infect</w:t>
      </w:r>
      <w:smartTag w:uri="urn:schemas-microsoft-com:office:smarttags" w:element="PersonName">
        <w:r w:rsidRPr="008D4475">
          <w:t>ion</w:t>
        </w:r>
      </w:smartTag>
      <w:r w:rsidRPr="008D4475">
        <w:t>s in the elderly populat</w:t>
      </w:r>
      <w:smartTag w:uri="urn:schemas-microsoft-com:office:smarttags" w:element="PersonName">
        <w:r w:rsidRPr="008D4475">
          <w:t>ion</w:t>
        </w:r>
      </w:smartTag>
      <w:r w:rsidRPr="008D4475">
        <w:t xml:space="preserve"> in general, caut</w:t>
      </w:r>
      <w:smartTag w:uri="urn:schemas-microsoft-com:office:smarttags" w:element="PersonName">
        <w:r w:rsidRPr="008D4475">
          <w:t>ion</w:t>
        </w:r>
      </w:smartTag>
      <w:r w:rsidRPr="008D4475">
        <w:t xml:space="preserve"> should be used in treating the elderly.</w:t>
      </w:r>
    </w:p>
    <w:p w:rsidR="00DC2826" w:rsidRPr="0061169B" w:rsidRDefault="00BD6AB1" w:rsidP="00AB5244">
      <w:pPr>
        <w:pStyle w:val="Heading3"/>
        <w:spacing w:after="0"/>
        <w:rPr>
          <w:b w:val="0"/>
          <w:u w:val="single"/>
        </w:rPr>
      </w:pPr>
      <w:r w:rsidRPr="0061169B">
        <w:rPr>
          <w:b w:val="0"/>
          <w:u w:val="single"/>
        </w:rPr>
        <w:t>Renal and hepatic insufficiency</w:t>
      </w:r>
    </w:p>
    <w:p w:rsidR="00DC2826" w:rsidRPr="008D4475" w:rsidRDefault="00DC2826" w:rsidP="0061169B">
      <w:pPr>
        <w:spacing w:after="0"/>
      </w:pPr>
      <w:r w:rsidRPr="008D4475">
        <w:t xml:space="preserve">Specific studies of </w:t>
      </w:r>
      <w:r w:rsidR="00643BFB">
        <w:t>SIMPONI</w:t>
      </w:r>
      <w:r w:rsidRPr="008D4475">
        <w:t xml:space="preserve"> have not been conducted in patients with renal or hepatic impairment.</w:t>
      </w:r>
    </w:p>
    <w:p w:rsidR="000225B6" w:rsidRPr="00D6104E" w:rsidRDefault="00DC2826" w:rsidP="00D6104E">
      <w:pPr>
        <w:pStyle w:val="Heading3"/>
        <w:spacing w:before="120"/>
        <w:rPr>
          <w:b w:val="0"/>
          <w:u w:val="single"/>
        </w:rPr>
      </w:pPr>
      <w:r w:rsidRPr="00D6104E">
        <w:rPr>
          <w:b w:val="0"/>
          <w:u w:val="single"/>
        </w:rPr>
        <w:lastRenderedPageBreak/>
        <w:t>Effects on ability to drive and use machines</w:t>
      </w:r>
    </w:p>
    <w:p w:rsidR="00DC2826" w:rsidRPr="00BD6AB1" w:rsidRDefault="00DC2826" w:rsidP="00D6104E">
      <w:r w:rsidRPr="008D4475">
        <w:t>No studies on the effects on the ability to drive and use machines have been performed.</w:t>
      </w:r>
    </w:p>
    <w:p w:rsidR="00495055" w:rsidRPr="00D6104E" w:rsidRDefault="00DC2826" w:rsidP="00D6104E">
      <w:pPr>
        <w:pStyle w:val="Heading3"/>
        <w:spacing w:before="120"/>
        <w:rPr>
          <w:b w:val="0"/>
          <w:u w:val="single"/>
        </w:rPr>
      </w:pPr>
      <w:r w:rsidRPr="00D6104E">
        <w:rPr>
          <w:b w:val="0"/>
          <w:u w:val="single"/>
        </w:rPr>
        <w:t>Use in Pregnancy</w:t>
      </w:r>
      <w:r w:rsidR="00391A04" w:rsidRPr="00D6104E">
        <w:rPr>
          <w:b w:val="0"/>
          <w:u w:val="single"/>
        </w:rPr>
        <w:t xml:space="preserve"> (Category C)</w:t>
      </w:r>
    </w:p>
    <w:p w:rsidR="00FC1624" w:rsidRDefault="00FC1624" w:rsidP="00D6104E">
      <w:r w:rsidRPr="008D4475">
        <w:t xml:space="preserve">The use of </w:t>
      </w:r>
      <w:r w:rsidR="00643BFB">
        <w:t>SIMPONI</w:t>
      </w:r>
      <w:r w:rsidRPr="008D4475">
        <w:t xml:space="preserve"> in pregnant women is not recommended. Women of childbearing potential should be advised to use adequate contraception and continue its use for at least 6 months after the last </w:t>
      </w:r>
      <w:r w:rsidR="00643BFB">
        <w:t>SIMPONI</w:t>
      </w:r>
      <w:r w:rsidRPr="008D4475">
        <w:t xml:space="preserve"> treatment. Studies in </w:t>
      </w:r>
      <w:proofErr w:type="spellStart"/>
      <w:r w:rsidRPr="008D4475">
        <w:t>cynomolgus</w:t>
      </w:r>
      <w:proofErr w:type="spellEnd"/>
      <w:r w:rsidRPr="008D4475">
        <w:t xml:space="preserve"> monkeys have shown no untoward effects on the course of pregnancy</w:t>
      </w:r>
      <w:r w:rsidRPr="00F561B6">
        <w:rPr>
          <w:bCs/>
          <w:iCs/>
        </w:rPr>
        <w:t xml:space="preserve">, </w:t>
      </w:r>
      <w:proofErr w:type="spellStart"/>
      <w:r w:rsidRPr="008D4475">
        <w:t>embryof</w:t>
      </w:r>
      <w:r w:rsidR="007E19E2" w:rsidRPr="008D4475">
        <w:t>o</w:t>
      </w:r>
      <w:r w:rsidRPr="008D4475">
        <w:t>etal</w:t>
      </w:r>
      <w:proofErr w:type="spellEnd"/>
      <w:r w:rsidRPr="008D4475">
        <w:t xml:space="preserve"> development, parturit</w:t>
      </w:r>
      <w:smartTag w:uri="urn:schemas-microsoft-com:office:smarttags" w:element="PersonName">
        <w:r w:rsidRPr="008D4475">
          <w:t>ion</w:t>
        </w:r>
      </w:smartTag>
      <w:r w:rsidRPr="008D4475">
        <w:t xml:space="preserve"> or neonatal development, at doses achieving serum concentrations in excess of those expected with the recommended dose.</w:t>
      </w:r>
    </w:p>
    <w:p w:rsidR="00011E35" w:rsidRPr="008D4475" w:rsidRDefault="002078C0" w:rsidP="00D6104E">
      <w:proofErr w:type="spellStart"/>
      <w:r>
        <w:t>Golimumab</w:t>
      </w:r>
      <w:proofErr w:type="spellEnd"/>
      <w:r>
        <w:t xml:space="preserve"> </w:t>
      </w:r>
      <w:r w:rsidR="00011E35">
        <w:t>cross</w:t>
      </w:r>
      <w:r>
        <w:t>es</w:t>
      </w:r>
      <w:r w:rsidR="00011E35">
        <w:t xml:space="preserve"> the placenta</w:t>
      </w:r>
      <w:r>
        <w:t>.  Following treatment with another TNF-</w:t>
      </w:r>
      <w:r>
        <w:rPr>
          <w:rFonts w:cs="Arial"/>
        </w:rPr>
        <w:t>blocking monoclonal antibody</w:t>
      </w:r>
      <w:r w:rsidR="00011E35">
        <w:t xml:space="preserve"> during pregnancy</w:t>
      </w:r>
      <w:r>
        <w:t>, the antibody</w:t>
      </w:r>
      <w:r w:rsidR="00011E35">
        <w:t xml:space="preserve"> </w:t>
      </w:r>
      <w:r>
        <w:t>has</w:t>
      </w:r>
      <w:r w:rsidR="00011E35">
        <w:t xml:space="preserve"> been detected </w:t>
      </w:r>
      <w:r>
        <w:t xml:space="preserve">for up to 6 months </w:t>
      </w:r>
      <w:r w:rsidR="00011E35">
        <w:t xml:space="preserve">in the serum of </w:t>
      </w:r>
      <w:r>
        <w:t xml:space="preserve">the </w:t>
      </w:r>
      <w:r w:rsidR="00011E35">
        <w:t xml:space="preserve">infants born </w:t>
      </w:r>
      <w:r w:rsidR="009E3A3D">
        <w:t>by the treated women</w:t>
      </w:r>
      <w:r w:rsidR="00011E35">
        <w:t xml:space="preserve">.  </w:t>
      </w:r>
      <w:r>
        <w:t>Consequently, these</w:t>
      </w:r>
      <w:r w:rsidR="00011E35">
        <w:t xml:space="preserve"> infants may be at an increased risk of infection</w:t>
      </w:r>
      <w:r>
        <w:t>.  A</w:t>
      </w:r>
      <w:r w:rsidR="00011E35">
        <w:t xml:space="preserve">dministration of live vaccines </w:t>
      </w:r>
      <w:r>
        <w:t>to</w:t>
      </w:r>
      <w:r w:rsidR="00011E35">
        <w:t xml:space="preserve"> infants </w:t>
      </w:r>
      <w:r w:rsidR="00E63543">
        <w:t xml:space="preserve">exposed to </w:t>
      </w:r>
      <w:proofErr w:type="spellStart"/>
      <w:r w:rsidR="00E63543">
        <w:t>goli</w:t>
      </w:r>
      <w:r>
        <w:t>mumab</w:t>
      </w:r>
      <w:proofErr w:type="spellEnd"/>
      <w:r>
        <w:t xml:space="preserve"> in </w:t>
      </w:r>
      <w:proofErr w:type="spellStart"/>
      <w:r>
        <w:t>utero</w:t>
      </w:r>
      <w:proofErr w:type="spellEnd"/>
      <w:r>
        <w:t xml:space="preserve"> is not recommended for 6 months following the mother’s last </w:t>
      </w:r>
      <w:proofErr w:type="spellStart"/>
      <w:r>
        <w:t>golimumab</w:t>
      </w:r>
      <w:proofErr w:type="spellEnd"/>
      <w:r>
        <w:t xml:space="preserve"> injection during pregnancy </w:t>
      </w:r>
      <w:r w:rsidR="00011E35">
        <w:t>(see PRECAUTIONS, Vaccinations</w:t>
      </w:r>
      <w:r>
        <w:t xml:space="preserve"> and PRECAUTIONS, Interactions with other medicines</w:t>
      </w:r>
      <w:r w:rsidR="00011E35">
        <w:t>).</w:t>
      </w:r>
    </w:p>
    <w:p w:rsidR="00DC2826" w:rsidRPr="00D6104E" w:rsidRDefault="00BB0E09" w:rsidP="00D6104E">
      <w:pPr>
        <w:pStyle w:val="Heading3"/>
        <w:spacing w:before="120"/>
        <w:rPr>
          <w:b w:val="0"/>
          <w:bCs/>
          <w:iCs/>
          <w:u w:val="single"/>
        </w:rPr>
      </w:pPr>
      <w:r w:rsidRPr="00D6104E">
        <w:rPr>
          <w:b w:val="0"/>
          <w:u w:val="single"/>
        </w:rPr>
        <w:t>Use in l</w:t>
      </w:r>
      <w:r w:rsidR="00DC2826" w:rsidRPr="00D6104E">
        <w:rPr>
          <w:b w:val="0"/>
          <w:u w:val="single"/>
        </w:rPr>
        <w:t>actation</w:t>
      </w:r>
    </w:p>
    <w:p w:rsidR="00FC1624" w:rsidRPr="008D4475" w:rsidRDefault="00FC1624" w:rsidP="00D6104E">
      <w:r w:rsidRPr="008D4475">
        <w:t xml:space="preserve">It is unknown whether </w:t>
      </w:r>
      <w:proofErr w:type="spellStart"/>
      <w:r w:rsidRPr="008D4475">
        <w:t>golimumab</w:t>
      </w:r>
      <w:proofErr w:type="spellEnd"/>
      <w:r w:rsidRPr="008D4475">
        <w:t xml:space="preserve"> is excreted in human breast milk or absorbed systemically by infants after ingest</w:t>
      </w:r>
      <w:smartTag w:uri="urn:schemas-microsoft-com:office:smarttags" w:element="PersonName">
        <w:r w:rsidRPr="008D4475">
          <w:t>ion</w:t>
        </w:r>
      </w:smartTag>
      <w:r w:rsidRPr="008D4475">
        <w:t xml:space="preserve">. </w:t>
      </w:r>
      <w:proofErr w:type="spellStart"/>
      <w:r w:rsidR="00C87589" w:rsidRPr="008D4475">
        <w:t>Golimumab</w:t>
      </w:r>
      <w:proofErr w:type="spellEnd"/>
      <w:r w:rsidR="00C87589" w:rsidRPr="008D4475">
        <w:t xml:space="preserve"> was detected in monkey breast milk at low concentrations. The mean breast milk to plasma concentration ratio was 0.002:1</w:t>
      </w:r>
      <w:r w:rsidRPr="008D4475">
        <w:t xml:space="preserve">. Because </w:t>
      </w:r>
      <w:proofErr w:type="spellStart"/>
      <w:r w:rsidRPr="008D4475">
        <w:t>immunoglobulins</w:t>
      </w:r>
      <w:proofErr w:type="spellEnd"/>
      <w:r w:rsidRPr="008D4475">
        <w:t xml:space="preserve"> are excreted in human milk, and because of the potential effects in infants, the use of </w:t>
      </w:r>
      <w:r w:rsidR="00643BFB">
        <w:t>SIMPONI</w:t>
      </w:r>
      <w:r w:rsidRPr="008D4475">
        <w:t xml:space="preserve"> while breastfeeding is not recommended. Breastfeeding should be discontinued for at least 6 months after the last </w:t>
      </w:r>
      <w:r w:rsidR="00643BFB">
        <w:t>SIMPONI</w:t>
      </w:r>
      <w:r w:rsidRPr="008D4475">
        <w:t xml:space="preserve"> treatment.</w:t>
      </w:r>
    </w:p>
    <w:p w:rsidR="0094600A" w:rsidRPr="00D6104E" w:rsidRDefault="0094600A" w:rsidP="00D6104E">
      <w:pPr>
        <w:pStyle w:val="Heading3"/>
        <w:spacing w:before="120"/>
        <w:rPr>
          <w:b w:val="0"/>
          <w:u w:val="single"/>
        </w:rPr>
      </w:pPr>
      <w:proofErr w:type="spellStart"/>
      <w:r w:rsidRPr="00D6104E">
        <w:rPr>
          <w:b w:val="0"/>
          <w:u w:val="single"/>
        </w:rPr>
        <w:t>Genotoxicity</w:t>
      </w:r>
      <w:proofErr w:type="spellEnd"/>
    </w:p>
    <w:p w:rsidR="0094600A" w:rsidRPr="008D4475" w:rsidRDefault="0094600A" w:rsidP="00D6104E">
      <w:r w:rsidRPr="008D4475">
        <w:t xml:space="preserve">No </w:t>
      </w:r>
      <w:proofErr w:type="spellStart"/>
      <w:r w:rsidRPr="008D4475">
        <w:t>genotoxicity</w:t>
      </w:r>
      <w:proofErr w:type="spellEnd"/>
      <w:r w:rsidRPr="008D4475">
        <w:t xml:space="preserve"> tests have been conducted with </w:t>
      </w:r>
      <w:proofErr w:type="spellStart"/>
      <w:r w:rsidRPr="008D4475">
        <w:t>golimumab</w:t>
      </w:r>
      <w:proofErr w:type="spellEnd"/>
      <w:r w:rsidRPr="008D4475">
        <w:t>.</w:t>
      </w:r>
    </w:p>
    <w:p w:rsidR="0094600A" w:rsidRPr="00D6104E" w:rsidRDefault="00F34FF1" w:rsidP="00D6104E">
      <w:pPr>
        <w:pStyle w:val="Heading3"/>
        <w:spacing w:before="120"/>
        <w:rPr>
          <w:b w:val="0"/>
          <w:u w:val="single"/>
        </w:rPr>
      </w:pPr>
      <w:r w:rsidRPr="00D6104E">
        <w:rPr>
          <w:b w:val="0"/>
          <w:u w:val="single"/>
        </w:rPr>
        <w:t>Carcinogenicity</w:t>
      </w:r>
    </w:p>
    <w:p w:rsidR="0094600A" w:rsidRPr="008D4475" w:rsidRDefault="0094600A" w:rsidP="00D6104E">
      <w:r w:rsidRPr="008D4475">
        <w:t xml:space="preserve">Long-term </w:t>
      </w:r>
      <w:r w:rsidR="00D93BDB" w:rsidRPr="008D4475">
        <w:t xml:space="preserve">animal </w:t>
      </w:r>
      <w:r w:rsidRPr="008D4475">
        <w:t>carcinogenic</w:t>
      </w:r>
      <w:r w:rsidR="00D93BDB" w:rsidRPr="008D4475">
        <w:t>ity</w:t>
      </w:r>
      <w:r w:rsidRPr="008D4475">
        <w:t xml:space="preserve"> studies </w:t>
      </w:r>
      <w:r w:rsidR="00D93BDB" w:rsidRPr="008D4475">
        <w:t xml:space="preserve">with </w:t>
      </w:r>
      <w:proofErr w:type="spellStart"/>
      <w:r w:rsidR="00D93BDB" w:rsidRPr="008D4475">
        <w:t>golimumab</w:t>
      </w:r>
      <w:proofErr w:type="spellEnd"/>
      <w:r w:rsidR="00D93BDB" w:rsidRPr="008D4475">
        <w:t xml:space="preserve"> </w:t>
      </w:r>
      <w:r w:rsidRPr="008D4475">
        <w:t xml:space="preserve">have </w:t>
      </w:r>
      <w:r w:rsidR="00D93BDB" w:rsidRPr="008D4475">
        <w:t>not been conducted.</w:t>
      </w:r>
    </w:p>
    <w:p w:rsidR="00DC2826" w:rsidRPr="00D6104E" w:rsidRDefault="00D93BDB" w:rsidP="00D6104E">
      <w:pPr>
        <w:pStyle w:val="Heading3"/>
        <w:spacing w:before="120"/>
        <w:rPr>
          <w:b w:val="0"/>
          <w:u w:val="single"/>
        </w:rPr>
      </w:pPr>
      <w:r w:rsidRPr="00D6104E">
        <w:rPr>
          <w:b w:val="0"/>
          <w:u w:val="single"/>
        </w:rPr>
        <w:t xml:space="preserve">Effects </w:t>
      </w:r>
      <w:r w:rsidR="00F34FF1" w:rsidRPr="00D6104E">
        <w:rPr>
          <w:b w:val="0"/>
          <w:u w:val="single"/>
        </w:rPr>
        <w:t>o</w:t>
      </w:r>
      <w:r w:rsidRPr="00D6104E">
        <w:rPr>
          <w:b w:val="0"/>
          <w:u w:val="single"/>
        </w:rPr>
        <w:t>n</w:t>
      </w:r>
      <w:r w:rsidR="00F34FF1" w:rsidRPr="00D6104E">
        <w:rPr>
          <w:b w:val="0"/>
          <w:u w:val="single"/>
        </w:rPr>
        <w:t xml:space="preserve"> fertility</w:t>
      </w:r>
    </w:p>
    <w:p w:rsidR="00D93BDB" w:rsidRDefault="00D93BDB" w:rsidP="00D6104E">
      <w:pPr>
        <w:rPr>
          <w:rFonts w:cs="Arial"/>
          <w:szCs w:val="22"/>
        </w:rPr>
      </w:pPr>
      <w:r w:rsidRPr="008D4475">
        <w:rPr>
          <w:rFonts w:cs="Arial"/>
          <w:szCs w:val="22"/>
        </w:rPr>
        <w:t xml:space="preserve">The potential effects of </w:t>
      </w:r>
      <w:proofErr w:type="spellStart"/>
      <w:r w:rsidRPr="008D4475">
        <w:rPr>
          <w:rFonts w:cs="Arial"/>
          <w:szCs w:val="22"/>
        </w:rPr>
        <w:t>golimumab</w:t>
      </w:r>
      <w:proofErr w:type="spellEnd"/>
      <w:r w:rsidRPr="008D4475">
        <w:rPr>
          <w:rFonts w:cs="Arial"/>
          <w:szCs w:val="22"/>
        </w:rPr>
        <w:t xml:space="preserve"> on fertility have not been investigated in animal studies.</w:t>
      </w:r>
    </w:p>
    <w:p w:rsidR="00231BF2" w:rsidRPr="00D6104E" w:rsidRDefault="00231BF2" w:rsidP="00D6104E">
      <w:pPr>
        <w:pStyle w:val="Heading3"/>
        <w:spacing w:before="120"/>
        <w:rPr>
          <w:b w:val="0"/>
          <w:u w:val="single"/>
        </w:rPr>
      </w:pPr>
      <w:r w:rsidRPr="00D6104E">
        <w:rPr>
          <w:b w:val="0"/>
          <w:u w:val="single"/>
        </w:rPr>
        <w:t>Interactions with other medicines</w:t>
      </w:r>
    </w:p>
    <w:p w:rsidR="00231BF2" w:rsidRPr="008D4475" w:rsidRDefault="00231BF2" w:rsidP="00D6104E">
      <w:pPr>
        <w:rPr>
          <w:rFonts w:cs="Arial"/>
          <w:szCs w:val="22"/>
        </w:rPr>
      </w:pPr>
      <w:r w:rsidRPr="008D4475">
        <w:rPr>
          <w:rFonts w:cs="Arial"/>
          <w:szCs w:val="22"/>
        </w:rPr>
        <w:t>No interact</w:t>
      </w:r>
      <w:smartTag w:uri="urn:schemas-microsoft-com:office:smarttags" w:element="PersonName">
        <w:r w:rsidRPr="008D4475">
          <w:rPr>
            <w:rFonts w:cs="Arial"/>
            <w:szCs w:val="22"/>
          </w:rPr>
          <w:t>ion</w:t>
        </w:r>
      </w:smartTag>
      <w:r w:rsidRPr="008D4475">
        <w:rPr>
          <w:rFonts w:cs="Arial"/>
          <w:szCs w:val="22"/>
        </w:rPr>
        <w:t xml:space="preserve"> studies have been performed.</w:t>
      </w:r>
    </w:p>
    <w:p w:rsidR="00231BF2" w:rsidRPr="008D4475" w:rsidRDefault="00C72FB2" w:rsidP="00D6104E">
      <w:pPr>
        <w:pStyle w:val="Heading4"/>
      </w:pPr>
      <w:r>
        <w:t xml:space="preserve">Concurrent use of SIMPONI with other Biological Therapeutics </w:t>
      </w:r>
    </w:p>
    <w:p w:rsidR="008C6574" w:rsidRDefault="008C6574" w:rsidP="00D6104E">
      <w:r w:rsidRPr="008D4475">
        <w:t xml:space="preserve">An increased risk of serious infections has been seen in clinical RA studies of other TNF-blockers used in combination with </w:t>
      </w:r>
      <w:proofErr w:type="spellStart"/>
      <w:r w:rsidRPr="008D4475">
        <w:t>anakinra</w:t>
      </w:r>
      <w:proofErr w:type="spellEnd"/>
      <w:r w:rsidRPr="008D4475">
        <w:t xml:space="preserve"> or </w:t>
      </w:r>
      <w:proofErr w:type="spellStart"/>
      <w:r w:rsidRPr="008D4475">
        <w:t>abatacept</w:t>
      </w:r>
      <w:proofErr w:type="spellEnd"/>
      <w:r w:rsidRPr="008D4475">
        <w:t xml:space="preserve">, with no added benefit; therefore, use of </w:t>
      </w:r>
      <w:r w:rsidR="00643BFB">
        <w:t>SIMPONI</w:t>
      </w:r>
      <w:r w:rsidRPr="008D4475">
        <w:t xml:space="preserve"> with </w:t>
      </w:r>
      <w:proofErr w:type="spellStart"/>
      <w:r w:rsidRPr="008D4475">
        <w:t>abatacept</w:t>
      </w:r>
      <w:proofErr w:type="spellEnd"/>
      <w:r w:rsidRPr="008D4475">
        <w:t xml:space="preserve"> or </w:t>
      </w:r>
      <w:proofErr w:type="spellStart"/>
      <w:r w:rsidRPr="008D4475">
        <w:t>anakinra</w:t>
      </w:r>
      <w:proofErr w:type="spellEnd"/>
      <w:r w:rsidRPr="008D4475">
        <w:t xml:space="preserve"> is not recommended (see CONTRAINDICATIONS and PRECAUTIONS). A higher rate of serious infections has also been observed in RA patients treated with </w:t>
      </w:r>
      <w:proofErr w:type="spellStart"/>
      <w:r w:rsidRPr="008D4475">
        <w:t>rituximab</w:t>
      </w:r>
      <w:proofErr w:type="spellEnd"/>
      <w:r w:rsidRPr="008D4475">
        <w:t xml:space="preserve"> who received subsequent treatment with a TNF-blocker.</w:t>
      </w:r>
    </w:p>
    <w:p w:rsidR="00231BF2" w:rsidRDefault="00C72FB2" w:rsidP="00D6104E">
      <w:r w:rsidRPr="004C6430">
        <w:t>The combination of SIMPONI with other biological therapeutics used to tr</w:t>
      </w:r>
      <w:r w:rsidR="004C6430" w:rsidRPr="004C6430">
        <w:t>e</w:t>
      </w:r>
      <w:r w:rsidRPr="004C6430">
        <w:t xml:space="preserve">at the same conditions as SIMPONI is not recommended.  </w:t>
      </w:r>
    </w:p>
    <w:p w:rsidR="00231BF2" w:rsidRPr="008D4475" w:rsidRDefault="00231BF2" w:rsidP="00D6104E">
      <w:pPr>
        <w:pStyle w:val="Heading4"/>
      </w:pPr>
      <w:r w:rsidRPr="008D4475">
        <w:t>Live vaccines</w:t>
      </w:r>
    </w:p>
    <w:p w:rsidR="00231BF2" w:rsidRPr="008D4475" w:rsidRDefault="00231BF2" w:rsidP="00D6104E">
      <w:r w:rsidRPr="008D4475">
        <w:t xml:space="preserve">Live vaccines should not be given concurrently with </w:t>
      </w:r>
      <w:r w:rsidR="00643BFB">
        <w:t>SIMPONI</w:t>
      </w:r>
      <w:r w:rsidRPr="008D4475">
        <w:t xml:space="preserve"> (see PRECAUTIONS).</w:t>
      </w:r>
    </w:p>
    <w:p w:rsidR="00231BF2" w:rsidRPr="008D4475" w:rsidRDefault="00231BF2" w:rsidP="00306ED4">
      <w:pPr>
        <w:pStyle w:val="Heading4"/>
        <w:keepNext/>
      </w:pPr>
      <w:proofErr w:type="spellStart"/>
      <w:r w:rsidRPr="008D4475">
        <w:lastRenderedPageBreak/>
        <w:t>Methotrexate</w:t>
      </w:r>
      <w:proofErr w:type="spellEnd"/>
    </w:p>
    <w:p w:rsidR="00231BF2" w:rsidRPr="008D4475" w:rsidRDefault="00231BF2" w:rsidP="00231BF2">
      <w:r w:rsidRPr="008D4475">
        <w:t xml:space="preserve">Although concomitant use </w:t>
      </w:r>
      <w:r w:rsidR="00F561B6">
        <w:t>of MTX results in higher steady-</w:t>
      </w:r>
      <w:r w:rsidRPr="008D4475">
        <w:t>state trough concentrat</w:t>
      </w:r>
      <w:smartTag w:uri="urn:schemas-microsoft-com:office:smarttags" w:element="PersonName">
        <w:r w:rsidRPr="008D4475">
          <w:t>ion</w:t>
        </w:r>
      </w:smartTag>
      <w:r w:rsidRPr="008D4475">
        <w:t xml:space="preserve">s of </w:t>
      </w:r>
      <w:r w:rsidR="00643BFB">
        <w:t>SIMPONI</w:t>
      </w:r>
      <w:r w:rsidRPr="008D4475">
        <w:t xml:space="preserve"> in patients with RA, </w:t>
      </w:r>
      <w:proofErr w:type="spellStart"/>
      <w:r w:rsidRPr="008D4475">
        <w:t>PsA</w:t>
      </w:r>
      <w:proofErr w:type="spellEnd"/>
      <w:r w:rsidRPr="008D4475">
        <w:t xml:space="preserve">, or AS, the data do not suggest the need for dose adjustment of either </w:t>
      </w:r>
      <w:r w:rsidR="00643BFB">
        <w:t>SIMPONI</w:t>
      </w:r>
      <w:r w:rsidRPr="008D4475">
        <w:t xml:space="preserve"> or MTX (see PHARMACOLOGY</w:t>
      </w:r>
      <w:r w:rsidR="00E20C4D" w:rsidRPr="008D4475">
        <w:t>, “Pharmacokinetics”</w:t>
      </w:r>
      <w:r w:rsidRPr="008D4475">
        <w:t>).</w:t>
      </w:r>
    </w:p>
    <w:p w:rsidR="00E61893" w:rsidRPr="005F5F7A" w:rsidRDefault="00BF443F" w:rsidP="00D61C86">
      <w:pPr>
        <w:pStyle w:val="Heading2"/>
        <w:spacing w:before="600"/>
        <w:rPr>
          <w:bCs/>
        </w:rPr>
      </w:pPr>
      <w:r w:rsidRPr="00BF443F">
        <w:t>ADVERSE EFFECTS</w:t>
      </w:r>
    </w:p>
    <w:p w:rsidR="00F561B6" w:rsidRDefault="00231BF2" w:rsidP="00C1166F">
      <w:pPr>
        <w:rPr>
          <w:rFonts w:cs="Arial"/>
          <w:szCs w:val="22"/>
        </w:rPr>
      </w:pPr>
      <w:r w:rsidRPr="008D4475">
        <w:rPr>
          <w:rFonts w:cs="Arial"/>
          <w:szCs w:val="22"/>
        </w:rPr>
        <w:t xml:space="preserve">Safety data from Phase 2 and 3 clinical trials are available from </w:t>
      </w:r>
      <w:r w:rsidR="00F36116" w:rsidRPr="008D4475">
        <w:rPr>
          <w:rFonts w:cs="Arial"/>
          <w:szCs w:val="22"/>
        </w:rPr>
        <w:t xml:space="preserve">2578 </w:t>
      </w:r>
      <w:r w:rsidR="00643BFB">
        <w:rPr>
          <w:rFonts w:cs="Arial"/>
          <w:szCs w:val="22"/>
        </w:rPr>
        <w:t>SIMPONI</w:t>
      </w:r>
      <w:r w:rsidR="00BD6AB1">
        <w:rPr>
          <w:rFonts w:cs="Arial"/>
          <w:szCs w:val="22"/>
        </w:rPr>
        <w:t>-</w:t>
      </w:r>
      <w:r w:rsidRPr="008D4475">
        <w:rPr>
          <w:rFonts w:cs="Arial"/>
          <w:szCs w:val="22"/>
        </w:rPr>
        <w:t xml:space="preserve">treated patients including </w:t>
      </w:r>
      <w:r w:rsidR="00F36116" w:rsidRPr="008D4475">
        <w:rPr>
          <w:rFonts w:cs="Arial"/>
          <w:szCs w:val="22"/>
        </w:rPr>
        <w:t xml:space="preserve">1600 </w:t>
      </w:r>
      <w:r w:rsidRPr="008D4475">
        <w:rPr>
          <w:rFonts w:cs="Arial"/>
          <w:szCs w:val="22"/>
        </w:rPr>
        <w:t xml:space="preserve">with RA, 394 with </w:t>
      </w:r>
      <w:proofErr w:type="spellStart"/>
      <w:r w:rsidRPr="008D4475">
        <w:rPr>
          <w:rFonts w:cs="Arial"/>
          <w:szCs w:val="22"/>
        </w:rPr>
        <w:t>PsA</w:t>
      </w:r>
      <w:proofErr w:type="spellEnd"/>
      <w:r w:rsidRPr="008D4475">
        <w:rPr>
          <w:rFonts w:cs="Arial"/>
          <w:szCs w:val="22"/>
        </w:rPr>
        <w:t>, 353 with AS, and 231 with severe persistent asthma.</w:t>
      </w:r>
    </w:p>
    <w:p w:rsidR="00F561B6" w:rsidRDefault="00F561B6" w:rsidP="00C1166F">
      <w:pPr>
        <w:rPr>
          <w:rFonts w:cs="Arial"/>
          <w:szCs w:val="22"/>
        </w:rPr>
      </w:pPr>
      <w:r>
        <w:rPr>
          <w:rFonts w:cs="Arial"/>
          <w:szCs w:val="22"/>
        </w:rPr>
        <w:t>Table 5 summaris</w:t>
      </w:r>
      <w:r w:rsidR="00F36116" w:rsidRPr="008D4475">
        <w:rPr>
          <w:rFonts w:cs="Arial"/>
          <w:szCs w:val="22"/>
        </w:rPr>
        <w:t xml:space="preserve">es the adverse drug reactions that occurred at a rate equal to or higher than 1% in </w:t>
      </w:r>
      <w:r w:rsidR="00643BFB">
        <w:rPr>
          <w:rFonts w:cs="Arial"/>
          <w:szCs w:val="22"/>
        </w:rPr>
        <w:t>SIMPONI</w:t>
      </w:r>
      <w:r w:rsidR="00F36116" w:rsidRPr="008D4475">
        <w:rPr>
          <w:rFonts w:cs="Arial"/>
          <w:szCs w:val="22"/>
        </w:rPr>
        <w:t xml:space="preserve"> groups and at a frequency higher than the placebo group during the placebo-controlled period of the Phase 3 studies in RA, AS and </w:t>
      </w:r>
      <w:proofErr w:type="spellStart"/>
      <w:r w:rsidR="00F36116" w:rsidRPr="008D4475">
        <w:rPr>
          <w:rFonts w:cs="Arial"/>
          <w:szCs w:val="22"/>
        </w:rPr>
        <w:t>PsA</w:t>
      </w:r>
      <w:proofErr w:type="spellEnd"/>
      <w:r w:rsidR="00F36116" w:rsidRPr="008D4475">
        <w:rPr>
          <w:rFonts w:cs="Arial"/>
          <w:szCs w:val="22"/>
        </w:rPr>
        <w:t>, respectively</w:t>
      </w:r>
      <w:r w:rsidR="001324E6" w:rsidRPr="008D4475">
        <w:rPr>
          <w:rFonts w:cs="Arial"/>
          <w:szCs w:val="22"/>
        </w:rPr>
        <w:t xml:space="preserve"> (in 639 placebo and 1659 </w:t>
      </w:r>
      <w:proofErr w:type="spellStart"/>
      <w:r w:rsidR="001324E6" w:rsidRPr="008D4475">
        <w:rPr>
          <w:rFonts w:cs="Arial"/>
          <w:szCs w:val="22"/>
        </w:rPr>
        <w:t>golimumab</w:t>
      </w:r>
      <w:proofErr w:type="spellEnd"/>
      <w:r w:rsidR="001324E6" w:rsidRPr="008D4475">
        <w:rPr>
          <w:rFonts w:cs="Arial"/>
          <w:szCs w:val="22"/>
        </w:rPr>
        <w:t xml:space="preserve"> exposed patients)</w:t>
      </w:r>
      <w:r>
        <w:rPr>
          <w:rFonts w:cs="Arial"/>
          <w:szCs w:val="22"/>
        </w:rPr>
        <w:t>.</w:t>
      </w:r>
    </w:p>
    <w:p w:rsidR="00231BF2" w:rsidRPr="008D4475" w:rsidRDefault="00F36116" w:rsidP="00C1166F">
      <w:pPr>
        <w:rPr>
          <w:rFonts w:cs="Arial"/>
          <w:szCs w:val="22"/>
        </w:rPr>
      </w:pPr>
      <w:r w:rsidRPr="008D4475">
        <w:rPr>
          <w:rFonts w:cs="Arial"/>
          <w:szCs w:val="22"/>
        </w:rPr>
        <w:t xml:space="preserve">The proportion of patients who discontinued treatment due to adverse reactions in the controlled Phase 3 trials through Week 16 in RA, </w:t>
      </w:r>
      <w:proofErr w:type="spellStart"/>
      <w:r w:rsidRPr="008D4475">
        <w:rPr>
          <w:rFonts w:cs="Arial"/>
          <w:szCs w:val="22"/>
        </w:rPr>
        <w:t>PsA</w:t>
      </w:r>
      <w:proofErr w:type="spellEnd"/>
      <w:r w:rsidRPr="008D4475">
        <w:rPr>
          <w:rFonts w:cs="Arial"/>
          <w:szCs w:val="22"/>
        </w:rPr>
        <w:t xml:space="preserve">, and AS was 2% for </w:t>
      </w:r>
      <w:r w:rsidR="00643BFB">
        <w:rPr>
          <w:rFonts w:cs="Arial"/>
          <w:szCs w:val="22"/>
        </w:rPr>
        <w:t>SIMPONI</w:t>
      </w:r>
      <w:r w:rsidRPr="008D4475">
        <w:rPr>
          <w:rFonts w:cs="Arial"/>
          <w:szCs w:val="22"/>
        </w:rPr>
        <w:t xml:space="preserve">-treated patients and 3% for placebo-treated patients. The most common adverse reactions leading to discontinuation of </w:t>
      </w:r>
      <w:r w:rsidR="00643BFB">
        <w:rPr>
          <w:rFonts w:cs="Arial"/>
          <w:szCs w:val="22"/>
        </w:rPr>
        <w:t>SIMPONI</w:t>
      </w:r>
      <w:r w:rsidRPr="008D4475">
        <w:rPr>
          <w:rFonts w:cs="Arial"/>
          <w:szCs w:val="22"/>
        </w:rPr>
        <w:t xml:space="preserve"> in the controlled Phase 3 trials through Week 16 were sepsis (0.2%), </w:t>
      </w:r>
      <w:proofErr w:type="spellStart"/>
      <w:r w:rsidRPr="008D4475">
        <w:rPr>
          <w:rFonts w:cs="Arial"/>
          <w:szCs w:val="22"/>
        </w:rPr>
        <w:t>alanine</w:t>
      </w:r>
      <w:proofErr w:type="spellEnd"/>
      <w:r w:rsidRPr="008D4475">
        <w:rPr>
          <w:rFonts w:cs="Arial"/>
          <w:szCs w:val="22"/>
        </w:rPr>
        <w:t xml:space="preserve"> </w:t>
      </w:r>
      <w:proofErr w:type="spellStart"/>
      <w:r w:rsidRPr="008D4475">
        <w:rPr>
          <w:rFonts w:cs="Arial"/>
          <w:szCs w:val="22"/>
        </w:rPr>
        <w:t>aminotransferase</w:t>
      </w:r>
      <w:proofErr w:type="spellEnd"/>
      <w:r w:rsidRPr="008D4475">
        <w:rPr>
          <w:rFonts w:cs="Arial"/>
          <w:szCs w:val="22"/>
        </w:rPr>
        <w:t xml:space="preserve"> increased (0.2%), and </w:t>
      </w:r>
      <w:proofErr w:type="spellStart"/>
      <w:r w:rsidRPr="008D4475">
        <w:rPr>
          <w:rFonts w:cs="Arial"/>
          <w:szCs w:val="22"/>
        </w:rPr>
        <w:t>aspartate</w:t>
      </w:r>
      <w:proofErr w:type="spellEnd"/>
      <w:r w:rsidRPr="008D4475">
        <w:rPr>
          <w:rFonts w:cs="Arial"/>
          <w:szCs w:val="22"/>
        </w:rPr>
        <w:t xml:space="preserve"> </w:t>
      </w:r>
      <w:proofErr w:type="spellStart"/>
      <w:r w:rsidRPr="008D4475">
        <w:rPr>
          <w:rFonts w:cs="Arial"/>
          <w:szCs w:val="22"/>
        </w:rPr>
        <w:t>amin</w:t>
      </w:r>
      <w:r w:rsidR="00BD6AB1">
        <w:rPr>
          <w:rFonts w:cs="Arial"/>
          <w:szCs w:val="22"/>
        </w:rPr>
        <w:t>otransferase</w:t>
      </w:r>
      <w:proofErr w:type="spellEnd"/>
      <w:r w:rsidR="00BD6AB1">
        <w:rPr>
          <w:rFonts w:cs="Arial"/>
          <w:szCs w:val="22"/>
        </w:rPr>
        <w:t xml:space="preserve"> increased (0.2%).</w:t>
      </w:r>
    </w:p>
    <w:p w:rsidR="00C1166F" w:rsidRDefault="00231BF2" w:rsidP="00D61C86">
      <w:pPr>
        <w:pStyle w:val="Caption"/>
        <w:keepNext/>
        <w:spacing w:before="360" w:after="240"/>
        <w:rPr>
          <w:vertAlign w:val="superscript"/>
        </w:rPr>
      </w:pPr>
      <w:r w:rsidRPr="00D93940">
        <w:t xml:space="preserve">Table </w:t>
      </w:r>
      <w:fldSimple w:instr=" SEQ Table \* ARABIC ">
        <w:r w:rsidR="009154D5">
          <w:rPr>
            <w:noProof/>
          </w:rPr>
          <w:t>5</w:t>
        </w:r>
      </w:fldSimple>
      <w:r w:rsidRPr="00D93940">
        <w:t xml:space="preserve">: </w:t>
      </w:r>
      <w:r w:rsidR="00C1166F" w:rsidRPr="00D93940">
        <w:t xml:space="preserve">Adverse Drug Reactions Reported by ≥ 1% of Patients in the Phase 3 Trials of RA, </w:t>
      </w:r>
      <w:proofErr w:type="spellStart"/>
      <w:r w:rsidR="00C1166F" w:rsidRPr="00D93940">
        <w:t>PsA</w:t>
      </w:r>
      <w:proofErr w:type="spellEnd"/>
      <w:r w:rsidR="00C1166F" w:rsidRPr="00D93940">
        <w:t xml:space="preserve"> and AS through </w:t>
      </w:r>
      <w:r w:rsidR="009C6804" w:rsidRPr="00D93940">
        <w:t>week</w:t>
      </w:r>
      <w:r w:rsidR="00C1166F" w:rsidRPr="00D93940">
        <w:t xml:space="preserve"> 16</w:t>
      </w:r>
      <w:r w:rsidR="00C1166F" w:rsidRPr="00D93940">
        <w:rPr>
          <w:vertAlign w:val="superscript"/>
        </w:rPr>
        <w:t>a</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340"/>
        <w:gridCol w:w="2340"/>
      </w:tblGrid>
      <w:tr w:rsidR="0078221E" w:rsidRPr="00306ED4" w:rsidTr="00DC6C0D">
        <w:trPr>
          <w:tblHeader/>
          <w:jc w:val="center"/>
        </w:trPr>
        <w:tc>
          <w:tcPr>
            <w:tcW w:w="3888" w:type="dxa"/>
          </w:tcPr>
          <w:p w:rsidR="0078221E" w:rsidRPr="00306ED4" w:rsidRDefault="0078221E" w:rsidP="00306ED4">
            <w:pPr>
              <w:pStyle w:val="Normal-Table"/>
              <w:spacing w:before="0" w:after="0"/>
              <w:rPr>
                <w:sz w:val="22"/>
                <w:lang w:val="en-AU"/>
              </w:rPr>
            </w:pP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Placebo ± DMARDs</w:t>
            </w:r>
          </w:p>
          <w:p w:rsidR="0078221E" w:rsidRPr="00306ED4" w:rsidRDefault="0078221E" w:rsidP="00306ED4">
            <w:pPr>
              <w:pStyle w:val="Normal-Table"/>
              <w:spacing w:before="0" w:after="0"/>
              <w:jc w:val="center"/>
              <w:rPr>
                <w:sz w:val="22"/>
                <w:lang w:val="en-AU"/>
              </w:rPr>
            </w:pPr>
            <w:r w:rsidRPr="00306ED4">
              <w:rPr>
                <w:sz w:val="22"/>
                <w:lang w:val="en-AU"/>
              </w:rPr>
              <w:t>N=639</w:t>
            </w:r>
          </w:p>
        </w:tc>
        <w:tc>
          <w:tcPr>
            <w:tcW w:w="2340" w:type="dxa"/>
          </w:tcPr>
          <w:p w:rsidR="0078221E" w:rsidRPr="00306ED4" w:rsidRDefault="00643BFB" w:rsidP="00306ED4">
            <w:pPr>
              <w:pStyle w:val="Normal-Table"/>
              <w:spacing w:before="0" w:after="0"/>
              <w:jc w:val="center"/>
              <w:rPr>
                <w:sz w:val="22"/>
                <w:lang w:val="en-AU"/>
              </w:rPr>
            </w:pPr>
            <w:r w:rsidRPr="00306ED4">
              <w:rPr>
                <w:sz w:val="22"/>
                <w:lang w:val="en-AU"/>
              </w:rPr>
              <w:t>SIMPONI</w:t>
            </w:r>
            <w:r w:rsidR="0078221E" w:rsidRPr="00306ED4">
              <w:rPr>
                <w:sz w:val="22"/>
                <w:lang w:val="en-AU"/>
              </w:rPr>
              <w:t xml:space="preserve"> ± DMARDs</w:t>
            </w:r>
          </w:p>
          <w:p w:rsidR="0078221E" w:rsidRPr="00306ED4" w:rsidRDefault="0078221E" w:rsidP="00306ED4">
            <w:pPr>
              <w:pStyle w:val="Normal-Table"/>
              <w:spacing w:before="0" w:after="0"/>
              <w:jc w:val="center"/>
              <w:rPr>
                <w:sz w:val="22"/>
                <w:lang w:val="en-AU"/>
              </w:rPr>
            </w:pPr>
            <w:r w:rsidRPr="00306ED4">
              <w:rPr>
                <w:sz w:val="22"/>
                <w:lang w:val="en-AU"/>
              </w:rPr>
              <w:t>N=1659</w:t>
            </w:r>
          </w:p>
          <w:p w:rsidR="0078221E" w:rsidRPr="00306ED4" w:rsidRDefault="0078221E" w:rsidP="00306ED4">
            <w:pPr>
              <w:pStyle w:val="Normal-Table"/>
              <w:spacing w:before="0" w:after="0"/>
              <w:jc w:val="center"/>
              <w:rPr>
                <w:sz w:val="22"/>
                <w:lang w:val="en-AU"/>
              </w:rPr>
            </w:pP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Upper respiratory tract infection (</w:t>
            </w:r>
            <w:proofErr w:type="spellStart"/>
            <w:r w:rsidRPr="00306ED4">
              <w:rPr>
                <w:sz w:val="22"/>
                <w:lang w:val="en-AU"/>
              </w:rPr>
              <w:t>nasopharyngitis</w:t>
            </w:r>
            <w:proofErr w:type="spellEnd"/>
            <w:r w:rsidRPr="00306ED4">
              <w:rPr>
                <w:sz w:val="22"/>
                <w:lang w:val="en-AU"/>
              </w:rPr>
              <w:t xml:space="preserve">, </w:t>
            </w:r>
            <w:proofErr w:type="spellStart"/>
            <w:r w:rsidRPr="00306ED4">
              <w:rPr>
                <w:sz w:val="22"/>
                <w:lang w:val="en-AU"/>
              </w:rPr>
              <w:t>pharyngitis</w:t>
            </w:r>
            <w:proofErr w:type="spellEnd"/>
            <w:r w:rsidRPr="00306ED4">
              <w:rPr>
                <w:sz w:val="22"/>
                <w:lang w:val="en-AU"/>
              </w:rPr>
              <w:t>, laryngitis and rhinitis)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92 (14%)</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279 (17%)</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US"/>
              </w:rPr>
            </w:pPr>
            <w:r w:rsidRPr="00306ED4">
              <w:rPr>
                <w:sz w:val="22"/>
                <w:lang w:val="en-US"/>
              </w:rPr>
              <w:t xml:space="preserve">Bacterial infections (such as </w:t>
            </w:r>
            <w:proofErr w:type="spellStart"/>
            <w:r w:rsidRPr="00306ED4">
              <w:rPr>
                <w:sz w:val="22"/>
                <w:lang w:val="en-US"/>
              </w:rPr>
              <w:t>cellulitis</w:t>
            </w:r>
            <w:proofErr w:type="spellEnd"/>
            <w:r w:rsidRPr="00306ED4">
              <w:rPr>
                <w:sz w:val="22"/>
                <w:lang w:val="en-US"/>
              </w:rPr>
              <w:t>)</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6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24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US"/>
              </w:rPr>
            </w:pPr>
            <w:r w:rsidRPr="00306ED4">
              <w:rPr>
                <w:sz w:val="22"/>
                <w:lang w:val="en-US"/>
              </w:rPr>
              <w:t>Viral infections (such as influenza and herpes)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20 (3%)</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75 (5%)</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US"/>
              </w:rPr>
            </w:pPr>
            <w:r w:rsidRPr="00306ED4">
              <w:rPr>
                <w:sz w:val="22"/>
                <w:lang w:val="en-US"/>
              </w:rPr>
              <w:t>Bronchitis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9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31 (2%)</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Sinusitis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8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27 (2%)</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Superficial fungal infections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8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31 (2%)</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An</w:t>
            </w:r>
            <w:r w:rsidR="00650094" w:rsidRPr="00306ED4">
              <w:rPr>
                <w:sz w:val="22"/>
                <w:lang w:val="en-AU"/>
              </w:rPr>
              <w:t>a</w:t>
            </w:r>
            <w:r w:rsidRPr="00306ED4">
              <w:rPr>
                <w:sz w:val="22"/>
                <w:lang w:val="en-AU"/>
              </w:rPr>
              <w:t>emia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6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20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Allergic reactions (</w:t>
            </w:r>
            <w:proofErr w:type="spellStart"/>
            <w:r w:rsidRPr="00306ED4">
              <w:rPr>
                <w:sz w:val="22"/>
                <w:lang w:val="en-AU"/>
              </w:rPr>
              <w:t>br</w:t>
            </w:r>
            <w:r w:rsidR="00650094" w:rsidRPr="00306ED4">
              <w:rPr>
                <w:sz w:val="22"/>
                <w:lang w:val="en-AU"/>
              </w:rPr>
              <w:t>onchospasm</w:t>
            </w:r>
            <w:proofErr w:type="spellEnd"/>
            <w:r w:rsidR="00650094" w:rsidRPr="00306ED4">
              <w:rPr>
                <w:sz w:val="22"/>
                <w:lang w:val="en-AU"/>
              </w:rPr>
              <w:t xml:space="preserve">, hypersensitivity, </w:t>
            </w:r>
            <w:proofErr w:type="spellStart"/>
            <w:r w:rsidR="00650094" w:rsidRPr="00306ED4">
              <w:rPr>
                <w:sz w:val="22"/>
                <w:lang w:val="en-AU"/>
              </w:rPr>
              <w:t>u</w:t>
            </w:r>
            <w:r w:rsidRPr="00306ED4">
              <w:rPr>
                <w:sz w:val="22"/>
                <w:lang w:val="en-AU"/>
              </w:rPr>
              <w:t>rticaria</w:t>
            </w:r>
            <w:proofErr w:type="spellEnd"/>
            <w:r w:rsidRPr="00306ED4">
              <w:rPr>
                <w:sz w:val="22"/>
                <w:lang w:val="en-AU"/>
              </w:rPr>
              <w:t>)</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24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Depression</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6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18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Insomnia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22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Dizziness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8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33 (2%)</w:t>
            </w:r>
          </w:p>
        </w:tc>
      </w:tr>
      <w:tr w:rsidR="0078221E" w:rsidRPr="00306ED4" w:rsidTr="00DC6C0D">
        <w:trPr>
          <w:jc w:val="center"/>
        </w:trPr>
        <w:tc>
          <w:tcPr>
            <w:tcW w:w="3888" w:type="dxa"/>
          </w:tcPr>
          <w:p w:rsidR="0078221E" w:rsidRPr="00306ED4" w:rsidRDefault="00650094" w:rsidP="00306ED4">
            <w:pPr>
              <w:pStyle w:val="Normal-Table"/>
              <w:spacing w:before="0" w:after="0"/>
              <w:jc w:val="left"/>
              <w:rPr>
                <w:sz w:val="22"/>
                <w:lang w:val="en-AU"/>
              </w:rPr>
            </w:pPr>
            <w:proofErr w:type="spellStart"/>
            <w:r w:rsidRPr="00306ED4">
              <w:rPr>
                <w:sz w:val="22"/>
                <w:lang w:val="en-AU"/>
              </w:rPr>
              <w:t>Parae</w:t>
            </w:r>
            <w:r w:rsidR="0078221E" w:rsidRPr="00306ED4">
              <w:rPr>
                <w:sz w:val="22"/>
                <w:lang w:val="en-AU"/>
              </w:rPr>
              <w:t>sthesia</w:t>
            </w:r>
            <w:proofErr w:type="spellEnd"/>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27 (2%)</w:t>
            </w:r>
          </w:p>
        </w:tc>
      </w:tr>
      <w:tr w:rsidR="0078221E" w:rsidRPr="00306ED4" w:rsidTr="00DC6C0D">
        <w:trPr>
          <w:trHeight w:val="71"/>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Headache</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36 (6%)</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75 (5%)</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Hypertension</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10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51 (3%)</w:t>
            </w:r>
          </w:p>
        </w:tc>
      </w:tr>
      <w:tr w:rsidR="0078221E" w:rsidRPr="00306ED4" w:rsidTr="00DC6C0D">
        <w:trPr>
          <w:jc w:val="center"/>
        </w:trPr>
        <w:tc>
          <w:tcPr>
            <w:tcW w:w="3888" w:type="dxa"/>
          </w:tcPr>
          <w:p w:rsidR="0078221E" w:rsidRPr="00306ED4" w:rsidRDefault="00F561B6" w:rsidP="00306ED4">
            <w:pPr>
              <w:pStyle w:val="Normal-Table"/>
              <w:tabs>
                <w:tab w:val="left" w:pos="1358"/>
              </w:tabs>
              <w:spacing w:before="0" w:after="0"/>
              <w:rPr>
                <w:sz w:val="22"/>
                <w:lang w:val="en-AU"/>
              </w:rPr>
            </w:pPr>
            <w:r w:rsidRPr="00306ED4">
              <w:rPr>
                <w:sz w:val="22"/>
                <w:lang w:val="en-AU"/>
              </w:rPr>
              <w:t>Constipation</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 (0%)</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18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Dyspepsia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10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38 (2%)</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Gastrointestinal and abdominal pain</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17 (3%)</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56 (3%)</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proofErr w:type="spellStart"/>
            <w:r w:rsidRPr="00306ED4">
              <w:rPr>
                <w:sz w:val="22"/>
                <w:lang w:val="en-AU"/>
              </w:rPr>
              <w:lastRenderedPageBreak/>
              <w:t>Alanine</w:t>
            </w:r>
            <w:proofErr w:type="spellEnd"/>
            <w:r w:rsidRPr="00306ED4">
              <w:rPr>
                <w:sz w:val="22"/>
                <w:lang w:val="en-AU"/>
              </w:rPr>
              <w:t xml:space="preserve"> </w:t>
            </w:r>
            <w:proofErr w:type="spellStart"/>
            <w:r w:rsidRPr="00306ED4">
              <w:rPr>
                <w:sz w:val="22"/>
                <w:lang w:val="en-AU"/>
              </w:rPr>
              <w:t>aminotransferase</w:t>
            </w:r>
            <w:proofErr w:type="spellEnd"/>
            <w:r w:rsidRPr="00306ED4">
              <w:rPr>
                <w:sz w:val="22"/>
                <w:lang w:val="en-AU"/>
              </w:rPr>
              <w:t xml:space="preserve"> increased</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18 (3%)</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58 (4%)</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proofErr w:type="spellStart"/>
            <w:r w:rsidRPr="00306ED4">
              <w:rPr>
                <w:sz w:val="22"/>
                <w:lang w:val="en-AU"/>
              </w:rPr>
              <w:t>Aspartate</w:t>
            </w:r>
            <w:proofErr w:type="spellEnd"/>
            <w:r w:rsidRPr="00306ED4">
              <w:rPr>
                <w:sz w:val="22"/>
                <w:lang w:val="en-AU"/>
              </w:rPr>
              <w:t xml:space="preserve"> </w:t>
            </w:r>
            <w:proofErr w:type="spellStart"/>
            <w:r w:rsidRPr="00306ED4">
              <w:rPr>
                <w:sz w:val="22"/>
                <w:lang w:val="en-AU"/>
              </w:rPr>
              <w:t>aminotransferase</w:t>
            </w:r>
            <w:proofErr w:type="spellEnd"/>
            <w:r w:rsidRPr="00306ED4">
              <w:rPr>
                <w:sz w:val="22"/>
                <w:lang w:val="en-AU"/>
              </w:rPr>
              <w:t xml:space="preserve"> increased</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10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44 (3%)</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Alopecia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4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18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Dermatitis</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17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proofErr w:type="spellStart"/>
            <w:r w:rsidRPr="00306ED4">
              <w:rPr>
                <w:sz w:val="22"/>
                <w:lang w:val="en-AU"/>
              </w:rPr>
              <w:t>Pruritus</w:t>
            </w:r>
            <w:proofErr w:type="spellEnd"/>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10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33 (2%)</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Rash</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15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48 (3%)</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Pyrexia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4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20 (1%)</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Asthenia</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22 (3%)</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70 (4%)</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AU"/>
              </w:rPr>
            </w:pPr>
            <w:r w:rsidRPr="00306ED4">
              <w:rPr>
                <w:sz w:val="22"/>
                <w:lang w:val="en-AU"/>
              </w:rPr>
              <w:t xml:space="preserve">Injection site reaction (such as injection site </w:t>
            </w:r>
            <w:proofErr w:type="spellStart"/>
            <w:r w:rsidRPr="00306ED4">
              <w:rPr>
                <w:sz w:val="22"/>
                <w:lang w:val="en-AU"/>
              </w:rPr>
              <w:t>erythema</w:t>
            </w:r>
            <w:proofErr w:type="spellEnd"/>
            <w:r w:rsidRPr="00306ED4">
              <w:rPr>
                <w:sz w:val="22"/>
                <w:lang w:val="en-AU"/>
              </w:rPr>
              <w:t xml:space="preserve">, </w:t>
            </w:r>
            <w:proofErr w:type="spellStart"/>
            <w:r w:rsidRPr="00306ED4">
              <w:rPr>
                <w:sz w:val="22"/>
                <w:lang w:val="en-AU"/>
              </w:rPr>
              <w:t>urticaria</w:t>
            </w:r>
            <w:proofErr w:type="spellEnd"/>
            <w:r w:rsidRPr="00306ED4">
              <w:rPr>
                <w:sz w:val="22"/>
                <w:lang w:val="en-AU"/>
              </w:rPr>
              <w:t xml:space="preserve">, </w:t>
            </w:r>
            <w:proofErr w:type="spellStart"/>
            <w:r w:rsidRPr="00306ED4">
              <w:rPr>
                <w:sz w:val="22"/>
                <w:lang w:val="en-AU"/>
              </w:rPr>
              <w:t>induration</w:t>
            </w:r>
            <w:proofErr w:type="spellEnd"/>
            <w:r w:rsidRPr="00306ED4">
              <w:rPr>
                <w:sz w:val="22"/>
                <w:lang w:val="en-AU"/>
              </w:rPr>
              <w:t xml:space="preserve">, pain, bruising, </w:t>
            </w:r>
            <w:proofErr w:type="spellStart"/>
            <w:r w:rsidRPr="00306ED4">
              <w:rPr>
                <w:sz w:val="22"/>
                <w:lang w:val="en-AU"/>
              </w:rPr>
              <w:t>pruritus</w:t>
            </w:r>
            <w:proofErr w:type="spellEnd"/>
            <w:r w:rsidRPr="00306ED4">
              <w:rPr>
                <w:sz w:val="22"/>
                <w:lang w:val="en-AU"/>
              </w:rPr>
              <w:t xml:space="preserve">, irritation and </w:t>
            </w:r>
            <w:proofErr w:type="spellStart"/>
            <w:r w:rsidRPr="00306ED4">
              <w:rPr>
                <w:sz w:val="22"/>
                <w:lang w:val="en-AU"/>
              </w:rPr>
              <w:t>paraesthesia</w:t>
            </w:r>
            <w:proofErr w:type="spellEnd"/>
            <w:r w:rsidRPr="00306ED4">
              <w:rPr>
                <w:sz w:val="22"/>
                <w:lang w:val="en-AU"/>
              </w:rPr>
              <w:t>)</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14 (2%)</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97 (6%)</w:t>
            </w:r>
          </w:p>
        </w:tc>
      </w:tr>
      <w:tr w:rsidR="0078221E" w:rsidRPr="00306ED4" w:rsidTr="00DC6C0D">
        <w:trPr>
          <w:jc w:val="center"/>
        </w:trPr>
        <w:tc>
          <w:tcPr>
            <w:tcW w:w="3888" w:type="dxa"/>
          </w:tcPr>
          <w:p w:rsidR="0078221E" w:rsidRPr="00306ED4" w:rsidRDefault="0078221E" w:rsidP="00306ED4">
            <w:pPr>
              <w:pStyle w:val="Normal-Table"/>
              <w:spacing w:before="0" w:after="0"/>
              <w:jc w:val="left"/>
              <w:rPr>
                <w:sz w:val="22"/>
                <w:lang w:val="en-US"/>
              </w:rPr>
            </w:pPr>
            <w:r w:rsidRPr="00306ED4">
              <w:rPr>
                <w:sz w:val="22"/>
                <w:lang w:val="en-US"/>
              </w:rPr>
              <w:t>Chest discomfort</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7 (1%)</w:t>
            </w:r>
          </w:p>
        </w:tc>
        <w:tc>
          <w:tcPr>
            <w:tcW w:w="2340" w:type="dxa"/>
          </w:tcPr>
          <w:p w:rsidR="0078221E" w:rsidRPr="00306ED4" w:rsidRDefault="0078221E" w:rsidP="00306ED4">
            <w:pPr>
              <w:pStyle w:val="Normal-Table"/>
              <w:spacing w:before="0" w:after="0"/>
              <w:jc w:val="center"/>
              <w:rPr>
                <w:sz w:val="22"/>
                <w:lang w:val="en-AU"/>
              </w:rPr>
            </w:pPr>
            <w:r w:rsidRPr="00306ED4">
              <w:rPr>
                <w:sz w:val="22"/>
                <w:lang w:val="en-AU"/>
              </w:rPr>
              <w:t>17 (1%)</w:t>
            </w:r>
          </w:p>
        </w:tc>
      </w:tr>
      <w:tr w:rsidR="0078221E" w:rsidRPr="00306ED4" w:rsidTr="00DC6C0D">
        <w:trPr>
          <w:jc w:val="center"/>
        </w:trPr>
        <w:tc>
          <w:tcPr>
            <w:tcW w:w="8568" w:type="dxa"/>
            <w:gridSpan w:val="3"/>
          </w:tcPr>
          <w:p w:rsidR="00215E46" w:rsidRPr="00306ED4" w:rsidRDefault="0078221E" w:rsidP="00306ED4">
            <w:pPr>
              <w:pStyle w:val="Normal-Table"/>
              <w:spacing w:before="0" w:after="0"/>
              <w:rPr>
                <w:szCs w:val="20"/>
                <w:lang w:val="en-AU"/>
              </w:rPr>
            </w:pPr>
            <w:r w:rsidRPr="00306ED4">
              <w:rPr>
                <w:szCs w:val="20"/>
                <w:lang w:val="en-AU"/>
              </w:rPr>
              <w:t xml:space="preserve">a: Patients may have taken concomitant MTX, </w:t>
            </w:r>
            <w:proofErr w:type="spellStart"/>
            <w:r w:rsidRPr="00306ED4">
              <w:rPr>
                <w:szCs w:val="20"/>
                <w:lang w:val="en-AU"/>
              </w:rPr>
              <w:t>sulfasalazine</w:t>
            </w:r>
            <w:proofErr w:type="spellEnd"/>
            <w:r w:rsidRPr="00306ED4">
              <w:rPr>
                <w:szCs w:val="20"/>
                <w:lang w:val="en-AU"/>
              </w:rPr>
              <w:t xml:space="preserve">, </w:t>
            </w:r>
            <w:proofErr w:type="spellStart"/>
            <w:r w:rsidRPr="00306ED4">
              <w:rPr>
                <w:szCs w:val="20"/>
                <w:lang w:val="en-AU"/>
              </w:rPr>
              <w:t>hydroxychloroquine</w:t>
            </w:r>
            <w:proofErr w:type="spellEnd"/>
            <w:r w:rsidRPr="00306ED4">
              <w:rPr>
                <w:szCs w:val="20"/>
                <w:lang w:val="en-AU"/>
              </w:rPr>
              <w:t>, low dose corticosteroids (≤ 10 mg of prednisone/day or equivalent), and/or NSAIDs during the trials).</w:t>
            </w:r>
          </w:p>
        </w:tc>
      </w:tr>
    </w:tbl>
    <w:p w:rsidR="00F561B6" w:rsidRDefault="0078221E" w:rsidP="00306ED4">
      <w:pPr>
        <w:pStyle w:val="Heading3"/>
      </w:pPr>
      <w:r w:rsidRPr="00B151C8">
        <w:t>Less common clinical trial adverse drug reactions (&lt;1%)</w:t>
      </w:r>
    </w:p>
    <w:p w:rsidR="0078221E" w:rsidRPr="00F561B6" w:rsidRDefault="0078221E" w:rsidP="00F561B6">
      <w:pPr>
        <w:pStyle w:val="PI-Header3"/>
        <w:rPr>
          <w:u w:val="none"/>
        </w:rPr>
      </w:pPr>
      <w:r w:rsidRPr="00F561B6">
        <w:rPr>
          <w:u w:val="none"/>
        </w:rPr>
        <w:t xml:space="preserve">Adverse drug reactions that occurred at rates less than 1% during the </w:t>
      </w:r>
      <w:r w:rsidR="00643BFB" w:rsidRPr="00F561B6">
        <w:rPr>
          <w:u w:val="none"/>
        </w:rPr>
        <w:t>SIMPONI</w:t>
      </w:r>
      <w:r w:rsidRPr="00F561B6">
        <w:rPr>
          <w:u w:val="none"/>
        </w:rPr>
        <w:t xml:space="preserve"> clinical trials included the following event</w:t>
      </w:r>
      <w:r w:rsidR="00F561B6">
        <w:rPr>
          <w:u w:val="none"/>
        </w:rPr>
        <w:t>s listed by system organ class:</w:t>
      </w:r>
    </w:p>
    <w:p w:rsidR="0078221E" w:rsidRPr="00904082" w:rsidRDefault="0078221E" w:rsidP="0078221E">
      <w:pPr>
        <w:tabs>
          <w:tab w:val="left" w:pos="2880"/>
        </w:tabs>
        <w:rPr>
          <w:szCs w:val="22"/>
        </w:rPr>
      </w:pPr>
      <w:r w:rsidRPr="00F561B6">
        <w:rPr>
          <w:i/>
          <w:szCs w:val="22"/>
        </w:rPr>
        <w:t>Infections and infestations:</w:t>
      </w:r>
      <w:r w:rsidR="00F561B6">
        <w:rPr>
          <w:i/>
          <w:szCs w:val="22"/>
        </w:rPr>
        <w:t xml:space="preserve"> </w:t>
      </w:r>
      <w:r w:rsidRPr="00904082">
        <w:rPr>
          <w:szCs w:val="22"/>
          <w:lang w:val="en-GB"/>
        </w:rPr>
        <w:t>Septic shock, sepsis, tuberculosis, lower respiratory tract infection (such as pneumonia), opportunistic infections (such as invasive fungal infections [</w:t>
      </w:r>
      <w:proofErr w:type="spellStart"/>
      <w:r w:rsidRPr="00904082">
        <w:rPr>
          <w:szCs w:val="22"/>
          <w:lang w:val="en-GB"/>
        </w:rPr>
        <w:t>histoplasmosis</w:t>
      </w:r>
      <w:proofErr w:type="spellEnd"/>
      <w:r w:rsidRPr="00904082">
        <w:rPr>
          <w:szCs w:val="22"/>
          <w:lang w:val="en-GB"/>
        </w:rPr>
        <w:t xml:space="preserve">, </w:t>
      </w:r>
      <w:proofErr w:type="spellStart"/>
      <w:r w:rsidRPr="00904082">
        <w:rPr>
          <w:szCs w:val="22"/>
          <w:lang w:val="en-GB"/>
        </w:rPr>
        <w:t>coccidioidomycosis</w:t>
      </w:r>
      <w:proofErr w:type="spellEnd"/>
      <w:r w:rsidRPr="00904082">
        <w:rPr>
          <w:szCs w:val="22"/>
          <w:lang w:val="en-GB"/>
        </w:rPr>
        <w:t xml:space="preserve">, </w:t>
      </w:r>
      <w:proofErr w:type="spellStart"/>
      <w:r w:rsidRPr="00904082">
        <w:rPr>
          <w:szCs w:val="22"/>
          <w:lang w:val="en-GB"/>
        </w:rPr>
        <w:t>pneumocytosis</w:t>
      </w:r>
      <w:proofErr w:type="spellEnd"/>
      <w:r w:rsidRPr="00904082">
        <w:rPr>
          <w:szCs w:val="22"/>
          <w:lang w:val="en-GB"/>
        </w:rPr>
        <w:t xml:space="preserve">], bacterial, atypical </w:t>
      </w:r>
      <w:proofErr w:type="spellStart"/>
      <w:r w:rsidRPr="00904082">
        <w:rPr>
          <w:szCs w:val="22"/>
          <w:lang w:val="en-GB"/>
        </w:rPr>
        <w:t>mycobacterial</w:t>
      </w:r>
      <w:proofErr w:type="spellEnd"/>
      <w:r w:rsidRPr="00904082">
        <w:rPr>
          <w:szCs w:val="22"/>
          <w:lang w:val="en-GB"/>
        </w:rPr>
        <w:t xml:space="preserve"> infection and </w:t>
      </w:r>
      <w:proofErr w:type="spellStart"/>
      <w:r w:rsidRPr="00904082">
        <w:rPr>
          <w:szCs w:val="22"/>
          <w:lang w:val="en-GB"/>
        </w:rPr>
        <w:t>protozoal</w:t>
      </w:r>
      <w:proofErr w:type="spellEnd"/>
      <w:r w:rsidRPr="00904082">
        <w:rPr>
          <w:szCs w:val="22"/>
          <w:lang w:val="en-GB"/>
        </w:rPr>
        <w:t xml:space="preserve">), </w:t>
      </w:r>
      <w:proofErr w:type="spellStart"/>
      <w:r w:rsidRPr="00904082">
        <w:rPr>
          <w:szCs w:val="22"/>
          <w:lang w:val="en-GB"/>
        </w:rPr>
        <w:t>pyelonephritis</w:t>
      </w:r>
      <w:proofErr w:type="spellEnd"/>
      <w:r w:rsidRPr="00904082">
        <w:rPr>
          <w:szCs w:val="22"/>
          <w:lang w:val="en-GB"/>
        </w:rPr>
        <w:t>, abscess, arthritis bacterial, bursitis infective, Hepatitis B reactivation</w:t>
      </w:r>
    </w:p>
    <w:p w:rsidR="0078221E" w:rsidRPr="00904082" w:rsidRDefault="0078221E" w:rsidP="0078221E">
      <w:pPr>
        <w:tabs>
          <w:tab w:val="left" w:pos="2880"/>
        </w:tabs>
        <w:rPr>
          <w:szCs w:val="22"/>
        </w:rPr>
      </w:pPr>
      <w:proofErr w:type="spellStart"/>
      <w:r w:rsidRPr="00F561B6">
        <w:rPr>
          <w:i/>
          <w:szCs w:val="22"/>
        </w:rPr>
        <w:t>Neoplasms</w:t>
      </w:r>
      <w:proofErr w:type="spellEnd"/>
      <w:r w:rsidRPr="00F561B6">
        <w:rPr>
          <w:i/>
          <w:szCs w:val="22"/>
        </w:rPr>
        <w:t xml:space="preserve"> ben</w:t>
      </w:r>
      <w:r w:rsidR="00F561B6" w:rsidRPr="00F561B6">
        <w:rPr>
          <w:i/>
          <w:szCs w:val="22"/>
        </w:rPr>
        <w:t>ign, malignant and unspecified:</w:t>
      </w:r>
      <w:r w:rsidR="00F561B6">
        <w:rPr>
          <w:iCs/>
          <w:szCs w:val="22"/>
        </w:rPr>
        <w:t xml:space="preserve"> </w:t>
      </w:r>
      <w:proofErr w:type="spellStart"/>
      <w:r w:rsidRPr="00904082">
        <w:rPr>
          <w:iCs/>
          <w:szCs w:val="22"/>
          <w:lang w:val="en-GB"/>
        </w:rPr>
        <w:t>Neoplasms</w:t>
      </w:r>
      <w:proofErr w:type="spellEnd"/>
      <w:r w:rsidRPr="00904082">
        <w:rPr>
          <w:iCs/>
          <w:szCs w:val="22"/>
          <w:lang w:val="en-GB"/>
        </w:rPr>
        <w:t xml:space="preserve"> (such as skin cancer, </w:t>
      </w:r>
      <w:proofErr w:type="spellStart"/>
      <w:r w:rsidRPr="00904082">
        <w:rPr>
          <w:iCs/>
          <w:szCs w:val="22"/>
          <w:lang w:val="en-GB"/>
        </w:rPr>
        <w:t>squamous</w:t>
      </w:r>
      <w:proofErr w:type="spellEnd"/>
      <w:r w:rsidRPr="00904082">
        <w:rPr>
          <w:iCs/>
          <w:szCs w:val="22"/>
          <w:lang w:val="en-GB"/>
        </w:rPr>
        <w:t xml:space="preserve"> cell carcinoma and </w:t>
      </w:r>
      <w:proofErr w:type="spellStart"/>
      <w:r w:rsidRPr="00904082">
        <w:rPr>
          <w:iCs/>
          <w:szCs w:val="22"/>
          <w:lang w:val="en-GB"/>
        </w:rPr>
        <w:t>melanocytic</w:t>
      </w:r>
      <w:proofErr w:type="spellEnd"/>
      <w:r w:rsidRPr="00904082">
        <w:rPr>
          <w:iCs/>
          <w:szCs w:val="22"/>
          <w:lang w:val="en-GB"/>
        </w:rPr>
        <w:t xml:space="preserve"> </w:t>
      </w:r>
      <w:proofErr w:type="spellStart"/>
      <w:r w:rsidRPr="00904082">
        <w:rPr>
          <w:iCs/>
          <w:szCs w:val="22"/>
          <w:lang w:val="en-GB"/>
        </w:rPr>
        <w:t>naevus</w:t>
      </w:r>
      <w:proofErr w:type="spellEnd"/>
      <w:r w:rsidRPr="00904082">
        <w:rPr>
          <w:iCs/>
          <w:szCs w:val="22"/>
          <w:lang w:val="en-GB"/>
        </w:rPr>
        <w:t>),</w:t>
      </w:r>
      <w:r w:rsidRPr="00904082">
        <w:rPr>
          <w:szCs w:val="22"/>
        </w:rPr>
        <w:t xml:space="preserve"> lymphoma, </w:t>
      </w:r>
      <w:r w:rsidR="00ED3372">
        <w:rPr>
          <w:szCs w:val="22"/>
        </w:rPr>
        <w:t>leuk</w:t>
      </w:r>
      <w:r w:rsidR="008130BF">
        <w:rPr>
          <w:szCs w:val="22"/>
        </w:rPr>
        <w:t>a</w:t>
      </w:r>
      <w:r w:rsidR="00ED3372">
        <w:rPr>
          <w:szCs w:val="22"/>
        </w:rPr>
        <w:t xml:space="preserve">emia, </w:t>
      </w:r>
      <w:r w:rsidRPr="00904082">
        <w:rPr>
          <w:szCs w:val="22"/>
        </w:rPr>
        <w:t xml:space="preserve">paediatric malignancy*, </w:t>
      </w:r>
    </w:p>
    <w:p w:rsidR="0078221E" w:rsidRPr="00904082" w:rsidRDefault="0078221E" w:rsidP="0078221E">
      <w:pPr>
        <w:tabs>
          <w:tab w:val="left" w:pos="2880"/>
        </w:tabs>
        <w:rPr>
          <w:szCs w:val="22"/>
        </w:rPr>
      </w:pPr>
      <w:r w:rsidRPr="00F561B6">
        <w:rPr>
          <w:i/>
          <w:iCs/>
          <w:szCs w:val="22"/>
        </w:rPr>
        <w:t>Investigations</w:t>
      </w:r>
      <w:r w:rsidRPr="00904082">
        <w:rPr>
          <w:szCs w:val="22"/>
        </w:rPr>
        <w:t xml:space="preserve">: </w:t>
      </w:r>
      <w:proofErr w:type="spellStart"/>
      <w:r w:rsidRPr="00904082">
        <w:rPr>
          <w:szCs w:val="22"/>
        </w:rPr>
        <w:t>Neutrophil</w:t>
      </w:r>
      <w:proofErr w:type="spellEnd"/>
      <w:r w:rsidRPr="00904082">
        <w:rPr>
          <w:szCs w:val="22"/>
        </w:rPr>
        <w:t xml:space="preserve"> count decreased</w:t>
      </w:r>
    </w:p>
    <w:p w:rsidR="0078221E" w:rsidRPr="00904082" w:rsidRDefault="0078221E" w:rsidP="0078221E">
      <w:pPr>
        <w:tabs>
          <w:tab w:val="left" w:pos="2880"/>
        </w:tabs>
        <w:rPr>
          <w:szCs w:val="22"/>
          <w:lang w:val="en-GB"/>
        </w:rPr>
      </w:pPr>
      <w:r w:rsidRPr="00F561B6">
        <w:rPr>
          <w:i/>
          <w:iCs/>
          <w:szCs w:val="22"/>
        </w:rPr>
        <w:t>Blood and lymphatic system disorders</w:t>
      </w:r>
      <w:r w:rsidRPr="00904082">
        <w:rPr>
          <w:szCs w:val="22"/>
        </w:rPr>
        <w:t xml:space="preserve">: </w:t>
      </w:r>
      <w:proofErr w:type="spellStart"/>
      <w:r w:rsidRPr="00904082">
        <w:rPr>
          <w:szCs w:val="22"/>
          <w:lang w:val="en-GB"/>
        </w:rPr>
        <w:t>Leukop</w:t>
      </w:r>
      <w:r w:rsidR="00F561B6">
        <w:rPr>
          <w:szCs w:val="22"/>
          <w:lang w:val="en-GB"/>
        </w:rPr>
        <w:t>a</w:t>
      </w:r>
      <w:r w:rsidRPr="00904082">
        <w:rPr>
          <w:szCs w:val="22"/>
          <w:lang w:val="en-GB"/>
        </w:rPr>
        <w:t>enia</w:t>
      </w:r>
      <w:proofErr w:type="spellEnd"/>
      <w:r w:rsidRPr="00904082">
        <w:rPr>
          <w:szCs w:val="22"/>
          <w:lang w:val="en-GB"/>
        </w:rPr>
        <w:t xml:space="preserve">, </w:t>
      </w:r>
      <w:proofErr w:type="spellStart"/>
      <w:r w:rsidRPr="00904082">
        <w:rPr>
          <w:szCs w:val="22"/>
          <w:lang w:val="en-GB"/>
        </w:rPr>
        <w:t>thrombocytop</w:t>
      </w:r>
      <w:r w:rsidR="00F561B6">
        <w:rPr>
          <w:szCs w:val="22"/>
          <w:lang w:val="en-GB"/>
        </w:rPr>
        <w:t>a</w:t>
      </w:r>
      <w:r w:rsidRPr="00904082">
        <w:rPr>
          <w:szCs w:val="22"/>
          <w:lang w:val="en-GB"/>
        </w:rPr>
        <w:t>enia</w:t>
      </w:r>
      <w:proofErr w:type="spellEnd"/>
      <w:r w:rsidRPr="00904082">
        <w:rPr>
          <w:szCs w:val="22"/>
          <w:lang w:val="en-GB"/>
        </w:rPr>
        <w:t xml:space="preserve">, </w:t>
      </w:r>
      <w:proofErr w:type="spellStart"/>
      <w:r w:rsidRPr="00904082">
        <w:rPr>
          <w:szCs w:val="22"/>
          <w:lang w:val="en-GB"/>
        </w:rPr>
        <w:t>pancytop</w:t>
      </w:r>
      <w:r w:rsidR="00F561B6">
        <w:rPr>
          <w:szCs w:val="22"/>
          <w:lang w:val="en-GB"/>
        </w:rPr>
        <w:t>a</w:t>
      </w:r>
      <w:r w:rsidRPr="00904082">
        <w:rPr>
          <w:szCs w:val="22"/>
          <w:lang w:val="en-GB"/>
        </w:rPr>
        <w:t>enia</w:t>
      </w:r>
      <w:proofErr w:type="spellEnd"/>
      <w:r w:rsidRPr="00904082">
        <w:rPr>
          <w:szCs w:val="22"/>
          <w:lang w:val="en-GB"/>
        </w:rPr>
        <w:t xml:space="preserve">, </w:t>
      </w:r>
      <w:proofErr w:type="spellStart"/>
      <w:r w:rsidRPr="00904082">
        <w:rPr>
          <w:szCs w:val="22"/>
          <w:lang w:val="en-GB"/>
        </w:rPr>
        <w:t>aplastic</w:t>
      </w:r>
      <w:proofErr w:type="spellEnd"/>
      <w:r w:rsidRPr="00904082">
        <w:rPr>
          <w:szCs w:val="22"/>
          <w:lang w:val="en-GB"/>
        </w:rPr>
        <w:t xml:space="preserve"> an</w:t>
      </w:r>
      <w:r w:rsidR="00F561B6">
        <w:rPr>
          <w:szCs w:val="22"/>
          <w:lang w:val="en-GB"/>
        </w:rPr>
        <w:t>a</w:t>
      </w:r>
      <w:r w:rsidRPr="00904082">
        <w:rPr>
          <w:szCs w:val="22"/>
          <w:lang w:val="en-GB"/>
        </w:rPr>
        <w:t>emia*</w:t>
      </w:r>
    </w:p>
    <w:p w:rsidR="0078221E" w:rsidRPr="00904082" w:rsidRDefault="0078221E" w:rsidP="0078221E">
      <w:pPr>
        <w:tabs>
          <w:tab w:val="left" w:pos="2880"/>
        </w:tabs>
        <w:rPr>
          <w:szCs w:val="22"/>
          <w:lang w:val="en-GB"/>
        </w:rPr>
      </w:pPr>
      <w:r w:rsidRPr="005B1CE8">
        <w:rPr>
          <w:i/>
          <w:iCs/>
          <w:szCs w:val="22"/>
          <w:lang w:val="en-GB"/>
        </w:rPr>
        <w:t>Endocrine disorders</w:t>
      </w:r>
      <w:r w:rsidRPr="00904082">
        <w:rPr>
          <w:szCs w:val="22"/>
          <w:lang w:val="en-GB"/>
        </w:rPr>
        <w:t>: Thyroid disorder (such as hypothyroidism, hyperthyroidism and goit</w:t>
      </w:r>
      <w:r w:rsidR="005B1CE8">
        <w:rPr>
          <w:szCs w:val="22"/>
          <w:lang w:val="en-GB"/>
        </w:rPr>
        <w:t>r</w:t>
      </w:r>
      <w:r w:rsidRPr="00904082">
        <w:rPr>
          <w:szCs w:val="22"/>
          <w:lang w:val="en-GB"/>
        </w:rPr>
        <w:t>e)</w:t>
      </w:r>
    </w:p>
    <w:p w:rsidR="0078221E" w:rsidRPr="00904082" w:rsidRDefault="0078221E" w:rsidP="0078221E">
      <w:pPr>
        <w:tabs>
          <w:tab w:val="left" w:pos="2880"/>
        </w:tabs>
        <w:rPr>
          <w:szCs w:val="22"/>
        </w:rPr>
      </w:pPr>
      <w:r w:rsidRPr="005B1CE8">
        <w:rPr>
          <w:i/>
          <w:iCs/>
          <w:szCs w:val="22"/>
        </w:rPr>
        <w:t>Metabolism and nutrition disorders</w:t>
      </w:r>
      <w:r w:rsidRPr="00904082">
        <w:rPr>
          <w:szCs w:val="22"/>
        </w:rPr>
        <w:t>: Blood glucose increased, lipids increased</w:t>
      </w:r>
    </w:p>
    <w:p w:rsidR="0078221E" w:rsidRPr="00904082" w:rsidRDefault="0078221E" w:rsidP="0078221E">
      <w:pPr>
        <w:tabs>
          <w:tab w:val="left" w:pos="2880"/>
        </w:tabs>
        <w:rPr>
          <w:szCs w:val="22"/>
          <w:lang w:val="en-GB"/>
        </w:rPr>
      </w:pPr>
      <w:r w:rsidRPr="005B1CE8">
        <w:rPr>
          <w:i/>
          <w:iCs/>
          <w:szCs w:val="22"/>
        </w:rPr>
        <w:t>Nervous system disorders</w:t>
      </w:r>
      <w:r w:rsidRPr="00904082">
        <w:rPr>
          <w:szCs w:val="22"/>
        </w:rPr>
        <w:t xml:space="preserve">: </w:t>
      </w:r>
      <w:proofErr w:type="spellStart"/>
      <w:r w:rsidRPr="00904082">
        <w:rPr>
          <w:szCs w:val="22"/>
          <w:lang w:val="en-GB"/>
        </w:rPr>
        <w:t>Demyelinating</w:t>
      </w:r>
      <w:proofErr w:type="spellEnd"/>
      <w:r w:rsidRPr="00904082">
        <w:rPr>
          <w:szCs w:val="22"/>
          <w:lang w:val="en-GB"/>
        </w:rPr>
        <w:t xml:space="preserve"> disorders</w:t>
      </w:r>
      <w:r w:rsidR="00ED3372">
        <w:rPr>
          <w:szCs w:val="22"/>
          <w:lang w:val="en-GB"/>
        </w:rPr>
        <w:t xml:space="preserve">  (central and peripheral)</w:t>
      </w:r>
      <w:r w:rsidRPr="00904082">
        <w:rPr>
          <w:szCs w:val="22"/>
          <w:lang w:val="en-GB"/>
        </w:rPr>
        <w:t xml:space="preserve">, balance disorders, </w:t>
      </w:r>
      <w:proofErr w:type="spellStart"/>
      <w:r w:rsidRPr="00904082">
        <w:rPr>
          <w:szCs w:val="22"/>
          <w:lang w:val="en-GB"/>
        </w:rPr>
        <w:t>dysguesia</w:t>
      </w:r>
      <w:proofErr w:type="spellEnd"/>
    </w:p>
    <w:p w:rsidR="0078221E" w:rsidRPr="00904082" w:rsidRDefault="0078221E" w:rsidP="0078221E">
      <w:pPr>
        <w:tabs>
          <w:tab w:val="left" w:pos="2880"/>
        </w:tabs>
        <w:rPr>
          <w:szCs w:val="22"/>
          <w:lang w:val="en-GB"/>
        </w:rPr>
      </w:pPr>
      <w:r w:rsidRPr="005B1CE8">
        <w:rPr>
          <w:i/>
          <w:iCs/>
          <w:szCs w:val="22"/>
          <w:lang w:val="en-GB"/>
        </w:rPr>
        <w:t>Eye disorders</w:t>
      </w:r>
      <w:r w:rsidRPr="00904082">
        <w:rPr>
          <w:szCs w:val="22"/>
          <w:lang w:val="en-GB"/>
        </w:rPr>
        <w:t>: Visual disorders (such as blurred vision and decreased vision acuity), conjunctivit</w:t>
      </w:r>
      <w:r w:rsidR="00650094">
        <w:rPr>
          <w:szCs w:val="22"/>
          <w:lang w:val="en-GB"/>
        </w:rPr>
        <w:t xml:space="preserve">is, eye allergy (such as </w:t>
      </w:r>
      <w:proofErr w:type="spellStart"/>
      <w:r w:rsidR="00650094">
        <w:rPr>
          <w:szCs w:val="22"/>
          <w:lang w:val="en-GB"/>
        </w:rPr>
        <w:t>pruritu</w:t>
      </w:r>
      <w:r w:rsidRPr="00904082">
        <w:rPr>
          <w:szCs w:val="22"/>
          <w:lang w:val="en-GB"/>
        </w:rPr>
        <w:t>s</w:t>
      </w:r>
      <w:proofErr w:type="spellEnd"/>
      <w:r w:rsidRPr="00904082">
        <w:rPr>
          <w:szCs w:val="22"/>
          <w:lang w:val="en-GB"/>
        </w:rPr>
        <w:t xml:space="preserve"> and irritation)</w:t>
      </w:r>
    </w:p>
    <w:p w:rsidR="0078221E" w:rsidRPr="00904082" w:rsidRDefault="0078221E" w:rsidP="0078221E">
      <w:pPr>
        <w:tabs>
          <w:tab w:val="left" w:pos="2880"/>
        </w:tabs>
        <w:rPr>
          <w:szCs w:val="22"/>
          <w:lang w:val="en-GB"/>
        </w:rPr>
      </w:pPr>
      <w:r w:rsidRPr="005B1CE8">
        <w:rPr>
          <w:i/>
          <w:iCs/>
          <w:szCs w:val="22"/>
          <w:lang w:val="en-GB"/>
        </w:rPr>
        <w:t>Cardiac disorders</w:t>
      </w:r>
      <w:r w:rsidRPr="00904082">
        <w:rPr>
          <w:szCs w:val="22"/>
          <w:lang w:val="en-GB"/>
        </w:rPr>
        <w:t xml:space="preserve">: Congestive heart failure (new onset or worsening), arrhythmia, </w:t>
      </w:r>
      <w:proofErr w:type="spellStart"/>
      <w:r w:rsidRPr="00904082">
        <w:rPr>
          <w:szCs w:val="22"/>
          <w:lang w:val="en-GB"/>
        </w:rPr>
        <w:t>isch</w:t>
      </w:r>
      <w:r w:rsidR="005B1CE8">
        <w:rPr>
          <w:szCs w:val="22"/>
          <w:lang w:val="en-GB"/>
        </w:rPr>
        <w:t>a</w:t>
      </w:r>
      <w:r w:rsidRPr="00904082">
        <w:rPr>
          <w:szCs w:val="22"/>
          <w:lang w:val="en-GB"/>
        </w:rPr>
        <w:t>emic</w:t>
      </w:r>
      <w:proofErr w:type="spellEnd"/>
      <w:r w:rsidRPr="00904082">
        <w:rPr>
          <w:szCs w:val="22"/>
          <w:lang w:val="en-GB"/>
        </w:rPr>
        <w:t xml:space="preserve"> coronary artery disorders</w:t>
      </w:r>
    </w:p>
    <w:p w:rsidR="0078221E" w:rsidRPr="00904082" w:rsidRDefault="0078221E" w:rsidP="00306ED4">
      <w:pPr>
        <w:pageBreakBefore/>
        <w:tabs>
          <w:tab w:val="left" w:pos="2880"/>
        </w:tabs>
        <w:rPr>
          <w:szCs w:val="22"/>
          <w:lang w:val="en-GB"/>
        </w:rPr>
      </w:pPr>
      <w:r w:rsidRPr="005B1CE8">
        <w:rPr>
          <w:i/>
          <w:iCs/>
          <w:szCs w:val="22"/>
          <w:lang w:val="en-GB"/>
        </w:rPr>
        <w:lastRenderedPageBreak/>
        <w:t>Vascular disorders</w:t>
      </w:r>
      <w:r w:rsidRPr="00904082">
        <w:rPr>
          <w:szCs w:val="22"/>
          <w:lang w:val="en-GB"/>
        </w:rPr>
        <w:t xml:space="preserve">: Thrombosis (such as deep venous and aortic), </w:t>
      </w:r>
      <w:proofErr w:type="spellStart"/>
      <w:r w:rsidRPr="00904082">
        <w:rPr>
          <w:szCs w:val="22"/>
          <w:lang w:val="en-GB"/>
        </w:rPr>
        <w:t>Raynaud’s</w:t>
      </w:r>
      <w:proofErr w:type="spellEnd"/>
      <w:r w:rsidRPr="00904082">
        <w:rPr>
          <w:szCs w:val="22"/>
          <w:lang w:val="en-GB"/>
        </w:rPr>
        <w:t xml:space="preserve"> phenomenon, flushing</w:t>
      </w:r>
      <w:r w:rsidR="00CD6156">
        <w:rPr>
          <w:szCs w:val="22"/>
          <w:lang w:val="en-GB"/>
        </w:rPr>
        <w:t xml:space="preserve">, </w:t>
      </w:r>
      <w:proofErr w:type="spellStart"/>
      <w:r w:rsidR="00CD6156">
        <w:rPr>
          <w:szCs w:val="22"/>
          <w:lang w:val="en-GB"/>
        </w:rPr>
        <w:t>vasculitis</w:t>
      </w:r>
      <w:proofErr w:type="spellEnd"/>
      <w:r w:rsidR="00CD6156">
        <w:rPr>
          <w:szCs w:val="22"/>
          <w:lang w:val="en-GB"/>
        </w:rPr>
        <w:t xml:space="preserve"> (systemic)</w:t>
      </w:r>
    </w:p>
    <w:p w:rsidR="0078221E" w:rsidRPr="00904082" w:rsidRDefault="0078221E" w:rsidP="0078221E">
      <w:pPr>
        <w:tabs>
          <w:tab w:val="left" w:pos="2880"/>
        </w:tabs>
        <w:rPr>
          <w:szCs w:val="22"/>
        </w:rPr>
      </w:pPr>
      <w:r w:rsidRPr="005B1CE8">
        <w:rPr>
          <w:i/>
          <w:iCs/>
          <w:szCs w:val="22"/>
          <w:lang w:val="en-GB"/>
        </w:rPr>
        <w:t xml:space="preserve">Respiratory, thoracic and </w:t>
      </w:r>
      <w:proofErr w:type="spellStart"/>
      <w:r w:rsidRPr="005B1CE8">
        <w:rPr>
          <w:i/>
          <w:iCs/>
          <w:szCs w:val="22"/>
          <w:lang w:val="en-GB"/>
        </w:rPr>
        <w:t>mediastinal</w:t>
      </w:r>
      <w:proofErr w:type="spellEnd"/>
      <w:r w:rsidRPr="005B1CE8">
        <w:rPr>
          <w:i/>
          <w:iCs/>
          <w:szCs w:val="22"/>
          <w:lang w:val="en-GB"/>
        </w:rPr>
        <w:t xml:space="preserve"> disorders</w:t>
      </w:r>
      <w:r w:rsidRPr="00904082">
        <w:rPr>
          <w:szCs w:val="22"/>
          <w:lang w:val="en-GB"/>
        </w:rPr>
        <w:t>: Asthma and related symptoms (such as wheezing and bronchial hyperactivity), interstitial lung disease</w:t>
      </w:r>
    </w:p>
    <w:p w:rsidR="0078221E" w:rsidRPr="00904082" w:rsidRDefault="0078221E" w:rsidP="0078221E">
      <w:pPr>
        <w:rPr>
          <w:szCs w:val="22"/>
          <w:lang w:val="en-GB"/>
        </w:rPr>
      </w:pPr>
      <w:r w:rsidRPr="005B1CE8">
        <w:rPr>
          <w:i/>
          <w:iCs/>
          <w:szCs w:val="22"/>
        </w:rPr>
        <w:t>Gastrointestinal disorders</w:t>
      </w:r>
      <w:r w:rsidRPr="00904082">
        <w:rPr>
          <w:szCs w:val="22"/>
        </w:rPr>
        <w:t xml:space="preserve">: </w:t>
      </w:r>
      <w:r w:rsidRPr="00904082">
        <w:rPr>
          <w:szCs w:val="22"/>
          <w:lang w:val="en-GB"/>
        </w:rPr>
        <w:t>Gastrointestinal inflammatory disorders (such a</w:t>
      </w:r>
      <w:r w:rsidR="005B1CE8">
        <w:rPr>
          <w:szCs w:val="22"/>
          <w:lang w:val="en-GB"/>
        </w:rPr>
        <w:t xml:space="preserve">s gastritis and colitis), </w:t>
      </w:r>
      <w:proofErr w:type="spellStart"/>
      <w:r w:rsidR="005B1CE8">
        <w:rPr>
          <w:szCs w:val="22"/>
          <w:lang w:val="en-GB"/>
        </w:rPr>
        <w:t>gastr</w:t>
      </w:r>
      <w:r w:rsidRPr="00904082">
        <w:rPr>
          <w:szCs w:val="22"/>
          <w:lang w:val="en-GB"/>
        </w:rPr>
        <w:t>oesophageal</w:t>
      </w:r>
      <w:proofErr w:type="spellEnd"/>
      <w:r w:rsidRPr="00904082">
        <w:rPr>
          <w:szCs w:val="22"/>
          <w:lang w:val="en-GB"/>
        </w:rPr>
        <w:t xml:space="preserve"> reflux disease, </w:t>
      </w:r>
      <w:proofErr w:type="spellStart"/>
      <w:r w:rsidRPr="00904082">
        <w:rPr>
          <w:szCs w:val="22"/>
          <w:lang w:val="en-GB"/>
        </w:rPr>
        <w:t>stomatitis</w:t>
      </w:r>
      <w:proofErr w:type="spellEnd"/>
    </w:p>
    <w:p w:rsidR="0078221E" w:rsidRPr="00904082" w:rsidRDefault="0078221E" w:rsidP="0078221E">
      <w:pPr>
        <w:rPr>
          <w:szCs w:val="22"/>
          <w:lang w:val="en-GB"/>
        </w:rPr>
      </w:pPr>
      <w:proofErr w:type="spellStart"/>
      <w:r w:rsidRPr="005B1CE8">
        <w:rPr>
          <w:i/>
          <w:iCs/>
          <w:szCs w:val="22"/>
          <w:lang w:val="en-GB"/>
        </w:rPr>
        <w:t>Hepatobiliary</w:t>
      </w:r>
      <w:proofErr w:type="spellEnd"/>
      <w:r w:rsidRPr="005B1CE8">
        <w:rPr>
          <w:i/>
          <w:iCs/>
          <w:szCs w:val="22"/>
          <w:lang w:val="en-GB"/>
        </w:rPr>
        <w:t xml:space="preserve"> disorders</w:t>
      </w:r>
      <w:r w:rsidRPr="00904082">
        <w:rPr>
          <w:szCs w:val="22"/>
          <w:lang w:val="en-GB"/>
        </w:rPr>
        <w:t xml:space="preserve">: </w:t>
      </w:r>
      <w:proofErr w:type="spellStart"/>
      <w:r w:rsidRPr="00904082">
        <w:rPr>
          <w:szCs w:val="22"/>
          <w:lang w:val="en-GB"/>
        </w:rPr>
        <w:t>Cholelithiasis</w:t>
      </w:r>
      <w:proofErr w:type="spellEnd"/>
      <w:r w:rsidRPr="00904082">
        <w:rPr>
          <w:szCs w:val="22"/>
          <w:lang w:val="en-GB"/>
        </w:rPr>
        <w:t>, hepatic disorders</w:t>
      </w:r>
    </w:p>
    <w:p w:rsidR="0078221E" w:rsidRPr="00904082" w:rsidRDefault="0078221E" w:rsidP="0078221E">
      <w:pPr>
        <w:rPr>
          <w:szCs w:val="22"/>
          <w:lang w:val="en-GB"/>
        </w:rPr>
      </w:pPr>
      <w:r w:rsidRPr="005B1CE8">
        <w:rPr>
          <w:i/>
          <w:iCs/>
          <w:szCs w:val="22"/>
        </w:rPr>
        <w:t>Skin and subcutaneous tissue disorders</w:t>
      </w:r>
      <w:r w:rsidRPr="00904082">
        <w:rPr>
          <w:szCs w:val="22"/>
        </w:rPr>
        <w:t xml:space="preserve">: </w:t>
      </w:r>
      <w:r w:rsidRPr="00904082">
        <w:rPr>
          <w:szCs w:val="22"/>
          <w:lang w:val="en-GB"/>
        </w:rPr>
        <w:t xml:space="preserve">Psoriasis (new onset, </w:t>
      </w:r>
      <w:proofErr w:type="spellStart"/>
      <w:r w:rsidRPr="00904082">
        <w:rPr>
          <w:szCs w:val="22"/>
          <w:lang w:val="en-GB"/>
        </w:rPr>
        <w:t>palmar</w:t>
      </w:r>
      <w:proofErr w:type="spellEnd"/>
      <w:r w:rsidRPr="00904082">
        <w:rPr>
          <w:szCs w:val="22"/>
          <w:lang w:val="en-GB"/>
        </w:rPr>
        <w:t xml:space="preserve">/plantar, and </w:t>
      </w:r>
      <w:proofErr w:type="spellStart"/>
      <w:r w:rsidRPr="00904082">
        <w:rPr>
          <w:szCs w:val="22"/>
          <w:lang w:val="en-GB"/>
        </w:rPr>
        <w:t>pustular</w:t>
      </w:r>
      <w:proofErr w:type="spellEnd"/>
      <w:r w:rsidRPr="00904082">
        <w:rPr>
          <w:szCs w:val="22"/>
          <w:lang w:val="en-GB"/>
        </w:rPr>
        <w:t xml:space="preserve">), </w:t>
      </w:r>
      <w:proofErr w:type="spellStart"/>
      <w:r w:rsidRPr="00904082">
        <w:rPr>
          <w:szCs w:val="22"/>
          <w:lang w:val="en-GB"/>
        </w:rPr>
        <w:t>urticaria</w:t>
      </w:r>
      <w:proofErr w:type="spellEnd"/>
      <w:r w:rsidR="00ED3372">
        <w:rPr>
          <w:szCs w:val="22"/>
          <w:lang w:val="en-GB"/>
        </w:rPr>
        <w:t xml:space="preserve">, </w:t>
      </w:r>
      <w:proofErr w:type="spellStart"/>
      <w:r w:rsidR="00ED3372">
        <w:rPr>
          <w:szCs w:val="22"/>
          <w:lang w:val="en-GB"/>
        </w:rPr>
        <w:t>vasculitis</w:t>
      </w:r>
      <w:proofErr w:type="spellEnd"/>
      <w:r w:rsidR="00ED3372">
        <w:rPr>
          <w:szCs w:val="22"/>
          <w:lang w:val="en-GB"/>
        </w:rPr>
        <w:t xml:space="preserve"> (</w:t>
      </w:r>
      <w:proofErr w:type="spellStart"/>
      <w:r w:rsidR="00ED3372">
        <w:rPr>
          <w:szCs w:val="22"/>
          <w:lang w:val="en-GB"/>
        </w:rPr>
        <w:t>cutaneous</w:t>
      </w:r>
      <w:proofErr w:type="spellEnd"/>
      <w:r w:rsidR="00ED3372">
        <w:rPr>
          <w:szCs w:val="22"/>
          <w:lang w:val="en-GB"/>
        </w:rPr>
        <w:t>)</w:t>
      </w:r>
    </w:p>
    <w:p w:rsidR="0078221E" w:rsidRPr="00904082" w:rsidRDefault="0078221E" w:rsidP="0078221E">
      <w:pPr>
        <w:rPr>
          <w:szCs w:val="22"/>
          <w:lang w:val="en-GB"/>
        </w:rPr>
      </w:pPr>
      <w:r w:rsidRPr="005B1CE8">
        <w:rPr>
          <w:i/>
          <w:iCs/>
          <w:szCs w:val="22"/>
          <w:lang w:val="en-GB"/>
        </w:rPr>
        <w:t>Musculoskeletal and connective tissue disorders</w:t>
      </w:r>
      <w:r w:rsidRPr="00904082">
        <w:rPr>
          <w:szCs w:val="22"/>
          <w:lang w:val="en-GB"/>
        </w:rPr>
        <w:t>: Lupus-like syndrome</w:t>
      </w:r>
    </w:p>
    <w:p w:rsidR="0078221E" w:rsidRPr="00904082" w:rsidRDefault="0078221E" w:rsidP="0078221E">
      <w:pPr>
        <w:rPr>
          <w:szCs w:val="22"/>
          <w:lang w:val="en-GB"/>
        </w:rPr>
      </w:pPr>
      <w:r w:rsidRPr="005B1CE8">
        <w:rPr>
          <w:i/>
          <w:iCs/>
          <w:szCs w:val="22"/>
          <w:lang w:val="en-GB"/>
        </w:rPr>
        <w:t>Renal and urinary disorders</w:t>
      </w:r>
      <w:r w:rsidRPr="00904082">
        <w:rPr>
          <w:szCs w:val="22"/>
          <w:lang w:val="en-GB"/>
        </w:rPr>
        <w:t>: Bladder disorders, renal disorders</w:t>
      </w:r>
    </w:p>
    <w:p w:rsidR="0078221E" w:rsidRPr="00904082" w:rsidRDefault="0078221E" w:rsidP="0078221E">
      <w:pPr>
        <w:rPr>
          <w:szCs w:val="22"/>
          <w:lang w:val="en-GB"/>
        </w:rPr>
      </w:pPr>
      <w:r w:rsidRPr="005B1CE8">
        <w:rPr>
          <w:i/>
          <w:iCs/>
          <w:szCs w:val="22"/>
          <w:lang w:val="en-GB"/>
        </w:rPr>
        <w:t>Reproductive system and breast disorders</w:t>
      </w:r>
      <w:r w:rsidRPr="00904082">
        <w:rPr>
          <w:szCs w:val="22"/>
          <w:lang w:val="en-GB"/>
        </w:rPr>
        <w:t>: Breast disorders, menstrual disorders</w:t>
      </w:r>
    </w:p>
    <w:p w:rsidR="0078221E" w:rsidRPr="00904082" w:rsidRDefault="0078221E" w:rsidP="0078221E">
      <w:pPr>
        <w:rPr>
          <w:szCs w:val="22"/>
          <w:lang w:val="en-GB"/>
        </w:rPr>
      </w:pPr>
      <w:r w:rsidRPr="005B1CE8">
        <w:rPr>
          <w:i/>
          <w:iCs/>
          <w:szCs w:val="22"/>
          <w:lang w:val="en-GB"/>
        </w:rPr>
        <w:t>General disorders and administration site conditions</w:t>
      </w:r>
      <w:r w:rsidRPr="00904082">
        <w:rPr>
          <w:szCs w:val="22"/>
          <w:lang w:val="en-GB"/>
        </w:rPr>
        <w:t>: Impaired healing</w:t>
      </w:r>
    </w:p>
    <w:p w:rsidR="0078221E" w:rsidRPr="00904082" w:rsidRDefault="0078221E" w:rsidP="0078221E">
      <w:pPr>
        <w:rPr>
          <w:szCs w:val="22"/>
        </w:rPr>
      </w:pPr>
      <w:r w:rsidRPr="005B1CE8">
        <w:rPr>
          <w:i/>
          <w:iCs/>
          <w:szCs w:val="22"/>
        </w:rPr>
        <w:t>Injury, poisoning and procedural complications</w:t>
      </w:r>
      <w:r w:rsidRPr="00904082">
        <w:rPr>
          <w:szCs w:val="22"/>
        </w:rPr>
        <w:t>: Bone fractures</w:t>
      </w:r>
    </w:p>
    <w:p w:rsidR="0078221E" w:rsidRDefault="0078221E" w:rsidP="0078221E">
      <w:pPr>
        <w:spacing w:before="60"/>
        <w:rPr>
          <w:szCs w:val="22"/>
        </w:rPr>
      </w:pPr>
      <w:r w:rsidRPr="00904082">
        <w:rPr>
          <w:szCs w:val="22"/>
        </w:rPr>
        <w:t xml:space="preserve">[*Observed with other TNF-blockers, but not observed in clinical studies with </w:t>
      </w:r>
      <w:proofErr w:type="spellStart"/>
      <w:r w:rsidRPr="00904082">
        <w:rPr>
          <w:szCs w:val="22"/>
        </w:rPr>
        <w:t>golimumab</w:t>
      </w:r>
      <w:proofErr w:type="spellEnd"/>
      <w:r w:rsidRPr="00904082">
        <w:rPr>
          <w:szCs w:val="22"/>
        </w:rPr>
        <w:t>].</w:t>
      </w:r>
    </w:p>
    <w:p w:rsidR="00CD6156" w:rsidRPr="00306ED4" w:rsidRDefault="00CD6156" w:rsidP="00306ED4">
      <w:pPr>
        <w:pStyle w:val="Heading3"/>
        <w:rPr>
          <w:b w:val="0"/>
          <w:u w:val="single"/>
        </w:rPr>
      </w:pPr>
      <w:r w:rsidRPr="00306ED4">
        <w:rPr>
          <w:b w:val="0"/>
          <w:u w:val="single"/>
        </w:rPr>
        <w:t>Post-marketing Experience</w:t>
      </w:r>
    </w:p>
    <w:p w:rsidR="00CD6156" w:rsidRDefault="00332EBF" w:rsidP="0078221E">
      <w:pPr>
        <w:spacing w:before="60"/>
        <w:rPr>
          <w:szCs w:val="22"/>
          <w:u w:val="single"/>
        </w:rPr>
      </w:pPr>
      <w:r w:rsidRPr="00332EBF">
        <w:rPr>
          <w:szCs w:val="22"/>
        </w:rPr>
        <w:t xml:space="preserve">The frequencies provided below reflect reporting rates of adverse drug reactions from the worldwide post-marketing experience with </w:t>
      </w:r>
      <w:r w:rsidR="00C20FF2">
        <w:rPr>
          <w:szCs w:val="22"/>
        </w:rPr>
        <w:t xml:space="preserve">SIMPONI </w:t>
      </w:r>
      <w:r w:rsidRPr="00332EBF">
        <w:rPr>
          <w:szCs w:val="22"/>
        </w:rPr>
        <w:t>and precise estimates of incidence cannot be made due to voluntary reporting from a population of uncertain size. These adverse drug reactions are ranked by frequency, using the following convention: Very common (≥1/10), common (≥1/100 and &lt; 1/10), uncommon (≥1/1000 and &lt;1/100), rare (≥1/10,000 and &lt; 1/1000), very rare (&lt;1/10,000, including isolated reports).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6"/>
        <w:gridCol w:w="3412"/>
        <w:gridCol w:w="2340"/>
      </w:tblGrid>
      <w:tr w:rsidR="0060361A" w:rsidRPr="00F83C0E" w:rsidTr="0060361A">
        <w:tc>
          <w:tcPr>
            <w:tcW w:w="2816" w:type="dxa"/>
            <w:vAlign w:val="center"/>
          </w:tcPr>
          <w:p w:rsidR="0060361A" w:rsidRPr="00F83C0E" w:rsidRDefault="0060361A" w:rsidP="00306ED4">
            <w:pPr>
              <w:pStyle w:val="Normal-Table"/>
              <w:spacing w:before="40" w:after="40"/>
              <w:jc w:val="left"/>
              <w:rPr>
                <w:b/>
                <w:sz w:val="22"/>
                <w:lang w:val="en-AU"/>
              </w:rPr>
            </w:pPr>
            <w:r w:rsidRPr="00F83C0E">
              <w:rPr>
                <w:b/>
                <w:sz w:val="22"/>
                <w:lang w:val="en-AU"/>
              </w:rPr>
              <w:t>System Organ Class</w:t>
            </w:r>
          </w:p>
        </w:tc>
        <w:tc>
          <w:tcPr>
            <w:tcW w:w="3412" w:type="dxa"/>
            <w:vAlign w:val="center"/>
          </w:tcPr>
          <w:p w:rsidR="0060361A" w:rsidRPr="00F83C0E" w:rsidRDefault="0060361A" w:rsidP="00306ED4">
            <w:pPr>
              <w:pStyle w:val="Normal-Table"/>
              <w:spacing w:before="40" w:after="40"/>
              <w:jc w:val="left"/>
              <w:rPr>
                <w:b/>
                <w:sz w:val="22"/>
                <w:lang w:val="en-AU"/>
              </w:rPr>
            </w:pPr>
            <w:r w:rsidRPr="00F83C0E">
              <w:rPr>
                <w:b/>
                <w:sz w:val="22"/>
                <w:lang w:val="en-AU"/>
              </w:rPr>
              <w:t>Adverse Drug Reaction</w:t>
            </w:r>
          </w:p>
        </w:tc>
        <w:tc>
          <w:tcPr>
            <w:tcW w:w="2340" w:type="dxa"/>
            <w:vAlign w:val="center"/>
          </w:tcPr>
          <w:p w:rsidR="0060361A" w:rsidRPr="00F83C0E" w:rsidRDefault="0060361A" w:rsidP="00306ED4">
            <w:pPr>
              <w:pStyle w:val="Normal-Table"/>
              <w:spacing w:before="40" w:after="40"/>
              <w:jc w:val="left"/>
              <w:rPr>
                <w:b/>
                <w:sz w:val="22"/>
                <w:lang w:val="en-AU"/>
              </w:rPr>
            </w:pPr>
            <w:r w:rsidRPr="00F83C0E">
              <w:rPr>
                <w:b/>
                <w:sz w:val="22"/>
                <w:lang w:val="en-AU"/>
              </w:rPr>
              <w:t>Frequency</w:t>
            </w:r>
          </w:p>
        </w:tc>
      </w:tr>
      <w:tr w:rsidR="00F8394A" w:rsidRPr="00F83C0E" w:rsidTr="00F8394A">
        <w:tc>
          <w:tcPr>
            <w:tcW w:w="2816" w:type="dxa"/>
            <w:vAlign w:val="center"/>
          </w:tcPr>
          <w:p w:rsidR="00F8394A" w:rsidRPr="00F83C0E" w:rsidRDefault="00F8394A" w:rsidP="00306ED4">
            <w:pPr>
              <w:pStyle w:val="Normal-Table"/>
              <w:spacing w:before="40" w:after="40"/>
              <w:jc w:val="left"/>
              <w:rPr>
                <w:sz w:val="22"/>
                <w:lang w:val="en-AU"/>
              </w:rPr>
            </w:pPr>
            <w:r w:rsidRPr="00F83C0E">
              <w:rPr>
                <w:sz w:val="22"/>
                <w:lang w:val="en-AU"/>
              </w:rPr>
              <w:t>Neoplasm Benign and Malignant</w:t>
            </w:r>
          </w:p>
        </w:tc>
        <w:tc>
          <w:tcPr>
            <w:tcW w:w="3412" w:type="dxa"/>
            <w:vAlign w:val="bottom"/>
          </w:tcPr>
          <w:p w:rsidR="00F8394A" w:rsidRPr="00F83C0E" w:rsidRDefault="00F8394A" w:rsidP="00306ED4">
            <w:pPr>
              <w:pStyle w:val="Normal-Table"/>
              <w:spacing w:before="40" w:after="40"/>
              <w:jc w:val="left"/>
              <w:rPr>
                <w:sz w:val="22"/>
              </w:rPr>
            </w:pPr>
            <w:r w:rsidRPr="00F83C0E">
              <w:rPr>
                <w:sz w:val="22"/>
              </w:rPr>
              <w:t>Melanoma</w:t>
            </w:r>
          </w:p>
          <w:p w:rsidR="00F8394A" w:rsidRPr="00F83C0E" w:rsidRDefault="00F8394A" w:rsidP="00306ED4">
            <w:pPr>
              <w:pStyle w:val="Normal-Table"/>
              <w:spacing w:before="40" w:after="40"/>
              <w:jc w:val="left"/>
              <w:rPr>
                <w:sz w:val="22"/>
              </w:rPr>
            </w:pPr>
            <w:r w:rsidRPr="00F83C0E">
              <w:rPr>
                <w:sz w:val="22"/>
              </w:rPr>
              <w:t>Merkel cell carcinoma</w:t>
            </w:r>
          </w:p>
        </w:tc>
        <w:tc>
          <w:tcPr>
            <w:tcW w:w="2340" w:type="dxa"/>
            <w:vAlign w:val="bottom"/>
          </w:tcPr>
          <w:p w:rsidR="00F8394A" w:rsidRPr="00F83C0E" w:rsidRDefault="00F8394A" w:rsidP="00306ED4">
            <w:pPr>
              <w:pStyle w:val="Normal-Table"/>
              <w:spacing w:before="40" w:after="40"/>
              <w:jc w:val="left"/>
              <w:rPr>
                <w:sz w:val="22"/>
                <w:lang w:val="en-AU"/>
              </w:rPr>
            </w:pPr>
            <w:r w:rsidRPr="00F83C0E">
              <w:rPr>
                <w:sz w:val="22"/>
                <w:lang w:val="en-AU"/>
              </w:rPr>
              <w:t>Rare</w:t>
            </w:r>
          </w:p>
          <w:p w:rsidR="00F8394A" w:rsidRPr="00F83C0E" w:rsidRDefault="00F8394A" w:rsidP="00306ED4">
            <w:pPr>
              <w:pStyle w:val="Normal-Table"/>
              <w:spacing w:before="40" w:after="40"/>
              <w:jc w:val="left"/>
              <w:rPr>
                <w:sz w:val="22"/>
                <w:lang w:val="en-AU"/>
              </w:rPr>
            </w:pPr>
            <w:r w:rsidRPr="00F83C0E">
              <w:rPr>
                <w:sz w:val="22"/>
                <w:lang w:val="en-AU"/>
              </w:rPr>
              <w:t>Unknown*</w:t>
            </w:r>
          </w:p>
        </w:tc>
      </w:tr>
      <w:tr w:rsidR="0060361A" w:rsidRPr="00F83C0E" w:rsidTr="00F8394A">
        <w:tc>
          <w:tcPr>
            <w:tcW w:w="2816" w:type="dxa"/>
            <w:vAlign w:val="center"/>
          </w:tcPr>
          <w:p w:rsidR="0060361A" w:rsidRPr="00F83C0E" w:rsidRDefault="0060361A" w:rsidP="00306ED4">
            <w:pPr>
              <w:pStyle w:val="Normal-Table"/>
              <w:spacing w:before="40" w:after="40"/>
              <w:jc w:val="left"/>
              <w:rPr>
                <w:sz w:val="22"/>
                <w:lang w:val="en-AU"/>
              </w:rPr>
            </w:pPr>
            <w:r w:rsidRPr="00F83C0E">
              <w:rPr>
                <w:sz w:val="22"/>
                <w:lang w:val="en-AU"/>
              </w:rPr>
              <w:t>Immune System Disorders</w:t>
            </w:r>
          </w:p>
        </w:tc>
        <w:tc>
          <w:tcPr>
            <w:tcW w:w="3412" w:type="dxa"/>
            <w:vAlign w:val="bottom"/>
          </w:tcPr>
          <w:p w:rsidR="0060361A" w:rsidRPr="00F83C0E" w:rsidRDefault="0060361A" w:rsidP="00306ED4">
            <w:pPr>
              <w:pStyle w:val="Normal-Table"/>
              <w:spacing w:before="40" w:after="40"/>
              <w:jc w:val="left"/>
              <w:rPr>
                <w:sz w:val="22"/>
              </w:rPr>
            </w:pPr>
            <w:r w:rsidRPr="00F83C0E">
              <w:rPr>
                <w:sz w:val="22"/>
              </w:rPr>
              <w:t>Serious systemic hypersensitivity reactions (including anaphylactic reaction)</w:t>
            </w:r>
          </w:p>
          <w:p w:rsidR="00F8394A" w:rsidRPr="00F83C0E" w:rsidRDefault="00F8394A" w:rsidP="00306ED4">
            <w:pPr>
              <w:pStyle w:val="Normal-Table"/>
              <w:spacing w:before="40" w:after="40"/>
              <w:jc w:val="left"/>
              <w:rPr>
                <w:sz w:val="22"/>
                <w:lang w:val="en-AU"/>
              </w:rPr>
            </w:pPr>
            <w:proofErr w:type="spellStart"/>
            <w:r w:rsidRPr="00F83C0E">
              <w:rPr>
                <w:sz w:val="22"/>
                <w:lang w:val="en-AU"/>
              </w:rPr>
              <w:t>Sarcoidosis</w:t>
            </w:r>
            <w:proofErr w:type="spellEnd"/>
          </w:p>
        </w:tc>
        <w:tc>
          <w:tcPr>
            <w:tcW w:w="2340" w:type="dxa"/>
            <w:vAlign w:val="bottom"/>
          </w:tcPr>
          <w:p w:rsidR="0060361A" w:rsidRPr="00F83C0E" w:rsidRDefault="0060361A" w:rsidP="00306ED4">
            <w:pPr>
              <w:pStyle w:val="Normal-Table"/>
              <w:spacing w:before="40" w:after="40"/>
              <w:jc w:val="left"/>
              <w:rPr>
                <w:sz w:val="22"/>
                <w:lang w:val="en-AU"/>
              </w:rPr>
            </w:pPr>
            <w:r w:rsidRPr="00F83C0E">
              <w:rPr>
                <w:sz w:val="22"/>
                <w:lang w:val="en-AU"/>
              </w:rPr>
              <w:t>Rare</w:t>
            </w:r>
          </w:p>
          <w:p w:rsidR="00F8394A" w:rsidRPr="00F83C0E" w:rsidRDefault="00F8394A" w:rsidP="00306ED4">
            <w:pPr>
              <w:pStyle w:val="Normal-Table"/>
              <w:spacing w:before="40" w:after="40"/>
              <w:jc w:val="left"/>
              <w:rPr>
                <w:sz w:val="22"/>
                <w:lang w:val="en-AU"/>
              </w:rPr>
            </w:pPr>
          </w:p>
          <w:p w:rsidR="00F8394A" w:rsidRPr="00F83C0E" w:rsidRDefault="00F8394A" w:rsidP="00306ED4">
            <w:pPr>
              <w:pStyle w:val="Normal-Table"/>
              <w:spacing w:before="40" w:after="40"/>
              <w:jc w:val="left"/>
              <w:rPr>
                <w:sz w:val="22"/>
                <w:lang w:val="en-AU"/>
              </w:rPr>
            </w:pPr>
          </w:p>
          <w:p w:rsidR="00F8394A" w:rsidRPr="00F83C0E" w:rsidRDefault="00F8394A" w:rsidP="00306ED4">
            <w:pPr>
              <w:pStyle w:val="Normal-Table"/>
              <w:spacing w:before="40" w:after="40"/>
              <w:jc w:val="left"/>
              <w:rPr>
                <w:sz w:val="22"/>
                <w:lang w:val="en-AU"/>
              </w:rPr>
            </w:pPr>
            <w:r w:rsidRPr="00F83C0E">
              <w:rPr>
                <w:sz w:val="22"/>
                <w:lang w:val="en-AU"/>
              </w:rPr>
              <w:t>Very rare</w:t>
            </w:r>
          </w:p>
        </w:tc>
      </w:tr>
      <w:tr w:rsidR="0060361A" w:rsidRPr="00F83C0E" w:rsidTr="0060361A">
        <w:tc>
          <w:tcPr>
            <w:tcW w:w="2816" w:type="dxa"/>
            <w:vAlign w:val="center"/>
          </w:tcPr>
          <w:p w:rsidR="0060361A" w:rsidRPr="00F83C0E" w:rsidRDefault="0060361A" w:rsidP="00306ED4">
            <w:pPr>
              <w:pStyle w:val="Normal-Table"/>
              <w:spacing w:before="40" w:after="40"/>
              <w:jc w:val="left"/>
              <w:rPr>
                <w:sz w:val="22"/>
                <w:lang w:val="en-AU"/>
              </w:rPr>
            </w:pPr>
            <w:r w:rsidRPr="00F83C0E">
              <w:rPr>
                <w:sz w:val="22"/>
                <w:lang w:val="en-AU"/>
              </w:rPr>
              <w:t>Skin and Subcutaneous Tissue Disorders</w:t>
            </w:r>
          </w:p>
        </w:tc>
        <w:tc>
          <w:tcPr>
            <w:tcW w:w="3412" w:type="dxa"/>
            <w:vAlign w:val="center"/>
          </w:tcPr>
          <w:p w:rsidR="0060361A" w:rsidRPr="00F83C0E" w:rsidRDefault="0060361A" w:rsidP="00306ED4">
            <w:pPr>
              <w:pStyle w:val="Normal-Table"/>
              <w:spacing w:before="40" w:after="40"/>
              <w:jc w:val="left"/>
              <w:rPr>
                <w:sz w:val="22"/>
                <w:lang w:val="en-AU"/>
              </w:rPr>
            </w:pPr>
            <w:r w:rsidRPr="00F83C0E">
              <w:rPr>
                <w:sz w:val="22"/>
                <w:lang w:val="en-AU"/>
              </w:rPr>
              <w:t>Skin exfoliation</w:t>
            </w:r>
          </w:p>
        </w:tc>
        <w:tc>
          <w:tcPr>
            <w:tcW w:w="2340" w:type="dxa"/>
            <w:vAlign w:val="center"/>
          </w:tcPr>
          <w:p w:rsidR="0060361A" w:rsidRPr="00F83C0E" w:rsidRDefault="0060361A" w:rsidP="00306ED4">
            <w:pPr>
              <w:pStyle w:val="Normal-Table"/>
              <w:spacing w:before="40" w:after="40"/>
              <w:jc w:val="left"/>
              <w:rPr>
                <w:sz w:val="22"/>
                <w:lang w:val="en-AU"/>
              </w:rPr>
            </w:pPr>
            <w:r w:rsidRPr="00F83C0E">
              <w:rPr>
                <w:sz w:val="22"/>
                <w:lang w:val="en-AU"/>
              </w:rPr>
              <w:t>Rare</w:t>
            </w:r>
          </w:p>
        </w:tc>
      </w:tr>
    </w:tbl>
    <w:p w:rsidR="00F8394A" w:rsidRDefault="00F8394A" w:rsidP="005E3B56">
      <w:pPr>
        <w:pStyle w:val="PI-Header3"/>
        <w:rPr>
          <w:u w:val="none"/>
          <w:lang w:val="en-AU"/>
        </w:rPr>
      </w:pPr>
      <w:r w:rsidRPr="00F83C0E">
        <w:rPr>
          <w:u w:val="none"/>
          <w:lang w:val="en-AU"/>
        </w:rPr>
        <w:t>*observed with other TNF-blocking agents</w:t>
      </w:r>
    </w:p>
    <w:p w:rsidR="00306ED4" w:rsidRDefault="00306ED4">
      <w:pPr>
        <w:spacing w:before="0" w:after="0"/>
        <w:jc w:val="left"/>
        <w:rPr>
          <w:rFonts w:cs="Arial"/>
          <w:szCs w:val="22"/>
          <w:u w:val="single"/>
        </w:rPr>
      </w:pPr>
      <w:r>
        <w:br w:type="page"/>
      </w:r>
    </w:p>
    <w:p w:rsidR="00231BF2" w:rsidRPr="00306ED4" w:rsidRDefault="00231BF2" w:rsidP="00C37E79">
      <w:pPr>
        <w:pStyle w:val="Heading3"/>
        <w:rPr>
          <w:b w:val="0"/>
        </w:rPr>
      </w:pPr>
      <w:r w:rsidRPr="00306ED4">
        <w:rPr>
          <w:b w:val="0"/>
          <w:u w:val="single"/>
        </w:rPr>
        <w:lastRenderedPageBreak/>
        <w:t>Infections</w:t>
      </w:r>
      <w:r w:rsidRPr="00306ED4">
        <w:rPr>
          <w:b w:val="0"/>
        </w:rPr>
        <w:t xml:space="preserve"> (see PRECAUTIONS)</w:t>
      </w:r>
    </w:p>
    <w:p w:rsidR="00B70054" w:rsidRPr="008D4475" w:rsidRDefault="00B70054" w:rsidP="00C37E79">
      <w:pPr>
        <w:rPr>
          <w:rFonts w:cs="Arial"/>
          <w:szCs w:val="22"/>
        </w:rPr>
      </w:pPr>
      <w:r w:rsidRPr="008D4475">
        <w:rPr>
          <w:rFonts w:cs="Arial"/>
          <w:szCs w:val="22"/>
        </w:rPr>
        <w:t xml:space="preserve">Upper respiratory tract infection was the most common adverse reaction reported in the combined Phase 3 RA, </w:t>
      </w:r>
      <w:proofErr w:type="spellStart"/>
      <w:r w:rsidRPr="008D4475">
        <w:rPr>
          <w:rFonts w:cs="Arial"/>
          <w:szCs w:val="22"/>
        </w:rPr>
        <w:t>PsA</w:t>
      </w:r>
      <w:proofErr w:type="spellEnd"/>
      <w:r w:rsidRPr="008D4475">
        <w:rPr>
          <w:rFonts w:cs="Arial"/>
          <w:szCs w:val="22"/>
        </w:rPr>
        <w:t xml:space="preserve"> and AS studies through </w:t>
      </w:r>
      <w:r w:rsidR="009C6804" w:rsidRPr="008D4475">
        <w:rPr>
          <w:rFonts w:cs="Arial"/>
          <w:szCs w:val="22"/>
        </w:rPr>
        <w:t>week</w:t>
      </w:r>
      <w:r w:rsidRPr="008D4475">
        <w:rPr>
          <w:rFonts w:cs="Arial"/>
          <w:szCs w:val="22"/>
        </w:rPr>
        <w:t xml:space="preserve"> 16, occurring in 7.2% of </w:t>
      </w:r>
      <w:r w:rsidR="00643BFB">
        <w:rPr>
          <w:rFonts w:cs="Arial"/>
          <w:szCs w:val="22"/>
        </w:rPr>
        <w:t>SIMPONI</w:t>
      </w:r>
      <w:r w:rsidRPr="008D4475">
        <w:rPr>
          <w:rFonts w:cs="Arial"/>
          <w:szCs w:val="22"/>
        </w:rPr>
        <w:t>-treated patients (incidence per patient-year: 0.26; 95% CI: 0.22, 0.31) as compared with 5.8% of control patients (incidence per patient-year: 0.23; 95% CI: 0.1</w:t>
      </w:r>
      <w:r w:rsidR="0008726C">
        <w:rPr>
          <w:rFonts w:cs="Arial"/>
          <w:szCs w:val="22"/>
        </w:rPr>
        <w:t xml:space="preserve">7, 0.31). </w:t>
      </w:r>
      <w:r w:rsidR="004946B7" w:rsidRPr="004946B7">
        <w:rPr>
          <w:rFonts w:cs="Arial"/>
          <w:szCs w:val="22"/>
        </w:rPr>
        <w:t xml:space="preserve"> </w:t>
      </w:r>
      <w:r w:rsidR="004946B7" w:rsidRPr="00D74293">
        <w:rPr>
          <w:rFonts w:cs="Arial"/>
          <w:szCs w:val="22"/>
        </w:rPr>
        <w:t xml:space="preserve">In controlled and uncontrolled portions of the studies with a median follow-up of approximately 3 years, the incidence per patient year of upper respiratory tract infections was 0.17 events; </w:t>
      </w:r>
      <w:r w:rsidR="004946B7">
        <w:rPr>
          <w:rFonts w:cs="Arial"/>
          <w:szCs w:val="22"/>
        </w:rPr>
        <w:t>95% CI: 0.16, 0.19, for SIMPONI-</w:t>
      </w:r>
      <w:r w:rsidR="004946B7" w:rsidRPr="00D74293">
        <w:rPr>
          <w:rFonts w:cs="Arial"/>
          <w:szCs w:val="22"/>
        </w:rPr>
        <w:t>treated patients</w:t>
      </w:r>
      <w:r w:rsidR="000C0148">
        <w:rPr>
          <w:rFonts w:cs="Arial"/>
          <w:szCs w:val="22"/>
        </w:rPr>
        <w:t>.</w:t>
      </w:r>
    </w:p>
    <w:p w:rsidR="008C79F1" w:rsidRDefault="00EE02A7" w:rsidP="00C37E79">
      <w:r w:rsidRPr="008D4475">
        <w:t xml:space="preserve">In controlled Phase 3 trials through </w:t>
      </w:r>
      <w:r w:rsidR="009C6804" w:rsidRPr="008D4475">
        <w:t>week</w:t>
      </w:r>
      <w:r w:rsidRPr="008D4475">
        <w:t xml:space="preserve"> 16 in RA, </w:t>
      </w:r>
      <w:proofErr w:type="spellStart"/>
      <w:r w:rsidRPr="008D4475">
        <w:t>PsA</w:t>
      </w:r>
      <w:proofErr w:type="spellEnd"/>
      <w:r w:rsidRPr="008D4475">
        <w:t xml:space="preserve">, and AS, infections were observed in 28.3% of </w:t>
      </w:r>
      <w:r w:rsidR="00643BFB">
        <w:t>SIMPONI</w:t>
      </w:r>
      <w:r w:rsidRPr="008D4475">
        <w:t>-treated patient</w:t>
      </w:r>
      <w:r w:rsidR="00A577CE">
        <w:t xml:space="preserve">s (incidence per patient-year: </w:t>
      </w:r>
      <w:r w:rsidRPr="008D4475">
        <w:t xml:space="preserve">1.28; 95% CI: 1.18, 1.38) compared with 24.7% of control patients (incidence per patient-year: 1.17; 95% CI: 1.02, 1.33). </w:t>
      </w:r>
      <w:r w:rsidR="004946B7" w:rsidRPr="004946B7">
        <w:t xml:space="preserve"> </w:t>
      </w:r>
      <w:r w:rsidR="004946B7" w:rsidRPr="00D74293">
        <w:t>In controlled and uncontrolled portions of the studies with a median follow-up of approximately 3 years, the incidence per patient year of infections was 0.96 events; 95% CI: 0.93, 0.99, for SIMPONI treated patients.</w:t>
      </w:r>
    </w:p>
    <w:p w:rsidR="006B1270" w:rsidRDefault="00231BF2" w:rsidP="00C37E79">
      <w:pPr>
        <w:rPr>
          <w:rFonts w:cs="Arial"/>
          <w:szCs w:val="22"/>
        </w:rPr>
      </w:pPr>
      <w:r w:rsidRPr="008D4475">
        <w:rPr>
          <w:rFonts w:cs="Arial"/>
          <w:szCs w:val="22"/>
        </w:rPr>
        <w:t xml:space="preserve">In controlled Phase 3 trials through </w:t>
      </w:r>
      <w:r w:rsidR="009C6804" w:rsidRPr="008D4475">
        <w:rPr>
          <w:rFonts w:cs="Arial"/>
          <w:szCs w:val="22"/>
        </w:rPr>
        <w:t>week</w:t>
      </w:r>
      <w:r w:rsidRPr="008D4475">
        <w:rPr>
          <w:rFonts w:cs="Arial"/>
          <w:szCs w:val="22"/>
        </w:rPr>
        <w:t xml:space="preserve"> 16 in </w:t>
      </w:r>
      <w:r w:rsidR="004946B7">
        <w:rPr>
          <w:rFonts w:cs="Arial"/>
          <w:szCs w:val="22"/>
        </w:rPr>
        <w:t xml:space="preserve">patients with </w:t>
      </w:r>
      <w:r w:rsidRPr="008D4475">
        <w:rPr>
          <w:rFonts w:cs="Arial"/>
          <w:szCs w:val="22"/>
        </w:rPr>
        <w:t xml:space="preserve">RA, </w:t>
      </w:r>
      <w:proofErr w:type="spellStart"/>
      <w:r w:rsidRPr="008D4475">
        <w:rPr>
          <w:rFonts w:cs="Arial"/>
          <w:szCs w:val="22"/>
        </w:rPr>
        <w:t>PsA</w:t>
      </w:r>
      <w:proofErr w:type="spellEnd"/>
      <w:r w:rsidRPr="008D4475">
        <w:rPr>
          <w:rFonts w:cs="Arial"/>
          <w:szCs w:val="22"/>
        </w:rPr>
        <w:t>, and AS, serious infections w</w:t>
      </w:r>
      <w:r w:rsidR="0008726C">
        <w:rPr>
          <w:rFonts w:cs="Arial"/>
          <w:szCs w:val="22"/>
        </w:rPr>
        <w:t xml:space="preserve">ere observed in 1.4% of </w:t>
      </w:r>
      <w:r w:rsidR="00643BFB">
        <w:rPr>
          <w:rFonts w:cs="Arial"/>
          <w:szCs w:val="22"/>
        </w:rPr>
        <w:t>SIMPONI</w:t>
      </w:r>
      <w:r w:rsidR="0008726C">
        <w:rPr>
          <w:rFonts w:cs="Arial"/>
          <w:szCs w:val="22"/>
        </w:rPr>
        <w:t>-</w:t>
      </w:r>
      <w:r w:rsidRPr="008D4475">
        <w:rPr>
          <w:rFonts w:cs="Arial"/>
          <w:szCs w:val="22"/>
        </w:rPr>
        <w:t>treated patients</w:t>
      </w:r>
      <w:r w:rsidR="004946B7">
        <w:rPr>
          <w:rFonts w:cs="Arial"/>
          <w:szCs w:val="22"/>
        </w:rPr>
        <w:t xml:space="preserve"> and 1.3% of control-treated patients.  </w:t>
      </w:r>
      <w:r w:rsidR="004946B7" w:rsidRPr="00D0126E">
        <w:rPr>
          <w:rFonts w:cs="Arial"/>
          <w:szCs w:val="22"/>
        </w:rPr>
        <w:t>Through Week 16, the incidence of serious infections per patient-year of follow-up was 0.07; 95% CI:  0.05, 0.11 for the SIMPONI 100 mg group, 0.03; 95% CI: 0.01, 0.07 for the SIMPONI 50 mg group and 0.04; 95% CI: 0.02, 0.08 for the placebo group</w:t>
      </w:r>
      <w:r w:rsidR="004946B7">
        <w:rPr>
          <w:rFonts w:cs="Arial"/>
          <w:szCs w:val="22"/>
        </w:rPr>
        <w:t xml:space="preserve">.  </w:t>
      </w:r>
      <w:r w:rsidRPr="008D4475">
        <w:rPr>
          <w:rFonts w:cs="Arial"/>
          <w:szCs w:val="22"/>
        </w:rPr>
        <w:t>Serious infection</w:t>
      </w:r>
      <w:r w:rsidR="0008726C">
        <w:rPr>
          <w:rFonts w:cs="Arial"/>
          <w:szCs w:val="22"/>
        </w:rPr>
        <w:t xml:space="preserve">s observed in </w:t>
      </w:r>
      <w:r w:rsidR="00643BFB">
        <w:rPr>
          <w:rFonts w:cs="Arial"/>
          <w:szCs w:val="22"/>
        </w:rPr>
        <w:t>SIMPONI</w:t>
      </w:r>
      <w:r w:rsidR="0008726C">
        <w:rPr>
          <w:rFonts w:cs="Arial"/>
          <w:szCs w:val="22"/>
        </w:rPr>
        <w:t>-</w:t>
      </w:r>
      <w:r w:rsidRPr="008D4475">
        <w:rPr>
          <w:rFonts w:cs="Arial"/>
          <w:szCs w:val="22"/>
        </w:rPr>
        <w:t xml:space="preserve">treated patients included sepsis, pneumonia, cellulitis, abscess, </w:t>
      </w:r>
      <w:r w:rsidR="004946B7">
        <w:rPr>
          <w:rFonts w:cs="Arial"/>
          <w:szCs w:val="22"/>
        </w:rPr>
        <w:t xml:space="preserve">opportunistic infections </w:t>
      </w:r>
      <w:r w:rsidRPr="008D4475">
        <w:rPr>
          <w:rFonts w:cs="Arial"/>
          <w:szCs w:val="22"/>
        </w:rPr>
        <w:t xml:space="preserve">and tuberculosis. </w:t>
      </w:r>
      <w:r w:rsidR="00A765D2">
        <w:rPr>
          <w:rFonts w:cs="Arial"/>
          <w:szCs w:val="22"/>
        </w:rPr>
        <w:t xml:space="preserve"> In the controlled and uncontrolled portions of the Phase 2 and Phase 3 </w:t>
      </w:r>
      <w:r w:rsidR="004946B7">
        <w:rPr>
          <w:rFonts w:cs="Arial"/>
          <w:szCs w:val="22"/>
        </w:rPr>
        <w:t xml:space="preserve">trials in </w:t>
      </w:r>
      <w:r w:rsidR="00A765D2">
        <w:rPr>
          <w:rFonts w:cs="Arial"/>
          <w:szCs w:val="22"/>
        </w:rPr>
        <w:t xml:space="preserve">RA, </w:t>
      </w:r>
      <w:proofErr w:type="spellStart"/>
      <w:r w:rsidR="00A765D2">
        <w:rPr>
          <w:rFonts w:cs="Arial"/>
          <w:szCs w:val="22"/>
        </w:rPr>
        <w:t>PsA</w:t>
      </w:r>
      <w:proofErr w:type="spellEnd"/>
      <w:r w:rsidR="00A765D2">
        <w:rPr>
          <w:rFonts w:cs="Arial"/>
          <w:szCs w:val="22"/>
        </w:rPr>
        <w:t xml:space="preserve">, and AS with a </w:t>
      </w:r>
      <w:r w:rsidR="004946B7">
        <w:rPr>
          <w:rFonts w:cs="Arial"/>
          <w:szCs w:val="22"/>
        </w:rPr>
        <w:t xml:space="preserve">median </w:t>
      </w:r>
      <w:r w:rsidR="00A765D2">
        <w:rPr>
          <w:rFonts w:cs="Arial"/>
          <w:szCs w:val="22"/>
        </w:rPr>
        <w:t xml:space="preserve">follow-up of </w:t>
      </w:r>
      <w:r w:rsidR="004946B7">
        <w:rPr>
          <w:rFonts w:cs="Arial"/>
          <w:szCs w:val="22"/>
        </w:rPr>
        <w:t xml:space="preserve">approximately 3 </w:t>
      </w:r>
      <w:r w:rsidR="00A765D2">
        <w:rPr>
          <w:rFonts w:cs="Arial"/>
          <w:szCs w:val="22"/>
        </w:rPr>
        <w:t xml:space="preserve">years, </w:t>
      </w:r>
      <w:r w:rsidR="004946B7">
        <w:rPr>
          <w:rFonts w:cs="Arial"/>
          <w:szCs w:val="22"/>
        </w:rPr>
        <w:t xml:space="preserve">there was </w:t>
      </w:r>
      <w:r w:rsidR="00A765D2">
        <w:rPr>
          <w:rFonts w:cs="Arial"/>
          <w:szCs w:val="22"/>
        </w:rPr>
        <w:t xml:space="preserve">a greater incidence of </w:t>
      </w:r>
      <w:r w:rsidR="004946B7">
        <w:rPr>
          <w:rFonts w:cs="Arial"/>
          <w:szCs w:val="22"/>
        </w:rPr>
        <w:t xml:space="preserve">serious infections, including opportunistic infections and </w:t>
      </w:r>
      <w:r w:rsidR="00A765D2">
        <w:rPr>
          <w:rFonts w:cs="Arial"/>
          <w:szCs w:val="22"/>
        </w:rPr>
        <w:t xml:space="preserve">TB </w:t>
      </w:r>
      <w:r w:rsidR="004946B7">
        <w:rPr>
          <w:rFonts w:cs="Arial"/>
          <w:szCs w:val="22"/>
        </w:rPr>
        <w:t xml:space="preserve">in patients receiving SIMPONI </w:t>
      </w:r>
      <w:r w:rsidR="00A765D2">
        <w:rPr>
          <w:rFonts w:cs="Arial"/>
          <w:szCs w:val="22"/>
        </w:rPr>
        <w:t xml:space="preserve">100 mg compared with </w:t>
      </w:r>
      <w:r w:rsidR="004946B7">
        <w:rPr>
          <w:rFonts w:cs="Arial"/>
          <w:szCs w:val="22"/>
        </w:rPr>
        <w:t xml:space="preserve">patients receiving SIMPONI </w:t>
      </w:r>
      <w:r w:rsidR="00A765D2">
        <w:rPr>
          <w:rFonts w:cs="Arial"/>
          <w:szCs w:val="22"/>
        </w:rPr>
        <w:t xml:space="preserve">50 mg.  </w:t>
      </w:r>
      <w:r w:rsidR="004946B7" w:rsidRPr="00D0126E">
        <w:rPr>
          <w:rFonts w:cs="Arial"/>
          <w:szCs w:val="22"/>
        </w:rPr>
        <w:t>The incidence per patient-year of all serious infections was 0.05; 95% CI: 0.04, 0.06, in patients receiving SIMPONI 100 mg and 0.03; 95% CI: 0.02, 0.04, in patients receiving SIMPONI 50 mg.</w:t>
      </w:r>
      <w:r w:rsidR="004946B7">
        <w:rPr>
          <w:rFonts w:cs="Arial"/>
          <w:szCs w:val="22"/>
        </w:rPr>
        <w:t xml:space="preserve">  </w:t>
      </w:r>
      <w:r w:rsidR="00A765D2">
        <w:rPr>
          <w:rFonts w:cs="Arial"/>
          <w:szCs w:val="22"/>
        </w:rPr>
        <w:t>These results may be confounded by the design</w:t>
      </w:r>
      <w:r w:rsidR="00EF7189">
        <w:rPr>
          <w:rFonts w:cs="Arial"/>
          <w:szCs w:val="22"/>
        </w:rPr>
        <w:t>s</w:t>
      </w:r>
      <w:r w:rsidR="00A765D2">
        <w:rPr>
          <w:rFonts w:cs="Arial"/>
          <w:szCs w:val="22"/>
        </w:rPr>
        <w:t xml:space="preserve"> of the Phase 3 studies and different durations of follow-up across treatment groups.  </w:t>
      </w:r>
    </w:p>
    <w:p w:rsidR="00306ED4" w:rsidRPr="00306ED4" w:rsidRDefault="00306ED4" w:rsidP="00D61C86">
      <w:pPr>
        <w:pStyle w:val="Heading3"/>
        <w:spacing w:before="120"/>
        <w:rPr>
          <w:b w:val="0"/>
          <w:bCs/>
          <w:u w:val="single"/>
        </w:rPr>
      </w:pPr>
      <w:r w:rsidRPr="00306ED4">
        <w:rPr>
          <w:b w:val="0"/>
          <w:u w:val="single"/>
        </w:rPr>
        <w:t>Malignancies</w:t>
      </w:r>
      <w:r w:rsidRPr="00306ED4">
        <w:rPr>
          <w:b w:val="0"/>
        </w:rPr>
        <w:t xml:space="preserve"> (see PRECAUTIONS)</w:t>
      </w:r>
    </w:p>
    <w:p w:rsidR="00231BF2" w:rsidRPr="008D4475" w:rsidRDefault="00231BF2" w:rsidP="00D61C86">
      <w:pPr>
        <w:pStyle w:val="Heading4"/>
        <w:spacing w:after="0"/>
      </w:pPr>
      <w:r w:rsidRPr="008D4475">
        <w:t>Lymphoma</w:t>
      </w:r>
    </w:p>
    <w:p w:rsidR="00DF618E" w:rsidRDefault="00DF618E" w:rsidP="00D61C86">
      <w:pPr>
        <w:spacing w:before="0"/>
      </w:pPr>
      <w:r w:rsidRPr="008D4475">
        <w:t xml:space="preserve">The incidence of lymphoma in </w:t>
      </w:r>
      <w:r w:rsidR="00643BFB">
        <w:t>SIMPONI</w:t>
      </w:r>
      <w:r w:rsidR="00103C03" w:rsidRPr="008D4475">
        <w:t>-</w:t>
      </w:r>
      <w:r w:rsidRPr="008D4475">
        <w:t xml:space="preserve">treated patients with RA, </w:t>
      </w:r>
      <w:proofErr w:type="spellStart"/>
      <w:r w:rsidRPr="008D4475">
        <w:t>PsA</w:t>
      </w:r>
      <w:proofErr w:type="spellEnd"/>
      <w:r w:rsidRPr="008D4475">
        <w:t xml:space="preserve"> and AS during the controlled portions of </w:t>
      </w:r>
      <w:r w:rsidR="00103C03" w:rsidRPr="008D4475">
        <w:t>P</w:t>
      </w:r>
      <w:r w:rsidRPr="008D4475">
        <w:t xml:space="preserve">hase </w:t>
      </w:r>
      <w:r w:rsidR="00103C03" w:rsidRPr="008D4475">
        <w:t>2</w:t>
      </w:r>
      <w:r w:rsidRPr="008D4475">
        <w:t xml:space="preserve">b and </w:t>
      </w:r>
      <w:r w:rsidR="00103C03" w:rsidRPr="008D4475">
        <w:t>Phase 3</w:t>
      </w:r>
      <w:r w:rsidRPr="008D4475">
        <w:t xml:space="preserve"> clinical trials</w:t>
      </w:r>
      <w:r w:rsidR="00EF7189">
        <w:t xml:space="preserve"> </w:t>
      </w:r>
      <w:r w:rsidR="004946B7">
        <w:t xml:space="preserve">and through approximately 3 years of follow up </w:t>
      </w:r>
      <w:r w:rsidRPr="008D4475">
        <w:t xml:space="preserve">was higher than expected in the general population. </w:t>
      </w:r>
    </w:p>
    <w:p w:rsidR="00FF588E" w:rsidRPr="008D4475" w:rsidRDefault="00FF588E" w:rsidP="00C37E79">
      <w:r>
        <w:t xml:space="preserve">In the controlled and uncontrolled portions of these trials through a median follow-up of </w:t>
      </w:r>
      <w:r w:rsidR="004946B7">
        <w:t>approximately 3</w:t>
      </w:r>
      <w:r>
        <w:t xml:space="preserve"> years, a greater incidence of lymphoma was observed in </w:t>
      </w:r>
      <w:r w:rsidR="004946B7">
        <w:t xml:space="preserve">patients receiving SIMPONI </w:t>
      </w:r>
      <w:r>
        <w:t xml:space="preserve">100 mg compared with </w:t>
      </w:r>
      <w:r w:rsidR="004946B7">
        <w:t xml:space="preserve">patients receiving SIMPONI </w:t>
      </w:r>
      <w:r>
        <w:t>50 mg.  These results may be confounded by the small number of events, designs of the phase 3 studies, and different durations of follow-up across treatment groups</w:t>
      </w:r>
      <w:r w:rsidRPr="009B2E19">
        <w:t xml:space="preserve">.  </w:t>
      </w:r>
      <w:r w:rsidR="002C5EBF" w:rsidRPr="009B2E19">
        <w:t xml:space="preserve">Lymphoma was diagnosed in 7 subjects (1 in the </w:t>
      </w:r>
      <w:proofErr w:type="spellStart"/>
      <w:r w:rsidR="002C5EBF" w:rsidRPr="009B2E19">
        <w:t>golimumab</w:t>
      </w:r>
      <w:proofErr w:type="spellEnd"/>
      <w:r w:rsidR="002C5EBF" w:rsidRPr="009B2E19">
        <w:t xml:space="preserve"> 50 mg treatment groups and 6 in the </w:t>
      </w:r>
      <w:proofErr w:type="spellStart"/>
      <w:r w:rsidR="002C5EBF" w:rsidRPr="009B2E19">
        <w:t>golimumab</w:t>
      </w:r>
      <w:proofErr w:type="spellEnd"/>
      <w:r w:rsidR="002C5EBF" w:rsidRPr="009B2E19">
        <w:t xml:space="preserve"> 100 mg treatment groups) with an incidence (95%, CI) per 100 subject-years of follow up of 0.04 (0.00, 0.24) and 0.18 (0.06, 0.38) events for </w:t>
      </w:r>
      <w:r w:rsidR="004C6430" w:rsidRPr="009B2E19">
        <w:t>SIMPONI</w:t>
      </w:r>
      <w:r w:rsidR="002C5EBF" w:rsidRPr="009B2E19">
        <w:t xml:space="preserve"> 50 mg and 100 mg respectively.  </w:t>
      </w:r>
      <w:r>
        <w:t xml:space="preserve">The majority of lymphomas occurred in </w:t>
      </w:r>
      <w:r w:rsidR="00EF7189">
        <w:t>GO-AFTER</w:t>
      </w:r>
      <w:r>
        <w:t>, which enrolled patients previously exposed to anti-</w:t>
      </w:r>
      <w:r w:rsidR="00571A79">
        <w:t>T</w:t>
      </w:r>
      <w:r w:rsidR="00D16ECD">
        <w:t>N</w:t>
      </w:r>
      <w:r>
        <w:t>F agents</w:t>
      </w:r>
      <w:r w:rsidR="00571A79">
        <w:t xml:space="preserve"> who had longer disease duration and more refractory disease.</w:t>
      </w:r>
      <w:r>
        <w:t xml:space="preserve"> </w:t>
      </w:r>
    </w:p>
    <w:p w:rsidR="00231BF2" w:rsidRPr="008D4475" w:rsidRDefault="00231BF2" w:rsidP="00D61C86">
      <w:pPr>
        <w:pStyle w:val="Heading4"/>
        <w:spacing w:after="0"/>
      </w:pPr>
      <w:r w:rsidRPr="008D4475">
        <w:t>Malignancies other than lymphoma</w:t>
      </w:r>
    </w:p>
    <w:p w:rsidR="00DF618E" w:rsidRDefault="00DF618E" w:rsidP="00C37E79">
      <w:r w:rsidRPr="008D4475">
        <w:t xml:space="preserve">In the controlled portions of the </w:t>
      </w:r>
      <w:r w:rsidR="00643BFB">
        <w:t>SIMPONI</w:t>
      </w:r>
      <w:r w:rsidR="00103C03" w:rsidRPr="008D4475">
        <w:t xml:space="preserve"> </w:t>
      </w:r>
      <w:r w:rsidRPr="008D4475">
        <w:t xml:space="preserve">Phase 2 and Phase 3 clinical trials in RA, </w:t>
      </w:r>
      <w:proofErr w:type="spellStart"/>
      <w:r w:rsidRPr="008D4475">
        <w:t>PsA</w:t>
      </w:r>
      <w:proofErr w:type="spellEnd"/>
      <w:r w:rsidRPr="008D4475">
        <w:t xml:space="preserve">, and AS, </w:t>
      </w:r>
      <w:r w:rsidR="0008726C">
        <w:t>the incidence of non-</w:t>
      </w:r>
      <w:r w:rsidRPr="008D4475">
        <w:t>lymphoma malignancies (exc</w:t>
      </w:r>
      <w:r w:rsidR="0008726C">
        <w:t>luding non-</w:t>
      </w:r>
      <w:r w:rsidRPr="008D4475">
        <w:t xml:space="preserve">melanoma skin cancer) was similar between the </w:t>
      </w:r>
      <w:r w:rsidR="00643BFB">
        <w:t>SIMPONI</w:t>
      </w:r>
      <w:r w:rsidR="00103C03" w:rsidRPr="008D4475">
        <w:t xml:space="preserve"> </w:t>
      </w:r>
      <w:r w:rsidRPr="008D4475">
        <w:t>and the control groups.</w:t>
      </w:r>
      <w:r w:rsidR="0060390A">
        <w:t xml:space="preserve">  Through </w:t>
      </w:r>
      <w:r w:rsidR="0060390A">
        <w:lastRenderedPageBreak/>
        <w:t>approximately 3 years of follow-up, the incidence of non-lymphoma malignancies was similar to the general population.</w:t>
      </w:r>
    </w:p>
    <w:p w:rsidR="00266955" w:rsidRDefault="0072396C" w:rsidP="00C37E79">
      <w:r w:rsidRPr="009154F2">
        <w:t xml:space="preserve">Through approximately 3 years of follow-up of the Phase 2b and Phase 3 studies in RA, </w:t>
      </w:r>
      <w:proofErr w:type="spellStart"/>
      <w:r w:rsidRPr="009154F2">
        <w:t>PsA</w:t>
      </w:r>
      <w:proofErr w:type="spellEnd"/>
      <w:r w:rsidRPr="009154F2">
        <w:t xml:space="preserve"> and AS, among patients receiving SIMPONI, non-melanoma skin cancer was diagnosed in 28 subjects (10 in SIMPONI 50 mg and 18 in SIMPONI 100 mg treatment groups) with an incidence (95% CI) per 100 subject-years of follow-up of 0.49 (0.33, 0.71) events for SIMPONI.</w:t>
      </w:r>
    </w:p>
    <w:p w:rsidR="007B1DF5" w:rsidRPr="008D4475" w:rsidRDefault="0072396C" w:rsidP="00C37E79">
      <w:r w:rsidRPr="009154F2">
        <w:t>Through approximately 3 years of follow-up, of the Phase 2b and Phase 3 studies in rheumatologic indications, among patients receiving SIMPONI, malignancies besides non-melanoma skin cancer and lymphoma were diagnosed in 32 subjects (18 in SIMPONI 50 mg and 14 in SIMPONI 100 mg treatment groups) with an incidence (95% CI) per 100 subject-years of follow-up of 0.56 (0.38, 0.79) events for SIMPONI.</w:t>
      </w:r>
    </w:p>
    <w:p w:rsidR="00DF618E" w:rsidRPr="00424EC5" w:rsidRDefault="00DF618E" w:rsidP="00D61C86">
      <w:pPr>
        <w:pStyle w:val="Heading4"/>
        <w:spacing w:before="240"/>
        <w:rPr>
          <w:rFonts w:ascii="Tahoma" w:hAnsi="Tahoma"/>
          <w:sz w:val="16"/>
          <w:u w:val="single"/>
        </w:rPr>
      </w:pPr>
      <w:r w:rsidRPr="008D4475">
        <w:t>Cases reported in clinical studies in asthma</w:t>
      </w:r>
    </w:p>
    <w:p w:rsidR="00DF618E" w:rsidRPr="008D4475" w:rsidRDefault="00DF618E" w:rsidP="00C37E79">
      <w:r w:rsidRPr="008D4475">
        <w:t xml:space="preserve">In an exploratory clinical study, patients with severe persistent asthma received a </w:t>
      </w:r>
      <w:proofErr w:type="spellStart"/>
      <w:r w:rsidRPr="008D4475">
        <w:t>golimumab</w:t>
      </w:r>
      <w:proofErr w:type="spellEnd"/>
      <w:r w:rsidRPr="008D4475">
        <w:t xml:space="preserve"> loading dose (150% of the assigned treatment dose) subcutaneously at </w:t>
      </w:r>
      <w:r w:rsidR="009C6804" w:rsidRPr="008D4475">
        <w:t>week</w:t>
      </w:r>
      <w:r w:rsidRPr="008D4475">
        <w:t xml:space="preserve"> 0 followed by </w:t>
      </w:r>
      <w:proofErr w:type="spellStart"/>
      <w:r w:rsidRPr="008D4475">
        <w:t>golimumab</w:t>
      </w:r>
      <w:proofErr w:type="spellEnd"/>
      <w:r w:rsidRPr="008D4475">
        <w:t xml:space="preserve"> 200 mg, </w:t>
      </w:r>
      <w:proofErr w:type="spellStart"/>
      <w:r w:rsidRPr="008D4475">
        <w:t>golimumab</w:t>
      </w:r>
      <w:proofErr w:type="spellEnd"/>
      <w:r w:rsidRPr="008D4475">
        <w:t xml:space="preserve"> 100 mg or </w:t>
      </w:r>
      <w:proofErr w:type="spellStart"/>
      <w:r w:rsidRPr="008D4475">
        <w:t>golimumab</w:t>
      </w:r>
      <w:proofErr w:type="spellEnd"/>
      <w:r w:rsidRPr="008D4475">
        <w:t xml:space="preserve"> 50 mg every 4 weeks subcutaneously through </w:t>
      </w:r>
      <w:r w:rsidR="009C6804" w:rsidRPr="008D4475">
        <w:t>week</w:t>
      </w:r>
      <w:r w:rsidRPr="008D4475">
        <w:t xml:space="preserve"> 52. Eight malignancies were reported in the combined </w:t>
      </w:r>
      <w:proofErr w:type="spellStart"/>
      <w:r w:rsidRPr="008D4475">
        <w:t>golimumab</w:t>
      </w:r>
      <w:proofErr w:type="spellEnd"/>
      <w:r w:rsidRPr="008D4475">
        <w:t xml:space="preserve"> treatment group (n=230) and none in the placebo treatment group (n=79). Lymphoma was reported in 1 patient, non-melanoma skin cancer in 2 patients, and other malignancies in 5 patients. There was no specific clustering of any type of malignancy.</w:t>
      </w:r>
    </w:p>
    <w:p w:rsidR="00DF618E" w:rsidRPr="008D4475" w:rsidRDefault="00DF618E" w:rsidP="00C37E79">
      <w:pPr>
        <w:rPr>
          <w:szCs w:val="22"/>
        </w:rPr>
      </w:pPr>
      <w:r w:rsidRPr="008D4475">
        <w:t xml:space="preserve">During the placebo-controlled portion of the study, the incidence (95% CI) of all malignancies per 100 subject-years of follow-up was 3.19 (1.38, 6.28) in the </w:t>
      </w:r>
      <w:proofErr w:type="spellStart"/>
      <w:r w:rsidRPr="008D4475">
        <w:t>golimumab</w:t>
      </w:r>
      <w:proofErr w:type="spellEnd"/>
      <w:r w:rsidRPr="008D4475">
        <w:t xml:space="preserve"> group. In this study, the incidence (95% CI) per 100 subject-years of follow-up in </w:t>
      </w:r>
      <w:proofErr w:type="spellStart"/>
      <w:r w:rsidRPr="008D4475">
        <w:t>golimumab</w:t>
      </w:r>
      <w:proofErr w:type="spellEnd"/>
      <w:r w:rsidRPr="008D4475">
        <w:t>-treated subjects was 0.40 (0.01, 2.20) for lymphoma, 0.79 (0.10, 2.86) for non-melanoma skin cancers, and 1.99 (0.64, 4.63) for other malignancies. For placebo subjects, the incidence (95% CI) per 100 subject-years of follow-up of these malignancies was 0.00 (0.00, 2.94). The significance of this finding is unknown.</w:t>
      </w:r>
    </w:p>
    <w:p w:rsidR="00231BF2" w:rsidRDefault="0008726C" w:rsidP="00C37E79">
      <w:pPr>
        <w:rPr>
          <w:rFonts w:cs="Arial"/>
          <w:szCs w:val="22"/>
        </w:rPr>
      </w:pPr>
      <w:r>
        <w:rPr>
          <w:rFonts w:cs="Arial"/>
          <w:szCs w:val="22"/>
        </w:rPr>
        <w:t>The potential role of TNF-</w:t>
      </w:r>
      <w:r w:rsidR="00231BF2" w:rsidRPr="008D4475">
        <w:rPr>
          <w:rFonts w:cs="Arial"/>
          <w:szCs w:val="22"/>
        </w:rPr>
        <w:t>blocking therapy in the development of malignancies is unknown.</w:t>
      </w:r>
    </w:p>
    <w:p w:rsidR="00A236A9" w:rsidRPr="00C37E79" w:rsidRDefault="00A236A9" w:rsidP="00D61C86">
      <w:pPr>
        <w:pStyle w:val="Heading3"/>
        <w:rPr>
          <w:b w:val="0"/>
          <w:u w:val="single"/>
        </w:rPr>
      </w:pPr>
      <w:proofErr w:type="spellStart"/>
      <w:r w:rsidRPr="00C37E79">
        <w:rPr>
          <w:b w:val="0"/>
          <w:u w:val="single"/>
        </w:rPr>
        <w:t>Demyelinating</w:t>
      </w:r>
      <w:proofErr w:type="spellEnd"/>
      <w:r w:rsidRPr="00C37E79">
        <w:rPr>
          <w:b w:val="0"/>
          <w:u w:val="single"/>
        </w:rPr>
        <w:t xml:space="preserve"> Disorders (see </w:t>
      </w:r>
      <w:r w:rsidR="008C2A35" w:rsidRPr="00C37E79">
        <w:rPr>
          <w:b w:val="0"/>
          <w:u w:val="single"/>
        </w:rPr>
        <w:t>P</w:t>
      </w:r>
      <w:r w:rsidRPr="00C37E79">
        <w:rPr>
          <w:b w:val="0"/>
          <w:u w:val="single"/>
        </w:rPr>
        <w:t>RECAUTIONS)</w:t>
      </w:r>
    </w:p>
    <w:p w:rsidR="00231BF2" w:rsidRPr="00CF5E69" w:rsidRDefault="00A236A9" w:rsidP="00C37E79">
      <w:pPr>
        <w:rPr>
          <w:rFonts w:cs="Arial"/>
          <w:szCs w:val="22"/>
        </w:rPr>
      </w:pPr>
      <w:r w:rsidRPr="00CF5E69">
        <w:rPr>
          <w:rFonts w:cs="Arial"/>
          <w:szCs w:val="22"/>
        </w:rPr>
        <w:t xml:space="preserve">In the controlled and uncontrolled portions of the Phase 2 RA and the phase 3 RA, </w:t>
      </w:r>
      <w:proofErr w:type="spellStart"/>
      <w:r w:rsidRPr="00CF5E69">
        <w:rPr>
          <w:rFonts w:cs="Arial"/>
          <w:szCs w:val="22"/>
        </w:rPr>
        <w:t>PsA</w:t>
      </w:r>
      <w:proofErr w:type="spellEnd"/>
      <w:r w:rsidRPr="00CF5E69">
        <w:rPr>
          <w:rFonts w:cs="Arial"/>
          <w:szCs w:val="22"/>
        </w:rPr>
        <w:t xml:space="preserve">, and AS trials with a </w:t>
      </w:r>
      <w:r w:rsidR="00433B5F">
        <w:rPr>
          <w:rFonts w:cs="Arial"/>
          <w:szCs w:val="22"/>
        </w:rPr>
        <w:t>median</w:t>
      </w:r>
      <w:r w:rsidR="00433B5F" w:rsidRPr="00CF5E69">
        <w:rPr>
          <w:rFonts w:cs="Arial"/>
          <w:szCs w:val="22"/>
        </w:rPr>
        <w:t xml:space="preserve"> </w:t>
      </w:r>
      <w:r w:rsidRPr="00CF5E69">
        <w:rPr>
          <w:rFonts w:cs="Arial"/>
          <w:szCs w:val="22"/>
        </w:rPr>
        <w:t xml:space="preserve">follow-up of </w:t>
      </w:r>
      <w:r w:rsidR="00433B5F">
        <w:rPr>
          <w:rFonts w:cs="Arial"/>
          <w:szCs w:val="22"/>
        </w:rPr>
        <w:t>approximately 3</w:t>
      </w:r>
      <w:r w:rsidRPr="00CF5E69">
        <w:rPr>
          <w:rFonts w:cs="Arial"/>
          <w:szCs w:val="22"/>
        </w:rPr>
        <w:t xml:space="preserve"> years, a greater incidence of </w:t>
      </w:r>
      <w:proofErr w:type="spellStart"/>
      <w:r w:rsidRPr="00CF5E69">
        <w:rPr>
          <w:rFonts w:cs="Arial"/>
          <w:szCs w:val="22"/>
        </w:rPr>
        <w:t>demyelination</w:t>
      </w:r>
      <w:proofErr w:type="spellEnd"/>
      <w:r w:rsidRPr="00CF5E69">
        <w:rPr>
          <w:rFonts w:cs="Arial"/>
          <w:szCs w:val="22"/>
        </w:rPr>
        <w:t xml:space="preserve"> was observed in </w:t>
      </w:r>
      <w:r w:rsidR="00433B5F">
        <w:rPr>
          <w:rFonts w:cs="Arial"/>
          <w:szCs w:val="22"/>
        </w:rPr>
        <w:t>patients receiving SIMPONI</w:t>
      </w:r>
      <w:r w:rsidR="00433B5F" w:rsidRPr="00CF5E69">
        <w:rPr>
          <w:rFonts w:cs="Arial"/>
          <w:szCs w:val="22"/>
        </w:rPr>
        <w:t xml:space="preserve"> </w:t>
      </w:r>
      <w:r w:rsidRPr="00CF5E69">
        <w:rPr>
          <w:rFonts w:cs="Arial"/>
          <w:szCs w:val="22"/>
        </w:rPr>
        <w:t xml:space="preserve">100 mg compared with </w:t>
      </w:r>
      <w:r w:rsidR="00433B5F">
        <w:rPr>
          <w:rFonts w:cs="Arial"/>
          <w:szCs w:val="22"/>
        </w:rPr>
        <w:t>patients receiving SIMPONI</w:t>
      </w:r>
      <w:r w:rsidR="00433B5F" w:rsidRPr="00CF5E69">
        <w:rPr>
          <w:rFonts w:cs="Arial"/>
          <w:szCs w:val="22"/>
        </w:rPr>
        <w:t xml:space="preserve"> </w:t>
      </w:r>
      <w:r w:rsidRPr="00CF5E69">
        <w:rPr>
          <w:rFonts w:cs="Arial"/>
          <w:szCs w:val="22"/>
        </w:rPr>
        <w:t xml:space="preserve">50 mg. These results may be confounded by the small number of events, designs of the Phase 3 studies, and different durations of follow-up across treatment groups. </w:t>
      </w:r>
    </w:p>
    <w:p w:rsidR="00231BF2" w:rsidRPr="00C37E79" w:rsidRDefault="005B1CE8" w:rsidP="00D61C86">
      <w:pPr>
        <w:pStyle w:val="Heading3"/>
        <w:spacing w:before="120"/>
        <w:rPr>
          <w:b w:val="0"/>
          <w:u w:val="single"/>
        </w:rPr>
      </w:pPr>
      <w:r w:rsidRPr="00C37E79">
        <w:rPr>
          <w:b w:val="0"/>
          <w:u w:val="single"/>
        </w:rPr>
        <w:t>Liver enzyme elevations</w:t>
      </w:r>
    </w:p>
    <w:p w:rsidR="00613D51" w:rsidRPr="008D4475" w:rsidRDefault="00613D51" w:rsidP="00C37E79">
      <w:bookmarkStart w:id="4" w:name="OLE_LINK1"/>
      <w:r w:rsidRPr="008D4475">
        <w:t>In the Phase 3 trials through week 16, ALT elevations were seen mor</w:t>
      </w:r>
      <w:r w:rsidR="0008726C">
        <w:t>e commonly than AST elevations.</w:t>
      </w:r>
      <w:r w:rsidRPr="008D4475">
        <w:t xml:space="preserve"> Among those subjects with normal ALT levels at baseline, proportions of ALT elevations were in general greater for treatment regimens that included MTX compared with treatment regimens that did not.</w:t>
      </w:r>
    </w:p>
    <w:p w:rsidR="00231BF2" w:rsidRPr="008D4475" w:rsidRDefault="008C6574" w:rsidP="00231BF2">
      <w:pPr>
        <w:rPr>
          <w:rFonts w:cs="Arial"/>
          <w:szCs w:val="22"/>
        </w:rPr>
      </w:pPr>
      <w:r w:rsidRPr="008D4475">
        <w:rPr>
          <w:rFonts w:cs="Arial"/>
          <w:szCs w:val="22"/>
        </w:rPr>
        <w:t xml:space="preserve">There have been reports of severe hepatic reactions including acute liver failure in patients receiving TNF-blockers. </w:t>
      </w:r>
      <w:r w:rsidR="00231BF2" w:rsidRPr="008D4475">
        <w:rPr>
          <w:rFonts w:cs="Arial"/>
          <w:szCs w:val="22"/>
        </w:rPr>
        <w:t xml:space="preserve">In controlled Phase 3 trials through </w:t>
      </w:r>
      <w:r w:rsidR="009C6804" w:rsidRPr="008D4475">
        <w:rPr>
          <w:rFonts w:cs="Arial"/>
          <w:szCs w:val="22"/>
        </w:rPr>
        <w:t>week</w:t>
      </w:r>
      <w:r w:rsidR="00231BF2" w:rsidRPr="008D4475">
        <w:rPr>
          <w:rFonts w:cs="Arial"/>
          <w:szCs w:val="22"/>
        </w:rPr>
        <w:t xml:space="preserve"> 16, mild ALT elevat</w:t>
      </w:r>
      <w:smartTag w:uri="urn:schemas-microsoft-com:office:smarttags" w:element="PersonName">
        <w:r w:rsidR="00231BF2" w:rsidRPr="008D4475">
          <w:rPr>
            <w:rFonts w:cs="Arial"/>
            <w:szCs w:val="22"/>
          </w:rPr>
          <w:t>ion</w:t>
        </w:r>
      </w:smartTag>
      <w:r w:rsidR="00231BF2" w:rsidRPr="008D4475">
        <w:rPr>
          <w:rFonts w:cs="Arial"/>
          <w:szCs w:val="22"/>
        </w:rPr>
        <w:t>s (&gt;</w:t>
      </w:r>
      <w:r w:rsidR="005B1CE8">
        <w:rPr>
          <w:rFonts w:cs="Arial"/>
          <w:szCs w:val="22"/>
        </w:rPr>
        <w:t xml:space="preserve"> </w:t>
      </w:r>
      <w:r w:rsidR="00231BF2" w:rsidRPr="008D4475">
        <w:rPr>
          <w:rFonts w:cs="Arial"/>
          <w:szCs w:val="22"/>
        </w:rPr>
        <w:t>1 and &lt;</w:t>
      </w:r>
      <w:r w:rsidR="005B1CE8">
        <w:rPr>
          <w:rFonts w:cs="Arial"/>
          <w:szCs w:val="22"/>
        </w:rPr>
        <w:t xml:space="preserve"> </w:t>
      </w:r>
      <w:r w:rsidR="00231BF2" w:rsidRPr="008D4475">
        <w:rPr>
          <w:rFonts w:cs="Arial"/>
          <w:szCs w:val="22"/>
        </w:rPr>
        <w:t>3 x ULN) occurred in similar proport</w:t>
      </w:r>
      <w:smartTag w:uri="urn:schemas-microsoft-com:office:smarttags" w:element="PersonName">
        <w:r w:rsidR="00231BF2" w:rsidRPr="008D4475">
          <w:rPr>
            <w:rFonts w:cs="Arial"/>
            <w:szCs w:val="22"/>
          </w:rPr>
          <w:t>ion</w:t>
        </w:r>
      </w:smartTag>
      <w:r w:rsidR="00231BF2" w:rsidRPr="008D4475">
        <w:rPr>
          <w:rFonts w:cs="Arial"/>
          <w:szCs w:val="22"/>
        </w:rPr>
        <w:t xml:space="preserve">s of </w:t>
      </w:r>
      <w:r w:rsidR="00643BFB">
        <w:rPr>
          <w:rFonts w:cs="Arial"/>
          <w:szCs w:val="22"/>
        </w:rPr>
        <w:t>SIMPONI</w:t>
      </w:r>
      <w:r w:rsidR="00231BF2" w:rsidRPr="008D4475">
        <w:rPr>
          <w:rFonts w:cs="Arial"/>
          <w:szCs w:val="22"/>
        </w:rPr>
        <w:t xml:space="preserve"> and control patients in the RA and </w:t>
      </w:r>
      <w:proofErr w:type="spellStart"/>
      <w:r w:rsidR="00231BF2" w:rsidRPr="008D4475">
        <w:rPr>
          <w:rFonts w:cs="Arial"/>
          <w:szCs w:val="22"/>
        </w:rPr>
        <w:t>PsA</w:t>
      </w:r>
      <w:proofErr w:type="spellEnd"/>
      <w:r w:rsidR="00231BF2" w:rsidRPr="008D4475">
        <w:rPr>
          <w:rFonts w:cs="Arial"/>
          <w:szCs w:val="22"/>
        </w:rPr>
        <w:t xml:space="preserve"> studies</w:t>
      </w:r>
      <w:r w:rsidR="00EE02A7" w:rsidRPr="008D4475">
        <w:rPr>
          <w:rFonts w:cs="Arial"/>
          <w:szCs w:val="22"/>
        </w:rPr>
        <w:t xml:space="preserve"> (22.1% to 27.4% of patients)</w:t>
      </w:r>
      <w:r w:rsidR="0008726C">
        <w:rPr>
          <w:rFonts w:cs="Arial"/>
          <w:szCs w:val="22"/>
        </w:rPr>
        <w:t xml:space="preserve">; in the AS study, more </w:t>
      </w:r>
      <w:r w:rsidR="00643BFB">
        <w:rPr>
          <w:rFonts w:cs="Arial"/>
          <w:szCs w:val="22"/>
        </w:rPr>
        <w:t>SIMPONI</w:t>
      </w:r>
      <w:r w:rsidR="0008726C">
        <w:rPr>
          <w:rFonts w:cs="Arial"/>
          <w:szCs w:val="22"/>
        </w:rPr>
        <w:t>-</w:t>
      </w:r>
      <w:r w:rsidR="00231BF2" w:rsidRPr="008D4475">
        <w:rPr>
          <w:rFonts w:cs="Arial"/>
          <w:szCs w:val="22"/>
        </w:rPr>
        <w:t xml:space="preserve">treated patients </w:t>
      </w:r>
      <w:r w:rsidR="00EE02A7" w:rsidRPr="008D4475">
        <w:rPr>
          <w:rFonts w:cs="Arial"/>
          <w:szCs w:val="22"/>
        </w:rPr>
        <w:t xml:space="preserve">(25.6%) </w:t>
      </w:r>
      <w:r w:rsidR="00231BF2" w:rsidRPr="008D4475">
        <w:rPr>
          <w:rFonts w:cs="Arial"/>
          <w:szCs w:val="22"/>
        </w:rPr>
        <w:t xml:space="preserve">than control patients </w:t>
      </w:r>
      <w:r w:rsidR="00EE02A7" w:rsidRPr="008D4475">
        <w:rPr>
          <w:rFonts w:cs="Arial"/>
          <w:szCs w:val="22"/>
        </w:rPr>
        <w:t xml:space="preserve">(3.9%) </w:t>
      </w:r>
      <w:r w:rsidR="00231BF2" w:rsidRPr="008D4475">
        <w:rPr>
          <w:rFonts w:cs="Arial"/>
          <w:szCs w:val="22"/>
        </w:rPr>
        <w:t>had mild ALT elevat</w:t>
      </w:r>
      <w:smartTag w:uri="urn:schemas-microsoft-com:office:smarttags" w:element="PersonName">
        <w:r w:rsidR="00231BF2" w:rsidRPr="008D4475">
          <w:rPr>
            <w:rFonts w:cs="Arial"/>
            <w:szCs w:val="22"/>
          </w:rPr>
          <w:t>ion</w:t>
        </w:r>
      </w:smartTag>
      <w:r w:rsidR="00231BF2" w:rsidRPr="008D4475">
        <w:rPr>
          <w:rFonts w:cs="Arial"/>
          <w:szCs w:val="22"/>
        </w:rPr>
        <w:t xml:space="preserve">s. </w:t>
      </w:r>
      <w:r w:rsidR="00EE02A7" w:rsidRPr="008D4475">
        <w:rPr>
          <w:rFonts w:cs="Arial"/>
          <w:szCs w:val="22"/>
        </w:rPr>
        <w:lastRenderedPageBreak/>
        <w:t xml:space="preserve">Through </w:t>
      </w:r>
      <w:r w:rsidR="00433B5F">
        <w:rPr>
          <w:rFonts w:cs="Arial"/>
          <w:szCs w:val="22"/>
        </w:rPr>
        <w:t>approximately 3</w:t>
      </w:r>
      <w:r w:rsidR="00EE02A7" w:rsidRPr="008D4475">
        <w:rPr>
          <w:rFonts w:cs="Arial"/>
          <w:szCs w:val="22"/>
        </w:rPr>
        <w:t> year</w:t>
      </w:r>
      <w:r w:rsidR="00433B5F">
        <w:rPr>
          <w:rFonts w:cs="Arial"/>
          <w:szCs w:val="22"/>
        </w:rPr>
        <w:t>s</w:t>
      </w:r>
      <w:r w:rsidR="00EE02A7" w:rsidRPr="008D4475">
        <w:rPr>
          <w:rFonts w:cs="Arial"/>
          <w:szCs w:val="22"/>
        </w:rPr>
        <w:t xml:space="preserve"> of follow</w:t>
      </w:r>
      <w:r w:rsidR="00E20C4D" w:rsidRPr="008D4475">
        <w:rPr>
          <w:rFonts w:cs="Arial"/>
          <w:szCs w:val="22"/>
        </w:rPr>
        <w:t>-</w:t>
      </w:r>
      <w:r w:rsidR="00EE02A7" w:rsidRPr="008D4475">
        <w:rPr>
          <w:rFonts w:cs="Arial"/>
          <w:szCs w:val="22"/>
        </w:rPr>
        <w:t xml:space="preserve">up, the incidence of mild ALT elevations was similar in the </w:t>
      </w:r>
      <w:r w:rsidR="00643BFB">
        <w:rPr>
          <w:rFonts w:cs="Arial"/>
          <w:szCs w:val="22"/>
        </w:rPr>
        <w:t>SIMPONI</w:t>
      </w:r>
      <w:r w:rsidR="00EE02A7" w:rsidRPr="008D4475">
        <w:rPr>
          <w:rFonts w:cs="Arial"/>
          <w:szCs w:val="22"/>
        </w:rPr>
        <w:t>-treated and control patie</w:t>
      </w:r>
      <w:r w:rsidR="00A577CE">
        <w:rPr>
          <w:rFonts w:cs="Arial"/>
          <w:szCs w:val="22"/>
        </w:rPr>
        <w:t xml:space="preserve">nts in the RA and </w:t>
      </w:r>
      <w:proofErr w:type="spellStart"/>
      <w:r w:rsidR="00A577CE">
        <w:rPr>
          <w:rFonts w:cs="Arial"/>
          <w:szCs w:val="22"/>
        </w:rPr>
        <w:t>PsA</w:t>
      </w:r>
      <w:proofErr w:type="spellEnd"/>
      <w:r w:rsidR="00A577CE">
        <w:rPr>
          <w:rFonts w:cs="Arial"/>
          <w:szCs w:val="22"/>
        </w:rPr>
        <w:t xml:space="preserve"> studies. </w:t>
      </w:r>
      <w:r w:rsidR="00EE02A7" w:rsidRPr="008D4475">
        <w:rPr>
          <w:rFonts w:cs="Arial"/>
          <w:szCs w:val="22"/>
        </w:rPr>
        <w:t xml:space="preserve">In the AS study, the incidence of mild ALT elevations was higher in </w:t>
      </w:r>
      <w:r w:rsidR="00643BFB">
        <w:rPr>
          <w:rFonts w:cs="Arial"/>
          <w:szCs w:val="22"/>
        </w:rPr>
        <w:t>SIMPONI</w:t>
      </w:r>
      <w:r w:rsidR="00EE02A7" w:rsidRPr="008D4475">
        <w:rPr>
          <w:rFonts w:cs="Arial"/>
          <w:szCs w:val="22"/>
        </w:rPr>
        <w:t>-treated patients than in control patients.</w:t>
      </w:r>
    </w:p>
    <w:p w:rsidR="00231BF2" w:rsidRPr="008D4475" w:rsidRDefault="00231BF2" w:rsidP="00231BF2">
      <w:pPr>
        <w:rPr>
          <w:rFonts w:cs="Arial"/>
          <w:szCs w:val="22"/>
        </w:rPr>
      </w:pPr>
      <w:r w:rsidRPr="008D4475">
        <w:rPr>
          <w:rFonts w:cs="Arial"/>
          <w:szCs w:val="22"/>
        </w:rPr>
        <w:t>In the RA and AS studies</w:t>
      </w:r>
      <w:r w:rsidR="00145D8F" w:rsidRPr="008D4475">
        <w:rPr>
          <w:rFonts w:ascii="Times New Roman" w:hAnsi="Times New Roman"/>
          <w:szCs w:val="22"/>
          <w:lang w:eastAsia="en-US"/>
        </w:rPr>
        <w:t xml:space="preserve"> </w:t>
      </w:r>
      <w:r w:rsidR="00145D8F" w:rsidRPr="008D4475">
        <w:rPr>
          <w:rFonts w:cs="Arial"/>
          <w:szCs w:val="22"/>
        </w:rPr>
        <w:t>through week 16</w:t>
      </w:r>
      <w:r w:rsidRPr="008D4475">
        <w:rPr>
          <w:rFonts w:cs="Arial"/>
          <w:szCs w:val="22"/>
        </w:rPr>
        <w:t>, ALT elevat</w:t>
      </w:r>
      <w:smartTag w:uri="urn:schemas-microsoft-com:office:smarttags" w:element="PersonName">
        <w:r w:rsidRPr="008D4475">
          <w:rPr>
            <w:rFonts w:cs="Arial"/>
            <w:szCs w:val="22"/>
          </w:rPr>
          <w:t>ion</w:t>
        </w:r>
      </w:smartTag>
      <w:r w:rsidRPr="008D4475">
        <w:rPr>
          <w:rFonts w:cs="Arial"/>
          <w:szCs w:val="22"/>
        </w:rPr>
        <w:t xml:space="preserve">s </w:t>
      </w:r>
      <w:r w:rsidRPr="008D4475">
        <w:rPr>
          <w:rFonts w:cs="Arial"/>
          <w:szCs w:val="22"/>
        </w:rPr>
        <w:sym w:font="Symbol" w:char="F0B3"/>
      </w:r>
      <w:r w:rsidR="005B1CE8">
        <w:rPr>
          <w:rFonts w:cs="Arial"/>
          <w:szCs w:val="22"/>
        </w:rPr>
        <w:t xml:space="preserve"> </w:t>
      </w:r>
      <w:r w:rsidRPr="008D4475">
        <w:rPr>
          <w:rFonts w:cs="Arial"/>
          <w:szCs w:val="22"/>
        </w:rPr>
        <w:t>5 x ULN were un</w:t>
      </w:r>
      <w:r w:rsidR="0008726C">
        <w:rPr>
          <w:rFonts w:cs="Arial"/>
          <w:szCs w:val="22"/>
        </w:rPr>
        <w:t xml:space="preserve">common and seen in more </w:t>
      </w:r>
      <w:r w:rsidR="00643BFB">
        <w:rPr>
          <w:rFonts w:cs="Arial"/>
          <w:szCs w:val="22"/>
        </w:rPr>
        <w:t>SIMPONI</w:t>
      </w:r>
      <w:r w:rsidR="0008726C">
        <w:rPr>
          <w:rFonts w:cs="Arial"/>
          <w:szCs w:val="22"/>
        </w:rPr>
        <w:t>-</w:t>
      </w:r>
      <w:r w:rsidRPr="008D4475">
        <w:rPr>
          <w:rFonts w:cs="Arial"/>
          <w:szCs w:val="22"/>
        </w:rPr>
        <w:t xml:space="preserve">treated patients </w:t>
      </w:r>
      <w:r w:rsidR="00145D8F" w:rsidRPr="008D4475">
        <w:rPr>
          <w:rFonts w:cs="Arial"/>
          <w:szCs w:val="22"/>
        </w:rPr>
        <w:t xml:space="preserve">(0.4% to 0.9%) </w:t>
      </w:r>
      <w:r w:rsidRPr="008D4475">
        <w:rPr>
          <w:rFonts w:cs="Arial"/>
          <w:szCs w:val="22"/>
        </w:rPr>
        <w:t>than control patients</w:t>
      </w:r>
      <w:r w:rsidR="00145D8F" w:rsidRPr="008D4475">
        <w:rPr>
          <w:rFonts w:cs="Arial"/>
          <w:szCs w:val="22"/>
        </w:rPr>
        <w:t xml:space="preserve"> (0.0%)</w:t>
      </w:r>
      <w:r w:rsidRPr="008D4475">
        <w:rPr>
          <w:rFonts w:cs="Arial"/>
          <w:szCs w:val="22"/>
        </w:rPr>
        <w:t xml:space="preserve">. This trend was not observed in the </w:t>
      </w:r>
      <w:proofErr w:type="spellStart"/>
      <w:r w:rsidRPr="008D4475">
        <w:rPr>
          <w:rFonts w:cs="Arial"/>
          <w:szCs w:val="22"/>
        </w:rPr>
        <w:t>PsA</w:t>
      </w:r>
      <w:proofErr w:type="spellEnd"/>
      <w:r w:rsidRPr="008D4475">
        <w:rPr>
          <w:rFonts w:cs="Arial"/>
          <w:szCs w:val="22"/>
        </w:rPr>
        <w:t xml:space="preserve"> populat</w:t>
      </w:r>
      <w:smartTag w:uri="urn:schemas-microsoft-com:office:smarttags" w:element="PersonName">
        <w:r w:rsidRPr="008D4475">
          <w:rPr>
            <w:rFonts w:cs="Arial"/>
            <w:szCs w:val="22"/>
          </w:rPr>
          <w:t>ion</w:t>
        </w:r>
      </w:smartTag>
      <w:r w:rsidRPr="008D4475">
        <w:rPr>
          <w:rFonts w:cs="Arial"/>
          <w:szCs w:val="22"/>
        </w:rPr>
        <w:t xml:space="preserve">. </w:t>
      </w:r>
      <w:r w:rsidR="00145D8F" w:rsidRPr="008D4475">
        <w:rPr>
          <w:rFonts w:cs="Arial"/>
          <w:bCs/>
          <w:szCs w:val="22"/>
        </w:rPr>
        <w:t xml:space="preserve">Through </w:t>
      </w:r>
      <w:r w:rsidR="00433B5F">
        <w:rPr>
          <w:rFonts w:cs="Arial"/>
          <w:bCs/>
          <w:szCs w:val="22"/>
        </w:rPr>
        <w:t xml:space="preserve">approximately </w:t>
      </w:r>
      <w:r w:rsidR="008C79F1">
        <w:rPr>
          <w:rFonts w:cs="Arial"/>
          <w:bCs/>
          <w:szCs w:val="22"/>
        </w:rPr>
        <w:t xml:space="preserve">3 </w:t>
      </w:r>
      <w:r w:rsidR="008C79F1" w:rsidRPr="008D4475">
        <w:rPr>
          <w:rFonts w:cs="Arial"/>
          <w:bCs/>
          <w:szCs w:val="22"/>
        </w:rPr>
        <w:t>years</w:t>
      </w:r>
      <w:r w:rsidR="00145D8F" w:rsidRPr="008D4475">
        <w:rPr>
          <w:rFonts w:cs="Arial"/>
          <w:bCs/>
          <w:szCs w:val="22"/>
        </w:rPr>
        <w:t xml:space="preserve"> of follow</w:t>
      </w:r>
      <w:r w:rsidR="00E20C4D" w:rsidRPr="008D4475">
        <w:rPr>
          <w:rFonts w:cs="Arial"/>
          <w:bCs/>
          <w:szCs w:val="22"/>
        </w:rPr>
        <w:t>-</w:t>
      </w:r>
      <w:r w:rsidR="00145D8F" w:rsidRPr="008D4475">
        <w:rPr>
          <w:rFonts w:cs="Arial"/>
          <w:bCs/>
          <w:szCs w:val="22"/>
        </w:rPr>
        <w:t xml:space="preserve">up, the incidence of ALT elevations ≥ 5 x ULN was similar in both </w:t>
      </w:r>
      <w:r w:rsidR="00643BFB">
        <w:rPr>
          <w:rFonts w:cs="Arial"/>
          <w:bCs/>
          <w:szCs w:val="22"/>
        </w:rPr>
        <w:t>SIMPONI</w:t>
      </w:r>
      <w:r w:rsidR="00145D8F" w:rsidRPr="008D4475">
        <w:rPr>
          <w:rFonts w:cs="Arial"/>
          <w:bCs/>
          <w:szCs w:val="22"/>
        </w:rPr>
        <w:t xml:space="preserve">-treated and control patients in the Phase 3 RA, </w:t>
      </w:r>
      <w:proofErr w:type="spellStart"/>
      <w:r w:rsidR="00145D8F" w:rsidRPr="008D4475">
        <w:rPr>
          <w:rFonts w:cs="Arial"/>
          <w:bCs/>
          <w:szCs w:val="22"/>
        </w:rPr>
        <w:t>PsA</w:t>
      </w:r>
      <w:proofErr w:type="spellEnd"/>
      <w:r w:rsidR="00145D8F" w:rsidRPr="008D4475">
        <w:rPr>
          <w:rFonts w:cs="Arial"/>
          <w:bCs/>
          <w:szCs w:val="22"/>
        </w:rPr>
        <w:t xml:space="preserve"> and AS studies.</w:t>
      </w:r>
      <w:r w:rsidR="00145D8F" w:rsidRPr="008D4475">
        <w:rPr>
          <w:rFonts w:cs="Arial"/>
          <w:szCs w:val="22"/>
        </w:rPr>
        <w:t xml:space="preserve"> </w:t>
      </w:r>
      <w:r w:rsidRPr="008D4475">
        <w:rPr>
          <w:rFonts w:cs="Arial"/>
          <w:szCs w:val="22"/>
        </w:rPr>
        <w:t>The majority of these elevat</w:t>
      </w:r>
      <w:smartTag w:uri="urn:schemas-microsoft-com:office:smarttags" w:element="PersonName">
        <w:r w:rsidRPr="008D4475">
          <w:rPr>
            <w:rFonts w:cs="Arial"/>
            <w:szCs w:val="22"/>
          </w:rPr>
          <w:t>ion</w:t>
        </w:r>
      </w:smartTag>
      <w:r w:rsidRPr="008D4475">
        <w:rPr>
          <w:rFonts w:cs="Arial"/>
          <w:szCs w:val="22"/>
        </w:rPr>
        <w:t>s were asymptomatic.</w:t>
      </w:r>
    </w:p>
    <w:bookmarkEnd w:id="4"/>
    <w:p w:rsidR="00DE1C16" w:rsidRPr="00C37E79" w:rsidRDefault="00DE1C16" w:rsidP="00C37E79">
      <w:pPr>
        <w:pStyle w:val="Heading3"/>
        <w:rPr>
          <w:b w:val="0"/>
          <w:u w:val="single"/>
        </w:rPr>
      </w:pPr>
      <w:proofErr w:type="spellStart"/>
      <w:r w:rsidRPr="00C37E79">
        <w:rPr>
          <w:b w:val="0"/>
          <w:u w:val="single"/>
        </w:rPr>
        <w:t>Hepatobiliary</w:t>
      </w:r>
      <w:proofErr w:type="spellEnd"/>
      <w:r w:rsidRPr="00C37E79">
        <w:rPr>
          <w:b w:val="0"/>
          <w:u w:val="single"/>
        </w:rPr>
        <w:t xml:space="preserve"> adverse events</w:t>
      </w:r>
    </w:p>
    <w:p w:rsidR="008D4475" w:rsidRPr="008D4475" w:rsidRDefault="008D4475" w:rsidP="00DE1C16">
      <w:r w:rsidRPr="008D4475">
        <w:t xml:space="preserve">In controlled Phase 3 trials in RA, </w:t>
      </w:r>
      <w:proofErr w:type="spellStart"/>
      <w:r w:rsidRPr="008D4475">
        <w:t>PsA</w:t>
      </w:r>
      <w:proofErr w:type="spellEnd"/>
      <w:r w:rsidRPr="008D4475">
        <w:t xml:space="preserve"> and AS through Week 16, the proportions of patients with </w:t>
      </w:r>
      <w:proofErr w:type="spellStart"/>
      <w:r w:rsidRPr="008D4475">
        <w:t>hepatobiliary</w:t>
      </w:r>
      <w:proofErr w:type="spellEnd"/>
      <w:r w:rsidRPr="008D4475">
        <w:t xml:space="preserve"> adverse events were 0.8% in the </w:t>
      </w:r>
      <w:r w:rsidR="00643BFB">
        <w:t>SIMPONI</w:t>
      </w:r>
      <w:r w:rsidR="0008726C">
        <w:t>-</w:t>
      </w:r>
      <w:r w:rsidRPr="008D4475">
        <w:t>treated patients and 0.6% in control patients.</w:t>
      </w:r>
    </w:p>
    <w:p w:rsidR="00A46AC9" w:rsidRPr="00C37E79" w:rsidRDefault="00A46AC9" w:rsidP="00C37E79">
      <w:pPr>
        <w:pStyle w:val="Heading3"/>
        <w:rPr>
          <w:b w:val="0"/>
          <w:u w:val="single"/>
        </w:rPr>
      </w:pPr>
      <w:r w:rsidRPr="00C37E79">
        <w:rPr>
          <w:b w:val="0"/>
          <w:u w:val="single"/>
        </w:rPr>
        <w:t xml:space="preserve">Psoriasis: New-Onset and Exacerbations </w:t>
      </w:r>
    </w:p>
    <w:p w:rsidR="00A46AC9" w:rsidRPr="008D4475" w:rsidRDefault="00A46AC9" w:rsidP="00854776">
      <w:r w:rsidRPr="008D4475">
        <w:t xml:space="preserve">Cases of new onset psoriasis, including </w:t>
      </w:r>
      <w:proofErr w:type="spellStart"/>
      <w:r w:rsidRPr="008D4475">
        <w:t>pustular</w:t>
      </w:r>
      <w:proofErr w:type="spellEnd"/>
      <w:r w:rsidRPr="008D4475">
        <w:t xml:space="preserve"> psoriasis and </w:t>
      </w:r>
      <w:proofErr w:type="spellStart"/>
      <w:r w:rsidRPr="008D4475">
        <w:t>palmoplantar</w:t>
      </w:r>
      <w:proofErr w:type="spellEnd"/>
      <w:r w:rsidRPr="008D4475">
        <w:t xml:space="preserve"> psoriasis, have been reported with the use of TNF-blockers, including </w:t>
      </w:r>
      <w:r w:rsidR="00643BFB">
        <w:t>SIMPONI</w:t>
      </w:r>
      <w:r w:rsidRPr="008D4475">
        <w:t xml:space="preserve">. Cases of exacerbation of pre-existing psoriasis have also been reported with the use of TNF-blockers. Many of these patients were taking concomitant </w:t>
      </w:r>
      <w:proofErr w:type="spellStart"/>
      <w:r w:rsidRPr="008D4475">
        <w:t>immunosuppressants</w:t>
      </w:r>
      <w:proofErr w:type="spellEnd"/>
      <w:r w:rsidRPr="008D4475">
        <w:t xml:space="preserve"> (e.g., MTX, corticosteroids). Some of these patients required hospitalisation. Most patients had improvement of their psoriasis following discontinuation of their TNF-blocker. Some patients have had recurrences of the psoriasis when they were re-challenged with a different TNF-blocker. Discontinuation of </w:t>
      </w:r>
      <w:r w:rsidR="00643BFB">
        <w:t>SIMPONI</w:t>
      </w:r>
      <w:r w:rsidRPr="008D4475">
        <w:t xml:space="preserve"> should be considered for severe cases and those that do not improve or that worsen despite topical treatments.</w:t>
      </w:r>
    </w:p>
    <w:p w:rsidR="00231BF2" w:rsidRPr="00C37E79" w:rsidRDefault="00231BF2" w:rsidP="00C37E79">
      <w:pPr>
        <w:pStyle w:val="Heading3"/>
        <w:rPr>
          <w:b w:val="0"/>
          <w:u w:val="single"/>
        </w:rPr>
      </w:pPr>
      <w:r w:rsidRPr="00C37E79">
        <w:rPr>
          <w:b w:val="0"/>
          <w:u w:val="single"/>
        </w:rPr>
        <w:t xml:space="preserve">Injection site reactions </w:t>
      </w:r>
    </w:p>
    <w:p w:rsidR="00231BF2" w:rsidRPr="008D4475" w:rsidRDefault="00231BF2" w:rsidP="00231BF2">
      <w:pPr>
        <w:rPr>
          <w:rFonts w:cs="Arial"/>
          <w:szCs w:val="22"/>
          <w:vertAlign w:val="superscript"/>
        </w:rPr>
      </w:pPr>
      <w:r w:rsidRPr="008D4475">
        <w:rPr>
          <w:rFonts w:cs="Arial"/>
          <w:szCs w:val="22"/>
        </w:rPr>
        <w:t xml:space="preserve">In controlled Phase 3 trials through </w:t>
      </w:r>
      <w:r w:rsidR="009C6804" w:rsidRPr="008D4475">
        <w:rPr>
          <w:rFonts w:cs="Arial"/>
          <w:szCs w:val="22"/>
        </w:rPr>
        <w:t>week</w:t>
      </w:r>
      <w:r w:rsidRPr="008D4475">
        <w:rPr>
          <w:rFonts w:cs="Arial"/>
          <w:szCs w:val="22"/>
        </w:rPr>
        <w:t xml:space="preserve"> 16 in </w:t>
      </w:r>
      <w:r w:rsidR="0008726C">
        <w:rPr>
          <w:rFonts w:cs="Arial"/>
          <w:szCs w:val="22"/>
        </w:rPr>
        <w:t xml:space="preserve">RA, </w:t>
      </w:r>
      <w:proofErr w:type="spellStart"/>
      <w:r w:rsidR="0008726C">
        <w:rPr>
          <w:rFonts w:cs="Arial"/>
          <w:szCs w:val="22"/>
        </w:rPr>
        <w:t>PsA</w:t>
      </w:r>
      <w:proofErr w:type="spellEnd"/>
      <w:r w:rsidR="0008726C">
        <w:rPr>
          <w:rFonts w:cs="Arial"/>
          <w:szCs w:val="22"/>
        </w:rPr>
        <w:t xml:space="preserve"> and AS, 5.8% of </w:t>
      </w:r>
      <w:r w:rsidR="00643BFB">
        <w:rPr>
          <w:rFonts w:cs="Arial"/>
          <w:szCs w:val="22"/>
        </w:rPr>
        <w:t>SIMPONI</w:t>
      </w:r>
      <w:r w:rsidR="0008726C">
        <w:rPr>
          <w:rFonts w:cs="Arial"/>
          <w:szCs w:val="22"/>
        </w:rPr>
        <w:t>-</w:t>
      </w:r>
      <w:r w:rsidRPr="008D4475">
        <w:rPr>
          <w:rFonts w:cs="Arial"/>
          <w:szCs w:val="22"/>
        </w:rPr>
        <w:t>treated patients had inject</w:t>
      </w:r>
      <w:smartTag w:uri="urn:schemas-microsoft-com:office:smarttags" w:element="PersonName">
        <w:r w:rsidRPr="008D4475">
          <w:rPr>
            <w:rFonts w:cs="Arial"/>
            <w:szCs w:val="22"/>
          </w:rPr>
          <w:t>ion</w:t>
        </w:r>
      </w:smartTag>
      <w:r w:rsidRPr="008D4475">
        <w:rPr>
          <w:rFonts w:cs="Arial"/>
          <w:szCs w:val="22"/>
        </w:rPr>
        <w:t xml:space="preserve"> site react</w:t>
      </w:r>
      <w:smartTag w:uri="urn:schemas-microsoft-com:office:smarttags" w:element="PersonName">
        <w:r w:rsidRPr="008D4475">
          <w:rPr>
            <w:rFonts w:cs="Arial"/>
            <w:szCs w:val="22"/>
          </w:rPr>
          <w:t>ion</w:t>
        </w:r>
      </w:smartTag>
      <w:r w:rsidRPr="008D4475">
        <w:rPr>
          <w:rFonts w:cs="Arial"/>
          <w:szCs w:val="22"/>
        </w:rPr>
        <w:t>s compared with 2.2% in control patients. The majority of the inject</w:t>
      </w:r>
      <w:smartTag w:uri="urn:schemas-microsoft-com:office:smarttags" w:element="PersonName">
        <w:r w:rsidRPr="008D4475">
          <w:rPr>
            <w:rFonts w:cs="Arial"/>
            <w:szCs w:val="22"/>
          </w:rPr>
          <w:t>ion</w:t>
        </w:r>
      </w:smartTag>
      <w:r w:rsidRPr="008D4475">
        <w:rPr>
          <w:rFonts w:cs="Arial"/>
          <w:szCs w:val="22"/>
        </w:rPr>
        <w:t xml:space="preserve"> site react</w:t>
      </w:r>
      <w:smartTag w:uri="urn:schemas-microsoft-com:office:smarttags" w:element="PersonName">
        <w:r w:rsidRPr="008D4475">
          <w:rPr>
            <w:rFonts w:cs="Arial"/>
            <w:szCs w:val="22"/>
          </w:rPr>
          <w:t>ion</w:t>
        </w:r>
      </w:smartTag>
      <w:r w:rsidRPr="008D4475">
        <w:rPr>
          <w:rFonts w:cs="Arial"/>
          <w:szCs w:val="22"/>
        </w:rPr>
        <w:t>s were mild and moderate and the most frequent manifestat</w:t>
      </w:r>
      <w:smartTag w:uri="urn:schemas-microsoft-com:office:smarttags" w:element="PersonName">
        <w:r w:rsidRPr="008D4475">
          <w:rPr>
            <w:rFonts w:cs="Arial"/>
            <w:szCs w:val="22"/>
          </w:rPr>
          <w:t>ion</w:t>
        </w:r>
      </w:smartTag>
      <w:r w:rsidRPr="008D4475">
        <w:rPr>
          <w:rFonts w:cs="Arial"/>
          <w:szCs w:val="22"/>
        </w:rPr>
        <w:t xml:space="preserve"> was inject</w:t>
      </w:r>
      <w:smartTag w:uri="urn:schemas-microsoft-com:office:smarttags" w:element="PersonName">
        <w:r w:rsidRPr="008D4475">
          <w:rPr>
            <w:rFonts w:cs="Arial"/>
            <w:szCs w:val="22"/>
          </w:rPr>
          <w:t>ion</w:t>
        </w:r>
      </w:smartTag>
      <w:r w:rsidRPr="008D4475">
        <w:rPr>
          <w:rFonts w:cs="Arial"/>
          <w:szCs w:val="22"/>
        </w:rPr>
        <w:t xml:space="preserve"> site </w:t>
      </w:r>
      <w:proofErr w:type="spellStart"/>
      <w:r w:rsidRPr="008D4475">
        <w:rPr>
          <w:rFonts w:cs="Arial"/>
          <w:szCs w:val="22"/>
        </w:rPr>
        <w:t>erythema</w:t>
      </w:r>
      <w:proofErr w:type="spellEnd"/>
      <w:r w:rsidRPr="008D4475">
        <w:rPr>
          <w:rFonts w:cs="Arial"/>
          <w:szCs w:val="22"/>
        </w:rPr>
        <w:t>.</w:t>
      </w:r>
    </w:p>
    <w:p w:rsidR="00231BF2" w:rsidRPr="008D4475" w:rsidRDefault="00231BF2" w:rsidP="00231BF2">
      <w:pPr>
        <w:rPr>
          <w:rFonts w:cs="Arial"/>
          <w:szCs w:val="22"/>
          <w:vertAlign w:val="superscript"/>
        </w:rPr>
      </w:pPr>
      <w:r w:rsidRPr="008D4475">
        <w:rPr>
          <w:rFonts w:cs="Arial"/>
          <w:szCs w:val="22"/>
        </w:rPr>
        <w:t xml:space="preserve">In controlled phase 2 and 3 trials in RA, </w:t>
      </w:r>
      <w:proofErr w:type="spellStart"/>
      <w:smartTag w:uri="urn:schemas-microsoft-com:office:smarttags" w:element="place">
        <w:smartTag w:uri="urn:schemas-microsoft-com:office:smarttags" w:element="City">
          <w:r w:rsidRPr="008D4475">
            <w:rPr>
              <w:rFonts w:cs="Arial"/>
              <w:szCs w:val="22"/>
            </w:rPr>
            <w:t>PsA</w:t>
          </w:r>
        </w:smartTag>
        <w:proofErr w:type="spellEnd"/>
        <w:r w:rsidRPr="008D4475">
          <w:rPr>
            <w:rFonts w:cs="Arial"/>
            <w:szCs w:val="22"/>
          </w:rPr>
          <w:t xml:space="preserve">, </w:t>
        </w:r>
        <w:smartTag w:uri="urn:schemas-microsoft-com:office:smarttags" w:element="State">
          <w:r w:rsidRPr="008D4475">
            <w:rPr>
              <w:rFonts w:cs="Arial"/>
              <w:szCs w:val="22"/>
            </w:rPr>
            <w:t>AS</w:t>
          </w:r>
        </w:smartTag>
      </w:smartTag>
      <w:r w:rsidRPr="008D4475">
        <w:rPr>
          <w:rFonts w:cs="Arial"/>
          <w:szCs w:val="22"/>
        </w:rPr>
        <w:t xml:space="preserve"> and severe persistent asthma, no patients treated with </w:t>
      </w:r>
      <w:r w:rsidR="00643BFB">
        <w:rPr>
          <w:rFonts w:cs="Arial"/>
          <w:szCs w:val="22"/>
        </w:rPr>
        <w:t>SIMPONI</w:t>
      </w:r>
      <w:r w:rsidRPr="008D4475">
        <w:rPr>
          <w:rFonts w:cs="Arial"/>
          <w:szCs w:val="22"/>
        </w:rPr>
        <w:t xml:space="preserve"> developed anaphylactic reactions.</w:t>
      </w:r>
    </w:p>
    <w:p w:rsidR="00231BF2" w:rsidRPr="00C37E79" w:rsidRDefault="00231BF2" w:rsidP="00C37E79">
      <w:pPr>
        <w:pStyle w:val="Heading3"/>
        <w:rPr>
          <w:b w:val="0"/>
          <w:u w:val="single"/>
        </w:rPr>
      </w:pPr>
      <w:r w:rsidRPr="00C37E79">
        <w:rPr>
          <w:b w:val="0"/>
          <w:u w:val="single"/>
        </w:rPr>
        <w:t>An</w:t>
      </w:r>
      <w:r w:rsidR="0008726C" w:rsidRPr="00C37E79">
        <w:rPr>
          <w:b w:val="0"/>
          <w:u w:val="single"/>
        </w:rPr>
        <w:t>tinuclear antibodies (ANA)/anti-double-</w:t>
      </w:r>
      <w:r w:rsidRPr="00C37E79">
        <w:rPr>
          <w:b w:val="0"/>
          <w:u w:val="single"/>
        </w:rPr>
        <w:t>stranded DNA (</w:t>
      </w:r>
      <w:proofErr w:type="spellStart"/>
      <w:r w:rsidRPr="00C37E79">
        <w:rPr>
          <w:b w:val="0"/>
          <w:u w:val="single"/>
        </w:rPr>
        <w:t>dsDNA</w:t>
      </w:r>
      <w:proofErr w:type="spellEnd"/>
      <w:r w:rsidRPr="00C37E79">
        <w:rPr>
          <w:b w:val="0"/>
          <w:u w:val="single"/>
        </w:rPr>
        <w:t xml:space="preserve">) antibodies </w:t>
      </w:r>
    </w:p>
    <w:p w:rsidR="00231BF2" w:rsidRPr="008D4475" w:rsidRDefault="00231BF2" w:rsidP="00231BF2">
      <w:pPr>
        <w:rPr>
          <w:rFonts w:cs="Arial"/>
          <w:szCs w:val="22"/>
          <w:vertAlign w:val="superscript"/>
        </w:rPr>
      </w:pPr>
      <w:r w:rsidRPr="008D4475">
        <w:rPr>
          <w:rFonts w:cs="Arial"/>
          <w:bCs/>
          <w:szCs w:val="22"/>
        </w:rPr>
        <w:t xml:space="preserve">Use of </w:t>
      </w:r>
      <w:r w:rsidR="00E20C4D" w:rsidRPr="008D4475">
        <w:rPr>
          <w:rFonts w:cs="Arial"/>
          <w:bCs/>
          <w:szCs w:val="22"/>
        </w:rPr>
        <w:t>TNF-block</w:t>
      </w:r>
      <w:r w:rsidRPr="008D4475">
        <w:rPr>
          <w:rFonts w:cs="Arial"/>
          <w:bCs/>
          <w:szCs w:val="22"/>
        </w:rPr>
        <w:t>ing agents has been associated with the format</w:t>
      </w:r>
      <w:smartTag w:uri="urn:schemas-microsoft-com:office:smarttags" w:element="PersonName">
        <w:r w:rsidRPr="008D4475">
          <w:rPr>
            <w:rFonts w:cs="Arial"/>
            <w:bCs/>
            <w:szCs w:val="22"/>
          </w:rPr>
          <w:t>ion</w:t>
        </w:r>
      </w:smartTag>
      <w:r w:rsidRPr="008D4475">
        <w:rPr>
          <w:rFonts w:cs="Arial"/>
          <w:bCs/>
          <w:szCs w:val="22"/>
        </w:rPr>
        <w:t xml:space="preserve"> of </w:t>
      </w:r>
      <w:proofErr w:type="spellStart"/>
      <w:r w:rsidRPr="008D4475">
        <w:rPr>
          <w:rFonts w:cs="Arial"/>
          <w:bCs/>
          <w:szCs w:val="22"/>
        </w:rPr>
        <w:t>autoantibodies</w:t>
      </w:r>
      <w:proofErr w:type="spellEnd"/>
      <w:r w:rsidRPr="008D4475">
        <w:rPr>
          <w:rFonts w:cs="Arial"/>
          <w:bCs/>
          <w:szCs w:val="22"/>
        </w:rPr>
        <w:t xml:space="preserve"> and, rarely, </w:t>
      </w:r>
      <w:r w:rsidR="005D0D70" w:rsidRPr="008D4475">
        <w:rPr>
          <w:rFonts w:cs="Arial"/>
          <w:bCs/>
          <w:szCs w:val="22"/>
        </w:rPr>
        <w:t xml:space="preserve">with </w:t>
      </w:r>
      <w:r w:rsidR="0008726C">
        <w:rPr>
          <w:rFonts w:cs="Arial"/>
          <w:bCs/>
          <w:szCs w:val="22"/>
        </w:rPr>
        <w:t>the development of a lupus-</w:t>
      </w:r>
      <w:r w:rsidRPr="008D4475">
        <w:rPr>
          <w:rFonts w:cs="Arial"/>
          <w:bCs/>
          <w:szCs w:val="22"/>
        </w:rPr>
        <w:t>like syndrome.</w:t>
      </w:r>
    </w:p>
    <w:p w:rsidR="00231BF2" w:rsidRDefault="00145D8F" w:rsidP="00231BF2">
      <w:pPr>
        <w:rPr>
          <w:rFonts w:cs="Arial"/>
          <w:szCs w:val="22"/>
        </w:rPr>
      </w:pPr>
      <w:r w:rsidRPr="008D4475">
        <w:rPr>
          <w:rFonts w:cs="Arial"/>
          <w:szCs w:val="22"/>
        </w:rPr>
        <w:t xml:space="preserve">In Phase 3 trials in RA, </w:t>
      </w:r>
      <w:proofErr w:type="spellStart"/>
      <w:r w:rsidRPr="008D4475">
        <w:rPr>
          <w:rFonts w:cs="Arial"/>
          <w:szCs w:val="22"/>
        </w:rPr>
        <w:t>PsA</w:t>
      </w:r>
      <w:proofErr w:type="spellEnd"/>
      <w:r w:rsidRPr="008D4475">
        <w:rPr>
          <w:rFonts w:cs="Arial"/>
          <w:szCs w:val="22"/>
        </w:rPr>
        <w:t>, and AS at 1 year of follow</w:t>
      </w:r>
      <w:r w:rsidR="00E20C4D" w:rsidRPr="008D4475">
        <w:rPr>
          <w:rFonts w:cs="Arial"/>
          <w:szCs w:val="22"/>
        </w:rPr>
        <w:t>-</w:t>
      </w:r>
      <w:r w:rsidRPr="008D4475">
        <w:rPr>
          <w:rFonts w:cs="Arial"/>
          <w:szCs w:val="22"/>
        </w:rPr>
        <w:t xml:space="preserve">up, 4.0% of </w:t>
      </w:r>
      <w:r w:rsidR="00643BFB">
        <w:rPr>
          <w:rFonts w:cs="Arial"/>
          <w:szCs w:val="22"/>
        </w:rPr>
        <w:t>SIMPONI</w:t>
      </w:r>
      <w:r w:rsidRPr="008D4475">
        <w:rPr>
          <w:rFonts w:cs="Arial"/>
          <w:szCs w:val="22"/>
        </w:rPr>
        <w:t>-treated patients and 2.6% of control patients were newly ANA-positive (at titr</w:t>
      </w:r>
      <w:r w:rsidR="007E19E2" w:rsidRPr="008D4475">
        <w:rPr>
          <w:rFonts w:cs="Arial"/>
          <w:szCs w:val="22"/>
        </w:rPr>
        <w:t>e</w:t>
      </w:r>
      <w:r w:rsidRPr="008D4475">
        <w:rPr>
          <w:rFonts w:cs="Arial"/>
          <w:szCs w:val="22"/>
        </w:rPr>
        <w:t>s of 1:160 or greater) compared with baseline. The frequency of anti-</w:t>
      </w:r>
      <w:proofErr w:type="spellStart"/>
      <w:r w:rsidRPr="008D4475">
        <w:rPr>
          <w:rFonts w:cs="Arial"/>
          <w:szCs w:val="22"/>
        </w:rPr>
        <w:t>dsDNA</w:t>
      </w:r>
      <w:proofErr w:type="spellEnd"/>
      <w:r w:rsidRPr="008D4475">
        <w:rPr>
          <w:rFonts w:cs="Arial"/>
          <w:szCs w:val="22"/>
        </w:rPr>
        <w:t xml:space="preserve"> antibodies at 1 year of follow</w:t>
      </w:r>
      <w:r w:rsidR="00E20C4D" w:rsidRPr="008D4475">
        <w:rPr>
          <w:rFonts w:cs="Arial"/>
          <w:szCs w:val="22"/>
        </w:rPr>
        <w:t>-</w:t>
      </w:r>
      <w:r w:rsidRPr="008D4475">
        <w:rPr>
          <w:rFonts w:cs="Arial"/>
          <w:szCs w:val="22"/>
        </w:rPr>
        <w:t xml:space="preserve">up in patients </w:t>
      </w:r>
      <w:r w:rsidR="00E20C4D" w:rsidRPr="008D4475">
        <w:rPr>
          <w:rFonts w:cs="Arial"/>
          <w:szCs w:val="22"/>
        </w:rPr>
        <w:t xml:space="preserve">with </w:t>
      </w:r>
      <w:r w:rsidR="0008726C">
        <w:rPr>
          <w:rFonts w:cs="Arial"/>
          <w:szCs w:val="22"/>
        </w:rPr>
        <w:t>anti-</w:t>
      </w:r>
      <w:proofErr w:type="spellStart"/>
      <w:r w:rsidRPr="008D4475">
        <w:rPr>
          <w:rFonts w:cs="Arial"/>
          <w:szCs w:val="22"/>
        </w:rPr>
        <w:t>dsDNA</w:t>
      </w:r>
      <w:proofErr w:type="spellEnd"/>
      <w:r w:rsidRPr="008D4475">
        <w:rPr>
          <w:rFonts w:cs="Arial"/>
          <w:szCs w:val="22"/>
        </w:rPr>
        <w:t xml:space="preserve"> negative at baseline was uncommon.</w:t>
      </w:r>
    </w:p>
    <w:p w:rsidR="00E61893" w:rsidRPr="005F5F7A" w:rsidRDefault="00BF443F" w:rsidP="00C37E79">
      <w:pPr>
        <w:pStyle w:val="Heading2"/>
        <w:pageBreakBefore/>
        <w:spacing w:after="120"/>
      </w:pPr>
      <w:r w:rsidRPr="00BF443F">
        <w:lastRenderedPageBreak/>
        <w:t>DOSAGE AND ADMINISTRATION</w:t>
      </w:r>
    </w:p>
    <w:p w:rsidR="00081D87" w:rsidRPr="00C37E79" w:rsidRDefault="00081D87" w:rsidP="00C37E79">
      <w:pPr>
        <w:pStyle w:val="Heading3"/>
        <w:rPr>
          <w:b w:val="0"/>
          <w:u w:val="single"/>
        </w:rPr>
      </w:pPr>
      <w:bookmarkStart w:id="5" w:name="OLE_LINK3"/>
      <w:r w:rsidRPr="00C37E79">
        <w:rPr>
          <w:b w:val="0"/>
          <w:u w:val="single"/>
        </w:rPr>
        <w:t>Rheumatoid arthritis</w:t>
      </w:r>
    </w:p>
    <w:p w:rsidR="00081D87" w:rsidRPr="008D4475" w:rsidRDefault="00643BFB" w:rsidP="00C37E79">
      <w:pPr>
        <w:rPr>
          <w:vertAlign w:val="superscript"/>
        </w:rPr>
      </w:pPr>
      <w:r>
        <w:t>SIMPONI</w:t>
      </w:r>
      <w:r w:rsidR="00081D87" w:rsidRPr="008D4475">
        <w:t xml:space="preserve"> 50 mg given as a subcutaneous injection once a month, on the same date each month.</w:t>
      </w:r>
    </w:p>
    <w:p w:rsidR="00081D87" w:rsidRPr="00C37E79" w:rsidRDefault="00081D87" w:rsidP="00C37E79">
      <w:pPr>
        <w:pStyle w:val="Heading3"/>
        <w:rPr>
          <w:b w:val="0"/>
          <w:u w:val="single"/>
        </w:rPr>
      </w:pPr>
      <w:r w:rsidRPr="00C37E79">
        <w:rPr>
          <w:b w:val="0"/>
          <w:u w:val="single"/>
        </w:rPr>
        <w:t>Psoriatic arthritis</w:t>
      </w:r>
    </w:p>
    <w:p w:rsidR="00081D87" w:rsidRPr="008D4475" w:rsidRDefault="00643BFB" w:rsidP="00C37E79">
      <w:pPr>
        <w:rPr>
          <w:vertAlign w:val="superscript"/>
        </w:rPr>
      </w:pPr>
      <w:r>
        <w:t>SIMPONI</w:t>
      </w:r>
      <w:r w:rsidR="00081D87" w:rsidRPr="008D4475">
        <w:t xml:space="preserve"> 50 mg given as a subcutaneous injection once a month, on the same date each month.</w:t>
      </w:r>
    </w:p>
    <w:p w:rsidR="00081D87" w:rsidRPr="00C37E79" w:rsidRDefault="00081D87" w:rsidP="00C37E79">
      <w:pPr>
        <w:pStyle w:val="Heading3"/>
        <w:rPr>
          <w:b w:val="0"/>
          <w:u w:val="single"/>
        </w:rPr>
      </w:pPr>
      <w:r w:rsidRPr="00C37E79">
        <w:rPr>
          <w:b w:val="0"/>
          <w:u w:val="single"/>
        </w:rPr>
        <w:t>Ankylosing spondylitis</w:t>
      </w:r>
    </w:p>
    <w:p w:rsidR="00081D87" w:rsidRPr="008D4475" w:rsidRDefault="00643BFB" w:rsidP="00C37E79">
      <w:pPr>
        <w:rPr>
          <w:vertAlign w:val="superscript"/>
        </w:rPr>
      </w:pPr>
      <w:r>
        <w:t>SIMPONI</w:t>
      </w:r>
      <w:r w:rsidR="00081D87" w:rsidRPr="008D4475">
        <w:t xml:space="preserve"> 50 mg given as a subcutaneous inject</w:t>
      </w:r>
      <w:smartTag w:uri="urn:schemas-microsoft-com:office:smarttags" w:element="PersonName">
        <w:r w:rsidR="00081D87" w:rsidRPr="008D4475">
          <w:t>ion</w:t>
        </w:r>
      </w:smartTag>
      <w:r w:rsidR="00081D87" w:rsidRPr="008D4475">
        <w:t xml:space="preserve"> once a mon</w:t>
      </w:r>
      <w:r w:rsidR="0008726C">
        <w:t>th, on the same date each month</w:t>
      </w:r>
    </w:p>
    <w:p w:rsidR="00B33322" w:rsidRPr="008D4475" w:rsidRDefault="00643BFB" w:rsidP="00C37E79">
      <w:pPr>
        <w:rPr>
          <w:rFonts w:cs="Arial"/>
          <w:szCs w:val="22"/>
        </w:rPr>
      </w:pPr>
      <w:r>
        <w:rPr>
          <w:rFonts w:cs="Arial"/>
          <w:szCs w:val="22"/>
        </w:rPr>
        <w:t>SIMPONI</w:t>
      </w:r>
      <w:r w:rsidR="00B33322" w:rsidRPr="008D4475">
        <w:rPr>
          <w:rFonts w:cs="Arial"/>
          <w:szCs w:val="22"/>
        </w:rPr>
        <w:t xml:space="preserve"> treatment is to be initiated and supervised by qualified physicians </w:t>
      </w:r>
      <w:bookmarkEnd w:id="5"/>
      <w:r w:rsidR="00B33322" w:rsidRPr="008D4475">
        <w:rPr>
          <w:rFonts w:cs="Arial"/>
          <w:szCs w:val="22"/>
        </w:rPr>
        <w:t xml:space="preserve">experienced in the diagnosis and treatment of rheumatoid arthritis, psoriatic arthritis or </w:t>
      </w:r>
      <w:proofErr w:type="spellStart"/>
      <w:r w:rsidR="00B33322" w:rsidRPr="008D4475">
        <w:rPr>
          <w:rFonts w:cs="Arial"/>
          <w:szCs w:val="22"/>
        </w:rPr>
        <w:t>ankylosing</w:t>
      </w:r>
      <w:proofErr w:type="spellEnd"/>
      <w:r w:rsidR="00B33322" w:rsidRPr="008D4475">
        <w:rPr>
          <w:rFonts w:cs="Arial"/>
          <w:szCs w:val="22"/>
        </w:rPr>
        <w:t xml:space="preserve"> </w:t>
      </w:r>
      <w:proofErr w:type="spellStart"/>
      <w:r w:rsidR="00B33322" w:rsidRPr="008D4475">
        <w:rPr>
          <w:rFonts w:cs="Arial"/>
          <w:szCs w:val="22"/>
        </w:rPr>
        <w:t>spondylitis</w:t>
      </w:r>
      <w:proofErr w:type="spellEnd"/>
      <w:r w:rsidR="00B33322" w:rsidRPr="008D4475">
        <w:rPr>
          <w:rFonts w:cs="Arial"/>
          <w:szCs w:val="22"/>
        </w:rPr>
        <w:t>.</w:t>
      </w:r>
    </w:p>
    <w:p w:rsidR="00B33322" w:rsidRPr="008D4475" w:rsidRDefault="00B33322" w:rsidP="00C37E79">
      <w:pPr>
        <w:rPr>
          <w:rFonts w:cs="Arial"/>
          <w:szCs w:val="22"/>
        </w:rPr>
      </w:pPr>
      <w:r w:rsidRPr="008D4475">
        <w:rPr>
          <w:rFonts w:cs="Arial"/>
          <w:szCs w:val="22"/>
        </w:rPr>
        <w:t>After proper training in SC inject</w:t>
      </w:r>
      <w:smartTag w:uri="urn:schemas-microsoft-com:office:smarttags" w:element="PersonName">
        <w:r w:rsidRPr="008D4475">
          <w:rPr>
            <w:rFonts w:cs="Arial"/>
            <w:szCs w:val="22"/>
          </w:rPr>
          <w:t>ion</w:t>
        </w:r>
      </w:smartTag>
      <w:r w:rsidR="0008726C">
        <w:rPr>
          <w:rFonts w:cs="Arial"/>
          <w:szCs w:val="22"/>
        </w:rPr>
        <w:t xml:space="preserve"> technique, patients may self-</w:t>
      </w:r>
      <w:r w:rsidRPr="008D4475">
        <w:rPr>
          <w:rFonts w:cs="Arial"/>
          <w:szCs w:val="22"/>
        </w:rPr>
        <w:t xml:space="preserve">inject with </w:t>
      </w:r>
      <w:r w:rsidR="00643BFB">
        <w:rPr>
          <w:rFonts w:cs="Arial"/>
          <w:szCs w:val="22"/>
        </w:rPr>
        <w:t>SIMPONI</w:t>
      </w:r>
      <w:r w:rsidRPr="008D4475">
        <w:rPr>
          <w:rFonts w:cs="Arial"/>
          <w:szCs w:val="22"/>
        </w:rPr>
        <w:t xml:space="preserve"> if their physician determines that this is a</w:t>
      </w:r>
      <w:r w:rsidR="0008726C">
        <w:rPr>
          <w:rFonts w:cs="Arial"/>
          <w:szCs w:val="22"/>
        </w:rPr>
        <w:t>ppropriate, with medical follow-</w:t>
      </w:r>
      <w:r w:rsidRPr="008D4475">
        <w:rPr>
          <w:rFonts w:cs="Arial"/>
          <w:szCs w:val="22"/>
        </w:rPr>
        <w:t>up as necessary.</w:t>
      </w:r>
    </w:p>
    <w:p w:rsidR="00B33322" w:rsidRPr="005B1CE8" w:rsidRDefault="00B33322" w:rsidP="00C37E79">
      <w:pPr>
        <w:pStyle w:val="Heading3"/>
        <w:rPr>
          <w:bCs/>
        </w:rPr>
      </w:pPr>
      <w:r w:rsidRPr="008D4475">
        <w:t>Elderly patients (≥</w:t>
      </w:r>
      <w:r w:rsidR="00BD7A58">
        <w:t xml:space="preserve"> </w:t>
      </w:r>
      <w:r w:rsidRPr="008D4475">
        <w:t>65 years)</w:t>
      </w:r>
    </w:p>
    <w:p w:rsidR="00B33322" w:rsidRPr="005B1CE8" w:rsidRDefault="00B33322" w:rsidP="00C37E79">
      <w:pPr>
        <w:rPr>
          <w:bCs/>
          <w:u w:val="single"/>
        </w:rPr>
      </w:pPr>
      <w:r w:rsidRPr="008D4475">
        <w:t>No dosage adjustment is required in the elderly.</w:t>
      </w:r>
    </w:p>
    <w:p w:rsidR="00B33322" w:rsidRPr="005B1CE8" w:rsidRDefault="00B33322" w:rsidP="00C37E79">
      <w:pPr>
        <w:pStyle w:val="Heading3"/>
        <w:rPr>
          <w:bCs/>
        </w:rPr>
      </w:pPr>
      <w:r w:rsidRPr="008D4475">
        <w:t>Paediatric patients (&lt;</w:t>
      </w:r>
      <w:r w:rsidR="00BD7A58">
        <w:t xml:space="preserve"> </w:t>
      </w:r>
      <w:r w:rsidRPr="008D4475">
        <w:t>18 years)</w:t>
      </w:r>
    </w:p>
    <w:p w:rsidR="00B33322" w:rsidRPr="008D4475" w:rsidRDefault="00643BFB" w:rsidP="00C37E79">
      <w:r>
        <w:t>SIMPONI</w:t>
      </w:r>
      <w:r w:rsidR="00B33322" w:rsidRPr="008D4475">
        <w:t xml:space="preserve"> is not recommended for use in children below age 18 due to a lack of data on efficacy and safety.</w:t>
      </w:r>
    </w:p>
    <w:p w:rsidR="00B33322" w:rsidRPr="00BD7A58" w:rsidRDefault="00B33322" w:rsidP="00C37E79">
      <w:pPr>
        <w:pStyle w:val="Heading3"/>
        <w:rPr>
          <w:bCs/>
        </w:rPr>
      </w:pPr>
      <w:r w:rsidRPr="008D4475">
        <w:t>Patients with impaired renal and/or hepatic function</w:t>
      </w:r>
    </w:p>
    <w:p w:rsidR="00B33322" w:rsidRPr="008D4475" w:rsidRDefault="00643BFB" w:rsidP="00C37E79">
      <w:r>
        <w:t>SIMPONI</w:t>
      </w:r>
      <w:r w:rsidR="00B33322" w:rsidRPr="008D4475">
        <w:t xml:space="preserve"> has not been studied in these patient populat</w:t>
      </w:r>
      <w:smartTag w:uri="urn:schemas-microsoft-com:office:smarttags" w:element="PersonName">
        <w:r w:rsidR="00B33322" w:rsidRPr="008D4475">
          <w:t>ion</w:t>
        </w:r>
      </w:smartTag>
      <w:r w:rsidR="00B33322" w:rsidRPr="008D4475">
        <w:t>s. No dose recommendat</w:t>
      </w:r>
      <w:smartTag w:uri="urn:schemas-microsoft-com:office:smarttags" w:element="PersonName">
        <w:r w:rsidR="00B33322" w:rsidRPr="008D4475">
          <w:t>ion</w:t>
        </w:r>
      </w:smartTag>
      <w:r w:rsidR="00B33322" w:rsidRPr="008D4475">
        <w:t>s can be made.</w:t>
      </w:r>
    </w:p>
    <w:p w:rsidR="008B268A" w:rsidRPr="00BD7A58" w:rsidRDefault="00B33322" w:rsidP="00C37E79">
      <w:pPr>
        <w:pStyle w:val="Heading3"/>
      </w:pPr>
      <w:r w:rsidRPr="008D4475">
        <w:t>Instruct</w:t>
      </w:r>
      <w:smartTag w:uri="urn:schemas-microsoft-com:office:smarttags" w:element="PersonName">
        <w:r w:rsidRPr="008D4475">
          <w:t>ion</w:t>
        </w:r>
      </w:smartTag>
      <w:r w:rsidRPr="008D4475">
        <w:t>s for administrat</w:t>
      </w:r>
      <w:smartTag w:uri="urn:schemas-microsoft-com:office:smarttags" w:element="PersonName">
        <w:r w:rsidRPr="008D4475">
          <w:t>ion</w:t>
        </w:r>
      </w:smartTag>
      <w:r w:rsidRPr="008D4475">
        <w:t xml:space="preserve"> and disposal</w:t>
      </w:r>
    </w:p>
    <w:p w:rsidR="00103C03" w:rsidRPr="008D4475" w:rsidRDefault="008C6574" w:rsidP="00C37E79">
      <w:r w:rsidRPr="008D4475">
        <w:t>Prior to administration, visually inspect the solution for particles and discolo</w:t>
      </w:r>
      <w:r w:rsidR="00103C03" w:rsidRPr="008D4475">
        <w:t>u</w:t>
      </w:r>
      <w:r w:rsidRPr="008D4475">
        <w:t xml:space="preserve">ration through the viewing window. </w:t>
      </w:r>
      <w:r w:rsidR="00643BFB">
        <w:t>SIMPONI</w:t>
      </w:r>
      <w:r w:rsidRPr="008D4475">
        <w:t xml:space="preserve"> should be clear to slightly opalescent and colourless to light yellow. The solution should not be used if discoloured, or cloudy, or if</w:t>
      </w:r>
      <w:r w:rsidR="0008726C">
        <w:t xml:space="preserve"> foreign particles are present.</w:t>
      </w:r>
    </w:p>
    <w:p w:rsidR="00103C03" w:rsidRPr="008D4475" w:rsidRDefault="008C6574" w:rsidP="00C37E79">
      <w:r w:rsidRPr="008D4475">
        <w:t>The needle cover on the pre</w:t>
      </w:r>
      <w:r w:rsidR="00166756" w:rsidRPr="008D4475">
        <w:t>-</w:t>
      </w:r>
      <w:r w:rsidRPr="008D4475">
        <w:t>filled syringe as well as the pre</w:t>
      </w:r>
      <w:r w:rsidR="00166756" w:rsidRPr="008D4475">
        <w:t>-</w:t>
      </w:r>
      <w:r w:rsidRPr="008D4475">
        <w:t>filled syringe in the pre-filled pen</w:t>
      </w:r>
      <w:r w:rsidR="00103C03" w:rsidRPr="008D4475">
        <w:t>,</w:t>
      </w:r>
      <w:r w:rsidRPr="008D4475">
        <w:t xml:space="preserve"> contains dry natural rubber (a derivative of latex), which should not be handled by persons sensit</w:t>
      </w:r>
      <w:r w:rsidR="0008726C">
        <w:t>ive to latex (see PRECAUTIONS).</w:t>
      </w:r>
    </w:p>
    <w:p w:rsidR="008C6574" w:rsidRPr="008D4475" w:rsidRDefault="008C6574" w:rsidP="00C37E79">
      <w:r w:rsidRPr="008D4475">
        <w:t>Injection sites should be rotated and injections should never be given into areas where the skin is tender, bruised, red, or hard.</w:t>
      </w:r>
    </w:p>
    <w:p w:rsidR="00B2653F" w:rsidRDefault="00B33322" w:rsidP="00C37E79">
      <w:r w:rsidRPr="008D4475">
        <w:t>Comprehensive instruct</w:t>
      </w:r>
      <w:smartTag w:uri="urn:schemas-microsoft-com:office:smarttags" w:element="PersonName">
        <w:r w:rsidRPr="008D4475">
          <w:t>ion</w:t>
        </w:r>
      </w:smartTag>
      <w:r w:rsidRPr="008D4475">
        <w:t>s for the administrat</w:t>
      </w:r>
      <w:smartTag w:uri="urn:schemas-microsoft-com:office:smarttags" w:element="PersonName">
        <w:r w:rsidRPr="008D4475">
          <w:t>ion</w:t>
        </w:r>
      </w:smartTag>
      <w:r w:rsidRPr="008D4475">
        <w:t xml:space="preserve"> of </w:t>
      </w:r>
      <w:r w:rsidR="00643BFB">
        <w:t>SIMPONI</w:t>
      </w:r>
      <w:r w:rsidRPr="008D4475">
        <w:t xml:space="preserve"> are given in the </w:t>
      </w:r>
      <w:r w:rsidR="008B268A" w:rsidRPr="008D4475">
        <w:t>Patient Instruction Leaflet</w:t>
      </w:r>
      <w:r w:rsidRPr="008D4475">
        <w:t xml:space="preserve">. </w:t>
      </w:r>
      <w:r w:rsidR="00166756" w:rsidRPr="008D4475">
        <w:t>This p</w:t>
      </w:r>
      <w:r w:rsidR="005935A1" w:rsidRPr="008D4475">
        <w:t xml:space="preserve">roduct is for single use in one patient only. </w:t>
      </w:r>
      <w:r w:rsidRPr="008D4475">
        <w:t xml:space="preserve">Patients should be instructed to inject the full amount of </w:t>
      </w:r>
      <w:r w:rsidR="00643BFB">
        <w:t>SIMPONI</w:t>
      </w:r>
      <w:r w:rsidRPr="008D4475">
        <w:t xml:space="preserve"> according to the direct</w:t>
      </w:r>
      <w:smartTag w:uri="urn:schemas-microsoft-com:office:smarttags" w:element="PersonName">
        <w:r w:rsidRPr="008D4475">
          <w:t>ion</w:t>
        </w:r>
      </w:smartTag>
      <w:r w:rsidRPr="008D4475">
        <w:t xml:space="preserve">s provided in the </w:t>
      </w:r>
      <w:r w:rsidR="008B268A" w:rsidRPr="008D4475">
        <w:t>Patient Instruction Leaflet</w:t>
      </w:r>
      <w:r w:rsidRPr="008D4475">
        <w:t xml:space="preserve">. </w:t>
      </w:r>
      <w:r w:rsidR="00103C03" w:rsidRPr="008D4475">
        <w:t>Discard any residue</w:t>
      </w:r>
      <w:r w:rsidR="00166756" w:rsidRPr="008D4475">
        <w:t>; a</w:t>
      </w:r>
      <w:r w:rsidR="00103C03" w:rsidRPr="008D4475">
        <w:t>ny unused product or waste material should be disposed of in accordance with local requirements.</w:t>
      </w:r>
    </w:p>
    <w:p w:rsidR="005D0D70" w:rsidRPr="00C37E79" w:rsidRDefault="00B33322" w:rsidP="00C37E79">
      <w:pPr>
        <w:rPr>
          <w:highlight w:val="yellow"/>
        </w:rPr>
      </w:pPr>
      <w:r w:rsidRPr="008D4475">
        <w:lastRenderedPageBreak/>
        <w:t xml:space="preserve">In the absence of compatibility studies, </w:t>
      </w:r>
      <w:r w:rsidR="00643BFB">
        <w:t>SIMPONI</w:t>
      </w:r>
      <w:r w:rsidRPr="008D4475">
        <w:t xml:space="preserve"> must not be mixed with other medicinal products. </w:t>
      </w:r>
      <w:r w:rsidR="00643BFB">
        <w:t>SIMPONI</w:t>
      </w:r>
      <w:r w:rsidR="00C1166F" w:rsidRPr="008D4475">
        <w:t xml:space="preserve"> co</w:t>
      </w:r>
      <w:r w:rsidR="0008726C">
        <w:t>ntains no antimicrobial agent.</w:t>
      </w:r>
    </w:p>
    <w:p w:rsidR="00E61893" w:rsidRPr="005F5F7A" w:rsidRDefault="00BF443F" w:rsidP="00C37E79">
      <w:pPr>
        <w:pStyle w:val="Heading2"/>
        <w:rPr>
          <w:bCs/>
        </w:rPr>
      </w:pPr>
      <w:r w:rsidRPr="00BF443F">
        <w:t>OVERDOSAGE</w:t>
      </w:r>
    </w:p>
    <w:p w:rsidR="00645731" w:rsidRPr="008D4475" w:rsidRDefault="00645731" w:rsidP="00645731">
      <w:pPr>
        <w:rPr>
          <w:rFonts w:cs="Arial"/>
          <w:szCs w:val="22"/>
          <w:vertAlign w:val="superscript"/>
        </w:rPr>
      </w:pPr>
      <w:r w:rsidRPr="008D4475">
        <w:rPr>
          <w:rFonts w:cs="Arial"/>
          <w:szCs w:val="22"/>
        </w:rPr>
        <w:t>Single doses up to 10 mg/kg intravenously have been administered i</w:t>
      </w:r>
      <w:r w:rsidR="0008726C">
        <w:rPr>
          <w:rFonts w:cs="Arial"/>
          <w:szCs w:val="22"/>
        </w:rPr>
        <w:t>n a clinical study without dose-</w:t>
      </w:r>
      <w:r w:rsidRPr="008D4475">
        <w:rPr>
          <w:rFonts w:cs="Arial"/>
          <w:szCs w:val="22"/>
        </w:rPr>
        <w:t>limiting toxicity. In case of an overdose, it is recommended that the patient be monitored for any signs or symptoms of adverse effects and appropriate symptomatic treatment be instituted immediately.</w:t>
      </w:r>
    </w:p>
    <w:p w:rsidR="009B3460" w:rsidRPr="008D4475" w:rsidRDefault="008B268A" w:rsidP="00E61893">
      <w:pPr>
        <w:rPr>
          <w:rFonts w:cs="Arial"/>
          <w:szCs w:val="22"/>
        </w:rPr>
      </w:pPr>
      <w:r w:rsidRPr="008D4475">
        <w:rPr>
          <w:rFonts w:cs="Arial"/>
          <w:szCs w:val="22"/>
        </w:rPr>
        <w:t>Contact the Poisons Information Centre on 131126 for advice on management of overdose.</w:t>
      </w:r>
    </w:p>
    <w:p w:rsidR="00E61893" w:rsidRPr="005F5F7A" w:rsidRDefault="00BF443F" w:rsidP="00C37E79">
      <w:pPr>
        <w:pStyle w:val="Heading2"/>
        <w:rPr>
          <w:bCs/>
        </w:rPr>
      </w:pPr>
      <w:r w:rsidRPr="00BF443F">
        <w:t>PRESENTATION AND STORAGE CONDITIONS</w:t>
      </w:r>
    </w:p>
    <w:p w:rsidR="00166756" w:rsidRPr="00C37E79" w:rsidRDefault="00643BFB" w:rsidP="00C37E79">
      <w:pPr>
        <w:pStyle w:val="Heading3"/>
        <w:rPr>
          <w:b w:val="0"/>
          <w:u w:val="single"/>
        </w:rPr>
      </w:pPr>
      <w:r w:rsidRPr="00C37E79">
        <w:rPr>
          <w:b w:val="0"/>
          <w:u w:val="single"/>
        </w:rPr>
        <w:t>SIMPONI</w:t>
      </w:r>
      <w:r w:rsidR="00166756" w:rsidRPr="00C37E79">
        <w:rPr>
          <w:b w:val="0"/>
          <w:u w:val="single"/>
        </w:rPr>
        <w:t xml:space="preserve"> pre-filled syringe</w:t>
      </w:r>
    </w:p>
    <w:p w:rsidR="00645731" w:rsidRPr="008D4475" w:rsidRDefault="00643BFB" w:rsidP="00645731">
      <w:pPr>
        <w:rPr>
          <w:rFonts w:cs="Arial"/>
          <w:szCs w:val="22"/>
        </w:rPr>
      </w:pPr>
      <w:r>
        <w:rPr>
          <w:rFonts w:cs="Arial"/>
          <w:szCs w:val="22"/>
        </w:rPr>
        <w:t>SIMPONI</w:t>
      </w:r>
      <w:r w:rsidR="00645731" w:rsidRPr="008D4475">
        <w:rPr>
          <w:rFonts w:cs="Arial"/>
          <w:szCs w:val="22"/>
        </w:rPr>
        <w:t xml:space="preserve"> is supplied as a sterile solut</w:t>
      </w:r>
      <w:smartTag w:uri="urn:schemas-microsoft-com:office:smarttags" w:element="PersonName">
        <w:r w:rsidR="00645731" w:rsidRPr="008D4475">
          <w:rPr>
            <w:rFonts w:cs="Arial"/>
            <w:szCs w:val="22"/>
          </w:rPr>
          <w:t>ion</w:t>
        </w:r>
      </w:smartTag>
      <w:r w:rsidR="00645731" w:rsidRPr="008D4475">
        <w:rPr>
          <w:rFonts w:cs="Arial"/>
          <w:szCs w:val="22"/>
        </w:rPr>
        <w:t xml:space="preserve"> in a Type 1 glass syringe with a fixed stainless steel needle.</w:t>
      </w:r>
      <w:r w:rsidR="00645731" w:rsidRPr="008D4475">
        <w:rPr>
          <w:rFonts w:cs="Arial"/>
          <w:szCs w:val="22"/>
          <w:vertAlign w:val="superscript"/>
        </w:rPr>
        <w:t xml:space="preserve"> </w:t>
      </w:r>
      <w:r w:rsidR="00645731" w:rsidRPr="008D4475">
        <w:rPr>
          <w:rFonts w:cs="Arial"/>
          <w:szCs w:val="22"/>
        </w:rPr>
        <w:t>The needle shields are manufactured from dry natural rubber containing latex (see PRECUATIONS, “Allergic react</w:t>
      </w:r>
      <w:smartTag w:uri="urn:schemas-microsoft-com:office:smarttags" w:element="PersonName">
        <w:r w:rsidR="00645731" w:rsidRPr="008D4475">
          <w:rPr>
            <w:rFonts w:cs="Arial"/>
            <w:szCs w:val="22"/>
          </w:rPr>
          <w:t>ion</w:t>
        </w:r>
      </w:smartTag>
      <w:r w:rsidR="00645731" w:rsidRPr="008D4475">
        <w:rPr>
          <w:rFonts w:cs="Arial"/>
          <w:szCs w:val="22"/>
        </w:rPr>
        <w:t xml:space="preserve">s”). </w:t>
      </w:r>
      <w:r>
        <w:rPr>
          <w:rFonts w:cs="Arial"/>
          <w:szCs w:val="22"/>
        </w:rPr>
        <w:t>SIMPONI</w:t>
      </w:r>
      <w:r w:rsidR="00645731" w:rsidRPr="008D4475">
        <w:rPr>
          <w:rFonts w:cs="Arial"/>
          <w:szCs w:val="22"/>
        </w:rPr>
        <w:t xml:space="preserve"> is available in packs of 1 or 3</w:t>
      </w:r>
      <w:r w:rsidR="007B2433">
        <w:rPr>
          <w:rFonts w:cs="Arial"/>
          <w:szCs w:val="22"/>
        </w:rPr>
        <w:t>*</w:t>
      </w:r>
      <w:r w:rsidR="0008726C">
        <w:rPr>
          <w:rFonts w:cs="Arial"/>
          <w:szCs w:val="22"/>
        </w:rPr>
        <w:t xml:space="preserve"> pre-filled syringe(s).</w:t>
      </w:r>
    </w:p>
    <w:p w:rsidR="00166756" w:rsidRPr="00C37E79" w:rsidRDefault="00643BFB" w:rsidP="00C37E79">
      <w:pPr>
        <w:pStyle w:val="Heading3"/>
        <w:rPr>
          <w:b w:val="0"/>
          <w:u w:val="single"/>
        </w:rPr>
      </w:pPr>
      <w:r w:rsidRPr="00C37E79">
        <w:rPr>
          <w:b w:val="0"/>
          <w:u w:val="single"/>
        </w:rPr>
        <w:t>SIMPONI</w:t>
      </w:r>
      <w:r w:rsidR="00166756" w:rsidRPr="00C37E79">
        <w:rPr>
          <w:b w:val="0"/>
          <w:u w:val="single"/>
        </w:rPr>
        <w:t xml:space="preserve"> </w:t>
      </w:r>
      <w:proofErr w:type="spellStart"/>
      <w:r w:rsidR="00166756" w:rsidRPr="00C37E79">
        <w:rPr>
          <w:b w:val="0"/>
          <w:u w:val="single"/>
        </w:rPr>
        <w:t>SmartJect</w:t>
      </w:r>
      <w:proofErr w:type="spellEnd"/>
      <w:r w:rsidR="00166756" w:rsidRPr="00C37E79">
        <w:rPr>
          <w:b w:val="0"/>
          <w:u w:val="single"/>
        </w:rPr>
        <w:t xml:space="preserve"> injector pen</w:t>
      </w:r>
    </w:p>
    <w:p w:rsidR="00645731" w:rsidRPr="008D4475" w:rsidRDefault="00643BFB" w:rsidP="00645731">
      <w:pPr>
        <w:rPr>
          <w:rFonts w:cs="Arial"/>
          <w:szCs w:val="22"/>
          <w:vertAlign w:val="superscript"/>
        </w:rPr>
      </w:pPr>
      <w:r>
        <w:rPr>
          <w:rFonts w:cs="Arial"/>
          <w:szCs w:val="22"/>
        </w:rPr>
        <w:t>SIMPONI</w:t>
      </w:r>
      <w:r w:rsidR="00645731" w:rsidRPr="008D4475">
        <w:rPr>
          <w:rFonts w:cs="Arial"/>
          <w:szCs w:val="22"/>
        </w:rPr>
        <w:t xml:space="preserve"> is supplied as a sterile solut</w:t>
      </w:r>
      <w:smartTag w:uri="urn:schemas-microsoft-com:office:smarttags" w:element="PersonName">
        <w:r w:rsidR="00645731" w:rsidRPr="008D4475">
          <w:rPr>
            <w:rFonts w:cs="Arial"/>
            <w:szCs w:val="22"/>
          </w:rPr>
          <w:t>ion</w:t>
        </w:r>
      </w:smartTag>
      <w:r w:rsidR="00645731" w:rsidRPr="008D4475">
        <w:rPr>
          <w:rFonts w:cs="Arial"/>
          <w:szCs w:val="22"/>
        </w:rPr>
        <w:t xml:space="preserve"> in a Type 1 glass syringe with a fixed stainless steel needle. This syringe is containe</w:t>
      </w:r>
      <w:r w:rsidR="0008726C">
        <w:rPr>
          <w:rFonts w:cs="Arial"/>
          <w:szCs w:val="22"/>
        </w:rPr>
        <w:t>d in a single-use pre-</w:t>
      </w:r>
      <w:r w:rsidR="00645731" w:rsidRPr="008D4475">
        <w:rPr>
          <w:rFonts w:cs="Arial"/>
          <w:szCs w:val="22"/>
        </w:rPr>
        <w:t>filled pen called “</w:t>
      </w:r>
      <w:proofErr w:type="spellStart"/>
      <w:r w:rsidR="00645731" w:rsidRPr="008D4475">
        <w:rPr>
          <w:rFonts w:cs="Arial"/>
          <w:szCs w:val="22"/>
        </w:rPr>
        <w:t>SmartJect</w:t>
      </w:r>
      <w:proofErr w:type="spellEnd"/>
      <w:r w:rsidR="00645731" w:rsidRPr="008D4475">
        <w:rPr>
          <w:rFonts w:cs="Arial"/>
          <w:szCs w:val="22"/>
        </w:rPr>
        <w:t>”. The needle shields are manufactured from dry natural rubber containing latex (see PRECAUTIONS</w:t>
      </w:r>
      <w:r w:rsidR="008B268A" w:rsidRPr="008D4475">
        <w:rPr>
          <w:rFonts w:cs="Arial"/>
          <w:szCs w:val="22"/>
        </w:rPr>
        <w:t>, “Allergic reactions”</w:t>
      </w:r>
      <w:r w:rsidR="00645731" w:rsidRPr="008D4475">
        <w:rPr>
          <w:rFonts w:cs="Arial"/>
          <w:szCs w:val="22"/>
        </w:rPr>
        <w:t xml:space="preserve">). </w:t>
      </w:r>
      <w:r>
        <w:rPr>
          <w:rFonts w:cs="Arial"/>
          <w:szCs w:val="22"/>
        </w:rPr>
        <w:t>SIMPONI</w:t>
      </w:r>
      <w:r w:rsidR="00645731" w:rsidRPr="008D4475">
        <w:rPr>
          <w:rFonts w:cs="Arial"/>
          <w:szCs w:val="22"/>
        </w:rPr>
        <w:t xml:space="preserve"> is available in packs of 1 or 3</w:t>
      </w:r>
      <w:r w:rsidR="007B2433">
        <w:rPr>
          <w:rFonts w:cs="Arial"/>
          <w:szCs w:val="22"/>
        </w:rPr>
        <w:t>*</w:t>
      </w:r>
      <w:r w:rsidR="0008726C">
        <w:rPr>
          <w:rFonts w:cs="Arial"/>
          <w:szCs w:val="22"/>
        </w:rPr>
        <w:t xml:space="preserve"> pre-</w:t>
      </w:r>
      <w:r w:rsidR="00391A04" w:rsidRPr="008D4475">
        <w:rPr>
          <w:rFonts w:cs="Arial"/>
          <w:szCs w:val="22"/>
        </w:rPr>
        <w:t>filled pen(s).</w:t>
      </w:r>
    </w:p>
    <w:p w:rsidR="007B2433" w:rsidRDefault="007B2433" w:rsidP="00E61893">
      <w:pPr>
        <w:rPr>
          <w:rFonts w:cs="Arial"/>
          <w:szCs w:val="22"/>
        </w:rPr>
      </w:pPr>
      <w:r>
        <w:rPr>
          <w:rFonts w:cs="Arial"/>
          <w:szCs w:val="22"/>
        </w:rPr>
        <w:t xml:space="preserve">* Not currently supplied in </w:t>
      </w:r>
      <w:smartTag w:uri="urn:schemas-microsoft-com:office:smarttags" w:element="country-region">
        <w:smartTag w:uri="urn:schemas-microsoft-com:office:smarttags" w:element="place">
          <w:r>
            <w:rPr>
              <w:rFonts w:cs="Arial"/>
              <w:szCs w:val="22"/>
            </w:rPr>
            <w:t>Australia</w:t>
          </w:r>
        </w:smartTag>
      </w:smartTag>
      <w:r>
        <w:rPr>
          <w:rFonts w:cs="Arial"/>
          <w:szCs w:val="22"/>
        </w:rPr>
        <w:t>.</w:t>
      </w:r>
    </w:p>
    <w:p w:rsidR="00166756" w:rsidRPr="00C37E79" w:rsidRDefault="00645731" w:rsidP="00C37E79">
      <w:pPr>
        <w:pStyle w:val="Heading3"/>
        <w:rPr>
          <w:b w:val="0"/>
          <w:u w:val="single"/>
        </w:rPr>
      </w:pPr>
      <w:r w:rsidRPr="00C37E79">
        <w:rPr>
          <w:b w:val="0"/>
          <w:u w:val="single"/>
        </w:rPr>
        <w:t>Storage</w:t>
      </w:r>
    </w:p>
    <w:p w:rsidR="00103C03" w:rsidRPr="008D4475" w:rsidRDefault="00645731" w:rsidP="00E61893">
      <w:pPr>
        <w:rPr>
          <w:rFonts w:cs="Arial"/>
          <w:b/>
          <w:sz w:val="10"/>
          <w:szCs w:val="10"/>
        </w:rPr>
      </w:pPr>
      <w:r w:rsidRPr="008D4475">
        <w:rPr>
          <w:rFonts w:cs="Arial"/>
          <w:szCs w:val="22"/>
        </w:rPr>
        <w:t>Store in a refrigerator (2</w:t>
      </w:r>
      <w:r w:rsidRPr="008D4475">
        <w:rPr>
          <w:rFonts w:cs="Arial"/>
          <w:szCs w:val="22"/>
        </w:rPr>
        <w:sym w:font="Symbol" w:char="F0B0"/>
      </w:r>
      <w:r w:rsidRPr="008D4475">
        <w:rPr>
          <w:rFonts w:cs="Arial"/>
          <w:szCs w:val="22"/>
        </w:rPr>
        <w:t>C – 8</w:t>
      </w:r>
      <w:r w:rsidRPr="008D4475">
        <w:rPr>
          <w:rFonts w:cs="Arial"/>
          <w:szCs w:val="22"/>
        </w:rPr>
        <w:sym w:font="Symbol" w:char="F0B0"/>
      </w:r>
      <w:r w:rsidRPr="008D4475">
        <w:rPr>
          <w:rFonts w:cs="Arial"/>
          <w:szCs w:val="22"/>
        </w:rPr>
        <w:t>C). Do not fre</w:t>
      </w:r>
      <w:r w:rsidR="00A577CE">
        <w:rPr>
          <w:rFonts w:cs="Arial"/>
          <w:szCs w:val="22"/>
        </w:rPr>
        <w:t>eze. Do not shake. Keep the pre-</w:t>
      </w:r>
      <w:r w:rsidRPr="008D4475">
        <w:rPr>
          <w:rFonts w:cs="Arial"/>
          <w:szCs w:val="22"/>
        </w:rPr>
        <w:t>filled pen/syringe in the outer carton in order to protect it from light.</w:t>
      </w:r>
    </w:p>
    <w:p w:rsidR="00101B81" w:rsidRPr="005F5F7A" w:rsidRDefault="00BF443F" w:rsidP="00C37E79">
      <w:pPr>
        <w:pStyle w:val="Heading2"/>
      </w:pPr>
      <w:r w:rsidRPr="00BF443F">
        <w:t>NAME AND ADDRESS OF SPONSOR</w:t>
      </w:r>
    </w:p>
    <w:p w:rsidR="001764D1" w:rsidRPr="00942B23" w:rsidRDefault="001764D1" w:rsidP="00C37E79">
      <w:pPr>
        <w:jc w:val="left"/>
      </w:pPr>
      <w:r w:rsidRPr="00942B23">
        <w:t>JANSSEN CILAG Pty Ltd</w:t>
      </w:r>
      <w:r w:rsidR="00C37E79">
        <w:br/>
      </w:r>
      <w:r w:rsidRPr="00942B23">
        <w:t xml:space="preserve">1-5 Khartoum Road </w:t>
      </w:r>
      <w:r w:rsidR="00C37E79">
        <w:br/>
      </w:r>
      <w:r w:rsidRPr="00942B23">
        <w:t>Macquarie Park NSW 2113 Australia</w:t>
      </w:r>
      <w:r w:rsidR="00C37E79">
        <w:br/>
      </w:r>
      <w:r w:rsidRPr="00942B23">
        <w:t>Telephone: 1800 226 334</w:t>
      </w:r>
    </w:p>
    <w:p w:rsidR="001764D1" w:rsidRDefault="001764D1" w:rsidP="00C37E79">
      <w:pPr>
        <w:jc w:val="left"/>
      </w:pPr>
      <w:r w:rsidRPr="00942B23">
        <w:t>NZ Office:  Auckland New Zealand</w:t>
      </w:r>
      <w:r w:rsidR="00C37E79">
        <w:br/>
      </w:r>
      <w:r w:rsidRPr="00942B23">
        <w:t>Telephone: 0800 800 806</w:t>
      </w:r>
    </w:p>
    <w:p w:rsidR="00E61893" w:rsidRPr="005F5F7A" w:rsidRDefault="00BF443F" w:rsidP="00C37E79">
      <w:pPr>
        <w:pStyle w:val="Heading2"/>
        <w:pageBreakBefore/>
        <w:rPr>
          <w:bCs/>
        </w:rPr>
      </w:pPr>
      <w:r w:rsidRPr="00BF443F">
        <w:lastRenderedPageBreak/>
        <w:t>POISON SCHEDULE OF MEDICINE</w:t>
      </w:r>
    </w:p>
    <w:p w:rsidR="00F36116" w:rsidRPr="008D4475" w:rsidRDefault="00101B81" w:rsidP="00E61893">
      <w:pPr>
        <w:rPr>
          <w:rFonts w:cs="Arial"/>
          <w:sz w:val="10"/>
          <w:szCs w:val="10"/>
        </w:rPr>
      </w:pPr>
      <w:r w:rsidRPr="008D4475">
        <w:rPr>
          <w:rFonts w:cs="Arial"/>
          <w:szCs w:val="22"/>
        </w:rPr>
        <w:t>S4</w:t>
      </w:r>
      <w:r w:rsidR="00B33322" w:rsidRPr="008D4475">
        <w:rPr>
          <w:rFonts w:cs="Arial"/>
          <w:szCs w:val="22"/>
        </w:rPr>
        <w:t xml:space="preserve"> – </w:t>
      </w:r>
      <w:r w:rsidRPr="008D4475">
        <w:rPr>
          <w:rFonts w:cs="Arial"/>
          <w:szCs w:val="22"/>
        </w:rPr>
        <w:t>Prescription</w:t>
      </w:r>
      <w:r w:rsidR="00B33322" w:rsidRPr="008D4475">
        <w:rPr>
          <w:rFonts w:cs="Arial"/>
          <w:szCs w:val="22"/>
        </w:rPr>
        <w:t xml:space="preserve"> </w:t>
      </w:r>
      <w:r w:rsidRPr="008D4475">
        <w:rPr>
          <w:rFonts w:cs="Arial"/>
          <w:szCs w:val="22"/>
        </w:rPr>
        <w:t>Only Medicine</w:t>
      </w:r>
    </w:p>
    <w:p w:rsidR="00E61893" w:rsidRDefault="00BF443F" w:rsidP="00C37E79">
      <w:pPr>
        <w:pStyle w:val="Heading2"/>
      </w:pPr>
      <w:r w:rsidRPr="002F3169">
        <w:t xml:space="preserve">DATE OF FIRST INCLUSION IN THE AUSTRALIAN </w:t>
      </w:r>
      <w:r w:rsidR="0030197A" w:rsidRPr="002F3169">
        <w:t>REGISTER OF THERAPEUTIC GOODS (THE ARTG)</w:t>
      </w:r>
    </w:p>
    <w:p w:rsidR="00D453E2" w:rsidRDefault="00866B4F" w:rsidP="00E61893">
      <w:pPr>
        <w:rPr>
          <w:rFonts w:cs="Arial"/>
          <w:szCs w:val="22"/>
        </w:rPr>
      </w:pPr>
      <w:r>
        <w:rPr>
          <w:rFonts w:cs="Arial"/>
          <w:szCs w:val="22"/>
        </w:rPr>
        <w:t>13 November 2009</w:t>
      </w:r>
    </w:p>
    <w:p w:rsidR="001764D1" w:rsidRPr="00C37E79" w:rsidRDefault="00BF443F" w:rsidP="00C37E79">
      <w:pPr>
        <w:pStyle w:val="Heading2"/>
      </w:pPr>
      <w:r w:rsidRPr="00C37E79">
        <w:t>Date of Most Recent Amendment</w:t>
      </w:r>
      <w:r w:rsidR="001764D1" w:rsidRPr="00C37E79">
        <w:t xml:space="preserve"> </w:t>
      </w:r>
      <w:r w:rsidR="0062539B" w:rsidRPr="00C37E79">
        <w:t xml:space="preserve"> </w:t>
      </w:r>
    </w:p>
    <w:p w:rsidR="00515357" w:rsidRPr="00F36A20" w:rsidRDefault="006165A5" w:rsidP="00F36A20">
      <w:r>
        <w:t>12 June 2013</w:t>
      </w:r>
    </w:p>
    <w:sectPr w:rsidR="00515357" w:rsidRPr="00F36A20" w:rsidSect="00BE4E5A">
      <w:headerReference w:type="default" r:id="rId8"/>
      <w:footerReference w:type="default" r:id="rId9"/>
      <w:headerReference w:type="first" r:id="rId10"/>
      <w:pgSz w:w="11906" w:h="16838"/>
      <w:pgMar w:top="1440" w:right="1600" w:bottom="1440" w:left="17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264" w:rsidRDefault="00470264">
      <w:r>
        <w:separator/>
      </w:r>
    </w:p>
    <w:p w:rsidR="00470264" w:rsidRDefault="00470264"/>
  </w:endnote>
  <w:endnote w:type="continuationSeparator" w:id="0">
    <w:p w:rsidR="00470264" w:rsidRDefault="00470264">
      <w:r>
        <w:continuationSeparator/>
      </w:r>
    </w:p>
    <w:p w:rsidR="00470264" w:rsidRDefault="0047026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48"/>
      <w:gridCol w:w="1774"/>
    </w:tblGrid>
    <w:tr w:rsidR="00470264" w:rsidRPr="00DC6C0D" w:rsidTr="00DC6C0D">
      <w:tc>
        <w:tcPr>
          <w:tcW w:w="6948" w:type="dxa"/>
          <w:tcBorders>
            <w:top w:val="single" w:sz="4" w:space="0" w:color="auto"/>
          </w:tcBorders>
        </w:tcPr>
        <w:p w:rsidR="00470264" w:rsidRPr="001764D1" w:rsidRDefault="00470264" w:rsidP="004558DD">
          <w:pPr>
            <w:pStyle w:val="Footer"/>
            <w:tabs>
              <w:tab w:val="clear" w:pos="8306"/>
              <w:tab w:val="right" w:pos="13860"/>
            </w:tabs>
            <w:spacing w:before="0" w:after="0"/>
            <w:rPr>
              <w:iCs/>
              <w:sz w:val="16"/>
              <w:szCs w:val="16"/>
              <w:lang w:val="fr-FR"/>
            </w:rPr>
          </w:pPr>
          <w:r>
            <w:rPr>
              <w:iCs/>
              <w:sz w:val="16"/>
              <w:szCs w:val="16"/>
              <w:lang w:val="fr-FR"/>
            </w:rPr>
            <w:t>SIMPONI (130523) API CCDS Updates</w:t>
          </w:r>
        </w:p>
      </w:tc>
      <w:tc>
        <w:tcPr>
          <w:tcW w:w="1774" w:type="dxa"/>
          <w:tcBorders>
            <w:top w:val="single" w:sz="4" w:space="0" w:color="auto"/>
          </w:tcBorders>
        </w:tcPr>
        <w:p w:rsidR="00470264" w:rsidRPr="00DC6C0D" w:rsidRDefault="00470264" w:rsidP="004558DD">
          <w:pPr>
            <w:pStyle w:val="Footer"/>
            <w:tabs>
              <w:tab w:val="clear" w:pos="8306"/>
              <w:tab w:val="right" w:pos="13860"/>
            </w:tabs>
            <w:spacing w:before="0" w:after="0"/>
            <w:jc w:val="right"/>
            <w:rPr>
              <w:sz w:val="16"/>
              <w:szCs w:val="16"/>
              <w:lang w:val="fr-FR"/>
            </w:rPr>
          </w:pPr>
          <w:r w:rsidRPr="00DC6C0D">
            <w:rPr>
              <w:sz w:val="16"/>
              <w:szCs w:val="16"/>
              <w:lang w:val="fr-FR"/>
            </w:rPr>
            <w:t xml:space="preserve">Page </w:t>
          </w:r>
          <w:r w:rsidR="0007267C" w:rsidRPr="00DC6C0D">
            <w:rPr>
              <w:sz w:val="16"/>
              <w:szCs w:val="16"/>
              <w:lang w:val="fr-FR"/>
            </w:rPr>
            <w:fldChar w:fldCharType="begin"/>
          </w:r>
          <w:r w:rsidRPr="00DC6C0D">
            <w:rPr>
              <w:sz w:val="16"/>
              <w:szCs w:val="16"/>
              <w:lang w:val="fr-FR"/>
            </w:rPr>
            <w:instrText xml:space="preserve"> PAGE </w:instrText>
          </w:r>
          <w:r w:rsidR="0007267C" w:rsidRPr="00DC6C0D">
            <w:rPr>
              <w:sz w:val="16"/>
              <w:szCs w:val="16"/>
              <w:lang w:val="fr-FR"/>
            </w:rPr>
            <w:fldChar w:fldCharType="separate"/>
          </w:r>
          <w:r w:rsidR="00390273">
            <w:rPr>
              <w:noProof/>
              <w:sz w:val="16"/>
              <w:szCs w:val="16"/>
              <w:lang w:val="fr-FR"/>
            </w:rPr>
            <w:t>7</w:t>
          </w:r>
          <w:r w:rsidR="0007267C" w:rsidRPr="00DC6C0D">
            <w:rPr>
              <w:sz w:val="16"/>
              <w:szCs w:val="16"/>
              <w:lang w:val="fr-FR"/>
            </w:rPr>
            <w:fldChar w:fldCharType="end"/>
          </w:r>
          <w:r w:rsidRPr="00DC6C0D">
            <w:rPr>
              <w:sz w:val="16"/>
              <w:szCs w:val="16"/>
              <w:lang w:val="fr-FR"/>
            </w:rPr>
            <w:t xml:space="preserve"> of </w:t>
          </w:r>
          <w:r w:rsidR="0007267C" w:rsidRPr="00DC6C0D">
            <w:rPr>
              <w:sz w:val="16"/>
              <w:szCs w:val="16"/>
              <w:lang w:val="fr-FR"/>
            </w:rPr>
            <w:fldChar w:fldCharType="begin"/>
          </w:r>
          <w:r w:rsidRPr="00DC6C0D">
            <w:rPr>
              <w:sz w:val="16"/>
              <w:szCs w:val="16"/>
              <w:lang w:val="fr-FR"/>
            </w:rPr>
            <w:instrText xml:space="preserve"> NUMPAGES </w:instrText>
          </w:r>
          <w:r w:rsidR="0007267C" w:rsidRPr="00DC6C0D">
            <w:rPr>
              <w:sz w:val="16"/>
              <w:szCs w:val="16"/>
              <w:lang w:val="fr-FR"/>
            </w:rPr>
            <w:fldChar w:fldCharType="separate"/>
          </w:r>
          <w:r w:rsidR="00390273">
            <w:rPr>
              <w:noProof/>
              <w:sz w:val="16"/>
              <w:szCs w:val="16"/>
              <w:lang w:val="fr-FR"/>
            </w:rPr>
            <w:t>24</w:t>
          </w:r>
          <w:r w:rsidR="0007267C" w:rsidRPr="00DC6C0D">
            <w:rPr>
              <w:sz w:val="16"/>
              <w:szCs w:val="16"/>
              <w:lang w:val="fr-FR"/>
            </w:rPr>
            <w:fldChar w:fldCharType="end"/>
          </w:r>
        </w:p>
      </w:tc>
    </w:tr>
  </w:tbl>
  <w:p w:rsidR="00470264" w:rsidRPr="00D453E2" w:rsidRDefault="00470264" w:rsidP="00FE5455">
    <w:pPr>
      <w:pStyle w:val="Footer"/>
      <w:tabs>
        <w:tab w:val="clear" w:pos="8306"/>
        <w:tab w:val="right" w:pos="13860"/>
      </w:tabs>
      <w:spacing w:before="0" w:after="0"/>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264" w:rsidRDefault="00470264">
      <w:r>
        <w:separator/>
      </w:r>
    </w:p>
    <w:p w:rsidR="00470264" w:rsidRDefault="00470264"/>
  </w:footnote>
  <w:footnote w:type="continuationSeparator" w:id="0">
    <w:p w:rsidR="00470264" w:rsidRDefault="00470264">
      <w:r>
        <w:continuationSeparator/>
      </w:r>
    </w:p>
    <w:p w:rsidR="00470264" w:rsidRDefault="004702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64" w:rsidRDefault="00311A06" w:rsidP="00311A06">
    <w:pPr>
      <w:pStyle w:val="Header"/>
      <w:pBdr>
        <w:top w:val="single" w:sz="4" w:space="1" w:color="auto"/>
        <w:left w:val="single" w:sz="4" w:space="4" w:color="auto"/>
        <w:bottom w:val="single" w:sz="4" w:space="1" w:color="auto"/>
        <w:right w:val="single" w:sz="4" w:space="4" w:color="auto"/>
      </w:pBdr>
      <w:shd w:val="clear" w:color="auto" w:fill="E4F2E0"/>
      <w:jc w:val="left"/>
    </w:pPr>
    <w:r w:rsidRPr="00D361CA">
      <w:rPr>
        <w:b/>
        <w:sz w:val="20"/>
        <w:szCs w:val="20"/>
      </w:rPr>
      <w:t xml:space="preserve">Attachment 1: Product information for </w:t>
    </w:r>
    <w:proofErr w:type="spellStart"/>
    <w:r w:rsidRPr="00311A06">
      <w:rPr>
        <w:b/>
        <w:sz w:val="20"/>
        <w:szCs w:val="20"/>
      </w:rPr>
      <w:t>AusPAR</w:t>
    </w:r>
    <w:proofErr w:type="spellEnd"/>
    <w:r w:rsidRPr="00311A06">
      <w:rPr>
        <w:b/>
        <w:sz w:val="20"/>
        <w:szCs w:val="20"/>
      </w:rPr>
      <w:t xml:space="preserve"> </w:t>
    </w:r>
    <w:proofErr w:type="spellStart"/>
    <w:r w:rsidRPr="00311A06">
      <w:rPr>
        <w:b/>
        <w:sz w:val="20"/>
        <w:szCs w:val="20"/>
      </w:rPr>
      <w:t>Simponi</w:t>
    </w:r>
    <w:proofErr w:type="spellEnd"/>
    <w:r w:rsidRPr="00311A06">
      <w:rPr>
        <w:b/>
        <w:sz w:val="20"/>
        <w:szCs w:val="20"/>
      </w:rPr>
      <w:t xml:space="preserve"> and </w:t>
    </w:r>
    <w:proofErr w:type="spellStart"/>
    <w:r w:rsidRPr="00311A06">
      <w:rPr>
        <w:b/>
        <w:sz w:val="20"/>
        <w:szCs w:val="20"/>
      </w:rPr>
      <w:t>Simponi</w:t>
    </w:r>
    <w:proofErr w:type="spellEnd"/>
    <w:r w:rsidRPr="00311A06">
      <w:rPr>
        <w:b/>
        <w:sz w:val="20"/>
        <w:szCs w:val="20"/>
      </w:rPr>
      <w:t xml:space="preserve"> </w:t>
    </w:r>
    <w:proofErr w:type="spellStart"/>
    <w:r w:rsidRPr="00311A06">
      <w:rPr>
        <w:b/>
        <w:sz w:val="20"/>
        <w:szCs w:val="20"/>
      </w:rPr>
      <w:t>Smartject</w:t>
    </w:r>
    <w:proofErr w:type="spellEnd"/>
    <w:r w:rsidRPr="00311A06">
      <w:rPr>
        <w:b/>
        <w:sz w:val="20"/>
        <w:szCs w:val="20"/>
      </w:rPr>
      <w:t xml:space="preserve"> injector; </w:t>
    </w:r>
    <w:proofErr w:type="spellStart"/>
    <w:r w:rsidRPr="00311A06">
      <w:rPr>
        <w:b/>
        <w:sz w:val="20"/>
        <w:szCs w:val="20"/>
      </w:rPr>
      <w:t>golimumab</w:t>
    </w:r>
    <w:proofErr w:type="spellEnd"/>
    <w:r w:rsidRPr="00311A06">
      <w:rPr>
        <w:b/>
        <w:sz w:val="20"/>
        <w:szCs w:val="20"/>
      </w:rPr>
      <w:t xml:space="preserve"> (</w:t>
    </w:r>
    <w:proofErr w:type="spellStart"/>
    <w:r w:rsidRPr="00311A06">
      <w:rPr>
        <w:b/>
        <w:sz w:val="20"/>
        <w:szCs w:val="20"/>
      </w:rPr>
      <w:t>rmc</w:t>
    </w:r>
    <w:proofErr w:type="spellEnd"/>
    <w:r w:rsidRPr="00311A06">
      <w:rPr>
        <w:b/>
        <w:sz w:val="20"/>
        <w:szCs w:val="20"/>
      </w:rPr>
      <w:t>); Janssen-</w:t>
    </w:r>
    <w:proofErr w:type="spellStart"/>
    <w:r w:rsidRPr="00311A06">
      <w:rPr>
        <w:b/>
        <w:sz w:val="20"/>
        <w:szCs w:val="20"/>
      </w:rPr>
      <w:t>Cilag</w:t>
    </w:r>
    <w:proofErr w:type="spellEnd"/>
    <w:r w:rsidRPr="00311A06">
      <w:rPr>
        <w:b/>
        <w:sz w:val="20"/>
        <w:szCs w:val="20"/>
      </w:rPr>
      <w:t xml:space="preserve"> Pty Ltd PM-2012-01202-3-3  Date of Finalisation 16 August 2013</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9E" w:rsidRDefault="0062349E" w:rsidP="0062349E">
    <w:pPr>
      <w:pStyle w:val="Header"/>
      <w:pBdr>
        <w:top w:val="single" w:sz="4" w:space="1" w:color="auto"/>
        <w:left w:val="single" w:sz="4" w:space="4" w:color="auto"/>
        <w:bottom w:val="single" w:sz="4" w:space="1" w:color="auto"/>
        <w:right w:val="single" w:sz="4" w:space="4" w:color="auto"/>
      </w:pBdr>
      <w:shd w:val="clear" w:color="auto" w:fill="E4F2E0"/>
      <w:jc w:val="left"/>
    </w:pPr>
    <w:r w:rsidRPr="00D361CA">
      <w:rPr>
        <w:b/>
        <w:sz w:val="20"/>
        <w:szCs w:val="20"/>
      </w:rPr>
      <w:t xml:space="preserve">Attachment 1: Product information for </w:t>
    </w:r>
    <w:proofErr w:type="spellStart"/>
    <w:r w:rsidRPr="00311A06">
      <w:rPr>
        <w:b/>
        <w:sz w:val="20"/>
        <w:szCs w:val="20"/>
      </w:rPr>
      <w:t>AusPAR</w:t>
    </w:r>
    <w:proofErr w:type="spellEnd"/>
    <w:r w:rsidRPr="00311A06">
      <w:rPr>
        <w:b/>
        <w:sz w:val="20"/>
        <w:szCs w:val="20"/>
      </w:rPr>
      <w:t xml:space="preserve"> </w:t>
    </w:r>
    <w:proofErr w:type="spellStart"/>
    <w:r w:rsidRPr="00311A06">
      <w:rPr>
        <w:b/>
        <w:sz w:val="20"/>
        <w:szCs w:val="20"/>
      </w:rPr>
      <w:t>Simponi</w:t>
    </w:r>
    <w:proofErr w:type="spellEnd"/>
    <w:r w:rsidRPr="00311A06">
      <w:rPr>
        <w:b/>
        <w:sz w:val="20"/>
        <w:szCs w:val="20"/>
      </w:rPr>
      <w:t xml:space="preserve"> and </w:t>
    </w:r>
    <w:proofErr w:type="spellStart"/>
    <w:r w:rsidRPr="00311A06">
      <w:rPr>
        <w:b/>
        <w:sz w:val="20"/>
        <w:szCs w:val="20"/>
      </w:rPr>
      <w:t>Simponi</w:t>
    </w:r>
    <w:proofErr w:type="spellEnd"/>
    <w:r w:rsidRPr="00311A06">
      <w:rPr>
        <w:b/>
        <w:sz w:val="20"/>
        <w:szCs w:val="20"/>
      </w:rPr>
      <w:t xml:space="preserve"> </w:t>
    </w:r>
    <w:proofErr w:type="spellStart"/>
    <w:r w:rsidRPr="00311A06">
      <w:rPr>
        <w:b/>
        <w:sz w:val="20"/>
        <w:szCs w:val="20"/>
      </w:rPr>
      <w:t>Smartject</w:t>
    </w:r>
    <w:proofErr w:type="spellEnd"/>
    <w:r w:rsidRPr="00311A06">
      <w:rPr>
        <w:b/>
        <w:sz w:val="20"/>
        <w:szCs w:val="20"/>
      </w:rPr>
      <w:t xml:space="preserve"> injector; </w:t>
    </w:r>
    <w:proofErr w:type="spellStart"/>
    <w:r w:rsidRPr="00311A06">
      <w:rPr>
        <w:b/>
        <w:sz w:val="20"/>
        <w:szCs w:val="20"/>
      </w:rPr>
      <w:t>golimumab</w:t>
    </w:r>
    <w:proofErr w:type="spellEnd"/>
    <w:r w:rsidRPr="00311A06">
      <w:rPr>
        <w:b/>
        <w:sz w:val="20"/>
        <w:szCs w:val="20"/>
      </w:rPr>
      <w:t xml:space="preserve"> (</w:t>
    </w:r>
    <w:proofErr w:type="spellStart"/>
    <w:r w:rsidRPr="00311A06">
      <w:rPr>
        <w:b/>
        <w:sz w:val="20"/>
        <w:szCs w:val="20"/>
      </w:rPr>
      <w:t>rmc</w:t>
    </w:r>
    <w:proofErr w:type="spellEnd"/>
    <w:r w:rsidRPr="00311A06">
      <w:rPr>
        <w:b/>
        <w:sz w:val="20"/>
        <w:szCs w:val="20"/>
      </w:rPr>
      <w:t>); Janssen-</w:t>
    </w:r>
    <w:proofErr w:type="spellStart"/>
    <w:r w:rsidRPr="00311A06">
      <w:rPr>
        <w:b/>
        <w:sz w:val="20"/>
        <w:szCs w:val="20"/>
      </w:rPr>
      <w:t>Cilag</w:t>
    </w:r>
    <w:proofErr w:type="spellEnd"/>
    <w:r w:rsidRPr="00311A06">
      <w:rPr>
        <w:b/>
        <w:sz w:val="20"/>
        <w:szCs w:val="20"/>
      </w:rPr>
      <w:t xml:space="preserve"> Pty Ltd PM-2012-01202-3-3  Date of Finalisation 16 August 2013</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p w:rsidR="00470264" w:rsidRDefault="00470264" w:rsidP="0062349E">
    <w:pPr>
      <w:pStyle w:val="Header"/>
      <w:spacing w:before="0" w:after="0"/>
      <w:jc w:val="right"/>
    </w:pPr>
    <w:r>
      <w:rPr>
        <w:noProof/>
      </w:rPr>
      <w:drawing>
        <wp:inline distT="0" distB="0" distL="0" distR="0">
          <wp:extent cx="1828800" cy="822960"/>
          <wp:effectExtent l="19050" t="0" r="0" b="0"/>
          <wp:docPr id="4" name="Picture 4" descr="Janss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ssen_Cons_RGB"/>
                  <pic:cNvPicPr>
                    <a:picLocks noChangeAspect="1" noChangeArrowheads="1"/>
                  </pic:cNvPicPr>
                </pic:nvPicPr>
                <pic:blipFill>
                  <a:blip r:embed="rId1"/>
                  <a:srcRect t="23622" b="31496"/>
                  <a:stretch>
                    <a:fillRect/>
                  </a:stretch>
                </pic:blipFill>
                <pic:spPr bwMode="auto">
                  <a:xfrm>
                    <a:off x="0" y="0"/>
                    <a:ext cx="1828800" cy="8229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A2EE6E"/>
    <w:lvl w:ilvl="0">
      <w:start w:val="1"/>
      <w:numFmt w:val="decimal"/>
      <w:lvlText w:val="%1."/>
      <w:lvlJc w:val="left"/>
      <w:pPr>
        <w:tabs>
          <w:tab w:val="num" w:pos="1492"/>
        </w:tabs>
        <w:ind w:left="1492" w:hanging="360"/>
      </w:pPr>
    </w:lvl>
  </w:abstractNum>
  <w:abstractNum w:abstractNumId="1">
    <w:nsid w:val="FFFFFF7D"/>
    <w:multiLevelType w:val="singleLevel"/>
    <w:tmpl w:val="D716FF04"/>
    <w:lvl w:ilvl="0">
      <w:start w:val="1"/>
      <w:numFmt w:val="decimal"/>
      <w:lvlText w:val="%1."/>
      <w:lvlJc w:val="left"/>
      <w:pPr>
        <w:tabs>
          <w:tab w:val="num" w:pos="1209"/>
        </w:tabs>
        <w:ind w:left="1209" w:hanging="360"/>
      </w:pPr>
    </w:lvl>
  </w:abstractNum>
  <w:abstractNum w:abstractNumId="2">
    <w:nsid w:val="FFFFFF7E"/>
    <w:multiLevelType w:val="singleLevel"/>
    <w:tmpl w:val="E5720342"/>
    <w:lvl w:ilvl="0">
      <w:start w:val="1"/>
      <w:numFmt w:val="decimal"/>
      <w:lvlText w:val="%1."/>
      <w:lvlJc w:val="left"/>
      <w:pPr>
        <w:tabs>
          <w:tab w:val="num" w:pos="926"/>
        </w:tabs>
        <w:ind w:left="926" w:hanging="360"/>
      </w:pPr>
    </w:lvl>
  </w:abstractNum>
  <w:abstractNum w:abstractNumId="3">
    <w:nsid w:val="FFFFFF7F"/>
    <w:multiLevelType w:val="singleLevel"/>
    <w:tmpl w:val="667C3FE0"/>
    <w:lvl w:ilvl="0">
      <w:start w:val="1"/>
      <w:numFmt w:val="decimal"/>
      <w:lvlText w:val="%1."/>
      <w:lvlJc w:val="left"/>
      <w:pPr>
        <w:tabs>
          <w:tab w:val="num" w:pos="643"/>
        </w:tabs>
        <w:ind w:left="643" w:hanging="360"/>
      </w:pPr>
    </w:lvl>
  </w:abstractNum>
  <w:abstractNum w:abstractNumId="4">
    <w:nsid w:val="FFFFFF80"/>
    <w:multiLevelType w:val="singleLevel"/>
    <w:tmpl w:val="804410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6AB8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D437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DA59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9AA12A"/>
    <w:lvl w:ilvl="0">
      <w:start w:val="1"/>
      <w:numFmt w:val="decimal"/>
      <w:lvlText w:val="%1."/>
      <w:lvlJc w:val="left"/>
      <w:pPr>
        <w:tabs>
          <w:tab w:val="num" w:pos="360"/>
        </w:tabs>
        <w:ind w:left="360" w:hanging="360"/>
      </w:pPr>
    </w:lvl>
  </w:abstractNum>
  <w:abstractNum w:abstractNumId="9">
    <w:nsid w:val="FFFFFF89"/>
    <w:multiLevelType w:val="singleLevel"/>
    <w:tmpl w:val="65444D36"/>
    <w:lvl w:ilvl="0">
      <w:start w:val="1"/>
      <w:numFmt w:val="bullet"/>
      <w:lvlText w:val=""/>
      <w:lvlJc w:val="left"/>
      <w:pPr>
        <w:tabs>
          <w:tab w:val="num" w:pos="360"/>
        </w:tabs>
        <w:ind w:left="360" w:hanging="360"/>
      </w:pPr>
      <w:rPr>
        <w:rFonts w:ascii="Symbol" w:hAnsi="Symbol" w:hint="default"/>
      </w:rPr>
    </w:lvl>
  </w:abstractNum>
  <w:abstractNum w:abstractNumId="10">
    <w:nsid w:val="0C096E65"/>
    <w:multiLevelType w:val="hybridMultilevel"/>
    <w:tmpl w:val="8FFEA89C"/>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53F565E"/>
    <w:multiLevelType w:val="multilevel"/>
    <w:tmpl w:val="69927B8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D21355E"/>
    <w:multiLevelType w:val="hybridMultilevel"/>
    <w:tmpl w:val="2FDECBB4"/>
    <w:lvl w:ilvl="0" w:tplc="0C09000B">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BBE39B5"/>
    <w:multiLevelType w:val="hybridMultilevel"/>
    <w:tmpl w:val="2420499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7A521A9"/>
    <w:multiLevelType w:val="hybridMultilevel"/>
    <w:tmpl w:val="3D6CA87A"/>
    <w:lvl w:ilvl="0" w:tplc="A3C094C2">
      <w:start w:val="1"/>
      <w:numFmt w:val="decimal"/>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5AC62070"/>
    <w:multiLevelType w:val="multilevel"/>
    <w:tmpl w:val="8182E7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0C729A"/>
    <w:multiLevelType w:val="hybridMultilevel"/>
    <w:tmpl w:val="6922ABD8"/>
    <w:lvl w:ilvl="0" w:tplc="DB54C9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9A6E2B"/>
    <w:multiLevelType w:val="hybridMultilevel"/>
    <w:tmpl w:val="69927B86"/>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5"/>
  </w:num>
  <w:num w:numId="4">
    <w:abstractNumId w:val="12"/>
  </w:num>
  <w:num w:numId="5">
    <w:abstractNumId w:val="11"/>
  </w:num>
  <w:num w:numId="6">
    <w:abstractNumId w:val="10"/>
  </w:num>
  <w:num w:numId="7">
    <w:abstractNumId w:val="1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4"/>
  <w:doNotTrackFormatting/>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9E0380"/>
    <w:rsid w:val="00000593"/>
    <w:rsid w:val="000014A9"/>
    <w:rsid w:val="00002322"/>
    <w:rsid w:val="00004FBE"/>
    <w:rsid w:val="00006D99"/>
    <w:rsid w:val="00011E35"/>
    <w:rsid w:val="0002022E"/>
    <w:rsid w:val="00021C2C"/>
    <w:rsid w:val="000225B6"/>
    <w:rsid w:val="000233B7"/>
    <w:rsid w:val="00023495"/>
    <w:rsid w:val="00034C2E"/>
    <w:rsid w:val="000444B2"/>
    <w:rsid w:val="00045D21"/>
    <w:rsid w:val="00046947"/>
    <w:rsid w:val="00057A2B"/>
    <w:rsid w:val="00064C60"/>
    <w:rsid w:val="0007267C"/>
    <w:rsid w:val="0007730F"/>
    <w:rsid w:val="00077F23"/>
    <w:rsid w:val="00080281"/>
    <w:rsid w:val="00081D87"/>
    <w:rsid w:val="000871B1"/>
    <w:rsid w:val="0008726C"/>
    <w:rsid w:val="000A39D3"/>
    <w:rsid w:val="000C0148"/>
    <w:rsid w:val="000E3CBB"/>
    <w:rsid w:val="000F4C27"/>
    <w:rsid w:val="000F5A1A"/>
    <w:rsid w:val="0010047B"/>
    <w:rsid w:val="00101B81"/>
    <w:rsid w:val="001030F4"/>
    <w:rsid w:val="00103C03"/>
    <w:rsid w:val="00116EEB"/>
    <w:rsid w:val="0012635C"/>
    <w:rsid w:val="001269A2"/>
    <w:rsid w:val="00127F17"/>
    <w:rsid w:val="001324E6"/>
    <w:rsid w:val="001332CA"/>
    <w:rsid w:val="00137525"/>
    <w:rsid w:val="00145D8F"/>
    <w:rsid w:val="001479F5"/>
    <w:rsid w:val="001508A3"/>
    <w:rsid w:val="00152B46"/>
    <w:rsid w:val="00155732"/>
    <w:rsid w:val="00161CF2"/>
    <w:rsid w:val="0016240D"/>
    <w:rsid w:val="00166672"/>
    <w:rsid w:val="00166756"/>
    <w:rsid w:val="001764D1"/>
    <w:rsid w:val="0017799C"/>
    <w:rsid w:val="00177C80"/>
    <w:rsid w:val="001847F4"/>
    <w:rsid w:val="00184D63"/>
    <w:rsid w:val="00195361"/>
    <w:rsid w:val="00196451"/>
    <w:rsid w:val="001A6E58"/>
    <w:rsid w:val="001B22C7"/>
    <w:rsid w:val="001B5B07"/>
    <w:rsid w:val="00207010"/>
    <w:rsid w:val="0020704E"/>
    <w:rsid w:val="002078C0"/>
    <w:rsid w:val="00215021"/>
    <w:rsid w:val="00215E46"/>
    <w:rsid w:val="00217DA1"/>
    <w:rsid w:val="00222A69"/>
    <w:rsid w:val="00231BF2"/>
    <w:rsid w:val="00237EC4"/>
    <w:rsid w:val="00246961"/>
    <w:rsid w:val="00247D28"/>
    <w:rsid w:val="00257DF3"/>
    <w:rsid w:val="002659A3"/>
    <w:rsid w:val="00266955"/>
    <w:rsid w:val="002854EB"/>
    <w:rsid w:val="00293BD7"/>
    <w:rsid w:val="002A2223"/>
    <w:rsid w:val="002A6DEF"/>
    <w:rsid w:val="002A77A1"/>
    <w:rsid w:val="002B26A3"/>
    <w:rsid w:val="002B2E5F"/>
    <w:rsid w:val="002B4378"/>
    <w:rsid w:val="002C4810"/>
    <w:rsid w:val="002C5EBF"/>
    <w:rsid w:val="002D5300"/>
    <w:rsid w:val="002E3C64"/>
    <w:rsid w:val="002F0F0E"/>
    <w:rsid w:val="002F3169"/>
    <w:rsid w:val="002F365C"/>
    <w:rsid w:val="0030197A"/>
    <w:rsid w:val="00306ED4"/>
    <w:rsid w:val="00311A06"/>
    <w:rsid w:val="0031778C"/>
    <w:rsid w:val="00321E44"/>
    <w:rsid w:val="00326736"/>
    <w:rsid w:val="00332EBF"/>
    <w:rsid w:val="00341C1D"/>
    <w:rsid w:val="0035607B"/>
    <w:rsid w:val="003725C1"/>
    <w:rsid w:val="00383339"/>
    <w:rsid w:val="00390273"/>
    <w:rsid w:val="00391A04"/>
    <w:rsid w:val="00392156"/>
    <w:rsid w:val="003944EE"/>
    <w:rsid w:val="00394855"/>
    <w:rsid w:val="003A3F72"/>
    <w:rsid w:val="003A6A83"/>
    <w:rsid w:val="003B4BC3"/>
    <w:rsid w:val="003C02A9"/>
    <w:rsid w:val="003C24A4"/>
    <w:rsid w:val="003C32D5"/>
    <w:rsid w:val="003C7D5B"/>
    <w:rsid w:val="003E4988"/>
    <w:rsid w:val="003F1E87"/>
    <w:rsid w:val="0041504D"/>
    <w:rsid w:val="00423423"/>
    <w:rsid w:val="00424EC5"/>
    <w:rsid w:val="00433B5F"/>
    <w:rsid w:val="00436BF6"/>
    <w:rsid w:val="00440B9D"/>
    <w:rsid w:val="004558DD"/>
    <w:rsid w:val="00460240"/>
    <w:rsid w:val="004647AE"/>
    <w:rsid w:val="00470264"/>
    <w:rsid w:val="00477978"/>
    <w:rsid w:val="0048011B"/>
    <w:rsid w:val="0048057A"/>
    <w:rsid w:val="00492EF9"/>
    <w:rsid w:val="004946B7"/>
    <w:rsid w:val="00495055"/>
    <w:rsid w:val="00497024"/>
    <w:rsid w:val="00497782"/>
    <w:rsid w:val="004A5E90"/>
    <w:rsid w:val="004B4834"/>
    <w:rsid w:val="004C2785"/>
    <w:rsid w:val="004C562A"/>
    <w:rsid w:val="004C5662"/>
    <w:rsid w:val="004C5765"/>
    <w:rsid w:val="004C6430"/>
    <w:rsid w:val="004D4EE6"/>
    <w:rsid w:val="004E2EDB"/>
    <w:rsid w:val="004E30CF"/>
    <w:rsid w:val="004E3B1E"/>
    <w:rsid w:val="004E4A5A"/>
    <w:rsid w:val="004E6ADB"/>
    <w:rsid w:val="0050281E"/>
    <w:rsid w:val="00515357"/>
    <w:rsid w:val="0051563F"/>
    <w:rsid w:val="00522139"/>
    <w:rsid w:val="00545961"/>
    <w:rsid w:val="00545E22"/>
    <w:rsid w:val="00554D49"/>
    <w:rsid w:val="00557129"/>
    <w:rsid w:val="00557223"/>
    <w:rsid w:val="00557DDC"/>
    <w:rsid w:val="00564B81"/>
    <w:rsid w:val="0056559B"/>
    <w:rsid w:val="00570EFD"/>
    <w:rsid w:val="00571A79"/>
    <w:rsid w:val="00580199"/>
    <w:rsid w:val="005935A1"/>
    <w:rsid w:val="005A0C56"/>
    <w:rsid w:val="005A607C"/>
    <w:rsid w:val="005A77E6"/>
    <w:rsid w:val="005B1CE8"/>
    <w:rsid w:val="005B45FF"/>
    <w:rsid w:val="005B7DF6"/>
    <w:rsid w:val="005C0522"/>
    <w:rsid w:val="005C69FF"/>
    <w:rsid w:val="005D0D70"/>
    <w:rsid w:val="005D448B"/>
    <w:rsid w:val="005E3B56"/>
    <w:rsid w:val="005F20A1"/>
    <w:rsid w:val="005F5F7A"/>
    <w:rsid w:val="005F62BC"/>
    <w:rsid w:val="005F6C5E"/>
    <w:rsid w:val="005F708E"/>
    <w:rsid w:val="0060361A"/>
    <w:rsid w:val="0060390A"/>
    <w:rsid w:val="00606A14"/>
    <w:rsid w:val="0061169B"/>
    <w:rsid w:val="00612782"/>
    <w:rsid w:val="00613D51"/>
    <w:rsid w:val="006165A5"/>
    <w:rsid w:val="0062349E"/>
    <w:rsid w:val="0062539B"/>
    <w:rsid w:val="00640A1F"/>
    <w:rsid w:val="00643BFB"/>
    <w:rsid w:val="00645731"/>
    <w:rsid w:val="00650094"/>
    <w:rsid w:val="00656F11"/>
    <w:rsid w:val="006604C8"/>
    <w:rsid w:val="00660CBC"/>
    <w:rsid w:val="00661B8F"/>
    <w:rsid w:val="00693401"/>
    <w:rsid w:val="0069675B"/>
    <w:rsid w:val="006A001D"/>
    <w:rsid w:val="006B1270"/>
    <w:rsid w:val="006B5076"/>
    <w:rsid w:val="006B60BF"/>
    <w:rsid w:val="006C7854"/>
    <w:rsid w:val="006D57DE"/>
    <w:rsid w:val="006E3975"/>
    <w:rsid w:val="006E44A1"/>
    <w:rsid w:val="00701492"/>
    <w:rsid w:val="0070505E"/>
    <w:rsid w:val="0071395A"/>
    <w:rsid w:val="00715198"/>
    <w:rsid w:val="0072185F"/>
    <w:rsid w:val="0072396C"/>
    <w:rsid w:val="007306CD"/>
    <w:rsid w:val="00730E2A"/>
    <w:rsid w:val="00731EC2"/>
    <w:rsid w:val="0073374E"/>
    <w:rsid w:val="00744873"/>
    <w:rsid w:val="00745E5D"/>
    <w:rsid w:val="00750A47"/>
    <w:rsid w:val="00750E4B"/>
    <w:rsid w:val="007541F9"/>
    <w:rsid w:val="0076386A"/>
    <w:rsid w:val="00771BEC"/>
    <w:rsid w:val="007748C9"/>
    <w:rsid w:val="0077661D"/>
    <w:rsid w:val="0078221E"/>
    <w:rsid w:val="00790D6F"/>
    <w:rsid w:val="007A5110"/>
    <w:rsid w:val="007A7C57"/>
    <w:rsid w:val="007B1DF5"/>
    <w:rsid w:val="007B2433"/>
    <w:rsid w:val="007B66A1"/>
    <w:rsid w:val="007C4363"/>
    <w:rsid w:val="007D20AD"/>
    <w:rsid w:val="007D507B"/>
    <w:rsid w:val="007E19E2"/>
    <w:rsid w:val="007E62A9"/>
    <w:rsid w:val="007F221D"/>
    <w:rsid w:val="007F2F35"/>
    <w:rsid w:val="007F4A65"/>
    <w:rsid w:val="008130BF"/>
    <w:rsid w:val="00815D03"/>
    <w:rsid w:val="008233CF"/>
    <w:rsid w:val="008241F7"/>
    <w:rsid w:val="00824E35"/>
    <w:rsid w:val="00844C7D"/>
    <w:rsid w:val="0085136C"/>
    <w:rsid w:val="00854776"/>
    <w:rsid w:val="00865763"/>
    <w:rsid w:val="00866B4F"/>
    <w:rsid w:val="008813BE"/>
    <w:rsid w:val="008B268A"/>
    <w:rsid w:val="008B4AD9"/>
    <w:rsid w:val="008C2A35"/>
    <w:rsid w:val="008C49E0"/>
    <w:rsid w:val="008C50B0"/>
    <w:rsid w:val="008C6574"/>
    <w:rsid w:val="008C79F1"/>
    <w:rsid w:val="008D17F0"/>
    <w:rsid w:val="008D1B55"/>
    <w:rsid w:val="008D4475"/>
    <w:rsid w:val="008D5A89"/>
    <w:rsid w:val="008D615E"/>
    <w:rsid w:val="008E4EC0"/>
    <w:rsid w:val="008F659A"/>
    <w:rsid w:val="00904082"/>
    <w:rsid w:val="00906E98"/>
    <w:rsid w:val="009144FA"/>
    <w:rsid w:val="009154D5"/>
    <w:rsid w:val="009154F2"/>
    <w:rsid w:val="00915E36"/>
    <w:rsid w:val="00920CFD"/>
    <w:rsid w:val="00931759"/>
    <w:rsid w:val="009418E5"/>
    <w:rsid w:val="00941B7B"/>
    <w:rsid w:val="00941C5A"/>
    <w:rsid w:val="00945DAC"/>
    <w:rsid w:val="0094600A"/>
    <w:rsid w:val="00950371"/>
    <w:rsid w:val="009511FF"/>
    <w:rsid w:val="00966B09"/>
    <w:rsid w:val="00966F0F"/>
    <w:rsid w:val="009747E7"/>
    <w:rsid w:val="0097668B"/>
    <w:rsid w:val="009B2AC1"/>
    <w:rsid w:val="009B2E19"/>
    <w:rsid w:val="009B3460"/>
    <w:rsid w:val="009C100F"/>
    <w:rsid w:val="009C17D5"/>
    <w:rsid w:val="009C511A"/>
    <w:rsid w:val="009C6804"/>
    <w:rsid w:val="009C6D5B"/>
    <w:rsid w:val="009D112A"/>
    <w:rsid w:val="009D1DE2"/>
    <w:rsid w:val="009E0380"/>
    <w:rsid w:val="009E220A"/>
    <w:rsid w:val="009E3A3D"/>
    <w:rsid w:val="009E4D7D"/>
    <w:rsid w:val="009E7B3E"/>
    <w:rsid w:val="009F2EDC"/>
    <w:rsid w:val="00A11DFD"/>
    <w:rsid w:val="00A1434F"/>
    <w:rsid w:val="00A176D9"/>
    <w:rsid w:val="00A21FD4"/>
    <w:rsid w:val="00A236A9"/>
    <w:rsid w:val="00A24983"/>
    <w:rsid w:val="00A3120B"/>
    <w:rsid w:val="00A312EC"/>
    <w:rsid w:val="00A32C1B"/>
    <w:rsid w:val="00A33F54"/>
    <w:rsid w:val="00A4490A"/>
    <w:rsid w:val="00A46AC9"/>
    <w:rsid w:val="00A5111B"/>
    <w:rsid w:val="00A577CE"/>
    <w:rsid w:val="00A67D6E"/>
    <w:rsid w:val="00A765D2"/>
    <w:rsid w:val="00A77943"/>
    <w:rsid w:val="00A81547"/>
    <w:rsid w:val="00A84C6F"/>
    <w:rsid w:val="00A85AF0"/>
    <w:rsid w:val="00A923F6"/>
    <w:rsid w:val="00A97765"/>
    <w:rsid w:val="00AA2297"/>
    <w:rsid w:val="00AA40E0"/>
    <w:rsid w:val="00AA71CC"/>
    <w:rsid w:val="00AA78C4"/>
    <w:rsid w:val="00AB5244"/>
    <w:rsid w:val="00AB7B19"/>
    <w:rsid w:val="00AD2503"/>
    <w:rsid w:val="00AD2C17"/>
    <w:rsid w:val="00AD419B"/>
    <w:rsid w:val="00AF1AD6"/>
    <w:rsid w:val="00AF56CF"/>
    <w:rsid w:val="00AF6CCE"/>
    <w:rsid w:val="00B00AFF"/>
    <w:rsid w:val="00B02725"/>
    <w:rsid w:val="00B11793"/>
    <w:rsid w:val="00B25053"/>
    <w:rsid w:val="00B2653F"/>
    <w:rsid w:val="00B33322"/>
    <w:rsid w:val="00B3417B"/>
    <w:rsid w:val="00B543CD"/>
    <w:rsid w:val="00B6201F"/>
    <w:rsid w:val="00B70054"/>
    <w:rsid w:val="00B7196B"/>
    <w:rsid w:val="00B761F2"/>
    <w:rsid w:val="00B83768"/>
    <w:rsid w:val="00B93C5A"/>
    <w:rsid w:val="00BB0E09"/>
    <w:rsid w:val="00BB17CF"/>
    <w:rsid w:val="00BC3E6C"/>
    <w:rsid w:val="00BC483C"/>
    <w:rsid w:val="00BD6AB1"/>
    <w:rsid w:val="00BD7A58"/>
    <w:rsid w:val="00BE2296"/>
    <w:rsid w:val="00BE3B36"/>
    <w:rsid w:val="00BE4E5A"/>
    <w:rsid w:val="00BF443F"/>
    <w:rsid w:val="00BF72A8"/>
    <w:rsid w:val="00C1166F"/>
    <w:rsid w:val="00C11FA8"/>
    <w:rsid w:val="00C1353B"/>
    <w:rsid w:val="00C20FF2"/>
    <w:rsid w:val="00C2237C"/>
    <w:rsid w:val="00C31214"/>
    <w:rsid w:val="00C37E79"/>
    <w:rsid w:val="00C42831"/>
    <w:rsid w:val="00C44A0D"/>
    <w:rsid w:val="00C450A2"/>
    <w:rsid w:val="00C51A31"/>
    <w:rsid w:val="00C54D7C"/>
    <w:rsid w:val="00C560EF"/>
    <w:rsid w:val="00C61540"/>
    <w:rsid w:val="00C7021C"/>
    <w:rsid w:val="00C72FB2"/>
    <w:rsid w:val="00C736D1"/>
    <w:rsid w:val="00C74BBE"/>
    <w:rsid w:val="00C74F91"/>
    <w:rsid w:val="00C81715"/>
    <w:rsid w:val="00C818B5"/>
    <w:rsid w:val="00C87589"/>
    <w:rsid w:val="00C91A97"/>
    <w:rsid w:val="00CA3FF7"/>
    <w:rsid w:val="00CB1243"/>
    <w:rsid w:val="00CD02BC"/>
    <w:rsid w:val="00CD0615"/>
    <w:rsid w:val="00CD6156"/>
    <w:rsid w:val="00CE5DE7"/>
    <w:rsid w:val="00CE73CE"/>
    <w:rsid w:val="00CF5E69"/>
    <w:rsid w:val="00CF6ACE"/>
    <w:rsid w:val="00D0475F"/>
    <w:rsid w:val="00D04F47"/>
    <w:rsid w:val="00D16ECD"/>
    <w:rsid w:val="00D275C2"/>
    <w:rsid w:val="00D32CC8"/>
    <w:rsid w:val="00D43B21"/>
    <w:rsid w:val="00D453E2"/>
    <w:rsid w:val="00D55AC2"/>
    <w:rsid w:val="00D57765"/>
    <w:rsid w:val="00D60FD4"/>
    <w:rsid w:val="00D6104E"/>
    <w:rsid w:val="00D61C86"/>
    <w:rsid w:val="00D7078A"/>
    <w:rsid w:val="00D8365A"/>
    <w:rsid w:val="00D84F2A"/>
    <w:rsid w:val="00D85229"/>
    <w:rsid w:val="00D93940"/>
    <w:rsid w:val="00D93BDB"/>
    <w:rsid w:val="00D9459E"/>
    <w:rsid w:val="00D96FF6"/>
    <w:rsid w:val="00DB15B6"/>
    <w:rsid w:val="00DB170B"/>
    <w:rsid w:val="00DC2826"/>
    <w:rsid w:val="00DC47E2"/>
    <w:rsid w:val="00DC6C0D"/>
    <w:rsid w:val="00DE1C16"/>
    <w:rsid w:val="00DF0F2F"/>
    <w:rsid w:val="00DF618E"/>
    <w:rsid w:val="00E04E76"/>
    <w:rsid w:val="00E20C4D"/>
    <w:rsid w:val="00E24E6F"/>
    <w:rsid w:val="00E30A48"/>
    <w:rsid w:val="00E317AE"/>
    <w:rsid w:val="00E33E1E"/>
    <w:rsid w:val="00E367BA"/>
    <w:rsid w:val="00E42B18"/>
    <w:rsid w:val="00E4414A"/>
    <w:rsid w:val="00E5744B"/>
    <w:rsid w:val="00E61893"/>
    <w:rsid w:val="00E63543"/>
    <w:rsid w:val="00E707AC"/>
    <w:rsid w:val="00E8569A"/>
    <w:rsid w:val="00EA5900"/>
    <w:rsid w:val="00EB3EB0"/>
    <w:rsid w:val="00EC321C"/>
    <w:rsid w:val="00ED0849"/>
    <w:rsid w:val="00ED2E05"/>
    <w:rsid w:val="00ED3372"/>
    <w:rsid w:val="00ED5706"/>
    <w:rsid w:val="00EE02A7"/>
    <w:rsid w:val="00EF1663"/>
    <w:rsid w:val="00EF7189"/>
    <w:rsid w:val="00EF7D5D"/>
    <w:rsid w:val="00F03BAE"/>
    <w:rsid w:val="00F15804"/>
    <w:rsid w:val="00F24A4A"/>
    <w:rsid w:val="00F279A9"/>
    <w:rsid w:val="00F30DA1"/>
    <w:rsid w:val="00F34FF1"/>
    <w:rsid w:val="00F36116"/>
    <w:rsid w:val="00F36A20"/>
    <w:rsid w:val="00F518D3"/>
    <w:rsid w:val="00F52133"/>
    <w:rsid w:val="00F561B6"/>
    <w:rsid w:val="00F56EF2"/>
    <w:rsid w:val="00F643E6"/>
    <w:rsid w:val="00F820D6"/>
    <w:rsid w:val="00F8394A"/>
    <w:rsid w:val="00F83C0E"/>
    <w:rsid w:val="00F93005"/>
    <w:rsid w:val="00FA09B5"/>
    <w:rsid w:val="00FA1207"/>
    <w:rsid w:val="00FA1A3C"/>
    <w:rsid w:val="00FA33D1"/>
    <w:rsid w:val="00FA4A78"/>
    <w:rsid w:val="00FB4EC9"/>
    <w:rsid w:val="00FB6EEB"/>
    <w:rsid w:val="00FC1624"/>
    <w:rsid w:val="00FC619B"/>
    <w:rsid w:val="00FD24ED"/>
    <w:rsid w:val="00FD4145"/>
    <w:rsid w:val="00FD4192"/>
    <w:rsid w:val="00FE5455"/>
    <w:rsid w:val="00FF2A98"/>
    <w:rsid w:val="00FF5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EEB"/>
    <w:pPr>
      <w:spacing w:before="120" w:after="120"/>
      <w:jc w:val="both"/>
    </w:pPr>
    <w:rPr>
      <w:rFonts w:ascii="Arial" w:hAnsi="Arial"/>
      <w:sz w:val="22"/>
      <w:szCs w:val="24"/>
      <w:lang w:val="en-AU" w:eastAsia="en-AU"/>
    </w:rPr>
  </w:style>
  <w:style w:type="paragraph" w:styleId="Heading1">
    <w:name w:val="heading 1"/>
    <w:next w:val="Normal"/>
    <w:qFormat/>
    <w:rsid w:val="00023495"/>
    <w:pPr>
      <w:keepNext/>
      <w:pBdr>
        <w:top w:val="single" w:sz="4" w:space="1" w:color="auto"/>
      </w:pBdr>
      <w:spacing w:before="240" w:after="60"/>
      <w:jc w:val="center"/>
      <w:outlineLvl w:val="0"/>
    </w:pPr>
    <w:rPr>
      <w:rFonts w:ascii="Arial" w:hAnsi="Arial"/>
      <w:b/>
      <w:bCs/>
      <w:kern w:val="32"/>
      <w:sz w:val="48"/>
      <w:szCs w:val="32"/>
      <w:lang w:val="en-AU" w:eastAsia="en-AU"/>
    </w:rPr>
  </w:style>
  <w:style w:type="paragraph" w:styleId="Heading2">
    <w:name w:val="heading 2"/>
    <w:basedOn w:val="PI-Header1"/>
    <w:next w:val="Normal"/>
    <w:link w:val="Heading2Char"/>
    <w:unhideWhenUsed/>
    <w:qFormat/>
    <w:rsid w:val="00023495"/>
    <w:pPr>
      <w:spacing w:before="440" w:after="360"/>
      <w:outlineLvl w:val="1"/>
    </w:pPr>
    <w:rPr>
      <w:sz w:val="28"/>
    </w:rPr>
  </w:style>
  <w:style w:type="paragraph" w:styleId="Heading3">
    <w:name w:val="heading 3"/>
    <w:basedOn w:val="PI-Header2"/>
    <w:next w:val="Normal"/>
    <w:qFormat/>
    <w:rsid w:val="00023495"/>
    <w:pPr>
      <w:spacing w:before="240"/>
      <w:outlineLvl w:val="2"/>
    </w:pPr>
  </w:style>
  <w:style w:type="paragraph" w:styleId="Heading4">
    <w:name w:val="heading 4"/>
    <w:basedOn w:val="PI-Header4"/>
    <w:next w:val="Normal"/>
    <w:link w:val="Heading4Char"/>
    <w:unhideWhenUsed/>
    <w:qFormat/>
    <w:rsid w:val="00824E35"/>
    <w:pPr>
      <w:outlineLvl w:val="3"/>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er1">
    <w:name w:val="PI - Header 1"/>
    <w:basedOn w:val="Normal"/>
    <w:next w:val="Normal"/>
    <w:rsid w:val="00660CBC"/>
    <w:rPr>
      <w:rFonts w:cs="Arial"/>
      <w:b/>
      <w:caps/>
    </w:rPr>
  </w:style>
  <w:style w:type="paragraph" w:customStyle="1" w:styleId="PI-Header2">
    <w:name w:val="PI - Header 2"/>
    <w:basedOn w:val="Normal"/>
    <w:link w:val="PI-Header2Char"/>
    <w:rsid w:val="00660CBC"/>
    <w:rPr>
      <w:rFonts w:cs="Arial"/>
      <w:b/>
      <w:szCs w:val="22"/>
    </w:rPr>
  </w:style>
  <w:style w:type="character" w:styleId="CommentReference">
    <w:name w:val="annotation reference"/>
    <w:basedOn w:val="DefaultParagraphFont"/>
    <w:semiHidden/>
    <w:rsid w:val="0035607B"/>
    <w:rPr>
      <w:sz w:val="16"/>
      <w:szCs w:val="16"/>
    </w:rPr>
  </w:style>
  <w:style w:type="paragraph" w:styleId="CommentText">
    <w:name w:val="annotation text"/>
    <w:basedOn w:val="Normal"/>
    <w:semiHidden/>
    <w:rsid w:val="0035607B"/>
    <w:rPr>
      <w:sz w:val="20"/>
      <w:szCs w:val="20"/>
    </w:rPr>
  </w:style>
  <w:style w:type="paragraph" w:styleId="CommentSubject">
    <w:name w:val="annotation subject"/>
    <w:basedOn w:val="CommentText"/>
    <w:next w:val="CommentText"/>
    <w:semiHidden/>
    <w:rsid w:val="0035607B"/>
    <w:rPr>
      <w:b/>
      <w:bCs/>
    </w:rPr>
  </w:style>
  <w:style w:type="paragraph" w:styleId="BalloonText">
    <w:name w:val="Balloon Text"/>
    <w:basedOn w:val="Normal"/>
    <w:semiHidden/>
    <w:rsid w:val="0035607B"/>
    <w:rPr>
      <w:rFonts w:ascii="Tahoma" w:hAnsi="Tahoma"/>
      <w:sz w:val="16"/>
      <w:szCs w:val="16"/>
    </w:rPr>
  </w:style>
  <w:style w:type="paragraph" w:styleId="Caption">
    <w:name w:val="caption"/>
    <w:basedOn w:val="Normal"/>
    <w:next w:val="Normal"/>
    <w:qFormat/>
    <w:rsid w:val="00E8569A"/>
    <w:pPr>
      <w:jc w:val="center"/>
    </w:pPr>
    <w:rPr>
      <w:b/>
      <w:bCs/>
      <w:sz w:val="20"/>
      <w:szCs w:val="20"/>
    </w:rPr>
  </w:style>
  <w:style w:type="paragraph" w:customStyle="1" w:styleId="Normal-Table">
    <w:name w:val="Normal - Table"/>
    <w:basedOn w:val="Normal"/>
    <w:rsid w:val="00E8569A"/>
    <w:rPr>
      <w:rFonts w:cs="Arial"/>
      <w:sz w:val="20"/>
      <w:szCs w:val="22"/>
      <w:lang w:val="en-GB"/>
    </w:rPr>
  </w:style>
  <w:style w:type="paragraph" w:customStyle="1" w:styleId="PI-Header3">
    <w:name w:val="PI - Header 3"/>
    <w:basedOn w:val="PI-Header2"/>
    <w:link w:val="PI-Header3Char"/>
    <w:rsid w:val="00DC2826"/>
    <w:rPr>
      <w:b w:val="0"/>
      <w:u w:val="single"/>
      <w:lang w:val="en-GB"/>
    </w:rPr>
  </w:style>
  <w:style w:type="character" w:customStyle="1" w:styleId="PI-Header2Char">
    <w:name w:val="PI - Header 2 Char"/>
    <w:basedOn w:val="DefaultParagraphFont"/>
    <w:link w:val="PI-Header2"/>
    <w:rsid w:val="00DC2826"/>
    <w:rPr>
      <w:rFonts w:ascii="Arial" w:hAnsi="Arial" w:cs="Arial"/>
      <w:b/>
      <w:sz w:val="22"/>
      <w:szCs w:val="22"/>
      <w:lang w:val="en-AU" w:eastAsia="en-AU" w:bidi="ar-SA"/>
    </w:rPr>
  </w:style>
  <w:style w:type="character" w:customStyle="1" w:styleId="PI-Header3Char">
    <w:name w:val="PI - Header 3 Char"/>
    <w:basedOn w:val="PI-Header2Char"/>
    <w:link w:val="PI-Header3"/>
    <w:rsid w:val="00DC2826"/>
    <w:rPr>
      <w:u w:val="single"/>
      <w:lang w:val="en-GB"/>
    </w:rPr>
  </w:style>
  <w:style w:type="paragraph" w:customStyle="1" w:styleId="PI-Header4">
    <w:name w:val="PI - Header 4"/>
    <w:basedOn w:val="Normal"/>
    <w:rsid w:val="00DC2826"/>
    <w:rPr>
      <w:rFonts w:cs="Arial"/>
      <w:i/>
      <w:iCs/>
      <w:szCs w:val="22"/>
      <w:lang w:val="en-GB"/>
    </w:rPr>
  </w:style>
  <w:style w:type="paragraph" w:styleId="Header">
    <w:name w:val="header"/>
    <w:basedOn w:val="Normal"/>
    <w:rsid w:val="00C450A2"/>
    <w:pPr>
      <w:tabs>
        <w:tab w:val="center" w:pos="4153"/>
        <w:tab w:val="right" w:pos="8306"/>
      </w:tabs>
    </w:pPr>
  </w:style>
  <w:style w:type="paragraph" w:styleId="Footer">
    <w:name w:val="footer"/>
    <w:basedOn w:val="Normal"/>
    <w:rsid w:val="00C450A2"/>
    <w:pPr>
      <w:tabs>
        <w:tab w:val="center" w:pos="4153"/>
        <w:tab w:val="right" w:pos="8306"/>
      </w:tabs>
    </w:pPr>
  </w:style>
  <w:style w:type="character" w:styleId="PageNumber">
    <w:name w:val="page number"/>
    <w:basedOn w:val="DefaultParagraphFont"/>
    <w:rsid w:val="007E62A9"/>
  </w:style>
  <w:style w:type="character" w:styleId="FootnoteReference">
    <w:name w:val="footnote reference"/>
    <w:basedOn w:val="DefaultParagraphFont"/>
    <w:semiHidden/>
    <w:rsid w:val="00BC3E6C"/>
    <w:rPr>
      <w:vertAlign w:val="superscript"/>
    </w:rPr>
  </w:style>
  <w:style w:type="paragraph" w:styleId="FootnoteText">
    <w:name w:val="footnote text"/>
    <w:basedOn w:val="Normal"/>
    <w:semiHidden/>
    <w:rsid w:val="00BC3E6C"/>
    <w:pPr>
      <w:jc w:val="left"/>
    </w:pPr>
    <w:rPr>
      <w:rFonts w:ascii="Courier" w:hAnsi="Courier"/>
      <w:sz w:val="20"/>
      <w:szCs w:val="20"/>
      <w:lang w:val="en-US" w:eastAsia="en-US"/>
    </w:rPr>
  </w:style>
  <w:style w:type="table" w:styleId="TableGrid">
    <w:name w:val="Table Grid"/>
    <w:basedOn w:val="TableNormal"/>
    <w:rsid w:val="0051535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semiHidden/>
    <w:rsid w:val="00B70054"/>
    <w:pPr>
      <w:tabs>
        <w:tab w:val="left" w:pos="9000"/>
        <w:tab w:val="right" w:pos="9360"/>
      </w:tabs>
      <w:suppressAutoHyphens/>
      <w:ind w:left="720" w:hanging="720"/>
      <w:jc w:val="left"/>
    </w:pPr>
    <w:rPr>
      <w:rFonts w:ascii="Courier" w:hAnsi="Courier"/>
      <w:sz w:val="24"/>
      <w:szCs w:val="20"/>
      <w:lang w:val="en-US" w:eastAsia="en-US"/>
    </w:rPr>
  </w:style>
  <w:style w:type="character" w:styleId="LineNumber">
    <w:name w:val="line number"/>
    <w:basedOn w:val="DefaultParagraphFont"/>
    <w:rsid w:val="002D5300"/>
  </w:style>
  <w:style w:type="paragraph" w:customStyle="1" w:styleId="PIMAINHEADING">
    <w:name w:val="PI MAINHEADING"/>
    <w:basedOn w:val="Heading1"/>
    <w:rsid w:val="00BE4E5A"/>
    <w:pPr>
      <w:keepNext w:val="0"/>
      <w:keepLines/>
      <w:widowControl w:val="0"/>
      <w:pBdr>
        <w:top w:val="single" w:sz="6" w:space="1" w:color="auto"/>
        <w:bottom w:val="single" w:sz="6" w:space="1" w:color="auto"/>
      </w:pBdr>
      <w:spacing w:before="0" w:after="0"/>
      <w:outlineLvl w:val="9"/>
    </w:pPr>
    <w:rPr>
      <w:rFonts w:ascii="Arial Black" w:hAnsi="Arial Black"/>
      <w:bCs w:val="0"/>
      <w:kern w:val="28"/>
      <w:sz w:val="56"/>
      <w:szCs w:val="20"/>
      <w:lang w:eastAsia="en-US"/>
    </w:rPr>
  </w:style>
  <w:style w:type="paragraph" w:customStyle="1" w:styleId="PIProductInfo">
    <w:name w:val="PI Product Info"/>
    <w:basedOn w:val="Normal"/>
    <w:rsid w:val="00BE4E5A"/>
    <w:pPr>
      <w:widowControl w:val="0"/>
      <w:pBdr>
        <w:bottom w:val="single" w:sz="6" w:space="1" w:color="auto"/>
      </w:pBdr>
      <w:spacing w:before="60" w:after="240"/>
      <w:jc w:val="center"/>
    </w:pPr>
    <w:rPr>
      <w:b/>
      <w:sz w:val="36"/>
      <w:szCs w:val="20"/>
      <w:lang w:val="en-US" w:eastAsia="en-US"/>
    </w:rPr>
  </w:style>
  <w:style w:type="character" w:customStyle="1" w:styleId="Heading2Char">
    <w:name w:val="Heading 2 Char"/>
    <w:basedOn w:val="DefaultParagraphFont"/>
    <w:link w:val="Heading2"/>
    <w:rsid w:val="00023495"/>
    <w:rPr>
      <w:rFonts w:ascii="Arial" w:hAnsi="Arial" w:cs="Arial"/>
      <w:b/>
      <w:caps/>
      <w:sz w:val="28"/>
      <w:szCs w:val="24"/>
      <w:lang w:val="en-AU" w:eastAsia="en-AU"/>
    </w:rPr>
  </w:style>
  <w:style w:type="character" w:customStyle="1" w:styleId="Heading4Char">
    <w:name w:val="Heading 4 Char"/>
    <w:basedOn w:val="DefaultParagraphFont"/>
    <w:link w:val="Heading4"/>
    <w:rsid w:val="00824E35"/>
    <w:rPr>
      <w:rFonts w:ascii="Arial" w:hAnsi="Arial" w:cs="Arial"/>
      <w:i/>
      <w:iCs/>
      <w:sz w:val="22"/>
      <w:szCs w:val="22"/>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29F5-C086-4B94-BC87-E4D26D93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24</Pages>
  <Words>9637</Words>
  <Characters>54952</Characters>
  <Application>Microsoft Office Word</Application>
  <DocSecurity>0</DocSecurity>
  <Lines>1373</Lines>
  <Paragraphs>838</Paragraphs>
  <ScaleCrop>false</ScaleCrop>
  <HeadingPairs>
    <vt:vector size="2" baseType="variant">
      <vt:variant>
        <vt:lpstr>Title</vt:lpstr>
      </vt:variant>
      <vt:variant>
        <vt:i4>1</vt:i4>
      </vt:variant>
    </vt:vector>
  </HeadingPairs>
  <TitlesOfParts>
    <vt:vector size="1" baseType="lpstr">
      <vt:lpstr>AusPAR Attachment 1: Product Information for Simponi</vt:lpstr>
    </vt:vector>
  </TitlesOfParts>
  <Company/>
  <LinksUpToDate>false</LinksUpToDate>
  <CharactersWithSpaces>63751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Simponi</dc:title>
  <dc:subject>prescription medicine regulation</dc:subject>
  <dc:creator>Janssen-Cilag Pty Ltd </dc:creator>
  <cp:keywords>prescription, medicine, regulation, australia, product information, simponi, golimumab, janssen-cilag</cp:keywords>
  <cp:lastModifiedBy>Bird, Gail</cp:lastModifiedBy>
  <cp:revision>28</cp:revision>
  <cp:lastPrinted>2012-07-26T04:52:00Z</cp:lastPrinted>
  <dcterms:created xsi:type="dcterms:W3CDTF">2012-06-29T05:20:00Z</dcterms:created>
  <dcterms:modified xsi:type="dcterms:W3CDTF">2013-10-10T06:58:00Z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