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F3" w:rsidRPr="005E1202" w:rsidRDefault="00375DF3" w:rsidP="006018AE">
      <w:pPr>
        <w:tabs>
          <w:tab w:val="left" w:pos="284"/>
        </w:tabs>
        <w:spacing w:after="480" w:line="240" w:lineRule="auto"/>
        <w:rPr>
          <w:rFonts w:ascii="Arial" w:hAnsi="Arial" w:cs="Arial"/>
        </w:rPr>
      </w:pPr>
      <w:r w:rsidRPr="005E1202">
        <w:rPr>
          <w:rFonts w:ascii="Arial" w:hAnsi="Arial" w:cs="Arial"/>
          <w:noProof/>
          <w:lang w:eastAsia="en-AU"/>
        </w:rPr>
        <mc:AlternateContent>
          <mc:Choice Requires="wps">
            <w:drawing>
              <wp:inline distT="0" distB="0" distL="0" distR="0" wp14:anchorId="51A0DFD8" wp14:editId="23B844FA">
                <wp:extent cx="226612" cy="252095"/>
                <wp:effectExtent l="0" t="0" r="254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707" w:rsidRDefault="00A01707" w:rsidP="00375DF3">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" stroked="f">
                <v:textbox inset="0,0,0,0">
                  <w:txbxContent>
                    <w:p w:rsidR="00A01707" w:rsidRDefault="00A01707" w:rsidP="00375DF3">
                      <w:pPr>
                        <w:spacing w:after="0"/>
                        <w:rPr>
                          <w:rFonts w:ascii="Wingdings 3" w:hAnsi="Wingdings 3"/>
                        </w:rPr>
                      </w:pPr>
                      <w:r>
                        <w:rPr>
                          <w:rFonts w:ascii="Wingdings 3" w:hAnsi="Wingdings 3" w:cs="Arial"/>
                          <w:sz w:val="36"/>
                        </w:rPr>
                        <w:t></w:t>
                      </w:r>
                    </w:p>
                  </w:txbxContent>
                </v:textbox>
                <w10:anchorlock/>
              </v:shape>
            </w:pict>
          </mc:Fallback>
        </mc:AlternateContent>
      </w:r>
      <w:r w:rsidR="001A3992" w:rsidRPr="005E1202">
        <w:rPr>
          <w:rFonts w:ascii="Arial" w:hAnsi="Arial" w:cs="Arial"/>
        </w:rPr>
        <w:t>Th</w:t>
      </w:r>
      <w:bookmarkStart w:id="0" w:name="_GoBack"/>
      <w:bookmarkEnd w:id="0"/>
      <w:r w:rsidR="001A3992" w:rsidRPr="005E1202">
        <w:rPr>
          <w:rFonts w:ascii="Arial" w:hAnsi="Arial" w:cs="Arial"/>
        </w:rPr>
        <w:t xml:space="preserve">is medicinal product is subject to additional monitoring in Australia. This will allow quick identification of new safety information. Healthcare professionals are asked to report any suspected adverse events at </w:t>
      </w:r>
      <w:hyperlink r:id="rId9" w:history="1">
        <w:r w:rsidRPr="005E1202">
          <w:rPr>
            <w:rStyle w:val="Hyperlink"/>
            <w:rFonts w:ascii="Arial" w:hAnsi="Arial" w:cs="Arial"/>
          </w:rPr>
          <w:t>www.tga.gov.au/reporting-problems</w:t>
        </w:r>
      </w:hyperlink>
      <w:r w:rsidRPr="005E1202">
        <w:rPr>
          <w:rFonts w:ascii="Arial" w:hAnsi="Arial" w:cs="Arial"/>
        </w:rPr>
        <w:t>.</w:t>
      </w:r>
    </w:p>
    <w:p w:rsidR="00493B75" w:rsidRPr="005E1202" w:rsidRDefault="006018AE" w:rsidP="00493B75">
      <w:pPr>
        <w:pStyle w:val="Subtitle"/>
        <w:rPr>
          <w:vertAlign w:val="superscript"/>
        </w:rPr>
      </w:pPr>
      <w:r w:rsidRPr="005E1202">
        <w:rPr>
          <w:rFonts w:eastAsia="SimSun"/>
        </w:rPr>
        <w:t xml:space="preserve">Australian PI – </w:t>
      </w:r>
      <w:r w:rsidR="00493B75" w:rsidRPr="005E1202">
        <w:t>MAVIRET</w:t>
      </w:r>
      <w:r w:rsidR="005C5043">
        <w:rPr>
          <w:vertAlign w:val="superscript"/>
        </w:rPr>
        <w:t>®</w:t>
      </w:r>
    </w:p>
    <w:p w:rsidR="006018AE" w:rsidRPr="005E1202" w:rsidRDefault="00493B75" w:rsidP="00493B75">
      <w:pPr>
        <w:pStyle w:val="Subtitle"/>
        <w:rPr>
          <w:caps w:val="0"/>
        </w:rPr>
      </w:pPr>
      <w:r w:rsidRPr="005E1202">
        <w:rPr>
          <w:rFonts w:eastAsia="SimSun"/>
        </w:rPr>
        <w:t xml:space="preserve"> </w:t>
      </w:r>
      <w:r w:rsidR="006018AE" w:rsidRPr="005E1202">
        <w:rPr>
          <w:rFonts w:eastAsia="SimSun"/>
        </w:rPr>
        <w:t>(</w:t>
      </w:r>
      <w:proofErr w:type="spellStart"/>
      <w:proofErr w:type="gramStart"/>
      <w:r w:rsidRPr="005E1202">
        <w:rPr>
          <w:caps w:val="0"/>
        </w:rPr>
        <w:t>glecaprevir</w:t>
      </w:r>
      <w:proofErr w:type="spellEnd"/>
      <w:proofErr w:type="gramEnd"/>
      <w:r w:rsidRPr="005E1202">
        <w:rPr>
          <w:caps w:val="0"/>
        </w:rPr>
        <w:t xml:space="preserve"> / </w:t>
      </w:r>
      <w:proofErr w:type="spellStart"/>
      <w:r w:rsidRPr="005E1202">
        <w:rPr>
          <w:caps w:val="0"/>
        </w:rPr>
        <w:t>pibrentasvir</w:t>
      </w:r>
      <w:proofErr w:type="spellEnd"/>
      <w:r w:rsidRPr="005E1202">
        <w:rPr>
          <w:caps w:val="0"/>
        </w:rPr>
        <w:t>) tablets</w:t>
      </w:r>
    </w:p>
    <w:p w:rsidR="00493B75" w:rsidRPr="005E1202" w:rsidRDefault="00493B75" w:rsidP="009C7847">
      <w:pPr>
        <w:rPr>
          <w:rFonts w:ascii="Arial" w:hAnsi="Arial" w:cs="Arial"/>
        </w:rPr>
      </w:pPr>
    </w:p>
    <w:p w:rsidR="001A3992" w:rsidRPr="005E1202" w:rsidRDefault="001A3992" w:rsidP="001A3992">
      <w:pPr>
        <w:pStyle w:val="Heading1"/>
        <w:spacing w:before="0" w:after="120"/>
        <w:rPr>
          <w:rFonts w:ascii="Arial" w:hAnsi="Arial" w:cs="Arial"/>
        </w:rPr>
      </w:pPr>
      <w:r w:rsidRPr="005E1202">
        <w:rPr>
          <w:rFonts w:ascii="Arial" w:hAnsi="Arial" w:cs="Arial"/>
        </w:rPr>
        <w:t>Name of the medicine</w:t>
      </w:r>
    </w:p>
    <w:p w:rsidR="00493B75" w:rsidRPr="005E1202" w:rsidRDefault="00493B75" w:rsidP="00493B75">
      <w:pPr>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p>
    <w:p w:rsidR="001A3992" w:rsidRPr="005E1202" w:rsidRDefault="001A3992" w:rsidP="001A3992">
      <w:pPr>
        <w:pStyle w:val="Heading1"/>
        <w:spacing w:before="0" w:after="120"/>
        <w:rPr>
          <w:rFonts w:ascii="Arial" w:hAnsi="Arial" w:cs="Arial"/>
        </w:rPr>
      </w:pPr>
      <w:r w:rsidRPr="005E1202">
        <w:rPr>
          <w:rFonts w:ascii="Arial" w:hAnsi="Arial" w:cs="Arial"/>
        </w:rPr>
        <w:t>Qualitative and quantitative composition</w:t>
      </w:r>
    </w:p>
    <w:p w:rsidR="00493B75" w:rsidRPr="005E1202" w:rsidRDefault="00493B75" w:rsidP="00FC6D9B">
      <w:pPr>
        <w:jc w:val="both"/>
        <w:rPr>
          <w:rFonts w:ascii="Arial" w:hAnsi="Arial" w:cs="Arial"/>
        </w:rPr>
      </w:pPr>
      <w:r w:rsidRPr="005E1202">
        <w:rPr>
          <w:rFonts w:ascii="Arial" w:hAnsi="Arial" w:cs="Arial"/>
        </w:rPr>
        <w:t xml:space="preserve">MAVIRET is a fixed-dose combination tablet containing </w:t>
      </w:r>
      <w:proofErr w:type="spellStart"/>
      <w:r w:rsidRPr="005E1202">
        <w:rPr>
          <w:rFonts w:ascii="Arial" w:hAnsi="Arial" w:cs="Arial"/>
        </w:rPr>
        <w:t>glecaprevir</w:t>
      </w:r>
      <w:proofErr w:type="spellEnd"/>
      <w:r w:rsidRPr="005E1202">
        <w:rPr>
          <w:rFonts w:ascii="Arial" w:hAnsi="Arial" w:cs="Arial"/>
        </w:rPr>
        <w:t xml:space="preserve"> 100 mg and </w:t>
      </w:r>
      <w:proofErr w:type="spellStart"/>
      <w:r w:rsidRPr="005E1202">
        <w:rPr>
          <w:rFonts w:ascii="Arial" w:hAnsi="Arial" w:cs="Arial"/>
        </w:rPr>
        <w:t>pibrentasvir</w:t>
      </w:r>
      <w:proofErr w:type="spellEnd"/>
      <w:r w:rsidRPr="005E1202">
        <w:rPr>
          <w:rFonts w:ascii="Arial" w:hAnsi="Arial" w:cs="Arial"/>
        </w:rPr>
        <w:t xml:space="preserve"> 40 mg.</w:t>
      </w:r>
    </w:p>
    <w:p w:rsidR="00493B75" w:rsidRPr="005E1202" w:rsidRDefault="00493B75" w:rsidP="00FC6D9B">
      <w:pPr>
        <w:jc w:val="both"/>
        <w:rPr>
          <w:rFonts w:ascii="Arial" w:hAnsi="Arial" w:cs="Arial"/>
          <w:noProof/>
        </w:rPr>
      </w:pPr>
      <w:r w:rsidRPr="005E1202">
        <w:rPr>
          <w:rFonts w:ascii="Arial" w:hAnsi="Arial" w:cs="Arial"/>
          <w:noProof/>
        </w:rPr>
        <w:t xml:space="preserve">The tablets do not contain gluten. The tablets contain lactose. </w:t>
      </w:r>
      <w:r w:rsidRPr="005E1202">
        <w:rPr>
          <w:rFonts w:ascii="Arial" w:hAnsi="Arial" w:cs="Arial"/>
          <w:lang w:val="en"/>
        </w:rPr>
        <w:t>For the full list of excipients, see Section 6.1 List of excipients.</w:t>
      </w:r>
    </w:p>
    <w:p w:rsidR="00493B75" w:rsidRPr="005E1202" w:rsidRDefault="00493B75" w:rsidP="00FC6D9B">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is a white to off-white crystalline powder with a solubility of less than 0.1 to </w:t>
      </w:r>
      <w:r w:rsidR="00333AE9">
        <w:rPr>
          <w:rFonts w:ascii="Arial" w:hAnsi="Arial" w:cs="Arial"/>
        </w:rPr>
        <w:t xml:space="preserve">     </w:t>
      </w:r>
      <w:r w:rsidRPr="005E1202">
        <w:rPr>
          <w:rFonts w:ascii="Arial" w:hAnsi="Arial" w:cs="Arial"/>
        </w:rPr>
        <w:t>0.3 mg/mL across a pH range of 2–7 at 37</w:t>
      </w:r>
      <w:r w:rsidRPr="005E1202">
        <w:rPr>
          <w:rFonts w:ascii="Arial" w:hAnsi="Arial" w:cs="Arial"/>
        </w:rPr>
        <w:sym w:font="Symbol" w:char="F0B0"/>
      </w:r>
      <w:r w:rsidRPr="005E1202">
        <w:rPr>
          <w:rFonts w:ascii="Arial" w:hAnsi="Arial" w:cs="Arial"/>
        </w:rPr>
        <w:t>C and is practically insoluble in water, but is sparingly soluble in ethanol.</w:t>
      </w:r>
    </w:p>
    <w:p w:rsidR="00493B75" w:rsidRPr="005E1202" w:rsidRDefault="00493B75" w:rsidP="00FC6D9B">
      <w:pPr>
        <w:jc w:val="both"/>
        <w:rPr>
          <w:rFonts w:ascii="Arial" w:hAnsi="Arial" w:cs="Arial"/>
        </w:rPr>
      </w:pPr>
      <w:proofErr w:type="spellStart"/>
      <w:r w:rsidRPr="005E1202">
        <w:rPr>
          <w:rFonts w:ascii="Arial" w:hAnsi="Arial" w:cs="Arial"/>
        </w:rPr>
        <w:t>Pibrentasvir</w:t>
      </w:r>
      <w:proofErr w:type="spellEnd"/>
      <w:r w:rsidRPr="005E1202">
        <w:rPr>
          <w:rFonts w:ascii="Arial" w:hAnsi="Arial" w:cs="Arial"/>
        </w:rPr>
        <w:t xml:space="preserve"> is a white to off-white to light yellow crystalline powder with a solubility of less than 0.1 mg/mL across a pH range of 1–7 at 37</w:t>
      </w:r>
      <w:r w:rsidRPr="005E1202">
        <w:rPr>
          <w:rFonts w:ascii="Arial" w:hAnsi="Arial" w:cs="Arial"/>
        </w:rPr>
        <w:sym w:font="Symbol" w:char="F0B0"/>
      </w:r>
      <w:r w:rsidRPr="005E1202">
        <w:rPr>
          <w:rFonts w:ascii="Arial" w:hAnsi="Arial" w:cs="Arial"/>
        </w:rPr>
        <w:t>C and is practically insoluble in water, but is freely soluble in ethanol.</w:t>
      </w:r>
    </w:p>
    <w:p w:rsidR="001A3992" w:rsidRPr="005E1202" w:rsidRDefault="001A3992" w:rsidP="001A3992">
      <w:pPr>
        <w:pStyle w:val="Heading1"/>
        <w:spacing w:before="0" w:after="120"/>
        <w:rPr>
          <w:rFonts w:ascii="Arial" w:hAnsi="Arial" w:cs="Arial"/>
        </w:rPr>
      </w:pPr>
      <w:r w:rsidRPr="005E1202">
        <w:rPr>
          <w:rFonts w:ascii="Arial" w:hAnsi="Arial" w:cs="Arial"/>
        </w:rPr>
        <w:t>Pharmaceutical form</w:t>
      </w:r>
    </w:p>
    <w:p w:rsidR="00493B75" w:rsidRPr="005E1202" w:rsidRDefault="00493B75" w:rsidP="00FC6D9B">
      <w:pPr>
        <w:jc w:val="both"/>
        <w:rPr>
          <w:rFonts w:ascii="Arial" w:hAnsi="Arial" w:cs="Arial"/>
          <w:noProof/>
        </w:rPr>
      </w:pPr>
      <w:r w:rsidRPr="005E1202">
        <w:rPr>
          <w:rFonts w:ascii="Arial" w:hAnsi="Arial" w:cs="Arial"/>
          <w:noProof/>
        </w:rPr>
        <w:t>Glecaprevir and pibrentasvir are presented as co-formulated, film-coated, immediate release tablets. The tablet strength is 100 mg glecaprevir (anhydrous) and 40 mg pibrentasvir.</w:t>
      </w:r>
    </w:p>
    <w:p w:rsidR="001A3992" w:rsidRPr="005E1202" w:rsidRDefault="001A3992" w:rsidP="001A3992">
      <w:pPr>
        <w:pStyle w:val="Heading1"/>
        <w:spacing w:before="0" w:after="120"/>
        <w:rPr>
          <w:rFonts w:ascii="Arial" w:hAnsi="Arial" w:cs="Arial"/>
        </w:rPr>
      </w:pPr>
      <w:r w:rsidRPr="005E1202">
        <w:rPr>
          <w:rFonts w:ascii="Arial" w:hAnsi="Arial" w:cs="Arial"/>
        </w:rPr>
        <w:t>Clinical particulars</w:t>
      </w:r>
    </w:p>
    <w:p w:rsidR="001A3992" w:rsidRPr="005E1202" w:rsidRDefault="001A3992" w:rsidP="001A3992">
      <w:pPr>
        <w:pStyle w:val="Heading2"/>
        <w:spacing w:before="0" w:after="120"/>
        <w:rPr>
          <w:rFonts w:cs="Arial"/>
        </w:rPr>
      </w:pPr>
      <w:r w:rsidRPr="005E1202">
        <w:rPr>
          <w:rFonts w:cs="Arial"/>
        </w:rPr>
        <w:t xml:space="preserve">Therapeutic indications </w:t>
      </w:r>
    </w:p>
    <w:p w:rsidR="00493B75" w:rsidRPr="005E1202" w:rsidRDefault="00493B75" w:rsidP="00FC6D9B">
      <w:pPr>
        <w:jc w:val="both"/>
        <w:rPr>
          <w:rFonts w:ascii="Arial" w:hAnsi="Arial" w:cs="Arial"/>
        </w:rPr>
      </w:pPr>
      <w:r w:rsidRPr="005E1202">
        <w:rPr>
          <w:rFonts w:ascii="Arial" w:hAnsi="Arial" w:cs="Arial"/>
        </w:rPr>
        <w:t xml:space="preserve">MAVIRET is indicated for the treatment of adult patients with chronic hepatitis C virus (HCV) genotype 1, 2, 3, 4, 5, or 6 </w:t>
      </w:r>
      <w:proofErr w:type="gramStart"/>
      <w:r w:rsidRPr="005E1202">
        <w:rPr>
          <w:rFonts w:ascii="Arial" w:hAnsi="Arial" w:cs="Arial"/>
        </w:rPr>
        <w:t>infection</w:t>
      </w:r>
      <w:proofErr w:type="gramEnd"/>
      <w:r w:rsidRPr="005E1202">
        <w:rPr>
          <w:rFonts w:ascii="Arial" w:hAnsi="Arial" w:cs="Arial"/>
        </w:rPr>
        <w:t xml:space="preserve"> with or without compensated cirrhosis. This includes patients with HCV genotype 1 infection who were previously treated with either a regimen of </w:t>
      </w:r>
      <w:r w:rsidR="00D259BD">
        <w:rPr>
          <w:rFonts w:ascii="Arial" w:hAnsi="Arial" w:cs="Arial"/>
        </w:rPr>
        <w:t xml:space="preserve">an </w:t>
      </w:r>
      <w:r w:rsidRPr="005E1202">
        <w:rPr>
          <w:rFonts w:ascii="Arial" w:hAnsi="Arial" w:cs="Arial"/>
        </w:rPr>
        <w:t xml:space="preserve">NS5A inhibitor or with </w:t>
      </w:r>
      <w:r w:rsidR="00D259BD">
        <w:rPr>
          <w:rFonts w:ascii="Arial" w:hAnsi="Arial" w:cs="Arial"/>
        </w:rPr>
        <w:t>an</w:t>
      </w:r>
      <w:r w:rsidR="00D259BD" w:rsidRPr="005E1202">
        <w:rPr>
          <w:rFonts w:ascii="Arial" w:hAnsi="Arial" w:cs="Arial"/>
        </w:rPr>
        <w:t xml:space="preserve"> </w:t>
      </w:r>
      <w:r w:rsidRPr="005E1202">
        <w:rPr>
          <w:rFonts w:ascii="Arial" w:hAnsi="Arial" w:cs="Arial"/>
        </w:rPr>
        <w:t xml:space="preserve">NS3/4A protease inhibitor but not both classes of inhibitors (see </w:t>
      </w:r>
      <w:r w:rsidR="008D55BB">
        <w:rPr>
          <w:rFonts w:ascii="Arial" w:hAnsi="Arial" w:cs="Arial"/>
        </w:rPr>
        <w:t xml:space="preserve">4.2 </w:t>
      </w:r>
      <w:r w:rsidRPr="005E1202">
        <w:rPr>
          <w:rFonts w:ascii="Arial" w:hAnsi="Arial" w:cs="Arial"/>
        </w:rPr>
        <w:t xml:space="preserve">DOSE AND </w:t>
      </w:r>
      <w:r w:rsidR="008D55BB">
        <w:rPr>
          <w:rFonts w:ascii="Arial" w:hAnsi="Arial" w:cs="Arial"/>
        </w:rPr>
        <w:t xml:space="preserve">METHOD OF </w:t>
      </w:r>
      <w:r w:rsidRPr="005E1202">
        <w:rPr>
          <w:rFonts w:ascii="Arial" w:hAnsi="Arial" w:cs="Arial"/>
        </w:rPr>
        <w:t>ADMINISTRATION and CLINICAL</w:t>
      </w:r>
      <w:r w:rsidR="00EC496D">
        <w:rPr>
          <w:rFonts w:ascii="Arial" w:hAnsi="Arial" w:cs="Arial"/>
        </w:rPr>
        <w:t xml:space="preserve"> </w:t>
      </w:r>
      <w:r w:rsidRPr="005E1202">
        <w:rPr>
          <w:rFonts w:ascii="Arial" w:hAnsi="Arial" w:cs="Arial"/>
        </w:rPr>
        <w:t xml:space="preserve">TRIALS). </w:t>
      </w:r>
    </w:p>
    <w:p w:rsidR="001A3992" w:rsidRPr="005E1202" w:rsidRDefault="001A3992" w:rsidP="001A3992">
      <w:pPr>
        <w:pStyle w:val="Heading2"/>
        <w:spacing w:before="0" w:after="120"/>
        <w:rPr>
          <w:rFonts w:cs="Arial"/>
        </w:rPr>
      </w:pPr>
      <w:r w:rsidRPr="005E1202">
        <w:rPr>
          <w:rFonts w:cs="Arial"/>
        </w:rPr>
        <w:t xml:space="preserve">Dose and method of administration </w:t>
      </w:r>
    </w:p>
    <w:p w:rsidR="009C7847" w:rsidRPr="005E1202" w:rsidRDefault="009C7847" w:rsidP="00FC6D9B">
      <w:pPr>
        <w:jc w:val="both"/>
        <w:rPr>
          <w:rFonts w:ascii="Arial" w:hAnsi="Arial" w:cs="Arial"/>
        </w:rPr>
      </w:pPr>
      <w:r w:rsidRPr="005E1202">
        <w:rPr>
          <w:rFonts w:ascii="Arial" w:hAnsi="Arial" w:cs="Arial"/>
        </w:rPr>
        <w:t xml:space="preserve">MAVIRET is a fixed-dose combination product containing </w:t>
      </w:r>
      <w:proofErr w:type="spellStart"/>
      <w:r w:rsidRPr="005E1202">
        <w:rPr>
          <w:rFonts w:ascii="Arial" w:hAnsi="Arial" w:cs="Arial"/>
        </w:rPr>
        <w:t>glecaprevir</w:t>
      </w:r>
      <w:proofErr w:type="spellEnd"/>
      <w:r w:rsidRPr="005E1202">
        <w:rPr>
          <w:rFonts w:ascii="Arial" w:hAnsi="Arial" w:cs="Arial"/>
        </w:rPr>
        <w:t xml:space="preserve"> 100 mg and </w:t>
      </w:r>
      <w:proofErr w:type="spellStart"/>
      <w:r w:rsidRPr="005E1202">
        <w:rPr>
          <w:rFonts w:ascii="Arial" w:hAnsi="Arial" w:cs="Arial"/>
        </w:rPr>
        <w:t>pibrentasvir</w:t>
      </w:r>
      <w:proofErr w:type="spellEnd"/>
      <w:r w:rsidRPr="005E1202">
        <w:rPr>
          <w:rFonts w:ascii="Arial" w:hAnsi="Arial" w:cs="Arial"/>
        </w:rPr>
        <w:t xml:space="preserve"> 40 mg in each tablet.</w:t>
      </w:r>
    </w:p>
    <w:p w:rsidR="009C7847" w:rsidRPr="005E1202" w:rsidRDefault="009C7847" w:rsidP="00FC6D9B">
      <w:pPr>
        <w:jc w:val="both"/>
        <w:rPr>
          <w:rFonts w:ascii="Arial" w:hAnsi="Arial" w:cs="Arial"/>
        </w:rPr>
      </w:pPr>
      <w:r w:rsidRPr="005E1202">
        <w:rPr>
          <w:rFonts w:ascii="Arial" w:hAnsi="Arial" w:cs="Arial"/>
        </w:rPr>
        <w:lastRenderedPageBreak/>
        <w:t xml:space="preserve">The recommended oral dosage of MAVIRET is three tablets (total daily dose: </w:t>
      </w:r>
      <w:proofErr w:type="spellStart"/>
      <w:r w:rsidRPr="005E1202">
        <w:rPr>
          <w:rFonts w:ascii="Arial" w:hAnsi="Arial" w:cs="Arial"/>
        </w:rPr>
        <w:t>glecaprevir</w:t>
      </w:r>
      <w:proofErr w:type="spellEnd"/>
      <w:r w:rsidRPr="005E1202">
        <w:rPr>
          <w:rFonts w:ascii="Arial" w:hAnsi="Arial" w:cs="Arial"/>
        </w:rPr>
        <w:t xml:space="preserve"> 300 mg and </w:t>
      </w:r>
      <w:proofErr w:type="spellStart"/>
      <w:r w:rsidRPr="005E1202">
        <w:rPr>
          <w:rFonts w:ascii="Arial" w:hAnsi="Arial" w:cs="Arial"/>
        </w:rPr>
        <w:t>pibrentasvir</w:t>
      </w:r>
      <w:proofErr w:type="spellEnd"/>
      <w:r w:rsidRPr="005E1202">
        <w:rPr>
          <w:rFonts w:ascii="Arial" w:hAnsi="Arial" w:cs="Arial"/>
        </w:rPr>
        <w:t xml:space="preserve"> 120 mg) once daily with food (see </w:t>
      </w:r>
      <w:proofErr w:type="gramStart"/>
      <w:r w:rsidR="008D55BB">
        <w:rPr>
          <w:rFonts w:ascii="Arial" w:hAnsi="Arial" w:cs="Arial"/>
        </w:rPr>
        <w:t xml:space="preserve">5.1 </w:t>
      </w:r>
      <w:r w:rsidR="008D55BB">
        <w:rPr>
          <w:rStyle w:val="gtclinktext1"/>
          <w:rFonts w:ascii="Arial" w:hAnsi="Arial" w:cs="Arial"/>
        </w:rPr>
        <w:t xml:space="preserve"> PHARMACODYNAMIC</w:t>
      </w:r>
      <w:proofErr w:type="gramEnd"/>
      <w:r w:rsidR="008D55BB">
        <w:rPr>
          <w:rStyle w:val="gtclinktext1"/>
          <w:rFonts w:ascii="Arial" w:hAnsi="Arial" w:cs="Arial"/>
        </w:rPr>
        <w:t xml:space="preserve"> PROPERTIES</w:t>
      </w:r>
      <w:r w:rsidRPr="005E1202">
        <w:rPr>
          <w:rFonts w:ascii="Arial" w:hAnsi="Arial" w:cs="Arial"/>
        </w:rPr>
        <w:t>). MAVIRET tablets should be swallowed whole and not chewed, crushed, or broken.</w:t>
      </w:r>
    </w:p>
    <w:p w:rsidR="00060256" w:rsidRDefault="009C7847" w:rsidP="00FC6D9B">
      <w:pPr>
        <w:jc w:val="both"/>
        <w:rPr>
          <w:rFonts w:ascii="Arial" w:hAnsi="Arial" w:cs="Arial"/>
        </w:rPr>
      </w:pPr>
      <w:bookmarkStart w:id="1" w:name="p871710291393270971"/>
      <w:bookmarkStart w:id="2" w:name="p399426291415738037"/>
      <w:bookmarkStart w:id="3" w:name="p397125291415738073"/>
      <w:bookmarkStart w:id="4" w:name="p2883291393271102"/>
      <w:bookmarkEnd w:id="1"/>
      <w:bookmarkEnd w:id="2"/>
      <w:bookmarkEnd w:id="3"/>
      <w:bookmarkEnd w:id="4"/>
      <w:r w:rsidRPr="005E1202">
        <w:rPr>
          <w:rFonts w:ascii="Arial" w:hAnsi="Arial" w:cs="Arial"/>
        </w:rPr>
        <w:t xml:space="preserve">Tables </w:t>
      </w:r>
      <w:r w:rsidR="005E1202">
        <w:rPr>
          <w:rFonts w:ascii="Arial" w:hAnsi="Arial" w:cs="Arial"/>
        </w:rPr>
        <w:t>1</w:t>
      </w:r>
      <w:r w:rsidR="005E1202" w:rsidRPr="005E1202">
        <w:rPr>
          <w:rFonts w:ascii="Arial" w:hAnsi="Arial" w:cs="Arial"/>
        </w:rPr>
        <w:t xml:space="preserve"> </w:t>
      </w:r>
      <w:r w:rsidRPr="005E1202">
        <w:rPr>
          <w:rFonts w:ascii="Arial" w:hAnsi="Arial" w:cs="Arial"/>
        </w:rPr>
        <w:t xml:space="preserve">and </w:t>
      </w:r>
      <w:r w:rsidR="005E1202">
        <w:rPr>
          <w:rFonts w:ascii="Arial" w:hAnsi="Arial" w:cs="Arial"/>
        </w:rPr>
        <w:t>2</w:t>
      </w:r>
      <w:r w:rsidRPr="005E1202">
        <w:rPr>
          <w:rFonts w:ascii="Arial" w:hAnsi="Arial" w:cs="Arial"/>
        </w:rPr>
        <w:t xml:space="preserve"> provide the recommended MAVIRET treatment duration based on the patient population in HCV mono-infected and HCV/HIV-1 co-infected patients with compensated liver disease (with or without cirrhosis) and with or without renal impairment </w:t>
      </w:r>
      <w:r w:rsidR="00AA79B7">
        <w:rPr>
          <w:rFonts w:ascii="Arial" w:hAnsi="Arial" w:cs="Arial"/>
        </w:rPr>
        <w:t>(</w:t>
      </w:r>
      <w:r w:rsidRPr="005E1202">
        <w:rPr>
          <w:rFonts w:ascii="Arial" w:hAnsi="Arial" w:cs="Arial"/>
        </w:rPr>
        <w:t>including patients receiving dialysis</w:t>
      </w:r>
      <w:r w:rsidR="00AA79B7">
        <w:rPr>
          <w:rFonts w:ascii="Arial" w:hAnsi="Arial" w:cs="Arial"/>
        </w:rPr>
        <w:t>)</w:t>
      </w:r>
      <w:r w:rsidRPr="005E1202">
        <w:rPr>
          <w:rFonts w:ascii="Arial" w:hAnsi="Arial" w:cs="Arial"/>
        </w:rPr>
        <w:t>.</w:t>
      </w:r>
    </w:p>
    <w:p w:rsidR="0016603F" w:rsidRPr="005E1202" w:rsidRDefault="0016603F" w:rsidP="00FC6D9B">
      <w:pPr>
        <w:jc w:val="both"/>
        <w:rPr>
          <w:rFonts w:ascii="Arial" w:hAnsi="Arial" w:cs="Arial"/>
        </w:rPr>
      </w:pPr>
    </w:p>
    <w:p w:rsidR="009C7847" w:rsidRPr="005E1202" w:rsidRDefault="009C7847" w:rsidP="009C7847">
      <w:pPr>
        <w:rPr>
          <w:rFonts w:ascii="Arial" w:hAnsi="Arial" w:cs="Arial"/>
          <w:b/>
          <w:bCs/>
        </w:rPr>
      </w:pPr>
      <w:proofErr w:type="gramStart"/>
      <w:r w:rsidRPr="005E1202">
        <w:rPr>
          <w:rFonts w:ascii="Arial" w:hAnsi="Arial" w:cs="Arial"/>
          <w:b/>
          <w:bCs/>
        </w:rPr>
        <w:t xml:space="preserve">Table </w:t>
      </w:r>
      <w:r w:rsidR="005E1202">
        <w:rPr>
          <w:rFonts w:ascii="Arial" w:hAnsi="Arial" w:cs="Arial"/>
          <w:b/>
          <w:bCs/>
        </w:rPr>
        <w:t>1</w:t>
      </w:r>
      <w:r w:rsidRPr="005E1202">
        <w:rPr>
          <w:rFonts w:ascii="Arial" w:hAnsi="Arial" w:cs="Arial"/>
          <w:b/>
          <w:bCs/>
        </w:rPr>
        <w:t>.</w:t>
      </w:r>
      <w:proofErr w:type="gramEnd"/>
      <w:r w:rsidRPr="005E1202">
        <w:rPr>
          <w:rFonts w:ascii="Arial" w:hAnsi="Arial" w:cs="Arial"/>
          <w:b/>
          <w:bCs/>
        </w:rPr>
        <w:t xml:space="preserve"> Recommended Duration for Treatment</w:t>
      </w:r>
      <w:r w:rsidR="00AC2709">
        <w:rPr>
          <w:rFonts w:ascii="Arial" w:hAnsi="Arial" w:cs="Arial"/>
          <w:b/>
          <w:bCs/>
        </w:rPr>
        <w:t>-</w:t>
      </w:r>
      <w:r w:rsidRPr="005E1202">
        <w:rPr>
          <w:rFonts w:ascii="Arial" w:hAnsi="Arial" w:cs="Arial"/>
          <w:b/>
          <w:bCs/>
        </w:rPr>
        <w:t>Naïve Patients</w:t>
      </w: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0"/>
        <w:gridCol w:w="2843"/>
        <w:gridCol w:w="3060"/>
      </w:tblGrid>
      <w:tr w:rsidR="009C7847" w:rsidRPr="005E1202" w:rsidTr="00EC496D">
        <w:trPr>
          <w:trHeight w:val="525"/>
        </w:trPr>
        <w:tc>
          <w:tcPr>
            <w:tcW w:w="3580" w:type="dxa"/>
            <w:vMerge w:val="restart"/>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Patient Population</w:t>
            </w:r>
          </w:p>
        </w:tc>
        <w:tc>
          <w:tcPr>
            <w:tcW w:w="5903" w:type="dxa"/>
            <w:gridSpan w:val="2"/>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Treatment Duration</w:t>
            </w:r>
          </w:p>
        </w:tc>
      </w:tr>
      <w:tr w:rsidR="009C7847" w:rsidRPr="005E1202" w:rsidTr="00EC496D">
        <w:trPr>
          <w:trHeight w:val="675"/>
        </w:trPr>
        <w:tc>
          <w:tcPr>
            <w:tcW w:w="3580" w:type="dxa"/>
            <w:vMerge/>
            <w:vAlign w:val="center"/>
            <w:hideMark/>
          </w:tcPr>
          <w:p w:rsidR="009C7847" w:rsidRPr="005E1202" w:rsidRDefault="009C7847" w:rsidP="00EC496D">
            <w:pPr>
              <w:spacing w:before="60" w:after="60"/>
              <w:jc w:val="center"/>
              <w:rPr>
                <w:rFonts w:ascii="Arial" w:hAnsi="Arial" w:cs="Arial"/>
                <w:b/>
                <w:sz w:val="20"/>
              </w:rPr>
            </w:pPr>
          </w:p>
        </w:tc>
        <w:tc>
          <w:tcPr>
            <w:tcW w:w="2843"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No Cirrhosis</w:t>
            </w:r>
          </w:p>
        </w:tc>
        <w:tc>
          <w:tcPr>
            <w:tcW w:w="3060"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 xml:space="preserve">Compensated Cirrhosis </w:t>
            </w:r>
            <w:r w:rsidRPr="005E1202">
              <w:rPr>
                <w:rFonts w:ascii="Arial" w:hAnsi="Arial" w:cs="Arial"/>
                <w:b/>
                <w:sz w:val="20"/>
              </w:rPr>
              <w:br/>
              <w:t>(Child Pugh A)</w:t>
            </w:r>
          </w:p>
        </w:tc>
      </w:tr>
      <w:tr w:rsidR="009C7847" w:rsidRPr="005E1202" w:rsidTr="00027891">
        <w:trPr>
          <w:trHeight w:val="773"/>
        </w:trPr>
        <w:tc>
          <w:tcPr>
            <w:tcW w:w="3580"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GT 1, 2, 3, 4, 5 or 6</w:t>
            </w:r>
          </w:p>
        </w:tc>
        <w:tc>
          <w:tcPr>
            <w:tcW w:w="2843"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8 weeks</w:t>
            </w:r>
          </w:p>
        </w:tc>
        <w:tc>
          <w:tcPr>
            <w:tcW w:w="3060"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12 weeks</w:t>
            </w:r>
          </w:p>
        </w:tc>
      </w:tr>
    </w:tbl>
    <w:p w:rsidR="00E362E7" w:rsidRPr="005E1202" w:rsidRDefault="00E362E7" w:rsidP="009C7847">
      <w:pPr>
        <w:jc w:val="center"/>
        <w:rPr>
          <w:rFonts w:ascii="Arial" w:hAnsi="Arial" w:cs="Arial"/>
          <w:b/>
          <w:bCs/>
        </w:rPr>
      </w:pPr>
    </w:p>
    <w:p w:rsidR="009C7847" w:rsidRPr="005E1202" w:rsidRDefault="009C7847" w:rsidP="009C7847">
      <w:pPr>
        <w:rPr>
          <w:rFonts w:ascii="Arial" w:hAnsi="Arial" w:cs="Arial"/>
          <w:b/>
          <w:bCs/>
        </w:rPr>
      </w:pPr>
      <w:proofErr w:type="gramStart"/>
      <w:r w:rsidRPr="005E1202">
        <w:rPr>
          <w:rFonts w:ascii="Arial" w:hAnsi="Arial" w:cs="Arial"/>
          <w:b/>
          <w:bCs/>
        </w:rPr>
        <w:t xml:space="preserve">Table </w:t>
      </w:r>
      <w:r w:rsidR="005E1202">
        <w:rPr>
          <w:rFonts w:ascii="Arial" w:hAnsi="Arial" w:cs="Arial"/>
          <w:b/>
          <w:bCs/>
        </w:rPr>
        <w:t>2</w:t>
      </w:r>
      <w:r w:rsidRPr="005E1202">
        <w:rPr>
          <w:rFonts w:ascii="Arial" w:hAnsi="Arial" w:cs="Arial"/>
          <w:b/>
          <w:bCs/>
        </w:rPr>
        <w:t>.</w:t>
      </w:r>
      <w:proofErr w:type="gramEnd"/>
      <w:r w:rsidRPr="005E1202">
        <w:rPr>
          <w:rFonts w:ascii="Arial" w:hAnsi="Arial" w:cs="Arial"/>
          <w:b/>
          <w:bCs/>
        </w:rPr>
        <w:t xml:space="preserve"> Recommended Duration for Treatment</w:t>
      </w:r>
      <w:r w:rsidR="00AC2709">
        <w:rPr>
          <w:rFonts w:ascii="Arial" w:hAnsi="Arial" w:cs="Arial"/>
          <w:b/>
          <w:bCs/>
        </w:rPr>
        <w:t>-</w:t>
      </w:r>
      <w:r w:rsidRPr="005E1202">
        <w:rPr>
          <w:rFonts w:ascii="Arial" w:hAnsi="Arial" w:cs="Arial"/>
          <w:b/>
          <w:bCs/>
        </w:rPr>
        <w:t>Experienced Patients</w:t>
      </w: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2790"/>
        <w:gridCol w:w="3150"/>
      </w:tblGrid>
      <w:tr w:rsidR="009C7847" w:rsidRPr="005E1202" w:rsidTr="00EC496D">
        <w:trPr>
          <w:trHeight w:val="630"/>
          <w:tblHeader/>
        </w:trPr>
        <w:tc>
          <w:tcPr>
            <w:tcW w:w="3543" w:type="dxa"/>
            <w:vMerge w:val="restart"/>
            <w:tcMar>
              <w:top w:w="0" w:type="dxa"/>
              <w:left w:w="108" w:type="dxa"/>
              <w:bottom w:w="0" w:type="dxa"/>
              <w:right w:w="108" w:type="dxa"/>
            </w:tcMar>
            <w:vAlign w:val="center"/>
            <w:hideMark/>
          </w:tcPr>
          <w:p w:rsidR="009C7847" w:rsidRPr="005E1202" w:rsidRDefault="009C7847" w:rsidP="00AC2709">
            <w:pPr>
              <w:spacing w:before="60" w:after="60"/>
              <w:jc w:val="center"/>
              <w:rPr>
                <w:rFonts w:ascii="Arial" w:hAnsi="Arial" w:cs="Arial"/>
                <w:b/>
                <w:sz w:val="20"/>
              </w:rPr>
            </w:pPr>
            <w:r w:rsidRPr="005E1202">
              <w:rPr>
                <w:rFonts w:ascii="Arial" w:hAnsi="Arial" w:cs="Arial"/>
                <w:b/>
                <w:sz w:val="20"/>
              </w:rPr>
              <w:t>Patient Population</w:t>
            </w:r>
          </w:p>
        </w:tc>
        <w:tc>
          <w:tcPr>
            <w:tcW w:w="5940" w:type="dxa"/>
            <w:gridSpan w:val="2"/>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Treatment Duration</w:t>
            </w:r>
          </w:p>
        </w:tc>
      </w:tr>
      <w:tr w:rsidR="009C7847" w:rsidRPr="005E1202" w:rsidTr="00EC496D">
        <w:trPr>
          <w:trHeight w:val="495"/>
          <w:tblHeader/>
        </w:trPr>
        <w:tc>
          <w:tcPr>
            <w:tcW w:w="3543" w:type="dxa"/>
            <w:vMerge/>
            <w:vAlign w:val="center"/>
            <w:hideMark/>
          </w:tcPr>
          <w:p w:rsidR="009C7847" w:rsidRPr="005E1202" w:rsidRDefault="009C7847" w:rsidP="00EC496D">
            <w:pPr>
              <w:spacing w:before="60" w:after="60"/>
              <w:rPr>
                <w:rFonts w:ascii="Arial" w:hAnsi="Arial" w:cs="Arial"/>
                <w:b/>
                <w:sz w:val="20"/>
              </w:rPr>
            </w:pPr>
          </w:p>
        </w:tc>
        <w:tc>
          <w:tcPr>
            <w:tcW w:w="2790"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sz w:val="20"/>
              </w:rPr>
            </w:pPr>
            <w:r w:rsidRPr="005E1202">
              <w:rPr>
                <w:rFonts w:ascii="Arial" w:hAnsi="Arial" w:cs="Arial"/>
                <w:b/>
                <w:sz w:val="20"/>
              </w:rPr>
              <w:t>No Cirrhosis</w:t>
            </w:r>
          </w:p>
        </w:tc>
        <w:tc>
          <w:tcPr>
            <w:tcW w:w="3150" w:type="dxa"/>
            <w:noWrap/>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b/>
                <w:color w:val="FFC000"/>
                <w:sz w:val="20"/>
              </w:rPr>
            </w:pPr>
            <w:r w:rsidRPr="005E1202">
              <w:rPr>
                <w:rFonts w:ascii="Arial" w:hAnsi="Arial" w:cs="Arial"/>
                <w:b/>
                <w:sz w:val="20"/>
              </w:rPr>
              <w:t xml:space="preserve">Compensated Cirrhosis </w:t>
            </w:r>
            <w:r w:rsidRPr="005E1202">
              <w:rPr>
                <w:rFonts w:ascii="Arial" w:hAnsi="Arial" w:cs="Arial"/>
                <w:b/>
                <w:sz w:val="20"/>
              </w:rPr>
              <w:br/>
              <w:t>(Child Pugh A)</w:t>
            </w:r>
          </w:p>
        </w:tc>
      </w:tr>
      <w:tr w:rsidR="009C7847" w:rsidRPr="005E1202" w:rsidTr="00EC496D">
        <w:trPr>
          <w:trHeight w:val="915"/>
        </w:trPr>
        <w:tc>
          <w:tcPr>
            <w:tcW w:w="3543"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GT 1, 2, 4,</w:t>
            </w:r>
            <w:r w:rsidRPr="005E1202">
              <w:rPr>
                <w:rFonts w:ascii="Arial" w:hAnsi="Arial" w:cs="Arial"/>
                <w:color w:val="1F497D"/>
                <w:sz w:val="20"/>
              </w:rPr>
              <w:t xml:space="preserve"> </w:t>
            </w:r>
            <w:r w:rsidRPr="005E1202">
              <w:rPr>
                <w:rFonts w:ascii="Arial" w:hAnsi="Arial" w:cs="Arial"/>
                <w:sz w:val="20"/>
              </w:rPr>
              <w:t>5</w:t>
            </w:r>
            <w:r w:rsidRPr="005E1202">
              <w:rPr>
                <w:rFonts w:ascii="Arial" w:hAnsi="Arial" w:cs="Arial"/>
                <w:color w:val="1F497D"/>
                <w:sz w:val="20"/>
              </w:rPr>
              <w:t xml:space="preserve"> </w:t>
            </w:r>
            <w:r w:rsidRPr="00955637">
              <w:rPr>
                <w:rFonts w:ascii="Arial" w:hAnsi="Arial" w:cs="Arial"/>
                <w:sz w:val="20"/>
              </w:rPr>
              <w:t>or</w:t>
            </w:r>
            <w:r w:rsidRPr="005E1202">
              <w:rPr>
                <w:rFonts w:ascii="Arial" w:hAnsi="Arial" w:cs="Arial"/>
                <w:sz w:val="20"/>
              </w:rPr>
              <w:t xml:space="preserve"> 6</w:t>
            </w:r>
            <w:r w:rsidRPr="005E1202">
              <w:rPr>
                <w:rFonts w:ascii="Arial" w:hAnsi="Arial" w:cs="Arial"/>
                <w:sz w:val="20"/>
              </w:rPr>
              <w:br/>
              <w:t>PRS-experienced*</w:t>
            </w:r>
          </w:p>
        </w:tc>
        <w:tc>
          <w:tcPr>
            <w:tcW w:w="2790"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8 weeks</w:t>
            </w:r>
          </w:p>
        </w:tc>
        <w:tc>
          <w:tcPr>
            <w:tcW w:w="3150" w:type="dxa"/>
            <w:noWrap/>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12 weeks</w:t>
            </w:r>
          </w:p>
        </w:tc>
      </w:tr>
      <w:tr w:rsidR="009C7847" w:rsidRPr="005E1202" w:rsidTr="00EC496D">
        <w:trPr>
          <w:trHeight w:val="870"/>
        </w:trPr>
        <w:tc>
          <w:tcPr>
            <w:tcW w:w="3543"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GT 1 NS3/4A PI-experienced</w:t>
            </w:r>
            <w:r w:rsidRPr="005E1202">
              <w:rPr>
                <w:rFonts w:ascii="Arial" w:hAnsi="Arial" w:cs="Arial"/>
                <w:sz w:val="20"/>
                <w:vertAlign w:val="superscript"/>
              </w:rPr>
              <w:t>1#</w:t>
            </w:r>
            <w:r w:rsidRPr="005E1202">
              <w:rPr>
                <w:rFonts w:ascii="Arial" w:hAnsi="Arial" w:cs="Arial"/>
                <w:sz w:val="20"/>
              </w:rPr>
              <w:t xml:space="preserve"> </w:t>
            </w:r>
            <w:r w:rsidRPr="005E1202">
              <w:rPr>
                <w:rFonts w:ascii="Arial" w:hAnsi="Arial" w:cs="Arial"/>
                <w:sz w:val="20"/>
              </w:rPr>
              <w:br/>
              <w:t>(NS5A inhibitor-naïve)</w:t>
            </w:r>
          </w:p>
        </w:tc>
        <w:tc>
          <w:tcPr>
            <w:tcW w:w="5940" w:type="dxa"/>
            <w:gridSpan w:val="2"/>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12 weeks</w:t>
            </w:r>
          </w:p>
        </w:tc>
      </w:tr>
      <w:tr w:rsidR="009C7847" w:rsidRPr="005E1202" w:rsidTr="00EC496D">
        <w:trPr>
          <w:trHeight w:val="765"/>
        </w:trPr>
        <w:tc>
          <w:tcPr>
            <w:tcW w:w="3543" w:type="dxa"/>
            <w:tcMar>
              <w:top w:w="0" w:type="dxa"/>
              <w:left w:w="108" w:type="dxa"/>
              <w:bottom w:w="0" w:type="dxa"/>
              <w:right w:w="108" w:type="dxa"/>
            </w:tcMar>
            <w:vAlign w:val="center"/>
            <w:hideMark/>
          </w:tcPr>
          <w:p w:rsidR="009C7847" w:rsidRPr="005E1202" w:rsidRDefault="009C7847" w:rsidP="00EC0E29">
            <w:pPr>
              <w:spacing w:before="60" w:after="60"/>
              <w:jc w:val="center"/>
              <w:rPr>
                <w:rFonts w:ascii="Arial" w:hAnsi="Arial" w:cs="Arial"/>
                <w:sz w:val="20"/>
              </w:rPr>
            </w:pPr>
            <w:r w:rsidRPr="005E1202">
              <w:rPr>
                <w:rFonts w:ascii="Arial" w:hAnsi="Arial" w:cs="Arial"/>
                <w:sz w:val="20"/>
              </w:rPr>
              <w:t>GT 1 NS5A</w:t>
            </w:r>
            <w:r w:rsidR="00EC0E29">
              <w:rPr>
                <w:rFonts w:ascii="Arial" w:hAnsi="Arial" w:cs="Arial"/>
                <w:sz w:val="20"/>
              </w:rPr>
              <w:t xml:space="preserve"> inhibitor</w:t>
            </w:r>
            <w:r w:rsidRPr="005E1202">
              <w:rPr>
                <w:rFonts w:ascii="Arial" w:hAnsi="Arial" w:cs="Arial"/>
                <w:sz w:val="20"/>
              </w:rPr>
              <w:t>–experienced</w:t>
            </w:r>
            <w:r w:rsidRPr="005E1202">
              <w:rPr>
                <w:rFonts w:ascii="Arial" w:hAnsi="Arial" w:cs="Arial"/>
                <w:sz w:val="20"/>
                <w:vertAlign w:val="superscript"/>
              </w:rPr>
              <w:t>2#</w:t>
            </w:r>
            <w:r w:rsidRPr="005E1202">
              <w:rPr>
                <w:rFonts w:ascii="Arial" w:hAnsi="Arial" w:cs="Arial"/>
                <w:sz w:val="20"/>
              </w:rPr>
              <w:t xml:space="preserve"> </w:t>
            </w:r>
            <w:r w:rsidRPr="005E1202">
              <w:rPr>
                <w:rFonts w:ascii="Arial" w:hAnsi="Arial" w:cs="Arial"/>
                <w:sz w:val="20"/>
              </w:rPr>
              <w:br/>
              <w:t xml:space="preserve">(NS3/4A </w:t>
            </w:r>
            <w:r w:rsidR="00EC0E29">
              <w:rPr>
                <w:rFonts w:ascii="Arial" w:hAnsi="Arial" w:cs="Arial"/>
                <w:sz w:val="20"/>
              </w:rPr>
              <w:t>PI</w:t>
            </w:r>
            <w:r w:rsidRPr="005E1202">
              <w:rPr>
                <w:rFonts w:ascii="Arial" w:hAnsi="Arial" w:cs="Arial"/>
                <w:sz w:val="20"/>
              </w:rPr>
              <w:t>-naïve)</w:t>
            </w:r>
          </w:p>
        </w:tc>
        <w:tc>
          <w:tcPr>
            <w:tcW w:w="5940" w:type="dxa"/>
            <w:gridSpan w:val="2"/>
            <w:vMerge w:val="restart"/>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16 weeks</w:t>
            </w:r>
          </w:p>
        </w:tc>
      </w:tr>
      <w:tr w:rsidR="009C7847" w:rsidRPr="005E1202" w:rsidTr="00EC496D">
        <w:trPr>
          <w:trHeight w:val="690"/>
        </w:trPr>
        <w:tc>
          <w:tcPr>
            <w:tcW w:w="3543" w:type="dxa"/>
            <w:tcMar>
              <w:top w:w="0" w:type="dxa"/>
              <w:left w:w="108" w:type="dxa"/>
              <w:bottom w:w="0" w:type="dxa"/>
              <w:right w:w="108" w:type="dxa"/>
            </w:tcMar>
            <w:vAlign w:val="center"/>
            <w:hideMark/>
          </w:tcPr>
          <w:p w:rsidR="009C7847" w:rsidRPr="005E1202" w:rsidRDefault="009C7847" w:rsidP="00EC496D">
            <w:pPr>
              <w:spacing w:before="60" w:after="60"/>
              <w:jc w:val="center"/>
              <w:rPr>
                <w:rFonts w:ascii="Arial" w:hAnsi="Arial" w:cs="Arial"/>
                <w:sz w:val="20"/>
              </w:rPr>
            </w:pPr>
            <w:r w:rsidRPr="005E1202">
              <w:rPr>
                <w:rFonts w:ascii="Arial" w:hAnsi="Arial" w:cs="Arial"/>
                <w:sz w:val="20"/>
              </w:rPr>
              <w:t>GT 3</w:t>
            </w:r>
            <w:r w:rsidRPr="005E1202">
              <w:rPr>
                <w:rFonts w:ascii="Arial" w:hAnsi="Arial" w:cs="Arial"/>
                <w:sz w:val="20"/>
              </w:rPr>
              <w:br/>
              <w:t>PRS-experienced*</w:t>
            </w:r>
          </w:p>
        </w:tc>
        <w:tc>
          <w:tcPr>
            <w:tcW w:w="5940" w:type="dxa"/>
            <w:gridSpan w:val="2"/>
            <w:vMerge/>
            <w:vAlign w:val="center"/>
            <w:hideMark/>
          </w:tcPr>
          <w:p w:rsidR="009C7847" w:rsidRPr="005E1202" w:rsidRDefault="009C7847" w:rsidP="00EC496D">
            <w:pPr>
              <w:spacing w:before="60" w:after="60"/>
              <w:rPr>
                <w:rFonts w:ascii="Arial" w:hAnsi="Arial" w:cs="Arial"/>
                <w:sz w:val="20"/>
              </w:rPr>
            </w:pPr>
          </w:p>
        </w:tc>
      </w:tr>
    </w:tbl>
    <w:p w:rsidR="006F6131" w:rsidRPr="006F6131" w:rsidRDefault="006F6131" w:rsidP="006F6131">
      <w:pPr>
        <w:spacing w:after="0"/>
        <w:rPr>
          <w:rFonts w:ascii="Arial" w:hAnsi="Arial" w:cs="Arial"/>
          <w:sz w:val="20"/>
          <w:szCs w:val="20"/>
        </w:rPr>
      </w:pPr>
      <w:r w:rsidRPr="0016603F">
        <w:rPr>
          <w:rFonts w:ascii="Arial" w:hAnsi="Arial" w:cs="Arial"/>
          <w:sz w:val="20"/>
          <w:szCs w:val="20"/>
          <w:vertAlign w:val="superscript"/>
        </w:rPr>
        <w:t>*</w:t>
      </w:r>
      <w:r w:rsidRPr="006F6131">
        <w:rPr>
          <w:rFonts w:ascii="Arial" w:hAnsi="Arial" w:cs="Arial"/>
          <w:sz w:val="20"/>
          <w:szCs w:val="20"/>
        </w:rPr>
        <w:t xml:space="preserve"> PRS = Prior treatment with regimens containing </w:t>
      </w:r>
      <w:proofErr w:type="spellStart"/>
      <w:r w:rsidRPr="006F6131">
        <w:rPr>
          <w:rFonts w:ascii="Arial" w:hAnsi="Arial" w:cs="Arial"/>
          <w:sz w:val="20"/>
          <w:szCs w:val="20"/>
        </w:rPr>
        <w:t>peginterferon</w:t>
      </w:r>
      <w:proofErr w:type="spellEnd"/>
      <w:r w:rsidRPr="006F6131">
        <w:rPr>
          <w:rFonts w:ascii="Arial" w:hAnsi="Arial" w:cs="Arial"/>
          <w:sz w:val="20"/>
          <w:szCs w:val="20"/>
        </w:rPr>
        <w:t xml:space="preserve"> (P), ribavirin (R), and/or </w:t>
      </w:r>
      <w:proofErr w:type="spellStart"/>
      <w:r w:rsidRPr="006F6131">
        <w:rPr>
          <w:rFonts w:ascii="Arial" w:hAnsi="Arial" w:cs="Arial"/>
          <w:sz w:val="20"/>
          <w:szCs w:val="20"/>
        </w:rPr>
        <w:t>sofosbuvir</w:t>
      </w:r>
      <w:proofErr w:type="spellEnd"/>
      <w:r w:rsidRPr="006F6131">
        <w:rPr>
          <w:rFonts w:ascii="Arial" w:hAnsi="Arial" w:cs="Arial"/>
          <w:sz w:val="20"/>
          <w:szCs w:val="20"/>
        </w:rPr>
        <w:t xml:space="preserve"> (S), but no prior treatment experience with an HCV NS3/4A PI or NS5A inhibitor</w:t>
      </w:r>
    </w:p>
    <w:p w:rsidR="006F6131" w:rsidRPr="006F6131" w:rsidRDefault="0016603F" w:rsidP="006F6131">
      <w:pPr>
        <w:spacing w:after="0"/>
        <w:rPr>
          <w:rFonts w:ascii="Arial" w:hAnsi="Arial" w:cs="Arial"/>
          <w:sz w:val="20"/>
          <w:szCs w:val="20"/>
        </w:rPr>
      </w:pPr>
      <w:r w:rsidRPr="0016603F">
        <w:rPr>
          <w:rFonts w:ascii="Arial" w:hAnsi="Arial" w:cs="Arial"/>
          <w:sz w:val="20"/>
          <w:szCs w:val="20"/>
          <w:vertAlign w:val="superscript"/>
        </w:rPr>
        <w:t>1</w:t>
      </w:r>
      <w:r>
        <w:rPr>
          <w:rFonts w:ascii="Arial" w:hAnsi="Arial" w:cs="Arial"/>
          <w:sz w:val="20"/>
          <w:szCs w:val="20"/>
        </w:rPr>
        <w:t xml:space="preserve"> </w:t>
      </w:r>
      <w:r w:rsidR="006F6131" w:rsidRPr="006F6131">
        <w:rPr>
          <w:rFonts w:ascii="Arial" w:hAnsi="Arial" w:cs="Arial"/>
          <w:sz w:val="20"/>
          <w:szCs w:val="20"/>
        </w:rPr>
        <w:t>Experienced with regimens containing SMV + SO</w:t>
      </w:r>
      <w:r w:rsidR="006F6131">
        <w:rPr>
          <w:rFonts w:ascii="Arial" w:hAnsi="Arial" w:cs="Arial"/>
          <w:sz w:val="20"/>
          <w:szCs w:val="20"/>
        </w:rPr>
        <w:t xml:space="preserve">F or SMV + PR or BOC + PR or </w:t>
      </w:r>
      <w:proofErr w:type="gramStart"/>
      <w:r w:rsidR="006F6131">
        <w:rPr>
          <w:rFonts w:ascii="Arial" w:hAnsi="Arial" w:cs="Arial"/>
          <w:sz w:val="20"/>
          <w:szCs w:val="20"/>
        </w:rPr>
        <w:t>TV</w:t>
      </w:r>
      <w:r w:rsidR="006F6131" w:rsidRPr="006F6131">
        <w:rPr>
          <w:rFonts w:ascii="Arial" w:hAnsi="Arial" w:cs="Arial"/>
          <w:sz w:val="20"/>
          <w:szCs w:val="20"/>
        </w:rPr>
        <w:t>R  +</w:t>
      </w:r>
      <w:proofErr w:type="gramEnd"/>
      <w:r w:rsidR="006F6131" w:rsidRPr="006F6131">
        <w:rPr>
          <w:rFonts w:ascii="Arial" w:hAnsi="Arial" w:cs="Arial"/>
          <w:sz w:val="20"/>
          <w:szCs w:val="20"/>
        </w:rPr>
        <w:t xml:space="preserve"> PR</w:t>
      </w:r>
    </w:p>
    <w:p w:rsidR="006F6131" w:rsidRPr="006F6131" w:rsidRDefault="006F6131" w:rsidP="006F6131">
      <w:pPr>
        <w:spacing w:after="0"/>
        <w:rPr>
          <w:rFonts w:ascii="Arial" w:hAnsi="Arial" w:cs="Arial"/>
          <w:sz w:val="20"/>
          <w:szCs w:val="20"/>
        </w:rPr>
      </w:pPr>
      <w:r w:rsidRPr="0016603F">
        <w:rPr>
          <w:rFonts w:ascii="Arial" w:hAnsi="Arial" w:cs="Arial"/>
          <w:sz w:val="20"/>
          <w:szCs w:val="20"/>
          <w:vertAlign w:val="superscript"/>
        </w:rPr>
        <w:t>2</w:t>
      </w:r>
      <w:r w:rsidRPr="006F6131">
        <w:rPr>
          <w:rFonts w:ascii="Arial" w:hAnsi="Arial" w:cs="Arial"/>
          <w:sz w:val="20"/>
          <w:szCs w:val="20"/>
        </w:rPr>
        <w:t xml:space="preserve"> Experienced with regimens containing DCV + SOF or DCV + PR or LDV + SOF</w:t>
      </w:r>
    </w:p>
    <w:p w:rsidR="006F6131" w:rsidRPr="006F6131" w:rsidRDefault="006F6131" w:rsidP="006F6131">
      <w:pPr>
        <w:spacing w:after="0"/>
        <w:rPr>
          <w:rFonts w:ascii="Arial" w:hAnsi="Arial" w:cs="Arial"/>
          <w:sz w:val="20"/>
          <w:szCs w:val="20"/>
        </w:rPr>
      </w:pPr>
      <w:proofErr w:type="gramStart"/>
      <w:r w:rsidRPr="0016603F">
        <w:rPr>
          <w:rFonts w:ascii="Arial" w:hAnsi="Arial" w:cs="Arial"/>
          <w:sz w:val="20"/>
          <w:szCs w:val="20"/>
          <w:vertAlign w:val="superscript"/>
        </w:rPr>
        <w:t>#</w:t>
      </w:r>
      <w:r w:rsidRPr="006F6131">
        <w:rPr>
          <w:rFonts w:ascii="Arial" w:hAnsi="Arial" w:cs="Arial"/>
          <w:sz w:val="20"/>
          <w:szCs w:val="20"/>
        </w:rPr>
        <w:t xml:space="preserve">  But</w:t>
      </w:r>
      <w:proofErr w:type="gramEnd"/>
      <w:r w:rsidRPr="006F6131">
        <w:rPr>
          <w:rFonts w:ascii="Arial" w:hAnsi="Arial" w:cs="Arial"/>
          <w:sz w:val="20"/>
          <w:szCs w:val="20"/>
        </w:rPr>
        <w:t xml:space="preserve"> not both NS3/4A PI and NS5A experienced e.g. EBR + GZR ± RBV or PTV/r + OBV + DSV ± RBV</w:t>
      </w:r>
    </w:p>
    <w:p w:rsidR="009C7847" w:rsidRDefault="006F6131" w:rsidP="006F6131">
      <w:pPr>
        <w:spacing w:after="0"/>
        <w:rPr>
          <w:rFonts w:ascii="Arial" w:hAnsi="Arial" w:cs="Arial"/>
          <w:sz w:val="20"/>
          <w:szCs w:val="20"/>
        </w:rPr>
      </w:pPr>
      <w:r w:rsidRPr="006F6131">
        <w:rPr>
          <w:rFonts w:ascii="Arial" w:hAnsi="Arial" w:cs="Arial"/>
          <w:sz w:val="20"/>
          <w:szCs w:val="20"/>
        </w:rPr>
        <w:lastRenderedPageBreak/>
        <w:t xml:space="preserve">GT = genotype; PI = protease inhibitor; PR = </w:t>
      </w:r>
      <w:proofErr w:type="spellStart"/>
      <w:r w:rsidRPr="006F6131">
        <w:rPr>
          <w:rFonts w:ascii="Arial" w:hAnsi="Arial" w:cs="Arial"/>
          <w:sz w:val="20"/>
          <w:szCs w:val="20"/>
        </w:rPr>
        <w:t>peginterferon</w:t>
      </w:r>
      <w:proofErr w:type="spellEnd"/>
      <w:r w:rsidRPr="006F6131">
        <w:rPr>
          <w:rFonts w:ascii="Arial" w:hAnsi="Arial" w:cs="Arial"/>
          <w:sz w:val="20"/>
          <w:szCs w:val="20"/>
        </w:rPr>
        <w:t xml:space="preserve">/ribavirin; SMV = </w:t>
      </w:r>
      <w:proofErr w:type="spellStart"/>
      <w:r w:rsidRPr="006F6131">
        <w:rPr>
          <w:rFonts w:ascii="Arial" w:hAnsi="Arial" w:cs="Arial"/>
          <w:sz w:val="20"/>
          <w:szCs w:val="20"/>
        </w:rPr>
        <w:t>simeprevir</w:t>
      </w:r>
      <w:proofErr w:type="spellEnd"/>
      <w:r w:rsidRPr="006F6131">
        <w:rPr>
          <w:rFonts w:ascii="Arial" w:hAnsi="Arial" w:cs="Arial"/>
          <w:sz w:val="20"/>
          <w:szCs w:val="20"/>
        </w:rPr>
        <w:t>;                        T</w:t>
      </w:r>
      <w:r>
        <w:rPr>
          <w:rFonts w:ascii="Arial" w:hAnsi="Arial" w:cs="Arial"/>
          <w:sz w:val="20"/>
          <w:szCs w:val="20"/>
        </w:rPr>
        <w:t>VR</w:t>
      </w:r>
      <w:r w:rsidRPr="006F6131">
        <w:rPr>
          <w:rFonts w:ascii="Arial" w:hAnsi="Arial" w:cs="Arial"/>
          <w:sz w:val="20"/>
          <w:szCs w:val="20"/>
        </w:rPr>
        <w:t xml:space="preserve"> = </w:t>
      </w:r>
      <w:proofErr w:type="spellStart"/>
      <w:r w:rsidRPr="006F6131">
        <w:rPr>
          <w:rFonts w:ascii="Arial" w:hAnsi="Arial" w:cs="Arial"/>
          <w:sz w:val="20"/>
          <w:szCs w:val="20"/>
        </w:rPr>
        <w:t>telaprevir</w:t>
      </w:r>
      <w:proofErr w:type="spellEnd"/>
      <w:r>
        <w:rPr>
          <w:rFonts w:ascii="Arial" w:hAnsi="Arial" w:cs="Arial"/>
          <w:sz w:val="20"/>
          <w:szCs w:val="20"/>
        </w:rPr>
        <w:t xml:space="preserve">; </w:t>
      </w:r>
      <w:r w:rsidRPr="006F6131">
        <w:rPr>
          <w:rFonts w:ascii="Arial" w:hAnsi="Arial" w:cs="Arial"/>
          <w:sz w:val="20"/>
          <w:szCs w:val="20"/>
        </w:rPr>
        <w:t xml:space="preserve">BOC = </w:t>
      </w:r>
      <w:proofErr w:type="spellStart"/>
      <w:r w:rsidRPr="006F6131">
        <w:rPr>
          <w:rFonts w:ascii="Arial" w:hAnsi="Arial" w:cs="Arial"/>
          <w:sz w:val="20"/>
          <w:szCs w:val="20"/>
        </w:rPr>
        <w:t>boceprevir</w:t>
      </w:r>
      <w:proofErr w:type="spellEnd"/>
      <w:r w:rsidRPr="006F6131">
        <w:rPr>
          <w:rFonts w:ascii="Arial" w:hAnsi="Arial" w:cs="Arial"/>
          <w:sz w:val="20"/>
          <w:szCs w:val="20"/>
        </w:rPr>
        <w:t xml:space="preserve">; DCV = </w:t>
      </w:r>
      <w:proofErr w:type="spellStart"/>
      <w:r w:rsidRPr="006F6131">
        <w:rPr>
          <w:rFonts w:ascii="Arial" w:hAnsi="Arial" w:cs="Arial"/>
          <w:sz w:val="20"/>
          <w:szCs w:val="20"/>
        </w:rPr>
        <w:t>daclatasvir</w:t>
      </w:r>
      <w:proofErr w:type="spellEnd"/>
      <w:r w:rsidRPr="006F6131">
        <w:rPr>
          <w:rFonts w:ascii="Arial" w:hAnsi="Arial" w:cs="Arial"/>
          <w:sz w:val="20"/>
          <w:szCs w:val="20"/>
        </w:rPr>
        <w:t xml:space="preserve">; LDV = </w:t>
      </w:r>
      <w:proofErr w:type="spellStart"/>
      <w:r w:rsidRPr="006F6131">
        <w:rPr>
          <w:rFonts w:ascii="Arial" w:hAnsi="Arial" w:cs="Arial"/>
          <w:sz w:val="20"/>
          <w:szCs w:val="20"/>
        </w:rPr>
        <w:t>ledipasvir</w:t>
      </w:r>
      <w:proofErr w:type="spellEnd"/>
      <w:r w:rsidRPr="006F6131">
        <w:rPr>
          <w:rFonts w:ascii="Arial" w:hAnsi="Arial" w:cs="Arial"/>
          <w:sz w:val="20"/>
          <w:szCs w:val="20"/>
        </w:rPr>
        <w:t xml:space="preserve">; SOF = </w:t>
      </w:r>
      <w:proofErr w:type="spellStart"/>
      <w:r w:rsidRPr="006F6131">
        <w:rPr>
          <w:rFonts w:ascii="Arial" w:hAnsi="Arial" w:cs="Arial"/>
          <w:sz w:val="20"/>
          <w:szCs w:val="20"/>
        </w:rPr>
        <w:t>sofosbuvir</w:t>
      </w:r>
      <w:proofErr w:type="spellEnd"/>
      <w:r w:rsidRPr="006F6131">
        <w:rPr>
          <w:rFonts w:ascii="Arial" w:hAnsi="Arial" w:cs="Arial"/>
          <w:sz w:val="20"/>
          <w:szCs w:val="20"/>
        </w:rPr>
        <w:t xml:space="preserve">;             EBR = </w:t>
      </w:r>
      <w:proofErr w:type="spellStart"/>
      <w:r w:rsidRPr="006F6131">
        <w:rPr>
          <w:rFonts w:ascii="Arial" w:hAnsi="Arial" w:cs="Arial"/>
          <w:sz w:val="20"/>
          <w:szCs w:val="20"/>
        </w:rPr>
        <w:t>elb</w:t>
      </w:r>
      <w:r w:rsidR="0032150A">
        <w:rPr>
          <w:rFonts w:ascii="Arial" w:hAnsi="Arial" w:cs="Arial"/>
          <w:sz w:val="20"/>
          <w:szCs w:val="20"/>
        </w:rPr>
        <w:t>a</w:t>
      </w:r>
      <w:r w:rsidRPr="006F6131">
        <w:rPr>
          <w:rFonts w:ascii="Arial" w:hAnsi="Arial" w:cs="Arial"/>
          <w:sz w:val="20"/>
          <w:szCs w:val="20"/>
        </w:rPr>
        <w:t>sv</w:t>
      </w:r>
      <w:r>
        <w:rPr>
          <w:rFonts w:ascii="Arial" w:hAnsi="Arial" w:cs="Arial"/>
          <w:sz w:val="20"/>
          <w:szCs w:val="20"/>
        </w:rPr>
        <w:t>ir</w:t>
      </w:r>
      <w:proofErr w:type="spellEnd"/>
      <w:r>
        <w:rPr>
          <w:rFonts w:ascii="Arial" w:hAnsi="Arial" w:cs="Arial"/>
          <w:sz w:val="20"/>
          <w:szCs w:val="20"/>
        </w:rPr>
        <w:t xml:space="preserve">; </w:t>
      </w:r>
      <w:r w:rsidRPr="006F6131">
        <w:rPr>
          <w:rFonts w:ascii="Arial" w:hAnsi="Arial" w:cs="Arial"/>
          <w:sz w:val="20"/>
          <w:szCs w:val="20"/>
        </w:rPr>
        <w:t xml:space="preserve">GZR = </w:t>
      </w:r>
      <w:proofErr w:type="spellStart"/>
      <w:r w:rsidRPr="006F6131">
        <w:rPr>
          <w:rFonts w:ascii="Arial" w:hAnsi="Arial" w:cs="Arial"/>
          <w:sz w:val="20"/>
          <w:szCs w:val="20"/>
        </w:rPr>
        <w:t>grazoprevir</w:t>
      </w:r>
      <w:proofErr w:type="spellEnd"/>
      <w:r w:rsidRPr="006F6131">
        <w:rPr>
          <w:rFonts w:ascii="Arial" w:hAnsi="Arial" w:cs="Arial"/>
          <w:sz w:val="20"/>
          <w:szCs w:val="20"/>
        </w:rPr>
        <w:t xml:space="preserve">; PTV/r = </w:t>
      </w:r>
      <w:proofErr w:type="spellStart"/>
      <w:r w:rsidRPr="006F6131">
        <w:rPr>
          <w:rFonts w:ascii="Arial" w:hAnsi="Arial" w:cs="Arial"/>
          <w:sz w:val="20"/>
          <w:szCs w:val="20"/>
        </w:rPr>
        <w:t>paritaprevir</w:t>
      </w:r>
      <w:proofErr w:type="spellEnd"/>
      <w:r w:rsidRPr="006F6131">
        <w:rPr>
          <w:rFonts w:ascii="Arial" w:hAnsi="Arial" w:cs="Arial"/>
          <w:sz w:val="20"/>
          <w:szCs w:val="20"/>
        </w:rPr>
        <w:t xml:space="preserve">/ritonavir; OBV = </w:t>
      </w:r>
      <w:proofErr w:type="spellStart"/>
      <w:r w:rsidRPr="006F6131">
        <w:rPr>
          <w:rFonts w:ascii="Arial" w:hAnsi="Arial" w:cs="Arial"/>
          <w:sz w:val="20"/>
          <w:szCs w:val="20"/>
        </w:rPr>
        <w:t>ombitasvir</w:t>
      </w:r>
      <w:proofErr w:type="spellEnd"/>
      <w:r w:rsidRPr="006F6131">
        <w:rPr>
          <w:rFonts w:ascii="Arial" w:hAnsi="Arial" w:cs="Arial"/>
          <w:sz w:val="20"/>
          <w:szCs w:val="20"/>
        </w:rPr>
        <w:t xml:space="preserve">; </w:t>
      </w:r>
      <w:r w:rsidR="00D836B7">
        <w:rPr>
          <w:rFonts w:ascii="Arial" w:hAnsi="Arial" w:cs="Arial"/>
          <w:sz w:val="20"/>
          <w:szCs w:val="20"/>
        </w:rPr>
        <w:t xml:space="preserve">                     </w:t>
      </w:r>
      <w:r w:rsidRPr="006F6131">
        <w:rPr>
          <w:rFonts w:ascii="Arial" w:hAnsi="Arial" w:cs="Arial"/>
          <w:sz w:val="20"/>
          <w:szCs w:val="20"/>
        </w:rPr>
        <w:t xml:space="preserve">DSV = </w:t>
      </w:r>
      <w:proofErr w:type="spellStart"/>
      <w:r w:rsidRPr="006F6131">
        <w:rPr>
          <w:rFonts w:ascii="Arial" w:hAnsi="Arial" w:cs="Arial"/>
          <w:sz w:val="20"/>
          <w:szCs w:val="20"/>
        </w:rPr>
        <w:t>dasabuvir</w:t>
      </w:r>
      <w:proofErr w:type="spellEnd"/>
      <w:r w:rsidRPr="006F6131">
        <w:rPr>
          <w:rFonts w:ascii="Arial" w:hAnsi="Arial" w:cs="Arial"/>
          <w:sz w:val="20"/>
          <w:szCs w:val="20"/>
        </w:rPr>
        <w:t>; RBV = ribavirin</w:t>
      </w:r>
    </w:p>
    <w:p w:rsidR="006F6131" w:rsidRPr="006F6131" w:rsidRDefault="006F6131" w:rsidP="006F6131">
      <w:pPr>
        <w:spacing w:after="0"/>
        <w:rPr>
          <w:rFonts w:ascii="Arial" w:hAnsi="Arial" w:cs="Arial"/>
          <w:sz w:val="20"/>
          <w:szCs w:val="20"/>
        </w:rPr>
      </w:pPr>
    </w:p>
    <w:p w:rsidR="009C7847" w:rsidRPr="005E1202" w:rsidRDefault="009C7847" w:rsidP="009C7847">
      <w:pPr>
        <w:pStyle w:val="Heading4"/>
        <w:rPr>
          <w:rFonts w:cs="Arial"/>
        </w:rPr>
      </w:pPr>
      <w:r w:rsidRPr="005E1202">
        <w:rPr>
          <w:rFonts w:cs="Arial"/>
        </w:rPr>
        <w:t>Hepatic Impairment</w:t>
      </w:r>
    </w:p>
    <w:p w:rsidR="009C7847" w:rsidRPr="005E1202" w:rsidRDefault="009C7847" w:rsidP="00FC6D9B">
      <w:pPr>
        <w:jc w:val="both"/>
        <w:rPr>
          <w:rFonts w:ascii="Arial" w:hAnsi="Arial" w:cs="Arial"/>
        </w:rPr>
      </w:pPr>
      <w:r w:rsidRPr="005E1202">
        <w:rPr>
          <w:rFonts w:ascii="Arial" w:hAnsi="Arial" w:cs="Arial"/>
        </w:rPr>
        <w:t xml:space="preserve">No dose adjustment of MAVIRET is required in patients with mild hepatic impairment (Child-Pugh A). MAVIRET is not recommended in patients with moderate hepatic impairment (Child-Pugh B) and is contraindicated in patients with severe hepatic impairment (Child-Pugh C) (see </w:t>
      </w:r>
      <w:r w:rsidR="008D55BB">
        <w:rPr>
          <w:rFonts w:ascii="Arial" w:hAnsi="Arial" w:cs="Arial"/>
        </w:rPr>
        <w:t xml:space="preserve">4.3 </w:t>
      </w:r>
      <w:r w:rsidRPr="005E1202">
        <w:rPr>
          <w:rStyle w:val="gtclinktext7"/>
          <w:rFonts w:ascii="Arial" w:hAnsi="Arial" w:cs="Arial"/>
        </w:rPr>
        <w:t>CONTRAINDICATIONS</w:t>
      </w:r>
      <w:r w:rsidRPr="005E1202">
        <w:rPr>
          <w:rFonts w:ascii="Arial" w:hAnsi="Arial" w:cs="Arial"/>
        </w:rPr>
        <w:t xml:space="preserve"> and</w:t>
      </w:r>
      <w:r w:rsidRPr="005E1202">
        <w:rPr>
          <w:rStyle w:val="gtclinktext7"/>
          <w:rFonts w:ascii="Arial" w:hAnsi="Arial" w:cs="Arial"/>
        </w:rPr>
        <w:t xml:space="preserve"> </w:t>
      </w:r>
      <w:r w:rsidR="008D55BB">
        <w:rPr>
          <w:rStyle w:val="gtclinktext2"/>
          <w:rFonts w:ascii="Arial" w:hAnsi="Arial" w:cs="Arial"/>
        </w:rPr>
        <w:t xml:space="preserve">5.2 PHARMACOKINETIC PROPERTIES </w:t>
      </w:r>
      <w:r w:rsidRPr="005E1202">
        <w:rPr>
          <w:rStyle w:val="gtclinktext2"/>
          <w:rFonts w:ascii="Arial" w:hAnsi="Arial" w:cs="Arial"/>
        </w:rPr>
        <w:t xml:space="preserve">– Pharmacokinetics, Specific Populations, </w:t>
      </w:r>
      <w:proofErr w:type="gramStart"/>
      <w:r w:rsidRPr="005E1202">
        <w:rPr>
          <w:rStyle w:val="gtclinktext2"/>
          <w:rFonts w:ascii="Arial" w:hAnsi="Arial" w:cs="Arial"/>
        </w:rPr>
        <w:t>Renal</w:t>
      </w:r>
      <w:proofErr w:type="gramEnd"/>
      <w:r w:rsidRPr="005E1202">
        <w:rPr>
          <w:rStyle w:val="gtclinktext2"/>
          <w:rFonts w:ascii="Arial" w:hAnsi="Arial" w:cs="Arial"/>
        </w:rPr>
        <w:t xml:space="preserve"> Impairment</w:t>
      </w:r>
      <w:r w:rsidRPr="005E1202">
        <w:rPr>
          <w:rFonts w:ascii="Arial" w:hAnsi="Arial" w:cs="Arial"/>
        </w:rPr>
        <w:t>).</w:t>
      </w:r>
    </w:p>
    <w:p w:rsidR="009C7847" w:rsidRPr="005E1202" w:rsidRDefault="009C7847" w:rsidP="009C7847">
      <w:pPr>
        <w:pStyle w:val="Heading4"/>
        <w:rPr>
          <w:rFonts w:cs="Arial"/>
        </w:rPr>
      </w:pPr>
      <w:r w:rsidRPr="005E1202">
        <w:rPr>
          <w:rFonts w:cs="Arial"/>
        </w:rPr>
        <w:t>Renal Impairment</w:t>
      </w:r>
    </w:p>
    <w:p w:rsidR="009C7847" w:rsidRPr="005E1202" w:rsidRDefault="009C7847" w:rsidP="00FC6D9B">
      <w:pPr>
        <w:jc w:val="both"/>
        <w:rPr>
          <w:rFonts w:ascii="Arial" w:hAnsi="Arial" w:cs="Arial"/>
        </w:rPr>
      </w:pPr>
      <w:r w:rsidRPr="005E1202">
        <w:rPr>
          <w:rFonts w:ascii="Arial" w:hAnsi="Arial" w:cs="Arial"/>
        </w:rPr>
        <w:t>No dose adjustment of MAVIRET is required in patients with any degree of renal impairment including patients on dialysis (see</w:t>
      </w:r>
      <w:r w:rsidRPr="005E1202">
        <w:rPr>
          <w:rFonts w:ascii="Arial" w:hAnsi="Arial" w:cs="Arial"/>
          <w:b/>
        </w:rPr>
        <w:t xml:space="preserve"> </w:t>
      </w:r>
      <w:r w:rsidR="008D55BB">
        <w:rPr>
          <w:rStyle w:val="gtclinktext2"/>
          <w:rFonts w:ascii="Arial" w:hAnsi="Arial" w:cs="Arial"/>
        </w:rPr>
        <w:t xml:space="preserve">5.2 PHARMACOKINETIC </w:t>
      </w:r>
      <w:proofErr w:type="gramStart"/>
      <w:r w:rsidR="008D55BB">
        <w:rPr>
          <w:rStyle w:val="gtclinktext2"/>
          <w:rFonts w:ascii="Arial" w:hAnsi="Arial" w:cs="Arial"/>
        </w:rPr>
        <w:t>PROPERTIES</w:t>
      </w:r>
      <w:r w:rsidR="00FC6D9B">
        <w:rPr>
          <w:rStyle w:val="gtclinktext2"/>
          <w:rFonts w:ascii="Arial" w:hAnsi="Arial" w:cs="Arial"/>
        </w:rPr>
        <w:t xml:space="preserve"> </w:t>
      </w:r>
      <w:r w:rsidRPr="005E1202">
        <w:rPr>
          <w:rStyle w:val="gtclinktext2"/>
          <w:rFonts w:ascii="Arial" w:hAnsi="Arial" w:cs="Arial"/>
        </w:rPr>
        <w:t xml:space="preserve"> –</w:t>
      </w:r>
      <w:proofErr w:type="gramEnd"/>
      <w:r w:rsidRPr="005E1202">
        <w:rPr>
          <w:rStyle w:val="gtclinktext2"/>
          <w:rFonts w:ascii="Arial" w:hAnsi="Arial" w:cs="Arial"/>
        </w:rPr>
        <w:t xml:space="preserve"> Pharmacokinetics, Specific Populations, Renal Impairment</w:t>
      </w:r>
      <w:r w:rsidRPr="005E1202">
        <w:rPr>
          <w:rFonts w:ascii="Arial" w:hAnsi="Arial" w:cs="Arial"/>
        </w:rPr>
        <w:t xml:space="preserve">). </w:t>
      </w:r>
    </w:p>
    <w:p w:rsidR="009C7847" w:rsidRPr="005E1202" w:rsidRDefault="009C7847" w:rsidP="009C7847">
      <w:pPr>
        <w:pStyle w:val="Heading4"/>
        <w:rPr>
          <w:rFonts w:cs="Arial"/>
        </w:rPr>
      </w:pPr>
      <w:r w:rsidRPr="005E1202">
        <w:rPr>
          <w:rFonts w:cs="Arial"/>
        </w:rPr>
        <w:t>Paediatric Use</w:t>
      </w:r>
    </w:p>
    <w:p w:rsidR="009C7847" w:rsidRPr="005E1202" w:rsidRDefault="009C7847" w:rsidP="00FC6D9B">
      <w:pPr>
        <w:jc w:val="both"/>
        <w:rPr>
          <w:rFonts w:ascii="Arial" w:hAnsi="Arial" w:cs="Arial"/>
        </w:rPr>
      </w:pPr>
      <w:r w:rsidRPr="005E1202">
        <w:rPr>
          <w:rFonts w:ascii="Arial" w:hAnsi="Arial" w:cs="Arial"/>
        </w:rPr>
        <w:t>The safety and effectiveness of MAVIRET in patients younger than 18 years of age have not been established.</w:t>
      </w:r>
    </w:p>
    <w:p w:rsidR="009C7847" w:rsidRPr="005E1202" w:rsidRDefault="009C7847" w:rsidP="009C7847">
      <w:pPr>
        <w:pStyle w:val="Heading4"/>
        <w:rPr>
          <w:rFonts w:cs="Arial"/>
        </w:rPr>
      </w:pPr>
      <w:r w:rsidRPr="005E1202">
        <w:rPr>
          <w:rFonts w:cs="Arial"/>
        </w:rPr>
        <w:t>Geriatric Use</w:t>
      </w:r>
    </w:p>
    <w:p w:rsidR="009C7847" w:rsidRPr="005E1202" w:rsidRDefault="009C7847" w:rsidP="00FC6D9B">
      <w:pPr>
        <w:jc w:val="both"/>
        <w:rPr>
          <w:rFonts w:ascii="Arial" w:hAnsi="Arial" w:cs="Arial"/>
        </w:rPr>
      </w:pPr>
      <w:r w:rsidRPr="005E1202">
        <w:rPr>
          <w:rFonts w:ascii="Arial" w:hAnsi="Arial" w:cs="Arial"/>
        </w:rPr>
        <w:t>No dose adjustment of MAVIRET is required in geriatric patients. In clinical studies of MAVIRET, 328 patients were age 65 years and over and 47 subjects were age 75 years and over. No overall differences in safety or effectiveness were observed between these patients and younger patients, and other reported clinical experience has not identified differences in responses between the geriatric and younger patients.</w:t>
      </w:r>
    </w:p>
    <w:p w:rsidR="009C7847" w:rsidRPr="005E1202" w:rsidRDefault="009C7847" w:rsidP="009C7847">
      <w:pPr>
        <w:pStyle w:val="Heading4"/>
        <w:rPr>
          <w:rFonts w:cs="Arial"/>
        </w:rPr>
      </w:pPr>
      <w:r w:rsidRPr="005E1202">
        <w:rPr>
          <w:rFonts w:cs="Arial"/>
        </w:rPr>
        <w:t>Liver Transplant Patients</w:t>
      </w:r>
    </w:p>
    <w:p w:rsidR="009C7847" w:rsidRPr="005E1202" w:rsidRDefault="009C7847" w:rsidP="00FC6D9B">
      <w:pPr>
        <w:jc w:val="both"/>
        <w:rPr>
          <w:rFonts w:ascii="Arial" w:hAnsi="Arial" w:cs="Arial"/>
        </w:rPr>
      </w:pPr>
      <w:r w:rsidRPr="005E1202">
        <w:rPr>
          <w:rFonts w:ascii="Arial" w:hAnsi="Arial" w:cs="Arial"/>
        </w:rPr>
        <w:t xml:space="preserve">MAVIRET may be used for a minimum of 12 weeks in liver transplant recipients (see </w:t>
      </w:r>
      <w:r w:rsidR="008D55BB">
        <w:rPr>
          <w:rFonts w:ascii="Arial" w:hAnsi="Arial" w:cs="Arial"/>
        </w:rPr>
        <w:t xml:space="preserve">4.4 </w:t>
      </w:r>
      <w:r w:rsidR="00EC496D">
        <w:rPr>
          <w:rFonts w:ascii="Arial" w:hAnsi="Arial" w:cs="Arial"/>
        </w:rPr>
        <w:t>S</w:t>
      </w:r>
      <w:r w:rsidR="008D55BB">
        <w:rPr>
          <w:rFonts w:ascii="Arial" w:hAnsi="Arial" w:cs="Arial"/>
        </w:rPr>
        <w:t xml:space="preserve">PECIAL WARNINGS AND </w:t>
      </w:r>
      <w:r w:rsidRPr="005E1202">
        <w:rPr>
          <w:rFonts w:ascii="Arial" w:hAnsi="Arial" w:cs="Arial"/>
        </w:rPr>
        <w:t>PRECAUTIONS</w:t>
      </w:r>
      <w:r w:rsidR="008D55BB">
        <w:rPr>
          <w:rFonts w:ascii="Arial" w:hAnsi="Arial" w:cs="Arial"/>
        </w:rPr>
        <w:t xml:space="preserve"> FOR USE</w:t>
      </w:r>
      <w:r w:rsidRPr="005E1202">
        <w:rPr>
          <w:rFonts w:ascii="Arial" w:hAnsi="Arial" w:cs="Arial"/>
        </w:rPr>
        <w:t xml:space="preserve">). </w:t>
      </w:r>
      <w:proofErr w:type="gramStart"/>
      <w:r w:rsidRPr="005E1202">
        <w:rPr>
          <w:rFonts w:ascii="Arial" w:hAnsi="Arial" w:cs="Arial"/>
        </w:rPr>
        <w:t>A longer</w:t>
      </w:r>
      <w:proofErr w:type="gramEnd"/>
      <w:r w:rsidRPr="005E1202">
        <w:rPr>
          <w:rFonts w:ascii="Arial" w:hAnsi="Arial" w:cs="Arial"/>
        </w:rPr>
        <w:t xml:space="preserve"> treatment duration should be considered in patients who are NS5A inhibitor-experienced or genotype 3-infected patients who are treatment experienced.</w:t>
      </w:r>
    </w:p>
    <w:p w:rsidR="009C7847" w:rsidRPr="005E1202" w:rsidRDefault="009C7847" w:rsidP="009C7847">
      <w:pPr>
        <w:pStyle w:val="Heading4"/>
        <w:rPr>
          <w:rFonts w:cs="Arial"/>
        </w:rPr>
      </w:pPr>
      <w:r w:rsidRPr="005E1202">
        <w:rPr>
          <w:rFonts w:cs="Arial"/>
        </w:rPr>
        <w:t>Missed Dose</w:t>
      </w:r>
    </w:p>
    <w:p w:rsidR="009C7847" w:rsidRPr="005E1202" w:rsidRDefault="009C7847" w:rsidP="009C7847">
      <w:pPr>
        <w:rPr>
          <w:rFonts w:ascii="Arial" w:hAnsi="Arial" w:cs="Arial"/>
        </w:rPr>
      </w:pPr>
      <w:r w:rsidRPr="005E1202">
        <w:rPr>
          <w:rFonts w:ascii="Arial" w:hAnsi="Arial" w:cs="Arial"/>
        </w:rPr>
        <w:t>In case a dose of MAVIRET is missed and it is:</w:t>
      </w:r>
    </w:p>
    <w:p w:rsidR="009C7847" w:rsidRPr="005E1202" w:rsidRDefault="009C7847" w:rsidP="009C7847">
      <w:pPr>
        <w:pStyle w:val="ListParagraph"/>
        <w:numPr>
          <w:ilvl w:val="0"/>
          <w:numId w:val="13"/>
        </w:numPr>
        <w:spacing w:after="120" w:line="240" w:lineRule="auto"/>
        <w:jc w:val="both"/>
        <w:rPr>
          <w:rFonts w:ascii="Arial" w:eastAsia="TimesNewRoman" w:hAnsi="Arial" w:cs="Arial"/>
        </w:rPr>
      </w:pPr>
      <w:r w:rsidRPr="005E1202">
        <w:rPr>
          <w:rFonts w:ascii="Arial" w:hAnsi="Arial" w:cs="Arial"/>
        </w:rPr>
        <w:t>Less than 18 hours from the usual time that MAVIRET should have been taken, advise the patient to take the dose as soon as possible and then to take the next dose at the usual time</w:t>
      </w:r>
      <w:bookmarkStart w:id="5" w:name="p4532743501400788758"/>
      <w:bookmarkStart w:id="6" w:name="p45088153501400788776"/>
      <w:bookmarkEnd w:id="5"/>
      <w:bookmarkEnd w:id="6"/>
      <w:r w:rsidRPr="005E1202">
        <w:rPr>
          <w:rFonts w:ascii="Arial" w:hAnsi="Arial" w:cs="Arial"/>
        </w:rPr>
        <w:t>.</w:t>
      </w:r>
    </w:p>
    <w:p w:rsidR="009C7847" w:rsidRDefault="009C7847" w:rsidP="009C7847">
      <w:pPr>
        <w:pStyle w:val="ListParagraph"/>
        <w:numPr>
          <w:ilvl w:val="0"/>
          <w:numId w:val="13"/>
        </w:numPr>
        <w:spacing w:after="120" w:line="240" w:lineRule="auto"/>
        <w:jc w:val="both"/>
        <w:rPr>
          <w:rFonts w:ascii="Arial" w:eastAsia="TimesNewRoman" w:hAnsi="Arial" w:cs="Arial"/>
        </w:rPr>
      </w:pPr>
      <w:r w:rsidRPr="005E1202">
        <w:rPr>
          <w:rFonts w:ascii="Arial" w:hAnsi="Arial" w:cs="Arial"/>
        </w:rPr>
        <w:t xml:space="preserve">More than 18 hours has passed since MAVIRET should have been taken, advise the patient not to take the missed dose and to take the next dose at the usual time. </w:t>
      </w:r>
      <w:r w:rsidRPr="005E1202">
        <w:rPr>
          <w:rFonts w:ascii="Arial" w:eastAsia="TimesNewRoman" w:hAnsi="Arial" w:cs="Arial"/>
        </w:rPr>
        <w:t>Patients should be instructed not to take a double dose.</w:t>
      </w:r>
    </w:p>
    <w:p w:rsidR="009206A1" w:rsidRPr="009206A1" w:rsidRDefault="009206A1" w:rsidP="009206A1">
      <w:pPr>
        <w:spacing w:after="120" w:line="240" w:lineRule="auto"/>
        <w:jc w:val="both"/>
        <w:rPr>
          <w:rFonts w:ascii="Arial" w:eastAsia="TimesNewRoman" w:hAnsi="Arial" w:cs="Arial"/>
        </w:rPr>
      </w:pPr>
    </w:p>
    <w:p w:rsidR="001A3992" w:rsidRPr="005E1202" w:rsidRDefault="001A3992" w:rsidP="001A3992">
      <w:pPr>
        <w:pStyle w:val="Heading2"/>
        <w:spacing w:before="0" w:after="120"/>
        <w:rPr>
          <w:rFonts w:cs="Arial"/>
        </w:rPr>
      </w:pPr>
      <w:r w:rsidRPr="005E1202">
        <w:rPr>
          <w:rFonts w:cs="Arial"/>
        </w:rPr>
        <w:t>Contraindications</w:t>
      </w:r>
    </w:p>
    <w:p w:rsidR="00493B75" w:rsidRPr="005E1202" w:rsidRDefault="00493B75" w:rsidP="00493B75">
      <w:pPr>
        <w:rPr>
          <w:rFonts w:ascii="Arial" w:hAnsi="Arial" w:cs="Arial"/>
        </w:rPr>
      </w:pPr>
      <w:r w:rsidRPr="005E1202">
        <w:rPr>
          <w:rFonts w:ascii="Arial" w:hAnsi="Arial" w:cs="Arial"/>
        </w:rPr>
        <w:t>MAVIRET is contraindicated:</w:t>
      </w:r>
    </w:p>
    <w:p w:rsidR="00493B75" w:rsidRPr="005E1202" w:rsidRDefault="00493B75" w:rsidP="00493B75">
      <w:pPr>
        <w:pStyle w:val="ListParagraph"/>
        <w:numPr>
          <w:ilvl w:val="0"/>
          <w:numId w:val="12"/>
        </w:numPr>
        <w:spacing w:after="120" w:line="240" w:lineRule="auto"/>
        <w:jc w:val="both"/>
        <w:rPr>
          <w:rFonts w:ascii="Arial" w:hAnsi="Arial" w:cs="Arial"/>
        </w:rPr>
      </w:pPr>
      <w:r w:rsidRPr="005E1202">
        <w:rPr>
          <w:rFonts w:ascii="Arial" w:hAnsi="Arial" w:cs="Arial"/>
        </w:rPr>
        <w:t xml:space="preserve">In patients with severe hepatic impairment (Child-Pugh C) (see </w:t>
      </w:r>
      <w:r w:rsidR="008D55BB">
        <w:rPr>
          <w:rStyle w:val="gtclinktext2"/>
          <w:rFonts w:ascii="Arial" w:hAnsi="Arial" w:cs="Arial"/>
        </w:rPr>
        <w:t>5.2 PHARMACOKINETIC PROPERTIES</w:t>
      </w:r>
      <w:r w:rsidR="008D55BB" w:rsidRPr="005E1202" w:rsidDel="008D55BB">
        <w:rPr>
          <w:rStyle w:val="gtclinktext5"/>
          <w:rFonts w:ascii="Arial" w:hAnsi="Arial" w:cs="Arial"/>
        </w:rPr>
        <w:t xml:space="preserve"> </w:t>
      </w:r>
      <w:r w:rsidRPr="005E1202">
        <w:rPr>
          <w:rStyle w:val="gtclinktext5"/>
          <w:rFonts w:ascii="Arial" w:hAnsi="Arial" w:cs="Arial"/>
        </w:rPr>
        <w:t>– Pharmacokinetics, Specific Populations</w:t>
      </w:r>
      <w:r w:rsidRPr="005E1202">
        <w:rPr>
          <w:rFonts w:ascii="Arial" w:hAnsi="Arial" w:cs="Arial"/>
        </w:rPr>
        <w:t>).</w:t>
      </w:r>
    </w:p>
    <w:p w:rsidR="00493B75" w:rsidRPr="005E1202" w:rsidRDefault="00493B75" w:rsidP="00493B75">
      <w:pPr>
        <w:pStyle w:val="ListParagraph"/>
        <w:numPr>
          <w:ilvl w:val="0"/>
          <w:numId w:val="12"/>
        </w:numPr>
        <w:spacing w:after="120" w:line="240" w:lineRule="auto"/>
        <w:jc w:val="both"/>
        <w:rPr>
          <w:rFonts w:ascii="Arial" w:hAnsi="Arial" w:cs="Arial"/>
        </w:rPr>
      </w:pPr>
      <w:r w:rsidRPr="005E1202">
        <w:rPr>
          <w:rFonts w:ascii="Arial" w:hAnsi="Arial" w:cs="Arial"/>
        </w:rPr>
        <w:t xml:space="preserve">With </w:t>
      </w:r>
      <w:proofErr w:type="spellStart"/>
      <w:r w:rsidRPr="005E1202">
        <w:rPr>
          <w:rFonts w:ascii="Arial" w:hAnsi="Arial" w:cs="Arial"/>
        </w:rPr>
        <w:t>atazanavir</w:t>
      </w:r>
      <w:proofErr w:type="spellEnd"/>
      <w:r w:rsidRPr="005E1202">
        <w:rPr>
          <w:rFonts w:ascii="Arial" w:hAnsi="Arial" w:cs="Arial"/>
        </w:rPr>
        <w:t xml:space="preserve"> containing products, atorvastatin, simvastatin, dabigatran </w:t>
      </w:r>
      <w:proofErr w:type="spellStart"/>
      <w:r w:rsidRPr="005E1202">
        <w:rPr>
          <w:rFonts w:ascii="Arial" w:hAnsi="Arial" w:cs="Arial"/>
        </w:rPr>
        <w:t>etexilate</w:t>
      </w:r>
      <w:proofErr w:type="spellEnd"/>
      <w:r w:rsidRPr="005E1202">
        <w:rPr>
          <w:rFonts w:ascii="Arial" w:hAnsi="Arial" w:cs="Arial"/>
        </w:rPr>
        <w:t xml:space="preserve">, </w:t>
      </w:r>
      <w:proofErr w:type="spellStart"/>
      <w:r w:rsidRPr="005E1202">
        <w:rPr>
          <w:rFonts w:ascii="Arial" w:hAnsi="Arial" w:cs="Arial"/>
        </w:rPr>
        <w:t>ethinyloestradiol</w:t>
      </w:r>
      <w:proofErr w:type="spellEnd"/>
      <w:r w:rsidRPr="005E1202">
        <w:rPr>
          <w:rFonts w:ascii="Arial" w:hAnsi="Arial" w:cs="Arial"/>
        </w:rPr>
        <w:t>-containing products, rifampicin (see</w:t>
      </w:r>
      <w:r w:rsidRPr="005E1202">
        <w:rPr>
          <w:rStyle w:val="gtclinktext5"/>
          <w:rFonts w:ascii="Arial" w:hAnsi="Arial" w:cs="Arial"/>
          <w:b/>
        </w:rPr>
        <w:t xml:space="preserve"> </w:t>
      </w:r>
      <w:r w:rsidR="008D55BB">
        <w:rPr>
          <w:rStyle w:val="gtclinktext2"/>
          <w:rFonts w:ascii="Arial" w:hAnsi="Arial" w:cs="Arial"/>
        </w:rPr>
        <w:t>5.2 PHARMACOKINETIC PROPERTIES</w:t>
      </w:r>
      <w:r w:rsidR="008D55BB" w:rsidRPr="005E1202" w:rsidDel="008D55BB">
        <w:rPr>
          <w:rStyle w:val="gtclinktext5"/>
          <w:rFonts w:ascii="Arial" w:hAnsi="Arial" w:cs="Arial"/>
        </w:rPr>
        <w:t xml:space="preserve"> </w:t>
      </w:r>
      <w:r w:rsidRPr="005E1202">
        <w:rPr>
          <w:rStyle w:val="gtclinktext5"/>
          <w:rFonts w:ascii="Arial" w:hAnsi="Arial" w:cs="Arial"/>
        </w:rPr>
        <w:t xml:space="preserve">– Pharmacokinetics, Special Populations, </w:t>
      </w:r>
      <w:proofErr w:type="gramStart"/>
      <w:r w:rsidRPr="005E1202">
        <w:rPr>
          <w:rStyle w:val="gtclinktext5"/>
          <w:rFonts w:ascii="Arial" w:hAnsi="Arial" w:cs="Arial"/>
        </w:rPr>
        <w:t>Drug</w:t>
      </w:r>
      <w:proofErr w:type="gramEnd"/>
      <w:r w:rsidRPr="005E1202">
        <w:rPr>
          <w:rStyle w:val="gtclinktext5"/>
          <w:rFonts w:ascii="Arial" w:hAnsi="Arial" w:cs="Arial"/>
        </w:rPr>
        <w:t xml:space="preserve"> Interactions</w:t>
      </w:r>
      <w:r w:rsidRPr="005E1202">
        <w:rPr>
          <w:rFonts w:ascii="Arial" w:hAnsi="Arial" w:cs="Arial"/>
        </w:rPr>
        <w:t>).</w:t>
      </w:r>
    </w:p>
    <w:p w:rsidR="001A3992" w:rsidRPr="005E1202" w:rsidRDefault="00E74A56" w:rsidP="001A3992">
      <w:pPr>
        <w:pStyle w:val="Heading2"/>
        <w:spacing w:before="0" w:after="120"/>
        <w:rPr>
          <w:rFonts w:cs="Arial"/>
        </w:rPr>
      </w:pPr>
      <w:r w:rsidRPr="005E1202">
        <w:rPr>
          <w:rFonts w:cs="Arial"/>
        </w:rPr>
        <w:t>Special warnings and p</w:t>
      </w:r>
      <w:r w:rsidR="001A3992" w:rsidRPr="005E1202">
        <w:rPr>
          <w:rFonts w:cs="Arial"/>
        </w:rPr>
        <w:t xml:space="preserve">recautions </w:t>
      </w:r>
      <w:r w:rsidRPr="005E1202">
        <w:rPr>
          <w:rFonts w:cs="Arial"/>
        </w:rPr>
        <w:t>for use</w:t>
      </w:r>
    </w:p>
    <w:p w:rsidR="00493B75" w:rsidRPr="005E1202" w:rsidRDefault="00493B75" w:rsidP="00FC6D9B">
      <w:pPr>
        <w:pStyle w:val="Heading3"/>
        <w:jc w:val="both"/>
        <w:rPr>
          <w:rFonts w:cs="Arial"/>
        </w:rPr>
      </w:pPr>
      <w:r w:rsidRPr="005E1202">
        <w:rPr>
          <w:rFonts w:cs="Arial"/>
        </w:rPr>
        <w:t>Risk of Hepatitis B Virus Reactivation</w:t>
      </w:r>
    </w:p>
    <w:p w:rsidR="00493B75" w:rsidRPr="005E1202" w:rsidRDefault="00493B75" w:rsidP="00FC6D9B">
      <w:pPr>
        <w:jc w:val="both"/>
        <w:rPr>
          <w:rFonts w:ascii="Arial" w:hAnsi="Arial" w:cs="Arial"/>
        </w:rPr>
      </w:pPr>
      <w:r w:rsidRPr="005E1202">
        <w:rPr>
          <w:rFonts w:ascii="Arial" w:hAnsi="Arial" w:cs="Arial"/>
        </w:rPr>
        <w:t>Cases of Hepatitis B virus (HBV) reactivation, including fatal cases, have been reported during and after treatment of HCV with direct-acting antiviral agents in HCV/HBV co-infected patients. Screening for current or past HBV infection, including testing for HBV surface antigen (</w:t>
      </w:r>
      <w:proofErr w:type="spellStart"/>
      <w:r w:rsidRPr="005E1202">
        <w:rPr>
          <w:rFonts w:ascii="Arial" w:hAnsi="Arial" w:cs="Arial"/>
        </w:rPr>
        <w:t>HBsAg</w:t>
      </w:r>
      <w:proofErr w:type="spellEnd"/>
      <w:r w:rsidRPr="005E1202">
        <w:rPr>
          <w:rFonts w:ascii="Arial" w:hAnsi="Arial" w:cs="Arial"/>
        </w:rPr>
        <w:t>) and HBV core antibody (anti-</w:t>
      </w:r>
      <w:proofErr w:type="spellStart"/>
      <w:r w:rsidRPr="005E1202">
        <w:rPr>
          <w:rFonts w:ascii="Arial" w:hAnsi="Arial" w:cs="Arial"/>
        </w:rPr>
        <w:t>HBc</w:t>
      </w:r>
      <w:proofErr w:type="spellEnd"/>
      <w:r w:rsidRPr="005E1202">
        <w:rPr>
          <w:rFonts w:ascii="Arial" w:hAnsi="Arial" w:cs="Arial"/>
        </w:rPr>
        <w:t xml:space="preserve">), should be performed in all patients before initiation of treatment with MAVIRET. </w:t>
      </w:r>
    </w:p>
    <w:p w:rsidR="00493B75" w:rsidRPr="005E1202" w:rsidRDefault="00493B75" w:rsidP="00FC6D9B">
      <w:pPr>
        <w:jc w:val="both"/>
        <w:rPr>
          <w:rFonts w:ascii="Arial" w:hAnsi="Arial" w:cs="Arial"/>
        </w:rPr>
      </w:pPr>
      <w:r w:rsidRPr="005E1202">
        <w:rPr>
          <w:rFonts w:ascii="Arial" w:hAnsi="Arial" w:cs="Arial"/>
        </w:rPr>
        <w:t>Patients with serologic evidence of current or past HBV infection should be monitored and treated according to current clinical practice guidelines to manage potential HBV reactivation. Consider initiation of HBV antiviral therapy, if indicated.</w:t>
      </w:r>
    </w:p>
    <w:p w:rsidR="00493B75" w:rsidRPr="005E1202" w:rsidRDefault="00493B75" w:rsidP="00FC6D9B">
      <w:pPr>
        <w:jc w:val="both"/>
        <w:rPr>
          <w:rFonts w:ascii="Arial" w:hAnsi="Arial" w:cs="Arial"/>
          <w:color w:val="0000FF"/>
        </w:rPr>
      </w:pPr>
      <w:r w:rsidRPr="005E1202">
        <w:rPr>
          <w:rFonts w:ascii="Arial" w:hAnsi="Arial" w:cs="Arial"/>
        </w:rPr>
        <w:t>MAVIRET has not been studied in patients with HCV/HBV co-infection.</w:t>
      </w:r>
    </w:p>
    <w:p w:rsidR="00493B75" w:rsidRPr="005E1202" w:rsidRDefault="00493B75" w:rsidP="00493B75">
      <w:pPr>
        <w:pStyle w:val="Heading3"/>
        <w:rPr>
          <w:rFonts w:cs="Arial"/>
        </w:rPr>
      </w:pPr>
      <w:r w:rsidRPr="005E1202">
        <w:rPr>
          <w:rFonts w:cs="Arial"/>
        </w:rPr>
        <w:t>Liver Transplant Patients</w:t>
      </w:r>
    </w:p>
    <w:p w:rsidR="00493B75" w:rsidRPr="005E1202" w:rsidRDefault="00493B75" w:rsidP="007C24AC">
      <w:pPr>
        <w:jc w:val="both"/>
        <w:rPr>
          <w:rFonts w:ascii="Arial" w:hAnsi="Arial" w:cs="Arial"/>
        </w:rPr>
      </w:pPr>
      <w:r w:rsidRPr="005E1202">
        <w:rPr>
          <w:rFonts w:ascii="Arial" w:hAnsi="Arial" w:cs="Arial"/>
        </w:rPr>
        <w:t xml:space="preserve">The safety and efficacy of MAVIRET in patients who are post-liver transplant have not been assessed. Treatment with MAVIRET in accordance with the recommended posology (see </w:t>
      </w:r>
      <w:r w:rsidR="008D55BB">
        <w:rPr>
          <w:rFonts w:ascii="Arial" w:hAnsi="Arial" w:cs="Arial"/>
        </w:rPr>
        <w:t xml:space="preserve">4.2 </w:t>
      </w:r>
      <w:r w:rsidRPr="005E1202">
        <w:rPr>
          <w:rFonts w:ascii="Arial" w:hAnsi="Arial" w:cs="Arial"/>
        </w:rPr>
        <w:t xml:space="preserve">DOSE AND </w:t>
      </w:r>
      <w:r w:rsidR="008D55BB">
        <w:rPr>
          <w:rFonts w:ascii="Arial" w:hAnsi="Arial" w:cs="Arial"/>
        </w:rPr>
        <w:t xml:space="preserve">METHOD OF </w:t>
      </w:r>
      <w:r w:rsidRPr="005E1202">
        <w:rPr>
          <w:rFonts w:ascii="Arial" w:hAnsi="Arial" w:cs="Arial"/>
        </w:rPr>
        <w:t>ADMINISTRATION) should be guided by an assessment of the potential benefits and risks for the individual patient.</w:t>
      </w:r>
    </w:p>
    <w:p w:rsidR="00493B75" w:rsidRPr="005E1202" w:rsidRDefault="00493B75" w:rsidP="009C7847">
      <w:pPr>
        <w:pStyle w:val="Heading3"/>
        <w:rPr>
          <w:rFonts w:cs="Arial"/>
        </w:rPr>
      </w:pPr>
      <w:r w:rsidRPr="009206A1">
        <w:rPr>
          <w:rFonts w:cs="Arial"/>
        </w:rPr>
        <w:t>Use in</w:t>
      </w:r>
      <w:r w:rsidRPr="005E1202">
        <w:rPr>
          <w:rFonts w:cs="Arial"/>
        </w:rPr>
        <w:t xml:space="preserve"> Hepatic Impairment</w:t>
      </w:r>
    </w:p>
    <w:p w:rsidR="00493B75" w:rsidRPr="005E1202" w:rsidRDefault="00493B75" w:rsidP="007C24AC">
      <w:pPr>
        <w:jc w:val="both"/>
        <w:rPr>
          <w:rFonts w:ascii="Arial" w:hAnsi="Arial" w:cs="Arial"/>
        </w:rPr>
      </w:pPr>
      <w:proofErr w:type="spellStart"/>
      <w:r w:rsidRPr="005E1202">
        <w:rPr>
          <w:rFonts w:ascii="Arial" w:hAnsi="Arial" w:cs="Arial"/>
        </w:rPr>
        <w:t>Maviret</w:t>
      </w:r>
      <w:proofErr w:type="spellEnd"/>
      <w:r w:rsidRPr="005E1202">
        <w:rPr>
          <w:rFonts w:ascii="Arial" w:hAnsi="Arial" w:cs="Arial"/>
        </w:rPr>
        <w:t xml:space="preserve"> is not recommended in patients with moderate hepatic impairment (Child-Pugh B) and is contraindicated in patients with severe hepatic impairment (Child-Pugh C) (see </w:t>
      </w:r>
      <w:r w:rsidR="008D55BB">
        <w:rPr>
          <w:rFonts w:ascii="Arial" w:hAnsi="Arial" w:cs="Arial"/>
        </w:rPr>
        <w:t xml:space="preserve">4.2 </w:t>
      </w:r>
      <w:r w:rsidRPr="005E1202">
        <w:rPr>
          <w:rFonts w:ascii="Arial" w:hAnsi="Arial" w:cs="Arial"/>
        </w:rPr>
        <w:t xml:space="preserve">DOSE AND </w:t>
      </w:r>
      <w:r w:rsidR="008D55BB">
        <w:rPr>
          <w:rFonts w:ascii="Arial" w:hAnsi="Arial" w:cs="Arial"/>
        </w:rPr>
        <w:t xml:space="preserve">METHOD OF </w:t>
      </w:r>
      <w:r w:rsidRPr="005E1202">
        <w:rPr>
          <w:rFonts w:ascii="Arial" w:hAnsi="Arial" w:cs="Arial"/>
        </w:rPr>
        <w:t xml:space="preserve">ADMINISTRATION, </w:t>
      </w:r>
      <w:r w:rsidR="008D55BB">
        <w:rPr>
          <w:rFonts w:ascii="Arial" w:hAnsi="Arial" w:cs="Arial"/>
        </w:rPr>
        <w:t>5.1 PHARMACOLOGICAL PROPERTIES</w:t>
      </w:r>
      <w:r w:rsidR="008D55BB" w:rsidRPr="005E1202">
        <w:rPr>
          <w:rFonts w:ascii="Arial" w:hAnsi="Arial" w:cs="Arial"/>
        </w:rPr>
        <w:t xml:space="preserve"> </w:t>
      </w:r>
      <w:r w:rsidRPr="005E1202">
        <w:rPr>
          <w:rFonts w:ascii="Arial" w:hAnsi="Arial" w:cs="Arial"/>
        </w:rPr>
        <w:t xml:space="preserve">and </w:t>
      </w:r>
      <w:r w:rsidR="008D55BB">
        <w:rPr>
          <w:rFonts w:ascii="Arial" w:hAnsi="Arial" w:cs="Arial"/>
        </w:rPr>
        <w:t xml:space="preserve">4.3 </w:t>
      </w:r>
      <w:r w:rsidRPr="005E1202">
        <w:rPr>
          <w:rFonts w:ascii="Arial" w:hAnsi="Arial" w:cs="Arial"/>
        </w:rPr>
        <w:t>CONTRAINDICATIONS).</w:t>
      </w:r>
    </w:p>
    <w:p w:rsidR="00493B75" w:rsidRPr="005E1202" w:rsidRDefault="00493B75" w:rsidP="007C24AC">
      <w:pPr>
        <w:pStyle w:val="Heading3"/>
        <w:jc w:val="both"/>
        <w:rPr>
          <w:rFonts w:cs="Arial"/>
        </w:rPr>
      </w:pPr>
      <w:r w:rsidRPr="005E1202">
        <w:rPr>
          <w:rFonts w:cs="Arial"/>
        </w:rPr>
        <w:t>Drug-drug Interactions</w:t>
      </w:r>
    </w:p>
    <w:p w:rsidR="00493B75" w:rsidRPr="005E1202" w:rsidRDefault="00493B75" w:rsidP="007C24AC">
      <w:pPr>
        <w:jc w:val="both"/>
        <w:rPr>
          <w:rFonts w:ascii="Arial" w:hAnsi="Arial" w:cs="Arial"/>
        </w:rPr>
      </w:pPr>
      <w:r w:rsidRPr="005E1202">
        <w:rPr>
          <w:rFonts w:ascii="Arial" w:hAnsi="Arial" w:cs="Arial"/>
        </w:rPr>
        <w:t xml:space="preserve">Co-administration is not recommended with several medicinal products (see </w:t>
      </w:r>
      <w:r w:rsidR="008D55BB">
        <w:rPr>
          <w:rFonts w:ascii="Arial" w:hAnsi="Arial" w:cs="Arial"/>
        </w:rPr>
        <w:t xml:space="preserve">4.5 </w:t>
      </w:r>
      <w:r w:rsidRPr="005E1202">
        <w:rPr>
          <w:rFonts w:ascii="Arial" w:hAnsi="Arial" w:cs="Arial"/>
        </w:rPr>
        <w:t>INTERACTIONS WITH OTHER MEDICINES</w:t>
      </w:r>
      <w:r w:rsidR="008D55BB">
        <w:rPr>
          <w:rFonts w:ascii="Arial" w:hAnsi="Arial" w:cs="Arial"/>
        </w:rPr>
        <w:t xml:space="preserve"> AND OTHER FORMS OF INTERACTIONS</w:t>
      </w:r>
      <w:r w:rsidRPr="005E1202">
        <w:rPr>
          <w:rFonts w:ascii="Arial" w:hAnsi="Arial" w:cs="Arial"/>
        </w:rPr>
        <w:t>).</w:t>
      </w:r>
    </w:p>
    <w:p w:rsidR="001A3992" w:rsidRPr="005E1202" w:rsidRDefault="001A3992" w:rsidP="007C24AC">
      <w:pPr>
        <w:pStyle w:val="Heading3"/>
        <w:spacing w:before="0" w:after="120"/>
        <w:jc w:val="both"/>
        <w:rPr>
          <w:rFonts w:cs="Arial"/>
        </w:rPr>
      </w:pPr>
      <w:r w:rsidRPr="005E1202">
        <w:rPr>
          <w:rFonts w:cs="Arial"/>
        </w:rPr>
        <w:t>Use in the elderly</w:t>
      </w:r>
    </w:p>
    <w:p w:rsidR="009C7847" w:rsidRPr="005E1202" w:rsidRDefault="009C7847" w:rsidP="007C24AC">
      <w:pPr>
        <w:jc w:val="both"/>
        <w:rPr>
          <w:rFonts w:ascii="Arial" w:hAnsi="Arial" w:cs="Arial"/>
        </w:rPr>
      </w:pPr>
      <w:r w:rsidRPr="005E1202">
        <w:rPr>
          <w:rFonts w:ascii="Arial" w:hAnsi="Arial" w:cs="Arial"/>
        </w:rPr>
        <w:t xml:space="preserve">No dose adjustment of MAVIRET is required in geriatric patients (see </w:t>
      </w:r>
      <w:r w:rsidR="008D55BB">
        <w:rPr>
          <w:rFonts w:ascii="Arial" w:hAnsi="Arial" w:cs="Arial"/>
        </w:rPr>
        <w:t xml:space="preserve">4.2 </w:t>
      </w:r>
      <w:r w:rsidRPr="005E1202">
        <w:rPr>
          <w:rFonts w:ascii="Arial" w:hAnsi="Arial" w:cs="Arial"/>
        </w:rPr>
        <w:t xml:space="preserve">DOSE AND </w:t>
      </w:r>
      <w:r w:rsidR="008D55BB">
        <w:rPr>
          <w:rFonts w:ascii="Arial" w:hAnsi="Arial" w:cs="Arial"/>
        </w:rPr>
        <w:t xml:space="preserve">METHOD </w:t>
      </w:r>
      <w:r w:rsidRPr="005E1202">
        <w:rPr>
          <w:rFonts w:ascii="Arial" w:hAnsi="Arial" w:cs="Arial"/>
        </w:rPr>
        <w:t xml:space="preserve">ADMINISTRATION – Geriatric Use). </w:t>
      </w:r>
    </w:p>
    <w:p w:rsidR="001A3992" w:rsidRPr="005E1202" w:rsidRDefault="001A3992" w:rsidP="007C24AC">
      <w:pPr>
        <w:pStyle w:val="Heading3"/>
        <w:spacing w:before="0" w:after="120"/>
        <w:jc w:val="both"/>
        <w:rPr>
          <w:rFonts w:cs="Arial"/>
        </w:rPr>
      </w:pPr>
      <w:r w:rsidRPr="005E1202">
        <w:rPr>
          <w:rFonts w:cs="Arial"/>
        </w:rPr>
        <w:lastRenderedPageBreak/>
        <w:t>Paediatric use</w:t>
      </w:r>
    </w:p>
    <w:p w:rsidR="009C7847" w:rsidRPr="005E1202" w:rsidRDefault="009C7847" w:rsidP="007C24AC">
      <w:pPr>
        <w:jc w:val="both"/>
        <w:rPr>
          <w:rFonts w:ascii="Arial" w:hAnsi="Arial" w:cs="Arial"/>
        </w:rPr>
      </w:pPr>
      <w:r w:rsidRPr="005E1202">
        <w:rPr>
          <w:rFonts w:ascii="Arial" w:hAnsi="Arial" w:cs="Arial"/>
        </w:rPr>
        <w:t>The safety and effectiveness of MAVIRET in patients younger than 18 years of age have not been established.</w:t>
      </w:r>
    </w:p>
    <w:p w:rsidR="001A3992" w:rsidRPr="005E1202" w:rsidRDefault="001A3992" w:rsidP="007C24AC">
      <w:pPr>
        <w:pStyle w:val="Heading2"/>
        <w:keepNext/>
        <w:keepLines/>
        <w:spacing w:before="0" w:after="120"/>
        <w:jc w:val="both"/>
        <w:rPr>
          <w:rFonts w:cs="Arial"/>
        </w:rPr>
      </w:pPr>
      <w:r w:rsidRPr="005E1202">
        <w:rPr>
          <w:rFonts w:cs="Arial"/>
        </w:rPr>
        <w:t>Interactions with other medicines and other forms of interactions</w:t>
      </w:r>
    </w:p>
    <w:p w:rsidR="009C7847" w:rsidRPr="005E1202" w:rsidRDefault="009C7847" w:rsidP="007C24AC">
      <w:pPr>
        <w:pStyle w:val="Heading4"/>
        <w:jc w:val="both"/>
        <w:rPr>
          <w:rFonts w:cs="Arial"/>
        </w:rPr>
      </w:pPr>
      <w:r w:rsidRPr="005E1202">
        <w:rPr>
          <w:rFonts w:cs="Arial"/>
        </w:rPr>
        <w:t>Potential for MAVIRET to Affect Other Drugs</w:t>
      </w:r>
    </w:p>
    <w:p w:rsidR="009C7847" w:rsidRPr="005E1202" w:rsidRDefault="009C7847" w:rsidP="007C24AC">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are inhibitors of P-glycoprotein (P-</w:t>
      </w:r>
      <w:proofErr w:type="spellStart"/>
      <w:r w:rsidRPr="005E1202">
        <w:rPr>
          <w:rFonts w:ascii="Arial" w:hAnsi="Arial" w:cs="Arial"/>
        </w:rPr>
        <w:t>gp</w:t>
      </w:r>
      <w:proofErr w:type="spellEnd"/>
      <w:r w:rsidRPr="005E1202">
        <w:rPr>
          <w:rFonts w:ascii="Arial" w:hAnsi="Arial" w:cs="Arial"/>
        </w:rPr>
        <w:t xml:space="preserve">), breast cancer resistance protein (BCRP), organic anion transporting polypeptide (OATP) 1B1/3 and BSEP. </w:t>
      </w:r>
      <w:proofErr w:type="spellStart"/>
      <w:r w:rsidRPr="005E1202">
        <w:rPr>
          <w:rFonts w:ascii="Arial" w:hAnsi="Arial" w:cs="Arial"/>
        </w:rPr>
        <w:t>Coadministration</w:t>
      </w:r>
      <w:proofErr w:type="spellEnd"/>
      <w:r w:rsidRPr="005E1202">
        <w:rPr>
          <w:rFonts w:ascii="Arial" w:hAnsi="Arial" w:cs="Arial"/>
        </w:rPr>
        <w:t xml:space="preserve"> with MAVIRET may increase plasma concentration of drugs that are substrates of P-</w:t>
      </w:r>
      <w:proofErr w:type="spellStart"/>
      <w:r w:rsidRPr="005E1202">
        <w:rPr>
          <w:rFonts w:ascii="Arial" w:hAnsi="Arial" w:cs="Arial"/>
        </w:rPr>
        <w:t>gp</w:t>
      </w:r>
      <w:proofErr w:type="spellEnd"/>
      <w:r w:rsidRPr="005E1202">
        <w:rPr>
          <w:rFonts w:ascii="Arial" w:hAnsi="Arial" w:cs="Arial"/>
        </w:rPr>
        <w:t xml:space="preserve">, BCRP, OATP1B1, OATP1B3 or BSEP.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are weak inhibitors of cytochrome P450 (CYP) 3A, and uridine glucuronosyltransferase (UGT) 1A1. Significant interactions are not expected when MAVIRET is </w:t>
      </w:r>
      <w:proofErr w:type="spellStart"/>
      <w:r w:rsidRPr="005E1202">
        <w:rPr>
          <w:rFonts w:ascii="Arial" w:hAnsi="Arial" w:cs="Arial"/>
        </w:rPr>
        <w:t>coadministered</w:t>
      </w:r>
      <w:proofErr w:type="spellEnd"/>
      <w:r w:rsidRPr="005E1202">
        <w:rPr>
          <w:rFonts w:ascii="Arial" w:hAnsi="Arial" w:cs="Arial"/>
        </w:rPr>
        <w:t xml:space="preserve"> with substrates of CYP3A, CYP1A2, CYP2C9, CYP2C19, CYP2D6, UGT1A1, or UGT1A4.</w:t>
      </w:r>
    </w:p>
    <w:p w:rsidR="009C7847" w:rsidRPr="005E1202" w:rsidRDefault="009C7847" w:rsidP="007C24AC">
      <w:pPr>
        <w:jc w:val="both"/>
        <w:rPr>
          <w:rFonts w:ascii="Arial" w:hAnsi="Arial" w:cs="Arial"/>
        </w:rPr>
      </w:pPr>
      <w:r w:rsidRPr="005E1202">
        <w:rPr>
          <w:rFonts w:ascii="Arial" w:hAnsi="Arial" w:cs="Arial"/>
        </w:rPr>
        <w:t xml:space="preserve">If MAVIRET is </w:t>
      </w:r>
      <w:proofErr w:type="spellStart"/>
      <w:r w:rsidRPr="005E1202">
        <w:rPr>
          <w:rFonts w:ascii="Arial" w:hAnsi="Arial" w:cs="Arial"/>
        </w:rPr>
        <w:t>coadministered</w:t>
      </w:r>
      <w:proofErr w:type="spellEnd"/>
      <w:r w:rsidRPr="005E1202">
        <w:rPr>
          <w:rFonts w:ascii="Arial" w:hAnsi="Arial" w:cs="Arial"/>
        </w:rPr>
        <w:t xml:space="preserve"> with vitamin K antagonist, close monitoring of </w:t>
      </w:r>
      <w:r w:rsidR="009E383F">
        <w:rPr>
          <w:rFonts w:ascii="Arial" w:hAnsi="Arial" w:cs="Arial"/>
        </w:rPr>
        <w:t>international normalised ratio (</w:t>
      </w:r>
      <w:r w:rsidRPr="005E1202">
        <w:rPr>
          <w:rFonts w:ascii="Arial" w:hAnsi="Arial" w:cs="Arial"/>
        </w:rPr>
        <w:t>INR</w:t>
      </w:r>
      <w:r w:rsidR="009E383F">
        <w:rPr>
          <w:rFonts w:ascii="Arial" w:hAnsi="Arial" w:cs="Arial"/>
        </w:rPr>
        <w:t>)</w:t>
      </w:r>
      <w:r w:rsidRPr="005E1202">
        <w:rPr>
          <w:rFonts w:ascii="Arial" w:hAnsi="Arial" w:cs="Arial"/>
        </w:rPr>
        <w:t xml:space="preserve"> is recommended. This is due to liver function changes during treatment with MAVIRET.</w:t>
      </w:r>
    </w:p>
    <w:p w:rsidR="009C7847" w:rsidRPr="005E1202" w:rsidRDefault="009C7847" w:rsidP="007C24AC">
      <w:pPr>
        <w:pStyle w:val="Heading4"/>
        <w:jc w:val="both"/>
        <w:rPr>
          <w:rFonts w:cs="Arial"/>
        </w:rPr>
      </w:pPr>
      <w:r w:rsidRPr="005E1202">
        <w:rPr>
          <w:rFonts w:cs="Arial"/>
        </w:rPr>
        <w:t>Potential for Other Drugs to Affect MAVIRET</w:t>
      </w:r>
    </w:p>
    <w:p w:rsidR="009C7847" w:rsidRPr="005E1202" w:rsidRDefault="009C7847" w:rsidP="007C24AC">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are substrates of P-</w:t>
      </w:r>
      <w:proofErr w:type="spellStart"/>
      <w:r w:rsidRPr="005E1202">
        <w:rPr>
          <w:rFonts w:ascii="Arial" w:hAnsi="Arial" w:cs="Arial"/>
        </w:rPr>
        <w:t>gp</w:t>
      </w:r>
      <w:proofErr w:type="spellEnd"/>
      <w:r w:rsidRPr="005E1202">
        <w:rPr>
          <w:rFonts w:ascii="Arial" w:hAnsi="Arial" w:cs="Arial"/>
        </w:rPr>
        <w:t xml:space="preserve"> and/or BCRP. </w:t>
      </w:r>
      <w:proofErr w:type="spellStart"/>
      <w:r w:rsidRPr="005E1202">
        <w:rPr>
          <w:rFonts w:ascii="Arial" w:hAnsi="Arial" w:cs="Arial"/>
        </w:rPr>
        <w:t>Glecaprevir</w:t>
      </w:r>
      <w:proofErr w:type="spellEnd"/>
      <w:r w:rsidRPr="005E1202">
        <w:rPr>
          <w:rFonts w:ascii="Arial" w:hAnsi="Arial" w:cs="Arial"/>
        </w:rPr>
        <w:t xml:space="preserve"> is a substrate of OATP1B1/3. </w:t>
      </w:r>
      <w:proofErr w:type="spellStart"/>
      <w:r w:rsidRPr="005E1202">
        <w:rPr>
          <w:rFonts w:ascii="Arial" w:hAnsi="Arial" w:cs="Arial"/>
        </w:rPr>
        <w:t>Coadministration</w:t>
      </w:r>
      <w:proofErr w:type="spellEnd"/>
      <w:r w:rsidRPr="005E1202">
        <w:rPr>
          <w:rFonts w:ascii="Arial" w:hAnsi="Arial" w:cs="Arial"/>
        </w:rPr>
        <w:t xml:space="preserve"> of MAVIRET with drugs that inhibit P-</w:t>
      </w:r>
      <w:proofErr w:type="spellStart"/>
      <w:r w:rsidRPr="005E1202">
        <w:rPr>
          <w:rFonts w:ascii="Arial" w:hAnsi="Arial" w:cs="Arial"/>
        </w:rPr>
        <w:t>gp</w:t>
      </w:r>
      <w:proofErr w:type="spellEnd"/>
      <w:r w:rsidRPr="005E1202">
        <w:rPr>
          <w:rFonts w:ascii="Arial" w:hAnsi="Arial" w:cs="Arial"/>
        </w:rPr>
        <w:t xml:space="preserve">, BCRP or OATP1B1/3 may increase the plasma concentrations of </w:t>
      </w:r>
      <w:proofErr w:type="spellStart"/>
      <w:r w:rsidRPr="005E1202">
        <w:rPr>
          <w:rFonts w:ascii="Arial" w:hAnsi="Arial" w:cs="Arial"/>
        </w:rPr>
        <w:t>glecaprevir</w:t>
      </w:r>
      <w:proofErr w:type="spellEnd"/>
      <w:r w:rsidRPr="005E1202">
        <w:rPr>
          <w:rFonts w:ascii="Arial" w:hAnsi="Arial" w:cs="Arial"/>
        </w:rPr>
        <w:t xml:space="preserve"> and/or </w:t>
      </w:r>
      <w:proofErr w:type="spellStart"/>
      <w:r w:rsidRPr="005E1202">
        <w:rPr>
          <w:rFonts w:ascii="Arial" w:hAnsi="Arial" w:cs="Arial"/>
        </w:rPr>
        <w:t>pibrentasvir</w:t>
      </w:r>
      <w:proofErr w:type="spellEnd"/>
      <w:r w:rsidRPr="005E1202">
        <w:rPr>
          <w:rFonts w:ascii="Arial" w:hAnsi="Arial" w:cs="Arial"/>
        </w:rPr>
        <w:t>.</w:t>
      </w:r>
    </w:p>
    <w:p w:rsidR="009C7847" w:rsidRPr="005E1202" w:rsidRDefault="009C7847" w:rsidP="007C24AC">
      <w:pPr>
        <w:jc w:val="both"/>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of MAVIRET with drugs that induce P-</w:t>
      </w:r>
      <w:proofErr w:type="spellStart"/>
      <w:r w:rsidRPr="005E1202">
        <w:rPr>
          <w:rFonts w:ascii="Arial" w:hAnsi="Arial" w:cs="Arial"/>
        </w:rPr>
        <w:t>gp</w:t>
      </w:r>
      <w:proofErr w:type="spellEnd"/>
      <w:r w:rsidRPr="005E1202">
        <w:rPr>
          <w:rFonts w:ascii="Arial" w:hAnsi="Arial" w:cs="Arial"/>
        </w:rPr>
        <w:t xml:space="preserve"> may decrease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plasma concentrations.</w:t>
      </w:r>
    </w:p>
    <w:p w:rsidR="009C7847" w:rsidRPr="005E1202" w:rsidRDefault="009C7847" w:rsidP="007C24AC">
      <w:pPr>
        <w:pStyle w:val="Heading4"/>
        <w:jc w:val="both"/>
        <w:rPr>
          <w:rFonts w:cs="Arial"/>
        </w:rPr>
      </w:pPr>
      <w:r w:rsidRPr="005E1202">
        <w:rPr>
          <w:rFonts w:cs="Arial"/>
        </w:rPr>
        <w:t xml:space="preserve">Established and Other Potential Drug Interactions </w:t>
      </w:r>
    </w:p>
    <w:p w:rsidR="009C7847" w:rsidRDefault="009C7847" w:rsidP="007C24AC">
      <w:pPr>
        <w:jc w:val="both"/>
        <w:rPr>
          <w:rFonts w:ascii="Arial" w:hAnsi="Arial" w:cs="Arial"/>
        </w:rPr>
      </w:pPr>
      <w:r w:rsidRPr="005E1202">
        <w:rPr>
          <w:rFonts w:ascii="Arial" w:hAnsi="Arial" w:cs="Arial"/>
        </w:rPr>
        <w:t xml:space="preserve">Table </w:t>
      </w:r>
      <w:r w:rsidR="005E1202">
        <w:rPr>
          <w:rFonts w:ascii="Arial" w:hAnsi="Arial" w:cs="Arial"/>
        </w:rPr>
        <w:t>3</w:t>
      </w:r>
      <w:r w:rsidRPr="005E1202">
        <w:rPr>
          <w:rFonts w:ascii="Arial" w:hAnsi="Arial" w:cs="Arial"/>
        </w:rPr>
        <w:t xml:space="preserve"> provides the effect of </w:t>
      </w:r>
      <w:proofErr w:type="spellStart"/>
      <w:r w:rsidRPr="005E1202">
        <w:rPr>
          <w:rFonts w:ascii="Arial" w:hAnsi="Arial" w:cs="Arial"/>
        </w:rPr>
        <w:t>coadministration</w:t>
      </w:r>
      <w:proofErr w:type="spellEnd"/>
      <w:r w:rsidRPr="005E1202">
        <w:rPr>
          <w:rFonts w:ascii="Arial" w:hAnsi="Arial" w:cs="Arial"/>
        </w:rPr>
        <w:t xml:space="preserve"> of MAVIRET on concentrations of concomitant drugs and the effect of concomitant drugs on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(see </w:t>
      </w:r>
      <w:r w:rsidR="008D55BB">
        <w:rPr>
          <w:rFonts w:ascii="Arial" w:hAnsi="Arial" w:cs="Arial"/>
        </w:rPr>
        <w:t xml:space="preserve">4.3 </w:t>
      </w:r>
      <w:hyperlink r:id="rId10" w:anchor="contraindications" w:tooltip="gtc:Link" w:history="1">
        <w:r w:rsidRPr="005E1202">
          <w:rPr>
            <w:rStyle w:val="gtclinktext7"/>
            <w:rFonts w:ascii="Arial" w:hAnsi="Arial" w:cs="Arial"/>
          </w:rPr>
          <w:t>CONTRAINDICATIONS</w:t>
        </w:r>
        <w:r w:rsidRPr="005E1202">
          <w:rPr>
            <w:rStyle w:val="gtclinktext7"/>
            <w:rFonts w:ascii="Arial" w:hAnsi="Arial" w:cs="Arial"/>
            <w:b/>
          </w:rPr>
          <w:t xml:space="preserve"> </w:t>
        </w:r>
      </w:hyperlink>
      <w:r w:rsidRPr="005E1202">
        <w:rPr>
          <w:rFonts w:ascii="Arial" w:hAnsi="Arial" w:cs="Arial"/>
        </w:rPr>
        <w:t>for drugs that are contraindicated with MAVIRET).</w:t>
      </w:r>
    </w:p>
    <w:p w:rsidR="009206A1" w:rsidRPr="005E1202" w:rsidRDefault="009206A1" w:rsidP="007C24AC">
      <w:pPr>
        <w:jc w:val="both"/>
        <w:rPr>
          <w:rFonts w:ascii="Arial" w:hAnsi="Arial" w:cs="Arial"/>
        </w:rPr>
      </w:pPr>
    </w:p>
    <w:p w:rsidR="00E362E7" w:rsidRPr="005E1202" w:rsidRDefault="009C7847" w:rsidP="009C7847">
      <w:pPr>
        <w:rPr>
          <w:rFonts w:ascii="Arial" w:hAnsi="Arial" w:cs="Arial"/>
          <w:b/>
        </w:rPr>
      </w:pPr>
      <w:proofErr w:type="gramStart"/>
      <w:r w:rsidRPr="005E1202">
        <w:rPr>
          <w:rFonts w:ascii="Arial" w:hAnsi="Arial" w:cs="Arial"/>
          <w:b/>
        </w:rPr>
        <w:t xml:space="preserve">Table </w:t>
      </w:r>
      <w:r w:rsidR="005E1202">
        <w:rPr>
          <w:rFonts w:ascii="Arial" w:hAnsi="Arial" w:cs="Arial"/>
          <w:b/>
        </w:rPr>
        <w:t>3</w:t>
      </w:r>
      <w:r w:rsidRPr="005E1202">
        <w:rPr>
          <w:rFonts w:ascii="Arial" w:hAnsi="Arial" w:cs="Arial"/>
          <w:b/>
        </w:rPr>
        <w:t>.</w:t>
      </w:r>
      <w:proofErr w:type="gramEnd"/>
      <w:r w:rsidRPr="005E1202">
        <w:rPr>
          <w:rFonts w:ascii="Arial" w:hAnsi="Arial" w:cs="Arial"/>
          <w:b/>
        </w:rPr>
        <w:t xml:space="preserve"> Potentially Significant Drug Interactions Identified in Drug Interaction Studies that May Require Dose Alteration</w:t>
      </w:r>
    </w:p>
    <w:tbl>
      <w:tblPr>
        <w:tblStyle w:val="TableGrid"/>
        <w:tblW w:w="0" w:type="auto"/>
        <w:tblLook w:val="04A0" w:firstRow="1" w:lastRow="0" w:firstColumn="1" w:lastColumn="0" w:noHBand="0" w:noVBand="1"/>
      </w:tblPr>
      <w:tblGrid>
        <w:gridCol w:w="2764"/>
        <w:gridCol w:w="2415"/>
        <w:gridCol w:w="4063"/>
      </w:tblGrid>
      <w:tr w:rsidR="008D55BB" w:rsidRPr="005E1202" w:rsidTr="00EC496D">
        <w:trPr>
          <w:tblHeader/>
        </w:trPr>
        <w:tc>
          <w:tcPr>
            <w:tcW w:w="2943"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Concomitant Drug Class: Drug Name</w:t>
            </w:r>
          </w:p>
        </w:tc>
        <w:tc>
          <w:tcPr>
            <w:tcW w:w="2565"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Effect on Concentration</w:t>
            </w:r>
          </w:p>
        </w:tc>
        <w:tc>
          <w:tcPr>
            <w:tcW w:w="4346"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Clinical Comments</w:t>
            </w: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proofErr w:type="spellStart"/>
            <w:r w:rsidRPr="005E1202">
              <w:rPr>
                <w:rFonts w:ascii="Arial" w:hAnsi="Arial" w:cs="Arial"/>
                <w:b/>
              </w:rPr>
              <w:t>Antiarrhythmics</w:t>
            </w:r>
            <w:proofErr w:type="spellEnd"/>
          </w:p>
        </w:tc>
      </w:tr>
      <w:tr w:rsidR="008D55BB" w:rsidRPr="005E1202" w:rsidTr="00EC496D">
        <w:tc>
          <w:tcPr>
            <w:tcW w:w="294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Digoxin</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digoxin</w:t>
            </w:r>
          </w:p>
        </w:tc>
        <w:tc>
          <w:tcPr>
            <w:tcW w:w="4346"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Digoxin dose should be reduced by 50% when </w:t>
            </w:r>
            <w:proofErr w:type="spellStart"/>
            <w:r w:rsidRPr="005E1202">
              <w:rPr>
                <w:rFonts w:ascii="Arial" w:hAnsi="Arial" w:cs="Arial"/>
              </w:rPr>
              <w:t>coadministered</w:t>
            </w:r>
            <w:proofErr w:type="spellEnd"/>
            <w:r w:rsidRPr="005E1202">
              <w:rPr>
                <w:rFonts w:ascii="Arial" w:hAnsi="Arial" w:cs="Arial"/>
              </w:rPr>
              <w:t xml:space="preserve"> with MAVIRET.</w:t>
            </w:r>
          </w:p>
        </w:tc>
      </w:tr>
      <w:tr w:rsidR="009C7847" w:rsidRPr="005E1202" w:rsidTr="00EC496D">
        <w:trPr>
          <w:cantSplit/>
        </w:trPr>
        <w:tc>
          <w:tcPr>
            <w:tcW w:w="9854" w:type="dxa"/>
            <w:gridSpan w:val="3"/>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Anticoagulants</w:t>
            </w:r>
          </w:p>
        </w:tc>
      </w:tr>
      <w:tr w:rsidR="008D55BB" w:rsidRPr="005E1202" w:rsidTr="00EC496D">
        <w:trPr>
          <w:cantSplit/>
        </w:trPr>
        <w:tc>
          <w:tcPr>
            <w:tcW w:w="294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lastRenderedPageBreak/>
              <w:t xml:space="preserve">Dabigatran </w:t>
            </w:r>
            <w:proofErr w:type="spellStart"/>
            <w:r w:rsidRPr="005E1202">
              <w:rPr>
                <w:rFonts w:ascii="Arial" w:hAnsi="Arial" w:cs="Arial"/>
              </w:rPr>
              <w:t>etexilate</w:t>
            </w:r>
            <w:proofErr w:type="spellEnd"/>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dabigatran</w:t>
            </w:r>
          </w:p>
        </w:tc>
        <w:tc>
          <w:tcPr>
            <w:tcW w:w="4346" w:type="dxa"/>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is contraindicated (see </w:t>
            </w:r>
            <w:r w:rsidR="008D55BB">
              <w:rPr>
                <w:rFonts w:ascii="Arial" w:hAnsi="Arial" w:cs="Arial"/>
              </w:rPr>
              <w:t xml:space="preserve">4.3 </w:t>
            </w:r>
            <w:r w:rsidRPr="005E1202">
              <w:rPr>
                <w:rFonts w:ascii="Arial" w:hAnsi="Arial" w:cs="Arial"/>
              </w:rPr>
              <w:t>CONTRAINDICATIONS).</w:t>
            </w:r>
          </w:p>
        </w:tc>
      </w:tr>
      <w:tr w:rsidR="009C7847" w:rsidRPr="005E1202" w:rsidTr="00EC496D">
        <w:trPr>
          <w:cantSplit/>
        </w:trPr>
        <w:tc>
          <w:tcPr>
            <w:tcW w:w="9854" w:type="dxa"/>
            <w:gridSpan w:val="3"/>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Anticonvulsant</w:t>
            </w:r>
          </w:p>
        </w:tc>
      </w:tr>
      <w:tr w:rsidR="008D55BB" w:rsidRPr="005E1202" w:rsidTr="00EC496D">
        <w:tc>
          <w:tcPr>
            <w:tcW w:w="2943" w:type="dxa"/>
            <w:vMerge w:val="restart"/>
            <w:vAlign w:val="center"/>
          </w:tcPr>
          <w:p w:rsidR="009C7847" w:rsidRPr="005E1202" w:rsidRDefault="009C7847" w:rsidP="00EC496D">
            <w:pPr>
              <w:spacing w:before="60" w:after="60"/>
              <w:jc w:val="center"/>
              <w:rPr>
                <w:rFonts w:ascii="Arial" w:hAnsi="Arial" w:cs="Arial"/>
              </w:rPr>
            </w:pPr>
            <w:r w:rsidRPr="005E1202">
              <w:rPr>
                <w:rFonts w:ascii="Arial" w:hAnsi="Arial" w:cs="Arial"/>
              </w:rPr>
              <w:t>Carbamazepine</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may lead to reduced therapeutic effect of MAVIRET and is not recommended.</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proofErr w:type="spellStart"/>
            <w:r w:rsidRPr="005E1202">
              <w:rPr>
                <w:rFonts w:ascii="Arial" w:hAnsi="Arial" w:cs="Arial"/>
                <w:b/>
              </w:rPr>
              <w:t>Antimycobacterials</w:t>
            </w:r>
            <w:proofErr w:type="spellEnd"/>
          </w:p>
        </w:tc>
      </w:tr>
      <w:tr w:rsidR="008D55BB" w:rsidRPr="005E1202" w:rsidTr="00EC496D">
        <w:tc>
          <w:tcPr>
            <w:tcW w:w="2943" w:type="dxa"/>
            <w:vMerge w:val="restart"/>
            <w:vAlign w:val="center"/>
          </w:tcPr>
          <w:p w:rsidR="009C7847" w:rsidRPr="005E1202" w:rsidRDefault="009C7847" w:rsidP="00EC496D">
            <w:pPr>
              <w:spacing w:before="60" w:after="60"/>
              <w:jc w:val="center"/>
              <w:rPr>
                <w:rFonts w:ascii="Arial" w:hAnsi="Arial" w:cs="Arial"/>
              </w:rPr>
            </w:pPr>
            <w:r w:rsidRPr="005E1202">
              <w:rPr>
                <w:rFonts w:ascii="Arial" w:hAnsi="Arial" w:cs="Arial"/>
              </w:rPr>
              <w:t>Rifampicin</w:t>
            </w:r>
          </w:p>
        </w:tc>
        <w:tc>
          <w:tcPr>
            <w:tcW w:w="2565"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b/>
              </w:rPr>
            </w:pPr>
            <w:proofErr w:type="spellStart"/>
            <w:r w:rsidRPr="005E1202">
              <w:rPr>
                <w:rFonts w:ascii="Arial" w:hAnsi="Arial" w:cs="Arial"/>
              </w:rPr>
              <w:t>Coadministration</w:t>
            </w:r>
            <w:proofErr w:type="spellEnd"/>
            <w:r w:rsidRPr="005E1202">
              <w:rPr>
                <w:rFonts w:ascii="Arial" w:hAnsi="Arial" w:cs="Arial"/>
              </w:rPr>
              <w:t xml:space="preserve"> is contraindicated because of potential loss of therapeutic effect (see </w:t>
            </w:r>
            <w:r w:rsidR="008D55BB">
              <w:rPr>
                <w:rFonts w:ascii="Arial" w:hAnsi="Arial" w:cs="Arial"/>
              </w:rPr>
              <w:t xml:space="preserve">4.3 </w:t>
            </w:r>
            <w:r w:rsidRPr="005E1202">
              <w:rPr>
                <w:rFonts w:ascii="Arial" w:hAnsi="Arial" w:cs="Arial"/>
              </w:rPr>
              <w:t>CONTRAINDICATIONS).</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b/>
              </w:rPr>
            </w:pPr>
          </w:p>
        </w:tc>
        <w:tc>
          <w:tcPr>
            <w:tcW w:w="2565"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b/>
              </w:rPr>
            </w:pP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proofErr w:type="spellStart"/>
            <w:r w:rsidRPr="005E1202">
              <w:rPr>
                <w:rFonts w:ascii="Arial" w:hAnsi="Arial" w:cs="Arial"/>
                <w:b/>
              </w:rPr>
              <w:t>Ethinyloestradiol</w:t>
            </w:r>
            <w:proofErr w:type="spellEnd"/>
            <w:r w:rsidRPr="005E1202">
              <w:rPr>
                <w:rFonts w:ascii="Arial" w:hAnsi="Arial" w:cs="Arial"/>
                <w:b/>
              </w:rPr>
              <w:t>-Containing Products</w:t>
            </w:r>
          </w:p>
        </w:tc>
      </w:tr>
      <w:tr w:rsidR="008D55BB" w:rsidRPr="005E1202" w:rsidTr="00EC496D">
        <w:trPr>
          <w:trHeight w:val="511"/>
        </w:trPr>
        <w:tc>
          <w:tcPr>
            <w:tcW w:w="2943"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Ethinyloestradiol</w:t>
            </w:r>
            <w:proofErr w:type="spellEnd"/>
            <w:r w:rsidRPr="005E1202">
              <w:rPr>
                <w:rFonts w:ascii="Arial" w:hAnsi="Arial" w:cs="Arial"/>
              </w:rPr>
              <w:t>-containing medications such as combined oral contraceptives</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of MAVIRET with </w:t>
            </w:r>
            <w:proofErr w:type="spellStart"/>
            <w:r w:rsidRPr="005E1202">
              <w:rPr>
                <w:rFonts w:ascii="Arial" w:hAnsi="Arial" w:cs="Arial"/>
              </w:rPr>
              <w:t>ethinyloestradiol</w:t>
            </w:r>
            <w:proofErr w:type="spellEnd"/>
            <w:r w:rsidRPr="005E1202">
              <w:rPr>
                <w:rFonts w:ascii="Arial" w:hAnsi="Arial" w:cs="Arial"/>
              </w:rPr>
              <w:t xml:space="preserve">-containing products may increase the risk of ALT elevations and is contraindicated (see </w:t>
            </w:r>
            <w:r w:rsidR="008D55BB">
              <w:rPr>
                <w:rFonts w:ascii="Arial" w:hAnsi="Arial" w:cs="Arial"/>
              </w:rPr>
              <w:t xml:space="preserve">4.3 </w:t>
            </w:r>
            <w:r w:rsidRPr="005E1202">
              <w:rPr>
                <w:rFonts w:ascii="Arial" w:hAnsi="Arial" w:cs="Arial"/>
              </w:rPr>
              <w:t>CONTRAINDICATIONS).</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Herbal Products</w:t>
            </w:r>
          </w:p>
        </w:tc>
      </w:tr>
      <w:tr w:rsidR="008D55BB" w:rsidRPr="005E1202" w:rsidTr="00EC496D">
        <w:tc>
          <w:tcPr>
            <w:tcW w:w="2943" w:type="dxa"/>
            <w:vMerge w:val="restart"/>
            <w:vAlign w:val="center"/>
          </w:tcPr>
          <w:p w:rsidR="009C7847" w:rsidRPr="005E1202" w:rsidRDefault="009C7847" w:rsidP="00EC496D">
            <w:pPr>
              <w:spacing w:before="60" w:after="60"/>
              <w:jc w:val="center"/>
              <w:rPr>
                <w:rFonts w:ascii="Arial" w:hAnsi="Arial" w:cs="Arial"/>
              </w:rPr>
            </w:pPr>
            <w:r w:rsidRPr="005E1202">
              <w:rPr>
                <w:rFonts w:ascii="Arial" w:hAnsi="Arial" w:cs="Arial"/>
              </w:rPr>
              <w:t>St. John’s Wort</w:t>
            </w:r>
            <w:r w:rsidRPr="005E1202">
              <w:rPr>
                <w:rFonts w:ascii="Arial" w:hAnsi="Arial" w:cs="Arial"/>
              </w:rPr>
              <w:br/>
              <w:t>(</w:t>
            </w:r>
            <w:proofErr w:type="spellStart"/>
            <w:r w:rsidRPr="005E1202">
              <w:rPr>
                <w:rFonts w:ascii="Arial" w:hAnsi="Arial" w:cs="Arial"/>
                <w:i/>
              </w:rPr>
              <w:t>hypericum</w:t>
            </w:r>
            <w:proofErr w:type="spellEnd"/>
            <w:r w:rsidRPr="005E1202">
              <w:rPr>
                <w:rFonts w:ascii="Arial" w:hAnsi="Arial" w:cs="Arial"/>
                <w:i/>
              </w:rPr>
              <w:t xml:space="preserve"> </w:t>
            </w:r>
            <w:proofErr w:type="spellStart"/>
            <w:r w:rsidRPr="005E1202">
              <w:rPr>
                <w:rFonts w:ascii="Arial" w:hAnsi="Arial" w:cs="Arial"/>
                <w:i/>
              </w:rPr>
              <w:t>perforatum</w:t>
            </w:r>
            <w:proofErr w:type="spellEnd"/>
            <w:r w:rsidRPr="005E1202">
              <w:rPr>
                <w:rFonts w:ascii="Arial" w:hAnsi="Arial" w:cs="Arial"/>
              </w:rPr>
              <w:t>)</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may lead to reduced therapeutic effect of MAVIRET and is not recommended.</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HIV-Antiviral Agents</w:t>
            </w:r>
          </w:p>
        </w:tc>
      </w:tr>
      <w:tr w:rsidR="008D55BB" w:rsidRPr="005E1202" w:rsidTr="00EC496D">
        <w:trPr>
          <w:trHeight w:val="540"/>
        </w:trPr>
        <w:tc>
          <w:tcPr>
            <w:tcW w:w="2943"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Atazanavir</w:t>
            </w:r>
            <w:proofErr w:type="spellEnd"/>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is contraindicated due to increased risk of ALT elevations (see </w:t>
            </w:r>
            <w:r w:rsidR="008D55BB">
              <w:rPr>
                <w:rFonts w:ascii="Arial" w:hAnsi="Arial" w:cs="Arial"/>
              </w:rPr>
              <w:t xml:space="preserve">4.3 </w:t>
            </w:r>
            <w:r w:rsidRPr="005E1202">
              <w:rPr>
                <w:rFonts w:ascii="Arial" w:hAnsi="Arial" w:cs="Arial"/>
              </w:rPr>
              <w:t>CONTRAINDICATIONS).</w:t>
            </w:r>
          </w:p>
        </w:tc>
      </w:tr>
      <w:tr w:rsidR="008D55BB" w:rsidRPr="005E1202" w:rsidTr="00EC496D">
        <w:trPr>
          <w:trHeight w:val="540"/>
        </w:trPr>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8D55BB" w:rsidRPr="005E1202" w:rsidTr="00EC496D">
        <w:trPr>
          <w:trHeight w:val="431"/>
        </w:trPr>
        <w:tc>
          <w:tcPr>
            <w:tcW w:w="2943"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Darunavir</w:t>
            </w:r>
            <w:proofErr w:type="spellEnd"/>
          </w:p>
          <w:p w:rsidR="009C7847" w:rsidRPr="005E1202" w:rsidRDefault="009C7847" w:rsidP="00EC496D">
            <w:pPr>
              <w:spacing w:before="60" w:after="60"/>
              <w:jc w:val="center"/>
              <w:rPr>
                <w:rFonts w:ascii="Arial" w:hAnsi="Arial" w:cs="Arial"/>
              </w:rPr>
            </w:pPr>
            <w:proofErr w:type="spellStart"/>
            <w:r w:rsidRPr="005E1202">
              <w:rPr>
                <w:rFonts w:ascii="Arial" w:hAnsi="Arial" w:cs="Arial"/>
              </w:rPr>
              <w:t>Lopinavir</w:t>
            </w:r>
            <w:proofErr w:type="spellEnd"/>
          </w:p>
          <w:p w:rsidR="009C7847" w:rsidRPr="005E1202" w:rsidRDefault="009C7847" w:rsidP="00EC496D">
            <w:pPr>
              <w:spacing w:before="60" w:after="60"/>
              <w:jc w:val="center"/>
              <w:rPr>
                <w:rFonts w:ascii="Arial" w:hAnsi="Arial" w:cs="Arial"/>
              </w:rPr>
            </w:pPr>
            <w:r w:rsidRPr="005E1202">
              <w:rPr>
                <w:rFonts w:ascii="Arial" w:hAnsi="Arial" w:cs="Arial"/>
              </w:rPr>
              <w:t>Ritonavir</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is not recommended.</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8D55BB" w:rsidRPr="005E1202" w:rsidTr="00EC496D">
        <w:tc>
          <w:tcPr>
            <w:tcW w:w="2943"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Efavirenz</w:t>
            </w:r>
            <w:proofErr w:type="spellEnd"/>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may lead to reduced therapeutic effect of MAVIRET and is not recommended.</w:t>
            </w:r>
          </w:p>
        </w:tc>
      </w:tr>
      <w:tr w:rsidR="008D55BB" w:rsidRPr="005E1202" w:rsidTr="00EC496D">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HMG-CoA Reductase Inhibitors</w:t>
            </w:r>
          </w:p>
        </w:tc>
      </w:tr>
      <w:tr w:rsidR="008D55BB" w:rsidRPr="005E1202" w:rsidTr="00EC496D">
        <w:tc>
          <w:tcPr>
            <w:tcW w:w="294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Atorvastatin</w:t>
            </w:r>
          </w:p>
          <w:p w:rsidR="009C7847" w:rsidRPr="005E1202" w:rsidRDefault="009C7847" w:rsidP="00EC496D">
            <w:pPr>
              <w:spacing w:before="60" w:after="60"/>
              <w:jc w:val="center"/>
              <w:rPr>
                <w:rFonts w:ascii="Arial" w:hAnsi="Arial" w:cs="Arial"/>
              </w:rPr>
            </w:pPr>
            <w:r w:rsidRPr="005E1202">
              <w:rPr>
                <w:rFonts w:ascii="Arial" w:hAnsi="Arial" w:cs="Arial"/>
              </w:rPr>
              <w:t>Simvastatin</w:t>
            </w: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atorvastatin</w:t>
            </w:r>
          </w:p>
          <w:p w:rsidR="009C7847" w:rsidRPr="005E1202" w:rsidRDefault="009C7847" w:rsidP="00EC496D">
            <w:pPr>
              <w:spacing w:before="60" w:after="60"/>
              <w:jc w:val="center"/>
              <w:rPr>
                <w:rFonts w:ascii="Arial" w:hAnsi="Arial" w:cs="Arial"/>
              </w:rPr>
            </w:pPr>
            <w:r w:rsidRPr="005E1202">
              <w:rPr>
                <w:rFonts w:ascii="Arial" w:hAnsi="Arial" w:cs="Arial"/>
              </w:rPr>
              <w:t>↑ simvastatin</w:t>
            </w:r>
          </w:p>
        </w:tc>
        <w:tc>
          <w:tcPr>
            <w:tcW w:w="4346" w:type="dxa"/>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Coadministration</w:t>
            </w:r>
            <w:proofErr w:type="spellEnd"/>
            <w:r w:rsidRPr="005E1202">
              <w:rPr>
                <w:rFonts w:ascii="Arial" w:hAnsi="Arial" w:cs="Arial"/>
              </w:rPr>
              <w:t xml:space="preserve"> with atorvastatin and simvastatin is contraindicated (see </w:t>
            </w:r>
            <w:r w:rsidR="008D55BB">
              <w:rPr>
                <w:rFonts w:ascii="Arial" w:hAnsi="Arial" w:cs="Arial"/>
              </w:rPr>
              <w:t xml:space="preserve">4.3 </w:t>
            </w:r>
            <w:r w:rsidRPr="005E1202">
              <w:rPr>
                <w:rFonts w:ascii="Arial" w:hAnsi="Arial" w:cs="Arial"/>
              </w:rPr>
              <w:t>CONTRAINDICATIONS).</w:t>
            </w:r>
          </w:p>
        </w:tc>
      </w:tr>
      <w:tr w:rsidR="008D55BB" w:rsidRPr="005E1202" w:rsidTr="00EC496D">
        <w:tc>
          <w:tcPr>
            <w:tcW w:w="294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Pravastatin</w:t>
            </w:r>
          </w:p>
          <w:p w:rsidR="009C7847" w:rsidRPr="005E1202" w:rsidRDefault="009C7847" w:rsidP="00EC496D">
            <w:pPr>
              <w:spacing w:before="60" w:after="60"/>
              <w:jc w:val="center"/>
              <w:rPr>
                <w:rFonts w:ascii="Arial" w:hAnsi="Arial" w:cs="Arial"/>
              </w:rPr>
            </w:pPr>
            <w:proofErr w:type="spellStart"/>
            <w:r w:rsidRPr="005E1202">
              <w:rPr>
                <w:rFonts w:ascii="Arial" w:hAnsi="Arial" w:cs="Arial"/>
              </w:rPr>
              <w:t>Rosuvastatin</w:t>
            </w:r>
            <w:proofErr w:type="spellEnd"/>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i/>
              </w:rPr>
              <w:t xml:space="preserve">↑ </w:t>
            </w:r>
            <w:r w:rsidRPr="005E1202">
              <w:rPr>
                <w:rFonts w:ascii="Arial" w:hAnsi="Arial" w:cs="Arial"/>
              </w:rPr>
              <w:t>pravastatin</w:t>
            </w:r>
          </w:p>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rosuvastatin</w:t>
            </w:r>
            <w:proofErr w:type="spellEnd"/>
          </w:p>
        </w:tc>
        <w:tc>
          <w:tcPr>
            <w:tcW w:w="4346"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Pravastatin dose should be reduced by 50% and </w:t>
            </w:r>
            <w:proofErr w:type="spellStart"/>
            <w:r w:rsidRPr="005E1202">
              <w:rPr>
                <w:rFonts w:ascii="Arial" w:hAnsi="Arial" w:cs="Arial"/>
              </w:rPr>
              <w:t>rosuvastatin</w:t>
            </w:r>
            <w:proofErr w:type="spellEnd"/>
            <w:r w:rsidRPr="005E1202">
              <w:rPr>
                <w:rFonts w:ascii="Arial" w:hAnsi="Arial" w:cs="Arial"/>
              </w:rPr>
              <w:t xml:space="preserve"> dose should not exceed 10 mg per day when </w:t>
            </w:r>
            <w:proofErr w:type="spellStart"/>
            <w:r w:rsidRPr="005E1202">
              <w:rPr>
                <w:rFonts w:ascii="Arial" w:hAnsi="Arial" w:cs="Arial"/>
              </w:rPr>
              <w:t>coadministered</w:t>
            </w:r>
            <w:proofErr w:type="spellEnd"/>
            <w:r w:rsidRPr="005E1202">
              <w:rPr>
                <w:rFonts w:ascii="Arial" w:hAnsi="Arial" w:cs="Arial"/>
              </w:rPr>
              <w:t xml:space="preserve"> with MAVIRET.</w:t>
            </w:r>
          </w:p>
        </w:tc>
      </w:tr>
      <w:tr w:rsidR="008D55BB" w:rsidRPr="005E1202" w:rsidTr="00EC496D">
        <w:tc>
          <w:tcPr>
            <w:tcW w:w="294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Lovastatin</w:t>
            </w:r>
          </w:p>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lovastatin</w:t>
            </w:r>
          </w:p>
          <w:p w:rsidR="009C7847" w:rsidRPr="005E1202" w:rsidRDefault="009C7847" w:rsidP="00EC496D">
            <w:pPr>
              <w:spacing w:before="60" w:after="60"/>
              <w:jc w:val="center"/>
              <w:rPr>
                <w:rFonts w:ascii="Arial" w:hAnsi="Arial" w:cs="Arial"/>
              </w:rPr>
            </w:pPr>
          </w:p>
        </w:tc>
        <w:tc>
          <w:tcPr>
            <w:tcW w:w="4346"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Concomitant use is not recommended. Consider alternative therapies, such as pravastatin or </w:t>
            </w:r>
            <w:proofErr w:type="spellStart"/>
            <w:r w:rsidRPr="005E1202">
              <w:rPr>
                <w:rFonts w:ascii="Arial" w:hAnsi="Arial" w:cs="Arial"/>
              </w:rPr>
              <w:t>rosuvastatin</w:t>
            </w:r>
            <w:proofErr w:type="spellEnd"/>
            <w:r w:rsidRPr="005E1202">
              <w:rPr>
                <w:rFonts w:ascii="Arial" w:hAnsi="Arial" w:cs="Arial"/>
              </w:rPr>
              <w:t>.</w:t>
            </w:r>
          </w:p>
        </w:tc>
      </w:tr>
      <w:tr w:rsidR="009C7847" w:rsidRPr="005E1202" w:rsidTr="00EC496D">
        <w:tc>
          <w:tcPr>
            <w:tcW w:w="9854" w:type="dxa"/>
            <w:gridSpan w:val="3"/>
            <w:vAlign w:val="center"/>
          </w:tcPr>
          <w:p w:rsidR="009C7847" w:rsidRPr="005E1202" w:rsidRDefault="009C7847" w:rsidP="00EC496D">
            <w:pPr>
              <w:spacing w:before="60" w:after="60"/>
              <w:jc w:val="center"/>
              <w:rPr>
                <w:rFonts w:ascii="Arial" w:hAnsi="Arial" w:cs="Arial"/>
                <w:b/>
              </w:rPr>
            </w:pPr>
            <w:proofErr w:type="spellStart"/>
            <w:r w:rsidRPr="005E1202">
              <w:rPr>
                <w:rFonts w:ascii="Arial" w:hAnsi="Arial" w:cs="Arial"/>
                <w:b/>
              </w:rPr>
              <w:lastRenderedPageBreak/>
              <w:t>Immunosuppressants</w:t>
            </w:r>
            <w:proofErr w:type="spellEnd"/>
          </w:p>
        </w:tc>
      </w:tr>
      <w:tr w:rsidR="008D55BB" w:rsidRPr="005E1202" w:rsidTr="00EC496D">
        <w:trPr>
          <w:cantSplit/>
          <w:trHeight w:val="899"/>
        </w:trPr>
        <w:tc>
          <w:tcPr>
            <w:tcW w:w="2943" w:type="dxa"/>
            <w:vMerge w:val="restart"/>
            <w:vAlign w:val="center"/>
          </w:tcPr>
          <w:p w:rsidR="009C7847" w:rsidRPr="005E1202" w:rsidRDefault="009C7847" w:rsidP="00EC496D">
            <w:pPr>
              <w:spacing w:before="60" w:after="60"/>
              <w:jc w:val="center"/>
              <w:rPr>
                <w:rFonts w:ascii="Arial" w:hAnsi="Arial" w:cs="Arial"/>
              </w:rPr>
            </w:pPr>
            <w:proofErr w:type="spellStart"/>
            <w:r w:rsidRPr="005E1202">
              <w:rPr>
                <w:rFonts w:ascii="Arial" w:hAnsi="Arial" w:cs="Arial"/>
              </w:rPr>
              <w:t>Ciclosporin</w:t>
            </w:r>
            <w:proofErr w:type="spellEnd"/>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glecaprevir</w:t>
            </w:r>
            <w:proofErr w:type="spellEnd"/>
          </w:p>
        </w:tc>
        <w:tc>
          <w:tcPr>
            <w:tcW w:w="4346" w:type="dxa"/>
            <w:vMerge w:val="restart"/>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MAVIRET is not recommended for use in patients requiring stable </w:t>
            </w:r>
            <w:proofErr w:type="spellStart"/>
            <w:r w:rsidRPr="005E1202">
              <w:rPr>
                <w:rFonts w:ascii="Arial" w:hAnsi="Arial" w:cs="Arial"/>
              </w:rPr>
              <w:t>ciclosporin</w:t>
            </w:r>
            <w:proofErr w:type="spellEnd"/>
            <w:r w:rsidRPr="005E1202">
              <w:rPr>
                <w:rFonts w:ascii="Arial" w:hAnsi="Arial" w:cs="Arial"/>
              </w:rPr>
              <w:t xml:space="preserve"> doses      &gt; 100 mg per day. MAVIRET may be initiated in subjects receiving </w:t>
            </w:r>
            <w:proofErr w:type="spellStart"/>
            <w:r w:rsidRPr="005E1202">
              <w:rPr>
                <w:rFonts w:ascii="Arial" w:hAnsi="Arial" w:cs="Arial"/>
              </w:rPr>
              <w:t>ciclosporin</w:t>
            </w:r>
            <w:proofErr w:type="spellEnd"/>
            <w:r w:rsidRPr="005E1202">
              <w:rPr>
                <w:rFonts w:ascii="Arial" w:hAnsi="Arial" w:cs="Arial"/>
              </w:rPr>
              <w:t xml:space="preserve"> </w:t>
            </w:r>
            <w:r w:rsidR="00EC496D">
              <w:rPr>
                <w:rFonts w:ascii="Arial" w:hAnsi="Arial" w:cs="Arial"/>
              </w:rPr>
              <w:t xml:space="preserve">   </w:t>
            </w:r>
            <w:r w:rsidRPr="005E1202">
              <w:rPr>
                <w:rFonts w:ascii="Arial" w:hAnsi="Arial" w:cs="Arial"/>
              </w:rPr>
              <w:t xml:space="preserve">≤ 100 mg per day and </w:t>
            </w:r>
            <w:proofErr w:type="spellStart"/>
            <w:r w:rsidRPr="005E1202">
              <w:rPr>
                <w:rFonts w:ascii="Arial" w:hAnsi="Arial" w:cs="Arial"/>
              </w:rPr>
              <w:t>ciclosporin</w:t>
            </w:r>
            <w:proofErr w:type="spellEnd"/>
            <w:r w:rsidRPr="005E1202">
              <w:rPr>
                <w:rFonts w:ascii="Arial" w:hAnsi="Arial" w:cs="Arial"/>
              </w:rPr>
              <w:t xml:space="preserve"> doses may be adjusted up to 400 mg per day following standard therapeutic monitoring practices.</w:t>
            </w:r>
          </w:p>
        </w:tc>
      </w:tr>
      <w:tr w:rsidR="008D55BB" w:rsidRPr="005E1202" w:rsidTr="00EC496D">
        <w:trPr>
          <w:cantSplit/>
        </w:trPr>
        <w:tc>
          <w:tcPr>
            <w:tcW w:w="2943" w:type="dxa"/>
            <w:vMerge/>
            <w:vAlign w:val="center"/>
          </w:tcPr>
          <w:p w:rsidR="009C7847" w:rsidRPr="005E1202" w:rsidRDefault="009C7847" w:rsidP="00EC496D">
            <w:pPr>
              <w:spacing w:before="60" w:after="60"/>
              <w:jc w:val="center"/>
              <w:rPr>
                <w:rFonts w:ascii="Arial" w:hAnsi="Arial" w:cs="Arial"/>
              </w:rPr>
            </w:pPr>
          </w:p>
        </w:tc>
        <w:tc>
          <w:tcPr>
            <w:tcW w:w="2565"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 xml:space="preserve">↑ </w:t>
            </w:r>
            <w:proofErr w:type="spellStart"/>
            <w:r w:rsidRPr="005E1202">
              <w:rPr>
                <w:rFonts w:ascii="Arial" w:hAnsi="Arial" w:cs="Arial"/>
              </w:rPr>
              <w:t>pibrentasvir</w:t>
            </w:r>
            <w:proofErr w:type="spellEnd"/>
          </w:p>
        </w:tc>
        <w:tc>
          <w:tcPr>
            <w:tcW w:w="4346" w:type="dxa"/>
            <w:vMerge/>
            <w:vAlign w:val="center"/>
          </w:tcPr>
          <w:p w:rsidR="009C7847" w:rsidRPr="005E1202" w:rsidRDefault="009C7847" w:rsidP="00EC496D">
            <w:pPr>
              <w:spacing w:before="60" w:after="60"/>
              <w:jc w:val="center"/>
              <w:rPr>
                <w:rFonts w:ascii="Arial" w:hAnsi="Arial" w:cs="Arial"/>
              </w:rPr>
            </w:pPr>
          </w:p>
        </w:tc>
      </w:tr>
      <w:tr w:rsidR="009C7847" w:rsidRPr="005E1202" w:rsidTr="00EC496D">
        <w:trPr>
          <w:trHeight w:val="158"/>
        </w:trPr>
        <w:tc>
          <w:tcPr>
            <w:tcW w:w="9854" w:type="dxa"/>
            <w:gridSpan w:val="3"/>
            <w:vAlign w:val="center"/>
          </w:tcPr>
          <w:p w:rsidR="009C7847" w:rsidRPr="005E1202" w:rsidRDefault="009C7847" w:rsidP="00EC496D">
            <w:pPr>
              <w:spacing w:before="60" w:after="60"/>
              <w:rPr>
                <w:rFonts w:ascii="Arial" w:hAnsi="Arial" w:cs="Arial"/>
                <w:szCs w:val="22"/>
              </w:rPr>
            </w:pPr>
            <w:r w:rsidRPr="005E1202">
              <w:rPr>
                <w:rFonts w:ascii="Arial" w:hAnsi="Arial" w:cs="Arial"/>
                <w:szCs w:val="22"/>
              </w:rPr>
              <w:t>↑= increase; ↓= decrease; ↔ = no effect</w:t>
            </w:r>
          </w:p>
          <w:p w:rsidR="009C7847" w:rsidRPr="005E1202" w:rsidRDefault="009C7847" w:rsidP="005E1202">
            <w:pPr>
              <w:spacing w:before="60" w:after="60"/>
              <w:rPr>
                <w:rFonts w:ascii="Arial" w:hAnsi="Arial" w:cs="Arial"/>
                <w:szCs w:val="22"/>
              </w:rPr>
            </w:pPr>
            <w:r w:rsidRPr="005E1202">
              <w:rPr>
                <w:rFonts w:ascii="Arial" w:hAnsi="Arial" w:cs="Arial"/>
                <w:szCs w:val="22"/>
              </w:rPr>
              <w:t xml:space="preserve">See also </w:t>
            </w:r>
            <w:r w:rsidR="008D55BB">
              <w:rPr>
                <w:rStyle w:val="gtclinktext2"/>
                <w:rFonts w:ascii="Arial" w:hAnsi="Arial" w:cs="Arial"/>
              </w:rPr>
              <w:t>5.2 PHARMACOKINETIC PROPERTIES</w:t>
            </w:r>
            <w:r w:rsidR="008D55BB" w:rsidRPr="005E1202" w:rsidDel="008D55BB">
              <w:rPr>
                <w:rStyle w:val="gtclinktext7"/>
                <w:rFonts w:ascii="Arial" w:hAnsi="Arial" w:cs="Arial"/>
                <w:szCs w:val="22"/>
              </w:rPr>
              <w:t xml:space="preserve"> </w:t>
            </w:r>
            <w:r w:rsidRPr="005E1202">
              <w:rPr>
                <w:rStyle w:val="gtclinktext7"/>
                <w:rFonts w:ascii="Arial" w:hAnsi="Arial" w:cs="Arial"/>
                <w:szCs w:val="22"/>
              </w:rPr>
              <w:t xml:space="preserve">– Pharmacokinetics, Drug Interactions Table </w:t>
            </w:r>
            <w:r w:rsidR="005E1202">
              <w:rPr>
                <w:rStyle w:val="gtclinktext7"/>
                <w:rFonts w:ascii="Arial" w:hAnsi="Arial" w:cs="Arial"/>
                <w:szCs w:val="22"/>
              </w:rPr>
              <w:t>15</w:t>
            </w:r>
            <w:r w:rsidR="005E1202" w:rsidRPr="005E1202">
              <w:rPr>
                <w:rStyle w:val="gtclinktext7"/>
                <w:rFonts w:ascii="Arial" w:hAnsi="Arial" w:cs="Arial"/>
                <w:szCs w:val="22"/>
              </w:rPr>
              <w:t xml:space="preserve"> </w:t>
            </w:r>
            <w:r w:rsidRPr="005E1202">
              <w:rPr>
                <w:rStyle w:val="gtclinktext7"/>
                <w:rFonts w:ascii="Arial" w:hAnsi="Arial" w:cs="Arial"/>
                <w:szCs w:val="22"/>
              </w:rPr>
              <w:t xml:space="preserve">and Table </w:t>
            </w:r>
            <w:r w:rsidR="005E1202">
              <w:rPr>
                <w:rStyle w:val="gtclinktext7"/>
                <w:rFonts w:ascii="Arial" w:hAnsi="Arial" w:cs="Arial"/>
                <w:szCs w:val="22"/>
              </w:rPr>
              <w:t>16</w:t>
            </w:r>
          </w:p>
        </w:tc>
      </w:tr>
    </w:tbl>
    <w:p w:rsidR="009206A1" w:rsidRDefault="009206A1" w:rsidP="009206A1"/>
    <w:p w:rsidR="009C7847" w:rsidRPr="005E1202" w:rsidRDefault="009C7847" w:rsidP="007C24AC">
      <w:pPr>
        <w:pStyle w:val="Heading4"/>
        <w:jc w:val="both"/>
        <w:rPr>
          <w:rFonts w:cs="Arial"/>
        </w:rPr>
      </w:pPr>
      <w:r w:rsidRPr="005E1202">
        <w:rPr>
          <w:rFonts w:cs="Arial"/>
        </w:rPr>
        <w:t>Drugs without Clinically Significant Interactions with MAVIRET</w:t>
      </w:r>
    </w:p>
    <w:p w:rsidR="009C7847" w:rsidRPr="005E1202" w:rsidRDefault="009C7847" w:rsidP="007C24AC">
      <w:pPr>
        <w:jc w:val="both"/>
        <w:rPr>
          <w:rFonts w:ascii="Arial" w:hAnsi="Arial" w:cs="Arial"/>
        </w:rPr>
      </w:pPr>
      <w:r w:rsidRPr="005E1202">
        <w:rPr>
          <w:rFonts w:ascii="Arial" w:hAnsi="Arial" w:cs="Arial"/>
        </w:rPr>
        <w:t xml:space="preserve">No dose adjustment is required when MAVIRET is </w:t>
      </w:r>
      <w:proofErr w:type="spellStart"/>
      <w:r w:rsidRPr="005E1202">
        <w:rPr>
          <w:rFonts w:ascii="Arial" w:hAnsi="Arial" w:cs="Arial"/>
        </w:rPr>
        <w:t>coadministered</w:t>
      </w:r>
      <w:proofErr w:type="spellEnd"/>
      <w:r w:rsidRPr="005E1202">
        <w:rPr>
          <w:rFonts w:ascii="Arial" w:hAnsi="Arial" w:cs="Arial"/>
        </w:rPr>
        <w:t xml:space="preserve"> with the following medications: </w:t>
      </w:r>
      <w:proofErr w:type="spellStart"/>
      <w:r w:rsidRPr="005E1202">
        <w:rPr>
          <w:rFonts w:ascii="Arial" w:hAnsi="Arial" w:cs="Arial"/>
        </w:rPr>
        <w:t>abacavir</w:t>
      </w:r>
      <w:proofErr w:type="spellEnd"/>
      <w:r w:rsidRPr="005E1202">
        <w:rPr>
          <w:rFonts w:ascii="Arial" w:hAnsi="Arial" w:cs="Arial"/>
        </w:rPr>
        <w:t xml:space="preserve">, amlodipine, buprenorphine, caffeine, dextromethorphan, </w:t>
      </w:r>
      <w:proofErr w:type="spellStart"/>
      <w:r w:rsidRPr="005E1202">
        <w:rPr>
          <w:rFonts w:ascii="Arial" w:hAnsi="Arial" w:cs="Arial"/>
        </w:rPr>
        <w:t>dolutegravir</w:t>
      </w:r>
      <w:proofErr w:type="spellEnd"/>
      <w:r w:rsidRPr="005E1202">
        <w:rPr>
          <w:rFonts w:ascii="Arial" w:hAnsi="Arial" w:cs="Arial"/>
        </w:rPr>
        <w:t xml:space="preserve">, </w:t>
      </w:r>
      <w:proofErr w:type="spellStart"/>
      <w:r w:rsidRPr="005E1202">
        <w:rPr>
          <w:rFonts w:ascii="Arial" w:hAnsi="Arial" w:cs="Arial"/>
        </w:rPr>
        <w:t>elvitegravir</w:t>
      </w:r>
      <w:proofErr w:type="spellEnd"/>
      <w:r w:rsidR="007C24AC">
        <w:rPr>
          <w:rFonts w:ascii="Arial" w:hAnsi="Arial" w:cs="Arial"/>
        </w:rPr>
        <w:t xml:space="preserve"> </w:t>
      </w:r>
      <w:r w:rsidRPr="005E1202">
        <w:rPr>
          <w:rFonts w:ascii="Arial" w:hAnsi="Arial" w:cs="Arial"/>
        </w:rPr>
        <w:t>/</w:t>
      </w:r>
      <w:r w:rsidR="007C24AC">
        <w:rPr>
          <w:rFonts w:ascii="Arial" w:hAnsi="Arial" w:cs="Arial"/>
        </w:rPr>
        <w:t xml:space="preserve"> </w:t>
      </w:r>
      <w:proofErr w:type="spellStart"/>
      <w:r w:rsidRPr="005E1202">
        <w:rPr>
          <w:rFonts w:ascii="Arial" w:hAnsi="Arial" w:cs="Arial"/>
        </w:rPr>
        <w:t>cobicistat</w:t>
      </w:r>
      <w:proofErr w:type="spellEnd"/>
      <w:r w:rsidRPr="005E1202">
        <w:rPr>
          <w:rFonts w:ascii="Arial" w:hAnsi="Arial" w:cs="Arial"/>
        </w:rPr>
        <w:t xml:space="preserve">, </w:t>
      </w:r>
      <w:proofErr w:type="spellStart"/>
      <w:r w:rsidRPr="005E1202">
        <w:rPr>
          <w:rFonts w:ascii="Arial" w:hAnsi="Arial" w:cs="Arial"/>
        </w:rPr>
        <w:t>emtricitabine</w:t>
      </w:r>
      <w:proofErr w:type="spellEnd"/>
      <w:r w:rsidRPr="005E1202">
        <w:rPr>
          <w:rFonts w:ascii="Arial" w:hAnsi="Arial" w:cs="Arial"/>
        </w:rPr>
        <w:t xml:space="preserve">, </w:t>
      </w:r>
      <w:proofErr w:type="spellStart"/>
      <w:r w:rsidRPr="005E1202">
        <w:rPr>
          <w:rFonts w:ascii="Arial" w:hAnsi="Arial" w:cs="Arial"/>
        </w:rPr>
        <w:t>felodipine</w:t>
      </w:r>
      <w:proofErr w:type="spellEnd"/>
      <w:r w:rsidRPr="005E1202">
        <w:rPr>
          <w:rFonts w:ascii="Arial" w:hAnsi="Arial" w:cs="Arial"/>
        </w:rPr>
        <w:t xml:space="preserve">, lamivudine, lamotrigine, losartan, methadone, midazolam, naloxone, </w:t>
      </w:r>
      <w:proofErr w:type="spellStart"/>
      <w:r w:rsidRPr="005E1202">
        <w:rPr>
          <w:rFonts w:ascii="Arial" w:hAnsi="Arial" w:cs="Arial"/>
        </w:rPr>
        <w:t>norethisterone</w:t>
      </w:r>
      <w:proofErr w:type="spellEnd"/>
      <w:r w:rsidRPr="005E1202">
        <w:rPr>
          <w:rFonts w:ascii="Arial" w:hAnsi="Arial" w:cs="Arial"/>
        </w:rPr>
        <w:t xml:space="preserve"> or other progestin-only contraceptives, omeprazole, </w:t>
      </w:r>
      <w:proofErr w:type="spellStart"/>
      <w:r w:rsidRPr="005E1202">
        <w:rPr>
          <w:rFonts w:ascii="Arial" w:hAnsi="Arial" w:cs="Arial"/>
        </w:rPr>
        <w:t>raltegravir</w:t>
      </w:r>
      <w:proofErr w:type="spellEnd"/>
      <w:r w:rsidRPr="005E1202">
        <w:rPr>
          <w:rFonts w:ascii="Arial" w:hAnsi="Arial" w:cs="Arial"/>
        </w:rPr>
        <w:t xml:space="preserve">, </w:t>
      </w:r>
      <w:proofErr w:type="spellStart"/>
      <w:r w:rsidRPr="005E1202">
        <w:rPr>
          <w:rFonts w:ascii="Arial" w:hAnsi="Arial" w:cs="Arial"/>
        </w:rPr>
        <w:t>rilpivirine</w:t>
      </w:r>
      <w:proofErr w:type="spellEnd"/>
      <w:r w:rsidRPr="005E1202">
        <w:rPr>
          <w:rFonts w:ascii="Arial" w:hAnsi="Arial" w:cs="Arial"/>
        </w:rPr>
        <w:t xml:space="preserve">, </w:t>
      </w:r>
      <w:proofErr w:type="spellStart"/>
      <w:r w:rsidRPr="005E1202">
        <w:rPr>
          <w:rFonts w:ascii="Arial" w:hAnsi="Arial" w:cs="Arial"/>
        </w:rPr>
        <w:t>sofosbuvir</w:t>
      </w:r>
      <w:proofErr w:type="spellEnd"/>
      <w:r w:rsidRPr="005E1202">
        <w:rPr>
          <w:rFonts w:ascii="Arial" w:hAnsi="Arial" w:cs="Arial"/>
        </w:rPr>
        <w:t xml:space="preserve">, tacrolimus, </w:t>
      </w:r>
      <w:proofErr w:type="spellStart"/>
      <w:r w:rsidRPr="005E1202">
        <w:rPr>
          <w:rFonts w:ascii="Arial" w:hAnsi="Arial" w:cs="Arial"/>
        </w:rPr>
        <w:t>tenofovir</w:t>
      </w:r>
      <w:proofErr w:type="spellEnd"/>
      <w:r w:rsidRPr="005E1202">
        <w:rPr>
          <w:rFonts w:ascii="Arial" w:hAnsi="Arial" w:cs="Arial"/>
        </w:rPr>
        <w:t xml:space="preserve"> </w:t>
      </w:r>
      <w:proofErr w:type="spellStart"/>
      <w:r w:rsidRPr="005E1202">
        <w:rPr>
          <w:rFonts w:ascii="Arial" w:hAnsi="Arial" w:cs="Arial"/>
        </w:rPr>
        <w:t>alafenamide</w:t>
      </w:r>
      <w:proofErr w:type="spellEnd"/>
      <w:r w:rsidRPr="005E1202">
        <w:rPr>
          <w:rFonts w:ascii="Arial" w:hAnsi="Arial" w:cs="Arial"/>
        </w:rPr>
        <w:t xml:space="preserve">, </w:t>
      </w:r>
      <w:proofErr w:type="spellStart"/>
      <w:r w:rsidRPr="005E1202">
        <w:rPr>
          <w:rFonts w:ascii="Arial" w:hAnsi="Arial" w:cs="Arial"/>
        </w:rPr>
        <w:t>tenofovir</w:t>
      </w:r>
      <w:proofErr w:type="spellEnd"/>
      <w:r w:rsidRPr="005E1202">
        <w:rPr>
          <w:rFonts w:ascii="Arial" w:hAnsi="Arial" w:cs="Arial"/>
        </w:rPr>
        <w:t xml:space="preserve"> </w:t>
      </w:r>
      <w:proofErr w:type="spellStart"/>
      <w:r w:rsidRPr="005E1202">
        <w:rPr>
          <w:rFonts w:ascii="Arial" w:hAnsi="Arial" w:cs="Arial"/>
        </w:rPr>
        <w:t>disoproxil</w:t>
      </w:r>
      <w:proofErr w:type="spellEnd"/>
      <w:r w:rsidRPr="005E1202">
        <w:rPr>
          <w:rFonts w:ascii="Arial" w:hAnsi="Arial" w:cs="Arial"/>
        </w:rPr>
        <w:t xml:space="preserve"> fumarate, </w:t>
      </w:r>
      <w:proofErr w:type="spellStart"/>
      <w:r w:rsidRPr="005E1202">
        <w:rPr>
          <w:rFonts w:ascii="Arial" w:hAnsi="Arial" w:cs="Arial"/>
        </w:rPr>
        <w:t>tolbutamide</w:t>
      </w:r>
      <w:proofErr w:type="spellEnd"/>
      <w:r w:rsidRPr="005E1202">
        <w:rPr>
          <w:rFonts w:ascii="Arial" w:hAnsi="Arial" w:cs="Arial"/>
        </w:rPr>
        <w:t>, and valsartan.</w:t>
      </w:r>
    </w:p>
    <w:p w:rsidR="001A3992" w:rsidRPr="005E1202" w:rsidRDefault="001A3992" w:rsidP="001A3992">
      <w:pPr>
        <w:pStyle w:val="Heading2"/>
        <w:spacing w:before="0" w:after="120"/>
        <w:rPr>
          <w:rFonts w:cs="Arial"/>
        </w:rPr>
      </w:pPr>
      <w:r w:rsidRPr="005E1202">
        <w:rPr>
          <w:rFonts w:cs="Arial"/>
        </w:rPr>
        <w:t xml:space="preserve">Fertility, pregnancy and lactation </w:t>
      </w:r>
    </w:p>
    <w:p w:rsidR="001A3992" w:rsidRPr="005E1202" w:rsidRDefault="001A3992" w:rsidP="001A3992">
      <w:pPr>
        <w:pStyle w:val="Heading3"/>
        <w:spacing w:before="0" w:after="120"/>
        <w:rPr>
          <w:rFonts w:cs="Arial"/>
        </w:rPr>
      </w:pPr>
      <w:r w:rsidRPr="005E1202">
        <w:rPr>
          <w:rFonts w:cs="Arial"/>
        </w:rPr>
        <w:t>Effects on fertility</w:t>
      </w:r>
    </w:p>
    <w:p w:rsidR="00493B75" w:rsidRPr="005E1202" w:rsidRDefault="00493B75" w:rsidP="007C24AC">
      <w:pPr>
        <w:jc w:val="both"/>
        <w:rPr>
          <w:rFonts w:ascii="Arial" w:hAnsi="Arial" w:cs="Arial"/>
        </w:rPr>
      </w:pPr>
      <w:r w:rsidRPr="005E1202">
        <w:rPr>
          <w:rFonts w:ascii="Arial" w:hAnsi="Arial" w:cs="Arial"/>
        </w:rPr>
        <w:t xml:space="preserve">No human data on the effect of </w:t>
      </w:r>
      <w:proofErr w:type="spellStart"/>
      <w:r w:rsidRPr="005E1202">
        <w:rPr>
          <w:rFonts w:ascii="Arial" w:hAnsi="Arial" w:cs="Arial"/>
        </w:rPr>
        <w:t>glecaprevir</w:t>
      </w:r>
      <w:proofErr w:type="spellEnd"/>
      <w:r w:rsidRPr="005E1202">
        <w:rPr>
          <w:rFonts w:ascii="Arial" w:hAnsi="Arial" w:cs="Arial"/>
        </w:rPr>
        <w:t xml:space="preserve"> and/or </w:t>
      </w:r>
      <w:proofErr w:type="spellStart"/>
      <w:r w:rsidRPr="005E1202">
        <w:rPr>
          <w:rFonts w:ascii="Arial" w:hAnsi="Arial" w:cs="Arial"/>
        </w:rPr>
        <w:t>pibrentasvir</w:t>
      </w:r>
      <w:proofErr w:type="spellEnd"/>
      <w:r w:rsidRPr="005E1202">
        <w:rPr>
          <w:rFonts w:ascii="Arial" w:hAnsi="Arial" w:cs="Arial"/>
        </w:rPr>
        <w:t xml:space="preserve"> on fertility are available. No effects on mating, female or male fertility, or early embryonic development were observed in rats dosed with </w:t>
      </w:r>
      <w:proofErr w:type="spellStart"/>
      <w:r w:rsidRPr="005E1202">
        <w:rPr>
          <w:rFonts w:ascii="Arial" w:hAnsi="Arial" w:cs="Arial"/>
        </w:rPr>
        <w:t>glecaprevir</w:t>
      </w:r>
      <w:proofErr w:type="spellEnd"/>
      <w:r w:rsidRPr="005E1202">
        <w:rPr>
          <w:rFonts w:ascii="Arial" w:hAnsi="Arial" w:cs="Arial"/>
        </w:rPr>
        <w:t xml:space="preserve"> at up to 120 mg/kg/day PO or in mice dosed with </w:t>
      </w:r>
      <w:proofErr w:type="spellStart"/>
      <w:r w:rsidRPr="005E1202">
        <w:rPr>
          <w:rFonts w:ascii="Arial" w:hAnsi="Arial" w:cs="Arial"/>
        </w:rPr>
        <w:t>pibrentasvir</w:t>
      </w:r>
      <w:proofErr w:type="spellEnd"/>
      <w:r w:rsidRPr="005E1202">
        <w:rPr>
          <w:rFonts w:ascii="Arial" w:hAnsi="Arial" w:cs="Arial"/>
        </w:rPr>
        <w:t xml:space="preserve"> at up to 100 mg/kg/day PO. Systemic exposures (AUC</w:t>
      </w:r>
      <w:r w:rsidR="00EC0E29">
        <w:rPr>
          <w:rFonts w:ascii="Arial" w:hAnsi="Arial" w:cs="Arial"/>
        </w:rPr>
        <w:t xml:space="preserve">, Area </w:t>
      </w:r>
      <w:proofErr w:type="gramStart"/>
      <w:r w:rsidR="00EC0E29">
        <w:rPr>
          <w:rFonts w:ascii="Arial" w:hAnsi="Arial" w:cs="Arial"/>
        </w:rPr>
        <w:t>Under</w:t>
      </w:r>
      <w:proofErr w:type="gramEnd"/>
      <w:r w:rsidR="00EC0E29">
        <w:rPr>
          <w:rFonts w:ascii="Arial" w:hAnsi="Arial" w:cs="Arial"/>
        </w:rPr>
        <w:t xml:space="preserve"> the Curve</w:t>
      </w:r>
      <w:r w:rsidRPr="005E1202">
        <w:rPr>
          <w:rFonts w:ascii="Arial" w:hAnsi="Arial" w:cs="Arial"/>
        </w:rPr>
        <w:t xml:space="preserve">) to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were approximately 63 and 102 times higher, respectively, than the exposure in humans at the recommended dose. Animal studies do not indicate harmful effects of </w:t>
      </w:r>
      <w:proofErr w:type="spellStart"/>
      <w:r w:rsidRPr="005E1202">
        <w:rPr>
          <w:rFonts w:ascii="Arial" w:hAnsi="Arial" w:cs="Arial"/>
        </w:rPr>
        <w:t>glecaprevir</w:t>
      </w:r>
      <w:proofErr w:type="spellEnd"/>
      <w:r w:rsidRPr="005E1202">
        <w:rPr>
          <w:rFonts w:ascii="Arial" w:hAnsi="Arial" w:cs="Arial"/>
        </w:rPr>
        <w:t xml:space="preserve"> or </w:t>
      </w:r>
      <w:proofErr w:type="spellStart"/>
      <w:r w:rsidRPr="005E1202">
        <w:rPr>
          <w:rFonts w:ascii="Arial" w:hAnsi="Arial" w:cs="Arial"/>
        </w:rPr>
        <w:t>pibrentasvir</w:t>
      </w:r>
      <w:proofErr w:type="spellEnd"/>
      <w:r w:rsidRPr="005E1202">
        <w:rPr>
          <w:rFonts w:ascii="Arial" w:hAnsi="Arial" w:cs="Arial"/>
        </w:rPr>
        <w:t xml:space="preserve"> on fertility at exposures higher than the exposures in humans at the recommended dose.</w:t>
      </w:r>
    </w:p>
    <w:p w:rsidR="001A3992" w:rsidRPr="005E1202" w:rsidRDefault="001A3992" w:rsidP="00394AA4">
      <w:pPr>
        <w:pStyle w:val="Heading3"/>
        <w:spacing w:before="0" w:after="120"/>
        <w:jc w:val="both"/>
        <w:rPr>
          <w:rFonts w:cs="Arial"/>
        </w:rPr>
      </w:pPr>
      <w:r w:rsidRPr="005E1202">
        <w:rPr>
          <w:rFonts w:cs="Arial"/>
        </w:rPr>
        <w:t xml:space="preserve">Use in pregnancy </w:t>
      </w:r>
      <w:r w:rsidR="003A45C7">
        <w:rPr>
          <w:rFonts w:cs="Arial"/>
        </w:rPr>
        <w:t>(Pregnancy Category B1)</w:t>
      </w:r>
    </w:p>
    <w:p w:rsidR="00493B75" w:rsidRPr="005E1202" w:rsidRDefault="00493B75" w:rsidP="00394AA4">
      <w:pPr>
        <w:jc w:val="both"/>
        <w:rPr>
          <w:rFonts w:ascii="Arial" w:hAnsi="Arial" w:cs="Arial"/>
        </w:rPr>
      </w:pPr>
      <w:r w:rsidRPr="005E1202">
        <w:rPr>
          <w:rFonts w:ascii="Arial" w:hAnsi="Arial" w:cs="Arial"/>
        </w:rPr>
        <w:t xml:space="preserve">There are no or limited data on the use of </w:t>
      </w:r>
      <w:proofErr w:type="spellStart"/>
      <w:r w:rsidRPr="005E1202">
        <w:rPr>
          <w:rFonts w:ascii="Arial" w:hAnsi="Arial" w:cs="Arial"/>
        </w:rPr>
        <w:t>glecaprevir</w:t>
      </w:r>
      <w:proofErr w:type="spellEnd"/>
      <w:r w:rsidRPr="005E1202">
        <w:rPr>
          <w:rFonts w:ascii="Arial" w:hAnsi="Arial" w:cs="Arial"/>
        </w:rPr>
        <w:t xml:space="preserve"> or </w:t>
      </w:r>
      <w:proofErr w:type="spellStart"/>
      <w:r w:rsidRPr="005E1202">
        <w:rPr>
          <w:rFonts w:ascii="Arial" w:hAnsi="Arial" w:cs="Arial"/>
        </w:rPr>
        <w:t>pibrentasvir</w:t>
      </w:r>
      <w:proofErr w:type="spellEnd"/>
      <w:r w:rsidRPr="005E1202">
        <w:rPr>
          <w:rFonts w:ascii="Arial" w:hAnsi="Arial" w:cs="Arial"/>
        </w:rPr>
        <w:t xml:space="preserve"> in pregnant women. Animal studies with </w:t>
      </w:r>
      <w:proofErr w:type="spellStart"/>
      <w:r w:rsidRPr="005E1202">
        <w:rPr>
          <w:rFonts w:ascii="Arial" w:hAnsi="Arial" w:cs="Arial"/>
        </w:rPr>
        <w:t>glecaprevir</w:t>
      </w:r>
      <w:proofErr w:type="spellEnd"/>
      <w:r w:rsidRPr="005E1202">
        <w:rPr>
          <w:rFonts w:ascii="Arial" w:hAnsi="Arial" w:cs="Arial"/>
        </w:rPr>
        <w:t xml:space="preserve"> or </w:t>
      </w:r>
      <w:proofErr w:type="spellStart"/>
      <w:r w:rsidRPr="005E1202">
        <w:rPr>
          <w:rFonts w:ascii="Arial" w:hAnsi="Arial" w:cs="Arial"/>
        </w:rPr>
        <w:t>pibrentasvir</w:t>
      </w:r>
      <w:proofErr w:type="spellEnd"/>
      <w:r w:rsidRPr="005E1202">
        <w:rPr>
          <w:rFonts w:ascii="Arial" w:hAnsi="Arial" w:cs="Arial"/>
        </w:rPr>
        <w:t xml:space="preserve"> do not indicate direct harmful effects with respect to reproductive toxicity. Maternal toxicity in the rabbit precluded evaluation of </w:t>
      </w:r>
      <w:proofErr w:type="spellStart"/>
      <w:r w:rsidRPr="005E1202">
        <w:rPr>
          <w:rFonts w:ascii="Arial" w:hAnsi="Arial" w:cs="Arial"/>
        </w:rPr>
        <w:t>glecaprevir</w:t>
      </w:r>
      <w:proofErr w:type="spellEnd"/>
      <w:r w:rsidRPr="005E1202">
        <w:rPr>
          <w:rFonts w:ascii="Arial" w:hAnsi="Arial" w:cs="Arial"/>
        </w:rPr>
        <w:t xml:space="preserve"> at clinical exposures. As a precautionary measure, MAVIRET use is not recommended in pregnancy.</w:t>
      </w:r>
    </w:p>
    <w:p w:rsidR="00493B75" w:rsidRPr="005E1202" w:rsidRDefault="00493B75" w:rsidP="00493B75">
      <w:pPr>
        <w:pStyle w:val="Heading4"/>
        <w:rPr>
          <w:rFonts w:cs="Arial"/>
        </w:rPr>
      </w:pPr>
      <w:proofErr w:type="spellStart"/>
      <w:r w:rsidRPr="005E1202">
        <w:rPr>
          <w:rFonts w:cs="Arial"/>
        </w:rPr>
        <w:lastRenderedPageBreak/>
        <w:t>Glecaprevir</w:t>
      </w:r>
      <w:proofErr w:type="spellEnd"/>
      <w:r w:rsidRPr="005E1202">
        <w:rPr>
          <w:rFonts w:cs="Arial"/>
        </w:rPr>
        <w:t xml:space="preserve"> </w:t>
      </w:r>
    </w:p>
    <w:p w:rsidR="00493B75" w:rsidRPr="005E1202" w:rsidRDefault="00493B75" w:rsidP="00394AA4">
      <w:pPr>
        <w:jc w:val="both"/>
        <w:rPr>
          <w:rFonts w:ascii="Arial" w:hAnsi="Arial" w:cs="Arial"/>
        </w:rPr>
      </w:pPr>
      <w:r w:rsidRPr="005E1202">
        <w:rPr>
          <w:rFonts w:ascii="Arial" w:hAnsi="Arial" w:cs="Arial"/>
        </w:rPr>
        <w:t xml:space="preserve">No effects on </w:t>
      </w:r>
      <w:proofErr w:type="spellStart"/>
      <w:r w:rsidRPr="005E1202">
        <w:rPr>
          <w:rFonts w:ascii="Arial" w:hAnsi="Arial" w:cs="Arial"/>
        </w:rPr>
        <w:t>embryofetal</w:t>
      </w:r>
      <w:proofErr w:type="spellEnd"/>
      <w:r w:rsidRPr="005E1202">
        <w:rPr>
          <w:rFonts w:ascii="Arial" w:hAnsi="Arial" w:cs="Arial"/>
        </w:rPr>
        <w:t xml:space="preserve"> development or maternal toxicity have been observed in rats when dams were administered </w:t>
      </w:r>
      <w:proofErr w:type="spellStart"/>
      <w:r w:rsidRPr="005E1202">
        <w:rPr>
          <w:rFonts w:ascii="Arial" w:hAnsi="Arial" w:cs="Arial"/>
        </w:rPr>
        <w:t>glecaprevir</w:t>
      </w:r>
      <w:proofErr w:type="spellEnd"/>
      <w:r w:rsidRPr="005E1202">
        <w:rPr>
          <w:rFonts w:ascii="Arial" w:hAnsi="Arial" w:cs="Arial"/>
        </w:rPr>
        <w:t xml:space="preserve"> (oral doses up to 120 mg/kg/day) during organogenesis, associated with systemic exposure to </w:t>
      </w:r>
      <w:proofErr w:type="spellStart"/>
      <w:r w:rsidRPr="005E1202">
        <w:rPr>
          <w:rFonts w:ascii="Arial" w:hAnsi="Arial" w:cs="Arial"/>
        </w:rPr>
        <w:t>glecaprevir</w:t>
      </w:r>
      <w:proofErr w:type="spellEnd"/>
      <w:r w:rsidRPr="005E1202">
        <w:rPr>
          <w:rFonts w:ascii="Arial" w:hAnsi="Arial" w:cs="Arial"/>
        </w:rPr>
        <w:t xml:space="preserve"> approximately 53 times the exposure in humans at the recommended clinical dose. In rabbits, the highest </w:t>
      </w:r>
      <w:proofErr w:type="spellStart"/>
      <w:r w:rsidRPr="005E1202">
        <w:rPr>
          <w:rFonts w:ascii="Arial" w:hAnsi="Arial" w:cs="Arial"/>
        </w:rPr>
        <w:t>glecaprevir</w:t>
      </w:r>
      <w:proofErr w:type="spellEnd"/>
      <w:r w:rsidRPr="005E1202">
        <w:rPr>
          <w:rFonts w:ascii="Arial" w:hAnsi="Arial" w:cs="Arial"/>
        </w:rPr>
        <w:t xml:space="preserve"> exposure achieved was 0.07 times the exposure in humans at the recommended clinical dose, and therefore </w:t>
      </w:r>
      <w:proofErr w:type="spellStart"/>
      <w:r w:rsidRPr="005E1202">
        <w:rPr>
          <w:rFonts w:ascii="Arial" w:hAnsi="Arial" w:cs="Arial"/>
        </w:rPr>
        <w:t>embryofetal</w:t>
      </w:r>
      <w:proofErr w:type="spellEnd"/>
      <w:r w:rsidRPr="005E1202">
        <w:rPr>
          <w:rFonts w:ascii="Arial" w:hAnsi="Arial" w:cs="Arial"/>
        </w:rPr>
        <w:t xml:space="preserve"> development during organogenesis has not been assessed in this species at clinical exposures. There were no effects of </w:t>
      </w:r>
      <w:proofErr w:type="spellStart"/>
      <w:r w:rsidRPr="005E1202">
        <w:rPr>
          <w:rFonts w:ascii="Arial" w:hAnsi="Arial" w:cs="Arial"/>
        </w:rPr>
        <w:t>glecaprevir</w:t>
      </w:r>
      <w:proofErr w:type="spellEnd"/>
      <w:r w:rsidRPr="005E1202">
        <w:rPr>
          <w:rFonts w:ascii="Arial" w:hAnsi="Arial" w:cs="Arial"/>
        </w:rPr>
        <w:t xml:space="preserve"> in a rat peri/postnatal developmental study in which dams were dosed at up to 120 mg/kg PO during gestation and lactation (from gestation day 6 to lactation 20), with systemic exposures approximately 47 times higher than the exposure in humans at the recommended dose. </w:t>
      </w:r>
      <w:proofErr w:type="spellStart"/>
      <w:r w:rsidRPr="005E1202">
        <w:rPr>
          <w:rFonts w:ascii="Arial" w:hAnsi="Arial" w:cs="Arial"/>
        </w:rPr>
        <w:t>Glecaprevir</w:t>
      </w:r>
      <w:proofErr w:type="spellEnd"/>
      <w:r w:rsidRPr="005E1202">
        <w:rPr>
          <w:rFonts w:ascii="Arial" w:hAnsi="Arial" w:cs="Arial"/>
        </w:rPr>
        <w:t xml:space="preserve"> was shown to cross the placenta in rats.</w:t>
      </w:r>
    </w:p>
    <w:p w:rsidR="00493B75" w:rsidRPr="005E1202" w:rsidRDefault="00493B75" w:rsidP="00493B75">
      <w:pPr>
        <w:pStyle w:val="Heading4"/>
        <w:rPr>
          <w:rFonts w:cs="Arial"/>
        </w:rPr>
      </w:pPr>
      <w:proofErr w:type="spellStart"/>
      <w:r w:rsidRPr="005E1202">
        <w:rPr>
          <w:rFonts w:cs="Arial"/>
        </w:rPr>
        <w:t>Pibrentasvir</w:t>
      </w:r>
      <w:proofErr w:type="spellEnd"/>
    </w:p>
    <w:p w:rsidR="00493B75" w:rsidRPr="005E1202" w:rsidRDefault="00493B75" w:rsidP="00394AA4">
      <w:pPr>
        <w:jc w:val="both"/>
        <w:rPr>
          <w:rFonts w:ascii="Arial" w:hAnsi="Arial" w:cs="Arial"/>
        </w:rPr>
      </w:pPr>
      <w:r w:rsidRPr="005E1202">
        <w:rPr>
          <w:rFonts w:ascii="Arial" w:hAnsi="Arial" w:cs="Arial"/>
        </w:rPr>
        <w:t xml:space="preserve">No effects on </w:t>
      </w:r>
      <w:proofErr w:type="spellStart"/>
      <w:r w:rsidRPr="005E1202">
        <w:rPr>
          <w:rFonts w:ascii="Arial" w:hAnsi="Arial" w:cs="Arial"/>
        </w:rPr>
        <w:t>embryofetal</w:t>
      </w:r>
      <w:proofErr w:type="spellEnd"/>
      <w:r w:rsidRPr="005E1202">
        <w:rPr>
          <w:rFonts w:ascii="Arial" w:hAnsi="Arial" w:cs="Arial"/>
        </w:rPr>
        <w:t xml:space="preserve"> development or maternal toxicity have been observed in mice or rabbits when dams were administered </w:t>
      </w:r>
      <w:proofErr w:type="spellStart"/>
      <w:r w:rsidRPr="005E1202">
        <w:rPr>
          <w:rFonts w:ascii="Arial" w:hAnsi="Arial" w:cs="Arial"/>
        </w:rPr>
        <w:t>pibrentasvir</w:t>
      </w:r>
      <w:proofErr w:type="spellEnd"/>
      <w:r w:rsidRPr="005E1202">
        <w:rPr>
          <w:rFonts w:ascii="Arial" w:hAnsi="Arial" w:cs="Arial"/>
        </w:rPr>
        <w:t xml:space="preserve"> (oral doses up to 100 mg/kg) during organogenesis, associated with systemic exposure to </w:t>
      </w:r>
      <w:proofErr w:type="spellStart"/>
      <w:r w:rsidRPr="005E1202">
        <w:rPr>
          <w:rFonts w:ascii="Arial" w:hAnsi="Arial" w:cs="Arial"/>
        </w:rPr>
        <w:t>pibrentasvir</w:t>
      </w:r>
      <w:proofErr w:type="spellEnd"/>
      <w:r w:rsidRPr="005E1202">
        <w:rPr>
          <w:rFonts w:ascii="Arial" w:hAnsi="Arial" w:cs="Arial"/>
        </w:rPr>
        <w:t xml:space="preserve"> approximately 51- and 1.4-fold, respectively, the exposure in humans at the recommended clinical dose. There were no effects of </w:t>
      </w:r>
      <w:proofErr w:type="spellStart"/>
      <w:r w:rsidRPr="005E1202">
        <w:rPr>
          <w:rFonts w:ascii="Arial" w:hAnsi="Arial" w:cs="Arial"/>
        </w:rPr>
        <w:t>pibrentasvir</w:t>
      </w:r>
      <w:proofErr w:type="spellEnd"/>
      <w:r w:rsidRPr="005E1202">
        <w:rPr>
          <w:rFonts w:ascii="Arial" w:hAnsi="Arial" w:cs="Arial"/>
        </w:rPr>
        <w:t xml:space="preserve"> in a mouse peri/postnatal developmental study in which dams were dosed at up to 100 mg/kg PO (systemic exposures approximately 74 times higher than the exposure in humans at the recommended dose). </w:t>
      </w:r>
      <w:proofErr w:type="spellStart"/>
      <w:r w:rsidRPr="005E1202">
        <w:rPr>
          <w:rFonts w:ascii="Arial" w:hAnsi="Arial" w:cs="Arial"/>
        </w:rPr>
        <w:t>Pibrentasvir</w:t>
      </w:r>
      <w:proofErr w:type="spellEnd"/>
      <w:r w:rsidRPr="005E1202">
        <w:rPr>
          <w:rFonts w:ascii="Arial" w:hAnsi="Arial" w:cs="Arial"/>
        </w:rPr>
        <w:t xml:space="preserve"> was shown to cross the placenta in both species.</w:t>
      </w:r>
    </w:p>
    <w:p w:rsidR="001A3992" w:rsidRPr="005E1202" w:rsidRDefault="001A3992" w:rsidP="001A3992">
      <w:pPr>
        <w:pStyle w:val="Heading3"/>
        <w:spacing w:before="0" w:after="120"/>
        <w:rPr>
          <w:rFonts w:cs="Arial"/>
        </w:rPr>
      </w:pPr>
      <w:r w:rsidRPr="005E1202">
        <w:rPr>
          <w:rFonts w:cs="Arial"/>
        </w:rPr>
        <w:t xml:space="preserve">Use in lactation. </w:t>
      </w:r>
    </w:p>
    <w:p w:rsidR="009C7847" w:rsidRPr="005E1202" w:rsidRDefault="009C7847" w:rsidP="006045EA">
      <w:pPr>
        <w:jc w:val="both"/>
        <w:rPr>
          <w:rFonts w:ascii="Arial" w:hAnsi="Arial" w:cs="Arial"/>
        </w:rPr>
      </w:pPr>
      <w:r w:rsidRPr="005E1202">
        <w:rPr>
          <w:rFonts w:ascii="Arial" w:hAnsi="Arial" w:cs="Arial"/>
        </w:rPr>
        <w:t xml:space="preserve">It is unknown whether </w:t>
      </w:r>
      <w:proofErr w:type="spellStart"/>
      <w:r w:rsidRPr="005E1202">
        <w:rPr>
          <w:rFonts w:ascii="Arial" w:hAnsi="Arial" w:cs="Arial"/>
        </w:rPr>
        <w:t>glecaprevir</w:t>
      </w:r>
      <w:proofErr w:type="spellEnd"/>
      <w:r w:rsidRPr="005E1202">
        <w:rPr>
          <w:rFonts w:ascii="Arial" w:hAnsi="Arial" w:cs="Arial"/>
        </w:rPr>
        <w:t xml:space="preserve"> or </w:t>
      </w:r>
      <w:proofErr w:type="spellStart"/>
      <w:r w:rsidRPr="005E1202">
        <w:rPr>
          <w:rFonts w:ascii="Arial" w:hAnsi="Arial" w:cs="Arial"/>
        </w:rPr>
        <w:t>pibrentasvir</w:t>
      </w:r>
      <w:proofErr w:type="spellEnd"/>
      <w:r w:rsidRPr="005E1202">
        <w:rPr>
          <w:rFonts w:ascii="Arial" w:hAnsi="Arial" w:cs="Arial"/>
        </w:rPr>
        <w:t xml:space="preserve"> are excreted in human milk. Available pharmacokinetic data in animals have shown excretion of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in milk of rats. A risk to the newborns/infants cannot be excluded. A decision must be made whether to discontinue breast-feeding or to discontinue/abstain from MAVIRET therapy taking into account the benefit of breast-feeding for the child and the benefit of therapy for the woman.</w:t>
      </w:r>
    </w:p>
    <w:p w:rsidR="001A3992" w:rsidRDefault="001A3992" w:rsidP="001A3992">
      <w:pPr>
        <w:pStyle w:val="Heading2"/>
        <w:spacing w:before="0" w:after="120"/>
        <w:rPr>
          <w:rFonts w:cs="Arial"/>
        </w:rPr>
      </w:pPr>
      <w:r w:rsidRPr="005E1202">
        <w:rPr>
          <w:rFonts w:cs="Arial"/>
        </w:rPr>
        <w:t xml:space="preserve">Effects on ability to drive and use machines </w:t>
      </w:r>
    </w:p>
    <w:p w:rsidR="003A45C7" w:rsidRPr="003A45C7" w:rsidRDefault="003A45C7" w:rsidP="006045EA">
      <w:pPr>
        <w:jc w:val="both"/>
        <w:rPr>
          <w:rFonts w:ascii="Arial" w:hAnsi="Arial" w:cs="Arial"/>
        </w:rPr>
      </w:pPr>
      <w:r w:rsidRPr="00FC7116">
        <w:rPr>
          <w:rFonts w:ascii="Arial" w:hAnsi="Arial" w:cs="Arial"/>
          <w:caps/>
        </w:rPr>
        <w:t>Maviret</w:t>
      </w:r>
      <w:r w:rsidRPr="003A45C7">
        <w:rPr>
          <w:rFonts w:ascii="Arial" w:hAnsi="Arial" w:cs="Arial"/>
        </w:rPr>
        <w:t xml:space="preserve"> has no or negligible influence on the ability to drive and use machines.</w:t>
      </w:r>
    </w:p>
    <w:p w:rsidR="001A3992" w:rsidRPr="005E1202" w:rsidRDefault="001A3992" w:rsidP="001A3992">
      <w:pPr>
        <w:pStyle w:val="Heading2"/>
        <w:keepNext/>
        <w:keepLines/>
        <w:spacing w:before="0" w:after="120"/>
        <w:rPr>
          <w:rFonts w:cs="Arial"/>
        </w:rPr>
      </w:pPr>
      <w:r w:rsidRPr="005E1202">
        <w:rPr>
          <w:rFonts w:cs="Arial"/>
        </w:rPr>
        <w:t>Adverse effects (Undesirable effects)</w:t>
      </w:r>
    </w:p>
    <w:p w:rsidR="009C7847" w:rsidRPr="005E1202" w:rsidRDefault="009C7847" w:rsidP="006045EA">
      <w:pPr>
        <w:jc w:val="both"/>
        <w:rPr>
          <w:rFonts w:ascii="Arial" w:hAnsi="Arial" w:cs="Arial"/>
        </w:rPr>
      </w:pPr>
      <w:r w:rsidRPr="005E1202">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00AD51AA" w:rsidRPr="005E1202">
          <w:rPr>
            <w:rStyle w:val="Hyperlink"/>
            <w:rFonts w:ascii="Arial" w:hAnsi="Arial" w:cs="Arial"/>
            <w:lang w:val="en"/>
          </w:rPr>
          <w:t>www.tga.gov.au/reporting-problems</w:t>
        </w:r>
      </w:hyperlink>
      <w:r w:rsidRPr="005E1202">
        <w:rPr>
          <w:rFonts w:ascii="Arial" w:hAnsi="Arial" w:cs="Arial"/>
          <w:lang w:val="en"/>
        </w:rPr>
        <w:t>.</w:t>
      </w:r>
    </w:p>
    <w:p w:rsidR="009C7847" w:rsidRPr="005E1202" w:rsidRDefault="009C7847" w:rsidP="006045EA">
      <w:pPr>
        <w:jc w:val="both"/>
        <w:rPr>
          <w:rFonts w:ascii="Arial" w:hAnsi="Arial" w:cs="Arial"/>
        </w:rPr>
      </w:pPr>
      <w:r w:rsidRPr="005E1202">
        <w:rPr>
          <w:rFonts w:ascii="Arial" w:hAnsi="Arial" w:cs="Arial"/>
        </w:rPr>
        <w:t xml:space="preserve">The safety assessment for MAVIRET in patients without cirrhosis or with compensated cirrhosis were derived from Phase 2 and 3 studies which evaluated approximately 2300 patients infected with genotype 1, 2, 3, 4, 5, or 6 HCV who received MAVIRET for 8, 12 or 16 weeks. </w:t>
      </w:r>
    </w:p>
    <w:p w:rsidR="009C7847" w:rsidRPr="005E1202" w:rsidRDefault="009C7847" w:rsidP="006045EA">
      <w:pPr>
        <w:jc w:val="both"/>
        <w:rPr>
          <w:rFonts w:ascii="Arial" w:hAnsi="Arial" w:cs="Arial"/>
        </w:rPr>
      </w:pPr>
      <w:r w:rsidRPr="005E1202">
        <w:rPr>
          <w:rFonts w:ascii="Arial" w:hAnsi="Arial" w:cs="Arial"/>
        </w:rPr>
        <w:lastRenderedPageBreak/>
        <w:t>The overall proportion of subjects who permanently discontinued treatment due to adverse reactions was 0.1% for subjects who received MAVIRET.</w:t>
      </w:r>
    </w:p>
    <w:p w:rsidR="009C7847" w:rsidRPr="005E1202" w:rsidRDefault="009C7847" w:rsidP="006045EA">
      <w:pPr>
        <w:jc w:val="both"/>
        <w:rPr>
          <w:rFonts w:ascii="Arial" w:hAnsi="Arial" w:cs="Arial"/>
        </w:rPr>
      </w:pPr>
      <w:r w:rsidRPr="005E1202">
        <w:rPr>
          <w:rFonts w:ascii="Arial" w:hAnsi="Arial" w:cs="Arial"/>
        </w:rPr>
        <w:t>Across the Phase 2 and 3 clinical studies, the most common (occurring in at least 10% of patients) adverse reactions (adverse events assessed as possibly related by the investigator) were headache and fatigue in patients treated with MAVIRET for 8, 12 or 16 weeks.</w:t>
      </w:r>
    </w:p>
    <w:p w:rsidR="009C7847" w:rsidRPr="005E1202" w:rsidRDefault="009C7847" w:rsidP="006045EA">
      <w:pPr>
        <w:jc w:val="both"/>
        <w:rPr>
          <w:rFonts w:ascii="Arial" w:hAnsi="Arial" w:cs="Arial"/>
        </w:rPr>
      </w:pPr>
      <w:r w:rsidRPr="005E1202">
        <w:rPr>
          <w:rFonts w:ascii="Arial" w:hAnsi="Arial" w:cs="Arial"/>
        </w:rPr>
        <w:t xml:space="preserve">Adverse reactions observed in greater than or equal to 5% of patients receiving 8, 12, or 16 weeks of treatment with MAVIRET are presented in Table </w:t>
      </w:r>
      <w:r w:rsidR="005E1202">
        <w:rPr>
          <w:rFonts w:ascii="Arial" w:hAnsi="Arial" w:cs="Arial"/>
        </w:rPr>
        <w:t>4</w:t>
      </w:r>
      <w:r w:rsidRPr="005E1202">
        <w:rPr>
          <w:rFonts w:ascii="Arial" w:hAnsi="Arial" w:cs="Arial"/>
        </w:rPr>
        <w:t>. In patients receiving MAVIRET who experienced adverse reactions, 80% had an adverse reaction of mild severity (Grade 1). In the pla</w:t>
      </w:r>
      <w:r w:rsidR="006F6131">
        <w:rPr>
          <w:rFonts w:ascii="Arial" w:hAnsi="Arial" w:cs="Arial"/>
        </w:rPr>
        <w:t>cebo-</w:t>
      </w:r>
      <w:r w:rsidRPr="005E1202">
        <w:rPr>
          <w:rFonts w:ascii="Arial" w:hAnsi="Arial" w:cs="Arial"/>
        </w:rPr>
        <w:t xml:space="preserve">controlled study, these adverse reactions occurred at a similar frequency in patients treated with placebo compared to patients treated with MAVIRET. In the active-controlled study (ENDURANCE-3), adverse reactions occurred at a similar frequency in patients treated with </w:t>
      </w:r>
      <w:proofErr w:type="spellStart"/>
      <w:r w:rsidRPr="005E1202">
        <w:rPr>
          <w:rFonts w:ascii="Arial" w:hAnsi="Arial" w:cs="Arial"/>
        </w:rPr>
        <w:t>sofosbuvir</w:t>
      </w:r>
      <w:proofErr w:type="spellEnd"/>
      <w:r w:rsidRPr="005E1202">
        <w:rPr>
          <w:rFonts w:ascii="Arial" w:hAnsi="Arial" w:cs="Arial"/>
        </w:rPr>
        <w:t xml:space="preserve"> and </w:t>
      </w:r>
      <w:proofErr w:type="spellStart"/>
      <w:r w:rsidRPr="005E1202">
        <w:rPr>
          <w:rFonts w:ascii="Arial" w:hAnsi="Arial" w:cs="Arial"/>
        </w:rPr>
        <w:t>daclatasvir</w:t>
      </w:r>
      <w:proofErr w:type="spellEnd"/>
      <w:r w:rsidRPr="005E1202">
        <w:rPr>
          <w:rFonts w:ascii="Arial" w:hAnsi="Arial" w:cs="Arial"/>
        </w:rPr>
        <w:t xml:space="preserve"> compared to patients treated with MAVIRET (Table </w:t>
      </w:r>
      <w:r w:rsidR="005E1202">
        <w:rPr>
          <w:rFonts w:ascii="Arial" w:hAnsi="Arial" w:cs="Arial"/>
        </w:rPr>
        <w:t>5</w:t>
      </w:r>
      <w:r w:rsidRPr="005E1202">
        <w:rPr>
          <w:rFonts w:ascii="Arial" w:hAnsi="Arial" w:cs="Arial"/>
        </w:rPr>
        <w:t>).</w:t>
      </w:r>
    </w:p>
    <w:p w:rsidR="00A53B34" w:rsidRPr="005E1202" w:rsidRDefault="009C7847" w:rsidP="006045EA">
      <w:pPr>
        <w:jc w:val="both"/>
        <w:rPr>
          <w:rFonts w:ascii="Arial" w:hAnsi="Arial" w:cs="Arial"/>
        </w:rPr>
      </w:pPr>
      <w:r w:rsidRPr="005E1202">
        <w:rPr>
          <w:rFonts w:ascii="Arial" w:hAnsi="Arial" w:cs="Arial"/>
        </w:rPr>
        <w:t>There were no differences in the overall safety for patients receiving MAVIRET for 8, 12 or 16 weeks. The type and severity of adverse reactions in patients with compensated cirrhosis were comparable to those seen in patients without cirrhosis.</w:t>
      </w:r>
    </w:p>
    <w:p w:rsidR="009C7847" w:rsidRPr="005E1202" w:rsidRDefault="009C7847" w:rsidP="009C7847">
      <w:pPr>
        <w:rPr>
          <w:rFonts w:ascii="Arial" w:hAnsi="Arial" w:cs="Arial"/>
          <w:b/>
        </w:rPr>
      </w:pPr>
      <w:proofErr w:type="gramStart"/>
      <w:r w:rsidRPr="005E1202">
        <w:rPr>
          <w:rFonts w:ascii="Arial" w:hAnsi="Arial" w:cs="Arial"/>
          <w:b/>
        </w:rPr>
        <w:t xml:space="preserve">Table </w:t>
      </w:r>
      <w:r w:rsidR="005E1202">
        <w:rPr>
          <w:rFonts w:ascii="Arial" w:hAnsi="Arial" w:cs="Arial"/>
          <w:b/>
        </w:rPr>
        <w:t>4</w:t>
      </w:r>
      <w:r w:rsidRPr="005E1202">
        <w:rPr>
          <w:rFonts w:ascii="Arial" w:hAnsi="Arial" w:cs="Arial"/>
          <w:b/>
        </w:rPr>
        <w:t>.</w:t>
      </w:r>
      <w:proofErr w:type="gramEnd"/>
      <w:r w:rsidRPr="005E1202">
        <w:rPr>
          <w:rFonts w:ascii="Arial" w:hAnsi="Arial" w:cs="Arial"/>
          <w:b/>
        </w:rPr>
        <w:t xml:space="preserve"> Adverse reactions observed in ≥ 5% of patients who received MAVIRET in Phase 2 and 3 Clinical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440"/>
        <w:gridCol w:w="3081"/>
      </w:tblGrid>
      <w:tr w:rsidR="009C7847" w:rsidRPr="00EC496D" w:rsidTr="00EC496D">
        <w:trPr>
          <w:tblHeader/>
        </w:trPr>
        <w:tc>
          <w:tcPr>
            <w:tcW w:w="2882" w:type="dxa"/>
            <w:vMerge w:val="restart"/>
            <w:shd w:val="clear" w:color="auto" w:fill="auto"/>
            <w:vAlign w:val="center"/>
          </w:tcPr>
          <w:p w:rsidR="009C7847" w:rsidRPr="00ED3E34" w:rsidRDefault="009C7847" w:rsidP="00EC496D">
            <w:pPr>
              <w:spacing w:before="60" w:after="60"/>
              <w:jc w:val="center"/>
              <w:rPr>
                <w:rFonts w:ascii="Arial" w:hAnsi="Arial" w:cs="Arial"/>
                <w:b/>
                <w:sz w:val="20"/>
              </w:rPr>
            </w:pPr>
            <w:r w:rsidRPr="00ED3E34">
              <w:rPr>
                <w:rFonts w:ascii="Arial" w:hAnsi="Arial" w:cs="Arial"/>
                <w:b/>
                <w:sz w:val="20"/>
              </w:rPr>
              <w:t>Adverse Reaction</w:t>
            </w:r>
          </w:p>
        </w:tc>
        <w:tc>
          <w:tcPr>
            <w:tcW w:w="3677" w:type="dxa"/>
            <w:shd w:val="clear" w:color="auto" w:fill="auto"/>
            <w:vAlign w:val="center"/>
          </w:tcPr>
          <w:p w:rsidR="009C7847" w:rsidRPr="00ED3E34" w:rsidRDefault="009C7847" w:rsidP="00EC496D">
            <w:pPr>
              <w:spacing w:before="60" w:after="60"/>
              <w:jc w:val="center"/>
              <w:rPr>
                <w:rFonts w:ascii="Arial" w:hAnsi="Arial" w:cs="Arial"/>
                <w:b/>
                <w:sz w:val="20"/>
              </w:rPr>
            </w:pPr>
            <w:r w:rsidRPr="00ED3E34">
              <w:rPr>
                <w:rFonts w:ascii="Arial" w:hAnsi="Arial" w:cs="Arial"/>
                <w:b/>
                <w:sz w:val="20"/>
              </w:rPr>
              <w:t>MAVIRET</w:t>
            </w:r>
          </w:p>
          <w:p w:rsidR="009C7847" w:rsidRPr="00ED3E34" w:rsidRDefault="009C7847" w:rsidP="00EC496D">
            <w:pPr>
              <w:spacing w:before="60" w:after="60"/>
              <w:jc w:val="center"/>
              <w:rPr>
                <w:rFonts w:ascii="Arial" w:hAnsi="Arial" w:cs="Arial"/>
                <w:b/>
                <w:sz w:val="20"/>
              </w:rPr>
            </w:pPr>
            <w:r w:rsidRPr="00ED3E34">
              <w:rPr>
                <w:rFonts w:ascii="Arial" w:hAnsi="Arial" w:cs="Arial"/>
                <w:b/>
                <w:sz w:val="20"/>
              </w:rPr>
              <w:t>8, 12 or 16 weeks</w:t>
            </w:r>
          </w:p>
        </w:tc>
        <w:tc>
          <w:tcPr>
            <w:tcW w:w="3295" w:type="dxa"/>
            <w:vAlign w:val="center"/>
          </w:tcPr>
          <w:p w:rsidR="009C7847" w:rsidRPr="00ED3E34" w:rsidRDefault="009C7847" w:rsidP="00EC496D">
            <w:pPr>
              <w:spacing w:before="60" w:after="60"/>
              <w:jc w:val="center"/>
              <w:rPr>
                <w:rFonts w:ascii="Arial" w:hAnsi="Arial" w:cs="Arial"/>
                <w:b/>
                <w:sz w:val="20"/>
              </w:rPr>
            </w:pPr>
            <w:r w:rsidRPr="00ED3E34">
              <w:rPr>
                <w:rFonts w:ascii="Arial" w:hAnsi="Arial" w:cs="Arial"/>
                <w:b/>
                <w:sz w:val="20"/>
              </w:rPr>
              <w:t>Placebo</w:t>
            </w:r>
          </w:p>
          <w:p w:rsidR="009C7847" w:rsidRPr="00ED3E34" w:rsidRDefault="009C7847" w:rsidP="00EC496D">
            <w:pPr>
              <w:spacing w:before="60" w:after="60"/>
              <w:jc w:val="center"/>
              <w:rPr>
                <w:rFonts w:ascii="Arial" w:hAnsi="Arial" w:cs="Arial"/>
                <w:b/>
                <w:sz w:val="20"/>
              </w:rPr>
            </w:pPr>
            <w:r w:rsidRPr="00ED3E34">
              <w:rPr>
                <w:rFonts w:ascii="Arial" w:hAnsi="Arial" w:cs="Arial"/>
                <w:b/>
                <w:sz w:val="20"/>
              </w:rPr>
              <w:t>12 weeks</w:t>
            </w:r>
          </w:p>
        </w:tc>
      </w:tr>
      <w:tr w:rsidR="009C7847" w:rsidRPr="00EC496D" w:rsidTr="00EC496D">
        <w:trPr>
          <w:tblHeader/>
        </w:trPr>
        <w:tc>
          <w:tcPr>
            <w:tcW w:w="2882" w:type="dxa"/>
            <w:vMerge/>
            <w:shd w:val="clear" w:color="auto" w:fill="auto"/>
            <w:vAlign w:val="center"/>
          </w:tcPr>
          <w:p w:rsidR="009C7847" w:rsidRPr="00FC7116" w:rsidRDefault="009C7847" w:rsidP="00EC496D">
            <w:pPr>
              <w:spacing w:before="60" w:after="60"/>
              <w:jc w:val="center"/>
              <w:rPr>
                <w:rFonts w:ascii="Arial" w:hAnsi="Arial" w:cs="Arial"/>
                <w:sz w:val="20"/>
              </w:rPr>
            </w:pPr>
          </w:p>
        </w:tc>
        <w:tc>
          <w:tcPr>
            <w:tcW w:w="3677" w:type="dxa"/>
            <w:shd w:val="clear" w:color="auto" w:fill="auto"/>
            <w:vAlign w:val="center"/>
          </w:tcPr>
          <w:p w:rsidR="009C7847" w:rsidRPr="00FC7116" w:rsidRDefault="009C7847" w:rsidP="00EC496D">
            <w:pPr>
              <w:spacing w:before="60" w:after="60"/>
              <w:jc w:val="center"/>
              <w:rPr>
                <w:rFonts w:ascii="Arial" w:hAnsi="Arial" w:cs="Arial"/>
                <w:sz w:val="20"/>
              </w:rPr>
            </w:pPr>
            <w:r w:rsidRPr="00FC7116">
              <w:rPr>
                <w:rFonts w:ascii="Arial" w:hAnsi="Arial" w:cs="Arial"/>
                <w:sz w:val="20"/>
              </w:rPr>
              <w:t>N = 2265</w:t>
            </w:r>
          </w:p>
        </w:tc>
        <w:tc>
          <w:tcPr>
            <w:tcW w:w="3295" w:type="dxa"/>
            <w:vAlign w:val="center"/>
          </w:tcPr>
          <w:p w:rsidR="009C7847" w:rsidRPr="00FC7116" w:rsidRDefault="009C7847" w:rsidP="00EC496D">
            <w:pPr>
              <w:spacing w:before="60" w:after="60"/>
              <w:jc w:val="center"/>
              <w:rPr>
                <w:rFonts w:ascii="Arial" w:hAnsi="Arial" w:cs="Arial"/>
                <w:sz w:val="20"/>
              </w:rPr>
            </w:pPr>
            <w:r w:rsidRPr="00FC7116">
              <w:rPr>
                <w:rFonts w:ascii="Arial" w:hAnsi="Arial" w:cs="Arial"/>
                <w:sz w:val="20"/>
              </w:rPr>
              <w:t>N = 100</w:t>
            </w:r>
          </w:p>
        </w:tc>
      </w:tr>
      <w:tr w:rsidR="009C7847" w:rsidRPr="00EC496D" w:rsidTr="00EC496D">
        <w:tc>
          <w:tcPr>
            <w:tcW w:w="2882"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Headache</w:t>
            </w:r>
          </w:p>
        </w:tc>
        <w:tc>
          <w:tcPr>
            <w:tcW w:w="3677"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13.2%</w:t>
            </w:r>
          </w:p>
        </w:tc>
        <w:tc>
          <w:tcPr>
            <w:tcW w:w="3295" w:type="dxa"/>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6.0%</w:t>
            </w:r>
          </w:p>
        </w:tc>
      </w:tr>
      <w:tr w:rsidR="009C7847" w:rsidRPr="00EC496D" w:rsidTr="00EC496D">
        <w:tc>
          <w:tcPr>
            <w:tcW w:w="2882"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Fatigue</w:t>
            </w:r>
          </w:p>
        </w:tc>
        <w:tc>
          <w:tcPr>
            <w:tcW w:w="3677"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11.4%</w:t>
            </w:r>
          </w:p>
        </w:tc>
        <w:tc>
          <w:tcPr>
            <w:tcW w:w="3295" w:type="dxa"/>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8.0%</w:t>
            </w:r>
          </w:p>
        </w:tc>
      </w:tr>
      <w:tr w:rsidR="009C7847" w:rsidRPr="00EC496D" w:rsidTr="00EC496D">
        <w:tc>
          <w:tcPr>
            <w:tcW w:w="2882"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Nausea</w:t>
            </w:r>
          </w:p>
        </w:tc>
        <w:tc>
          <w:tcPr>
            <w:tcW w:w="3677" w:type="dxa"/>
            <w:shd w:val="clear" w:color="auto" w:fill="auto"/>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7.6%</w:t>
            </w:r>
          </w:p>
        </w:tc>
        <w:tc>
          <w:tcPr>
            <w:tcW w:w="3295" w:type="dxa"/>
            <w:vAlign w:val="center"/>
          </w:tcPr>
          <w:p w:rsidR="009C7847" w:rsidRPr="00ED3E34" w:rsidRDefault="009C7847" w:rsidP="00EC496D">
            <w:pPr>
              <w:spacing w:before="60" w:after="60"/>
              <w:jc w:val="center"/>
              <w:rPr>
                <w:rFonts w:ascii="Arial" w:hAnsi="Arial" w:cs="Arial"/>
                <w:sz w:val="20"/>
              </w:rPr>
            </w:pPr>
            <w:r w:rsidRPr="00ED3E34">
              <w:rPr>
                <w:rFonts w:ascii="Arial" w:hAnsi="Arial" w:cs="Arial"/>
                <w:sz w:val="20"/>
              </w:rPr>
              <w:t>2.0%</w:t>
            </w:r>
          </w:p>
        </w:tc>
      </w:tr>
    </w:tbl>
    <w:p w:rsidR="006045EA" w:rsidRPr="005E1202" w:rsidRDefault="006045EA" w:rsidP="009C7847">
      <w:pPr>
        <w:rPr>
          <w:rFonts w:ascii="Arial" w:hAnsi="Arial" w:cs="Arial"/>
        </w:rPr>
      </w:pPr>
    </w:p>
    <w:p w:rsidR="009C7847" w:rsidRPr="005E1202" w:rsidRDefault="009C7847" w:rsidP="003A45C7">
      <w:pPr>
        <w:keepNext/>
        <w:rPr>
          <w:rFonts w:ascii="Arial" w:hAnsi="Arial" w:cs="Arial"/>
          <w:b/>
        </w:rPr>
      </w:pPr>
      <w:proofErr w:type="gramStart"/>
      <w:r w:rsidRPr="005E1202">
        <w:rPr>
          <w:rFonts w:ascii="Arial" w:hAnsi="Arial" w:cs="Arial"/>
          <w:b/>
        </w:rPr>
        <w:t xml:space="preserve">Table </w:t>
      </w:r>
      <w:r w:rsidR="005E1202">
        <w:rPr>
          <w:rFonts w:ascii="Arial" w:hAnsi="Arial" w:cs="Arial"/>
          <w:b/>
        </w:rPr>
        <w:t>5</w:t>
      </w:r>
      <w:r w:rsidRPr="005E1202">
        <w:rPr>
          <w:rFonts w:ascii="Arial" w:hAnsi="Arial" w:cs="Arial"/>
          <w:b/>
        </w:rPr>
        <w:t>.</w:t>
      </w:r>
      <w:proofErr w:type="gramEnd"/>
      <w:r w:rsidRPr="005E1202">
        <w:rPr>
          <w:rFonts w:ascii="Arial" w:hAnsi="Arial" w:cs="Arial"/>
          <w:b/>
        </w:rPr>
        <w:t xml:space="preserve"> Adverse reactions reported in ≥ 10% of treatment-naïve adults without cirrhosis receiving MAVIRET for 8 or 12 weeks in ENDURANCE-3</w:t>
      </w:r>
    </w:p>
    <w:tbl>
      <w:tblPr>
        <w:tblStyle w:val="TableGrid"/>
        <w:tblW w:w="0" w:type="auto"/>
        <w:tblLook w:val="04A0" w:firstRow="1" w:lastRow="0" w:firstColumn="1" w:lastColumn="0" w:noHBand="0" w:noVBand="1"/>
      </w:tblPr>
      <w:tblGrid>
        <w:gridCol w:w="2317"/>
        <w:gridCol w:w="2324"/>
        <w:gridCol w:w="2317"/>
        <w:gridCol w:w="2284"/>
      </w:tblGrid>
      <w:tr w:rsidR="009C7847" w:rsidRPr="005E1202" w:rsidTr="00EC496D">
        <w:trPr>
          <w:tblHeader/>
        </w:trPr>
        <w:tc>
          <w:tcPr>
            <w:tcW w:w="2463" w:type="dxa"/>
            <w:vMerge w:val="restart"/>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Adverse Reaction</w:t>
            </w:r>
          </w:p>
        </w:tc>
        <w:tc>
          <w:tcPr>
            <w:tcW w:w="2463"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MAVIRET*</w:t>
            </w:r>
          </w:p>
          <w:p w:rsidR="009C7847" w:rsidRPr="005E1202" w:rsidRDefault="009C7847" w:rsidP="00EC496D">
            <w:pPr>
              <w:spacing w:before="60" w:after="60"/>
              <w:jc w:val="center"/>
              <w:rPr>
                <w:rFonts w:ascii="Arial" w:hAnsi="Arial" w:cs="Arial"/>
                <w:b/>
              </w:rPr>
            </w:pPr>
            <w:r w:rsidRPr="005E1202">
              <w:rPr>
                <w:rFonts w:ascii="Arial" w:hAnsi="Arial" w:cs="Arial"/>
                <w:b/>
              </w:rPr>
              <w:t>8 weeks</w:t>
            </w:r>
          </w:p>
        </w:tc>
        <w:tc>
          <w:tcPr>
            <w:tcW w:w="2464"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MAVIRET</w:t>
            </w:r>
          </w:p>
          <w:p w:rsidR="009C7847" w:rsidRPr="005E1202" w:rsidRDefault="009C7847" w:rsidP="00EC496D">
            <w:pPr>
              <w:spacing w:before="60" w:after="60"/>
              <w:jc w:val="center"/>
              <w:rPr>
                <w:rFonts w:ascii="Arial" w:hAnsi="Arial" w:cs="Arial"/>
                <w:b/>
              </w:rPr>
            </w:pPr>
            <w:r w:rsidRPr="005E1202">
              <w:rPr>
                <w:rFonts w:ascii="Arial" w:hAnsi="Arial" w:cs="Arial"/>
                <w:b/>
              </w:rPr>
              <w:t>12 weeks</w:t>
            </w:r>
          </w:p>
        </w:tc>
        <w:tc>
          <w:tcPr>
            <w:tcW w:w="2464" w:type="dxa"/>
            <w:vAlign w:val="center"/>
          </w:tcPr>
          <w:p w:rsidR="009C7847" w:rsidRPr="005E1202" w:rsidRDefault="009C7847" w:rsidP="00EC496D">
            <w:pPr>
              <w:spacing w:before="60" w:after="60"/>
              <w:jc w:val="center"/>
              <w:rPr>
                <w:rFonts w:ascii="Arial" w:hAnsi="Arial" w:cs="Arial"/>
                <w:b/>
              </w:rPr>
            </w:pPr>
            <w:r w:rsidRPr="005E1202">
              <w:rPr>
                <w:rFonts w:ascii="Arial" w:hAnsi="Arial" w:cs="Arial"/>
                <w:b/>
              </w:rPr>
              <w:t>DCV</w:t>
            </w:r>
            <w:r w:rsidRPr="005E1202">
              <w:rPr>
                <w:rFonts w:ascii="Arial" w:hAnsi="Arial" w:cs="Arial"/>
                <w:b/>
                <w:vertAlign w:val="superscript"/>
              </w:rPr>
              <w:t>1</w:t>
            </w:r>
            <w:r w:rsidRPr="005E1202">
              <w:rPr>
                <w:rFonts w:ascii="Arial" w:hAnsi="Arial" w:cs="Arial"/>
                <w:b/>
              </w:rPr>
              <w:t xml:space="preserve"> + SOF</w:t>
            </w:r>
            <w:r w:rsidRPr="005E1202">
              <w:rPr>
                <w:rFonts w:ascii="Arial" w:hAnsi="Arial" w:cs="Arial"/>
                <w:b/>
                <w:vertAlign w:val="superscript"/>
              </w:rPr>
              <w:t>2</w:t>
            </w:r>
          </w:p>
          <w:p w:rsidR="009C7847" w:rsidRPr="005E1202" w:rsidRDefault="009C7847" w:rsidP="00EC496D">
            <w:pPr>
              <w:spacing w:before="60" w:after="60"/>
              <w:jc w:val="center"/>
              <w:rPr>
                <w:rFonts w:ascii="Arial" w:hAnsi="Arial" w:cs="Arial"/>
                <w:b/>
              </w:rPr>
            </w:pPr>
            <w:r w:rsidRPr="005E1202">
              <w:rPr>
                <w:rFonts w:ascii="Arial" w:hAnsi="Arial" w:cs="Arial"/>
                <w:b/>
              </w:rPr>
              <w:t>12 weeks</w:t>
            </w:r>
          </w:p>
        </w:tc>
      </w:tr>
      <w:tr w:rsidR="009C7847" w:rsidRPr="005E1202" w:rsidTr="00EC496D">
        <w:trPr>
          <w:trHeight w:val="404"/>
          <w:tblHeader/>
        </w:trPr>
        <w:tc>
          <w:tcPr>
            <w:tcW w:w="2463" w:type="dxa"/>
            <w:vMerge/>
            <w:vAlign w:val="center"/>
          </w:tcPr>
          <w:p w:rsidR="009C7847" w:rsidRPr="005E1202" w:rsidRDefault="009C7847" w:rsidP="00EC496D">
            <w:pPr>
              <w:spacing w:before="60" w:after="60"/>
              <w:jc w:val="center"/>
              <w:rPr>
                <w:rFonts w:ascii="Arial" w:hAnsi="Arial" w:cs="Arial"/>
                <w:b/>
              </w:rPr>
            </w:pPr>
          </w:p>
        </w:tc>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N = 157</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N = 233</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N = 115</w:t>
            </w:r>
          </w:p>
        </w:tc>
      </w:tr>
      <w:tr w:rsidR="009C7847" w:rsidRPr="005E1202" w:rsidTr="00EC496D">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Headache</w:t>
            </w:r>
          </w:p>
        </w:tc>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16 %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17 %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15 %</w:t>
            </w:r>
          </w:p>
        </w:tc>
      </w:tr>
      <w:tr w:rsidR="009C7847" w:rsidRPr="005E1202" w:rsidTr="00EC496D">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Fatigue</w:t>
            </w:r>
          </w:p>
        </w:tc>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11 %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14 %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12 %</w:t>
            </w:r>
          </w:p>
        </w:tc>
      </w:tr>
      <w:tr w:rsidR="009C7847" w:rsidRPr="005E1202" w:rsidTr="00EC496D">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Nausea</w:t>
            </w:r>
          </w:p>
        </w:tc>
        <w:tc>
          <w:tcPr>
            <w:tcW w:w="2463"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9 %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12 %</w:t>
            </w:r>
          </w:p>
        </w:tc>
        <w:tc>
          <w:tcPr>
            <w:tcW w:w="2464" w:type="dxa"/>
            <w:vAlign w:val="center"/>
          </w:tcPr>
          <w:p w:rsidR="009C7847" w:rsidRPr="005E1202" w:rsidRDefault="009C7847" w:rsidP="00EC496D">
            <w:pPr>
              <w:spacing w:before="60" w:after="60"/>
              <w:jc w:val="center"/>
              <w:rPr>
                <w:rFonts w:ascii="Arial" w:hAnsi="Arial" w:cs="Arial"/>
              </w:rPr>
            </w:pPr>
            <w:r w:rsidRPr="005E1202">
              <w:rPr>
                <w:rFonts w:ascii="Arial" w:hAnsi="Arial" w:cs="Arial"/>
              </w:rPr>
              <w:t>12 %</w:t>
            </w:r>
          </w:p>
        </w:tc>
      </w:tr>
      <w:tr w:rsidR="009C7847" w:rsidRPr="005E1202" w:rsidTr="00EC496D">
        <w:trPr>
          <w:trHeight w:val="64"/>
        </w:trPr>
        <w:tc>
          <w:tcPr>
            <w:tcW w:w="9854" w:type="dxa"/>
            <w:gridSpan w:val="4"/>
          </w:tcPr>
          <w:p w:rsidR="009C7847" w:rsidRPr="005E1202" w:rsidRDefault="009C7847" w:rsidP="00EC496D">
            <w:pPr>
              <w:spacing w:before="60" w:after="60"/>
              <w:rPr>
                <w:rFonts w:ascii="Arial" w:hAnsi="Arial" w:cs="Arial"/>
              </w:rPr>
            </w:pPr>
            <w:r w:rsidRPr="005E1202">
              <w:rPr>
                <w:rFonts w:ascii="Arial" w:hAnsi="Arial" w:cs="Arial"/>
                <w:vertAlign w:val="superscript"/>
              </w:rPr>
              <w:t xml:space="preserve">1 </w:t>
            </w:r>
            <w:r w:rsidRPr="005E1202">
              <w:rPr>
                <w:rFonts w:ascii="Arial" w:hAnsi="Arial" w:cs="Arial"/>
              </w:rPr>
              <w:t xml:space="preserve">DCV = </w:t>
            </w:r>
            <w:proofErr w:type="spellStart"/>
            <w:r w:rsidRPr="005E1202">
              <w:rPr>
                <w:rFonts w:ascii="Arial" w:hAnsi="Arial" w:cs="Arial"/>
              </w:rPr>
              <w:t>daclatasvir</w:t>
            </w:r>
            <w:proofErr w:type="spellEnd"/>
          </w:p>
          <w:p w:rsidR="009C7847" w:rsidRPr="005E1202" w:rsidRDefault="009C7847" w:rsidP="00EC496D">
            <w:pPr>
              <w:spacing w:before="60" w:after="60"/>
              <w:rPr>
                <w:rFonts w:ascii="Arial" w:hAnsi="Arial" w:cs="Arial"/>
              </w:rPr>
            </w:pPr>
            <w:r w:rsidRPr="005E1202">
              <w:rPr>
                <w:rFonts w:ascii="Arial" w:hAnsi="Arial" w:cs="Arial"/>
                <w:vertAlign w:val="superscript"/>
              </w:rPr>
              <w:lastRenderedPageBreak/>
              <w:t>2</w:t>
            </w:r>
            <w:r w:rsidRPr="005E1202">
              <w:rPr>
                <w:rFonts w:ascii="Arial" w:hAnsi="Arial" w:cs="Arial"/>
              </w:rPr>
              <w:t xml:space="preserve"> SOF = </w:t>
            </w:r>
            <w:proofErr w:type="spellStart"/>
            <w:r w:rsidRPr="005E1202">
              <w:rPr>
                <w:rFonts w:ascii="Arial" w:hAnsi="Arial" w:cs="Arial"/>
              </w:rPr>
              <w:t>sofosbuvir</w:t>
            </w:r>
            <w:proofErr w:type="spellEnd"/>
          </w:p>
          <w:p w:rsidR="009C7847" w:rsidRPr="005E1202" w:rsidRDefault="009C7847" w:rsidP="00EC496D">
            <w:pPr>
              <w:spacing w:before="60" w:after="60"/>
              <w:rPr>
                <w:rFonts w:ascii="Arial" w:hAnsi="Arial" w:cs="Arial"/>
              </w:rPr>
            </w:pPr>
            <w:r w:rsidRPr="005E1202">
              <w:rPr>
                <w:rFonts w:ascii="Arial" w:hAnsi="Arial" w:cs="Arial"/>
              </w:rPr>
              <w:t>* The 8 week arm was a non-randomised treatment arm</w:t>
            </w:r>
          </w:p>
        </w:tc>
      </w:tr>
    </w:tbl>
    <w:p w:rsidR="009C7847" w:rsidRPr="005E1202" w:rsidRDefault="009C7847" w:rsidP="009C7847">
      <w:pPr>
        <w:rPr>
          <w:rFonts w:ascii="Arial" w:hAnsi="Arial" w:cs="Arial"/>
          <w:b/>
        </w:rPr>
      </w:pPr>
    </w:p>
    <w:p w:rsidR="009C7847" w:rsidRPr="005E1202" w:rsidRDefault="009C7847" w:rsidP="00CB7E98">
      <w:pPr>
        <w:pStyle w:val="Heading3"/>
      </w:pPr>
      <w:r w:rsidRPr="005E1202">
        <w:t>Adverse Reactions in Subjects with Severe Renal Impairment Including Subjects on Dialysis</w:t>
      </w:r>
    </w:p>
    <w:p w:rsidR="009C7847" w:rsidRPr="005E1202" w:rsidRDefault="009C7847" w:rsidP="004E4B98">
      <w:pPr>
        <w:jc w:val="both"/>
        <w:rPr>
          <w:rFonts w:ascii="Arial" w:hAnsi="Arial" w:cs="Arial"/>
        </w:rPr>
      </w:pPr>
      <w:r w:rsidRPr="005E1202">
        <w:rPr>
          <w:rFonts w:ascii="Arial" w:hAnsi="Arial" w:cs="Arial"/>
        </w:rPr>
        <w:t>The safety of MAVIRET in patients with chronic kidney disease (Stage 4 or Stage 5 including subjects on dialysis) and genotypes 1, 2, 3, 4, 5 or 6 chronic HCV infection without cirrhosis or with compensated cirrhosis was assessed in 104 patients (EXPEDITION-4). The most common adverse reactions were pruritus and fatigue in patients treated with MAVIRET for 12 weeks. Adverse reactions observed in greater than or equal to 5% of patients receiving 12 weeks of treatment with MAVIRET were pruritus (17.3%), fatigue (11.5%), nausea (8.7%), asthenia (6.7%), and headache (5.8%). In patients treated with MAVIRET who reported an adverse reaction, 55% had adverse reactions of mild severity. No patients experienced a serious adverse reaction. The proportion of patients who permanently discontinued treatment due to adverse reactions was 1.9%.</w:t>
      </w:r>
    </w:p>
    <w:p w:rsidR="009C7847" w:rsidRPr="005E1202" w:rsidRDefault="009C7847" w:rsidP="009C7847">
      <w:pPr>
        <w:pStyle w:val="Heading3"/>
        <w:rPr>
          <w:rFonts w:cs="Arial"/>
        </w:rPr>
      </w:pPr>
      <w:r w:rsidRPr="005E1202">
        <w:rPr>
          <w:rFonts w:cs="Arial"/>
        </w:rPr>
        <w:t>Serum bilirubin elevations</w:t>
      </w:r>
    </w:p>
    <w:p w:rsidR="009C7847" w:rsidRPr="005E1202" w:rsidRDefault="009C7847" w:rsidP="009A5E7A">
      <w:pPr>
        <w:jc w:val="both"/>
        <w:rPr>
          <w:rFonts w:ascii="Arial" w:hAnsi="Arial" w:cs="Arial"/>
        </w:rPr>
      </w:pPr>
      <w:r w:rsidRPr="005E1202">
        <w:rPr>
          <w:rFonts w:ascii="Arial" w:hAnsi="Arial" w:cs="Arial"/>
          <w:lang w:val="en-CA"/>
        </w:rPr>
        <w:t xml:space="preserve">Elevations in total bilirubin of at least 2x upper limit </w:t>
      </w:r>
      <w:r w:rsidR="00A53B34">
        <w:rPr>
          <w:rFonts w:ascii="Arial" w:hAnsi="Arial" w:cs="Arial"/>
          <w:lang w:val="en-CA"/>
        </w:rPr>
        <w:t xml:space="preserve">of </w:t>
      </w:r>
      <w:r w:rsidRPr="005E1202">
        <w:rPr>
          <w:rFonts w:ascii="Arial" w:hAnsi="Arial" w:cs="Arial"/>
          <w:lang w:val="en-CA"/>
        </w:rPr>
        <w:t xml:space="preserve">normal (ULN) were observed in 1% of subjects related to </w:t>
      </w:r>
      <w:proofErr w:type="spellStart"/>
      <w:r w:rsidRPr="005E1202">
        <w:rPr>
          <w:rFonts w:ascii="Arial" w:hAnsi="Arial" w:cs="Arial"/>
          <w:lang w:val="en-CA"/>
        </w:rPr>
        <w:t>glecaprevir</w:t>
      </w:r>
      <w:proofErr w:type="spellEnd"/>
      <w:r w:rsidRPr="005E1202">
        <w:rPr>
          <w:rFonts w:ascii="Arial" w:hAnsi="Arial" w:cs="Arial"/>
          <w:lang w:val="en-CA"/>
        </w:rPr>
        <w:t>-mediated inhibition of bilirubin transporters and metabolism. Bilirubin elevations were asymptomatic, transient, and typically occurred early during treatment. Bilirubin elevations were predominantly indirect and not associated with ALT elevations.</w:t>
      </w:r>
    </w:p>
    <w:p w:rsidR="001A3992" w:rsidRPr="005E1202" w:rsidRDefault="001A3992" w:rsidP="001A3992">
      <w:pPr>
        <w:pStyle w:val="Heading2"/>
        <w:keepNext/>
        <w:keepLines/>
        <w:spacing w:before="0" w:after="120"/>
        <w:rPr>
          <w:rFonts w:cs="Arial"/>
        </w:rPr>
      </w:pPr>
      <w:r w:rsidRPr="005E1202">
        <w:rPr>
          <w:rFonts w:cs="Arial"/>
        </w:rPr>
        <w:t>Overdose</w:t>
      </w:r>
    </w:p>
    <w:p w:rsidR="009C7847" w:rsidRPr="005E1202" w:rsidRDefault="009C7847" w:rsidP="009A5E7A">
      <w:pPr>
        <w:jc w:val="both"/>
        <w:rPr>
          <w:rFonts w:ascii="Arial" w:hAnsi="Arial" w:cs="Arial"/>
        </w:rPr>
      </w:pPr>
      <w:r w:rsidRPr="005E1202">
        <w:rPr>
          <w:rFonts w:ascii="Arial" w:hAnsi="Arial" w:cs="Arial"/>
        </w:rPr>
        <w:t xml:space="preserve">The highest documented doses administered to healthy volunteers is 1200 mg once daily for 7 days for </w:t>
      </w:r>
      <w:proofErr w:type="spellStart"/>
      <w:r w:rsidRPr="005E1202">
        <w:rPr>
          <w:rFonts w:ascii="Arial" w:hAnsi="Arial" w:cs="Arial"/>
        </w:rPr>
        <w:t>glecaprevir</w:t>
      </w:r>
      <w:proofErr w:type="spellEnd"/>
      <w:r w:rsidRPr="005E1202">
        <w:rPr>
          <w:rFonts w:ascii="Arial" w:hAnsi="Arial" w:cs="Arial"/>
        </w:rPr>
        <w:t xml:space="preserve"> and 600 mg once daily for 10 days for </w:t>
      </w:r>
      <w:proofErr w:type="spellStart"/>
      <w:r w:rsidRPr="005E1202">
        <w:rPr>
          <w:rFonts w:ascii="Arial" w:hAnsi="Arial" w:cs="Arial"/>
        </w:rPr>
        <w:t>pibrentasvir</w:t>
      </w:r>
      <w:proofErr w:type="spellEnd"/>
      <w:r w:rsidRPr="005E1202">
        <w:rPr>
          <w:rFonts w:ascii="Arial" w:hAnsi="Arial" w:cs="Arial"/>
        </w:rPr>
        <w:t xml:space="preserve">. In case of overdose, the patient should be monitored for any signs and symptoms of toxicities. Appropriate symptomatic treatment should be instituted immediately.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were not significantly removed by haemodialysis.</w:t>
      </w:r>
    </w:p>
    <w:p w:rsidR="009C7847" w:rsidRPr="005E1202" w:rsidRDefault="009C7847" w:rsidP="009A5E7A">
      <w:pPr>
        <w:jc w:val="both"/>
        <w:rPr>
          <w:rFonts w:ascii="Arial" w:hAnsi="Arial" w:cs="Arial"/>
        </w:rPr>
      </w:pPr>
      <w:r w:rsidRPr="005E1202">
        <w:rPr>
          <w:rFonts w:ascii="Arial" w:hAnsi="Arial" w:cs="Arial"/>
        </w:rPr>
        <w:t xml:space="preserve">For information on the management of overdose in Australia contact the Poisons Information Centre on 131126. </w:t>
      </w:r>
    </w:p>
    <w:p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Pharmacological properties</w:t>
      </w:r>
    </w:p>
    <w:p w:rsidR="001A3992" w:rsidRPr="005E1202" w:rsidRDefault="001A3992" w:rsidP="001A3992">
      <w:pPr>
        <w:pStyle w:val="Heading2"/>
        <w:spacing w:before="0" w:after="120"/>
        <w:rPr>
          <w:rFonts w:cs="Arial"/>
          <w:lang w:val="en-US"/>
        </w:rPr>
      </w:pPr>
      <w:proofErr w:type="spellStart"/>
      <w:r w:rsidRPr="005E1202">
        <w:rPr>
          <w:rFonts w:cs="Arial"/>
          <w:lang w:val="en-US"/>
        </w:rPr>
        <w:t>Pharmacodynamic</w:t>
      </w:r>
      <w:proofErr w:type="spellEnd"/>
      <w:r w:rsidRPr="005E1202">
        <w:rPr>
          <w:rFonts w:cs="Arial"/>
          <w:lang w:val="en-US"/>
        </w:rPr>
        <w:t xml:space="preserve"> properties </w:t>
      </w:r>
    </w:p>
    <w:p w:rsidR="00493B75" w:rsidRPr="005E1202" w:rsidRDefault="00493B75" w:rsidP="009A5E7A">
      <w:pPr>
        <w:jc w:val="both"/>
        <w:rPr>
          <w:rFonts w:ascii="Arial" w:hAnsi="Arial" w:cs="Arial"/>
        </w:rPr>
      </w:pPr>
      <w:proofErr w:type="spellStart"/>
      <w:r w:rsidRPr="005E1202">
        <w:rPr>
          <w:rFonts w:ascii="Arial" w:hAnsi="Arial" w:cs="Arial"/>
        </w:rPr>
        <w:t>Pharmacotherapeutic</w:t>
      </w:r>
      <w:proofErr w:type="spellEnd"/>
      <w:r w:rsidRPr="005E1202">
        <w:rPr>
          <w:rFonts w:ascii="Arial" w:hAnsi="Arial" w:cs="Arial"/>
        </w:rPr>
        <w:t xml:space="preserve"> Group: Antivirals for systemic use; direct acting antivirals, other antivirals. </w:t>
      </w:r>
    </w:p>
    <w:p w:rsidR="00493B75" w:rsidRPr="005E1202" w:rsidRDefault="00493B75" w:rsidP="009A5E7A">
      <w:pPr>
        <w:jc w:val="both"/>
        <w:rPr>
          <w:rFonts w:ascii="Arial" w:hAnsi="Arial" w:cs="Arial"/>
        </w:rPr>
      </w:pPr>
      <w:r w:rsidRPr="005E1202">
        <w:rPr>
          <w:rFonts w:ascii="Arial" w:hAnsi="Arial" w:cs="Arial"/>
        </w:rPr>
        <w:t>ATC code: not yet assigned</w:t>
      </w:r>
      <w:r w:rsidR="009A5E7A">
        <w:rPr>
          <w:rFonts w:ascii="Arial" w:hAnsi="Arial" w:cs="Arial"/>
        </w:rPr>
        <w:t>.</w:t>
      </w:r>
    </w:p>
    <w:p w:rsidR="001A3992" w:rsidRPr="005E1202" w:rsidRDefault="001A3992" w:rsidP="001A3992">
      <w:pPr>
        <w:pStyle w:val="Heading3"/>
        <w:spacing w:before="0" w:after="120"/>
        <w:rPr>
          <w:rFonts w:cs="Arial"/>
        </w:rPr>
      </w:pPr>
      <w:r w:rsidRPr="005E1202">
        <w:rPr>
          <w:rFonts w:cs="Arial"/>
        </w:rPr>
        <w:lastRenderedPageBreak/>
        <w:t>Mechanism of action</w:t>
      </w:r>
    </w:p>
    <w:p w:rsidR="00493B75" w:rsidRPr="005E1202" w:rsidRDefault="00493B75" w:rsidP="009A5E7A">
      <w:pPr>
        <w:jc w:val="both"/>
        <w:rPr>
          <w:rFonts w:ascii="Arial" w:hAnsi="Arial" w:cs="Arial"/>
        </w:rPr>
      </w:pPr>
      <w:r w:rsidRPr="005E1202">
        <w:rPr>
          <w:rFonts w:ascii="Arial" w:hAnsi="Arial" w:cs="Arial"/>
        </w:rPr>
        <w:t xml:space="preserve">MAVIRET is a fixed-dose combination of two </w:t>
      </w:r>
      <w:proofErr w:type="spellStart"/>
      <w:r w:rsidRPr="005E1202">
        <w:rPr>
          <w:rFonts w:ascii="Arial" w:hAnsi="Arial" w:cs="Arial"/>
        </w:rPr>
        <w:t>pangenotypic</w:t>
      </w:r>
      <w:proofErr w:type="spellEnd"/>
      <w:r w:rsidRPr="005E1202">
        <w:rPr>
          <w:rFonts w:ascii="Arial" w:hAnsi="Arial" w:cs="Arial"/>
        </w:rPr>
        <w:t xml:space="preserve"> direct-acting </w:t>
      </w:r>
      <w:r w:rsidRPr="005E1202">
        <w:rPr>
          <w:rFonts w:ascii="Arial" w:hAnsi="Arial" w:cs="Arial"/>
          <w:noProof/>
        </w:rPr>
        <w:t>antiviral</w:t>
      </w:r>
      <w:r w:rsidRPr="005E1202">
        <w:rPr>
          <w:rFonts w:ascii="Arial" w:hAnsi="Arial" w:cs="Arial"/>
        </w:rPr>
        <w:t xml:space="preserve"> agents, </w:t>
      </w:r>
      <w:proofErr w:type="spellStart"/>
      <w:r w:rsidRPr="005E1202">
        <w:rPr>
          <w:rFonts w:ascii="Arial" w:hAnsi="Arial" w:cs="Arial"/>
        </w:rPr>
        <w:t>glecaprevir</w:t>
      </w:r>
      <w:proofErr w:type="spellEnd"/>
      <w:r w:rsidRPr="005E1202">
        <w:rPr>
          <w:rFonts w:ascii="Arial" w:hAnsi="Arial" w:cs="Arial"/>
        </w:rPr>
        <w:t xml:space="preserve"> (NS3/4A protease inhibitor) and </w:t>
      </w:r>
      <w:proofErr w:type="spellStart"/>
      <w:r w:rsidRPr="005E1202">
        <w:rPr>
          <w:rFonts w:ascii="Arial" w:hAnsi="Arial" w:cs="Arial"/>
        </w:rPr>
        <w:t>pibrentasvir</w:t>
      </w:r>
      <w:proofErr w:type="spellEnd"/>
      <w:r w:rsidRPr="005E1202">
        <w:rPr>
          <w:rFonts w:ascii="Arial" w:hAnsi="Arial" w:cs="Arial"/>
        </w:rPr>
        <w:t xml:space="preserve"> (NS5A inhibitor), targeting multiple steps in the HCV viral lifecycle (see </w:t>
      </w:r>
      <w:r w:rsidR="008D55BB">
        <w:rPr>
          <w:rFonts w:ascii="Arial" w:hAnsi="Arial" w:cs="Arial"/>
        </w:rPr>
        <w:t xml:space="preserve">5.1 PHARMACODYNAMIC PROPERTIES </w:t>
      </w:r>
      <w:r w:rsidRPr="005E1202">
        <w:rPr>
          <w:rFonts w:ascii="Arial" w:hAnsi="Arial" w:cs="Arial"/>
        </w:rPr>
        <w:t xml:space="preserve">- </w:t>
      </w:r>
      <w:hyperlink w:anchor="pk-microbiology" w:tooltip="gtc:Link" w:history="1">
        <w:r w:rsidRPr="005E1202">
          <w:rPr>
            <w:rStyle w:val="gtclinktext8"/>
            <w:rFonts w:ascii="Arial" w:hAnsi="Arial" w:cs="Arial"/>
          </w:rPr>
          <w:t>Microbiology</w:t>
        </w:r>
      </w:hyperlink>
      <w:r w:rsidRPr="005E1202">
        <w:rPr>
          <w:rFonts w:ascii="Arial" w:hAnsi="Arial" w:cs="Arial"/>
        </w:rPr>
        <w:t>).</w:t>
      </w:r>
    </w:p>
    <w:p w:rsidR="00493B75" w:rsidRPr="005E1202" w:rsidRDefault="00493B75" w:rsidP="009C7847">
      <w:pPr>
        <w:pStyle w:val="Heading3"/>
        <w:rPr>
          <w:rFonts w:cs="Arial"/>
        </w:rPr>
      </w:pPr>
      <w:r w:rsidRPr="005E1202">
        <w:rPr>
          <w:rFonts w:cs="Arial"/>
        </w:rPr>
        <w:t>Pharmacodynamics</w:t>
      </w:r>
    </w:p>
    <w:p w:rsidR="00493B75" w:rsidRPr="005E1202" w:rsidRDefault="00493B75" w:rsidP="009C7847">
      <w:pPr>
        <w:pStyle w:val="Heading4"/>
        <w:rPr>
          <w:rFonts w:cs="Arial"/>
        </w:rPr>
      </w:pPr>
      <w:r w:rsidRPr="005E1202">
        <w:rPr>
          <w:rFonts w:cs="Arial"/>
        </w:rPr>
        <w:t>Effects on Electrocardiogram</w:t>
      </w:r>
    </w:p>
    <w:p w:rsidR="00493B75" w:rsidRPr="005E1202" w:rsidRDefault="00493B75" w:rsidP="009A5E7A">
      <w:pPr>
        <w:jc w:val="both"/>
        <w:rPr>
          <w:rFonts w:ascii="Arial" w:hAnsi="Arial" w:cs="Arial"/>
        </w:rPr>
      </w:pPr>
      <w:r w:rsidRPr="005E1202">
        <w:rPr>
          <w:rFonts w:ascii="Arial" w:hAnsi="Arial" w:cs="Arial"/>
        </w:rPr>
        <w:t xml:space="preserve">The effect of </w:t>
      </w:r>
      <w:proofErr w:type="spellStart"/>
      <w:r w:rsidRPr="005E1202">
        <w:rPr>
          <w:rFonts w:ascii="Arial" w:hAnsi="Arial" w:cs="Arial"/>
        </w:rPr>
        <w:t>glecaprevir</w:t>
      </w:r>
      <w:proofErr w:type="spellEnd"/>
      <w:r w:rsidRPr="005E1202">
        <w:rPr>
          <w:rFonts w:ascii="Arial" w:hAnsi="Arial" w:cs="Arial"/>
        </w:rPr>
        <w:t xml:space="preserve"> (up to 600 mg) with </w:t>
      </w:r>
      <w:proofErr w:type="spellStart"/>
      <w:r w:rsidRPr="005E1202">
        <w:rPr>
          <w:rFonts w:ascii="Arial" w:hAnsi="Arial" w:cs="Arial"/>
        </w:rPr>
        <w:t>pibrentasvir</w:t>
      </w:r>
      <w:proofErr w:type="spellEnd"/>
      <w:r w:rsidRPr="005E1202">
        <w:rPr>
          <w:rFonts w:ascii="Arial" w:hAnsi="Arial" w:cs="Arial"/>
        </w:rPr>
        <w:t xml:space="preserve"> (up to 240 mg) on </w:t>
      </w:r>
      <w:proofErr w:type="spellStart"/>
      <w:r w:rsidRPr="005E1202">
        <w:rPr>
          <w:rFonts w:ascii="Arial" w:hAnsi="Arial" w:cs="Arial"/>
        </w:rPr>
        <w:t>QTc</w:t>
      </w:r>
      <w:proofErr w:type="spellEnd"/>
      <w:r w:rsidRPr="005E1202">
        <w:rPr>
          <w:rFonts w:ascii="Arial" w:hAnsi="Arial" w:cs="Arial"/>
        </w:rPr>
        <w:t xml:space="preserve"> interval was evaluated in an active-controlled (moxifloxacin 400 mg) thorough QT study. </w:t>
      </w:r>
      <w:r w:rsidRPr="005E1202">
        <w:rPr>
          <w:rFonts w:ascii="Arial" w:hAnsi="Arial" w:cs="Arial"/>
          <w:bCs/>
        </w:rPr>
        <w:t xml:space="preserve">At 20-fold of </w:t>
      </w:r>
      <w:proofErr w:type="spellStart"/>
      <w:r w:rsidRPr="005E1202">
        <w:rPr>
          <w:rFonts w:ascii="Arial" w:hAnsi="Arial" w:cs="Arial"/>
          <w:bCs/>
        </w:rPr>
        <w:t>glecaprevir</w:t>
      </w:r>
      <w:proofErr w:type="spellEnd"/>
      <w:r w:rsidRPr="005E1202">
        <w:rPr>
          <w:rFonts w:ascii="Arial" w:hAnsi="Arial" w:cs="Arial"/>
          <w:bCs/>
        </w:rPr>
        <w:t xml:space="preserve"> and 5-fold of </w:t>
      </w:r>
      <w:proofErr w:type="spellStart"/>
      <w:r w:rsidRPr="005E1202">
        <w:rPr>
          <w:rFonts w:ascii="Arial" w:hAnsi="Arial" w:cs="Arial"/>
          <w:bCs/>
        </w:rPr>
        <w:t>pibrentasvir</w:t>
      </w:r>
      <w:proofErr w:type="spellEnd"/>
      <w:r w:rsidRPr="005E1202">
        <w:rPr>
          <w:rFonts w:ascii="Arial" w:hAnsi="Arial" w:cs="Arial"/>
          <w:bCs/>
        </w:rPr>
        <w:t xml:space="preserve"> therapeutic concentrations, the </w:t>
      </w:r>
      <w:proofErr w:type="spellStart"/>
      <w:r w:rsidRPr="005E1202">
        <w:rPr>
          <w:rFonts w:ascii="Arial" w:hAnsi="Arial" w:cs="Arial"/>
          <w:bCs/>
        </w:rPr>
        <w:t>glecaprevir</w:t>
      </w:r>
      <w:proofErr w:type="spellEnd"/>
      <w:r w:rsidRPr="005E1202">
        <w:rPr>
          <w:rFonts w:ascii="Arial" w:hAnsi="Arial" w:cs="Arial"/>
          <w:bCs/>
        </w:rPr>
        <w:t xml:space="preserve"> and </w:t>
      </w:r>
      <w:proofErr w:type="spellStart"/>
      <w:r w:rsidRPr="005E1202">
        <w:rPr>
          <w:rFonts w:ascii="Arial" w:hAnsi="Arial" w:cs="Arial"/>
          <w:bCs/>
        </w:rPr>
        <w:t>pibrentasvir</w:t>
      </w:r>
      <w:proofErr w:type="spellEnd"/>
      <w:r w:rsidRPr="005E1202">
        <w:rPr>
          <w:rFonts w:ascii="Arial" w:hAnsi="Arial" w:cs="Arial"/>
          <w:bCs/>
        </w:rPr>
        <w:t xml:space="preserve"> combination does not prolong the </w:t>
      </w:r>
      <w:proofErr w:type="spellStart"/>
      <w:r w:rsidRPr="005E1202">
        <w:rPr>
          <w:rFonts w:ascii="Arial" w:hAnsi="Arial" w:cs="Arial"/>
          <w:bCs/>
        </w:rPr>
        <w:t>QTc</w:t>
      </w:r>
      <w:proofErr w:type="spellEnd"/>
      <w:r w:rsidRPr="005E1202">
        <w:rPr>
          <w:rFonts w:ascii="Arial" w:hAnsi="Arial" w:cs="Arial"/>
          <w:bCs/>
        </w:rPr>
        <w:t xml:space="preserve"> interval</w:t>
      </w:r>
      <w:r w:rsidRPr="005E1202">
        <w:rPr>
          <w:rFonts w:ascii="Arial" w:hAnsi="Arial" w:cs="Arial"/>
        </w:rPr>
        <w:t>.</w:t>
      </w:r>
    </w:p>
    <w:p w:rsidR="00493B75" w:rsidRPr="005E1202" w:rsidRDefault="00493B75" w:rsidP="009C7847">
      <w:pPr>
        <w:pStyle w:val="Heading4"/>
        <w:rPr>
          <w:rFonts w:cs="Arial"/>
        </w:rPr>
      </w:pPr>
      <w:r w:rsidRPr="005E1202">
        <w:rPr>
          <w:rFonts w:cs="Arial"/>
        </w:rPr>
        <w:t>Microbiology</w:t>
      </w:r>
    </w:p>
    <w:p w:rsidR="00493B75" w:rsidRPr="005E1202" w:rsidRDefault="00493B75" w:rsidP="00493B75">
      <w:pPr>
        <w:pStyle w:val="Heading3"/>
        <w:rPr>
          <w:rFonts w:cs="Arial"/>
        </w:rPr>
      </w:pPr>
      <w:r w:rsidRPr="005E1202">
        <w:rPr>
          <w:rFonts w:cs="Arial"/>
        </w:rPr>
        <w:t>Mechanism of Action</w:t>
      </w:r>
    </w:p>
    <w:p w:rsidR="00493B75" w:rsidRPr="005E1202" w:rsidRDefault="00493B75" w:rsidP="00493B75">
      <w:pPr>
        <w:pStyle w:val="Heading4"/>
        <w:rPr>
          <w:rFonts w:cs="Arial"/>
        </w:rPr>
      </w:pPr>
      <w:proofErr w:type="spellStart"/>
      <w:r w:rsidRPr="005E1202">
        <w:rPr>
          <w:rFonts w:cs="Arial"/>
        </w:rPr>
        <w:t>Glecaprevir</w:t>
      </w:r>
      <w:proofErr w:type="spellEnd"/>
    </w:p>
    <w:p w:rsidR="00493B75" w:rsidRPr="005E1202" w:rsidRDefault="00493B75" w:rsidP="009A5E7A">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is a </w:t>
      </w:r>
      <w:proofErr w:type="spellStart"/>
      <w:r w:rsidRPr="005E1202">
        <w:rPr>
          <w:rFonts w:ascii="Arial" w:hAnsi="Arial" w:cs="Arial"/>
        </w:rPr>
        <w:t>pangenotypic</w:t>
      </w:r>
      <w:proofErr w:type="spellEnd"/>
      <w:r w:rsidRPr="005E1202">
        <w:rPr>
          <w:rFonts w:ascii="Arial" w:hAnsi="Arial" w:cs="Arial"/>
        </w:rPr>
        <w:t xml:space="preserve"> inhibitor of the HCV NS3/4A protease, which is necessary for the proteolytic cleavage of the HCV encoded polyprotein (into mature forms of the NS3, NS4A, NS4B, NS5A, and NS5B proteins), and is essential for viral replication. In a biochemical assay, </w:t>
      </w:r>
      <w:proofErr w:type="spellStart"/>
      <w:r w:rsidRPr="005E1202">
        <w:rPr>
          <w:rFonts w:ascii="Arial" w:hAnsi="Arial" w:cs="Arial"/>
        </w:rPr>
        <w:t>glecaprevir</w:t>
      </w:r>
      <w:proofErr w:type="spellEnd"/>
      <w:r w:rsidRPr="005E1202">
        <w:rPr>
          <w:rFonts w:ascii="Arial" w:hAnsi="Arial" w:cs="Arial"/>
        </w:rPr>
        <w:t xml:space="preserve"> inhibited the proteolytic activity of recombinant NS3/4A enzymes from clinical isolates of HCV genotypes 1a, 1b, 2a, 2b, 3a, 4a, 5a, and 6a with IC</w:t>
      </w:r>
      <w:r w:rsidRPr="005E1202">
        <w:rPr>
          <w:rFonts w:ascii="Arial" w:hAnsi="Arial" w:cs="Arial"/>
          <w:vertAlign w:val="subscript"/>
        </w:rPr>
        <w:t>50</w:t>
      </w:r>
      <w:r w:rsidRPr="005E1202">
        <w:rPr>
          <w:rFonts w:ascii="Arial" w:hAnsi="Arial" w:cs="Arial"/>
        </w:rPr>
        <w:t xml:space="preserve"> values ranging from 3.5 to 11.3 </w:t>
      </w:r>
      <w:proofErr w:type="spellStart"/>
      <w:r w:rsidRPr="005E1202">
        <w:rPr>
          <w:rFonts w:ascii="Arial" w:hAnsi="Arial" w:cs="Arial"/>
        </w:rPr>
        <w:t>nM</w:t>
      </w:r>
      <w:proofErr w:type="spellEnd"/>
      <w:r w:rsidRPr="005E1202">
        <w:rPr>
          <w:rFonts w:ascii="Arial" w:hAnsi="Arial" w:cs="Arial"/>
        </w:rPr>
        <w:t>.</w:t>
      </w:r>
    </w:p>
    <w:p w:rsidR="00493B75" w:rsidRPr="005E1202" w:rsidRDefault="00493B75" w:rsidP="00493B75">
      <w:pPr>
        <w:pStyle w:val="Heading4"/>
        <w:rPr>
          <w:rFonts w:cs="Arial"/>
        </w:rPr>
      </w:pPr>
      <w:proofErr w:type="spellStart"/>
      <w:r w:rsidRPr="005E1202">
        <w:rPr>
          <w:rFonts w:cs="Arial"/>
        </w:rPr>
        <w:t>Pibrentasvir</w:t>
      </w:r>
      <w:proofErr w:type="spellEnd"/>
    </w:p>
    <w:p w:rsidR="00493B75" w:rsidRPr="005E1202" w:rsidRDefault="00493B75" w:rsidP="009A5E7A">
      <w:pPr>
        <w:jc w:val="both"/>
        <w:rPr>
          <w:rFonts w:ascii="Arial" w:hAnsi="Arial" w:cs="Arial"/>
        </w:rPr>
      </w:pPr>
      <w:proofErr w:type="spellStart"/>
      <w:r w:rsidRPr="005E1202">
        <w:rPr>
          <w:rFonts w:ascii="Arial" w:hAnsi="Arial" w:cs="Arial"/>
        </w:rPr>
        <w:t>Pibrentasvir</w:t>
      </w:r>
      <w:proofErr w:type="spellEnd"/>
      <w:r w:rsidRPr="005E1202">
        <w:rPr>
          <w:rFonts w:ascii="Arial" w:hAnsi="Arial" w:cs="Arial"/>
        </w:rPr>
        <w:t xml:space="preserve"> is a </w:t>
      </w:r>
      <w:proofErr w:type="spellStart"/>
      <w:r w:rsidRPr="005E1202">
        <w:rPr>
          <w:rFonts w:ascii="Arial" w:hAnsi="Arial" w:cs="Arial"/>
        </w:rPr>
        <w:t>pangenotypic</w:t>
      </w:r>
      <w:proofErr w:type="spellEnd"/>
      <w:r w:rsidRPr="005E1202">
        <w:rPr>
          <w:rFonts w:ascii="Arial" w:hAnsi="Arial" w:cs="Arial"/>
        </w:rPr>
        <w:t xml:space="preserve"> inhibitor of HCV NS5A, which is essential for viral RNA replication and </w:t>
      </w:r>
      <w:proofErr w:type="spellStart"/>
      <w:r w:rsidRPr="005E1202">
        <w:rPr>
          <w:rFonts w:ascii="Arial" w:hAnsi="Arial" w:cs="Arial"/>
        </w:rPr>
        <w:t>virion</w:t>
      </w:r>
      <w:proofErr w:type="spellEnd"/>
      <w:r w:rsidRPr="005E1202">
        <w:rPr>
          <w:rFonts w:ascii="Arial" w:hAnsi="Arial" w:cs="Arial"/>
        </w:rPr>
        <w:t xml:space="preserve"> assembly. The mechanism of action of </w:t>
      </w:r>
      <w:proofErr w:type="spellStart"/>
      <w:r w:rsidRPr="005E1202">
        <w:rPr>
          <w:rFonts w:ascii="Arial" w:hAnsi="Arial" w:cs="Arial"/>
        </w:rPr>
        <w:t>pibrentasvir</w:t>
      </w:r>
      <w:proofErr w:type="spellEnd"/>
      <w:r w:rsidRPr="005E1202">
        <w:rPr>
          <w:rFonts w:ascii="Arial" w:hAnsi="Arial" w:cs="Arial"/>
        </w:rPr>
        <w:t xml:space="preserve"> has been characterised based on cell culture antiviral activity and drug resistance mapping studies.</w:t>
      </w:r>
    </w:p>
    <w:p w:rsidR="00493B75" w:rsidRPr="005E1202" w:rsidRDefault="00493B75" w:rsidP="009A5E7A">
      <w:pPr>
        <w:pStyle w:val="Heading4"/>
        <w:jc w:val="both"/>
        <w:rPr>
          <w:rFonts w:cs="Arial"/>
        </w:rPr>
      </w:pPr>
      <w:r w:rsidRPr="005E1202">
        <w:rPr>
          <w:rFonts w:cs="Arial"/>
        </w:rPr>
        <w:t>Antiviral Activity</w:t>
      </w:r>
    </w:p>
    <w:p w:rsidR="00493B75" w:rsidRPr="005E1202" w:rsidRDefault="00493B75" w:rsidP="009A5E7A">
      <w:pPr>
        <w:jc w:val="both"/>
        <w:rPr>
          <w:rFonts w:ascii="Arial" w:hAnsi="Arial" w:cs="Arial"/>
        </w:rPr>
      </w:pPr>
      <w:r w:rsidRPr="005E1202">
        <w:rPr>
          <w:rFonts w:ascii="Arial" w:hAnsi="Arial" w:cs="Arial"/>
        </w:rPr>
        <w:t>The EC</w:t>
      </w:r>
      <w:r w:rsidRPr="005E1202">
        <w:rPr>
          <w:rFonts w:ascii="Arial" w:hAnsi="Arial" w:cs="Arial"/>
          <w:vertAlign w:val="subscript"/>
        </w:rPr>
        <w:t>50</w:t>
      </w:r>
      <w:r w:rsidRPr="005E1202">
        <w:rPr>
          <w:rFonts w:ascii="Arial" w:hAnsi="Arial" w:cs="Arial"/>
        </w:rPr>
        <w:t xml:space="preserve"> values of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against full-length or chimeric replicons encoding NS3 or NS5A from laboratory strains are presented in Table </w:t>
      </w:r>
      <w:r w:rsidR="005E1202">
        <w:rPr>
          <w:rFonts w:ascii="Arial" w:hAnsi="Arial" w:cs="Arial"/>
        </w:rPr>
        <w:t>6</w:t>
      </w:r>
      <w:r w:rsidRPr="005E1202">
        <w:rPr>
          <w:rFonts w:ascii="Arial" w:hAnsi="Arial" w:cs="Arial"/>
          <w:b/>
        </w:rPr>
        <w:t xml:space="preserve">. </w:t>
      </w:r>
      <w:r w:rsidRPr="005E1202">
        <w:rPr>
          <w:rFonts w:ascii="Arial" w:hAnsi="Arial" w:cs="Arial"/>
        </w:rPr>
        <w:t>EC</w:t>
      </w:r>
      <w:r w:rsidRPr="005E1202">
        <w:rPr>
          <w:rFonts w:ascii="Arial" w:hAnsi="Arial" w:cs="Arial"/>
          <w:vertAlign w:val="subscript"/>
        </w:rPr>
        <w:t>50</w:t>
      </w:r>
      <w:r w:rsidRPr="005E1202">
        <w:rPr>
          <w:rFonts w:ascii="Arial" w:hAnsi="Arial" w:cs="Arial"/>
        </w:rPr>
        <w:t xml:space="preserve"> values are determined in the absence of human plasma.</w:t>
      </w:r>
    </w:p>
    <w:p w:rsidR="00493B75" w:rsidRPr="005E1202" w:rsidRDefault="00493B75" w:rsidP="003A45C7">
      <w:pPr>
        <w:keepNext/>
        <w:keepLines/>
        <w:rPr>
          <w:rFonts w:ascii="Arial" w:hAnsi="Arial" w:cs="Arial"/>
          <w:b/>
        </w:rPr>
      </w:pPr>
      <w:r w:rsidRPr="005E1202">
        <w:rPr>
          <w:rFonts w:ascii="Arial" w:hAnsi="Arial" w:cs="Arial"/>
        </w:rPr>
        <w:lastRenderedPageBreak/>
        <w:t xml:space="preserve"> </w:t>
      </w:r>
      <w:proofErr w:type="gramStart"/>
      <w:r w:rsidRPr="005E1202">
        <w:rPr>
          <w:rFonts w:ascii="Arial" w:hAnsi="Arial" w:cs="Arial"/>
          <w:b/>
        </w:rPr>
        <w:t xml:space="preserve">Table </w:t>
      </w:r>
      <w:r w:rsidR="005E1202">
        <w:rPr>
          <w:rFonts w:ascii="Arial" w:hAnsi="Arial" w:cs="Arial"/>
          <w:b/>
        </w:rPr>
        <w:t>6</w:t>
      </w:r>
      <w:r w:rsidRPr="005E1202">
        <w:rPr>
          <w:rFonts w:ascii="Arial" w:hAnsi="Arial" w:cs="Arial"/>
          <w:b/>
        </w:rPr>
        <w:t>.</w:t>
      </w:r>
      <w:proofErr w:type="gramEnd"/>
      <w:r w:rsidRPr="005E1202">
        <w:rPr>
          <w:rFonts w:ascii="Arial" w:hAnsi="Arial" w:cs="Arial"/>
          <w:b/>
        </w:rPr>
        <w:t xml:space="preserve"> Activity of </w:t>
      </w:r>
      <w:proofErr w:type="spellStart"/>
      <w:r w:rsidRPr="005E1202">
        <w:rPr>
          <w:rFonts w:ascii="Arial" w:hAnsi="Arial" w:cs="Arial"/>
          <w:b/>
        </w:rPr>
        <w:t>Glecaprevir</w:t>
      </w:r>
      <w:proofErr w:type="spellEnd"/>
      <w:r w:rsidRPr="005E1202">
        <w:rPr>
          <w:rFonts w:ascii="Arial" w:hAnsi="Arial" w:cs="Arial"/>
          <w:b/>
        </w:rPr>
        <w:t xml:space="preserve"> and </w:t>
      </w:r>
      <w:proofErr w:type="spellStart"/>
      <w:r w:rsidRPr="005E1202">
        <w:rPr>
          <w:rFonts w:ascii="Arial" w:hAnsi="Arial" w:cs="Arial"/>
          <w:b/>
        </w:rPr>
        <w:t>Pibrentasvir</w:t>
      </w:r>
      <w:proofErr w:type="spellEnd"/>
      <w:r w:rsidRPr="005E1202">
        <w:rPr>
          <w:rFonts w:ascii="Arial" w:hAnsi="Arial" w:cs="Arial"/>
          <w:b/>
        </w:rPr>
        <w:t xml:space="preserve"> </w:t>
      </w:r>
      <w:proofErr w:type="gramStart"/>
      <w:r w:rsidRPr="005E1202">
        <w:rPr>
          <w:rFonts w:ascii="Arial" w:hAnsi="Arial" w:cs="Arial"/>
          <w:b/>
        </w:rPr>
        <w:t>Against</w:t>
      </w:r>
      <w:proofErr w:type="gramEnd"/>
      <w:r w:rsidRPr="005E1202">
        <w:rPr>
          <w:rFonts w:ascii="Arial" w:hAnsi="Arial" w:cs="Arial"/>
          <w:b/>
        </w:rPr>
        <w:t xml:space="preserve"> HCV Genotypes 1-6 Replicon Cell Lines</w:t>
      </w:r>
    </w:p>
    <w:tbl>
      <w:tblPr>
        <w:tblStyle w:val="TableGrid"/>
        <w:tblW w:w="8075" w:type="dxa"/>
        <w:jc w:val="center"/>
        <w:tblLayout w:type="fixed"/>
        <w:tblLook w:val="04A0" w:firstRow="1" w:lastRow="0" w:firstColumn="1" w:lastColumn="0" w:noHBand="0" w:noVBand="1"/>
      </w:tblPr>
      <w:tblGrid>
        <w:gridCol w:w="2480"/>
        <w:gridCol w:w="2970"/>
        <w:gridCol w:w="2625"/>
      </w:tblGrid>
      <w:tr w:rsidR="00493B75" w:rsidRPr="005E1202" w:rsidTr="00493B75">
        <w:trPr>
          <w:trHeight w:val="262"/>
          <w:tblHeader/>
          <w:jc w:val="center"/>
        </w:trPr>
        <w:tc>
          <w:tcPr>
            <w:tcW w:w="2480" w:type="dxa"/>
            <w:tcBorders>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b/>
              </w:rPr>
            </w:pPr>
            <w:r w:rsidRPr="005E1202">
              <w:rPr>
                <w:rFonts w:ascii="Arial" w:hAnsi="Arial" w:cs="Arial"/>
                <w:b/>
              </w:rPr>
              <w:t>HCV Subtype</w:t>
            </w:r>
          </w:p>
        </w:tc>
        <w:tc>
          <w:tcPr>
            <w:tcW w:w="2970" w:type="dxa"/>
            <w:tcBorders>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b/>
              </w:rPr>
            </w:pPr>
            <w:proofErr w:type="spellStart"/>
            <w:r w:rsidRPr="005E1202">
              <w:rPr>
                <w:rFonts w:ascii="Arial" w:hAnsi="Arial" w:cs="Arial"/>
                <w:b/>
              </w:rPr>
              <w:t>Glecaprevir</w:t>
            </w:r>
            <w:proofErr w:type="spellEnd"/>
            <w:r w:rsidRPr="005E1202">
              <w:rPr>
                <w:rFonts w:ascii="Arial" w:hAnsi="Arial" w:cs="Arial"/>
                <w:b/>
              </w:rPr>
              <w:t xml:space="preserve"> EC</w:t>
            </w:r>
            <w:r w:rsidRPr="005E1202">
              <w:rPr>
                <w:rFonts w:ascii="Arial" w:hAnsi="Arial" w:cs="Arial"/>
                <w:b/>
                <w:vertAlign w:val="subscript"/>
              </w:rPr>
              <w:t>50</w:t>
            </w:r>
            <w:r w:rsidRPr="005E1202">
              <w:rPr>
                <w:rFonts w:ascii="Arial" w:hAnsi="Arial" w:cs="Arial"/>
                <w:b/>
              </w:rPr>
              <w:t xml:space="preserve">, </w:t>
            </w:r>
            <w:proofErr w:type="spellStart"/>
            <w:r w:rsidRPr="005E1202">
              <w:rPr>
                <w:rFonts w:ascii="Arial" w:hAnsi="Arial" w:cs="Arial"/>
                <w:b/>
              </w:rPr>
              <w:t>nM</w:t>
            </w:r>
            <w:proofErr w:type="spellEnd"/>
          </w:p>
        </w:tc>
        <w:tc>
          <w:tcPr>
            <w:tcW w:w="2625" w:type="dxa"/>
            <w:tcBorders>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b/>
              </w:rPr>
            </w:pPr>
            <w:proofErr w:type="spellStart"/>
            <w:r w:rsidRPr="005E1202">
              <w:rPr>
                <w:rFonts w:ascii="Arial" w:hAnsi="Arial" w:cs="Arial"/>
                <w:b/>
              </w:rPr>
              <w:t>Pibrentasvir</w:t>
            </w:r>
            <w:proofErr w:type="spellEnd"/>
            <w:r w:rsidRPr="005E1202">
              <w:rPr>
                <w:rFonts w:ascii="Arial" w:hAnsi="Arial" w:cs="Arial"/>
                <w:b/>
              </w:rPr>
              <w:t xml:space="preserve"> EC</w:t>
            </w:r>
            <w:r w:rsidRPr="005E1202">
              <w:rPr>
                <w:rFonts w:ascii="Arial" w:hAnsi="Arial" w:cs="Arial"/>
                <w:b/>
                <w:vertAlign w:val="subscript"/>
              </w:rPr>
              <w:t>50</w:t>
            </w:r>
            <w:r w:rsidRPr="005E1202">
              <w:rPr>
                <w:rFonts w:ascii="Arial" w:hAnsi="Arial" w:cs="Arial"/>
                <w:b/>
              </w:rPr>
              <w:t xml:space="preserve">, </w:t>
            </w:r>
            <w:proofErr w:type="spellStart"/>
            <w:r w:rsidRPr="005E1202">
              <w:rPr>
                <w:rFonts w:ascii="Arial" w:hAnsi="Arial" w:cs="Arial"/>
                <w:b/>
              </w:rPr>
              <w:t>nM</w:t>
            </w:r>
            <w:proofErr w:type="spellEnd"/>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1a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0.85</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0.0018</w:t>
            </w:r>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1b</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0.94</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0.0043</w:t>
            </w:r>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2a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2.2</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0.0023</w:t>
            </w:r>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2b</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4.6</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0.0019</w:t>
            </w:r>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3a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1.9</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0.0021</w:t>
            </w:r>
          </w:p>
        </w:tc>
      </w:tr>
      <w:tr w:rsidR="00493B75" w:rsidRPr="005E1202" w:rsidTr="00493B75">
        <w:trPr>
          <w:trHeight w:val="262"/>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4a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2.8</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0.0019</w:t>
            </w:r>
          </w:p>
        </w:tc>
      </w:tr>
      <w:tr w:rsidR="00493B75" w:rsidRPr="005E1202" w:rsidTr="00493B75">
        <w:trPr>
          <w:trHeight w:val="248"/>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5a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NA</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0.0014</w:t>
            </w:r>
          </w:p>
        </w:tc>
      </w:tr>
      <w:tr w:rsidR="00493B75" w:rsidRPr="005E1202" w:rsidTr="00493B75">
        <w:trPr>
          <w:trHeight w:val="262"/>
          <w:jc w:val="center"/>
        </w:trPr>
        <w:tc>
          <w:tcPr>
            <w:tcW w:w="2480" w:type="dxa"/>
            <w:tcBorders>
              <w:top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6a</w:t>
            </w:r>
          </w:p>
        </w:tc>
        <w:tc>
          <w:tcPr>
            <w:tcW w:w="2970" w:type="dxa"/>
            <w:tcBorders>
              <w:top w:val="single" w:sz="4" w:space="0" w:color="auto"/>
              <w:left w:val="single" w:sz="4" w:space="0" w:color="auto"/>
              <w:bottom w:val="single" w:sz="4" w:space="0" w:color="auto"/>
              <w:right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0.86</w:t>
            </w:r>
          </w:p>
        </w:tc>
        <w:tc>
          <w:tcPr>
            <w:tcW w:w="2625" w:type="dxa"/>
            <w:tcBorders>
              <w:top w:val="single" w:sz="4" w:space="0" w:color="auto"/>
              <w:left w:val="single" w:sz="4" w:space="0" w:color="auto"/>
              <w:bottom w:val="single" w:sz="4" w:space="0" w:color="auto"/>
            </w:tcBorders>
            <w:vAlign w:val="center"/>
          </w:tcPr>
          <w:p w:rsidR="00493B75" w:rsidRPr="005E1202" w:rsidRDefault="00493B75" w:rsidP="003A45C7">
            <w:pPr>
              <w:keepNext/>
              <w:keepLines/>
              <w:widowControl w:val="0"/>
              <w:spacing w:before="60" w:after="60"/>
              <w:jc w:val="center"/>
              <w:rPr>
                <w:rFonts w:ascii="Arial" w:hAnsi="Arial" w:cs="Arial"/>
              </w:rPr>
            </w:pPr>
            <w:r w:rsidRPr="005E1202">
              <w:rPr>
                <w:rFonts w:ascii="Arial" w:hAnsi="Arial" w:cs="Arial"/>
              </w:rPr>
              <w:t>0.0028</w:t>
            </w:r>
          </w:p>
        </w:tc>
      </w:tr>
      <w:tr w:rsidR="00493B75" w:rsidRPr="005E1202" w:rsidTr="00493B75">
        <w:trPr>
          <w:trHeight w:val="262"/>
          <w:jc w:val="center"/>
        </w:trPr>
        <w:tc>
          <w:tcPr>
            <w:tcW w:w="8075" w:type="dxa"/>
            <w:gridSpan w:val="3"/>
            <w:tcBorders>
              <w:top w:val="single" w:sz="4" w:space="0" w:color="auto"/>
              <w:left w:val="nil"/>
              <w:bottom w:val="nil"/>
              <w:right w:val="nil"/>
            </w:tcBorders>
            <w:vAlign w:val="center"/>
          </w:tcPr>
          <w:p w:rsidR="00493B75" w:rsidRPr="005E1202" w:rsidRDefault="00493B75" w:rsidP="003A45C7">
            <w:pPr>
              <w:keepNext/>
              <w:keepLines/>
              <w:widowControl w:val="0"/>
              <w:spacing w:before="120"/>
              <w:rPr>
                <w:rFonts w:ascii="Arial" w:hAnsi="Arial" w:cs="Arial"/>
              </w:rPr>
            </w:pPr>
            <w:r w:rsidRPr="005E1202">
              <w:rPr>
                <w:rFonts w:ascii="Arial" w:hAnsi="Arial" w:cs="Arial"/>
              </w:rPr>
              <w:t>NA = not available</w:t>
            </w:r>
          </w:p>
        </w:tc>
      </w:tr>
    </w:tbl>
    <w:p w:rsidR="00493B75" w:rsidRPr="005E1202" w:rsidRDefault="00493B75" w:rsidP="00493B75">
      <w:pPr>
        <w:rPr>
          <w:rFonts w:ascii="Arial" w:hAnsi="Arial" w:cs="Arial"/>
        </w:rPr>
      </w:pPr>
    </w:p>
    <w:p w:rsidR="00493B75" w:rsidRPr="005E1202" w:rsidRDefault="00493B75" w:rsidP="009A5E7A">
      <w:pPr>
        <w:jc w:val="both"/>
        <w:rPr>
          <w:rFonts w:ascii="Arial" w:hAnsi="Arial" w:cs="Arial"/>
          <w:b/>
        </w:rPr>
      </w:pPr>
      <w:r w:rsidRPr="005E1202">
        <w:rPr>
          <w:rFonts w:ascii="Arial" w:hAnsi="Arial" w:cs="Arial"/>
        </w:rPr>
        <w:t>The EC</w:t>
      </w:r>
      <w:r w:rsidRPr="005E1202">
        <w:rPr>
          <w:rFonts w:ascii="Arial" w:hAnsi="Arial" w:cs="Arial"/>
          <w:vertAlign w:val="subscript"/>
        </w:rPr>
        <w:t>50</w:t>
      </w:r>
      <w:r w:rsidRPr="005E1202">
        <w:rPr>
          <w:rFonts w:ascii="Arial" w:hAnsi="Arial" w:cs="Arial"/>
        </w:rPr>
        <w:t xml:space="preserve"> values of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against chimeric replicons encoding NS3 or NS5A from clinical isolates are presented in Table </w:t>
      </w:r>
      <w:r w:rsidR="005E1202">
        <w:rPr>
          <w:rFonts w:ascii="Arial" w:hAnsi="Arial" w:cs="Arial"/>
        </w:rPr>
        <w:t>7</w:t>
      </w:r>
      <w:r w:rsidRPr="005E1202">
        <w:rPr>
          <w:rFonts w:ascii="Arial" w:hAnsi="Arial" w:cs="Arial"/>
          <w:b/>
        </w:rPr>
        <w:t>.</w:t>
      </w:r>
    </w:p>
    <w:p w:rsidR="00493B75" w:rsidRDefault="00493B75" w:rsidP="00493B75">
      <w:pPr>
        <w:rPr>
          <w:rFonts w:ascii="Arial" w:hAnsi="Arial" w:cs="Arial"/>
          <w:b/>
        </w:rPr>
      </w:pPr>
    </w:p>
    <w:p w:rsidR="009206A1" w:rsidRPr="005E1202" w:rsidRDefault="009206A1" w:rsidP="00493B75">
      <w:pPr>
        <w:rPr>
          <w:rFonts w:ascii="Arial" w:hAnsi="Arial" w:cs="Arial"/>
          <w:b/>
        </w:rPr>
      </w:pPr>
    </w:p>
    <w:p w:rsidR="00493B75" w:rsidRPr="005E1202" w:rsidRDefault="00493B75" w:rsidP="00493B75">
      <w:pPr>
        <w:rPr>
          <w:rFonts w:ascii="Arial" w:hAnsi="Arial" w:cs="Arial"/>
          <w:b/>
        </w:rPr>
      </w:pPr>
      <w:proofErr w:type="gramStart"/>
      <w:r w:rsidRPr="005E1202">
        <w:rPr>
          <w:rFonts w:ascii="Arial" w:hAnsi="Arial" w:cs="Arial"/>
          <w:b/>
        </w:rPr>
        <w:t xml:space="preserve">Table </w:t>
      </w:r>
      <w:r w:rsidR="005E1202">
        <w:rPr>
          <w:rFonts w:ascii="Arial" w:hAnsi="Arial" w:cs="Arial"/>
          <w:b/>
        </w:rPr>
        <w:t>7</w:t>
      </w:r>
      <w:r w:rsidRPr="005E1202">
        <w:rPr>
          <w:rFonts w:ascii="Arial" w:hAnsi="Arial" w:cs="Arial"/>
          <w:b/>
        </w:rPr>
        <w:t>.</w:t>
      </w:r>
      <w:proofErr w:type="gramEnd"/>
      <w:r w:rsidRPr="005E1202">
        <w:rPr>
          <w:rFonts w:ascii="Arial" w:hAnsi="Arial" w:cs="Arial"/>
          <w:b/>
        </w:rPr>
        <w:t xml:space="preserve"> Activity of </w:t>
      </w:r>
      <w:proofErr w:type="spellStart"/>
      <w:r w:rsidRPr="005E1202">
        <w:rPr>
          <w:rFonts w:ascii="Arial" w:hAnsi="Arial" w:cs="Arial"/>
          <w:b/>
        </w:rPr>
        <w:t>Glecaprevir</w:t>
      </w:r>
      <w:proofErr w:type="spellEnd"/>
      <w:r w:rsidRPr="005E1202">
        <w:rPr>
          <w:rFonts w:ascii="Arial" w:hAnsi="Arial" w:cs="Arial"/>
          <w:b/>
        </w:rPr>
        <w:t xml:space="preserve"> and </w:t>
      </w:r>
      <w:proofErr w:type="spellStart"/>
      <w:r w:rsidRPr="005E1202">
        <w:rPr>
          <w:rFonts w:ascii="Arial" w:hAnsi="Arial" w:cs="Arial"/>
          <w:b/>
        </w:rPr>
        <w:t>Pibrentasvir</w:t>
      </w:r>
      <w:proofErr w:type="spellEnd"/>
      <w:r w:rsidRPr="005E1202">
        <w:rPr>
          <w:rFonts w:ascii="Arial" w:hAnsi="Arial" w:cs="Arial"/>
          <w:b/>
        </w:rPr>
        <w:t xml:space="preserve"> </w:t>
      </w:r>
      <w:proofErr w:type="gramStart"/>
      <w:r w:rsidRPr="005E1202">
        <w:rPr>
          <w:rFonts w:ascii="Arial" w:hAnsi="Arial" w:cs="Arial"/>
          <w:b/>
        </w:rPr>
        <w:t>Against</w:t>
      </w:r>
      <w:proofErr w:type="gramEnd"/>
      <w:r w:rsidRPr="005E1202">
        <w:rPr>
          <w:rFonts w:ascii="Arial" w:hAnsi="Arial" w:cs="Arial"/>
          <w:b/>
        </w:rPr>
        <w:t xml:space="preserve"> Transient Replicons Containing NS3 or NS5A from HCV Genotypes 1-6 Clinical Isolates</w:t>
      </w:r>
    </w:p>
    <w:tbl>
      <w:tblPr>
        <w:tblStyle w:val="TableGrid"/>
        <w:tblW w:w="8738" w:type="dxa"/>
        <w:jc w:val="center"/>
        <w:tblInd w:w="-867" w:type="dxa"/>
        <w:tblLayout w:type="fixed"/>
        <w:tblLook w:val="04A0" w:firstRow="1" w:lastRow="0" w:firstColumn="1" w:lastColumn="0" w:noHBand="0" w:noVBand="1"/>
      </w:tblPr>
      <w:tblGrid>
        <w:gridCol w:w="1080"/>
        <w:gridCol w:w="1260"/>
        <w:gridCol w:w="2610"/>
        <w:gridCol w:w="1225"/>
        <w:gridCol w:w="2563"/>
      </w:tblGrid>
      <w:tr w:rsidR="00493B75" w:rsidRPr="005E1202" w:rsidTr="00493B75">
        <w:trPr>
          <w:trHeight w:val="231"/>
          <w:tblHeader/>
          <w:jc w:val="center"/>
        </w:trPr>
        <w:tc>
          <w:tcPr>
            <w:tcW w:w="1080" w:type="dxa"/>
            <w:vMerge w:val="restart"/>
            <w:vAlign w:val="center"/>
          </w:tcPr>
          <w:p w:rsidR="00493B75" w:rsidRPr="005E1202" w:rsidRDefault="00493B75" w:rsidP="00493B75">
            <w:pPr>
              <w:widowControl w:val="0"/>
              <w:spacing w:before="60" w:after="60"/>
              <w:jc w:val="center"/>
              <w:rPr>
                <w:rFonts w:ascii="Arial" w:hAnsi="Arial" w:cs="Arial"/>
                <w:b/>
              </w:rPr>
            </w:pPr>
            <w:r w:rsidRPr="005E1202">
              <w:rPr>
                <w:rFonts w:ascii="Arial" w:hAnsi="Arial" w:cs="Arial"/>
                <w:b/>
              </w:rPr>
              <w:t>HCV Subtype</w:t>
            </w:r>
          </w:p>
        </w:tc>
        <w:tc>
          <w:tcPr>
            <w:tcW w:w="3870" w:type="dxa"/>
            <w:gridSpan w:val="2"/>
            <w:vAlign w:val="center"/>
          </w:tcPr>
          <w:p w:rsidR="00493B75" w:rsidRPr="005E1202" w:rsidRDefault="00493B75" w:rsidP="00493B75">
            <w:pPr>
              <w:widowControl w:val="0"/>
              <w:spacing w:before="60" w:after="60"/>
              <w:jc w:val="center"/>
              <w:rPr>
                <w:rFonts w:ascii="Arial" w:hAnsi="Arial" w:cs="Arial"/>
                <w:b/>
              </w:rPr>
            </w:pPr>
            <w:proofErr w:type="spellStart"/>
            <w:r w:rsidRPr="005E1202">
              <w:rPr>
                <w:rFonts w:ascii="Arial" w:hAnsi="Arial" w:cs="Arial"/>
                <w:b/>
              </w:rPr>
              <w:t>Glecaprevir</w:t>
            </w:r>
            <w:proofErr w:type="spellEnd"/>
          </w:p>
        </w:tc>
        <w:tc>
          <w:tcPr>
            <w:tcW w:w="3788" w:type="dxa"/>
            <w:gridSpan w:val="2"/>
            <w:vAlign w:val="center"/>
          </w:tcPr>
          <w:p w:rsidR="00493B75" w:rsidRPr="005E1202" w:rsidRDefault="00493B75" w:rsidP="00493B75">
            <w:pPr>
              <w:widowControl w:val="0"/>
              <w:spacing w:before="60" w:after="60"/>
              <w:jc w:val="center"/>
              <w:rPr>
                <w:rFonts w:ascii="Arial" w:hAnsi="Arial" w:cs="Arial"/>
                <w:b/>
              </w:rPr>
            </w:pPr>
            <w:proofErr w:type="spellStart"/>
            <w:r w:rsidRPr="005E1202">
              <w:rPr>
                <w:rFonts w:ascii="Arial" w:hAnsi="Arial" w:cs="Arial"/>
                <w:b/>
              </w:rPr>
              <w:t>Pibrentasvir</w:t>
            </w:r>
            <w:proofErr w:type="spellEnd"/>
          </w:p>
        </w:tc>
      </w:tr>
      <w:tr w:rsidR="00493B75" w:rsidRPr="005E1202" w:rsidTr="00493B75">
        <w:trPr>
          <w:trHeight w:val="147"/>
          <w:tblHeader/>
          <w:jc w:val="center"/>
        </w:trPr>
        <w:tc>
          <w:tcPr>
            <w:tcW w:w="1080" w:type="dxa"/>
            <w:vMerge/>
            <w:vAlign w:val="center"/>
          </w:tcPr>
          <w:p w:rsidR="00493B75" w:rsidRPr="005E1202" w:rsidRDefault="00493B75" w:rsidP="00493B75">
            <w:pPr>
              <w:widowControl w:val="0"/>
              <w:spacing w:before="60" w:after="60"/>
              <w:jc w:val="center"/>
              <w:rPr>
                <w:rFonts w:ascii="Arial" w:hAnsi="Arial" w:cs="Arial"/>
                <w:b/>
              </w:rPr>
            </w:pPr>
          </w:p>
        </w:tc>
        <w:tc>
          <w:tcPr>
            <w:tcW w:w="1260" w:type="dxa"/>
            <w:vAlign w:val="center"/>
          </w:tcPr>
          <w:p w:rsidR="00493B75" w:rsidRPr="005E1202" w:rsidRDefault="00493B75" w:rsidP="00493B75">
            <w:pPr>
              <w:widowControl w:val="0"/>
              <w:spacing w:before="60" w:after="60"/>
              <w:jc w:val="center"/>
              <w:rPr>
                <w:rFonts w:ascii="Arial" w:hAnsi="Arial" w:cs="Arial"/>
                <w:b/>
              </w:rPr>
            </w:pPr>
            <w:r w:rsidRPr="005E1202">
              <w:rPr>
                <w:rFonts w:ascii="Arial" w:hAnsi="Arial" w:cs="Arial"/>
                <w:b/>
              </w:rPr>
              <w:t>Number of clinical isolates</w:t>
            </w:r>
          </w:p>
        </w:tc>
        <w:tc>
          <w:tcPr>
            <w:tcW w:w="2610" w:type="dxa"/>
            <w:vAlign w:val="center"/>
          </w:tcPr>
          <w:p w:rsidR="00493B75" w:rsidRPr="005E1202" w:rsidRDefault="00493B75" w:rsidP="00493B75">
            <w:pPr>
              <w:widowControl w:val="0"/>
              <w:spacing w:before="60" w:after="60"/>
              <w:jc w:val="center"/>
              <w:rPr>
                <w:rFonts w:ascii="Arial" w:hAnsi="Arial" w:cs="Arial"/>
                <w:b/>
              </w:rPr>
            </w:pPr>
            <w:r w:rsidRPr="005E1202">
              <w:rPr>
                <w:rFonts w:ascii="Arial" w:hAnsi="Arial" w:cs="Arial"/>
                <w:b/>
              </w:rPr>
              <w:t>Median EC</w:t>
            </w:r>
            <w:r w:rsidRPr="005E1202">
              <w:rPr>
                <w:rFonts w:ascii="Arial" w:hAnsi="Arial" w:cs="Arial"/>
                <w:b/>
                <w:vertAlign w:val="subscript"/>
              </w:rPr>
              <w:t>50</w:t>
            </w:r>
            <w:r w:rsidRPr="005E1202">
              <w:rPr>
                <w:rFonts w:ascii="Arial" w:hAnsi="Arial" w:cs="Arial"/>
                <w:b/>
              </w:rPr>
              <w:t xml:space="preserve">, </w:t>
            </w:r>
            <w:proofErr w:type="spellStart"/>
            <w:r w:rsidRPr="005E1202">
              <w:rPr>
                <w:rFonts w:ascii="Arial" w:hAnsi="Arial" w:cs="Arial"/>
                <w:b/>
              </w:rPr>
              <w:t>nM</w:t>
            </w:r>
            <w:proofErr w:type="spellEnd"/>
            <w:r w:rsidRPr="005E1202">
              <w:rPr>
                <w:rFonts w:ascii="Arial" w:hAnsi="Arial" w:cs="Arial"/>
                <w:b/>
              </w:rPr>
              <w:t xml:space="preserve"> (range)</w:t>
            </w:r>
          </w:p>
        </w:tc>
        <w:tc>
          <w:tcPr>
            <w:tcW w:w="1225" w:type="dxa"/>
            <w:vAlign w:val="center"/>
          </w:tcPr>
          <w:p w:rsidR="00493B75" w:rsidRPr="005E1202" w:rsidRDefault="00493B75" w:rsidP="00493B75">
            <w:pPr>
              <w:widowControl w:val="0"/>
              <w:spacing w:before="60" w:after="60"/>
              <w:jc w:val="center"/>
              <w:rPr>
                <w:rFonts w:ascii="Arial" w:hAnsi="Arial" w:cs="Arial"/>
                <w:b/>
              </w:rPr>
            </w:pPr>
            <w:r w:rsidRPr="005E1202">
              <w:rPr>
                <w:rFonts w:ascii="Arial" w:hAnsi="Arial" w:cs="Arial"/>
                <w:b/>
              </w:rPr>
              <w:t>Number of clinical isolates</w:t>
            </w:r>
          </w:p>
        </w:tc>
        <w:tc>
          <w:tcPr>
            <w:tcW w:w="2563" w:type="dxa"/>
            <w:vAlign w:val="center"/>
          </w:tcPr>
          <w:p w:rsidR="00493B75" w:rsidRPr="005E1202" w:rsidRDefault="00493B75" w:rsidP="00493B75">
            <w:pPr>
              <w:widowControl w:val="0"/>
              <w:spacing w:before="60" w:after="60"/>
              <w:jc w:val="center"/>
              <w:rPr>
                <w:rFonts w:ascii="Arial" w:hAnsi="Arial" w:cs="Arial"/>
                <w:b/>
              </w:rPr>
            </w:pPr>
            <w:r w:rsidRPr="005E1202">
              <w:rPr>
                <w:rFonts w:ascii="Arial" w:hAnsi="Arial" w:cs="Arial"/>
                <w:b/>
              </w:rPr>
              <w:t>Median EC</w:t>
            </w:r>
            <w:r w:rsidRPr="005E1202">
              <w:rPr>
                <w:rFonts w:ascii="Arial" w:hAnsi="Arial" w:cs="Arial"/>
                <w:b/>
                <w:vertAlign w:val="subscript"/>
              </w:rPr>
              <w:t>50</w:t>
            </w:r>
            <w:r w:rsidRPr="005E1202">
              <w:rPr>
                <w:rFonts w:ascii="Arial" w:hAnsi="Arial" w:cs="Arial"/>
                <w:b/>
              </w:rPr>
              <w:t xml:space="preserve">, </w:t>
            </w:r>
            <w:proofErr w:type="spellStart"/>
            <w:r w:rsidRPr="005E1202">
              <w:rPr>
                <w:rFonts w:ascii="Arial" w:hAnsi="Arial" w:cs="Arial"/>
                <w:b/>
              </w:rPr>
              <w:t>nM</w:t>
            </w:r>
            <w:proofErr w:type="spellEnd"/>
            <w:r w:rsidRPr="005E1202">
              <w:rPr>
                <w:rFonts w:ascii="Arial" w:hAnsi="Arial" w:cs="Arial"/>
                <w:b/>
              </w:rPr>
              <w:t xml:space="preserve"> (range)</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11</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0.08 (0.05 – 0.12)</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11</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0.0009 (0.0006 – 0.0017)</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1b</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9</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0.29 (0.20 – 0.68)</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8</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0.0027 (0.0014 – 0.0035)</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2a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4</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1.6 (0.66 – 1.9)</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6</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0.0009 (0.0005 – 0.0019)</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2b</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4</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2.2 (1.4 – 3.2)</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11</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0.0013 (0.0011 – 0.0019)</w:t>
            </w:r>
          </w:p>
        </w:tc>
      </w:tr>
      <w:tr w:rsidR="00493B75" w:rsidRPr="005E1202" w:rsidTr="00493B75">
        <w:trPr>
          <w:trHeight w:val="244"/>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3a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2</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2.3 (0.71 – 3.8)</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14</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0.0007 (0.0005 – 0.0017)</w:t>
            </w:r>
          </w:p>
        </w:tc>
      </w:tr>
      <w:tr w:rsidR="00493B75" w:rsidRPr="005E1202" w:rsidTr="00493B75">
        <w:trPr>
          <w:trHeight w:val="244"/>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4a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6</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0.41 (0.31 – 0.55)</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8</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0.0005 (0.0003 – 0.0013)</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4b</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3</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0.0012 (0.0005 – 0.0018)</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4d</w:t>
            </w:r>
          </w:p>
        </w:tc>
        <w:tc>
          <w:tcPr>
            <w:tcW w:w="1260"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3</w:t>
            </w:r>
          </w:p>
        </w:tc>
        <w:tc>
          <w:tcPr>
            <w:tcW w:w="2610"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0.17 (0.13 – 0.25)</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7</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0.0014 (0.0010 – 0.0018)</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5a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0.12</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0.0011</w:t>
            </w:r>
          </w:p>
        </w:tc>
      </w:tr>
      <w:tr w:rsidR="00493B75" w:rsidRPr="005E1202" w:rsidTr="00493B75">
        <w:trPr>
          <w:trHeight w:val="244"/>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6a</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3</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0.0007 (0.0006 – 0.0010)</w:t>
            </w:r>
          </w:p>
        </w:tc>
      </w:tr>
      <w:tr w:rsidR="00493B75" w:rsidRPr="005E1202" w:rsidTr="00493B75">
        <w:trPr>
          <w:trHeight w:val="231"/>
          <w:jc w:val="center"/>
        </w:trPr>
        <w:tc>
          <w:tcPr>
            <w:tcW w:w="108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6e</w:t>
            </w:r>
          </w:p>
        </w:tc>
        <w:tc>
          <w:tcPr>
            <w:tcW w:w="126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2610"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1225"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w:t>
            </w:r>
          </w:p>
        </w:tc>
        <w:tc>
          <w:tcPr>
            <w:tcW w:w="2563" w:type="dxa"/>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0.0008</w:t>
            </w:r>
          </w:p>
        </w:tc>
      </w:tr>
      <w:tr w:rsidR="00493B75" w:rsidRPr="005E1202" w:rsidTr="00493B75">
        <w:trPr>
          <w:trHeight w:val="244"/>
          <w:jc w:val="center"/>
        </w:trPr>
        <w:tc>
          <w:tcPr>
            <w:tcW w:w="1080" w:type="dxa"/>
            <w:tcBorders>
              <w:bottom w:val="single" w:sz="4" w:space="0" w:color="auto"/>
            </w:tcBorders>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lastRenderedPageBreak/>
              <w:t>6p</w:t>
            </w:r>
          </w:p>
        </w:tc>
        <w:tc>
          <w:tcPr>
            <w:tcW w:w="1260" w:type="dxa"/>
            <w:tcBorders>
              <w:bottom w:val="single" w:sz="4" w:space="0" w:color="auto"/>
            </w:tcBorders>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2610" w:type="dxa"/>
            <w:tcBorders>
              <w:bottom w:val="single" w:sz="4" w:space="0" w:color="auto"/>
            </w:tcBorders>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NA</w:t>
            </w:r>
          </w:p>
        </w:tc>
        <w:tc>
          <w:tcPr>
            <w:tcW w:w="1225" w:type="dxa"/>
            <w:tcBorders>
              <w:bottom w:val="single" w:sz="4" w:space="0" w:color="auto"/>
            </w:tcBorders>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1</w:t>
            </w:r>
          </w:p>
        </w:tc>
        <w:tc>
          <w:tcPr>
            <w:tcW w:w="2563" w:type="dxa"/>
            <w:tcBorders>
              <w:bottom w:val="single" w:sz="4" w:space="0" w:color="auto"/>
            </w:tcBorders>
            <w:vAlign w:val="center"/>
          </w:tcPr>
          <w:p w:rsidR="00493B75" w:rsidRPr="005E1202" w:rsidRDefault="00493B75" w:rsidP="00493B75">
            <w:pPr>
              <w:widowControl w:val="0"/>
              <w:spacing w:before="60" w:after="60"/>
              <w:jc w:val="center"/>
              <w:rPr>
                <w:rFonts w:ascii="Arial" w:hAnsi="Arial" w:cs="Arial"/>
              </w:rPr>
            </w:pPr>
            <w:r w:rsidRPr="005E1202">
              <w:rPr>
                <w:rFonts w:ascii="Arial" w:hAnsi="Arial" w:cs="Arial"/>
              </w:rPr>
              <w:t>0.0005</w:t>
            </w:r>
          </w:p>
        </w:tc>
      </w:tr>
      <w:tr w:rsidR="00493B75" w:rsidRPr="005E1202" w:rsidTr="00493B75">
        <w:trPr>
          <w:trHeight w:val="244"/>
          <w:jc w:val="center"/>
        </w:trPr>
        <w:tc>
          <w:tcPr>
            <w:tcW w:w="8738" w:type="dxa"/>
            <w:gridSpan w:val="5"/>
            <w:tcBorders>
              <w:left w:val="nil"/>
              <w:bottom w:val="nil"/>
              <w:right w:val="nil"/>
            </w:tcBorders>
            <w:vAlign w:val="center"/>
          </w:tcPr>
          <w:p w:rsidR="00493B75" w:rsidRPr="005E1202" w:rsidRDefault="00493B75" w:rsidP="00493B75">
            <w:pPr>
              <w:spacing w:before="60" w:after="60"/>
              <w:rPr>
                <w:rFonts w:ascii="Arial" w:hAnsi="Arial" w:cs="Arial"/>
              </w:rPr>
            </w:pPr>
            <w:r w:rsidRPr="005E1202">
              <w:rPr>
                <w:rFonts w:ascii="Arial" w:hAnsi="Arial" w:cs="Arial"/>
              </w:rPr>
              <w:t>NA = not available</w:t>
            </w:r>
          </w:p>
        </w:tc>
      </w:tr>
    </w:tbl>
    <w:p w:rsidR="00493B75" w:rsidRPr="005E1202" w:rsidRDefault="00493B75" w:rsidP="00493B75">
      <w:pPr>
        <w:rPr>
          <w:rFonts w:ascii="Arial" w:hAnsi="Arial" w:cs="Arial"/>
        </w:rPr>
      </w:pPr>
    </w:p>
    <w:p w:rsidR="00493B75" w:rsidRPr="005E1202" w:rsidRDefault="00493B75" w:rsidP="009C7847">
      <w:pPr>
        <w:pStyle w:val="Heading4"/>
        <w:rPr>
          <w:rFonts w:cs="Arial"/>
        </w:rPr>
      </w:pPr>
      <w:r w:rsidRPr="005E1202">
        <w:rPr>
          <w:rFonts w:cs="Arial"/>
        </w:rPr>
        <w:t>Combination Activity in vitro</w:t>
      </w:r>
    </w:p>
    <w:p w:rsidR="00493B75" w:rsidRPr="005E1202" w:rsidRDefault="00493B75" w:rsidP="009A5E7A">
      <w:pPr>
        <w:jc w:val="both"/>
        <w:rPr>
          <w:rFonts w:ascii="Arial" w:hAnsi="Arial" w:cs="Arial"/>
        </w:rPr>
      </w:pPr>
      <w:r w:rsidRPr="005E1202">
        <w:rPr>
          <w:rFonts w:ascii="Arial" w:hAnsi="Arial" w:cs="Arial"/>
        </w:rPr>
        <w:t xml:space="preserve">Evaluation of the combination of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showed no antagonism in antiviral activity in HCV genotype 1 replicon cell culture assays.</w:t>
      </w:r>
    </w:p>
    <w:p w:rsidR="00493B75" w:rsidRPr="005E1202" w:rsidRDefault="00493B75" w:rsidP="003A45C7">
      <w:pPr>
        <w:pStyle w:val="Heading3"/>
      </w:pPr>
      <w:r w:rsidRPr="005E1202">
        <w:t>Resistance</w:t>
      </w:r>
    </w:p>
    <w:p w:rsidR="00493B75" w:rsidRPr="005E1202" w:rsidRDefault="00493B75" w:rsidP="00493B75">
      <w:pPr>
        <w:pStyle w:val="Heading4"/>
        <w:rPr>
          <w:rFonts w:cs="Arial"/>
        </w:rPr>
      </w:pPr>
      <w:r w:rsidRPr="005E1202">
        <w:rPr>
          <w:rFonts w:cs="Arial"/>
        </w:rPr>
        <w:t>In Cell Culture</w:t>
      </w:r>
    </w:p>
    <w:p w:rsidR="00493B75" w:rsidRPr="005E1202" w:rsidRDefault="00493B75" w:rsidP="009A5E7A">
      <w:pPr>
        <w:jc w:val="both"/>
        <w:rPr>
          <w:rFonts w:ascii="Arial" w:hAnsi="Arial" w:cs="Arial"/>
        </w:rPr>
      </w:pPr>
      <w:r w:rsidRPr="005E1202">
        <w:rPr>
          <w:rFonts w:ascii="Arial" w:hAnsi="Arial" w:cs="Arial"/>
        </w:rPr>
        <w:t xml:space="preserve">Selection of HCV genotype 1a, 1b, 2a, 3a, 4a or 6a replicons for reduced susceptibility to </w:t>
      </w:r>
      <w:proofErr w:type="spellStart"/>
      <w:r w:rsidRPr="005E1202">
        <w:rPr>
          <w:rFonts w:ascii="Arial" w:hAnsi="Arial" w:cs="Arial"/>
        </w:rPr>
        <w:t>glecaprevir</w:t>
      </w:r>
      <w:proofErr w:type="spellEnd"/>
      <w:r w:rsidRPr="005E1202">
        <w:rPr>
          <w:rFonts w:ascii="Arial" w:hAnsi="Arial" w:cs="Arial"/>
        </w:rPr>
        <w:t xml:space="preserve"> resulted in the emergence of amino acid substitutions most commonly at NS3 positions A156 or D/Q168. Single amino acid substitutions introduced at NS3/4A position </w:t>
      </w:r>
      <w:proofErr w:type="gramStart"/>
      <w:r w:rsidRPr="005E1202">
        <w:rPr>
          <w:rFonts w:ascii="Arial" w:hAnsi="Arial" w:cs="Arial"/>
        </w:rPr>
        <w:t xml:space="preserve">156 reduced susceptibility to </w:t>
      </w:r>
      <w:proofErr w:type="spellStart"/>
      <w:r w:rsidRPr="005E1202">
        <w:rPr>
          <w:rFonts w:ascii="Arial" w:hAnsi="Arial" w:cs="Arial"/>
        </w:rPr>
        <w:t>glecaprevir</w:t>
      </w:r>
      <w:proofErr w:type="spellEnd"/>
      <w:r w:rsidRPr="005E1202">
        <w:rPr>
          <w:rFonts w:ascii="Arial" w:hAnsi="Arial" w:cs="Arial"/>
        </w:rPr>
        <w:t xml:space="preserve"> (genotypes 1 to 4)</w:t>
      </w:r>
      <w:proofErr w:type="gramEnd"/>
      <w:r w:rsidRPr="005E1202">
        <w:rPr>
          <w:rFonts w:ascii="Arial" w:hAnsi="Arial" w:cs="Arial"/>
        </w:rPr>
        <w:t xml:space="preserve"> by &gt; 100-fold. Mutations at position 168 had variable effects on </w:t>
      </w:r>
      <w:proofErr w:type="spellStart"/>
      <w:r w:rsidRPr="005E1202">
        <w:rPr>
          <w:rFonts w:ascii="Arial" w:hAnsi="Arial" w:cs="Arial"/>
        </w:rPr>
        <w:t>glecaprevir</w:t>
      </w:r>
      <w:proofErr w:type="spellEnd"/>
      <w:r w:rsidRPr="005E1202">
        <w:rPr>
          <w:rFonts w:ascii="Arial" w:hAnsi="Arial" w:cs="Arial"/>
        </w:rPr>
        <w:t xml:space="preserve"> susceptibility depending on HCV genotype/subtype and specific amino acid change, with the greatest reductions (&gt; 30-fold) observed in genotypes 1a (D168F/Y), 3a (Q168R) and 6a (D168A/G/H/V/Y). Substitutions at position 80 did not reduce susceptibility to </w:t>
      </w:r>
      <w:proofErr w:type="spellStart"/>
      <w:r w:rsidRPr="005E1202">
        <w:rPr>
          <w:rFonts w:ascii="Arial" w:hAnsi="Arial" w:cs="Arial"/>
        </w:rPr>
        <w:t>glecaprevir</w:t>
      </w:r>
      <w:proofErr w:type="spellEnd"/>
      <w:r w:rsidRPr="005E1202">
        <w:rPr>
          <w:rFonts w:ascii="Arial" w:hAnsi="Arial" w:cs="Arial"/>
        </w:rPr>
        <w:t xml:space="preserve"> except in genotype 3a, where a Q80R substitution led to a 21-fold increase in EC</w:t>
      </w:r>
      <w:r w:rsidRPr="005E1202">
        <w:rPr>
          <w:rFonts w:ascii="Arial" w:hAnsi="Arial" w:cs="Arial"/>
          <w:vertAlign w:val="subscript"/>
        </w:rPr>
        <w:t>50</w:t>
      </w:r>
      <w:r w:rsidRPr="005E1202">
        <w:rPr>
          <w:rFonts w:ascii="Arial" w:hAnsi="Arial" w:cs="Arial"/>
        </w:rPr>
        <w:t xml:space="preserve">. Substitutions important for the HCV protease inhibitor class at positions 36, 43, 54, 55, 56, 155, 166, or 170 in NS3 had no impact on </w:t>
      </w:r>
      <w:proofErr w:type="spellStart"/>
      <w:r w:rsidRPr="005E1202">
        <w:rPr>
          <w:rFonts w:ascii="Arial" w:hAnsi="Arial" w:cs="Arial"/>
        </w:rPr>
        <w:t>glecaprevir</w:t>
      </w:r>
      <w:proofErr w:type="spellEnd"/>
      <w:r w:rsidRPr="005E1202">
        <w:rPr>
          <w:rFonts w:ascii="Arial" w:hAnsi="Arial" w:cs="Arial"/>
        </w:rPr>
        <w:t xml:space="preserve"> activity.</w:t>
      </w:r>
    </w:p>
    <w:p w:rsidR="00493B75" w:rsidRPr="005E1202" w:rsidRDefault="00493B75" w:rsidP="009A5E7A">
      <w:pPr>
        <w:jc w:val="both"/>
        <w:rPr>
          <w:rFonts w:ascii="Arial" w:hAnsi="Arial" w:cs="Arial"/>
        </w:rPr>
      </w:pPr>
      <w:r w:rsidRPr="005E1202">
        <w:rPr>
          <w:rFonts w:ascii="Arial" w:hAnsi="Arial" w:cs="Arial"/>
        </w:rPr>
        <w:t xml:space="preserve">Selection of HCV genotype 1a, 2a or 3a replicons for reduced susceptibility to </w:t>
      </w:r>
      <w:proofErr w:type="spellStart"/>
      <w:r w:rsidRPr="005E1202">
        <w:rPr>
          <w:rFonts w:ascii="Arial" w:hAnsi="Arial" w:cs="Arial"/>
        </w:rPr>
        <w:t>pibrentasvir</w:t>
      </w:r>
      <w:proofErr w:type="spellEnd"/>
      <w:r w:rsidRPr="005E1202">
        <w:rPr>
          <w:rFonts w:ascii="Arial" w:hAnsi="Arial" w:cs="Arial"/>
        </w:rPr>
        <w:t xml:space="preserve"> resulted in the emergence of amino acid substitutions at known NS5A inhibitor resistance-associated positions, including Q30D/deletion, Y93D/H/N or H58D + Y93H in genotype 1a replicons, F28S + M31I or P29S + K30G in genotype 2a replicons, and Y93H in genotype 3a replicons. Single substitutions important for the NS5A inhibitor class at positions 24, 28, 30, 31, 58, 92, or 93 in NS5A in genotypes 1 to 6 had no impact on the activity of </w:t>
      </w:r>
      <w:proofErr w:type="spellStart"/>
      <w:r w:rsidRPr="005E1202">
        <w:rPr>
          <w:rFonts w:ascii="Arial" w:hAnsi="Arial" w:cs="Arial"/>
        </w:rPr>
        <w:t>pibrentasvir</w:t>
      </w:r>
      <w:proofErr w:type="spellEnd"/>
      <w:r w:rsidRPr="005E1202">
        <w:rPr>
          <w:rFonts w:ascii="Arial" w:hAnsi="Arial" w:cs="Arial"/>
        </w:rPr>
        <w:t xml:space="preserve">. Individual NS5A amino acid substitutions that reduced susceptibility to </w:t>
      </w:r>
      <w:proofErr w:type="spellStart"/>
      <w:r w:rsidRPr="005E1202">
        <w:rPr>
          <w:rFonts w:ascii="Arial" w:hAnsi="Arial" w:cs="Arial"/>
        </w:rPr>
        <w:t>pibrentasvir</w:t>
      </w:r>
      <w:proofErr w:type="spellEnd"/>
      <w:r w:rsidRPr="005E1202">
        <w:rPr>
          <w:rFonts w:ascii="Arial" w:hAnsi="Arial" w:cs="Arial"/>
        </w:rPr>
        <w:t xml:space="preserve"> include M28G or Q30D in genotype 1a (244- and 94-fold, respectively), and P32 deletion in genotype 1b (1036-fold). Some combinations of two or more NS5A inhibitor resistance-associated amino acid substitutions (including A30K + Y93H in genotype 3a) may result in greater reductions in </w:t>
      </w:r>
      <w:proofErr w:type="spellStart"/>
      <w:r w:rsidRPr="005E1202">
        <w:rPr>
          <w:rFonts w:ascii="Arial" w:hAnsi="Arial" w:cs="Arial"/>
        </w:rPr>
        <w:t>pibrentasvir</w:t>
      </w:r>
      <w:proofErr w:type="spellEnd"/>
      <w:r w:rsidRPr="005E1202">
        <w:rPr>
          <w:rFonts w:ascii="Arial" w:hAnsi="Arial" w:cs="Arial"/>
        </w:rPr>
        <w:t xml:space="preserve"> susceptibility.</w:t>
      </w:r>
    </w:p>
    <w:p w:rsidR="00493B75" w:rsidRPr="005E1202" w:rsidRDefault="00493B75" w:rsidP="009C7847">
      <w:pPr>
        <w:pStyle w:val="Heading4"/>
        <w:rPr>
          <w:rFonts w:cs="Arial"/>
        </w:rPr>
      </w:pPr>
      <w:r w:rsidRPr="005E1202">
        <w:rPr>
          <w:rFonts w:cs="Arial"/>
        </w:rPr>
        <w:lastRenderedPageBreak/>
        <w:t>In Clinical Studies</w:t>
      </w:r>
    </w:p>
    <w:p w:rsidR="00493B75" w:rsidRPr="005E1202" w:rsidRDefault="00493B75" w:rsidP="00493B75">
      <w:pPr>
        <w:pStyle w:val="Heading5"/>
        <w:jc w:val="both"/>
        <w:rPr>
          <w:rFonts w:cs="Arial"/>
        </w:rPr>
      </w:pPr>
      <w:r w:rsidRPr="005E1202">
        <w:rPr>
          <w:rFonts w:cs="Arial"/>
        </w:rPr>
        <w:t xml:space="preserve">Studies in Treatment-Naïve and </w:t>
      </w:r>
      <w:proofErr w:type="spellStart"/>
      <w:r w:rsidRPr="005E1202">
        <w:rPr>
          <w:rFonts w:cs="Arial"/>
        </w:rPr>
        <w:t>Peginterferon</w:t>
      </w:r>
      <w:proofErr w:type="spellEnd"/>
      <w:r w:rsidRPr="005E1202">
        <w:rPr>
          <w:rFonts w:cs="Arial"/>
        </w:rPr>
        <w:t xml:space="preserve">, Ribavirin and/or </w:t>
      </w:r>
      <w:proofErr w:type="spellStart"/>
      <w:r w:rsidRPr="005E1202">
        <w:rPr>
          <w:rFonts w:cs="Arial"/>
        </w:rPr>
        <w:t>Sofosbuvir</w:t>
      </w:r>
      <w:proofErr w:type="spellEnd"/>
      <w:r w:rsidRPr="005E1202">
        <w:rPr>
          <w:rFonts w:cs="Arial"/>
        </w:rPr>
        <w:t xml:space="preserve"> Treatment-Experienced Patients with or without Cirrhosis</w:t>
      </w:r>
    </w:p>
    <w:p w:rsidR="00493B75" w:rsidRPr="005E1202" w:rsidRDefault="00493B75" w:rsidP="009A5E7A">
      <w:pPr>
        <w:jc w:val="both"/>
        <w:rPr>
          <w:rFonts w:ascii="Arial" w:hAnsi="Arial" w:cs="Arial"/>
        </w:rPr>
      </w:pPr>
      <w:r w:rsidRPr="005E1202">
        <w:rPr>
          <w:rFonts w:ascii="Arial" w:hAnsi="Arial" w:cs="Arial"/>
        </w:rPr>
        <w:t xml:space="preserve">Twenty two of the approximately 2300 patients treated with MAVIRET for 8, 12, or 16 weeks in Phase 2 and 3 clinical studies experienced </w:t>
      </w:r>
      <w:proofErr w:type="spellStart"/>
      <w:r w:rsidRPr="005E1202">
        <w:rPr>
          <w:rFonts w:ascii="Arial" w:hAnsi="Arial" w:cs="Arial"/>
        </w:rPr>
        <w:t>virologic</w:t>
      </w:r>
      <w:proofErr w:type="spellEnd"/>
      <w:r w:rsidRPr="005E1202">
        <w:rPr>
          <w:rFonts w:ascii="Arial" w:hAnsi="Arial" w:cs="Arial"/>
        </w:rPr>
        <w:t xml:space="preserve"> failure (two with genotype 1, two with genotype 2, and eighteen with genotype 3 </w:t>
      </w:r>
      <w:proofErr w:type="gramStart"/>
      <w:r w:rsidRPr="005E1202">
        <w:rPr>
          <w:rFonts w:ascii="Arial" w:hAnsi="Arial" w:cs="Arial"/>
        </w:rPr>
        <w:t>infection</w:t>
      </w:r>
      <w:proofErr w:type="gramEnd"/>
      <w:r w:rsidRPr="005E1202">
        <w:rPr>
          <w:rFonts w:ascii="Arial" w:hAnsi="Arial" w:cs="Arial"/>
        </w:rPr>
        <w:t xml:space="preserve">). </w:t>
      </w:r>
    </w:p>
    <w:p w:rsidR="00493B75" w:rsidRPr="005E1202" w:rsidRDefault="00493B75" w:rsidP="009A5E7A">
      <w:pPr>
        <w:jc w:val="both"/>
        <w:rPr>
          <w:rFonts w:ascii="Arial" w:hAnsi="Arial" w:cs="Arial"/>
        </w:rPr>
      </w:pPr>
      <w:r w:rsidRPr="005E1202">
        <w:rPr>
          <w:rFonts w:ascii="Arial" w:hAnsi="Arial" w:cs="Arial"/>
        </w:rPr>
        <w:t xml:space="preserve">Among the two genotype 1-infected patients who experienced </w:t>
      </w:r>
      <w:proofErr w:type="spellStart"/>
      <w:r w:rsidRPr="005E1202">
        <w:rPr>
          <w:rFonts w:ascii="Arial" w:hAnsi="Arial" w:cs="Arial"/>
        </w:rPr>
        <w:t>virologic</w:t>
      </w:r>
      <w:proofErr w:type="spellEnd"/>
      <w:r w:rsidRPr="005E1202">
        <w:rPr>
          <w:rFonts w:ascii="Arial" w:hAnsi="Arial" w:cs="Arial"/>
        </w:rPr>
        <w:t xml:space="preserve"> failure, one had treatment-emergent substitutions A156V in NS3 and Q30R/L31M/H58D in NS5A, and one had Q30R/H58D (while Y93N was present at baseline and post-treatment) in NS5A. </w:t>
      </w:r>
    </w:p>
    <w:p w:rsidR="00493B75" w:rsidRPr="005E1202" w:rsidRDefault="00493B75" w:rsidP="009A5E7A">
      <w:pPr>
        <w:jc w:val="both"/>
        <w:rPr>
          <w:rFonts w:ascii="Arial" w:hAnsi="Arial" w:cs="Arial"/>
        </w:rPr>
      </w:pPr>
      <w:r w:rsidRPr="005E1202">
        <w:rPr>
          <w:rFonts w:ascii="Arial" w:hAnsi="Arial" w:cs="Arial"/>
        </w:rPr>
        <w:t>Among the two genotype 2-infected patients, no treatment-emergent substitutions were observed in NS3 or NS5A (the M31 polymorphism in NS5A was present at baseline and post-treatment in both subjects).</w:t>
      </w:r>
    </w:p>
    <w:p w:rsidR="00493B75" w:rsidRPr="005E1202" w:rsidRDefault="00493B75" w:rsidP="00493B75">
      <w:pPr>
        <w:rPr>
          <w:rFonts w:ascii="Arial" w:hAnsi="Arial" w:cs="Arial"/>
        </w:rPr>
      </w:pPr>
      <w:r w:rsidRPr="005E1202">
        <w:rPr>
          <w:rFonts w:ascii="Arial" w:hAnsi="Arial" w:cs="Arial"/>
        </w:rPr>
        <w:t xml:space="preserve">Among the eighteen genotype 3-infected patients treated with MAVIRET for 8, 12, or 16 weeks who experienced </w:t>
      </w:r>
      <w:proofErr w:type="spellStart"/>
      <w:r w:rsidRPr="005E1202">
        <w:rPr>
          <w:rFonts w:ascii="Arial" w:hAnsi="Arial" w:cs="Arial"/>
        </w:rPr>
        <w:t>virologic</w:t>
      </w:r>
      <w:proofErr w:type="spellEnd"/>
      <w:r w:rsidRPr="005E1202">
        <w:rPr>
          <w:rFonts w:ascii="Arial" w:hAnsi="Arial" w:cs="Arial"/>
        </w:rPr>
        <w:t xml:space="preserve"> failure, treatment-emergent NS3 substitutions Y56H/N, Q80K/R, A156G, or Q168L/R were observed in eleven patients. A166S or Q168R were present at baseline and post-treatment in five patients. Treatment-emergent NS5A substitutions M28G, A30G/K, L31F, P58T, or Y93H were observed in sixteen patients, and thirteen patients had A30K (n=9) or Y93H (n=5) at baseline and post-treatment.</w:t>
      </w:r>
    </w:p>
    <w:p w:rsidR="00493B75" w:rsidRPr="005E1202" w:rsidRDefault="00493B75" w:rsidP="009A5E7A">
      <w:pPr>
        <w:pStyle w:val="Heading5"/>
        <w:jc w:val="both"/>
        <w:rPr>
          <w:rFonts w:cs="Arial"/>
        </w:rPr>
      </w:pPr>
      <w:r w:rsidRPr="005E1202">
        <w:rPr>
          <w:rFonts w:cs="Arial"/>
        </w:rPr>
        <w:t xml:space="preserve">Studies in Patients with or without Cirrhosis who were Treatment-Experienced to NS3/4A Protease and/or NS5A Inhibitors </w:t>
      </w:r>
    </w:p>
    <w:p w:rsidR="00493B75" w:rsidRPr="005E1202" w:rsidRDefault="00493B75" w:rsidP="009A5E7A">
      <w:pPr>
        <w:jc w:val="both"/>
        <w:rPr>
          <w:rFonts w:ascii="Arial" w:hAnsi="Arial" w:cs="Arial"/>
        </w:rPr>
      </w:pPr>
      <w:r w:rsidRPr="005E1202">
        <w:rPr>
          <w:rFonts w:ascii="Arial" w:hAnsi="Arial" w:cs="Arial"/>
        </w:rPr>
        <w:t xml:space="preserve">Ten of 113 patients treated with MAVIRET in the MAGELLAN-1 study for 12 or 16 weeks experienced </w:t>
      </w:r>
      <w:proofErr w:type="spellStart"/>
      <w:r w:rsidRPr="005E1202">
        <w:rPr>
          <w:rFonts w:ascii="Arial" w:hAnsi="Arial" w:cs="Arial"/>
        </w:rPr>
        <w:t>virologic</w:t>
      </w:r>
      <w:proofErr w:type="spellEnd"/>
      <w:r w:rsidRPr="005E1202">
        <w:rPr>
          <w:rFonts w:ascii="Arial" w:hAnsi="Arial" w:cs="Arial"/>
        </w:rPr>
        <w:t xml:space="preserve"> failure. </w:t>
      </w:r>
    </w:p>
    <w:p w:rsidR="00493B75" w:rsidRPr="005E1202" w:rsidRDefault="00493B75" w:rsidP="009A5E7A">
      <w:pPr>
        <w:jc w:val="both"/>
        <w:rPr>
          <w:rFonts w:ascii="Arial" w:hAnsi="Arial" w:cs="Arial"/>
        </w:rPr>
      </w:pPr>
      <w:proofErr w:type="gramStart"/>
      <w:r w:rsidRPr="005E1202">
        <w:rPr>
          <w:rFonts w:ascii="Arial" w:hAnsi="Arial" w:cs="Arial"/>
        </w:rPr>
        <w:t>Among the ten genotype</w:t>
      </w:r>
      <w:proofErr w:type="gramEnd"/>
      <w:r w:rsidRPr="005E1202">
        <w:rPr>
          <w:rFonts w:ascii="Arial" w:hAnsi="Arial" w:cs="Arial"/>
        </w:rPr>
        <w:t xml:space="preserve"> 1-infected patients with </w:t>
      </w:r>
      <w:proofErr w:type="spellStart"/>
      <w:r w:rsidRPr="005E1202">
        <w:rPr>
          <w:rFonts w:ascii="Arial" w:hAnsi="Arial" w:cs="Arial"/>
        </w:rPr>
        <w:t>virologic</w:t>
      </w:r>
      <w:proofErr w:type="spellEnd"/>
      <w:r w:rsidRPr="005E1202">
        <w:rPr>
          <w:rFonts w:ascii="Arial" w:hAnsi="Arial" w:cs="Arial"/>
        </w:rPr>
        <w:t xml:space="preserve"> failure, treatment-emergent NS3 substitutions V36A/M, R155K/T, A156G/T/V, or D168A/T were observed in seven patients. Five of the ten patients had combinations of V36M, Y56H, R155K/T, or D168A/E in NS3 at baseline and post-treatment. All of the genotype 1-infected </w:t>
      </w:r>
      <w:proofErr w:type="spellStart"/>
      <w:r w:rsidRPr="005E1202">
        <w:rPr>
          <w:rFonts w:ascii="Arial" w:hAnsi="Arial" w:cs="Arial"/>
        </w:rPr>
        <w:t>virologic</w:t>
      </w:r>
      <w:proofErr w:type="spellEnd"/>
      <w:r w:rsidRPr="005E1202">
        <w:rPr>
          <w:rFonts w:ascii="Arial" w:hAnsi="Arial" w:cs="Arial"/>
        </w:rPr>
        <w:t xml:space="preserve"> failure patients had one or more NS5A substitutions L/M28M/T/V, Q30E/G/H/K/L/R, L31M, P32 deletion, H58C/D, or Y93H at baseline, with additional treatment-emergent NS5A substitutions M28A/G, P29Q/R, Q30K, H58D, or Y93H observed in seven of the patients at the time of failure.</w:t>
      </w:r>
    </w:p>
    <w:p w:rsidR="00493B75" w:rsidRPr="005E1202" w:rsidRDefault="00493B75" w:rsidP="009A5E7A">
      <w:pPr>
        <w:pStyle w:val="Heading3"/>
        <w:jc w:val="both"/>
        <w:rPr>
          <w:rFonts w:cs="Arial"/>
        </w:rPr>
      </w:pPr>
      <w:r w:rsidRPr="005E1202">
        <w:rPr>
          <w:rFonts w:cs="Arial"/>
        </w:rPr>
        <w:t>Effect of Baseline HCV Amino Acid Polymorphisms on Treatment Response</w:t>
      </w:r>
    </w:p>
    <w:p w:rsidR="00493B75" w:rsidRPr="005E1202" w:rsidRDefault="00493B75" w:rsidP="009A5E7A">
      <w:pPr>
        <w:jc w:val="both"/>
        <w:rPr>
          <w:rFonts w:ascii="Arial" w:hAnsi="Arial" w:cs="Arial"/>
        </w:rPr>
      </w:pPr>
      <w:r w:rsidRPr="005E1202">
        <w:rPr>
          <w:rFonts w:ascii="Arial" w:hAnsi="Arial" w:cs="Arial"/>
        </w:rPr>
        <w:t xml:space="preserve">A pooled analysis of treatment-naïve and </w:t>
      </w:r>
      <w:proofErr w:type="spellStart"/>
      <w:r w:rsidRPr="005E1202">
        <w:rPr>
          <w:rFonts w:ascii="Arial" w:hAnsi="Arial" w:cs="Arial"/>
        </w:rPr>
        <w:t>pegylated</w:t>
      </w:r>
      <w:proofErr w:type="spellEnd"/>
      <w:r w:rsidRPr="005E1202">
        <w:rPr>
          <w:rFonts w:ascii="Arial" w:hAnsi="Arial" w:cs="Arial"/>
        </w:rPr>
        <w:t xml:space="preserve"> interferon, ribavirin and/or </w:t>
      </w:r>
      <w:proofErr w:type="spellStart"/>
      <w:r w:rsidRPr="005E1202">
        <w:rPr>
          <w:rFonts w:ascii="Arial" w:hAnsi="Arial" w:cs="Arial"/>
        </w:rPr>
        <w:t>sofosbuvir</w:t>
      </w:r>
      <w:proofErr w:type="spellEnd"/>
      <w:r w:rsidRPr="005E1202">
        <w:rPr>
          <w:rFonts w:ascii="Arial" w:hAnsi="Arial" w:cs="Arial"/>
        </w:rPr>
        <w:t xml:space="preserve"> treatment-experienced patients receiving MAVIRET in the Phase 2 and Phase 3 clinical studies was conducted to explore the association between baseline polymorphisms and treatment outcome and to describe substitutions seen upon </w:t>
      </w:r>
      <w:proofErr w:type="spellStart"/>
      <w:r w:rsidRPr="005E1202">
        <w:rPr>
          <w:rFonts w:ascii="Arial" w:hAnsi="Arial" w:cs="Arial"/>
        </w:rPr>
        <w:t>virologic</w:t>
      </w:r>
      <w:proofErr w:type="spellEnd"/>
      <w:r w:rsidRPr="005E1202">
        <w:rPr>
          <w:rFonts w:ascii="Arial" w:hAnsi="Arial" w:cs="Arial"/>
        </w:rPr>
        <w:t xml:space="preserve"> failure. Baseline polymorphisms relative to a subtype-specific reference sequence at amino acid positions 155, 156, and 168 in NS3, and 24, 28, 30, 31, 58, 92, and 93 in NS5A were evaluated at a 15% detection threshold by next-generation sequencing. Baseline polymorphisms in NS3 were detected in 1.1% (9/845), 0.8% (3/398), 1.6% (10/613), 1.2% (2/164), 41.9% (13/31), and 2.9% (1/34) of patients with HCV genotype 1, 2, 3, 4, 5, and 6 </w:t>
      </w:r>
      <w:proofErr w:type="gramStart"/>
      <w:r w:rsidRPr="005E1202">
        <w:rPr>
          <w:rFonts w:ascii="Arial" w:hAnsi="Arial" w:cs="Arial"/>
        </w:rPr>
        <w:t>infection</w:t>
      </w:r>
      <w:proofErr w:type="gramEnd"/>
      <w:r w:rsidRPr="005E1202">
        <w:rPr>
          <w:rFonts w:ascii="Arial" w:hAnsi="Arial" w:cs="Arial"/>
        </w:rPr>
        <w:t xml:space="preserve">, respectively. </w:t>
      </w:r>
      <w:r w:rsidRPr="005E1202">
        <w:rPr>
          <w:rFonts w:ascii="Arial" w:hAnsi="Arial" w:cs="Arial"/>
        </w:rPr>
        <w:lastRenderedPageBreak/>
        <w:t>Baseline polymorphisms in NS5A were detected in 26.8% (225/841), 79.8% (331/415), 22.1% (136/615), 49.7% (80/161), 12.9 % (4/31), and 54.1% (20/37) of subjects with HCV genotype 1, 2, 3, 4, 5, and 6 infection respectively.</w:t>
      </w:r>
    </w:p>
    <w:p w:rsidR="00493B75" w:rsidRPr="005E1202" w:rsidRDefault="00493B75" w:rsidP="009A5E7A">
      <w:pPr>
        <w:jc w:val="both"/>
        <w:rPr>
          <w:rFonts w:ascii="Arial" w:hAnsi="Arial" w:cs="Arial"/>
          <w:u w:val="single"/>
        </w:rPr>
      </w:pPr>
      <w:r w:rsidRPr="005E1202">
        <w:rPr>
          <w:rFonts w:ascii="Arial" w:hAnsi="Arial" w:cs="Arial"/>
          <w:i/>
        </w:rPr>
        <w:t>Genotype 1, 2, 4, 5, and 6:</w:t>
      </w:r>
      <w:r w:rsidRPr="005E1202">
        <w:rPr>
          <w:rFonts w:ascii="Arial" w:hAnsi="Arial" w:cs="Arial"/>
        </w:rPr>
        <w:t xml:space="preserve"> Baseline polymorphisms in genotypes 1, 2, 4, 5 and 6 had no impact on treatment outcome.</w:t>
      </w:r>
    </w:p>
    <w:p w:rsidR="00493B75" w:rsidRPr="005E1202" w:rsidRDefault="00493B75" w:rsidP="009A5E7A">
      <w:pPr>
        <w:jc w:val="both"/>
        <w:rPr>
          <w:rFonts w:ascii="Arial" w:hAnsi="Arial" w:cs="Arial"/>
        </w:rPr>
      </w:pPr>
      <w:r w:rsidRPr="005E1202">
        <w:rPr>
          <w:rFonts w:ascii="Arial" w:hAnsi="Arial" w:cs="Arial"/>
          <w:i/>
        </w:rPr>
        <w:t>Genotype 3</w:t>
      </w:r>
      <w:r w:rsidRPr="005E1202">
        <w:rPr>
          <w:rFonts w:ascii="Arial" w:hAnsi="Arial" w:cs="Arial"/>
        </w:rPr>
        <w:t>: Among 309 genotype 3-infected patients receiving the recommended regimen, baseline NS3 polymorphisms had no impact on treatment outcome. All patients (100%, 15/15) with Y93H in NS5A at baseline achieved SVR12. Among patients receiving the recommended regimen, 75% (15/20) with A30K in NS5A at baseline achieved SVR12. Among genotype 3-infected patients with compensated cirrhosis receiving the recommended regimen, 100% (18/18) who had polymorphisms in NS5A at baseline achieved SVR12.</w:t>
      </w:r>
    </w:p>
    <w:p w:rsidR="00493B75" w:rsidRPr="005E1202" w:rsidRDefault="00493B75" w:rsidP="009A5E7A">
      <w:pPr>
        <w:pStyle w:val="Heading3"/>
        <w:jc w:val="both"/>
        <w:rPr>
          <w:rFonts w:cs="Arial"/>
        </w:rPr>
      </w:pPr>
      <w:r w:rsidRPr="005E1202">
        <w:rPr>
          <w:rFonts w:cs="Arial"/>
        </w:rPr>
        <w:t>Cross-resistance</w:t>
      </w:r>
    </w:p>
    <w:p w:rsidR="00493B75" w:rsidRPr="005E1202" w:rsidRDefault="00493B75" w:rsidP="007558D5">
      <w:pPr>
        <w:jc w:val="both"/>
        <w:rPr>
          <w:rFonts w:ascii="Arial" w:hAnsi="Arial" w:cs="Arial"/>
        </w:rPr>
      </w:pPr>
      <w:r w:rsidRPr="005E1202">
        <w:rPr>
          <w:rFonts w:ascii="Arial" w:hAnsi="Arial" w:cs="Arial"/>
          <w:i/>
        </w:rPr>
        <w:t>In vitro</w:t>
      </w:r>
      <w:r w:rsidRPr="005E1202">
        <w:rPr>
          <w:rFonts w:ascii="Arial" w:hAnsi="Arial" w:cs="Arial"/>
        </w:rPr>
        <w:t xml:space="preserve"> data indicate that the majority of the resistance-associated substitutions in NS5A at amino acid positions 24, 28, 30, 31, 58, 92, or 93 that confer resistance to </w:t>
      </w:r>
      <w:proofErr w:type="spellStart"/>
      <w:r w:rsidRPr="005E1202">
        <w:rPr>
          <w:rFonts w:ascii="Arial" w:hAnsi="Arial" w:cs="Arial"/>
        </w:rPr>
        <w:t>ombitasvir</w:t>
      </w:r>
      <w:proofErr w:type="spellEnd"/>
      <w:r w:rsidRPr="005E1202">
        <w:rPr>
          <w:rFonts w:ascii="Arial" w:hAnsi="Arial" w:cs="Arial"/>
        </w:rPr>
        <w:t xml:space="preserve">, </w:t>
      </w:r>
      <w:proofErr w:type="spellStart"/>
      <w:r w:rsidRPr="005E1202">
        <w:rPr>
          <w:rFonts w:ascii="Arial" w:hAnsi="Arial" w:cs="Arial"/>
        </w:rPr>
        <w:t>daclatasvir</w:t>
      </w:r>
      <w:proofErr w:type="spellEnd"/>
      <w:r w:rsidRPr="005E1202">
        <w:rPr>
          <w:rFonts w:ascii="Arial" w:hAnsi="Arial" w:cs="Arial"/>
        </w:rPr>
        <w:t xml:space="preserve">, </w:t>
      </w:r>
      <w:proofErr w:type="spellStart"/>
      <w:r w:rsidRPr="005E1202">
        <w:rPr>
          <w:rFonts w:ascii="Arial" w:hAnsi="Arial" w:cs="Arial"/>
        </w:rPr>
        <w:t>ledipasvir</w:t>
      </w:r>
      <w:proofErr w:type="spellEnd"/>
      <w:r w:rsidRPr="005E1202">
        <w:rPr>
          <w:rFonts w:ascii="Arial" w:hAnsi="Arial" w:cs="Arial"/>
        </w:rPr>
        <w:t xml:space="preserve">, </w:t>
      </w:r>
      <w:proofErr w:type="spellStart"/>
      <w:r w:rsidRPr="005E1202">
        <w:rPr>
          <w:rFonts w:ascii="Arial" w:hAnsi="Arial" w:cs="Arial"/>
        </w:rPr>
        <w:t>elbasvir</w:t>
      </w:r>
      <w:proofErr w:type="spellEnd"/>
      <w:r w:rsidRPr="005E1202">
        <w:rPr>
          <w:rFonts w:ascii="Arial" w:hAnsi="Arial" w:cs="Arial"/>
        </w:rPr>
        <w:t xml:space="preserve">, or </w:t>
      </w:r>
      <w:proofErr w:type="spellStart"/>
      <w:r w:rsidRPr="005E1202">
        <w:rPr>
          <w:rFonts w:ascii="Arial" w:hAnsi="Arial" w:cs="Arial"/>
        </w:rPr>
        <w:t>velpatasvir</w:t>
      </w:r>
      <w:proofErr w:type="spellEnd"/>
      <w:r w:rsidRPr="005E1202">
        <w:rPr>
          <w:rFonts w:ascii="Arial" w:hAnsi="Arial" w:cs="Arial"/>
        </w:rPr>
        <w:t xml:space="preserve"> remained susceptible to </w:t>
      </w:r>
      <w:proofErr w:type="spellStart"/>
      <w:r w:rsidRPr="005E1202">
        <w:rPr>
          <w:rFonts w:ascii="Arial" w:hAnsi="Arial" w:cs="Arial"/>
        </w:rPr>
        <w:t>pibrentasvir</w:t>
      </w:r>
      <w:proofErr w:type="spellEnd"/>
      <w:r w:rsidRPr="005E1202">
        <w:rPr>
          <w:rFonts w:ascii="Arial" w:hAnsi="Arial" w:cs="Arial"/>
        </w:rPr>
        <w:t xml:space="preserve">. Some combinations of NS5A substitutions at these positions showed reductions in susceptibility to </w:t>
      </w:r>
      <w:proofErr w:type="spellStart"/>
      <w:r w:rsidRPr="005E1202">
        <w:rPr>
          <w:rFonts w:ascii="Arial" w:hAnsi="Arial" w:cs="Arial"/>
        </w:rPr>
        <w:t>pibrentasvir</w:t>
      </w:r>
      <w:proofErr w:type="spellEnd"/>
      <w:r w:rsidRPr="005E1202">
        <w:rPr>
          <w:rFonts w:ascii="Arial" w:hAnsi="Arial" w:cs="Arial"/>
        </w:rPr>
        <w:t xml:space="preserve">. </w:t>
      </w:r>
      <w:proofErr w:type="spellStart"/>
      <w:r w:rsidRPr="005E1202">
        <w:rPr>
          <w:rFonts w:ascii="Arial" w:hAnsi="Arial" w:cs="Arial"/>
        </w:rPr>
        <w:t>Glecaprevir</w:t>
      </w:r>
      <w:proofErr w:type="spellEnd"/>
      <w:r w:rsidRPr="005E1202">
        <w:rPr>
          <w:rFonts w:ascii="Arial" w:hAnsi="Arial" w:cs="Arial"/>
        </w:rPr>
        <w:t xml:space="preserve"> was fully active against resistance-associated substitutions in NS5A, while </w:t>
      </w:r>
      <w:proofErr w:type="spellStart"/>
      <w:r w:rsidRPr="005E1202">
        <w:rPr>
          <w:rFonts w:ascii="Arial" w:hAnsi="Arial" w:cs="Arial"/>
        </w:rPr>
        <w:t>pibrentasvir</w:t>
      </w:r>
      <w:proofErr w:type="spellEnd"/>
      <w:r w:rsidRPr="005E1202">
        <w:rPr>
          <w:rFonts w:ascii="Arial" w:hAnsi="Arial" w:cs="Arial"/>
        </w:rPr>
        <w:t xml:space="preserve"> was fully active against resistance-associated substitutions in NS3. Both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were fully active against substitutions associated with resistance to NS5B nucleotide and non-nucleotide inhibitors.</w:t>
      </w:r>
    </w:p>
    <w:p w:rsidR="00493B75" w:rsidRPr="005E1202" w:rsidRDefault="00493B75" w:rsidP="007558D5">
      <w:pPr>
        <w:jc w:val="both"/>
        <w:rPr>
          <w:rFonts w:ascii="Arial" w:hAnsi="Arial" w:cs="Arial"/>
        </w:rPr>
      </w:pPr>
      <w:r w:rsidRPr="005E1202">
        <w:rPr>
          <w:rFonts w:ascii="Arial" w:hAnsi="Arial" w:cs="Arial"/>
        </w:rPr>
        <w:t xml:space="preserve">Based on resistance patterns observed in cell culture replicon studies, cross-resistance is possible between </w:t>
      </w:r>
      <w:proofErr w:type="spellStart"/>
      <w:r w:rsidRPr="005E1202">
        <w:rPr>
          <w:rFonts w:ascii="Arial" w:hAnsi="Arial" w:cs="Arial"/>
        </w:rPr>
        <w:t>glecaprevir</w:t>
      </w:r>
      <w:proofErr w:type="spellEnd"/>
      <w:r w:rsidRPr="005E1202">
        <w:rPr>
          <w:rFonts w:ascii="Arial" w:hAnsi="Arial" w:cs="Arial"/>
        </w:rPr>
        <w:t xml:space="preserve"> and other HCV NS3/4A protease inhibitors, and between </w:t>
      </w:r>
      <w:proofErr w:type="spellStart"/>
      <w:r w:rsidRPr="005E1202">
        <w:rPr>
          <w:rFonts w:ascii="Arial" w:hAnsi="Arial" w:cs="Arial"/>
        </w:rPr>
        <w:t>pibrentasvir</w:t>
      </w:r>
      <w:proofErr w:type="spellEnd"/>
      <w:r w:rsidRPr="005E1202">
        <w:rPr>
          <w:rFonts w:ascii="Arial" w:hAnsi="Arial" w:cs="Arial"/>
        </w:rPr>
        <w:t xml:space="preserve"> and other HCV NS5A polymerase inhibitors.</w:t>
      </w:r>
    </w:p>
    <w:p w:rsidR="00493B75" w:rsidRPr="005E1202" w:rsidRDefault="00493B75" w:rsidP="007558D5">
      <w:pPr>
        <w:jc w:val="both"/>
        <w:rPr>
          <w:rFonts w:ascii="Arial" w:hAnsi="Arial" w:cs="Arial"/>
        </w:rPr>
      </w:pPr>
      <w:r w:rsidRPr="005E1202">
        <w:rPr>
          <w:rFonts w:ascii="Arial" w:hAnsi="Arial" w:cs="Arial"/>
        </w:rPr>
        <w:t xml:space="preserve">In the MAGELLAN-1 study, patients who had failed prior treatment with NS3/4A protease and/or NS5A inhibitors were treated with MAVIRET for 12 or 16 weeks. Baseline sequences were analysed by next generation sequencing at 15% detection threshold. One or more of the following NS3 polymorphisms were detected at baseline in 16% (17/105) of patients with genotype 1 infection: R155K/T (n=8) or D168A/E/N/T/V (n=10). One or more of the following NS5A substitutions were detected in 60% (63/105) of the genotype 1-infected patients: K24Q/R (n=4), L/M28A/M/T/V (n=11), Q/R30E/G/H/K/L/Q/R (n=29), L31I/M/V (n=14), H/P58C/D/P/Q/S/T/Y (n=17), A92E/T (n=2), or Y93H/N/S (n=23). </w:t>
      </w:r>
    </w:p>
    <w:p w:rsidR="00493B75" w:rsidRPr="005E1202" w:rsidRDefault="00493B75" w:rsidP="007558D5">
      <w:pPr>
        <w:jc w:val="both"/>
        <w:rPr>
          <w:rFonts w:ascii="Arial" w:hAnsi="Arial" w:cs="Arial"/>
        </w:rPr>
      </w:pPr>
      <w:r w:rsidRPr="005E1202">
        <w:rPr>
          <w:rFonts w:ascii="Arial" w:hAnsi="Arial" w:cs="Arial"/>
        </w:rPr>
        <w:t xml:space="preserve">Among 23 </w:t>
      </w:r>
      <w:r w:rsidR="00A53B34">
        <w:rPr>
          <w:rFonts w:ascii="Arial" w:hAnsi="Arial" w:cs="Arial"/>
        </w:rPr>
        <w:t xml:space="preserve">NS3/4A </w:t>
      </w:r>
      <w:r w:rsidRPr="005E1202">
        <w:rPr>
          <w:rFonts w:ascii="Arial" w:hAnsi="Arial" w:cs="Arial"/>
        </w:rPr>
        <w:t>PI-experienced</w:t>
      </w:r>
      <w:r w:rsidR="00A53B34">
        <w:rPr>
          <w:rFonts w:ascii="Arial" w:hAnsi="Arial" w:cs="Arial"/>
        </w:rPr>
        <w:t xml:space="preserve"> </w:t>
      </w:r>
      <w:r w:rsidRPr="005E1202">
        <w:rPr>
          <w:rFonts w:ascii="Arial" w:hAnsi="Arial" w:cs="Arial"/>
        </w:rPr>
        <w:t>/</w:t>
      </w:r>
      <w:r w:rsidR="00A53B34">
        <w:rPr>
          <w:rFonts w:ascii="Arial" w:hAnsi="Arial" w:cs="Arial"/>
        </w:rPr>
        <w:t xml:space="preserve"> </w:t>
      </w:r>
      <w:r w:rsidRPr="005E1202">
        <w:rPr>
          <w:rFonts w:ascii="Arial" w:hAnsi="Arial" w:cs="Arial"/>
        </w:rPr>
        <w:t xml:space="preserve">NS5A inhibitor-naïve patients receiving 12 weeks of treatment, two patients each had baseline polymorphisms in NS3-only, NS5A-only, or NS3 + NS5A; all 23 patients achieved SVR12. Among 32 NS5A inhibitor-experienced patients (with or without </w:t>
      </w:r>
      <w:r w:rsidR="00A53B34">
        <w:rPr>
          <w:rFonts w:ascii="Arial" w:hAnsi="Arial" w:cs="Arial"/>
        </w:rPr>
        <w:t xml:space="preserve">NS3/4A </w:t>
      </w:r>
      <w:r w:rsidRPr="005E1202">
        <w:rPr>
          <w:rFonts w:ascii="Arial" w:hAnsi="Arial" w:cs="Arial"/>
        </w:rPr>
        <w:t>PI-experience) receiving 16 weeks of treatment, SVR12 rate was 100% (1/1), 95.0% (19/20), 25.0% (1/4), and 100% (7/7) in patients with baseline polymorphisms in NS3-only, NS5A-only, NS3 + NS5A, or without polymorphisms in NS3 or NS5A, respectively.</w:t>
      </w:r>
    </w:p>
    <w:p w:rsidR="001A3992" w:rsidRPr="005E1202" w:rsidRDefault="001A3992" w:rsidP="001A3992">
      <w:pPr>
        <w:pStyle w:val="Heading3"/>
        <w:spacing w:before="0" w:after="120"/>
        <w:rPr>
          <w:rFonts w:cs="Arial"/>
          <w:lang w:val="en-US"/>
        </w:rPr>
      </w:pPr>
      <w:r w:rsidRPr="005E1202">
        <w:rPr>
          <w:rFonts w:cs="Arial"/>
        </w:rPr>
        <w:lastRenderedPageBreak/>
        <w:t>Clinical</w:t>
      </w:r>
      <w:r w:rsidRPr="005E1202">
        <w:rPr>
          <w:rFonts w:cs="Arial"/>
          <w:lang w:val="en-US"/>
        </w:rPr>
        <w:t xml:space="preserve"> trials</w:t>
      </w:r>
    </w:p>
    <w:p w:rsidR="00493B75" w:rsidRPr="005E1202" w:rsidRDefault="00493B75" w:rsidP="009C7847">
      <w:pPr>
        <w:pStyle w:val="Heading4"/>
        <w:rPr>
          <w:rFonts w:cs="Arial"/>
        </w:rPr>
      </w:pPr>
      <w:r w:rsidRPr="005E1202">
        <w:rPr>
          <w:rFonts w:cs="Arial"/>
        </w:rPr>
        <w:t>Description of Clinical Studies</w:t>
      </w:r>
    </w:p>
    <w:p w:rsidR="0088541D" w:rsidRDefault="00493B75" w:rsidP="0088541D">
      <w:pPr>
        <w:jc w:val="both"/>
        <w:rPr>
          <w:rFonts w:ascii="Arial" w:hAnsi="Arial" w:cs="Arial"/>
          <w:iCs/>
          <w:color w:val="000000"/>
        </w:rPr>
      </w:pPr>
      <w:r w:rsidRPr="005E1202">
        <w:rPr>
          <w:rFonts w:ascii="Arial" w:hAnsi="Arial" w:cs="Arial"/>
          <w:color w:val="000000"/>
        </w:rPr>
        <w:t xml:space="preserve">Table </w:t>
      </w:r>
      <w:r w:rsidR="005E1202">
        <w:rPr>
          <w:rFonts w:ascii="Arial" w:hAnsi="Arial" w:cs="Arial"/>
          <w:color w:val="000000"/>
        </w:rPr>
        <w:t>8</w:t>
      </w:r>
      <w:r w:rsidRPr="005E1202">
        <w:rPr>
          <w:rFonts w:ascii="Arial" w:hAnsi="Arial" w:cs="Arial"/>
          <w:color w:val="000000"/>
        </w:rPr>
        <w:t xml:space="preserve"> summarises clinical </w:t>
      </w:r>
      <w:r w:rsidRPr="005E1202">
        <w:rPr>
          <w:rFonts w:ascii="Arial" w:hAnsi="Arial" w:cs="Arial"/>
        </w:rPr>
        <w:t xml:space="preserve">studies </w:t>
      </w:r>
      <w:r w:rsidRPr="005E1202">
        <w:rPr>
          <w:rFonts w:ascii="Arial" w:hAnsi="Arial" w:cs="Arial"/>
          <w:color w:val="000000"/>
        </w:rPr>
        <w:t xml:space="preserve">conducted with MAVIRET in patients with chronic hepatitis C (HCV) genotype 1, 2, 3, 4, 5 or 6 </w:t>
      </w:r>
      <w:proofErr w:type="gramStart"/>
      <w:r w:rsidRPr="005E1202">
        <w:rPr>
          <w:rFonts w:ascii="Arial" w:hAnsi="Arial" w:cs="Arial"/>
          <w:color w:val="000000"/>
        </w:rPr>
        <w:t>infection</w:t>
      </w:r>
      <w:proofErr w:type="gramEnd"/>
      <w:r w:rsidRPr="005E1202">
        <w:rPr>
          <w:rFonts w:ascii="Arial" w:hAnsi="Arial" w:cs="Arial"/>
          <w:color w:val="000000"/>
        </w:rPr>
        <w:t xml:space="preserve">. For the recommended treatment duration </w:t>
      </w:r>
      <w:r w:rsidRPr="005E1202">
        <w:rPr>
          <w:rFonts w:ascii="Arial" w:hAnsi="Arial" w:cs="Arial"/>
          <w:iCs/>
          <w:color w:val="000000"/>
        </w:rPr>
        <w:t xml:space="preserve">see </w:t>
      </w:r>
      <w:r w:rsidR="008D55BB" w:rsidRPr="005E193F">
        <w:rPr>
          <w:rFonts w:ascii="Arial" w:hAnsi="Arial" w:cs="Arial"/>
          <w:iCs/>
          <w:color w:val="000000"/>
        </w:rPr>
        <w:t xml:space="preserve">4.2 </w:t>
      </w:r>
      <w:r w:rsidRPr="005E193F">
        <w:rPr>
          <w:rFonts w:ascii="Arial" w:hAnsi="Arial" w:cs="Arial"/>
          <w:iCs/>
          <w:color w:val="000000"/>
        </w:rPr>
        <w:t xml:space="preserve">DOSE AND </w:t>
      </w:r>
      <w:r w:rsidR="008D55BB" w:rsidRPr="005E193F">
        <w:rPr>
          <w:rFonts w:ascii="Arial" w:hAnsi="Arial" w:cs="Arial"/>
          <w:iCs/>
          <w:color w:val="000000"/>
        </w:rPr>
        <w:t xml:space="preserve">METHOD OF </w:t>
      </w:r>
      <w:r w:rsidRPr="005E193F">
        <w:rPr>
          <w:rFonts w:ascii="Arial" w:hAnsi="Arial" w:cs="Arial"/>
          <w:iCs/>
          <w:color w:val="000000"/>
        </w:rPr>
        <w:t>ADMINISTRATION.</w:t>
      </w:r>
    </w:p>
    <w:p w:rsidR="009206A1" w:rsidRPr="0088541D" w:rsidRDefault="009206A1" w:rsidP="0088541D">
      <w:pPr>
        <w:jc w:val="both"/>
        <w:rPr>
          <w:rFonts w:ascii="Arial" w:hAnsi="Arial" w:cs="Arial"/>
          <w:iCs/>
          <w:color w:val="000000"/>
        </w:rPr>
      </w:pPr>
    </w:p>
    <w:p w:rsidR="00493B75" w:rsidRPr="005E1202" w:rsidRDefault="00493B75" w:rsidP="00493B75">
      <w:pPr>
        <w:rPr>
          <w:rFonts w:ascii="Arial" w:hAnsi="Arial" w:cs="Arial"/>
          <w:b/>
        </w:rPr>
      </w:pPr>
      <w:proofErr w:type="gramStart"/>
      <w:r w:rsidRPr="005E1202">
        <w:rPr>
          <w:rFonts w:ascii="Arial" w:hAnsi="Arial" w:cs="Arial"/>
          <w:b/>
        </w:rPr>
        <w:t xml:space="preserve">Table </w:t>
      </w:r>
      <w:r w:rsidR="005E1202">
        <w:rPr>
          <w:rFonts w:ascii="Arial" w:hAnsi="Arial" w:cs="Arial"/>
          <w:b/>
        </w:rPr>
        <w:t>8</w:t>
      </w:r>
      <w:r w:rsidRPr="005E1202">
        <w:rPr>
          <w:rFonts w:ascii="Arial" w:hAnsi="Arial" w:cs="Arial"/>
          <w:b/>
        </w:rPr>
        <w:t>.</w:t>
      </w:r>
      <w:proofErr w:type="gramEnd"/>
      <w:r w:rsidRPr="005E1202">
        <w:rPr>
          <w:rFonts w:ascii="Arial" w:hAnsi="Arial" w:cs="Arial"/>
          <w:b/>
        </w:rPr>
        <w:t xml:space="preserve"> Clinical Studies Conducted with MAVIRET in Patients with HCV Genotype 1, 2, 3, 4, 5 or 6 </w:t>
      </w:r>
      <w:proofErr w:type="gramStart"/>
      <w:r w:rsidRPr="005E1202">
        <w:rPr>
          <w:rFonts w:ascii="Arial" w:hAnsi="Arial" w:cs="Arial"/>
          <w:b/>
        </w:rPr>
        <w:t>Infection</w:t>
      </w:r>
      <w:proofErr w:type="gramEnd"/>
    </w:p>
    <w:tbl>
      <w:tblPr>
        <w:tblStyle w:val="TableGrid"/>
        <w:tblW w:w="8587" w:type="dxa"/>
        <w:jc w:val="center"/>
        <w:tblInd w:w="-584" w:type="dxa"/>
        <w:tblLayout w:type="fixed"/>
        <w:tblLook w:val="04A0" w:firstRow="1" w:lastRow="0" w:firstColumn="1" w:lastColumn="0" w:noHBand="0" w:noVBand="1"/>
      </w:tblPr>
      <w:tblGrid>
        <w:gridCol w:w="1215"/>
        <w:gridCol w:w="2935"/>
        <w:gridCol w:w="4437"/>
      </w:tblGrid>
      <w:tr w:rsidR="00A53B34" w:rsidRPr="005E1202" w:rsidTr="0088541D">
        <w:trPr>
          <w:trHeight w:val="539"/>
          <w:tblHeader/>
          <w:jc w:val="center"/>
        </w:trPr>
        <w:tc>
          <w:tcPr>
            <w:tcW w:w="1215" w:type="dxa"/>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Genotype (GT)</w:t>
            </w:r>
          </w:p>
        </w:tc>
        <w:tc>
          <w:tcPr>
            <w:tcW w:w="2935" w:type="dxa"/>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Clinical Study</w:t>
            </w:r>
          </w:p>
        </w:tc>
        <w:tc>
          <w:tcPr>
            <w:tcW w:w="4437" w:type="dxa"/>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Summary of Study Design</w:t>
            </w:r>
          </w:p>
        </w:tc>
      </w:tr>
      <w:tr w:rsidR="00493B75" w:rsidRPr="005E1202" w:rsidTr="0088541D">
        <w:trPr>
          <w:trHeight w:val="414"/>
          <w:jc w:val="center"/>
        </w:trPr>
        <w:tc>
          <w:tcPr>
            <w:tcW w:w="8587" w:type="dxa"/>
            <w:gridSpan w:val="3"/>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TN and TE patients without cirrhosis</w:t>
            </w:r>
          </w:p>
        </w:tc>
      </w:tr>
      <w:tr w:rsidR="00A53B34" w:rsidRPr="005E1202" w:rsidTr="0088541D">
        <w:trPr>
          <w:trHeight w:val="224"/>
          <w:jc w:val="center"/>
        </w:trPr>
        <w:tc>
          <w:tcPr>
            <w:tcW w:w="1215" w:type="dxa"/>
            <w:vMerge w:val="restart"/>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1</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ENDURANCE-1 (M13-590)</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8 (n=351) or 12 weeks (n=352)</w:t>
            </w:r>
          </w:p>
        </w:tc>
      </w:tr>
      <w:tr w:rsidR="00A53B34" w:rsidRPr="005E1202" w:rsidTr="0088541D">
        <w:trPr>
          <w:trHeight w:val="206"/>
          <w:jc w:val="center"/>
        </w:trPr>
        <w:tc>
          <w:tcPr>
            <w:tcW w:w="1215" w:type="dxa"/>
            <w:vMerge/>
            <w:vAlign w:val="center"/>
          </w:tcPr>
          <w:p w:rsidR="00493B75" w:rsidRPr="005E1202" w:rsidRDefault="00493B75" w:rsidP="00493B75">
            <w:pPr>
              <w:spacing w:before="60" w:after="60"/>
              <w:jc w:val="center"/>
              <w:rPr>
                <w:rFonts w:ascii="Arial" w:hAnsi="Arial" w:cs="Arial"/>
              </w:rPr>
            </w:pP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SURVEYOR-1 (M14-867)</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8 weeks (n=34)</w:t>
            </w:r>
          </w:p>
        </w:tc>
      </w:tr>
      <w:tr w:rsidR="00A53B34" w:rsidRPr="005E1202" w:rsidTr="0088541D">
        <w:trPr>
          <w:trHeight w:val="188"/>
          <w:jc w:val="center"/>
        </w:trPr>
        <w:tc>
          <w:tcPr>
            <w:tcW w:w="1215" w:type="dxa"/>
            <w:vMerge w:val="restart"/>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2</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ENDURANCE-2 (M15-464)</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(n=202) or Placebo (n=100) for 12 weeks</w:t>
            </w:r>
          </w:p>
        </w:tc>
      </w:tr>
      <w:tr w:rsidR="00A53B34" w:rsidRPr="005E1202" w:rsidTr="0088541D">
        <w:trPr>
          <w:trHeight w:val="170"/>
          <w:jc w:val="center"/>
        </w:trPr>
        <w:tc>
          <w:tcPr>
            <w:tcW w:w="1215" w:type="dxa"/>
            <w:vMerge/>
            <w:vAlign w:val="center"/>
          </w:tcPr>
          <w:p w:rsidR="00493B75" w:rsidRPr="005E1202" w:rsidRDefault="00493B75" w:rsidP="00493B75">
            <w:pPr>
              <w:spacing w:before="60" w:after="60"/>
              <w:jc w:val="center"/>
              <w:rPr>
                <w:rFonts w:ascii="Arial" w:hAnsi="Arial" w:cs="Arial"/>
              </w:rPr>
            </w:pP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SURVEYOR-2 (M14-868)</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8 weeks (n=199) or 12 weeks (n=25)</w:t>
            </w:r>
          </w:p>
        </w:tc>
      </w:tr>
      <w:tr w:rsidR="00A53B34" w:rsidRPr="005E1202" w:rsidTr="0088541D">
        <w:trPr>
          <w:trHeight w:val="459"/>
          <w:jc w:val="center"/>
        </w:trPr>
        <w:tc>
          <w:tcPr>
            <w:tcW w:w="1215" w:type="dxa"/>
            <w:vMerge w:val="restart"/>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3</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ENDURANCE-3 (M13-594)</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8 (n=157) or 12 weeks (n=233)</w:t>
            </w:r>
          </w:p>
          <w:p w:rsidR="00493B75" w:rsidRPr="005E1202" w:rsidRDefault="00493B75" w:rsidP="00493B75">
            <w:pPr>
              <w:spacing w:before="60" w:after="60"/>
              <w:jc w:val="center"/>
              <w:rPr>
                <w:rFonts w:ascii="Arial" w:hAnsi="Arial" w:cs="Arial"/>
              </w:rPr>
            </w:pPr>
            <w:proofErr w:type="spellStart"/>
            <w:r w:rsidRPr="005E1202">
              <w:rPr>
                <w:rFonts w:ascii="Arial" w:hAnsi="Arial" w:cs="Arial"/>
              </w:rPr>
              <w:t>Sofosbuvir</w:t>
            </w:r>
            <w:proofErr w:type="spellEnd"/>
            <w:r w:rsidRPr="005E1202">
              <w:rPr>
                <w:rFonts w:ascii="Arial" w:hAnsi="Arial" w:cs="Arial"/>
              </w:rPr>
              <w:t xml:space="preserve"> + </w:t>
            </w:r>
            <w:proofErr w:type="spellStart"/>
            <w:r w:rsidRPr="005E1202">
              <w:rPr>
                <w:rFonts w:ascii="Arial" w:hAnsi="Arial" w:cs="Arial"/>
              </w:rPr>
              <w:t>daclatasvir</w:t>
            </w:r>
            <w:proofErr w:type="spellEnd"/>
            <w:r w:rsidRPr="005E1202">
              <w:rPr>
                <w:rFonts w:ascii="Arial" w:hAnsi="Arial" w:cs="Arial"/>
              </w:rPr>
              <w:t xml:space="preserve"> for 12 weeks (n=115)</w:t>
            </w:r>
          </w:p>
        </w:tc>
      </w:tr>
      <w:tr w:rsidR="00A53B34" w:rsidRPr="005E1202" w:rsidTr="0088541D">
        <w:trPr>
          <w:trHeight w:val="179"/>
          <w:jc w:val="center"/>
        </w:trPr>
        <w:tc>
          <w:tcPr>
            <w:tcW w:w="1215" w:type="dxa"/>
            <w:vMerge/>
            <w:vAlign w:val="center"/>
          </w:tcPr>
          <w:p w:rsidR="00493B75" w:rsidRPr="005E1202" w:rsidRDefault="00493B75" w:rsidP="00493B75">
            <w:pPr>
              <w:spacing w:before="60" w:after="60"/>
              <w:jc w:val="center"/>
              <w:rPr>
                <w:rFonts w:ascii="Arial" w:hAnsi="Arial" w:cs="Arial"/>
              </w:rPr>
            </w:pP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SURVEYOR-2 (M14-868)</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 xml:space="preserve">MAVIRET for </w:t>
            </w:r>
            <w:proofErr w:type="spellStart"/>
            <w:r w:rsidRPr="005E1202">
              <w:rPr>
                <w:rFonts w:ascii="Arial" w:hAnsi="Arial" w:cs="Arial"/>
              </w:rPr>
              <w:t>for</w:t>
            </w:r>
            <w:proofErr w:type="spellEnd"/>
            <w:r w:rsidRPr="005E1202">
              <w:rPr>
                <w:rFonts w:ascii="Arial" w:hAnsi="Arial" w:cs="Arial"/>
              </w:rPr>
              <w:t xml:space="preserve"> 8 (TN only) (n=29) or 12 weeks (n=76) or 16 (TE only) weeks (n=22)</w:t>
            </w:r>
          </w:p>
        </w:tc>
      </w:tr>
      <w:tr w:rsidR="00A53B34" w:rsidRPr="005E1202" w:rsidTr="0088541D">
        <w:trPr>
          <w:trHeight w:val="224"/>
          <w:jc w:val="center"/>
        </w:trPr>
        <w:tc>
          <w:tcPr>
            <w:tcW w:w="1215" w:type="dxa"/>
            <w:vMerge w:val="restart"/>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4, 5, 6</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ENDURANCE-4 (M13-583)</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weeks (n=121)</w:t>
            </w:r>
          </w:p>
        </w:tc>
      </w:tr>
      <w:tr w:rsidR="00A53B34" w:rsidRPr="005E1202" w:rsidTr="0088541D">
        <w:trPr>
          <w:trHeight w:val="170"/>
          <w:jc w:val="center"/>
        </w:trPr>
        <w:tc>
          <w:tcPr>
            <w:tcW w:w="1215" w:type="dxa"/>
            <w:vMerge/>
            <w:vAlign w:val="center"/>
          </w:tcPr>
          <w:p w:rsidR="00493B75" w:rsidRPr="005E1202" w:rsidRDefault="00493B75" w:rsidP="00493B75">
            <w:pPr>
              <w:spacing w:before="60" w:after="60"/>
              <w:ind w:left="162"/>
              <w:jc w:val="center"/>
              <w:rPr>
                <w:rFonts w:ascii="Arial" w:hAnsi="Arial" w:cs="Arial"/>
              </w:rPr>
            </w:pP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SURVEYOR-1 (M14-867)</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weeks (n=32)</w:t>
            </w:r>
          </w:p>
        </w:tc>
      </w:tr>
      <w:tr w:rsidR="00A53B34" w:rsidRPr="005E1202" w:rsidTr="0088541D">
        <w:trPr>
          <w:trHeight w:val="170"/>
          <w:jc w:val="center"/>
        </w:trPr>
        <w:tc>
          <w:tcPr>
            <w:tcW w:w="1215" w:type="dxa"/>
            <w:vMerge/>
            <w:vAlign w:val="center"/>
          </w:tcPr>
          <w:p w:rsidR="00493B75" w:rsidRPr="005E1202" w:rsidRDefault="00493B75" w:rsidP="00493B75">
            <w:pPr>
              <w:spacing w:before="60" w:after="60"/>
              <w:ind w:left="162"/>
              <w:jc w:val="center"/>
              <w:rPr>
                <w:rFonts w:ascii="Arial" w:hAnsi="Arial" w:cs="Arial"/>
              </w:rPr>
            </w:pP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SURVEYOR-2 (M14-868)</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8 weeks (n=58)</w:t>
            </w:r>
          </w:p>
        </w:tc>
      </w:tr>
      <w:tr w:rsidR="00493B75" w:rsidRPr="005E1202" w:rsidTr="0088541D">
        <w:trPr>
          <w:trHeight w:val="289"/>
          <w:jc w:val="center"/>
        </w:trPr>
        <w:tc>
          <w:tcPr>
            <w:tcW w:w="8587" w:type="dxa"/>
            <w:gridSpan w:val="3"/>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TN and TE patients with cirrhosis</w:t>
            </w:r>
          </w:p>
        </w:tc>
      </w:tr>
      <w:tr w:rsidR="00A53B34" w:rsidRPr="005E1202" w:rsidTr="0088541D">
        <w:trPr>
          <w:trHeight w:val="552"/>
          <w:jc w:val="center"/>
        </w:trPr>
        <w:tc>
          <w:tcPr>
            <w:tcW w:w="121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1, 2, 4, 5, 6</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EXPEDITION-1 (M14-172)</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weeks (n=146)</w:t>
            </w:r>
          </w:p>
        </w:tc>
      </w:tr>
      <w:tr w:rsidR="00A53B34" w:rsidRPr="005E1202" w:rsidTr="0088541D">
        <w:trPr>
          <w:trHeight w:val="134"/>
          <w:jc w:val="center"/>
        </w:trPr>
        <w:tc>
          <w:tcPr>
            <w:tcW w:w="121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3</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SURVEYOR-2 (M14-868)</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weeks (TN only) (n=64) or 16 weeks (TE only) (n=51)</w:t>
            </w:r>
          </w:p>
        </w:tc>
      </w:tr>
      <w:tr w:rsidR="00493B75" w:rsidRPr="005E1202" w:rsidTr="0088541D">
        <w:trPr>
          <w:trHeight w:val="276"/>
          <w:jc w:val="center"/>
        </w:trPr>
        <w:tc>
          <w:tcPr>
            <w:tcW w:w="8587" w:type="dxa"/>
            <w:gridSpan w:val="3"/>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Patients with CKD stage 4 and 5 with or without cirrhosis</w:t>
            </w:r>
          </w:p>
        </w:tc>
      </w:tr>
      <w:tr w:rsidR="00A53B34" w:rsidRPr="005E1202" w:rsidTr="0088541D">
        <w:trPr>
          <w:trHeight w:val="263"/>
          <w:jc w:val="center"/>
        </w:trPr>
        <w:tc>
          <w:tcPr>
            <w:tcW w:w="1215" w:type="dxa"/>
            <w:vAlign w:val="center"/>
          </w:tcPr>
          <w:p w:rsidR="00493B75" w:rsidRPr="005E1202" w:rsidRDefault="00493B75" w:rsidP="00493B75">
            <w:pPr>
              <w:spacing w:before="60" w:after="60"/>
              <w:ind w:left="162"/>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1-6</w:t>
            </w:r>
          </w:p>
        </w:tc>
        <w:tc>
          <w:tcPr>
            <w:tcW w:w="2935"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EXPEDITION-4 (M15-462)</w:t>
            </w:r>
          </w:p>
        </w:tc>
        <w:tc>
          <w:tcPr>
            <w:tcW w:w="443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weeks (n=104)</w:t>
            </w:r>
          </w:p>
        </w:tc>
      </w:tr>
      <w:tr w:rsidR="00493B75" w:rsidRPr="005E1202" w:rsidTr="0088541D">
        <w:trPr>
          <w:trHeight w:val="276"/>
          <w:jc w:val="center"/>
        </w:trPr>
        <w:tc>
          <w:tcPr>
            <w:tcW w:w="8587" w:type="dxa"/>
            <w:gridSpan w:val="3"/>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 xml:space="preserve">NS5A inhibitor and/or </w:t>
            </w:r>
            <w:r w:rsidR="00A53B34">
              <w:rPr>
                <w:rFonts w:ascii="Arial" w:hAnsi="Arial" w:cs="Arial"/>
                <w:b/>
              </w:rPr>
              <w:t xml:space="preserve">NS3/4A </w:t>
            </w:r>
            <w:r w:rsidRPr="005E1202">
              <w:rPr>
                <w:rFonts w:ascii="Arial" w:hAnsi="Arial" w:cs="Arial"/>
                <w:b/>
              </w:rPr>
              <w:t>PI-experienced patients with or without cirrhosis</w:t>
            </w:r>
          </w:p>
        </w:tc>
      </w:tr>
      <w:tr w:rsidR="00A53B34" w:rsidRPr="005E1202" w:rsidTr="0088541D">
        <w:trPr>
          <w:trHeight w:val="152"/>
          <w:jc w:val="center"/>
        </w:trPr>
        <w:tc>
          <w:tcPr>
            <w:tcW w:w="1215" w:type="dxa"/>
            <w:tcBorders>
              <w:bottom w:val="single" w:sz="4" w:space="0" w:color="auto"/>
            </w:tcBorders>
            <w:vAlign w:val="center"/>
          </w:tcPr>
          <w:p w:rsidR="00493B75" w:rsidRPr="005E1202" w:rsidRDefault="00493B75" w:rsidP="00493B75">
            <w:pPr>
              <w:spacing w:before="60" w:after="60"/>
              <w:ind w:left="162"/>
              <w:jc w:val="center"/>
              <w:rPr>
                <w:rFonts w:ascii="Arial" w:hAnsi="Arial" w:cs="Arial"/>
              </w:rPr>
            </w:pPr>
            <w:r w:rsidRPr="005E1202">
              <w:rPr>
                <w:rFonts w:ascii="Arial" w:hAnsi="Arial" w:cs="Arial"/>
              </w:rPr>
              <w:t>GT</w:t>
            </w:r>
            <w:r w:rsidR="00A53B34">
              <w:rPr>
                <w:rFonts w:ascii="Arial" w:hAnsi="Arial" w:cs="Arial"/>
              </w:rPr>
              <w:t xml:space="preserve"> </w:t>
            </w:r>
            <w:r w:rsidRPr="005E1202">
              <w:rPr>
                <w:rFonts w:ascii="Arial" w:hAnsi="Arial" w:cs="Arial"/>
              </w:rPr>
              <w:t>1, 4</w:t>
            </w:r>
          </w:p>
        </w:tc>
        <w:tc>
          <w:tcPr>
            <w:tcW w:w="2935" w:type="dxa"/>
            <w:tcBorders>
              <w:bottom w:val="single" w:sz="4" w:space="0" w:color="auto"/>
            </w:tcBorders>
            <w:vAlign w:val="center"/>
          </w:tcPr>
          <w:p w:rsidR="00493B75" w:rsidRPr="005E1202" w:rsidRDefault="00493B75" w:rsidP="00493B75">
            <w:pPr>
              <w:spacing w:before="60" w:after="60"/>
              <w:jc w:val="center"/>
              <w:rPr>
                <w:rFonts w:ascii="Arial" w:hAnsi="Arial" w:cs="Arial"/>
              </w:rPr>
            </w:pPr>
            <w:r w:rsidRPr="005E1202">
              <w:rPr>
                <w:rFonts w:ascii="Arial" w:hAnsi="Arial" w:cs="Arial"/>
              </w:rPr>
              <w:t>MAGELLAN-1 (M15-410)</w:t>
            </w:r>
          </w:p>
        </w:tc>
        <w:tc>
          <w:tcPr>
            <w:tcW w:w="4437" w:type="dxa"/>
            <w:tcBorders>
              <w:bottom w:val="single" w:sz="4" w:space="0" w:color="auto"/>
            </w:tcBorders>
            <w:vAlign w:val="center"/>
          </w:tcPr>
          <w:p w:rsidR="00493B75" w:rsidRPr="005E1202" w:rsidRDefault="00493B75" w:rsidP="00493B75">
            <w:pPr>
              <w:spacing w:before="60" w:after="60"/>
              <w:jc w:val="center"/>
              <w:rPr>
                <w:rFonts w:ascii="Arial" w:hAnsi="Arial" w:cs="Arial"/>
              </w:rPr>
            </w:pPr>
            <w:r w:rsidRPr="005E1202">
              <w:rPr>
                <w:rFonts w:ascii="Arial" w:hAnsi="Arial" w:cs="Arial"/>
              </w:rPr>
              <w:t>MAVIRET for 12 (n=66) or 16 weeks (n=47)</w:t>
            </w:r>
          </w:p>
        </w:tc>
      </w:tr>
      <w:tr w:rsidR="00493B75" w:rsidRPr="005E1202" w:rsidTr="0088541D">
        <w:trPr>
          <w:trHeight w:val="152"/>
          <w:jc w:val="center"/>
        </w:trPr>
        <w:tc>
          <w:tcPr>
            <w:tcW w:w="8587" w:type="dxa"/>
            <w:gridSpan w:val="3"/>
            <w:tcBorders>
              <w:top w:val="single" w:sz="4" w:space="0" w:color="auto"/>
              <w:left w:val="nil"/>
              <w:bottom w:val="nil"/>
              <w:right w:val="nil"/>
            </w:tcBorders>
          </w:tcPr>
          <w:p w:rsidR="00493B75" w:rsidRPr="005E1202" w:rsidRDefault="00493B75" w:rsidP="00493B75">
            <w:pPr>
              <w:spacing w:before="60" w:after="60"/>
              <w:rPr>
                <w:rFonts w:ascii="Arial" w:hAnsi="Arial" w:cs="Arial"/>
              </w:rPr>
            </w:pPr>
            <w:r w:rsidRPr="005E1202">
              <w:rPr>
                <w:rFonts w:ascii="Arial" w:hAnsi="Arial" w:cs="Arial"/>
              </w:rPr>
              <w:t>TN</w:t>
            </w:r>
            <w:r w:rsidR="00A53B34">
              <w:rPr>
                <w:rFonts w:ascii="Arial" w:hAnsi="Arial" w:cs="Arial"/>
              </w:rPr>
              <w:t xml:space="preserve"> </w:t>
            </w:r>
            <w:r w:rsidRPr="005E1202">
              <w:rPr>
                <w:rFonts w:ascii="Arial" w:hAnsi="Arial" w:cs="Arial"/>
              </w:rPr>
              <w:t>=</w:t>
            </w:r>
            <w:r w:rsidR="00A53B34">
              <w:rPr>
                <w:rFonts w:ascii="Arial" w:hAnsi="Arial" w:cs="Arial"/>
              </w:rPr>
              <w:t xml:space="preserve"> </w:t>
            </w:r>
            <w:r w:rsidRPr="005E1202">
              <w:rPr>
                <w:rFonts w:ascii="Arial" w:hAnsi="Arial" w:cs="Arial"/>
              </w:rPr>
              <w:t>treatment-naïve, TE</w:t>
            </w:r>
            <w:r w:rsidR="00A53B34">
              <w:rPr>
                <w:rFonts w:ascii="Arial" w:hAnsi="Arial" w:cs="Arial"/>
              </w:rPr>
              <w:t xml:space="preserve"> </w:t>
            </w:r>
            <w:r w:rsidRPr="005E1202">
              <w:rPr>
                <w:rFonts w:ascii="Arial" w:hAnsi="Arial" w:cs="Arial"/>
              </w:rPr>
              <w:t>=</w:t>
            </w:r>
            <w:r w:rsidR="00A53B34">
              <w:rPr>
                <w:rFonts w:ascii="Arial" w:hAnsi="Arial" w:cs="Arial"/>
              </w:rPr>
              <w:t xml:space="preserve"> </w:t>
            </w:r>
            <w:r w:rsidRPr="005E1202">
              <w:rPr>
                <w:rFonts w:ascii="Arial" w:hAnsi="Arial" w:cs="Arial"/>
              </w:rPr>
              <w:t xml:space="preserve">treatment-experienced (includes previous treatment that included </w:t>
            </w:r>
            <w:proofErr w:type="spellStart"/>
            <w:r w:rsidRPr="005E1202">
              <w:rPr>
                <w:rFonts w:ascii="Arial" w:hAnsi="Arial" w:cs="Arial"/>
              </w:rPr>
              <w:t>pegIFN</w:t>
            </w:r>
            <w:proofErr w:type="spellEnd"/>
            <w:r w:rsidRPr="005E1202">
              <w:rPr>
                <w:rFonts w:ascii="Arial" w:hAnsi="Arial" w:cs="Arial"/>
              </w:rPr>
              <w:t xml:space="preserve"> or IFN, and/or RBV and/or </w:t>
            </w:r>
            <w:proofErr w:type="spellStart"/>
            <w:r w:rsidRPr="005E1202">
              <w:rPr>
                <w:rFonts w:ascii="Arial" w:hAnsi="Arial" w:cs="Arial"/>
              </w:rPr>
              <w:t>sofosbuvir</w:t>
            </w:r>
            <w:proofErr w:type="spellEnd"/>
            <w:r w:rsidRPr="005E1202">
              <w:rPr>
                <w:rFonts w:ascii="Arial" w:hAnsi="Arial" w:cs="Arial"/>
              </w:rPr>
              <w:t>), PI</w:t>
            </w:r>
            <w:r w:rsidR="00A53B34">
              <w:rPr>
                <w:rFonts w:ascii="Arial" w:hAnsi="Arial" w:cs="Arial"/>
              </w:rPr>
              <w:t xml:space="preserve"> </w:t>
            </w:r>
            <w:r w:rsidRPr="005E1202">
              <w:rPr>
                <w:rFonts w:ascii="Arial" w:hAnsi="Arial" w:cs="Arial"/>
              </w:rPr>
              <w:t>=</w:t>
            </w:r>
            <w:r w:rsidR="00A53B34">
              <w:rPr>
                <w:rFonts w:ascii="Arial" w:hAnsi="Arial" w:cs="Arial"/>
              </w:rPr>
              <w:t xml:space="preserve"> </w:t>
            </w:r>
            <w:r w:rsidRPr="005E1202">
              <w:rPr>
                <w:rFonts w:ascii="Arial" w:hAnsi="Arial" w:cs="Arial"/>
              </w:rPr>
              <w:t>Protease Inhibitor, CKD</w:t>
            </w:r>
            <w:r w:rsidR="00A53B34">
              <w:rPr>
                <w:rFonts w:ascii="Arial" w:hAnsi="Arial" w:cs="Arial"/>
              </w:rPr>
              <w:t xml:space="preserve"> </w:t>
            </w:r>
            <w:r w:rsidRPr="005E1202">
              <w:rPr>
                <w:rFonts w:ascii="Arial" w:hAnsi="Arial" w:cs="Arial"/>
              </w:rPr>
              <w:t>=</w:t>
            </w:r>
            <w:r w:rsidR="00A53B34">
              <w:rPr>
                <w:rFonts w:ascii="Arial" w:hAnsi="Arial" w:cs="Arial"/>
              </w:rPr>
              <w:t xml:space="preserve"> </w:t>
            </w:r>
            <w:r w:rsidRPr="005E1202">
              <w:rPr>
                <w:rFonts w:ascii="Arial" w:hAnsi="Arial" w:cs="Arial"/>
              </w:rPr>
              <w:t>chronic kidney disease</w:t>
            </w:r>
          </w:p>
        </w:tc>
      </w:tr>
    </w:tbl>
    <w:p w:rsidR="00493B75" w:rsidRPr="005E1202" w:rsidRDefault="00493B75" w:rsidP="00493B75">
      <w:pPr>
        <w:rPr>
          <w:rFonts w:ascii="Arial" w:hAnsi="Arial" w:cs="Arial"/>
        </w:rPr>
      </w:pPr>
    </w:p>
    <w:p w:rsidR="00493B75" w:rsidRPr="005E1202" w:rsidRDefault="00493B75" w:rsidP="00A31EE5">
      <w:pPr>
        <w:jc w:val="both"/>
        <w:rPr>
          <w:rFonts w:ascii="Arial" w:hAnsi="Arial" w:cs="Arial"/>
        </w:rPr>
      </w:pPr>
      <w:r w:rsidRPr="005E1202">
        <w:rPr>
          <w:rFonts w:ascii="Arial" w:hAnsi="Arial" w:cs="Arial"/>
        </w:rPr>
        <w:lastRenderedPageBreak/>
        <w:t xml:space="preserve">Serum HCV RNA values were measured during the clinical studies using the Roche COBAS </w:t>
      </w:r>
      <w:proofErr w:type="spellStart"/>
      <w:r w:rsidRPr="005E1202">
        <w:rPr>
          <w:rFonts w:ascii="Arial" w:hAnsi="Arial" w:cs="Arial"/>
        </w:rPr>
        <w:t>AmpliPrep</w:t>
      </w:r>
      <w:proofErr w:type="spellEnd"/>
      <w:r w:rsidRPr="005E1202">
        <w:rPr>
          <w:rFonts w:ascii="Arial" w:hAnsi="Arial" w:cs="Arial"/>
        </w:rPr>
        <w:t xml:space="preserve">/COBAS </w:t>
      </w:r>
      <w:proofErr w:type="spellStart"/>
      <w:r w:rsidRPr="005E1202">
        <w:rPr>
          <w:rFonts w:ascii="Arial" w:hAnsi="Arial" w:cs="Arial"/>
        </w:rPr>
        <w:t>Taqman</w:t>
      </w:r>
      <w:proofErr w:type="spellEnd"/>
      <w:r w:rsidRPr="005E1202">
        <w:rPr>
          <w:rFonts w:ascii="Arial" w:hAnsi="Arial" w:cs="Arial"/>
        </w:rPr>
        <w:t xml:space="preserve"> HCV test (version 2.0) with a lower limit of quantification </w:t>
      </w:r>
      <w:r w:rsidRPr="005E1202" w:rsidDel="00487DE4">
        <w:rPr>
          <w:rFonts w:ascii="Arial" w:hAnsi="Arial" w:cs="Arial"/>
        </w:rPr>
        <w:t xml:space="preserve">(LLOQ) </w:t>
      </w:r>
      <w:r w:rsidRPr="005E1202">
        <w:rPr>
          <w:rFonts w:ascii="Arial" w:hAnsi="Arial" w:cs="Arial"/>
        </w:rPr>
        <w:t xml:space="preserve">of 15 IU/mL (except for SURVEYOR-1 and SURVEYOR-2 which used the Roche COBAS </w:t>
      </w:r>
      <w:proofErr w:type="spellStart"/>
      <w:r w:rsidRPr="005E1202">
        <w:rPr>
          <w:rFonts w:ascii="Arial" w:hAnsi="Arial" w:cs="Arial"/>
        </w:rPr>
        <w:t>TaqMan</w:t>
      </w:r>
      <w:proofErr w:type="spellEnd"/>
      <w:r w:rsidRPr="005E1202">
        <w:rPr>
          <w:rFonts w:ascii="Arial" w:hAnsi="Arial" w:cs="Arial"/>
        </w:rPr>
        <w:t xml:space="preserve"> real-time reverse transcriptase-PCR (RT-PCR) assay v. 2.0 with an LLOQ of 25 IU/mL). Sustained </w:t>
      </w:r>
      <w:proofErr w:type="spellStart"/>
      <w:r w:rsidRPr="005E1202">
        <w:rPr>
          <w:rFonts w:ascii="Arial" w:hAnsi="Arial" w:cs="Arial"/>
        </w:rPr>
        <w:t>virologic</w:t>
      </w:r>
      <w:proofErr w:type="spellEnd"/>
      <w:r w:rsidRPr="005E1202">
        <w:rPr>
          <w:rFonts w:ascii="Arial" w:hAnsi="Arial" w:cs="Arial"/>
        </w:rPr>
        <w:t xml:space="preserve"> response (SVR12), defined as HCV RNA less than LLOQ at 12 weeks after the cessation of treatment, was the primary endpoint in all the studies to determine the HCV cure rate.</w:t>
      </w:r>
    </w:p>
    <w:p w:rsidR="00493B75" w:rsidRPr="005E1202" w:rsidRDefault="00493B75" w:rsidP="00A31EE5">
      <w:pPr>
        <w:pStyle w:val="Heading3"/>
        <w:jc w:val="both"/>
      </w:pPr>
      <w:r w:rsidRPr="005E1202">
        <w:t>Clinical Studies in Treatment-Naïve or Treatment-Experienced Patients with or without Cirrhosis</w:t>
      </w:r>
    </w:p>
    <w:p w:rsidR="00493B75" w:rsidRPr="005E1202" w:rsidRDefault="00493B75" w:rsidP="00A31EE5">
      <w:pPr>
        <w:jc w:val="both"/>
        <w:rPr>
          <w:rFonts w:ascii="Arial" w:hAnsi="Arial" w:cs="Arial"/>
        </w:rPr>
      </w:pPr>
      <w:r w:rsidRPr="005E1202">
        <w:rPr>
          <w:rFonts w:ascii="Arial" w:hAnsi="Arial" w:cs="Arial"/>
        </w:rPr>
        <w:t xml:space="preserve">Of the 2256 patients with compensated liver disease (with or without cirrhosis) treated who were treatment-naïve or treatment-experienced to combinations of </w:t>
      </w:r>
      <w:proofErr w:type="spellStart"/>
      <w:r w:rsidRPr="005E1202">
        <w:rPr>
          <w:rFonts w:ascii="Arial" w:hAnsi="Arial" w:cs="Arial"/>
        </w:rPr>
        <w:t>peginterferon</w:t>
      </w:r>
      <w:proofErr w:type="spellEnd"/>
      <w:r w:rsidRPr="005E1202">
        <w:rPr>
          <w:rFonts w:ascii="Arial" w:hAnsi="Arial" w:cs="Arial"/>
        </w:rPr>
        <w:t xml:space="preserve">, ribavirin and/or </w:t>
      </w:r>
      <w:proofErr w:type="spellStart"/>
      <w:r w:rsidRPr="005E1202">
        <w:rPr>
          <w:rFonts w:ascii="Arial" w:hAnsi="Arial" w:cs="Arial"/>
        </w:rPr>
        <w:t>sofosbuvir</w:t>
      </w:r>
      <w:proofErr w:type="spellEnd"/>
      <w:r w:rsidRPr="005E1202">
        <w:rPr>
          <w:rFonts w:ascii="Arial" w:hAnsi="Arial" w:cs="Arial"/>
        </w:rPr>
        <w:t xml:space="preserve">, the median age was 54 years (range: 19 to 88); 72.7% were treatment-naïve, 27.3% were treatment-experienced to a combination containing either </w:t>
      </w:r>
      <w:proofErr w:type="spellStart"/>
      <w:r w:rsidRPr="005E1202">
        <w:rPr>
          <w:rFonts w:ascii="Arial" w:hAnsi="Arial" w:cs="Arial"/>
        </w:rPr>
        <w:t>sofosbuvir</w:t>
      </w:r>
      <w:proofErr w:type="spellEnd"/>
      <w:r w:rsidRPr="005E1202">
        <w:rPr>
          <w:rFonts w:ascii="Arial" w:hAnsi="Arial" w:cs="Arial"/>
        </w:rPr>
        <w:t xml:space="preserve">, ribavirin and/or </w:t>
      </w:r>
      <w:proofErr w:type="spellStart"/>
      <w:r w:rsidRPr="005E1202">
        <w:rPr>
          <w:rFonts w:ascii="Arial" w:hAnsi="Arial" w:cs="Arial"/>
        </w:rPr>
        <w:t>peginterferon</w:t>
      </w:r>
      <w:proofErr w:type="spellEnd"/>
      <w:r w:rsidRPr="005E1202">
        <w:rPr>
          <w:rFonts w:ascii="Arial" w:hAnsi="Arial" w:cs="Arial"/>
        </w:rPr>
        <w:t>; 38.9% were HCV genotype 1; 21.1% were HCV genotype 2; 28.5% were HCV genotype 3; 7.9% were HCV genotype 4; 3.5% were HCV genotype 5</w:t>
      </w:r>
      <w:r w:rsidR="006F6131">
        <w:rPr>
          <w:rFonts w:ascii="Arial" w:hAnsi="Arial" w:cs="Arial"/>
        </w:rPr>
        <w:t xml:space="preserve"> or </w:t>
      </w:r>
      <w:r w:rsidRPr="005E1202">
        <w:rPr>
          <w:rFonts w:ascii="Arial" w:hAnsi="Arial" w:cs="Arial"/>
        </w:rPr>
        <w:t>6; 13.9% were ≥ 65 years; 54.8% were male; 5.5% were Black; 12.5% had cirrhosis; 4.6% had severe renal impairment or end stage renal disease; 20.3% had a body mass index of at least 30 kg per m</w:t>
      </w:r>
      <w:r w:rsidRPr="005E1202">
        <w:rPr>
          <w:rFonts w:ascii="Arial" w:hAnsi="Arial" w:cs="Arial"/>
          <w:vertAlign w:val="superscript"/>
        </w:rPr>
        <w:t>2</w:t>
      </w:r>
      <w:r w:rsidRPr="005E1202">
        <w:rPr>
          <w:rFonts w:ascii="Arial" w:hAnsi="Arial" w:cs="Arial"/>
        </w:rPr>
        <w:t>; median baseline HCV RNA level was 6.2 log</w:t>
      </w:r>
      <w:r w:rsidRPr="005E1202">
        <w:rPr>
          <w:rFonts w:ascii="Arial" w:hAnsi="Arial" w:cs="Arial"/>
          <w:vertAlign w:val="subscript"/>
        </w:rPr>
        <w:t>10</w:t>
      </w:r>
      <w:r w:rsidRPr="005E1202">
        <w:rPr>
          <w:rFonts w:ascii="Arial" w:hAnsi="Arial" w:cs="Arial"/>
        </w:rPr>
        <w:t xml:space="preserve"> IU/</w:t>
      </w:r>
      <w:proofErr w:type="spellStart"/>
      <w:r w:rsidRPr="005E1202">
        <w:rPr>
          <w:rFonts w:ascii="Arial" w:hAnsi="Arial" w:cs="Arial"/>
        </w:rPr>
        <w:t>mL.</w:t>
      </w:r>
      <w:proofErr w:type="spellEnd"/>
    </w:p>
    <w:p w:rsidR="00493B75" w:rsidRPr="005E1202" w:rsidRDefault="00493B75" w:rsidP="00A31EE5">
      <w:pPr>
        <w:pStyle w:val="Heading4"/>
        <w:jc w:val="both"/>
        <w:rPr>
          <w:rFonts w:cs="Arial"/>
        </w:rPr>
      </w:pPr>
      <w:r w:rsidRPr="005E1202">
        <w:rPr>
          <w:rFonts w:cs="Arial"/>
        </w:rPr>
        <w:t>Patients with Genotype 1, 2, 4, 5, or 6 Infection</w:t>
      </w:r>
    </w:p>
    <w:p w:rsidR="00493B75" w:rsidRPr="005E1202" w:rsidRDefault="00493B75" w:rsidP="00A31EE5">
      <w:pPr>
        <w:jc w:val="both"/>
        <w:rPr>
          <w:rFonts w:ascii="Arial" w:hAnsi="Arial" w:cs="Arial"/>
        </w:rPr>
      </w:pPr>
      <w:r w:rsidRPr="005E1202">
        <w:rPr>
          <w:rFonts w:ascii="Arial" w:hAnsi="Arial" w:cs="Arial"/>
        </w:rPr>
        <w:t xml:space="preserve">The efficacy of MAVIRET in patients who were treatment-naïve or treatment-experienced to combinations of </w:t>
      </w:r>
      <w:proofErr w:type="spellStart"/>
      <w:r w:rsidRPr="005E1202">
        <w:rPr>
          <w:rFonts w:ascii="Arial" w:hAnsi="Arial" w:cs="Arial"/>
        </w:rPr>
        <w:t>peginterferon</w:t>
      </w:r>
      <w:proofErr w:type="spellEnd"/>
      <w:r w:rsidRPr="005E1202">
        <w:rPr>
          <w:rFonts w:ascii="Arial" w:hAnsi="Arial" w:cs="Arial"/>
        </w:rPr>
        <w:t xml:space="preserve">, ribavirin and/or </w:t>
      </w:r>
      <w:proofErr w:type="spellStart"/>
      <w:r w:rsidRPr="005E1202">
        <w:rPr>
          <w:rFonts w:ascii="Arial" w:hAnsi="Arial" w:cs="Arial"/>
        </w:rPr>
        <w:t>sofosbuvir</w:t>
      </w:r>
      <w:proofErr w:type="spellEnd"/>
      <w:r w:rsidRPr="005E1202">
        <w:rPr>
          <w:rFonts w:ascii="Arial" w:hAnsi="Arial" w:cs="Arial"/>
        </w:rPr>
        <w:t xml:space="preserve"> with genotype 1, 2, 4, 5 or 6 chronic hepatitis C infection was demonstrated in seven studies using 8- or 12-week durations: ENDURANCE-1, ENDURANCE-2, ENDURANCE-4, SURVEYOR-1 (Part 1), SURVEYOR-2 (Part 1, Part 2, Part 4), EXPEDITION-1, and EXPEDITION-4.</w:t>
      </w:r>
    </w:p>
    <w:p w:rsidR="00493B75" w:rsidRPr="005E1202" w:rsidRDefault="00493B75" w:rsidP="00A31EE5">
      <w:pPr>
        <w:jc w:val="both"/>
        <w:rPr>
          <w:rFonts w:ascii="Arial" w:hAnsi="Arial" w:cs="Arial"/>
        </w:rPr>
      </w:pPr>
      <w:r w:rsidRPr="005E1202">
        <w:rPr>
          <w:rFonts w:ascii="Arial" w:hAnsi="Arial" w:cs="Arial"/>
        </w:rPr>
        <w:t>ENDURANCE</w:t>
      </w:r>
      <w:r w:rsidRPr="005E1202" w:rsidDel="00DF5E3A">
        <w:rPr>
          <w:rFonts w:ascii="Arial" w:hAnsi="Arial" w:cs="Arial"/>
        </w:rPr>
        <w:t xml:space="preserve">-1 was a </w:t>
      </w:r>
      <w:r w:rsidRPr="005E1202">
        <w:rPr>
          <w:rFonts w:ascii="Arial" w:hAnsi="Arial" w:cs="Arial"/>
        </w:rPr>
        <w:t xml:space="preserve">randomised </w:t>
      </w:r>
      <w:r w:rsidRPr="005E1202" w:rsidDel="00DF5E3A">
        <w:rPr>
          <w:rFonts w:ascii="Arial" w:hAnsi="Arial" w:cs="Arial"/>
        </w:rPr>
        <w:t xml:space="preserve">(1:1) and open-label </w:t>
      </w:r>
      <w:r w:rsidRPr="005E1202">
        <w:rPr>
          <w:rFonts w:ascii="Arial" w:hAnsi="Arial" w:cs="Arial"/>
        </w:rPr>
        <w:t>study</w:t>
      </w:r>
      <w:r w:rsidRPr="005E1202" w:rsidDel="00DF5E3A">
        <w:rPr>
          <w:rFonts w:ascii="Arial" w:hAnsi="Arial" w:cs="Arial"/>
        </w:rPr>
        <w:t xml:space="preserve"> comparing the efficacy of 8 weeks of treatment with </w:t>
      </w:r>
      <w:r w:rsidRPr="005E1202">
        <w:rPr>
          <w:rFonts w:ascii="Arial" w:hAnsi="Arial" w:cs="Arial"/>
        </w:rPr>
        <w:t>MAVIRET</w:t>
      </w:r>
      <w:r w:rsidRPr="005E1202" w:rsidDel="00DF5E3A">
        <w:rPr>
          <w:rFonts w:ascii="Arial" w:hAnsi="Arial" w:cs="Arial"/>
        </w:rPr>
        <w:t xml:space="preserve"> versus 12 weeks of treatment in non-cirrhotic </w:t>
      </w:r>
      <w:r w:rsidRPr="005E1202">
        <w:rPr>
          <w:rFonts w:ascii="Arial" w:hAnsi="Arial" w:cs="Arial"/>
        </w:rPr>
        <w:t>patients</w:t>
      </w:r>
      <w:r w:rsidRPr="005E1202" w:rsidDel="00DF5E3A">
        <w:rPr>
          <w:rFonts w:ascii="Arial" w:hAnsi="Arial" w:cs="Arial"/>
        </w:rPr>
        <w:t xml:space="preserve"> with genotype 1 infection</w:t>
      </w:r>
      <w:r w:rsidRPr="005E1202">
        <w:rPr>
          <w:rFonts w:ascii="Arial" w:hAnsi="Arial" w:cs="Arial"/>
        </w:rPr>
        <w:t xml:space="preserve"> who were either mono-infected with HCV or </w:t>
      </w:r>
      <w:proofErr w:type="spellStart"/>
      <w:r w:rsidRPr="005E1202">
        <w:rPr>
          <w:rFonts w:ascii="Arial" w:hAnsi="Arial" w:cs="Arial"/>
        </w:rPr>
        <w:t>coinfected</w:t>
      </w:r>
      <w:proofErr w:type="spellEnd"/>
      <w:r w:rsidRPr="005E1202">
        <w:rPr>
          <w:rFonts w:ascii="Arial" w:hAnsi="Arial" w:cs="Arial"/>
        </w:rPr>
        <w:t xml:space="preserve"> with HCV/HIV-1. </w:t>
      </w:r>
      <w:r w:rsidRPr="005E1202" w:rsidDel="00DF5E3A">
        <w:rPr>
          <w:rFonts w:ascii="Arial" w:hAnsi="Arial" w:cs="Arial"/>
        </w:rPr>
        <w:t xml:space="preserve">ENDURANCE-2 was a </w:t>
      </w:r>
      <w:r w:rsidRPr="005E1202">
        <w:rPr>
          <w:rFonts w:ascii="Arial" w:hAnsi="Arial" w:cs="Arial"/>
        </w:rPr>
        <w:t xml:space="preserve">randomised </w:t>
      </w:r>
      <w:r w:rsidRPr="005E1202" w:rsidDel="00DF5E3A">
        <w:rPr>
          <w:rFonts w:ascii="Arial" w:hAnsi="Arial" w:cs="Arial"/>
        </w:rPr>
        <w:t xml:space="preserve">(2:1), placebo-controlled </w:t>
      </w:r>
      <w:r w:rsidRPr="005E1202">
        <w:rPr>
          <w:rFonts w:ascii="Arial" w:hAnsi="Arial" w:cs="Arial"/>
        </w:rPr>
        <w:t>study</w:t>
      </w:r>
      <w:r w:rsidRPr="005E1202" w:rsidDel="00DF5E3A">
        <w:rPr>
          <w:rFonts w:ascii="Arial" w:hAnsi="Arial" w:cs="Arial"/>
        </w:rPr>
        <w:t xml:space="preserve"> comparing </w:t>
      </w:r>
      <w:r w:rsidRPr="005E1202">
        <w:rPr>
          <w:rFonts w:ascii="Arial" w:hAnsi="Arial" w:cs="Arial"/>
        </w:rPr>
        <w:t>the safety of MAVIRET</w:t>
      </w:r>
      <w:r w:rsidRPr="005E1202" w:rsidDel="00DF5E3A">
        <w:rPr>
          <w:rFonts w:ascii="Arial" w:hAnsi="Arial" w:cs="Arial"/>
        </w:rPr>
        <w:t xml:space="preserve"> for 12 weeks versus matching-placebo for 12 weeks in non-cirrhotic </w:t>
      </w:r>
      <w:r w:rsidRPr="005E1202">
        <w:rPr>
          <w:rFonts w:ascii="Arial" w:hAnsi="Arial" w:cs="Arial"/>
        </w:rPr>
        <w:t>patients</w:t>
      </w:r>
      <w:r w:rsidRPr="005E1202" w:rsidDel="00DF5E3A">
        <w:rPr>
          <w:rFonts w:ascii="Arial" w:hAnsi="Arial" w:cs="Arial"/>
        </w:rPr>
        <w:t xml:space="preserve"> with genotype 2 infection. ENDURANCE-4 was a single-arm, open-label </w:t>
      </w:r>
      <w:r w:rsidRPr="005E1202">
        <w:rPr>
          <w:rFonts w:ascii="Arial" w:hAnsi="Arial" w:cs="Arial"/>
        </w:rPr>
        <w:t>study</w:t>
      </w:r>
      <w:r w:rsidRPr="005E1202" w:rsidDel="00DF5E3A">
        <w:rPr>
          <w:rFonts w:ascii="Arial" w:hAnsi="Arial" w:cs="Arial"/>
        </w:rPr>
        <w:t xml:space="preserve"> in non-cirrhotic </w:t>
      </w:r>
      <w:r w:rsidRPr="005E1202">
        <w:rPr>
          <w:rFonts w:ascii="Arial" w:hAnsi="Arial" w:cs="Arial"/>
        </w:rPr>
        <w:t>patients</w:t>
      </w:r>
      <w:r w:rsidRPr="005E1202" w:rsidDel="00DF5E3A">
        <w:rPr>
          <w:rFonts w:ascii="Arial" w:hAnsi="Arial" w:cs="Arial"/>
        </w:rPr>
        <w:t xml:space="preserve"> with genotype 4, 5, </w:t>
      </w:r>
      <w:r w:rsidRPr="005E1202">
        <w:rPr>
          <w:rFonts w:ascii="Arial" w:hAnsi="Arial" w:cs="Arial"/>
        </w:rPr>
        <w:t>or</w:t>
      </w:r>
      <w:r w:rsidRPr="005E1202" w:rsidDel="00DF5E3A">
        <w:rPr>
          <w:rFonts w:ascii="Arial" w:hAnsi="Arial" w:cs="Arial"/>
        </w:rPr>
        <w:t xml:space="preserve"> 6 </w:t>
      </w:r>
      <w:proofErr w:type="gramStart"/>
      <w:r w:rsidRPr="005E1202" w:rsidDel="00DF5E3A">
        <w:rPr>
          <w:rFonts w:ascii="Arial" w:hAnsi="Arial" w:cs="Arial"/>
        </w:rPr>
        <w:t>infection</w:t>
      </w:r>
      <w:proofErr w:type="gramEnd"/>
      <w:r w:rsidRPr="005E1202" w:rsidDel="00DF5E3A">
        <w:rPr>
          <w:rFonts w:ascii="Arial" w:hAnsi="Arial" w:cs="Arial"/>
        </w:rPr>
        <w:t>. SURVEYOR-2 (Part 4) included a single</w:t>
      </w:r>
      <w:r w:rsidRPr="005E1202">
        <w:rPr>
          <w:rFonts w:ascii="Arial" w:hAnsi="Arial" w:cs="Arial"/>
        </w:rPr>
        <w:t>,</w:t>
      </w:r>
      <w:r w:rsidRPr="005E1202" w:rsidDel="00DF5E3A">
        <w:rPr>
          <w:rFonts w:ascii="Arial" w:hAnsi="Arial" w:cs="Arial"/>
        </w:rPr>
        <w:t xml:space="preserve"> open-label arm in non-cirrhotic </w:t>
      </w:r>
      <w:r w:rsidRPr="005E1202">
        <w:rPr>
          <w:rFonts w:ascii="Arial" w:hAnsi="Arial" w:cs="Arial"/>
        </w:rPr>
        <w:t>patients</w:t>
      </w:r>
      <w:r w:rsidRPr="005E1202" w:rsidDel="00DF5E3A">
        <w:rPr>
          <w:rFonts w:ascii="Arial" w:hAnsi="Arial" w:cs="Arial"/>
        </w:rPr>
        <w:t xml:space="preserve"> with genotype 2, 4, 5 </w:t>
      </w:r>
      <w:r w:rsidRPr="005E1202">
        <w:rPr>
          <w:rFonts w:ascii="Arial" w:hAnsi="Arial" w:cs="Arial"/>
        </w:rPr>
        <w:t>or</w:t>
      </w:r>
      <w:r w:rsidRPr="005E1202" w:rsidDel="00DF5E3A">
        <w:rPr>
          <w:rFonts w:ascii="Arial" w:hAnsi="Arial" w:cs="Arial"/>
        </w:rPr>
        <w:t xml:space="preserve"> 6 infection treated for 8 weeks</w:t>
      </w:r>
      <w:r w:rsidRPr="005E1202">
        <w:rPr>
          <w:rFonts w:ascii="Arial" w:hAnsi="Arial" w:cs="Arial"/>
        </w:rPr>
        <w:t>.</w:t>
      </w:r>
    </w:p>
    <w:p w:rsidR="00493B75" w:rsidRPr="005E1202" w:rsidRDefault="00493B75" w:rsidP="00A31EE5">
      <w:pPr>
        <w:jc w:val="both"/>
        <w:rPr>
          <w:rFonts w:ascii="Arial" w:hAnsi="Arial" w:cs="Arial"/>
        </w:rPr>
      </w:pPr>
      <w:r w:rsidRPr="005E1202" w:rsidDel="00DF5E3A">
        <w:rPr>
          <w:rFonts w:ascii="Arial" w:hAnsi="Arial" w:cs="Arial"/>
        </w:rPr>
        <w:t xml:space="preserve">EXPEDITION-1 was a single-arm, open-label </w:t>
      </w:r>
      <w:r w:rsidRPr="005E1202">
        <w:rPr>
          <w:rFonts w:ascii="Arial" w:hAnsi="Arial" w:cs="Arial"/>
        </w:rPr>
        <w:t>study</w:t>
      </w:r>
      <w:r w:rsidRPr="005E1202" w:rsidDel="00DF5E3A">
        <w:rPr>
          <w:rFonts w:ascii="Arial" w:hAnsi="Arial" w:cs="Arial"/>
        </w:rPr>
        <w:t xml:space="preserve"> in </w:t>
      </w:r>
      <w:r w:rsidRPr="005E1202">
        <w:rPr>
          <w:rFonts w:ascii="Arial" w:hAnsi="Arial" w:cs="Arial"/>
        </w:rPr>
        <w:t>patients</w:t>
      </w:r>
      <w:r w:rsidRPr="005E1202" w:rsidDel="00DF5E3A">
        <w:rPr>
          <w:rFonts w:ascii="Arial" w:hAnsi="Arial" w:cs="Arial"/>
        </w:rPr>
        <w:t xml:space="preserve"> with compensated cirrhosis and genotype 1, 2, 4, 5 </w:t>
      </w:r>
      <w:r w:rsidRPr="005E1202">
        <w:rPr>
          <w:rFonts w:ascii="Arial" w:hAnsi="Arial" w:cs="Arial"/>
        </w:rPr>
        <w:t>or</w:t>
      </w:r>
      <w:r w:rsidRPr="005E1202" w:rsidDel="00DF5E3A">
        <w:rPr>
          <w:rFonts w:ascii="Arial" w:hAnsi="Arial" w:cs="Arial"/>
        </w:rPr>
        <w:t xml:space="preserve"> 6 </w:t>
      </w:r>
      <w:proofErr w:type="gramStart"/>
      <w:r w:rsidRPr="005E1202" w:rsidDel="00DF5E3A">
        <w:rPr>
          <w:rFonts w:ascii="Arial" w:hAnsi="Arial" w:cs="Arial"/>
        </w:rPr>
        <w:t>infection</w:t>
      </w:r>
      <w:proofErr w:type="gramEnd"/>
      <w:r w:rsidRPr="005E1202" w:rsidDel="00DF5E3A">
        <w:rPr>
          <w:rFonts w:ascii="Arial" w:hAnsi="Arial" w:cs="Arial"/>
        </w:rPr>
        <w:t>.</w:t>
      </w:r>
      <w:r w:rsidRPr="005E1202">
        <w:rPr>
          <w:rFonts w:ascii="Arial" w:hAnsi="Arial" w:cs="Arial"/>
        </w:rPr>
        <w:t xml:space="preserve"> EXPEDITION-4 was a single-arm, open-label study in genotype 1-6 infected patients with chronic kidney disease stage 4 and 5. </w:t>
      </w:r>
      <w:r w:rsidRPr="005E1202" w:rsidDel="00DF5E3A">
        <w:rPr>
          <w:rFonts w:ascii="Arial" w:hAnsi="Arial" w:cs="Arial"/>
        </w:rPr>
        <w:t xml:space="preserve">In addition, treatment arms in Phase 2 studies investigating </w:t>
      </w:r>
      <w:r w:rsidRPr="005E1202">
        <w:rPr>
          <w:rFonts w:ascii="Arial" w:hAnsi="Arial" w:cs="Arial"/>
        </w:rPr>
        <w:t>MAVIRET</w:t>
      </w:r>
      <w:r w:rsidRPr="005E1202" w:rsidDel="00DF5E3A">
        <w:rPr>
          <w:rFonts w:ascii="Arial" w:hAnsi="Arial" w:cs="Arial"/>
        </w:rPr>
        <w:t xml:space="preserve"> using </w:t>
      </w:r>
      <w:proofErr w:type="spellStart"/>
      <w:r w:rsidRPr="005E1202" w:rsidDel="00DF5E3A">
        <w:rPr>
          <w:rFonts w:ascii="Arial" w:hAnsi="Arial" w:cs="Arial"/>
        </w:rPr>
        <w:t>glecaprevir</w:t>
      </w:r>
      <w:proofErr w:type="spellEnd"/>
      <w:r w:rsidRPr="005E1202" w:rsidDel="00DF5E3A">
        <w:rPr>
          <w:rFonts w:ascii="Arial" w:hAnsi="Arial" w:cs="Arial"/>
        </w:rPr>
        <w:t xml:space="preserve"> 300 mg plus </w:t>
      </w:r>
      <w:proofErr w:type="spellStart"/>
      <w:r w:rsidRPr="005E1202" w:rsidDel="00DF5E3A">
        <w:rPr>
          <w:rFonts w:ascii="Arial" w:hAnsi="Arial" w:cs="Arial"/>
        </w:rPr>
        <w:t>pibrentasvir</w:t>
      </w:r>
      <w:proofErr w:type="spellEnd"/>
      <w:r w:rsidRPr="005E1202" w:rsidDel="00DF5E3A">
        <w:rPr>
          <w:rFonts w:ascii="Arial" w:hAnsi="Arial" w:cs="Arial"/>
        </w:rPr>
        <w:t xml:space="preserve"> 120 mg once daily were included (SURVEYOR-1 </w:t>
      </w:r>
      <w:r w:rsidRPr="005E1202">
        <w:rPr>
          <w:rFonts w:ascii="Arial" w:hAnsi="Arial" w:cs="Arial"/>
        </w:rPr>
        <w:t xml:space="preserve">Part 2 </w:t>
      </w:r>
      <w:r w:rsidRPr="005E1202" w:rsidDel="00DF5E3A">
        <w:rPr>
          <w:rFonts w:ascii="Arial" w:hAnsi="Arial" w:cs="Arial"/>
        </w:rPr>
        <w:t>and SURVEYOR-2 Part</w:t>
      </w:r>
      <w:r w:rsidRPr="005E1202">
        <w:rPr>
          <w:rFonts w:ascii="Arial" w:hAnsi="Arial" w:cs="Arial"/>
        </w:rPr>
        <w:t>s</w:t>
      </w:r>
      <w:r w:rsidRPr="005E1202" w:rsidDel="00DF5E3A">
        <w:rPr>
          <w:rFonts w:ascii="Arial" w:hAnsi="Arial" w:cs="Arial"/>
        </w:rPr>
        <w:t xml:space="preserve"> </w:t>
      </w:r>
      <w:r w:rsidRPr="005E1202">
        <w:rPr>
          <w:rFonts w:ascii="Arial" w:hAnsi="Arial" w:cs="Arial"/>
        </w:rPr>
        <w:t>1-2).</w:t>
      </w:r>
    </w:p>
    <w:p w:rsidR="00A31EE5" w:rsidRPr="005E1202" w:rsidRDefault="00A31EE5" w:rsidP="00493B75">
      <w:pPr>
        <w:rPr>
          <w:rFonts w:ascii="Arial" w:hAnsi="Arial" w:cs="Arial"/>
        </w:rPr>
      </w:pPr>
    </w:p>
    <w:p w:rsidR="00493B75" w:rsidRPr="005E1202" w:rsidRDefault="00493B75" w:rsidP="00A31EE5">
      <w:pPr>
        <w:jc w:val="both"/>
        <w:rPr>
          <w:rFonts w:ascii="Arial" w:hAnsi="Arial" w:cs="Arial"/>
          <w:b/>
        </w:rPr>
      </w:pPr>
      <w:proofErr w:type="gramStart"/>
      <w:r w:rsidRPr="005E1202">
        <w:rPr>
          <w:rFonts w:ascii="Arial" w:hAnsi="Arial" w:cs="Arial"/>
          <w:b/>
        </w:rPr>
        <w:lastRenderedPageBreak/>
        <w:t xml:space="preserve">Table </w:t>
      </w:r>
      <w:r w:rsidR="005E1202">
        <w:rPr>
          <w:rFonts w:ascii="Arial" w:hAnsi="Arial" w:cs="Arial"/>
          <w:b/>
        </w:rPr>
        <w:t>9</w:t>
      </w:r>
      <w:r w:rsidR="009206A1">
        <w:rPr>
          <w:rFonts w:ascii="Arial" w:hAnsi="Arial" w:cs="Arial"/>
          <w:b/>
        </w:rPr>
        <w:t>.</w:t>
      </w:r>
      <w:proofErr w:type="gramEnd"/>
      <w:r w:rsidRPr="005E1202">
        <w:rPr>
          <w:rFonts w:ascii="Arial" w:hAnsi="Arial" w:cs="Arial"/>
          <w:b/>
        </w:rPr>
        <w:t xml:space="preserve"> ENDURANCE-1, -2, -4, SURVEYOR-1, -2, and EXPEDITION-1 and -4: SVR12 in Treatment-Naïve and Treatment-Experienced Patients to </w:t>
      </w:r>
      <w:proofErr w:type="spellStart"/>
      <w:r w:rsidRPr="005E1202">
        <w:rPr>
          <w:rFonts w:ascii="Arial" w:hAnsi="Arial" w:cs="Arial"/>
          <w:b/>
        </w:rPr>
        <w:t>Peginterferon</w:t>
      </w:r>
      <w:proofErr w:type="spellEnd"/>
      <w:r w:rsidRPr="005E1202">
        <w:rPr>
          <w:rFonts w:ascii="Arial" w:hAnsi="Arial" w:cs="Arial"/>
          <w:b/>
        </w:rPr>
        <w:t xml:space="preserve">, Ribavirin and/or </w:t>
      </w:r>
      <w:proofErr w:type="spellStart"/>
      <w:r w:rsidRPr="005E1202">
        <w:rPr>
          <w:rFonts w:ascii="Arial" w:hAnsi="Arial" w:cs="Arial"/>
          <w:b/>
        </w:rPr>
        <w:t>Sofosbuvir</w:t>
      </w:r>
      <w:proofErr w:type="spellEnd"/>
      <w:r w:rsidRPr="005E1202">
        <w:rPr>
          <w:rFonts w:ascii="Arial" w:hAnsi="Arial" w:cs="Arial"/>
          <w:b/>
        </w:rPr>
        <w:t xml:space="preserve"> with Genotype 1, 2, 4, 5 or 6 Infection who Received the Recommended Duration</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170"/>
        <w:gridCol w:w="1170"/>
        <w:gridCol w:w="1170"/>
        <w:gridCol w:w="1260"/>
        <w:gridCol w:w="1170"/>
      </w:tblGrid>
      <w:tr w:rsidR="00493B75" w:rsidRPr="005E1202" w:rsidTr="00493B75">
        <w:trPr>
          <w:cantSplit/>
          <w:tblHeader/>
          <w:jc w:val="center"/>
        </w:trPr>
        <w:tc>
          <w:tcPr>
            <w:tcW w:w="1943" w:type="dxa"/>
          </w:tcPr>
          <w:p w:rsidR="00493B75" w:rsidRPr="005E1202" w:rsidRDefault="00493B75" w:rsidP="00493B75">
            <w:pPr>
              <w:rPr>
                <w:rFonts w:ascii="Arial" w:hAnsi="Arial" w:cs="Arial"/>
                <w:b/>
                <w:sz w:val="20"/>
              </w:rPr>
            </w:pPr>
          </w:p>
        </w:tc>
        <w:tc>
          <w:tcPr>
            <w:tcW w:w="117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Genotype 1</w:t>
            </w:r>
            <w:r w:rsidRPr="005E1202">
              <w:rPr>
                <w:rFonts w:ascii="Arial" w:hAnsi="Arial" w:cs="Arial"/>
                <w:b/>
                <w:sz w:val="20"/>
                <w:vertAlign w:val="superscript"/>
              </w:rPr>
              <w:t>^</w:t>
            </w:r>
          </w:p>
        </w:tc>
        <w:tc>
          <w:tcPr>
            <w:tcW w:w="117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Genotype 2</w:t>
            </w:r>
          </w:p>
        </w:tc>
        <w:tc>
          <w:tcPr>
            <w:tcW w:w="117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Genotype 4</w:t>
            </w:r>
          </w:p>
        </w:tc>
        <w:tc>
          <w:tcPr>
            <w:tcW w:w="126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Genotype 5</w:t>
            </w:r>
          </w:p>
        </w:tc>
        <w:tc>
          <w:tcPr>
            <w:tcW w:w="117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Genotype 6</w:t>
            </w:r>
          </w:p>
        </w:tc>
      </w:tr>
      <w:tr w:rsidR="00493B75" w:rsidRPr="005E1202" w:rsidTr="00493B75">
        <w:trPr>
          <w:cantSplit/>
          <w:jc w:val="center"/>
        </w:trPr>
        <w:tc>
          <w:tcPr>
            <w:tcW w:w="7883" w:type="dxa"/>
            <w:gridSpan w:val="6"/>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SVR12 in Patients Without Cirrhosis</w:t>
            </w:r>
          </w:p>
        </w:tc>
      </w:tr>
      <w:tr w:rsidR="00493B75" w:rsidRPr="005E1202" w:rsidTr="00493B75">
        <w:trPr>
          <w:cantSplit/>
          <w:jc w:val="center"/>
        </w:trPr>
        <w:tc>
          <w:tcPr>
            <w:tcW w:w="1943"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8 weeks</w:t>
            </w:r>
          </w:p>
        </w:tc>
        <w:tc>
          <w:tcPr>
            <w:tcW w:w="1170" w:type="dxa"/>
          </w:tcPr>
          <w:p w:rsidR="00493B75" w:rsidRPr="005E1202" w:rsidRDefault="00493B75" w:rsidP="00493B75">
            <w:pPr>
              <w:spacing w:before="60" w:after="60"/>
              <w:jc w:val="center"/>
              <w:rPr>
                <w:rFonts w:ascii="Arial" w:hAnsi="Arial" w:cs="Arial"/>
                <w:sz w:val="20"/>
              </w:rPr>
            </w:pPr>
            <w:r w:rsidRPr="005E1202">
              <w:rPr>
                <w:rFonts w:ascii="Arial" w:hAnsi="Arial" w:cs="Arial"/>
                <w:sz w:val="20"/>
              </w:rPr>
              <w:t>99.0% (383/387)</w:t>
            </w:r>
          </w:p>
        </w:tc>
        <w:tc>
          <w:tcPr>
            <w:tcW w:w="1170" w:type="dxa"/>
          </w:tcPr>
          <w:p w:rsidR="00493B75" w:rsidRPr="005E1202" w:rsidRDefault="00493B75" w:rsidP="00493B75">
            <w:pPr>
              <w:spacing w:before="60" w:after="60"/>
              <w:jc w:val="center"/>
              <w:rPr>
                <w:rFonts w:ascii="Arial" w:hAnsi="Arial" w:cs="Arial"/>
                <w:sz w:val="20"/>
              </w:rPr>
            </w:pPr>
            <w:r w:rsidRPr="005E1202">
              <w:rPr>
                <w:rFonts w:ascii="Arial" w:hAnsi="Arial" w:cs="Arial"/>
                <w:sz w:val="20"/>
              </w:rPr>
              <w:t>98.0% (193/197)</w:t>
            </w:r>
          </w:p>
        </w:tc>
        <w:tc>
          <w:tcPr>
            <w:tcW w:w="1170" w:type="dxa"/>
          </w:tcPr>
          <w:p w:rsidR="00493B75" w:rsidRPr="005E1202" w:rsidRDefault="00493B75" w:rsidP="00493B75">
            <w:pPr>
              <w:spacing w:before="60" w:after="60"/>
              <w:jc w:val="center"/>
              <w:rPr>
                <w:rFonts w:ascii="Arial" w:hAnsi="Arial" w:cs="Arial"/>
                <w:sz w:val="20"/>
              </w:rPr>
            </w:pPr>
            <w:r w:rsidRPr="005E1202">
              <w:rPr>
                <w:rFonts w:ascii="Arial" w:hAnsi="Arial" w:cs="Arial"/>
                <w:sz w:val="20"/>
              </w:rPr>
              <w:t>93.5% (43/46)</w:t>
            </w:r>
          </w:p>
        </w:tc>
        <w:tc>
          <w:tcPr>
            <w:tcW w:w="1260" w:type="dxa"/>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100%   (2/2) </w:t>
            </w:r>
          </w:p>
        </w:tc>
        <w:tc>
          <w:tcPr>
            <w:tcW w:w="1170" w:type="dxa"/>
          </w:tcPr>
          <w:p w:rsidR="00493B75" w:rsidRPr="005E1202" w:rsidRDefault="00493B75" w:rsidP="00493B75">
            <w:pPr>
              <w:spacing w:before="60" w:after="60"/>
              <w:jc w:val="center"/>
              <w:rPr>
                <w:rFonts w:ascii="Arial" w:hAnsi="Arial" w:cs="Arial"/>
                <w:sz w:val="20"/>
              </w:rPr>
            </w:pPr>
            <w:r w:rsidRPr="005E1202">
              <w:rPr>
                <w:rFonts w:ascii="Arial" w:hAnsi="Arial" w:cs="Arial"/>
                <w:sz w:val="20"/>
              </w:rPr>
              <w:t>90.0%  (9/10)</w:t>
            </w:r>
          </w:p>
        </w:tc>
      </w:tr>
      <w:tr w:rsidR="00493B75" w:rsidRPr="005E1202" w:rsidTr="00493B75">
        <w:trPr>
          <w:cantSplit/>
          <w:jc w:val="center"/>
        </w:trPr>
        <w:tc>
          <w:tcPr>
            <w:tcW w:w="7883" w:type="dxa"/>
            <w:gridSpan w:val="6"/>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b/>
                <w:sz w:val="20"/>
              </w:rPr>
              <w:t>Outcome for patients without SVR12</w:t>
            </w:r>
          </w:p>
        </w:tc>
      </w:tr>
      <w:tr w:rsidR="00493B75" w:rsidRPr="005E1202" w:rsidTr="00493B75">
        <w:trPr>
          <w:cantSplit/>
          <w:jc w:val="center"/>
        </w:trPr>
        <w:tc>
          <w:tcPr>
            <w:tcW w:w="1943"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On-treatment VF</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0.3% (1/387)</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(0/197)</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(0/46)</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(0/10)</w:t>
            </w:r>
          </w:p>
        </w:tc>
      </w:tr>
      <w:tr w:rsidR="00493B75" w:rsidRPr="005E1202" w:rsidTr="00493B75">
        <w:trPr>
          <w:cantSplit/>
          <w:jc w:val="center"/>
        </w:trPr>
        <w:tc>
          <w:tcPr>
            <w:tcW w:w="1943"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Relapse*</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(0/384)</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(2/195)</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(0/45)</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(0/10)</w:t>
            </w:r>
          </w:p>
        </w:tc>
      </w:tr>
      <w:tr w:rsidR="00493B75" w:rsidRPr="005E1202" w:rsidTr="00493B75">
        <w:trPr>
          <w:cantSplit/>
          <w:jc w:val="center"/>
        </w:trPr>
        <w:tc>
          <w:tcPr>
            <w:tcW w:w="1943"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Other**</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0.8% (3/387)</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(2/197)</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6.5% (3/46)</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(1/10)</w:t>
            </w:r>
          </w:p>
        </w:tc>
      </w:tr>
      <w:tr w:rsidR="00493B75" w:rsidRPr="005E1202" w:rsidTr="00493B75">
        <w:trPr>
          <w:cantSplit/>
          <w:jc w:val="center"/>
        </w:trPr>
        <w:tc>
          <w:tcPr>
            <w:tcW w:w="7883" w:type="dxa"/>
            <w:gridSpan w:val="6"/>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SVR12 in Patients With Cirrhosis</w:t>
            </w:r>
          </w:p>
        </w:tc>
      </w:tr>
      <w:tr w:rsidR="00493B75" w:rsidRPr="005E1202" w:rsidTr="00493B75">
        <w:trPr>
          <w:cantSplit/>
          <w:jc w:val="center"/>
        </w:trPr>
        <w:tc>
          <w:tcPr>
            <w:tcW w:w="1943"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 weeks</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97.0% (98/101)</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100% (35/35)</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100% (20/20)</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100%   (2/2)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100%  (7/7)</w:t>
            </w:r>
          </w:p>
        </w:tc>
      </w:tr>
      <w:tr w:rsidR="00493B75" w:rsidRPr="005E1202" w:rsidTr="00493B75">
        <w:trPr>
          <w:cantSplit/>
          <w:jc w:val="center"/>
        </w:trPr>
        <w:tc>
          <w:tcPr>
            <w:tcW w:w="7883" w:type="dxa"/>
            <w:gridSpan w:val="6"/>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b/>
                <w:sz w:val="20"/>
              </w:rPr>
              <w:t>Outcome for patients without SVR12</w:t>
            </w:r>
          </w:p>
        </w:tc>
      </w:tr>
      <w:tr w:rsidR="00493B75" w:rsidRPr="005E1202" w:rsidTr="00493B75">
        <w:trPr>
          <w:cantSplit/>
          <w:jc w:val="center"/>
        </w:trPr>
        <w:tc>
          <w:tcPr>
            <w:tcW w:w="1943" w:type="dxa"/>
            <w:vAlign w:val="center"/>
          </w:tcPr>
          <w:p w:rsidR="00493B75" w:rsidRPr="005E1202" w:rsidRDefault="00493B75" w:rsidP="00493B75">
            <w:pPr>
              <w:spacing w:before="60" w:after="60"/>
              <w:ind w:left="121"/>
              <w:jc w:val="center"/>
              <w:rPr>
                <w:rFonts w:ascii="Arial" w:hAnsi="Arial" w:cs="Arial"/>
                <w:sz w:val="20"/>
              </w:rPr>
            </w:pPr>
            <w:r w:rsidRPr="005E1202">
              <w:rPr>
                <w:rFonts w:ascii="Arial" w:hAnsi="Arial" w:cs="Arial"/>
                <w:sz w:val="20"/>
              </w:rPr>
              <w:t>On-treatment VF</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(0/101)</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(0/35)</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(0/20)</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(0/7)</w:t>
            </w:r>
          </w:p>
        </w:tc>
      </w:tr>
      <w:tr w:rsidR="00493B75" w:rsidRPr="005E1202" w:rsidTr="00493B75">
        <w:trPr>
          <w:cantSplit/>
          <w:jc w:val="center"/>
        </w:trPr>
        <w:tc>
          <w:tcPr>
            <w:tcW w:w="1943" w:type="dxa"/>
            <w:vAlign w:val="center"/>
          </w:tcPr>
          <w:p w:rsidR="00493B75" w:rsidRPr="005E1202" w:rsidRDefault="00493B75" w:rsidP="00493B75">
            <w:pPr>
              <w:spacing w:before="60" w:after="60"/>
              <w:ind w:left="121"/>
              <w:jc w:val="center"/>
              <w:rPr>
                <w:rFonts w:ascii="Arial" w:hAnsi="Arial" w:cs="Arial"/>
                <w:sz w:val="20"/>
              </w:rPr>
            </w:pPr>
            <w:r w:rsidRPr="005E1202">
              <w:rPr>
                <w:rFonts w:ascii="Arial" w:hAnsi="Arial" w:cs="Arial"/>
                <w:sz w:val="20"/>
              </w:rPr>
              <w:t>Relapse*</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(1/98)</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(0/35)</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(0/19)</w:t>
            </w:r>
          </w:p>
        </w:tc>
        <w:tc>
          <w:tcPr>
            <w:tcW w:w="12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(0/7)</w:t>
            </w:r>
          </w:p>
        </w:tc>
      </w:tr>
      <w:tr w:rsidR="00493B75" w:rsidRPr="005E1202" w:rsidTr="00493B75">
        <w:trPr>
          <w:cantSplit/>
          <w:jc w:val="center"/>
        </w:trPr>
        <w:tc>
          <w:tcPr>
            <w:tcW w:w="1943" w:type="dxa"/>
            <w:tcBorders>
              <w:bottom w:val="single" w:sz="4" w:space="0" w:color="auto"/>
            </w:tcBorders>
            <w:vAlign w:val="center"/>
          </w:tcPr>
          <w:p w:rsidR="00493B75" w:rsidRPr="005E1202" w:rsidRDefault="00493B75" w:rsidP="00493B75">
            <w:pPr>
              <w:spacing w:before="60" w:after="60"/>
              <w:ind w:left="121"/>
              <w:jc w:val="center"/>
              <w:rPr>
                <w:rFonts w:ascii="Arial" w:hAnsi="Arial" w:cs="Arial"/>
                <w:sz w:val="20"/>
              </w:rPr>
            </w:pPr>
            <w:r w:rsidRPr="005E1202">
              <w:rPr>
                <w:rFonts w:ascii="Arial" w:hAnsi="Arial" w:cs="Arial"/>
                <w:sz w:val="20"/>
              </w:rPr>
              <w:t>Other**</w:t>
            </w:r>
          </w:p>
        </w:tc>
        <w:tc>
          <w:tcPr>
            <w:tcW w:w="117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2.0% (2/101)</w:t>
            </w:r>
          </w:p>
        </w:tc>
        <w:tc>
          <w:tcPr>
            <w:tcW w:w="117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(0/35)</w:t>
            </w:r>
          </w:p>
        </w:tc>
        <w:tc>
          <w:tcPr>
            <w:tcW w:w="117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(0/20)</w:t>
            </w:r>
          </w:p>
        </w:tc>
        <w:tc>
          <w:tcPr>
            <w:tcW w:w="126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(0/2)</w:t>
            </w:r>
          </w:p>
        </w:tc>
        <w:tc>
          <w:tcPr>
            <w:tcW w:w="117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(0/7)</w:t>
            </w:r>
          </w:p>
        </w:tc>
      </w:tr>
      <w:tr w:rsidR="00493B75" w:rsidRPr="005E1202" w:rsidTr="00493B75">
        <w:trPr>
          <w:cantSplit/>
          <w:jc w:val="center"/>
        </w:trPr>
        <w:tc>
          <w:tcPr>
            <w:tcW w:w="7883" w:type="dxa"/>
            <w:gridSpan w:val="6"/>
            <w:tcBorders>
              <w:left w:val="nil"/>
              <w:bottom w:val="nil"/>
              <w:right w:val="nil"/>
            </w:tcBorders>
          </w:tcPr>
          <w:p w:rsidR="00493B75" w:rsidRPr="005E1202" w:rsidRDefault="00493B75" w:rsidP="00493B75">
            <w:pPr>
              <w:spacing w:after="0"/>
              <w:rPr>
                <w:rFonts w:ascii="Arial" w:hAnsi="Arial" w:cs="Arial"/>
                <w:sz w:val="20"/>
              </w:rPr>
            </w:pPr>
            <w:r w:rsidRPr="005E1202">
              <w:rPr>
                <w:rFonts w:ascii="Arial" w:hAnsi="Arial" w:cs="Arial"/>
                <w:sz w:val="20"/>
              </w:rPr>
              <w:t>^ Includes 33 patients co-infected with HIV-1.</w:t>
            </w:r>
          </w:p>
          <w:p w:rsidR="00493B75" w:rsidRPr="005E1202" w:rsidRDefault="00493B75" w:rsidP="00493B75">
            <w:pPr>
              <w:spacing w:after="0"/>
              <w:rPr>
                <w:rFonts w:ascii="Arial" w:hAnsi="Arial" w:cs="Arial"/>
                <w:sz w:val="20"/>
              </w:rPr>
            </w:pPr>
            <w:r w:rsidRPr="005E1202">
              <w:rPr>
                <w:rFonts w:ascii="Arial" w:hAnsi="Arial" w:cs="Arial"/>
                <w:sz w:val="20"/>
              </w:rPr>
              <w:t>* Relapse is defined as HCV RNA ≥ LLOQ after end-of-treatment response among those who completed treatment.</w:t>
            </w:r>
          </w:p>
          <w:p w:rsidR="00493B75" w:rsidRPr="005E1202" w:rsidRDefault="00493B75" w:rsidP="00493B75">
            <w:pPr>
              <w:spacing w:after="0"/>
              <w:rPr>
                <w:rFonts w:ascii="Arial" w:hAnsi="Arial" w:cs="Arial"/>
                <w:sz w:val="20"/>
              </w:rPr>
            </w:pPr>
            <w:r w:rsidRPr="005E1202">
              <w:rPr>
                <w:rFonts w:ascii="Arial" w:hAnsi="Arial" w:cs="Arial"/>
                <w:sz w:val="20"/>
              </w:rPr>
              <w:t xml:space="preserve">** Includes patients who discontinued due to adverse event, lost to follow-up, or subject withdrawal. </w:t>
            </w:r>
          </w:p>
        </w:tc>
      </w:tr>
    </w:tbl>
    <w:p w:rsidR="00493B75" w:rsidRPr="005E1202" w:rsidRDefault="00493B75" w:rsidP="00493B75">
      <w:pPr>
        <w:rPr>
          <w:rFonts w:ascii="Arial" w:hAnsi="Arial" w:cs="Arial"/>
        </w:rPr>
      </w:pPr>
    </w:p>
    <w:p w:rsidR="00493B75" w:rsidRPr="005E1202" w:rsidRDefault="00493B75" w:rsidP="00A31EE5">
      <w:pPr>
        <w:jc w:val="both"/>
        <w:rPr>
          <w:rFonts w:ascii="Arial" w:hAnsi="Arial" w:cs="Arial"/>
        </w:rPr>
      </w:pPr>
      <w:r w:rsidRPr="005E1202">
        <w:rPr>
          <w:rFonts w:ascii="Arial" w:hAnsi="Arial" w:cs="Arial"/>
        </w:rPr>
        <w:t xml:space="preserve">Of the genotype 1, 2, 4, 5 or 6-infected patients with end stage renal disease enrolled in EXPEDITION-4, 97.8% (91/93) achieved SVR12 with no </w:t>
      </w:r>
      <w:proofErr w:type="spellStart"/>
      <w:r w:rsidRPr="005E1202">
        <w:rPr>
          <w:rFonts w:ascii="Arial" w:hAnsi="Arial" w:cs="Arial"/>
        </w:rPr>
        <w:t>virologic</w:t>
      </w:r>
      <w:proofErr w:type="spellEnd"/>
      <w:r w:rsidRPr="005E1202">
        <w:rPr>
          <w:rFonts w:ascii="Arial" w:hAnsi="Arial" w:cs="Arial"/>
        </w:rPr>
        <w:t xml:space="preserve"> failures.</w:t>
      </w:r>
    </w:p>
    <w:p w:rsidR="00493B75" w:rsidRPr="005E1202" w:rsidRDefault="00493B75" w:rsidP="009C7847">
      <w:pPr>
        <w:pStyle w:val="Heading4"/>
        <w:rPr>
          <w:rFonts w:cs="Arial"/>
        </w:rPr>
      </w:pPr>
      <w:r w:rsidRPr="005E1202">
        <w:rPr>
          <w:rFonts w:cs="Arial"/>
        </w:rPr>
        <w:t>Patients with Genotype 3 Infection</w:t>
      </w:r>
    </w:p>
    <w:p w:rsidR="00493B75" w:rsidRPr="005E1202" w:rsidRDefault="00493B75" w:rsidP="00A31EE5">
      <w:pPr>
        <w:jc w:val="both"/>
        <w:rPr>
          <w:rFonts w:ascii="Arial" w:hAnsi="Arial" w:cs="Arial"/>
        </w:rPr>
      </w:pPr>
      <w:r w:rsidRPr="005E1202">
        <w:rPr>
          <w:rFonts w:ascii="Arial" w:hAnsi="Arial" w:cs="Arial"/>
        </w:rPr>
        <w:t xml:space="preserve">The efficacy of MAVIRET in patients who were treatment-naïve or treatment-experienced to combinations of </w:t>
      </w:r>
      <w:proofErr w:type="spellStart"/>
      <w:r w:rsidRPr="005E1202">
        <w:rPr>
          <w:rFonts w:ascii="Arial" w:hAnsi="Arial" w:cs="Arial"/>
        </w:rPr>
        <w:t>peginterferon</w:t>
      </w:r>
      <w:proofErr w:type="spellEnd"/>
      <w:r w:rsidRPr="005E1202">
        <w:rPr>
          <w:rFonts w:ascii="Arial" w:hAnsi="Arial" w:cs="Arial"/>
        </w:rPr>
        <w:t xml:space="preserve">, ribavirin and/or </w:t>
      </w:r>
      <w:proofErr w:type="spellStart"/>
      <w:r w:rsidRPr="005E1202">
        <w:rPr>
          <w:rFonts w:ascii="Arial" w:hAnsi="Arial" w:cs="Arial"/>
        </w:rPr>
        <w:t>sofosbuvir</w:t>
      </w:r>
      <w:proofErr w:type="spellEnd"/>
      <w:r w:rsidRPr="005E1202" w:rsidDel="004560F6">
        <w:rPr>
          <w:rFonts w:ascii="Arial" w:hAnsi="Arial" w:cs="Arial"/>
        </w:rPr>
        <w:t xml:space="preserve"> </w:t>
      </w:r>
      <w:r w:rsidRPr="005E1202">
        <w:rPr>
          <w:rFonts w:ascii="Arial" w:hAnsi="Arial" w:cs="Arial"/>
        </w:rPr>
        <w:t xml:space="preserve">with genotype 3 chronic hepatitis C infection was demonstrated in the ENDURANCE-3 (treatment-naïve without cirrhosis) and </w:t>
      </w:r>
      <w:r w:rsidRPr="005E1202">
        <w:rPr>
          <w:rFonts w:ascii="Arial" w:hAnsi="Arial" w:cs="Arial"/>
        </w:rPr>
        <w:lastRenderedPageBreak/>
        <w:t>SURVEYOR-2 Part 3 (patients with prior treatment experience and/or compensated cirrhosis) clinical studies.</w:t>
      </w:r>
      <w:r w:rsidR="00EC496D">
        <w:rPr>
          <w:rFonts w:ascii="Arial" w:hAnsi="Arial" w:cs="Arial"/>
        </w:rPr>
        <w:t xml:space="preserve"> </w:t>
      </w:r>
      <w:r w:rsidR="00EC496D" w:rsidRPr="00EC496D">
        <w:rPr>
          <w:rFonts w:ascii="Arial" w:hAnsi="Arial" w:cs="Arial"/>
        </w:rPr>
        <w:t xml:space="preserve">Patients with genotype 3 chronic hepatitis infection were excluded from the MAGELLAN-1 study of patients who failed a previous regimen containing NS5A and/or </w:t>
      </w:r>
      <w:r w:rsidR="006F6131">
        <w:rPr>
          <w:rFonts w:ascii="Arial" w:hAnsi="Arial" w:cs="Arial"/>
        </w:rPr>
        <w:t xml:space="preserve">NS3/4A </w:t>
      </w:r>
      <w:r w:rsidR="00EC496D" w:rsidRPr="00EC496D">
        <w:rPr>
          <w:rFonts w:ascii="Arial" w:hAnsi="Arial" w:cs="Arial"/>
        </w:rPr>
        <w:t>protease inhibitor</w:t>
      </w:r>
      <w:r w:rsidR="00CB7E98">
        <w:rPr>
          <w:rFonts w:ascii="Arial" w:hAnsi="Arial" w:cs="Arial"/>
        </w:rPr>
        <w:t>s</w:t>
      </w:r>
      <w:r w:rsidR="00EC496D">
        <w:rPr>
          <w:rFonts w:ascii="Arial" w:hAnsi="Arial" w:cs="Arial"/>
        </w:rPr>
        <w:t>.</w:t>
      </w:r>
    </w:p>
    <w:p w:rsidR="00493B75" w:rsidRPr="005E1202" w:rsidRDefault="00493B75" w:rsidP="00A31EE5">
      <w:pPr>
        <w:jc w:val="both"/>
        <w:rPr>
          <w:rFonts w:ascii="Arial" w:hAnsi="Arial" w:cs="Arial"/>
        </w:rPr>
      </w:pPr>
      <w:r w:rsidRPr="005E1202">
        <w:rPr>
          <w:rFonts w:ascii="Arial" w:hAnsi="Arial" w:cs="Arial"/>
        </w:rPr>
        <w:t xml:space="preserve">ENDURANCE-3 was a partially-randomised, open-label, active-controlled study in treatment-naïve patients. Patients were randomised (2:1) to either MAVIRET for 12 weeks or the combination of </w:t>
      </w:r>
      <w:proofErr w:type="spellStart"/>
      <w:r w:rsidRPr="005E1202">
        <w:rPr>
          <w:rFonts w:ascii="Arial" w:hAnsi="Arial" w:cs="Arial"/>
        </w:rPr>
        <w:t>sofosbuvir</w:t>
      </w:r>
      <w:proofErr w:type="spellEnd"/>
      <w:r w:rsidRPr="005E1202">
        <w:rPr>
          <w:rFonts w:ascii="Arial" w:hAnsi="Arial" w:cs="Arial"/>
        </w:rPr>
        <w:t xml:space="preserve"> and </w:t>
      </w:r>
      <w:proofErr w:type="spellStart"/>
      <w:r w:rsidRPr="005E1202">
        <w:rPr>
          <w:rFonts w:ascii="Arial" w:hAnsi="Arial" w:cs="Arial"/>
        </w:rPr>
        <w:t>daclatasvir</w:t>
      </w:r>
      <w:proofErr w:type="spellEnd"/>
      <w:r w:rsidRPr="005E1202">
        <w:rPr>
          <w:rFonts w:ascii="Arial" w:hAnsi="Arial" w:cs="Arial"/>
        </w:rPr>
        <w:t xml:space="preserve"> for 12 weeks; subsequently the study included a third arm (which was non-randomised) with MAVIRET for 8 weeks. SURVEYOR-2 Part 3 was an open-label study randomising non-cirrhotic treatment-experienced patients to 12- or 16-weeks of treatment; in addition, the study evaluated the efficacy of MAVIRET in subjects with compensated cirrhosis and genotype 3 infection in two dedicated treatment arms using 12-week (treatment-naïve only) and 16-week (treatment-experienced only) durations. Among treatment-experienced patients, 46% (42/91) failed a previous regimen containing </w:t>
      </w:r>
      <w:proofErr w:type="spellStart"/>
      <w:r w:rsidRPr="005E1202">
        <w:rPr>
          <w:rFonts w:ascii="Arial" w:hAnsi="Arial" w:cs="Arial"/>
        </w:rPr>
        <w:t>sofosbuvir</w:t>
      </w:r>
      <w:proofErr w:type="spellEnd"/>
      <w:r w:rsidRPr="005E1202">
        <w:rPr>
          <w:rFonts w:ascii="Arial" w:hAnsi="Arial" w:cs="Arial"/>
        </w:rPr>
        <w:t>.</w:t>
      </w:r>
    </w:p>
    <w:p w:rsidR="00493B75" w:rsidRPr="005E1202" w:rsidRDefault="00493B75" w:rsidP="00493B75">
      <w:pPr>
        <w:rPr>
          <w:rFonts w:ascii="Arial" w:hAnsi="Arial" w:cs="Arial"/>
          <w:b/>
        </w:rPr>
      </w:pPr>
      <w:proofErr w:type="gramStart"/>
      <w:r w:rsidRPr="005E1202">
        <w:rPr>
          <w:rFonts w:ascii="Arial" w:hAnsi="Arial" w:cs="Arial"/>
          <w:b/>
        </w:rPr>
        <w:t xml:space="preserve">Table </w:t>
      </w:r>
      <w:r w:rsidR="005E1202">
        <w:rPr>
          <w:rFonts w:ascii="Arial" w:hAnsi="Arial" w:cs="Arial"/>
          <w:b/>
        </w:rPr>
        <w:t>10</w:t>
      </w:r>
      <w:r w:rsidRPr="005E1202">
        <w:rPr>
          <w:rFonts w:ascii="Arial" w:hAnsi="Arial" w:cs="Arial"/>
          <w:b/>
        </w:rPr>
        <w:t>.</w:t>
      </w:r>
      <w:proofErr w:type="gramEnd"/>
      <w:r w:rsidRPr="005E1202">
        <w:rPr>
          <w:rFonts w:ascii="Arial" w:hAnsi="Arial" w:cs="Arial"/>
          <w:b/>
        </w:rPr>
        <w:t xml:space="preserve"> ENDURANCE-3: SVR12 in Treatment-naïve, Genotype 3-Infected Patients without Cirrhosis</w:t>
      </w:r>
    </w:p>
    <w:tbl>
      <w:tblPr>
        <w:tblW w:w="7831" w:type="dxa"/>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800"/>
        <w:gridCol w:w="2160"/>
        <w:gridCol w:w="1800"/>
      </w:tblGrid>
      <w:tr w:rsidR="00493B75" w:rsidRPr="005E1202" w:rsidTr="00493B75">
        <w:trPr>
          <w:tblHeader/>
          <w:jc w:val="center"/>
        </w:trPr>
        <w:tc>
          <w:tcPr>
            <w:tcW w:w="2071" w:type="dxa"/>
            <w:vAlign w:val="center"/>
          </w:tcPr>
          <w:p w:rsidR="00493B75" w:rsidRPr="005E1202" w:rsidRDefault="00493B75" w:rsidP="00493B75">
            <w:pPr>
              <w:spacing w:before="60" w:after="60"/>
              <w:jc w:val="center"/>
              <w:rPr>
                <w:rFonts w:ascii="Arial" w:hAnsi="Arial" w:cs="Arial"/>
                <w:sz w:val="20"/>
              </w:rPr>
            </w:pPr>
          </w:p>
        </w:tc>
        <w:tc>
          <w:tcPr>
            <w:tcW w:w="180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MAVIRET</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8 weeks</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N=157</w:t>
            </w:r>
          </w:p>
        </w:tc>
        <w:tc>
          <w:tcPr>
            <w:tcW w:w="216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MAVIRET</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12 weeks</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N=233</w:t>
            </w:r>
          </w:p>
        </w:tc>
        <w:tc>
          <w:tcPr>
            <w:tcW w:w="1800"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SOF</w:t>
            </w:r>
            <w:r w:rsidR="00A31EE5">
              <w:rPr>
                <w:rFonts w:ascii="Arial" w:hAnsi="Arial" w:cs="Arial"/>
                <w:b/>
                <w:sz w:val="20"/>
              </w:rPr>
              <w:t xml:space="preserve"> </w:t>
            </w:r>
            <w:r w:rsidRPr="005E1202">
              <w:rPr>
                <w:rFonts w:ascii="Arial" w:hAnsi="Arial" w:cs="Arial"/>
                <w:b/>
                <w:sz w:val="20"/>
              </w:rPr>
              <w:t>+</w:t>
            </w:r>
            <w:r w:rsidR="00A31EE5">
              <w:rPr>
                <w:rFonts w:ascii="Arial" w:hAnsi="Arial" w:cs="Arial"/>
                <w:b/>
                <w:sz w:val="20"/>
              </w:rPr>
              <w:t xml:space="preserve"> </w:t>
            </w:r>
            <w:r w:rsidRPr="005E1202">
              <w:rPr>
                <w:rFonts w:ascii="Arial" w:hAnsi="Arial" w:cs="Arial"/>
                <w:b/>
                <w:sz w:val="20"/>
              </w:rPr>
              <w:t>DCV</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12 weeks</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N=115</w:t>
            </w:r>
          </w:p>
        </w:tc>
      </w:tr>
      <w:tr w:rsidR="00493B75" w:rsidRPr="005E1202" w:rsidTr="00493B75">
        <w:trPr>
          <w:jc w:val="center"/>
        </w:trPr>
        <w:tc>
          <w:tcPr>
            <w:tcW w:w="2071"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SVR</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94.9% (149/157)</w:t>
            </w:r>
          </w:p>
        </w:tc>
        <w:tc>
          <w:tcPr>
            <w:tcW w:w="21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95.3% (222/233)</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96.5% (111/115)</w:t>
            </w:r>
          </w:p>
        </w:tc>
      </w:tr>
      <w:tr w:rsidR="00493B75" w:rsidRPr="005E1202" w:rsidTr="00493B75">
        <w:trPr>
          <w:jc w:val="center"/>
        </w:trPr>
        <w:tc>
          <w:tcPr>
            <w:tcW w:w="2071" w:type="dxa"/>
            <w:vAlign w:val="center"/>
          </w:tcPr>
          <w:p w:rsidR="00493B75" w:rsidRPr="005E1202" w:rsidRDefault="00493B75" w:rsidP="00493B75">
            <w:pPr>
              <w:spacing w:before="60" w:after="60"/>
              <w:jc w:val="center"/>
              <w:rPr>
                <w:rFonts w:ascii="Arial" w:hAnsi="Arial" w:cs="Arial"/>
                <w:sz w:val="20"/>
              </w:rPr>
            </w:pPr>
          </w:p>
        </w:tc>
        <w:tc>
          <w:tcPr>
            <w:tcW w:w="1800" w:type="dxa"/>
            <w:vAlign w:val="center"/>
          </w:tcPr>
          <w:p w:rsidR="00493B75" w:rsidRPr="005E1202" w:rsidRDefault="00493B75" w:rsidP="00493B75">
            <w:pPr>
              <w:spacing w:before="60" w:after="60"/>
              <w:jc w:val="center"/>
              <w:rPr>
                <w:rFonts w:ascii="Arial" w:hAnsi="Arial" w:cs="Arial"/>
                <w:sz w:val="20"/>
              </w:rPr>
            </w:pPr>
          </w:p>
        </w:tc>
        <w:tc>
          <w:tcPr>
            <w:tcW w:w="3960" w:type="dxa"/>
            <w:gridSpan w:val="2"/>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Treatment difference -1.2%;</w:t>
            </w:r>
          </w:p>
          <w:p w:rsidR="00493B75" w:rsidRPr="005E1202" w:rsidRDefault="00493B75" w:rsidP="00493B75">
            <w:pPr>
              <w:spacing w:before="60" w:after="60"/>
              <w:jc w:val="center"/>
              <w:rPr>
                <w:rFonts w:ascii="Arial" w:hAnsi="Arial" w:cs="Arial"/>
                <w:sz w:val="20"/>
              </w:rPr>
            </w:pPr>
            <w:r w:rsidRPr="005E1202">
              <w:rPr>
                <w:rFonts w:ascii="Arial" w:hAnsi="Arial" w:cs="Arial"/>
                <w:sz w:val="20"/>
              </w:rPr>
              <w:t>95% confidence interval (-5.6% to 3.1%)</w:t>
            </w:r>
          </w:p>
        </w:tc>
      </w:tr>
      <w:tr w:rsidR="00493B75" w:rsidRPr="005E1202" w:rsidTr="00493B75">
        <w:trPr>
          <w:jc w:val="center"/>
        </w:trPr>
        <w:tc>
          <w:tcPr>
            <w:tcW w:w="2071" w:type="dxa"/>
            <w:vAlign w:val="center"/>
          </w:tcPr>
          <w:p w:rsidR="00493B75" w:rsidRPr="005E1202" w:rsidRDefault="00493B75" w:rsidP="00493B75">
            <w:pPr>
              <w:spacing w:before="60" w:after="60"/>
              <w:jc w:val="center"/>
              <w:rPr>
                <w:rFonts w:ascii="Arial" w:hAnsi="Arial" w:cs="Arial"/>
                <w:sz w:val="20"/>
              </w:rPr>
            </w:pPr>
          </w:p>
        </w:tc>
        <w:tc>
          <w:tcPr>
            <w:tcW w:w="3960" w:type="dxa"/>
            <w:gridSpan w:val="2"/>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Treatment difference -0.4%;</w:t>
            </w:r>
          </w:p>
          <w:p w:rsidR="00493B75" w:rsidRPr="005E1202" w:rsidRDefault="00493B75" w:rsidP="00493B75">
            <w:pPr>
              <w:spacing w:before="60" w:after="60"/>
              <w:jc w:val="center"/>
              <w:rPr>
                <w:rFonts w:ascii="Arial" w:hAnsi="Arial" w:cs="Arial"/>
                <w:sz w:val="20"/>
              </w:rPr>
            </w:pPr>
            <w:r w:rsidRPr="005E1202">
              <w:rPr>
                <w:rFonts w:ascii="Arial" w:hAnsi="Arial" w:cs="Arial"/>
                <w:sz w:val="20"/>
              </w:rPr>
              <w:t>97.5% confidence interval (-5.4% to 4.6%)</w:t>
            </w:r>
          </w:p>
        </w:tc>
        <w:tc>
          <w:tcPr>
            <w:tcW w:w="1800" w:type="dxa"/>
            <w:vAlign w:val="center"/>
          </w:tcPr>
          <w:p w:rsidR="00493B75" w:rsidRPr="005E1202" w:rsidRDefault="00493B75" w:rsidP="00493B75">
            <w:pPr>
              <w:spacing w:before="60" w:after="60"/>
              <w:jc w:val="center"/>
              <w:rPr>
                <w:rFonts w:ascii="Arial" w:hAnsi="Arial" w:cs="Arial"/>
                <w:sz w:val="20"/>
              </w:rPr>
            </w:pPr>
          </w:p>
        </w:tc>
      </w:tr>
      <w:tr w:rsidR="00493B75" w:rsidRPr="005E1202" w:rsidTr="00493B75">
        <w:trPr>
          <w:jc w:val="center"/>
        </w:trPr>
        <w:tc>
          <w:tcPr>
            <w:tcW w:w="7831" w:type="dxa"/>
            <w:gridSpan w:val="4"/>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Outcome for patients without SVR12</w:t>
            </w:r>
          </w:p>
        </w:tc>
      </w:tr>
      <w:tr w:rsidR="00493B75" w:rsidRPr="005E1202" w:rsidTr="00493B75">
        <w:trPr>
          <w:jc w:val="center"/>
        </w:trPr>
        <w:tc>
          <w:tcPr>
            <w:tcW w:w="2071"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On-treatment VF</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0.6% (1/157)</w:t>
            </w:r>
          </w:p>
        </w:tc>
        <w:tc>
          <w:tcPr>
            <w:tcW w:w="21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0.4% (1/233)</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(0/115)</w:t>
            </w:r>
          </w:p>
        </w:tc>
      </w:tr>
      <w:tr w:rsidR="00493B75" w:rsidRPr="005E1202" w:rsidTr="00493B75">
        <w:trPr>
          <w:jc w:val="center"/>
        </w:trPr>
        <w:tc>
          <w:tcPr>
            <w:tcW w:w="2071"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Relapse*</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3.3% (5/150)</w:t>
            </w:r>
          </w:p>
        </w:tc>
        <w:tc>
          <w:tcPr>
            <w:tcW w:w="216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1.4% (3/222)</w:t>
            </w:r>
          </w:p>
        </w:tc>
        <w:tc>
          <w:tcPr>
            <w:tcW w:w="1800"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0.9% (1/114)</w:t>
            </w:r>
          </w:p>
        </w:tc>
      </w:tr>
      <w:tr w:rsidR="00493B75" w:rsidRPr="005E1202" w:rsidTr="00493B75">
        <w:trPr>
          <w:jc w:val="center"/>
        </w:trPr>
        <w:tc>
          <w:tcPr>
            <w:tcW w:w="2071"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Other**</w:t>
            </w:r>
          </w:p>
        </w:tc>
        <w:tc>
          <w:tcPr>
            <w:tcW w:w="180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1.3% (2/157)</w:t>
            </w:r>
          </w:p>
        </w:tc>
        <w:tc>
          <w:tcPr>
            <w:tcW w:w="216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3.0% (7/233)</w:t>
            </w:r>
          </w:p>
        </w:tc>
        <w:tc>
          <w:tcPr>
            <w:tcW w:w="1800"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2.6% (3/115)</w:t>
            </w:r>
          </w:p>
        </w:tc>
      </w:tr>
      <w:tr w:rsidR="00493B75" w:rsidRPr="005E1202" w:rsidTr="00493B75">
        <w:trPr>
          <w:jc w:val="center"/>
        </w:trPr>
        <w:tc>
          <w:tcPr>
            <w:tcW w:w="7831" w:type="dxa"/>
            <w:gridSpan w:val="4"/>
            <w:tcBorders>
              <w:left w:val="nil"/>
              <w:bottom w:val="nil"/>
              <w:right w:val="nil"/>
            </w:tcBorders>
          </w:tcPr>
          <w:p w:rsidR="00493B75" w:rsidRPr="005E1202" w:rsidRDefault="00493B75" w:rsidP="00493B75">
            <w:pPr>
              <w:spacing w:after="0"/>
              <w:rPr>
                <w:rFonts w:ascii="Arial" w:hAnsi="Arial" w:cs="Arial"/>
                <w:sz w:val="20"/>
              </w:rPr>
            </w:pPr>
            <w:r w:rsidRPr="005E1202">
              <w:rPr>
                <w:rFonts w:ascii="Arial" w:hAnsi="Arial" w:cs="Arial"/>
                <w:sz w:val="20"/>
              </w:rPr>
              <w:t>* Relapse is defined as HCV RNA ≥ LLOQ after end-of-treatment response among those who completed treatment.</w:t>
            </w:r>
          </w:p>
          <w:p w:rsidR="00493B75" w:rsidRPr="005E1202" w:rsidRDefault="00493B75" w:rsidP="00493B75">
            <w:pPr>
              <w:spacing w:after="0"/>
              <w:rPr>
                <w:rFonts w:ascii="Arial" w:hAnsi="Arial" w:cs="Arial"/>
                <w:sz w:val="20"/>
              </w:rPr>
            </w:pPr>
            <w:r w:rsidRPr="005E1202">
              <w:rPr>
                <w:rFonts w:ascii="Arial" w:hAnsi="Arial" w:cs="Arial"/>
                <w:sz w:val="20"/>
              </w:rPr>
              <w:t>** Includes patients who discontinued due to adverse event, lost to follow-up, or subject withdrawal.</w:t>
            </w:r>
          </w:p>
        </w:tc>
      </w:tr>
    </w:tbl>
    <w:p w:rsidR="00A31EE5" w:rsidRPr="005E1202" w:rsidRDefault="00A31EE5" w:rsidP="00493B75">
      <w:pPr>
        <w:rPr>
          <w:rFonts w:ascii="Arial" w:hAnsi="Arial" w:cs="Arial"/>
          <w:b/>
          <w:i/>
        </w:rPr>
      </w:pPr>
    </w:p>
    <w:p w:rsidR="00493B75" w:rsidRPr="005E1202" w:rsidRDefault="00493B75" w:rsidP="00A31EE5">
      <w:pPr>
        <w:jc w:val="both"/>
        <w:rPr>
          <w:rFonts w:ascii="Arial" w:hAnsi="Arial" w:cs="Arial"/>
          <w:b/>
        </w:rPr>
      </w:pPr>
      <w:proofErr w:type="gramStart"/>
      <w:r w:rsidRPr="005E1202">
        <w:rPr>
          <w:rFonts w:ascii="Arial" w:hAnsi="Arial" w:cs="Arial"/>
          <w:b/>
        </w:rPr>
        <w:t xml:space="preserve">Table </w:t>
      </w:r>
      <w:r w:rsidR="005E1202">
        <w:rPr>
          <w:rFonts w:ascii="Arial" w:hAnsi="Arial" w:cs="Arial"/>
          <w:b/>
        </w:rPr>
        <w:t>11</w:t>
      </w:r>
      <w:r w:rsidRPr="005E1202">
        <w:rPr>
          <w:rFonts w:ascii="Arial" w:hAnsi="Arial" w:cs="Arial"/>
          <w:b/>
        </w:rPr>
        <w:t>.</w:t>
      </w:r>
      <w:proofErr w:type="gramEnd"/>
      <w:r w:rsidRPr="005E1202">
        <w:rPr>
          <w:rFonts w:ascii="Arial" w:hAnsi="Arial" w:cs="Arial"/>
          <w:b/>
        </w:rPr>
        <w:t xml:space="preserve"> SURVEYOR-2 Part 3: SVR12 in Genotype 3-Infected Patients with or without Cirrhosis who </w:t>
      </w:r>
      <w:proofErr w:type="gramStart"/>
      <w:r w:rsidRPr="005E1202">
        <w:rPr>
          <w:rFonts w:ascii="Arial" w:hAnsi="Arial" w:cs="Arial"/>
          <w:b/>
        </w:rPr>
        <w:t>Received</w:t>
      </w:r>
      <w:proofErr w:type="gramEnd"/>
      <w:r w:rsidRPr="005E1202">
        <w:rPr>
          <w:rFonts w:ascii="Arial" w:hAnsi="Arial" w:cs="Arial"/>
          <w:b/>
        </w:rPr>
        <w:t xml:space="preserve"> the Recommended Duration</w:t>
      </w:r>
    </w:p>
    <w:tbl>
      <w:tblPr>
        <w:tblW w:w="9671"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226"/>
        <w:gridCol w:w="2700"/>
        <w:gridCol w:w="2814"/>
      </w:tblGrid>
      <w:tr w:rsidR="00493B75" w:rsidRPr="005E1202" w:rsidTr="00493B75">
        <w:trPr>
          <w:jc w:val="center"/>
        </w:trPr>
        <w:tc>
          <w:tcPr>
            <w:tcW w:w="1931" w:type="dxa"/>
            <w:vMerge w:val="restart"/>
            <w:vAlign w:val="center"/>
          </w:tcPr>
          <w:p w:rsidR="00493B75" w:rsidRPr="005E1202" w:rsidRDefault="00493B75" w:rsidP="00493B75">
            <w:pPr>
              <w:spacing w:before="60" w:after="60"/>
              <w:jc w:val="center"/>
              <w:rPr>
                <w:rFonts w:ascii="Arial" w:hAnsi="Arial" w:cs="Arial"/>
                <w:lang w:val="en-US"/>
              </w:rPr>
            </w:pPr>
          </w:p>
        </w:tc>
        <w:tc>
          <w:tcPr>
            <w:tcW w:w="2226" w:type="dxa"/>
            <w:vAlign w:val="center"/>
            <w:hideMark/>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Treatment-Naïve with Cirrhosis</w:t>
            </w:r>
          </w:p>
        </w:tc>
        <w:tc>
          <w:tcPr>
            <w:tcW w:w="2700" w:type="dxa"/>
            <w:vAlign w:val="center"/>
            <w:hideMark/>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Treatment-Experienced with Cirrhosis</w:t>
            </w:r>
          </w:p>
        </w:tc>
        <w:tc>
          <w:tcPr>
            <w:tcW w:w="2814" w:type="dxa"/>
            <w:vAlign w:val="center"/>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Treatment-Experienced without Cirrhosis</w:t>
            </w:r>
          </w:p>
        </w:tc>
      </w:tr>
      <w:tr w:rsidR="00493B75" w:rsidRPr="005E1202" w:rsidTr="00493B75">
        <w:trPr>
          <w:jc w:val="center"/>
        </w:trPr>
        <w:tc>
          <w:tcPr>
            <w:tcW w:w="1931" w:type="dxa"/>
            <w:vMerge/>
            <w:vAlign w:val="center"/>
          </w:tcPr>
          <w:p w:rsidR="00493B75" w:rsidRPr="005E1202" w:rsidRDefault="00493B75" w:rsidP="00493B75">
            <w:pPr>
              <w:spacing w:before="60" w:after="60"/>
              <w:jc w:val="center"/>
              <w:rPr>
                <w:rFonts w:ascii="Arial" w:hAnsi="Arial" w:cs="Arial"/>
                <w:lang w:val="en-US"/>
              </w:rPr>
            </w:pPr>
          </w:p>
        </w:tc>
        <w:tc>
          <w:tcPr>
            <w:tcW w:w="2226" w:type="dxa"/>
            <w:vAlign w:val="center"/>
            <w:hideMark/>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MAVIRET</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12 weeks</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(N=40)</w:t>
            </w:r>
          </w:p>
        </w:tc>
        <w:tc>
          <w:tcPr>
            <w:tcW w:w="2700" w:type="dxa"/>
            <w:vAlign w:val="center"/>
            <w:hideMark/>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MAVIRET</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16 weeks</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(N=47)</w:t>
            </w:r>
          </w:p>
        </w:tc>
        <w:tc>
          <w:tcPr>
            <w:tcW w:w="2814" w:type="dxa"/>
            <w:vAlign w:val="center"/>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MAVIRET</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16 weeks</w:t>
            </w:r>
          </w:p>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(N=22)</w:t>
            </w:r>
          </w:p>
        </w:tc>
      </w:tr>
      <w:tr w:rsidR="00493B75" w:rsidRPr="005E1202" w:rsidTr="00493B75">
        <w:trPr>
          <w:jc w:val="center"/>
        </w:trPr>
        <w:tc>
          <w:tcPr>
            <w:tcW w:w="1931" w:type="dxa"/>
            <w:vAlign w:val="center"/>
            <w:hideMark/>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SVR</w:t>
            </w:r>
          </w:p>
        </w:tc>
        <w:tc>
          <w:tcPr>
            <w:tcW w:w="2226"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97.5% (39/40)</w:t>
            </w:r>
          </w:p>
        </w:tc>
        <w:tc>
          <w:tcPr>
            <w:tcW w:w="2700"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95.7% (45/47)</w:t>
            </w:r>
          </w:p>
        </w:tc>
        <w:tc>
          <w:tcPr>
            <w:tcW w:w="2814"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95.5% (21/22)</w:t>
            </w:r>
          </w:p>
        </w:tc>
      </w:tr>
      <w:tr w:rsidR="00493B75" w:rsidRPr="005E1202" w:rsidTr="00493B75">
        <w:trPr>
          <w:jc w:val="center"/>
        </w:trPr>
        <w:tc>
          <w:tcPr>
            <w:tcW w:w="9671" w:type="dxa"/>
            <w:gridSpan w:val="4"/>
            <w:vAlign w:val="center"/>
          </w:tcPr>
          <w:p w:rsidR="00493B75" w:rsidRPr="005E1202" w:rsidRDefault="00493B75" w:rsidP="00493B75">
            <w:pPr>
              <w:spacing w:before="60" w:after="60"/>
              <w:jc w:val="center"/>
              <w:rPr>
                <w:rFonts w:ascii="Arial" w:hAnsi="Arial" w:cs="Arial"/>
                <w:b/>
                <w:lang w:val="en-US"/>
              </w:rPr>
            </w:pPr>
            <w:r w:rsidRPr="005E1202">
              <w:rPr>
                <w:rFonts w:ascii="Arial" w:hAnsi="Arial" w:cs="Arial"/>
                <w:b/>
                <w:lang w:val="en-US"/>
              </w:rPr>
              <w:t>Outcome for patients without SVR12</w:t>
            </w:r>
          </w:p>
        </w:tc>
      </w:tr>
      <w:tr w:rsidR="00493B75" w:rsidRPr="005E1202" w:rsidTr="00493B75">
        <w:trPr>
          <w:jc w:val="center"/>
        </w:trPr>
        <w:tc>
          <w:tcPr>
            <w:tcW w:w="1931"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On-treatment VF</w:t>
            </w:r>
          </w:p>
        </w:tc>
        <w:tc>
          <w:tcPr>
            <w:tcW w:w="2226"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0% (0/40)</w:t>
            </w:r>
          </w:p>
        </w:tc>
        <w:tc>
          <w:tcPr>
            <w:tcW w:w="2700"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2.1% (1/47)</w:t>
            </w:r>
          </w:p>
        </w:tc>
        <w:tc>
          <w:tcPr>
            <w:tcW w:w="2814"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0% (0/22)</w:t>
            </w:r>
          </w:p>
        </w:tc>
      </w:tr>
      <w:tr w:rsidR="00493B75" w:rsidRPr="005E1202" w:rsidTr="00493B75">
        <w:trPr>
          <w:jc w:val="center"/>
        </w:trPr>
        <w:tc>
          <w:tcPr>
            <w:tcW w:w="1931"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Relapse*</w:t>
            </w:r>
          </w:p>
        </w:tc>
        <w:tc>
          <w:tcPr>
            <w:tcW w:w="2226"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0% (0/39)</w:t>
            </w:r>
          </w:p>
        </w:tc>
        <w:tc>
          <w:tcPr>
            <w:tcW w:w="2700"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2.2% (1/46)</w:t>
            </w:r>
          </w:p>
        </w:tc>
        <w:tc>
          <w:tcPr>
            <w:tcW w:w="2814"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4.5% (1/22)</w:t>
            </w:r>
          </w:p>
        </w:tc>
      </w:tr>
      <w:tr w:rsidR="00493B75" w:rsidRPr="005E1202" w:rsidTr="00493B75">
        <w:trPr>
          <w:jc w:val="center"/>
        </w:trPr>
        <w:tc>
          <w:tcPr>
            <w:tcW w:w="1931"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Other**</w:t>
            </w:r>
          </w:p>
        </w:tc>
        <w:tc>
          <w:tcPr>
            <w:tcW w:w="2226"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2.5% (1/40)</w:t>
            </w:r>
          </w:p>
        </w:tc>
        <w:tc>
          <w:tcPr>
            <w:tcW w:w="2700" w:type="dxa"/>
            <w:vAlign w:val="center"/>
            <w:hideMark/>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0% (0/47)</w:t>
            </w:r>
          </w:p>
        </w:tc>
        <w:tc>
          <w:tcPr>
            <w:tcW w:w="2814" w:type="dxa"/>
            <w:vAlign w:val="center"/>
          </w:tcPr>
          <w:p w:rsidR="00493B75" w:rsidRPr="005E1202" w:rsidRDefault="00493B75" w:rsidP="00493B75">
            <w:pPr>
              <w:spacing w:before="60" w:after="60"/>
              <w:jc w:val="center"/>
              <w:rPr>
                <w:rFonts w:ascii="Arial" w:hAnsi="Arial" w:cs="Arial"/>
                <w:lang w:val="en-US"/>
              </w:rPr>
            </w:pPr>
            <w:r w:rsidRPr="005E1202">
              <w:rPr>
                <w:rFonts w:ascii="Arial" w:hAnsi="Arial" w:cs="Arial"/>
                <w:lang w:val="en-US"/>
              </w:rPr>
              <w:t>0% (0/22)</w:t>
            </w:r>
          </w:p>
        </w:tc>
      </w:tr>
      <w:tr w:rsidR="00493B75" w:rsidRPr="005E1202" w:rsidTr="00493B75">
        <w:trPr>
          <w:jc w:val="center"/>
        </w:trPr>
        <w:tc>
          <w:tcPr>
            <w:tcW w:w="9671" w:type="dxa"/>
            <w:gridSpan w:val="4"/>
            <w:tcBorders>
              <w:left w:val="nil"/>
              <w:bottom w:val="nil"/>
              <w:right w:val="nil"/>
            </w:tcBorders>
            <w:vAlign w:val="center"/>
          </w:tcPr>
          <w:p w:rsidR="00493B75" w:rsidRPr="005E1202" w:rsidRDefault="00493B75" w:rsidP="00493B75">
            <w:pPr>
              <w:spacing w:before="60" w:after="60"/>
              <w:ind w:left="180" w:hanging="180"/>
              <w:rPr>
                <w:rFonts w:ascii="Arial" w:hAnsi="Arial" w:cs="Arial"/>
                <w:sz w:val="20"/>
              </w:rPr>
            </w:pPr>
            <w:r w:rsidRPr="005E1202">
              <w:rPr>
                <w:rFonts w:ascii="Arial" w:hAnsi="Arial" w:cs="Arial"/>
                <w:sz w:val="20"/>
              </w:rPr>
              <w:t>* Relapse is defined as HCV RNA ≥ LLOQ after end-of-treatment response among those who completed treatment.</w:t>
            </w:r>
          </w:p>
          <w:p w:rsidR="00493B75" w:rsidRPr="005E1202" w:rsidRDefault="00493B75" w:rsidP="00493B75">
            <w:pPr>
              <w:spacing w:before="60" w:after="60"/>
              <w:ind w:left="180" w:hanging="180"/>
              <w:rPr>
                <w:rFonts w:ascii="Arial" w:hAnsi="Arial" w:cs="Arial"/>
                <w:sz w:val="20"/>
              </w:rPr>
            </w:pPr>
            <w:r w:rsidRPr="005E1202">
              <w:rPr>
                <w:rFonts w:ascii="Arial" w:hAnsi="Arial" w:cs="Arial"/>
                <w:sz w:val="20"/>
              </w:rPr>
              <w:t>** Includes patients who discontinued due to adverse event, lost to follow-up, or subject withdrawal.</w:t>
            </w:r>
          </w:p>
        </w:tc>
      </w:tr>
    </w:tbl>
    <w:p w:rsidR="00493B75" w:rsidRPr="005E1202" w:rsidRDefault="00493B75" w:rsidP="00493B75">
      <w:pPr>
        <w:rPr>
          <w:rFonts w:ascii="Arial" w:hAnsi="Arial" w:cs="Arial"/>
        </w:rPr>
      </w:pPr>
    </w:p>
    <w:p w:rsidR="00493B75" w:rsidRPr="005E1202" w:rsidRDefault="00493B75" w:rsidP="00A31EE5">
      <w:pPr>
        <w:jc w:val="both"/>
        <w:rPr>
          <w:rFonts w:ascii="Arial" w:hAnsi="Arial" w:cs="Arial"/>
        </w:rPr>
      </w:pPr>
      <w:r w:rsidRPr="005E1202">
        <w:rPr>
          <w:rFonts w:ascii="Arial" w:hAnsi="Arial" w:cs="Arial"/>
        </w:rPr>
        <w:t>Of the genotype 3-infected patients with end stage renal disease enrolled in EXPEDITION-4, 100% (11/11) achieved SVR12.</w:t>
      </w:r>
    </w:p>
    <w:p w:rsidR="00493B75" w:rsidRPr="005E1202" w:rsidRDefault="00493B75" w:rsidP="00A31EE5">
      <w:pPr>
        <w:jc w:val="both"/>
        <w:rPr>
          <w:rFonts w:ascii="Arial" w:hAnsi="Arial" w:cs="Arial"/>
        </w:rPr>
      </w:pPr>
      <w:r w:rsidRPr="005E1202">
        <w:rPr>
          <w:rFonts w:ascii="Arial" w:hAnsi="Arial" w:cs="Arial"/>
        </w:rPr>
        <w:t xml:space="preserve">In patients who are treatment-naïve or treatment-experienced to combinations of </w:t>
      </w:r>
      <w:proofErr w:type="spellStart"/>
      <w:r w:rsidRPr="005E1202">
        <w:rPr>
          <w:rFonts w:ascii="Arial" w:hAnsi="Arial" w:cs="Arial"/>
        </w:rPr>
        <w:t>peginterferon</w:t>
      </w:r>
      <w:proofErr w:type="spellEnd"/>
      <w:r w:rsidRPr="005E1202">
        <w:rPr>
          <w:rFonts w:ascii="Arial" w:hAnsi="Arial" w:cs="Arial"/>
        </w:rPr>
        <w:t xml:space="preserve">, ribavirin and/or </w:t>
      </w:r>
      <w:proofErr w:type="spellStart"/>
      <w:r w:rsidRPr="005E1202">
        <w:rPr>
          <w:rFonts w:ascii="Arial" w:hAnsi="Arial" w:cs="Arial"/>
        </w:rPr>
        <w:t>sofosbuvir</w:t>
      </w:r>
      <w:proofErr w:type="spellEnd"/>
      <w:r w:rsidRPr="005E1202" w:rsidDel="00235454">
        <w:rPr>
          <w:rFonts w:ascii="Arial" w:hAnsi="Arial" w:cs="Arial"/>
        </w:rPr>
        <w:t xml:space="preserve"> </w:t>
      </w:r>
      <w:r w:rsidRPr="005E1202">
        <w:rPr>
          <w:rFonts w:ascii="Arial" w:hAnsi="Arial" w:cs="Arial"/>
        </w:rPr>
        <w:t xml:space="preserve">who received the recommended duration, 97.4% (1102/1131) achieved SVR overall (among which 97.5% (274/281) patients with compensated cirrhosis achieved SVR), while 0.3% (3/1131) experienced on-treatment </w:t>
      </w:r>
      <w:proofErr w:type="spellStart"/>
      <w:r w:rsidRPr="005E1202">
        <w:rPr>
          <w:rFonts w:ascii="Arial" w:hAnsi="Arial" w:cs="Arial"/>
        </w:rPr>
        <w:t>virologic</w:t>
      </w:r>
      <w:proofErr w:type="spellEnd"/>
      <w:r w:rsidRPr="005E1202">
        <w:rPr>
          <w:rFonts w:ascii="Arial" w:hAnsi="Arial" w:cs="Arial"/>
        </w:rPr>
        <w:t xml:space="preserve"> failure and 1.0% (11/1111) experienced post-treatment relapse.</w:t>
      </w:r>
    </w:p>
    <w:p w:rsidR="00493B75" w:rsidRPr="005E1202" w:rsidRDefault="00493B75" w:rsidP="00A31EE5">
      <w:pPr>
        <w:pStyle w:val="Heading3"/>
        <w:jc w:val="both"/>
      </w:pPr>
      <w:r w:rsidRPr="005E1202">
        <w:t xml:space="preserve">Clinical Study in </w:t>
      </w:r>
      <w:r w:rsidRPr="002D6483">
        <w:rPr>
          <w:rStyle w:val="Heading3Char"/>
        </w:rPr>
        <w:t>NS5A and/or</w:t>
      </w:r>
      <w:r w:rsidRPr="005E1202">
        <w:t xml:space="preserve"> Protease Inhibitor-Experienced Patients with or without Cirrhosis</w:t>
      </w:r>
    </w:p>
    <w:p w:rsidR="00493B75" w:rsidRPr="005E1202" w:rsidRDefault="00493B75" w:rsidP="00A31EE5">
      <w:pPr>
        <w:jc w:val="both"/>
        <w:rPr>
          <w:rFonts w:ascii="Arial" w:hAnsi="Arial" w:cs="Arial"/>
        </w:rPr>
      </w:pPr>
      <w:r w:rsidRPr="005E1202">
        <w:rPr>
          <w:rFonts w:ascii="Arial" w:hAnsi="Arial" w:cs="Arial"/>
        </w:rPr>
        <w:t xml:space="preserve">MAGELLAN-1 was a randomised, multipart, open-label study in 141 genotype 1 or 4-infected patients who failed a previous regimen containing NS5A and/or protease inhibitors. Part 1 (n=50) was a randomised study exploring 12 weeks of </w:t>
      </w:r>
      <w:proofErr w:type="spellStart"/>
      <w:r w:rsidRPr="005E1202">
        <w:rPr>
          <w:rFonts w:ascii="Arial" w:hAnsi="Arial" w:cs="Arial"/>
        </w:rPr>
        <w:t>glecaprevir</w:t>
      </w:r>
      <w:proofErr w:type="spellEnd"/>
      <w:r w:rsidRPr="005E1202">
        <w:rPr>
          <w:rFonts w:ascii="Arial" w:hAnsi="Arial" w:cs="Arial"/>
        </w:rPr>
        <w:t xml:space="preserve"> 300 mg or 200 mg and </w:t>
      </w:r>
      <w:proofErr w:type="spellStart"/>
      <w:r w:rsidRPr="005E1202">
        <w:rPr>
          <w:rFonts w:ascii="Arial" w:hAnsi="Arial" w:cs="Arial"/>
        </w:rPr>
        <w:t>pibrentasvir</w:t>
      </w:r>
      <w:proofErr w:type="spellEnd"/>
      <w:r w:rsidRPr="005E1202">
        <w:rPr>
          <w:rFonts w:ascii="Arial" w:hAnsi="Arial" w:cs="Arial"/>
        </w:rPr>
        <w:t xml:space="preserve"> 120 mg or 80 mg, with and without ribavirin (</w:t>
      </w:r>
      <w:proofErr w:type="spellStart"/>
      <w:r w:rsidRPr="005E1202">
        <w:rPr>
          <w:rFonts w:ascii="Arial" w:hAnsi="Arial" w:cs="Arial"/>
        </w:rPr>
        <w:t>glecaprevir</w:t>
      </w:r>
      <w:proofErr w:type="spellEnd"/>
      <w:r w:rsidRPr="005E1202">
        <w:rPr>
          <w:rFonts w:ascii="Arial" w:hAnsi="Arial" w:cs="Arial"/>
        </w:rPr>
        <w:t xml:space="preserve"> 300 mg plus </w:t>
      </w:r>
      <w:proofErr w:type="spellStart"/>
      <w:r w:rsidRPr="005E1202">
        <w:rPr>
          <w:rFonts w:ascii="Arial" w:hAnsi="Arial" w:cs="Arial"/>
        </w:rPr>
        <w:t>pibrentasvir</w:t>
      </w:r>
      <w:proofErr w:type="spellEnd"/>
      <w:r w:rsidRPr="005E1202">
        <w:rPr>
          <w:rFonts w:ascii="Arial" w:hAnsi="Arial" w:cs="Arial"/>
        </w:rPr>
        <w:t xml:space="preserve"> 120 mg without ribavirin only included in the analysis). Part 2 (n=91) randomised genotype 1 or 4-infected patients with or without cirrhosis to 12- or 16-weeks of treatment with MAVIRET.</w:t>
      </w:r>
    </w:p>
    <w:p w:rsidR="00493B75" w:rsidRPr="005E1202" w:rsidRDefault="00493B75" w:rsidP="00A31EE5">
      <w:pPr>
        <w:jc w:val="both"/>
        <w:rPr>
          <w:rFonts w:ascii="Arial" w:hAnsi="Arial" w:cs="Arial"/>
        </w:rPr>
      </w:pPr>
      <w:r w:rsidRPr="005E1202">
        <w:rPr>
          <w:rFonts w:ascii="Arial" w:hAnsi="Arial" w:cs="Arial"/>
        </w:rPr>
        <w:t>Of the 91 patients treated in Part 2, the median age was 57 years (range: 22 to 70); 37.4%, 29.7%, and 33.0% had treatment-experience to NS5A only, protease inhibitors only, or both NS5A inhibitors and protease inhibitors; 95.6% had HCV genotype 1 and 4.4% had HCV genotype 4 infection; 12.1% were ≥65 years; 70.3% were male; 22.0% were Black; 38.5% had a body mass index of at least 30 kg per m</w:t>
      </w:r>
      <w:r w:rsidRPr="005E1202">
        <w:rPr>
          <w:rFonts w:ascii="Arial" w:hAnsi="Arial" w:cs="Arial"/>
          <w:vertAlign w:val="superscript"/>
        </w:rPr>
        <w:t>2</w:t>
      </w:r>
      <w:r w:rsidRPr="005E1202">
        <w:rPr>
          <w:rFonts w:ascii="Arial" w:hAnsi="Arial" w:cs="Arial"/>
        </w:rPr>
        <w:t xml:space="preserve">; 62.6% had baseline HCV RNA levels of at least 1,000,000 IU per </w:t>
      </w:r>
      <w:proofErr w:type="spellStart"/>
      <w:r w:rsidRPr="005E1202">
        <w:rPr>
          <w:rFonts w:ascii="Arial" w:hAnsi="Arial" w:cs="Arial"/>
        </w:rPr>
        <w:t>mL.</w:t>
      </w:r>
      <w:proofErr w:type="spellEnd"/>
    </w:p>
    <w:p w:rsidR="005E193F" w:rsidRPr="005E1202" w:rsidRDefault="00493B75" w:rsidP="00D607D5">
      <w:pPr>
        <w:jc w:val="both"/>
        <w:rPr>
          <w:rFonts w:ascii="Arial" w:hAnsi="Arial" w:cs="Arial"/>
        </w:rPr>
      </w:pPr>
      <w:r w:rsidRPr="005E1202">
        <w:rPr>
          <w:rFonts w:ascii="Arial" w:hAnsi="Arial" w:cs="Arial"/>
        </w:rPr>
        <w:t xml:space="preserve">The SVR12 in protease inhibitor-experienced (NS5A-inhibitor naïve) patients with or without cirrhosis who received 12 weeks of treatment with MAVIRET was 100% (14/14). The SVR12 </w:t>
      </w:r>
      <w:r w:rsidRPr="005E1202">
        <w:rPr>
          <w:rFonts w:ascii="Arial" w:hAnsi="Arial" w:cs="Arial"/>
        </w:rPr>
        <w:lastRenderedPageBreak/>
        <w:t xml:space="preserve">in patients who were experienced to NS5A inhibitors (alone or with a protease inhibitor) is presented in Table </w:t>
      </w:r>
      <w:r w:rsidR="008D55BB">
        <w:rPr>
          <w:rFonts w:ascii="Arial" w:hAnsi="Arial" w:cs="Arial"/>
        </w:rPr>
        <w:t>12</w:t>
      </w:r>
      <w:r w:rsidRPr="005E1202">
        <w:rPr>
          <w:rFonts w:ascii="Arial" w:hAnsi="Arial" w:cs="Arial"/>
        </w:rPr>
        <w:t>.</w:t>
      </w:r>
    </w:p>
    <w:p w:rsidR="005E193F" w:rsidRPr="005E1202" w:rsidRDefault="00493B75" w:rsidP="00493B75">
      <w:pPr>
        <w:rPr>
          <w:rFonts w:ascii="Arial" w:hAnsi="Arial" w:cs="Arial"/>
          <w:b/>
        </w:rPr>
      </w:pPr>
      <w:proofErr w:type="gramStart"/>
      <w:r w:rsidRPr="005E1202">
        <w:rPr>
          <w:rFonts w:ascii="Arial" w:hAnsi="Arial" w:cs="Arial"/>
          <w:b/>
        </w:rPr>
        <w:t xml:space="preserve">Table </w:t>
      </w:r>
      <w:r w:rsidR="008D55BB">
        <w:rPr>
          <w:rFonts w:ascii="Arial" w:hAnsi="Arial" w:cs="Arial"/>
          <w:b/>
        </w:rPr>
        <w:t>12</w:t>
      </w:r>
      <w:r w:rsidRPr="005E1202">
        <w:rPr>
          <w:rFonts w:ascii="Arial" w:hAnsi="Arial" w:cs="Arial"/>
          <w:b/>
        </w:rPr>
        <w:t>.</w:t>
      </w:r>
      <w:proofErr w:type="gramEnd"/>
      <w:r w:rsidRPr="005E1202">
        <w:rPr>
          <w:rFonts w:ascii="Arial" w:hAnsi="Arial" w:cs="Arial"/>
          <w:b/>
        </w:rPr>
        <w:t xml:space="preserve"> MAGELLAN-1 Part 2: SVR12 in NS5A Inhibitor-Experienced Patients with or without Cirrhosis who </w:t>
      </w:r>
      <w:proofErr w:type="gramStart"/>
      <w:r w:rsidRPr="005E1202">
        <w:rPr>
          <w:rFonts w:ascii="Arial" w:hAnsi="Arial" w:cs="Arial"/>
          <w:b/>
        </w:rPr>
        <w:t>Received</w:t>
      </w:r>
      <w:proofErr w:type="gramEnd"/>
      <w:r w:rsidRPr="005E1202">
        <w:rPr>
          <w:rFonts w:ascii="Arial" w:hAnsi="Arial" w:cs="Arial"/>
          <w:b/>
        </w:rPr>
        <w:t xml:space="preserve"> the Recommended Duration</w:t>
      </w:r>
    </w:p>
    <w:tbl>
      <w:tblPr>
        <w:tblW w:w="670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2644"/>
      </w:tblGrid>
      <w:tr w:rsidR="00493B75" w:rsidRPr="005E1202" w:rsidTr="00493B75">
        <w:trPr>
          <w:tblHeader/>
          <w:jc w:val="center"/>
        </w:trPr>
        <w:tc>
          <w:tcPr>
            <w:tcW w:w="4065" w:type="dxa"/>
            <w:vAlign w:val="center"/>
          </w:tcPr>
          <w:p w:rsidR="00493B75" w:rsidRPr="005E1202" w:rsidRDefault="00493B75" w:rsidP="00493B75">
            <w:pPr>
              <w:spacing w:before="60" w:after="60"/>
              <w:jc w:val="center"/>
              <w:rPr>
                <w:rFonts w:ascii="Arial" w:hAnsi="Arial" w:cs="Arial"/>
                <w:b/>
                <w:sz w:val="20"/>
              </w:rPr>
            </w:pPr>
          </w:p>
        </w:tc>
        <w:tc>
          <w:tcPr>
            <w:tcW w:w="2644"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MAVIRET </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16 weeks </w:t>
            </w:r>
          </w:p>
          <w:p w:rsidR="00493B75" w:rsidRPr="005E1202" w:rsidRDefault="00493B75" w:rsidP="00493B75">
            <w:pPr>
              <w:spacing w:before="60" w:after="60"/>
              <w:jc w:val="center"/>
              <w:rPr>
                <w:rFonts w:ascii="Arial" w:hAnsi="Arial" w:cs="Arial"/>
                <w:b/>
                <w:sz w:val="20"/>
              </w:rPr>
            </w:pPr>
            <w:r w:rsidRPr="005E1202">
              <w:rPr>
                <w:rFonts w:ascii="Arial" w:hAnsi="Arial" w:cs="Arial"/>
                <w:b/>
                <w:sz w:val="20"/>
              </w:rPr>
              <w:t>(N=34)</w:t>
            </w:r>
          </w:p>
        </w:tc>
      </w:tr>
      <w:tr w:rsidR="00493B75" w:rsidRPr="005E1202" w:rsidTr="00493B75">
        <w:trPr>
          <w:jc w:val="center"/>
        </w:trPr>
        <w:tc>
          <w:tcPr>
            <w:tcW w:w="4065" w:type="dxa"/>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SVR NS5A-Inhibitor Experienced Only*</w:t>
            </w:r>
          </w:p>
        </w:tc>
        <w:tc>
          <w:tcPr>
            <w:tcW w:w="2644" w:type="dxa"/>
            <w:vAlign w:val="center"/>
          </w:tcPr>
          <w:p w:rsidR="00493B75" w:rsidRPr="005E1202" w:rsidRDefault="00493B75" w:rsidP="00493B75">
            <w:pPr>
              <w:spacing w:before="60" w:after="60"/>
              <w:jc w:val="center"/>
              <w:rPr>
                <w:rFonts w:ascii="Arial" w:hAnsi="Arial" w:cs="Arial"/>
                <w:b/>
                <w:sz w:val="20"/>
              </w:rPr>
            </w:pPr>
            <w:r w:rsidRPr="005E1202">
              <w:rPr>
                <w:rFonts w:ascii="Arial" w:eastAsia="MS Mincho" w:hAnsi="Arial" w:cs="Arial"/>
                <w:sz w:val="20"/>
                <w:lang w:eastAsia="ja-JP"/>
              </w:rPr>
              <w:t>94.4% (17/18)</w:t>
            </w:r>
          </w:p>
        </w:tc>
      </w:tr>
      <w:tr w:rsidR="00493B75" w:rsidRPr="005E1202" w:rsidTr="00493B75">
        <w:trPr>
          <w:jc w:val="center"/>
        </w:trPr>
        <w:tc>
          <w:tcPr>
            <w:tcW w:w="4065"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On-treatment VF</w:t>
            </w:r>
          </w:p>
        </w:tc>
        <w:tc>
          <w:tcPr>
            <w:tcW w:w="2644"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5.6% (1/18)</w:t>
            </w:r>
          </w:p>
        </w:tc>
      </w:tr>
      <w:tr w:rsidR="00493B75" w:rsidRPr="005E1202" w:rsidTr="00493B75">
        <w:trPr>
          <w:jc w:val="center"/>
        </w:trPr>
        <w:tc>
          <w:tcPr>
            <w:tcW w:w="4065"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Relapse**</w:t>
            </w:r>
          </w:p>
        </w:tc>
        <w:tc>
          <w:tcPr>
            <w:tcW w:w="2644"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 (0/17)</w:t>
            </w:r>
          </w:p>
        </w:tc>
      </w:tr>
      <w:tr w:rsidR="00493B75" w:rsidRPr="005E1202" w:rsidTr="00493B75">
        <w:trPr>
          <w:jc w:val="center"/>
        </w:trPr>
        <w:tc>
          <w:tcPr>
            <w:tcW w:w="4065"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b/>
                <w:sz w:val="20"/>
              </w:rPr>
              <w:t>SVR NS5A-Inhibitor and PI-experienced</w:t>
            </w:r>
          </w:p>
        </w:tc>
        <w:tc>
          <w:tcPr>
            <w:tcW w:w="2644" w:type="dxa"/>
            <w:vAlign w:val="center"/>
          </w:tcPr>
          <w:p w:rsidR="00493B75" w:rsidRPr="005E1202" w:rsidRDefault="00493B75" w:rsidP="00493B75">
            <w:pPr>
              <w:spacing w:before="60" w:after="60"/>
              <w:jc w:val="center"/>
              <w:rPr>
                <w:rFonts w:ascii="Arial" w:hAnsi="Arial" w:cs="Arial"/>
                <w:sz w:val="20"/>
              </w:rPr>
            </w:pPr>
            <w:r w:rsidRPr="005E1202">
              <w:rPr>
                <w:rFonts w:ascii="Arial" w:eastAsia="MS Mincho" w:hAnsi="Arial" w:cs="Arial"/>
                <w:sz w:val="20"/>
                <w:lang w:eastAsia="ja-JP"/>
              </w:rPr>
              <w:t>81.3% (13/16)</w:t>
            </w:r>
          </w:p>
        </w:tc>
      </w:tr>
      <w:tr w:rsidR="00493B75" w:rsidRPr="005E1202" w:rsidTr="00493B75">
        <w:trPr>
          <w:jc w:val="center"/>
        </w:trPr>
        <w:tc>
          <w:tcPr>
            <w:tcW w:w="4065"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On-treatment VF</w:t>
            </w:r>
          </w:p>
        </w:tc>
        <w:tc>
          <w:tcPr>
            <w:tcW w:w="2644" w:type="dxa"/>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18.8% (3/16)</w:t>
            </w:r>
          </w:p>
        </w:tc>
      </w:tr>
      <w:tr w:rsidR="00493B75" w:rsidRPr="005E1202" w:rsidTr="00493B75">
        <w:trPr>
          <w:jc w:val="center"/>
        </w:trPr>
        <w:tc>
          <w:tcPr>
            <w:tcW w:w="4065" w:type="dxa"/>
            <w:tcBorders>
              <w:bottom w:val="single" w:sz="4" w:space="0" w:color="auto"/>
            </w:tcBorders>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Relapse**</w:t>
            </w:r>
          </w:p>
        </w:tc>
        <w:tc>
          <w:tcPr>
            <w:tcW w:w="2644" w:type="dxa"/>
            <w:tcBorders>
              <w:bottom w:val="single" w:sz="4" w:space="0" w:color="auto"/>
            </w:tcBorders>
            <w:vAlign w:val="center"/>
          </w:tcPr>
          <w:p w:rsidR="00493B75" w:rsidRPr="005E1202" w:rsidRDefault="00493B75" w:rsidP="00493B75">
            <w:pPr>
              <w:spacing w:before="60" w:after="60"/>
              <w:jc w:val="center"/>
              <w:rPr>
                <w:rFonts w:ascii="Arial" w:eastAsia="MS Mincho" w:hAnsi="Arial" w:cs="Arial"/>
                <w:sz w:val="20"/>
                <w:lang w:eastAsia="ja-JP"/>
              </w:rPr>
            </w:pPr>
            <w:r w:rsidRPr="005E1202">
              <w:rPr>
                <w:rFonts w:ascii="Arial" w:eastAsia="MS Mincho" w:hAnsi="Arial" w:cs="Arial"/>
                <w:sz w:val="20"/>
                <w:lang w:eastAsia="ja-JP"/>
              </w:rPr>
              <w:t>0% (0/13)</w:t>
            </w:r>
          </w:p>
        </w:tc>
      </w:tr>
      <w:tr w:rsidR="00493B75" w:rsidRPr="005E1202" w:rsidTr="00493B75">
        <w:trPr>
          <w:jc w:val="center"/>
        </w:trPr>
        <w:tc>
          <w:tcPr>
            <w:tcW w:w="6709" w:type="dxa"/>
            <w:gridSpan w:val="2"/>
            <w:tcBorders>
              <w:left w:val="nil"/>
              <w:bottom w:val="nil"/>
              <w:right w:val="nil"/>
            </w:tcBorders>
          </w:tcPr>
          <w:p w:rsidR="00493B75" w:rsidRPr="005E1202" w:rsidRDefault="00493B75" w:rsidP="00493B75">
            <w:pPr>
              <w:spacing w:before="60" w:after="60"/>
              <w:rPr>
                <w:rFonts w:ascii="Arial" w:hAnsi="Arial" w:cs="Arial"/>
                <w:sz w:val="20"/>
              </w:rPr>
            </w:pPr>
            <w:r w:rsidRPr="005E1202">
              <w:rPr>
                <w:rFonts w:ascii="Arial" w:hAnsi="Arial" w:cs="Arial"/>
                <w:sz w:val="20"/>
              </w:rPr>
              <w:t>* Includes patients who previously failed LDV</w:t>
            </w:r>
            <w:r w:rsidR="00A31EE5">
              <w:rPr>
                <w:rFonts w:ascii="Arial" w:hAnsi="Arial" w:cs="Arial"/>
                <w:sz w:val="20"/>
              </w:rPr>
              <w:t xml:space="preserve"> </w:t>
            </w:r>
            <w:r w:rsidRPr="005E1202">
              <w:rPr>
                <w:rFonts w:ascii="Arial" w:hAnsi="Arial" w:cs="Arial"/>
                <w:sz w:val="20"/>
              </w:rPr>
              <w:t>/</w:t>
            </w:r>
            <w:r w:rsidR="00A31EE5">
              <w:rPr>
                <w:rFonts w:ascii="Arial" w:hAnsi="Arial" w:cs="Arial"/>
                <w:sz w:val="20"/>
              </w:rPr>
              <w:t xml:space="preserve"> </w:t>
            </w:r>
            <w:r w:rsidRPr="005E1202">
              <w:rPr>
                <w:rFonts w:ascii="Arial" w:hAnsi="Arial" w:cs="Arial"/>
                <w:sz w:val="20"/>
              </w:rPr>
              <w:t>SOF or DCV containing regimens.</w:t>
            </w:r>
          </w:p>
          <w:p w:rsidR="00493B75" w:rsidRPr="005E1202" w:rsidRDefault="00493B75" w:rsidP="00493B75">
            <w:pPr>
              <w:spacing w:before="60" w:after="60"/>
              <w:rPr>
                <w:rFonts w:ascii="Arial" w:hAnsi="Arial" w:cs="Arial"/>
                <w:sz w:val="20"/>
              </w:rPr>
            </w:pPr>
            <w:r w:rsidRPr="005E1202">
              <w:rPr>
                <w:rFonts w:ascii="Arial" w:hAnsi="Arial" w:cs="Arial"/>
                <w:sz w:val="20"/>
              </w:rPr>
              <w:t xml:space="preserve">** Relapse is defined as HCV RNA ≥ LLOQ after end-of-treatment response among those who completed treatment. </w:t>
            </w:r>
          </w:p>
        </w:tc>
      </w:tr>
    </w:tbl>
    <w:p w:rsidR="00493B75" w:rsidRPr="005E1202" w:rsidRDefault="00493B75" w:rsidP="00493B75">
      <w:pPr>
        <w:rPr>
          <w:rFonts w:ascii="Arial" w:hAnsi="Arial" w:cs="Arial"/>
        </w:rPr>
      </w:pPr>
    </w:p>
    <w:p w:rsidR="00493B75" w:rsidRPr="005E1202" w:rsidRDefault="00493B75" w:rsidP="00A31EE5">
      <w:pPr>
        <w:jc w:val="both"/>
        <w:rPr>
          <w:rFonts w:ascii="Arial" w:hAnsi="Arial" w:cs="Arial"/>
        </w:rPr>
      </w:pPr>
      <w:r w:rsidRPr="005E1202">
        <w:rPr>
          <w:rFonts w:ascii="Arial" w:hAnsi="Arial" w:cs="Arial"/>
        </w:rPr>
        <w:t>Lower SVR rates were observed in GT1a-infected patients who were retreated with MAVIRET within 12 months of failing a regimen containing both NS3/4A protease inhibitors and NS5A inhibitors.</w:t>
      </w:r>
    </w:p>
    <w:p w:rsidR="00493B75" w:rsidRPr="005E1202" w:rsidRDefault="00493B75" w:rsidP="00A31EE5">
      <w:pPr>
        <w:jc w:val="both"/>
        <w:rPr>
          <w:rFonts w:ascii="Arial" w:hAnsi="Arial" w:cs="Arial"/>
        </w:rPr>
      </w:pPr>
      <w:r w:rsidRPr="005E1202">
        <w:rPr>
          <w:rFonts w:ascii="Arial" w:hAnsi="Arial" w:cs="Arial"/>
        </w:rPr>
        <w:t xml:space="preserve">On the basis of the </w:t>
      </w:r>
      <w:r w:rsidRPr="005E1202">
        <w:rPr>
          <w:rFonts w:ascii="Arial" w:hAnsi="Arial" w:cs="Arial"/>
          <w:i/>
          <w:iCs/>
        </w:rPr>
        <w:t xml:space="preserve">in vitro </w:t>
      </w:r>
      <w:r w:rsidRPr="005E1202">
        <w:rPr>
          <w:rFonts w:ascii="Arial" w:hAnsi="Arial" w:cs="Arial"/>
        </w:rPr>
        <w:t xml:space="preserve">pharmacology of </w:t>
      </w:r>
      <w:proofErr w:type="spellStart"/>
      <w:r w:rsidRPr="005E1202">
        <w:rPr>
          <w:rFonts w:ascii="Arial" w:hAnsi="Arial" w:cs="Arial"/>
        </w:rPr>
        <w:t>pibrentasvir</w:t>
      </w:r>
      <w:proofErr w:type="spellEnd"/>
      <w:r w:rsidRPr="005E1202">
        <w:rPr>
          <w:rFonts w:ascii="Arial" w:hAnsi="Arial" w:cs="Arial"/>
        </w:rPr>
        <w:t xml:space="preserve"> demonstrating that it retains antiviral activity against NS5A substitutions typically seen in genotype 3 patients who have failed therapy with other NS5A inhibitor containing regimens, and the favourable outcomes of MAVIRET treatment in NS5A inhibitor-naïve patients with baseline NS5A polymorphisms such as Y93H enrolled into the Phase 2 and 3 studies, treatment with MAVIRET for 16 weeks can be considered for patients with genotype 3 who have failed therapy on an NS5A inhibitor-containing regimen and who are deemed at high risk for clinical disease progression.</w:t>
      </w:r>
    </w:p>
    <w:p w:rsidR="00493B75" w:rsidRPr="005E1202" w:rsidRDefault="00493B75" w:rsidP="00997256">
      <w:pPr>
        <w:pStyle w:val="Heading4"/>
        <w:jc w:val="both"/>
        <w:rPr>
          <w:rFonts w:cs="Arial"/>
        </w:rPr>
      </w:pPr>
      <w:r w:rsidRPr="005E1202">
        <w:rPr>
          <w:rFonts w:cs="Arial"/>
        </w:rPr>
        <w:t>Geriatric Patients</w:t>
      </w:r>
    </w:p>
    <w:p w:rsidR="00493B75" w:rsidRPr="005E1202" w:rsidRDefault="00493B75" w:rsidP="00997256">
      <w:pPr>
        <w:jc w:val="both"/>
        <w:rPr>
          <w:rFonts w:ascii="Arial" w:hAnsi="Arial" w:cs="Arial"/>
        </w:rPr>
      </w:pPr>
      <w:r w:rsidRPr="005E1202">
        <w:rPr>
          <w:rFonts w:ascii="Arial" w:hAnsi="Arial" w:cs="Arial"/>
        </w:rPr>
        <w:t xml:space="preserve">Clinical studies of MAVIRET included 328 patients aged 65 and over (13.8% of total number of patients in the Phase 2 and 3 clinical studies). The response rates observed for patients </w:t>
      </w:r>
      <w:r w:rsidR="00997256">
        <w:rPr>
          <w:rFonts w:ascii="Arial" w:hAnsi="Arial" w:cs="Arial"/>
        </w:rPr>
        <w:t xml:space="preserve">  </w:t>
      </w:r>
      <w:r w:rsidRPr="005E1202">
        <w:rPr>
          <w:rFonts w:ascii="Arial" w:hAnsi="Arial" w:cs="Arial"/>
        </w:rPr>
        <w:t>≥ 65 years of age (97.9%) were similar to that of patients &lt; 65 years of age (97.3%), across treatment groups.</w:t>
      </w:r>
    </w:p>
    <w:p w:rsidR="001A3992" w:rsidRPr="005E1202" w:rsidRDefault="001A3992" w:rsidP="001A3992">
      <w:pPr>
        <w:pStyle w:val="Heading2"/>
        <w:keepNext/>
        <w:spacing w:before="0" w:after="120"/>
        <w:rPr>
          <w:rFonts w:cs="Arial"/>
          <w:lang w:val="en-US"/>
        </w:rPr>
      </w:pPr>
      <w:r w:rsidRPr="005E1202">
        <w:rPr>
          <w:rFonts w:cs="Arial"/>
          <w:lang w:val="en-US"/>
        </w:rPr>
        <w:lastRenderedPageBreak/>
        <w:t xml:space="preserve">Pharmacokinetic properties </w:t>
      </w:r>
    </w:p>
    <w:p w:rsidR="00493B75" w:rsidRPr="005E1202" w:rsidRDefault="00493B75" w:rsidP="00997256">
      <w:pPr>
        <w:pStyle w:val="Heading3"/>
        <w:jc w:val="both"/>
        <w:rPr>
          <w:rFonts w:cs="Arial"/>
        </w:rPr>
      </w:pPr>
      <w:r w:rsidRPr="005E1202">
        <w:rPr>
          <w:rFonts w:cs="Arial"/>
        </w:rPr>
        <w:t>Absorption, Distribution, Metabolism and Excretion</w:t>
      </w:r>
    </w:p>
    <w:p w:rsidR="00493B75" w:rsidRPr="005E1202" w:rsidRDefault="00493B75" w:rsidP="00997256">
      <w:pPr>
        <w:jc w:val="both"/>
        <w:rPr>
          <w:rStyle w:val="gtclinktext12"/>
          <w:rFonts w:ascii="Arial" w:hAnsi="Arial" w:cs="Arial"/>
          <w:b/>
        </w:rPr>
      </w:pPr>
      <w:r w:rsidRPr="005E1202">
        <w:rPr>
          <w:rFonts w:ascii="Arial" w:hAnsi="Arial" w:cs="Arial"/>
        </w:rPr>
        <w:t xml:space="preserve">The pharmacokinetic properties of the components of MAVIRET in healthy subjects are provided in </w:t>
      </w:r>
      <w:r w:rsidRPr="005E1202">
        <w:rPr>
          <w:rStyle w:val="gtclinktext12"/>
          <w:rFonts w:ascii="Arial" w:hAnsi="Arial" w:cs="Arial"/>
        </w:rPr>
        <w:t xml:space="preserve">Table </w:t>
      </w:r>
      <w:r w:rsidR="008D55BB">
        <w:rPr>
          <w:rFonts w:ascii="Arial" w:hAnsi="Arial" w:cs="Arial"/>
        </w:rPr>
        <w:t>13</w:t>
      </w:r>
      <w:r w:rsidRPr="005E1202">
        <w:rPr>
          <w:rFonts w:ascii="Arial" w:hAnsi="Arial" w:cs="Arial"/>
        </w:rPr>
        <w:t xml:space="preserve">. The steady-state pharmacokinetic parameters of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in HCV</w:t>
      </w:r>
      <w:r w:rsidRPr="005E1202">
        <w:rPr>
          <w:rFonts w:ascii="Arial" w:hAnsi="Arial" w:cs="Arial"/>
        </w:rPr>
        <w:noBreakHyphen/>
        <w:t xml:space="preserve">infected patients without cirrhosis are provided in </w:t>
      </w:r>
      <w:r w:rsidRPr="005E1202">
        <w:rPr>
          <w:rStyle w:val="gtclinktext12"/>
          <w:rFonts w:ascii="Arial" w:hAnsi="Arial" w:cs="Arial"/>
        </w:rPr>
        <w:t xml:space="preserve">Table </w:t>
      </w:r>
      <w:r w:rsidR="008D55BB">
        <w:rPr>
          <w:rStyle w:val="gtclinktext12"/>
          <w:rFonts w:ascii="Arial" w:hAnsi="Arial" w:cs="Arial"/>
        </w:rPr>
        <w:t>14</w:t>
      </w:r>
      <w:r w:rsidRPr="005E1202">
        <w:rPr>
          <w:rStyle w:val="gtclinktext12"/>
          <w:rFonts w:ascii="Arial" w:hAnsi="Arial" w:cs="Arial"/>
          <w:b/>
        </w:rPr>
        <w:t>.</w:t>
      </w:r>
    </w:p>
    <w:p w:rsidR="00493B75" w:rsidRPr="005E1202" w:rsidRDefault="00493B75" w:rsidP="00997256">
      <w:pPr>
        <w:jc w:val="both"/>
        <w:rPr>
          <w:rFonts w:ascii="Arial" w:hAnsi="Arial" w:cs="Arial"/>
          <w:b/>
        </w:rPr>
      </w:pPr>
      <w:proofErr w:type="gramStart"/>
      <w:r w:rsidRPr="005E1202">
        <w:rPr>
          <w:rFonts w:ascii="Arial" w:hAnsi="Arial" w:cs="Arial"/>
          <w:b/>
        </w:rPr>
        <w:t xml:space="preserve">Table </w:t>
      </w:r>
      <w:r w:rsidR="008D55BB">
        <w:rPr>
          <w:rFonts w:ascii="Arial" w:hAnsi="Arial" w:cs="Arial"/>
          <w:b/>
        </w:rPr>
        <w:t>13</w:t>
      </w:r>
      <w:r w:rsidRPr="005E1202">
        <w:rPr>
          <w:rFonts w:ascii="Arial" w:hAnsi="Arial" w:cs="Arial"/>
          <w:b/>
        </w:rPr>
        <w:t>.</w:t>
      </w:r>
      <w:proofErr w:type="gramEnd"/>
      <w:r w:rsidRPr="005E1202">
        <w:rPr>
          <w:rFonts w:ascii="Arial" w:hAnsi="Arial" w:cs="Arial"/>
          <w:b/>
        </w:rPr>
        <w:t xml:space="preserve"> Pharmacokinetic Properties of the Components of MAVIRET in Healthy Subjects</w:t>
      </w:r>
    </w:p>
    <w:tbl>
      <w:tblPr>
        <w:tblStyle w:val="TableGrid"/>
        <w:tblW w:w="7696" w:type="dxa"/>
        <w:jc w:val="center"/>
        <w:tblInd w:w="-141" w:type="dxa"/>
        <w:tblLayout w:type="fixed"/>
        <w:tblLook w:val="04A0" w:firstRow="1" w:lastRow="0" w:firstColumn="1" w:lastColumn="0" w:noHBand="0" w:noVBand="1"/>
      </w:tblPr>
      <w:tblGrid>
        <w:gridCol w:w="4587"/>
        <w:gridCol w:w="1563"/>
        <w:gridCol w:w="1546"/>
      </w:tblGrid>
      <w:tr w:rsidR="00493B75" w:rsidRPr="005E1202" w:rsidTr="00493B75">
        <w:trPr>
          <w:trHeight w:val="271"/>
          <w:tblHeader/>
          <w:jc w:val="center"/>
        </w:trPr>
        <w:tc>
          <w:tcPr>
            <w:tcW w:w="4587" w:type="dxa"/>
            <w:vAlign w:val="center"/>
          </w:tcPr>
          <w:p w:rsidR="00493B75" w:rsidRPr="005E1202" w:rsidRDefault="00493B75" w:rsidP="00493B75">
            <w:pPr>
              <w:spacing w:before="60" w:after="60"/>
              <w:jc w:val="center"/>
              <w:rPr>
                <w:rFonts w:ascii="Arial" w:hAnsi="Arial" w:cs="Arial"/>
              </w:rPr>
            </w:pPr>
          </w:p>
        </w:tc>
        <w:tc>
          <w:tcPr>
            <w:tcW w:w="1563" w:type="dxa"/>
            <w:vAlign w:val="center"/>
          </w:tcPr>
          <w:p w:rsidR="00493B75" w:rsidRPr="005E1202" w:rsidRDefault="00493B75" w:rsidP="00493B75">
            <w:pPr>
              <w:spacing w:before="60" w:after="60"/>
              <w:jc w:val="center"/>
              <w:rPr>
                <w:rFonts w:ascii="Arial" w:hAnsi="Arial" w:cs="Arial"/>
                <w:b/>
              </w:rPr>
            </w:pPr>
            <w:proofErr w:type="spellStart"/>
            <w:r w:rsidRPr="005E1202">
              <w:rPr>
                <w:rFonts w:ascii="Arial" w:hAnsi="Arial" w:cs="Arial"/>
                <w:b/>
              </w:rPr>
              <w:t>Glecaprevir</w:t>
            </w:r>
            <w:proofErr w:type="spellEnd"/>
          </w:p>
        </w:tc>
        <w:tc>
          <w:tcPr>
            <w:tcW w:w="1546" w:type="dxa"/>
            <w:vAlign w:val="center"/>
          </w:tcPr>
          <w:p w:rsidR="00493B75" w:rsidRPr="005E1202" w:rsidRDefault="00493B75" w:rsidP="00493B75">
            <w:pPr>
              <w:spacing w:before="60" w:after="60"/>
              <w:jc w:val="center"/>
              <w:rPr>
                <w:rFonts w:ascii="Arial" w:hAnsi="Arial" w:cs="Arial"/>
                <w:b/>
              </w:rPr>
            </w:pPr>
            <w:proofErr w:type="spellStart"/>
            <w:r w:rsidRPr="005E1202">
              <w:rPr>
                <w:rFonts w:ascii="Arial" w:hAnsi="Arial" w:cs="Arial"/>
                <w:b/>
              </w:rPr>
              <w:t>Pibrentasvir</w:t>
            </w:r>
            <w:proofErr w:type="spellEnd"/>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Absorption</w:t>
            </w:r>
          </w:p>
        </w:tc>
        <w:tc>
          <w:tcPr>
            <w:tcW w:w="1563" w:type="dxa"/>
            <w:vAlign w:val="center"/>
          </w:tcPr>
          <w:p w:rsidR="00493B75" w:rsidRPr="005E1202" w:rsidRDefault="00493B75" w:rsidP="00493B75">
            <w:pPr>
              <w:spacing w:before="60" w:after="60"/>
              <w:jc w:val="center"/>
              <w:rPr>
                <w:rFonts w:ascii="Arial" w:hAnsi="Arial" w:cs="Arial"/>
              </w:rPr>
            </w:pPr>
          </w:p>
        </w:tc>
        <w:tc>
          <w:tcPr>
            <w:tcW w:w="1546" w:type="dxa"/>
            <w:vAlign w:val="center"/>
          </w:tcPr>
          <w:p w:rsidR="00493B75" w:rsidRPr="005E1202" w:rsidRDefault="00493B75" w:rsidP="00493B75">
            <w:pPr>
              <w:spacing w:before="60" w:after="60"/>
              <w:jc w:val="center"/>
              <w:rPr>
                <w:rFonts w:ascii="Arial" w:hAnsi="Arial" w:cs="Arial"/>
              </w:rPr>
            </w:pP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proofErr w:type="spellStart"/>
            <w:r w:rsidRPr="005E1202">
              <w:rPr>
                <w:rFonts w:ascii="Arial" w:hAnsi="Arial" w:cs="Arial"/>
              </w:rPr>
              <w:t>T</w:t>
            </w:r>
            <w:r w:rsidRPr="005E1202">
              <w:rPr>
                <w:rFonts w:ascii="Arial" w:hAnsi="Arial" w:cs="Arial"/>
                <w:vertAlign w:val="subscript"/>
              </w:rPr>
              <w:t>max</w:t>
            </w:r>
            <w:proofErr w:type="spellEnd"/>
            <w:r w:rsidRPr="005E1202">
              <w:rPr>
                <w:rFonts w:ascii="Arial" w:hAnsi="Arial" w:cs="Arial"/>
              </w:rPr>
              <w:t xml:space="preserve"> (h)</w:t>
            </w:r>
            <w:r w:rsidRPr="005E1202">
              <w:rPr>
                <w:rFonts w:ascii="Arial" w:hAnsi="Arial" w:cs="Arial"/>
                <w:vertAlign w:val="superscript"/>
              </w:rPr>
              <w:t>a</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5.0</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5.0</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Effect of meal (relative to fasting)</w:t>
            </w:r>
            <w:r w:rsidRPr="005E1202">
              <w:rPr>
                <w:rFonts w:ascii="Arial" w:hAnsi="Arial" w:cs="Arial"/>
                <w:vertAlign w:val="superscript"/>
              </w:rPr>
              <w:t>b</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 83-163%</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 40-53%</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b/>
              </w:rPr>
            </w:pPr>
            <w:r w:rsidRPr="005E1202">
              <w:rPr>
                <w:rFonts w:ascii="Arial" w:hAnsi="Arial" w:cs="Arial"/>
                <w:b/>
              </w:rPr>
              <w:t>Distribution</w:t>
            </w:r>
          </w:p>
        </w:tc>
        <w:tc>
          <w:tcPr>
            <w:tcW w:w="1563" w:type="dxa"/>
            <w:vAlign w:val="center"/>
          </w:tcPr>
          <w:p w:rsidR="00493B75" w:rsidRPr="005E1202" w:rsidRDefault="00493B75" w:rsidP="00493B75">
            <w:pPr>
              <w:spacing w:before="60" w:after="60"/>
              <w:jc w:val="center"/>
              <w:rPr>
                <w:rFonts w:ascii="Arial" w:hAnsi="Arial" w:cs="Arial"/>
              </w:rPr>
            </w:pPr>
          </w:p>
        </w:tc>
        <w:tc>
          <w:tcPr>
            <w:tcW w:w="1546" w:type="dxa"/>
            <w:vAlign w:val="center"/>
          </w:tcPr>
          <w:p w:rsidR="00493B75" w:rsidRPr="005E1202" w:rsidRDefault="00493B75" w:rsidP="00493B75">
            <w:pPr>
              <w:spacing w:before="60" w:after="60"/>
              <w:jc w:val="center"/>
              <w:rPr>
                <w:rFonts w:ascii="Arial" w:hAnsi="Arial" w:cs="Arial"/>
              </w:rPr>
            </w:pP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 Bound to human plasma proteins</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97.5</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&gt; 99.9</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Blood-to-plasma ratio</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0.57</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0.62</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b/>
                <w:bCs/>
              </w:rPr>
              <w:t>Metabolism</w:t>
            </w:r>
          </w:p>
        </w:tc>
        <w:tc>
          <w:tcPr>
            <w:tcW w:w="1563" w:type="dxa"/>
            <w:vAlign w:val="center"/>
          </w:tcPr>
          <w:p w:rsidR="00493B75" w:rsidRPr="005E1202" w:rsidRDefault="00493B75" w:rsidP="00493B75">
            <w:pPr>
              <w:spacing w:before="60" w:after="60"/>
              <w:jc w:val="center"/>
              <w:rPr>
                <w:rFonts w:ascii="Arial" w:hAnsi="Arial" w:cs="Arial"/>
              </w:rPr>
            </w:pPr>
          </w:p>
        </w:tc>
        <w:tc>
          <w:tcPr>
            <w:tcW w:w="1546" w:type="dxa"/>
            <w:vAlign w:val="center"/>
          </w:tcPr>
          <w:p w:rsidR="00493B75" w:rsidRPr="005E1202" w:rsidRDefault="00493B75" w:rsidP="00493B75">
            <w:pPr>
              <w:spacing w:before="60" w:after="60"/>
              <w:jc w:val="center"/>
              <w:rPr>
                <w:rFonts w:ascii="Arial" w:hAnsi="Arial" w:cs="Arial"/>
              </w:rPr>
            </w:pP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bCs/>
              </w:rPr>
              <w:t>Metabolism</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secondary, CYP3A</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none</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b/>
                <w:bCs/>
              </w:rPr>
              <w:t>Elimination</w:t>
            </w:r>
          </w:p>
        </w:tc>
        <w:tc>
          <w:tcPr>
            <w:tcW w:w="1563" w:type="dxa"/>
            <w:vAlign w:val="center"/>
          </w:tcPr>
          <w:p w:rsidR="00493B75" w:rsidRPr="005E1202" w:rsidRDefault="00493B75" w:rsidP="00493B75">
            <w:pPr>
              <w:spacing w:before="60" w:after="60"/>
              <w:jc w:val="center"/>
              <w:rPr>
                <w:rFonts w:ascii="Arial" w:hAnsi="Arial" w:cs="Arial"/>
              </w:rPr>
            </w:pPr>
          </w:p>
        </w:tc>
        <w:tc>
          <w:tcPr>
            <w:tcW w:w="1546" w:type="dxa"/>
            <w:vAlign w:val="center"/>
          </w:tcPr>
          <w:p w:rsidR="00493B75" w:rsidRPr="005E1202" w:rsidRDefault="00493B75" w:rsidP="00493B75">
            <w:pPr>
              <w:spacing w:before="60" w:after="60"/>
              <w:jc w:val="center"/>
              <w:rPr>
                <w:rFonts w:ascii="Arial" w:hAnsi="Arial" w:cs="Arial"/>
              </w:rPr>
            </w:pP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Major route of elimination</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biliary-faecal</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biliary-faecal</w:t>
            </w:r>
          </w:p>
        </w:tc>
      </w:tr>
      <w:tr w:rsidR="00493B75" w:rsidRPr="005E1202" w:rsidTr="00493B75">
        <w:trPr>
          <w:trHeight w:val="271"/>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t</w:t>
            </w:r>
            <w:r w:rsidRPr="005E1202">
              <w:rPr>
                <w:rFonts w:ascii="Arial" w:hAnsi="Arial" w:cs="Arial"/>
                <w:vertAlign w:val="subscript"/>
              </w:rPr>
              <w:t>1/2</w:t>
            </w:r>
            <w:r w:rsidRPr="005E1202">
              <w:rPr>
                <w:rFonts w:ascii="Arial" w:hAnsi="Arial" w:cs="Arial"/>
              </w:rPr>
              <w:t xml:space="preserve"> (h)</w:t>
            </w:r>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6</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13</w:t>
            </w:r>
          </w:p>
        </w:tc>
      </w:tr>
      <w:tr w:rsidR="00493B75" w:rsidRPr="005E1202" w:rsidTr="00493B75">
        <w:trPr>
          <w:trHeight w:val="286"/>
          <w:jc w:val="center"/>
        </w:trPr>
        <w:tc>
          <w:tcPr>
            <w:tcW w:w="4587"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 xml:space="preserve">% of dose excreted in </w:t>
            </w:r>
            <w:proofErr w:type="spellStart"/>
            <w:r w:rsidRPr="005E1202">
              <w:rPr>
                <w:rFonts w:ascii="Arial" w:hAnsi="Arial" w:cs="Arial"/>
              </w:rPr>
              <w:t>urine</w:t>
            </w:r>
            <w:r w:rsidRPr="005E1202">
              <w:rPr>
                <w:rFonts w:ascii="Arial" w:hAnsi="Arial" w:cs="Arial"/>
                <w:vertAlign w:val="superscript"/>
              </w:rPr>
              <w:t>c</w:t>
            </w:r>
            <w:proofErr w:type="spellEnd"/>
          </w:p>
        </w:tc>
        <w:tc>
          <w:tcPr>
            <w:tcW w:w="1563"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0.7</w:t>
            </w:r>
          </w:p>
        </w:tc>
        <w:tc>
          <w:tcPr>
            <w:tcW w:w="1546" w:type="dxa"/>
            <w:vAlign w:val="center"/>
          </w:tcPr>
          <w:p w:rsidR="00493B75" w:rsidRPr="005E1202" w:rsidRDefault="00493B75" w:rsidP="00493B75">
            <w:pPr>
              <w:spacing w:before="60" w:after="60"/>
              <w:jc w:val="center"/>
              <w:rPr>
                <w:rFonts w:ascii="Arial" w:hAnsi="Arial" w:cs="Arial"/>
              </w:rPr>
            </w:pPr>
            <w:r w:rsidRPr="005E1202">
              <w:rPr>
                <w:rFonts w:ascii="Arial" w:hAnsi="Arial" w:cs="Arial"/>
              </w:rPr>
              <w:t>0</w:t>
            </w:r>
          </w:p>
        </w:tc>
      </w:tr>
      <w:tr w:rsidR="00493B75" w:rsidRPr="005E1202" w:rsidTr="00493B75">
        <w:trPr>
          <w:trHeight w:val="271"/>
          <w:jc w:val="center"/>
        </w:trPr>
        <w:tc>
          <w:tcPr>
            <w:tcW w:w="4587" w:type="dxa"/>
            <w:tcBorders>
              <w:bottom w:val="single" w:sz="4" w:space="0" w:color="auto"/>
            </w:tcBorders>
            <w:vAlign w:val="center"/>
          </w:tcPr>
          <w:p w:rsidR="00493B75" w:rsidRPr="005E1202" w:rsidRDefault="00493B75" w:rsidP="00493B75">
            <w:pPr>
              <w:spacing w:before="60" w:after="60"/>
              <w:jc w:val="center"/>
              <w:rPr>
                <w:rFonts w:ascii="Arial" w:hAnsi="Arial" w:cs="Arial"/>
              </w:rPr>
            </w:pPr>
            <w:r w:rsidRPr="005E1202">
              <w:rPr>
                <w:rFonts w:ascii="Arial" w:hAnsi="Arial" w:cs="Arial"/>
              </w:rPr>
              <w:t xml:space="preserve">% of dose excreted in </w:t>
            </w:r>
            <w:proofErr w:type="spellStart"/>
            <w:r w:rsidRPr="005E1202">
              <w:rPr>
                <w:rFonts w:ascii="Arial" w:hAnsi="Arial" w:cs="Arial"/>
              </w:rPr>
              <w:t>faeces</w:t>
            </w:r>
            <w:r w:rsidRPr="005E1202">
              <w:rPr>
                <w:rFonts w:ascii="Arial" w:hAnsi="Arial" w:cs="Arial"/>
                <w:vertAlign w:val="superscript"/>
              </w:rPr>
              <w:t>c</w:t>
            </w:r>
            <w:proofErr w:type="spellEnd"/>
          </w:p>
        </w:tc>
        <w:tc>
          <w:tcPr>
            <w:tcW w:w="1563" w:type="dxa"/>
            <w:tcBorders>
              <w:bottom w:val="single" w:sz="4" w:space="0" w:color="auto"/>
            </w:tcBorders>
            <w:vAlign w:val="center"/>
          </w:tcPr>
          <w:p w:rsidR="00493B75" w:rsidRPr="005E1202" w:rsidRDefault="00493B75" w:rsidP="00493B75">
            <w:pPr>
              <w:spacing w:before="60" w:after="60"/>
              <w:jc w:val="center"/>
              <w:rPr>
                <w:rFonts w:ascii="Arial" w:hAnsi="Arial" w:cs="Arial"/>
              </w:rPr>
            </w:pPr>
            <w:r w:rsidRPr="005E1202">
              <w:rPr>
                <w:rFonts w:ascii="Arial" w:hAnsi="Arial" w:cs="Arial"/>
              </w:rPr>
              <w:t>92.1</w:t>
            </w:r>
          </w:p>
        </w:tc>
        <w:tc>
          <w:tcPr>
            <w:tcW w:w="1546" w:type="dxa"/>
            <w:tcBorders>
              <w:bottom w:val="single" w:sz="4" w:space="0" w:color="auto"/>
            </w:tcBorders>
            <w:vAlign w:val="center"/>
          </w:tcPr>
          <w:p w:rsidR="00493B75" w:rsidRPr="005E1202" w:rsidRDefault="00493B75" w:rsidP="00493B75">
            <w:pPr>
              <w:spacing w:before="60" w:after="60"/>
              <w:jc w:val="center"/>
              <w:rPr>
                <w:rFonts w:ascii="Arial" w:hAnsi="Arial" w:cs="Arial"/>
              </w:rPr>
            </w:pPr>
            <w:r w:rsidRPr="005E1202">
              <w:rPr>
                <w:rFonts w:ascii="Arial" w:hAnsi="Arial" w:cs="Arial"/>
              </w:rPr>
              <w:t>96.6</w:t>
            </w:r>
          </w:p>
        </w:tc>
      </w:tr>
      <w:tr w:rsidR="00493B75" w:rsidRPr="005E1202" w:rsidTr="00493B75">
        <w:trPr>
          <w:trHeight w:val="271"/>
          <w:jc w:val="center"/>
        </w:trPr>
        <w:tc>
          <w:tcPr>
            <w:tcW w:w="7696" w:type="dxa"/>
            <w:gridSpan w:val="3"/>
            <w:tcBorders>
              <w:left w:val="nil"/>
              <w:bottom w:val="nil"/>
              <w:right w:val="nil"/>
            </w:tcBorders>
            <w:vAlign w:val="center"/>
          </w:tcPr>
          <w:p w:rsidR="00493B75" w:rsidRPr="005E1202" w:rsidRDefault="00493B75" w:rsidP="00997256">
            <w:pPr>
              <w:autoSpaceDE w:val="0"/>
              <w:autoSpaceDN w:val="0"/>
              <w:adjustRightInd w:val="0"/>
              <w:spacing w:before="60" w:after="60"/>
              <w:jc w:val="both"/>
              <w:rPr>
                <w:rFonts w:ascii="Arial" w:hAnsi="Arial" w:cs="Arial"/>
                <w:color w:val="000000"/>
              </w:rPr>
            </w:pPr>
            <w:proofErr w:type="gramStart"/>
            <w:r w:rsidRPr="005E1202">
              <w:rPr>
                <w:rFonts w:ascii="Arial" w:hAnsi="Arial" w:cs="Arial"/>
                <w:color w:val="000000"/>
                <w:vertAlign w:val="superscript"/>
              </w:rPr>
              <w:t>a.</w:t>
            </w:r>
            <w:r w:rsidRPr="005E1202">
              <w:rPr>
                <w:rFonts w:ascii="Arial" w:hAnsi="Arial" w:cs="Arial"/>
                <w:color w:val="000000"/>
              </w:rPr>
              <w:t xml:space="preserve"> Median</w:t>
            </w:r>
            <w:proofErr w:type="gramEnd"/>
            <w:r w:rsidRPr="005E1202">
              <w:rPr>
                <w:rFonts w:ascii="Arial" w:hAnsi="Arial" w:cs="Arial"/>
                <w:color w:val="000000"/>
              </w:rPr>
              <w:t xml:space="preserve"> </w:t>
            </w:r>
            <w:proofErr w:type="spellStart"/>
            <w:r w:rsidRPr="005E1202">
              <w:rPr>
                <w:rFonts w:ascii="Arial" w:hAnsi="Arial" w:cs="Arial"/>
                <w:color w:val="000000"/>
              </w:rPr>
              <w:t>T</w:t>
            </w:r>
            <w:r w:rsidRPr="005E1202">
              <w:rPr>
                <w:rFonts w:ascii="Arial" w:hAnsi="Arial" w:cs="Arial"/>
                <w:color w:val="000000"/>
                <w:vertAlign w:val="subscript"/>
              </w:rPr>
              <w:t>max</w:t>
            </w:r>
            <w:proofErr w:type="spellEnd"/>
            <w:r w:rsidRPr="005E1202">
              <w:rPr>
                <w:rFonts w:ascii="Arial" w:hAnsi="Arial" w:cs="Arial"/>
                <w:color w:val="000000"/>
              </w:rPr>
              <w:t xml:space="preserve"> following single doses of </w:t>
            </w:r>
            <w:proofErr w:type="spellStart"/>
            <w:r w:rsidRPr="005E1202">
              <w:rPr>
                <w:rFonts w:ascii="Arial" w:hAnsi="Arial" w:cs="Arial"/>
                <w:color w:val="000000"/>
              </w:rPr>
              <w:t>glecaprevir</w:t>
            </w:r>
            <w:proofErr w:type="spellEnd"/>
            <w:r w:rsidRPr="005E1202">
              <w:rPr>
                <w:rFonts w:ascii="Arial" w:hAnsi="Arial" w:cs="Arial"/>
                <w:color w:val="000000"/>
              </w:rPr>
              <w:t xml:space="preserve"> and </w:t>
            </w:r>
            <w:proofErr w:type="spellStart"/>
            <w:r w:rsidRPr="005E1202">
              <w:rPr>
                <w:rFonts w:ascii="Arial" w:hAnsi="Arial" w:cs="Arial"/>
                <w:color w:val="000000"/>
              </w:rPr>
              <w:t>pibrentasvir</w:t>
            </w:r>
            <w:proofErr w:type="spellEnd"/>
            <w:r w:rsidRPr="005E1202">
              <w:rPr>
                <w:rFonts w:ascii="Arial" w:hAnsi="Arial" w:cs="Arial"/>
                <w:color w:val="000000"/>
              </w:rPr>
              <w:t xml:space="preserve"> in healthy subjects.</w:t>
            </w:r>
          </w:p>
          <w:p w:rsidR="00493B75" w:rsidRPr="005E1202" w:rsidRDefault="00493B75" w:rsidP="00997256">
            <w:pPr>
              <w:autoSpaceDE w:val="0"/>
              <w:autoSpaceDN w:val="0"/>
              <w:adjustRightInd w:val="0"/>
              <w:spacing w:before="60" w:after="60"/>
              <w:jc w:val="both"/>
              <w:rPr>
                <w:rFonts w:ascii="Arial" w:hAnsi="Arial" w:cs="Arial"/>
                <w:color w:val="000000"/>
              </w:rPr>
            </w:pPr>
            <w:r w:rsidRPr="005E1202">
              <w:rPr>
                <w:rFonts w:ascii="Arial" w:hAnsi="Arial" w:cs="Arial"/>
                <w:color w:val="000000"/>
                <w:vertAlign w:val="superscript"/>
              </w:rPr>
              <w:t>b.</w:t>
            </w:r>
            <w:r w:rsidRPr="005E1202">
              <w:rPr>
                <w:rFonts w:ascii="Arial" w:hAnsi="Arial" w:cs="Arial"/>
                <w:color w:val="000000"/>
              </w:rPr>
              <w:t xml:space="preserve"> Mean systemic exposure with moderate to high fat meals.</w:t>
            </w:r>
          </w:p>
          <w:p w:rsidR="00493B75" w:rsidRPr="005E1202" w:rsidRDefault="00493B75" w:rsidP="00997256">
            <w:pPr>
              <w:autoSpaceDE w:val="0"/>
              <w:autoSpaceDN w:val="0"/>
              <w:adjustRightInd w:val="0"/>
              <w:spacing w:before="60" w:after="60"/>
              <w:jc w:val="both"/>
              <w:rPr>
                <w:rFonts w:ascii="Arial" w:hAnsi="Arial" w:cs="Arial"/>
                <w:color w:val="000000"/>
              </w:rPr>
            </w:pPr>
            <w:r w:rsidRPr="005E1202">
              <w:rPr>
                <w:rFonts w:ascii="Arial" w:hAnsi="Arial" w:cs="Arial"/>
                <w:color w:val="000000"/>
                <w:vertAlign w:val="superscript"/>
              </w:rPr>
              <w:t>c.</w:t>
            </w:r>
            <w:r w:rsidRPr="005E1202">
              <w:rPr>
                <w:rFonts w:ascii="Arial" w:hAnsi="Arial" w:cs="Arial"/>
                <w:color w:val="000000"/>
              </w:rPr>
              <w:t xml:space="preserve"> Single dose administration of [</w:t>
            </w:r>
            <w:r w:rsidRPr="005E1202">
              <w:rPr>
                <w:rFonts w:ascii="Arial" w:hAnsi="Arial" w:cs="Arial"/>
                <w:color w:val="000000"/>
                <w:vertAlign w:val="superscript"/>
              </w:rPr>
              <w:t>14</w:t>
            </w:r>
            <w:r w:rsidRPr="005E1202">
              <w:rPr>
                <w:rFonts w:ascii="Arial" w:hAnsi="Arial" w:cs="Arial"/>
                <w:color w:val="000000"/>
              </w:rPr>
              <w:t>C</w:t>
            </w:r>
            <w:proofErr w:type="gramStart"/>
            <w:r w:rsidRPr="005E1202">
              <w:rPr>
                <w:rFonts w:ascii="Arial" w:hAnsi="Arial" w:cs="Arial"/>
                <w:color w:val="000000"/>
              </w:rPr>
              <w:t>]</w:t>
            </w:r>
            <w:proofErr w:type="spellStart"/>
            <w:r w:rsidRPr="005E1202">
              <w:rPr>
                <w:rFonts w:ascii="Arial" w:hAnsi="Arial" w:cs="Arial"/>
                <w:color w:val="000000"/>
              </w:rPr>
              <w:t>glecaprevir</w:t>
            </w:r>
            <w:proofErr w:type="spellEnd"/>
            <w:proofErr w:type="gramEnd"/>
            <w:r w:rsidRPr="005E1202">
              <w:rPr>
                <w:rFonts w:ascii="Arial" w:hAnsi="Arial" w:cs="Arial"/>
                <w:color w:val="000000"/>
              </w:rPr>
              <w:t xml:space="preserve"> or [</w:t>
            </w:r>
            <w:r w:rsidRPr="005E1202">
              <w:rPr>
                <w:rFonts w:ascii="Arial" w:hAnsi="Arial" w:cs="Arial"/>
                <w:color w:val="000000"/>
                <w:vertAlign w:val="superscript"/>
              </w:rPr>
              <w:t>14</w:t>
            </w:r>
            <w:r w:rsidRPr="005E1202">
              <w:rPr>
                <w:rFonts w:ascii="Arial" w:hAnsi="Arial" w:cs="Arial"/>
                <w:color w:val="000000"/>
              </w:rPr>
              <w:t>C]</w:t>
            </w:r>
            <w:proofErr w:type="spellStart"/>
            <w:r w:rsidRPr="005E1202">
              <w:rPr>
                <w:rFonts w:ascii="Arial" w:hAnsi="Arial" w:cs="Arial"/>
                <w:color w:val="000000"/>
              </w:rPr>
              <w:t>pibrentasvir</w:t>
            </w:r>
            <w:proofErr w:type="spellEnd"/>
            <w:r w:rsidRPr="005E1202">
              <w:rPr>
                <w:rFonts w:ascii="Arial" w:hAnsi="Arial" w:cs="Arial"/>
                <w:color w:val="000000"/>
              </w:rPr>
              <w:t xml:space="preserve"> in mass balance studies.</w:t>
            </w:r>
          </w:p>
        </w:tc>
      </w:tr>
    </w:tbl>
    <w:p w:rsidR="00493B75" w:rsidRPr="005E1202" w:rsidRDefault="00493B75" w:rsidP="00493B75">
      <w:pPr>
        <w:jc w:val="center"/>
        <w:rPr>
          <w:rFonts w:ascii="Arial" w:hAnsi="Arial" w:cs="Arial"/>
          <w:b/>
        </w:rPr>
      </w:pPr>
    </w:p>
    <w:p w:rsidR="00493B75" w:rsidRPr="005E1202" w:rsidRDefault="00493B75" w:rsidP="00997256">
      <w:pPr>
        <w:keepNext/>
        <w:keepLines/>
        <w:jc w:val="both"/>
        <w:rPr>
          <w:rFonts w:ascii="Arial" w:hAnsi="Arial" w:cs="Arial"/>
          <w:b/>
        </w:rPr>
      </w:pPr>
      <w:proofErr w:type="gramStart"/>
      <w:r w:rsidRPr="005E1202">
        <w:rPr>
          <w:rFonts w:ascii="Arial" w:hAnsi="Arial" w:cs="Arial"/>
          <w:b/>
        </w:rPr>
        <w:t xml:space="preserve">Table </w:t>
      </w:r>
      <w:r w:rsidR="008D55BB">
        <w:rPr>
          <w:rFonts w:ascii="Arial" w:hAnsi="Arial" w:cs="Arial"/>
          <w:b/>
        </w:rPr>
        <w:t>14</w:t>
      </w:r>
      <w:r w:rsidRPr="005E1202">
        <w:rPr>
          <w:rFonts w:ascii="Arial" w:hAnsi="Arial" w:cs="Arial"/>
          <w:b/>
        </w:rPr>
        <w:t>.</w:t>
      </w:r>
      <w:proofErr w:type="gramEnd"/>
      <w:r w:rsidRPr="005E1202">
        <w:rPr>
          <w:rFonts w:ascii="Arial" w:hAnsi="Arial" w:cs="Arial"/>
          <w:b/>
        </w:rPr>
        <w:t xml:space="preserve"> Steady-State Pharmacokinetic Parameters of </w:t>
      </w:r>
      <w:proofErr w:type="spellStart"/>
      <w:r w:rsidRPr="005E1202">
        <w:rPr>
          <w:rFonts w:ascii="Arial" w:hAnsi="Arial" w:cs="Arial"/>
          <w:b/>
        </w:rPr>
        <w:t>Glecaprevir</w:t>
      </w:r>
      <w:proofErr w:type="spellEnd"/>
      <w:r w:rsidRPr="005E1202">
        <w:rPr>
          <w:rFonts w:ascii="Arial" w:hAnsi="Arial" w:cs="Arial"/>
          <w:b/>
        </w:rPr>
        <w:t xml:space="preserve"> and </w:t>
      </w:r>
      <w:proofErr w:type="spellStart"/>
      <w:r w:rsidRPr="005E1202">
        <w:rPr>
          <w:rFonts w:ascii="Arial" w:hAnsi="Arial" w:cs="Arial"/>
          <w:b/>
        </w:rPr>
        <w:t>Pibrentasvir</w:t>
      </w:r>
      <w:proofErr w:type="spellEnd"/>
      <w:r w:rsidRPr="005E1202">
        <w:rPr>
          <w:rFonts w:ascii="Arial" w:hAnsi="Arial" w:cs="Arial"/>
          <w:b/>
        </w:rPr>
        <w:t xml:space="preserve"> Following Administration of MAVIRET in Non-Cirrhotic HCV-Infected Patients</w:t>
      </w:r>
    </w:p>
    <w:tbl>
      <w:tblPr>
        <w:tblStyle w:val="TableGrid"/>
        <w:tblW w:w="7503" w:type="dxa"/>
        <w:jc w:val="center"/>
        <w:tblLayout w:type="fixed"/>
        <w:tblLook w:val="04A0" w:firstRow="1" w:lastRow="0" w:firstColumn="1" w:lastColumn="0" w:noHBand="0" w:noVBand="1"/>
      </w:tblPr>
      <w:tblGrid>
        <w:gridCol w:w="3673"/>
        <w:gridCol w:w="1915"/>
        <w:gridCol w:w="1915"/>
      </w:tblGrid>
      <w:tr w:rsidR="00493B75" w:rsidRPr="005E1202" w:rsidTr="00493B75">
        <w:trPr>
          <w:trHeight w:val="283"/>
          <w:jc w:val="center"/>
        </w:trPr>
        <w:tc>
          <w:tcPr>
            <w:tcW w:w="3673" w:type="dxa"/>
            <w:vAlign w:val="center"/>
          </w:tcPr>
          <w:p w:rsidR="00493B75" w:rsidRPr="005E1202" w:rsidRDefault="00493B75" w:rsidP="002D6483">
            <w:pPr>
              <w:keepNext/>
              <w:keepLines/>
              <w:spacing w:before="60" w:after="60"/>
              <w:jc w:val="center"/>
              <w:rPr>
                <w:rFonts w:ascii="Arial" w:hAnsi="Arial" w:cs="Arial"/>
                <w:b/>
              </w:rPr>
            </w:pPr>
            <w:r w:rsidRPr="005E1202">
              <w:rPr>
                <w:rFonts w:ascii="Arial" w:hAnsi="Arial" w:cs="Arial"/>
                <w:b/>
              </w:rPr>
              <w:t>Pharmacokinetic Parameter</w:t>
            </w:r>
          </w:p>
        </w:tc>
        <w:tc>
          <w:tcPr>
            <w:tcW w:w="1915" w:type="dxa"/>
            <w:vAlign w:val="center"/>
          </w:tcPr>
          <w:p w:rsidR="00493B75" w:rsidRPr="005E1202" w:rsidRDefault="00493B75" w:rsidP="002D6483">
            <w:pPr>
              <w:keepNext/>
              <w:keepLines/>
              <w:spacing w:before="60" w:after="60"/>
              <w:jc w:val="center"/>
              <w:rPr>
                <w:rFonts w:ascii="Arial" w:hAnsi="Arial" w:cs="Arial"/>
                <w:b/>
              </w:rPr>
            </w:pPr>
            <w:proofErr w:type="spellStart"/>
            <w:r w:rsidRPr="005E1202">
              <w:rPr>
                <w:rFonts w:ascii="Arial" w:hAnsi="Arial" w:cs="Arial"/>
                <w:b/>
              </w:rPr>
              <w:t>Glecaprevir</w:t>
            </w:r>
            <w:proofErr w:type="spellEnd"/>
          </w:p>
        </w:tc>
        <w:tc>
          <w:tcPr>
            <w:tcW w:w="1915" w:type="dxa"/>
            <w:vAlign w:val="center"/>
          </w:tcPr>
          <w:p w:rsidR="00493B75" w:rsidRPr="005E1202" w:rsidRDefault="00493B75" w:rsidP="002D6483">
            <w:pPr>
              <w:keepNext/>
              <w:keepLines/>
              <w:spacing w:before="60" w:after="60"/>
              <w:jc w:val="center"/>
              <w:rPr>
                <w:rFonts w:ascii="Arial" w:hAnsi="Arial" w:cs="Arial"/>
                <w:b/>
              </w:rPr>
            </w:pPr>
            <w:proofErr w:type="spellStart"/>
            <w:r w:rsidRPr="005E1202">
              <w:rPr>
                <w:rFonts w:ascii="Arial" w:hAnsi="Arial" w:cs="Arial"/>
                <w:b/>
              </w:rPr>
              <w:t>Pibrentasvir</w:t>
            </w:r>
            <w:proofErr w:type="spellEnd"/>
          </w:p>
        </w:tc>
      </w:tr>
      <w:tr w:rsidR="00493B75" w:rsidRPr="005E1202" w:rsidTr="00493B75">
        <w:trPr>
          <w:trHeight w:val="283"/>
          <w:jc w:val="center"/>
        </w:trPr>
        <w:tc>
          <w:tcPr>
            <w:tcW w:w="3673" w:type="dxa"/>
            <w:vAlign w:val="center"/>
          </w:tcPr>
          <w:p w:rsidR="00493B75" w:rsidRPr="005E1202" w:rsidRDefault="00493B75" w:rsidP="002D6483">
            <w:pPr>
              <w:keepNext/>
              <w:keepLines/>
              <w:spacing w:before="60" w:after="60"/>
              <w:jc w:val="center"/>
              <w:rPr>
                <w:rFonts w:ascii="Arial" w:hAnsi="Arial" w:cs="Arial"/>
              </w:rPr>
            </w:pPr>
            <w:proofErr w:type="spellStart"/>
            <w:r w:rsidRPr="005E1202">
              <w:rPr>
                <w:rFonts w:ascii="Arial" w:hAnsi="Arial" w:cs="Arial"/>
              </w:rPr>
              <w:t>C</w:t>
            </w:r>
            <w:r w:rsidRPr="005E1202">
              <w:rPr>
                <w:rFonts w:ascii="Arial" w:hAnsi="Arial" w:cs="Arial"/>
                <w:vertAlign w:val="subscript"/>
              </w:rPr>
              <w:t>max</w:t>
            </w:r>
            <w:proofErr w:type="spellEnd"/>
            <w:r w:rsidRPr="005E1202">
              <w:rPr>
                <w:rFonts w:ascii="Arial" w:hAnsi="Arial" w:cs="Arial"/>
              </w:rPr>
              <w:t xml:space="preserve"> (ng/mL)</w:t>
            </w:r>
            <w:r w:rsidRPr="005E1202">
              <w:rPr>
                <w:rFonts w:ascii="Arial" w:hAnsi="Arial" w:cs="Arial"/>
                <w:vertAlign w:val="superscript"/>
              </w:rPr>
              <w:t>a</w:t>
            </w:r>
          </w:p>
        </w:tc>
        <w:tc>
          <w:tcPr>
            <w:tcW w:w="1915" w:type="dxa"/>
            <w:vAlign w:val="center"/>
          </w:tcPr>
          <w:p w:rsidR="00493B75" w:rsidRPr="005E1202" w:rsidRDefault="00493B75" w:rsidP="002D6483">
            <w:pPr>
              <w:keepNext/>
              <w:keepLines/>
              <w:spacing w:before="60" w:after="60"/>
              <w:jc w:val="center"/>
              <w:rPr>
                <w:rFonts w:ascii="Arial" w:hAnsi="Arial" w:cs="Arial"/>
              </w:rPr>
            </w:pPr>
            <w:r w:rsidRPr="005E1202">
              <w:rPr>
                <w:rFonts w:ascii="Arial" w:hAnsi="Arial" w:cs="Arial"/>
              </w:rPr>
              <w:t>597 (150)</w:t>
            </w:r>
          </w:p>
        </w:tc>
        <w:tc>
          <w:tcPr>
            <w:tcW w:w="1915" w:type="dxa"/>
            <w:vAlign w:val="center"/>
          </w:tcPr>
          <w:p w:rsidR="00493B75" w:rsidRPr="005E1202" w:rsidRDefault="00493B75" w:rsidP="002D6483">
            <w:pPr>
              <w:keepNext/>
              <w:keepLines/>
              <w:spacing w:before="60" w:after="60"/>
              <w:jc w:val="center"/>
              <w:rPr>
                <w:rFonts w:ascii="Arial" w:hAnsi="Arial" w:cs="Arial"/>
              </w:rPr>
            </w:pPr>
            <w:r w:rsidRPr="005E1202">
              <w:rPr>
                <w:rFonts w:ascii="Arial" w:hAnsi="Arial" w:cs="Arial"/>
              </w:rPr>
              <w:t>110 (49)</w:t>
            </w:r>
          </w:p>
        </w:tc>
      </w:tr>
      <w:tr w:rsidR="00493B75" w:rsidRPr="005E1202" w:rsidTr="00493B75">
        <w:trPr>
          <w:trHeight w:val="283"/>
          <w:jc w:val="center"/>
        </w:trPr>
        <w:tc>
          <w:tcPr>
            <w:tcW w:w="3673" w:type="dxa"/>
            <w:tcBorders>
              <w:bottom w:val="single" w:sz="4" w:space="0" w:color="auto"/>
            </w:tcBorders>
            <w:vAlign w:val="center"/>
          </w:tcPr>
          <w:p w:rsidR="00493B75" w:rsidRPr="005E1202" w:rsidRDefault="00493B75" w:rsidP="002D6483">
            <w:pPr>
              <w:keepNext/>
              <w:keepLines/>
              <w:spacing w:before="60" w:after="60"/>
              <w:jc w:val="center"/>
              <w:rPr>
                <w:rFonts w:ascii="Arial" w:hAnsi="Arial" w:cs="Arial"/>
              </w:rPr>
            </w:pPr>
            <w:r w:rsidRPr="005E1202">
              <w:rPr>
                <w:rFonts w:ascii="Arial" w:hAnsi="Arial" w:cs="Arial"/>
              </w:rPr>
              <w:t>AUC</w:t>
            </w:r>
            <w:r w:rsidRPr="005E1202">
              <w:rPr>
                <w:rFonts w:ascii="Arial" w:hAnsi="Arial" w:cs="Arial"/>
                <w:vertAlign w:val="subscript"/>
              </w:rPr>
              <w:t>24,ss</w:t>
            </w:r>
            <w:r w:rsidRPr="005E1202">
              <w:rPr>
                <w:rFonts w:ascii="Arial" w:hAnsi="Arial" w:cs="Arial"/>
              </w:rPr>
              <w:t xml:space="preserve"> (ng*h/mL)</w:t>
            </w:r>
            <w:r w:rsidRPr="005E1202">
              <w:rPr>
                <w:rFonts w:ascii="Arial" w:hAnsi="Arial" w:cs="Arial"/>
                <w:vertAlign w:val="superscript"/>
              </w:rPr>
              <w:t>a</w:t>
            </w:r>
          </w:p>
        </w:tc>
        <w:tc>
          <w:tcPr>
            <w:tcW w:w="1915" w:type="dxa"/>
            <w:tcBorders>
              <w:bottom w:val="single" w:sz="4" w:space="0" w:color="auto"/>
            </w:tcBorders>
            <w:vAlign w:val="center"/>
          </w:tcPr>
          <w:p w:rsidR="00493B75" w:rsidRPr="005E1202" w:rsidRDefault="00493B75" w:rsidP="002D6483">
            <w:pPr>
              <w:keepNext/>
              <w:keepLines/>
              <w:spacing w:before="60" w:after="60"/>
              <w:jc w:val="center"/>
              <w:rPr>
                <w:rFonts w:ascii="Arial" w:hAnsi="Arial" w:cs="Arial"/>
              </w:rPr>
            </w:pPr>
            <w:r w:rsidRPr="005E1202">
              <w:rPr>
                <w:rFonts w:ascii="Arial" w:hAnsi="Arial" w:cs="Arial"/>
              </w:rPr>
              <w:t>4800 (198)</w:t>
            </w:r>
          </w:p>
        </w:tc>
        <w:tc>
          <w:tcPr>
            <w:tcW w:w="1915" w:type="dxa"/>
            <w:tcBorders>
              <w:bottom w:val="single" w:sz="4" w:space="0" w:color="auto"/>
            </w:tcBorders>
            <w:vAlign w:val="center"/>
          </w:tcPr>
          <w:p w:rsidR="00493B75" w:rsidRPr="005E1202" w:rsidRDefault="00493B75" w:rsidP="002D6483">
            <w:pPr>
              <w:keepNext/>
              <w:keepLines/>
              <w:spacing w:before="60" w:after="60"/>
              <w:jc w:val="center"/>
              <w:rPr>
                <w:rFonts w:ascii="Arial" w:hAnsi="Arial" w:cs="Arial"/>
              </w:rPr>
            </w:pPr>
            <w:r w:rsidRPr="005E1202">
              <w:rPr>
                <w:rFonts w:ascii="Arial" w:hAnsi="Arial" w:cs="Arial"/>
              </w:rPr>
              <w:t>1430 (63)</w:t>
            </w:r>
          </w:p>
        </w:tc>
      </w:tr>
      <w:tr w:rsidR="00493B75" w:rsidRPr="005E1202" w:rsidTr="00493B75">
        <w:trPr>
          <w:trHeight w:val="283"/>
          <w:jc w:val="center"/>
        </w:trPr>
        <w:tc>
          <w:tcPr>
            <w:tcW w:w="7503" w:type="dxa"/>
            <w:gridSpan w:val="3"/>
            <w:tcBorders>
              <w:left w:val="nil"/>
              <w:bottom w:val="nil"/>
              <w:right w:val="nil"/>
            </w:tcBorders>
          </w:tcPr>
          <w:p w:rsidR="00493B75" w:rsidRPr="005E1202" w:rsidRDefault="00493B75" w:rsidP="002D6483">
            <w:pPr>
              <w:keepNext/>
              <w:keepLines/>
              <w:rPr>
                <w:rFonts w:ascii="Arial" w:hAnsi="Arial" w:cs="Arial"/>
              </w:rPr>
            </w:pPr>
            <w:r w:rsidRPr="005E1202">
              <w:rPr>
                <w:rFonts w:ascii="Arial" w:eastAsia="MS Mincho" w:hAnsi="Arial" w:cs="Arial"/>
                <w:vertAlign w:val="superscript"/>
                <w:lang w:eastAsia="ja-JP"/>
              </w:rPr>
              <w:t>a.</w:t>
            </w:r>
            <w:r w:rsidRPr="005E1202">
              <w:rPr>
                <w:rFonts w:ascii="Arial" w:eastAsia="MS Mincho" w:hAnsi="Arial" w:cs="Arial"/>
                <w:lang w:eastAsia="ja-JP"/>
              </w:rPr>
              <w:t xml:space="preserve"> </w:t>
            </w:r>
            <w:r w:rsidRPr="005E1202">
              <w:rPr>
                <w:rFonts w:ascii="Arial" w:hAnsi="Arial" w:cs="Arial"/>
              </w:rPr>
              <w:t xml:space="preserve">Geometric mean (%CV) of individual-estimated </w:t>
            </w:r>
            <w:proofErr w:type="spellStart"/>
            <w:r w:rsidRPr="005E1202">
              <w:rPr>
                <w:rFonts w:ascii="Arial" w:hAnsi="Arial" w:cs="Arial"/>
              </w:rPr>
              <w:t>C</w:t>
            </w:r>
            <w:r w:rsidRPr="005E1202">
              <w:rPr>
                <w:rFonts w:ascii="Arial" w:hAnsi="Arial" w:cs="Arial"/>
                <w:vertAlign w:val="subscript"/>
              </w:rPr>
              <w:t>max</w:t>
            </w:r>
            <w:proofErr w:type="spellEnd"/>
            <w:r w:rsidRPr="005E1202">
              <w:rPr>
                <w:rFonts w:ascii="Arial" w:hAnsi="Arial" w:cs="Arial"/>
              </w:rPr>
              <w:t xml:space="preserve"> and AUC</w:t>
            </w:r>
            <w:r w:rsidRPr="005E1202">
              <w:rPr>
                <w:rFonts w:ascii="Arial" w:hAnsi="Arial" w:cs="Arial"/>
                <w:vertAlign w:val="subscript"/>
              </w:rPr>
              <w:t>24,ss</w:t>
            </w:r>
            <w:r w:rsidRPr="005E1202">
              <w:rPr>
                <w:rFonts w:ascii="Arial" w:hAnsi="Arial" w:cs="Arial"/>
              </w:rPr>
              <w:t xml:space="preserve"> values</w:t>
            </w:r>
          </w:p>
        </w:tc>
      </w:tr>
    </w:tbl>
    <w:p w:rsidR="00493B75" w:rsidRPr="005E1202" w:rsidRDefault="00493B75" w:rsidP="00493B75">
      <w:pPr>
        <w:rPr>
          <w:rFonts w:ascii="Arial" w:hAnsi="Arial" w:cs="Arial"/>
        </w:rPr>
      </w:pPr>
      <w:bookmarkStart w:id="7" w:name="p105263291413821197"/>
      <w:bookmarkStart w:id="8" w:name="p105283291413821252"/>
      <w:bookmarkStart w:id="9" w:name="p105243291413821258"/>
      <w:bookmarkStart w:id="10" w:name="p484311291413821267"/>
      <w:bookmarkStart w:id="11" w:name="p107593291413821307"/>
      <w:bookmarkStart w:id="12" w:name="p107643291413821322"/>
      <w:bookmarkStart w:id="13" w:name="p107673291413821334"/>
      <w:bookmarkStart w:id="14" w:name="p425184291423070290"/>
      <w:bookmarkStart w:id="15" w:name="p107733291413821360"/>
      <w:bookmarkStart w:id="16" w:name="p107783291413821375"/>
      <w:bookmarkStart w:id="17" w:name="p107843291413821388"/>
      <w:bookmarkStart w:id="18" w:name="p107903291413821402"/>
      <w:bookmarkStart w:id="19" w:name="p483944291413821426"/>
      <w:bookmarkStart w:id="20" w:name="p110083291413821437"/>
      <w:bookmarkStart w:id="21" w:name="p110133291413821449"/>
      <w:bookmarkStart w:id="22" w:name="p110193291413821465"/>
      <w:bookmarkStart w:id="23" w:name="p110253291413821475"/>
      <w:bookmarkStart w:id="24" w:name="p1614813291393954738"/>
      <w:bookmarkStart w:id="25" w:name="p110288291413576223"/>
      <w:bookmarkStart w:id="26" w:name="p507325291413576241"/>
      <w:bookmarkStart w:id="27" w:name="p110479291413576257"/>
      <w:bookmarkStart w:id="28" w:name="p110547291413576274"/>
      <w:bookmarkStart w:id="29" w:name="p112996291413576294"/>
      <w:bookmarkStart w:id="30" w:name="p16897129139395527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493B75" w:rsidRPr="005E1202" w:rsidRDefault="00493B75" w:rsidP="00493B75">
      <w:pPr>
        <w:rPr>
          <w:rFonts w:ascii="Arial" w:hAnsi="Arial" w:cs="Arial"/>
        </w:rPr>
      </w:pPr>
      <w:r w:rsidRPr="005E1202">
        <w:rPr>
          <w:rFonts w:ascii="Arial" w:hAnsi="Arial" w:cs="Arial"/>
        </w:rPr>
        <w:lastRenderedPageBreak/>
        <w:t xml:space="preserve">Relative to healthy subjects (N=230), </w:t>
      </w:r>
      <w:proofErr w:type="spellStart"/>
      <w:r w:rsidRPr="005E1202">
        <w:rPr>
          <w:rFonts w:ascii="Arial" w:hAnsi="Arial" w:cs="Arial"/>
        </w:rPr>
        <w:t>glecaprevir</w:t>
      </w:r>
      <w:proofErr w:type="spellEnd"/>
      <w:r w:rsidRPr="005E1202">
        <w:rPr>
          <w:rFonts w:ascii="Arial" w:hAnsi="Arial" w:cs="Arial"/>
        </w:rPr>
        <w:t xml:space="preserve"> </w:t>
      </w:r>
      <w:proofErr w:type="spellStart"/>
      <w:r w:rsidRPr="005E1202">
        <w:rPr>
          <w:rFonts w:ascii="Arial" w:hAnsi="Arial" w:cs="Arial"/>
        </w:rPr>
        <w:t>C</w:t>
      </w:r>
      <w:r w:rsidRPr="005E1202">
        <w:rPr>
          <w:rFonts w:ascii="Arial" w:hAnsi="Arial" w:cs="Arial"/>
          <w:vertAlign w:val="subscript"/>
        </w:rPr>
        <w:t>max</w:t>
      </w:r>
      <w:proofErr w:type="spellEnd"/>
      <w:r w:rsidRPr="005E1202">
        <w:rPr>
          <w:rFonts w:ascii="Arial" w:hAnsi="Arial" w:cs="Arial"/>
        </w:rPr>
        <w:t xml:space="preserve"> was 51% lower and AUC</w:t>
      </w:r>
      <w:r w:rsidRPr="005E1202">
        <w:rPr>
          <w:rFonts w:ascii="Arial" w:hAnsi="Arial" w:cs="Arial"/>
          <w:vertAlign w:val="subscript"/>
        </w:rPr>
        <w:t>24,ss</w:t>
      </w:r>
      <w:r w:rsidRPr="005E1202">
        <w:rPr>
          <w:rFonts w:ascii="Arial" w:hAnsi="Arial" w:cs="Arial"/>
        </w:rPr>
        <w:t xml:space="preserve"> was similar (10% difference) in HCV-infected patients without cirrhosis; </w:t>
      </w:r>
      <w:proofErr w:type="spellStart"/>
      <w:r w:rsidRPr="005E1202">
        <w:rPr>
          <w:rFonts w:ascii="Arial" w:hAnsi="Arial" w:cs="Arial"/>
        </w:rPr>
        <w:t>pibrentasvir</w:t>
      </w:r>
      <w:proofErr w:type="spellEnd"/>
      <w:r w:rsidRPr="005E1202">
        <w:rPr>
          <w:rFonts w:ascii="Arial" w:hAnsi="Arial" w:cs="Arial"/>
        </w:rPr>
        <w:t xml:space="preserve"> </w:t>
      </w:r>
      <w:proofErr w:type="spellStart"/>
      <w:r w:rsidRPr="005E1202">
        <w:rPr>
          <w:rFonts w:ascii="Arial" w:hAnsi="Arial" w:cs="Arial"/>
        </w:rPr>
        <w:t>C</w:t>
      </w:r>
      <w:r w:rsidRPr="005E1202">
        <w:rPr>
          <w:rFonts w:ascii="Arial" w:hAnsi="Arial" w:cs="Arial"/>
          <w:vertAlign w:val="subscript"/>
        </w:rPr>
        <w:t>max</w:t>
      </w:r>
      <w:proofErr w:type="spellEnd"/>
      <w:r w:rsidRPr="005E1202">
        <w:rPr>
          <w:rFonts w:ascii="Arial" w:hAnsi="Arial" w:cs="Arial"/>
        </w:rPr>
        <w:t xml:space="preserve"> and AUC</w:t>
      </w:r>
      <w:r w:rsidRPr="005E1202">
        <w:rPr>
          <w:rFonts w:ascii="Arial" w:hAnsi="Arial" w:cs="Arial"/>
          <w:vertAlign w:val="subscript"/>
        </w:rPr>
        <w:t>24,ss</w:t>
      </w:r>
      <w:r w:rsidRPr="005E1202">
        <w:rPr>
          <w:rFonts w:ascii="Arial" w:hAnsi="Arial" w:cs="Arial"/>
        </w:rPr>
        <w:t xml:space="preserve"> were 63% and 34% lower, respectively.</w:t>
      </w:r>
    </w:p>
    <w:p w:rsidR="00493B75" w:rsidRPr="005E1202" w:rsidRDefault="00493B75" w:rsidP="00493B75">
      <w:pPr>
        <w:pStyle w:val="Heading3"/>
        <w:rPr>
          <w:rFonts w:cs="Arial"/>
        </w:rPr>
      </w:pPr>
      <w:r w:rsidRPr="005E1202">
        <w:rPr>
          <w:rFonts w:cs="Arial"/>
        </w:rPr>
        <w:t>Specific Populations</w:t>
      </w:r>
    </w:p>
    <w:p w:rsidR="00493B75" w:rsidRPr="005E1202" w:rsidRDefault="00493B75" w:rsidP="00493B75">
      <w:pPr>
        <w:pStyle w:val="Heading4"/>
        <w:rPr>
          <w:rFonts w:cs="Arial"/>
        </w:rPr>
      </w:pPr>
      <w:r w:rsidRPr="005E1202">
        <w:rPr>
          <w:rFonts w:cs="Arial"/>
        </w:rPr>
        <w:t>Race/ethnicity</w:t>
      </w:r>
    </w:p>
    <w:p w:rsidR="00493B75" w:rsidRPr="005E1202" w:rsidRDefault="00493B75" w:rsidP="00493B75">
      <w:pPr>
        <w:rPr>
          <w:rFonts w:ascii="Arial" w:hAnsi="Arial" w:cs="Arial"/>
        </w:rPr>
      </w:pPr>
      <w:r w:rsidRPr="005E1202">
        <w:rPr>
          <w:rFonts w:ascii="Arial" w:hAnsi="Arial" w:cs="Arial"/>
        </w:rPr>
        <w:t>No dose adjustment of MAVIRET is recommended based on race or ethnicity.</w:t>
      </w:r>
    </w:p>
    <w:p w:rsidR="00493B75" w:rsidRPr="005E1202" w:rsidRDefault="00493B75" w:rsidP="00493B75">
      <w:pPr>
        <w:pStyle w:val="Heading4"/>
        <w:rPr>
          <w:rFonts w:cs="Arial"/>
        </w:rPr>
      </w:pPr>
      <w:r w:rsidRPr="005E1202">
        <w:rPr>
          <w:rFonts w:cs="Arial"/>
        </w:rPr>
        <w:t>Gender/weight</w:t>
      </w:r>
    </w:p>
    <w:p w:rsidR="00493B75" w:rsidRPr="005E1202" w:rsidRDefault="00493B75" w:rsidP="00493B75">
      <w:pPr>
        <w:rPr>
          <w:rFonts w:ascii="Arial" w:hAnsi="Arial" w:cs="Arial"/>
        </w:rPr>
      </w:pPr>
      <w:r w:rsidRPr="005E1202">
        <w:rPr>
          <w:rFonts w:ascii="Arial" w:hAnsi="Arial" w:cs="Arial"/>
        </w:rPr>
        <w:t>No dose adjustment of MAVIRET is recommended based on sex or body weight.</w:t>
      </w:r>
    </w:p>
    <w:p w:rsidR="00493B75" w:rsidRPr="005E1202" w:rsidRDefault="00493B75" w:rsidP="00493B75">
      <w:pPr>
        <w:pStyle w:val="Heading4"/>
        <w:rPr>
          <w:rFonts w:cs="Arial"/>
        </w:rPr>
      </w:pPr>
      <w:r w:rsidRPr="005E1202">
        <w:rPr>
          <w:rFonts w:cs="Arial"/>
        </w:rPr>
        <w:t>Paediatric Patients</w:t>
      </w:r>
    </w:p>
    <w:p w:rsidR="00493B75" w:rsidRPr="005E1202" w:rsidRDefault="00493B75" w:rsidP="00493B75">
      <w:pPr>
        <w:rPr>
          <w:rFonts w:ascii="Arial" w:hAnsi="Arial" w:cs="Arial"/>
        </w:rPr>
      </w:pPr>
      <w:r w:rsidRPr="005E1202">
        <w:rPr>
          <w:rFonts w:ascii="Arial" w:hAnsi="Arial" w:cs="Arial"/>
        </w:rPr>
        <w:t>The pharmacokinetics of MAVIRET in paediatric patients has not been established.</w:t>
      </w:r>
    </w:p>
    <w:p w:rsidR="00493B75" w:rsidRPr="005E1202" w:rsidRDefault="00493B75" w:rsidP="00493B75">
      <w:pPr>
        <w:pStyle w:val="Heading4"/>
        <w:rPr>
          <w:rFonts w:cs="Arial"/>
        </w:rPr>
      </w:pPr>
      <w:r w:rsidRPr="005E1202">
        <w:rPr>
          <w:rFonts w:cs="Arial"/>
        </w:rPr>
        <w:t>Geriatric Patients</w:t>
      </w:r>
    </w:p>
    <w:p w:rsidR="00493B75" w:rsidRPr="005E1202" w:rsidRDefault="00493B75" w:rsidP="00997256">
      <w:pPr>
        <w:jc w:val="both"/>
        <w:rPr>
          <w:rFonts w:ascii="Arial" w:hAnsi="Arial" w:cs="Arial"/>
        </w:rPr>
      </w:pPr>
      <w:r w:rsidRPr="005E1202">
        <w:rPr>
          <w:rFonts w:ascii="Arial" w:hAnsi="Arial" w:cs="Arial"/>
        </w:rPr>
        <w:t xml:space="preserve">No dose adjustment of MAVIRET is recommended in geriatric patients. Population pharmacokinetic analysis in HCV-infected patients showed that within the age range (18 to 88 years) analysed, age did not have a clinically relevant effect on the exposure to </w:t>
      </w:r>
      <w:proofErr w:type="spellStart"/>
      <w:r w:rsidRPr="005E1202">
        <w:rPr>
          <w:rFonts w:ascii="Arial" w:hAnsi="Arial" w:cs="Arial"/>
        </w:rPr>
        <w:t>glecaprevir</w:t>
      </w:r>
      <w:proofErr w:type="spellEnd"/>
      <w:r w:rsidRPr="005E1202">
        <w:rPr>
          <w:rFonts w:ascii="Arial" w:hAnsi="Arial" w:cs="Arial"/>
        </w:rPr>
        <w:t xml:space="preserve"> or </w:t>
      </w:r>
      <w:proofErr w:type="spellStart"/>
      <w:r w:rsidRPr="005E1202">
        <w:rPr>
          <w:rFonts w:ascii="Arial" w:hAnsi="Arial" w:cs="Arial"/>
        </w:rPr>
        <w:t>pibrentasvir</w:t>
      </w:r>
      <w:proofErr w:type="spellEnd"/>
      <w:r w:rsidRPr="005E1202">
        <w:rPr>
          <w:rFonts w:ascii="Arial" w:hAnsi="Arial" w:cs="Arial"/>
        </w:rPr>
        <w:t>.</w:t>
      </w:r>
    </w:p>
    <w:p w:rsidR="00493B75" w:rsidRPr="005E1202" w:rsidRDefault="00493B75" w:rsidP="00493B75">
      <w:pPr>
        <w:pStyle w:val="Heading4"/>
        <w:rPr>
          <w:rFonts w:cs="Arial"/>
        </w:rPr>
      </w:pPr>
      <w:r w:rsidRPr="005E1202">
        <w:rPr>
          <w:rFonts w:cs="Arial"/>
        </w:rPr>
        <w:t>Renal Impairment</w:t>
      </w:r>
    </w:p>
    <w:p w:rsidR="00493B75" w:rsidRPr="005E1202" w:rsidRDefault="00493B75" w:rsidP="00997256">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AUC were increased ≤ 56% in non-HCV infected subjects with mild (n=8), moderate (n=8), severe (n=8), or end-stage renal impairment who were not on dialysis (n=6) compared to subjects with normal renal function (n=8).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AUC were similar with and without dialysis (≤ 18% difference) in dialysis-dependent non-HCV infected subjects. In population pharmacokinetic analysis of HCV-infected patients, 86% higher </w:t>
      </w:r>
      <w:proofErr w:type="spellStart"/>
      <w:r w:rsidRPr="005E1202">
        <w:rPr>
          <w:rFonts w:ascii="Arial" w:hAnsi="Arial" w:cs="Arial"/>
        </w:rPr>
        <w:t>glecaprevir</w:t>
      </w:r>
      <w:proofErr w:type="spellEnd"/>
      <w:r w:rsidRPr="005E1202">
        <w:rPr>
          <w:rFonts w:ascii="Arial" w:hAnsi="Arial" w:cs="Arial"/>
        </w:rPr>
        <w:t xml:space="preserve"> and 54% higher </w:t>
      </w:r>
      <w:proofErr w:type="spellStart"/>
      <w:r w:rsidRPr="005E1202">
        <w:rPr>
          <w:rFonts w:ascii="Arial" w:hAnsi="Arial" w:cs="Arial"/>
        </w:rPr>
        <w:t>pibrentasvir</w:t>
      </w:r>
      <w:proofErr w:type="spellEnd"/>
      <w:r w:rsidRPr="005E1202">
        <w:rPr>
          <w:rFonts w:ascii="Arial" w:hAnsi="Arial" w:cs="Arial"/>
        </w:rPr>
        <w:t xml:space="preserve"> AUC were observed for patients with end stage renal disease, with or without dialysis, compared to patients with normal renal function. </w:t>
      </w:r>
    </w:p>
    <w:p w:rsidR="00493B75" w:rsidRPr="005E1202" w:rsidRDefault="00493B75" w:rsidP="00997256">
      <w:pPr>
        <w:jc w:val="both"/>
        <w:rPr>
          <w:rFonts w:ascii="Arial" w:hAnsi="Arial" w:cs="Arial"/>
        </w:rPr>
      </w:pPr>
      <w:r w:rsidRPr="005E1202">
        <w:rPr>
          <w:rFonts w:ascii="Arial" w:hAnsi="Arial" w:cs="Arial"/>
        </w:rPr>
        <w:t>Overall, the changes in exposures of MAVIRET in HCV-infected patients with renal impairment with or without dialysis were not clinically significant.</w:t>
      </w:r>
    </w:p>
    <w:p w:rsidR="00493B75" w:rsidRPr="005E1202" w:rsidRDefault="00493B75" w:rsidP="00997256">
      <w:pPr>
        <w:pStyle w:val="Heading4"/>
        <w:jc w:val="both"/>
        <w:rPr>
          <w:rFonts w:cs="Arial"/>
        </w:rPr>
      </w:pPr>
      <w:r w:rsidRPr="005E1202">
        <w:rPr>
          <w:rFonts w:cs="Arial"/>
        </w:rPr>
        <w:t>Hepatic Impairment</w:t>
      </w:r>
    </w:p>
    <w:p w:rsidR="00493B75" w:rsidRPr="005E1202" w:rsidRDefault="00493B75" w:rsidP="00997256">
      <w:pPr>
        <w:jc w:val="both"/>
        <w:rPr>
          <w:rFonts w:ascii="Arial" w:hAnsi="Arial" w:cs="Arial"/>
        </w:rPr>
      </w:pPr>
      <w:r w:rsidRPr="005E1202">
        <w:rPr>
          <w:rFonts w:ascii="Arial" w:hAnsi="Arial" w:cs="Arial"/>
        </w:rPr>
        <w:t xml:space="preserve">At the clinical dose, compared to non-HCV infected subjects with normal hepatic function (n=6), </w:t>
      </w:r>
      <w:proofErr w:type="spellStart"/>
      <w:r w:rsidRPr="005E1202">
        <w:rPr>
          <w:rFonts w:ascii="Arial" w:hAnsi="Arial" w:cs="Arial"/>
        </w:rPr>
        <w:t>glecaprevir</w:t>
      </w:r>
      <w:proofErr w:type="spellEnd"/>
      <w:r w:rsidRPr="005E1202">
        <w:rPr>
          <w:rFonts w:ascii="Arial" w:hAnsi="Arial" w:cs="Arial"/>
        </w:rPr>
        <w:t xml:space="preserve"> AUC was 33% higher in Child-Pugh</w:t>
      </w:r>
      <w:r w:rsidRPr="005E1202" w:rsidDel="00BD2AD2">
        <w:rPr>
          <w:rFonts w:ascii="Arial" w:hAnsi="Arial" w:cs="Arial"/>
        </w:rPr>
        <w:t xml:space="preserve"> </w:t>
      </w:r>
      <w:r w:rsidRPr="005E1202">
        <w:rPr>
          <w:rFonts w:ascii="Arial" w:hAnsi="Arial" w:cs="Arial"/>
        </w:rPr>
        <w:t>A patients (n=6), 100% higher in Child-Pugh</w:t>
      </w:r>
      <w:r w:rsidRPr="005E1202" w:rsidDel="00BD2AD2">
        <w:rPr>
          <w:rFonts w:ascii="Arial" w:hAnsi="Arial" w:cs="Arial"/>
        </w:rPr>
        <w:t xml:space="preserve"> </w:t>
      </w:r>
      <w:r w:rsidRPr="005E1202">
        <w:rPr>
          <w:rFonts w:ascii="Arial" w:hAnsi="Arial" w:cs="Arial"/>
        </w:rPr>
        <w:t>B patients (n=6), and increased to 11-fold in Child-Pugh</w:t>
      </w:r>
      <w:r w:rsidRPr="005E1202" w:rsidDel="00BD2AD2">
        <w:rPr>
          <w:rFonts w:ascii="Arial" w:hAnsi="Arial" w:cs="Arial"/>
        </w:rPr>
        <w:t xml:space="preserve"> </w:t>
      </w:r>
      <w:r w:rsidRPr="005E1202">
        <w:rPr>
          <w:rFonts w:ascii="Arial" w:hAnsi="Arial" w:cs="Arial"/>
        </w:rPr>
        <w:t xml:space="preserve">C patients (n=6). </w:t>
      </w:r>
      <w:proofErr w:type="spellStart"/>
      <w:r w:rsidRPr="005E1202">
        <w:rPr>
          <w:rFonts w:ascii="Arial" w:hAnsi="Arial" w:cs="Arial"/>
        </w:rPr>
        <w:t>Pibrentasvir</w:t>
      </w:r>
      <w:proofErr w:type="spellEnd"/>
      <w:r w:rsidRPr="005E1202">
        <w:rPr>
          <w:rFonts w:ascii="Arial" w:hAnsi="Arial" w:cs="Arial"/>
        </w:rPr>
        <w:t xml:space="preserve"> AUC was similar in Child-Pugh</w:t>
      </w:r>
      <w:r w:rsidRPr="005E1202" w:rsidDel="00BD2AD2">
        <w:rPr>
          <w:rFonts w:ascii="Arial" w:hAnsi="Arial" w:cs="Arial"/>
        </w:rPr>
        <w:t xml:space="preserve"> </w:t>
      </w:r>
      <w:r w:rsidRPr="005E1202">
        <w:rPr>
          <w:rFonts w:ascii="Arial" w:hAnsi="Arial" w:cs="Arial"/>
        </w:rPr>
        <w:t>A patients, 26% higher in Child-Pugh</w:t>
      </w:r>
      <w:r w:rsidRPr="005E1202" w:rsidDel="00BD2AD2">
        <w:rPr>
          <w:rFonts w:ascii="Arial" w:hAnsi="Arial" w:cs="Arial"/>
        </w:rPr>
        <w:t xml:space="preserve"> </w:t>
      </w:r>
      <w:r w:rsidRPr="005E1202">
        <w:rPr>
          <w:rFonts w:ascii="Arial" w:hAnsi="Arial" w:cs="Arial"/>
        </w:rPr>
        <w:t>B patients, and 114% higher in Child-Pugh</w:t>
      </w:r>
      <w:r w:rsidRPr="005E1202" w:rsidDel="00BD2AD2">
        <w:rPr>
          <w:rFonts w:ascii="Arial" w:hAnsi="Arial" w:cs="Arial"/>
        </w:rPr>
        <w:t xml:space="preserve"> </w:t>
      </w:r>
      <w:r w:rsidRPr="005E1202">
        <w:rPr>
          <w:rFonts w:ascii="Arial" w:hAnsi="Arial" w:cs="Arial"/>
        </w:rPr>
        <w:t>C patients.</w:t>
      </w:r>
    </w:p>
    <w:p w:rsidR="00493B75" w:rsidRPr="005E1202" w:rsidRDefault="00493B75" w:rsidP="00997256">
      <w:pPr>
        <w:jc w:val="both"/>
        <w:rPr>
          <w:rFonts w:ascii="Arial" w:hAnsi="Arial" w:cs="Arial"/>
        </w:rPr>
      </w:pPr>
      <w:r w:rsidRPr="005E1202">
        <w:rPr>
          <w:rFonts w:ascii="Arial" w:hAnsi="Arial" w:cs="Arial"/>
        </w:rPr>
        <w:t xml:space="preserve">Following administration of MAVIRET in HCV infected patients with compensated (Child-Pugh A) cirrhosis, exposure of </w:t>
      </w:r>
      <w:proofErr w:type="spellStart"/>
      <w:r w:rsidRPr="005E1202">
        <w:rPr>
          <w:rFonts w:ascii="Arial" w:hAnsi="Arial" w:cs="Arial"/>
        </w:rPr>
        <w:t>glecaprevir</w:t>
      </w:r>
      <w:proofErr w:type="spellEnd"/>
      <w:r w:rsidRPr="005E1202">
        <w:rPr>
          <w:rFonts w:ascii="Arial" w:hAnsi="Arial" w:cs="Arial"/>
        </w:rPr>
        <w:t xml:space="preserve"> was approximately 2-fold and </w:t>
      </w:r>
      <w:proofErr w:type="spellStart"/>
      <w:r w:rsidRPr="005E1202">
        <w:rPr>
          <w:rFonts w:ascii="Arial" w:hAnsi="Arial" w:cs="Arial"/>
        </w:rPr>
        <w:t>pibrentasvir</w:t>
      </w:r>
      <w:proofErr w:type="spellEnd"/>
      <w:r w:rsidRPr="005E1202">
        <w:rPr>
          <w:rFonts w:ascii="Arial" w:hAnsi="Arial" w:cs="Arial"/>
        </w:rPr>
        <w:t xml:space="preserve"> exposure was similar to non-cirrhotic HCV infected patients, however there was significant </w:t>
      </w:r>
      <w:r w:rsidRPr="005E1202">
        <w:rPr>
          <w:rFonts w:ascii="Arial" w:hAnsi="Arial" w:cs="Arial"/>
        </w:rPr>
        <w:lastRenderedPageBreak/>
        <w:t>overlap in exposures. Therefore, recommendations for drug-drug interactions are not different for cirrhotic (Child-Pugh A) and non-cirrhotic subjects.</w:t>
      </w:r>
    </w:p>
    <w:p w:rsidR="00493B75" w:rsidRPr="005E1202" w:rsidRDefault="00493B75" w:rsidP="00493B75">
      <w:pPr>
        <w:pStyle w:val="Heading3"/>
        <w:rPr>
          <w:rFonts w:cs="Arial"/>
        </w:rPr>
      </w:pPr>
      <w:r w:rsidRPr="005E1202">
        <w:rPr>
          <w:rFonts w:cs="Arial"/>
        </w:rPr>
        <w:t>Drug Interactions</w:t>
      </w:r>
    </w:p>
    <w:p w:rsidR="00493B75" w:rsidRDefault="00493B75" w:rsidP="00997256">
      <w:pPr>
        <w:jc w:val="both"/>
        <w:rPr>
          <w:rFonts w:ascii="Arial" w:hAnsi="Arial" w:cs="Arial"/>
        </w:rPr>
      </w:pPr>
      <w:r w:rsidRPr="005E1202">
        <w:rPr>
          <w:rFonts w:ascii="Arial" w:hAnsi="Arial" w:cs="Arial"/>
        </w:rPr>
        <w:t xml:space="preserve">Drug interaction studies were performed with </w:t>
      </w:r>
      <w:proofErr w:type="spellStart"/>
      <w:r w:rsidRPr="005E1202">
        <w:rPr>
          <w:rFonts w:ascii="Arial" w:hAnsi="Arial" w:cs="Arial"/>
        </w:rPr>
        <w:t>glecaprevir</w:t>
      </w:r>
      <w:proofErr w:type="spellEnd"/>
      <w:r w:rsidR="00997256">
        <w:rPr>
          <w:rFonts w:ascii="Arial" w:hAnsi="Arial" w:cs="Arial"/>
        </w:rPr>
        <w:t xml:space="preserve"> </w:t>
      </w:r>
      <w:r w:rsidRPr="005E1202">
        <w:rPr>
          <w:rFonts w:ascii="Arial" w:hAnsi="Arial" w:cs="Arial"/>
        </w:rPr>
        <w:t>/</w:t>
      </w:r>
      <w:r w:rsidR="00997256">
        <w:rPr>
          <w:rFonts w:ascii="Arial" w:hAnsi="Arial" w:cs="Arial"/>
        </w:rPr>
        <w:t xml:space="preserve"> </w:t>
      </w:r>
      <w:proofErr w:type="spellStart"/>
      <w:r w:rsidRPr="005E1202">
        <w:rPr>
          <w:rFonts w:ascii="Arial" w:hAnsi="Arial" w:cs="Arial"/>
        </w:rPr>
        <w:t>pibrentasvir</w:t>
      </w:r>
      <w:proofErr w:type="spellEnd"/>
      <w:r w:rsidRPr="005E1202">
        <w:rPr>
          <w:rFonts w:ascii="Arial" w:hAnsi="Arial" w:cs="Arial"/>
        </w:rPr>
        <w:t xml:space="preserve"> and other drugs that are likely to be </w:t>
      </w:r>
      <w:proofErr w:type="spellStart"/>
      <w:r w:rsidRPr="005E1202">
        <w:rPr>
          <w:rFonts w:ascii="Arial" w:hAnsi="Arial" w:cs="Arial"/>
        </w:rPr>
        <w:t>coadministered</w:t>
      </w:r>
      <w:proofErr w:type="spellEnd"/>
      <w:r w:rsidRPr="005E1202">
        <w:rPr>
          <w:rFonts w:ascii="Arial" w:hAnsi="Arial" w:cs="Arial"/>
        </w:rPr>
        <w:t xml:space="preserve"> and with drugs commonly used as probes for pharmacokinetic interactions. </w:t>
      </w:r>
      <w:hyperlink w:anchor="table_7" w:tooltip="gtc:Link" w:history="1">
        <w:r w:rsidRPr="005E1202">
          <w:rPr>
            <w:rFonts w:ascii="Arial" w:hAnsi="Arial" w:cs="Arial"/>
          </w:rPr>
          <w:t xml:space="preserve">Tables </w:t>
        </w:r>
      </w:hyperlink>
      <w:r w:rsidR="008D55BB">
        <w:rPr>
          <w:rFonts w:ascii="Arial" w:hAnsi="Arial" w:cs="Arial"/>
        </w:rPr>
        <w:t>15</w:t>
      </w:r>
      <w:r w:rsidRPr="005E1202">
        <w:rPr>
          <w:rFonts w:ascii="Arial" w:hAnsi="Arial" w:cs="Arial"/>
        </w:rPr>
        <w:t xml:space="preserve"> and </w:t>
      </w:r>
      <w:r w:rsidR="008D55BB">
        <w:rPr>
          <w:rFonts w:ascii="Arial" w:hAnsi="Arial" w:cs="Arial"/>
        </w:rPr>
        <w:t>16</w:t>
      </w:r>
      <w:r w:rsidRPr="005E1202">
        <w:rPr>
          <w:rFonts w:ascii="Arial" w:hAnsi="Arial" w:cs="Arial"/>
        </w:rPr>
        <w:t xml:space="preserve"> summarise the pharmacokinetic effects when </w:t>
      </w:r>
      <w:proofErr w:type="spellStart"/>
      <w:r w:rsidRPr="005E1202">
        <w:rPr>
          <w:rFonts w:ascii="Arial" w:hAnsi="Arial" w:cs="Arial"/>
        </w:rPr>
        <w:t>glecaprevir</w:t>
      </w:r>
      <w:proofErr w:type="spellEnd"/>
      <w:r w:rsidR="00997256">
        <w:rPr>
          <w:rFonts w:ascii="Arial" w:hAnsi="Arial" w:cs="Arial"/>
        </w:rPr>
        <w:t xml:space="preserve"> </w:t>
      </w:r>
      <w:r w:rsidRPr="005E1202">
        <w:rPr>
          <w:rFonts w:ascii="Arial" w:hAnsi="Arial" w:cs="Arial"/>
        </w:rPr>
        <w:t>/</w:t>
      </w:r>
      <w:r w:rsidR="00997256">
        <w:rPr>
          <w:rFonts w:ascii="Arial" w:hAnsi="Arial" w:cs="Arial"/>
        </w:rPr>
        <w:t xml:space="preserve"> </w:t>
      </w:r>
      <w:proofErr w:type="spellStart"/>
      <w:r w:rsidRPr="005E1202">
        <w:rPr>
          <w:rFonts w:ascii="Arial" w:hAnsi="Arial" w:cs="Arial"/>
        </w:rPr>
        <w:t>pibrentasvir</w:t>
      </w:r>
      <w:proofErr w:type="spellEnd"/>
      <w:r w:rsidRPr="005E1202">
        <w:rPr>
          <w:rFonts w:ascii="Arial" w:hAnsi="Arial" w:cs="Arial"/>
          <w:i/>
        </w:rPr>
        <w:t xml:space="preserve"> </w:t>
      </w:r>
      <w:r w:rsidRPr="005E1202">
        <w:rPr>
          <w:rFonts w:ascii="Arial" w:hAnsi="Arial" w:cs="Arial"/>
        </w:rPr>
        <w:t xml:space="preserve">was </w:t>
      </w:r>
      <w:proofErr w:type="spellStart"/>
      <w:r w:rsidRPr="005E1202">
        <w:rPr>
          <w:rFonts w:ascii="Arial" w:hAnsi="Arial" w:cs="Arial"/>
        </w:rPr>
        <w:t>coadministered</w:t>
      </w:r>
      <w:proofErr w:type="spellEnd"/>
      <w:r w:rsidRPr="005E1202">
        <w:rPr>
          <w:rFonts w:ascii="Arial" w:hAnsi="Arial" w:cs="Arial"/>
        </w:rPr>
        <w:t xml:space="preserve"> with other drugs which showed potentially clinically relevant changes.</w:t>
      </w:r>
    </w:p>
    <w:p w:rsidR="00AB396F" w:rsidRPr="005E1202" w:rsidRDefault="00AB396F" w:rsidP="00997256">
      <w:pPr>
        <w:jc w:val="both"/>
        <w:rPr>
          <w:rFonts w:ascii="Arial" w:hAnsi="Arial" w:cs="Arial"/>
        </w:rPr>
      </w:pPr>
    </w:p>
    <w:p w:rsidR="00493B75" w:rsidRPr="005E1202" w:rsidRDefault="00493B75" w:rsidP="00AB396F">
      <w:pPr>
        <w:jc w:val="both"/>
        <w:rPr>
          <w:rFonts w:ascii="Arial" w:hAnsi="Arial" w:cs="Arial"/>
          <w:b/>
        </w:rPr>
      </w:pPr>
      <w:proofErr w:type="gramStart"/>
      <w:r w:rsidRPr="005E1202">
        <w:rPr>
          <w:rFonts w:ascii="Arial" w:hAnsi="Arial" w:cs="Arial"/>
          <w:b/>
        </w:rPr>
        <w:t xml:space="preserve">Table </w:t>
      </w:r>
      <w:r w:rsidR="008D55BB">
        <w:rPr>
          <w:rFonts w:ascii="Arial" w:hAnsi="Arial" w:cs="Arial"/>
          <w:b/>
        </w:rPr>
        <w:t>15</w:t>
      </w:r>
      <w:r w:rsidRPr="005E1202">
        <w:rPr>
          <w:rFonts w:ascii="Arial" w:hAnsi="Arial" w:cs="Arial"/>
          <w:b/>
        </w:rPr>
        <w:t>.</w:t>
      </w:r>
      <w:proofErr w:type="gramEnd"/>
      <w:r w:rsidRPr="005E1202">
        <w:rPr>
          <w:rFonts w:ascii="Arial" w:hAnsi="Arial" w:cs="Arial"/>
          <w:b/>
        </w:rPr>
        <w:t xml:space="preserve"> Drug Interactions: Changes in Pharmacokinetic Parameters of </w:t>
      </w:r>
      <w:proofErr w:type="spellStart"/>
      <w:r w:rsidRPr="005E1202">
        <w:rPr>
          <w:rFonts w:ascii="Arial" w:hAnsi="Arial" w:cs="Arial"/>
          <w:b/>
        </w:rPr>
        <w:t>Glecaprevir</w:t>
      </w:r>
      <w:proofErr w:type="spellEnd"/>
      <w:r w:rsidRPr="005E1202">
        <w:rPr>
          <w:rFonts w:ascii="Arial" w:hAnsi="Arial" w:cs="Arial"/>
          <w:b/>
        </w:rPr>
        <w:t xml:space="preserve"> or </w:t>
      </w:r>
      <w:proofErr w:type="spellStart"/>
      <w:r w:rsidRPr="005E1202">
        <w:rPr>
          <w:rFonts w:ascii="Arial" w:hAnsi="Arial" w:cs="Arial"/>
          <w:b/>
        </w:rPr>
        <w:t>Pibrentasvir</w:t>
      </w:r>
      <w:proofErr w:type="spellEnd"/>
      <w:r w:rsidRPr="005E1202">
        <w:rPr>
          <w:rFonts w:ascii="Arial" w:hAnsi="Arial" w:cs="Arial"/>
          <w:b/>
        </w:rPr>
        <w:t xml:space="preserve"> in the Presence of </w:t>
      </w:r>
      <w:proofErr w:type="spellStart"/>
      <w:r w:rsidRPr="005E1202">
        <w:rPr>
          <w:rFonts w:ascii="Arial" w:hAnsi="Arial" w:cs="Arial"/>
          <w:b/>
        </w:rPr>
        <w:t>Coadministered</w:t>
      </w:r>
      <w:proofErr w:type="spellEnd"/>
      <w:r w:rsidRPr="005E1202">
        <w:rPr>
          <w:rFonts w:ascii="Arial" w:hAnsi="Arial" w:cs="Arial"/>
          <w:b/>
        </w:rPr>
        <w:t xml:space="preserve"> Drug</w:t>
      </w:r>
    </w:p>
    <w:tbl>
      <w:tblPr>
        <w:tblW w:w="9859" w:type="dxa"/>
        <w:jc w:val="center"/>
        <w:tblLayout w:type="fixed"/>
        <w:tblCellMar>
          <w:left w:w="0" w:type="dxa"/>
          <w:right w:w="0" w:type="dxa"/>
        </w:tblCellMar>
        <w:tblLook w:val="04A0" w:firstRow="1" w:lastRow="0" w:firstColumn="1" w:lastColumn="0" w:noHBand="0" w:noVBand="1"/>
      </w:tblPr>
      <w:tblGrid>
        <w:gridCol w:w="1702"/>
        <w:gridCol w:w="1559"/>
        <w:gridCol w:w="1560"/>
        <w:gridCol w:w="708"/>
        <w:gridCol w:w="1276"/>
        <w:gridCol w:w="992"/>
        <w:gridCol w:w="993"/>
        <w:gridCol w:w="1069"/>
      </w:tblGrid>
      <w:tr w:rsidR="00493B75" w:rsidRPr="005E1202" w:rsidTr="00493B75">
        <w:trPr>
          <w:tblHeader/>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Co-administered Drug</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Regimen of </w:t>
            </w:r>
            <w:r w:rsidRPr="005E1202">
              <w:rPr>
                <w:rFonts w:ascii="Arial" w:hAnsi="Arial" w:cs="Arial"/>
                <w:b/>
                <w:sz w:val="20"/>
              </w:rPr>
              <w:br/>
              <w:t>Co-administered Drug (mg)</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Regimen of </w:t>
            </w:r>
            <w:proofErr w:type="spellStart"/>
            <w:r w:rsidRPr="005E1202">
              <w:rPr>
                <w:rFonts w:ascii="Arial" w:hAnsi="Arial" w:cs="Arial"/>
                <w:b/>
                <w:sz w:val="20"/>
              </w:rPr>
              <w:t>glecaprevir</w:t>
            </w:r>
            <w:proofErr w:type="spellEnd"/>
            <w:r w:rsidRPr="005E1202">
              <w:rPr>
                <w:rFonts w:ascii="Arial" w:hAnsi="Arial" w:cs="Arial"/>
                <w:b/>
                <w:sz w:val="20"/>
              </w:rPr>
              <w:t xml:space="preserve"> / </w:t>
            </w:r>
            <w:proofErr w:type="spellStart"/>
            <w:r w:rsidRPr="005E1202">
              <w:rPr>
                <w:rFonts w:ascii="Arial" w:hAnsi="Arial" w:cs="Arial"/>
                <w:b/>
                <w:sz w:val="20"/>
              </w:rPr>
              <w:t>pibrentasvir</w:t>
            </w:r>
            <w:proofErr w:type="spellEnd"/>
            <w:r w:rsidRPr="005E1202">
              <w:rPr>
                <w:rFonts w:ascii="Arial" w:hAnsi="Arial" w:cs="Arial"/>
                <w:b/>
                <w:sz w:val="20"/>
              </w:rPr>
              <w:t xml:space="preserve"> (mg)</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N</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DAA</w:t>
            </w:r>
          </w:p>
        </w:tc>
        <w:tc>
          <w:tcPr>
            <w:tcW w:w="30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b/>
                <w:sz w:val="20"/>
              </w:rPr>
            </w:pPr>
            <w:r w:rsidRPr="005E1202">
              <w:rPr>
                <w:rFonts w:ascii="Arial" w:hAnsi="Arial" w:cs="Arial"/>
                <w:b/>
                <w:sz w:val="20"/>
              </w:rPr>
              <w:t>Central Value Ratio (90% CI)</w:t>
            </w:r>
          </w:p>
        </w:tc>
      </w:tr>
      <w:tr w:rsidR="00493B75" w:rsidRPr="005E1202" w:rsidTr="00493B75">
        <w:trPr>
          <w:tblHeader/>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155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1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1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b/>
                <w:sz w:val="20"/>
              </w:rPr>
            </w:pPr>
            <w:proofErr w:type="spellStart"/>
            <w:r w:rsidRPr="005E1202">
              <w:rPr>
                <w:rFonts w:ascii="Arial" w:hAnsi="Arial" w:cs="Arial"/>
                <w:b/>
                <w:sz w:val="20"/>
              </w:rPr>
              <w:t>C</w:t>
            </w:r>
            <w:r w:rsidRPr="005E1202">
              <w:rPr>
                <w:rFonts w:ascii="Arial" w:hAnsi="Arial" w:cs="Arial"/>
                <w:b/>
                <w:sz w:val="20"/>
                <w:vertAlign w:val="subscript"/>
              </w:rPr>
              <w:t>max</w:t>
            </w:r>
            <w:proofErr w:type="spellEnd"/>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b/>
                <w:sz w:val="20"/>
              </w:rPr>
            </w:pPr>
            <w:r w:rsidRPr="005E1202">
              <w:rPr>
                <w:rFonts w:ascii="Arial" w:hAnsi="Arial" w:cs="Arial"/>
                <w:b/>
                <w:sz w:val="20"/>
              </w:rPr>
              <w:t>AUC</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b/>
                <w:sz w:val="20"/>
              </w:rPr>
            </w:pPr>
            <w:proofErr w:type="spellStart"/>
            <w:r w:rsidRPr="005E1202">
              <w:rPr>
                <w:rFonts w:ascii="Arial" w:hAnsi="Arial" w:cs="Arial"/>
                <w:b/>
                <w:sz w:val="20"/>
              </w:rPr>
              <w:t>C</w:t>
            </w:r>
            <w:r w:rsidRPr="005E1202">
              <w:rPr>
                <w:rFonts w:ascii="Arial" w:hAnsi="Arial" w:cs="Arial"/>
                <w:b/>
                <w:sz w:val="20"/>
                <w:vertAlign w:val="subscript"/>
              </w:rPr>
              <w:t>min</w:t>
            </w:r>
            <w:proofErr w:type="spellEnd"/>
          </w:p>
        </w:tc>
      </w:tr>
      <w:tr w:rsidR="00493B75" w:rsidRPr="005E1202" w:rsidTr="00493B75">
        <w:trPr>
          <w:cantSplit/>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Carbamazepine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200 twice daily</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single dose</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0.33   (0.27, 0.41)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0.34   (0.28, 0.40)</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hAnsi="Arial" w:cs="Arial"/>
                <w:sz w:val="20"/>
              </w:rPr>
              <w:t>--</w:t>
            </w:r>
          </w:p>
        </w:tc>
      </w:tr>
      <w:tr w:rsidR="00493B75" w:rsidRPr="005E1202" w:rsidTr="00493B75">
        <w:trPr>
          <w:cantSplit/>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0.50   (0.42, 0.59)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0.49   (0.43, 0.55)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hAnsi="Arial" w:cs="Arial"/>
                <w:sz w:val="20"/>
              </w:rPr>
              <w:t>--</w:t>
            </w:r>
          </w:p>
        </w:tc>
      </w:tr>
      <w:tr w:rsidR="00493B75" w:rsidRPr="005E1202" w:rsidTr="00493B75">
        <w:trPr>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Rifampicin</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600 (first dose)</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single dose</w:t>
            </w: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6.52 (5.06, 8.41)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8.55 (7.01, 10.</w:t>
            </w:r>
            <w:r w:rsidRPr="005E1202" w:rsidDel="00671E0E">
              <w:rPr>
                <w:rFonts w:ascii="Arial" w:eastAsia="Calibri" w:hAnsi="Arial" w:cs="Arial"/>
                <w:sz w:val="20"/>
              </w:rPr>
              <w:t>4</w:t>
            </w:r>
            <w:r w:rsidRPr="005E1202">
              <w:rPr>
                <w:rFonts w:ascii="Arial" w:eastAsia="Calibri" w:hAnsi="Arial"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jc w:val="center"/>
        </w:trPr>
        <w:tc>
          <w:tcPr>
            <w:tcW w:w="1702" w:type="dxa"/>
            <w:vMerge/>
            <w:tcBorders>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jc w:val="center"/>
        </w:trPr>
        <w:tc>
          <w:tcPr>
            <w:tcW w:w="1702" w:type="dxa"/>
            <w:vMerge/>
            <w:tcBorders>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600 once daily</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 xml:space="preserve">single </w:t>
            </w:r>
            <w:proofErr w:type="spellStart"/>
            <w:r w:rsidRPr="005E1202">
              <w:rPr>
                <w:rFonts w:ascii="Arial" w:hAnsi="Arial" w:cs="Arial"/>
                <w:sz w:val="20"/>
              </w:rPr>
              <w:t>dose</w:t>
            </w:r>
            <w:r w:rsidRPr="005E1202">
              <w:rPr>
                <w:rFonts w:ascii="Arial" w:hAnsi="Arial" w:cs="Arial"/>
                <w:sz w:val="20"/>
                <w:vertAlign w:val="superscript"/>
              </w:rPr>
              <w:t>a</w:t>
            </w:r>
            <w:proofErr w:type="spellEnd"/>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0.14 (0.11, 0.19)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0.12 (0.09, 0.15)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0.17 (0.14, 0.20)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0.13 (0.11, 0.15)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Ciclosporin</w:t>
            </w:r>
            <w:proofErr w:type="spellEnd"/>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100 single dose</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once daily</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1.30   (0.95, 1.78)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1.37   (1.13, 1.66)</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1.34     (1.12, 1.60)</w:t>
            </w:r>
          </w:p>
        </w:tc>
      </w:tr>
      <w:tr w:rsidR="00493B75" w:rsidRPr="005E1202" w:rsidTr="00493B75">
        <w:trPr>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1.26   (1.15, 1.37)</w:t>
            </w:r>
          </w:p>
        </w:tc>
      </w:tr>
      <w:tr w:rsidR="00493B75" w:rsidRPr="005E1202" w:rsidTr="00493B75">
        <w:trPr>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400 single </w:t>
            </w:r>
            <w:r w:rsidRPr="005E1202">
              <w:rPr>
                <w:rFonts w:ascii="Arial" w:hAnsi="Arial" w:cs="Arial"/>
                <w:sz w:val="20"/>
              </w:rPr>
              <w:lastRenderedPageBreak/>
              <w:t>dose</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lastRenderedPageBreak/>
              <w:t xml:space="preserve">300/120  </w:t>
            </w:r>
            <w:r w:rsidRPr="005E1202">
              <w:rPr>
                <w:rFonts w:ascii="Arial" w:hAnsi="Arial" w:cs="Arial"/>
                <w:sz w:val="20"/>
              </w:rPr>
              <w:lastRenderedPageBreak/>
              <w:t>single dose</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lastRenderedPageBreak/>
              <w:t>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4.51   (3.63, </w:t>
            </w:r>
            <w:r w:rsidRPr="005E1202">
              <w:rPr>
                <w:rFonts w:ascii="Arial" w:hAnsi="Arial" w:cs="Arial"/>
                <w:sz w:val="20"/>
              </w:rPr>
              <w:lastRenderedPageBreak/>
              <w:t>6.05)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lastRenderedPageBreak/>
              <w:t xml:space="preserve">5.08   (4.11, </w:t>
            </w:r>
            <w:r w:rsidRPr="005E1202">
              <w:rPr>
                <w:rFonts w:ascii="Arial" w:hAnsi="Arial" w:cs="Arial"/>
                <w:sz w:val="20"/>
              </w:rPr>
              <w:lastRenderedPageBreak/>
              <w:t>6.29)</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lastRenderedPageBreak/>
              <w:t>--</w:t>
            </w:r>
          </w:p>
        </w:tc>
      </w:tr>
      <w:tr w:rsidR="00493B75" w:rsidRPr="005E1202" w:rsidTr="00493B75">
        <w:trPr>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1.93   (1.78, 2.09)</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Atazanavir</w:t>
            </w:r>
            <w:proofErr w:type="spellEnd"/>
            <w:r w:rsidRPr="005E1202">
              <w:rPr>
                <w:rFonts w:ascii="Arial" w:hAnsi="Arial" w:cs="Arial"/>
                <w:sz w:val="20"/>
              </w:rPr>
              <w:t xml:space="preserve"> (ATZ) + ritonavir (RTV)</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ATZ 300 + </w:t>
            </w:r>
            <w:r w:rsidRPr="005E1202">
              <w:rPr>
                <w:rFonts w:ascii="Arial" w:hAnsi="Arial" w:cs="Arial"/>
                <w:sz w:val="20"/>
              </w:rPr>
              <w:br/>
              <w:t>RTV 100 once daily</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 xml:space="preserve">once </w:t>
            </w:r>
            <w:proofErr w:type="spellStart"/>
            <w:r w:rsidRPr="005E1202">
              <w:rPr>
                <w:rFonts w:ascii="Arial" w:hAnsi="Arial" w:cs="Arial"/>
                <w:sz w:val="20"/>
              </w:rPr>
              <w:t>daily</w:t>
            </w:r>
            <w:r w:rsidRPr="005E1202">
              <w:rPr>
                <w:rFonts w:ascii="Arial" w:hAnsi="Arial" w:cs="Arial"/>
                <w:sz w:val="20"/>
                <w:vertAlign w:val="superscript"/>
              </w:rPr>
              <w:t>b</w:t>
            </w:r>
            <w:proofErr w:type="spellEnd"/>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4.06</w:t>
            </w:r>
          </w:p>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(3.15, 5.23)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6.53</w:t>
            </w:r>
          </w:p>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(5.24, 8.14)</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14.3</w:t>
            </w:r>
            <w:r w:rsidRPr="005E1202">
              <w:rPr>
                <w:rFonts w:ascii="Arial" w:eastAsia="Calibri" w:hAnsi="Arial" w:cs="Arial"/>
                <w:sz w:val="20"/>
              </w:rPr>
              <w:br/>
              <w:t>(9.85, 20.7)</w:t>
            </w:r>
          </w:p>
        </w:tc>
      </w:tr>
      <w:tr w:rsidR="00493B75" w:rsidRPr="005E1202" w:rsidTr="00493B75">
        <w:trPr>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eastAsia="Calibri"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1.29 (1.15, 1.45)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1.64 (1.48, 1.82)</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 2.29</w:t>
            </w:r>
            <w:r w:rsidRPr="005E1202">
              <w:rPr>
                <w:rFonts w:ascii="Arial" w:eastAsia="Calibri" w:hAnsi="Arial" w:cs="Arial"/>
                <w:sz w:val="20"/>
              </w:rPr>
              <w:br/>
              <w:t>(1.95, 2.68)</w:t>
            </w:r>
          </w:p>
        </w:tc>
      </w:tr>
      <w:tr w:rsidR="00493B75" w:rsidRPr="005E1202" w:rsidTr="00493B75">
        <w:trPr>
          <w:trHeight w:val="105"/>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eastAsia="Calibri" w:hAnsi="Arial" w:cs="Arial"/>
                <w:sz w:val="20"/>
              </w:rPr>
              <w:t>Darunavir</w:t>
            </w:r>
            <w:proofErr w:type="spellEnd"/>
            <w:r w:rsidRPr="005E1202">
              <w:rPr>
                <w:rFonts w:ascii="Arial" w:eastAsia="Calibri" w:hAnsi="Arial" w:cs="Arial"/>
                <w:sz w:val="20"/>
              </w:rPr>
              <w:t xml:space="preserve"> (DRV) + RTV</w:t>
            </w:r>
          </w:p>
          <w:p w:rsidR="00493B75" w:rsidRPr="005E1202" w:rsidRDefault="00493B75" w:rsidP="00493B75">
            <w:pPr>
              <w:jc w:val="center"/>
              <w:rPr>
                <w:rFonts w:ascii="Arial" w:hAnsi="Arial" w:cs="Arial"/>
                <w:sz w:val="20"/>
              </w:rPr>
            </w:pP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DRV 800 + </w:t>
            </w:r>
            <w:r w:rsidRPr="005E1202">
              <w:rPr>
                <w:rFonts w:ascii="Arial" w:hAnsi="Arial" w:cs="Arial"/>
                <w:sz w:val="20"/>
              </w:rPr>
              <w:br/>
              <w:t>RTV 100 once daily</w:t>
            </w:r>
          </w:p>
          <w:p w:rsidR="00493B75" w:rsidRPr="005E1202" w:rsidRDefault="00493B75" w:rsidP="00493B75">
            <w:pPr>
              <w:jc w:val="center"/>
              <w:rPr>
                <w:rFonts w:ascii="Arial" w:hAnsi="Arial" w:cs="Arial"/>
                <w:sz w:val="20"/>
              </w:rPr>
            </w:pP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once daily</w:t>
            </w:r>
          </w:p>
          <w:p w:rsidR="00493B75" w:rsidRPr="005E1202" w:rsidRDefault="00493B75" w:rsidP="00493B75">
            <w:pPr>
              <w:jc w:val="center"/>
              <w:rPr>
                <w:rFonts w:ascii="Arial" w:hAnsi="Arial" w:cs="Arial"/>
                <w:sz w:val="20"/>
              </w:rPr>
            </w:pP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8</w:t>
            </w:r>
          </w:p>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3.09   (2.26, 4.20)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4.97   (3.62, 6.84)</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8.24</w:t>
            </w:r>
            <w:r w:rsidRPr="005E1202">
              <w:rPr>
                <w:rFonts w:ascii="Arial" w:eastAsia="Calibri" w:hAnsi="Arial" w:cs="Arial"/>
                <w:sz w:val="20"/>
              </w:rPr>
              <w:br/>
              <w:t>(4.40, 15.4)</w:t>
            </w:r>
          </w:p>
        </w:tc>
      </w:tr>
      <w:tr w:rsidR="00493B75" w:rsidRPr="005E1202" w:rsidTr="00493B75">
        <w:trPr>
          <w:trHeight w:val="105"/>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1.66</w:t>
            </w:r>
            <w:r w:rsidRPr="005E1202">
              <w:rPr>
                <w:rFonts w:ascii="Arial" w:eastAsia="Calibri" w:hAnsi="Arial" w:cs="Arial"/>
                <w:sz w:val="20"/>
              </w:rPr>
              <w:br/>
              <w:t>(1.25, 2.21)</w:t>
            </w:r>
          </w:p>
        </w:tc>
      </w:tr>
      <w:tr w:rsidR="00493B75" w:rsidRPr="005E1202" w:rsidTr="00493B75">
        <w:trPr>
          <w:cantSplit/>
          <w:trHeight w:val="105"/>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eastAsia="Calibri" w:hAnsi="Arial" w:cs="Arial"/>
                <w:sz w:val="20"/>
              </w:rPr>
              <w:t>Lopinavir</w:t>
            </w:r>
            <w:proofErr w:type="spellEnd"/>
            <w:r w:rsidR="00FD1E1E">
              <w:rPr>
                <w:rFonts w:ascii="Arial" w:eastAsia="Calibri" w:hAnsi="Arial" w:cs="Arial"/>
                <w:sz w:val="20"/>
              </w:rPr>
              <w:t xml:space="preserve"> </w:t>
            </w:r>
            <w:r w:rsidRPr="005E1202">
              <w:rPr>
                <w:rFonts w:ascii="Arial" w:eastAsia="Calibri" w:hAnsi="Arial" w:cs="Arial"/>
                <w:sz w:val="20"/>
              </w:rPr>
              <w:t>/ ritonavir</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400/100 </w:t>
            </w:r>
            <w:r w:rsidR="00AB396F">
              <w:rPr>
                <w:rFonts w:ascii="Arial" w:hAnsi="Arial" w:cs="Arial"/>
                <w:sz w:val="20"/>
              </w:rPr>
              <w:t xml:space="preserve">  </w:t>
            </w:r>
            <w:r w:rsidRPr="005E1202">
              <w:rPr>
                <w:rFonts w:ascii="Arial" w:hAnsi="Arial" w:cs="Arial"/>
                <w:sz w:val="20"/>
              </w:rPr>
              <w:t>twice daily</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 xml:space="preserve">300/120 </w:t>
            </w:r>
            <w:r w:rsidR="00AB396F">
              <w:rPr>
                <w:rFonts w:ascii="Arial" w:hAnsi="Arial" w:cs="Arial"/>
                <w:sz w:val="20"/>
              </w:rPr>
              <w:t xml:space="preserve">   </w:t>
            </w:r>
            <w:r w:rsidRPr="005E1202">
              <w:rPr>
                <w:rFonts w:ascii="Arial" w:hAnsi="Arial" w:cs="Arial"/>
                <w:sz w:val="20"/>
              </w:rPr>
              <w:t>once daily</w:t>
            </w: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r w:rsidRPr="005E1202">
              <w:rPr>
                <w:rFonts w:ascii="Arial" w:hAnsi="Arial" w:cs="Arial"/>
                <w:sz w:val="20"/>
              </w:rPr>
              <w:t>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glecaprevir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2.55    (1.84, 3.52)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4.38   (3.02, 6.36)</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18.6</w:t>
            </w:r>
            <w:r w:rsidRPr="005E1202">
              <w:rPr>
                <w:rFonts w:ascii="Arial" w:eastAsia="Calibri" w:hAnsi="Arial" w:cs="Arial"/>
                <w:sz w:val="20"/>
              </w:rPr>
              <w:br/>
              <w:t>(10.4, 33.5)</w:t>
            </w:r>
          </w:p>
        </w:tc>
      </w:tr>
      <w:tr w:rsidR="00493B75" w:rsidRPr="005E1202" w:rsidTr="00493B75">
        <w:trPr>
          <w:cantSplit/>
          <w:trHeight w:val="105"/>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5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jc w:val="center"/>
              <w:rPr>
                <w:rFonts w:ascii="Arial" w:hAnsi="Arial" w:cs="Arial"/>
                <w:sz w:val="20"/>
              </w:rPr>
            </w:pPr>
            <w:proofErr w:type="spellStart"/>
            <w:r w:rsidRPr="005E1202">
              <w:rPr>
                <w:rFonts w:ascii="Arial" w:hAnsi="Arial" w:cs="Arial"/>
                <w:sz w:val="20"/>
              </w:rPr>
              <w:t>pibrentasvir</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1.40    (1.17, 1.67)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Calibri" w:hAnsi="Arial" w:cs="Arial"/>
                <w:sz w:val="20"/>
              </w:rPr>
            </w:pPr>
            <w:r w:rsidRPr="005E1202">
              <w:rPr>
                <w:rFonts w:ascii="Arial" w:eastAsia="Calibri" w:hAnsi="Arial" w:cs="Arial"/>
                <w:sz w:val="20"/>
              </w:rPr>
              <w:t>2.46    (2.07, 2.92)</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5.24</w:t>
            </w:r>
            <w:r w:rsidRPr="005E1202">
              <w:rPr>
                <w:rFonts w:ascii="Arial" w:eastAsia="Calibri" w:hAnsi="Arial" w:cs="Arial"/>
                <w:sz w:val="20"/>
              </w:rPr>
              <w:br/>
              <w:t>(4.18, 6.58)</w:t>
            </w:r>
          </w:p>
        </w:tc>
      </w:tr>
      <w:tr w:rsidR="00493B75" w:rsidRPr="005E1202" w:rsidTr="00493B75">
        <w:trPr>
          <w:trHeight w:val="105"/>
          <w:jc w:val="center"/>
        </w:trPr>
        <w:tc>
          <w:tcPr>
            <w:tcW w:w="9859" w:type="dxa"/>
            <w:gridSpan w:val="8"/>
            <w:tcBorders>
              <w:top w:val="single" w:sz="4" w:space="0" w:color="auto"/>
            </w:tcBorders>
            <w:tcMar>
              <w:top w:w="0" w:type="dxa"/>
              <w:left w:w="108" w:type="dxa"/>
              <w:bottom w:w="0" w:type="dxa"/>
              <w:right w:w="108" w:type="dxa"/>
            </w:tcMar>
            <w:vAlign w:val="center"/>
          </w:tcPr>
          <w:p w:rsidR="00493B75" w:rsidRPr="005E1202" w:rsidRDefault="00493B75" w:rsidP="00493B75">
            <w:pPr>
              <w:spacing w:after="60"/>
              <w:rPr>
                <w:rFonts w:ascii="Arial" w:hAnsi="Arial" w:cs="Arial"/>
                <w:sz w:val="20"/>
              </w:rPr>
            </w:pPr>
            <w:r w:rsidRPr="005E1202">
              <w:rPr>
                <w:rFonts w:ascii="Arial" w:hAnsi="Arial" w:cs="Arial"/>
                <w:sz w:val="20"/>
              </w:rPr>
              <w:t>↔ = No change (central value ratio 0.80 to 1.25).</w:t>
            </w:r>
          </w:p>
          <w:p w:rsidR="00493B75" w:rsidRPr="005E1202" w:rsidRDefault="00493B75" w:rsidP="00493B75">
            <w:pPr>
              <w:spacing w:after="60"/>
              <w:rPr>
                <w:rFonts w:ascii="Arial" w:hAnsi="Arial" w:cs="Arial"/>
                <w:noProof/>
                <w:sz w:val="20"/>
              </w:rPr>
            </w:pPr>
            <w:r w:rsidRPr="005E1202">
              <w:rPr>
                <w:rFonts w:ascii="Arial" w:hAnsi="Arial" w:cs="Arial"/>
                <w:noProof/>
                <w:sz w:val="20"/>
                <w:vertAlign w:val="superscript"/>
              </w:rPr>
              <w:t>a.</w:t>
            </w:r>
            <w:r w:rsidRPr="005E1202">
              <w:rPr>
                <w:rFonts w:ascii="Arial" w:hAnsi="Arial" w:cs="Arial"/>
                <w:noProof/>
                <w:sz w:val="20"/>
              </w:rPr>
              <w:t xml:space="preserve"> Effect of rifampi</w:t>
            </w:r>
            <w:r w:rsidR="00060256">
              <w:rPr>
                <w:rFonts w:ascii="Arial" w:hAnsi="Arial" w:cs="Arial"/>
                <w:noProof/>
                <w:sz w:val="20"/>
              </w:rPr>
              <w:t>ci</w:t>
            </w:r>
            <w:r w:rsidRPr="005E1202">
              <w:rPr>
                <w:rFonts w:ascii="Arial" w:hAnsi="Arial" w:cs="Arial"/>
                <w:noProof/>
                <w:sz w:val="20"/>
              </w:rPr>
              <w:t>n on glecaprevir and pibrentasvir 24 hours after final rifampi</w:t>
            </w:r>
            <w:r w:rsidR="00060256">
              <w:rPr>
                <w:rFonts w:ascii="Arial" w:hAnsi="Arial" w:cs="Arial"/>
                <w:noProof/>
                <w:sz w:val="20"/>
              </w:rPr>
              <w:t>ci</w:t>
            </w:r>
            <w:r w:rsidRPr="005E1202">
              <w:rPr>
                <w:rFonts w:ascii="Arial" w:hAnsi="Arial" w:cs="Arial"/>
                <w:noProof/>
                <w:sz w:val="20"/>
              </w:rPr>
              <w:t>n dose.</w:t>
            </w:r>
          </w:p>
          <w:p w:rsidR="00493B75" w:rsidRPr="005E1202" w:rsidRDefault="00493B75" w:rsidP="00493B75">
            <w:pPr>
              <w:spacing w:after="60"/>
              <w:rPr>
                <w:rFonts w:ascii="Arial" w:hAnsi="Arial" w:cs="Arial"/>
                <w:sz w:val="20"/>
              </w:rPr>
            </w:pPr>
            <w:r w:rsidRPr="005E1202">
              <w:rPr>
                <w:rFonts w:ascii="Arial" w:hAnsi="Arial" w:cs="Arial"/>
                <w:sz w:val="20"/>
                <w:vertAlign w:val="superscript"/>
              </w:rPr>
              <w:t>b.</w:t>
            </w:r>
            <w:r w:rsidRPr="005E1202">
              <w:rPr>
                <w:rFonts w:ascii="Arial" w:hAnsi="Arial" w:cs="Arial"/>
                <w:sz w:val="20"/>
              </w:rPr>
              <w:t xml:space="preserve"> Effect of </w:t>
            </w:r>
            <w:proofErr w:type="spellStart"/>
            <w:r w:rsidRPr="005E1202">
              <w:rPr>
                <w:rFonts w:ascii="Arial" w:hAnsi="Arial" w:cs="Arial"/>
                <w:sz w:val="20"/>
              </w:rPr>
              <w:t>atazanavir</w:t>
            </w:r>
            <w:proofErr w:type="spellEnd"/>
            <w:r w:rsidRPr="005E1202">
              <w:rPr>
                <w:rFonts w:ascii="Arial" w:hAnsi="Arial" w:cs="Arial"/>
                <w:sz w:val="20"/>
              </w:rPr>
              <w:t xml:space="preserve"> and ritonavir on the first dose of </w:t>
            </w:r>
            <w:proofErr w:type="spellStart"/>
            <w:r w:rsidRPr="005E1202">
              <w:rPr>
                <w:rFonts w:ascii="Arial" w:hAnsi="Arial" w:cs="Arial"/>
                <w:sz w:val="20"/>
              </w:rPr>
              <w:t>glecaprevir</w:t>
            </w:r>
            <w:proofErr w:type="spellEnd"/>
            <w:r w:rsidRPr="005E1202">
              <w:rPr>
                <w:rFonts w:ascii="Arial" w:hAnsi="Arial" w:cs="Arial"/>
                <w:sz w:val="20"/>
              </w:rPr>
              <w:t xml:space="preserve"> and </w:t>
            </w:r>
            <w:proofErr w:type="spellStart"/>
            <w:r w:rsidRPr="005E1202">
              <w:rPr>
                <w:rFonts w:ascii="Arial" w:hAnsi="Arial" w:cs="Arial"/>
                <w:sz w:val="20"/>
              </w:rPr>
              <w:t>pibrentasvir</w:t>
            </w:r>
            <w:proofErr w:type="spellEnd"/>
            <w:r w:rsidRPr="005E1202">
              <w:rPr>
                <w:rFonts w:ascii="Arial" w:hAnsi="Arial" w:cs="Arial"/>
                <w:sz w:val="20"/>
              </w:rPr>
              <w:t xml:space="preserve"> is reported.</w:t>
            </w:r>
          </w:p>
        </w:tc>
      </w:tr>
    </w:tbl>
    <w:p w:rsidR="00493B75" w:rsidRPr="005E1202" w:rsidRDefault="00493B75" w:rsidP="00493B75">
      <w:pPr>
        <w:rPr>
          <w:rFonts w:ascii="Arial" w:hAnsi="Arial" w:cs="Arial"/>
          <w:b/>
        </w:rPr>
      </w:pPr>
    </w:p>
    <w:p w:rsidR="00493B75" w:rsidRPr="005E1202" w:rsidRDefault="00493B75" w:rsidP="00493B75">
      <w:pPr>
        <w:rPr>
          <w:rFonts w:ascii="Arial" w:hAnsi="Arial" w:cs="Arial"/>
          <w:b/>
        </w:rPr>
      </w:pPr>
      <w:proofErr w:type="gramStart"/>
      <w:r w:rsidRPr="005E1202">
        <w:rPr>
          <w:rFonts w:ascii="Arial" w:hAnsi="Arial" w:cs="Arial"/>
          <w:b/>
        </w:rPr>
        <w:t xml:space="preserve">Table </w:t>
      </w:r>
      <w:r w:rsidR="008D55BB">
        <w:rPr>
          <w:rFonts w:ascii="Arial" w:hAnsi="Arial" w:cs="Arial"/>
          <w:b/>
        </w:rPr>
        <w:t>16</w:t>
      </w:r>
      <w:r w:rsidRPr="005E1202">
        <w:rPr>
          <w:rFonts w:ascii="Arial" w:hAnsi="Arial" w:cs="Arial"/>
          <w:b/>
        </w:rPr>
        <w:t>.</w:t>
      </w:r>
      <w:proofErr w:type="gramEnd"/>
      <w:r w:rsidRPr="005E1202">
        <w:rPr>
          <w:rFonts w:ascii="Arial" w:hAnsi="Arial" w:cs="Arial"/>
          <w:b/>
        </w:rPr>
        <w:t xml:space="preserve">  Drug Interactions: Pharmacokinetic Parameters for </w:t>
      </w:r>
      <w:proofErr w:type="spellStart"/>
      <w:r w:rsidRPr="005E1202">
        <w:rPr>
          <w:rFonts w:ascii="Arial" w:hAnsi="Arial" w:cs="Arial"/>
          <w:b/>
        </w:rPr>
        <w:t>Coadministered</w:t>
      </w:r>
      <w:proofErr w:type="spellEnd"/>
      <w:r w:rsidRPr="005E1202">
        <w:rPr>
          <w:rFonts w:ascii="Arial" w:hAnsi="Arial" w:cs="Arial"/>
          <w:b/>
        </w:rPr>
        <w:t xml:space="preserve"> Drug in the Presence of Combination of </w:t>
      </w:r>
      <w:proofErr w:type="spellStart"/>
      <w:r w:rsidRPr="005E1202">
        <w:rPr>
          <w:rFonts w:ascii="Arial" w:hAnsi="Arial" w:cs="Arial"/>
          <w:b/>
        </w:rPr>
        <w:t>Glecaprevir</w:t>
      </w:r>
      <w:proofErr w:type="spellEnd"/>
      <w:r w:rsidR="00370AA8">
        <w:rPr>
          <w:rFonts w:ascii="Arial" w:hAnsi="Arial" w:cs="Arial"/>
          <w:b/>
        </w:rPr>
        <w:t xml:space="preserve"> </w:t>
      </w:r>
      <w:r w:rsidRPr="005E1202">
        <w:rPr>
          <w:rFonts w:ascii="Arial" w:hAnsi="Arial" w:cs="Arial"/>
          <w:b/>
        </w:rPr>
        <w:t>/</w:t>
      </w:r>
      <w:r w:rsidR="00370AA8">
        <w:rPr>
          <w:rFonts w:ascii="Arial" w:hAnsi="Arial" w:cs="Arial"/>
          <w:b/>
        </w:rPr>
        <w:t xml:space="preserve"> </w:t>
      </w:r>
      <w:proofErr w:type="spellStart"/>
      <w:r w:rsidRPr="005E1202">
        <w:rPr>
          <w:rFonts w:ascii="Arial" w:hAnsi="Arial" w:cs="Arial"/>
          <w:b/>
        </w:rPr>
        <w:t>Pibrentasvir</w:t>
      </w:r>
      <w:proofErr w:type="spellEnd"/>
    </w:p>
    <w:tbl>
      <w:tblPr>
        <w:tblW w:w="9906" w:type="dxa"/>
        <w:tblLayout w:type="fixed"/>
        <w:tblCellMar>
          <w:left w:w="0" w:type="dxa"/>
          <w:right w:w="0" w:type="dxa"/>
        </w:tblCellMar>
        <w:tblLook w:val="04A0" w:firstRow="1" w:lastRow="0" w:firstColumn="1" w:lastColumn="0" w:noHBand="0" w:noVBand="1"/>
      </w:tblPr>
      <w:tblGrid>
        <w:gridCol w:w="1835"/>
        <w:gridCol w:w="1844"/>
        <w:gridCol w:w="1557"/>
        <w:gridCol w:w="852"/>
        <w:gridCol w:w="1276"/>
        <w:gridCol w:w="1274"/>
        <w:gridCol w:w="1268"/>
      </w:tblGrid>
      <w:tr w:rsidR="00493B75" w:rsidRPr="005E1202" w:rsidTr="00493B75">
        <w:trPr>
          <w:tblHeader/>
        </w:trPr>
        <w:tc>
          <w:tcPr>
            <w:tcW w:w="9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roofErr w:type="spellStart"/>
            <w:r w:rsidRPr="005E1202">
              <w:rPr>
                <w:rFonts w:ascii="Arial" w:hAnsi="Arial" w:cs="Arial"/>
                <w:b/>
                <w:sz w:val="20"/>
              </w:rPr>
              <w:t>Coadministered</w:t>
            </w:r>
            <w:proofErr w:type="spellEnd"/>
            <w:r w:rsidRPr="005E1202">
              <w:rPr>
                <w:rFonts w:ascii="Arial" w:hAnsi="Arial" w:cs="Arial"/>
                <w:b/>
                <w:sz w:val="20"/>
              </w:rPr>
              <w:t xml:space="preserve"> Drug</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Regimen of </w:t>
            </w:r>
            <w:proofErr w:type="spellStart"/>
            <w:r w:rsidRPr="005E1202">
              <w:rPr>
                <w:rFonts w:ascii="Arial" w:hAnsi="Arial" w:cs="Arial"/>
                <w:b/>
                <w:sz w:val="20"/>
              </w:rPr>
              <w:t>Coadministered</w:t>
            </w:r>
            <w:proofErr w:type="spellEnd"/>
            <w:r w:rsidRPr="005E1202">
              <w:rPr>
                <w:rFonts w:ascii="Arial" w:hAnsi="Arial" w:cs="Arial"/>
                <w:b/>
                <w:sz w:val="20"/>
              </w:rPr>
              <w:t xml:space="preserve"> Drug (mg)</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 xml:space="preserve">Regimen of </w:t>
            </w:r>
            <w:proofErr w:type="spellStart"/>
            <w:r w:rsidRPr="005E1202">
              <w:rPr>
                <w:rFonts w:ascii="Arial" w:hAnsi="Arial" w:cs="Arial"/>
                <w:b/>
                <w:sz w:val="20"/>
              </w:rPr>
              <w:t>glecaprevir</w:t>
            </w:r>
            <w:proofErr w:type="spellEnd"/>
            <w:r w:rsidRPr="005E1202">
              <w:rPr>
                <w:rFonts w:ascii="Arial" w:hAnsi="Arial" w:cs="Arial"/>
                <w:b/>
                <w:sz w:val="20"/>
              </w:rPr>
              <w:t xml:space="preserve"> / </w:t>
            </w:r>
            <w:proofErr w:type="spellStart"/>
            <w:r w:rsidRPr="005E1202">
              <w:rPr>
                <w:rFonts w:ascii="Arial" w:hAnsi="Arial" w:cs="Arial"/>
                <w:b/>
                <w:sz w:val="20"/>
              </w:rPr>
              <w:t>pibrentasvir</w:t>
            </w:r>
            <w:proofErr w:type="spellEnd"/>
            <w:r w:rsidRPr="005E1202">
              <w:rPr>
                <w:rFonts w:ascii="Arial" w:hAnsi="Arial" w:cs="Arial"/>
                <w:b/>
                <w:sz w:val="20"/>
              </w:rPr>
              <w:t xml:space="preserve"> (mg)</w:t>
            </w:r>
          </w:p>
        </w:tc>
        <w:tc>
          <w:tcPr>
            <w:tcW w:w="4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N</w:t>
            </w:r>
          </w:p>
        </w:tc>
        <w:tc>
          <w:tcPr>
            <w:tcW w:w="19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Central Value Ratio (90% CI)</w:t>
            </w:r>
          </w:p>
        </w:tc>
      </w:tr>
      <w:tr w:rsidR="00493B75" w:rsidRPr="005E1202" w:rsidTr="00493B75">
        <w:trPr>
          <w:tblHeader/>
        </w:trPr>
        <w:tc>
          <w:tcPr>
            <w:tcW w:w="92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93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78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43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roofErr w:type="spellStart"/>
            <w:r w:rsidRPr="005E1202">
              <w:rPr>
                <w:rFonts w:ascii="Arial" w:hAnsi="Arial" w:cs="Arial"/>
                <w:b/>
                <w:sz w:val="20"/>
              </w:rPr>
              <w:t>C</w:t>
            </w:r>
            <w:r w:rsidRPr="005E1202">
              <w:rPr>
                <w:rFonts w:ascii="Arial" w:hAnsi="Arial" w:cs="Arial"/>
                <w:b/>
                <w:sz w:val="20"/>
                <w:vertAlign w:val="subscript"/>
              </w:rPr>
              <w:t>max</w:t>
            </w:r>
            <w:proofErr w:type="spellEnd"/>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r w:rsidRPr="005E1202">
              <w:rPr>
                <w:rFonts w:ascii="Arial" w:hAnsi="Arial" w:cs="Arial"/>
                <w:b/>
                <w:sz w:val="20"/>
              </w:rPr>
              <w:t>AUC</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b/>
                <w:sz w:val="20"/>
              </w:rPr>
            </w:pPr>
            <w:proofErr w:type="spellStart"/>
            <w:r w:rsidRPr="005E1202">
              <w:rPr>
                <w:rFonts w:ascii="Arial" w:hAnsi="Arial" w:cs="Arial"/>
                <w:b/>
                <w:sz w:val="20"/>
              </w:rPr>
              <w:t>C</w:t>
            </w:r>
            <w:r w:rsidRPr="005E1202">
              <w:rPr>
                <w:rFonts w:ascii="Arial" w:hAnsi="Arial" w:cs="Arial"/>
                <w:b/>
                <w:sz w:val="20"/>
                <w:vertAlign w:val="subscript"/>
              </w:rPr>
              <w:t>min</w:t>
            </w:r>
            <w:proofErr w:type="spellEnd"/>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Digoxin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0.5 single dose</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400/120 </w:t>
            </w:r>
            <w:r w:rsidR="000074FA">
              <w:rPr>
                <w:rFonts w:ascii="Arial" w:hAnsi="Arial" w:cs="Arial"/>
                <w:sz w:val="20"/>
              </w:rPr>
              <w:t xml:space="preserve">   </w:t>
            </w:r>
            <w:r w:rsidRPr="005E1202">
              <w:rPr>
                <w:rFonts w:ascii="Arial" w:hAnsi="Arial"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1.72    (1.45, 2.04)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1.48    (1.40, 1.57)</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lastRenderedPageBreak/>
              <w:t>Dabigatran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Dabigatran </w:t>
            </w:r>
            <w:proofErr w:type="spellStart"/>
            <w:r w:rsidRPr="005E1202">
              <w:rPr>
                <w:rFonts w:ascii="Arial" w:hAnsi="Arial" w:cs="Arial"/>
                <w:sz w:val="20"/>
              </w:rPr>
              <w:t>etexilate</w:t>
            </w:r>
            <w:proofErr w:type="spellEnd"/>
            <w:r w:rsidRPr="005E1202">
              <w:rPr>
                <w:rFonts w:ascii="Arial" w:hAnsi="Arial" w:cs="Arial"/>
                <w:sz w:val="20"/>
              </w:rPr>
              <w:t xml:space="preserve"> 150 single dose</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300/120 </w:t>
            </w:r>
            <w:r w:rsidR="000074FA">
              <w:rPr>
                <w:rFonts w:ascii="Arial" w:hAnsi="Arial" w:cs="Arial"/>
                <w:sz w:val="20"/>
              </w:rPr>
              <w:t xml:space="preserve">   </w:t>
            </w:r>
            <w:r w:rsidRPr="005E1202">
              <w:rPr>
                <w:rFonts w:ascii="Arial" w:hAnsi="Arial"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2.05    (1.72, 2.44)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2.38    (2.11, 2.70)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Pravastatin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400/120</w:t>
            </w:r>
            <w:r w:rsidR="000074FA">
              <w:rPr>
                <w:rFonts w:ascii="Arial" w:hAnsi="Arial" w:cs="Arial"/>
                <w:sz w:val="20"/>
              </w:rPr>
              <w:t xml:space="preserve">   </w:t>
            </w:r>
            <w:r w:rsidRPr="005E1202">
              <w:rPr>
                <w:rFonts w:ascii="Arial" w:hAnsi="Arial" w:cs="Arial"/>
                <w:sz w:val="20"/>
              </w:rPr>
              <w:t xml:space="preserve"> 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2.23    (1.87, 2.65)</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2.30    (1.91, 2.76)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Rosuvastatin</w:t>
            </w:r>
            <w:proofErr w:type="spellEnd"/>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5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400/120 </w:t>
            </w:r>
            <w:r w:rsidR="000074FA">
              <w:rPr>
                <w:rFonts w:ascii="Arial" w:hAnsi="Arial" w:cs="Arial"/>
                <w:sz w:val="20"/>
              </w:rPr>
              <w:t xml:space="preserve">   </w:t>
            </w:r>
            <w:r w:rsidRPr="005E1202">
              <w:rPr>
                <w:rFonts w:ascii="Arial" w:hAnsi="Arial"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5.62    (4.80, 6.59)</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2.15    (1.88, 2.46)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Atorvastatin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400/120 </w:t>
            </w:r>
            <w:r w:rsidR="000074FA">
              <w:rPr>
                <w:rFonts w:ascii="Arial" w:hAnsi="Arial" w:cs="Arial"/>
                <w:sz w:val="20"/>
              </w:rPr>
              <w:t xml:space="preserve">   </w:t>
            </w:r>
            <w:r w:rsidRPr="005E1202">
              <w:rPr>
                <w:rFonts w:ascii="Arial" w:hAnsi="Arial"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22.0   (16.4, 29.6)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SimSun" w:hAnsi="Arial" w:cs="Arial"/>
                <w:sz w:val="20"/>
              </w:rPr>
              <w:t>8.28   (6.06, 11.3)</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Lovastatin</w:t>
            </w:r>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Lovastatin 10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300/120 </w:t>
            </w:r>
            <w:r w:rsidR="000074FA">
              <w:rPr>
                <w:rFonts w:ascii="Arial" w:hAnsi="Arial" w:cs="Arial"/>
                <w:sz w:val="20"/>
              </w:rPr>
              <w:t xml:space="preserve">   </w:t>
            </w:r>
            <w:r w:rsidRPr="005E1202">
              <w:rPr>
                <w:rFonts w:ascii="Arial" w:hAnsi="Arial" w:cs="Arial"/>
                <w:sz w:val="20"/>
              </w:rPr>
              <w:t>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eastAsia="SimSun" w:hAnsi="Arial" w:cs="Arial"/>
                <w:sz w:val="20"/>
              </w:rPr>
            </w:pPr>
            <w:r w:rsidRPr="005E1202">
              <w:rPr>
                <w:rFonts w:ascii="Arial" w:eastAsia="Calibri" w:hAnsi="Arial" w:cs="Arial"/>
                <w:sz w:val="20"/>
              </w:rPr>
              <w:t>↔</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1.70     (1.40, 2.06)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Lovastatin metabolite, lovastatin acid</w:t>
            </w:r>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5.73    (4.65, 7.07)</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4.10    (3.45, 4.87)</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Height w:val="575"/>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Simvastatin</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Simvastatin 5 once daily</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300/120 </w:t>
            </w:r>
            <w:r w:rsidR="000074FA">
              <w:rPr>
                <w:rFonts w:ascii="Arial" w:hAnsi="Arial" w:cs="Arial"/>
                <w:sz w:val="20"/>
              </w:rPr>
              <w:t xml:space="preserve">   </w:t>
            </w:r>
            <w:r w:rsidRPr="005E1202">
              <w:rPr>
                <w:rFonts w:ascii="Arial" w:hAnsi="Arial" w:cs="Arial"/>
                <w:sz w:val="20"/>
              </w:rPr>
              <w:t>once daily</w:t>
            </w:r>
          </w:p>
        </w:tc>
        <w:tc>
          <w:tcPr>
            <w:tcW w:w="4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1.99    (1.60, 2.48)</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2.32    (1.93, 2.79)</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Simvastatin metabolite, simvastatin acid</w:t>
            </w:r>
          </w:p>
        </w:tc>
        <w:tc>
          <w:tcPr>
            <w:tcW w:w="93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78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43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10.7    (7.88, 14.6)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4.48    (3.11, 6.46)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Ethinyloestradiol</w:t>
            </w:r>
            <w:proofErr w:type="spellEnd"/>
            <w:r w:rsidRPr="005E1202">
              <w:rPr>
                <w:rFonts w:ascii="Arial" w:hAnsi="Arial" w:cs="Arial"/>
                <w:sz w:val="20"/>
              </w:rPr>
              <w:t xml:space="preserve"> (EE)</w:t>
            </w:r>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EE / </w:t>
            </w:r>
            <w:proofErr w:type="spellStart"/>
            <w:r w:rsidRPr="005E1202">
              <w:rPr>
                <w:rFonts w:ascii="Arial" w:hAnsi="Arial" w:cs="Arial"/>
                <w:sz w:val="20"/>
              </w:rPr>
              <w:t>Norgestimate</w:t>
            </w:r>
            <w:proofErr w:type="spellEnd"/>
            <w:r w:rsidRPr="005E1202">
              <w:rPr>
                <w:rFonts w:ascii="Arial" w:hAnsi="Arial" w:cs="Arial"/>
                <w:sz w:val="20"/>
              </w:rPr>
              <w:t xml:space="preserve"> 35 µg / </w:t>
            </w:r>
            <w:r w:rsidRPr="005E1202">
              <w:rPr>
                <w:rFonts w:ascii="Arial" w:hAnsi="Arial" w:cs="Arial"/>
                <w:sz w:val="20"/>
              </w:rPr>
              <w:br/>
              <w:t xml:space="preserve"> 250 µg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300/120 </w:t>
            </w:r>
            <w:r w:rsidR="000074FA">
              <w:rPr>
                <w:rFonts w:ascii="Arial" w:hAnsi="Arial" w:cs="Arial"/>
                <w:sz w:val="20"/>
              </w:rPr>
              <w:t xml:space="preserve">   </w:t>
            </w:r>
            <w:r w:rsidRPr="005E1202">
              <w:rPr>
                <w:rFonts w:ascii="Arial" w:hAnsi="Arial" w:cs="Arial"/>
                <w:sz w:val="20"/>
              </w:rPr>
              <w:t>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1.31   (1.24, 1.38)</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1.28   (1.23, 1.32)</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1.38   (1.25, 1.52)</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Norgestrel</w:t>
            </w:r>
            <w:proofErr w:type="spellEnd"/>
          </w:p>
        </w:tc>
        <w:tc>
          <w:tcPr>
            <w:tcW w:w="931" w:type="pct"/>
            <w:vMerge/>
            <w:tcBorders>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786" w:type="pct"/>
            <w:vMerge/>
            <w:tcBorders>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430" w:type="pct"/>
            <w:vMerge/>
            <w:tcBorders>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1.54   (1.34, 1.76)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1.63   (1.50, 1.76)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1.75    (1.62, 1.89)</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Norelgestromin</w:t>
            </w:r>
            <w:proofErr w:type="spellEnd"/>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eastAsia="Calibri" w:hAnsi="Arial" w:cs="Arial"/>
                <w:sz w:val="20"/>
              </w:rPr>
              <w:t>↔</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1.44   (1.34, 1.54)</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1.45   (1.33, 1.58)</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Ethinyloestradiol</w:t>
            </w:r>
            <w:proofErr w:type="spellEnd"/>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 xml:space="preserve">EE / </w:t>
            </w:r>
            <w:proofErr w:type="spellStart"/>
            <w:r w:rsidRPr="005E1202">
              <w:rPr>
                <w:rFonts w:ascii="Arial" w:hAnsi="Arial" w:cs="Arial"/>
                <w:sz w:val="20"/>
              </w:rPr>
              <w:t>Levonorgestrel</w:t>
            </w:r>
            <w:proofErr w:type="spellEnd"/>
            <w:r w:rsidRPr="005E1202">
              <w:rPr>
                <w:rFonts w:ascii="Arial" w:hAnsi="Arial" w:cs="Arial"/>
                <w:sz w:val="20"/>
              </w:rPr>
              <w:t xml:space="preserve"> 20 µg/</w:t>
            </w:r>
            <w:r w:rsidRPr="005E1202">
              <w:rPr>
                <w:rFonts w:ascii="Arial" w:hAnsi="Arial" w:cs="Arial"/>
                <w:sz w:val="20"/>
              </w:rPr>
              <w:br/>
              <w:t>100 µg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300/120</w:t>
            </w:r>
            <w:r w:rsidR="000074FA">
              <w:rPr>
                <w:rFonts w:ascii="Arial" w:hAnsi="Arial" w:cs="Arial"/>
                <w:sz w:val="20"/>
              </w:rPr>
              <w:t xml:space="preserve">   </w:t>
            </w:r>
            <w:r w:rsidRPr="005E1202">
              <w:rPr>
                <w:rFonts w:ascii="Arial" w:hAnsi="Arial" w:cs="Arial"/>
                <w:sz w:val="20"/>
              </w:rPr>
              <w:t xml:space="preserve"> 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1.30   (1.18, 1.44)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1.40</w:t>
            </w:r>
          </w:p>
          <w:p w:rsidR="00493B75" w:rsidRPr="005E1202" w:rsidRDefault="00493B75" w:rsidP="00493B75">
            <w:pPr>
              <w:spacing w:before="60" w:after="60"/>
              <w:jc w:val="center"/>
              <w:rPr>
                <w:rFonts w:ascii="Arial" w:hAnsi="Arial" w:cs="Arial"/>
                <w:sz w:val="20"/>
              </w:rPr>
            </w:pPr>
            <w:r w:rsidRPr="005E1202">
              <w:rPr>
                <w:rFonts w:ascii="Arial" w:hAnsi="Arial" w:cs="Arial"/>
                <w:sz w:val="20"/>
              </w:rPr>
              <w:t>(1.33, 1.48)</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1.56</w:t>
            </w:r>
          </w:p>
          <w:p w:rsidR="00493B75" w:rsidRPr="005E1202" w:rsidRDefault="00493B75" w:rsidP="00493B75">
            <w:pPr>
              <w:spacing w:before="60" w:after="60"/>
              <w:jc w:val="center"/>
              <w:rPr>
                <w:rFonts w:ascii="Arial" w:hAnsi="Arial" w:cs="Arial"/>
                <w:sz w:val="20"/>
              </w:rPr>
            </w:pPr>
            <w:r w:rsidRPr="005E1202">
              <w:rPr>
                <w:rFonts w:ascii="Arial" w:hAnsi="Arial" w:cs="Arial"/>
                <w:sz w:val="20"/>
              </w:rPr>
              <w:t>(1.41, 1.72)</w:t>
            </w:r>
          </w:p>
        </w:tc>
      </w:tr>
      <w:tr w:rsidR="00493B75" w:rsidRPr="005E1202"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roofErr w:type="spellStart"/>
            <w:r w:rsidRPr="005E1202">
              <w:rPr>
                <w:rFonts w:ascii="Arial" w:hAnsi="Arial" w:cs="Arial"/>
                <w:sz w:val="20"/>
              </w:rPr>
              <w:t>Norgestrel</w:t>
            </w:r>
            <w:proofErr w:type="spellEnd"/>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1.37   (1.23, 1.52)</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1.68   (1.57, 1.80)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93B75" w:rsidRPr="005E1202" w:rsidRDefault="00493B75" w:rsidP="00493B75">
            <w:pPr>
              <w:spacing w:before="60" w:after="60"/>
              <w:jc w:val="center"/>
              <w:rPr>
                <w:rFonts w:ascii="Arial" w:hAnsi="Arial" w:cs="Arial"/>
                <w:sz w:val="20"/>
              </w:rPr>
            </w:pPr>
            <w:r w:rsidRPr="005E1202">
              <w:rPr>
                <w:rFonts w:ascii="Arial" w:hAnsi="Arial" w:cs="Arial"/>
                <w:sz w:val="20"/>
              </w:rPr>
              <w:t>1.77    (1.58, 1.98)</w:t>
            </w:r>
          </w:p>
        </w:tc>
      </w:tr>
      <w:tr w:rsidR="00493B75" w:rsidRPr="005E1202" w:rsidTr="00493B75">
        <w:tc>
          <w:tcPr>
            <w:tcW w:w="5000" w:type="pct"/>
            <w:gridSpan w:val="7"/>
            <w:tcBorders>
              <w:top w:val="single" w:sz="4" w:space="0" w:color="auto"/>
            </w:tcBorders>
            <w:tcMar>
              <w:top w:w="0" w:type="dxa"/>
              <w:left w:w="108" w:type="dxa"/>
              <w:bottom w:w="0" w:type="dxa"/>
              <w:right w:w="108" w:type="dxa"/>
            </w:tcMar>
            <w:vAlign w:val="center"/>
          </w:tcPr>
          <w:p w:rsidR="00493B75" w:rsidRPr="005E1202" w:rsidRDefault="00493B75" w:rsidP="00493B75">
            <w:pPr>
              <w:rPr>
                <w:rFonts w:ascii="Arial" w:hAnsi="Arial" w:cs="Arial"/>
                <w:b/>
              </w:rPr>
            </w:pPr>
            <w:r w:rsidRPr="005E1202">
              <w:rPr>
                <w:rFonts w:ascii="Arial" w:hAnsi="Arial" w:cs="Arial"/>
                <w:sz w:val="20"/>
              </w:rPr>
              <w:t>↔ = No change (central value ratio 0.80 to 1.</w:t>
            </w:r>
            <w:r w:rsidRPr="005E1202" w:rsidDel="00060DBD">
              <w:rPr>
                <w:rFonts w:ascii="Arial" w:hAnsi="Arial" w:cs="Arial"/>
                <w:sz w:val="20"/>
              </w:rPr>
              <w:t>25</w:t>
            </w:r>
            <w:r w:rsidRPr="005E1202">
              <w:rPr>
                <w:rFonts w:ascii="Arial" w:hAnsi="Arial" w:cs="Arial"/>
                <w:sz w:val="20"/>
              </w:rPr>
              <w:t>)</w:t>
            </w:r>
          </w:p>
        </w:tc>
      </w:tr>
    </w:tbl>
    <w:p w:rsidR="00493B75" w:rsidRPr="005E1202" w:rsidRDefault="00493B75" w:rsidP="00493B75">
      <w:pPr>
        <w:rPr>
          <w:rFonts w:ascii="Arial" w:hAnsi="Arial" w:cs="Arial"/>
        </w:rPr>
      </w:pPr>
    </w:p>
    <w:p w:rsidR="001A3992" w:rsidRPr="005E1202" w:rsidRDefault="001A3992" w:rsidP="001A3992">
      <w:pPr>
        <w:pStyle w:val="Heading2"/>
        <w:spacing w:before="0" w:after="120"/>
        <w:rPr>
          <w:rFonts w:cs="Arial"/>
          <w:lang w:val="en-US"/>
        </w:rPr>
      </w:pPr>
      <w:r w:rsidRPr="005E1202">
        <w:rPr>
          <w:rFonts w:cs="Arial"/>
          <w:lang w:val="en-US"/>
        </w:rPr>
        <w:t>Preclinical safety data</w:t>
      </w:r>
    </w:p>
    <w:p w:rsidR="001A3992" w:rsidRPr="005E1202" w:rsidRDefault="001A3992" w:rsidP="001A3992">
      <w:pPr>
        <w:pStyle w:val="Heading3"/>
        <w:spacing w:before="0" w:after="120"/>
        <w:rPr>
          <w:rFonts w:cs="Arial"/>
        </w:rPr>
      </w:pPr>
      <w:r w:rsidRPr="005E1202">
        <w:rPr>
          <w:rFonts w:cs="Arial"/>
        </w:rPr>
        <w:lastRenderedPageBreak/>
        <w:t>Genotoxicity</w:t>
      </w:r>
    </w:p>
    <w:p w:rsidR="009C7847" w:rsidRPr="005E1202" w:rsidRDefault="009C7847" w:rsidP="00D11D72">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were not genotoxic in a battery of </w:t>
      </w:r>
      <w:r w:rsidRPr="005E1202">
        <w:rPr>
          <w:rFonts w:ascii="Arial" w:hAnsi="Arial" w:cs="Arial"/>
          <w:i/>
        </w:rPr>
        <w:t>in vitro</w:t>
      </w:r>
      <w:r w:rsidRPr="005E1202">
        <w:rPr>
          <w:rFonts w:ascii="Arial" w:hAnsi="Arial" w:cs="Arial"/>
        </w:rPr>
        <w:t xml:space="preserve"> or </w:t>
      </w:r>
      <w:r w:rsidRPr="005E1202">
        <w:rPr>
          <w:rFonts w:ascii="Arial" w:hAnsi="Arial" w:cs="Arial"/>
          <w:i/>
        </w:rPr>
        <w:t xml:space="preserve">in vivo </w:t>
      </w:r>
      <w:r w:rsidRPr="005E1202">
        <w:rPr>
          <w:rFonts w:ascii="Arial" w:hAnsi="Arial" w:cs="Arial"/>
        </w:rPr>
        <w:t xml:space="preserve">assays, including bacterial mutagenicity, chromosome aberration using human peripheral blood lymphocytes and </w:t>
      </w:r>
      <w:r w:rsidRPr="005E1202">
        <w:rPr>
          <w:rFonts w:ascii="Arial" w:hAnsi="Arial" w:cs="Arial"/>
          <w:i/>
        </w:rPr>
        <w:t>in vivo</w:t>
      </w:r>
      <w:r w:rsidRPr="005E1202">
        <w:rPr>
          <w:rFonts w:ascii="Arial" w:hAnsi="Arial" w:cs="Arial"/>
        </w:rPr>
        <w:t xml:space="preserve"> rodent micronucleus assays.</w:t>
      </w:r>
    </w:p>
    <w:p w:rsidR="001A3992" w:rsidRPr="005E1202" w:rsidRDefault="001A3992" w:rsidP="001A3992">
      <w:pPr>
        <w:pStyle w:val="Heading3"/>
        <w:spacing w:before="0" w:after="120"/>
        <w:rPr>
          <w:rFonts w:cs="Arial"/>
          <w:lang w:val="en-US"/>
        </w:rPr>
      </w:pPr>
      <w:proofErr w:type="spellStart"/>
      <w:r w:rsidRPr="005E1202">
        <w:rPr>
          <w:rFonts w:cs="Arial"/>
        </w:rPr>
        <w:t>Carcin</w:t>
      </w:r>
      <w:r w:rsidRPr="005E1202">
        <w:rPr>
          <w:rFonts w:cs="Arial"/>
          <w:lang w:val="en-US"/>
        </w:rPr>
        <w:t>ogenicity</w:t>
      </w:r>
      <w:proofErr w:type="spellEnd"/>
    </w:p>
    <w:p w:rsidR="009C7847" w:rsidRPr="005E1202" w:rsidRDefault="009C7847" w:rsidP="009C7847">
      <w:pPr>
        <w:rPr>
          <w:rFonts w:ascii="Arial" w:hAnsi="Arial" w:cs="Arial"/>
        </w:rPr>
      </w:pPr>
      <w:r w:rsidRPr="005E1202">
        <w:rPr>
          <w:rFonts w:ascii="Arial" w:hAnsi="Arial" w:cs="Arial"/>
        </w:rPr>
        <w:t xml:space="preserve">Carcinogenicity studies with </w:t>
      </w:r>
      <w:proofErr w:type="spellStart"/>
      <w:r w:rsidRPr="005E1202">
        <w:rPr>
          <w:rFonts w:ascii="Arial" w:hAnsi="Arial" w:cs="Arial"/>
        </w:rPr>
        <w:t>glecaprevir</w:t>
      </w:r>
      <w:proofErr w:type="spellEnd"/>
      <w:r w:rsidRPr="005E1202">
        <w:rPr>
          <w:rFonts w:ascii="Arial" w:hAnsi="Arial" w:cs="Arial"/>
        </w:rPr>
        <w:t xml:space="preserve"> and </w:t>
      </w:r>
      <w:proofErr w:type="spellStart"/>
      <w:r w:rsidRPr="005E1202">
        <w:rPr>
          <w:rFonts w:ascii="Arial" w:hAnsi="Arial" w:cs="Arial"/>
        </w:rPr>
        <w:t>pibrentasvir</w:t>
      </w:r>
      <w:proofErr w:type="spellEnd"/>
      <w:r w:rsidRPr="005E1202">
        <w:rPr>
          <w:rFonts w:ascii="Arial" w:hAnsi="Arial" w:cs="Arial"/>
        </w:rPr>
        <w:t xml:space="preserve"> have not been conducted.</w:t>
      </w:r>
    </w:p>
    <w:p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Pharmaceutical particulars</w:t>
      </w:r>
    </w:p>
    <w:p w:rsidR="001A3992" w:rsidRPr="005E1202" w:rsidRDefault="001A3992" w:rsidP="001A3992">
      <w:pPr>
        <w:pStyle w:val="Heading2"/>
        <w:spacing w:before="0" w:after="120"/>
        <w:rPr>
          <w:rFonts w:cs="Arial"/>
          <w:lang w:val="en-US"/>
        </w:rPr>
      </w:pPr>
      <w:r w:rsidRPr="005E1202">
        <w:rPr>
          <w:rFonts w:cs="Arial"/>
          <w:lang w:val="en-US"/>
        </w:rPr>
        <w:t xml:space="preserve">List of excipients </w:t>
      </w:r>
    </w:p>
    <w:p w:rsidR="00493B75" w:rsidRPr="005E1202" w:rsidRDefault="00493B75" w:rsidP="00D11D72">
      <w:pPr>
        <w:jc w:val="both"/>
        <w:rPr>
          <w:rFonts w:ascii="Arial" w:hAnsi="Arial" w:cs="Arial"/>
          <w:noProof/>
        </w:rPr>
      </w:pPr>
      <w:r w:rsidRPr="005E1202">
        <w:rPr>
          <w:rFonts w:ascii="Arial" w:hAnsi="Arial" w:cs="Arial"/>
          <w:noProof/>
        </w:rPr>
        <w:t xml:space="preserve">The tablets also contain copovidone, </w:t>
      </w:r>
      <w:r w:rsidR="005C5043">
        <w:rPr>
          <w:rFonts w:ascii="Arial" w:hAnsi="Arial" w:cs="Arial"/>
          <w:noProof/>
        </w:rPr>
        <w:t>tocofersolan</w:t>
      </w:r>
      <w:r w:rsidRPr="005E1202">
        <w:rPr>
          <w:rFonts w:ascii="Arial" w:hAnsi="Arial" w:cs="Arial"/>
          <w:noProof/>
        </w:rPr>
        <w:t xml:space="preserve">, </w:t>
      </w:r>
      <w:r w:rsidR="005C5043">
        <w:rPr>
          <w:rFonts w:ascii="Arial" w:hAnsi="Arial" w:cs="Arial"/>
          <w:noProof/>
        </w:rPr>
        <w:t>colloidal anhydrous silica</w:t>
      </w:r>
      <w:r w:rsidRPr="005E1202">
        <w:rPr>
          <w:rFonts w:ascii="Arial" w:hAnsi="Arial" w:cs="Arial"/>
          <w:noProof/>
        </w:rPr>
        <w:t>, propylene glycol monocaprylate, croscarmellose sodium, sodium stearylfumarate and Opadry II 32F240023 pink (hypromellose 2910, lactose monohydrate, titanium dioxide, macrogol 3350 and iron oxide red).</w:t>
      </w:r>
    </w:p>
    <w:p w:rsidR="001A3992" w:rsidRPr="005E1202" w:rsidRDefault="001A3992" w:rsidP="001A3992">
      <w:pPr>
        <w:pStyle w:val="Heading2"/>
        <w:keepNext/>
        <w:keepLines/>
        <w:spacing w:before="0" w:after="120"/>
        <w:rPr>
          <w:rFonts w:cs="Arial"/>
          <w:lang w:val="en-US"/>
        </w:rPr>
      </w:pPr>
      <w:r w:rsidRPr="005E1202">
        <w:rPr>
          <w:rFonts w:cs="Arial"/>
          <w:lang w:val="en-US"/>
        </w:rPr>
        <w:t xml:space="preserve">Incompatibilities </w:t>
      </w:r>
    </w:p>
    <w:p w:rsidR="009C7847" w:rsidRPr="005E1202" w:rsidRDefault="009C7847" w:rsidP="00D11D72">
      <w:pPr>
        <w:jc w:val="both"/>
        <w:rPr>
          <w:rFonts w:ascii="Arial" w:hAnsi="Arial" w:cs="Arial"/>
          <w:lang w:val="en-US"/>
        </w:rPr>
      </w:pPr>
      <w:r w:rsidRPr="005E1202">
        <w:rPr>
          <w:rFonts w:ascii="Arial" w:hAnsi="Arial" w:cs="Arial"/>
          <w:lang w:val="en"/>
        </w:rPr>
        <w:t>Incompatibilities were either not assessed or not identified as part of the registration of this medicine</w:t>
      </w:r>
      <w:r w:rsidR="00E362E7">
        <w:rPr>
          <w:rFonts w:ascii="Arial" w:hAnsi="Arial" w:cs="Arial"/>
          <w:lang w:val="en"/>
        </w:rPr>
        <w:t>.</w:t>
      </w:r>
    </w:p>
    <w:p w:rsidR="001A3992" w:rsidRPr="005E1202" w:rsidRDefault="001A3992" w:rsidP="00D11D72">
      <w:pPr>
        <w:pStyle w:val="Heading2"/>
        <w:spacing w:before="0" w:after="120"/>
        <w:jc w:val="both"/>
        <w:rPr>
          <w:rFonts w:cs="Arial"/>
          <w:lang w:val="en-US"/>
        </w:rPr>
      </w:pPr>
      <w:r w:rsidRPr="005E1202">
        <w:rPr>
          <w:rFonts w:cs="Arial"/>
          <w:lang w:val="en-US"/>
        </w:rPr>
        <w:t xml:space="preserve">Shelf life </w:t>
      </w:r>
    </w:p>
    <w:p w:rsidR="009C7847" w:rsidRPr="005E1202" w:rsidRDefault="009C7847" w:rsidP="00D11D72">
      <w:pPr>
        <w:jc w:val="both"/>
        <w:rPr>
          <w:rFonts w:ascii="Arial" w:hAnsi="Arial" w:cs="Arial"/>
          <w:lang w:val="en-US"/>
        </w:rPr>
      </w:pPr>
      <w:r w:rsidRPr="005E1202">
        <w:rPr>
          <w:rFonts w:ascii="Arial" w:hAnsi="Arial" w:cs="Arial"/>
          <w:lang w:val="en"/>
        </w:rPr>
        <w:t>In Australia, information on the shelf life can be found on the public summary of the Australian Register of Therapeutic Goods (ARTG). The expiry date can be found on the packaging</w:t>
      </w:r>
      <w:r w:rsidR="00E362E7">
        <w:rPr>
          <w:rFonts w:ascii="Arial" w:hAnsi="Arial" w:cs="Arial"/>
          <w:lang w:val="en"/>
        </w:rPr>
        <w:t>.</w:t>
      </w:r>
    </w:p>
    <w:p w:rsidR="001A3992" w:rsidRPr="005E1202" w:rsidRDefault="001A3992" w:rsidP="001A3992">
      <w:pPr>
        <w:pStyle w:val="Heading2"/>
        <w:keepNext/>
        <w:keepLines/>
        <w:spacing w:before="0" w:after="120"/>
        <w:rPr>
          <w:rFonts w:cs="Arial"/>
          <w:lang w:val="en-US"/>
        </w:rPr>
      </w:pPr>
      <w:r w:rsidRPr="005E1202">
        <w:rPr>
          <w:rFonts w:cs="Arial"/>
          <w:lang w:val="en-US"/>
        </w:rPr>
        <w:t xml:space="preserve">Special precautions for storage </w:t>
      </w:r>
    </w:p>
    <w:p w:rsidR="009C7847" w:rsidRPr="005E1202" w:rsidRDefault="009C7847" w:rsidP="009C7847">
      <w:pPr>
        <w:rPr>
          <w:rFonts w:ascii="Arial" w:hAnsi="Arial" w:cs="Arial"/>
        </w:rPr>
      </w:pPr>
      <w:r w:rsidRPr="005E1202">
        <w:rPr>
          <w:rFonts w:ascii="Arial" w:hAnsi="Arial" w:cs="Arial"/>
        </w:rPr>
        <w:t>Store below 30°C.</w:t>
      </w:r>
    </w:p>
    <w:p w:rsidR="001A3992" w:rsidRPr="005E1202" w:rsidRDefault="001A3992" w:rsidP="001A3992">
      <w:pPr>
        <w:pStyle w:val="Heading2"/>
        <w:spacing w:before="0" w:after="120"/>
        <w:rPr>
          <w:rFonts w:cs="Arial"/>
          <w:lang w:val="en-US"/>
        </w:rPr>
      </w:pPr>
      <w:r w:rsidRPr="005E1202">
        <w:rPr>
          <w:rFonts w:cs="Arial"/>
          <w:lang w:val="en-US"/>
        </w:rPr>
        <w:t xml:space="preserve">Nature and contents of container </w:t>
      </w:r>
    </w:p>
    <w:p w:rsidR="009C7847" w:rsidRPr="005E1202" w:rsidRDefault="009C7847" w:rsidP="00D11D72">
      <w:pPr>
        <w:jc w:val="both"/>
        <w:rPr>
          <w:rFonts w:ascii="Arial" w:hAnsi="Arial" w:cs="Arial"/>
        </w:rPr>
      </w:pPr>
      <w:r w:rsidRPr="005E1202">
        <w:rPr>
          <w:rFonts w:ascii="Arial" w:hAnsi="Arial" w:cs="Arial"/>
        </w:rPr>
        <w:t>MAVIRET 100 mg</w:t>
      </w:r>
      <w:r w:rsidR="00370AA8">
        <w:rPr>
          <w:rFonts w:ascii="Arial" w:hAnsi="Arial" w:cs="Arial"/>
        </w:rPr>
        <w:t xml:space="preserve"> </w:t>
      </w:r>
      <w:r w:rsidRPr="005E1202">
        <w:rPr>
          <w:rFonts w:ascii="Arial" w:hAnsi="Arial" w:cs="Arial"/>
        </w:rPr>
        <w:t>/</w:t>
      </w:r>
      <w:r w:rsidR="00370AA8">
        <w:rPr>
          <w:rFonts w:ascii="Arial" w:hAnsi="Arial" w:cs="Arial"/>
        </w:rPr>
        <w:t xml:space="preserve"> </w:t>
      </w:r>
      <w:r w:rsidRPr="005E1202">
        <w:rPr>
          <w:rFonts w:ascii="Arial" w:hAnsi="Arial" w:cs="Arial"/>
        </w:rPr>
        <w:t xml:space="preserve">40 mg tablets are pink-coloured, film-coated, oblong biconvex </w:t>
      </w:r>
      <w:proofErr w:type="gramStart"/>
      <w:r w:rsidRPr="005E1202">
        <w:rPr>
          <w:rFonts w:ascii="Arial" w:hAnsi="Arial" w:cs="Arial"/>
        </w:rPr>
        <w:t>shaped,</w:t>
      </w:r>
      <w:proofErr w:type="gramEnd"/>
      <w:r w:rsidRPr="005E1202">
        <w:rPr>
          <w:rFonts w:ascii="Arial" w:hAnsi="Arial" w:cs="Arial"/>
        </w:rPr>
        <w:t xml:space="preserve"> and debossed with “NXT” on one side.</w:t>
      </w:r>
    </w:p>
    <w:p w:rsidR="009C7847" w:rsidRPr="005E1202" w:rsidRDefault="009C7847" w:rsidP="00D11D72">
      <w:pPr>
        <w:jc w:val="both"/>
        <w:rPr>
          <w:rFonts w:ascii="Arial" w:hAnsi="Arial" w:cs="Arial"/>
        </w:rPr>
      </w:pPr>
      <w:r w:rsidRPr="005E1202">
        <w:rPr>
          <w:rFonts w:ascii="Arial" w:hAnsi="Arial" w:cs="Arial"/>
        </w:rPr>
        <w:t xml:space="preserve">MAVIRET is dispensed in a monthly carton. Each monthly carton contains four weekly cartons. Each weekly carton contains seven daily blister packs. Each daily dose contains three 100 mg / 40 mg </w:t>
      </w:r>
      <w:proofErr w:type="spellStart"/>
      <w:r w:rsidRPr="005E1202">
        <w:rPr>
          <w:rFonts w:ascii="Arial" w:hAnsi="Arial" w:cs="Arial"/>
        </w:rPr>
        <w:t>glecaprevir</w:t>
      </w:r>
      <w:proofErr w:type="spellEnd"/>
      <w:r w:rsidR="00E362E7">
        <w:rPr>
          <w:rFonts w:ascii="Arial" w:hAnsi="Arial" w:cs="Arial"/>
        </w:rPr>
        <w:t xml:space="preserve"> </w:t>
      </w:r>
      <w:r w:rsidRPr="005E1202">
        <w:rPr>
          <w:rFonts w:ascii="Arial" w:hAnsi="Arial" w:cs="Arial"/>
        </w:rPr>
        <w:t>/</w:t>
      </w:r>
      <w:r w:rsidR="00E362E7">
        <w:rPr>
          <w:rFonts w:ascii="Arial" w:hAnsi="Arial" w:cs="Arial"/>
        </w:rPr>
        <w:t xml:space="preserve"> </w:t>
      </w:r>
      <w:proofErr w:type="spellStart"/>
      <w:r w:rsidRPr="005E1202">
        <w:rPr>
          <w:rFonts w:ascii="Arial" w:hAnsi="Arial" w:cs="Arial"/>
        </w:rPr>
        <w:t>pibrentasvir</w:t>
      </w:r>
      <w:proofErr w:type="spellEnd"/>
      <w:r w:rsidRPr="005E1202">
        <w:rPr>
          <w:rFonts w:ascii="Arial" w:hAnsi="Arial" w:cs="Arial"/>
        </w:rPr>
        <w:t xml:space="preserve"> tablets in PVC/PE/</w:t>
      </w:r>
      <w:proofErr w:type="gramStart"/>
      <w:r w:rsidRPr="005E1202">
        <w:rPr>
          <w:rFonts w:ascii="Arial" w:hAnsi="Arial" w:cs="Arial"/>
        </w:rPr>
        <w:t>PCTFE(</w:t>
      </w:r>
      <w:proofErr w:type="spellStart"/>
      <w:proofErr w:type="gramEnd"/>
      <w:r w:rsidRPr="005E1202">
        <w:rPr>
          <w:rFonts w:ascii="Arial" w:hAnsi="Arial" w:cs="Arial"/>
        </w:rPr>
        <w:t>Aclar</w:t>
      </w:r>
      <w:proofErr w:type="spellEnd"/>
      <w:r w:rsidRPr="005E1202">
        <w:rPr>
          <w:rFonts w:ascii="Arial" w:hAnsi="Arial" w:cs="Arial"/>
        </w:rPr>
        <w:t>)/Al blisters.</w:t>
      </w:r>
    </w:p>
    <w:p w:rsidR="001A3992" w:rsidRPr="005E1202" w:rsidRDefault="001A3992" w:rsidP="001A3992">
      <w:pPr>
        <w:pStyle w:val="Heading2"/>
        <w:spacing w:before="0" w:after="120"/>
        <w:rPr>
          <w:rFonts w:cs="Arial"/>
          <w:lang w:val="en-US"/>
        </w:rPr>
      </w:pPr>
      <w:r w:rsidRPr="005E1202">
        <w:rPr>
          <w:rFonts w:cs="Arial"/>
          <w:lang w:val="en-US"/>
        </w:rPr>
        <w:t xml:space="preserve">Special precautions for disposal </w:t>
      </w:r>
    </w:p>
    <w:p w:rsidR="009C7847" w:rsidRPr="005E1202" w:rsidRDefault="009C7847" w:rsidP="009C7847">
      <w:pPr>
        <w:rPr>
          <w:rFonts w:ascii="Arial" w:hAnsi="Arial" w:cs="Arial"/>
          <w:lang w:val="en-US"/>
        </w:rPr>
      </w:pPr>
      <w:r w:rsidRPr="005E1202">
        <w:rPr>
          <w:rFonts w:ascii="Arial" w:hAnsi="Arial" w:cs="Arial"/>
          <w:lang w:val="en"/>
        </w:rPr>
        <w:t xml:space="preserve">In Australia, any unused medicine or waste material should be disposed of by taking </w:t>
      </w:r>
      <w:r w:rsidR="00E362E7">
        <w:rPr>
          <w:rFonts w:ascii="Arial" w:hAnsi="Arial" w:cs="Arial"/>
          <w:lang w:val="en"/>
        </w:rPr>
        <w:t xml:space="preserve">it </w:t>
      </w:r>
      <w:r w:rsidRPr="005E1202">
        <w:rPr>
          <w:rFonts w:ascii="Arial" w:hAnsi="Arial" w:cs="Arial"/>
          <w:lang w:val="en"/>
        </w:rPr>
        <w:t>to your local pharmacy</w:t>
      </w:r>
    </w:p>
    <w:p w:rsidR="001A3992" w:rsidRPr="005E1202" w:rsidRDefault="001A3992" w:rsidP="001A3992">
      <w:pPr>
        <w:pStyle w:val="Heading2"/>
        <w:spacing w:before="0" w:after="120"/>
        <w:rPr>
          <w:rFonts w:cs="Arial"/>
          <w:lang w:val="en-US"/>
        </w:rPr>
      </w:pPr>
      <w:r w:rsidRPr="005E1202">
        <w:rPr>
          <w:rFonts w:cs="Arial"/>
          <w:lang w:val="en-US"/>
        </w:rPr>
        <w:t>Physicochemical properties</w:t>
      </w:r>
    </w:p>
    <w:p w:rsidR="001A3992" w:rsidRPr="005E1202" w:rsidRDefault="001A3992" w:rsidP="001A3992">
      <w:pPr>
        <w:pStyle w:val="Heading3"/>
        <w:spacing w:before="0" w:after="120"/>
        <w:rPr>
          <w:rFonts w:cs="Arial"/>
          <w:lang w:val="en-US"/>
        </w:rPr>
      </w:pPr>
      <w:r w:rsidRPr="005E1202">
        <w:rPr>
          <w:rFonts w:cs="Arial"/>
          <w:lang w:val="en-US"/>
        </w:rPr>
        <w:lastRenderedPageBreak/>
        <w:t>Chemical structure</w:t>
      </w:r>
      <w:r w:rsidR="009C7847" w:rsidRPr="005E1202">
        <w:rPr>
          <w:rFonts w:cs="Arial"/>
          <w:lang w:val="en-US"/>
        </w:rPr>
        <w:t xml:space="preserve"> and CAS numbers</w:t>
      </w:r>
    </w:p>
    <w:p w:rsidR="009C7847" w:rsidRPr="005E1202" w:rsidRDefault="009C7847" w:rsidP="009C7847">
      <w:pPr>
        <w:pStyle w:val="Heading4"/>
        <w:rPr>
          <w:rFonts w:cs="Arial"/>
        </w:rPr>
      </w:pPr>
      <w:proofErr w:type="spellStart"/>
      <w:r w:rsidRPr="005E1202">
        <w:rPr>
          <w:rFonts w:cs="Arial"/>
        </w:rPr>
        <w:t>Glecaprevir</w:t>
      </w:r>
      <w:proofErr w:type="spellEnd"/>
    </w:p>
    <w:p w:rsidR="009C7847" w:rsidRPr="005E1202" w:rsidRDefault="009C7847" w:rsidP="00D11D72">
      <w:pPr>
        <w:jc w:val="both"/>
        <w:rPr>
          <w:rFonts w:ascii="Arial" w:hAnsi="Arial" w:cs="Arial"/>
        </w:rPr>
      </w:pPr>
      <w:r w:rsidRPr="005E1202">
        <w:rPr>
          <w:rFonts w:ascii="Arial" w:hAnsi="Arial" w:cs="Arial"/>
        </w:rPr>
        <w:t xml:space="preserve">The chemical name of </w:t>
      </w:r>
      <w:proofErr w:type="spellStart"/>
      <w:r w:rsidRPr="005E1202">
        <w:rPr>
          <w:rFonts w:ascii="Arial" w:hAnsi="Arial" w:cs="Arial"/>
        </w:rPr>
        <w:t>glecaprevir</w:t>
      </w:r>
      <w:proofErr w:type="spellEnd"/>
      <w:r w:rsidRPr="005E1202">
        <w:rPr>
          <w:rFonts w:ascii="Arial" w:hAnsi="Arial" w:cs="Arial"/>
        </w:rPr>
        <w:t xml:space="preserve"> is (3a</w:t>
      </w:r>
      <w:r w:rsidRPr="005E1202">
        <w:rPr>
          <w:rFonts w:ascii="Arial" w:hAnsi="Arial" w:cs="Arial"/>
          <w:i/>
        </w:rPr>
        <w:t>R</w:t>
      </w:r>
      <w:r w:rsidRPr="005E1202">
        <w:rPr>
          <w:rFonts w:ascii="Arial" w:hAnsi="Arial" w:cs="Arial"/>
        </w:rPr>
        <w:t>,7</w:t>
      </w:r>
      <w:r w:rsidRPr="005E1202">
        <w:rPr>
          <w:rFonts w:ascii="Arial" w:hAnsi="Arial" w:cs="Arial"/>
          <w:i/>
        </w:rPr>
        <w:t>S</w:t>
      </w:r>
      <w:r w:rsidRPr="005E1202">
        <w:rPr>
          <w:rFonts w:ascii="Arial" w:hAnsi="Arial" w:cs="Arial"/>
        </w:rPr>
        <w:t>,10</w:t>
      </w:r>
      <w:r w:rsidRPr="005E1202">
        <w:rPr>
          <w:rFonts w:ascii="Arial" w:hAnsi="Arial" w:cs="Arial"/>
          <w:i/>
        </w:rPr>
        <w:t>S</w:t>
      </w:r>
      <w:r w:rsidRPr="005E1202">
        <w:rPr>
          <w:rFonts w:ascii="Arial" w:hAnsi="Arial" w:cs="Arial"/>
        </w:rPr>
        <w:t>,12</w:t>
      </w:r>
      <w:r w:rsidRPr="005E1202">
        <w:rPr>
          <w:rFonts w:ascii="Arial" w:hAnsi="Arial" w:cs="Arial"/>
          <w:i/>
        </w:rPr>
        <w:t>R</w:t>
      </w:r>
      <w:r w:rsidRPr="005E1202">
        <w:rPr>
          <w:rFonts w:ascii="Arial" w:hAnsi="Arial" w:cs="Arial"/>
        </w:rPr>
        <w:t>,21</w:t>
      </w:r>
      <w:r w:rsidRPr="005E1202">
        <w:rPr>
          <w:rFonts w:ascii="Arial" w:hAnsi="Arial" w:cs="Arial"/>
          <w:i/>
        </w:rPr>
        <w:t>E</w:t>
      </w:r>
      <w:r w:rsidRPr="005E1202">
        <w:rPr>
          <w:rFonts w:ascii="Arial" w:hAnsi="Arial" w:cs="Arial"/>
        </w:rPr>
        <w:t>,24a</w:t>
      </w:r>
      <w:r w:rsidRPr="005E1202">
        <w:rPr>
          <w:rFonts w:ascii="Arial" w:hAnsi="Arial" w:cs="Arial"/>
          <w:i/>
        </w:rPr>
        <w:t>R</w:t>
      </w:r>
      <w:r w:rsidRPr="005E1202">
        <w:rPr>
          <w:rFonts w:ascii="Arial" w:hAnsi="Arial" w:cs="Arial"/>
        </w:rPr>
        <w:t>)-7-</w:t>
      </w:r>
      <w:r w:rsidRPr="005E1202">
        <w:rPr>
          <w:rFonts w:ascii="Arial" w:hAnsi="Arial" w:cs="Arial"/>
          <w:i/>
        </w:rPr>
        <w:t>tert</w:t>
      </w:r>
      <w:r w:rsidRPr="005E1202">
        <w:rPr>
          <w:rFonts w:ascii="Arial" w:hAnsi="Arial" w:cs="Arial"/>
        </w:rPr>
        <w:t>-butyl-</w:t>
      </w:r>
      <w:r w:rsidRPr="005E1202">
        <w:rPr>
          <w:rFonts w:ascii="Arial" w:hAnsi="Arial" w:cs="Arial"/>
          <w:i/>
        </w:rPr>
        <w:t>N</w:t>
      </w:r>
      <w:r w:rsidRPr="005E1202">
        <w:rPr>
          <w:rFonts w:ascii="Arial" w:hAnsi="Arial" w:cs="Arial"/>
        </w:rPr>
        <w:t>-{(1</w:t>
      </w:r>
      <w:r w:rsidRPr="005E1202">
        <w:rPr>
          <w:rFonts w:ascii="Arial" w:hAnsi="Arial" w:cs="Arial"/>
          <w:i/>
        </w:rPr>
        <w:t>R</w:t>
      </w:r>
      <w:r w:rsidRPr="005E1202">
        <w:rPr>
          <w:rFonts w:ascii="Arial" w:hAnsi="Arial" w:cs="Arial"/>
        </w:rPr>
        <w:t>,2</w:t>
      </w:r>
      <w:r w:rsidRPr="005E1202">
        <w:rPr>
          <w:rFonts w:ascii="Arial" w:hAnsi="Arial" w:cs="Arial"/>
          <w:i/>
        </w:rPr>
        <w:t>R</w:t>
      </w:r>
      <w:r w:rsidRPr="005E1202">
        <w:rPr>
          <w:rFonts w:ascii="Arial" w:hAnsi="Arial" w:cs="Arial"/>
        </w:rPr>
        <w:t>)-2-(difluoromethyl)-1-[(1-methylcyclopropane-1-sulfonyl)carbamoyl]cyclopropyl}-20,20-difluoro-5,8-dioxo-2,3,3a,5,6,7,8,11,12,20,23,24a-dodecahydro-1</w:t>
      </w:r>
      <w:r w:rsidRPr="005E1202">
        <w:rPr>
          <w:rFonts w:ascii="Arial" w:hAnsi="Arial" w:cs="Arial"/>
          <w:i/>
        </w:rPr>
        <w:t>H</w:t>
      </w:r>
      <w:r w:rsidRPr="005E1202">
        <w:rPr>
          <w:rFonts w:ascii="Arial" w:hAnsi="Arial" w:cs="Arial"/>
        </w:rPr>
        <w:t>,10</w:t>
      </w:r>
      <w:r w:rsidRPr="005E1202">
        <w:rPr>
          <w:rFonts w:ascii="Arial" w:hAnsi="Arial" w:cs="Arial"/>
          <w:i/>
        </w:rPr>
        <w:t>H</w:t>
      </w:r>
      <w:r w:rsidRPr="005E1202">
        <w:rPr>
          <w:rFonts w:ascii="Arial" w:hAnsi="Arial" w:cs="Arial"/>
        </w:rPr>
        <w:t xml:space="preserve">-9,12-methanocyclopenta[18,19][1,10,17,3,6]trioxadiazacyclononadecino[11,12-b]quinoxaline-10-carboxamide hydrate. </w:t>
      </w:r>
    </w:p>
    <w:p w:rsidR="009C7847" w:rsidRPr="005E1202" w:rsidRDefault="009C7847" w:rsidP="00D11D72">
      <w:pPr>
        <w:jc w:val="both"/>
        <w:rPr>
          <w:rFonts w:ascii="Arial" w:hAnsi="Arial" w:cs="Arial"/>
        </w:rPr>
      </w:pPr>
      <w:r w:rsidRPr="005E1202">
        <w:rPr>
          <w:rFonts w:ascii="Arial" w:hAnsi="Arial" w:cs="Arial"/>
        </w:rPr>
        <w:t>The molecular formula is C</w:t>
      </w:r>
      <w:r w:rsidRPr="005E1202">
        <w:rPr>
          <w:rFonts w:ascii="Arial" w:hAnsi="Arial" w:cs="Arial"/>
          <w:vertAlign w:val="subscript"/>
        </w:rPr>
        <w:t>38</w:t>
      </w:r>
      <w:r w:rsidRPr="005E1202">
        <w:rPr>
          <w:rFonts w:ascii="Arial" w:hAnsi="Arial" w:cs="Arial"/>
        </w:rPr>
        <w:t>H</w:t>
      </w:r>
      <w:r w:rsidRPr="005E1202">
        <w:rPr>
          <w:rFonts w:ascii="Arial" w:hAnsi="Arial" w:cs="Arial"/>
          <w:vertAlign w:val="subscript"/>
        </w:rPr>
        <w:t>46</w:t>
      </w:r>
      <w:r w:rsidRPr="005E1202">
        <w:rPr>
          <w:rFonts w:ascii="Arial" w:hAnsi="Arial" w:cs="Arial"/>
        </w:rPr>
        <w:t>F</w:t>
      </w:r>
      <w:r w:rsidRPr="005E1202">
        <w:rPr>
          <w:rFonts w:ascii="Arial" w:hAnsi="Arial" w:cs="Arial"/>
          <w:vertAlign w:val="subscript"/>
        </w:rPr>
        <w:t>4</w:t>
      </w:r>
      <w:r w:rsidRPr="005E1202">
        <w:rPr>
          <w:rFonts w:ascii="Arial" w:hAnsi="Arial" w:cs="Arial"/>
        </w:rPr>
        <w:t>N</w:t>
      </w:r>
      <w:r w:rsidRPr="005E1202">
        <w:rPr>
          <w:rFonts w:ascii="Arial" w:hAnsi="Arial" w:cs="Arial"/>
          <w:vertAlign w:val="subscript"/>
        </w:rPr>
        <w:t>6</w:t>
      </w:r>
      <w:r w:rsidRPr="005E1202">
        <w:rPr>
          <w:rFonts w:ascii="Arial" w:hAnsi="Arial" w:cs="Arial"/>
        </w:rPr>
        <w:t>O</w:t>
      </w:r>
      <w:r w:rsidRPr="005E1202">
        <w:rPr>
          <w:rFonts w:ascii="Arial" w:hAnsi="Arial" w:cs="Arial"/>
          <w:vertAlign w:val="subscript"/>
        </w:rPr>
        <w:t>9</w:t>
      </w:r>
      <w:r w:rsidRPr="005E1202">
        <w:rPr>
          <w:rFonts w:ascii="Arial" w:hAnsi="Arial" w:cs="Arial"/>
        </w:rPr>
        <w:t>S (</w:t>
      </w:r>
      <w:proofErr w:type="spellStart"/>
      <w:r w:rsidRPr="005E1202">
        <w:rPr>
          <w:rFonts w:ascii="Arial" w:hAnsi="Arial" w:cs="Arial"/>
        </w:rPr>
        <w:t>anhydrate</w:t>
      </w:r>
      <w:proofErr w:type="spellEnd"/>
      <w:r w:rsidRPr="005E1202">
        <w:rPr>
          <w:rFonts w:ascii="Arial" w:hAnsi="Arial" w:cs="Arial"/>
        </w:rPr>
        <w:t>) and the molecular weight for the drug substance is 838.87 g/</w:t>
      </w:r>
      <w:proofErr w:type="spellStart"/>
      <w:r w:rsidRPr="005E1202">
        <w:rPr>
          <w:rFonts w:ascii="Arial" w:hAnsi="Arial" w:cs="Arial"/>
        </w:rPr>
        <w:t>mol</w:t>
      </w:r>
      <w:proofErr w:type="spellEnd"/>
      <w:r w:rsidRPr="005E1202">
        <w:rPr>
          <w:rFonts w:ascii="Arial" w:hAnsi="Arial" w:cs="Arial"/>
        </w:rPr>
        <w:t xml:space="preserve"> (</w:t>
      </w:r>
      <w:proofErr w:type="spellStart"/>
      <w:r w:rsidRPr="005E1202">
        <w:rPr>
          <w:rFonts w:ascii="Arial" w:hAnsi="Arial" w:cs="Arial"/>
        </w:rPr>
        <w:t>anhydrate</w:t>
      </w:r>
      <w:proofErr w:type="spellEnd"/>
      <w:r w:rsidRPr="005E1202">
        <w:rPr>
          <w:rFonts w:ascii="Arial" w:hAnsi="Arial" w:cs="Arial"/>
        </w:rPr>
        <w:t xml:space="preserve">). </w:t>
      </w:r>
    </w:p>
    <w:p w:rsidR="009C7847" w:rsidRPr="005E1202" w:rsidRDefault="009C7847" w:rsidP="00D11D72">
      <w:pPr>
        <w:jc w:val="both"/>
        <w:rPr>
          <w:rFonts w:ascii="Arial" w:hAnsi="Arial" w:cs="Arial"/>
        </w:rPr>
      </w:pPr>
      <w:proofErr w:type="spellStart"/>
      <w:r w:rsidRPr="005E1202">
        <w:rPr>
          <w:rFonts w:ascii="Arial" w:hAnsi="Arial" w:cs="Arial"/>
        </w:rPr>
        <w:t>Glecaprevir</w:t>
      </w:r>
      <w:proofErr w:type="spellEnd"/>
      <w:r w:rsidRPr="005E1202">
        <w:rPr>
          <w:rFonts w:ascii="Arial" w:hAnsi="Arial" w:cs="Arial"/>
        </w:rPr>
        <w:t xml:space="preserve"> has the following molecular structure: </w:t>
      </w:r>
    </w:p>
    <w:p w:rsidR="009C7847" w:rsidRPr="005E1202" w:rsidRDefault="009C7847" w:rsidP="009C7847">
      <w:pPr>
        <w:jc w:val="center"/>
        <w:rPr>
          <w:rFonts w:ascii="Arial" w:hAnsi="Arial" w:cs="Arial"/>
        </w:rPr>
      </w:pPr>
      <w:r w:rsidRPr="005E1202">
        <w:rPr>
          <w:rFonts w:ascii="Arial" w:hAnsi="Arial" w:cs="Arial"/>
          <w:noProof/>
          <w:lang w:eastAsia="en-AU"/>
        </w:rPr>
        <w:drawing>
          <wp:inline distT="0" distB="0" distL="0" distR="0" wp14:anchorId="0F3F3FDB" wp14:editId="088166D7">
            <wp:extent cx="2312158" cy="2018995"/>
            <wp:effectExtent l="0" t="0" r="0" b="6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158" cy="2018995"/>
                    </a:xfrm>
                    <a:prstGeom prst="rect">
                      <a:avLst/>
                    </a:prstGeom>
                    <a:noFill/>
                    <a:ln>
                      <a:noFill/>
                    </a:ln>
                  </pic:spPr>
                </pic:pic>
              </a:graphicData>
            </a:graphic>
          </wp:inline>
        </w:drawing>
      </w:r>
    </w:p>
    <w:p w:rsidR="009C7847" w:rsidRPr="005E1202" w:rsidRDefault="009C7847" w:rsidP="009C7847">
      <w:pPr>
        <w:rPr>
          <w:rFonts w:ascii="Arial" w:hAnsi="Arial" w:cs="Arial"/>
        </w:rPr>
      </w:pPr>
      <w:r w:rsidRPr="005E1202">
        <w:rPr>
          <w:rFonts w:ascii="Arial" w:hAnsi="Arial" w:cs="Arial"/>
        </w:rPr>
        <w:t xml:space="preserve">CAS Number: </w:t>
      </w:r>
      <w:r w:rsidRPr="005E1202">
        <w:rPr>
          <w:rFonts w:ascii="Arial" w:hAnsi="Arial" w:cs="Arial"/>
        </w:rPr>
        <w:tab/>
        <w:t>1838571-99-5 (</w:t>
      </w:r>
      <w:proofErr w:type="spellStart"/>
      <w:r w:rsidRPr="005E1202">
        <w:rPr>
          <w:rFonts w:ascii="Arial" w:hAnsi="Arial" w:cs="Arial"/>
        </w:rPr>
        <w:t>anhydrate</w:t>
      </w:r>
      <w:proofErr w:type="spellEnd"/>
      <w:r w:rsidRPr="005E1202">
        <w:rPr>
          <w:rFonts w:ascii="Arial" w:hAnsi="Arial" w:cs="Arial"/>
        </w:rPr>
        <w:t xml:space="preserve">) </w:t>
      </w:r>
    </w:p>
    <w:p w:rsidR="009C7847" w:rsidRPr="005E1202" w:rsidRDefault="009C7847" w:rsidP="009C7847">
      <w:pPr>
        <w:pStyle w:val="Heading4"/>
        <w:rPr>
          <w:rFonts w:cs="Arial"/>
        </w:rPr>
      </w:pPr>
      <w:proofErr w:type="spellStart"/>
      <w:r w:rsidRPr="005E1202">
        <w:rPr>
          <w:rFonts w:cs="Arial"/>
        </w:rPr>
        <w:t>Pibrentasvir</w:t>
      </w:r>
      <w:proofErr w:type="spellEnd"/>
    </w:p>
    <w:p w:rsidR="009C7847" w:rsidRPr="005E1202" w:rsidRDefault="009C7847" w:rsidP="00D11D72">
      <w:pPr>
        <w:jc w:val="both"/>
        <w:rPr>
          <w:rFonts w:ascii="Arial" w:hAnsi="Arial" w:cs="Arial"/>
        </w:rPr>
      </w:pPr>
      <w:r w:rsidRPr="005E1202">
        <w:rPr>
          <w:rFonts w:ascii="Arial" w:hAnsi="Arial" w:cs="Arial"/>
        </w:rPr>
        <w:t xml:space="preserve">The chemical name of </w:t>
      </w:r>
      <w:proofErr w:type="spellStart"/>
      <w:r w:rsidRPr="005E1202">
        <w:rPr>
          <w:rFonts w:ascii="Arial" w:hAnsi="Arial" w:cs="Arial"/>
        </w:rPr>
        <w:t>pibrentasvir</w:t>
      </w:r>
      <w:proofErr w:type="spellEnd"/>
      <w:r w:rsidRPr="005E1202">
        <w:rPr>
          <w:rFonts w:ascii="Arial" w:hAnsi="Arial" w:cs="Arial"/>
        </w:rPr>
        <w:t xml:space="preserve"> is methyl {(2</w:t>
      </w:r>
      <w:r w:rsidRPr="005E1202">
        <w:rPr>
          <w:rFonts w:ascii="Arial" w:hAnsi="Arial" w:cs="Arial"/>
          <w:i/>
        </w:rPr>
        <w:t>S</w:t>
      </w:r>
      <w:r w:rsidRPr="005E1202">
        <w:rPr>
          <w:rFonts w:ascii="Arial" w:hAnsi="Arial" w:cs="Arial"/>
        </w:rPr>
        <w:t>,3</w:t>
      </w:r>
      <w:r w:rsidRPr="005E1202">
        <w:rPr>
          <w:rFonts w:ascii="Arial" w:hAnsi="Arial" w:cs="Arial"/>
          <w:i/>
        </w:rPr>
        <w:t>R</w:t>
      </w:r>
      <w:r w:rsidRPr="005E1202">
        <w:rPr>
          <w:rFonts w:ascii="Arial" w:hAnsi="Arial" w:cs="Arial"/>
        </w:rPr>
        <w:t>)-1-[(2</w:t>
      </w:r>
      <w:r w:rsidRPr="005E1202">
        <w:rPr>
          <w:rFonts w:ascii="Arial" w:hAnsi="Arial" w:cs="Arial"/>
          <w:i/>
        </w:rPr>
        <w:t>S</w:t>
      </w:r>
      <w:r w:rsidRPr="005E1202">
        <w:rPr>
          <w:rFonts w:ascii="Arial" w:hAnsi="Arial" w:cs="Arial"/>
        </w:rPr>
        <w:t>)-2-{5-[(2</w:t>
      </w:r>
      <w:r w:rsidRPr="005E1202">
        <w:rPr>
          <w:rFonts w:ascii="Arial" w:hAnsi="Arial" w:cs="Arial"/>
          <w:i/>
        </w:rPr>
        <w:t>R</w:t>
      </w:r>
      <w:r w:rsidRPr="005E1202">
        <w:rPr>
          <w:rFonts w:ascii="Arial" w:hAnsi="Arial" w:cs="Arial"/>
        </w:rPr>
        <w:t>,5</w:t>
      </w:r>
      <w:r w:rsidRPr="005E1202">
        <w:rPr>
          <w:rFonts w:ascii="Arial" w:hAnsi="Arial" w:cs="Arial"/>
          <w:i/>
        </w:rPr>
        <w:t>R</w:t>
      </w:r>
      <w:r w:rsidRPr="005E1202">
        <w:rPr>
          <w:rFonts w:ascii="Arial" w:hAnsi="Arial" w:cs="Arial"/>
        </w:rPr>
        <w:t>)-1-{3,5-difluoro-4-[4-(4-fluorophenyl)piperidin-1-yl]phenyl}-5-(6-fluoro-2-{(2</w:t>
      </w:r>
      <w:r w:rsidRPr="005E1202">
        <w:rPr>
          <w:rFonts w:ascii="Arial" w:hAnsi="Arial" w:cs="Arial"/>
          <w:i/>
        </w:rPr>
        <w:t>S</w:t>
      </w:r>
      <w:r w:rsidRPr="005E1202">
        <w:rPr>
          <w:rFonts w:ascii="Arial" w:hAnsi="Arial" w:cs="Arial"/>
        </w:rPr>
        <w:t>)-1-[</w:t>
      </w:r>
      <w:r w:rsidRPr="005E1202">
        <w:rPr>
          <w:rFonts w:ascii="Arial" w:hAnsi="Arial" w:cs="Arial"/>
          <w:i/>
        </w:rPr>
        <w:t>N</w:t>
      </w:r>
      <w:r w:rsidRPr="005E1202">
        <w:rPr>
          <w:rFonts w:ascii="Arial" w:hAnsi="Arial" w:cs="Arial"/>
        </w:rPr>
        <w:t>-(methoxycarbonyl)-</w:t>
      </w:r>
      <w:r w:rsidRPr="005E1202">
        <w:rPr>
          <w:rFonts w:ascii="Arial" w:hAnsi="Arial" w:cs="Arial"/>
          <w:i/>
        </w:rPr>
        <w:t>O</w:t>
      </w:r>
      <w:r w:rsidRPr="005E1202">
        <w:rPr>
          <w:rFonts w:ascii="Arial" w:hAnsi="Arial" w:cs="Arial"/>
        </w:rPr>
        <w:t>-methyl-L-threonyl]pyrrolidin-2-yl}-1</w:t>
      </w:r>
      <w:r w:rsidRPr="005E1202">
        <w:rPr>
          <w:rFonts w:ascii="Arial" w:hAnsi="Arial" w:cs="Arial"/>
          <w:i/>
        </w:rPr>
        <w:t>H</w:t>
      </w:r>
      <w:r w:rsidRPr="005E1202">
        <w:rPr>
          <w:rFonts w:ascii="Arial" w:hAnsi="Arial" w:cs="Arial"/>
        </w:rPr>
        <w:t>-benzimidazol-5-yl)pyrrolidin-2-yl]-6-fluoro-1</w:t>
      </w:r>
      <w:r w:rsidRPr="005E1202">
        <w:rPr>
          <w:rFonts w:ascii="Arial" w:hAnsi="Arial" w:cs="Arial"/>
          <w:i/>
        </w:rPr>
        <w:t>H</w:t>
      </w:r>
      <w:r w:rsidRPr="005E1202">
        <w:rPr>
          <w:rFonts w:ascii="Arial" w:hAnsi="Arial" w:cs="Arial"/>
        </w:rPr>
        <w:t xml:space="preserve">-benzimidazol-2-yl}pyrrolidin-1-yl]-3-methoxy-1-oxobutan-2-yl}carbamate. </w:t>
      </w:r>
    </w:p>
    <w:p w:rsidR="009C7847" w:rsidRPr="005E1202" w:rsidRDefault="009C7847" w:rsidP="00D11D72">
      <w:pPr>
        <w:jc w:val="both"/>
        <w:rPr>
          <w:rFonts w:ascii="Arial" w:hAnsi="Arial" w:cs="Arial"/>
        </w:rPr>
      </w:pPr>
      <w:r w:rsidRPr="005E1202">
        <w:rPr>
          <w:rFonts w:ascii="Arial" w:hAnsi="Arial" w:cs="Arial"/>
        </w:rPr>
        <w:t>The molecular formula is C</w:t>
      </w:r>
      <w:r w:rsidRPr="005E1202">
        <w:rPr>
          <w:rFonts w:ascii="Arial" w:hAnsi="Arial" w:cs="Arial"/>
          <w:vertAlign w:val="subscript"/>
        </w:rPr>
        <w:t>57</w:t>
      </w:r>
      <w:r w:rsidRPr="005E1202">
        <w:rPr>
          <w:rFonts w:ascii="Arial" w:hAnsi="Arial" w:cs="Arial"/>
        </w:rPr>
        <w:t>H</w:t>
      </w:r>
      <w:r w:rsidRPr="005E1202">
        <w:rPr>
          <w:rFonts w:ascii="Arial" w:hAnsi="Arial" w:cs="Arial"/>
          <w:vertAlign w:val="subscript"/>
        </w:rPr>
        <w:t>65</w:t>
      </w:r>
      <w:r w:rsidRPr="005E1202">
        <w:rPr>
          <w:rFonts w:ascii="Arial" w:hAnsi="Arial" w:cs="Arial"/>
        </w:rPr>
        <w:t>F</w:t>
      </w:r>
      <w:r w:rsidRPr="005E1202">
        <w:rPr>
          <w:rFonts w:ascii="Arial" w:hAnsi="Arial" w:cs="Arial"/>
          <w:vertAlign w:val="subscript"/>
        </w:rPr>
        <w:t>5</w:t>
      </w:r>
      <w:r w:rsidRPr="005E1202">
        <w:rPr>
          <w:rFonts w:ascii="Arial" w:hAnsi="Arial" w:cs="Arial"/>
        </w:rPr>
        <w:t>N</w:t>
      </w:r>
      <w:r w:rsidRPr="005E1202">
        <w:rPr>
          <w:rFonts w:ascii="Arial" w:hAnsi="Arial" w:cs="Arial"/>
          <w:vertAlign w:val="subscript"/>
        </w:rPr>
        <w:t>10</w:t>
      </w:r>
      <w:r w:rsidRPr="005E1202">
        <w:rPr>
          <w:rFonts w:ascii="Arial" w:hAnsi="Arial" w:cs="Arial"/>
        </w:rPr>
        <w:t>O</w:t>
      </w:r>
      <w:r w:rsidRPr="005E1202">
        <w:rPr>
          <w:rFonts w:ascii="Arial" w:hAnsi="Arial" w:cs="Arial"/>
          <w:vertAlign w:val="subscript"/>
        </w:rPr>
        <w:t xml:space="preserve">8 </w:t>
      </w:r>
      <w:r w:rsidRPr="005E1202">
        <w:rPr>
          <w:rFonts w:ascii="Arial" w:hAnsi="Arial" w:cs="Arial"/>
        </w:rPr>
        <w:t xml:space="preserve">and the molecular weight for the drug substance is 1113.18 g/mol. </w:t>
      </w:r>
    </w:p>
    <w:p w:rsidR="009C7847" w:rsidRPr="005E1202" w:rsidRDefault="009C7847" w:rsidP="00D11D72">
      <w:pPr>
        <w:jc w:val="both"/>
        <w:rPr>
          <w:rFonts w:ascii="Arial" w:hAnsi="Arial" w:cs="Arial"/>
        </w:rPr>
      </w:pPr>
      <w:proofErr w:type="spellStart"/>
      <w:r w:rsidRPr="005E1202">
        <w:rPr>
          <w:rFonts w:ascii="Arial" w:hAnsi="Arial" w:cs="Arial"/>
        </w:rPr>
        <w:t>Pibrentasvir</w:t>
      </w:r>
      <w:proofErr w:type="spellEnd"/>
      <w:r w:rsidRPr="005E1202">
        <w:rPr>
          <w:rFonts w:ascii="Arial" w:hAnsi="Arial" w:cs="Arial"/>
        </w:rPr>
        <w:t xml:space="preserve"> has the following molecular structure: </w:t>
      </w:r>
    </w:p>
    <w:p w:rsidR="009C7847" w:rsidRPr="005E1202" w:rsidRDefault="009C7847" w:rsidP="009C7847">
      <w:pPr>
        <w:jc w:val="center"/>
        <w:rPr>
          <w:rFonts w:ascii="Arial" w:hAnsi="Arial" w:cs="Arial"/>
        </w:rPr>
      </w:pPr>
      <w:r w:rsidRPr="005E1202">
        <w:rPr>
          <w:rFonts w:ascii="Arial" w:hAnsi="Arial" w:cs="Arial"/>
          <w:noProof/>
          <w:lang w:eastAsia="en-AU"/>
        </w:rPr>
        <w:lastRenderedPageBreak/>
        <w:drawing>
          <wp:inline distT="0" distB="0" distL="0" distR="0" wp14:anchorId="6752F502" wp14:editId="748E42B0">
            <wp:extent cx="3714750" cy="2333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2333625"/>
                    </a:xfrm>
                    <a:prstGeom prst="rect">
                      <a:avLst/>
                    </a:prstGeom>
                    <a:noFill/>
                    <a:ln>
                      <a:noFill/>
                    </a:ln>
                  </pic:spPr>
                </pic:pic>
              </a:graphicData>
            </a:graphic>
          </wp:inline>
        </w:drawing>
      </w:r>
    </w:p>
    <w:p w:rsidR="009C7847" w:rsidRPr="005E1202" w:rsidRDefault="009C7847" w:rsidP="009C7847">
      <w:pPr>
        <w:rPr>
          <w:rFonts w:ascii="Arial" w:hAnsi="Arial" w:cs="Arial"/>
        </w:rPr>
      </w:pPr>
      <w:r w:rsidRPr="005E1202">
        <w:rPr>
          <w:rFonts w:ascii="Arial" w:hAnsi="Arial" w:cs="Arial"/>
        </w:rPr>
        <w:t xml:space="preserve">CAS Number: </w:t>
      </w:r>
      <w:r w:rsidRPr="005E1202">
        <w:rPr>
          <w:rFonts w:ascii="Arial" w:hAnsi="Arial" w:cs="Arial"/>
        </w:rPr>
        <w:tab/>
        <w:t xml:space="preserve">1353900-92-1 </w:t>
      </w:r>
    </w:p>
    <w:p w:rsidR="009C7847" w:rsidRPr="005E1202" w:rsidRDefault="009C7847" w:rsidP="009C7847">
      <w:pPr>
        <w:rPr>
          <w:rFonts w:ascii="Arial" w:hAnsi="Arial" w:cs="Arial"/>
          <w:lang w:val="en-US"/>
        </w:rPr>
      </w:pPr>
    </w:p>
    <w:p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Medicine schedule (Poisons Standard)</w:t>
      </w:r>
    </w:p>
    <w:p w:rsidR="009C7847" w:rsidRDefault="009C7847" w:rsidP="009C7847">
      <w:pPr>
        <w:rPr>
          <w:rFonts w:ascii="Arial" w:hAnsi="Arial" w:cs="Arial"/>
        </w:rPr>
      </w:pPr>
      <w:r w:rsidRPr="005E1202">
        <w:rPr>
          <w:rFonts w:ascii="Arial" w:hAnsi="Arial" w:cs="Arial"/>
        </w:rPr>
        <w:t>Schedule 4</w:t>
      </w:r>
    </w:p>
    <w:p w:rsidR="00D11D72" w:rsidRPr="005E1202" w:rsidRDefault="00D11D72" w:rsidP="009C7847">
      <w:pPr>
        <w:rPr>
          <w:rFonts w:ascii="Arial" w:hAnsi="Arial" w:cs="Arial"/>
        </w:rPr>
      </w:pPr>
    </w:p>
    <w:p w:rsidR="00285173" w:rsidRPr="005E1202" w:rsidRDefault="001A3992" w:rsidP="00285173">
      <w:pPr>
        <w:pStyle w:val="Heading1"/>
        <w:spacing w:before="0" w:after="120"/>
        <w:rPr>
          <w:rFonts w:ascii="Arial" w:hAnsi="Arial" w:cs="Arial"/>
          <w:lang w:val="en-US"/>
        </w:rPr>
      </w:pPr>
      <w:r w:rsidRPr="005E1202">
        <w:rPr>
          <w:rFonts w:ascii="Arial" w:hAnsi="Arial" w:cs="Arial"/>
          <w:lang w:val="en-US"/>
        </w:rPr>
        <w:t>Sponsor</w:t>
      </w:r>
      <w:r w:rsidR="00285173" w:rsidRPr="005E1202">
        <w:rPr>
          <w:rFonts w:ascii="Arial" w:hAnsi="Arial" w:cs="Arial"/>
          <w:lang w:val="en-US"/>
        </w:rPr>
        <w:t xml:space="preserve"> </w:t>
      </w:r>
    </w:p>
    <w:p w:rsidR="009C7847" w:rsidRPr="005E1202" w:rsidRDefault="009C7847" w:rsidP="00FD2FB7">
      <w:pPr>
        <w:spacing w:after="120"/>
        <w:rPr>
          <w:rFonts w:ascii="Arial" w:hAnsi="Arial" w:cs="Arial"/>
        </w:rPr>
      </w:pPr>
      <w:r w:rsidRPr="005E1202">
        <w:rPr>
          <w:rFonts w:ascii="Arial" w:hAnsi="Arial" w:cs="Arial"/>
        </w:rPr>
        <w:t>AbbVie Pty Ltd</w:t>
      </w:r>
    </w:p>
    <w:p w:rsidR="009C7847" w:rsidRPr="005E1202" w:rsidRDefault="009C7847" w:rsidP="00FD2FB7">
      <w:pPr>
        <w:spacing w:after="120"/>
        <w:rPr>
          <w:rFonts w:ascii="Arial" w:hAnsi="Arial" w:cs="Arial"/>
        </w:rPr>
      </w:pPr>
      <w:r w:rsidRPr="005E1202">
        <w:rPr>
          <w:rFonts w:ascii="Arial" w:hAnsi="Arial" w:cs="Arial"/>
        </w:rPr>
        <w:t xml:space="preserve">241 </w:t>
      </w:r>
      <w:proofErr w:type="spellStart"/>
      <w:r w:rsidRPr="005E1202">
        <w:rPr>
          <w:rFonts w:ascii="Arial" w:hAnsi="Arial" w:cs="Arial"/>
        </w:rPr>
        <w:t>O’Riordan</w:t>
      </w:r>
      <w:proofErr w:type="spellEnd"/>
      <w:r w:rsidRPr="005E1202">
        <w:rPr>
          <w:rFonts w:ascii="Arial" w:hAnsi="Arial" w:cs="Arial"/>
        </w:rPr>
        <w:t xml:space="preserve"> Street</w:t>
      </w:r>
    </w:p>
    <w:p w:rsidR="009C7847" w:rsidRPr="005E1202" w:rsidRDefault="009C7847" w:rsidP="00FD2FB7">
      <w:pPr>
        <w:spacing w:after="120"/>
        <w:rPr>
          <w:rFonts w:ascii="Arial" w:hAnsi="Arial" w:cs="Arial"/>
        </w:rPr>
      </w:pPr>
      <w:r w:rsidRPr="005E1202">
        <w:rPr>
          <w:rFonts w:ascii="Arial" w:hAnsi="Arial" w:cs="Arial"/>
        </w:rPr>
        <w:t>Mascot NSW 2020</w:t>
      </w:r>
    </w:p>
    <w:p w:rsidR="009C7847" w:rsidRPr="005E1202" w:rsidRDefault="009C7847" w:rsidP="00FD2FB7">
      <w:pPr>
        <w:spacing w:after="120"/>
        <w:rPr>
          <w:rFonts w:ascii="Arial" w:hAnsi="Arial" w:cs="Arial"/>
        </w:rPr>
      </w:pPr>
      <w:r w:rsidRPr="005E1202">
        <w:rPr>
          <w:rFonts w:ascii="Arial" w:hAnsi="Arial" w:cs="Arial"/>
        </w:rPr>
        <w:t>AUSTRALIA</w:t>
      </w:r>
    </w:p>
    <w:p w:rsidR="009C7847" w:rsidRPr="005E1202" w:rsidRDefault="009C7847" w:rsidP="00FD2FB7">
      <w:pPr>
        <w:spacing w:after="120"/>
        <w:rPr>
          <w:rFonts w:ascii="Arial" w:hAnsi="Arial" w:cs="Arial"/>
        </w:rPr>
      </w:pPr>
    </w:p>
    <w:p w:rsidR="009C7847" w:rsidRPr="005E1202" w:rsidRDefault="009C7847" w:rsidP="00FD2FB7">
      <w:pPr>
        <w:spacing w:after="120"/>
        <w:rPr>
          <w:rFonts w:ascii="Arial" w:hAnsi="Arial" w:cs="Arial"/>
        </w:rPr>
      </w:pPr>
      <w:r w:rsidRPr="005E1202">
        <w:rPr>
          <w:rFonts w:ascii="Arial" w:hAnsi="Arial" w:cs="Arial"/>
        </w:rPr>
        <w:t>AbbVie Limited</w:t>
      </w:r>
    </w:p>
    <w:p w:rsidR="009C7847" w:rsidRPr="005E1202" w:rsidRDefault="009C7847" w:rsidP="00FD2FB7">
      <w:pPr>
        <w:spacing w:after="120"/>
        <w:rPr>
          <w:rFonts w:ascii="Arial" w:hAnsi="Arial" w:cs="Arial"/>
        </w:rPr>
      </w:pPr>
      <w:r w:rsidRPr="005E1202">
        <w:rPr>
          <w:rFonts w:ascii="Arial" w:hAnsi="Arial" w:cs="Arial"/>
        </w:rPr>
        <w:t>6</w:t>
      </w:r>
      <w:r w:rsidRPr="005E1202">
        <w:rPr>
          <w:rFonts w:ascii="Arial" w:hAnsi="Arial" w:cs="Arial"/>
          <w:vertAlign w:val="superscript"/>
        </w:rPr>
        <w:t>th</w:t>
      </w:r>
      <w:r w:rsidRPr="005E1202">
        <w:rPr>
          <w:rFonts w:ascii="Arial" w:hAnsi="Arial" w:cs="Arial"/>
        </w:rPr>
        <w:t xml:space="preserve"> Floor, 156-158 Victoria St</w:t>
      </w:r>
    </w:p>
    <w:p w:rsidR="009C7847" w:rsidRPr="005E1202" w:rsidRDefault="009C7847" w:rsidP="00FD2FB7">
      <w:pPr>
        <w:spacing w:after="120"/>
        <w:rPr>
          <w:rFonts w:ascii="Arial" w:hAnsi="Arial" w:cs="Arial"/>
        </w:rPr>
      </w:pPr>
      <w:r w:rsidRPr="005E1202">
        <w:rPr>
          <w:rFonts w:ascii="Arial" w:hAnsi="Arial" w:cs="Arial"/>
        </w:rPr>
        <w:t>Wellington, 6011</w:t>
      </w:r>
    </w:p>
    <w:p w:rsidR="009C7847" w:rsidRPr="005E1202" w:rsidRDefault="009C7847" w:rsidP="00FD2FB7">
      <w:pPr>
        <w:spacing w:after="120"/>
        <w:rPr>
          <w:rFonts w:ascii="Arial" w:hAnsi="Arial" w:cs="Arial"/>
        </w:rPr>
      </w:pPr>
      <w:r w:rsidRPr="005E1202">
        <w:rPr>
          <w:rFonts w:ascii="Arial" w:hAnsi="Arial" w:cs="Arial"/>
        </w:rPr>
        <w:t>NEW ZEALAND</w:t>
      </w:r>
    </w:p>
    <w:p w:rsidR="009C7847" w:rsidRPr="005E1202" w:rsidRDefault="009C7847" w:rsidP="009C7847">
      <w:pPr>
        <w:rPr>
          <w:rFonts w:ascii="Arial" w:hAnsi="Arial" w:cs="Arial"/>
          <w:lang w:val="en-US"/>
        </w:rPr>
      </w:pPr>
    </w:p>
    <w:p w:rsidR="00285173" w:rsidRDefault="00285173" w:rsidP="00285173">
      <w:pPr>
        <w:pStyle w:val="Heading1"/>
        <w:spacing w:before="0" w:after="120"/>
        <w:rPr>
          <w:rFonts w:ascii="Arial" w:hAnsi="Arial" w:cs="Arial"/>
          <w:lang w:val="en-US"/>
        </w:rPr>
      </w:pPr>
      <w:r w:rsidRPr="005E1202">
        <w:rPr>
          <w:rFonts w:ascii="Arial" w:hAnsi="Arial" w:cs="Arial"/>
          <w:lang w:val="en-US"/>
        </w:rPr>
        <w:t xml:space="preserve">Date of first approval  </w:t>
      </w:r>
    </w:p>
    <w:p w:rsidR="002D6483" w:rsidRPr="00F26CCE" w:rsidRDefault="002D7948" w:rsidP="002D6483">
      <w:pPr>
        <w:rPr>
          <w:rFonts w:ascii="Arial" w:hAnsi="Arial" w:cs="Arial"/>
          <w:lang w:val="en-US"/>
        </w:rPr>
      </w:pPr>
      <w:r w:rsidRPr="00F26CCE">
        <w:rPr>
          <w:rFonts w:ascii="Arial" w:hAnsi="Arial" w:cs="Arial"/>
          <w:lang w:val="en-US"/>
        </w:rPr>
        <w:t>2</w:t>
      </w:r>
      <w:r w:rsidR="00375E6E" w:rsidRPr="00F26CCE">
        <w:rPr>
          <w:rFonts w:ascii="Arial" w:hAnsi="Arial" w:cs="Arial"/>
          <w:lang w:val="en-US"/>
        </w:rPr>
        <w:t xml:space="preserve"> January 2018</w:t>
      </w:r>
    </w:p>
    <w:p w:rsidR="00375E6E" w:rsidRPr="002D6483" w:rsidRDefault="00375E6E" w:rsidP="002D6483">
      <w:pPr>
        <w:rPr>
          <w:lang w:val="en-US"/>
        </w:rPr>
      </w:pPr>
    </w:p>
    <w:p w:rsidR="00285173" w:rsidRPr="005E1202" w:rsidRDefault="00285173" w:rsidP="00285173">
      <w:pPr>
        <w:pStyle w:val="Heading1"/>
        <w:spacing w:before="0" w:after="120"/>
        <w:rPr>
          <w:rFonts w:ascii="Arial" w:hAnsi="Arial" w:cs="Arial"/>
          <w:lang w:val="en-US"/>
        </w:rPr>
      </w:pPr>
      <w:r w:rsidRPr="005E1202">
        <w:rPr>
          <w:rFonts w:ascii="Arial" w:hAnsi="Arial" w:cs="Arial"/>
          <w:lang w:val="en-US"/>
        </w:rPr>
        <w:lastRenderedPageBreak/>
        <w:t xml:space="preserve">Date of revision </w:t>
      </w:r>
    </w:p>
    <w:p w:rsidR="00960CD5" w:rsidRPr="00F26CCE" w:rsidRDefault="00375E6E" w:rsidP="00563443">
      <w:pPr>
        <w:rPr>
          <w:rFonts w:ascii="Arial" w:hAnsi="Arial" w:cs="Arial"/>
        </w:rPr>
      </w:pPr>
      <w:r w:rsidRPr="00F26CCE">
        <w:rPr>
          <w:rFonts w:ascii="Arial" w:hAnsi="Arial" w:cs="Arial"/>
        </w:rPr>
        <w:t>Not applicable</w:t>
      </w:r>
    </w:p>
    <w:sectPr w:rsidR="00960CD5" w:rsidRPr="00F26CC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707" w:rsidRDefault="00A01707" w:rsidP="001A3992">
      <w:pPr>
        <w:spacing w:after="0" w:line="240" w:lineRule="auto"/>
      </w:pPr>
      <w:r>
        <w:separator/>
      </w:r>
    </w:p>
  </w:endnote>
  <w:endnote w:type="continuationSeparator" w:id="0">
    <w:p w:rsidR="00A01707" w:rsidRDefault="00A01707"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8070000" w:usb2="00000010" w:usb3="00000000" w:csb0="00020009"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07" w:rsidRDefault="00A01707"/>
  <w:tbl>
    <w:tblPr>
      <w:tblW w:w="0" w:type="auto"/>
      <w:tblBorders>
        <w:top w:val="single" w:sz="4" w:space="0" w:color="auto"/>
      </w:tblBorders>
      <w:tblLook w:val="0000" w:firstRow="0" w:lastRow="0" w:firstColumn="0" w:lastColumn="0" w:noHBand="0" w:noVBand="0"/>
    </w:tblPr>
    <w:tblGrid>
      <w:gridCol w:w="3100"/>
      <w:gridCol w:w="3101"/>
      <w:gridCol w:w="3041"/>
    </w:tblGrid>
    <w:tr w:rsidR="00A01707" w:rsidRPr="001C506C" w:rsidTr="00FD2FB7">
      <w:tc>
        <w:tcPr>
          <w:tcW w:w="3100" w:type="dxa"/>
        </w:tcPr>
        <w:p w:rsidR="00A01707" w:rsidRPr="001C506C" w:rsidRDefault="00A01707" w:rsidP="00EC496D">
          <w:pPr>
            <w:pStyle w:val="Footer"/>
            <w:tabs>
              <w:tab w:val="right" w:pos="-1843"/>
              <w:tab w:val="center" w:pos="4962"/>
              <w:tab w:val="right" w:pos="9923"/>
              <w:tab w:val="right" w:pos="10632"/>
            </w:tabs>
            <w:rPr>
              <w:rFonts w:ascii="Arial" w:hAnsi="Arial" w:cs="Arial"/>
              <w:bCs/>
              <w:iCs/>
            </w:rPr>
          </w:pPr>
          <w:r>
            <w:rPr>
              <w:rFonts w:ascii="Arial" w:hAnsi="Arial" w:cs="Arial"/>
              <w:bCs/>
              <w:iCs/>
              <w:caps/>
            </w:rPr>
            <w:t>MAVIRET</w:t>
          </w:r>
          <w:r w:rsidRPr="001C506C">
            <w:rPr>
              <w:rFonts w:ascii="Arial" w:hAnsi="Arial" w:cs="Arial"/>
              <w:bCs/>
              <w:iCs/>
            </w:rPr>
            <w:t xml:space="preserve"> PI</w:t>
          </w:r>
        </w:p>
        <w:p w:rsidR="00A01707" w:rsidRDefault="00A01707" w:rsidP="00EC496D">
          <w:pPr>
            <w:pStyle w:val="Footer"/>
            <w:tabs>
              <w:tab w:val="right" w:pos="-1843"/>
              <w:tab w:val="center" w:pos="4962"/>
              <w:tab w:val="right" w:pos="9923"/>
              <w:tab w:val="right" w:pos="10632"/>
            </w:tabs>
            <w:rPr>
              <w:rFonts w:ascii="Arial" w:hAnsi="Arial" w:cs="Arial"/>
              <w:bCs/>
              <w:iCs/>
            </w:rPr>
          </w:pPr>
          <w:r w:rsidRPr="001C506C">
            <w:rPr>
              <w:rFonts w:ascii="Arial" w:hAnsi="Arial" w:cs="Arial"/>
              <w:bCs/>
              <w:iCs/>
            </w:rPr>
            <w:t>Versio</w:t>
          </w:r>
          <w:r w:rsidRPr="005E193F">
            <w:rPr>
              <w:rFonts w:ascii="Arial" w:hAnsi="Arial" w:cs="Arial"/>
              <w:bCs/>
              <w:iCs/>
            </w:rPr>
            <w:t xml:space="preserve">n 1 </w:t>
          </w:r>
        </w:p>
        <w:p w:rsidR="00A01707" w:rsidRPr="001C506C" w:rsidRDefault="00A01707" w:rsidP="00EC496D">
          <w:pPr>
            <w:pStyle w:val="Footer"/>
            <w:tabs>
              <w:tab w:val="right" w:pos="-1843"/>
              <w:tab w:val="center" w:pos="4962"/>
              <w:tab w:val="right" w:pos="9923"/>
              <w:tab w:val="right" w:pos="10632"/>
            </w:tabs>
            <w:rPr>
              <w:rStyle w:val="PageNumber"/>
              <w:rFonts w:ascii="Arial" w:hAnsi="Arial" w:cs="Arial"/>
              <w:bCs/>
              <w:iCs/>
              <w:sz w:val="16"/>
            </w:rPr>
          </w:pPr>
        </w:p>
      </w:tc>
      <w:tc>
        <w:tcPr>
          <w:tcW w:w="3101" w:type="dxa"/>
        </w:tcPr>
        <w:p w:rsidR="00A01707" w:rsidRDefault="00A01707" w:rsidP="00EC496D">
          <w:pPr>
            <w:pStyle w:val="Footer"/>
            <w:tabs>
              <w:tab w:val="right" w:pos="-1843"/>
              <w:tab w:val="center" w:pos="4962"/>
              <w:tab w:val="right" w:pos="9923"/>
              <w:tab w:val="right" w:pos="10632"/>
            </w:tabs>
            <w:jc w:val="center"/>
            <w:rPr>
              <w:rStyle w:val="PageNumber"/>
              <w:rFonts w:ascii="Arial" w:hAnsi="Arial" w:cs="Arial"/>
              <w:bCs/>
              <w:iCs/>
            </w:rPr>
          </w:pPr>
          <w:r>
            <w:rPr>
              <w:rStyle w:val="PageNumber"/>
              <w:rFonts w:ascii="Arial" w:hAnsi="Arial" w:cs="Arial"/>
              <w:bCs/>
            </w:rPr>
            <w:t>2 January 2018</w:t>
          </w:r>
        </w:p>
        <w:p w:rsidR="00A01707" w:rsidRPr="001C506C" w:rsidRDefault="00A01707" w:rsidP="00EC496D">
          <w:pPr>
            <w:pStyle w:val="Footer"/>
            <w:tabs>
              <w:tab w:val="right" w:pos="-1843"/>
              <w:tab w:val="center" w:pos="4962"/>
              <w:tab w:val="right" w:pos="9923"/>
              <w:tab w:val="right" w:pos="10632"/>
            </w:tabs>
            <w:jc w:val="center"/>
            <w:rPr>
              <w:rStyle w:val="PageNumber"/>
              <w:rFonts w:ascii="Arial" w:hAnsi="Arial" w:cs="Arial"/>
              <w:bCs/>
              <w:iCs/>
            </w:rPr>
          </w:pPr>
        </w:p>
      </w:tc>
      <w:tc>
        <w:tcPr>
          <w:tcW w:w="3041" w:type="dxa"/>
        </w:tcPr>
        <w:p w:rsidR="00A01707" w:rsidRPr="001C506C" w:rsidRDefault="00A01707" w:rsidP="00EC496D">
          <w:pPr>
            <w:pStyle w:val="Footer"/>
            <w:tabs>
              <w:tab w:val="right" w:pos="-1843"/>
              <w:tab w:val="center" w:pos="4962"/>
              <w:tab w:val="right" w:pos="9923"/>
              <w:tab w:val="right" w:pos="10632"/>
            </w:tabs>
            <w:jc w:val="right"/>
            <w:rPr>
              <w:rStyle w:val="PageNumber"/>
              <w:rFonts w:ascii="Arial" w:hAnsi="Arial" w:cs="Arial"/>
              <w:bCs/>
              <w:iCs/>
              <w:highlight w:val="yellow"/>
            </w:rPr>
          </w:pPr>
          <w:r w:rsidRPr="001C506C">
            <w:rPr>
              <w:rFonts w:ascii="Arial" w:hAnsi="Arial" w:cs="Arial"/>
              <w:bCs/>
              <w:iCs/>
            </w:rPr>
            <w:t xml:space="preserve">Page </w:t>
          </w:r>
          <w:r w:rsidRPr="001C506C">
            <w:rPr>
              <w:rFonts w:ascii="Arial" w:hAnsi="Arial" w:cs="Arial"/>
              <w:bCs/>
              <w:iCs/>
            </w:rPr>
            <w:fldChar w:fldCharType="begin"/>
          </w:r>
          <w:r w:rsidRPr="001C506C">
            <w:rPr>
              <w:rFonts w:ascii="Arial" w:hAnsi="Arial" w:cs="Arial"/>
              <w:bCs/>
              <w:iCs/>
            </w:rPr>
            <w:instrText xml:space="preserve"> PAGE  \* Arabic  \* MERGEFORMAT </w:instrText>
          </w:r>
          <w:r w:rsidRPr="001C506C">
            <w:rPr>
              <w:rFonts w:ascii="Arial" w:hAnsi="Arial" w:cs="Arial"/>
              <w:bCs/>
              <w:iCs/>
            </w:rPr>
            <w:fldChar w:fldCharType="separate"/>
          </w:r>
          <w:r w:rsidR="00D00230">
            <w:rPr>
              <w:rFonts w:ascii="Arial" w:hAnsi="Arial" w:cs="Arial"/>
              <w:bCs/>
              <w:iCs/>
              <w:noProof/>
            </w:rPr>
            <w:t>4</w:t>
          </w:r>
          <w:r w:rsidRPr="001C506C">
            <w:rPr>
              <w:rFonts w:ascii="Arial" w:hAnsi="Arial" w:cs="Arial"/>
              <w:bCs/>
              <w:iCs/>
            </w:rPr>
            <w:fldChar w:fldCharType="end"/>
          </w:r>
          <w:r w:rsidRPr="001C506C">
            <w:rPr>
              <w:rFonts w:ascii="Arial" w:hAnsi="Arial" w:cs="Arial"/>
              <w:bCs/>
              <w:iCs/>
            </w:rPr>
            <w:t xml:space="preserve"> of </w:t>
          </w:r>
          <w:r w:rsidRPr="001C506C">
            <w:rPr>
              <w:rFonts w:ascii="Arial" w:hAnsi="Arial" w:cs="Arial"/>
              <w:bCs/>
              <w:iCs/>
            </w:rPr>
            <w:fldChar w:fldCharType="begin"/>
          </w:r>
          <w:r w:rsidRPr="001C506C">
            <w:rPr>
              <w:rFonts w:ascii="Arial" w:hAnsi="Arial" w:cs="Arial"/>
              <w:bCs/>
              <w:iCs/>
            </w:rPr>
            <w:instrText xml:space="preserve"> NUMPAGES  \* Arabic  \* MERGEFORMAT </w:instrText>
          </w:r>
          <w:r w:rsidRPr="001C506C">
            <w:rPr>
              <w:rFonts w:ascii="Arial" w:hAnsi="Arial" w:cs="Arial"/>
              <w:bCs/>
              <w:iCs/>
            </w:rPr>
            <w:fldChar w:fldCharType="separate"/>
          </w:r>
          <w:r w:rsidR="00D00230">
            <w:rPr>
              <w:rFonts w:ascii="Arial" w:hAnsi="Arial" w:cs="Arial"/>
              <w:bCs/>
              <w:iCs/>
              <w:noProof/>
            </w:rPr>
            <w:t>30</w:t>
          </w:r>
          <w:r w:rsidRPr="001C506C">
            <w:rPr>
              <w:rFonts w:ascii="Arial" w:hAnsi="Arial" w:cs="Arial"/>
              <w:bCs/>
              <w:iCs/>
            </w:rPr>
            <w:fldChar w:fldCharType="end"/>
          </w:r>
          <w:r w:rsidRPr="001C506C">
            <w:rPr>
              <w:rFonts w:ascii="Arial" w:hAnsi="Arial" w:cs="Arial"/>
              <w:bCs/>
              <w:iCs/>
            </w:rPr>
            <w:t xml:space="preserve"> </w:t>
          </w:r>
        </w:p>
      </w:tc>
    </w:tr>
  </w:tbl>
  <w:p w:rsidR="00A01707" w:rsidRPr="00FD2FB7" w:rsidRDefault="00A01707" w:rsidP="00FD2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707" w:rsidRDefault="00A01707" w:rsidP="001A3992">
      <w:pPr>
        <w:spacing w:after="0" w:line="240" w:lineRule="auto"/>
      </w:pPr>
      <w:r>
        <w:separator/>
      </w:r>
    </w:p>
  </w:footnote>
  <w:footnote w:type="continuationSeparator" w:id="0">
    <w:p w:rsidR="00A01707" w:rsidRDefault="00A01707"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01707" w:rsidTr="00A01707">
      <w:tc>
        <w:tcPr>
          <w:tcW w:w="8720" w:type="dxa"/>
          <w:shd w:val="clear" w:color="auto" w:fill="E4F2E0"/>
        </w:tcPr>
        <w:p w:rsidR="00A01707" w:rsidRPr="00D361CA" w:rsidRDefault="00A01707" w:rsidP="00A01707">
          <w:pPr>
            <w:spacing w:before="40" w:after="40"/>
            <w:rPr>
              <w:b/>
            </w:rPr>
          </w:pPr>
          <w:r w:rsidRPr="00D361CA">
            <w:rPr>
              <w:b/>
            </w:rPr>
            <w:t xml:space="preserve">Attachment 1: Product information for </w:t>
          </w:r>
          <w:r w:rsidRPr="00FF4A75">
            <w:rPr>
              <w:b/>
            </w:rPr>
            <w:t xml:space="preserve">AusPAR </w:t>
          </w:r>
          <w:proofErr w:type="spellStart"/>
          <w:r w:rsidRPr="00FF4A75">
            <w:rPr>
              <w:b/>
            </w:rPr>
            <w:t>Maviret</w:t>
          </w:r>
          <w:proofErr w:type="spellEnd"/>
          <w:r w:rsidRPr="00FF4A75">
            <w:rPr>
              <w:b/>
            </w:rPr>
            <w:t xml:space="preserve"> AbbVie Pty Ltd PM-2017-00210-1-2 Final 6 November 2018</w:t>
          </w:r>
          <w:r w:rsidRPr="00D361CA">
            <w:rPr>
              <w:b/>
            </w:rPr>
            <w:t>. This Product Information was approved at the time this AusPAR was published.</w:t>
          </w:r>
        </w:p>
      </w:tc>
    </w:tr>
  </w:tbl>
  <w:p w:rsidR="00A01707" w:rsidRDefault="00A01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466B7A"/>
    <w:lvl w:ilvl="0">
      <w:start w:val="1"/>
      <w:numFmt w:val="bullet"/>
      <w:lvlText w:val=""/>
      <w:lvlJc w:val="left"/>
      <w:pPr>
        <w:tabs>
          <w:tab w:val="num" w:pos="360"/>
        </w:tabs>
        <w:ind w:left="340" w:hanging="340"/>
      </w:pPr>
      <w:rPr>
        <w:rFonts w:ascii="Symbol" w:hAnsi="Symbol" w:hint="default"/>
      </w:rPr>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012B6F"/>
    <w:multiLevelType w:val="hybridMultilevel"/>
    <w:tmpl w:val="E4B47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AF0F70"/>
    <w:multiLevelType w:val="hybridMultilevel"/>
    <w:tmpl w:val="C5FA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12"/>
  </w:num>
  <w:num w:numId="6">
    <w:abstractNumId w:val="10"/>
  </w:num>
  <w:num w:numId="7">
    <w:abstractNumId w:val="8"/>
  </w:num>
  <w:num w:numId="8">
    <w:abstractNumId w:val="11"/>
  </w:num>
  <w:num w:numId="9">
    <w:abstractNumId w:val="3"/>
  </w:num>
  <w:num w:numId="10">
    <w:abstractNumId w:val="7"/>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75"/>
    <w:rsid w:val="000074FA"/>
    <w:rsid w:val="00027891"/>
    <w:rsid w:val="00042302"/>
    <w:rsid w:val="00060256"/>
    <w:rsid w:val="0016603F"/>
    <w:rsid w:val="001A3992"/>
    <w:rsid w:val="001D0BF7"/>
    <w:rsid w:val="00285173"/>
    <w:rsid w:val="002D6483"/>
    <w:rsid w:val="002D7948"/>
    <w:rsid w:val="002E277D"/>
    <w:rsid w:val="003011BE"/>
    <w:rsid w:val="0032150A"/>
    <w:rsid w:val="00333AE9"/>
    <w:rsid w:val="00370AA8"/>
    <w:rsid w:val="00375DF3"/>
    <w:rsid w:val="00375E6E"/>
    <w:rsid w:val="00394AA4"/>
    <w:rsid w:val="003A45C7"/>
    <w:rsid w:val="003D52E8"/>
    <w:rsid w:val="00431ACD"/>
    <w:rsid w:val="00493B75"/>
    <w:rsid w:val="004B6B19"/>
    <w:rsid w:val="004E4B98"/>
    <w:rsid w:val="004F09FB"/>
    <w:rsid w:val="00563443"/>
    <w:rsid w:val="005C5043"/>
    <w:rsid w:val="005E1202"/>
    <w:rsid w:val="005E193F"/>
    <w:rsid w:val="006018AE"/>
    <w:rsid w:val="006045EA"/>
    <w:rsid w:val="00606D2A"/>
    <w:rsid w:val="006213E5"/>
    <w:rsid w:val="006D6B13"/>
    <w:rsid w:val="006F6131"/>
    <w:rsid w:val="007558D5"/>
    <w:rsid w:val="007908FB"/>
    <w:rsid w:val="007C24AC"/>
    <w:rsid w:val="007C66C8"/>
    <w:rsid w:val="007E7F8B"/>
    <w:rsid w:val="00846678"/>
    <w:rsid w:val="0088541D"/>
    <w:rsid w:val="008D55BB"/>
    <w:rsid w:val="00905FE6"/>
    <w:rsid w:val="009206A1"/>
    <w:rsid w:val="00955637"/>
    <w:rsid w:val="00960CD5"/>
    <w:rsid w:val="00986B0B"/>
    <w:rsid w:val="00997256"/>
    <w:rsid w:val="009A5E7A"/>
    <w:rsid w:val="009B4CFF"/>
    <w:rsid w:val="009C7847"/>
    <w:rsid w:val="009D29D7"/>
    <w:rsid w:val="009E383F"/>
    <w:rsid w:val="00A01707"/>
    <w:rsid w:val="00A31EE5"/>
    <w:rsid w:val="00A53B34"/>
    <w:rsid w:val="00AA79B7"/>
    <w:rsid w:val="00AB3066"/>
    <w:rsid w:val="00AB396F"/>
    <w:rsid w:val="00AC2709"/>
    <w:rsid w:val="00AD1CE5"/>
    <w:rsid w:val="00AD51AA"/>
    <w:rsid w:val="00B00E39"/>
    <w:rsid w:val="00B4428A"/>
    <w:rsid w:val="00B97790"/>
    <w:rsid w:val="00C67E2A"/>
    <w:rsid w:val="00C82A3A"/>
    <w:rsid w:val="00CA6EF3"/>
    <w:rsid w:val="00CB2CCA"/>
    <w:rsid w:val="00CB7E98"/>
    <w:rsid w:val="00D00230"/>
    <w:rsid w:val="00D11D72"/>
    <w:rsid w:val="00D1470C"/>
    <w:rsid w:val="00D259BD"/>
    <w:rsid w:val="00D607D5"/>
    <w:rsid w:val="00D836B7"/>
    <w:rsid w:val="00E214D4"/>
    <w:rsid w:val="00E362E7"/>
    <w:rsid w:val="00E57679"/>
    <w:rsid w:val="00E74A56"/>
    <w:rsid w:val="00EC0E29"/>
    <w:rsid w:val="00EC496D"/>
    <w:rsid w:val="00ED3E34"/>
    <w:rsid w:val="00F26CCE"/>
    <w:rsid w:val="00FB5BB4"/>
    <w:rsid w:val="00FC6D9B"/>
    <w:rsid w:val="00FC7116"/>
    <w:rsid w:val="00FD1E1E"/>
    <w:rsid w:val="00FD2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3A45C7"/>
    <w:pPr>
      <w:numPr>
        <w:ilvl w:val="1"/>
        <w:numId w:val="1"/>
      </w:numPr>
      <w:spacing w:before="360"/>
      <w:ind w:left="578" w:hanging="578"/>
      <w:outlineLvl w:val="1"/>
    </w:pPr>
    <w:rPr>
      <w:rFonts w:ascii="Arial" w:hAnsi="Arial"/>
      <w:b/>
      <w:sz w:val="24"/>
    </w:rPr>
  </w:style>
  <w:style w:type="paragraph" w:styleId="Heading3">
    <w:name w:val="heading 3"/>
    <w:basedOn w:val="Normal"/>
    <w:next w:val="Normal"/>
    <w:link w:val="Heading3Char"/>
    <w:uiPriority w:val="9"/>
    <w:unhideWhenUsed/>
    <w:qFormat/>
    <w:rsid w:val="005E1202"/>
    <w:pPr>
      <w:keepNext/>
      <w:keepLines/>
      <w:spacing w:before="200" w:after="0"/>
      <w:outlineLvl w:val="2"/>
    </w:pPr>
    <w:rPr>
      <w:rFonts w:ascii="Arial" w:eastAsiaTheme="majorEastAsia" w:hAnsi="Arial" w:cstheme="majorBidi"/>
      <w:bCs/>
      <w:sz w:val="24"/>
      <w:u w:val="single"/>
    </w:rPr>
  </w:style>
  <w:style w:type="paragraph" w:styleId="Heading4">
    <w:name w:val="heading 4"/>
    <w:basedOn w:val="Normal"/>
    <w:next w:val="Normal"/>
    <w:link w:val="Heading4Char"/>
    <w:uiPriority w:val="9"/>
    <w:unhideWhenUsed/>
    <w:qFormat/>
    <w:rsid w:val="005E1202"/>
    <w:pPr>
      <w:keepNext/>
      <w:keepLines/>
      <w:spacing w:before="200" w:after="120"/>
      <w:outlineLvl w:val="3"/>
    </w:pPr>
    <w:rPr>
      <w:rFonts w:ascii="Arial" w:eastAsiaTheme="majorEastAsia" w:hAnsi="Arial" w:cstheme="majorBidi"/>
      <w:bCs/>
      <w:i/>
      <w:iCs/>
      <w:sz w:val="24"/>
    </w:rPr>
  </w:style>
  <w:style w:type="paragraph" w:styleId="Heading5">
    <w:name w:val="heading 5"/>
    <w:basedOn w:val="Normal"/>
    <w:next w:val="Normal"/>
    <w:link w:val="Heading5Char"/>
    <w:uiPriority w:val="9"/>
    <w:unhideWhenUsed/>
    <w:qFormat/>
    <w:rsid w:val="003A45C7"/>
    <w:pPr>
      <w:keepNext/>
      <w:keepLines/>
      <w:spacing w:before="200" w:after="0"/>
      <w:outlineLvl w:val="4"/>
    </w:pPr>
    <w:rPr>
      <w:rFonts w:ascii="Arial" w:eastAsiaTheme="majorEastAsia" w:hAnsi="Arial" w:cstheme="majorBidi"/>
      <w:i/>
      <w:u w:val="single"/>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3A45C7"/>
    <w:rPr>
      <w:rFonts w:ascii="Arial" w:hAnsi="Arial"/>
      <w:b/>
      <w:sz w:val="24"/>
    </w:rPr>
  </w:style>
  <w:style w:type="character" w:customStyle="1" w:styleId="Heading3Char">
    <w:name w:val="Heading 3 Char"/>
    <w:basedOn w:val="DefaultParagraphFont"/>
    <w:link w:val="Heading3"/>
    <w:uiPriority w:val="9"/>
    <w:rsid w:val="005E1202"/>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5E1202"/>
    <w:rPr>
      <w:rFonts w:ascii="Arial" w:eastAsiaTheme="majorEastAsia" w:hAnsi="Arial" w:cstheme="majorBidi"/>
      <w:bCs/>
      <w:i/>
      <w:iCs/>
      <w:sz w:val="24"/>
    </w:rPr>
  </w:style>
  <w:style w:type="character" w:customStyle="1" w:styleId="Heading5Char">
    <w:name w:val="Heading 5 Char"/>
    <w:basedOn w:val="DefaultParagraphFont"/>
    <w:link w:val="Heading5"/>
    <w:uiPriority w:val="9"/>
    <w:rsid w:val="003A45C7"/>
    <w:rPr>
      <w:rFonts w:ascii="Arial" w:eastAsiaTheme="majorEastAsia" w:hAnsi="Arial" w:cstheme="majorBidi"/>
      <w:i/>
      <w:u w:val="single"/>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Subtitle">
    <w:name w:val="Subtitle"/>
    <w:basedOn w:val="Normal"/>
    <w:link w:val="SubtitleChar"/>
    <w:qFormat/>
    <w:rsid w:val="00493B75"/>
    <w:pPr>
      <w:spacing w:after="12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sid w:val="00493B75"/>
    <w:rPr>
      <w:rFonts w:ascii="Arial" w:eastAsia="Times New Roman" w:hAnsi="Arial" w:cs="Arial"/>
      <w:b/>
      <w:caps/>
      <w:sz w:val="24"/>
      <w:szCs w:val="24"/>
    </w:rPr>
  </w:style>
  <w:style w:type="paragraph" w:styleId="CommentSubject">
    <w:name w:val="annotation subject"/>
    <w:basedOn w:val="CommentText"/>
    <w:next w:val="CommentText"/>
    <w:link w:val="CommentSubjectChar"/>
    <w:uiPriority w:val="99"/>
    <w:semiHidden/>
    <w:unhideWhenUsed/>
    <w:rsid w:val="00493B75"/>
    <w:rPr>
      <w:rFonts w:asciiTheme="minorHAnsi" w:hAnsiTheme="minorHAnsi"/>
      <w:b/>
      <w:bCs/>
    </w:rPr>
  </w:style>
  <w:style w:type="character" w:customStyle="1" w:styleId="CommentSubjectChar">
    <w:name w:val="Comment Subject Char"/>
    <w:basedOn w:val="CommentTextChar"/>
    <w:link w:val="CommentSubject"/>
    <w:uiPriority w:val="99"/>
    <w:semiHidden/>
    <w:rsid w:val="00493B75"/>
    <w:rPr>
      <w:rFonts w:ascii="Cambria" w:hAnsi="Cambria"/>
      <w:b/>
      <w:bCs/>
      <w:sz w:val="20"/>
      <w:szCs w:val="20"/>
    </w:rPr>
  </w:style>
  <w:style w:type="character" w:customStyle="1" w:styleId="gtclinktext8">
    <w:name w:val="gtclinktext8"/>
    <w:rsid w:val="00493B75"/>
    <w:rPr>
      <w:strike w:val="0"/>
      <w:dstrike w:val="0"/>
      <w:u w:val="none"/>
      <w:effect w:val="none"/>
    </w:rPr>
  </w:style>
  <w:style w:type="table" w:styleId="TableGrid">
    <w:name w:val="Table Grid"/>
    <w:basedOn w:val="TableNormal"/>
    <w:uiPriority w:val="59"/>
    <w:rsid w:val="00493B7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clinktext12">
    <w:name w:val="gtclinktext12"/>
    <w:rsid w:val="00493B75"/>
    <w:rPr>
      <w:strike w:val="0"/>
      <w:dstrike w:val="0"/>
      <w:u w:val="none"/>
      <w:effect w:val="none"/>
    </w:rPr>
  </w:style>
  <w:style w:type="character" w:customStyle="1" w:styleId="gtclinktext5">
    <w:name w:val="gtclinktext5"/>
    <w:rsid w:val="00493B75"/>
    <w:rPr>
      <w:strike w:val="0"/>
      <w:dstrike w:val="0"/>
      <w:u w:val="none"/>
      <w:effect w:val="none"/>
    </w:rPr>
  </w:style>
  <w:style w:type="character" w:customStyle="1" w:styleId="gtclinktext7">
    <w:name w:val="gtclinktext7"/>
    <w:rsid w:val="009C7847"/>
    <w:rPr>
      <w:strike w:val="0"/>
      <w:dstrike w:val="0"/>
      <w:u w:val="none"/>
      <w:effect w:val="none"/>
    </w:rPr>
  </w:style>
  <w:style w:type="character" w:customStyle="1" w:styleId="gtclinktext1">
    <w:name w:val="gtclinktext1"/>
    <w:rsid w:val="009C7847"/>
    <w:rPr>
      <w:strike w:val="0"/>
      <w:dstrike w:val="0"/>
      <w:u w:val="none"/>
      <w:effect w:val="none"/>
    </w:rPr>
  </w:style>
  <w:style w:type="character" w:customStyle="1" w:styleId="gtclinktext2">
    <w:name w:val="gtclinktext2"/>
    <w:rsid w:val="009C7847"/>
    <w:rPr>
      <w:strike w:val="0"/>
      <w:dstrike w:val="0"/>
      <w:u w:val="none"/>
      <w:effect w:val="none"/>
    </w:rPr>
  </w:style>
  <w:style w:type="paragraph" w:styleId="BodyText">
    <w:name w:val="Body Text"/>
    <w:basedOn w:val="Normal"/>
    <w:link w:val="BodyTextChar"/>
    <w:rsid w:val="009C7847"/>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9C7847"/>
    <w:rPr>
      <w:rFonts w:ascii="Arial" w:eastAsia="Times New Roman" w:hAnsi="Arial" w:cs="Times New Roman"/>
      <w:szCs w:val="20"/>
    </w:rPr>
  </w:style>
  <w:style w:type="paragraph" w:styleId="Revision">
    <w:name w:val="Revision"/>
    <w:hidden/>
    <w:uiPriority w:val="99"/>
    <w:semiHidden/>
    <w:rsid w:val="009C7847"/>
    <w:pPr>
      <w:spacing w:after="0" w:line="240" w:lineRule="auto"/>
    </w:pPr>
  </w:style>
  <w:style w:type="paragraph" w:styleId="Header">
    <w:name w:val="header"/>
    <w:basedOn w:val="Normal"/>
    <w:link w:val="HeaderChar"/>
    <w:uiPriority w:val="99"/>
    <w:unhideWhenUsed/>
    <w:rsid w:val="00FD2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B7"/>
  </w:style>
  <w:style w:type="character" w:styleId="PageNumber">
    <w:name w:val="page number"/>
    <w:basedOn w:val="DefaultParagraphFont"/>
    <w:rsid w:val="00FD2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3A45C7"/>
    <w:pPr>
      <w:numPr>
        <w:ilvl w:val="1"/>
        <w:numId w:val="1"/>
      </w:numPr>
      <w:spacing w:before="360"/>
      <w:ind w:left="578" w:hanging="578"/>
      <w:outlineLvl w:val="1"/>
    </w:pPr>
    <w:rPr>
      <w:rFonts w:ascii="Arial" w:hAnsi="Arial"/>
      <w:b/>
      <w:sz w:val="24"/>
    </w:rPr>
  </w:style>
  <w:style w:type="paragraph" w:styleId="Heading3">
    <w:name w:val="heading 3"/>
    <w:basedOn w:val="Normal"/>
    <w:next w:val="Normal"/>
    <w:link w:val="Heading3Char"/>
    <w:uiPriority w:val="9"/>
    <w:unhideWhenUsed/>
    <w:qFormat/>
    <w:rsid w:val="005E1202"/>
    <w:pPr>
      <w:keepNext/>
      <w:keepLines/>
      <w:spacing w:before="200" w:after="0"/>
      <w:outlineLvl w:val="2"/>
    </w:pPr>
    <w:rPr>
      <w:rFonts w:ascii="Arial" w:eastAsiaTheme="majorEastAsia" w:hAnsi="Arial" w:cstheme="majorBidi"/>
      <w:bCs/>
      <w:sz w:val="24"/>
      <w:u w:val="single"/>
    </w:rPr>
  </w:style>
  <w:style w:type="paragraph" w:styleId="Heading4">
    <w:name w:val="heading 4"/>
    <w:basedOn w:val="Normal"/>
    <w:next w:val="Normal"/>
    <w:link w:val="Heading4Char"/>
    <w:uiPriority w:val="9"/>
    <w:unhideWhenUsed/>
    <w:qFormat/>
    <w:rsid w:val="005E1202"/>
    <w:pPr>
      <w:keepNext/>
      <w:keepLines/>
      <w:spacing w:before="200" w:after="120"/>
      <w:outlineLvl w:val="3"/>
    </w:pPr>
    <w:rPr>
      <w:rFonts w:ascii="Arial" w:eastAsiaTheme="majorEastAsia" w:hAnsi="Arial" w:cstheme="majorBidi"/>
      <w:bCs/>
      <w:i/>
      <w:iCs/>
      <w:sz w:val="24"/>
    </w:rPr>
  </w:style>
  <w:style w:type="paragraph" w:styleId="Heading5">
    <w:name w:val="heading 5"/>
    <w:basedOn w:val="Normal"/>
    <w:next w:val="Normal"/>
    <w:link w:val="Heading5Char"/>
    <w:uiPriority w:val="9"/>
    <w:unhideWhenUsed/>
    <w:qFormat/>
    <w:rsid w:val="003A45C7"/>
    <w:pPr>
      <w:keepNext/>
      <w:keepLines/>
      <w:spacing w:before="200" w:after="0"/>
      <w:outlineLvl w:val="4"/>
    </w:pPr>
    <w:rPr>
      <w:rFonts w:ascii="Arial" w:eastAsiaTheme="majorEastAsia" w:hAnsi="Arial" w:cstheme="majorBidi"/>
      <w:i/>
      <w:u w:val="single"/>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3A45C7"/>
    <w:rPr>
      <w:rFonts w:ascii="Arial" w:hAnsi="Arial"/>
      <w:b/>
      <w:sz w:val="24"/>
    </w:rPr>
  </w:style>
  <w:style w:type="character" w:customStyle="1" w:styleId="Heading3Char">
    <w:name w:val="Heading 3 Char"/>
    <w:basedOn w:val="DefaultParagraphFont"/>
    <w:link w:val="Heading3"/>
    <w:uiPriority w:val="9"/>
    <w:rsid w:val="005E1202"/>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5E1202"/>
    <w:rPr>
      <w:rFonts w:ascii="Arial" w:eastAsiaTheme="majorEastAsia" w:hAnsi="Arial" w:cstheme="majorBidi"/>
      <w:bCs/>
      <w:i/>
      <w:iCs/>
      <w:sz w:val="24"/>
    </w:rPr>
  </w:style>
  <w:style w:type="character" w:customStyle="1" w:styleId="Heading5Char">
    <w:name w:val="Heading 5 Char"/>
    <w:basedOn w:val="DefaultParagraphFont"/>
    <w:link w:val="Heading5"/>
    <w:uiPriority w:val="9"/>
    <w:rsid w:val="003A45C7"/>
    <w:rPr>
      <w:rFonts w:ascii="Arial" w:eastAsiaTheme="majorEastAsia" w:hAnsi="Arial" w:cstheme="majorBidi"/>
      <w:i/>
      <w:u w:val="single"/>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Subtitle">
    <w:name w:val="Subtitle"/>
    <w:basedOn w:val="Normal"/>
    <w:link w:val="SubtitleChar"/>
    <w:qFormat/>
    <w:rsid w:val="00493B75"/>
    <w:pPr>
      <w:spacing w:after="120" w:line="240" w:lineRule="auto"/>
      <w:jc w:val="center"/>
      <w:outlineLvl w:val="1"/>
    </w:pPr>
    <w:rPr>
      <w:rFonts w:ascii="Arial" w:eastAsia="Times New Roman" w:hAnsi="Arial" w:cs="Arial"/>
      <w:b/>
      <w:caps/>
      <w:sz w:val="24"/>
      <w:szCs w:val="24"/>
    </w:rPr>
  </w:style>
  <w:style w:type="character" w:customStyle="1" w:styleId="SubtitleChar">
    <w:name w:val="Subtitle Char"/>
    <w:basedOn w:val="DefaultParagraphFont"/>
    <w:link w:val="Subtitle"/>
    <w:rsid w:val="00493B75"/>
    <w:rPr>
      <w:rFonts w:ascii="Arial" w:eastAsia="Times New Roman" w:hAnsi="Arial" w:cs="Arial"/>
      <w:b/>
      <w:caps/>
      <w:sz w:val="24"/>
      <w:szCs w:val="24"/>
    </w:rPr>
  </w:style>
  <w:style w:type="paragraph" w:styleId="CommentSubject">
    <w:name w:val="annotation subject"/>
    <w:basedOn w:val="CommentText"/>
    <w:next w:val="CommentText"/>
    <w:link w:val="CommentSubjectChar"/>
    <w:uiPriority w:val="99"/>
    <w:semiHidden/>
    <w:unhideWhenUsed/>
    <w:rsid w:val="00493B75"/>
    <w:rPr>
      <w:rFonts w:asciiTheme="minorHAnsi" w:hAnsiTheme="minorHAnsi"/>
      <w:b/>
      <w:bCs/>
    </w:rPr>
  </w:style>
  <w:style w:type="character" w:customStyle="1" w:styleId="CommentSubjectChar">
    <w:name w:val="Comment Subject Char"/>
    <w:basedOn w:val="CommentTextChar"/>
    <w:link w:val="CommentSubject"/>
    <w:uiPriority w:val="99"/>
    <w:semiHidden/>
    <w:rsid w:val="00493B75"/>
    <w:rPr>
      <w:rFonts w:ascii="Cambria" w:hAnsi="Cambria"/>
      <w:b/>
      <w:bCs/>
      <w:sz w:val="20"/>
      <w:szCs w:val="20"/>
    </w:rPr>
  </w:style>
  <w:style w:type="character" w:customStyle="1" w:styleId="gtclinktext8">
    <w:name w:val="gtclinktext8"/>
    <w:rsid w:val="00493B75"/>
    <w:rPr>
      <w:strike w:val="0"/>
      <w:dstrike w:val="0"/>
      <w:u w:val="none"/>
      <w:effect w:val="none"/>
    </w:rPr>
  </w:style>
  <w:style w:type="table" w:styleId="TableGrid">
    <w:name w:val="Table Grid"/>
    <w:basedOn w:val="TableNormal"/>
    <w:uiPriority w:val="59"/>
    <w:rsid w:val="00493B7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clinktext12">
    <w:name w:val="gtclinktext12"/>
    <w:rsid w:val="00493B75"/>
    <w:rPr>
      <w:strike w:val="0"/>
      <w:dstrike w:val="0"/>
      <w:u w:val="none"/>
      <w:effect w:val="none"/>
    </w:rPr>
  </w:style>
  <w:style w:type="character" w:customStyle="1" w:styleId="gtclinktext5">
    <w:name w:val="gtclinktext5"/>
    <w:rsid w:val="00493B75"/>
    <w:rPr>
      <w:strike w:val="0"/>
      <w:dstrike w:val="0"/>
      <w:u w:val="none"/>
      <w:effect w:val="none"/>
    </w:rPr>
  </w:style>
  <w:style w:type="character" w:customStyle="1" w:styleId="gtclinktext7">
    <w:name w:val="gtclinktext7"/>
    <w:rsid w:val="009C7847"/>
    <w:rPr>
      <w:strike w:val="0"/>
      <w:dstrike w:val="0"/>
      <w:u w:val="none"/>
      <w:effect w:val="none"/>
    </w:rPr>
  </w:style>
  <w:style w:type="character" w:customStyle="1" w:styleId="gtclinktext1">
    <w:name w:val="gtclinktext1"/>
    <w:rsid w:val="009C7847"/>
    <w:rPr>
      <w:strike w:val="0"/>
      <w:dstrike w:val="0"/>
      <w:u w:val="none"/>
      <w:effect w:val="none"/>
    </w:rPr>
  </w:style>
  <w:style w:type="character" w:customStyle="1" w:styleId="gtclinktext2">
    <w:name w:val="gtclinktext2"/>
    <w:rsid w:val="009C7847"/>
    <w:rPr>
      <w:strike w:val="0"/>
      <w:dstrike w:val="0"/>
      <w:u w:val="none"/>
      <w:effect w:val="none"/>
    </w:rPr>
  </w:style>
  <w:style w:type="paragraph" w:styleId="BodyText">
    <w:name w:val="Body Text"/>
    <w:basedOn w:val="Normal"/>
    <w:link w:val="BodyTextChar"/>
    <w:rsid w:val="009C7847"/>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9C7847"/>
    <w:rPr>
      <w:rFonts w:ascii="Arial" w:eastAsia="Times New Roman" w:hAnsi="Arial" w:cs="Times New Roman"/>
      <w:szCs w:val="20"/>
    </w:rPr>
  </w:style>
  <w:style w:type="paragraph" w:styleId="Revision">
    <w:name w:val="Revision"/>
    <w:hidden/>
    <w:uiPriority w:val="99"/>
    <w:semiHidden/>
    <w:rsid w:val="009C7847"/>
    <w:pPr>
      <w:spacing w:after="0" w:line="240" w:lineRule="auto"/>
    </w:pPr>
  </w:style>
  <w:style w:type="paragraph" w:styleId="Header">
    <w:name w:val="header"/>
    <w:basedOn w:val="Normal"/>
    <w:link w:val="HeaderChar"/>
    <w:uiPriority w:val="99"/>
    <w:unhideWhenUsed/>
    <w:rsid w:val="00FD2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B7"/>
  </w:style>
  <w:style w:type="character" w:styleId="PageNumber">
    <w:name w:val="page number"/>
    <w:basedOn w:val="DefaultParagraphFont"/>
    <w:rsid w:val="00FD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reporting-proble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J:\RegAffairs\products\hcv-ng\general\08-pi-cmi\ccds\01-hcv-ng-draft-ccds-28nov16.docx"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19BD-CFFF-4440-9C9E-24BE623F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Glecaprevir / pibrentasvir</dc:title>
  <dc:subject>prescription medicines</dc:subject>
  <dc:creator/>
  <cp:lastPrinted>2017-12-20T03:09:00Z</cp:lastPrinted>
  <dcterms:created xsi:type="dcterms:W3CDTF">2019-01-22T22:16:00Z</dcterms:created>
  <dcterms:modified xsi:type="dcterms:W3CDTF">2019-01-22T22:48:00Z</dcterms:modified>
</cp:coreProperties>
</file>