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DB74C2" w:rsidRPr="00487162" w14:paraId="59381E5C" w14:textId="77777777" w:rsidTr="00157E6A">
        <w:trPr>
          <w:trHeight w:val="1863"/>
        </w:trPr>
        <w:tc>
          <w:tcPr>
            <w:tcW w:w="5000" w:type="pct"/>
            <w:tcBorders>
              <w:top w:val="nil"/>
              <w:left w:val="nil"/>
              <w:bottom w:val="nil"/>
              <w:right w:val="nil"/>
            </w:tcBorders>
          </w:tcPr>
          <w:p w14:paraId="1A7D6FD6" w14:textId="7EEEAB3B" w:rsidR="00DB74C2" w:rsidRPr="00096AA7" w:rsidRDefault="00197D89" w:rsidP="00DB74C2">
            <w:pPr>
              <w:rPr>
                <w:rFonts w:ascii="Arial" w:hAnsi="Arial" w:cs="Arial"/>
                <w:b/>
                <w:color w:val="002C47"/>
                <w:sz w:val="36"/>
                <w:szCs w:val="36"/>
              </w:rPr>
            </w:pPr>
            <w:r>
              <w:rPr>
                <w:rFonts w:ascii="Arial" w:hAnsi="Arial" w:cs="Arial"/>
                <w:b/>
                <w:color w:val="002C47"/>
                <w:sz w:val="36"/>
                <w:szCs w:val="36"/>
              </w:rPr>
              <w:t xml:space="preserve">September </w:t>
            </w:r>
            <w:r w:rsidR="00DB74C2">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DB74C2" w:rsidRPr="00A964D1" w14:paraId="4916D3E0" w14:textId="77777777" w:rsidTr="00157E6A">
        <w:trPr>
          <w:trHeight w:val="868"/>
        </w:trPr>
        <w:tc>
          <w:tcPr>
            <w:tcW w:w="9079" w:type="dxa"/>
          </w:tcPr>
          <w:p w14:paraId="58F1A369" w14:textId="77777777" w:rsidR="00DB74C2" w:rsidRPr="00A964D1" w:rsidRDefault="00DB74C2" w:rsidP="001316B8">
            <w:pPr>
              <w:pStyle w:val="Title"/>
              <w:framePr w:hSpace="0" w:wrap="auto" w:vAnchor="margin" w:yAlign="inline"/>
            </w:pPr>
            <w:r w:rsidRPr="00A964D1">
              <w:t xml:space="preserve">Australian Public Assessment Report for </w:t>
            </w:r>
            <w:proofErr w:type="spellStart"/>
            <w:r>
              <w:t>Gilteritinib</w:t>
            </w:r>
            <w:proofErr w:type="spellEnd"/>
            <w:r>
              <w:t xml:space="preserve"> (as fumarate)</w:t>
            </w:r>
          </w:p>
        </w:tc>
      </w:tr>
      <w:tr w:rsidR="00DB74C2" w:rsidRPr="00B64760" w14:paraId="0B6398AE" w14:textId="77777777" w:rsidTr="00157E6A">
        <w:tc>
          <w:tcPr>
            <w:tcW w:w="9079" w:type="dxa"/>
          </w:tcPr>
          <w:p w14:paraId="0BCB2553" w14:textId="77777777" w:rsidR="00DB74C2" w:rsidRPr="008E7846" w:rsidRDefault="00DB74C2" w:rsidP="001316B8">
            <w:pPr>
              <w:pStyle w:val="Subtitle"/>
              <w:framePr w:hSpace="0" w:wrap="auto" w:vAnchor="margin" w:yAlign="inline"/>
            </w:pPr>
            <w:r w:rsidRPr="008E7846">
              <w:t xml:space="preserve">Proprietary Product Name: </w:t>
            </w:r>
            <w:proofErr w:type="spellStart"/>
            <w:r>
              <w:t>Xospata</w:t>
            </w:r>
            <w:proofErr w:type="spellEnd"/>
          </w:p>
        </w:tc>
      </w:tr>
      <w:tr w:rsidR="00DB74C2" w:rsidRPr="00B64760" w14:paraId="17B87262" w14:textId="77777777" w:rsidTr="00157E6A">
        <w:trPr>
          <w:trHeight w:val="486"/>
        </w:trPr>
        <w:tc>
          <w:tcPr>
            <w:tcW w:w="9079" w:type="dxa"/>
          </w:tcPr>
          <w:p w14:paraId="06E4EF2E" w14:textId="77777777" w:rsidR="00DB74C2" w:rsidRPr="008E7846" w:rsidRDefault="00DB74C2" w:rsidP="001316B8">
            <w:pPr>
              <w:pStyle w:val="Subtitle"/>
              <w:framePr w:hSpace="0" w:wrap="auto" w:vAnchor="margin" w:yAlign="inline"/>
            </w:pPr>
            <w:r w:rsidRPr="008E7846">
              <w:t xml:space="preserve">Sponsor: </w:t>
            </w:r>
            <w:proofErr w:type="spellStart"/>
            <w:r>
              <w:t>Astellas</w:t>
            </w:r>
            <w:proofErr w:type="spellEnd"/>
            <w:r>
              <w:t xml:space="preserve"> Pharma Australia Pty Ltd</w:t>
            </w:r>
          </w:p>
        </w:tc>
      </w:tr>
    </w:tbl>
    <w:p w14:paraId="1A08D5B2" w14:textId="77777777" w:rsidR="00DB74C2" w:rsidRPr="0085156D" w:rsidRDefault="00DB74C2" w:rsidP="00DB74C2">
      <w:r w:rsidRPr="0085156D">
        <w:br w:type="page"/>
      </w:r>
    </w:p>
    <w:p w14:paraId="5FFADB10" w14:textId="77777777" w:rsidR="00DB74C2" w:rsidRPr="001F6CBA" w:rsidRDefault="00DB74C2" w:rsidP="00DB74C2">
      <w:pPr>
        <w:pStyle w:val="NonTOCHeading2"/>
      </w:pPr>
      <w:r w:rsidRPr="001F6CBA">
        <w:lastRenderedPageBreak/>
        <w:t>About the Therapeutic Goods Administration (TGA)</w:t>
      </w:r>
    </w:p>
    <w:p w14:paraId="35B2E701" w14:textId="77777777" w:rsidR="00DB74C2" w:rsidRDefault="00DB74C2" w:rsidP="00DB74C2">
      <w:pPr>
        <w:pStyle w:val="ListBullet"/>
        <w:numPr>
          <w:ilvl w:val="0"/>
          <w:numId w:val="3"/>
        </w:numPr>
        <w:ind w:left="357" w:hanging="357"/>
      </w:pPr>
      <w:r>
        <w:t>The Therapeutic Goods Administration (TGA) is part of the Australian Government Department of Health and is responsible for regulating medicines and medical devices.</w:t>
      </w:r>
    </w:p>
    <w:p w14:paraId="2B54E44F" w14:textId="77777777" w:rsidR="00DB74C2" w:rsidRDefault="00DB74C2" w:rsidP="00DB74C2">
      <w:pPr>
        <w:pStyle w:val="ListBullet"/>
        <w:numPr>
          <w:ilvl w:val="0"/>
          <w:numId w:val="3"/>
        </w:numPr>
        <w:ind w:left="357" w:hanging="357"/>
      </w:pPr>
      <w:r>
        <w:t xml:space="preserve">The TGA administers the </w:t>
      </w:r>
      <w:r w:rsidRPr="00F640B6">
        <w:rPr>
          <w:i/>
        </w:rPr>
        <w:t>Therapeutic Goods Act 1989</w:t>
      </w:r>
      <w:r>
        <w:rPr>
          <w:i/>
        </w:rPr>
        <w:t xml:space="preserve"> </w:t>
      </w:r>
      <w:r w:rsidRPr="00785717">
        <w:t>(the Act),</w:t>
      </w:r>
      <w:r>
        <w:t xml:space="preserve"> applying a risk management approach designed to ensure therapeutic goods supplied in Australia meet acceptable standards of quality, safety and efficacy (performance) when necessary.</w:t>
      </w:r>
    </w:p>
    <w:p w14:paraId="72C78775" w14:textId="77777777" w:rsidR="00DB74C2" w:rsidRDefault="00DB74C2" w:rsidP="00DB74C2">
      <w:pPr>
        <w:pStyle w:val="ListBullet"/>
        <w:numPr>
          <w:ilvl w:val="0"/>
          <w:numId w:val="3"/>
        </w:numPr>
        <w:ind w:left="357" w:hanging="357"/>
      </w:pPr>
      <w:r>
        <w:t xml:space="preserve">The work of the TGA </w:t>
      </w:r>
      <w:proofErr w:type="gramStart"/>
      <w:r>
        <w:t>is based</w:t>
      </w:r>
      <w:proofErr w:type="gramEnd"/>
      <w:r>
        <w:t xml:space="preserve"> on applying scientific and clinical expertise to decision-making, to ensure that the benefits to consumers outweigh any risks associated with the use of medicines and medical devices.</w:t>
      </w:r>
    </w:p>
    <w:p w14:paraId="6BA48EC2" w14:textId="77777777" w:rsidR="00DB74C2" w:rsidRDefault="00DB74C2" w:rsidP="00DB74C2">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305A10A" w14:textId="0F317492" w:rsidR="00DB74C2" w:rsidRDefault="00DB74C2" w:rsidP="00DB74C2">
      <w:pPr>
        <w:pStyle w:val="ListBullet"/>
        <w:numPr>
          <w:ilvl w:val="0"/>
          <w:numId w:val="3"/>
        </w:numPr>
        <w:ind w:left="357" w:hanging="357"/>
      </w:pPr>
      <w:r>
        <w:t>To report a problem with a medicine or medical device, please see the information on the TGA website &lt;</w:t>
      </w:r>
      <w:hyperlink r:id="rId8" w:history="1">
        <w:r>
          <w:rPr>
            <w:rStyle w:val="Hyperlink"/>
          </w:rPr>
          <w:t>https://www.tga.gov.au</w:t>
        </w:r>
      </w:hyperlink>
      <w:r>
        <w:t>&gt;.</w:t>
      </w:r>
    </w:p>
    <w:p w14:paraId="29FFBA27" w14:textId="77777777" w:rsidR="00DB74C2" w:rsidRDefault="00DB74C2" w:rsidP="00DB74C2">
      <w:pPr>
        <w:pStyle w:val="NonTOCHeading2"/>
      </w:pPr>
      <w:r>
        <w:t>About AusPARs</w:t>
      </w:r>
    </w:p>
    <w:p w14:paraId="52952283" w14:textId="77777777" w:rsidR="00DB74C2" w:rsidRDefault="00DB74C2" w:rsidP="00DB74C2">
      <w:pPr>
        <w:pStyle w:val="ListBullet"/>
        <w:numPr>
          <w:ilvl w:val="0"/>
          <w:numId w:val="3"/>
        </w:numPr>
        <w:ind w:left="357" w:hanging="357"/>
      </w:pPr>
      <w:r>
        <w:t>An Australian Public Assessment Report (AusPAR) provides information about the evaluation of a prescription medicine and the considerations that led the TGA to approve or not approve a prescription medicine submission.</w:t>
      </w:r>
    </w:p>
    <w:p w14:paraId="3E59EC35" w14:textId="77777777" w:rsidR="00DB74C2" w:rsidRDefault="00DB74C2" w:rsidP="00DB74C2">
      <w:pPr>
        <w:pStyle w:val="ListBullet"/>
        <w:numPr>
          <w:ilvl w:val="0"/>
          <w:numId w:val="3"/>
        </w:numPr>
        <w:ind w:left="357" w:hanging="357"/>
      </w:pPr>
      <w:r>
        <w:t>AusPARs are prepared and published by the TGA.</w:t>
      </w:r>
    </w:p>
    <w:p w14:paraId="1AC78752" w14:textId="77777777" w:rsidR="00DB74C2" w:rsidRDefault="00DB74C2" w:rsidP="00DB74C2">
      <w:pPr>
        <w:pStyle w:val="ListBullet"/>
        <w:numPr>
          <w:ilvl w:val="0"/>
          <w:numId w:val="3"/>
        </w:numPr>
        <w:ind w:left="357" w:hanging="357"/>
      </w:pPr>
      <w:r>
        <w:t>An AusPAR is prepared for submissions that relate to new chemical entities, generic medicines, major variations and extensions of indications.</w:t>
      </w:r>
    </w:p>
    <w:p w14:paraId="739F1500" w14:textId="77777777" w:rsidR="00DB74C2" w:rsidRDefault="00DB74C2" w:rsidP="00DB74C2">
      <w:pPr>
        <w:pStyle w:val="ListBullet"/>
        <w:numPr>
          <w:ilvl w:val="0"/>
          <w:numId w:val="3"/>
        </w:numPr>
        <w:ind w:left="357" w:hanging="357"/>
      </w:pPr>
      <w:r>
        <w:t>An AusPAR is a static document; it provides information that relates to a submission at a particular point in time.</w:t>
      </w:r>
    </w:p>
    <w:p w14:paraId="38F59464" w14:textId="77777777" w:rsidR="00DB74C2" w:rsidRDefault="00DB74C2" w:rsidP="00DB74C2">
      <w:pPr>
        <w:pStyle w:val="ListBullet"/>
        <w:numPr>
          <w:ilvl w:val="0"/>
          <w:numId w:val="3"/>
        </w:numPr>
        <w:ind w:left="357" w:hanging="357"/>
      </w:pPr>
      <w:r>
        <w:t>A new AusPAR will be developed to reflect changes to indications and/or major variations to a prescription medicine subject to evaluation by the TGA.</w:t>
      </w:r>
    </w:p>
    <w:p w14:paraId="404A8FAD" w14:textId="77777777" w:rsidR="00DB74C2" w:rsidRPr="00DF1D7F" w:rsidRDefault="00DB74C2" w:rsidP="00DB74C2">
      <w:pPr>
        <w:pStyle w:val="LegalSubheading"/>
        <w:spacing w:before="3120"/>
      </w:pPr>
      <w:r w:rsidRPr="00DF1D7F">
        <w:t>Copyright</w:t>
      </w:r>
    </w:p>
    <w:p w14:paraId="0776C767" w14:textId="7751BB36" w:rsidR="00DB74C2" w:rsidRDefault="00DB74C2" w:rsidP="00DB74C2">
      <w:pPr>
        <w:pStyle w:val="LegalCopy"/>
      </w:pPr>
      <w:r w:rsidRPr="00191B3B">
        <w:rPr>
          <w:rFonts w:cs="Arial"/>
          <w:lang w:val="en-GB"/>
        </w:rPr>
        <w:t>© Comm</w:t>
      </w:r>
      <w:r>
        <w:rPr>
          <w:rFonts w:cs="Arial"/>
          <w:lang w:val="en-GB"/>
        </w:rPr>
        <w:t>onwealth of Australia 2020</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72CC6EF1" w14:textId="77777777" w:rsidR="00DB74C2" w:rsidRDefault="00DB74C2" w:rsidP="00DB74C2">
      <w:pPr>
        <w:pStyle w:val="LegalCopy"/>
        <w:sectPr w:rsidR="00DB74C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sdt>
      <w:sdtPr>
        <w:rPr>
          <w:rFonts w:ascii="Cambria" w:hAnsi="Cambria"/>
          <w:b w:val="0"/>
          <w:bCs/>
          <w:sz w:val="22"/>
        </w:rPr>
        <w:id w:val="407738747"/>
        <w:docPartObj>
          <w:docPartGallery w:val="Table of Contents"/>
          <w:docPartUnique/>
        </w:docPartObj>
      </w:sdtPr>
      <w:sdtEndPr>
        <w:rPr>
          <w:b/>
          <w:bCs w:val="0"/>
          <w:sz w:val="25"/>
        </w:rPr>
      </w:sdtEndPr>
      <w:sdtContent>
        <w:p w14:paraId="27C8FA0E" w14:textId="77777777" w:rsidR="00DB74C2" w:rsidRPr="0089635C" w:rsidRDefault="00DB74C2" w:rsidP="00DB74C2">
          <w:pPr>
            <w:pStyle w:val="Contents"/>
          </w:pPr>
          <w:r w:rsidRPr="0010788A">
            <w:t>Contents</w:t>
          </w:r>
        </w:p>
        <w:p w14:paraId="0259598A" w14:textId="0C5A2EDF" w:rsidR="00C16AF1" w:rsidRDefault="00DB74C2">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50495794" w:history="1">
            <w:r w:rsidR="00C16AF1" w:rsidRPr="009E4764">
              <w:rPr>
                <w:rStyle w:val="Hyperlink"/>
                <w:noProof/>
              </w:rPr>
              <w:t>Common abbreviations</w:t>
            </w:r>
            <w:r w:rsidR="00C16AF1">
              <w:rPr>
                <w:noProof/>
                <w:webHidden/>
              </w:rPr>
              <w:tab/>
            </w:r>
            <w:r w:rsidR="00C16AF1">
              <w:rPr>
                <w:noProof/>
                <w:webHidden/>
              </w:rPr>
              <w:fldChar w:fldCharType="begin"/>
            </w:r>
            <w:r w:rsidR="00C16AF1">
              <w:rPr>
                <w:noProof/>
                <w:webHidden/>
              </w:rPr>
              <w:instrText xml:space="preserve"> PAGEREF _Toc50495794 \h </w:instrText>
            </w:r>
            <w:r w:rsidR="00C16AF1">
              <w:rPr>
                <w:noProof/>
                <w:webHidden/>
              </w:rPr>
            </w:r>
            <w:r w:rsidR="00C16AF1">
              <w:rPr>
                <w:noProof/>
                <w:webHidden/>
              </w:rPr>
              <w:fldChar w:fldCharType="separate"/>
            </w:r>
            <w:r w:rsidR="00466FF0">
              <w:rPr>
                <w:noProof/>
                <w:webHidden/>
              </w:rPr>
              <w:t>4</w:t>
            </w:r>
            <w:r w:rsidR="00C16AF1">
              <w:rPr>
                <w:noProof/>
                <w:webHidden/>
              </w:rPr>
              <w:fldChar w:fldCharType="end"/>
            </w:r>
          </w:hyperlink>
        </w:p>
        <w:p w14:paraId="38CCB0D7" w14:textId="16BFCDC7" w:rsidR="00C16AF1" w:rsidRDefault="00466FF0">
          <w:pPr>
            <w:pStyle w:val="TOC2"/>
            <w:rPr>
              <w:rFonts w:asciiTheme="minorHAnsi" w:eastAsiaTheme="minorEastAsia" w:hAnsiTheme="minorHAnsi" w:cstheme="minorBidi"/>
              <w:b w:val="0"/>
              <w:noProof/>
              <w:sz w:val="22"/>
              <w:lang w:eastAsia="en-AU"/>
            </w:rPr>
          </w:pPr>
          <w:hyperlink w:anchor="_Toc50495795" w:history="1">
            <w:r w:rsidR="00C16AF1" w:rsidRPr="009E4764">
              <w:rPr>
                <w:rStyle w:val="Hyperlink"/>
                <w:noProof/>
              </w:rPr>
              <w:t>I. Introduction to product submission</w:t>
            </w:r>
            <w:r w:rsidR="00C16AF1">
              <w:rPr>
                <w:noProof/>
                <w:webHidden/>
              </w:rPr>
              <w:tab/>
            </w:r>
            <w:r w:rsidR="00C16AF1">
              <w:rPr>
                <w:noProof/>
                <w:webHidden/>
              </w:rPr>
              <w:fldChar w:fldCharType="begin"/>
            </w:r>
            <w:r w:rsidR="00C16AF1">
              <w:rPr>
                <w:noProof/>
                <w:webHidden/>
              </w:rPr>
              <w:instrText xml:space="preserve"> PAGEREF _Toc50495795 \h </w:instrText>
            </w:r>
            <w:r w:rsidR="00C16AF1">
              <w:rPr>
                <w:noProof/>
                <w:webHidden/>
              </w:rPr>
            </w:r>
            <w:r w:rsidR="00C16AF1">
              <w:rPr>
                <w:noProof/>
                <w:webHidden/>
              </w:rPr>
              <w:fldChar w:fldCharType="separate"/>
            </w:r>
            <w:r>
              <w:rPr>
                <w:noProof/>
                <w:webHidden/>
              </w:rPr>
              <w:t>6</w:t>
            </w:r>
            <w:r w:rsidR="00C16AF1">
              <w:rPr>
                <w:noProof/>
                <w:webHidden/>
              </w:rPr>
              <w:fldChar w:fldCharType="end"/>
            </w:r>
          </w:hyperlink>
        </w:p>
        <w:p w14:paraId="1FA8FA4E" w14:textId="6C9EE396" w:rsidR="00C16AF1" w:rsidRDefault="00466FF0">
          <w:pPr>
            <w:pStyle w:val="TOC3"/>
            <w:rPr>
              <w:rFonts w:asciiTheme="minorHAnsi" w:eastAsiaTheme="minorEastAsia" w:hAnsiTheme="minorHAnsi" w:cstheme="minorBidi"/>
              <w:noProof/>
              <w:lang w:eastAsia="en-AU"/>
            </w:rPr>
          </w:pPr>
          <w:hyperlink w:anchor="_Toc50495796" w:history="1">
            <w:r w:rsidR="00C16AF1" w:rsidRPr="009E4764">
              <w:rPr>
                <w:rStyle w:val="Hyperlink"/>
                <w:noProof/>
                <w:lang w:eastAsia="en-AU"/>
              </w:rPr>
              <w:t>Submission deta</w:t>
            </w:r>
            <w:bookmarkStart w:id="0" w:name="_GoBack"/>
            <w:bookmarkEnd w:id="0"/>
            <w:r w:rsidR="00C16AF1" w:rsidRPr="009E4764">
              <w:rPr>
                <w:rStyle w:val="Hyperlink"/>
                <w:noProof/>
                <w:lang w:eastAsia="en-AU"/>
              </w:rPr>
              <w:t>ils</w:t>
            </w:r>
            <w:r w:rsidR="00C16AF1">
              <w:rPr>
                <w:noProof/>
                <w:webHidden/>
              </w:rPr>
              <w:tab/>
            </w:r>
            <w:r w:rsidR="00C16AF1">
              <w:rPr>
                <w:noProof/>
                <w:webHidden/>
              </w:rPr>
              <w:fldChar w:fldCharType="begin"/>
            </w:r>
            <w:r w:rsidR="00C16AF1">
              <w:rPr>
                <w:noProof/>
                <w:webHidden/>
              </w:rPr>
              <w:instrText xml:space="preserve"> PAGEREF _Toc50495796 \h </w:instrText>
            </w:r>
            <w:r w:rsidR="00C16AF1">
              <w:rPr>
                <w:noProof/>
                <w:webHidden/>
              </w:rPr>
            </w:r>
            <w:r w:rsidR="00C16AF1">
              <w:rPr>
                <w:noProof/>
                <w:webHidden/>
              </w:rPr>
              <w:fldChar w:fldCharType="separate"/>
            </w:r>
            <w:r>
              <w:rPr>
                <w:noProof/>
                <w:webHidden/>
              </w:rPr>
              <w:t>6</w:t>
            </w:r>
            <w:r w:rsidR="00C16AF1">
              <w:rPr>
                <w:noProof/>
                <w:webHidden/>
              </w:rPr>
              <w:fldChar w:fldCharType="end"/>
            </w:r>
          </w:hyperlink>
        </w:p>
        <w:p w14:paraId="309756C8" w14:textId="23101F7B" w:rsidR="00C16AF1" w:rsidRDefault="00466FF0">
          <w:pPr>
            <w:pStyle w:val="TOC3"/>
            <w:rPr>
              <w:rFonts w:asciiTheme="minorHAnsi" w:eastAsiaTheme="minorEastAsia" w:hAnsiTheme="minorHAnsi" w:cstheme="minorBidi"/>
              <w:noProof/>
              <w:lang w:eastAsia="en-AU"/>
            </w:rPr>
          </w:pPr>
          <w:hyperlink w:anchor="_Toc50495797" w:history="1">
            <w:r w:rsidR="00C16AF1" w:rsidRPr="009E4764">
              <w:rPr>
                <w:rStyle w:val="Hyperlink"/>
                <w:noProof/>
              </w:rPr>
              <w:t>Product background</w:t>
            </w:r>
            <w:r w:rsidR="00C16AF1">
              <w:rPr>
                <w:noProof/>
                <w:webHidden/>
              </w:rPr>
              <w:tab/>
            </w:r>
            <w:r w:rsidR="00C16AF1">
              <w:rPr>
                <w:noProof/>
                <w:webHidden/>
              </w:rPr>
              <w:fldChar w:fldCharType="begin"/>
            </w:r>
            <w:r w:rsidR="00C16AF1">
              <w:rPr>
                <w:noProof/>
                <w:webHidden/>
              </w:rPr>
              <w:instrText xml:space="preserve"> PAGEREF _Toc50495797 \h </w:instrText>
            </w:r>
            <w:r w:rsidR="00C16AF1">
              <w:rPr>
                <w:noProof/>
                <w:webHidden/>
              </w:rPr>
            </w:r>
            <w:r w:rsidR="00C16AF1">
              <w:rPr>
                <w:noProof/>
                <w:webHidden/>
              </w:rPr>
              <w:fldChar w:fldCharType="separate"/>
            </w:r>
            <w:r>
              <w:rPr>
                <w:noProof/>
                <w:webHidden/>
              </w:rPr>
              <w:t>7</w:t>
            </w:r>
            <w:r w:rsidR="00C16AF1">
              <w:rPr>
                <w:noProof/>
                <w:webHidden/>
              </w:rPr>
              <w:fldChar w:fldCharType="end"/>
            </w:r>
          </w:hyperlink>
        </w:p>
        <w:p w14:paraId="38E90555" w14:textId="56F9669A" w:rsidR="00C16AF1" w:rsidRDefault="00466FF0">
          <w:pPr>
            <w:pStyle w:val="TOC3"/>
            <w:rPr>
              <w:rFonts w:asciiTheme="minorHAnsi" w:eastAsiaTheme="minorEastAsia" w:hAnsiTheme="minorHAnsi" w:cstheme="minorBidi"/>
              <w:noProof/>
              <w:lang w:eastAsia="en-AU"/>
            </w:rPr>
          </w:pPr>
          <w:hyperlink w:anchor="_Toc50495798" w:history="1">
            <w:r w:rsidR="00C16AF1" w:rsidRPr="009E4764">
              <w:rPr>
                <w:rStyle w:val="Hyperlink"/>
                <w:noProof/>
              </w:rPr>
              <w:t>Regulatory status</w:t>
            </w:r>
            <w:r w:rsidR="00C16AF1">
              <w:rPr>
                <w:noProof/>
                <w:webHidden/>
              </w:rPr>
              <w:tab/>
            </w:r>
            <w:r w:rsidR="00C16AF1">
              <w:rPr>
                <w:noProof/>
                <w:webHidden/>
              </w:rPr>
              <w:fldChar w:fldCharType="begin"/>
            </w:r>
            <w:r w:rsidR="00C16AF1">
              <w:rPr>
                <w:noProof/>
                <w:webHidden/>
              </w:rPr>
              <w:instrText xml:space="preserve"> PAGEREF _Toc50495798 \h </w:instrText>
            </w:r>
            <w:r w:rsidR="00C16AF1">
              <w:rPr>
                <w:noProof/>
                <w:webHidden/>
              </w:rPr>
            </w:r>
            <w:r w:rsidR="00C16AF1">
              <w:rPr>
                <w:noProof/>
                <w:webHidden/>
              </w:rPr>
              <w:fldChar w:fldCharType="separate"/>
            </w:r>
            <w:r>
              <w:rPr>
                <w:noProof/>
                <w:webHidden/>
              </w:rPr>
              <w:t>9</w:t>
            </w:r>
            <w:r w:rsidR="00C16AF1">
              <w:rPr>
                <w:noProof/>
                <w:webHidden/>
              </w:rPr>
              <w:fldChar w:fldCharType="end"/>
            </w:r>
          </w:hyperlink>
        </w:p>
        <w:p w14:paraId="5E7E5D14" w14:textId="556F834C" w:rsidR="00C16AF1" w:rsidRDefault="00466FF0">
          <w:pPr>
            <w:pStyle w:val="TOC3"/>
            <w:rPr>
              <w:rFonts w:asciiTheme="minorHAnsi" w:eastAsiaTheme="minorEastAsia" w:hAnsiTheme="minorHAnsi" w:cstheme="minorBidi"/>
              <w:noProof/>
              <w:lang w:eastAsia="en-AU"/>
            </w:rPr>
          </w:pPr>
          <w:hyperlink w:anchor="_Toc50495799" w:history="1">
            <w:r w:rsidR="00C16AF1" w:rsidRPr="009E4764">
              <w:rPr>
                <w:rStyle w:val="Hyperlink"/>
                <w:noProof/>
              </w:rPr>
              <w:t>Product Information</w:t>
            </w:r>
            <w:r w:rsidR="00C16AF1">
              <w:rPr>
                <w:noProof/>
                <w:webHidden/>
              </w:rPr>
              <w:tab/>
            </w:r>
            <w:r w:rsidR="00C16AF1">
              <w:rPr>
                <w:noProof/>
                <w:webHidden/>
              </w:rPr>
              <w:fldChar w:fldCharType="begin"/>
            </w:r>
            <w:r w:rsidR="00C16AF1">
              <w:rPr>
                <w:noProof/>
                <w:webHidden/>
              </w:rPr>
              <w:instrText xml:space="preserve"> PAGEREF _Toc50495799 \h </w:instrText>
            </w:r>
            <w:r w:rsidR="00C16AF1">
              <w:rPr>
                <w:noProof/>
                <w:webHidden/>
              </w:rPr>
            </w:r>
            <w:r w:rsidR="00C16AF1">
              <w:rPr>
                <w:noProof/>
                <w:webHidden/>
              </w:rPr>
              <w:fldChar w:fldCharType="separate"/>
            </w:r>
            <w:r>
              <w:rPr>
                <w:noProof/>
                <w:webHidden/>
              </w:rPr>
              <w:t>10</w:t>
            </w:r>
            <w:r w:rsidR="00C16AF1">
              <w:rPr>
                <w:noProof/>
                <w:webHidden/>
              </w:rPr>
              <w:fldChar w:fldCharType="end"/>
            </w:r>
          </w:hyperlink>
        </w:p>
        <w:p w14:paraId="30C5A1E2" w14:textId="3858502A" w:rsidR="00C16AF1" w:rsidRDefault="00466FF0">
          <w:pPr>
            <w:pStyle w:val="TOC2"/>
            <w:rPr>
              <w:rFonts w:asciiTheme="minorHAnsi" w:eastAsiaTheme="minorEastAsia" w:hAnsiTheme="minorHAnsi" w:cstheme="minorBidi"/>
              <w:b w:val="0"/>
              <w:noProof/>
              <w:sz w:val="22"/>
              <w:lang w:eastAsia="en-AU"/>
            </w:rPr>
          </w:pPr>
          <w:hyperlink w:anchor="_Toc50495800" w:history="1">
            <w:r w:rsidR="00C16AF1" w:rsidRPr="009E4764">
              <w:rPr>
                <w:rStyle w:val="Hyperlink"/>
                <w:noProof/>
              </w:rPr>
              <w:t>II. Registration timeline</w:t>
            </w:r>
            <w:r w:rsidR="00C16AF1">
              <w:rPr>
                <w:noProof/>
                <w:webHidden/>
              </w:rPr>
              <w:tab/>
            </w:r>
            <w:r w:rsidR="00C16AF1">
              <w:rPr>
                <w:noProof/>
                <w:webHidden/>
              </w:rPr>
              <w:fldChar w:fldCharType="begin"/>
            </w:r>
            <w:r w:rsidR="00C16AF1">
              <w:rPr>
                <w:noProof/>
                <w:webHidden/>
              </w:rPr>
              <w:instrText xml:space="preserve"> PAGEREF _Toc50495800 \h </w:instrText>
            </w:r>
            <w:r w:rsidR="00C16AF1">
              <w:rPr>
                <w:noProof/>
                <w:webHidden/>
              </w:rPr>
            </w:r>
            <w:r w:rsidR="00C16AF1">
              <w:rPr>
                <w:noProof/>
                <w:webHidden/>
              </w:rPr>
              <w:fldChar w:fldCharType="separate"/>
            </w:r>
            <w:r>
              <w:rPr>
                <w:noProof/>
                <w:webHidden/>
              </w:rPr>
              <w:t>11</w:t>
            </w:r>
            <w:r w:rsidR="00C16AF1">
              <w:rPr>
                <w:noProof/>
                <w:webHidden/>
              </w:rPr>
              <w:fldChar w:fldCharType="end"/>
            </w:r>
          </w:hyperlink>
        </w:p>
        <w:p w14:paraId="28E017DF" w14:textId="0549A373" w:rsidR="00C16AF1" w:rsidRDefault="00466FF0">
          <w:pPr>
            <w:pStyle w:val="TOC2"/>
            <w:rPr>
              <w:rFonts w:asciiTheme="minorHAnsi" w:eastAsiaTheme="minorEastAsia" w:hAnsiTheme="minorHAnsi" w:cstheme="minorBidi"/>
              <w:b w:val="0"/>
              <w:noProof/>
              <w:sz w:val="22"/>
              <w:lang w:eastAsia="en-AU"/>
            </w:rPr>
          </w:pPr>
          <w:hyperlink w:anchor="_Toc50495801" w:history="1">
            <w:r w:rsidR="00C16AF1" w:rsidRPr="009E4764">
              <w:rPr>
                <w:rStyle w:val="Hyperlink"/>
                <w:noProof/>
              </w:rPr>
              <w:t>III. Submission overview and risk/benefit assessment</w:t>
            </w:r>
            <w:r w:rsidR="00C16AF1">
              <w:rPr>
                <w:noProof/>
                <w:webHidden/>
              </w:rPr>
              <w:tab/>
            </w:r>
            <w:r w:rsidR="00C16AF1">
              <w:rPr>
                <w:noProof/>
                <w:webHidden/>
              </w:rPr>
              <w:fldChar w:fldCharType="begin"/>
            </w:r>
            <w:r w:rsidR="00C16AF1">
              <w:rPr>
                <w:noProof/>
                <w:webHidden/>
              </w:rPr>
              <w:instrText xml:space="preserve"> PAGEREF _Toc50495801 \h </w:instrText>
            </w:r>
            <w:r w:rsidR="00C16AF1">
              <w:rPr>
                <w:noProof/>
                <w:webHidden/>
              </w:rPr>
            </w:r>
            <w:r w:rsidR="00C16AF1">
              <w:rPr>
                <w:noProof/>
                <w:webHidden/>
              </w:rPr>
              <w:fldChar w:fldCharType="separate"/>
            </w:r>
            <w:r>
              <w:rPr>
                <w:noProof/>
                <w:webHidden/>
              </w:rPr>
              <w:t>11</w:t>
            </w:r>
            <w:r w:rsidR="00C16AF1">
              <w:rPr>
                <w:noProof/>
                <w:webHidden/>
              </w:rPr>
              <w:fldChar w:fldCharType="end"/>
            </w:r>
          </w:hyperlink>
        </w:p>
        <w:p w14:paraId="38008567" w14:textId="55E582A0" w:rsidR="00C16AF1" w:rsidRDefault="00466FF0">
          <w:pPr>
            <w:pStyle w:val="TOC3"/>
            <w:rPr>
              <w:rFonts w:asciiTheme="minorHAnsi" w:eastAsiaTheme="minorEastAsia" w:hAnsiTheme="minorHAnsi" w:cstheme="minorBidi"/>
              <w:noProof/>
              <w:lang w:eastAsia="en-AU"/>
            </w:rPr>
          </w:pPr>
          <w:hyperlink w:anchor="_Toc50495802" w:history="1">
            <w:r w:rsidR="00C16AF1" w:rsidRPr="009E4764">
              <w:rPr>
                <w:rStyle w:val="Hyperlink"/>
                <w:noProof/>
              </w:rPr>
              <w:t>Quality</w:t>
            </w:r>
            <w:r w:rsidR="00C16AF1">
              <w:rPr>
                <w:noProof/>
                <w:webHidden/>
              </w:rPr>
              <w:tab/>
            </w:r>
            <w:r w:rsidR="00C16AF1">
              <w:rPr>
                <w:noProof/>
                <w:webHidden/>
              </w:rPr>
              <w:fldChar w:fldCharType="begin"/>
            </w:r>
            <w:r w:rsidR="00C16AF1">
              <w:rPr>
                <w:noProof/>
                <w:webHidden/>
              </w:rPr>
              <w:instrText xml:space="preserve"> PAGEREF _Toc50495802 \h </w:instrText>
            </w:r>
            <w:r w:rsidR="00C16AF1">
              <w:rPr>
                <w:noProof/>
                <w:webHidden/>
              </w:rPr>
            </w:r>
            <w:r w:rsidR="00C16AF1">
              <w:rPr>
                <w:noProof/>
                <w:webHidden/>
              </w:rPr>
              <w:fldChar w:fldCharType="separate"/>
            </w:r>
            <w:r>
              <w:rPr>
                <w:noProof/>
                <w:webHidden/>
              </w:rPr>
              <w:t>11</w:t>
            </w:r>
            <w:r w:rsidR="00C16AF1">
              <w:rPr>
                <w:noProof/>
                <w:webHidden/>
              </w:rPr>
              <w:fldChar w:fldCharType="end"/>
            </w:r>
          </w:hyperlink>
        </w:p>
        <w:p w14:paraId="070A8D86" w14:textId="7D00385C" w:rsidR="00C16AF1" w:rsidRDefault="00466FF0">
          <w:pPr>
            <w:pStyle w:val="TOC3"/>
            <w:rPr>
              <w:rFonts w:asciiTheme="minorHAnsi" w:eastAsiaTheme="minorEastAsia" w:hAnsiTheme="minorHAnsi" w:cstheme="minorBidi"/>
              <w:noProof/>
              <w:lang w:eastAsia="en-AU"/>
            </w:rPr>
          </w:pPr>
          <w:hyperlink w:anchor="_Toc50495803" w:history="1">
            <w:r w:rsidR="00C16AF1" w:rsidRPr="009E4764">
              <w:rPr>
                <w:rStyle w:val="Hyperlink"/>
                <w:noProof/>
              </w:rPr>
              <w:t>Nonclinical</w:t>
            </w:r>
            <w:r w:rsidR="00C16AF1">
              <w:rPr>
                <w:noProof/>
                <w:webHidden/>
              </w:rPr>
              <w:tab/>
            </w:r>
            <w:r w:rsidR="00C16AF1">
              <w:rPr>
                <w:noProof/>
                <w:webHidden/>
              </w:rPr>
              <w:fldChar w:fldCharType="begin"/>
            </w:r>
            <w:r w:rsidR="00C16AF1">
              <w:rPr>
                <w:noProof/>
                <w:webHidden/>
              </w:rPr>
              <w:instrText xml:space="preserve"> PAGEREF _Toc50495803 \h </w:instrText>
            </w:r>
            <w:r w:rsidR="00C16AF1">
              <w:rPr>
                <w:noProof/>
                <w:webHidden/>
              </w:rPr>
            </w:r>
            <w:r w:rsidR="00C16AF1">
              <w:rPr>
                <w:noProof/>
                <w:webHidden/>
              </w:rPr>
              <w:fldChar w:fldCharType="separate"/>
            </w:r>
            <w:r>
              <w:rPr>
                <w:noProof/>
                <w:webHidden/>
              </w:rPr>
              <w:t>12</w:t>
            </w:r>
            <w:r w:rsidR="00C16AF1">
              <w:rPr>
                <w:noProof/>
                <w:webHidden/>
              </w:rPr>
              <w:fldChar w:fldCharType="end"/>
            </w:r>
          </w:hyperlink>
        </w:p>
        <w:p w14:paraId="3AE3FDA2" w14:textId="1CBF060D" w:rsidR="00C16AF1" w:rsidRDefault="00466FF0">
          <w:pPr>
            <w:pStyle w:val="TOC3"/>
            <w:rPr>
              <w:rFonts w:asciiTheme="minorHAnsi" w:eastAsiaTheme="minorEastAsia" w:hAnsiTheme="minorHAnsi" w:cstheme="minorBidi"/>
              <w:noProof/>
              <w:lang w:eastAsia="en-AU"/>
            </w:rPr>
          </w:pPr>
          <w:hyperlink w:anchor="_Toc50495804" w:history="1">
            <w:r w:rsidR="00C16AF1" w:rsidRPr="009E4764">
              <w:rPr>
                <w:rStyle w:val="Hyperlink"/>
                <w:noProof/>
              </w:rPr>
              <w:t>Clinical</w:t>
            </w:r>
            <w:r w:rsidR="00C16AF1">
              <w:rPr>
                <w:noProof/>
                <w:webHidden/>
              </w:rPr>
              <w:tab/>
            </w:r>
            <w:r w:rsidR="00C16AF1">
              <w:rPr>
                <w:noProof/>
                <w:webHidden/>
              </w:rPr>
              <w:fldChar w:fldCharType="begin"/>
            </w:r>
            <w:r w:rsidR="00C16AF1">
              <w:rPr>
                <w:noProof/>
                <w:webHidden/>
              </w:rPr>
              <w:instrText xml:space="preserve"> PAGEREF _Toc50495804 \h </w:instrText>
            </w:r>
            <w:r w:rsidR="00C16AF1">
              <w:rPr>
                <w:noProof/>
                <w:webHidden/>
              </w:rPr>
            </w:r>
            <w:r w:rsidR="00C16AF1">
              <w:rPr>
                <w:noProof/>
                <w:webHidden/>
              </w:rPr>
              <w:fldChar w:fldCharType="separate"/>
            </w:r>
            <w:r>
              <w:rPr>
                <w:noProof/>
                <w:webHidden/>
              </w:rPr>
              <w:t>13</w:t>
            </w:r>
            <w:r w:rsidR="00C16AF1">
              <w:rPr>
                <w:noProof/>
                <w:webHidden/>
              </w:rPr>
              <w:fldChar w:fldCharType="end"/>
            </w:r>
          </w:hyperlink>
        </w:p>
        <w:p w14:paraId="57861348" w14:textId="4D61E470" w:rsidR="00C16AF1" w:rsidRDefault="00466FF0">
          <w:pPr>
            <w:pStyle w:val="TOC3"/>
            <w:rPr>
              <w:rFonts w:asciiTheme="minorHAnsi" w:eastAsiaTheme="minorEastAsia" w:hAnsiTheme="minorHAnsi" w:cstheme="minorBidi"/>
              <w:noProof/>
              <w:lang w:eastAsia="en-AU"/>
            </w:rPr>
          </w:pPr>
          <w:hyperlink w:anchor="_Toc50495805" w:history="1">
            <w:r w:rsidR="00C16AF1" w:rsidRPr="009E4764">
              <w:rPr>
                <w:rStyle w:val="Hyperlink"/>
                <w:noProof/>
                <w:lang w:eastAsia="en-AU"/>
              </w:rPr>
              <w:t>Risk management plan</w:t>
            </w:r>
            <w:r w:rsidR="00C16AF1">
              <w:rPr>
                <w:noProof/>
                <w:webHidden/>
              </w:rPr>
              <w:tab/>
            </w:r>
            <w:r w:rsidR="00C16AF1">
              <w:rPr>
                <w:noProof/>
                <w:webHidden/>
              </w:rPr>
              <w:fldChar w:fldCharType="begin"/>
            </w:r>
            <w:r w:rsidR="00C16AF1">
              <w:rPr>
                <w:noProof/>
                <w:webHidden/>
              </w:rPr>
              <w:instrText xml:space="preserve"> PAGEREF _Toc50495805 \h </w:instrText>
            </w:r>
            <w:r w:rsidR="00C16AF1">
              <w:rPr>
                <w:noProof/>
                <w:webHidden/>
              </w:rPr>
            </w:r>
            <w:r w:rsidR="00C16AF1">
              <w:rPr>
                <w:noProof/>
                <w:webHidden/>
              </w:rPr>
              <w:fldChar w:fldCharType="separate"/>
            </w:r>
            <w:r>
              <w:rPr>
                <w:noProof/>
                <w:webHidden/>
              </w:rPr>
              <w:t>21</w:t>
            </w:r>
            <w:r w:rsidR="00C16AF1">
              <w:rPr>
                <w:noProof/>
                <w:webHidden/>
              </w:rPr>
              <w:fldChar w:fldCharType="end"/>
            </w:r>
          </w:hyperlink>
        </w:p>
        <w:p w14:paraId="4D9E8C6B" w14:textId="694D8B57" w:rsidR="00C16AF1" w:rsidRDefault="00466FF0">
          <w:pPr>
            <w:pStyle w:val="TOC3"/>
            <w:rPr>
              <w:rFonts w:asciiTheme="minorHAnsi" w:eastAsiaTheme="minorEastAsia" w:hAnsiTheme="minorHAnsi" w:cstheme="minorBidi"/>
              <w:noProof/>
              <w:lang w:eastAsia="en-AU"/>
            </w:rPr>
          </w:pPr>
          <w:hyperlink w:anchor="_Toc50495806" w:history="1">
            <w:r w:rsidR="00C16AF1" w:rsidRPr="009E4764">
              <w:rPr>
                <w:rStyle w:val="Hyperlink"/>
                <w:noProof/>
              </w:rPr>
              <w:t>Risk-benefit analysis</w:t>
            </w:r>
            <w:r w:rsidR="00C16AF1">
              <w:rPr>
                <w:noProof/>
                <w:webHidden/>
              </w:rPr>
              <w:tab/>
            </w:r>
            <w:r w:rsidR="00C16AF1">
              <w:rPr>
                <w:noProof/>
                <w:webHidden/>
              </w:rPr>
              <w:fldChar w:fldCharType="begin"/>
            </w:r>
            <w:r w:rsidR="00C16AF1">
              <w:rPr>
                <w:noProof/>
                <w:webHidden/>
              </w:rPr>
              <w:instrText xml:space="preserve"> PAGEREF _Toc50495806 \h </w:instrText>
            </w:r>
            <w:r w:rsidR="00C16AF1">
              <w:rPr>
                <w:noProof/>
                <w:webHidden/>
              </w:rPr>
            </w:r>
            <w:r w:rsidR="00C16AF1">
              <w:rPr>
                <w:noProof/>
                <w:webHidden/>
              </w:rPr>
              <w:fldChar w:fldCharType="separate"/>
            </w:r>
            <w:r>
              <w:rPr>
                <w:noProof/>
                <w:webHidden/>
              </w:rPr>
              <w:t>23</w:t>
            </w:r>
            <w:r w:rsidR="00C16AF1">
              <w:rPr>
                <w:noProof/>
                <w:webHidden/>
              </w:rPr>
              <w:fldChar w:fldCharType="end"/>
            </w:r>
          </w:hyperlink>
        </w:p>
        <w:p w14:paraId="567DC7DA" w14:textId="0326A095" w:rsidR="00C16AF1" w:rsidRDefault="00466FF0">
          <w:pPr>
            <w:pStyle w:val="TOC3"/>
            <w:rPr>
              <w:rFonts w:asciiTheme="minorHAnsi" w:eastAsiaTheme="minorEastAsia" w:hAnsiTheme="minorHAnsi" w:cstheme="minorBidi"/>
              <w:noProof/>
              <w:lang w:eastAsia="en-AU"/>
            </w:rPr>
          </w:pPr>
          <w:hyperlink w:anchor="_Toc50495807" w:history="1">
            <w:r w:rsidR="00C16AF1" w:rsidRPr="009E4764">
              <w:rPr>
                <w:rStyle w:val="Hyperlink"/>
                <w:noProof/>
              </w:rPr>
              <w:t>Outcome</w:t>
            </w:r>
            <w:r w:rsidR="00C16AF1">
              <w:rPr>
                <w:noProof/>
                <w:webHidden/>
              </w:rPr>
              <w:tab/>
            </w:r>
            <w:r w:rsidR="00C16AF1">
              <w:rPr>
                <w:noProof/>
                <w:webHidden/>
              </w:rPr>
              <w:fldChar w:fldCharType="begin"/>
            </w:r>
            <w:r w:rsidR="00C16AF1">
              <w:rPr>
                <w:noProof/>
                <w:webHidden/>
              </w:rPr>
              <w:instrText xml:space="preserve"> PAGEREF _Toc50495807 \h </w:instrText>
            </w:r>
            <w:r w:rsidR="00C16AF1">
              <w:rPr>
                <w:noProof/>
                <w:webHidden/>
              </w:rPr>
            </w:r>
            <w:r w:rsidR="00C16AF1">
              <w:rPr>
                <w:noProof/>
                <w:webHidden/>
              </w:rPr>
              <w:fldChar w:fldCharType="separate"/>
            </w:r>
            <w:r>
              <w:rPr>
                <w:noProof/>
                <w:webHidden/>
              </w:rPr>
              <w:t>24</w:t>
            </w:r>
            <w:r w:rsidR="00C16AF1">
              <w:rPr>
                <w:noProof/>
                <w:webHidden/>
              </w:rPr>
              <w:fldChar w:fldCharType="end"/>
            </w:r>
          </w:hyperlink>
        </w:p>
        <w:p w14:paraId="3268CE03" w14:textId="2DE5FF6F" w:rsidR="00C16AF1" w:rsidRDefault="00466FF0">
          <w:pPr>
            <w:pStyle w:val="TOC2"/>
            <w:rPr>
              <w:rFonts w:asciiTheme="minorHAnsi" w:eastAsiaTheme="minorEastAsia" w:hAnsiTheme="minorHAnsi" w:cstheme="minorBidi"/>
              <w:b w:val="0"/>
              <w:noProof/>
              <w:sz w:val="22"/>
              <w:lang w:eastAsia="en-AU"/>
            </w:rPr>
          </w:pPr>
          <w:hyperlink w:anchor="_Toc50495808" w:history="1">
            <w:r w:rsidR="00C16AF1" w:rsidRPr="009E4764">
              <w:rPr>
                <w:rStyle w:val="Hyperlink"/>
                <w:noProof/>
              </w:rPr>
              <w:t>Attachment 1. Product Information</w:t>
            </w:r>
            <w:r w:rsidR="00C16AF1">
              <w:rPr>
                <w:noProof/>
                <w:webHidden/>
              </w:rPr>
              <w:tab/>
            </w:r>
            <w:r w:rsidR="00C16AF1">
              <w:rPr>
                <w:noProof/>
                <w:webHidden/>
              </w:rPr>
              <w:fldChar w:fldCharType="begin"/>
            </w:r>
            <w:r w:rsidR="00C16AF1">
              <w:rPr>
                <w:noProof/>
                <w:webHidden/>
              </w:rPr>
              <w:instrText xml:space="preserve"> PAGEREF _Toc50495808 \h </w:instrText>
            </w:r>
            <w:r w:rsidR="00C16AF1">
              <w:rPr>
                <w:noProof/>
                <w:webHidden/>
              </w:rPr>
            </w:r>
            <w:r w:rsidR="00C16AF1">
              <w:rPr>
                <w:noProof/>
                <w:webHidden/>
              </w:rPr>
              <w:fldChar w:fldCharType="separate"/>
            </w:r>
            <w:r>
              <w:rPr>
                <w:noProof/>
                <w:webHidden/>
              </w:rPr>
              <w:t>25</w:t>
            </w:r>
            <w:r w:rsidR="00C16AF1">
              <w:rPr>
                <w:noProof/>
                <w:webHidden/>
              </w:rPr>
              <w:fldChar w:fldCharType="end"/>
            </w:r>
          </w:hyperlink>
        </w:p>
        <w:p w14:paraId="3DE4F5F0" w14:textId="3D22FD39" w:rsidR="00DB74C2" w:rsidRPr="00B811C6" w:rsidRDefault="00DB74C2" w:rsidP="00DB74C2">
          <w:pPr>
            <w:pStyle w:val="TOC2"/>
          </w:pPr>
          <w:r>
            <w:fldChar w:fldCharType="end"/>
          </w:r>
        </w:p>
      </w:sdtContent>
    </w:sdt>
    <w:p w14:paraId="272A6B94" w14:textId="77777777" w:rsidR="00DB74C2" w:rsidRPr="00C52E24" w:rsidRDefault="00DB74C2" w:rsidP="001316B8">
      <w:pPr>
        <w:pStyle w:val="Heading2"/>
        <w:pageBreakBefore/>
      </w:pPr>
      <w:bookmarkStart w:id="1" w:name="_Toc50495794"/>
      <w:r>
        <w:lastRenderedPageBreak/>
        <w:t>Common</w:t>
      </w:r>
      <w:r w:rsidRPr="00FD119B">
        <w:t xml:space="preserve"> abbreviations</w:t>
      </w:r>
      <w:bookmarkEnd w:id="1"/>
    </w:p>
    <w:tbl>
      <w:tblPr>
        <w:tblStyle w:val="TableTGAblue"/>
        <w:tblW w:w="8720" w:type="dxa"/>
        <w:tblInd w:w="118" w:type="dxa"/>
        <w:tblLook w:val="04A0" w:firstRow="1" w:lastRow="0" w:firstColumn="1" w:lastColumn="0" w:noHBand="0" w:noVBand="1"/>
      </w:tblPr>
      <w:tblGrid>
        <w:gridCol w:w="1809"/>
        <w:gridCol w:w="6911"/>
      </w:tblGrid>
      <w:tr w:rsidR="00DB74C2" w:rsidRPr="00FD119B" w14:paraId="0E35B7D2" w14:textId="77777777" w:rsidTr="00157E6A">
        <w:trPr>
          <w:cnfStyle w:val="100000000000" w:firstRow="1" w:lastRow="0" w:firstColumn="0" w:lastColumn="0" w:oddVBand="0" w:evenVBand="0" w:oddHBand="0" w:evenHBand="0" w:firstRowFirstColumn="0" w:firstRowLastColumn="0" w:lastRowFirstColumn="0" w:lastRowLastColumn="0"/>
        </w:trPr>
        <w:tc>
          <w:tcPr>
            <w:tcW w:w="1809" w:type="dxa"/>
          </w:tcPr>
          <w:p w14:paraId="216DDE37" w14:textId="77777777" w:rsidR="00DB74C2" w:rsidRPr="00FD119B" w:rsidRDefault="00DB74C2" w:rsidP="00DB74C2">
            <w:pPr>
              <w:keepNext w:val="0"/>
              <w:ind w:left="0" w:right="0"/>
              <w:rPr>
                <w:szCs w:val="22"/>
                <w:lang w:eastAsia="en-US"/>
              </w:rPr>
            </w:pPr>
            <w:r w:rsidRPr="00FD119B">
              <w:rPr>
                <w:szCs w:val="22"/>
                <w:lang w:eastAsia="en-US"/>
              </w:rPr>
              <w:t>Abbreviation</w:t>
            </w:r>
          </w:p>
        </w:tc>
        <w:tc>
          <w:tcPr>
            <w:tcW w:w="6911" w:type="dxa"/>
          </w:tcPr>
          <w:p w14:paraId="0EF2A878" w14:textId="77777777" w:rsidR="00DB74C2" w:rsidRPr="00FD119B" w:rsidRDefault="00DB74C2" w:rsidP="00DB74C2">
            <w:pPr>
              <w:keepNext w:val="0"/>
              <w:ind w:left="0" w:right="0"/>
              <w:rPr>
                <w:szCs w:val="22"/>
                <w:lang w:eastAsia="en-US"/>
              </w:rPr>
            </w:pPr>
            <w:r w:rsidRPr="00FD119B">
              <w:rPr>
                <w:szCs w:val="22"/>
                <w:lang w:eastAsia="en-US"/>
              </w:rPr>
              <w:t>Meaning</w:t>
            </w:r>
          </w:p>
        </w:tc>
      </w:tr>
      <w:tr w:rsidR="00DB74C2" w:rsidRPr="00FD119B" w14:paraId="711100FA" w14:textId="77777777" w:rsidTr="00157E6A">
        <w:tc>
          <w:tcPr>
            <w:tcW w:w="1809" w:type="dxa"/>
          </w:tcPr>
          <w:p w14:paraId="3DD9BDEB" w14:textId="77777777" w:rsidR="00DB74C2" w:rsidRPr="00FD119B" w:rsidRDefault="00DB74C2" w:rsidP="00DB74C2">
            <w:r>
              <w:t>ACM</w:t>
            </w:r>
          </w:p>
        </w:tc>
        <w:tc>
          <w:tcPr>
            <w:tcW w:w="6911" w:type="dxa"/>
          </w:tcPr>
          <w:p w14:paraId="6557B6E9" w14:textId="77777777" w:rsidR="00DB74C2" w:rsidRPr="00FD119B" w:rsidRDefault="00DB74C2" w:rsidP="00DB74C2">
            <w:r>
              <w:t>Advisory Committee on Medicines</w:t>
            </w:r>
          </w:p>
        </w:tc>
      </w:tr>
      <w:tr w:rsidR="00DB74C2" w:rsidRPr="00FD119B" w14:paraId="76FCEA6A" w14:textId="77777777" w:rsidTr="00157E6A">
        <w:tc>
          <w:tcPr>
            <w:tcW w:w="1809" w:type="dxa"/>
          </w:tcPr>
          <w:p w14:paraId="345F6C16" w14:textId="77777777" w:rsidR="00DB74C2" w:rsidRDefault="00DB74C2" w:rsidP="00DB74C2">
            <w:r>
              <w:t>ADME</w:t>
            </w:r>
          </w:p>
        </w:tc>
        <w:tc>
          <w:tcPr>
            <w:tcW w:w="6911" w:type="dxa"/>
          </w:tcPr>
          <w:p w14:paraId="4BC245CF" w14:textId="77777777" w:rsidR="00DB74C2" w:rsidRDefault="00DB74C2" w:rsidP="00DB74C2">
            <w:r>
              <w:t>Absorption, distribution, metabolism and excretion</w:t>
            </w:r>
          </w:p>
        </w:tc>
      </w:tr>
      <w:tr w:rsidR="00DB74C2" w:rsidRPr="00FD119B" w14:paraId="1D8B1C76" w14:textId="77777777" w:rsidTr="00157E6A">
        <w:tc>
          <w:tcPr>
            <w:tcW w:w="1809" w:type="dxa"/>
          </w:tcPr>
          <w:p w14:paraId="5FB9EB01" w14:textId="77777777" w:rsidR="00DB74C2" w:rsidRDefault="00DB74C2" w:rsidP="00DB74C2">
            <w:r>
              <w:t>AIHW</w:t>
            </w:r>
          </w:p>
        </w:tc>
        <w:tc>
          <w:tcPr>
            <w:tcW w:w="6911" w:type="dxa"/>
          </w:tcPr>
          <w:p w14:paraId="7A7960FF" w14:textId="77777777" w:rsidR="00DB74C2" w:rsidRDefault="00DB74C2" w:rsidP="00DB74C2">
            <w:r>
              <w:t>Australian Institute of Health and Welfare</w:t>
            </w:r>
          </w:p>
        </w:tc>
      </w:tr>
      <w:tr w:rsidR="00DB74C2" w:rsidRPr="00FD119B" w14:paraId="4ED9F8F0" w14:textId="77777777" w:rsidTr="00157E6A">
        <w:tc>
          <w:tcPr>
            <w:tcW w:w="1809" w:type="dxa"/>
          </w:tcPr>
          <w:p w14:paraId="7CCF9E39" w14:textId="77777777" w:rsidR="00DB74C2" w:rsidRDefault="00DB74C2" w:rsidP="00DB74C2">
            <w:r>
              <w:t>ALT</w:t>
            </w:r>
          </w:p>
        </w:tc>
        <w:tc>
          <w:tcPr>
            <w:tcW w:w="6911" w:type="dxa"/>
          </w:tcPr>
          <w:p w14:paraId="43F5FC39" w14:textId="77777777" w:rsidR="00DB74C2" w:rsidRDefault="00DB74C2" w:rsidP="00DB74C2">
            <w:r>
              <w:t>Alanine aminotransferase</w:t>
            </w:r>
          </w:p>
        </w:tc>
      </w:tr>
      <w:tr w:rsidR="003751CC" w:rsidRPr="00FD119B" w14:paraId="14BD04AE" w14:textId="77777777" w:rsidTr="00157E6A">
        <w:tc>
          <w:tcPr>
            <w:tcW w:w="1809" w:type="dxa"/>
          </w:tcPr>
          <w:p w14:paraId="765D3DF2" w14:textId="0D4C21CB" w:rsidR="003751CC" w:rsidRDefault="003751CC" w:rsidP="00DB74C2">
            <w:r>
              <w:t>AML</w:t>
            </w:r>
          </w:p>
        </w:tc>
        <w:tc>
          <w:tcPr>
            <w:tcW w:w="6911" w:type="dxa"/>
          </w:tcPr>
          <w:p w14:paraId="721E7009" w14:textId="3AEFB9A4" w:rsidR="003751CC" w:rsidRDefault="003751CC" w:rsidP="00DB74C2">
            <w:r>
              <w:t>Acute myeloid leukaemia</w:t>
            </w:r>
          </w:p>
        </w:tc>
      </w:tr>
      <w:tr w:rsidR="00DB74C2" w:rsidRPr="00FD119B" w14:paraId="6923650B" w14:textId="77777777" w:rsidTr="00157E6A">
        <w:tc>
          <w:tcPr>
            <w:tcW w:w="1809" w:type="dxa"/>
          </w:tcPr>
          <w:p w14:paraId="1B2FEE0D" w14:textId="77777777" w:rsidR="00DB74C2" w:rsidRDefault="00DB74C2" w:rsidP="00DB74C2">
            <w:r>
              <w:t>ASA</w:t>
            </w:r>
          </w:p>
        </w:tc>
        <w:tc>
          <w:tcPr>
            <w:tcW w:w="6911" w:type="dxa"/>
          </w:tcPr>
          <w:p w14:paraId="18CC1A8D" w14:textId="77777777" w:rsidR="00DB74C2" w:rsidRDefault="00DB74C2" w:rsidP="00DB74C2">
            <w:r>
              <w:t>Australian-specific Annex</w:t>
            </w:r>
          </w:p>
        </w:tc>
      </w:tr>
      <w:tr w:rsidR="00DB74C2" w:rsidRPr="00FD119B" w14:paraId="545D5737" w14:textId="77777777" w:rsidTr="00157E6A">
        <w:tc>
          <w:tcPr>
            <w:tcW w:w="1809" w:type="dxa"/>
          </w:tcPr>
          <w:p w14:paraId="0DE83E53" w14:textId="77777777" w:rsidR="00DB74C2" w:rsidRDefault="00DB74C2" w:rsidP="00DB74C2">
            <w:r>
              <w:t>AST</w:t>
            </w:r>
          </w:p>
        </w:tc>
        <w:tc>
          <w:tcPr>
            <w:tcW w:w="6911" w:type="dxa"/>
          </w:tcPr>
          <w:p w14:paraId="21ABBC23" w14:textId="77777777" w:rsidR="00DB74C2" w:rsidRDefault="00DB74C2" w:rsidP="00DB74C2">
            <w:r>
              <w:t>Aspartate aminotransferase</w:t>
            </w:r>
          </w:p>
        </w:tc>
      </w:tr>
      <w:tr w:rsidR="00DB74C2" w:rsidRPr="00FD119B" w14:paraId="30895E48" w14:textId="77777777" w:rsidTr="00157E6A">
        <w:tc>
          <w:tcPr>
            <w:tcW w:w="1809" w:type="dxa"/>
          </w:tcPr>
          <w:p w14:paraId="1BE7C448" w14:textId="77777777" w:rsidR="00DB74C2" w:rsidRPr="00FD119B" w:rsidRDefault="00DB74C2" w:rsidP="00DB74C2">
            <w:r>
              <w:t>ARTG</w:t>
            </w:r>
          </w:p>
        </w:tc>
        <w:tc>
          <w:tcPr>
            <w:tcW w:w="6911" w:type="dxa"/>
          </w:tcPr>
          <w:p w14:paraId="2561B5D4" w14:textId="77777777" w:rsidR="00DB74C2" w:rsidRPr="00FD119B" w:rsidRDefault="00DB74C2" w:rsidP="00DB74C2">
            <w:r>
              <w:t>Australian Register of Therapeutic Goods</w:t>
            </w:r>
          </w:p>
        </w:tc>
      </w:tr>
      <w:tr w:rsidR="00DB74C2" w:rsidRPr="00FD119B" w14:paraId="1BFD9E9F" w14:textId="77777777" w:rsidTr="00157E6A">
        <w:tc>
          <w:tcPr>
            <w:tcW w:w="1809" w:type="dxa"/>
          </w:tcPr>
          <w:p w14:paraId="20F2C8F3" w14:textId="77777777" w:rsidR="00DB74C2" w:rsidRDefault="00DB74C2" w:rsidP="00DB74C2">
            <w:r>
              <w:t>AUC</w:t>
            </w:r>
          </w:p>
        </w:tc>
        <w:tc>
          <w:tcPr>
            <w:tcW w:w="6911" w:type="dxa"/>
          </w:tcPr>
          <w:p w14:paraId="1D13CF1F" w14:textId="77777777" w:rsidR="00DB74C2" w:rsidRDefault="00DB74C2" w:rsidP="00DB74C2">
            <w:r>
              <w:t>Area under the plasma concentration time curve</w:t>
            </w:r>
          </w:p>
        </w:tc>
      </w:tr>
      <w:tr w:rsidR="00DB74C2" w:rsidRPr="00FD119B" w14:paraId="3F329177" w14:textId="77777777" w:rsidTr="00157E6A">
        <w:tc>
          <w:tcPr>
            <w:tcW w:w="1809" w:type="dxa"/>
          </w:tcPr>
          <w:p w14:paraId="6BBB02BD" w14:textId="77777777" w:rsidR="00DB74C2" w:rsidRDefault="00DB74C2" w:rsidP="00DB74C2">
            <w:r w:rsidRPr="00640B8E">
              <w:rPr>
                <w:rFonts w:eastAsia="TimesNewRoman" w:cs="TimesNewRoman"/>
              </w:rPr>
              <w:t>CK</w:t>
            </w:r>
          </w:p>
        </w:tc>
        <w:tc>
          <w:tcPr>
            <w:tcW w:w="6911" w:type="dxa"/>
          </w:tcPr>
          <w:p w14:paraId="006509B8" w14:textId="77777777" w:rsidR="00DB74C2" w:rsidRDefault="00DB74C2" w:rsidP="00DB74C2">
            <w:r>
              <w:rPr>
                <w:rFonts w:eastAsia="TimesNewRoman" w:cs="TimesNewRoman"/>
              </w:rPr>
              <w:t>Creatinine kinase</w:t>
            </w:r>
          </w:p>
        </w:tc>
      </w:tr>
      <w:tr w:rsidR="00DB74C2" w:rsidRPr="00FD119B" w14:paraId="4C319BFF" w14:textId="77777777" w:rsidTr="00157E6A">
        <w:tc>
          <w:tcPr>
            <w:tcW w:w="1809" w:type="dxa"/>
          </w:tcPr>
          <w:p w14:paraId="12034FDC" w14:textId="77777777" w:rsidR="00DB74C2" w:rsidRDefault="00DB74C2" w:rsidP="00DB74C2">
            <w:r>
              <w:t>C</w:t>
            </w:r>
            <w:r w:rsidRPr="00BA5D6C">
              <w:rPr>
                <w:vertAlign w:val="subscript"/>
              </w:rPr>
              <w:t>max</w:t>
            </w:r>
          </w:p>
        </w:tc>
        <w:tc>
          <w:tcPr>
            <w:tcW w:w="6911" w:type="dxa"/>
          </w:tcPr>
          <w:p w14:paraId="241B73AE" w14:textId="77777777" w:rsidR="00DB74C2" w:rsidRDefault="00DB74C2" w:rsidP="00DB74C2">
            <w:r>
              <w:t>Maximum plasma concentration</w:t>
            </w:r>
          </w:p>
        </w:tc>
      </w:tr>
      <w:tr w:rsidR="00DB74C2" w:rsidRPr="00FD119B" w14:paraId="07D656C5" w14:textId="77777777" w:rsidTr="00157E6A">
        <w:tc>
          <w:tcPr>
            <w:tcW w:w="1809" w:type="dxa"/>
          </w:tcPr>
          <w:p w14:paraId="263A71E9" w14:textId="77777777" w:rsidR="00DB74C2" w:rsidRDefault="00DB74C2" w:rsidP="00DB74C2">
            <w:r>
              <w:t>CMI</w:t>
            </w:r>
          </w:p>
        </w:tc>
        <w:tc>
          <w:tcPr>
            <w:tcW w:w="6911" w:type="dxa"/>
          </w:tcPr>
          <w:p w14:paraId="2B30BD2E" w14:textId="77777777" w:rsidR="00DB74C2" w:rsidRDefault="00DB74C2" w:rsidP="00DB74C2">
            <w:r>
              <w:t>Consumer Medicines Information</w:t>
            </w:r>
          </w:p>
        </w:tc>
      </w:tr>
      <w:tr w:rsidR="00DB74C2" w:rsidRPr="00FD119B" w14:paraId="10B43BF0" w14:textId="77777777" w:rsidTr="00157E6A">
        <w:tc>
          <w:tcPr>
            <w:tcW w:w="1809" w:type="dxa"/>
          </w:tcPr>
          <w:p w14:paraId="44CB7ADD" w14:textId="77777777" w:rsidR="00DB74C2" w:rsidRDefault="00DB74C2" w:rsidP="00DB74C2">
            <w:r>
              <w:t>CR</w:t>
            </w:r>
          </w:p>
        </w:tc>
        <w:tc>
          <w:tcPr>
            <w:tcW w:w="6911" w:type="dxa"/>
          </w:tcPr>
          <w:p w14:paraId="4D354C12" w14:textId="77777777" w:rsidR="00DB74C2" w:rsidRDefault="00DB74C2" w:rsidP="00DB74C2">
            <w:r>
              <w:t>Complete remission</w:t>
            </w:r>
          </w:p>
        </w:tc>
      </w:tr>
      <w:tr w:rsidR="00DB74C2" w:rsidRPr="00FD119B" w14:paraId="19FE9292" w14:textId="77777777" w:rsidTr="00157E6A">
        <w:tc>
          <w:tcPr>
            <w:tcW w:w="1809" w:type="dxa"/>
          </w:tcPr>
          <w:p w14:paraId="6D6C2127" w14:textId="77777777" w:rsidR="00DB74C2" w:rsidRDefault="00DB74C2" w:rsidP="00DB74C2">
            <w:proofErr w:type="spellStart"/>
            <w:r>
              <w:t>CRh</w:t>
            </w:r>
            <w:proofErr w:type="spellEnd"/>
          </w:p>
        </w:tc>
        <w:tc>
          <w:tcPr>
            <w:tcW w:w="6911" w:type="dxa"/>
          </w:tcPr>
          <w:p w14:paraId="6840D37F" w14:textId="77777777" w:rsidR="00DB74C2" w:rsidRDefault="00DB74C2" w:rsidP="00DB74C2">
            <w:r>
              <w:t xml:space="preserve">Complete remission with partial </w:t>
            </w:r>
            <w:proofErr w:type="spellStart"/>
            <w:r>
              <w:t>haematologic</w:t>
            </w:r>
            <w:proofErr w:type="spellEnd"/>
            <w:r>
              <w:t xml:space="preserve"> recovery</w:t>
            </w:r>
          </w:p>
        </w:tc>
      </w:tr>
      <w:tr w:rsidR="00DB74C2" w:rsidRPr="00FD119B" w14:paraId="775F526F" w14:textId="77777777" w:rsidTr="00157E6A">
        <w:tc>
          <w:tcPr>
            <w:tcW w:w="1809" w:type="dxa"/>
          </w:tcPr>
          <w:p w14:paraId="56499FF0" w14:textId="77777777" w:rsidR="00DB74C2" w:rsidRDefault="00DB74C2" w:rsidP="00DB74C2">
            <w:r>
              <w:t>CYP3A4</w:t>
            </w:r>
          </w:p>
        </w:tc>
        <w:tc>
          <w:tcPr>
            <w:tcW w:w="6911" w:type="dxa"/>
          </w:tcPr>
          <w:p w14:paraId="61899D2B" w14:textId="22B5E4EA" w:rsidR="00DB74C2" w:rsidRDefault="00DB74C2" w:rsidP="00DB74C2">
            <w:r>
              <w:t xml:space="preserve">Cytochrome P450 </w:t>
            </w:r>
            <w:r w:rsidR="00197D89">
              <w:t xml:space="preserve">enzyme </w:t>
            </w:r>
            <w:r>
              <w:t>3A4</w:t>
            </w:r>
          </w:p>
        </w:tc>
      </w:tr>
      <w:tr w:rsidR="00DB74C2" w:rsidRPr="00FD119B" w14:paraId="713E7C4C" w14:textId="77777777" w:rsidTr="00157E6A">
        <w:tc>
          <w:tcPr>
            <w:tcW w:w="1809" w:type="dxa"/>
          </w:tcPr>
          <w:p w14:paraId="1EEA6808" w14:textId="77777777" w:rsidR="00DB74C2" w:rsidRDefault="00DB74C2" w:rsidP="00DB74C2">
            <w:r>
              <w:t>DFS</w:t>
            </w:r>
          </w:p>
        </w:tc>
        <w:tc>
          <w:tcPr>
            <w:tcW w:w="6911" w:type="dxa"/>
          </w:tcPr>
          <w:p w14:paraId="21A5D08D" w14:textId="77777777" w:rsidR="00DB74C2" w:rsidRDefault="00DB74C2" w:rsidP="00DB74C2">
            <w:r>
              <w:t>Disease-free survival</w:t>
            </w:r>
          </w:p>
        </w:tc>
      </w:tr>
      <w:tr w:rsidR="00DB74C2" w:rsidRPr="00FD119B" w14:paraId="3D839AD7" w14:textId="77777777" w:rsidTr="00157E6A">
        <w:tc>
          <w:tcPr>
            <w:tcW w:w="1809" w:type="dxa"/>
          </w:tcPr>
          <w:p w14:paraId="05336FF7" w14:textId="77777777" w:rsidR="00DB74C2" w:rsidRDefault="00DB74C2" w:rsidP="00DB74C2">
            <w:r>
              <w:t>DLP</w:t>
            </w:r>
          </w:p>
        </w:tc>
        <w:tc>
          <w:tcPr>
            <w:tcW w:w="6911" w:type="dxa"/>
          </w:tcPr>
          <w:p w14:paraId="215B100E" w14:textId="77777777" w:rsidR="00DB74C2" w:rsidRDefault="00DB74C2" w:rsidP="00DB74C2">
            <w:r>
              <w:t>Data lock point</w:t>
            </w:r>
          </w:p>
        </w:tc>
      </w:tr>
      <w:tr w:rsidR="00DB74C2" w:rsidRPr="00FD119B" w14:paraId="5AE495E6" w14:textId="77777777" w:rsidTr="00157E6A">
        <w:tc>
          <w:tcPr>
            <w:tcW w:w="1809" w:type="dxa"/>
          </w:tcPr>
          <w:p w14:paraId="7CD7F4F5" w14:textId="77777777" w:rsidR="00DB74C2" w:rsidRDefault="00DB74C2" w:rsidP="00DB74C2">
            <w:r>
              <w:t>FLAG-Ida</w:t>
            </w:r>
          </w:p>
        </w:tc>
        <w:tc>
          <w:tcPr>
            <w:tcW w:w="6911" w:type="dxa"/>
          </w:tcPr>
          <w:p w14:paraId="03DD4675" w14:textId="2C3A1B5B" w:rsidR="00DB74C2" w:rsidRDefault="00DB74C2" w:rsidP="00DB74C2">
            <w:proofErr w:type="spellStart"/>
            <w:r>
              <w:t>Fludarabine</w:t>
            </w:r>
            <w:proofErr w:type="spellEnd"/>
            <w:r>
              <w:t xml:space="preserve">, </w:t>
            </w:r>
            <w:proofErr w:type="spellStart"/>
            <w:r>
              <w:t>cytarabine</w:t>
            </w:r>
            <w:proofErr w:type="spellEnd"/>
            <w:r>
              <w:t xml:space="preserve">, </w:t>
            </w:r>
            <w:proofErr w:type="spellStart"/>
            <w:r>
              <w:t>filgrastim</w:t>
            </w:r>
            <w:proofErr w:type="spellEnd"/>
            <w:r>
              <w:t xml:space="preserve"> and </w:t>
            </w:r>
            <w:proofErr w:type="spellStart"/>
            <w:r>
              <w:t>idarubicin</w:t>
            </w:r>
            <w:proofErr w:type="spellEnd"/>
            <w:r w:rsidR="00197D89">
              <w:t xml:space="preserve"> (chemotherapy regimen)</w:t>
            </w:r>
          </w:p>
        </w:tc>
      </w:tr>
      <w:tr w:rsidR="00DB74C2" w:rsidRPr="00FD119B" w14:paraId="2B6DAF2A" w14:textId="77777777" w:rsidTr="00157E6A">
        <w:tc>
          <w:tcPr>
            <w:tcW w:w="1809" w:type="dxa"/>
          </w:tcPr>
          <w:p w14:paraId="0E577685" w14:textId="77777777" w:rsidR="00DB74C2" w:rsidRDefault="00DB74C2" w:rsidP="00DB74C2">
            <w:r>
              <w:t>FLT3</w:t>
            </w:r>
          </w:p>
        </w:tc>
        <w:tc>
          <w:tcPr>
            <w:tcW w:w="6911" w:type="dxa"/>
          </w:tcPr>
          <w:p w14:paraId="4C6A7740" w14:textId="77777777" w:rsidR="00DB74C2" w:rsidRDefault="00DB74C2" w:rsidP="00DB74C2">
            <w:r>
              <w:t>FMS-like tyrosine kinase 3</w:t>
            </w:r>
          </w:p>
        </w:tc>
      </w:tr>
      <w:tr w:rsidR="00DB74C2" w:rsidRPr="00FD119B" w14:paraId="4FF1685D" w14:textId="77777777" w:rsidTr="00157E6A">
        <w:tc>
          <w:tcPr>
            <w:tcW w:w="1809" w:type="dxa"/>
          </w:tcPr>
          <w:p w14:paraId="29E59ABA" w14:textId="77777777" w:rsidR="00DB74C2" w:rsidRDefault="00DB74C2" w:rsidP="00DB74C2">
            <w:r>
              <w:t>GVP</w:t>
            </w:r>
          </w:p>
        </w:tc>
        <w:tc>
          <w:tcPr>
            <w:tcW w:w="6911" w:type="dxa"/>
          </w:tcPr>
          <w:p w14:paraId="686D9B73" w14:textId="552A0560" w:rsidR="00DB74C2" w:rsidRDefault="00DB74C2" w:rsidP="00DB74C2">
            <w:r>
              <w:t>Good Pharmacovigilance Practice</w:t>
            </w:r>
            <w:r w:rsidR="003F3E2D">
              <w:t>(</w:t>
            </w:r>
            <w:r>
              <w:t>s</w:t>
            </w:r>
            <w:r w:rsidR="003F3E2D">
              <w:t>)</w:t>
            </w:r>
          </w:p>
        </w:tc>
      </w:tr>
      <w:tr w:rsidR="00DB74C2" w:rsidRPr="00FD119B" w14:paraId="77A14CE5" w14:textId="77777777" w:rsidTr="00157E6A">
        <w:tc>
          <w:tcPr>
            <w:tcW w:w="1809" w:type="dxa"/>
          </w:tcPr>
          <w:p w14:paraId="7B3D8C9A" w14:textId="77777777" w:rsidR="00DB74C2" w:rsidRDefault="00DB74C2" w:rsidP="00DB74C2">
            <w:r>
              <w:t>HLA</w:t>
            </w:r>
          </w:p>
        </w:tc>
        <w:tc>
          <w:tcPr>
            <w:tcW w:w="6911" w:type="dxa"/>
          </w:tcPr>
          <w:p w14:paraId="0347E177" w14:textId="77777777" w:rsidR="00DB74C2" w:rsidRDefault="00DB74C2" w:rsidP="00DB74C2">
            <w:r>
              <w:t>Human leukocyte antigen</w:t>
            </w:r>
          </w:p>
        </w:tc>
      </w:tr>
      <w:tr w:rsidR="00DB74C2" w:rsidRPr="00FD119B" w14:paraId="5B0B6BC5" w14:textId="77777777" w:rsidTr="00157E6A">
        <w:tc>
          <w:tcPr>
            <w:tcW w:w="1809" w:type="dxa"/>
          </w:tcPr>
          <w:p w14:paraId="020FF604" w14:textId="77777777" w:rsidR="00DB74C2" w:rsidRDefault="00DB74C2" w:rsidP="00DB74C2">
            <w:r>
              <w:t>HSCT</w:t>
            </w:r>
          </w:p>
        </w:tc>
        <w:tc>
          <w:tcPr>
            <w:tcW w:w="6911" w:type="dxa"/>
          </w:tcPr>
          <w:p w14:paraId="395DB592" w14:textId="77777777" w:rsidR="00DB74C2" w:rsidRDefault="00DB74C2" w:rsidP="00DB74C2">
            <w:r>
              <w:t>Hematopoietic stem cell transplantation</w:t>
            </w:r>
          </w:p>
        </w:tc>
      </w:tr>
      <w:tr w:rsidR="00DB74C2" w:rsidRPr="00FD119B" w14:paraId="35FB0FD6" w14:textId="77777777" w:rsidTr="00157E6A">
        <w:tc>
          <w:tcPr>
            <w:tcW w:w="1809" w:type="dxa"/>
          </w:tcPr>
          <w:p w14:paraId="60324B37" w14:textId="77777777" w:rsidR="00DB74C2" w:rsidRDefault="00DB74C2" w:rsidP="00DB74C2">
            <w:r>
              <w:t>ISS</w:t>
            </w:r>
          </w:p>
        </w:tc>
        <w:tc>
          <w:tcPr>
            <w:tcW w:w="6911" w:type="dxa"/>
          </w:tcPr>
          <w:p w14:paraId="047C7758" w14:textId="77777777" w:rsidR="00DB74C2" w:rsidRDefault="00DB74C2" w:rsidP="00DB74C2">
            <w:r>
              <w:t>Integrated summary of safety</w:t>
            </w:r>
          </w:p>
        </w:tc>
      </w:tr>
      <w:tr w:rsidR="00DB74C2" w:rsidRPr="00FD119B" w14:paraId="00B2CC71" w14:textId="77777777" w:rsidTr="00157E6A">
        <w:tc>
          <w:tcPr>
            <w:tcW w:w="1809" w:type="dxa"/>
          </w:tcPr>
          <w:p w14:paraId="7B9B464D" w14:textId="77777777" w:rsidR="00DB74C2" w:rsidRDefault="00DB74C2" w:rsidP="00DB74C2">
            <w:r>
              <w:t>ITD</w:t>
            </w:r>
          </w:p>
        </w:tc>
        <w:tc>
          <w:tcPr>
            <w:tcW w:w="6911" w:type="dxa"/>
          </w:tcPr>
          <w:p w14:paraId="0EE4F5B5" w14:textId="77777777" w:rsidR="00DB74C2" w:rsidRDefault="00DB74C2" w:rsidP="00DB74C2">
            <w:r>
              <w:t>Internal tandem</w:t>
            </w:r>
          </w:p>
        </w:tc>
      </w:tr>
      <w:tr w:rsidR="00DB74C2" w:rsidRPr="00FD119B" w14:paraId="6919EF20" w14:textId="77777777" w:rsidTr="00157E6A">
        <w:tc>
          <w:tcPr>
            <w:tcW w:w="1809" w:type="dxa"/>
          </w:tcPr>
          <w:p w14:paraId="6659BA8E" w14:textId="77777777" w:rsidR="00DB74C2" w:rsidRDefault="00DB74C2" w:rsidP="00DB74C2">
            <w:r w:rsidRPr="00BA5D6C">
              <w:lastRenderedPageBreak/>
              <w:t>ITT</w:t>
            </w:r>
          </w:p>
        </w:tc>
        <w:tc>
          <w:tcPr>
            <w:tcW w:w="6911" w:type="dxa"/>
          </w:tcPr>
          <w:p w14:paraId="1B56B993" w14:textId="77777777" w:rsidR="00DB74C2" w:rsidRDefault="00DB74C2" w:rsidP="00DB74C2">
            <w:r>
              <w:t>Intent to treat</w:t>
            </w:r>
          </w:p>
        </w:tc>
      </w:tr>
      <w:tr w:rsidR="00DB74C2" w:rsidRPr="00FD119B" w14:paraId="488E90F8" w14:textId="77777777" w:rsidTr="00157E6A">
        <w:tc>
          <w:tcPr>
            <w:tcW w:w="1809" w:type="dxa"/>
          </w:tcPr>
          <w:p w14:paraId="22F79DB5" w14:textId="77777777" w:rsidR="00DB74C2" w:rsidRDefault="00DB74C2" w:rsidP="00DB74C2">
            <w:r>
              <w:t>IV</w:t>
            </w:r>
          </w:p>
        </w:tc>
        <w:tc>
          <w:tcPr>
            <w:tcW w:w="6911" w:type="dxa"/>
          </w:tcPr>
          <w:p w14:paraId="1069DEA1" w14:textId="77777777" w:rsidR="00DB74C2" w:rsidRDefault="00DB74C2" w:rsidP="00DB74C2">
            <w:r>
              <w:t>Intravenous</w:t>
            </w:r>
          </w:p>
        </w:tc>
      </w:tr>
      <w:tr w:rsidR="00DB74C2" w:rsidRPr="00FD119B" w14:paraId="1F57C3AD" w14:textId="77777777" w:rsidTr="00157E6A">
        <w:tc>
          <w:tcPr>
            <w:tcW w:w="1809" w:type="dxa"/>
          </w:tcPr>
          <w:p w14:paraId="205C42B4" w14:textId="77777777" w:rsidR="00DB74C2" w:rsidRDefault="00DB74C2" w:rsidP="00DB74C2">
            <w:r>
              <w:t>KM</w:t>
            </w:r>
          </w:p>
        </w:tc>
        <w:tc>
          <w:tcPr>
            <w:tcW w:w="6911" w:type="dxa"/>
          </w:tcPr>
          <w:p w14:paraId="0E77A73F" w14:textId="77777777" w:rsidR="00DB74C2" w:rsidRDefault="00DB74C2" w:rsidP="00DB74C2">
            <w:r>
              <w:t>Kaplan-Meier</w:t>
            </w:r>
          </w:p>
        </w:tc>
      </w:tr>
      <w:tr w:rsidR="00DB74C2" w:rsidRPr="00FD119B" w14:paraId="500B10C9" w14:textId="77777777" w:rsidTr="00157E6A">
        <w:tc>
          <w:tcPr>
            <w:tcW w:w="1809" w:type="dxa"/>
          </w:tcPr>
          <w:p w14:paraId="04FA88A3" w14:textId="77777777" w:rsidR="00DB74C2" w:rsidRDefault="00DB74C2" w:rsidP="00DB74C2">
            <w:r>
              <w:t>MEC</w:t>
            </w:r>
          </w:p>
        </w:tc>
        <w:tc>
          <w:tcPr>
            <w:tcW w:w="6911" w:type="dxa"/>
          </w:tcPr>
          <w:p w14:paraId="1A587EF4" w14:textId="62BFC34C" w:rsidR="00DB74C2" w:rsidRDefault="00DB74C2" w:rsidP="00DB74C2">
            <w:proofErr w:type="spellStart"/>
            <w:r>
              <w:t>Mitoxantrone</w:t>
            </w:r>
            <w:proofErr w:type="spellEnd"/>
            <w:r>
              <w:t xml:space="preserve">, etoposide and </w:t>
            </w:r>
            <w:proofErr w:type="spellStart"/>
            <w:r>
              <w:t>cytarabine</w:t>
            </w:r>
            <w:proofErr w:type="spellEnd"/>
            <w:r w:rsidR="003F3E2D">
              <w:t xml:space="preserve"> (chemotherapy regimen)</w:t>
            </w:r>
          </w:p>
        </w:tc>
      </w:tr>
      <w:tr w:rsidR="00DB74C2" w:rsidRPr="00FD119B" w14:paraId="6A8DC03B" w14:textId="77777777" w:rsidTr="00157E6A">
        <w:tc>
          <w:tcPr>
            <w:tcW w:w="1809" w:type="dxa"/>
          </w:tcPr>
          <w:p w14:paraId="538FC70F" w14:textId="77777777" w:rsidR="00DB74C2" w:rsidRDefault="00DB74C2" w:rsidP="00DB74C2">
            <w:r>
              <w:t>NSCLC</w:t>
            </w:r>
          </w:p>
        </w:tc>
        <w:tc>
          <w:tcPr>
            <w:tcW w:w="6911" w:type="dxa"/>
          </w:tcPr>
          <w:p w14:paraId="4DD474B2" w14:textId="77777777" w:rsidR="00DB74C2" w:rsidRDefault="00DB74C2" w:rsidP="00DB74C2">
            <w:r>
              <w:t>Non-small-cell lung carcinoma</w:t>
            </w:r>
          </w:p>
        </w:tc>
      </w:tr>
      <w:tr w:rsidR="00DB74C2" w:rsidRPr="00FD119B" w14:paraId="68EC32EB" w14:textId="77777777" w:rsidTr="00157E6A">
        <w:tc>
          <w:tcPr>
            <w:tcW w:w="1809" w:type="dxa"/>
          </w:tcPr>
          <w:p w14:paraId="5B148307" w14:textId="77777777" w:rsidR="00DB74C2" w:rsidRDefault="00DB74C2" w:rsidP="00DB74C2">
            <w:r>
              <w:t>OS</w:t>
            </w:r>
          </w:p>
        </w:tc>
        <w:tc>
          <w:tcPr>
            <w:tcW w:w="6911" w:type="dxa"/>
          </w:tcPr>
          <w:p w14:paraId="3CF39D74" w14:textId="77777777" w:rsidR="00DB74C2" w:rsidRDefault="00DB74C2" w:rsidP="00DB74C2">
            <w:r>
              <w:t>Overall survival</w:t>
            </w:r>
          </w:p>
        </w:tc>
      </w:tr>
      <w:tr w:rsidR="00DB74C2" w:rsidRPr="00FD119B" w14:paraId="7CB82BA2" w14:textId="77777777" w:rsidTr="00157E6A">
        <w:tc>
          <w:tcPr>
            <w:tcW w:w="1809" w:type="dxa"/>
          </w:tcPr>
          <w:p w14:paraId="486A6206" w14:textId="77777777" w:rsidR="00DB74C2" w:rsidRDefault="00DB74C2" w:rsidP="00DB74C2">
            <w:r>
              <w:t>PI</w:t>
            </w:r>
          </w:p>
        </w:tc>
        <w:tc>
          <w:tcPr>
            <w:tcW w:w="6911" w:type="dxa"/>
          </w:tcPr>
          <w:p w14:paraId="343F554D" w14:textId="77777777" w:rsidR="00DB74C2" w:rsidRDefault="00DB74C2" w:rsidP="00DB74C2">
            <w:r>
              <w:t>Product Information</w:t>
            </w:r>
          </w:p>
        </w:tc>
      </w:tr>
      <w:tr w:rsidR="00DB74C2" w:rsidRPr="00FD119B" w14:paraId="5ED58F46" w14:textId="77777777" w:rsidTr="00157E6A">
        <w:tc>
          <w:tcPr>
            <w:tcW w:w="1809" w:type="dxa"/>
          </w:tcPr>
          <w:p w14:paraId="406EDCB0" w14:textId="77777777" w:rsidR="00DB74C2" w:rsidRDefault="00DB74C2" w:rsidP="00DB74C2">
            <w:r>
              <w:t>PK</w:t>
            </w:r>
          </w:p>
        </w:tc>
        <w:tc>
          <w:tcPr>
            <w:tcW w:w="6911" w:type="dxa"/>
          </w:tcPr>
          <w:p w14:paraId="78152912" w14:textId="77777777" w:rsidR="00DB74C2" w:rsidRDefault="00DB74C2" w:rsidP="00DB74C2">
            <w:r>
              <w:t>Pharmacokinetic(s)</w:t>
            </w:r>
          </w:p>
        </w:tc>
      </w:tr>
      <w:tr w:rsidR="00DB74C2" w:rsidRPr="00FD119B" w14:paraId="705D0F2D" w14:textId="77777777" w:rsidTr="00157E6A">
        <w:tc>
          <w:tcPr>
            <w:tcW w:w="1809" w:type="dxa"/>
          </w:tcPr>
          <w:p w14:paraId="41E65476" w14:textId="77777777" w:rsidR="00DB74C2" w:rsidRDefault="00DB74C2" w:rsidP="00DB74C2">
            <w:r>
              <w:t>PRES</w:t>
            </w:r>
          </w:p>
        </w:tc>
        <w:tc>
          <w:tcPr>
            <w:tcW w:w="6911" w:type="dxa"/>
          </w:tcPr>
          <w:p w14:paraId="3C42F927" w14:textId="77777777" w:rsidR="00DB74C2" w:rsidRDefault="00DB74C2" w:rsidP="00DB74C2">
            <w:r>
              <w:t>Posterior reversible encephalopathy syndrome</w:t>
            </w:r>
          </w:p>
        </w:tc>
      </w:tr>
      <w:tr w:rsidR="00DB74C2" w:rsidRPr="00FD119B" w14:paraId="7452EE28" w14:textId="77777777" w:rsidTr="00157E6A">
        <w:tc>
          <w:tcPr>
            <w:tcW w:w="1809" w:type="dxa"/>
          </w:tcPr>
          <w:p w14:paraId="3D1C3286" w14:textId="77777777" w:rsidR="00DB74C2" w:rsidRDefault="00DB74C2" w:rsidP="00DB74C2">
            <w:r>
              <w:t>PSUR</w:t>
            </w:r>
          </w:p>
        </w:tc>
        <w:tc>
          <w:tcPr>
            <w:tcW w:w="6911" w:type="dxa"/>
          </w:tcPr>
          <w:p w14:paraId="7DCB1E36" w14:textId="4E46898B" w:rsidR="00DB74C2" w:rsidRDefault="00DB74C2" w:rsidP="00DB74C2">
            <w:r>
              <w:t>Periodic safety update report</w:t>
            </w:r>
            <w:r w:rsidR="003F3E2D">
              <w:t>(s)</w:t>
            </w:r>
          </w:p>
        </w:tc>
      </w:tr>
      <w:tr w:rsidR="00DB74C2" w:rsidRPr="00FD119B" w14:paraId="297079FA" w14:textId="77777777" w:rsidTr="00157E6A">
        <w:tc>
          <w:tcPr>
            <w:tcW w:w="1809" w:type="dxa"/>
          </w:tcPr>
          <w:p w14:paraId="2C876E24" w14:textId="77777777" w:rsidR="00DB74C2" w:rsidRDefault="00DB74C2" w:rsidP="00DB74C2">
            <w:r>
              <w:t>R/R</w:t>
            </w:r>
          </w:p>
        </w:tc>
        <w:tc>
          <w:tcPr>
            <w:tcW w:w="6911" w:type="dxa"/>
          </w:tcPr>
          <w:p w14:paraId="62992D6C" w14:textId="77777777" w:rsidR="00DB74C2" w:rsidRDefault="00DB74C2" w:rsidP="00DB74C2">
            <w:r>
              <w:t>Relapsed or refractory</w:t>
            </w:r>
          </w:p>
        </w:tc>
      </w:tr>
      <w:tr w:rsidR="00DB74C2" w:rsidRPr="00FD119B" w14:paraId="47BEEEA7" w14:textId="77777777" w:rsidTr="00157E6A">
        <w:tc>
          <w:tcPr>
            <w:tcW w:w="1809" w:type="dxa"/>
          </w:tcPr>
          <w:p w14:paraId="5B043B51" w14:textId="77777777" w:rsidR="00DB74C2" w:rsidRDefault="00DB74C2" w:rsidP="00DB74C2">
            <w:r>
              <w:t>RMP</w:t>
            </w:r>
          </w:p>
        </w:tc>
        <w:tc>
          <w:tcPr>
            <w:tcW w:w="6911" w:type="dxa"/>
          </w:tcPr>
          <w:p w14:paraId="4C6487EA" w14:textId="77777777" w:rsidR="00DB74C2" w:rsidRDefault="00DB74C2" w:rsidP="00DB74C2">
            <w:r>
              <w:t>Risk management plan</w:t>
            </w:r>
          </w:p>
        </w:tc>
      </w:tr>
      <w:tr w:rsidR="00DB74C2" w:rsidRPr="00FD119B" w14:paraId="7E367D5F" w14:textId="77777777" w:rsidTr="00157E6A">
        <w:tc>
          <w:tcPr>
            <w:tcW w:w="1809" w:type="dxa"/>
          </w:tcPr>
          <w:p w14:paraId="02D663EC" w14:textId="77777777" w:rsidR="00DB74C2" w:rsidRDefault="00DB74C2" w:rsidP="00DB74C2">
            <w:r>
              <w:t>TKD</w:t>
            </w:r>
          </w:p>
        </w:tc>
        <w:tc>
          <w:tcPr>
            <w:tcW w:w="6911" w:type="dxa"/>
          </w:tcPr>
          <w:p w14:paraId="75C413BF" w14:textId="77777777" w:rsidR="00DB74C2" w:rsidRDefault="00DB74C2" w:rsidP="00DB74C2">
            <w:r>
              <w:t>Tyrosine kinase domain</w:t>
            </w:r>
          </w:p>
        </w:tc>
      </w:tr>
    </w:tbl>
    <w:p w14:paraId="7FE891CD" w14:textId="77777777" w:rsidR="00DB74C2" w:rsidRDefault="00DB74C2" w:rsidP="001316B8">
      <w:pPr>
        <w:pStyle w:val="Heading2"/>
        <w:pageBreakBefore/>
      </w:pPr>
      <w:bookmarkStart w:id="2" w:name="_Toc50495795"/>
      <w:r>
        <w:lastRenderedPageBreak/>
        <w:t>I. Introduction to product submission</w:t>
      </w:r>
      <w:bookmarkEnd w:id="2"/>
    </w:p>
    <w:p w14:paraId="182E5EEF" w14:textId="77777777" w:rsidR="00DB74C2" w:rsidRDefault="00DB74C2" w:rsidP="00DB74C2">
      <w:pPr>
        <w:pStyle w:val="Heading3"/>
        <w:rPr>
          <w:lang w:eastAsia="en-AU"/>
        </w:rPr>
      </w:pPr>
      <w:bookmarkStart w:id="3" w:name="_Toc50495796"/>
      <w:r>
        <w:rPr>
          <w:lang w:eastAsia="en-AU"/>
        </w:rPr>
        <w:t>Submission details</w:t>
      </w:r>
      <w:bookmarkEnd w:id="3"/>
    </w:p>
    <w:tbl>
      <w:tblPr>
        <w:tblW w:w="9214" w:type="dxa"/>
        <w:tblInd w:w="108" w:type="dxa"/>
        <w:tblLook w:val="01E0" w:firstRow="1" w:lastRow="1" w:firstColumn="1" w:lastColumn="1" w:noHBand="0" w:noVBand="0"/>
      </w:tblPr>
      <w:tblGrid>
        <w:gridCol w:w="2907"/>
        <w:gridCol w:w="6307"/>
      </w:tblGrid>
      <w:tr w:rsidR="00DB74C2" w:rsidRPr="003D1E62" w14:paraId="3D8D979F" w14:textId="77777777" w:rsidTr="00157E6A">
        <w:tc>
          <w:tcPr>
            <w:tcW w:w="2907" w:type="dxa"/>
          </w:tcPr>
          <w:p w14:paraId="45FCBB3C" w14:textId="77777777" w:rsidR="00DB74C2" w:rsidRPr="003D1E62" w:rsidRDefault="00DB74C2" w:rsidP="00DB74C2">
            <w:pPr>
              <w:rPr>
                <w:i/>
              </w:rPr>
            </w:pPr>
            <w:r>
              <w:rPr>
                <w:i/>
              </w:rPr>
              <w:t>Type of s</w:t>
            </w:r>
            <w:r w:rsidRPr="003D1E62">
              <w:rPr>
                <w:i/>
              </w:rPr>
              <w:t>ubmission</w:t>
            </w:r>
            <w:r>
              <w:rPr>
                <w:i/>
              </w:rPr>
              <w:t>:</w:t>
            </w:r>
          </w:p>
        </w:tc>
        <w:tc>
          <w:tcPr>
            <w:tcW w:w="6307" w:type="dxa"/>
          </w:tcPr>
          <w:p w14:paraId="0BA7C06C" w14:textId="77777777" w:rsidR="00DB74C2" w:rsidRPr="003D1E62" w:rsidRDefault="00DB74C2" w:rsidP="00DB74C2">
            <w:r w:rsidRPr="003D1E62">
              <w:t xml:space="preserve">New </w:t>
            </w:r>
            <w:r>
              <w:t>c</w:t>
            </w:r>
            <w:r w:rsidRPr="003D1E62">
              <w:t xml:space="preserve">hemical </w:t>
            </w:r>
            <w:r>
              <w:t>e</w:t>
            </w:r>
            <w:r w:rsidRPr="003D1E62">
              <w:t>ntity</w:t>
            </w:r>
          </w:p>
        </w:tc>
      </w:tr>
      <w:tr w:rsidR="00DB74C2" w:rsidRPr="003D1E62" w14:paraId="6CF33B38" w14:textId="77777777" w:rsidTr="00157E6A">
        <w:tc>
          <w:tcPr>
            <w:tcW w:w="2907" w:type="dxa"/>
          </w:tcPr>
          <w:p w14:paraId="7BFE84ED" w14:textId="77777777" w:rsidR="00DB74C2" w:rsidRDefault="00DB74C2" w:rsidP="00DB74C2">
            <w:pPr>
              <w:rPr>
                <w:i/>
              </w:rPr>
            </w:pPr>
            <w:r>
              <w:rPr>
                <w:i/>
              </w:rPr>
              <w:t>Active ingredient:</w:t>
            </w:r>
          </w:p>
        </w:tc>
        <w:tc>
          <w:tcPr>
            <w:tcW w:w="6307" w:type="dxa"/>
          </w:tcPr>
          <w:p w14:paraId="6E3E73F4" w14:textId="77777777" w:rsidR="00DB74C2" w:rsidRPr="003D1E62" w:rsidRDefault="00DB74C2" w:rsidP="00DB74C2">
            <w:proofErr w:type="spellStart"/>
            <w:r>
              <w:t>Gilteritinib</w:t>
            </w:r>
            <w:proofErr w:type="spellEnd"/>
            <w:r>
              <w:t xml:space="preserve"> (as fumarate)</w:t>
            </w:r>
          </w:p>
        </w:tc>
      </w:tr>
      <w:tr w:rsidR="00DB74C2" w:rsidRPr="003D1E62" w14:paraId="1D004F20" w14:textId="77777777" w:rsidTr="00157E6A">
        <w:tc>
          <w:tcPr>
            <w:tcW w:w="2907" w:type="dxa"/>
          </w:tcPr>
          <w:p w14:paraId="4A33BC9E" w14:textId="77777777" w:rsidR="00DB74C2" w:rsidRDefault="00DB74C2" w:rsidP="00DB74C2">
            <w:pPr>
              <w:rPr>
                <w:i/>
              </w:rPr>
            </w:pPr>
            <w:r w:rsidRPr="00487162">
              <w:rPr>
                <w:i/>
              </w:rPr>
              <w:t>Product</w:t>
            </w:r>
            <w:r>
              <w:rPr>
                <w:i/>
              </w:rPr>
              <w:t xml:space="preserve"> name:</w:t>
            </w:r>
          </w:p>
        </w:tc>
        <w:tc>
          <w:tcPr>
            <w:tcW w:w="6307" w:type="dxa"/>
          </w:tcPr>
          <w:p w14:paraId="3DD7DB2E" w14:textId="77777777" w:rsidR="00DB74C2" w:rsidRPr="003D1E62" w:rsidRDefault="00DB74C2" w:rsidP="00DB74C2">
            <w:proofErr w:type="spellStart"/>
            <w:r>
              <w:t>Xospata</w:t>
            </w:r>
            <w:proofErr w:type="spellEnd"/>
          </w:p>
        </w:tc>
      </w:tr>
      <w:tr w:rsidR="00DB74C2" w:rsidRPr="003D1E62" w14:paraId="703E7B9C" w14:textId="77777777" w:rsidTr="00157E6A">
        <w:tc>
          <w:tcPr>
            <w:tcW w:w="2907" w:type="dxa"/>
          </w:tcPr>
          <w:p w14:paraId="2FE8492E" w14:textId="77777777" w:rsidR="00DB74C2" w:rsidRPr="003D1E62" w:rsidRDefault="00DB74C2" w:rsidP="00DB74C2">
            <w:r w:rsidRPr="003D1E62">
              <w:rPr>
                <w:i/>
              </w:rPr>
              <w:t>Decision</w:t>
            </w:r>
            <w:r w:rsidRPr="003D1E62">
              <w:t>:</w:t>
            </w:r>
          </w:p>
        </w:tc>
        <w:tc>
          <w:tcPr>
            <w:tcW w:w="6307" w:type="dxa"/>
          </w:tcPr>
          <w:p w14:paraId="7D4C3948" w14:textId="77777777" w:rsidR="00DB74C2" w:rsidRPr="003D1E62" w:rsidRDefault="00DB74C2" w:rsidP="00DB74C2">
            <w:r w:rsidRPr="003D1E62">
              <w:t>Approved</w:t>
            </w:r>
          </w:p>
        </w:tc>
      </w:tr>
      <w:tr w:rsidR="00DB74C2" w:rsidRPr="003D1E62" w14:paraId="6D1B3805" w14:textId="77777777" w:rsidTr="00157E6A">
        <w:tc>
          <w:tcPr>
            <w:tcW w:w="2907" w:type="dxa"/>
          </w:tcPr>
          <w:p w14:paraId="281904A3" w14:textId="77777777" w:rsidR="00DB74C2" w:rsidRPr="003D1E62" w:rsidRDefault="00DB74C2" w:rsidP="00DB74C2">
            <w:pPr>
              <w:rPr>
                <w:i/>
              </w:rPr>
            </w:pPr>
            <w:r w:rsidRPr="003D1E62">
              <w:rPr>
                <w:i/>
              </w:rPr>
              <w:t xml:space="preserve">Date of </w:t>
            </w:r>
            <w:r>
              <w:rPr>
                <w:i/>
              </w:rPr>
              <w:t>d</w:t>
            </w:r>
            <w:r w:rsidRPr="003D1E62">
              <w:rPr>
                <w:i/>
              </w:rPr>
              <w:t>ecision:</w:t>
            </w:r>
          </w:p>
        </w:tc>
        <w:tc>
          <w:tcPr>
            <w:tcW w:w="6307" w:type="dxa"/>
          </w:tcPr>
          <w:p w14:paraId="62D3A985" w14:textId="77777777" w:rsidR="00DB74C2" w:rsidRPr="003D1E62" w:rsidRDefault="00DB74C2" w:rsidP="00DB74C2">
            <w:r>
              <w:t>26 March 2020</w:t>
            </w:r>
          </w:p>
        </w:tc>
      </w:tr>
      <w:tr w:rsidR="00DB74C2" w:rsidRPr="003D1E62" w14:paraId="2930AAA8" w14:textId="77777777" w:rsidTr="00157E6A">
        <w:tc>
          <w:tcPr>
            <w:tcW w:w="2907" w:type="dxa"/>
          </w:tcPr>
          <w:p w14:paraId="4840F673" w14:textId="77777777" w:rsidR="00DB74C2" w:rsidRPr="00441C3F" w:rsidRDefault="00DB74C2" w:rsidP="00DB74C2">
            <w:pPr>
              <w:rPr>
                <w:i/>
              </w:rPr>
            </w:pPr>
            <w:r w:rsidRPr="00441C3F">
              <w:rPr>
                <w:i/>
              </w:rPr>
              <w:t>Date of entry onto ARTG</w:t>
            </w:r>
            <w:r>
              <w:rPr>
                <w:i/>
              </w:rPr>
              <w:t>:</w:t>
            </w:r>
          </w:p>
        </w:tc>
        <w:tc>
          <w:tcPr>
            <w:tcW w:w="6307" w:type="dxa"/>
          </w:tcPr>
          <w:p w14:paraId="7F3B837F" w14:textId="77777777" w:rsidR="00DB74C2" w:rsidRPr="00441C3F" w:rsidRDefault="00DB74C2" w:rsidP="00DB74C2">
            <w:pPr>
              <w:rPr>
                <w:i/>
              </w:rPr>
            </w:pPr>
            <w:r>
              <w:t>2 April 2020</w:t>
            </w:r>
          </w:p>
        </w:tc>
      </w:tr>
      <w:tr w:rsidR="00DB74C2" w:rsidRPr="003D1E62" w14:paraId="57E172B3" w14:textId="77777777" w:rsidTr="00157E6A">
        <w:tc>
          <w:tcPr>
            <w:tcW w:w="2907" w:type="dxa"/>
          </w:tcPr>
          <w:p w14:paraId="4B0FAAE6" w14:textId="77777777" w:rsidR="00DB74C2" w:rsidRPr="00441C3F" w:rsidRDefault="00DB74C2" w:rsidP="00DB74C2">
            <w:pPr>
              <w:rPr>
                <w:i/>
              </w:rPr>
            </w:pPr>
            <w:r>
              <w:rPr>
                <w:i/>
              </w:rPr>
              <w:t>ARTG number:</w:t>
            </w:r>
          </w:p>
        </w:tc>
        <w:tc>
          <w:tcPr>
            <w:tcW w:w="6307" w:type="dxa"/>
          </w:tcPr>
          <w:p w14:paraId="331C186A" w14:textId="77777777" w:rsidR="00DB74C2" w:rsidRPr="00441C3F" w:rsidRDefault="00DB74C2" w:rsidP="00DB74C2">
            <w:r>
              <w:t>321060</w:t>
            </w:r>
          </w:p>
        </w:tc>
      </w:tr>
      <w:tr w:rsidR="00DB74C2" w:rsidRPr="003D1E62" w14:paraId="1304781D" w14:textId="77777777" w:rsidTr="00157E6A">
        <w:tc>
          <w:tcPr>
            <w:tcW w:w="2907" w:type="dxa"/>
          </w:tcPr>
          <w:p w14:paraId="7EFA0ED8" w14:textId="073C90ED" w:rsidR="00DB74C2" w:rsidRDefault="00DB74C2" w:rsidP="00DB74C2">
            <w:pPr>
              <w:rPr>
                <w:i/>
              </w:rPr>
            </w:pPr>
            <w:r>
              <w:rPr>
                <w:rFonts w:ascii="Wingdings 3" w:hAnsi="Wingdings 3"/>
                <w:sz w:val="34"/>
                <w:szCs w:val="34"/>
                <w:lang w:eastAsia="en-AU"/>
              </w:rPr>
              <w:t></w:t>
            </w:r>
            <w:r w:rsidRPr="003735BC">
              <w:rPr>
                <w:i/>
              </w:rPr>
              <w:t>Black Triangle Scheme</w:t>
            </w:r>
            <w:r w:rsidR="00E56F43">
              <w:rPr>
                <w:i/>
              </w:rPr>
              <w:t>:</w:t>
            </w:r>
            <w:r w:rsidR="00E56F43">
              <w:rPr>
                <w:rStyle w:val="FootnoteReference"/>
              </w:rPr>
              <w:footnoteReference w:id="1"/>
            </w:r>
          </w:p>
        </w:tc>
        <w:tc>
          <w:tcPr>
            <w:tcW w:w="6307" w:type="dxa"/>
          </w:tcPr>
          <w:p w14:paraId="5A188228" w14:textId="77777777" w:rsidR="00DB74C2" w:rsidRDefault="00DB74C2" w:rsidP="00DB74C2">
            <w:r>
              <w:t>Yes</w:t>
            </w:r>
          </w:p>
          <w:p w14:paraId="794624F3" w14:textId="77777777" w:rsidR="00DB74C2" w:rsidRPr="00487162" w:rsidRDefault="00DB74C2" w:rsidP="00DB74C2">
            <w:r>
              <w:t xml:space="preserve">This product will remain in the scheme for 5 years, starting on the date the product is first supplied in </w:t>
            </w:r>
            <w:r w:rsidRPr="00D453FA">
              <w:t>Australia</w:t>
            </w:r>
          </w:p>
        </w:tc>
      </w:tr>
      <w:tr w:rsidR="00DB74C2" w:rsidRPr="00487162" w14:paraId="7B4ED890" w14:textId="77777777" w:rsidTr="00157E6A">
        <w:tc>
          <w:tcPr>
            <w:tcW w:w="2907" w:type="dxa"/>
          </w:tcPr>
          <w:p w14:paraId="2D80B180" w14:textId="77777777" w:rsidR="00DB74C2" w:rsidRPr="00487162" w:rsidRDefault="00DB74C2" w:rsidP="00DB74C2">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3D26417C" w14:textId="77777777" w:rsidR="00DB74C2" w:rsidRDefault="00DB74C2" w:rsidP="00DB74C2">
            <w:proofErr w:type="spellStart"/>
            <w:r>
              <w:t>Astellas</w:t>
            </w:r>
            <w:proofErr w:type="spellEnd"/>
            <w:r>
              <w:t xml:space="preserve"> Pharma Australia Pty Ltd</w:t>
            </w:r>
          </w:p>
          <w:p w14:paraId="7FAAFE8C" w14:textId="77777777" w:rsidR="00DB74C2" w:rsidRDefault="00DB74C2" w:rsidP="00DB74C2">
            <w:r>
              <w:t>6 Eden Park Drive</w:t>
            </w:r>
          </w:p>
          <w:p w14:paraId="5DF42C28" w14:textId="77777777" w:rsidR="00DB74C2" w:rsidRPr="00487162" w:rsidRDefault="00DB74C2" w:rsidP="00DB74C2">
            <w:r>
              <w:t>Macquarie Park NSW 2113</w:t>
            </w:r>
          </w:p>
        </w:tc>
      </w:tr>
      <w:tr w:rsidR="00DB74C2" w:rsidRPr="00487162" w14:paraId="0BA5E48E" w14:textId="77777777" w:rsidTr="00157E6A">
        <w:tc>
          <w:tcPr>
            <w:tcW w:w="2907" w:type="dxa"/>
          </w:tcPr>
          <w:p w14:paraId="1AD70AF2" w14:textId="77777777" w:rsidR="00DB74C2" w:rsidRPr="00487162" w:rsidRDefault="00DB74C2" w:rsidP="00DB74C2">
            <w:pPr>
              <w:rPr>
                <w:i/>
              </w:rPr>
            </w:pPr>
            <w:r>
              <w:rPr>
                <w:i/>
              </w:rPr>
              <w:t>Dose form:</w:t>
            </w:r>
          </w:p>
        </w:tc>
        <w:tc>
          <w:tcPr>
            <w:tcW w:w="6307" w:type="dxa"/>
          </w:tcPr>
          <w:p w14:paraId="46CB987E" w14:textId="77777777" w:rsidR="00DB74C2" w:rsidRPr="00487162" w:rsidRDefault="00DB74C2" w:rsidP="00DB74C2">
            <w:r>
              <w:t>Film-coated tablet</w:t>
            </w:r>
          </w:p>
        </w:tc>
      </w:tr>
      <w:tr w:rsidR="00DB74C2" w:rsidRPr="00487162" w14:paraId="4639ACE9" w14:textId="77777777" w:rsidTr="00157E6A">
        <w:tc>
          <w:tcPr>
            <w:tcW w:w="2907" w:type="dxa"/>
          </w:tcPr>
          <w:p w14:paraId="763DD9B3" w14:textId="77777777" w:rsidR="00DB74C2" w:rsidRPr="00487162" w:rsidRDefault="00DB74C2" w:rsidP="00DB74C2">
            <w:pPr>
              <w:rPr>
                <w:i/>
              </w:rPr>
            </w:pPr>
            <w:r w:rsidRPr="00487162">
              <w:rPr>
                <w:i/>
              </w:rPr>
              <w:t>Strength:</w:t>
            </w:r>
          </w:p>
        </w:tc>
        <w:tc>
          <w:tcPr>
            <w:tcW w:w="6307" w:type="dxa"/>
          </w:tcPr>
          <w:p w14:paraId="3DD5981F" w14:textId="77777777" w:rsidR="00DB74C2" w:rsidRPr="00487162" w:rsidRDefault="00DB74C2" w:rsidP="00DB74C2">
            <w:r>
              <w:t>40 mg</w:t>
            </w:r>
          </w:p>
        </w:tc>
      </w:tr>
      <w:tr w:rsidR="00DB74C2" w:rsidRPr="00487162" w14:paraId="2E3D8388" w14:textId="77777777" w:rsidTr="00157E6A">
        <w:tc>
          <w:tcPr>
            <w:tcW w:w="2907" w:type="dxa"/>
          </w:tcPr>
          <w:p w14:paraId="2DAB43B5" w14:textId="77777777" w:rsidR="00DB74C2" w:rsidRPr="00487162" w:rsidRDefault="00DB74C2" w:rsidP="00DB74C2">
            <w:pPr>
              <w:rPr>
                <w:i/>
              </w:rPr>
            </w:pPr>
            <w:r w:rsidRPr="00487162">
              <w:rPr>
                <w:i/>
              </w:rPr>
              <w:t>Container:</w:t>
            </w:r>
          </w:p>
        </w:tc>
        <w:tc>
          <w:tcPr>
            <w:tcW w:w="6307" w:type="dxa"/>
          </w:tcPr>
          <w:p w14:paraId="1E514129" w14:textId="77777777" w:rsidR="00DB74C2" w:rsidRPr="00487162" w:rsidRDefault="00DB74C2" w:rsidP="00DB74C2">
            <w:r>
              <w:t>Blister pack</w:t>
            </w:r>
          </w:p>
        </w:tc>
      </w:tr>
      <w:tr w:rsidR="00DB74C2" w:rsidRPr="00487162" w14:paraId="61B6F4C7" w14:textId="77777777" w:rsidTr="00157E6A">
        <w:tc>
          <w:tcPr>
            <w:tcW w:w="2907" w:type="dxa"/>
          </w:tcPr>
          <w:p w14:paraId="08EBD6BF" w14:textId="77777777" w:rsidR="00DB74C2" w:rsidRPr="00487162" w:rsidRDefault="00DB74C2" w:rsidP="00DB74C2">
            <w:pPr>
              <w:rPr>
                <w:i/>
              </w:rPr>
            </w:pPr>
            <w:r w:rsidRPr="00487162">
              <w:rPr>
                <w:i/>
              </w:rPr>
              <w:t>Pack size:</w:t>
            </w:r>
          </w:p>
        </w:tc>
        <w:tc>
          <w:tcPr>
            <w:tcW w:w="6307" w:type="dxa"/>
          </w:tcPr>
          <w:p w14:paraId="5A9A04CC" w14:textId="77777777" w:rsidR="00DB74C2" w:rsidRPr="00487162" w:rsidRDefault="00DB74C2" w:rsidP="00DB74C2">
            <w:r>
              <w:t>84 film-coated tablets (4 blisters x 21 tablets)</w:t>
            </w:r>
          </w:p>
        </w:tc>
      </w:tr>
      <w:tr w:rsidR="00DB74C2" w:rsidRPr="00487162" w14:paraId="2BDD8BB8" w14:textId="77777777" w:rsidTr="00157E6A">
        <w:tc>
          <w:tcPr>
            <w:tcW w:w="2907" w:type="dxa"/>
          </w:tcPr>
          <w:p w14:paraId="42D95AFF" w14:textId="77777777" w:rsidR="00DB74C2" w:rsidRPr="00487162" w:rsidRDefault="00DB74C2" w:rsidP="00DB74C2">
            <w:pPr>
              <w:rPr>
                <w:i/>
              </w:rPr>
            </w:pPr>
            <w:r w:rsidRPr="00487162">
              <w:rPr>
                <w:i/>
              </w:rPr>
              <w:t xml:space="preserve">Approved </w:t>
            </w:r>
            <w:r>
              <w:rPr>
                <w:i/>
              </w:rPr>
              <w:t>t</w:t>
            </w:r>
            <w:r w:rsidRPr="00487162">
              <w:rPr>
                <w:i/>
              </w:rPr>
              <w:t>herapeutic use:</w:t>
            </w:r>
          </w:p>
        </w:tc>
        <w:tc>
          <w:tcPr>
            <w:tcW w:w="6307" w:type="dxa"/>
          </w:tcPr>
          <w:p w14:paraId="2784C746" w14:textId="77777777" w:rsidR="00DB74C2" w:rsidRPr="00487162" w:rsidRDefault="00DB74C2" w:rsidP="00DB74C2">
            <w:pPr>
              <w:rPr>
                <w:rFonts w:eastAsia="MS Mincho"/>
                <w:lang w:eastAsia="ja-JP"/>
              </w:rPr>
            </w:pPr>
            <w:proofErr w:type="spellStart"/>
            <w:r w:rsidRPr="00CA00B7">
              <w:rPr>
                <w:i/>
              </w:rPr>
              <w:t>Xospata</w:t>
            </w:r>
            <w:proofErr w:type="spellEnd"/>
            <w:r w:rsidRPr="00CA00B7">
              <w:rPr>
                <w:i/>
              </w:rPr>
              <w:t xml:space="preserve"> is indicated for the treatment of adult patients who have relapsed or refractory acute myeloid leukaemia (AML) with a FLT3 mutation</w:t>
            </w:r>
          </w:p>
        </w:tc>
      </w:tr>
      <w:tr w:rsidR="00DB74C2" w:rsidRPr="00487162" w14:paraId="726C01EA" w14:textId="77777777" w:rsidTr="00157E6A">
        <w:tc>
          <w:tcPr>
            <w:tcW w:w="2907" w:type="dxa"/>
          </w:tcPr>
          <w:p w14:paraId="6D45C9AA" w14:textId="77777777" w:rsidR="00DB74C2" w:rsidRPr="00487162" w:rsidRDefault="00DB74C2" w:rsidP="00DB74C2">
            <w:pPr>
              <w:rPr>
                <w:i/>
              </w:rPr>
            </w:pPr>
            <w:r w:rsidRPr="00487162">
              <w:rPr>
                <w:i/>
              </w:rPr>
              <w:t>Route of administration:</w:t>
            </w:r>
          </w:p>
        </w:tc>
        <w:tc>
          <w:tcPr>
            <w:tcW w:w="6307" w:type="dxa"/>
          </w:tcPr>
          <w:p w14:paraId="295664F6" w14:textId="77777777" w:rsidR="00DB74C2" w:rsidRPr="00487162" w:rsidRDefault="00DB74C2" w:rsidP="00DB74C2">
            <w:r>
              <w:t>Oral</w:t>
            </w:r>
          </w:p>
        </w:tc>
      </w:tr>
      <w:tr w:rsidR="00DB74C2" w:rsidRPr="00487162" w14:paraId="144B68E0" w14:textId="77777777" w:rsidTr="00157E6A">
        <w:tc>
          <w:tcPr>
            <w:tcW w:w="2907" w:type="dxa"/>
          </w:tcPr>
          <w:p w14:paraId="349251F7" w14:textId="77777777" w:rsidR="00DB74C2" w:rsidRPr="00487162" w:rsidRDefault="00DB74C2" w:rsidP="00DB74C2">
            <w:pPr>
              <w:rPr>
                <w:i/>
              </w:rPr>
            </w:pPr>
            <w:r w:rsidRPr="00487162">
              <w:rPr>
                <w:i/>
              </w:rPr>
              <w:t>Dosage:</w:t>
            </w:r>
          </w:p>
        </w:tc>
        <w:tc>
          <w:tcPr>
            <w:tcW w:w="6307" w:type="dxa"/>
          </w:tcPr>
          <w:p w14:paraId="6C5F3031" w14:textId="7E2389C4" w:rsidR="00DB74C2" w:rsidRPr="00CA00B7" w:rsidRDefault="00DB74C2" w:rsidP="00DB74C2">
            <w:pPr>
              <w:spacing w:before="0" w:after="200" w:line="276" w:lineRule="auto"/>
              <w:rPr>
                <w:rFonts w:eastAsia="Calibri"/>
              </w:rPr>
            </w:pPr>
            <w:r w:rsidRPr="00CA00B7">
              <w:rPr>
                <w:rFonts w:eastAsia="Calibri"/>
              </w:rPr>
              <w:t>The recommended starting dose</w:t>
            </w:r>
            <w:r>
              <w:rPr>
                <w:rFonts w:eastAsia="Calibri"/>
              </w:rPr>
              <w:t xml:space="preserve"> of </w:t>
            </w:r>
            <w:proofErr w:type="spellStart"/>
            <w:r>
              <w:rPr>
                <w:rFonts w:eastAsia="Calibri"/>
              </w:rPr>
              <w:t>Xospata</w:t>
            </w:r>
            <w:proofErr w:type="spellEnd"/>
            <w:r>
              <w:rPr>
                <w:rFonts w:eastAsia="Calibri"/>
              </w:rPr>
              <w:t xml:space="preserve"> is 120 mg (three</w:t>
            </w:r>
            <w:r w:rsidR="003F3E2D">
              <w:rPr>
                <w:rFonts w:eastAsia="Calibri"/>
              </w:rPr>
              <w:t> </w:t>
            </w:r>
            <w:r>
              <w:rPr>
                <w:rFonts w:eastAsia="Calibri"/>
              </w:rPr>
              <w:t>40 </w:t>
            </w:r>
            <w:r w:rsidRPr="00CA00B7">
              <w:rPr>
                <w:rFonts w:eastAsia="Calibri"/>
              </w:rPr>
              <w:t>mg tablets) once daily.</w:t>
            </w:r>
          </w:p>
          <w:p w14:paraId="1AC8C23C" w14:textId="77777777" w:rsidR="00DB74C2" w:rsidRPr="00CA00B7" w:rsidRDefault="00DB74C2" w:rsidP="00DB74C2">
            <w:pPr>
              <w:spacing w:before="0" w:after="200" w:line="276" w:lineRule="auto"/>
              <w:rPr>
                <w:rFonts w:eastAsia="Calibri"/>
              </w:rPr>
            </w:pPr>
            <w:r w:rsidRPr="00CA00B7">
              <w:rPr>
                <w:rFonts w:eastAsia="Calibri"/>
              </w:rPr>
              <w:t xml:space="preserve">Blood chemistries, including </w:t>
            </w:r>
            <w:proofErr w:type="spellStart"/>
            <w:r w:rsidRPr="00CA00B7">
              <w:rPr>
                <w:rFonts w:eastAsia="Calibri"/>
              </w:rPr>
              <w:t>creatine</w:t>
            </w:r>
            <w:proofErr w:type="spellEnd"/>
            <w:r w:rsidRPr="00CA00B7">
              <w:rPr>
                <w:rFonts w:eastAsia="Calibri"/>
              </w:rPr>
              <w:t xml:space="preserve"> phosphokinase, should be assessed prior to initiation of </w:t>
            </w:r>
            <w:r>
              <w:rPr>
                <w:rFonts w:eastAsia="Calibri"/>
              </w:rPr>
              <w:t>treatment, on D</w:t>
            </w:r>
            <w:r w:rsidRPr="00CA00B7">
              <w:rPr>
                <w:rFonts w:eastAsia="Calibri"/>
              </w:rPr>
              <w:t>ay 15 and monthly for the duration of treatment.</w:t>
            </w:r>
          </w:p>
          <w:p w14:paraId="22D04A25" w14:textId="77777777" w:rsidR="00DB74C2" w:rsidRPr="00CA00B7" w:rsidRDefault="00DB74C2" w:rsidP="00DB74C2">
            <w:pPr>
              <w:spacing w:before="0" w:after="200" w:line="276" w:lineRule="auto"/>
              <w:rPr>
                <w:rFonts w:eastAsia="Calibri"/>
              </w:rPr>
            </w:pPr>
            <w:r w:rsidRPr="00CA00B7">
              <w:rPr>
                <w:rFonts w:eastAsia="Calibri"/>
              </w:rPr>
              <w:lastRenderedPageBreak/>
              <w:t xml:space="preserve">An electrocardiogram (ECG) should be performed before initiation of </w:t>
            </w:r>
            <w:proofErr w:type="spellStart"/>
            <w:r w:rsidRPr="00CA00B7">
              <w:rPr>
                <w:rFonts w:eastAsia="Calibri"/>
              </w:rPr>
              <w:t>Xospata</w:t>
            </w:r>
            <w:proofErr w:type="spellEnd"/>
            <w:r>
              <w:rPr>
                <w:rFonts w:eastAsia="Calibri"/>
              </w:rPr>
              <w:t xml:space="preserve"> treatment, on D</w:t>
            </w:r>
            <w:r w:rsidRPr="00CA00B7">
              <w:rPr>
                <w:rFonts w:eastAsia="Calibri"/>
              </w:rPr>
              <w:t>ay 8 and 15 and prior to the start of the next three subsequent months of treatment. In addition, an ECG should be performed following the same schedule in case of dose in</w:t>
            </w:r>
            <w:r>
              <w:rPr>
                <w:rFonts w:eastAsia="Calibri"/>
              </w:rPr>
              <w:t>crease (see Product Information S</w:t>
            </w:r>
            <w:r w:rsidRPr="00CA00B7">
              <w:rPr>
                <w:rFonts w:eastAsia="Calibri"/>
              </w:rPr>
              <w:t>ection 4.4 Special warnings and precautions for use and section 4.8 Adverse effects (Undesirable effects)).</w:t>
            </w:r>
          </w:p>
          <w:p w14:paraId="2BB938D2" w14:textId="77777777" w:rsidR="00DB74C2" w:rsidRPr="00CA00B7" w:rsidRDefault="00DB74C2" w:rsidP="00DB74C2">
            <w:pPr>
              <w:spacing w:before="0" w:after="200" w:line="276" w:lineRule="auto"/>
              <w:rPr>
                <w:rFonts w:eastAsia="Calibri"/>
              </w:rPr>
            </w:pPr>
            <w:r w:rsidRPr="00CA00B7">
              <w:rPr>
                <w:rFonts w:eastAsia="Calibri"/>
              </w:rPr>
              <w:t xml:space="preserve">Treatment should continue until the patient is no longer clinically benefiting from </w:t>
            </w:r>
            <w:proofErr w:type="spellStart"/>
            <w:r w:rsidRPr="00CA00B7">
              <w:rPr>
                <w:rFonts w:eastAsia="Calibri"/>
              </w:rPr>
              <w:t>Xospata</w:t>
            </w:r>
            <w:proofErr w:type="spellEnd"/>
            <w:r w:rsidRPr="00CA00B7">
              <w:rPr>
                <w:rFonts w:eastAsia="Calibri"/>
              </w:rPr>
              <w:t xml:space="preserve"> or until unacceptable toxicity occurs. Response may be delayed; therefore, continuation of treatment at the prescribed dose for up to 6 months should be considered to allow time for a clinical response.</w:t>
            </w:r>
          </w:p>
          <w:p w14:paraId="7BC59FC9" w14:textId="77777777" w:rsidR="00DB74C2" w:rsidRDefault="00DB74C2" w:rsidP="00DB74C2">
            <w:r w:rsidRPr="00CA00B7">
              <w:rPr>
                <w:rFonts w:eastAsia="Calibri"/>
              </w:rPr>
              <w:t xml:space="preserve">In the absence of a response (patient did not achieve a </w:t>
            </w:r>
            <w:r>
              <w:rPr>
                <w:rFonts w:eastAsia="Calibri"/>
              </w:rPr>
              <w:t>c</w:t>
            </w:r>
            <w:r w:rsidRPr="003329E2">
              <w:rPr>
                <w:rFonts w:eastAsia="Calibri"/>
              </w:rPr>
              <w:t xml:space="preserve">omposite complete remission </w:t>
            </w:r>
            <w:r>
              <w:rPr>
                <w:rFonts w:eastAsia="Calibri"/>
              </w:rPr>
              <w:t>(</w:t>
            </w:r>
            <w:proofErr w:type="spellStart"/>
            <w:r w:rsidRPr="00CA00B7">
              <w:rPr>
                <w:rFonts w:eastAsia="Calibri"/>
              </w:rPr>
              <w:t>CRc</w:t>
            </w:r>
            <w:proofErr w:type="spellEnd"/>
            <w:r>
              <w:rPr>
                <w:rFonts w:eastAsia="Calibri"/>
              </w:rPr>
              <w:t>)</w:t>
            </w:r>
            <w:r w:rsidRPr="00CA00B7">
              <w:rPr>
                <w:rFonts w:eastAsia="Calibri"/>
              </w:rPr>
              <w:t>) after 4 weeks of treatment, the dose can be increased to 200 mg (five 40 mg tablets) once daily, if tolerated or clinically warranted</w:t>
            </w:r>
          </w:p>
          <w:p w14:paraId="678FD781" w14:textId="77777777" w:rsidR="00DB74C2" w:rsidRPr="00487162" w:rsidRDefault="00DB74C2" w:rsidP="00DB74C2">
            <w:r>
              <w:t>For further information regarding dosage, refer to the Product Information.</w:t>
            </w:r>
          </w:p>
        </w:tc>
      </w:tr>
      <w:tr w:rsidR="00DB74C2" w:rsidRPr="00487162" w14:paraId="63B419B9" w14:textId="77777777" w:rsidTr="00157E6A">
        <w:tc>
          <w:tcPr>
            <w:tcW w:w="2907" w:type="dxa"/>
          </w:tcPr>
          <w:p w14:paraId="2C031A44" w14:textId="77777777" w:rsidR="00DB74C2" w:rsidRPr="00487162" w:rsidRDefault="00DB74C2" w:rsidP="00DB74C2">
            <w:pPr>
              <w:rPr>
                <w:i/>
              </w:rPr>
            </w:pPr>
            <w:r>
              <w:rPr>
                <w:i/>
              </w:rPr>
              <w:lastRenderedPageBreak/>
              <w:t>Pregnancy category</w:t>
            </w:r>
          </w:p>
        </w:tc>
        <w:tc>
          <w:tcPr>
            <w:tcW w:w="6307" w:type="dxa"/>
          </w:tcPr>
          <w:p w14:paraId="0E1361B9" w14:textId="77777777" w:rsidR="00DB74C2" w:rsidRDefault="00DB74C2" w:rsidP="00DB74C2">
            <w:r>
              <w:t>D</w:t>
            </w:r>
          </w:p>
          <w:p w14:paraId="1898A078" w14:textId="77777777" w:rsidR="00DB74C2" w:rsidRPr="00CA00B7" w:rsidRDefault="00DB74C2" w:rsidP="00DB74C2">
            <w:pPr>
              <w:spacing w:before="0" w:after="200" w:line="276" w:lineRule="auto"/>
              <w:rPr>
                <w:rFonts w:eastAsia="Calibri"/>
              </w:rPr>
            </w:pPr>
            <w:r w:rsidRPr="00CA00B7">
              <w:rPr>
                <w:lang w:val="en"/>
              </w:rP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3250E028" w14:textId="77777777" w:rsidR="00DB74C2" w:rsidRPr="00487162" w:rsidRDefault="00DB74C2" w:rsidP="00DB74C2">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0F4BBB15" w14:textId="77777777" w:rsidR="00DB74C2" w:rsidRDefault="00DB74C2" w:rsidP="00DB74C2">
      <w:pPr>
        <w:pStyle w:val="Heading3"/>
      </w:pPr>
      <w:bookmarkStart w:id="4" w:name="_Toc50495797"/>
      <w:r>
        <w:t>Product background</w:t>
      </w:r>
      <w:bookmarkEnd w:id="4"/>
    </w:p>
    <w:p w14:paraId="6754C52E" w14:textId="7A7DAE71" w:rsidR="00DB74C2" w:rsidRDefault="00DB74C2" w:rsidP="00DB74C2">
      <w:r w:rsidRPr="00940A89">
        <w:t xml:space="preserve">This AusPAR describes the application by </w:t>
      </w:r>
      <w:proofErr w:type="spellStart"/>
      <w:r>
        <w:t>Astellas</w:t>
      </w:r>
      <w:proofErr w:type="spellEnd"/>
      <w:r>
        <w:t xml:space="preserve"> Pharma Australia (</w:t>
      </w:r>
      <w:r w:rsidRPr="00940A89">
        <w:t>the sponsor</w:t>
      </w:r>
      <w:r>
        <w:t>)</w:t>
      </w:r>
      <w:r w:rsidRPr="00940A89">
        <w:t xml:space="preserve"> to register </w:t>
      </w:r>
      <w:proofErr w:type="spellStart"/>
      <w:r>
        <w:t>Xospata</w:t>
      </w:r>
      <w:proofErr w:type="spellEnd"/>
      <w:r>
        <w:t xml:space="preserve"> (</w:t>
      </w:r>
      <w:proofErr w:type="spellStart"/>
      <w:r w:rsidR="003F3E2D">
        <w:t>g</w:t>
      </w:r>
      <w:r>
        <w:t>ilteritinib</w:t>
      </w:r>
      <w:proofErr w:type="spellEnd"/>
      <w:r>
        <w:t xml:space="preserve"> (as fumarate)) 40 mg film-coated tablet</w:t>
      </w:r>
      <w:r w:rsidR="003F3E2D">
        <w:t>s</w:t>
      </w:r>
      <w:r>
        <w:t xml:space="preserve"> </w:t>
      </w:r>
      <w:r w:rsidRPr="00940A89">
        <w:t xml:space="preserve">for the following </w:t>
      </w:r>
      <w:r>
        <w:t xml:space="preserve">proposed </w:t>
      </w:r>
      <w:r w:rsidRPr="00940A89">
        <w:t>indication</w:t>
      </w:r>
      <w:r>
        <w:t>:</w:t>
      </w:r>
    </w:p>
    <w:p w14:paraId="3A1D6A86" w14:textId="77777777" w:rsidR="00DB74C2" w:rsidRDefault="00DB74C2" w:rsidP="00DB74C2">
      <w:pPr>
        <w:ind w:left="720"/>
      </w:pPr>
      <w:proofErr w:type="spellStart"/>
      <w:r w:rsidRPr="00CA00B7">
        <w:rPr>
          <w:i/>
        </w:rPr>
        <w:t>Xospata</w:t>
      </w:r>
      <w:proofErr w:type="spellEnd"/>
      <w:r w:rsidRPr="00CA00B7">
        <w:rPr>
          <w:i/>
        </w:rPr>
        <w:t xml:space="preserve"> is indicated for the treatment of adult patients who have relapsed or refractory acute myeloid leukaemia (AML) with a </w:t>
      </w:r>
      <w:r>
        <w:rPr>
          <w:i/>
        </w:rPr>
        <w:t>FMS-like tyrosine kinase 3 (</w:t>
      </w:r>
      <w:r w:rsidRPr="00CA00B7">
        <w:rPr>
          <w:i/>
        </w:rPr>
        <w:t>FLT3</w:t>
      </w:r>
      <w:r>
        <w:rPr>
          <w:i/>
        </w:rPr>
        <w:t>)</w:t>
      </w:r>
      <w:r w:rsidRPr="00CA00B7">
        <w:rPr>
          <w:i/>
        </w:rPr>
        <w:t xml:space="preserve"> mutation</w:t>
      </w:r>
      <w:r>
        <w:t>.</w:t>
      </w:r>
    </w:p>
    <w:p w14:paraId="158C7757" w14:textId="6016ED71" w:rsidR="00DB74C2" w:rsidRDefault="00DB74C2" w:rsidP="00DB74C2">
      <w:pPr>
        <w:rPr>
          <w:rFonts w:asciiTheme="minorHAnsi" w:eastAsia="TimesNewRoman" w:hAnsiTheme="minorHAnsi" w:cs="TimesNewRoman"/>
        </w:rPr>
      </w:pPr>
      <w:r>
        <w:rPr>
          <w:lang w:eastAsia="ja-JP"/>
        </w:rPr>
        <w:t xml:space="preserve">The </w:t>
      </w:r>
      <w:r w:rsidRPr="004E2A63">
        <w:rPr>
          <w:rFonts w:eastAsia="TimesNewRoman" w:cs="TimesNewRoman"/>
        </w:rPr>
        <w:t>Australian Institute of Health and Welfare (AIHW) projects 1,</w:t>
      </w:r>
      <w:r>
        <w:rPr>
          <w:rFonts w:eastAsia="TimesNewRoman" w:cs="TimesNewRoman"/>
        </w:rPr>
        <w:t>042</w:t>
      </w:r>
      <w:r w:rsidRPr="004E2A63">
        <w:rPr>
          <w:rFonts w:eastAsia="TimesNewRoman" w:cs="TimesNewRoman"/>
        </w:rPr>
        <w:t xml:space="preserve"> new cases of acute myeloid leukaemia (AML) diagnosed in 2019 in Australia.</w:t>
      </w:r>
      <w:r>
        <w:rPr>
          <w:rStyle w:val="FootnoteReference"/>
          <w:rFonts w:eastAsia="TimesNewRoman" w:cs="TimesNewRoman"/>
        </w:rPr>
        <w:footnoteReference w:id="2"/>
      </w:r>
      <w:r>
        <w:rPr>
          <w:rFonts w:eastAsia="TimesNewRoman" w:cs="TimesNewRoman"/>
        </w:rPr>
        <w:t xml:space="preserve"> </w:t>
      </w:r>
      <w:r w:rsidRPr="004E2A63">
        <w:rPr>
          <w:rFonts w:eastAsia="TimesNewRoman" w:cs="TimesNewRoman"/>
        </w:rPr>
        <w:t>For the same year (2019), the AIHW projects an age-st</w:t>
      </w:r>
      <w:r>
        <w:rPr>
          <w:rFonts w:eastAsia="TimesNewRoman" w:cs="TimesNewRoman"/>
        </w:rPr>
        <w:t>andardis</w:t>
      </w:r>
      <w:r w:rsidRPr="004E2A63">
        <w:rPr>
          <w:rFonts w:eastAsia="TimesNewRoman" w:cs="TimesNewRoman"/>
        </w:rPr>
        <w:t>ed incidence ra</w:t>
      </w:r>
      <w:r>
        <w:rPr>
          <w:rFonts w:eastAsia="TimesNewRoman" w:cs="TimesNewRoman"/>
        </w:rPr>
        <w:t>te for AML of 3.9 per 100,</w:t>
      </w:r>
      <w:r w:rsidRPr="004E2A63">
        <w:rPr>
          <w:rFonts w:eastAsia="TimesNewRoman" w:cs="TimesNewRoman"/>
        </w:rPr>
        <w:t xml:space="preserve">000 </w:t>
      </w:r>
      <w:r>
        <w:rPr>
          <w:rFonts w:eastAsia="TimesNewRoman" w:cs="TimesNewRoman"/>
        </w:rPr>
        <w:t>persons</w:t>
      </w:r>
      <w:r w:rsidRPr="004E2A63">
        <w:rPr>
          <w:rFonts w:eastAsia="TimesNewRoman" w:cs="TimesNewRoman"/>
        </w:rPr>
        <w:t xml:space="preserve">, </w:t>
      </w:r>
      <w:r w:rsidRPr="004E2A63">
        <w:rPr>
          <w:rFonts w:eastAsia="TimesNewRoman" w:cs="TimesNewRoman"/>
        </w:rPr>
        <w:lastRenderedPageBreak/>
        <w:t>adjusted for the Australian standard population. The</w:t>
      </w:r>
      <w:r>
        <w:rPr>
          <w:rFonts w:eastAsia="TimesNewRoman" w:cs="TimesNewRoman"/>
        </w:rPr>
        <w:t xml:space="preserve"> incidence of AML </w:t>
      </w:r>
      <w:r w:rsidRPr="004E2A63">
        <w:rPr>
          <w:rFonts w:eastAsia="TimesNewRoman" w:cs="TimesNewRoman"/>
        </w:rPr>
        <w:t xml:space="preserve">increases notably with age, with approximately 60% of newly diagnosed patients reported to be 65 years or older in Europe as well as </w:t>
      </w:r>
      <w:r>
        <w:rPr>
          <w:rFonts w:eastAsia="TimesNewRoman" w:cs="TimesNewRoman"/>
        </w:rPr>
        <w:t xml:space="preserve">in </w:t>
      </w:r>
      <w:r w:rsidRPr="004E2A63">
        <w:rPr>
          <w:rFonts w:eastAsia="TimesNewRoman" w:cs="TimesNewRoman"/>
        </w:rPr>
        <w:t>Australia. AIHW data report that in Australia the median age of AML patients at diagnosis is 68.5 years.</w:t>
      </w:r>
      <w:r>
        <w:rPr>
          <w:rFonts w:eastAsia="TimesNewRoman" w:cs="TimesNewRoman"/>
        </w:rPr>
        <w:t xml:space="preserve"> T</w:t>
      </w:r>
      <w:r w:rsidRPr="004E2A63">
        <w:rPr>
          <w:rFonts w:eastAsia="TimesNewRoman" w:cs="TimesNewRoman"/>
        </w:rPr>
        <w:t>he mortality among AML patients increases</w:t>
      </w:r>
      <w:r>
        <w:rPr>
          <w:rFonts w:eastAsia="TimesNewRoman" w:cs="TimesNewRoman"/>
        </w:rPr>
        <w:t xml:space="preserve"> with age and, </w:t>
      </w:r>
      <w:r w:rsidRPr="004E2A63">
        <w:rPr>
          <w:rFonts w:eastAsia="TimesNewRoman" w:cs="TimesNewRoman"/>
        </w:rPr>
        <w:t>conversely, 5</w:t>
      </w:r>
      <w:r w:rsidR="00155878">
        <w:rPr>
          <w:rFonts w:eastAsia="TimesNewRoman" w:cs="TimesNewRoman"/>
        </w:rPr>
        <w:t xml:space="preserve"> </w:t>
      </w:r>
      <w:r w:rsidRPr="004E2A63">
        <w:rPr>
          <w:rFonts w:eastAsia="TimesNewRoman" w:cs="TimesNewRoman"/>
        </w:rPr>
        <w:t>year relative survival decreases with age. The 5</w:t>
      </w:r>
      <w:r>
        <w:rPr>
          <w:rFonts w:eastAsia="TimesNewRoman" w:cs="TimesNewRoman"/>
        </w:rPr>
        <w:t xml:space="preserve"> </w:t>
      </w:r>
      <w:r w:rsidRPr="004E2A63">
        <w:rPr>
          <w:rFonts w:eastAsia="TimesNewRoman" w:cs="TimesNewRoman"/>
        </w:rPr>
        <w:t>year relative survival for all AML patients in Australia has been reported by the AIHW to be 28%</w:t>
      </w:r>
      <w:r>
        <w:rPr>
          <w:rFonts w:eastAsia="TimesNewRoman" w:cs="TimesNewRoman"/>
        </w:rPr>
        <w:t>.</w:t>
      </w:r>
    </w:p>
    <w:p w14:paraId="48CB0438" w14:textId="5882A786" w:rsidR="00DB74C2" w:rsidRPr="004E2A63" w:rsidRDefault="00DB74C2" w:rsidP="00DB74C2">
      <w:pPr>
        <w:autoSpaceDE w:val="0"/>
        <w:autoSpaceDN w:val="0"/>
        <w:adjustRightInd w:val="0"/>
        <w:rPr>
          <w:rFonts w:asciiTheme="minorHAnsi" w:eastAsia="TimesNewRoman" w:hAnsiTheme="minorHAnsi" w:cs="TimesNewRoman"/>
        </w:rPr>
      </w:pPr>
      <w:r w:rsidRPr="004E2A63">
        <w:rPr>
          <w:rFonts w:asciiTheme="minorHAnsi" w:eastAsia="TimesNewRoman" w:hAnsiTheme="minorHAnsi" w:cs="TimesNewRoman"/>
        </w:rPr>
        <w:t>Treatment of AML generally consists of several phases and modalities and may vary widely based on prognosis and individual patient characteristics.</w:t>
      </w:r>
      <w:r>
        <w:rPr>
          <w:rFonts w:asciiTheme="minorHAnsi" w:eastAsia="TimesNewRoman" w:hAnsiTheme="minorHAnsi" w:cs="TimesNewRoman"/>
        </w:rPr>
        <w:t xml:space="preserve"> </w:t>
      </w:r>
      <w:r w:rsidRPr="004E2A63">
        <w:rPr>
          <w:rFonts w:asciiTheme="minorHAnsi" w:eastAsia="TimesNewRoman" w:hAnsiTheme="minorHAnsi" w:cs="TimesNewRoman"/>
        </w:rPr>
        <w:t>Key factors used to assess risk and guide therapy include patie</w:t>
      </w:r>
      <w:r>
        <w:rPr>
          <w:rFonts w:asciiTheme="minorHAnsi" w:eastAsia="TimesNewRoman" w:hAnsiTheme="minorHAnsi" w:cs="TimesNewRoman"/>
        </w:rPr>
        <w:t>nt age, initial leukocyte count</w:t>
      </w:r>
      <w:r w:rsidRPr="004E2A63">
        <w:rPr>
          <w:rFonts w:asciiTheme="minorHAnsi" w:eastAsia="TimesNewRoman" w:hAnsiTheme="minorHAnsi" w:cs="TimesNewRoman"/>
        </w:rPr>
        <w:t xml:space="preserve">, </w:t>
      </w:r>
      <w:r>
        <w:rPr>
          <w:rFonts w:asciiTheme="minorHAnsi" w:eastAsia="TimesNewRoman" w:hAnsiTheme="minorHAnsi" w:cs="TimesNewRoman"/>
        </w:rPr>
        <w:t xml:space="preserve">and molecular and/or genetic risk. </w:t>
      </w:r>
      <w:r w:rsidRPr="004E2A63">
        <w:rPr>
          <w:rFonts w:asciiTheme="minorHAnsi" w:eastAsia="TimesNewRoman" w:hAnsiTheme="minorHAnsi" w:cs="TimesNewRoman"/>
        </w:rPr>
        <w:t>Intensive therapy with curative intent is generally offered to most AML pat</w:t>
      </w:r>
      <w:r>
        <w:rPr>
          <w:rFonts w:asciiTheme="minorHAnsi" w:eastAsia="TimesNewRoman" w:hAnsiTheme="minorHAnsi" w:cs="TimesNewRoman"/>
        </w:rPr>
        <w:t xml:space="preserve">ients less than 60 years of age, </w:t>
      </w:r>
      <w:r w:rsidRPr="004E2A63">
        <w:rPr>
          <w:rFonts w:asciiTheme="minorHAnsi" w:eastAsia="TimesNewRoman" w:hAnsiTheme="minorHAnsi" w:cs="TimesNewRoman"/>
        </w:rPr>
        <w:t>as well as those patients over 60 years of age who are considere</w:t>
      </w:r>
      <w:r>
        <w:rPr>
          <w:rFonts w:asciiTheme="minorHAnsi" w:eastAsia="TimesNewRoman" w:hAnsiTheme="minorHAnsi" w:cs="TimesNewRoman"/>
        </w:rPr>
        <w:t>d fit (for example</w:t>
      </w:r>
      <w:r w:rsidRPr="004E2A63">
        <w:rPr>
          <w:rFonts w:asciiTheme="minorHAnsi" w:eastAsia="TimesNewRoman" w:hAnsiTheme="minorHAnsi" w:cs="TimesNewRoman"/>
        </w:rPr>
        <w:t>, go</w:t>
      </w:r>
      <w:r>
        <w:rPr>
          <w:rFonts w:asciiTheme="minorHAnsi" w:eastAsia="TimesNewRoman" w:hAnsiTheme="minorHAnsi" w:cs="TimesNewRoman"/>
        </w:rPr>
        <w:t xml:space="preserve">od performance status, low-risk </w:t>
      </w:r>
      <w:r w:rsidRPr="004E2A63">
        <w:rPr>
          <w:rFonts w:asciiTheme="minorHAnsi" w:eastAsia="TimesNewRoman" w:hAnsiTheme="minorHAnsi" w:cs="TimesNewRoman"/>
        </w:rPr>
        <w:t>cytogenetics and minimal or no comorbidities</w:t>
      </w:r>
      <w:r>
        <w:rPr>
          <w:rFonts w:asciiTheme="minorHAnsi" w:eastAsia="TimesNewRoman" w:hAnsiTheme="minorHAnsi" w:cs="TimesNewRoman"/>
        </w:rPr>
        <w:t>)</w:t>
      </w:r>
      <w:r w:rsidRPr="004E2A63">
        <w:rPr>
          <w:rFonts w:asciiTheme="minorHAnsi" w:eastAsia="TimesNewRoman" w:hAnsiTheme="minorHAnsi" w:cs="TimesNewRoman"/>
        </w:rPr>
        <w:t>.</w:t>
      </w:r>
      <w:r w:rsidR="003751CC">
        <w:rPr>
          <w:rFonts w:asciiTheme="minorHAnsi" w:eastAsia="TimesNewRoman" w:hAnsiTheme="minorHAnsi" w:cs="TimesNewRoman"/>
        </w:rPr>
        <w:t xml:space="preserve"> </w:t>
      </w:r>
      <w:r w:rsidRPr="00A42D73">
        <w:rPr>
          <w:rFonts w:asciiTheme="minorHAnsi" w:eastAsia="TimesNewRoman" w:hAnsiTheme="minorHAnsi" w:cs="TimesNewRoman"/>
        </w:rPr>
        <w:t>Non-intensive AML treatment is often used in patients aged ≥ 60 years with significant comorbidities, poor performance status, or organ dysfunction as these patients are significantly less likely to tolerate</w:t>
      </w:r>
      <w:r w:rsidRPr="004E2A63">
        <w:rPr>
          <w:rFonts w:asciiTheme="minorHAnsi" w:eastAsia="TimesNewRoman" w:hAnsiTheme="minorHAnsi" w:cs="TimesNewRoman"/>
        </w:rPr>
        <w:t xml:space="preserve"> intensive treatment. In general, these patients should receive low-intensity therapy or best supportive care, which may include low-dose </w:t>
      </w:r>
      <w:proofErr w:type="spellStart"/>
      <w:r w:rsidRPr="004E2A63">
        <w:rPr>
          <w:rFonts w:asciiTheme="minorHAnsi" w:eastAsia="TimesNewRoman" w:hAnsiTheme="minorHAnsi" w:cs="TimesNewRoman"/>
        </w:rPr>
        <w:t>cytarabine</w:t>
      </w:r>
      <w:proofErr w:type="spellEnd"/>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hypomethylating</w:t>
      </w:r>
      <w:proofErr w:type="spellEnd"/>
      <w:r w:rsidRPr="004E2A63">
        <w:rPr>
          <w:rFonts w:asciiTheme="minorHAnsi" w:eastAsia="TimesNewRoman" w:hAnsiTheme="minorHAnsi" w:cs="TimesNewRoman"/>
        </w:rPr>
        <w:t xml:space="preserve"> agents (</w:t>
      </w:r>
      <w:r>
        <w:rPr>
          <w:rFonts w:asciiTheme="minorHAnsi" w:eastAsia="TimesNewRoman" w:hAnsiTheme="minorHAnsi" w:cs="TimesNewRoman"/>
        </w:rPr>
        <w:t>for example</w:t>
      </w:r>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decitabine</w:t>
      </w:r>
      <w:proofErr w:type="spellEnd"/>
      <w:r>
        <w:rPr>
          <w:rFonts w:asciiTheme="minorHAnsi" w:eastAsia="TimesNewRoman" w:hAnsiTheme="minorHAnsi" w:cs="TimesNewRoman"/>
        </w:rPr>
        <w:t xml:space="preserve">, </w:t>
      </w:r>
      <w:proofErr w:type="spellStart"/>
      <w:r>
        <w:rPr>
          <w:rFonts w:asciiTheme="minorHAnsi" w:eastAsia="TimesNewRoman" w:hAnsiTheme="minorHAnsi" w:cs="TimesNewRoman"/>
        </w:rPr>
        <w:t>azacitidine</w:t>
      </w:r>
      <w:proofErr w:type="spellEnd"/>
      <w:r>
        <w:rPr>
          <w:rFonts w:asciiTheme="minorHAnsi" w:eastAsia="TimesNewRoman" w:hAnsiTheme="minorHAnsi" w:cs="TimesNewRoman"/>
        </w:rPr>
        <w:t xml:space="preserve">), and </w:t>
      </w:r>
      <w:proofErr w:type="spellStart"/>
      <w:r>
        <w:rPr>
          <w:rFonts w:asciiTheme="minorHAnsi" w:eastAsia="TimesNewRoman" w:hAnsiTheme="minorHAnsi" w:cs="TimesNewRoman"/>
        </w:rPr>
        <w:t>hydroxyurea</w:t>
      </w:r>
      <w:proofErr w:type="spellEnd"/>
      <w:r>
        <w:rPr>
          <w:rFonts w:asciiTheme="minorHAnsi" w:eastAsia="TimesNewRoman" w:hAnsiTheme="minorHAnsi" w:cs="TimesNewRoman"/>
        </w:rPr>
        <w:t>.</w:t>
      </w:r>
    </w:p>
    <w:p w14:paraId="2F6DBA5A" w14:textId="5B56C162" w:rsidR="00DB74C2" w:rsidRPr="004E2A63" w:rsidRDefault="00DB74C2" w:rsidP="00DB74C2">
      <w:pPr>
        <w:autoSpaceDE w:val="0"/>
        <w:autoSpaceDN w:val="0"/>
        <w:adjustRightInd w:val="0"/>
        <w:rPr>
          <w:rFonts w:asciiTheme="minorHAnsi" w:eastAsia="TimesNewRoman" w:hAnsiTheme="minorHAnsi" w:cs="TimesNewRoman"/>
        </w:rPr>
      </w:pPr>
      <w:r w:rsidRPr="004E2A63">
        <w:rPr>
          <w:rFonts w:asciiTheme="minorHAnsi" w:eastAsia="TimesNewRoman" w:hAnsiTheme="minorHAnsi" w:cs="TimesNewRoman"/>
        </w:rPr>
        <w:t xml:space="preserve">Patients are considered refractory to treatment following failure of one or two cycles of induction therapy while relapsed patients are those who experience an AML recurrence following a complete remission. </w:t>
      </w:r>
      <w:proofErr w:type="gramStart"/>
      <w:r w:rsidRPr="004E2A63">
        <w:rPr>
          <w:rFonts w:asciiTheme="minorHAnsi" w:eastAsia="TimesNewRoman" w:hAnsiTheme="minorHAnsi" w:cs="TimesNewRoman"/>
        </w:rPr>
        <w:t xml:space="preserve">Both </w:t>
      </w:r>
      <w:r w:rsidR="00155878">
        <w:rPr>
          <w:rFonts w:asciiTheme="minorHAnsi" w:eastAsia="TimesNewRoman" w:hAnsiTheme="minorHAnsi" w:cs="TimesNewRoman"/>
        </w:rPr>
        <w:t>relapsed or</w:t>
      </w:r>
      <w:proofErr w:type="gramEnd"/>
      <w:r w:rsidR="00155878">
        <w:rPr>
          <w:rFonts w:asciiTheme="minorHAnsi" w:eastAsia="TimesNewRoman" w:hAnsiTheme="minorHAnsi" w:cs="TimesNewRoman"/>
        </w:rPr>
        <w:t xml:space="preserve"> refractory (R/R) </w:t>
      </w:r>
      <w:r w:rsidRPr="004E2A63">
        <w:rPr>
          <w:rFonts w:asciiTheme="minorHAnsi" w:eastAsia="TimesNewRoman" w:hAnsiTheme="minorHAnsi" w:cs="TimesNewRoman"/>
        </w:rPr>
        <w:t xml:space="preserve">AML patients have been reported to be at a high risk of ultimate treatment failure. </w:t>
      </w:r>
      <w:r>
        <w:rPr>
          <w:rFonts w:asciiTheme="minorHAnsi" w:eastAsia="TimesNewRoman" w:hAnsiTheme="minorHAnsi" w:cs="TimesNewRoman"/>
        </w:rPr>
        <w:t>T</w:t>
      </w:r>
      <w:r w:rsidRPr="004E2A63">
        <w:rPr>
          <w:rFonts w:asciiTheme="minorHAnsi" w:eastAsia="TimesNewRoman" w:hAnsiTheme="minorHAnsi" w:cs="TimesNewRoman"/>
        </w:rPr>
        <w:t xml:space="preserve">here is currently no widely accepted treatment standard for </w:t>
      </w:r>
      <w:r>
        <w:rPr>
          <w:rFonts w:asciiTheme="minorHAnsi" w:eastAsia="TimesNewRoman" w:hAnsiTheme="minorHAnsi" w:cs="TimesNewRoman"/>
        </w:rPr>
        <w:t xml:space="preserve">R/R AML due to a lack of prospective </w:t>
      </w:r>
      <w:r w:rsidRPr="004E2A63">
        <w:rPr>
          <w:rFonts w:asciiTheme="minorHAnsi" w:eastAsia="TimesNewRoman" w:hAnsiTheme="minorHAnsi" w:cs="TimesNewRoman"/>
        </w:rPr>
        <w:t xml:space="preserve">controlled studies </w:t>
      </w:r>
      <w:r>
        <w:rPr>
          <w:rFonts w:asciiTheme="minorHAnsi" w:eastAsia="TimesNewRoman" w:hAnsiTheme="minorHAnsi" w:cs="TimesNewRoman"/>
        </w:rPr>
        <w:t xml:space="preserve">for these conditions. </w:t>
      </w:r>
      <w:r w:rsidRPr="004E2A63">
        <w:rPr>
          <w:rFonts w:asciiTheme="minorHAnsi" w:eastAsia="TimesNewRoman" w:hAnsiTheme="minorHAnsi" w:cs="TimesNewRoman"/>
        </w:rPr>
        <w:t xml:space="preserve">Patients </w:t>
      </w:r>
      <w:r>
        <w:rPr>
          <w:rFonts w:asciiTheme="minorHAnsi" w:eastAsia="TimesNewRoman" w:hAnsiTheme="minorHAnsi" w:cs="TimesNewRoman"/>
        </w:rPr>
        <w:t xml:space="preserve">with R/R AML </w:t>
      </w:r>
      <w:r w:rsidRPr="004E2A63">
        <w:rPr>
          <w:rFonts w:asciiTheme="minorHAnsi" w:eastAsia="TimesNewRoman" w:hAnsiTheme="minorHAnsi" w:cs="TimesNewRoman"/>
        </w:rPr>
        <w:t>are encouraged to enrol in clinica</w:t>
      </w:r>
      <w:r>
        <w:rPr>
          <w:rFonts w:asciiTheme="minorHAnsi" w:eastAsia="TimesNewRoman" w:hAnsiTheme="minorHAnsi" w:cs="TimesNewRoman"/>
        </w:rPr>
        <w:t xml:space="preserve">l trials, particularly in cases </w:t>
      </w:r>
      <w:r w:rsidRPr="004E2A63">
        <w:rPr>
          <w:rFonts w:asciiTheme="minorHAnsi" w:eastAsia="TimesNewRoman" w:hAnsiTheme="minorHAnsi" w:cs="TimesNewRoman"/>
        </w:rPr>
        <w:t>where prognosis is p</w:t>
      </w:r>
      <w:r>
        <w:rPr>
          <w:rFonts w:asciiTheme="minorHAnsi" w:eastAsia="TimesNewRoman" w:hAnsiTheme="minorHAnsi" w:cs="TimesNewRoman"/>
        </w:rPr>
        <w:t xml:space="preserve">oor such as those with a short </w:t>
      </w:r>
      <w:r w:rsidRPr="004E2A63">
        <w:rPr>
          <w:rFonts w:asciiTheme="minorHAnsi" w:eastAsia="TimesNewRoman" w:hAnsiTheme="minorHAnsi" w:cs="TimesNewRoman"/>
        </w:rPr>
        <w:t>first remission</w:t>
      </w:r>
      <w:r>
        <w:rPr>
          <w:rFonts w:asciiTheme="minorHAnsi" w:eastAsia="TimesNewRoman" w:hAnsiTheme="minorHAnsi" w:cs="TimesNewRoman"/>
        </w:rPr>
        <w:t xml:space="preserve"> </w:t>
      </w:r>
      <w:r w:rsidRPr="004E2A63">
        <w:rPr>
          <w:rFonts w:asciiTheme="minorHAnsi" w:eastAsia="TimesNewRoman" w:hAnsiTheme="minorHAnsi" w:cs="TimesNewRoman"/>
        </w:rPr>
        <w:t>(&lt;</w:t>
      </w:r>
      <w:r>
        <w:rPr>
          <w:rFonts w:asciiTheme="minorHAnsi" w:eastAsia="TimesNewRoman" w:hAnsiTheme="minorHAnsi" w:cs="TimesNewRoman"/>
        </w:rPr>
        <w:t> </w:t>
      </w:r>
      <w:r w:rsidRPr="004E2A63">
        <w:rPr>
          <w:rFonts w:asciiTheme="minorHAnsi" w:eastAsia="TimesNewRoman" w:hAnsiTheme="minorHAnsi" w:cs="TimesNewRoman"/>
        </w:rPr>
        <w:t xml:space="preserve">1 year). Many </w:t>
      </w:r>
      <w:r>
        <w:rPr>
          <w:rFonts w:asciiTheme="minorHAnsi" w:eastAsia="TimesNewRoman" w:hAnsiTheme="minorHAnsi" w:cs="TimesNewRoman"/>
        </w:rPr>
        <w:t xml:space="preserve">R/R </w:t>
      </w:r>
      <w:r w:rsidRPr="004E2A63">
        <w:rPr>
          <w:rFonts w:asciiTheme="minorHAnsi" w:eastAsia="TimesNewRoman" w:hAnsiTheme="minorHAnsi" w:cs="TimesNewRoman"/>
        </w:rPr>
        <w:t>AML patients are offered</w:t>
      </w:r>
      <w:r>
        <w:rPr>
          <w:rFonts w:asciiTheme="minorHAnsi" w:eastAsia="TimesNewRoman" w:hAnsiTheme="minorHAnsi" w:cs="TimesNewRoman"/>
        </w:rPr>
        <w:t xml:space="preserve"> </w:t>
      </w:r>
      <w:r w:rsidRPr="004E2A63">
        <w:rPr>
          <w:rFonts w:asciiTheme="minorHAnsi" w:eastAsia="TimesNewRoman" w:hAnsiTheme="minorHAnsi" w:cs="TimesNewRoman"/>
        </w:rPr>
        <w:t>palliative or best supportive care, though patients with a</w:t>
      </w:r>
      <w:r>
        <w:rPr>
          <w:rFonts w:asciiTheme="minorHAnsi" w:eastAsia="TimesNewRoman" w:hAnsiTheme="minorHAnsi" w:cs="TimesNewRoman"/>
        </w:rPr>
        <w:t xml:space="preserve"> human leukocyte antigen (</w:t>
      </w:r>
      <w:r w:rsidRPr="004E2A63">
        <w:rPr>
          <w:rFonts w:asciiTheme="minorHAnsi" w:eastAsia="TimesNewRoman" w:hAnsiTheme="minorHAnsi" w:cs="TimesNewRoman"/>
        </w:rPr>
        <w:t>HLA</w:t>
      </w:r>
      <w:r>
        <w:rPr>
          <w:rFonts w:asciiTheme="minorHAnsi" w:eastAsia="TimesNewRoman" w:hAnsiTheme="minorHAnsi" w:cs="TimesNewRoman"/>
        </w:rPr>
        <w:t>)</w:t>
      </w:r>
      <w:r w:rsidRPr="004E2A63">
        <w:rPr>
          <w:rFonts w:asciiTheme="minorHAnsi" w:eastAsia="TimesNewRoman" w:hAnsiTheme="minorHAnsi" w:cs="TimesNewRoman"/>
        </w:rPr>
        <w:t xml:space="preserve">-matched donor may be given the option of allogeneic </w:t>
      </w:r>
      <w:r w:rsidR="00155878">
        <w:rPr>
          <w:rFonts w:asciiTheme="minorHAnsi" w:eastAsia="TimesNewRoman" w:hAnsiTheme="minorHAnsi" w:cs="TimesNewRoman"/>
        </w:rPr>
        <w:t>haematopo</w:t>
      </w:r>
      <w:r w:rsidR="005B5A7E">
        <w:rPr>
          <w:rFonts w:asciiTheme="minorHAnsi" w:eastAsia="TimesNewRoman" w:hAnsiTheme="minorHAnsi" w:cs="TimesNewRoman"/>
        </w:rPr>
        <w:t>ie</w:t>
      </w:r>
      <w:r w:rsidR="00155878">
        <w:rPr>
          <w:rFonts w:asciiTheme="minorHAnsi" w:eastAsia="TimesNewRoman" w:hAnsiTheme="minorHAnsi" w:cs="TimesNewRoman"/>
        </w:rPr>
        <w:t>t</w:t>
      </w:r>
      <w:r w:rsidR="005B5A7E">
        <w:rPr>
          <w:rFonts w:asciiTheme="minorHAnsi" w:eastAsia="TimesNewRoman" w:hAnsiTheme="minorHAnsi" w:cs="TimesNewRoman"/>
        </w:rPr>
        <w:t>i</w:t>
      </w:r>
      <w:r w:rsidR="00155878">
        <w:rPr>
          <w:rFonts w:asciiTheme="minorHAnsi" w:eastAsia="TimesNewRoman" w:hAnsiTheme="minorHAnsi" w:cs="TimesNewRoman"/>
        </w:rPr>
        <w:t>c stem cell t</w:t>
      </w:r>
      <w:r w:rsidR="005B5A7E">
        <w:rPr>
          <w:rFonts w:asciiTheme="minorHAnsi" w:eastAsia="TimesNewRoman" w:hAnsiTheme="minorHAnsi" w:cs="TimesNewRoman"/>
        </w:rPr>
        <w:t>ransplant (</w:t>
      </w:r>
      <w:r w:rsidRPr="004E2A63">
        <w:rPr>
          <w:rFonts w:asciiTheme="minorHAnsi" w:eastAsia="TimesNewRoman" w:hAnsiTheme="minorHAnsi" w:cs="TimesNewRoman"/>
        </w:rPr>
        <w:t>HSCT</w:t>
      </w:r>
      <w:r w:rsidR="005B5A7E">
        <w:rPr>
          <w:rFonts w:asciiTheme="minorHAnsi" w:eastAsia="TimesNewRoman" w:hAnsiTheme="minorHAnsi" w:cs="TimesNewRoman"/>
        </w:rPr>
        <w:t>);</w:t>
      </w:r>
      <w:r w:rsidR="005B5A7E">
        <w:rPr>
          <w:rStyle w:val="FootnoteReference"/>
          <w:rFonts w:asciiTheme="minorHAnsi" w:eastAsia="TimesNewRoman" w:hAnsiTheme="minorHAnsi" w:cs="TimesNewRoman"/>
        </w:rPr>
        <w:footnoteReference w:id="3"/>
      </w:r>
      <w:r w:rsidRPr="004E2A63">
        <w:rPr>
          <w:rFonts w:asciiTheme="minorHAnsi" w:eastAsia="TimesNewRoman" w:hAnsiTheme="minorHAnsi" w:cs="TimesNewRoman"/>
        </w:rPr>
        <w:t xml:space="preserve"> and pat</w:t>
      </w:r>
      <w:r>
        <w:rPr>
          <w:rFonts w:asciiTheme="minorHAnsi" w:eastAsia="TimesNewRoman" w:hAnsiTheme="minorHAnsi" w:cs="TimesNewRoman"/>
        </w:rPr>
        <w:t xml:space="preserve">ients who relapse after a long </w:t>
      </w:r>
      <w:r w:rsidRPr="004E2A63">
        <w:rPr>
          <w:rFonts w:asciiTheme="minorHAnsi" w:eastAsia="TimesNewRoman" w:hAnsiTheme="minorHAnsi" w:cs="TimesNewRoman"/>
        </w:rPr>
        <w:t>first complete remission (</w:t>
      </w:r>
      <w:r>
        <w:rPr>
          <w:rFonts w:asciiTheme="minorHAnsi" w:eastAsia="TimesNewRoman" w:hAnsiTheme="minorHAnsi" w:cs="TimesNewRoman"/>
        </w:rPr>
        <w:t>for example</w:t>
      </w:r>
      <w:r w:rsidRPr="004E2A63">
        <w:rPr>
          <w:rFonts w:asciiTheme="minorHAnsi" w:eastAsia="TimesNewRoman" w:hAnsiTheme="minorHAnsi" w:cs="TimesNewRoman"/>
        </w:rPr>
        <w:t>, &gt;</w:t>
      </w:r>
      <w:r w:rsidR="007B4223">
        <w:rPr>
          <w:rFonts w:asciiTheme="minorHAnsi" w:eastAsia="TimesNewRoman" w:hAnsiTheme="minorHAnsi" w:cs="TimesNewRoman"/>
        </w:rPr>
        <w:t xml:space="preserve"> </w:t>
      </w:r>
      <w:r w:rsidRPr="004E2A63">
        <w:rPr>
          <w:rFonts w:asciiTheme="minorHAnsi" w:eastAsia="TimesNewRoman" w:hAnsiTheme="minorHAnsi" w:cs="TimesNewRoman"/>
        </w:rPr>
        <w:t>12 months)</w:t>
      </w:r>
      <w:r>
        <w:rPr>
          <w:rFonts w:asciiTheme="minorHAnsi" w:eastAsia="TimesNewRoman" w:hAnsiTheme="minorHAnsi" w:cs="TimesNewRoman"/>
        </w:rPr>
        <w:t xml:space="preserve"> </w:t>
      </w:r>
      <w:r w:rsidR="007B4223">
        <w:rPr>
          <w:rFonts w:asciiTheme="minorHAnsi" w:eastAsia="TimesNewRoman" w:hAnsiTheme="minorHAnsi" w:cs="TimesNewRoman"/>
        </w:rPr>
        <w:t>may be given intensive re</w:t>
      </w:r>
      <w:r w:rsidR="007B4223">
        <w:rPr>
          <w:rFonts w:asciiTheme="minorHAnsi" w:eastAsia="TimesNewRoman" w:hAnsiTheme="minorHAnsi" w:cs="TimesNewRoman"/>
        </w:rPr>
        <w:noBreakHyphen/>
      </w:r>
      <w:r w:rsidRPr="004E2A63">
        <w:rPr>
          <w:rFonts w:asciiTheme="minorHAnsi" w:eastAsia="TimesNewRoman" w:hAnsiTheme="minorHAnsi" w:cs="TimesNewRoman"/>
        </w:rPr>
        <w:t>induction therapy</w:t>
      </w:r>
      <w:r>
        <w:rPr>
          <w:rFonts w:asciiTheme="minorHAnsi" w:eastAsia="TimesNewRoman" w:hAnsiTheme="minorHAnsi" w:cs="TimesNewRoman"/>
        </w:rPr>
        <w:t>.</w:t>
      </w:r>
    </w:p>
    <w:p w14:paraId="1F92D8A7" w14:textId="501785AA" w:rsidR="00DB74C2" w:rsidRPr="004E2A63" w:rsidRDefault="00DB74C2" w:rsidP="00DB74C2">
      <w:pPr>
        <w:autoSpaceDE w:val="0"/>
        <w:autoSpaceDN w:val="0"/>
        <w:adjustRightInd w:val="0"/>
        <w:rPr>
          <w:rFonts w:asciiTheme="minorHAnsi" w:eastAsia="TimesNewRoman" w:hAnsiTheme="minorHAnsi" w:cs="TimesNewRoman"/>
        </w:rPr>
      </w:pPr>
      <w:r w:rsidRPr="004E2A63">
        <w:rPr>
          <w:rFonts w:asciiTheme="minorHAnsi" w:eastAsia="TimesNewRoman" w:hAnsiTheme="minorHAnsi" w:cs="TimesNewRoman"/>
        </w:rPr>
        <w:t xml:space="preserve">If not used for first induction, high-dose </w:t>
      </w:r>
      <w:proofErr w:type="spellStart"/>
      <w:r w:rsidRPr="004E2A63">
        <w:rPr>
          <w:rFonts w:asciiTheme="minorHAnsi" w:eastAsia="TimesNewRoman" w:hAnsiTheme="minorHAnsi" w:cs="TimesNewRoman"/>
        </w:rPr>
        <w:t>cytarabine</w:t>
      </w:r>
      <w:proofErr w:type="spellEnd"/>
      <w:r w:rsidRPr="004E2A63">
        <w:rPr>
          <w:rFonts w:asciiTheme="minorHAnsi" w:eastAsia="TimesNewRoman" w:hAnsiTheme="minorHAnsi" w:cs="TimesNewRoman"/>
        </w:rPr>
        <w:t xml:space="preserve"> with or without an </w:t>
      </w:r>
      <w:proofErr w:type="spellStart"/>
      <w:r w:rsidRPr="004E2A63">
        <w:rPr>
          <w:rFonts w:asciiTheme="minorHAnsi" w:eastAsia="TimesNewRoman" w:hAnsiTheme="minorHAnsi" w:cs="TimesNewRoman"/>
        </w:rPr>
        <w:t>anthracycline</w:t>
      </w:r>
      <w:proofErr w:type="spellEnd"/>
      <w:r w:rsidRPr="004E2A63">
        <w:rPr>
          <w:rFonts w:asciiTheme="minorHAnsi" w:eastAsia="TimesNewRoman" w:hAnsiTheme="minorHAnsi" w:cs="TimesNewRoman"/>
        </w:rPr>
        <w:t xml:space="preserve"> may be used as salvage therapy prior to allogeneic HSCT in refractory patients. Autologous HSCT</w:t>
      </w:r>
      <w:r w:rsidR="00B754EB">
        <w:rPr>
          <w:rFonts w:asciiTheme="minorHAnsi" w:eastAsia="TimesNewRoman" w:hAnsiTheme="minorHAnsi" w:cs="TimesNewRoman"/>
        </w:rPr>
        <w:t>;</w:t>
      </w:r>
      <w:r w:rsidR="00B754EB">
        <w:rPr>
          <w:rStyle w:val="FootnoteReference"/>
          <w:rFonts w:asciiTheme="minorHAnsi" w:eastAsia="TimesNewRoman" w:hAnsiTheme="minorHAnsi" w:cs="TimesNewRoman"/>
        </w:rPr>
        <w:footnoteReference w:id="4"/>
      </w:r>
      <w:r w:rsidRPr="004E2A63">
        <w:rPr>
          <w:rFonts w:asciiTheme="minorHAnsi" w:eastAsia="TimesNewRoman" w:hAnsiTheme="minorHAnsi" w:cs="TimesNewRoman"/>
        </w:rPr>
        <w:t xml:space="preserve"> is a second-line option if allogeneic HSCT is not possible (</w:t>
      </w:r>
      <w:r>
        <w:rPr>
          <w:rFonts w:asciiTheme="minorHAnsi" w:eastAsia="TimesNewRoman" w:hAnsiTheme="minorHAnsi" w:cs="TimesNewRoman"/>
        </w:rPr>
        <w:t>that is</w:t>
      </w:r>
      <w:r w:rsidRPr="004E2A63">
        <w:rPr>
          <w:rFonts w:asciiTheme="minorHAnsi" w:eastAsia="TimesNewRoman" w:hAnsiTheme="minorHAnsi" w:cs="TimesNewRoman"/>
        </w:rPr>
        <w:t>,</w:t>
      </w:r>
      <w:r w:rsidR="00B754EB">
        <w:rPr>
          <w:rFonts w:asciiTheme="minorHAnsi" w:eastAsia="TimesNewRoman" w:hAnsiTheme="minorHAnsi" w:cs="TimesNewRoman"/>
        </w:rPr>
        <w:t xml:space="preserve"> should there be</w:t>
      </w:r>
      <w:r w:rsidRPr="004E2A63">
        <w:rPr>
          <w:rFonts w:asciiTheme="minorHAnsi" w:eastAsia="TimesNewRoman" w:hAnsiTheme="minorHAnsi" w:cs="TimesNewRoman"/>
        </w:rPr>
        <w:t xml:space="preserve"> no suitable donor</w:t>
      </w:r>
      <w:r w:rsidR="00B754EB">
        <w:rPr>
          <w:rFonts w:asciiTheme="minorHAnsi" w:eastAsia="TimesNewRoman" w:hAnsiTheme="minorHAnsi" w:cs="TimesNewRoman"/>
        </w:rPr>
        <w:t xml:space="preserve"> source</w:t>
      </w:r>
      <w:r w:rsidRPr="004E2A63">
        <w:rPr>
          <w:rFonts w:asciiTheme="minorHAnsi" w:eastAsia="TimesNewRoman" w:hAnsiTheme="minorHAnsi" w:cs="TimesNewRoman"/>
        </w:rPr>
        <w:t xml:space="preserve">). Alternative regimens such as </w:t>
      </w:r>
      <w:proofErr w:type="spellStart"/>
      <w:r w:rsidRPr="004E2A63">
        <w:rPr>
          <w:rFonts w:asciiTheme="minorHAnsi" w:eastAsia="TimesNewRoman" w:hAnsiTheme="minorHAnsi" w:cs="TimesNewRoman"/>
        </w:rPr>
        <w:t>mitoxantrone</w:t>
      </w:r>
      <w:proofErr w:type="spellEnd"/>
      <w:r w:rsidRPr="004E2A63">
        <w:rPr>
          <w:rFonts w:asciiTheme="minorHAnsi" w:eastAsia="TimesNewRoman" w:hAnsiTheme="minorHAnsi" w:cs="TimesNewRoman"/>
        </w:rPr>
        <w:t xml:space="preserve">, etoposide and </w:t>
      </w:r>
      <w:proofErr w:type="spellStart"/>
      <w:r w:rsidRPr="004E2A63">
        <w:rPr>
          <w:rFonts w:asciiTheme="minorHAnsi" w:eastAsia="TimesNewRoman" w:hAnsiTheme="minorHAnsi" w:cs="TimesNewRoman"/>
        </w:rPr>
        <w:t>cytarabine</w:t>
      </w:r>
      <w:proofErr w:type="spellEnd"/>
      <w:r w:rsidRPr="00B23096">
        <w:rPr>
          <w:rFonts w:asciiTheme="minorHAnsi" w:eastAsia="TimesNewRoman" w:hAnsiTheme="minorHAnsi" w:cs="TimesNewRoman"/>
        </w:rPr>
        <w:t xml:space="preserve"> </w:t>
      </w:r>
      <w:r>
        <w:rPr>
          <w:rFonts w:asciiTheme="minorHAnsi" w:eastAsia="TimesNewRoman" w:hAnsiTheme="minorHAnsi" w:cs="TimesNewRoman"/>
        </w:rPr>
        <w:t>(</w:t>
      </w:r>
      <w:r w:rsidRPr="004E2A63">
        <w:rPr>
          <w:rFonts w:asciiTheme="minorHAnsi" w:eastAsia="TimesNewRoman" w:hAnsiTheme="minorHAnsi" w:cs="TimesNewRoman"/>
        </w:rPr>
        <w:t>MEC)</w:t>
      </w:r>
      <w:r w:rsidR="00B754EB">
        <w:rPr>
          <w:rFonts w:asciiTheme="minorHAnsi" w:eastAsia="TimesNewRoman" w:hAnsiTheme="minorHAnsi" w:cs="TimesNewRoman"/>
        </w:rPr>
        <w:t>;</w:t>
      </w:r>
      <w:r w:rsidR="00B754EB">
        <w:rPr>
          <w:rStyle w:val="FootnoteReference"/>
          <w:rFonts w:asciiTheme="minorHAnsi" w:eastAsia="TimesNewRoman" w:hAnsiTheme="minorHAnsi" w:cs="TimesNewRoman"/>
        </w:rPr>
        <w:footnoteReference w:id="5"/>
      </w:r>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fludarabine</w:t>
      </w:r>
      <w:proofErr w:type="spellEnd"/>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cytarabine</w:t>
      </w:r>
      <w:proofErr w:type="spellEnd"/>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filgrastim</w:t>
      </w:r>
      <w:proofErr w:type="spellEnd"/>
      <w:r w:rsidRPr="004E2A63">
        <w:rPr>
          <w:rFonts w:asciiTheme="minorHAnsi" w:eastAsia="TimesNewRoman" w:hAnsiTheme="minorHAnsi" w:cs="TimesNewRoman"/>
        </w:rPr>
        <w:t xml:space="preserve">, and </w:t>
      </w:r>
      <w:proofErr w:type="spellStart"/>
      <w:r w:rsidRPr="004E2A63">
        <w:rPr>
          <w:rFonts w:asciiTheme="minorHAnsi" w:eastAsia="TimesNewRoman" w:hAnsiTheme="minorHAnsi" w:cs="TimesNewRoman"/>
        </w:rPr>
        <w:t>idarubicin</w:t>
      </w:r>
      <w:proofErr w:type="spellEnd"/>
      <w:r w:rsidRPr="00EF7743">
        <w:rPr>
          <w:rFonts w:asciiTheme="minorHAnsi" w:eastAsia="TimesNewRoman" w:hAnsiTheme="minorHAnsi" w:cs="TimesNewRoman"/>
        </w:rPr>
        <w:t xml:space="preserve"> </w:t>
      </w:r>
      <w:r>
        <w:rPr>
          <w:rFonts w:asciiTheme="minorHAnsi" w:eastAsia="TimesNewRoman" w:hAnsiTheme="minorHAnsi" w:cs="TimesNewRoman"/>
        </w:rPr>
        <w:t>(</w:t>
      </w:r>
      <w:r w:rsidRPr="004E2A63">
        <w:rPr>
          <w:rFonts w:asciiTheme="minorHAnsi" w:eastAsia="TimesNewRoman" w:hAnsiTheme="minorHAnsi" w:cs="TimesNewRoman"/>
        </w:rPr>
        <w:t>FLAG</w:t>
      </w:r>
      <w:r>
        <w:rPr>
          <w:rFonts w:asciiTheme="minorHAnsi" w:eastAsia="TimesNewRoman" w:hAnsiTheme="minorHAnsi" w:cs="TimesNewRoman"/>
        </w:rPr>
        <w:t>-</w:t>
      </w:r>
      <w:r w:rsidRPr="004E2A63">
        <w:rPr>
          <w:rFonts w:asciiTheme="minorHAnsi" w:eastAsia="TimesNewRoman" w:hAnsiTheme="minorHAnsi" w:cs="TimesNewRoman"/>
        </w:rPr>
        <w:t>Ida)</w:t>
      </w:r>
      <w:r w:rsidR="00B754EB">
        <w:rPr>
          <w:rFonts w:asciiTheme="minorHAnsi" w:eastAsia="TimesNewRoman" w:hAnsiTheme="minorHAnsi" w:cs="TimesNewRoman"/>
        </w:rPr>
        <w:t>;</w:t>
      </w:r>
      <w:r w:rsidRPr="004E2A63">
        <w:rPr>
          <w:rFonts w:asciiTheme="minorHAnsi" w:eastAsia="TimesNewRoman" w:hAnsiTheme="minorHAnsi" w:cs="TimesNewRoman"/>
        </w:rPr>
        <w:t xml:space="preserve"> and regimens containing </w:t>
      </w:r>
      <w:proofErr w:type="spellStart"/>
      <w:r w:rsidRPr="004E2A63">
        <w:rPr>
          <w:rFonts w:asciiTheme="minorHAnsi" w:eastAsia="TimesNewRoman" w:hAnsiTheme="minorHAnsi" w:cs="TimesNewRoman"/>
        </w:rPr>
        <w:t>clofarabine</w:t>
      </w:r>
      <w:proofErr w:type="spellEnd"/>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cladribine</w:t>
      </w:r>
      <w:proofErr w:type="spellEnd"/>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sorafenib</w:t>
      </w:r>
      <w:proofErr w:type="spellEnd"/>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en</w:t>
      </w:r>
      <w:r w:rsidR="00A326B9">
        <w:rPr>
          <w:rFonts w:asciiTheme="minorHAnsi" w:eastAsia="TimesNewRoman" w:hAnsiTheme="minorHAnsi" w:cs="TimesNewRoman"/>
        </w:rPr>
        <w:t>a</w:t>
      </w:r>
      <w:r w:rsidRPr="004E2A63">
        <w:rPr>
          <w:rFonts w:asciiTheme="minorHAnsi" w:eastAsia="TimesNewRoman" w:hAnsiTheme="minorHAnsi" w:cs="TimesNewRoman"/>
        </w:rPr>
        <w:t>sidenib</w:t>
      </w:r>
      <w:proofErr w:type="spellEnd"/>
      <w:r w:rsidRPr="004E2A63">
        <w:rPr>
          <w:rFonts w:asciiTheme="minorHAnsi" w:eastAsia="TimesNewRoman" w:hAnsiTheme="minorHAnsi" w:cs="TimesNewRoman"/>
        </w:rPr>
        <w:t xml:space="preserve">, and </w:t>
      </w:r>
      <w:proofErr w:type="spellStart"/>
      <w:r w:rsidRPr="004E2A63">
        <w:rPr>
          <w:rFonts w:asciiTheme="minorHAnsi" w:eastAsia="TimesNewRoman" w:hAnsiTheme="minorHAnsi" w:cs="TimesNewRoman"/>
        </w:rPr>
        <w:t>gemtuzumab</w:t>
      </w:r>
      <w:proofErr w:type="spellEnd"/>
      <w:r w:rsidRPr="004E2A63">
        <w:rPr>
          <w:rFonts w:asciiTheme="minorHAnsi" w:eastAsia="TimesNewRoman" w:hAnsiTheme="minorHAnsi" w:cs="TimesNewRoman"/>
        </w:rPr>
        <w:t xml:space="preserve"> </w:t>
      </w:r>
      <w:proofErr w:type="spellStart"/>
      <w:r w:rsidRPr="004E2A63">
        <w:rPr>
          <w:rFonts w:asciiTheme="minorHAnsi" w:eastAsia="TimesNewRoman" w:hAnsiTheme="minorHAnsi" w:cs="TimesNewRoman"/>
        </w:rPr>
        <w:t>ozogamicin</w:t>
      </w:r>
      <w:proofErr w:type="spellEnd"/>
      <w:r w:rsidRPr="004E2A63">
        <w:rPr>
          <w:rFonts w:asciiTheme="minorHAnsi" w:eastAsia="TimesNewRoman" w:hAnsiTheme="minorHAnsi" w:cs="TimesNewRoman"/>
        </w:rPr>
        <w:t xml:space="preserve"> have also been used as salvage therapy. </w:t>
      </w:r>
      <w:r>
        <w:rPr>
          <w:rFonts w:asciiTheme="minorHAnsi" w:eastAsia="TimesNewRoman" w:hAnsiTheme="minorHAnsi" w:cs="TimesNewRoman"/>
        </w:rPr>
        <w:t xml:space="preserve">For high-risk patients with </w:t>
      </w:r>
      <w:r w:rsidRPr="004E2A63">
        <w:rPr>
          <w:rFonts w:asciiTheme="minorHAnsi" w:eastAsia="TimesNewRoman" w:hAnsiTheme="minorHAnsi" w:cs="TimesNewRoman"/>
        </w:rPr>
        <w:t xml:space="preserve">a poor performance status and/or multiple </w:t>
      </w:r>
      <w:r w:rsidRPr="00576B7A">
        <w:rPr>
          <w:rFonts w:asciiTheme="minorHAnsi" w:eastAsia="TimesNewRoman" w:hAnsiTheme="minorHAnsi" w:cs="TimesNewRoman"/>
        </w:rPr>
        <w:t xml:space="preserve">comorbidities, less aggressive salvage treatment options may include low-dose </w:t>
      </w:r>
      <w:proofErr w:type="spellStart"/>
      <w:r w:rsidRPr="00576B7A">
        <w:rPr>
          <w:rFonts w:asciiTheme="minorHAnsi" w:eastAsia="TimesNewRoman" w:hAnsiTheme="minorHAnsi" w:cs="TimesNewRoman"/>
        </w:rPr>
        <w:t>cytarabine</w:t>
      </w:r>
      <w:proofErr w:type="spellEnd"/>
      <w:r w:rsidRPr="00576B7A">
        <w:rPr>
          <w:rFonts w:asciiTheme="minorHAnsi" w:eastAsia="TimesNewRoman" w:hAnsiTheme="minorHAnsi" w:cs="TimesNewRoman"/>
        </w:rPr>
        <w:t xml:space="preserve"> </w:t>
      </w:r>
      <w:r w:rsidRPr="00576B7A">
        <w:rPr>
          <w:rFonts w:asciiTheme="minorHAnsi" w:eastAsia="TimesNewRoman" w:hAnsiTheme="minorHAnsi" w:cs="Calibri"/>
        </w:rPr>
        <w:t xml:space="preserve">and </w:t>
      </w:r>
      <w:proofErr w:type="spellStart"/>
      <w:r w:rsidRPr="00576B7A">
        <w:rPr>
          <w:rFonts w:asciiTheme="minorHAnsi" w:eastAsia="TimesNewRoman" w:hAnsiTheme="minorHAnsi" w:cs="Calibri"/>
        </w:rPr>
        <w:t>hypomethylating</w:t>
      </w:r>
      <w:proofErr w:type="spellEnd"/>
      <w:r w:rsidRPr="00576B7A">
        <w:rPr>
          <w:rFonts w:asciiTheme="minorHAnsi" w:eastAsia="TimesNewRoman" w:hAnsiTheme="minorHAnsi" w:cs="Calibri"/>
        </w:rPr>
        <w:t xml:space="preserve"> agents and/or supportive care.</w:t>
      </w:r>
    </w:p>
    <w:p w14:paraId="5F8E3CDB" w14:textId="04F3C3DC" w:rsidR="00DB74C2" w:rsidRPr="00A42D73" w:rsidRDefault="00DB74C2" w:rsidP="00DB74C2">
      <w:r>
        <w:t>C</w:t>
      </w:r>
      <w:r w:rsidRPr="004E2A63">
        <w:t xml:space="preserve">ertain genetic factors appear to predispose patients to poorer outcomes. Mutational status of </w:t>
      </w:r>
      <w:r w:rsidRPr="001D4EBC">
        <w:t>FLT3</w:t>
      </w:r>
      <w:r w:rsidR="001D4EBC">
        <w:t>;</w:t>
      </w:r>
      <w:r w:rsidR="001D4EBC">
        <w:rPr>
          <w:rStyle w:val="FootnoteReference"/>
        </w:rPr>
        <w:footnoteReference w:id="6"/>
      </w:r>
      <w:r w:rsidRPr="004E2A63">
        <w:t xml:space="preserve"> a member of the class III receptor tyrosine ki</w:t>
      </w:r>
      <w:r>
        <w:t>nase</w:t>
      </w:r>
      <w:r w:rsidR="00045FDF">
        <w:t>s</w:t>
      </w:r>
      <w:r>
        <w:t xml:space="preserve">, is now well recognised as </w:t>
      </w:r>
      <w:r w:rsidRPr="004E2A63">
        <w:t>delineating a subtype of leuk</w:t>
      </w:r>
      <w:r>
        <w:t>a</w:t>
      </w:r>
      <w:r w:rsidRPr="004E2A63">
        <w:t xml:space="preserve">emia with poor prognosis. </w:t>
      </w:r>
      <w:r>
        <w:t xml:space="preserve">FLT3 mutations are present in </w:t>
      </w:r>
      <w:r>
        <w:lastRenderedPageBreak/>
        <w:t xml:space="preserve">about 30% of patients with AML. </w:t>
      </w:r>
      <w:proofErr w:type="spellStart"/>
      <w:r w:rsidRPr="00A42D73">
        <w:t>Midostaurin</w:t>
      </w:r>
      <w:proofErr w:type="spellEnd"/>
      <w:r w:rsidRPr="00A42D73">
        <w:t>,</w:t>
      </w:r>
      <w:r>
        <w:t xml:space="preserve"> </w:t>
      </w:r>
      <w:r w:rsidRPr="00A42D73">
        <w:t xml:space="preserve">a FLT3 inhibitor, is currently approved in the </w:t>
      </w:r>
      <w:r w:rsidR="001D4EBC">
        <w:t>United States (</w:t>
      </w:r>
      <w:r w:rsidRPr="00A42D73">
        <w:t>US</w:t>
      </w:r>
      <w:r w:rsidR="001D4EBC">
        <w:t>)</w:t>
      </w:r>
      <w:r w:rsidRPr="00A42D73">
        <w:t>,</w:t>
      </w:r>
      <w:r w:rsidR="001D4EBC">
        <w:t xml:space="preserve"> European Union</w:t>
      </w:r>
      <w:r w:rsidRPr="00A42D73">
        <w:t xml:space="preserve"> </w:t>
      </w:r>
      <w:r w:rsidR="001D4EBC">
        <w:t>(</w:t>
      </w:r>
      <w:r w:rsidRPr="00A42D73">
        <w:t>EU</w:t>
      </w:r>
      <w:r w:rsidR="001D4EBC">
        <w:t>)</w:t>
      </w:r>
      <w:r w:rsidRPr="00A42D73">
        <w:t xml:space="preserve"> and Canada for the treatment of newly diagnosed AML that is FLT3 mutation positive in combination with standard </w:t>
      </w:r>
      <w:proofErr w:type="spellStart"/>
      <w:r w:rsidRPr="00A42D73">
        <w:t>cytarabine</w:t>
      </w:r>
      <w:proofErr w:type="spellEnd"/>
      <w:r w:rsidRPr="00A42D73">
        <w:t xml:space="preserve"> and </w:t>
      </w:r>
      <w:proofErr w:type="spellStart"/>
      <w:r w:rsidRPr="00A42D73">
        <w:t>daunorubicin</w:t>
      </w:r>
      <w:proofErr w:type="spellEnd"/>
      <w:r w:rsidRPr="00A42D73">
        <w:t xml:space="preserve"> induction and </w:t>
      </w:r>
      <w:proofErr w:type="spellStart"/>
      <w:r w:rsidRPr="00A42D73">
        <w:t>cytarabine</w:t>
      </w:r>
      <w:proofErr w:type="spellEnd"/>
      <w:r w:rsidRPr="00A42D73">
        <w:t xml:space="preserve"> consolidation, as well as for maintenance after conventional consolidation in the EU.</w:t>
      </w:r>
    </w:p>
    <w:p w14:paraId="6EC1949E" w14:textId="7370A61F" w:rsidR="00DB74C2" w:rsidRPr="000E09CA" w:rsidRDefault="00DB74C2" w:rsidP="00DB74C2">
      <w:r>
        <w:t xml:space="preserve">The submission </w:t>
      </w:r>
      <w:r w:rsidR="007B4223">
        <w:t>described in this AusPAR is an orphan d</w:t>
      </w:r>
      <w:r>
        <w:t>rug</w:t>
      </w:r>
      <w:r w:rsidR="004D3FD3">
        <w:t>;</w:t>
      </w:r>
      <w:bookmarkStart w:id="5" w:name="_Ref50274853"/>
      <w:r w:rsidR="004D3FD3">
        <w:rPr>
          <w:rStyle w:val="FootnoteReference"/>
        </w:rPr>
        <w:footnoteReference w:id="7"/>
      </w:r>
      <w:bookmarkEnd w:id="5"/>
      <w:r w:rsidR="007B4223">
        <w:t xml:space="preserve"> and p</w:t>
      </w:r>
      <w:r>
        <w:t>riority</w:t>
      </w:r>
      <w:r w:rsidR="005249C6">
        <w:t>;</w:t>
      </w:r>
      <w:r w:rsidR="005249C6">
        <w:rPr>
          <w:rStyle w:val="FootnoteReference"/>
        </w:rPr>
        <w:footnoteReference w:id="8"/>
      </w:r>
      <w:r>
        <w:t xml:space="preserve"> submission for the registration of a new chemical entity, </w:t>
      </w:r>
      <w:proofErr w:type="spellStart"/>
      <w:r>
        <w:t>gilteritinib</w:t>
      </w:r>
      <w:proofErr w:type="spellEnd"/>
      <w:r>
        <w:t xml:space="preserve">. </w:t>
      </w:r>
      <w:proofErr w:type="spellStart"/>
      <w:r>
        <w:t>Gilteritinib</w:t>
      </w:r>
      <w:proofErr w:type="spellEnd"/>
      <w:r>
        <w:t xml:space="preserve"> inhibits receptor signalling of the FLT3 expressed on </w:t>
      </w:r>
      <w:proofErr w:type="spellStart"/>
      <w:r>
        <w:t>leuk</w:t>
      </w:r>
      <w:r w:rsidR="00187190">
        <w:t>a</w:t>
      </w:r>
      <w:r>
        <w:t>emic</w:t>
      </w:r>
      <w:proofErr w:type="spellEnd"/>
      <w:r>
        <w:t xml:space="preserve"> cells in AML, inducing cell apoptosis. </w:t>
      </w:r>
      <w:proofErr w:type="gramStart"/>
      <w:r w:rsidRPr="00576B7A">
        <w:rPr>
          <w:rFonts w:cs="Calibri"/>
          <w:lang w:eastAsia="ja-JP"/>
        </w:rPr>
        <w:t xml:space="preserve">The sponsor refers to literature showing that </w:t>
      </w:r>
      <w:r w:rsidRPr="00576B7A">
        <w:rPr>
          <w:rFonts w:cs="Calibri"/>
        </w:rPr>
        <w:t xml:space="preserve">patients with R/R AML who are FLT3 mutation positive have lower remission rates with salvage chemotherapy, shorter durations of remission to second relapse and decreased </w:t>
      </w:r>
      <w:r w:rsidR="00187190">
        <w:rPr>
          <w:rFonts w:cs="Calibri"/>
        </w:rPr>
        <w:t>overall survival</w:t>
      </w:r>
      <w:r w:rsidRPr="00576B7A">
        <w:rPr>
          <w:rFonts w:cs="Calibri"/>
        </w:rPr>
        <w:t xml:space="preserve"> relative to FLT3 mutation</w:t>
      </w:r>
      <w:r w:rsidRPr="00576B7A">
        <w:t xml:space="preserve"> negative patients.</w:t>
      </w:r>
      <w:r>
        <w:rPr>
          <w:rStyle w:val="FootnoteReference"/>
        </w:rPr>
        <w:footnoteReference w:id="9"/>
      </w:r>
      <w:r w:rsidR="00187190">
        <w:rPr>
          <w:vertAlign w:val="superscript"/>
        </w:rPr>
        <w:t>,</w:t>
      </w:r>
      <w:r>
        <w:rPr>
          <w:rStyle w:val="FootnoteReference"/>
        </w:rPr>
        <w:footnoteReference w:id="10"/>
      </w:r>
      <w:r w:rsidR="00187190">
        <w:rPr>
          <w:vertAlign w:val="superscript"/>
        </w:rPr>
        <w:t>,</w:t>
      </w:r>
      <w:r>
        <w:rPr>
          <w:rStyle w:val="FootnoteReference"/>
        </w:rPr>
        <w:footnoteReference w:id="11"/>
      </w:r>
      <w:r w:rsidRPr="00576B7A">
        <w:t>Furthermore, due to a lack of prospective controlled studies in R/R</w:t>
      </w:r>
      <w:r w:rsidR="00187190">
        <w:t> </w:t>
      </w:r>
      <w:r w:rsidRPr="00576B7A">
        <w:t>AML FLT3 mutation positive (and negative) patients there is currently no widely accepted treatment standard for these conditions.</w:t>
      </w:r>
      <w:proofErr w:type="gramEnd"/>
      <w:r w:rsidRPr="00576B7A">
        <w:t xml:space="preserve"> Therefore, the sponsor concludes that there is a substantial unmet clinical need for effective treatments </w:t>
      </w:r>
      <w:r>
        <w:t xml:space="preserve">for </w:t>
      </w:r>
      <w:r w:rsidRPr="000E09CA">
        <w:t>patients with FLT3 mutation positive R/R AML.</w:t>
      </w:r>
    </w:p>
    <w:p w14:paraId="136F634B" w14:textId="77777777" w:rsidR="00DB74C2" w:rsidRPr="003F31A2" w:rsidRDefault="00DB74C2" w:rsidP="00A91AE1">
      <w:pPr>
        <w:pStyle w:val="Heading3"/>
      </w:pPr>
      <w:bookmarkStart w:id="6" w:name="_Toc50495798"/>
      <w:r>
        <w:t>Regulatory status</w:t>
      </w:r>
      <w:bookmarkEnd w:id="6"/>
    </w:p>
    <w:p w14:paraId="3340EB52" w14:textId="77777777" w:rsidR="00DB74C2" w:rsidRDefault="00DB74C2" w:rsidP="007B4223">
      <w:r>
        <w:t>This product is considered a new chemical entity for Australian regulatory purposes.</w:t>
      </w:r>
    </w:p>
    <w:p w14:paraId="5C906FAB" w14:textId="0F703FBE" w:rsidR="00DB74C2" w:rsidRDefault="00DB74C2" w:rsidP="007B4223">
      <w:r w:rsidRPr="00940A89">
        <w:t>At the time the TGA considered this application, similar application</w:t>
      </w:r>
      <w:r>
        <w:t>s</w:t>
      </w:r>
      <w:r w:rsidRPr="00940A89">
        <w:t xml:space="preserve"> had been approved in </w:t>
      </w:r>
      <w:r>
        <w:t xml:space="preserve">Japan </w:t>
      </w:r>
      <w:r w:rsidRPr="00940A89">
        <w:t>(</w:t>
      </w:r>
      <w:r>
        <w:t>September 2018</w:t>
      </w:r>
      <w:r w:rsidRPr="00940A89">
        <w:t>)</w:t>
      </w:r>
      <w:r>
        <w:t xml:space="preserve"> and the </w:t>
      </w:r>
      <w:r w:rsidR="00A91AE1">
        <w:t xml:space="preserve">USA </w:t>
      </w:r>
      <w:r>
        <w:t xml:space="preserve">(May 2019), and were </w:t>
      </w:r>
      <w:r w:rsidRPr="00940A89">
        <w:t>under co</w:t>
      </w:r>
      <w:r>
        <w:t xml:space="preserve">nsideration in Canada (subsequently approved December 2019), Switzerland, and the </w:t>
      </w:r>
      <w:r w:rsidR="00A91AE1">
        <w:t>EU</w:t>
      </w:r>
      <w:r>
        <w:t xml:space="preserve"> (subsequently approved September 2019).</w:t>
      </w:r>
    </w:p>
    <w:p w14:paraId="2C18ECE2" w14:textId="77777777" w:rsidR="00DB74C2" w:rsidRDefault="00DB74C2" w:rsidP="00DB74C2">
      <w:pPr>
        <w:pStyle w:val="TableTitle"/>
      </w:pPr>
      <w:r>
        <w:lastRenderedPageBreak/>
        <w:t xml:space="preserve">Table 1. International regulatory status of </w:t>
      </w:r>
      <w:proofErr w:type="spellStart"/>
      <w:r>
        <w:t>Xospata</w:t>
      </w:r>
      <w:proofErr w:type="spellEnd"/>
      <w:r>
        <w:t xml:space="preserve"> (as of March 2020)</w:t>
      </w:r>
    </w:p>
    <w:tbl>
      <w:tblPr>
        <w:tblStyle w:val="TableTGAblue"/>
        <w:tblW w:w="5000" w:type="pct"/>
        <w:tblLook w:val="04A0" w:firstRow="1" w:lastRow="0" w:firstColumn="1" w:lastColumn="0" w:noHBand="0" w:noVBand="1"/>
      </w:tblPr>
      <w:tblGrid>
        <w:gridCol w:w="1682"/>
        <w:gridCol w:w="1960"/>
        <w:gridCol w:w="2115"/>
        <w:gridCol w:w="2727"/>
      </w:tblGrid>
      <w:tr w:rsidR="00DB74C2" w14:paraId="263B72A2" w14:textId="77777777" w:rsidTr="00E56F43">
        <w:trPr>
          <w:cnfStyle w:val="100000000000" w:firstRow="1" w:lastRow="0" w:firstColumn="0" w:lastColumn="0" w:oddVBand="0" w:evenVBand="0" w:oddHBand="0" w:evenHBand="0" w:firstRowFirstColumn="0" w:firstRowLastColumn="0" w:lastRowFirstColumn="0" w:lastRowLastColumn="0"/>
        </w:trPr>
        <w:tc>
          <w:tcPr>
            <w:tcW w:w="996" w:type="pct"/>
          </w:tcPr>
          <w:p w14:paraId="534453F2" w14:textId="77777777" w:rsidR="00DB74C2" w:rsidRDefault="00DB74C2" w:rsidP="00DB74C2">
            <w:r>
              <w:t>Region</w:t>
            </w:r>
          </w:p>
        </w:tc>
        <w:tc>
          <w:tcPr>
            <w:tcW w:w="1038" w:type="pct"/>
          </w:tcPr>
          <w:p w14:paraId="7F554D71" w14:textId="77777777" w:rsidR="00DB74C2" w:rsidRDefault="00DB74C2" w:rsidP="00DB74C2">
            <w:r>
              <w:t>Submission date</w:t>
            </w:r>
          </w:p>
        </w:tc>
        <w:tc>
          <w:tcPr>
            <w:tcW w:w="1120" w:type="pct"/>
          </w:tcPr>
          <w:p w14:paraId="0688E2CA" w14:textId="77777777" w:rsidR="00DB74C2" w:rsidRDefault="00DB74C2" w:rsidP="00DB74C2">
            <w:r>
              <w:t>Status</w:t>
            </w:r>
          </w:p>
        </w:tc>
        <w:tc>
          <w:tcPr>
            <w:tcW w:w="1845" w:type="pct"/>
          </w:tcPr>
          <w:p w14:paraId="4C7100E0" w14:textId="77777777" w:rsidR="00DB74C2" w:rsidRDefault="00DB74C2" w:rsidP="00DB74C2">
            <w:r>
              <w:t>Approved indications</w:t>
            </w:r>
          </w:p>
        </w:tc>
      </w:tr>
      <w:tr w:rsidR="00DB74C2" w14:paraId="3B0B5A88" w14:textId="77777777" w:rsidTr="00E56F43">
        <w:tc>
          <w:tcPr>
            <w:tcW w:w="996" w:type="pct"/>
          </w:tcPr>
          <w:p w14:paraId="51A981D9" w14:textId="77777777" w:rsidR="00DB74C2" w:rsidRDefault="00DB74C2" w:rsidP="00DB74C2">
            <w:pPr>
              <w:keepNext/>
            </w:pPr>
            <w:r>
              <w:t>Japan</w:t>
            </w:r>
          </w:p>
        </w:tc>
        <w:tc>
          <w:tcPr>
            <w:tcW w:w="1038" w:type="pct"/>
          </w:tcPr>
          <w:p w14:paraId="6EE7493B" w14:textId="77777777" w:rsidR="00DB74C2" w:rsidRDefault="00DB74C2" w:rsidP="00DB74C2">
            <w:pPr>
              <w:keepNext/>
            </w:pPr>
            <w:r>
              <w:t>March 2018</w:t>
            </w:r>
          </w:p>
        </w:tc>
        <w:tc>
          <w:tcPr>
            <w:tcW w:w="1120" w:type="pct"/>
          </w:tcPr>
          <w:p w14:paraId="39F14FC0" w14:textId="616FC1DC" w:rsidR="00DB74C2" w:rsidRDefault="00DB74C2" w:rsidP="00DB74C2">
            <w:pPr>
              <w:keepNext/>
            </w:pPr>
            <w:r>
              <w:t>Approved September</w:t>
            </w:r>
            <w:r w:rsidR="00A91AE1">
              <w:t> </w:t>
            </w:r>
            <w:r>
              <w:t>2018</w:t>
            </w:r>
          </w:p>
        </w:tc>
        <w:tc>
          <w:tcPr>
            <w:tcW w:w="1845" w:type="pct"/>
          </w:tcPr>
          <w:p w14:paraId="798D4134" w14:textId="77777777" w:rsidR="00DB74C2" w:rsidRPr="002E5305" w:rsidRDefault="00DB74C2" w:rsidP="00DB74C2">
            <w:pPr>
              <w:keepNext/>
              <w:rPr>
                <w:i/>
              </w:rPr>
            </w:pPr>
            <w:r w:rsidRPr="002E5305">
              <w:rPr>
                <w:i/>
              </w:rPr>
              <w:t xml:space="preserve">Relapsed or refractory acute myeloid </w:t>
            </w:r>
            <w:proofErr w:type="spellStart"/>
            <w:r w:rsidRPr="002E5305">
              <w:rPr>
                <w:i/>
              </w:rPr>
              <w:t>leukemia</w:t>
            </w:r>
            <w:proofErr w:type="spellEnd"/>
            <w:r w:rsidRPr="002E5305">
              <w:rPr>
                <w:i/>
              </w:rPr>
              <w:t xml:space="preserve"> with FLT3 mutations</w:t>
            </w:r>
          </w:p>
        </w:tc>
      </w:tr>
      <w:tr w:rsidR="00DB74C2" w14:paraId="7F135C99" w14:textId="77777777" w:rsidTr="00E56F43">
        <w:tc>
          <w:tcPr>
            <w:tcW w:w="996" w:type="pct"/>
          </w:tcPr>
          <w:p w14:paraId="3D9CE9F3" w14:textId="77777777" w:rsidR="00DB74C2" w:rsidRDefault="00DB74C2" w:rsidP="00DB74C2">
            <w:pPr>
              <w:keepNext/>
            </w:pPr>
            <w:r>
              <w:t>United States</w:t>
            </w:r>
          </w:p>
        </w:tc>
        <w:tc>
          <w:tcPr>
            <w:tcW w:w="1038" w:type="pct"/>
          </w:tcPr>
          <w:p w14:paraId="47C7E140" w14:textId="77777777" w:rsidR="00DB74C2" w:rsidRDefault="00DB74C2" w:rsidP="00DB74C2">
            <w:pPr>
              <w:keepNext/>
            </w:pPr>
            <w:r>
              <w:t>March 2018 (interim analysis)</w:t>
            </w:r>
          </w:p>
          <w:p w14:paraId="5A192326" w14:textId="50659D71" w:rsidR="00DB74C2" w:rsidRDefault="00DB74C2" w:rsidP="00DB74C2">
            <w:pPr>
              <w:keepNext/>
            </w:pPr>
            <w:r>
              <w:t>February</w:t>
            </w:r>
            <w:r w:rsidR="00A91AE1">
              <w:t> </w:t>
            </w:r>
            <w:r>
              <w:t>2019 (final analysis)</w:t>
            </w:r>
          </w:p>
        </w:tc>
        <w:tc>
          <w:tcPr>
            <w:tcW w:w="1120" w:type="pct"/>
          </w:tcPr>
          <w:p w14:paraId="11664CE9" w14:textId="77777777" w:rsidR="00DB74C2" w:rsidRDefault="00DB74C2" w:rsidP="00DB74C2">
            <w:pPr>
              <w:keepNext/>
            </w:pPr>
            <w:r>
              <w:t>Approved November 2018 (interim analysis)</w:t>
            </w:r>
          </w:p>
          <w:p w14:paraId="1CA153E6" w14:textId="77777777" w:rsidR="00DB74C2" w:rsidRDefault="00DB74C2" w:rsidP="00DB74C2">
            <w:pPr>
              <w:keepNext/>
            </w:pPr>
            <w:r>
              <w:t>May 2019 (final analysis)</w:t>
            </w:r>
          </w:p>
        </w:tc>
        <w:tc>
          <w:tcPr>
            <w:tcW w:w="1845" w:type="pct"/>
          </w:tcPr>
          <w:p w14:paraId="741C5C71" w14:textId="77777777" w:rsidR="00DB74C2" w:rsidRPr="00021165" w:rsidRDefault="00DB74C2" w:rsidP="00DB74C2">
            <w:pPr>
              <w:keepNext/>
              <w:rPr>
                <w:i/>
              </w:rPr>
            </w:pPr>
            <w:proofErr w:type="spellStart"/>
            <w:r w:rsidRPr="00021165">
              <w:rPr>
                <w:i/>
              </w:rPr>
              <w:t>Xospata</w:t>
            </w:r>
            <w:proofErr w:type="spellEnd"/>
            <w:r w:rsidRPr="00021165">
              <w:rPr>
                <w:i/>
              </w:rPr>
              <w:t xml:space="preserve"> is a kinase inhibitor indicated for the treatment of adult patients who have relapsed or refractory acute myeloid </w:t>
            </w:r>
            <w:proofErr w:type="spellStart"/>
            <w:r w:rsidRPr="00021165">
              <w:rPr>
                <w:i/>
              </w:rPr>
              <w:t>leukemia</w:t>
            </w:r>
            <w:proofErr w:type="spellEnd"/>
            <w:r w:rsidRPr="00021165">
              <w:rPr>
                <w:i/>
              </w:rPr>
              <w:t xml:space="preserve"> with a FLT mutation as detected by an FDA-approved test</w:t>
            </w:r>
          </w:p>
        </w:tc>
      </w:tr>
      <w:tr w:rsidR="00DB74C2" w14:paraId="61971F12" w14:textId="77777777" w:rsidTr="00E56F43">
        <w:tc>
          <w:tcPr>
            <w:tcW w:w="996" w:type="pct"/>
          </w:tcPr>
          <w:p w14:paraId="24D45C09" w14:textId="77777777" w:rsidR="00DB74C2" w:rsidRDefault="00DB74C2" w:rsidP="00DB74C2">
            <w:pPr>
              <w:keepNext/>
            </w:pPr>
            <w:r>
              <w:t>European Union – centralised procedure</w:t>
            </w:r>
          </w:p>
        </w:tc>
        <w:tc>
          <w:tcPr>
            <w:tcW w:w="1038" w:type="pct"/>
          </w:tcPr>
          <w:p w14:paraId="01DB81E4" w14:textId="77777777" w:rsidR="00DB74C2" w:rsidRDefault="00DB74C2" w:rsidP="00DB74C2">
            <w:pPr>
              <w:keepNext/>
            </w:pPr>
            <w:r>
              <w:t>February 2019</w:t>
            </w:r>
          </w:p>
        </w:tc>
        <w:tc>
          <w:tcPr>
            <w:tcW w:w="1120" w:type="pct"/>
          </w:tcPr>
          <w:p w14:paraId="5D12B948" w14:textId="77777777" w:rsidR="00DB74C2" w:rsidRDefault="00DB74C2" w:rsidP="00DB74C2">
            <w:pPr>
              <w:keepNext/>
            </w:pPr>
            <w:r>
              <w:t>Approved September 2019</w:t>
            </w:r>
          </w:p>
        </w:tc>
        <w:tc>
          <w:tcPr>
            <w:tcW w:w="1845" w:type="pct"/>
          </w:tcPr>
          <w:p w14:paraId="325AD481" w14:textId="77777777" w:rsidR="00DB74C2" w:rsidRPr="00021165" w:rsidRDefault="00DB74C2" w:rsidP="00DB74C2">
            <w:pPr>
              <w:keepNext/>
              <w:rPr>
                <w:i/>
              </w:rPr>
            </w:pPr>
            <w:proofErr w:type="spellStart"/>
            <w:r w:rsidRPr="00021165">
              <w:rPr>
                <w:i/>
              </w:rPr>
              <w:t>Xospata</w:t>
            </w:r>
            <w:proofErr w:type="spellEnd"/>
            <w:r w:rsidRPr="00021165">
              <w:rPr>
                <w:i/>
              </w:rPr>
              <w:t xml:space="preserve"> is indicated as monotherapy for the treatment of adult patients who have relapsed or refractory acute myeloid </w:t>
            </w:r>
            <w:proofErr w:type="spellStart"/>
            <w:r w:rsidRPr="00021165">
              <w:rPr>
                <w:i/>
              </w:rPr>
              <w:t>leukemia</w:t>
            </w:r>
            <w:proofErr w:type="spellEnd"/>
            <w:r w:rsidRPr="00021165">
              <w:rPr>
                <w:i/>
              </w:rPr>
              <w:t xml:space="preserve"> with a FLT3 mutation</w:t>
            </w:r>
          </w:p>
        </w:tc>
      </w:tr>
      <w:tr w:rsidR="00DB74C2" w14:paraId="605CE38F" w14:textId="77777777" w:rsidTr="00E56F43">
        <w:tc>
          <w:tcPr>
            <w:tcW w:w="996" w:type="pct"/>
          </w:tcPr>
          <w:p w14:paraId="7D8FD6F1" w14:textId="77777777" w:rsidR="00DB74C2" w:rsidRDefault="00DB74C2" w:rsidP="00DB74C2">
            <w:pPr>
              <w:keepNext/>
            </w:pPr>
            <w:r>
              <w:t>Canada</w:t>
            </w:r>
          </w:p>
        </w:tc>
        <w:tc>
          <w:tcPr>
            <w:tcW w:w="1038" w:type="pct"/>
          </w:tcPr>
          <w:p w14:paraId="1235E0DA" w14:textId="77777777" w:rsidR="00DB74C2" w:rsidRDefault="00DB74C2" w:rsidP="00DB74C2">
            <w:pPr>
              <w:keepNext/>
            </w:pPr>
            <w:r>
              <w:t>May 2019</w:t>
            </w:r>
          </w:p>
        </w:tc>
        <w:tc>
          <w:tcPr>
            <w:tcW w:w="1120" w:type="pct"/>
          </w:tcPr>
          <w:p w14:paraId="37FFC411" w14:textId="77777777" w:rsidR="00DB74C2" w:rsidDel="00576B7A" w:rsidRDefault="00DB74C2" w:rsidP="00DB74C2">
            <w:pPr>
              <w:keepNext/>
            </w:pPr>
            <w:r>
              <w:t>Approved December 2019</w:t>
            </w:r>
          </w:p>
        </w:tc>
        <w:tc>
          <w:tcPr>
            <w:tcW w:w="1845" w:type="pct"/>
          </w:tcPr>
          <w:p w14:paraId="6A1194D8" w14:textId="77777777" w:rsidR="00DB74C2" w:rsidRPr="00021165" w:rsidRDefault="00DB74C2" w:rsidP="00DB74C2">
            <w:pPr>
              <w:keepNext/>
              <w:rPr>
                <w:i/>
              </w:rPr>
            </w:pPr>
            <w:proofErr w:type="spellStart"/>
            <w:r w:rsidRPr="00021165">
              <w:rPr>
                <w:i/>
              </w:rPr>
              <w:t>Xospata</w:t>
            </w:r>
            <w:proofErr w:type="spellEnd"/>
            <w:r w:rsidRPr="00021165">
              <w:rPr>
                <w:i/>
              </w:rPr>
              <w:t xml:space="preserve"> is indicated for the treatment of adult patients who have relapsed or refractory acute myeloid </w:t>
            </w:r>
            <w:proofErr w:type="spellStart"/>
            <w:r w:rsidRPr="00021165">
              <w:rPr>
                <w:i/>
              </w:rPr>
              <w:t>leukemia</w:t>
            </w:r>
            <w:proofErr w:type="spellEnd"/>
            <w:r w:rsidRPr="00021165">
              <w:rPr>
                <w:i/>
              </w:rPr>
              <w:t xml:space="preserve"> (AML) with a FMS-like tyrosine kinase 3 (FLT3) mutation.</w:t>
            </w:r>
          </w:p>
          <w:p w14:paraId="3F88060C" w14:textId="77777777" w:rsidR="00DB74C2" w:rsidRPr="00021165" w:rsidRDefault="00DB74C2" w:rsidP="00DB74C2">
            <w:pPr>
              <w:keepNext/>
              <w:rPr>
                <w:i/>
              </w:rPr>
            </w:pPr>
            <w:r w:rsidRPr="00021165">
              <w:rPr>
                <w:i/>
              </w:rPr>
              <w:t>A validated test is required to confirm the FLT3 mutation status of AML.</w:t>
            </w:r>
          </w:p>
        </w:tc>
      </w:tr>
      <w:tr w:rsidR="00DB74C2" w14:paraId="66AF700A" w14:textId="77777777" w:rsidTr="00E56F43">
        <w:tc>
          <w:tcPr>
            <w:tcW w:w="996" w:type="pct"/>
          </w:tcPr>
          <w:p w14:paraId="6692BFAF" w14:textId="77777777" w:rsidR="00DB74C2" w:rsidRDefault="00DB74C2" w:rsidP="00DB74C2">
            <w:pPr>
              <w:keepNext/>
            </w:pPr>
            <w:r>
              <w:t>Switzerland</w:t>
            </w:r>
          </w:p>
        </w:tc>
        <w:tc>
          <w:tcPr>
            <w:tcW w:w="1038" w:type="pct"/>
          </w:tcPr>
          <w:p w14:paraId="26D09B81" w14:textId="77777777" w:rsidR="00DB74C2" w:rsidRDefault="00DB74C2" w:rsidP="00DB74C2">
            <w:pPr>
              <w:keepNext/>
            </w:pPr>
            <w:r>
              <w:t>May 2019</w:t>
            </w:r>
          </w:p>
        </w:tc>
        <w:tc>
          <w:tcPr>
            <w:tcW w:w="1120" w:type="pct"/>
          </w:tcPr>
          <w:p w14:paraId="2BEA722A" w14:textId="77777777" w:rsidR="00DB74C2" w:rsidRDefault="00DB74C2" w:rsidP="00DB74C2">
            <w:pPr>
              <w:keepNext/>
            </w:pPr>
            <w:r>
              <w:t>Under consideration</w:t>
            </w:r>
          </w:p>
        </w:tc>
        <w:tc>
          <w:tcPr>
            <w:tcW w:w="1845" w:type="pct"/>
          </w:tcPr>
          <w:p w14:paraId="5C2A87FA" w14:textId="77777777" w:rsidR="00DB74C2" w:rsidRDefault="00DB74C2" w:rsidP="00DB74C2">
            <w:pPr>
              <w:keepNext/>
            </w:pPr>
            <w:r>
              <w:t>Under consideration</w:t>
            </w:r>
          </w:p>
        </w:tc>
      </w:tr>
    </w:tbl>
    <w:p w14:paraId="736A10E3" w14:textId="77777777" w:rsidR="00DB74C2" w:rsidRDefault="00DB74C2" w:rsidP="00DB74C2">
      <w:pPr>
        <w:pStyle w:val="Heading3"/>
      </w:pPr>
      <w:bookmarkStart w:id="7" w:name="_Toc50495799"/>
      <w:r>
        <w:t>Product Information</w:t>
      </w:r>
      <w:bookmarkEnd w:id="7"/>
    </w:p>
    <w:p w14:paraId="4716CBD3" w14:textId="3AE14E22" w:rsidR="00DB74C2" w:rsidRDefault="00DB74C2" w:rsidP="00DB74C2">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&lt;</w:t>
      </w:r>
      <w:hyperlink r:id="rId13" w:history="1">
        <w:r w:rsidRPr="00441C3F">
          <w:rPr>
            <w:rStyle w:val="Hyperlink"/>
          </w:rPr>
          <w:t>https://www.tga.gov.au/product-information-pi</w:t>
        </w:r>
      </w:hyperlink>
      <w:r>
        <w:t>&gt;</w:t>
      </w:r>
      <w:r w:rsidRPr="00940A89">
        <w:t>.</w:t>
      </w:r>
    </w:p>
    <w:p w14:paraId="50964521" w14:textId="77777777" w:rsidR="00DB74C2" w:rsidRDefault="00DB74C2" w:rsidP="00DB74C2">
      <w:pPr>
        <w:pStyle w:val="Heading2"/>
      </w:pPr>
      <w:bookmarkStart w:id="8" w:name="_Toc50495800"/>
      <w:r>
        <w:lastRenderedPageBreak/>
        <w:t>II. Registration timeline</w:t>
      </w:r>
      <w:bookmarkEnd w:id="8"/>
    </w:p>
    <w:p w14:paraId="2FE6D6E9" w14:textId="77777777" w:rsidR="00DB74C2" w:rsidRDefault="00DB74C2" w:rsidP="00DB74C2">
      <w:r>
        <w:t>The following table captures the key steps and dates for this application and which are detailed and discussed in this AusPAR.</w:t>
      </w:r>
    </w:p>
    <w:p w14:paraId="45CF6CE7" w14:textId="77777777" w:rsidR="00DB74C2" w:rsidRPr="0051751E" w:rsidRDefault="00DB74C2" w:rsidP="00DB74C2">
      <w:pPr>
        <w:pStyle w:val="TableTitle"/>
      </w:pPr>
      <w:r w:rsidRPr="0051751E">
        <w:t xml:space="preserve">Table </w:t>
      </w:r>
      <w:r>
        <w:t>2.</w:t>
      </w:r>
      <w:r w:rsidRPr="0051751E">
        <w:t xml:space="preserve"> Timeline for Submission PM-2019-03406-1-6</w:t>
      </w:r>
    </w:p>
    <w:tbl>
      <w:tblPr>
        <w:tblStyle w:val="TableTGAblue1"/>
        <w:tblW w:w="9039" w:type="dxa"/>
        <w:tblLook w:val="04A0" w:firstRow="1" w:lastRow="0" w:firstColumn="1" w:lastColumn="0" w:noHBand="0" w:noVBand="1"/>
      </w:tblPr>
      <w:tblGrid>
        <w:gridCol w:w="6487"/>
        <w:gridCol w:w="2552"/>
      </w:tblGrid>
      <w:tr w:rsidR="00DB74C2" w:rsidRPr="00D75678" w14:paraId="77856D9F" w14:textId="77777777" w:rsidTr="00157E6A">
        <w:trPr>
          <w:cnfStyle w:val="100000000000" w:firstRow="1" w:lastRow="0" w:firstColumn="0" w:lastColumn="0" w:oddVBand="0" w:evenVBand="0" w:oddHBand="0" w:evenHBand="0" w:firstRowFirstColumn="0" w:firstRowLastColumn="0" w:lastRowFirstColumn="0" w:lastRowLastColumn="0"/>
          <w:cantSplit/>
        </w:trPr>
        <w:tc>
          <w:tcPr>
            <w:tcW w:w="6487" w:type="dxa"/>
          </w:tcPr>
          <w:p w14:paraId="4191C5F7" w14:textId="77777777" w:rsidR="00DB74C2" w:rsidRPr="00D75678" w:rsidRDefault="00DB74C2" w:rsidP="00DB74C2">
            <w:pPr>
              <w:ind w:left="0" w:right="0"/>
            </w:pPr>
            <w:r w:rsidRPr="00D75678">
              <w:t>Description</w:t>
            </w:r>
          </w:p>
        </w:tc>
        <w:tc>
          <w:tcPr>
            <w:tcW w:w="2552" w:type="dxa"/>
          </w:tcPr>
          <w:p w14:paraId="10646BBA" w14:textId="77777777" w:rsidR="00DB74C2" w:rsidRPr="00D75678" w:rsidRDefault="00DB74C2" w:rsidP="00DB74C2">
            <w:pPr>
              <w:ind w:left="0" w:right="0"/>
            </w:pPr>
            <w:r w:rsidRPr="00D75678">
              <w:t>Date</w:t>
            </w:r>
          </w:p>
        </w:tc>
      </w:tr>
      <w:tr w:rsidR="00DB74C2" w:rsidRPr="00D75678" w14:paraId="3A3239BE" w14:textId="77777777" w:rsidTr="00157E6A">
        <w:tc>
          <w:tcPr>
            <w:tcW w:w="6487" w:type="dxa"/>
          </w:tcPr>
          <w:p w14:paraId="54CB6FA9" w14:textId="741B8984" w:rsidR="00DB74C2" w:rsidRPr="00D75678" w:rsidRDefault="00DB74C2" w:rsidP="00DB74C2">
            <w:pPr>
              <w:keepNext/>
              <w:ind w:left="0" w:right="0"/>
            </w:pPr>
            <w:r>
              <w:t>Positive Designation (Orphan)</w:t>
            </w:r>
            <w:r w:rsidR="00A91AE1">
              <w:t>;</w:t>
            </w:r>
            <w:r w:rsidR="00A91AE1" w:rsidRPr="00E56F43">
              <w:rPr>
                <w:vertAlign w:val="superscript"/>
              </w:rPr>
              <w:fldChar w:fldCharType="begin"/>
            </w:r>
            <w:r w:rsidR="00A91AE1" w:rsidRPr="00E56F43">
              <w:rPr>
                <w:vertAlign w:val="superscript"/>
              </w:rPr>
              <w:instrText xml:space="preserve"> NOTEREF _Ref50274853 \h </w:instrText>
            </w:r>
            <w:r w:rsidR="00A91AE1">
              <w:rPr>
                <w:vertAlign w:val="superscript"/>
              </w:rPr>
              <w:instrText xml:space="preserve"> \* MERGEFORMAT </w:instrText>
            </w:r>
            <w:r w:rsidR="00A91AE1" w:rsidRPr="00E56F43">
              <w:rPr>
                <w:vertAlign w:val="superscript"/>
              </w:rPr>
            </w:r>
            <w:r w:rsidR="00A91AE1" w:rsidRPr="00E56F43">
              <w:rPr>
                <w:vertAlign w:val="superscript"/>
              </w:rPr>
              <w:fldChar w:fldCharType="separate"/>
            </w:r>
            <w:r w:rsidR="00C16AF1">
              <w:rPr>
                <w:vertAlign w:val="superscript"/>
              </w:rPr>
              <w:t>7</w:t>
            </w:r>
            <w:r w:rsidR="00A91AE1" w:rsidRPr="00E56F43">
              <w:rPr>
                <w:vertAlign w:val="superscript"/>
              </w:rPr>
              <w:fldChar w:fldCharType="end"/>
            </w:r>
          </w:p>
        </w:tc>
        <w:tc>
          <w:tcPr>
            <w:tcW w:w="2552" w:type="dxa"/>
          </w:tcPr>
          <w:p w14:paraId="1B878CD3" w14:textId="77777777" w:rsidR="00DB74C2" w:rsidRPr="006E1223" w:rsidRDefault="00DB74C2" w:rsidP="00DB74C2">
            <w:pPr>
              <w:keepNext/>
              <w:ind w:left="0" w:right="0"/>
              <w:rPr>
                <w:color w:val="auto"/>
              </w:rPr>
            </w:pPr>
            <w:r w:rsidRPr="006E1223">
              <w:rPr>
                <w:color w:val="auto"/>
              </w:rPr>
              <w:t>4 April 2019</w:t>
            </w:r>
          </w:p>
        </w:tc>
      </w:tr>
      <w:tr w:rsidR="00DB74C2" w:rsidRPr="00D75678" w14:paraId="3D9979AD" w14:textId="77777777" w:rsidTr="00157E6A">
        <w:tc>
          <w:tcPr>
            <w:tcW w:w="6487" w:type="dxa"/>
          </w:tcPr>
          <w:p w14:paraId="33DE059E" w14:textId="77777777" w:rsidR="00DB74C2" w:rsidRPr="00D75678" w:rsidRDefault="00DB74C2" w:rsidP="00DB74C2">
            <w:pPr>
              <w:keepNext/>
              <w:ind w:left="0" w:right="0"/>
            </w:pPr>
            <w:r w:rsidRPr="00D75678">
              <w:t>Submission dossier accepted and first round evaluation commenced</w:t>
            </w:r>
          </w:p>
        </w:tc>
        <w:tc>
          <w:tcPr>
            <w:tcW w:w="2552" w:type="dxa"/>
          </w:tcPr>
          <w:p w14:paraId="678A3ED6" w14:textId="77777777" w:rsidR="00DB74C2" w:rsidRPr="006E1223" w:rsidRDefault="00DB74C2" w:rsidP="00DB74C2">
            <w:pPr>
              <w:keepNext/>
              <w:ind w:left="0" w:right="0"/>
              <w:rPr>
                <w:color w:val="auto"/>
              </w:rPr>
            </w:pPr>
            <w:r w:rsidRPr="006E1223">
              <w:rPr>
                <w:color w:val="auto"/>
              </w:rPr>
              <w:t>23 August 2019</w:t>
            </w:r>
          </w:p>
        </w:tc>
      </w:tr>
      <w:tr w:rsidR="00DB74C2" w:rsidRPr="00D75678" w14:paraId="68E9B168" w14:textId="77777777" w:rsidTr="00157E6A">
        <w:tc>
          <w:tcPr>
            <w:tcW w:w="6487" w:type="dxa"/>
          </w:tcPr>
          <w:p w14:paraId="43DDA4D5" w14:textId="77777777" w:rsidR="00DB74C2" w:rsidRPr="00D75678" w:rsidRDefault="00DB74C2" w:rsidP="00DB74C2">
            <w:pPr>
              <w:keepNext/>
              <w:ind w:left="0" w:right="0"/>
            </w:pPr>
            <w:r>
              <w:t>E</w:t>
            </w:r>
            <w:r w:rsidRPr="00D75678">
              <w:t>valuation completed</w:t>
            </w:r>
          </w:p>
        </w:tc>
        <w:tc>
          <w:tcPr>
            <w:tcW w:w="2552" w:type="dxa"/>
          </w:tcPr>
          <w:p w14:paraId="2909680E" w14:textId="77777777" w:rsidR="00DB74C2" w:rsidRPr="006E1223" w:rsidRDefault="00DB74C2" w:rsidP="00DB74C2">
            <w:pPr>
              <w:keepNext/>
              <w:ind w:left="0" w:right="0"/>
              <w:rPr>
                <w:color w:val="auto"/>
              </w:rPr>
            </w:pPr>
            <w:r w:rsidRPr="006E1223">
              <w:rPr>
                <w:color w:val="auto"/>
              </w:rPr>
              <w:t>16 March 2020</w:t>
            </w:r>
          </w:p>
        </w:tc>
      </w:tr>
      <w:tr w:rsidR="00DB74C2" w:rsidRPr="00D75678" w14:paraId="0742407B" w14:textId="77777777" w:rsidTr="00157E6A">
        <w:tc>
          <w:tcPr>
            <w:tcW w:w="6487" w:type="dxa"/>
          </w:tcPr>
          <w:p w14:paraId="6847D831" w14:textId="77777777" w:rsidR="00DB74C2" w:rsidRPr="00D75678" w:rsidRDefault="00DB74C2" w:rsidP="00DB74C2">
            <w:pPr>
              <w:keepNext/>
              <w:ind w:left="0" w:right="0"/>
            </w:pPr>
            <w:r w:rsidRPr="00D75678">
              <w:t xml:space="preserve">Delegate’s </w:t>
            </w:r>
            <w:r>
              <w:t>Overall benefit-risk assessment</w:t>
            </w:r>
          </w:p>
        </w:tc>
        <w:tc>
          <w:tcPr>
            <w:tcW w:w="2552" w:type="dxa"/>
          </w:tcPr>
          <w:p w14:paraId="273DC1D8" w14:textId="77777777" w:rsidR="00DB74C2" w:rsidRPr="006E1223" w:rsidRDefault="00DB74C2" w:rsidP="00DB74C2">
            <w:pPr>
              <w:keepNext/>
              <w:ind w:left="0" w:right="0"/>
              <w:rPr>
                <w:color w:val="auto"/>
              </w:rPr>
            </w:pPr>
            <w:r w:rsidRPr="006E1223">
              <w:rPr>
                <w:color w:val="auto"/>
              </w:rPr>
              <w:t>19 March 2020</w:t>
            </w:r>
          </w:p>
        </w:tc>
      </w:tr>
      <w:tr w:rsidR="00DB74C2" w:rsidRPr="00D75678" w14:paraId="3C5C85C6" w14:textId="77777777" w:rsidTr="00157E6A">
        <w:tc>
          <w:tcPr>
            <w:tcW w:w="6487" w:type="dxa"/>
          </w:tcPr>
          <w:p w14:paraId="13B06D54" w14:textId="77777777" w:rsidR="00DB74C2" w:rsidRPr="00D75678" w:rsidRDefault="00DB74C2" w:rsidP="00DB74C2">
            <w:pPr>
              <w:keepNext/>
              <w:ind w:left="0" w:right="0"/>
            </w:pPr>
            <w:r w:rsidRPr="00D75678">
              <w:t>Sponsor’s pre-Advisory Committee response</w:t>
            </w:r>
          </w:p>
        </w:tc>
        <w:tc>
          <w:tcPr>
            <w:tcW w:w="2552" w:type="dxa"/>
          </w:tcPr>
          <w:p w14:paraId="725EDD4B" w14:textId="77777777" w:rsidR="00DB74C2" w:rsidRPr="006E1223" w:rsidRDefault="00DB74C2" w:rsidP="00DB74C2">
            <w:pPr>
              <w:keepNext/>
              <w:ind w:left="0" w:right="0"/>
              <w:rPr>
                <w:color w:val="auto"/>
              </w:rPr>
            </w:pPr>
            <w:r w:rsidRPr="006E1223">
              <w:rPr>
                <w:color w:val="auto"/>
              </w:rPr>
              <w:t>Not applicable</w:t>
            </w:r>
          </w:p>
        </w:tc>
      </w:tr>
      <w:tr w:rsidR="00DB74C2" w:rsidRPr="00D75678" w14:paraId="40ACB5CE" w14:textId="77777777" w:rsidTr="00157E6A">
        <w:tc>
          <w:tcPr>
            <w:tcW w:w="6487" w:type="dxa"/>
          </w:tcPr>
          <w:p w14:paraId="4484DCC3" w14:textId="77777777" w:rsidR="00DB74C2" w:rsidRPr="00D75678" w:rsidRDefault="00DB74C2" w:rsidP="00DB74C2">
            <w:pPr>
              <w:keepNext/>
              <w:ind w:left="0" w:right="0"/>
            </w:pPr>
            <w:r w:rsidRPr="00D75678">
              <w:t>Advisory Committee meeting</w:t>
            </w:r>
          </w:p>
        </w:tc>
        <w:tc>
          <w:tcPr>
            <w:tcW w:w="2552" w:type="dxa"/>
          </w:tcPr>
          <w:p w14:paraId="38160AE5" w14:textId="77777777" w:rsidR="00DB74C2" w:rsidRPr="006E1223" w:rsidRDefault="00DB74C2" w:rsidP="00DB74C2">
            <w:pPr>
              <w:keepNext/>
              <w:ind w:left="0" w:right="0"/>
              <w:rPr>
                <w:color w:val="auto"/>
              </w:rPr>
            </w:pPr>
            <w:r w:rsidRPr="006E1223">
              <w:rPr>
                <w:color w:val="auto"/>
              </w:rPr>
              <w:t>Not applicable</w:t>
            </w:r>
          </w:p>
        </w:tc>
      </w:tr>
      <w:tr w:rsidR="00DB74C2" w:rsidRPr="00D75678" w14:paraId="78EA5DE5" w14:textId="77777777" w:rsidTr="00157E6A">
        <w:tc>
          <w:tcPr>
            <w:tcW w:w="6487" w:type="dxa"/>
          </w:tcPr>
          <w:p w14:paraId="3CC765AB" w14:textId="77777777" w:rsidR="00DB74C2" w:rsidRPr="00D75678" w:rsidRDefault="00DB74C2" w:rsidP="00DB74C2">
            <w:pPr>
              <w:keepNext/>
              <w:ind w:left="0" w:right="0"/>
            </w:pPr>
            <w:r w:rsidRPr="00D75678">
              <w:t>Registration decision (Outcome)</w:t>
            </w:r>
          </w:p>
        </w:tc>
        <w:tc>
          <w:tcPr>
            <w:tcW w:w="2552" w:type="dxa"/>
          </w:tcPr>
          <w:p w14:paraId="4894360D" w14:textId="77777777" w:rsidR="00DB74C2" w:rsidRPr="006E1223" w:rsidRDefault="00DB74C2" w:rsidP="00DB74C2">
            <w:pPr>
              <w:keepNext/>
              <w:ind w:left="0" w:right="0"/>
              <w:rPr>
                <w:color w:val="auto"/>
              </w:rPr>
            </w:pPr>
            <w:r w:rsidRPr="006E1223">
              <w:rPr>
                <w:color w:val="auto"/>
              </w:rPr>
              <w:t>26 March 2020</w:t>
            </w:r>
          </w:p>
        </w:tc>
      </w:tr>
      <w:tr w:rsidR="00DB74C2" w:rsidRPr="00EA4406" w14:paraId="3D53BE04" w14:textId="77777777" w:rsidTr="00157E6A">
        <w:tc>
          <w:tcPr>
            <w:tcW w:w="6487" w:type="dxa"/>
          </w:tcPr>
          <w:p w14:paraId="52211DD7" w14:textId="250AD8AA" w:rsidR="00DB74C2" w:rsidRPr="00D75678" w:rsidRDefault="00DB74C2" w:rsidP="00DB74C2">
            <w:pPr>
              <w:keepNext/>
              <w:ind w:left="0" w:right="0"/>
            </w:pPr>
            <w:r w:rsidRPr="00D75678">
              <w:t xml:space="preserve">Completion of administrative activities and registration on </w:t>
            </w:r>
            <w:r w:rsidR="00A91AE1">
              <w:t xml:space="preserve">the </w:t>
            </w:r>
            <w:r w:rsidRPr="00D75678">
              <w:t>ARTG</w:t>
            </w:r>
          </w:p>
        </w:tc>
        <w:tc>
          <w:tcPr>
            <w:tcW w:w="2552" w:type="dxa"/>
          </w:tcPr>
          <w:p w14:paraId="5B82A07D" w14:textId="77777777" w:rsidR="00DB74C2" w:rsidRPr="00EA4406" w:rsidRDefault="00DB74C2" w:rsidP="00DB74C2">
            <w:pPr>
              <w:keepNext/>
              <w:ind w:left="0" w:right="0"/>
              <w:rPr>
                <w:color w:val="auto"/>
              </w:rPr>
            </w:pPr>
            <w:r w:rsidRPr="00EA4406">
              <w:rPr>
                <w:color w:val="auto"/>
              </w:rPr>
              <w:t>2 April 2020</w:t>
            </w:r>
          </w:p>
        </w:tc>
      </w:tr>
      <w:tr w:rsidR="00DB74C2" w:rsidRPr="003329E2" w14:paraId="540A6D93" w14:textId="77777777" w:rsidTr="00157E6A">
        <w:tc>
          <w:tcPr>
            <w:tcW w:w="6487" w:type="dxa"/>
          </w:tcPr>
          <w:p w14:paraId="50AD7ACA" w14:textId="77777777" w:rsidR="00DB74C2" w:rsidRPr="00D75678" w:rsidRDefault="00DB74C2" w:rsidP="00DB74C2">
            <w:pPr>
              <w:keepNext/>
              <w:ind w:left="0" w:right="0"/>
            </w:pPr>
            <w:r w:rsidRPr="00D75678">
              <w:t>Number of working days from submission dossier acceptance to registration decision*</w:t>
            </w:r>
          </w:p>
        </w:tc>
        <w:tc>
          <w:tcPr>
            <w:tcW w:w="2552" w:type="dxa"/>
          </w:tcPr>
          <w:p w14:paraId="2A4C8155" w14:textId="77777777" w:rsidR="00DB74C2" w:rsidRPr="003329E2" w:rsidRDefault="00DB74C2" w:rsidP="00DB74C2">
            <w:pPr>
              <w:keepNext/>
              <w:ind w:left="0" w:right="0"/>
              <w:rPr>
                <w:color w:val="auto"/>
              </w:rPr>
            </w:pPr>
            <w:r w:rsidRPr="003329E2">
              <w:rPr>
                <w:color w:val="auto"/>
              </w:rPr>
              <w:t>144</w:t>
            </w:r>
          </w:p>
        </w:tc>
      </w:tr>
    </w:tbl>
    <w:p w14:paraId="2F1A761F" w14:textId="77777777" w:rsidR="00DB74C2" w:rsidRDefault="00DB74C2" w:rsidP="00DB74C2">
      <w:pPr>
        <w:pStyle w:val="TableDescription"/>
        <w:keepNext/>
      </w:pPr>
      <w:r>
        <w:t>*Target timeframe for priority applications is 150 working days from acceptance for evaluation to the decision.</w:t>
      </w:r>
    </w:p>
    <w:p w14:paraId="2532554F" w14:textId="77777777" w:rsidR="00DB74C2" w:rsidRPr="00792A32" w:rsidRDefault="00DB74C2" w:rsidP="00DB74C2">
      <w:pPr>
        <w:pStyle w:val="Heading2"/>
      </w:pPr>
      <w:bookmarkStart w:id="9" w:name="_Toc50495801"/>
      <w:r>
        <w:t>III. Submission overview</w:t>
      </w:r>
      <w:r w:rsidRPr="00792A32">
        <w:t xml:space="preserve"> and </w:t>
      </w:r>
      <w:r>
        <w:t>r</w:t>
      </w:r>
      <w:r w:rsidRPr="00792A32">
        <w:t>isk/</w:t>
      </w:r>
      <w:r>
        <w:t>b</w:t>
      </w:r>
      <w:r w:rsidRPr="00792A32">
        <w:t xml:space="preserve">enefit </w:t>
      </w:r>
      <w:r>
        <w:t>a</w:t>
      </w:r>
      <w:r w:rsidRPr="00792A32">
        <w:t>ssessment</w:t>
      </w:r>
      <w:bookmarkEnd w:id="9"/>
    </w:p>
    <w:p w14:paraId="16FF8D92" w14:textId="77777777" w:rsidR="00DB74C2" w:rsidRDefault="00DB74C2" w:rsidP="00DB74C2">
      <w:r>
        <w:t xml:space="preserve">The submission was summarised in the following </w:t>
      </w:r>
      <w:r w:rsidRPr="00EF5C48">
        <w:t xml:space="preserve">Delegate’s </w:t>
      </w:r>
      <w:r>
        <w:t>overview</w:t>
      </w:r>
      <w:r w:rsidRPr="00EF5C48">
        <w:t xml:space="preserve"> and recommendation</w:t>
      </w:r>
      <w:r>
        <w:t>s.</w:t>
      </w:r>
    </w:p>
    <w:p w14:paraId="64E6D3A8" w14:textId="77777777" w:rsidR="00DB74C2" w:rsidRDefault="00DB74C2" w:rsidP="00DB74C2">
      <w:pPr>
        <w:pStyle w:val="Heading3"/>
      </w:pPr>
      <w:bookmarkStart w:id="10" w:name="_Toc50495802"/>
      <w:r>
        <w:t>Quality</w:t>
      </w:r>
      <w:bookmarkEnd w:id="10"/>
    </w:p>
    <w:p w14:paraId="0652C806" w14:textId="77777777" w:rsidR="00DB74C2" w:rsidRDefault="00DB74C2" w:rsidP="00DB74C2">
      <w:pPr>
        <w:rPr>
          <w:color w:val="000000"/>
          <w:shd w:val="clear" w:color="auto" w:fill="FFFFFF"/>
        </w:rPr>
      </w:pPr>
      <w:proofErr w:type="spellStart"/>
      <w:r w:rsidRPr="005728AF">
        <w:rPr>
          <w:lang w:eastAsia="en-AU"/>
        </w:rPr>
        <w:t>Gilteritinib</w:t>
      </w:r>
      <w:proofErr w:type="spellEnd"/>
      <w:r w:rsidRPr="005728AF">
        <w:rPr>
          <w:lang w:eastAsia="en-AU"/>
        </w:rPr>
        <w:t xml:space="preserve"> is an orally available small</w:t>
      </w:r>
      <w:r>
        <w:rPr>
          <w:lang w:eastAsia="en-AU"/>
        </w:rPr>
        <w:t xml:space="preserve"> molecule inhibitor of </w:t>
      </w:r>
      <w:r w:rsidRPr="005728AF">
        <w:rPr>
          <w:lang w:eastAsia="en-AU"/>
        </w:rPr>
        <w:t>FLT3 which is used as an antineoplastic agent in the treatment of acute myeloid leukaemia with FLT3 mutations.</w:t>
      </w:r>
      <w:r w:rsidRPr="005728AF">
        <w:t xml:space="preserve"> </w:t>
      </w:r>
      <w:r w:rsidRPr="005728AF">
        <w:rPr>
          <w:lang w:eastAsia="en-AU"/>
        </w:rPr>
        <w:t xml:space="preserve">It is a </w:t>
      </w:r>
      <w:proofErr w:type="spellStart"/>
      <w:r w:rsidRPr="005728AF">
        <w:rPr>
          <w:lang w:eastAsia="en-AU"/>
        </w:rPr>
        <w:t>pyrazinecarboxamide</w:t>
      </w:r>
      <w:proofErr w:type="spellEnd"/>
      <w:r w:rsidRPr="005728AF">
        <w:rPr>
          <w:lang w:eastAsia="en-AU"/>
        </w:rPr>
        <w:t xml:space="preserve"> derivative that showed high </w:t>
      </w:r>
      <w:r w:rsidRPr="00D47CA2">
        <w:rPr>
          <w:lang w:eastAsia="en-AU"/>
        </w:rPr>
        <w:t>selectivity, potency, and activity against all classes of FLT3-activating mutations</w:t>
      </w:r>
      <w:r w:rsidRPr="005728AF">
        <w:rPr>
          <w:lang w:eastAsia="en-AU"/>
        </w:rPr>
        <w:t>.</w:t>
      </w:r>
      <w:r w:rsidRPr="00D47CA2">
        <w:rPr>
          <w:color w:val="000000"/>
          <w:shd w:val="clear" w:color="auto" w:fill="FFFFFF"/>
        </w:rPr>
        <w:t xml:space="preserve"> </w:t>
      </w:r>
      <w:r>
        <w:rPr>
          <w:color w:val="000000"/>
          <w:shd w:val="clear" w:color="auto" w:fill="FFFFFF"/>
        </w:rPr>
        <w:t xml:space="preserve">In addition to FLT3, data from the kinase selectivity assay indicated that </w:t>
      </w:r>
      <w:proofErr w:type="spellStart"/>
      <w:r>
        <w:rPr>
          <w:color w:val="000000"/>
          <w:shd w:val="clear" w:color="auto" w:fill="FFFFFF"/>
        </w:rPr>
        <w:t>gilteritinib</w:t>
      </w:r>
      <w:proofErr w:type="spellEnd"/>
      <w:r>
        <w:rPr>
          <w:color w:val="000000"/>
          <w:shd w:val="clear" w:color="auto" w:fill="FFFFFF"/>
        </w:rPr>
        <w:t xml:space="preserve"> has activity against receptor tyrosine kinase </w:t>
      </w:r>
      <w:proofErr w:type="spellStart"/>
      <w:r>
        <w:rPr>
          <w:color w:val="000000"/>
          <w:shd w:val="clear" w:color="auto" w:fill="FFFFFF"/>
        </w:rPr>
        <w:t>Axl</w:t>
      </w:r>
      <w:proofErr w:type="spellEnd"/>
      <w:r>
        <w:rPr>
          <w:color w:val="000000"/>
          <w:shd w:val="clear" w:color="auto" w:fill="FFFFFF"/>
        </w:rPr>
        <w:t xml:space="preserve">, which may modulate the activity of FLT3 in </w:t>
      </w:r>
      <w:r w:rsidRPr="00D47CA2">
        <w:rPr>
          <w:color w:val="000000"/>
          <w:shd w:val="clear" w:color="auto" w:fill="FFFFFF"/>
        </w:rPr>
        <w:t>AML</w:t>
      </w:r>
      <w:r>
        <w:rPr>
          <w:color w:val="000000"/>
          <w:shd w:val="clear" w:color="auto" w:fill="FFFFFF"/>
        </w:rPr>
        <w:t xml:space="preserve">. The structure of </w:t>
      </w:r>
      <w:proofErr w:type="spellStart"/>
      <w:r>
        <w:rPr>
          <w:color w:val="000000"/>
          <w:shd w:val="clear" w:color="auto" w:fill="FFFFFF"/>
        </w:rPr>
        <w:t>gilteritinib</w:t>
      </w:r>
      <w:proofErr w:type="spellEnd"/>
      <w:r>
        <w:rPr>
          <w:color w:val="000000"/>
          <w:shd w:val="clear" w:color="auto" w:fill="FFFFFF"/>
        </w:rPr>
        <w:t xml:space="preserve"> fumarate is shown below.</w:t>
      </w:r>
    </w:p>
    <w:p w14:paraId="30D0488D" w14:textId="46CC8057" w:rsidR="00DB74C2" w:rsidRPr="00F400D5" w:rsidRDefault="00DB74C2" w:rsidP="00D27297">
      <w:pPr>
        <w:pStyle w:val="FigureTitle"/>
        <w:rPr>
          <w:color w:val="000000"/>
          <w:shd w:val="clear" w:color="auto" w:fill="FFFFFF"/>
        </w:rPr>
      </w:pPr>
      <w:r w:rsidRPr="00F400D5">
        <w:lastRenderedPageBreak/>
        <w:t xml:space="preserve">Figure </w:t>
      </w:r>
      <w:fldSimple w:instr=" SEQ Figure \* ARABIC ">
        <w:r w:rsidR="00C16AF1">
          <w:rPr>
            <w:noProof/>
          </w:rPr>
          <w:t>1</w:t>
        </w:r>
      </w:fldSimple>
      <w:r w:rsidR="007B4223">
        <w:t>.</w:t>
      </w:r>
      <w:r w:rsidRPr="00F400D5">
        <w:t xml:space="preserve"> </w:t>
      </w:r>
      <w:r w:rsidRPr="00F400D5">
        <w:rPr>
          <w:color w:val="000000"/>
          <w:shd w:val="clear" w:color="auto" w:fill="FFFFFF"/>
        </w:rPr>
        <w:t xml:space="preserve">Structure of </w:t>
      </w:r>
      <w:proofErr w:type="spellStart"/>
      <w:r w:rsidRPr="00F400D5">
        <w:rPr>
          <w:color w:val="000000"/>
          <w:shd w:val="clear" w:color="auto" w:fill="FFFFFF"/>
        </w:rPr>
        <w:t>gilteritinib</w:t>
      </w:r>
      <w:proofErr w:type="spellEnd"/>
      <w:r w:rsidRPr="00F400D5">
        <w:rPr>
          <w:color w:val="000000"/>
          <w:shd w:val="clear" w:color="auto" w:fill="FFFFFF"/>
        </w:rPr>
        <w:t xml:space="preserve"> fumarate</w:t>
      </w:r>
    </w:p>
    <w:p w14:paraId="417C0FCE" w14:textId="77777777" w:rsidR="00DB74C2" w:rsidRPr="003032F9" w:rsidRDefault="00DB74C2" w:rsidP="00DB74C2">
      <w:pPr>
        <w:keepNext/>
      </w:pPr>
      <w:r>
        <w:rPr>
          <w:noProof/>
          <w:lang w:eastAsia="en-AU"/>
        </w:rPr>
        <w:drawing>
          <wp:inline distT="0" distB="0" distL="0" distR="0" wp14:anchorId="4C212D7C" wp14:editId="2FDADB4B">
            <wp:extent cx="5400040" cy="2178050"/>
            <wp:effectExtent l="0" t="0" r="0" b="0"/>
            <wp:docPr id="1" name="Picture 1" descr="Structure of gilteritinib fuma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2178050"/>
                    </a:xfrm>
                    <a:prstGeom prst="rect">
                      <a:avLst/>
                    </a:prstGeom>
                  </pic:spPr>
                </pic:pic>
              </a:graphicData>
            </a:graphic>
          </wp:inline>
        </w:drawing>
      </w:r>
    </w:p>
    <w:p w14:paraId="4F772FB8" w14:textId="77777777" w:rsidR="00DB74C2" w:rsidRDefault="00DB74C2" w:rsidP="00DB74C2">
      <w:pPr>
        <w:rPr>
          <w:lang w:eastAsia="en-AU"/>
        </w:rPr>
      </w:pPr>
      <w:r w:rsidRPr="000306DF">
        <w:rPr>
          <w:lang w:eastAsia="en-AU"/>
        </w:rPr>
        <w:t xml:space="preserve">The primary packaging for </w:t>
      </w:r>
      <w:proofErr w:type="spellStart"/>
      <w:r w:rsidRPr="005103EB">
        <w:rPr>
          <w:lang w:eastAsia="en-AU"/>
        </w:rPr>
        <w:t>gilteritinib</w:t>
      </w:r>
      <w:proofErr w:type="spellEnd"/>
      <w:r w:rsidRPr="005103EB">
        <w:rPr>
          <w:lang w:eastAsia="en-AU"/>
        </w:rPr>
        <w:t xml:space="preserve"> (as fumarate) 40 mg </w:t>
      </w:r>
      <w:r w:rsidRPr="000306DF">
        <w:rPr>
          <w:lang w:eastAsia="en-AU"/>
        </w:rPr>
        <w:t xml:space="preserve">film-coated tablets consists of </w:t>
      </w:r>
      <w:r w:rsidRPr="00A63415">
        <w:rPr>
          <w:lang w:eastAsia="en-AU"/>
        </w:rPr>
        <w:t xml:space="preserve">OPA/aluminium/PVC/aluminium blisters </w:t>
      </w:r>
      <w:r>
        <w:rPr>
          <w:lang w:eastAsia="en-AU"/>
        </w:rPr>
        <w:t>(</w:t>
      </w:r>
      <w:r w:rsidRPr="00A63415">
        <w:rPr>
          <w:lang w:eastAsia="en-AU"/>
        </w:rPr>
        <w:t xml:space="preserve">containing 21 </w:t>
      </w:r>
      <w:r>
        <w:rPr>
          <w:lang w:eastAsia="en-AU"/>
        </w:rPr>
        <w:t>tablets)</w:t>
      </w:r>
      <w:r w:rsidRPr="000306DF">
        <w:rPr>
          <w:lang w:eastAsia="en-AU"/>
        </w:rPr>
        <w:t>.</w:t>
      </w:r>
    </w:p>
    <w:p w14:paraId="2A6E968A" w14:textId="68E1E328" w:rsidR="00DB74C2" w:rsidRPr="00247843" w:rsidRDefault="00DB74C2" w:rsidP="00DB74C2">
      <w:pPr>
        <w:rPr>
          <w:lang w:eastAsia="en-AU"/>
        </w:rPr>
      </w:pPr>
      <w:r w:rsidRPr="00B04F93">
        <w:rPr>
          <w:lang w:eastAsia="en-AU"/>
        </w:rPr>
        <w:t>A food-effect study (</w:t>
      </w:r>
      <w:r>
        <w:rPr>
          <w:lang w:eastAsia="en-AU"/>
        </w:rPr>
        <w:t xml:space="preserve">Study </w:t>
      </w:r>
      <w:r w:rsidRPr="00A63415">
        <w:rPr>
          <w:lang w:eastAsia="en-AU"/>
        </w:rPr>
        <w:t>2215-CL-0113</w:t>
      </w:r>
      <w:r w:rsidRPr="00B04F93">
        <w:rPr>
          <w:lang w:eastAsia="en-AU"/>
        </w:rPr>
        <w:t xml:space="preserve">) </w:t>
      </w:r>
      <w:r>
        <w:rPr>
          <w:lang w:eastAsia="en-AU"/>
        </w:rPr>
        <w:t>and relative bioavailability study (Study 2215</w:t>
      </w:r>
      <w:r w:rsidR="006624BE">
        <w:rPr>
          <w:lang w:eastAsia="en-AU"/>
        </w:rPr>
        <w:noBreakHyphen/>
      </w:r>
      <w:r>
        <w:rPr>
          <w:lang w:eastAsia="en-AU"/>
        </w:rPr>
        <w:t>CL-0110</w:t>
      </w:r>
      <w:r w:rsidRPr="00A63415">
        <w:rPr>
          <w:lang w:eastAsia="en-AU"/>
        </w:rPr>
        <w:t xml:space="preserve">) </w:t>
      </w:r>
      <w:r>
        <w:rPr>
          <w:lang w:eastAsia="en-AU"/>
        </w:rPr>
        <w:t>were</w:t>
      </w:r>
      <w:r w:rsidRPr="00B04F93">
        <w:rPr>
          <w:lang w:eastAsia="en-AU"/>
        </w:rPr>
        <w:t xml:space="preserve"> conducted in healthy adult </w:t>
      </w:r>
      <w:r>
        <w:rPr>
          <w:lang w:eastAsia="en-AU"/>
        </w:rPr>
        <w:t xml:space="preserve">subjects. The results of the food effect </w:t>
      </w:r>
      <w:r w:rsidRPr="00B04F93">
        <w:rPr>
          <w:lang w:eastAsia="en-AU"/>
        </w:rPr>
        <w:t xml:space="preserve">study </w:t>
      </w:r>
      <w:r>
        <w:rPr>
          <w:lang w:eastAsia="en-AU"/>
        </w:rPr>
        <w:t>are discussed in the ‘</w:t>
      </w:r>
      <w:r w:rsidRPr="00021165">
        <w:rPr>
          <w:i/>
          <w:lang w:eastAsia="en-AU"/>
        </w:rPr>
        <w:t>Pharmacology</w:t>
      </w:r>
      <w:r>
        <w:rPr>
          <w:lang w:eastAsia="en-AU"/>
        </w:rPr>
        <w:t>’ section, below</w:t>
      </w:r>
      <w:r w:rsidRPr="00B04F93">
        <w:rPr>
          <w:lang w:eastAsia="en-AU"/>
        </w:rPr>
        <w:t>.</w:t>
      </w:r>
    </w:p>
    <w:p w14:paraId="6F91E6CD" w14:textId="77777777" w:rsidR="00DB74C2" w:rsidRDefault="00DB74C2" w:rsidP="00DB74C2">
      <w:pPr>
        <w:rPr>
          <w:lang w:eastAsia="en-AU"/>
        </w:rPr>
      </w:pPr>
      <w:r w:rsidRPr="00A63415">
        <w:rPr>
          <w:lang w:eastAsia="en-AU"/>
        </w:rPr>
        <w:t>The recommended starting dose is 120 mg (three 40 mg tablets) once daily.</w:t>
      </w:r>
      <w:r w:rsidRPr="00A63415">
        <w:t xml:space="preserve"> </w:t>
      </w:r>
      <w:r>
        <w:rPr>
          <w:lang w:eastAsia="en-AU"/>
        </w:rPr>
        <w:t>In the absence of a response after 4 weeks of treatment, the dose can be increased to 200 mg (five 40 mg tablets) once daily.</w:t>
      </w:r>
    </w:p>
    <w:p w14:paraId="4B5028EE" w14:textId="3CAC3D02" w:rsidR="00DB74C2" w:rsidRDefault="00DB74C2" w:rsidP="00DB74C2">
      <w:pPr>
        <w:rPr>
          <w:lang w:eastAsia="en-AU"/>
        </w:rPr>
      </w:pPr>
      <w:r w:rsidRPr="003425D5">
        <w:rPr>
          <w:lang w:eastAsia="en-AU"/>
        </w:rPr>
        <w:t xml:space="preserve">The proposed </w:t>
      </w:r>
      <w:r>
        <w:rPr>
          <w:lang w:eastAsia="en-AU"/>
        </w:rPr>
        <w:t xml:space="preserve">shelf life for the product is 48 months, store </w:t>
      </w:r>
      <w:r w:rsidR="00A326B9">
        <w:rPr>
          <w:lang w:eastAsia="en-AU"/>
        </w:rPr>
        <w:t xml:space="preserve">below </w:t>
      </w:r>
      <w:r>
        <w:rPr>
          <w:lang w:eastAsia="en-AU"/>
        </w:rPr>
        <w:t>25°C</w:t>
      </w:r>
      <w:r w:rsidRPr="003425D5">
        <w:rPr>
          <w:lang w:eastAsia="en-AU"/>
        </w:rPr>
        <w:t>.</w:t>
      </w:r>
    </w:p>
    <w:p w14:paraId="5D3F0003" w14:textId="77777777" w:rsidR="00DB74C2" w:rsidRDefault="00DB74C2" w:rsidP="001316B8">
      <w:r w:rsidRPr="00615737">
        <w:t xml:space="preserve">The application and the supporting data relating to the composition, development, manufacture, quality control, stability and bioavailability of the product </w:t>
      </w:r>
      <w:proofErr w:type="gramStart"/>
      <w:r w:rsidRPr="00615737">
        <w:t xml:space="preserve">have been assessed and checked for compliance, as applicable, with Australian legislation and requirements for new medicines and in accordance with </w:t>
      </w:r>
      <w:proofErr w:type="spellStart"/>
      <w:r w:rsidRPr="00615737">
        <w:t>pharmacopoeial</w:t>
      </w:r>
      <w:proofErr w:type="spellEnd"/>
      <w:r w:rsidRPr="00615737">
        <w:t xml:space="preserve"> standards and the technical guidelines adopted by the TGA</w:t>
      </w:r>
      <w:proofErr w:type="gramEnd"/>
      <w:r w:rsidRPr="00615737">
        <w:t>.</w:t>
      </w:r>
    </w:p>
    <w:p w14:paraId="54F04CDA" w14:textId="77777777" w:rsidR="00DB74C2" w:rsidRDefault="00DB74C2" w:rsidP="00DB74C2">
      <w:r w:rsidRPr="00370DEF">
        <w:t xml:space="preserve">The justification for not providing study data to demonstrate absolute bioavailability </w:t>
      </w:r>
      <w:proofErr w:type="gramStart"/>
      <w:r w:rsidRPr="00370DEF">
        <w:t>wi</w:t>
      </w:r>
      <w:r>
        <w:t>ll be referred</w:t>
      </w:r>
      <w:proofErr w:type="gramEnd"/>
      <w:r>
        <w:t xml:space="preserve"> to the clinical D</w:t>
      </w:r>
      <w:r w:rsidRPr="00370DEF">
        <w:t>elegate.</w:t>
      </w:r>
    </w:p>
    <w:p w14:paraId="21C13844" w14:textId="77777777" w:rsidR="00DB74C2" w:rsidRDefault="00DB74C2" w:rsidP="00DB74C2">
      <w:r>
        <w:t>Conclusions relating to food effects will be referred to the clinical Delegate.</w:t>
      </w:r>
    </w:p>
    <w:p w14:paraId="0C983FDB" w14:textId="77777777" w:rsidR="00DB74C2" w:rsidRPr="00370DEF" w:rsidRDefault="00DB74C2" w:rsidP="00DB74C2">
      <w:r>
        <w:t>Various aspects require toxicological comment as noted.</w:t>
      </w:r>
    </w:p>
    <w:p w14:paraId="47D65C0C" w14:textId="77777777" w:rsidR="00DB74C2" w:rsidRPr="00615737" w:rsidRDefault="00DB74C2" w:rsidP="00DB74C2">
      <w:pPr>
        <w:pStyle w:val="Heading4"/>
      </w:pPr>
      <w:r>
        <w:t>Recommendation</w:t>
      </w:r>
    </w:p>
    <w:p w14:paraId="059607A3" w14:textId="7B61ABF5" w:rsidR="00DB74C2" w:rsidRDefault="00DB74C2" w:rsidP="00DB74C2">
      <w:r w:rsidRPr="006A33C1">
        <w:t xml:space="preserve">The </w:t>
      </w:r>
      <w:r>
        <w:t>quality</w:t>
      </w:r>
      <w:r w:rsidRPr="006A33C1">
        <w:t xml:space="preserve"> evaluator has raised no ob</w:t>
      </w:r>
      <w:r>
        <w:t xml:space="preserve">jection to the registration of </w:t>
      </w:r>
      <w:proofErr w:type="spellStart"/>
      <w:r w:rsidR="006624BE">
        <w:t>Xospata</w:t>
      </w:r>
      <w:proofErr w:type="spellEnd"/>
      <w:r w:rsidR="006624BE">
        <w:t xml:space="preserve"> </w:t>
      </w:r>
      <w:proofErr w:type="spellStart"/>
      <w:r>
        <w:t>g</w:t>
      </w:r>
      <w:r w:rsidRPr="006A33C1">
        <w:t>ilteritinib</w:t>
      </w:r>
      <w:proofErr w:type="spellEnd"/>
      <w:r w:rsidR="006624BE">
        <w:t xml:space="preserve"> fumarate</w:t>
      </w:r>
      <w:r w:rsidRPr="006A33C1">
        <w:t xml:space="preserve"> based on the finalised product details outlined in their report.</w:t>
      </w:r>
    </w:p>
    <w:p w14:paraId="67AFB26F" w14:textId="77777777" w:rsidR="00DB74C2" w:rsidRDefault="00DB74C2" w:rsidP="00DB74C2">
      <w:pPr>
        <w:pStyle w:val="Heading3"/>
      </w:pPr>
      <w:bookmarkStart w:id="11" w:name="_Toc50495803"/>
      <w:r>
        <w:t>Nonclinical</w:t>
      </w:r>
      <w:bookmarkEnd w:id="11"/>
    </w:p>
    <w:p w14:paraId="5A5D2B55" w14:textId="672EC4F9" w:rsidR="00DB74C2" w:rsidRPr="00C77CF8" w:rsidRDefault="007B4223" w:rsidP="00DB74C2">
      <w:r>
        <w:t>The non</w:t>
      </w:r>
      <w:r w:rsidR="00DB74C2" w:rsidRPr="00C77CF8">
        <w:t xml:space="preserve">clinical evaluator has raised no objections to the registration of </w:t>
      </w:r>
      <w:proofErr w:type="spellStart"/>
      <w:r w:rsidR="006624BE">
        <w:t>Xospata</w:t>
      </w:r>
      <w:proofErr w:type="spellEnd"/>
      <w:r w:rsidR="006624BE">
        <w:t xml:space="preserve"> </w:t>
      </w:r>
      <w:proofErr w:type="spellStart"/>
      <w:r w:rsidR="006624BE">
        <w:t>g</w:t>
      </w:r>
      <w:r w:rsidR="00DB74C2" w:rsidRPr="00C77CF8">
        <w:t>ilteritinib</w:t>
      </w:r>
      <w:proofErr w:type="spellEnd"/>
      <w:r w:rsidR="006624BE">
        <w:t xml:space="preserve"> fumarate</w:t>
      </w:r>
      <w:r w:rsidR="00DB74C2" w:rsidRPr="00C77CF8">
        <w:t xml:space="preserve"> but has recommended amendments to the </w:t>
      </w:r>
      <w:r w:rsidR="00DB74C2">
        <w:t>PI</w:t>
      </w:r>
      <w:r w:rsidR="00DB74C2" w:rsidRPr="00C77CF8">
        <w:t xml:space="preserve"> as outlined </w:t>
      </w:r>
      <w:r w:rsidR="00DB74C2">
        <w:t>in</w:t>
      </w:r>
      <w:r w:rsidR="00DB74C2" w:rsidRPr="00C77CF8">
        <w:t xml:space="preserve"> the </w:t>
      </w:r>
      <w:r w:rsidR="00DB74C2">
        <w:t>nonc</w:t>
      </w:r>
      <w:r w:rsidR="00DB74C2" w:rsidRPr="00C77CF8">
        <w:t>linical report.</w:t>
      </w:r>
    </w:p>
    <w:p w14:paraId="43544202" w14:textId="77777777" w:rsidR="00DB74C2" w:rsidRPr="00C77CF8" w:rsidRDefault="00DB74C2" w:rsidP="00DB74C2">
      <w:r w:rsidRPr="00C77CF8">
        <w:t>The nonclinical evaluator has noted the following issues of potential clinical relevance:</w:t>
      </w:r>
    </w:p>
    <w:p w14:paraId="1275104F" w14:textId="24729156" w:rsidR="00DB74C2" w:rsidRPr="00C77CF8" w:rsidRDefault="00DB74C2" w:rsidP="009152B8">
      <w:pPr>
        <w:pStyle w:val="ListBullet"/>
      </w:pPr>
      <w:proofErr w:type="gramStart"/>
      <w:r w:rsidRPr="00C77CF8">
        <w:t>off–target</w:t>
      </w:r>
      <w:proofErr w:type="gramEnd"/>
      <w:r w:rsidRPr="00C77CF8">
        <w:t xml:space="preserve"> effects on other tyrosine kinases (</w:t>
      </w:r>
      <w:r w:rsidR="0017416F">
        <w:t>leukocyte tyrosine kinase (</w:t>
      </w:r>
      <w:r w:rsidRPr="00C77CF8">
        <w:t>LTK</w:t>
      </w:r>
      <w:r w:rsidR="0017416F">
        <w:t>)</w:t>
      </w:r>
      <w:r w:rsidR="009152B8">
        <w:t>;</w:t>
      </w:r>
      <w:r w:rsidRPr="00C77CF8">
        <w:t xml:space="preserve"> </w:t>
      </w:r>
      <w:proofErr w:type="spellStart"/>
      <w:r w:rsidR="0017416F">
        <w:t>n</w:t>
      </w:r>
      <w:r w:rsidR="0017416F" w:rsidRPr="0017416F">
        <w:t>ucleophosmin</w:t>
      </w:r>
      <w:proofErr w:type="spellEnd"/>
      <w:r w:rsidR="009152B8">
        <w:t>-anaplastic lymphoma kinase</w:t>
      </w:r>
      <w:r w:rsidR="0017416F" w:rsidRPr="0017416F">
        <w:t xml:space="preserve"> </w:t>
      </w:r>
      <w:r w:rsidR="009152B8">
        <w:t>(</w:t>
      </w:r>
      <w:r w:rsidRPr="00C77CF8">
        <w:t>NPM1-ALK</w:t>
      </w:r>
      <w:r w:rsidR="009152B8">
        <w:t>);</w:t>
      </w:r>
      <w:r w:rsidRPr="00C77CF8">
        <w:t xml:space="preserve"> AXL</w:t>
      </w:r>
      <w:r w:rsidR="009152B8">
        <w:t>;</w:t>
      </w:r>
      <w:r w:rsidRPr="00C77CF8">
        <w:t xml:space="preserve"> </w:t>
      </w:r>
      <w:r w:rsidR="0017416F" w:rsidRPr="0017416F">
        <w:t xml:space="preserve">anaplastic lymphoma kinase </w:t>
      </w:r>
      <w:r w:rsidR="0017416F">
        <w:t>(</w:t>
      </w:r>
      <w:r w:rsidRPr="00C77CF8">
        <w:t>ALK</w:t>
      </w:r>
      <w:r w:rsidR="0017416F">
        <w:t>)</w:t>
      </w:r>
      <w:r w:rsidR="009152B8">
        <w:t>;</w:t>
      </w:r>
      <w:r w:rsidRPr="00C77CF8">
        <w:t xml:space="preserve"> </w:t>
      </w:r>
      <w:r w:rsidR="0017416F">
        <w:t>t</w:t>
      </w:r>
      <w:r w:rsidR="0017416F" w:rsidRPr="0017416F">
        <w:t xml:space="preserve">ropomyosin receptor kinase A </w:t>
      </w:r>
      <w:r w:rsidR="0017416F">
        <w:t>(</w:t>
      </w:r>
      <w:r w:rsidRPr="00C77CF8">
        <w:t>TRKA</w:t>
      </w:r>
      <w:r w:rsidR="0017416F">
        <w:t>)</w:t>
      </w:r>
      <w:r w:rsidR="009152B8">
        <w:t>; the</w:t>
      </w:r>
      <w:r w:rsidRPr="00C77CF8">
        <w:t xml:space="preserve"> </w:t>
      </w:r>
      <w:r w:rsidR="0017416F">
        <w:t>p</w:t>
      </w:r>
      <w:r w:rsidR="0017416F" w:rsidRPr="0017416F">
        <w:t>roto-oncogene tyrosine-</w:t>
      </w:r>
      <w:r w:rsidR="0017416F" w:rsidRPr="0017416F">
        <w:lastRenderedPageBreak/>
        <w:t>protein kinase</w:t>
      </w:r>
      <w:r w:rsidR="0017416F">
        <w:t>s</w:t>
      </w:r>
      <w:r w:rsidR="0017416F" w:rsidRPr="0017416F">
        <w:t xml:space="preserve"> </w:t>
      </w:r>
      <w:r w:rsidRPr="00C77CF8">
        <w:t>ROS, RET</w:t>
      </w:r>
      <w:r w:rsidR="009152B8">
        <w:t xml:space="preserve"> and </w:t>
      </w:r>
      <w:r w:rsidRPr="00C77CF8">
        <w:t>MER</w:t>
      </w:r>
      <w:r w:rsidR="009152B8">
        <w:t>;</w:t>
      </w:r>
      <w:r w:rsidRPr="00C77CF8">
        <w:t xml:space="preserve"> and </w:t>
      </w:r>
      <w:r w:rsidR="009152B8" w:rsidRPr="009152B8">
        <w:t>echinoderm microt</w:t>
      </w:r>
      <w:r w:rsidR="009152B8">
        <w:t>ubule-associated protein-like 4-anaplastic lymphoma kinase (</w:t>
      </w:r>
      <w:r w:rsidRPr="00C77CF8">
        <w:t>EML4</w:t>
      </w:r>
      <w:r w:rsidRPr="00C77CF8">
        <w:noBreakHyphen/>
        <w:t>ALK)</w:t>
      </w:r>
      <w:r w:rsidR="009152B8">
        <w:t>)</w:t>
      </w:r>
      <w:r w:rsidRPr="00C77CF8">
        <w:t xml:space="preserve"> and the non-selective sigma receptor</w:t>
      </w:r>
      <w:r w:rsidR="009152B8">
        <w:t>.</w:t>
      </w:r>
    </w:p>
    <w:p w14:paraId="2FFF686A" w14:textId="77777777" w:rsidR="00DB74C2" w:rsidRPr="00C77CF8" w:rsidRDefault="00DB74C2" w:rsidP="00DB74C2">
      <w:pPr>
        <w:pStyle w:val="ListBullet"/>
        <w:numPr>
          <w:ilvl w:val="0"/>
          <w:numId w:val="3"/>
        </w:numPr>
      </w:pPr>
      <w:r w:rsidRPr="00C77CF8">
        <w:t>inhibition of the serotonin 5HT</w:t>
      </w:r>
      <w:r w:rsidRPr="00C77CF8">
        <w:rPr>
          <w:vertAlign w:val="subscript"/>
        </w:rPr>
        <w:t>2B</w:t>
      </w:r>
      <w:r w:rsidRPr="00C77CF8">
        <w:t xml:space="preserve"> receptor; caution would be warranted if co</w:t>
      </w:r>
      <w:r w:rsidRPr="00C77CF8">
        <w:noBreakHyphen/>
        <w:t>administration with medicinal products that target this receptor were necessary, and adverse pre/postnatal effects on the cardiac development of offspring may occur if taken during pregnancy</w:t>
      </w:r>
    </w:p>
    <w:p w14:paraId="74556972" w14:textId="77777777" w:rsidR="00DB74C2" w:rsidRPr="00C77CF8" w:rsidRDefault="00DB74C2" w:rsidP="00DB74C2">
      <w:pPr>
        <w:pStyle w:val="ListBullet"/>
        <w:numPr>
          <w:ilvl w:val="0"/>
          <w:numId w:val="3"/>
        </w:numPr>
      </w:pPr>
      <w:r w:rsidRPr="00C77CF8">
        <w:t>a number of potential pharmacokinetic drug interactions; some of these have been addressed with clinical data</w:t>
      </w:r>
    </w:p>
    <w:p w14:paraId="0BBB2A6F" w14:textId="77777777" w:rsidR="00DB74C2" w:rsidRPr="00C77CF8" w:rsidRDefault="00DB74C2" w:rsidP="00DB74C2">
      <w:pPr>
        <w:pStyle w:val="ListBullet"/>
        <w:numPr>
          <w:ilvl w:val="0"/>
          <w:numId w:val="3"/>
        </w:numPr>
      </w:pPr>
      <w:r w:rsidRPr="00C77CF8">
        <w:t>effects on the gastrointestinal, haematological and hepatic systems of patients may be expected</w:t>
      </w:r>
    </w:p>
    <w:p w14:paraId="2657AD15" w14:textId="55C67C0C" w:rsidR="00DB74C2" w:rsidRPr="00C77CF8" w:rsidRDefault="00DB74C2" w:rsidP="00DB74C2">
      <w:pPr>
        <w:pStyle w:val="ListBullet"/>
        <w:numPr>
          <w:ilvl w:val="0"/>
          <w:numId w:val="3"/>
        </w:numPr>
      </w:pPr>
      <w:proofErr w:type="spellStart"/>
      <w:proofErr w:type="gramStart"/>
      <w:r w:rsidRPr="00C77CF8">
        <w:t>gilteritinib</w:t>
      </w:r>
      <w:proofErr w:type="spellEnd"/>
      <w:proofErr w:type="gramEnd"/>
      <w:r w:rsidRPr="00C77CF8">
        <w:t xml:space="preserve"> </w:t>
      </w:r>
      <w:r w:rsidR="002D6D21">
        <w:t xml:space="preserve">induced </w:t>
      </w:r>
      <w:r w:rsidR="002D6D21" w:rsidRPr="00E56F43">
        <w:rPr>
          <w:i/>
        </w:rPr>
        <w:t>in vivo</w:t>
      </w:r>
      <w:r w:rsidR="002D6D21">
        <w:t xml:space="preserve"> chromosomal aberrations and was teratogenic.</w:t>
      </w:r>
    </w:p>
    <w:p w14:paraId="0C97C06B" w14:textId="77777777" w:rsidR="00DB74C2" w:rsidRPr="00C77CF8" w:rsidRDefault="00DB74C2" w:rsidP="00DB74C2">
      <w:r w:rsidRPr="00C77CF8">
        <w:t xml:space="preserve">The Delegate notes that the serotonergic effects are addressed in the </w:t>
      </w:r>
      <w:r>
        <w:t>PI</w:t>
      </w:r>
      <w:r w:rsidRPr="00C77CF8">
        <w:t xml:space="preserve">, and the potential drug interactions are mitigated by </w:t>
      </w:r>
      <w:r>
        <w:t>pharmacokinetic (</w:t>
      </w:r>
      <w:r w:rsidRPr="00C77CF8">
        <w:t>PK</w:t>
      </w:r>
      <w:r>
        <w:t>)</w:t>
      </w:r>
      <w:r w:rsidRPr="00C77CF8">
        <w:t xml:space="preserve"> modelling in the clinical trial program.</w:t>
      </w:r>
    </w:p>
    <w:p w14:paraId="34BD8EC8" w14:textId="77777777" w:rsidR="00DB74C2" w:rsidRDefault="00DB74C2" w:rsidP="00DB74C2">
      <w:pPr>
        <w:pStyle w:val="Heading3"/>
      </w:pPr>
      <w:bookmarkStart w:id="12" w:name="_Toc50495804"/>
      <w:r>
        <w:t>Clinical</w:t>
      </w:r>
      <w:bookmarkEnd w:id="12"/>
    </w:p>
    <w:p w14:paraId="671B5430" w14:textId="77777777" w:rsidR="00DB74C2" w:rsidRDefault="00DB74C2" w:rsidP="00DB74C2">
      <w:r>
        <w:t>The clinical dossier contained:</w:t>
      </w:r>
    </w:p>
    <w:p w14:paraId="1E79A4DC" w14:textId="7A4F61E6" w:rsidR="00DB74C2" w:rsidRDefault="00DB74C2" w:rsidP="00DB74C2">
      <w:pPr>
        <w:pStyle w:val="ListBullet"/>
        <w:numPr>
          <w:ilvl w:val="0"/>
          <w:numId w:val="3"/>
        </w:numPr>
      </w:pPr>
      <w:r>
        <w:t>2 biopharmaceutical studies in healthy volunteers (1 comparative bioavailability study and 1 food effect study); 1 drug-drug interaction study in health volunteers; 1 PK study in healthy volunteers and patients with hepatic impairment; 1</w:t>
      </w:r>
      <w:r w:rsidR="009152B8">
        <w:t> </w:t>
      </w:r>
      <w:r>
        <w:t xml:space="preserve">absorption, distribution, metabolism and excretion (ADME) mass balance study in patients with advanced solid tumours; </w:t>
      </w:r>
      <w:r w:rsidR="009152B8">
        <w:t xml:space="preserve">and </w:t>
      </w:r>
      <w:r>
        <w:t>2 concentration-safety analyses;</w:t>
      </w:r>
    </w:p>
    <w:p w14:paraId="3BB64338" w14:textId="1D492FC6" w:rsidR="00DB74C2" w:rsidRDefault="00DB74C2" w:rsidP="00DB74C2">
      <w:pPr>
        <w:pStyle w:val="ListBullet"/>
        <w:numPr>
          <w:ilvl w:val="0"/>
          <w:numId w:val="3"/>
        </w:numPr>
      </w:pPr>
      <w:r>
        <w:t>1 Phase III pivotal efficacy and safety study in patients with R/R AML;</w:t>
      </w:r>
    </w:p>
    <w:p w14:paraId="5A3D9721" w14:textId="4A090AA9" w:rsidR="00DB74C2" w:rsidRDefault="00DB74C2" w:rsidP="00DB74C2">
      <w:pPr>
        <w:pStyle w:val="ListBullet"/>
        <w:numPr>
          <w:ilvl w:val="0"/>
          <w:numId w:val="3"/>
        </w:numPr>
      </w:pPr>
      <w:r>
        <w:t>1 Phase I/II dose finding study in patients with R/R AML;</w:t>
      </w:r>
    </w:p>
    <w:p w14:paraId="07DBBA63" w14:textId="53274A2A" w:rsidR="00DB74C2" w:rsidRDefault="00DB74C2" w:rsidP="00DB74C2">
      <w:pPr>
        <w:pStyle w:val="ListBullet"/>
        <w:numPr>
          <w:ilvl w:val="0"/>
          <w:numId w:val="3"/>
        </w:numPr>
      </w:pPr>
      <w:r>
        <w:t xml:space="preserve">1 Phase I supportive efficacy and safety study in Japanese patients with R/R AML; </w:t>
      </w:r>
      <w:r w:rsidR="009152B8">
        <w:t xml:space="preserve">and </w:t>
      </w:r>
      <w:r>
        <w:t>1</w:t>
      </w:r>
      <w:r w:rsidR="009152B8">
        <w:t xml:space="preserve"> </w:t>
      </w:r>
      <w:r>
        <w:t>clinical study in Japanese patients with advanced non-small-cell lung carcinoma (NSCLC);</w:t>
      </w:r>
    </w:p>
    <w:p w14:paraId="138A22F0" w14:textId="26C49B16" w:rsidR="00DB74C2" w:rsidRDefault="00DB74C2" w:rsidP="00DB74C2">
      <w:pPr>
        <w:pStyle w:val="ListBullet"/>
        <w:numPr>
          <w:ilvl w:val="0"/>
          <w:numId w:val="3"/>
        </w:numPr>
      </w:pPr>
      <w:r>
        <w:t>2 population PK studies;</w:t>
      </w:r>
    </w:p>
    <w:p w14:paraId="356B02CA" w14:textId="66CE6448" w:rsidR="00DB74C2" w:rsidRDefault="009152B8" w:rsidP="00DB74C2">
      <w:pPr>
        <w:pStyle w:val="ListBullet"/>
        <w:numPr>
          <w:ilvl w:val="0"/>
          <w:numId w:val="3"/>
        </w:numPr>
      </w:pPr>
      <w:r>
        <w:t xml:space="preserve">an </w:t>
      </w:r>
      <w:r w:rsidR="00DB74C2">
        <w:t>integrated summary of safety (ISS);</w:t>
      </w:r>
      <w:r>
        <w:t xml:space="preserve"> and</w:t>
      </w:r>
    </w:p>
    <w:p w14:paraId="6556E2A9" w14:textId="1E2E9E67" w:rsidR="00DB74C2" w:rsidRDefault="009152B8" w:rsidP="00DB74C2">
      <w:pPr>
        <w:pStyle w:val="ListBullet"/>
        <w:numPr>
          <w:ilvl w:val="0"/>
          <w:numId w:val="3"/>
        </w:numPr>
      </w:pPr>
      <w:proofErr w:type="gramStart"/>
      <w:r>
        <w:t>h</w:t>
      </w:r>
      <w:r w:rsidR="00DB74C2">
        <w:t>uman</w:t>
      </w:r>
      <w:proofErr w:type="gramEnd"/>
      <w:r w:rsidR="00DB74C2">
        <w:t xml:space="preserve"> biomaterial studies.</w:t>
      </w:r>
    </w:p>
    <w:p w14:paraId="51426115" w14:textId="77777777" w:rsidR="00DB74C2" w:rsidRPr="009F4950" w:rsidRDefault="00DB74C2" w:rsidP="00DB74C2">
      <w:pPr>
        <w:pStyle w:val="Heading4"/>
      </w:pPr>
      <w:r w:rsidRPr="009F4950">
        <w:t>Pharmacology</w:t>
      </w:r>
    </w:p>
    <w:p w14:paraId="7A934DD9" w14:textId="3113C187" w:rsidR="00DB74C2" w:rsidRDefault="00DB74C2" w:rsidP="00DB74C2">
      <w:r w:rsidRPr="000E3CDC">
        <w:t>Following oral administration, peak plasma concentration</w:t>
      </w:r>
      <w:r w:rsidR="00A326B9">
        <w:t>s</w:t>
      </w:r>
      <w:r w:rsidRPr="000E3CDC">
        <w:t xml:space="preserve"> are observed between 4 and 6</w:t>
      </w:r>
      <w:r>
        <w:t> </w:t>
      </w:r>
      <w:r w:rsidRPr="000E3CDC">
        <w:t>hours in health volunteers and R/R patients. The volume of distribution is estimated to be approximately 1100</w:t>
      </w:r>
      <w:r>
        <w:t xml:space="preserve"> </w:t>
      </w:r>
      <w:r w:rsidRPr="000E3CDC">
        <w:t>L. Plasma binding</w:t>
      </w:r>
      <w:r>
        <w:t xml:space="preserve"> was 90.5% and is concentration independent within the range investigated, with the major binding protein being serum albumin. The half-life of </w:t>
      </w:r>
      <w:proofErr w:type="spellStart"/>
      <w:r>
        <w:t>gilteritinib</w:t>
      </w:r>
      <w:proofErr w:type="spellEnd"/>
      <w:r>
        <w:t xml:space="preserve"> is approximately 113 hours with an apparent clearance of 14.85 L/h.</w:t>
      </w:r>
    </w:p>
    <w:p w14:paraId="001E7B44" w14:textId="77777777" w:rsidR="00DB74C2" w:rsidRDefault="00DB74C2" w:rsidP="00DB74C2">
      <w:r>
        <w:t xml:space="preserve">There is no intravenous (IV) formulation of </w:t>
      </w:r>
      <w:proofErr w:type="spellStart"/>
      <w:r>
        <w:t>gilteritinib</w:t>
      </w:r>
      <w:proofErr w:type="spellEnd"/>
      <w:r>
        <w:t xml:space="preserve"> as it has low solubility, and so the absolute bioavailability is not known.</w:t>
      </w:r>
    </w:p>
    <w:p w14:paraId="2C6B95E1" w14:textId="667E4D58" w:rsidR="00DB74C2" w:rsidRDefault="00DB74C2" w:rsidP="00DB74C2">
      <w:r w:rsidRPr="00021165">
        <w:rPr>
          <w:i/>
        </w:rPr>
        <w:t>In vitro</w:t>
      </w:r>
      <w:r>
        <w:rPr>
          <w:i/>
        </w:rPr>
        <w:t>,</w:t>
      </w:r>
      <w:r>
        <w:t xml:space="preserve"> </w:t>
      </w:r>
      <w:proofErr w:type="spellStart"/>
      <w:r>
        <w:t>gilteritinib</w:t>
      </w:r>
      <w:proofErr w:type="spellEnd"/>
      <w:r>
        <w:t xml:space="preserve"> is metabolised by cytochrome P450</w:t>
      </w:r>
      <w:r w:rsidR="0089088A">
        <w:t>;</w:t>
      </w:r>
      <w:r w:rsidR="0089088A">
        <w:rPr>
          <w:rStyle w:val="FootnoteReference"/>
        </w:rPr>
        <w:footnoteReference w:id="12"/>
      </w:r>
      <w:r>
        <w:t xml:space="preserve"> </w:t>
      </w:r>
      <w:r w:rsidR="0089088A">
        <w:t xml:space="preserve">enzyme </w:t>
      </w:r>
      <w:r>
        <w:t xml:space="preserve">3A4 (CYP3A4) with one majority metabolite (33%) and a large number of minor metabolites. The effect of CYP3A4 </w:t>
      </w:r>
      <w:r>
        <w:lastRenderedPageBreak/>
        <w:t xml:space="preserve">inhibitors is a statistically significant co-variant in the population PK model for </w:t>
      </w:r>
      <w:proofErr w:type="spellStart"/>
      <w:r>
        <w:t>Gilteritinib</w:t>
      </w:r>
      <w:proofErr w:type="spellEnd"/>
      <w:r>
        <w:t>, but the size of the effect is not considered to be clinically significant.</w:t>
      </w:r>
    </w:p>
    <w:p w14:paraId="366198BB" w14:textId="77777777" w:rsidR="00DB74C2" w:rsidRDefault="00DB74C2" w:rsidP="00DB74C2">
      <w:r>
        <w:t xml:space="preserve">Age, weight and gender do not appear to be clinically significant co-variates in the population PK model for </w:t>
      </w:r>
      <w:proofErr w:type="spellStart"/>
      <w:r>
        <w:t>gilteritinib</w:t>
      </w:r>
      <w:proofErr w:type="spellEnd"/>
      <w:r>
        <w:t>.</w:t>
      </w:r>
    </w:p>
    <w:p w14:paraId="592D0471" w14:textId="086F7EEF" w:rsidR="00DB74C2" w:rsidRDefault="00DB74C2" w:rsidP="00DB74C2">
      <w:r>
        <w:t>A food effect study indicated that the maximum plasma concentration (</w:t>
      </w:r>
      <w:proofErr w:type="spellStart"/>
      <w:r>
        <w:t>C</w:t>
      </w:r>
      <w:r w:rsidRPr="00021165">
        <w:rPr>
          <w:vertAlign w:val="subscript"/>
        </w:rPr>
        <w:t>max</w:t>
      </w:r>
      <w:proofErr w:type="spellEnd"/>
      <w:r>
        <w:t xml:space="preserve">) of </w:t>
      </w:r>
      <w:proofErr w:type="spellStart"/>
      <w:r>
        <w:t>gilteritinib</w:t>
      </w:r>
      <w:proofErr w:type="spellEnd"/>
      <w:r>
        <w:t xml:space="preserve"> reduced by 26% and area under the plasma concentration time curve (AUC) b</w:t>
      </w:r>
      <w:r w:rsidR="009977F0">
        <w:t>y</w:t>
      </w:r>
      <w:r>
        <w:t xml:space="preserve"> 6% when the drug was administered with a high-fat meal compared with the fasted state. The clinical evaluator has noted that this effect is not considered clinically significant and so </w:t>
      </w:r>
      <w:proofErr w:type="spellStart"/>
      <w:r>
        <w:t>gilteritinib</w:t>
      </w:r>
      <w:proofErr w:type="spellEnd"/>
      <w:r>
        <w:t xml:space="preserve"> can be taken with or without food.</w:t>
      </w:r>
    </w:p>
    <w:p w14:paraId="2F1039F8" w14:textId="5968768D" w:rsidR="00DB74C2" w:rsidRDefault="00DB74C2" w:rsidP="00DB74C2">
      <w:r>
        <w:t xml:space="preserve">Analysis of patients with mild to moderate hepatic impairment indicated no difference in unbound </w:t>
      </w:r>
      <w:proofErr w:type="spellStart"/>
      <w:r w:rsidR="0089088A">
        <w:t>g</w:t>
      </w:r>
      <w:r>
        <w:t>ilteritinib</w:t>
      </w:r>
      <w:proofErr w:type="spellEnd"/>
      <w:r>
        <w:t xml:space="preserve"> exposure, and the sponsor has not recommended any dosage adjustment in this group. There was no data submitted in patients with severe hepatic impairment.</w:t>
      </w:r>
    </w:p>
    <w:p w14:paraId="1C8CAD8C" w14:textId="77777777" w:rsidR="00DB74C2" w:rsidRDefault="00DB74C2" w:rsidP="00DB74C2">
      <w:r>
        <w:t xml:space="preserve">No specific study was conducted to investigate the PK of </w:t>
      </w:r>
      <w:proofErr w:type="spellStart"/>
      <w:r>
        <w:t>gilteritinib</w:t>
      </w:r>
      <w:proofErr w:type="spellEnd"/>
      <w:r>
        <w:t xml:space="preserve"> in patients with renal impairment. However, </w:t>
      </w:r>
      <w:proofErr w:type="spellStart"/>
      <w:r>
        <w:t>gilteritinib</w:t>
      </w:r>
      <w:proofErr w:type="spellEnd"/>
      <w:r>
        <w:t xml:space="preserve"> is not highly </w:t>
      </w:r>
      <w:proofErr w:type="spellStart"/>
      <w:r>
        <w:t>renally</w:t>
      </w:r>
      <w:proofErr w:type="spellEnd"/>
      <w:r>
        <w:t xml:space="preserve"> cleared and so the sponsor has not proposed a dosage adjustment is necessary for patients with renal impairment.</w:t>
      </w:r>
    </w:p>
    <w:p w14:paraId="5BEA8E27" w14:textId="20804904" w:rsidR="00DB74C2" w:rsidRDefault="00DB74C2" w:rsidP="00DB74C2">
      <w:proofErr w:type="spellStart"/>
      <w:r>
        <w:t>Gilteritinib</w:t>
      </w:r>
      <w:proofErr w:type="spellEnd"/>
      <w:r>
        <w:t xml:space="preserve"> exhibits rapid and sustained inhibition of FLT3 of &gt; 90% by Day 8 of administration at doses &gt; 80</w:t>
      </w:r>
      <w:r w:rsidR="00C16AF1">
        <w:t xml:space="preserve"> </w:t>
      </w:r>
      <w:r>
        <w:t>mg/day.</w:t>
      </w:r>
    </w:p>
    <w:p w14:paraId="505C5425" w14:textId="41ED78CF" w:rsidR="00DB74C2" w:rsidRPr="00F400D5" w:rsidRDefault="00DB74C2" w:rsidP="00D27297">
      <w:pPr>
        <w:pStyle w:val="FigureTitle"/>
      </w:pPr>
      <w:r w:rsidRPr="00F400D5">
        <w:t xml:space="preserve">Figure </w:t>
      </w:r>
      <w:fldSimple w:instr=" SEQ Figure \* ARABIC ">
        <w:r w:rsidR="00C16AF1">
          <w:rPr>
            <w:noProof/>
          </w:rPr>
          <w:t>2</w:t>
        </w:r>
      </w:fldSimple>
      <w:r w:rsidRPr="00F400D5">
        <w:t xml:space="preserve">. Inhibition of </w:t>
      </w:r>
      <w:proofErr w:type="spellStart"/>
      <w:r>
        <w:t>phospho</w:t>
      </w:r>
      <w:proofErr w:type="spellEnd"/>
      <w:r>
        <w:t xml:space="preserve"> FMS-like tyrosine kinase 3</w:t>
      </w:r>
      <w:r w:rsidRPr="00F400D5">
        <w:t xml:space="preserve"> by dose level at </w:t>
      </w:r>
      <w:r>
        <w:t>C</w:t>
      </w:r>
      <w:r w:rsidRPr="00F400D5">
        <w:t xml:space="preserve">ycle 1, </w:t>
      </w:r>
      <w:r>
        <w:t>D</w:t>
      </w:r>
      <w:r w:rsidRPr="00F400D5">
        <w:t>ay 8 (pre-dose)</w:t>
      </w:r>
    </w:p>
    <w:p w14:paraId="0114F174" w14:textId="77777777" w:rsidR="00DB74C2" w:rsidRDefault="00DB74C2" w:rsidP="00DB74C2">
      <w:r>
        <w:rPr>
          <w:noProof/>
          <w:lang w:eastAsia="en-AU"/>
        </w:rPr>
        <w:drawing>
          <wp:inline distT="0" distB="0" distL="0" distR="0" wp14:anchorId="7A1B9FA3" wp14:editId="10C836CA">
            <wp:extent cx="5400040" cy="2870200"/>
            <wp:effectExtent l="0" t="0" r="0" b="6350"/>
            <wp:docPr id="15" name="Picture 15" descr="Inhibition of pFLT3 by dose level at Cycle 1, Day 8 (pre-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hibition.png"/>
                    <pic:cNvPicPr/>
                  </pic:nvPicPr>
                  <pic:blipFill>
                    <a:blip r:embed="rId15">
                      <a:extLst>
                        <a:ext uri="{28A0092B-C50C-407E-A947-70E740481C1C}">
                          <a14:useLocalDpi xmlns:a14="http://schemas.microsoft.com/office/drawing/2010/main" val="0"/>
                        </a:ext>
                      </a:extLst>
                    </a:blip>
                    <a:stretch>
                      <a:fillRect/>
                    </a:stretch>
                  </pic:blipFill>
                  <pic:spPr>
                    <a:xfrm>
                      <a:off x="0" y="0"/>
                      <a:ext cx="5400040" cy="2870200"/>
                    </a:xfrm>
                    <a:prstGeom prst="rect">
                      <a:avLst/>
                    </a:prstGeom>
                  </pic:spPr>
                </pic:pic>
              </a:graphicData>
            </a:graphic>
          </wp:inline>
        </w:drawing>
      </w:r>
    </w:p>
    <w:p w14:paraId="1B7F92BC" w14:textId="77777777" w:rsidR="00DB74C2" w:rsidRDefault="00DB74C2" w:rsidP="00DB74C2">
      <w:pPr>
        <w:pStyle w:val="TableDescription"/>
      </w:pPr>
      <w:r>
        <w:t xml:space="preserve">pFLT3 = </w:t>
      </w:r>
      <w:proofErr w:type="spellStart"/>
      <w:r>
        <w:t>phospho</w:t>
      </w:r>
      <w:proofErr w:type="spellEnd"/>
      <w:r>
        <w:t xml:space="preserve"> FMS-like tyrosine kinase 3, PIA = </w:t>
      </w:r>
      <w:r w:rsidRPr="002B46A6">
        <w:t>plasma inhibitor activity</w:t>
      </w:r>
    </w:p>
    <w:p w14:paraId="082CF47E" w14:textId="77777777" w:rsidR="00DB74C2" w:rsidRPr="009F4950" w:rsidRDefault="00DB74C2" w:rsidP="00DB74C2">
      <w:pPr>
        <w:pStyle w:val="Heading4"/>
      </w:pPr>
      <w:r w:rsidRPr="009F4950">
        <w:lastRenderedPageBreak/>
        <w:t>Efficacy</w:t>
      </w:r>
    </w:p>
    <w:p w14:paraId="3FAC3B9C" w14:textId="77777777" w:rsidR="00DB74C2" w:rsidRDefault="00DB74C2" w:rsidP="00DB74C2">
      <w:r w:rsidRPr="00370BFB">
        <w:t>Evaluable efficacy data were provided in three studies</w:t>
      </w:r>
      <w:r>
        <w:t>:</w:t>
      </w:r>
    </w:p>
    <w:p w14:paraId="4D77A9D9" w14:textId="7425357A" w:rsidR="00DB74C2" w:rsidRPr="002124B9" w:rsidRDefault="00DB74C2" w:rsidP="00DB74C2">
      <w:pPr>
        <w:pStyle w:val="ListBullet"/>
        <w:numPr>
          <w:ilvl w:val="0"/>
          <w:numId w:val="3"/>
        </w:numPr>
      </w:pPr>
      <w:r w:rsidRPr="00054FDA">
        <w:t>Study 2215-CL-0301</w:t>
      </w:r>
      <w:r w:rsidR="0089088A">
        <w:t>;</w:t>
      </w:r>
      <w:r w:rsidR="0089088A">
        <w:rPr>
          <w:rStyle w:val="FootnoteReference"/>
        </w:rPr>
        <w:footnoteReference w:id="13"/>
      </w:r>
      <w:r w:rsidRPr="00021165">
        <w:t xml:space="preserve"> was a Phase III open-label, multinational, multicentre, randomised study that compared the efficacy and safety of </w:t>
      </w:r>
      <w:proofErr w:type="spellStart"/>
      <w:r w:rsidRPr="00021165">
        <w:t>gilteritinib</w:t>
      </w:r>
      <w:proofErr w:type="spellEnd"/>
      <w:r w:rsidRPr="00021165">
        <w:t xml:space="preserve"> to salvage chemotherapy in FLT3-mutated AML patients who were refractory to or had relapsed after first-line AML therapy. Treatment of patients in the </w:t>
      </w:r>
      <w:proofErr w:type="spellStart"/>
      <w:r w:rsidRPr="00021165">
        <w:t>gilteritinib</w:t>
      </w:r>
      <w:proofErr w:type="spellEnd"/>
      <w:r w:rsidRPr="00021165">
        <w:t xml:space="preserve"> arm was initiated with a dose of 120 mg, with the option to decrease the dose to 80 mg in the event of toxicity and increase the dose to 200 mg due to lack of response (composite complete remission) after the first treatment cycle (</w:t>
      </w:r>
      <w:r>
        <w:t>that is</w:t>
      </w:r>
      <w:r w:rsidRPr="00021165">
        <w:t xml:space="preserve">, after 1 month). The </w:t>
      </w:r>
      <w:r>
        <w:t>intent to treat (</w:t>
      </w:r>
      <w:r w:rsidRPr="00021165">
        <w:t>ITT</w:t>
      </w:r>
      <w:r>
        <w:t>)</w:t>
      </w:r>
      <w:r w:rsidRPr="00021165">
        <w:t xml:space="preserve"> population</w:t>
      </w:r>
      <w:r>
        <w:t>;</w:t>
      </w:r>
      <w:r>
        <w:rPr>
          <w:rStyle w:val="FootnoteReference"/>
        </w:rPr>
        <w:footnoteReference w:id="14"/>
      </w:r>
      <w:r w:rsidRPr="00021165">
        <w:t xml:space="preserve"> included 247 patients in the </w:t>
      </w:r>
      <w:proofErr w:type="spellStart"/>
      <w:r w:rsidRPr="00021165">
        <w:t>gilteritinib</w:t>
      </w:r>
      <w:proofErr w:type="spellEnd"/>
      <w:r w:rsidRPr="00021165">
        <w:t xml:space="preserve"> arm and 124 patients in the salvage chemotherapy arm. This study provided the pivotal efficacy data supporting approval of </w:t>
      </w:r>
      <w:proofErr w:type="spellStart"/>
      <w:r w:rsidRPr="00021165">
        <w:t>gilteritinib</w:t>
      </w:r>
      <w:proofErr w:type="spellEnd"/>
      <w:r w:rsidRPr="00021165">
        <w:t xml:space="preserve"> 120 mg once daily for the proposed extension of indication. This study has been recently published in the New England Journal of Medicine.</w:t>
      </w:r>
      <w:r>
        <w:rPr>
          <w:rStyle w:val="FootnoteReference"/>
        </w:rPr>
        <w:footnoteReference w:id="15"/>
      </w:r>
    </w:p>
    <w:p w14:paraId="02BBC7A5" w14:textId="11377309" w:rsidR="00DB74C2" w:rsidRPr="002124B9" w:rsidRDefault="00DB74C2" w:rsidP="00DB74C2">
      <w:pPr>
        <w:pStyle w:val="ListBullet"/>
        <w:numPr>
          <w:ilvl w:val="0"/>
          <w:numId w:val="3"/>
        </w:numPr>
      </w:pPr>
      <w:r w:rsidRPr="00021165">
        <w:t>Study 2215-CL-0101</w:t>
      </w:r>
      <w:r w:rsidR="0089088A">
        <w:t>;</w:t>
      </w:r>
      <w:r w:rsidR="002572DB">
        <w:rPr>
          <w:rStyle w:val="FootnoteReference"/>
        </w:rPr>
        <w:footnoteReference w:id="16"/>
      </w:r>
      <w:r w:rsidRPr="00021165">
        <w:t xml:space="preserve"> was Phase I/II open-label, dose-escalation, first-in-human, multinational, multicentre study in patients with R/R AML (FLT3 positive and negative), with a concomitant expansion cohort for multiple doses. </w:t>
      </w:r>
      <w:proofErr w:type="spellStart"/>
      <w:r w:rsidRPr="00021165">
        <w:t>Gilteritinib</w:t>
      </w:r>
      <w:proofErr w:type="spellEnd"/>
      <w:r w:rsidRPr="00021165">
        <w:t xml:space="preserve"> doses of 20, 40, 80, 120, 200, 300 or 450 mg/day were evaluated. The study included 25</w:t>
      </w:r>
      <w:r w:rsidR="002572DB">
        <w:t> </w:t>
      </w:r>
      <w:r w:rsidRPr="00021165">
        <w:t>patients allocated to the dose escalation phase and 240 patients allocated to the dose expansion phase. The study included 16 patients treated with 20 mg (n</w:t>
      </w:r>
      <w:r>
        <w:t xml:space="preserve"> </w:t>
      </w:r>
      <w:r w:rsidRPr="00021165">
        <w:t>=</w:t>
      </w:r>
      <w:r>
        <w:t xml:space="preserve"> </w:t>
      </w:r>
      <w:r w:rsidRPr="00021165">
        <w:t xml:space="preserve">6 </w:t>
      </w:r>
      <w:r>
        <w:t>(</w:t>
      </w:r>
      <w:r w:rsidRPr="00021165">
        <w:t>escalation</w:t>
      </w:r>
      <w:r>
        <w:t>)</w:t>
      </w:r>
      <w:r w:rsidRPr="00021165">
        <w:t>; n</w:t>
      </w:r>
      <w:r>
        <w:t xml:space="preserve"> </w:t>
      </w:r>
      <w:r w:rsidRPr="00021165">
        <w:t>=</w:t>
      </w:r>
      <w:r>
        <w:t xml:space="preserve"> </w:t>
      </w:r>
      <w:r w:rsidRPr="00021165">
        <w:t xml:space="preserve">11 </w:t>
      </w:r>
      <w:r>
        <w:t>(</w:t>
      </w:r>
      <w:r w:rsidRPr="00021165">
        <w:t>expansion</w:t>
      </w:r>
      <w:r>
        <w:t>)</w:t>
      </w:r>
      <w:r w:rsidRPr="00021165">
        <w:t>), 18 patients treated with 40 mg (n</w:t>
      </w:r>
      <w:r>
        <w:t xml:space="preserve"> </w:t>
      </w:r>
      <w:r w:rsidRPr="00021165">
        <w:t>=</w:t>
      </w:r>
      <w:r>
        <w:t xml:space="preserve"> </w:t>
      </w:r>
      <w:r w:rsidRPr="00021165">
        <w:t xml:space="preserve">3 </w:t>
      </w:r>
      <w:r>
        <w:t>(</w:t>
      </w:r>
      <w:r w:rsidRPr="00021165">
        <w:t>escalation</w:t>
      </w:r>
      <w:r>
        <w:t>)</w:t>
      </w:r>
      <w:r w:rsidRPr="00021165">
        <w:t>; n</w:t>
      </w:r>
      <w:r w:rsidR="002572DB">
        <w:t> </w:t>
      </w:r>
      <w:r w:rsidRPr="00021165">
        <w:t>=</w:t>
      </w:r>
      <w:r>
        <w:t xml:space="preserve"> </w:t>
      </w:r>
      <w:r w:rsidRPr="00021165">
        <w:t xml:space="preserve">15 </w:t>
      </w:r>
      <w:r>
        <w:t>(</w:t>
      </w:r>
      <w:r w:rsidRPr="00021165">
        <w:t>expansion</w:t>
      </w:r>
      <w:r>
        <w:t>)</w:t>
      </w:r>
      <w:r w:rsidRPr="00021165">
        <w:t>), 24 patients treated with 80 mg (n</w:t>
      </w:r>
      <w:r>
        <w:t xml:space="preserve"> </w:t>
      </w:r>
      <w:r w:rsidRPr="00021165">
        <w:t>=</w:t>
      </w:r>
      <w:r>
        <w:t xml:space="preserve"> </w:t>
      </w:r>
      <w:r w:rsidRPr="00021165">
        <w:t xml:space="preserve">3 </w:t>
      </w:r>
      <w:r>
        <w:t>(</w:t>
      </w:r>
      <w:r w:rsidRPr="00021165">
        <w:t>escalation</w:t>
      </w:r>
      <w:r>
        <w:t>)</w:t>
      </w:r>
      <w:r w:rsidRPr="00021165">
        <w:t>; n</w:t>
      </w:r>
      <w:r>
        <w:t xml:space="preserve"> </w:t>
      </w:r>
      <w:r w:rsidRPr="00021165">
        <w:t>=</w:t>
      </w:r>
      <w:r>
        <w:t xml:space="preserve"> </w:t>
      </w:r>
      <w:r w:rsidRPr="00021165">
        <w:t xml:space="preserve">21 </w:t>
      </w:r>
      <w:r>
        <w:t>(</w:t>
      </w:r>
      <w:r w:rsidRPr="00021165">
        <w:t>expansion</w:t>
      </w:r>
      <w:r>
        <w:t>)</w:t>
      </w:r>
      <w:r w:rsidRPr="00021165">
        <w:t>), 73 patients treated with 120 mg (n</w:t>
      </w:r>
      <w:r>
        <w:t xml:space="preserve"> </w:t>
      </w:r>
      <w:r w:rsidRPr="00021165">
        <w:t>=</w:t>
      </w:r>
      <w:r>
        <w:t xml:space="preserve"> </w:t>
      </w:r>
      <w:r w:rsidRPr="00021165">
        <w:t xml:space="preserve">3 </w:t>
      </w:r>
      <w:r>
        <w:t>(</w:t>
      </w:r>
      <w:r w:rsidRPr="00021165">
        <w:t>escalation</w:t>
      </w:r>
      <w:r>
        <w:t>)</w:t>
      </w:r>
      <w:r w:rsidRPr="00021165">
        <w:t>; n</w:t>
      </w:r>
      <w:r>
        <w:t xml:space="preserve"> </w:t>
      </w:r>
      <w:r w:rsidRPr="00021165">
        <w:t>=</w:t>
      </w:r>
      <w:r>
        <w:t xml:space="preserve"> </w:t>
      </w:r>
      <w:r w:rsidRPr="00021165">
        <w:t xml:space="preserve">70 </w:t>
      </w:r>
      <w:r>
        <w:t>(</w:t>
      </w:r>
      <w:r w:rsidRPr="00021165">
        <w:t>expansion</w:t>
      </w:r>
      <w:r>
        <w:t>)</w:t>
      </w:r>
      <w:r w:rsidRPr="00021165">
        <w:t>), 110 patients treated with 200 mg (n</w:t>
      </w:r>
      <w:r>
        <w:t xml:space="preserve"> </w:t>
      </w:r>
      <w:r w:rsidRPr="00021165">
        <w:t>=</w:t>
      </w:r>
      <w:r>
        <w:t xml:space="preserve"> </w:t>
      </w:r>
      <w:r w:rsidRPr="00021165">
        <w:t xml:space="preserve">4 </w:t>
      </w:r>
      <w:r>
        <w:t>(</w:t>
      </w:r>
      <w:r w:rsidRPr="00021165">
        <w:t>escalation</w:t>
      </w:r>
      <w:r>
        <w:t>)</w:t>
      </w:r>
      <w:r w:rsidRPr="00021165">
        <w:t>; n</w:t>
      </w:r>
      <w:r>
        <w:t xml:space="preserve"> </w:t>
      </w:r>
      <w:r w:rsidRPr="00021165">
        <w:t>=</w:t>
      </w:r>
      <w:r>
        <w:t xml:space="preserve"> </w:t>
      </w:r>
      <w:r w:rsidRPr="00021165">
        <w:t>106</w:t>
      </w:r>
      <w:r>
        <w:t>(</w:t>
      </w:r>
      <w:r w:rsidRPr="00021165">
        <w:t>expansion</w:t>
      </w:r>
      <w:r>
        <w:t>)</w:t>
      </w:r>
      <w:r w:rsidRPr="00021165">
        <w:t>), 20 patients treated with 300 mg (n</w:t>
      </w:r>
      <w:r>
        <w:t xml:space="preserve"> </w:t>
      </w:r>
      <w:r w:rsidRPr="00021165">
        <w:t>=</w:t>
      </w:r>
      <w:r>
        <w:t xml:space="preserve"> </w:t>
      </w:r>
      <w:r w:rsidRPr="00021165">
        <w:t xml:space="preserve">3 </w:t>
      </w:r>
      <w:r>
        <w:t>(</w:t>
      </w:r>
      <w:r w:rsidRPr="00021165">
        <w:t>escalation</w:t>
      </w:r>
      <w:r>
        <w:t>)</w:t>
      </w:r>
      <w:r w:rsidRPr="00021165">
        <w:t>; n</w:t>
      </w:r>
      <w:r>
        <w:t xml:space="preserve"> </w:t>
      </w:r>
      <w:r w:rsidRPr="00021165">
        <w:t>=</w:t>
      </w:r>
      <w:r>
        <w:t xml:space="preserve"> </w:t>
      </w:r>
      <w:r w:rsidRPr="00021165">
        <w:t xml:space="preserve">17 </w:t>
      </w:r>
      <w:r>
        <w:t>(</w:t>
      </w:r>
      <w:r w:rsidRPr="00021165">
        <w:t>expansion</w:t>
      </w:r>
      <w:r>
        <w:t>)</w:t>
      </w:r>
      <w:r w:rsidRPr="00021165">
        <w:t>), and 4 patients treated with 450 mg (n</w:t>
      </w:r>
      <w:r>
        <w:t xml:space="preserve"> </w:t>
      </w:r>
      <w:r w:rsidRPr="00021165">
        <w:t>=</w:t>
      </w:r>
      <w:r>
        <w:t xml:space="preserve"> </w:t>
      </w:r>
      <w:r w:rsidRPr="00021165">
        <w:t xml:space="preserve">4 </w:t>
      </w:r>
      <w:r>
        <w:t>(</w:t>
      </w:r>
      <w:r w:rsidRPr="00021165">
        <w:t>escalation</w:t>
      </w:r>
      <w:r>
        <w:t>)</w:t>
      </w:r>
      <w:r w:rsidRPr="00021165">
        <w:t>; n</w:t>
      </w:r>
      <w:r>
        <w:t xml:space="preserve"> </w:t>
      </w:r>
      <w:r w:rsidRPr="00021165">
        <w:t>=</w:t>
      </w:r>
      <w:r>
        <w:t xml:space="preserve"> </w:t>
      </w:r>
      <w:r w:rsidRPr="00021165">
        <w:t xml:space="preserve">0 </w:t>
      </w:r>
      <w:r>
        <w:t>(</w:t>
      </w:r>
      <w:r w:rsidRPr="00021165">
        <w:t>expansion</w:t>
      </w:r>
      <w:r>
        <w:t>)</w:t>
      </w:r>
      <w:r w:rsidRPr="00021165">
        <w:t xml:space="preserve">).This study provided limited supportive efficacy data for approval of </w:t>
      </w:r>
      <w:proofErr w:type="spellStart"/>
      <w:r w:rsidRPr="00021165">
        <w:t>gilteritinib</w:t>
      </w:r>
      <w:proofErr w:type="spellEnd"/>
      <w:r w:rsidRPr="00021165">
        <w:t xml:space="preserve"> 120 mg once daily for the proposed extension of indication.</w:t>
      </w:r>
    </w:p>
    <w:p w14:paraId="78E6C84C" w14:textId="59C5827C" w:rsidR="00DB74C2" w:rsidRPr="00021165" w:rsidRDefault="00DB74C2" w:rsidP="00D27297">
      <w:pPr>
        <w:pStyle w:val="ListBullet"/>
      </w:pPr>
      <w:r w:rsidRPr="00021165">
        <w:t>Study 2215-CL-0102</w:t>
      </w:r>
      <w:r w:rsidR="002572DB">
        <w:t>;</w:t>
      </w:r>
      <w:r w:rsidR="002572DB">
        <w:rPr>
          <w:rStyle w:val="FootnoteReference"/>
        </w:rPr>
        <w:footnoteReference w:id="17"/>
      </w:r>
      <w:r>
        <w:t xml:space="preserve"> </w:t>
      </w:r>
      <w:r w:rsidRPr="00021165">
        <w:t xml:space="preserve">was a Phase I open-label, dose-escalation, single-country (Japan), multicentre study of single and repeated oral once daily dosing of </w:t>
      </w:r>
      <w:proofErr w:type="spellStart"/>
      <w:r w:rsidRPr="00021165">
        <w:t>gilteritinib</w:t>
      </w:r>
      <w:proofErr w:type="spellEnd"/>
      <w:r w:rsidRPr="00021165">
        <w:t xml:space="preserve"> in Japanese patients with R/R AML (FLT3 positive and negative). In this study, 24 patients were treated with </w:t>
      </w:r>
      <w:proofErr w:type="spellStart"/>
      <w:r w:rsidRPr="00021165">
        <w:t>gilteritinib</w:t>
      </w:r>
      <w:proofErr w:type="spellEnd"/>
      <w:r w:rsidRPr="00021165">
        <w:t>, comprising 1 patient treated with 20 mg, 4 patients treated with 40 mg, 4 patients treated with 80 mg, 4 patients treated with 120</w:t>
      </w:r>
      <w:r>
        <w:t> </w:t>
      </w:r>
      <w:r w:rsidRPr="00021165">
        <w:t xml:space="preserve">mg, 9 patients treated with 200 mg, and 2 patients treated with 300 mg. This study provided limited supportive efficacy data for approval of </w:t>
      </w:r>
      <w:proofErr w:type="spellStart"/>
      <w:r w:rsidRPr="00021165">
        <w:t>gilteritinib</w:t>
      </w:r>
      <w:proofErr w:type="spellEnd"/>
      <w:r w:rsidRPr="00021165">
        <w:t xml:space="preserve"> 120 mg once daily for the proposed extension of indication.</w:t>
      </w:r>
    </w:p>
    <w:p w14:paraId="489F1721" w14:textId="77777777" w:rsidR="00DB74C2" w:rsidRDefault="00DB74C2" w:rsidP="00DB74C2">
      <w:pPr>
        <w:pStyle w:val="Heading5"/>
      </w:pPr>
      <w:r>
        <w:lastRenderedPageBreak/>
        <w:t>Pivotal study; Study 2215-CL-0301</w:t>
      </w:r>
    </w:p>
    <w:p w14:paraId="1A471FC9" w14:textId="01B3F5B9" w:rsidR="00DB74C2" w:rsidRPr="00513CF1" w:rsidRDefault="00DB74C2" w:rsidP="00DB74C2">
      <w:r>
        <w:t>Patients enrolled in the pivotal study were adults with AML which was refractory to</w:t>
      </w:r>
      <w:r w:rsidR="009977F0">
        <w:t>, or had relapsed after,</w:t>
      </w:r>
      <w:r>
        <w:t xml:space="preserve"> first line therapy. All included patients </w:t>
      </w:r>
      <w:r w:rsidR="009977F0">
        <w:t>who were</w:t>
      </w:r>
      <w:r>
        <w:t xml:space="preserve"> positive to FLT3 mutation in bone-marrow or whole blood. The primary endpoints were OS, and the rate of complete remission (CR) and CR with partial haematological recovery (</w:t>
      </w:r>
      <w:proofErr w:type="spellStart"/>
      <w:r>
        <w:t>CRh</w:t>
      </w:r>
      <w:proofErr w:type="spellEnd"/>
      <w:r>
        <w:t>) in the comparator arms.</w:t>
      </w:r>
    </w:p>
    <w:p w14:paraId="359B30D8" w14:textId="144FBB26" w:rsidR="00DB74C2" w:rsidRPr="00F400D5" w:rsidRDefault="00DB74C2" w:rsidP="00D27297">
      <w:pPr>
        <w:pStyle w:val="FigureTitle"/>
      </w:pPr>
      <w:r w:rsidRPr="00F400D5">
        <w:t xml:space="preserve">Figure </w:t>
      </w:r>
      <w:fldSimple w:instr=" SEQ Figure \* ARABIC ">
        <w:r w:rsidR="00C16AF1">
          <w:rPr>
            <w:noProof/>
          </w:rPr>
          <w:t>3</w:t>
        </w:r>
      </w:fldSimple>
      <w:r w:rsidRPr="00F400D5">
        <w:t>. Study design in pivotal study</w:t>
      </w:r>
    </w:p>
    <w:p w14:paraId="1DADAB9B" w14:textId="77777777" w:rsidR="00DB74C2" w:rsidRDefault="00DB74C2" w:rsidP="00DB74C2">
      <w:r>
        <w:rPr>
          <w:noProof/>
          <w:lang w:eastAsia="en-AU"/>
        </w:rPr>
        <w:drawing>
          <wp:inline distT="0" distB="0" distL="0" distR="0" wp14:anchorId="6BEA9F8C" wp14:editId="22F7B898">
            <wp:extent cx="5400040" cy="2884170"/>
            <wp:effectExtent l="0" t="0" r="0" b="0"/>
            <wp:docPr id="11" name="Picture 11" descr="A total of 371 patients randomised. Randomisation was in a 2:1 ratio to gilteritinib 120 mg per day or salvage chemotherapy. Patients entered the screening period up to 14 days prior to the start of treatment. &#10;Prior to randomisation, the investigator pre-selected a salvage chemotherapy regimen for each patient: i.e., low dose cytarabine (LoDAC); azacitidine; MEC (mitoxantrone, eptoside, and cytarabine); or FLAG-IDA (granulocyte colony-stimulating factor, fludarabine, and cytarabine with idarubicin). Randomisation was stratified by response to first-line AML therapy and pre-selected salvage chemotherapy. Treatment was administered over continuous 28-day cycles and per institutional guidelines for chemotherapy. Patients randomised to gilteritinib were to continue treatment until a discontinuation criterion was met. Patients randomised to a pre-selected salvage chemotherapy regimen were to continue treatment. Patients who had a donor identified and achieved a response allowing them to undergo haematopoietic stem cell transplant (HSCT), per each institution’s assessment, could have received a HSCT without leaving the stu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udy design.png"/>
                    <pic:cNvPicPr/>
                  </pic:nvPicPr>
                  <pic:blipFill>
                    <a:blip r:embed="rId16">
                      <a:extLst>
                        <a:ext uri="{28A0092B-C50C-407E-A947-70E740481C1C}">
                          <a14:useLocalDpi xmlns:a14="http://schemas.microsoft.com/office/drawing/2010/main" val="0"/>
                        </a:ext>
                      </a:extLst>
                    </a:blip>
                    <a:stretch>
                      <a:fillRect/>
                    </a:stretch>
                  </pic:blipFill>
                  <pic:spPr>
                    <a:xfrm>
                      <a:off x="0" y="0"/>
                      <a:ext cx="5400040" cy="2884170"/>
                    </a:xfrm>
                    <a:prstGeom prst="rect">
                      <a:avLst/>
                    </a:prstGeom>
                  </pic:spPr>
                </pic:pic>
              </a:graphicData>
            </a:graphic>
          </wp:inline>
        </w:drawing>
      </w:r>
    </w:p>
    <w:p w14:paraId="2A9D2AAF" w14:textId="01DBDE9E" w:rsidR="00DB74C2" w:rsidRPr="00F400D5" w:rsidRDefault="00DB74C2" w:rsidP="00D27297">
      <w:pPr>
        <w:pStyle w:val="FigureTitle"/>
      </w:pPr>
      <w:r w:rsidRPr="00F400D5">
        <w:lastRenderedPageBreak/>
        <w:t xml:space="preserve">Figure </w:t>
      </w:r>
      <w:fldSimple w:instr=" SEQ Figure \* ARABIC ">
        <w:r w:rsidR="00C16AF1">
          <w:rPr>
            <w:noProof/>
          </w:rPr>
          <w:t>4</w:t>
        </w:r>
      </w:fldSimple>
      <w:r w:rsidRPr="00F400D5">
        <w:t xml:space="preserve">. </w:t>
      </w:r>
      <w:r w:rsidR="002572DB">
        <w:t xml:space="preserve">Study 2215-CL-0301 </w:t>
      </w:r>
      <w:r w:rsidRPr="00F400D5">
        <w:t>Participant flow</w:t>
      </w:r>
    </w:p>
    <w:p w14:paraId="6A7B3917" w14:textId="77777777" w:rsidR="00DB74C2" w:rsidRDefault="00DB74C2" w:rsidP="00DB74C2">
      <w:r>
        <w:rPr>
          <w:noProof/>
          <w:lang w:eastAsia="en-AU"/>
        </w:rPr>
        <w:drawing>
          <wp:inline distT="0" distB="0" distL="0" distR="0" wp14:anchorId="14716714" wp14:editId="6F49B21F">
            <wp:extent cx="5421218" cy="5332781"/>
            <wp:effectExtent l="0" t="0" r="8255" b="1270"/>
            <wp:docPr id="10" name="Picture 10" descr="Of the 625 patients screened for eligibility, 254 patients were excluded (236 for “other” reasons, 10 for AEs, and 8 for withdrawal by patient) and 371 patients were randomised and included in the ITT population (n=247 to gilteritinib; n=124 to salvage chemotherapy). Of the 124 patients randomised to the salvage chemotherapy arm, 17 were treated with LoDAC, 32 with azacitidine, 33 with MEC, and 42 with FLA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rticipant flow.png"/>
                    <pic:cNvPicPr/>
                  </pic:nvPicPr>
                  <pic:blipFill rotWithShape="1">
                    <a:blip r:embed="rId17">
                      <a:extLst>
                        <a:ext uri="{28A0092B-C50C-407E-A947-70E740481C1C}">
                          <a14:useLocalDpi xmlns:a14="http://schemas.microsoft.com/office/drawing/2010/main" val="0"/>
                        </a:ext>
                      </a:extLst>
                    </a:blip>
                    <a:srcRect t="3109"/>
                    <a:stretch/>
                  </pic:blipFill>
                  <pic:spPr bwMode="auto">
                    <a:xfrm>
                      <a:off x="0" y="0"/>
                      <a:ext cx="5431612" cy="5343006"/>
                    </a:xfrm>
                    <a:prstGeom prst="rect">
                      <a:avLst/>
                    </a:prstGeom>
                    <a:ln>
                      <a:noFill/>
                    </a:ln>
                    <a:extLst>
                      <a:ext uri="{53640926-AAD7-44D8-BBD7-CCE9431645EC}">
                        <a14:shadowObscured xmlns:a14="http://schemas.microsoft.com/office/drawing/2010/main"/>
                      </a:ext>
                    </a:extLst>
                  </pic:spPr>
                </pic:pic>
              </a:graphicData>
            </a:graphic>
          </wp:inline>
        </w:drawing>
      </w:r>
    </w:p>
    <w:p w14:paraId="144A0611" w14:textId="1C1B603C" w:rsidR="00DB74C2" w:rsidRDefault="00DB74C2" w:rsidP="00DB74C2">
      <w:pPr>
        <w:pStyle w:val="TableDescription"/>
      </w:pPr>
      <w:r>
        <w:t>AE = adverse event, FAS = full analysis set</w:t>
      </w:r>
      <w:r w:rsidR="00B05ECF">
        <w:t>;</w:t>
      </w:r>
      <w:r w:rsidR="00B05ECF">
        <w:rPr>
          <w:rStyle w:val="FootnoteReference"/>
        </w:rPr>
        <w:footnoteReference w:id="18"/>
      </w:r>
      <w:r>
        <w:t xml:space="preserve"> PPS = per protocol set,</w:t>
      </w:r>
      <w:r>
        <w:rPr>
          <w:rStyle w:val="FootnoteReference"/>
        </w:rPr>
        <w:footnoteReference w:id="19"/>
      </w:r>
      <w:r>
        <w:t xml:space="preserve"> SAF = safety analysis set.</w:t>
      </w:r>
    </w:p>
    <w:p w14:paraId="76D7846D" w14:textId="77777777" w:rsidR="00DB74C2" w:rsidRDefault="00DB74C2" w:rsidP="00DB74C2">
      <w:pPr>
        <w:pStyle w:val="Heading6"/>
      </w:pPr>
      <w:r>
        <w:lastRenderedPageBreak/>
        <w:t>Results</w:t>
      </w:r>
    </w:p>
    <w:p w14:paraId="45004A06" w14:textId="418794A2" w:rsidR="00DB74C2" w:rsidRPr="00F400D5" w:rsidRDefault="00DB74C2" w:rsidP="00D27297">
      <w:pPr>
        <w:pStyle w:val="FigureTitle"/>
      </w:pPr>
      <w:r w:rsidRPr="00F400D5">
        <w:t xml:space="preserve">Figure </w:t>
      </w:r>
      <w:fldSimple w:instr=" SEQ Figure \* ARABIC ">
        <w:r w:rsidR="00C16AF1">
          <w:rPr>
            <w:noProof/>
          </w:rPr>
          <w:t>5</w:t>
        </w:r>
      </w:fldSimple>
      <w:r w:rsidR="00B27631">
        <w:t>: Study 2215-CL-0301</w:t>
      </w:r>
      <w:r w:rsidRPr="00F400D5">
        <w:t xml:space="preserve"> Kaplan-Meier </w:t>
      </w:r>
      <w:r>
        <w:t>p</w:t>
      </w:r>
      <w:r w:rsidRPr="00F400D5">
        <w:t xml:space="preserve">lot of primary endpoint </w:t>
      </w:r>
      <w:r>
        <w:t>overall survival</w:t>
      </w:r>
      <w:r w:rsidR="00B27631">
        <w:t xml:space="preserve"> (all randomised patients; intention to treatment set)</w:t>
      </w:r>
    </w:p>
    <w:p w14:paraId="3724AEE8" w14:textId="77777777" w:rsidR="00DB74C2" w:rsidRDefault="00DB74C2" w:rsidP="00DB74C2">
      <w:r>
        <w:rPr>
          <w:noProof/>
          <w:lang w:eastAsia="en-AU"/>
        </w:rPr>
        <w:drawing>
          <wp:inline distT="0" distB="0" distL="0" distR="0" wp14:anchorId="647A66E4" wp14:editId="46CA203B">
            <wp:extent cx="5400040" cy="3413760"/>
            <wp:effectExtent l="0" t="0" r="0" b="0"/>
            <wp:docPr id="9" name="Picture 9" descr="Kaplan-Meier (KM) Plot of primary endpoint overall survival (OS) in pivotal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M.png"/>
                    <pic:cNvPicPr/>
                  </pic:nvPicPr>
                  <pic:blipFill>
                    <a:blip r:embed="rId18">
                      <a:extLst>
                        <a:ext uri="{28A0092B-C50C-407E-A947-70E740481C1C}">
                          <a14:useLocalDpi xmlns:a14="http://schemas.microsoft.com/office/drawing/2010/main" val="0"/>
                        </a:ext>
                      </a:extLst>
                    </a:blip>
                    <a:stretch>
                      <a:fillRect/>
                    </a:stretch>
                  </pic:blipFill>
                  <pic:spPr>
                    <a:xfrm>
                      <a:off x="0" y="0"/>
                      <a:ext cx="5400040" cy="3413760"/>
                    </a:xfrm>
                    <a:prstGeom prst="rect">
                      <a:avLst/>
                    </a:prstGeom>
                  </pic:spPr>
                </pic:pic>
              </a:graphicData>
            </a:graphic>
          </wp:inline>
        </w:drawing>
      </w:r>
    </w:p>
    <w:p w14:paraId="1556D53F" w14:textId="77777777" w:rsidR="00DB74C2" w:rsidRDefault="00DB74C2" w:rsidP="00DB74C2">
      <w:r>
        <w:t xml:space="preserve">There is a statistically and clinically meaningful difference in OS between the </w:t>
      </w:r>
      <w:proofErr w:type="spellStart"/>
      <w:r>
        <w:t>gilteritinib</w:t>
      </w:r>
      <w:proofErr w:type="spellEnd"/>
      <w:r>
        <w:t xml:space="preserve"> and chemotherapy treatment arms, being a median of 9.3 months and 5.6 months respectively. This is a 36% improvement in OS for the </w:t>
      </w:r>
      <w:proofErr w:type="spellStart"/>
      <w:r>
        <w:t>gilteritinib</w:t>
      </w:r>
      <w:proofErr w:type="spellEnd"/>
      <w:r>
        <w:t xml:space="preserve"> arm.</w:t>
      </w:r>
    </w:p>
    <w:p w14:paraId="3F3F98FE" w14:textId="26A9E7D2" w:rsidR="00DB74C2" w:rsidRDefault="00DB74C2" w:rsidP="00DB74C2">
      <w:pPr>
        <w:pStyle w:val="TableTitle"/>
      </w:pPr>
      <w:r>
        <w:t>Table 3</w:t>
      </w:r>
      <w:r w:rsidR="00B27631">
        <w:t>:</w:t>
      </w:r>
      <w:r w:rsidRPr="00361A34">
        <w:t xml:space="preserve"> </w:t>
      </w:r>
      <w:r w:rsidR="00B27631">
        <w:t xml:space="preserve">Study 2215-CL-0301 </w:t>
      </w:r>
      <w:proofErr w:type="gramStart"/>
      <w:r w:rsidRPr="00361A34">
        <w:t>Complete</w:t>
      </w:r>
      <w:proofErr w:type="gramEnd"/>
      <w:r w:rsidRPr="00361A34">
        <w:t xml:space="preserve"> remission</w:t>
      </w:r>
      <w:r w:rsidR="00B27631">
        <w:t xml:space="preserve"> (primary analysis and sensitivity analyses across populations)</w:t>
      </w:r>
    </w:p>
    <w:p w14:paraId="05DD3094" w14:textId="77777777" w:rsidR="00DB74C2" w:rsidRDefault="00DB74C2" w:rsidP="00DB74C2">
      <w:r>
        <w:rPr>
          <w:noProof/>
          <w:lang w:eastAsia="en-AU"/>
        </w:rPr>
        <w:drawing>
          <wp:inline distT="0" distB="0" distL="0" distR="0" wp14:anchorId="53434462" wp14:editId="7DB05F5E">
            <wp:extent cx="4927874" cy="3281294"/>
            <wp:effectExtent l="0" t="0" r="6350" b="0"/>
            <wp:docPr id="2" name="Picture 2" descr="Complete remission in the pivotal study (Study 2215-CL-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votal study 1.7.png"/>
                    <pic:cNvPicPr/>
                  </pic:nvPicPr>
                  <pic:blipFill>
                    <a:blip r:embed="rId19">
                      <a:extLst>
                        <a:ext uri="{28A0092B-C50C-407E-A947-70E740481C1C}">
                          <a14:useLocalDpi xmlns:a14="http://schemas.microsoft.com/office/drawing/2010/main" val="0"/>
                        </a:ext>
                      </a:extLst>
                    </a:blip>
                    <a:stretch>
                      <a:fillRect/>
                    </a:stretch>
                  </pic:blipFill>
                  <pic:spPr>
                    <a:xfrm>
                      <a:off x="0" y="0"/>
                      <a:ext cx="5003846" cy="3331881"/>
                    </a:xfrm>
                    <a:prstGeom prst="rect">
                      <a:avLst/>
                    </a:prstGeom>
                  </pic:spPr>
                </pic:pic>
              </a:graphicData>
            </a:graphic>
          </wp:inline>
        </w:drawing>
      </w:r>
    </w:p>
    <w:p w14:paraId="119D4B40" w14:textId="77777777" w:rsidR="00DB74C2" w:rsidRDefault="00DB74C2" w:rsidP="00DB74C2">
      <w:r>
        <w:t>The ratio of CR/</w:t>
      </w:r>
      <w:proofErr w:type="spellStart"/>
      <w:r>
        <w:t>CRh</w:t>
      </w:r>
      <w:proofErr w:type="spellEnd"/>
      <w:r>
        <w:t xml:space="preserve"> was higher in the </w:t>
      </w:r>
      <w:proofErr w:type="spellStart"/>
      <w:r>
        <w:t>gilteritinib</w:t>
      </w:r>
      <w:proofErr w:type="spellEnd"/>
      <w:r>
        <w:t xml:space="preserve"> arm than in the chemotherapy arm, being 34% versus 15.3% respectively. This indicates a relatively higher chance of CR in patients treated with </w:t>
      </w:r>
      <w:proofErr w:type="spellStart"/>
      <w:r>
        <w:t>gilteritinib</w:t>
      </w:r>
      <w:proofErr w:type="spellEnd"/>
      <w:r>
        <w:t>.</w:t>
      </w:r>
    </w:p>
    <w:p w14:paraId="5A5C938A" w14:textId="77777777" w:rsidR="00DB74C2" w:rsidRDefault="00DB74C2" w:rsidP="00DB74C2">
      <w:pPr>
        <w:pStyle w:val="Heading4"/>
      </w:pPr>
      <w:r w:rsidRPr="00F400D5">
        <w:lastRenderedPageBreak/>
        <w:t>Safety</w:t>
      </w:r>
    </w:p>
    <w:p w14:paraId="2C95054D" w14:textId="343C7A7F" w:rsidR="00DB74C2" w:rsidRPr="00021165" w:rsidRDefault="00DB74C2" w:rsidP="00DB74C2">
      <w:r>
        <w:t xml:space="preserve">A summary of exposure to different doses of </w:t>
      </w:r>
      <w:proofErr w:type="spellStart"/>
      <w:r>
        <w:t>gilteritinib</w:t>
      </w:r>
      <w:proofErr w:type="spellEnd"/>
      <w:r>
        <w:t xml:space="preserve"> i</w:t>
      </w:r>
      <w:r w:rsidR="009977F0">
        <w:t>n</w:t>
      </w:r>
      <w:r>
        <w:t xml:space="preserve"> the clinical development program is shown in Table 4, and the duration of exposure to </w:t>
      </w:r>
      <w:proofErr w:type="spellStart"/>
      <w:r>
        <w:t>gilteritinib</w:t>
      </w:r>
      <w:proofErr w:type="spellEnd"/>
      <w:r>
        <w:t xml:space="preserve"> in Study</w:t>
      </w:r>
      <w:r w:rsidR="00B27631">
        <w:t> </w:t>
      </w:r>
      <w:r>
        <w:t>2215</w:t>
      </w:r>
      <w:r w:rsidR="00B27631">
        <w:noBreakHyphen/>
      </w:r>
      <w:r>
        <w:t>CL-0301 is shown in Table 5.</w:t>
      </w:r>
    </w:p>
    <w:p w14:paraId="6BF93196" w14:textId="47813F43" w:rsidR="00DB74C2" w:rsidRPr="00E601C5" w:rsidRDefault="00DB74C2" w:rsidP="00DB74C2">
      <w:pPr>
        <w:pStyle w:val="TableTitle"/>
      </w:pPr>
      <w:r w:rsidRPr="00E601C5">
        <w:t xml:space="preserve">Table </w:t>
      </w:r>
      <w:r>
        <w:t>4</w:t>
      </w:r>
      <w:r w:rsidR="00B27631">
        <w:t>:</w:t>
      </w:r>
      <w:r w:rsidRPr="00E601C5">
        <w:t xml:space="preserve"> Summary of exposure to different doses of </w:t>
      </w:r>
      <w:proofErr w:type="spellStart"/>
      <w:r>
        <w:t>g</w:t>
      </w:r>
      <w:r w:rsidRPr="00E601C5">
        <w:t>ilteritinib</w:t>
      </w:r>
      <w:proofErr w:type="spellEnd"/>
      <w:r w:rsidRPr="00E601C5">
        <w:t xml:space="preserve"> in the clinical development program</w:t>
      </w:r>
    </w:p>
    <w:tbl>
      <w:tblPr>
        <w:tblStyle w:val="TableTGAblue"/>
        <w:tblW w:w="5000" w:type="pct"/>
        <w:tblLook w:val="04A0" w:firstRow="1" w:lastRow="0" w:firstColumn="1" w:lastColumn="0" w:noHBand="0" w:noVBand="1"/>
      </w:tblPr>
      <w:tblGrid>
        <w:gridCol w:w="1142"/>
        <w:gridCol w:w="1688"/>
        <w:gridCol w:w="651"/>
        <w:gridCol w:w="651"/>
        <w:gridCol w:w="651"/>
        <w:gridCol w:w="651"/>
        <w:gridCol w:w="750"/>
        <w:gridCol w:w="751"/>
        <w:gridCol w:w="849"/>
        <w:gridCol w:w="700"/>
      </w:tblGrid>
      <w:tr w:rsidR="00DB74C2" w:rsidRPr="006D7268" w14:paraId="2B1B856F" w14:textId="77777777" w:rsidTr="00157E6A">
        <w:trPr>
          <w:cnfStyle w:val="100000000000" w:firstRow="1" w:lastRow="0" w:firstColumn="0" w:lastColumn="0" w:oddVBand="0" w:evenVBand="0" w:oddHBand="0" w:evenHBand="0" w:firstRowFirstColumn="0" w:firstRowLastColumn="0" w:lastRowFirstColumn="0" w:lastRowLastColumn="0"/>
        </w:trPr>
        <w:tc>
          <w:tcPr>
            <w:tcW w:w="674" w:type="pct"/>
          </w:tcPr>
          <w:p w14:paraId="51F046CB" w14:textId="2EB440EE" w:rsidR="00DB74C2" w:rsidRPr="00021165" w:rsidRDefault="00D27297" w:rsidP="00DB74C2">
            <w:pPr>
              <w:tabs>
                <w:tab w:val="left" w:pos="620"/>
              </w:tabs>
              <w:spacing w:before="0" w:after="0" w:line="240" w:lineRule="auto"/>
              <w:ind w:left="0" w:right="0"/>
              <w:rPr>
                <w:sz w:val="20"/>
                <w:szCs w:val="20"/>
                <w:lang w:eastAsia="ja-JP"/>
              </w:rPr>
            </w:pPr>
            <w:r>
              <w:rPr>
                <w:sz w:val="20"/>
                <w:szCs w:val="20"/>
                <w:lang w:eastAsia="ja-JP"/>
              </w:rPr>
              <w:t>ID</w:t>
            </w:r>
          </w:p>
        </w:tc>
        <w:tc>
          <w:tcPr>
            <w:tcW w:w="996" w:type="pct"/>
          </w:tcPr>
          <w:p w14:paraId="09D8CAF7"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Population</w:t>
            </w:r>
          </w:p>
        </w:tc>
        <w:tc>
          <w:tcPr>
            <w:tcW w:w="385" w:type="pct"/>
          </w:tcPr>
          <w:p w14:paraId="5CEF2AD0"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10 mg</w:t>
            </w:r>
          </w:p>
        </w:tc>
        <w:tc>
          <w:tcPr>
            <w:tcW w:w="385" w:type="pct"/>
          </w:tcPr>
          <w:p w14:paraId="5E4A5988"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20 mg</w:t>
            </w:r>
          </w:p>
        </w:tc>
        <w:tc>
          <w:tcPr>
            <w:tcW w:w="385" w:type="pct"/>
          </w:tcPr>
          <w:p w14:paraId="6559ACCA"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40 mg</w:t>
            </w:r>
          </w:p>
        </w:tc>
        <w:tc>
          <w:tcPr>
            <w:tcW w:w="385" w:type="pct"/>
          </w:tcPr>
          <w:p w14:paraId="3C46C149"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80 mg</w:t>
            </w:r>
          </w:p>
        </w:tc>
        <w:tc>
          <w:tcPr>
            <w:tcW w:w="443" w:type="pct"/>
          </w:tcPr>
          <w:p w14:paraId="0171E9AF"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120 mg</w:t>
            </w:r>
          </w:p>
        </w:tc>
        <w:tc>
          <w:tcPr>
            <w:tcW w:w="443" w:type="pct"/>
          </w:tcPr>
          <w:p w14:paraId="0A1EA217"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200 mg</w:t>
            </w:r>
          </w:p>
        </w:tc>
        <w:tc>
          <w:tcPr>
            <w:tcW w:w="501" w:type="pct"/>
          </w:tcPr>
          <w:p w14:paraId="543CF2B8"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&gt; 200 mg</w:t>
            </w:r>
          </w:p>
        </w:tc>
        <w:tc>
          <w:tcPr>
            <w:tcW w:w="401" w:type="pct"/>
          </w:tcPr>
          <w:p w14:paraId="4138622F" w14:textId="78CD9F97" w:rsidR="00DB74C2" w:rsidRPr="00021165" w:rsidRDefault="00D27297" w:rsidP="00DB74C2">
            <w:pPr>
              <w:spacing w:before="0" w:after="0" w:line="240" w:lineRule="auto"/>
              <w:ind w:left="0" w:right="0"/>
              <w:rPr>
                <w:sz w:val="20"/>
                <w:szCs w:val="20"/>
                <w:lang w:eastAsia="ja-JP"/>
              </w:rPr>
            </w:pPr>
            <w:r>
              <w:rPr>
                <w:sz w:val="20"/>
                <w:szCs w:val="20"/>
                <w:lang w:eastAsia="ja-JP"/>
              </w:rPr>
              <w:t>Total</w:t>
            </w:r>
          </w:p>
        </w:tc>
      </w:tr>
      <w:tr w:rsidR="00DB74C2" w:rsidRPr="0097744D" w14:paraId="5AAAC7CF" w14:textId="77777777" w:rsidTr="00157E6A">
        <w:tc>
          <w:tcPr>
            <w:tcW w:w="1670" w:type="pct"/>
            <w:gridSpan w:val="2"/>
          </w:tcPr>
          <w:p w14:paraId="59DABD6D" w14:textId="49D78525" w:rsidR="00DB74C2" w:rsidRPr="00021165" w:rsidRDefault="00D27297" w:rsidP="00DB74C2">
            <w:pPr>
              <w:spacing w:before="0" w:after="0" w:line="240" w:lineRule="auto"/>
              <w:ind w:left="0" w:right="0"/>
              <w:rPr>
                <w:b/>
                <w:sz w:val="20"/>
                <w:szCs w:val="20"/>
                <w:lang w:eastAsia="ja-JP"/>
              </w:rPr>
            </w:pPr>
            <w:r>
              <w:rPr>
                <w:b/>
                <w:sz w:val="20"/>
                <w:szCs w:val="20"/>
                <w:lang w:eastAsia="ja-JP"/>
              </w:rPr>
              <w:t>R/R patients with AML</w:t>
            </w:r>
          </w:p>
        </w:tc>
        <w:tc>
          <w:tcPr>
            <w:tcW w:w="3330" w:type="pct"/>
            <w:gridSpan w:val="8"/>
          </w:tcPr>
          <w:p w14:paraId="37A1F117" w14:textId="77777777" w:rsidR="00DB74C2" w:rsidRPr="00021165" w:rsidRDefault="00DB74C2" w:rsidP="00DB74C2">
            <w:pPr>
              <w:spacing w:before="0" w:after="0" w:line="240" w:lineRule="auto"/>
              <w:ind w:left="0" w:right="0"/>
              <w:rPr>
                <w:b/>
                <w:sz w:val="20"/>
                <w:szCs w:val="20"/>
                <w:lang w:eastAsia="ja-JP"/>
              </w:rPr>
            </w:pPr>
          </w:p>
        </w:tc>
      </w:tr>
      <w:tr w:rsidR="00DB74C2" w:rsidRPr="006D7268" w14:paraId="6E52DB10" w14:textId="77777777" w:rsidTr="00157E6A">
        <w:tc>
          <w:tcPr>
            <w:tcW w:w="674" w:type="pct"/>
          </w:tcPr>
          <w:p w14:paraId="64C042D6"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2215-CL-0101</w:t>
            </w:r>
          </w:p>
        </w:tc>
        <w:tc>
          <w:tcPr>
            <w:tcW w:w="996" w:type="pct"/>
          </w:tcPr>
          <w:p w14:paraId="3ED10880"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R/R AML [US, EU]</w:t>
            </w:r>
          </w:p>
        </w:tc>
        <w:tc>
          <w:tcPr>
            <w:tcW w:w="385" w:type="pct"/>
          </w:tcPr>
          <w:p w14:paraId="743FDA88"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50AF90E9"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17</w:t>
            </w:r>
          </w:p>
        </w:tc>
        <w:tc>
          <w:tcPr>
            <w:tcW w:w="385" w:type="pct"/>
          </w:tcPr>
          <w:p w14:paraId="7A571E12"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16</w:t>
            </w:r>
          </w:p>
        </w:tc>
        <w:tc>
          <w:tcPr>
            <w:tcW w:w="385" w:type="pct"/>
          </w:tcPr>
          <w:p w14:paraId="7B299A29"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24</w:t>
            </w:r>
          </w:p>
        </w:tc>
        <w:tc>
          <w:tcPr>
            <w:tcW w:w="443" w:type="pct"/>
          </w:tcPr>
          <w:p w14:paraId="060C2064"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69</w:t>
            </w:r>
          </w:p>
        </w:tc>
        <w:tc>
          <w:tcPr>
            <w:tcW w:w="443" w:type="pct"/>
          </w:tcPr>
          <w:p w14:paraId="1A435BC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103</w:t>
            </w:r>
          </w:p>
        </w:tc>
        <w:tc>
          <w:tcPr>
            <w:tcW w:w="501" w:type="pct"/>
          </w:tcPr>
          <w:p w14:paraId="25254ED1"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23</w:t>
            </w:r>
          </w:p>
        </w:tc>
        <w:tc>
          <w:tcPr>
            <w:tcW w:w="401" w:type="pct"/>
          </w:tcPr>
          <w:p w14:paraId="234D7A20"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252</w:t>
            </w:r>
          </w:p>
        </w:tc>
      </w:tr>
      <w:tr w:rsidR="00DB74C2" w:rsidRPr="006D7268" w14:paraId="1B7BEBC3" w14:textId="77777777" w:rsidTr="00157E6A">
        <w:tc>
          <w:tcPr>
            <w:tcW w:w="674" w:type="pct"/>
          </w:tcPr>
          <w:p w14:paraId="7BAAF2EA"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2215-CL-0102</w:t>
            </w:r>
          </w:p>
        </w:tc>
        <w:tc>
          <w:tcPr>
            <w:tcW w:w="996" w:type="pct"/>
          </w:tcPr>
          <w:p w14:paraId="6835EFD2"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RR/AML [Japan]</w:t>
            </w:r>
          </w:p>
        </w:tc>
        <w:tc>
          <w:tcPr>
            <w:tcW w:w="385" w:type="pct"/>
          </w:tcPr>
          <w:p w14:paraId="783E2C05"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042BA8C4"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1</w:t>
            </w:r>
          </w:p>
        </w:tc>
        <w:tc>
          <w:tcPr>
            <w:tcW w:w="385" w:type="pct"/>
          </w:tcPr>
          <w:p w14:paraId="19F61EE1"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4</w:t>
            </w:r>
          </w:p>
        </w:tc>
        <w:tc>
          <w:tcPr>
            <w:tcW w:w="385" w:type="pct"/>
          </w:tcPr>
          <w:p w14:paraId="120B4FA5"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4</w:t>
            </w:r>
          </w:p>
        </w:tc>
        <w:tc>
          <w:tcPr>
            <w:tcW w:w="443" w:type="pct"/>
          </w:tcPr>
          <w:p w14:paraId="56FB1F5E"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4</w:t>
            </w:r>
          </w:p>
        </w:tc>
        <w:tc>
          <w:tcPr>
            <w:tcW w:w="443" w:type="pct"/>
          </w:tcPr>
          <w:p w14:paraId="7AEF3C5A"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9</w:t>
            </w:r>
          </w:p>
        </w:tc>
        <w:tc>
          <w:tcPr>
            <w:tcW w:w="501" w:type="pct"/>
          </w:tcPr>
          <w:p w14:paraId="46EB356B"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w:t>
            </w:r>
          </w:p>
        </w:tc>
        <w:tc>
          <w:tcPr>
            <w:tcW w:w="401" w:type="pct"/>
          </w:tcPr>
          <w:p w14:paraId="486D12ED"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24</w:t>
            </w:r>
          </w:p>
        </w:tc>
      </w:tr>
      <w:tr w:rsidR="00DB74C2" w:rsidRPr="006D7268" w14:paraId="511F1C38" w14:textId="77777777" w:rsidTr="00157E6A">
        <w:tc>
          <w:tcPr>
            <w:tcW w:w="674" w:type="pct"/>
          </w:tcPr>
          <w:p w14:paraId="7C104D43"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2215-CL-0301</w:t>
            </w:r>
          </w:p>
        </w:tc>
        <w:tc>
          <w:tcPr>
            <w:tcW w:w="996" w:type="pct"/>
          </w:tcPr>
          <w:p w14:paraId="1870F0BD"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R/R AML [Global]</w:t>
            </w:r>
          </w:p>
        </w:tc>
        <w:tc>
          <w:tcPr>
            <w:tcW w:w="385" w:type="pct"/>
          </w:tcPr>
          <w:p w14:paraId="3FD03DA1"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32D92175" w14:textId="77777777" w:rsidR="00DB74C2" w:rsidRPr="00021165" w:rsidRDefault="00DB74C2" w:rsidP="00DB74C2">
            <w:pPr>
              <w:spacing w:before="0" w:after="0" w:line="240" w:lineRule="auto"/>
              <w:ind w:left="0" w:right="0"/>
              <w:rPr>
                <w:sz w:val="20"/>
                <w:szCs w:val="20"/>
                <w:lang w:eastAsia="ja-JP"/>
              </w:rPr>
            </w:pPr>
          </w:p>
        </w:tc>
        <w:tc>
          <w:tcPr>
            <w:tcW w:w="385" w:type="pct"/>
          </w:tcPr>
          <w:p w14:paraId="4EE5426C" w14:textId="77777777" w:rsidR="00DB74C2" w:rsidRPr="00021165" w:rsidRDefault="00DB74C2" w:rsidP="00DB74C2">
            <w:pPr>
              <w:spacing w:before="0" w:after="0" w:line="240" w:lineRule="auto"/>
              <w:ind w:left="0" w:right="0"/>
              <w:rPr>
                <w:sz w:val="20"/>
                <w:szCs w:val="20"/>
                <w:lang w:eastAsia="ja-JP"/>
              </w:rPr>
            </w:pPr>
          </w:p>
        </w:tc>
        <w:tc>
          <w:tcPr>
            <w:tcW w:w="385" w:type="pct"/>
          </w:tcPr>
          <w:p w14:paraId="4C31F68F"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33CCB72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 xml:space="preserve">246 </w:t>
            </w:r>
          </w:p>
        </w:tc>
        <w:tc>
          <w:tcPr>
            <w:tcW w:w="443" w:type="pct"/>
          </w:tcPr>
          <w:p w14:paraId="4F9BEA0D"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501" w:type="pct"/>
          </w:tcPr>
          <w:p w14:paraId="2B6ED11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01" w:type="pct"/>
          </w:tcPr>
          <w:p w14:paraId="5558F796"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246</w:t>
            </w:r>
          </w:p>
        </w:tc>
      </w:tr>
      <w:tr w:rsidR="00DB74C2" w:rsidRPr="006D7268" w14:paraId="08BE8394" w14:textId="77777777" w:rsidTr="00157E6A">
        <w:tc>
          <w:tcPr>
            <w:tcW w:w="674" w:type="pct"/>
          </w:tcPr>
          <w:p w14:paraId="318A6B4F"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 xml:space="preserve">Total </w:t>
            </w:r>
          </w:p>
        </w:tc>
        <w:tc>
          <w:tcPr>
            <w:tcW w:w="996" w:type="pct"/>
          </w:tcPr>
          <w:p w14:paraId="26437CCF"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R/R AML</w:t>
            </w:r>
          </w:p>
        </w:tc>
        <w:tc>
          <w:tcPr>
            <w:tcW w:w="385" w:type="pct"/>
          </w:tcPr>
          <w:p w14:paraId="0617D324"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w:t>
            </w:r>
          </w:p>
        </w:tc>
        <w:tc>
          <w:tcPr>
            <w:tcW w:w="385" w:type="pct"/>
          </w:tcPr>
          <w:p w14:paraId="5B0BB98F"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18</w:t>
            </w:r>
          </w:p>
        </w:tc>
        <w:tc>
          <w:tcPr>
            <w:tcW w:w="385" w:type="pct"/>
          </w:tcPr>
          <w:p w14:paraId="6BDA869A"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20</w:t>
            </w:r>
          </w:p>
        </w:tc>
        <w:tc>
          <w:tcPr>
            <w:tcW w:w="385" w:type="pct"/>
          </w:tcPr>
          <w:p w14:paraId="396AB21D"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28</w:t>
            </w:r>
          </w:p>
        </w:tc>
        <w:tc>
          <w:tcPr>
            <w:tcW w:w="443" w:type="pct"/>
          </w:tcPr>
          <w:p w14:paraId="4D3FD93A"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319</w:t>
            </w:r>
          </w:p>
        </w:tc>
        <w:tc>
          <w:tcPr>
            <w:tcW w:w="443" w:type="pct"/>
          </w:tcPr>
          <w:p w14:paraId="257D65FB"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112</w:t>
            </w:r>
          </w:p>
        </w:tc>
        <w:tc>
          <w:tcPr>
            <w:tcW w:w="501" w:type="pct"/>
          </w:tcPr>
          <w:p w14:paraId="56BE14D7"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25</w:t>
            </w:r>
          </w:p>
        </w:tc>
        <w:tc>
          <w:tcPr>
            <w:tcW w:w="401" w:type="pct"/>
          </w:tcPr>
          <w:p w14:paraId="553260F5"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522</w:t>
            </w:r>
          </w:p>
        </w:tc>
      </w:tr>
      <w:tr w:rsidR="00DB74C2" w:rsidRPr="0097744D" w14:paraId="66960722" w14:textId="77777777" w:rsidTr="00157E6A">
        <w:tc>
          <w:tcPr>
            <w:tcW w:w="5000" w:type="pct"/>
            <w:gridSpan w:val="10"/>
          </w:tcPr>
          <w:p w14:paraId="0FCA7FD0" w14:textId="20E057BA"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Health</w:t>
            </w:r>
            <w:r>
              <w:rPr>
                <w:b/>
                <w:sz w:val="20"/>
                <w:szCs w:val="20"/>
                <w:lang w:eastAsia="ja-JP"/>
              </w:rPr>
              <w:t>y</w:t>
            </w:r>
            <w:r w:rsidR="00D27297">
              <w:rPr>
                <w:b/>
                <w:sz w:val="20"/>
                <w:szCs w:val="20"/>
                <w:lang w:eastAsia="ja-JP"/>
              </w:rPr>
              <w:t xml:space="preserve"> volunteers</w:t>
            </w:r>
          </w:p>
        </w:tc>
      </w:tr>
      <w:tr w:rsidR="00DB74C2" w:rsidRPr="006D7268" w14:paraId="26FDD65F" w14:textId="77777777" w:rsidTr="00157E6A">
        <w:tc>
          <w:tcPr>
            <w:tcW w:w="674" w:type="pct"/>
          </w:tcPr>
          <w:p w14:paraId="249C8283"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2215-CL-0106</w:t>
            </w:r>
          </w:p>
        </w:tc>
        <w:tc>
          <w:tcPr>
            <w:tcW w:w="996" w:type="pct"/>
          </w:tcPr>
          <w:p w14:paraId="2347A94B"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Healthy [US]</w:t>
            </w:r>
          </w:p>
        </w:tc>
        <w:tc>
          <w:tcPr>
            <w:tcW w:w="385" w:type="pct"/>
          </w:tcPr>
          <w:p w14:paraId="0F366396"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24</w:t>
            </w:r>
          </w:p>
        </w:tc>
        <w:tc>
          <w:tcPr>
            <w:tcW w:w="385" w:type="pct"/>
          </w:tcPr>
          <w:p w14:paraId="349733F4"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27B0F5E7"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4AD665BA"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1E095D00"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684186F7"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501" w:type="pct"/>
          </w:tcPr>
          <w:p w14:paraId="34E393E3"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01" w:type="pct"/>
          </w:tcPr>
          <w:p w14:paraId="19AD435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24</w:t>
            </w:r>
          </w:p>
        </w:tc>
      </w:tr>
      <w:tr w:rsidR="00DB74C2" w:rsidRPr="006D7268" w14:paraId="112F1724" w14:textId="77777777" w:rsidTr="00157E6A">
        <w:tc>
          <w:tcPr>
            <w:tcW w:w="674" w:type="pct"/>
          </w:tcPr>
          <w:p w14:paraId="7315CBF5"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2215-CL-0108</w:t>
            </w:r>
          </w:p>
        </w:tc>
        <w:tc>
          <w:tcPr>
            <w:tcW w:w="996" w:type="pct"/>
          </w:tcPr>
          <w:p w14:paraId="263E60DB"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Healthy [US]</w:t>
            </w:r>
          </w:p>
        </w:tc>
        <w:tc>
          <w:tcPr>
            <w:tcW w:w="385" w:type="pct"/>
          </w:tcPr>
          <w:p w14:paraId="421665EF"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61</w:t>
            </w:r>
          </w:p>
        </w:tc>
        <w:tc>
          <w:tcPr>
            <w:tcW w:w="385" w:type="pct"/>
          </w:tcPr>
          <w:p w14:paraId="70515A63"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20</w:t>
            </w:r>
          </w:p>
        </w:tc>
        <w:tc>
          <w:tcPr>
            <w:tcW w:w="385" w:type="pct"/>
          </w:tcPr>
          <w:p w14:paraId="7C057CA0"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798AFF48"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6470626B"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467C870D"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501" w:type="pct"/>
          </w:tcPr>
          <w:p w14:paraId="3255D1F1"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01" w:type="pct"/>
          </w:tcPr>
          <w:p w14:paraId="2163EAB0"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81</w:t>
            </w:r>
          </w:p>
        </w:tc>
      </w:tr>
      <w:tr w:rsidR="00DB74C2" w:rsidRPr="006D7268" w14:paraId="002817D8" w14:textId="77777777" w:rsidTr="00157E6A">
        <w:tc>
          <w:tcPr>
            <w:tcW w:w="674" w:type="pct"/>
          </w:tcPr>
          <w:p w14:paraId="56977234"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2215-CL-0110</w:t>
            </w:r>
          </w:p>
        </w:tc>
        <w:tc>
          <w:tcPr>
            <w:tcW w:w="996" w:type="pct"/>
          </w:tcPr>
          <w:p w14:paraId="0B052297"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Healthy [US]</w:t>
            </w:r>
          </w:p>
        </w:tc>
        <w:tc>
          <w:tcPr>
            <w:tcW w:w="385" w:type="pct"/>
          </w:tcPr>
          <w:p w14:paraId="5F0CAB55"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0415C9BA"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52E8A2F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42</w:t>
            </w:r>
          </w:p>
        </w:tc>
        <w:tc>
          <w:tcPr>
            <w:tcW w:w="385" w:type="pct"/>
          </w:tcPr>
          <w:p w14:paraId="41C18326"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37D12E55"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6EEB5170"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501" w:type="pct"/>
          </w:tcPr>
          <w:p w14:paraId="54A0185E"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01" w:type="pct"/>
          </w:tcPr>
          <w:p w14:paraId="1CD3B088"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42</w:t>
            </w:r>
          </w:p>
        </w:tc>
      </w:tr>
      <w:tr w:rsidR="00DB74C2" w:rsidRPr="006D7268" w14:paraId="001F40E3" w14:textId="77777777" w:rsidTr="00157E6A">
        <w:trPr>
          <w:trHeight w:val="362"/>
        </w:trPr>
        <w:tc>
          <w:tcPr>
            <w:tcW w:w="674" w:type="pct"/>
          </w:tcPr>
          <w:p w14:paraId="1D27630E"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2215-CL-0113</w:t>
            </w:r>
          </w:p>
        </w:tc>
        <w:tc>
          <w:tcPr>
            <w:tcW w:w="996" w:type="pct"/>
          </w:tcPr>
          <w:p w14:paraId="0B0FE2A9"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Healthy [US]</w:t>
            </w:r>
          </w:p>
        </w:tc>
        <w:tc>
          <w:tcPr>
            <w:tcW w:w="385" w:type="pct"/>
          </w:tcPr>
          <w:p w14:paraId="7B7735B2"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2753F8B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5B79FC91"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32</w:t>
            </w:r>
          </w:p>
        </w:tc>
        <w:tc>
          <w:tcPr>
            <w:tcW w:w="385" w:type="pct"/>
          </w:tcPr>
          <w:p w14:paraId="71DB3052"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00D9BE57"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3C67CF85"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501" w:type="pct"/>
          </w:tcPr>
          <w:p w14:paraId="7590F8D5"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01" w:type="pct"/>
          </w:tcPr>
          <w:p w14:paraId="55A6EEAD"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32</w:t>
            </w:r>
          </w:p>
        </w:tc>
      </w:tr>
      <w:tr w:rsidR="00DB74C2" w:rsidRPr="006D7268" w14:paraId="387F35A1" w14:textId="77777777" w:rsidTr="00157E6A">
        <w:tc>
          <w:tcPr>
            <w:tcW w:w="674" w:type="pct"/>
          </w:tcPr>
          <w:p w14:paraId="4A08F65E"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Total</w:t>
            </w:r>
          </w:p>
        </w:tc>
        <w:tc>
          <w:tcPr>
            <w:tcW w:w="996" w:type="pct"/>
          </w:tcPr>
          <w:p w14:paraId="54E04CF0"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Healthy [US]</w:t>
            </w:r>
          </w:p>
        </w:tc>
        <w:tc>
          <w:tcPr>
            <w:tcW w:w="385" w:type="pct"/>
          </w:tcPr>
          <w:p w14:paraId="3BF484C8"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85</w:t>
            </w:r>
          </w:p>
        </w:tc>
        <w:tc>
          <w:tcPr>
            <w:tcW w:w="385" w:type="pct"/>
          </w:tcPr>
          <w:p w14:paraId="2E96AE38"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20</w:t>
            </w:r>
          </w:p>
        </w:tc>
        <w:tc>
          <w:tcPr>
            <w:tcW w:w="385" w:type="pct"/>
          </w:tcPr>
          <w:p w14:paraId="65A671B5"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74</w:t>
            </w:r>
          </w:p>
        </w:tc>
        <w:tc>
          <w:tcPr>
            <w:tcW w:w="385" w:type="pct"/>
          </w:tcPr>
          <w:p w14:paraId="3D652504"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w:t>
            </w:r>
          </w:p>
        </w:tc>
        <w:tc>
          <w:tcPr>
            <w:tcW w:w="443" w:type="pct"/>
          </w:tcPr>
          <w:p w14:paraId="6C49D262"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w:t>
            </w:r>
          </w:p>
        </w:tc>
        <w:tc>
          <w:tcPr>
            <w:tcW w:w="443" w:type="pct"/>
          </w:tcPr>
          <w:p w14:paraId="6718E1D3"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w:t>
            </w:r>
          </w:p>
        </w:tc>
        <w:tc>
          <w:tcPr>
            <w:tcW w:w="501" w:type="pct"/>
          </w:tcPr>
          <w:p w14:paraId="409C4EF8"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w:t>
            </w:r>
          </w:p>
        </w:tc>
        <w:tc>
          <w:tcPr>
            <w:tcW w:w="401" w:type="pct"/>
          </w:tcPr>
          <w:p w14:paraId="478E4879"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179</w:t>
            </w:r>
          </w:p>
        </w:tc>
      </w:tr>
      <w:tr w:rsidR="00DB74C2" w:rsidRPr="0097744D" w14:paraId="45BFB606" w14:textId="77777777" w:rsidTr="00157E6A">
        <w:tc>
          <w:tcPr>
            <w:tcW w:w="5000" w:type="pct"/>
            <w:gridSpan w:val="10"/>
          </w:tcPr>
          <w:p w14:paraId="03393C01"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Solid tumours</w:t>
            </w:r>
          </w:p>
        </w:tc>
      </w:tr>
      <w:tr w:rsidR="00DB74C2" w:rsidRPr="006D7268" w14:paraId="219BF36B" w14:textId="77777777" w:rsidTr="00157E6A">
        <w:tc>
          <w:tcPr>
            <w:tcW w:w="674" w:type="pct"/>
          </w:tcPr>
          <w:p w14:paraId="66B6DED8"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2215-CL-0105</w:t>
            </w:r>
          </w:p>
        </w:tc>
        <w:tc>
          <w:tcPr>
            <w:tcW w:w="996" w:type="pct"/>
          </w:tcPr>
          <w:p w14:paraId="108FED12"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Solid tumours [US]</w:t>
            </w:r>
          </w:p>
        </w:tc>
        <w:tc>
          <w:tcPr>
            <w:tcW w:w="385" w:type="pct"/>
          </w:tcPr>
          <w:p w14:paraId="7C8694E4"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520AE85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0781033E"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385" w:type="pct"/>
          </w:tcPr>
          <w:p w14:paraId="7B6611A0"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43" w:type="pct"/>
          </w:tcPr>
          <w:p w14:paraId="15BF187F"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6</w:t>
            </w:r>
          </w:p>
        </w:tc>
        <w:tc>
          <w:tcPr>
            <w:tcW w:w="443" w:type="pct"/>
          </w:tcPr>
          <w:p w14:paraId="5F1B6CDE"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501" w:type="pct"/>
          </w:tcPr>
          <w:p w14:paraId="3A2C6B59"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w:t>
            </w:r>
          </w:p>
        </w:tc>
        <w:tc>
          <w:tcPr>
            <w:tcW w:w="401" w:type="pct"/>
          </w:tcPr>
          <w:p w14:paraId="551F01F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6</w:t>
            </w:r>
          </w:p>
        </w:tc>
      </w:tr>
      <w:tr w:rsidR="00DB74C2" w:rsidRPr="006D7268" w14:paraId="0099B25C" w14:textId="77777777" w:rsidTr="00157E6A">
        <w:tc>
          <w:tcPr>
            <w:tcW w:w="674" w:type="pct"/>
          </w:tcPr>
          <w:p w14:paraId="76D625A9"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2215-CL-5101</w:t>
            </w:r>
          </w:p>
        </w:tc>
        <w:tc>
          <w:tcPr>
            <w:tcW w:w="996" w:type="pct"/>
          </w:tcPr>
          <w:p w14:paraId="106FC3C7"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NSCLC [Japan]</w:t>
            </w:r>
          </w:p>
        </w:tc>
        <w:tc>
          <w:tcPr>
            <w:tcW w:w="385" w:type="pct"/>
          </w:tcPr>
          <w:p w14:paraId="2AB654AE" w14:textId="77777777" w:rsidR="00DB74C2" w:rsidRPr="00021165" w:rsidRDefault="00DB74C2" w:rsidP="00DB74C2">
            <w:pPr>
              <w:spacing w:before="0" w:after="0" w:line="240" w:lineRule="auto"/>
              <w:ind w:left="0" w:right="0"/>
              <w:rPr>
                <w:sz w:val="20"/>
                <w:szCs w:val="20"/>
                <w:lang w:eastAsia="ja-JP"/>
              </w:rPr>
            </w:pPr>
          </w:p>
        </w:tc>
        <w:tc>
          <w:tcPr>
            <w:tcW w:w="385" w:type="pct"/>
          </w:tcPr>
          <w:p w14:paraId="2FDB5135" w14:textId="77777777" w:rsidR="00DB74C2" w:rsidRPr="00021165" w:rsidRDefault="00DB74C2" w:rsidP="00DB74C2">
            <w:pPr>
              <w:spacing w:before="0" w:after="0" w:line="240" w:lineRule="auto"/>
              <w:ind w:left="0" w:right="0"/>
              <w:rPr>
                <w:sz w:val="20"/>
                <w:szCs w:val="20"/>
                <w:lang w:eastAsia="ja-JP"/>
              </w:rPr>
            </w:pPr>
          </w:p>
        </w:tc>
        <w:tc>
          <w:tcPr>
            <w:tcW w:w="385" w:type="pct"/>
          </w:tcPr>
          <w:p w14:paraId="0BC7285D" w14:textId="77777777" w:rsidR="00DB74C2" w:rsidRPr="00021165" w:rsidRDefault="00DB74C2" w:rsidP="00DB74C2">
            <w:pPr>
              <w:spacing w:before="0" w:after="0" w:line="240" w:lineRule="auto"/>
              <w:ind w:left="0" w:right="0"/>
              <w:rPr>
                <w:sz w:val="20"/>
                <w:szCs w:val="20"/>
                <w:lang w:eastAsia="ja-JP"/>
              </w:rPr>
            </w:pPr>
          </w:p>
        </w:tc>
        <w:tc>
          <w:tcPr>
            <w:tcW w:w="385" w:type="pct"/>
          </w:tcPr>
          <w:p w14:paraId="72641D8C"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7</w:t>
            </w:r>
          </w:p>
        </w:tc>
        <w:tc>
          <w:tcPr>
            <w:tcW w:w="443" w:type="pct"/>
          </w:tcPr>
          <w:p w14:paraId="05CE72AF"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3</w:t>
            </w:r>
          </w:p>
        </w:tc>
        <w:tc>
          <w:tcPr>
            <w:tcW w:w="443" w:type="pct"/>
          </w:tcPr>
          <w:p w14:paraId="5C124990" w14:textId="77777777" w:rsidR="00DB74C2" w:rsidRPr="00021165" w:rsidRDefault="00DB74C2" w:rsidP="00DB74C2">
            <w:pPr>
              <w:spacing w:before="0" w:after="0" w:line="240" w:lineRule="auto"/>
              <w:ind w:left="0" w:right="0"/>
              <w:rPr>
                <w:sz w:val="20"/>
                <w:szCs w:val="20"/>
                <w:lang w:eastAsia="ja-JP"/>
              </w:rPr>
            </w:pPr>
          </w:p>
        </w:tc>
        <w:tc>
          <w:tcPr>
            <w:tcW w:w="501" w:type="pct"/>
          </w:tcPr>
          <w:p w14:paraId="449CF6AC" w14:textId="77777777" w:rsidR="00DB74C2" w:rsidRPr="00021165" w:rsidRDefault="00DB74C2" w:rsidP="00DB74C2">
            <w:pPr>
              <w:spacing w:before="0" w:after="0" w:line="240" w:lineRule="auto"/>
              <w:ind w:left="0" w:right="0"/>
              <w:rPr>
                <w:sz w:val="20"/>
                <w:szCs w:val="20"/>
                <w:lang w:eastAsia="ja-JP"/>
              </w:rPr>
            </w:pPr>
          </w:p>
        </w:tc>
        <w:tc>
          <w:tcPr>
            <w:tcW w:w="401" w:type="pct"/>
          </w:tcPr>
          <w:p w14:paraId="54B00AC3" w14:textId="77777777" w:rsidR="00DB74C2" w:rsidRPr="00021165" w:rsidRDefault="00DB74C2" w:rsidP="00DB74C2">
            <w:pPr>
              <w:spacing w:before="0" w:after="0" w:line="240" w:lineRule="auto"/>
              <w:ind w:left="0" w:right="0"/>
              <w:rPr>
                <w:sz w:val="20"/>
                <w:szCs w:val="20"/>
                <w:lang w:eastAsia="ja-JP"/>
              </w:rPr>
            </w:pPr>
            <w:r w:rsidRPr="00021165">
              <w:rPr>
                <w:sz w:val="20"/>
                <w:szCs w:val="20"/>
                <w:lang w:eastAsia="ja-JP"/>
              </w:rPr>
              <w:t>10</w:t>
            </w:r>
          </w:p>
        </w:tc>
      </w:tr>
      <w:tr w:rsidR="00DB74C2" w:rsidRPr="006D7268" w14:paraId="4A71072D" w14:textId="77777777" w:rsidTr="00157E6A">
        <w:tc>
          <w:tcPr>
            <w:tcW w:w="674" w:type="pct"/>
          </w:tcPr>
          <w:p w14:paraId="235C2CE5"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Total</w:t>
            </w:r>
          </w:p>
        </w:tc>
        <w:tc>
          <w:tcPr>
            <w:tcW w:w="996" w:type="pct"/>
          </w:tcPr>
          <w:p w14:paraId="22330CE2"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Solid tumours</w:t>
            </w:r>
          </w:p>
        </w:tc>
        <w:tc>
          <w:tcPr>
            <w:tcW w:w="385" w:type="pct"/>
          </w:tcPr>
          <w:p w14:paraId="1B820838"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w:t>
            </w:r>
          </w:p>
        </w:tc>
        <w:tc>
          <w:tcPr>
            <w:tcW w:w="385" w:type="pct"/>
          </w:tcPr>
          <w:p w14:paraId="6681FA76"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w:t>
            </w:r>
          </w:p>
        </w:tc>
        <w:tc>
          <w:tcPr>
            <w:tcW w:w="385" w:type="pct"/>
          </w:tcPr>
          <w:p w14:paraId="23726636"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w:t>
            </w:r>
          </w:p>
        </w:tc>
        <w:tc>
          <w:tcPr>
            <w:tcW w:w="385" w:type="pct"/>
          </w:tcPr>
          <w:p w14:paraId="76C7DF9C"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7</w:t>
            </w:r>
          </w:p>
        </w:tc>
        <w:tc>
          <w:tcPr>
            <w:tcW w:w="443" w:type="pct"/>
          </w:tcPr>
          <w:p w14:paraId="6CDA5423"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9</w:t>
            </w:r>
          </w:p>
        </w:tc>
        <w:tc>
          <w:tcPr>
            <w:tcW w:w="443" w:type="pct"/>
          </w:tcPr>
          <w:p w14:paraId="0EDAB549" w14:textId="77777777" w:rsidR="00DB74C2" w:rsidRPr="00021165" w:rsidRDefault="00DB74C2" w:rsidP="00DB74C2">
            <w:pPr>
              <w:spacing w:before="0" w:after="0" w:line="240" w:lineRule="auto"/>
              <w:ind w:left="0" w:right="0"/>
              <w:rPr>
                <w:b/>
                <w:sz w:val="20"/>
                <w:szCs w:val="20"/>
                <w:lang w:eastAsia="ja-JP"/>
              </w:rPr>
            </w:pPr>
          </w:p>
        </w:tc>
        <w:tc>
          <w:tcPr>
            <w:tcW w:w="501" w:type="pct"/>
          </w:tcPr>
          <w:p w14:paraId="77695AA7" w14:textId="77777777" w:rsidR="00DB74C2" w:rsidRPr="00021165" w:rsidRDefault="00DB74C2" w:rsidP="00DB74C2">
            <w:pPr>
              <w:spacing w:before="0" w:after="0" w:line="240" w:lineRule="auto"/>
              <w:ind w:left="0" w:right="0"/>
              <w:rPr>
                <w:b/>
                <w:sz w:val="20"/>
                <w:szCs w:val="20"/>
                <w:lang w:eastAsia="ja-JP"/>
              </w:rPr>
            </w:pPr>
          </w:p>
        </w:tc>
        <w:tc>
          <w:tcPr>
            <w:tcW w:w="401" w:type="pct"/>
          </w:tcPr>
          <w:p w14:paraId="1FC7AE28"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16</w:t>
            </w:r>
          </w:p>
        </w:tc>
      </w:tr>
      <w:tr w:rsidR="00DB74C2" w:rsidRPr="006D7268" w14:paraId="0401EFB8" w14:textId="77777777" w:rsidTr="00157E6A">
        <w:tc>
          <w:tcPr>
            <w:tcW w:w="674" w:type="pct"/>
          </w:tcPr>
          <w:p w14:paraId="6D2D3099"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Total</w:t>
            </w:r>
          </w:p>
        </w:tc>
        <w:tc>
          <w:tcPr>
            <w:tcW w:w="996" w:type="pct"/>
          </w:tcPr>
          <w:p w14:paraId="79AE42F5" w14:textId="77777777" w:rsidR="00DB74C2" w:rsidRPr="00021165" w:rsidRDefault="00DB74C2" w:rsidP="00DB74C2">
            <w:pPr>
              <w:spacing w:before="0" w:after="0" w:line="240" w:lineRule="auto"/>
              <w:ind w:left="0" w:right="0"/>
              <w:rPr>
                <w:b/>
                <w:sz w:val="20"/>
                <w:szCs w:val="20"/>
                <w:lang w:eastAsia="ja-JP"/>
              </w:rPr>
            </w:pPr>
          </w:p>
        </w:tc>
        <w:tc>
          <w:tcPr>
            <w:tcW w:w="385" w:type="pct"/>
          </w:tcPr>
          <w:p w14:paraId="2D4BA811"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85</w:t>
            </w:r>
          </w:p>
        </w:tc>
        <w:tc>
          <w:tcPr>
            <w:tcW w:w="385" w:type="pct"/>
          </w:tcPr>
          <w:p w14:paraId="4A7B5FC7"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38</w:t>
            </w:r>
          </w:p>
        </w:tc>
        <w:tc>
          <w:tcPr>
            <w:tcW w:w="385" w:type="pct"/>
          </w:tcPr>
          <w:p w14:paraId="7A1639B2"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94</w:t>
            </w:r>
          </w:p>
        </w:tc>
        <w:tc>
          <w:tcPr>
            <w:tcW w:w="385" w:type="pct"/>
          </w:tcPr>
          <w:p w14:paraId="41B04ACA"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35</w:t>
            </w:r>
          </w:p>
        </w:tc>
        <w:tc>
          <w:tcPr>
            <w:tcW w:w="443" w:type="pct"/>
          </w:tcPr>
          <w:p w14:paraId="2331FB3B"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328</w:t>
            </w:r>
          </w:p>
        </w:tc>
        <w:tc>
          <w:tcPr>
            <w:tcW w:w="443" w:type="pct"/>
          </w:tcPr>
          <w:p w14:paraId="4F7FC3B9"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112</w:t>
            </w:r>
          </w:p>
        </w:tc>
        <w:tc>
          <w:tcPr>
            <w:tcW w:w="501" w:type="pct"/>
          </w:tcPr>
          <w:p w14:paraId="7384805F"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25</w:t>
            </w:r>
          </w:p>
        </w:tc>
        <w:tc>
          <w:tcPr>
            <w:tcW w:w="401" w:type="pct"/>
          </w:tcPr>
          <w:p w14:paraId="3D3DB97E" w14:textId="77777777" w:rsidR="00DB74C2" w:rsidRPr="00021165" w:rsidRDefault="00DB74C2" w:rsidP="00DB74C2">
            <w:pPr>
              <w:spacing w:before="0" w:after="0" w:line="240" w:lineRule="auto"/>
              <w:ind w:left="0" w:right="0"/>
              <w:rPr>
                <w:b/>
                <w:sz w:val="20"/>
                <w:szCs w:val="20"/>
                <w:lang w:eastAsia="ja-JP"/>
              </w:rPr>
            </w:pPr>
            <w:r w:rsidRPr="00021165">
              <w:rPr>
                <w:b/>
                <w:sz w:val="20"/>
                <w:szCs w:val="20"/>
                <w:lang w:eastAsia="ja-JP"/>
              </w:rPr>
              <w:t>717</w:t>
            </w:r>
          </w:p>
        </w:tc>
      </w:tr>
    </w:tbl>
    <w:p w14:paraId="59560A42" w14:textId="61FF2193" w:rsidR="00DB74C2" w:rsidRPr="00E601C5" w:rsidRDefault="00DB74C2" w:rsidP="00DB74C2">
      <w:pPr>
        <w:pStyle w:val="TableTitle"/>
      </w:pPr>
      <w:r w:rsidRPr="00E601C5">
        <w:lastRenderedPageBreak/>
        <w:t xml:space="preserve">Table </w:t>
      </w:r>
      <w:r>
        <w:t>5</w:t>
      </w:r>
      <w:r w:rsidR="00B27631">
        <w:t>: Study 2215-CL-0301</w:t>
      </w:r>
      <w:r w:rsidRPr="00E601C5">
        <w:t xml:space="preserve"> Duration of exposure of patients to </w:t>
      </w:r>
      <w:proofErr w:type="spellStart"/>
      <w:r>
        <w:t>g</w:t>
      </w:r>
      <w:r w:rsidRPr="00E601C5">
        <w:t>ilteritinib</w:t>
      </w:r>
      <w:proofErr w:type="spellEnd"/>
    </w:p>
    <w:tbl>
      <w:tblPr>
        <w:tblStyle w:val="TableTGAblue"/>
        <w:tblW w:w="5000" w:type="pct"/>
        <w:tblLook w:val="04A0" w:firstRow="1" w:lastRow="0" w:firstColumn="1" w:lastColumn="0" w:noHBand="0" w:noVBand="1"/>
      </w:tblPr>
      <w:tblGrid>
        <w:gridCol w:w="2924"/>
        <w:gridCol w:w="1725"/>
        <w:gridCol w:w="1923"/>
        <w:gridCol w:w="1912"/>
      </w:tblGrid>
      <w:tr w:rsidR="00DB74C2" w:rsidRPr="002B46A6" w14:paraId="7C1DF5AB" w14:textId="77777777" w:rsidTr="006B7636">
        <w:trPr>
          <w:cnfStyle w:val="100000000000" w:firstRow="1" w:lastRow="0" w:firstColumn="0" w:lastColumn="0" w:oddVBand="0" w:evenVBand="0" w:oddHBand="0" w:evenHBand="0" w:firstRowFirstColumn="0" w:firstRowLastColumn="0" w:lastRowFirstColumn="0" w:lastRowLastColumn="0"/>
        </w:trPr>
        <w:tc>
          <w:tcPr>
            <w:tcW w:w="1810" w:type="pct"/>
            <w:tcBorders>
              <w:bottom w:val="nil"/>
            </w:tcBorders>
          </w:tcPr>
          <w:p w14:paraId="54D46A74" w14:textId="77777777" w:rsidR="00DB74C2" w:rsidRPr="00021165" w:rsidRDefault="00DB74C2" w:rsidP="00DB74C2">
            <w:pPr>
              <w:spacing w:before="40" w:after="40" w:line="40" w:lineRule="atLeast"/>
              <w:rPr>
                <w:sz w:val="20"/>
                <w:szCs w:val="20"/>
                <w:lang w:eastAsia="ja-JP"/>
              </w:rPr>
            </w:pPr>
          </w:p>
        </w:tc>
        <w:tc>
          <w:tcPr>
            <w:tcW w:w="1103" w:type="pct"/>
            <w:tcBorders>
              <w:bottom w:val="nil"/>
            </w:tcBorders>
          </w:tcPr>
          <w:p w14:paraId="7404D43B" w14:textId="77777777" w:rsidR="00DB74C2" w:rsidRPr="00021165" w:rsidRDefault="00DB74C2" w:rsidP="00DB74C2">
            <w:pPr>
              <w:spacing w:before="40" w:after="40" w:line="40" w:lineRule="atLeast"/>
              <w:rPr>
                <w:sz w:val="20"/>
                <w:szCs w:val="20"/>
                <w:lang w:eastAsia="ja-JP"/>
              </w:rPr>
            </w:pPr>
            <w:proofErr w:type="spellStart"/>
            <w:r w:rsidRPr="00021165">
              <w:rPr>
                <w:sz w:val="20"/>
                <w:szCs w:val="20"/>
                <w:lang w:eastAsia="ja-JP"/>
              </w:rPr>
              <w:t>Gilteritinib</w:t>
            </w:r>
            <w:proofErr w:type="spellEnd"/>
          </w:p>
        </w:tc>
        <w:tc>
          <w:tcPr>
            <w:tcW w:w="1220" w:type="pct"/>
            <w:tcBorders>
              <w:bottom w:val="nil"/>
            </w:tcBorders>
          </w:tcPr>
          <w:p w14:paraId="784ED171" w14:textId="77777777" w:rsidR="00DB74C2" w:rsidRPr="00021165" w:rsidRDefault="00DB74C2" w:rsidP="00DB74C2">
            <w:pPr>
              <w:spacing w:before="40" w:after="40" w:line="40" w:lineRule="atLeast"/>
              <w:rPr>
                <w:sz w:val="20"/>
                <w:szCs w:val="20"/>
                <w:lang w:eastAsia="ja-JP"/>
              </w:rPr>
            </w:pPr>
            <w:proofErr w:type="spellStart"/>
            <w:r w:rsidRPr="00021165">
              <w:rPr>
                <w:sz w:val="20"/>
                <w:szCs w:val="20"/>
                <w:lang w:eastAsia="ja-JP"/>
              </w:rPr>
              <w:t>Gilteritinib</w:t>
            </w:r>
            <w:proofErr w:type="spellEnd"/>
          </w:p>
        </w:tc>
        <w:tc>
          <w:tcPr>
            <w:tcW w:w="867" w:type="pct"/>
            <w:tcBorders>
              <w:bottom w:val="nil"/>
            </w:tcBorders>
          </w:tcPr>
          <w:p w14:paraId="02C5DF8E" w14:textId="77777777" w:rsidR="00DB74C2" w:rsidRPr="00021165" w:rsidRDefault="00DB74C2" w:rsidP="00DB74C2">
            <w:pPr>
              <w:spacing w:before="40" w:after="40" w:line="40" w:lineRule="atLeast"/>
              <w:rPr>
                <w:sz w:val="20"/>
                <w:szCs w:val="20"/>
                <w:lang w:eastAsia="ja-JP"/>
              </w:rPr>
            </w:pPr>
            <w:r w:rsidRPr="00021165">
              <w:rPr>
                <w:sz w:val="20"/>
                <w:szCs w:val="20"/>
                <w:lang w:eastAsia="ja-JP"/>
              </w:rPr>
              <w:t>Chemotherapy</w:t>
            </w:r>
          </w:p>
        </w:tc>
      </w:tr>
      <w:tr w:rsidR="00DB74C2" w:rsidRPr="002B46A6" w14:paraId="55A722BF" w14:textId="77777777" w:rsidTr="006B7636">
        <w:tc>
          <w:tcPr>
            <w:tcW w:w="1810" w:type="pct"/>
            <w:tcBorders>
              <w:top w:val="nil"/>
              <w:right w:val="nil"/>
            </w:tcBorders>
            <w:shd w:val="clear" w:color="auto" w:fill="006DA7"/>
          </w:tcPr>
          <w:p w14:paraId="24668BF9" w14:textId="77777777" w:rsidR="00DB74C2" w:rsidRPr="006B7636" w:rsidRDefault="00DB74C2" w:rsidP="00DB74C2">
            <w:pPr>
              <w:keepNext/>
              <w:spacing w:before="40" w:after="40" w:line="40" w:lineRule="atLeast"/>
              <w:rPr>
                <w:color w:val="FFFFFF" w:themeColor="background1"/>
                <w:sz w:val="20"/>
                <w:szCs w:val="20"/>
                <w:lang w:eastAsia="ja-JP"/>
              </w:rPr>
            </w:pPr>
          </w:p>
        </w:tc>
        <w:tc>
          <w:tcPr>
            <w:tcW w:w="1103" w:type="pct"/>
            <w:tcBorders>
              <w:top w:val="nil"/>
              <w:left w:val="nil"/>
              <w:right w:val="nil"/>
            </w:tcBorders>
            <w:shd w:val="clear" w:color="auto" w:fill="006DA7"/>
          </w:tcPr>
          <w:p w14:paraId="0D149AC3" w14:textId="77777777" w:rsidR="00DB74C2" w:rsidRPr="006B7636" w:rsidRDefault="00DB74C2" w:rsidP="00DB74C2">
            <w:pPr>
              <w:keepNext/>
              <w:autoSpaceDE w:val="0"/>
              <w:autoSpaceDN w:val="0"/>
              <w:adjustRightInd w:val="0"/>
              <w:spacing w:before="40" w:after="40" w:line="40" w:lineRule="atLeast"/>
              <w:rPr>
                <w:rFonts w:eastAsia="TimesNewRoman" w:cs="TimesNewRoman"/>
                <w:color w:val="FFFFFF" w:themeColor="background1"/>
                <w:sz w:val="20"/>
                <w:szCs w:val="20"/>
              </w:rPr>
            </w:pPr>
            <w:r w:rsidRPr="006B7636">
              <w:rPr>
                <w:color w:val="FFFFFF" w:themeColor="background1"/>
                <w:sz w:val="20"/>
                <w:szCs w:val="20"/>
                <w:lang w:eastAsia="ja-JP"/>
              </w:rPr>
              <w:t>Overall (n = 246)</w:t>
            </w:r>
          </w:p>
        </w:tc>
        <w:tc>
          <w:tcPr>
            <w:tcW w:w="1220" w:type="pct"/>
            <w:tcBorders>
              <w:top w:val="nil"/>
              <w:left w:val="nil"/>
              <w:right w:val="nil"/>
            </w:tcBorders>
            <w:shd w:val="clear" w:color="auto" w:fill="006DA7"/>
          </w:tcPr>
          <w:p w14:paraId="6A81F35E" w14:textId="77777777" w:rsidR="00DB74C2" w:rsidRPr="006B7636" w:rsidRDefault="00DB74C2" w:rsidP="00DB74C2">
            <w:pPr>
              <w:keepNext/>
              <w:autoSpaceDE w:val="0"/>
              <w:autoSpaceDN w:val="0"/>
              <w:adjustRightInd w:val="0"/>
              <w:spacing w:before="40" w:after="40" w:line="40" w:lineRule="atLeast"/>
              <w:rPr>
                <w:rFonts w:eastAsia="TimesNewRoman" w:cs="TimesNewRoman"/>
                <w:color w:val="FFFFFF" w:themeColor="background1"/>
                <w:sz w:val="20"/>
                <w:szCs w:val="20"/>
              </w:rPr>
            </w:pPr>
            <w:r w:rsidRPr="006B7636">
              <w:rPr>
                <w:color w:val="FFFFFF" w:themeColor="background1"/>
                <w:sz w:val="20"/>
                <w:szCs w:val="20"/>
                <w:lang w:eastAsia="ja-JP"/>
              </w:rPr>
              <w:t>No dose escalation (n = 168)</w:t>
            </w:r>
          </w:p>
        </w:tc>
        <w:tc>
          <w:tcPr>
            <w:tcW w:w="867" w:type="pct"/>
            <w:tcBorders>
              <w:top w:val="nil"/>
              <w:left w:val="nil"/>
            </w:tcBorders>
            <w:shd w:val="clear" w:color="auto" w:fill="006DA7"/>
          </w:tcPr>
          <w:p w14:paraId="166256C3" w14:textId="77777777" w:rsidR="00DB74C2" w:rsidRPr="006B7636" w:rsidRDefault="00DB74C2" w:rsidP="00DB74C2">
            <w:pPr>
              <w:keepNext/>
              <w:autoSpaceDE w:val="0"/>
              <w:autoSpaceDN w:val="0"/>
              <w:adjustRightInd w:val="0"/>
              <w:spacing w:before="40" w:after="40" w:line="40" w:lineRule="atLeast"/>
              <w:rPr>
                <w:rFonts w:eastAsia="TimesNewRoman" w:cs="TimesNewRoman"/>
                <w:color w:val="FFFFFF" w:themeColor="background1"/>
                <w:sz w:val="20"/>
                <w:szCs w:val="20"/>
              </w:rPr>
            </w:pPr>
            <w:r w:rsidRPr="006B7636">
              <w:rPr>
                <w:color w:val="FFFFFF" w:themeColor="background1"/>
                <w:sz w:val="20"/>
                <w:szCs w:val="20"/>
                <w:lang w:eastAsia="ja-JP"/>
              </w:rPr>
              <w:t>(n = 109)</w:t>
            </w:r>
          </w:p>
        </w:tc>
      </w:tr>
      <w:tr w:rsidR="00DB74C2" w:rsidRPr="002B46A6" w14:paraId="2FE73898" w14:textId="77777777" w:rsidTr="00157E6A">
        <w:tc>
          <w:tcPr>
            <w:tcW w:w="1810" w:type="pct"/>
          </w:tcPr>
          <w:p w14:paraId="07ECE42A"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 xml:space="preserve">Duration of exposure, median (range) days </w:t>
            </w:r>
          </w:p>
        </w:tc>
        <w:tc>
          <w:tcPr>
            <w:tcW w:w="1103" w:type="pct"/>
          </w:tcPr>
          <w:p w14:paraId="25F9CC84" w14:textId="77777777" w:rsidR="00DB74C2" w:rsidRPr="00021165" w:rsidRDefault="00DB74C2" w:rsidP="00DB74C2">
            <w:pPr>
              <w:keepNext/>
              <w:autoSpaceDE w:val="0"/>
              <w:autoSpaceDN w:val="0"/>
              <w:adjustRightInd w:val="0"/>
              <w:spacing w:before="40" w:after="40" w:line="40" w:lineRule="atLeast"/>
              <w:rPr>
                <w:sz w:val="20"/>
                <w:szCs w:val="20"/>
                <w:lang w:eastAsia="ja-JP"/>
              </w:rPr>
            </w:pPr>
            <w:r w:rsidRPr="00021165">
              <w:rPr>
                <w:rFonts w:eastAsia="TimesNewRoman" w:cs="TimesNewRoman"/>
                <w:sz w:val="20"/>
                <w:szCs w:val="20"/>
              </w:rPr>
              <w:t>126.00 (4.0, 885.0)</w:t>
            </w:r>
          </w:p>
        </w:tc>
        <w:tc>
          <w:tcPr>
            <w:tcW w:w="1220" w:type="pct"/>
          </w:tcPr>
          <w:p w14:paraId="7B27B2B3" w14:textId="77777777" w:rsidR="00DB74C2" w:rsidRPr="00021165" w:rsidRDefault="00DB74C2" w:rsidP="00DB74C2">
            <w:pPr>
              <w:keepNext/>
              <w:autoSpaceDE w:val="0"/>
              <w:autoSpaceDN w:val="0"/>
              <w:adjustRightInd w:val="0"/>
              <w:spacing w:before="40" w:after="40" w:line="40" w:lineRule="atLeast"/>
              <w:rPr>
                <w:sz w:val="20"/>
                <w:szCs w:val="20"/>
                <w:lang w:eastAsia="ja-JP"/>
              </w:rPr>
            </w:pPr>
            <w:r w:rsidRPr="00021165">
              <w:rPr>
                <w:rFonts w:eastAsia="TimesNewRoman" w:cs="TimesNewRoman"/>
                <w:sz w:val="20"/>
                <w:szCs w:val="20"/>
              </w:rPr>
              <w:t>116.0 (4, 885)</w:t>
            </w:r>
          </w:p>
        </w:tc>
        <w:tc>
          <w:tcPr>
            <w:tcW w:w="867" w:type="pct"/>
          </w:tcPr>
          <w:p w14:paraId="3CFF798F"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28.0 (5, 217)</w:t>
            </w:r>
          </w:p>
        </w:tc>
      </w:tr>
      <w:tr w:rsidR="00DB74C2" w:rsidRPr="002B46A6" w14:paraId="4C00F140" w14:textId="77777777" w:rsidTr="00157E6A">
        <w:tc>
          <w:tcPr>
            <w:tcW w:w="1810" w:type="pct"/>
          </w:tcPr>
          <w:p w14:paraId="5472EA4C"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Duration ≤ 5 days, n (%)</w:t>
            </w:r>
          </w:p>
        </w:tc>
        <w:tc>
          <w:tcPr>
            <w:tcW w:w="1103" w:type="pct"/>
          </w:tcPr>
          <w:p w14:paraId="57933F99" w14:textId="77777777" w:rsidR="00DB74C2" w:rsidRPr="00021165" w:rsidRDefault="00DB74C2" w:rsidP="00DB74C2">
            <w:pPr>
              <w:keepNext/>
              <w:spacing w:before="40" w:after="40" w:line="40" w:lineRule="atLeast"/>
              <w:rPr>
                <w:rFonts w:eastAsia="TimesNewRoman" w:cs="TimesNewRoman"/>
                <w:sz w:val="20"/>
                <w:szCs w:val="20"/>
              </w:rPr>
            </w:pPr>
            <w:r w:rsidRPr="00021165">
              <w:rPr>
                <w:rFonts w:eastAsia="TimesNewRoman" w:cs="TimesNewRoman"/>
                <w:sz w:val="20"/>
                <w:szCs w:val="20"/>
              </w:rPr>
              <w:t xml:space="preserve">1 (0.4) </w:t>
            </w:r>
          </w:p>
        </w:tc>
        <w:tc>
          <w:tcPr>
            <w:tcW w:w="1220" w:type="pct"/>
          </w:tcPr>
          <w:p w14:paraId="46FBB031" w14:textId="77777777" w:rsidR="00DB74C2" w:rsidRPr="00021165" w:rsidRDefault="00DB74C2" w:rsidP="00DB74C2">
            <w:pPr>
              <w:keepNext/>
              <w:spacing w:before="40" w:after="40" w:line="40" w:lineRule="atLeast"/>
              <w:rPr>
                <w:rFonts w:eastAsia="TimesNewRoman" w:cs="TimesNewRoman"/>
                <w:sz w:val="20"/>
                <w:szCs w:val="20"/>
              </w:rPr>
            </w:pPr>
            <w:r w:rsidRPr="00021165">
              <w:rPr>
                <w:rFonts w:eastAsia="TimesNewRoman" w:cs="TimesNewRoman"/>
                <w:sz w:val="20"/>
                <w:szCs w:val="20"/>
              </w:rPr>
              <w:t>1 (0.6)</w:t>
            </w:r>
          </w:p>
        </w:tc>
        <w:tc>
          <w:tcPr>
            <w:tcW w:w="867" w:type="pct"/>
          </w:tcPr>
          <w:p w14:paraId="40A318F3" w14:textId="77777777" w:rsidR="00DB74C2" w:rsidRPr="00021165" w:rsidRDefault="00DB74C2" w:rsidP="00DB74C2">
            <w:pPr>
              <w:keepNext/>
              <w:spacing w:before="40" w:after="40" w:line="40" w:lineRule="atLeast"/>
              <w:rPr>
                <w:rFonts w:eastAsia="TimesNewRoman" w:cs="TimesNewRoman"/>
                <w:sz w:val="20"/>
                <w:szCs w:val="20"/>
              </w:rPr>
            </w:pPr>
            <w:r w:rsidRPr="00021165">
              <w:rPr>
                <w:rFonts w:eastAsia="TimesNewRoman" w:cs="TimesNewRoman"/>
                <w:sz w:val="20"/>
                <w:szCs w:val="20"/>
              </w:rPr>
              <w:t>1 (0.9)</w:t>
            </w:r>
          </w:p>
        </w:tc>
      </w:tr>
      <w:tr w:rsidR="00DB74C2" w:rsidRPr="002B46A6" w14:paraId="6BE65F4A" w14:textId="77777777" w:rsidTr="00157E6A">
        <w:tc>
          <w:tcPr>
            <w:tcW w:w="1810" w:type="pct"/>
          </w:tcPr>
          <w:p w14:paraId="5B340F52"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Duration ≥ 6 to 28 days, n (%)</w:t>
            </w:r>
          </w:p>
        </w:tc>
        <w:tc>
          <w:tcPr>
            <w:tcW w:w="1103" w:type="pct"/>
          </w:tcPr>
          <w:p w14:paraId="773CAC48"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 xml:space="preserve">10 (4.1) </w:t>
            </w:r>
          </w:p>
        </w:tc>
        <w:tc>
          <w:tcPr>
            <w:tcW w:w="1220" w:type="pct"/>
          </w:tcPr>
          <w:p w14:paraId="6DAA2AC8"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10 (6.0)</w:t>
            </w:r>
          </w:p>
        </w:tc>
        <w:tc>
          <w:tcPr>
            <w:tcW w:w="867" w:type="pct"/>
          </w:tcPr>
          <w:p w14:paraId="343838C3"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10 (9.2)</w:t>
            </w:r>
          </w:p>
        </w:tc>
      </w:tr>
      <w:tr w:rsidR="00DB74C2" w:rsidRPr="002B46A6" w14:paraId="206FD09C" w14:textId="77777777" w:rsidTr="00157E6A">
        <w:tc>
          <w:tcPr>
            <w:tcW w:w="1810" w:type="pct"/>
          </w:tcPr>
          <w:p w14:paraId="7FE27A89"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Duration ≥ 28 to &lt; 84 days, n (%)</w:t>
            </w:r>
          </w:p>
        </w:tc>
        <w:tc>
          <w:tcPr>
            <w:tcW w:w="1103" w:type="pct"/>
          </w:tcPr>
          <w:p w14:paraId="2E83E643"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 xml:space="preserve">75 (30.5) </w:t>
            </w:r>
          </w:p>
        </w:tc>
        <w:tc>
          <w:tcPr>
            <w:tcW w:w="1220" w:type="pct"/>
          </w:tcPr>
          <w:p w14:paraId="152561FF"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55 (32.7)</w:t>
            </w:r>
          </w:p>
        </w:tc>
        <w:tc>
          <w:tcPr>
            <w:tcW w:w="867" w:type="pct"/>
          </w:tcPr>
          <w:p w14:paraId="562D3C51"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88 (80.7)</w:t>
            </w:r>
          </w:p>
        </w:tc>
      </w:tr>
      <w:tr w:rsidR="00DB74C2" w:rsidRPr="002B46A6" w14:paraId="324B3FAE" w14:textId="77777777" w:rsidTr="00157E6A">
        <w:tc>
          <w:tcPr>
            <w:tcW w:w="1810" w:type="pct"/>
          </w:tcPr>
          <w:p w14:paraId="7CA2BAB3"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Duration ≥ 84 to &lt; 168 days, n (%)</w:t>
            </w:r>
          </w:p>
        </w:tc>
        <w:tc>
          <w:tcPr>
            <w:tcW w:w="1103" w:type="pct"/>
          </w:tcPr>
          <w:p w14:paraId="09E1508E"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 xml:space="preserve">68 (27.6) </w:t>
            </w:r>
          </w:p>
        </w:tc>
        <w:tc>
          <w:tcPr>
            <w:tcW w:w="1220" w:type="pct"/>
          </w:tcPr>
          <w:p w14:paraId="23DBFDE0"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38 (22.6)</w:t>
            </w:r>
          </w:p>
        </w:tc>
        <w:tc>
          <w:tcPr>
            <w:tcW w:w="867" w:type="pct"/>
          </w:tcPr>
          <w:p w14:paraId="49A74D3F"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6 (5.5)</w:t>
            </w:r>
          </w:p>
        </w:tc>
      </w:tr>
      <w:tr w:rsidR="00DB74C2" w:rsidRPr="002B46A6" w14:paraId="2FA02354" w14:textId="77777777" w:rsidTr="00157E6A">
        <w:tc>
          <w:tcPr>
            <w:tcW w:w="1810" w:type="pct"/>
          </w:tcPr>
          <w:p w14:paraId="0BD6CF3B"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Duration ≥ 168 days, n (%)</w:t>
            </w:r>
          </w:p>
        </w:tc>
        <w:tc>
          <w:tcPr>
            <w:tcW w:w="1103" w:type="pct"/>
          </w:tcPr>
          <w:p w14:paraId="4AD8B5D1"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 xml:space="preserve">92 (37.4) </w:t>
            </w:r>
          </w:p>
        </w:tc>
        <w:tc>
          <w:tcPr>
            <w:tcW w:w="1220" w:type="pct"/>
          </w:tcPr>
          <w:p w14:paraId="76C3F348"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64 (38.1)</w:t>
            </w:r>
          </w:p>
        </w:tc>
        <w:tc>
          <w:tcPr>
            <w:tcW w:w="867" w:type="pct"/>
          </w:tcPr>
          <w:p w14:paraId="5659019F" w14:textId="77777777" w:rsidR="00DB74C2" w:rsidRPr="00021165" w:rsidRDefault="00DB74C2" w:rsidP="00DB74C2">
            <w:pPr>
              <w:keepNext/>
              <w:spacing w:before="40" w:after="40" w:line="40" w:lineRule="atLeast"/>
              <w:rPr>
                <w:sz w:val="20"/>
                <w:szCs w:val="20"/>
                <w:lang w:eastAsia="ja-JP"/>
              </w:rPr>
            </w:pPr>
            <w:r w:rsidRPr="00021165">
              <w:rPr>
                <w:rFonts w:eastAsia="TimesNewRoman" w:cs="TimesNewRoman"/>
                <w:sz w:val="20"/>
                <w:szCs w:val="20"/>
              </w:rPr>
              <w:t>4 (3.7)</w:t>
            </w:r>
          </w:p>
        </w:tc>
      </w:tr>
      <w:tr w:rsidR="00DB74C2" w:rsidRPr="002B46A6" w14:paraId="1ED2DC72" w14:textId="77777777" w:rsidTr="00157E6A">
        <w:tc>
          <w:tcPr>
            <w:tcW w:w="1810" w:type="pct"/>
          </w:tcPr>
          <w:p w14:paraId="2D781CF1"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 xml:space="preserve">Dosing days, median (range) </w:t>
            </w:r>
          </w:p>
        </w:tc>
        <w:tc>
          <w:tcPr>
            <w:tcW w:w="1103" w:type="pct"/>
          </w:tcPr>
          <w:p w14:paraId="73FB11B4"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114.0 (4, 885)</w:t>
            </w:r>
          </w:p>
        </w:tc>
        <w:tc>
          <w:tcPr>
            <w:tcW w:w="1220" w:type="pct"/>
          </w:tcPr>
          <w:p w14:paraId="01E32386"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107.5 (4, 885)</w:t>
            </w:r>
          </w:p>
        </w:tc>
        <w:tc>
          <w:tcPr>
            <w:tcW w:w="867" w:type="pct"/>
          </w:tcPr>
          <w:p w14:paraId="01D68C59"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6.0 (1, 70)</w:t>
            </w:r>
          </w:p>
        </w:tc>
      </w:tr>
      <w:tr w:rsidR="00DB74C2" w:rsidRPr="002B46A6" w14:paraId="38FBF832" w14:textId="77777777" w:rsidTr="00157E6A">
        <w:tc>
          <w:tcPr>
            <w:tcW w:w="1810" w:type="pct"/>
          </w:tcPr>
          <w:p w14:paraId="1A5FCF0A"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 xml:space="preserve">Dosing increases, n (%) </w:t>
            </w:r>
          </w:p>
        </w:tc>
        <w:tc>
          <w:tcPr>
            <w:tcW w:w="1103" w:type="pct"/>
          </w:tcPr>
          <w:p w14:paraId="6896655B"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 xml:space="preserve">78 (31.7) </w:t>
            </w:r>
          </w:p>
        </w:tc>
        <w:tc>
          <w:tcPr>
            <w:tcW w:w="1220" w:type="pct"/>
          </w:tcPr>
          <w:p w14:paraId="6CBB5322"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0</w:t>
            </w:r>
          </w:p>
        </w:tc>
        <w:tc>
          <w:tcPr>
            <w:tcW w:w="867" w:type="pct"/>
          </w:tcPr>
          <w:p w14:paraId="697141F3"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8 (7.3)</w:t>
            </w:r>
          </w:p>
        </w:tc>
      </w:tr>
      <w:tr w:rsidR="00DB74C2" w:rsidRPr="002B46A6" w14:paraId="5349E4F6" w14:textId="77777777" w:rsidTr="00157E6A">
        <w:tc>
          <w:tcPr>
            <w:tcW w:w="1810" w:type="pct"/>
          </w:tcPr>
          <w:p w14:paraId="356D65BD"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Dosing decreases, n (%)</w:t>
            </w:r>
          </w:p>
        </w:tc>
        <w:tc>
          <w:tcPr>
            <w:tcW w:w="1103" w:type="pct"/>
          </w:tcPr>
          <w:p w14:paraId="40E4D9C1"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 xml:space="preserve">75 (30.5) </w:t>
            </w:r>
          </w:p>
        </w:tc>
        <w:tc>
          <w:tcPr>
            <w:tcW w:w="1220" w:type="pct"/>
          </w:tcPr>
          <w:p w14:paraId="26828FA4"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58 (34.5)</w:t>
            </w:r>
          </w:p>
        </w:tc>
        <w:tc>
          <w:tcPr>
            <w:tcW w:w="867" w:type="pct"/>
          </w:tcPr>
          <w:p w14:paraId="79CD47D6"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9 (8.3)</w:t>
            </w:r>
          </w:p>
        </w:tc>
      </w:tr>
      <w:tr w:rsidR="00DB74C2" w:rsidRPr="002B46A6" w14:paraId="257DBEA5" w14:textId="77777777" w:rsidTr="00157E6A">
        <w:tc>
          <w:tcPr>
            <w:tcW w:w="1810" w:type="pct"/>
          </w:tcPr>
          <w:p w14:paraId="54E193E6"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Dosing interruptions, n (%)</w:t>
            </w:r>
          </w:p>
        </w:tc>
        <w:tc>
          <w:tcPr>
            <w:tcW w:w="1103" w:type="pct"/>
          </w:tcPr>
          <w:p w14:paraId="6CF3B2EC"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 xml:space="preserve">122 (49.6) </w:t>
            </w:r>
          </w:p>
        </w:tc>
        <w:tc>
          <w:tcPr>
            <w:tcW w:w="1220" w:type="pct"/>
          </w:tcPr>
          <w:p w14:paraId="5C23F5CD"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84 (50.0)</w:t>
            </w:r>
          </w:p>
        </w:tc>
        <w:tc>
          <w:tcPr>
            <w:tcW w:w="867" w:type="pct"/>
          </w:tcPr>
          <w:p w14:paraId="6A99B33B"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5 (4.6)</w:t>
            </w:r>
          </w:p>
        </w:tc>
      </w:tr>
      <w:tr w:rsidR="00DB74C2" w:rsidRPr="002B46A6" w14:paraId="759B2CDB" w14:textId="77777777" w:rsidTr="00157E6A">
        <w:tc>
          <w:tcPr>
            <w:tcW w:w="1810" w:type="pct"/>
          </w:tcPr>
          <w:p w14:paraId="64077C1B"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Cumulative dose, median (range) mg</w:t>
            </w:r>
          </w:p>
        </w:tc>
        <w:tc>
          <w:tcPr>
            <w:tcW w:w="1103" w:type="pct"/>
          </w:tcPr>
          <w:p w14:paraId="0E31128B"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13980.0 (480, 106200)</w:t>
            </w:r>
          </w:p>
        </w:tc>
        <w:tc>
          <w:tcPr>
            <w:tcW w:w="1220" w:type="pct"/>
          </w:tcPr>
          <w:p w14:paraId="0BA12635"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11140.0 (480, 106200)</w:t>
            </w:r>
          </w:p>
        </w:tc>
        <w:tc>
          <w:tcPr>
            <w:tcW w:w="867" w:type="pct"/>
          </w:tcPr>
          <w:p w14:paraId="40436C36"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w:t>
            </w:r>
          </w:p>
        </w:tc>
      </w:tr>
      <w:tr w:rsidR="00DB74C2" w:rsidRPr="002B46A6" w14:paraId="11593F38" w14:textId="77777777" w:rsidTr="00157E6A">
        <w:tc>
          <w:tcPr>
            <w:tcW w:w="1810" w:type="pct"/>
          </w:tcPr>
          <w:p w14:paraId="5D14B435"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Average daily dose, median mg/day</w:t>
            </w:r>
          </w:p>
        </w:tc>
        <w:tc>
          <w:tcPr>
            <w:tcW w:w="1103" w:type="pct"/>
          </w:tcPr>
          <w:p w14:paraId="7E524FC2"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120.0 (50, 192)</w:t>
            </w:r>
          </w:p>
        </w:tc>
        <w:tc>
          <w:tcPr>
            <w:tcW w:w="1220" w:type="pct"/>
          </w:tcPr>
          <w:p w14:paraId="36CAC501"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120.0 (50, 120)</w:t>
            </w:r>
          </w:p>
        </w:tc>
        <w:tc>
          <w:tcPr>
            <w:tcW w:w="867" w:type="pct"/>
          </w:tcPr>
          <w:p w14:paraId="1BF49733"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w:t>
            </w:r>
          </w:p>
        </w:tc>
      </w:tr>
      <w:tr w:rsidR="00DB74C2" w:rsidRPr="002B46A6" w14:paraId="732F82AD" w14:textId="77777777" w:rsidTr="00157E6A">
        <w:tc>
          <w:tcPr>
            <w:tcW w:w="1810" w:type="pct"/>
          </w:tcPr>
          <w:p w14:paraId="27DB09F5"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Dose intensity, median (range), mg/day</w:t>
            </w:r>
          </w:p>
        </w:tc>
        <w:tc>
          <w:tcPr>
            <w:tcW w:w="1103" w:type="pct"/>
          </w:tcPr>
          <w:p w14:paraId="1919C1D7"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120.0 (46, 192)</w:t>
            </w:r>
          </w:p>
        </w:tc>
        <w:tc>
          <w:tcPr>
            <w:tcW w:w="1220" w:type="pct"/>
          </w:tcPr>
          <w:p w14:paraId="0C2E13AD"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120.0 (46, 120)</w:t>
            </w:r>
          </w:p>
        </w:tc>
        <w:tc>
          <w:tcPr>
            <w:tcW w:w="867" w:type="pct"/>
          </w:tcPr>
          <w:p w14:paraId="5EB57AA9"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w:t>
            </w:r>
          </w:p>
        </w:tc>
      </w:tr>
      <w:tr w:rsidR="00DB74C2" w:rsidRPr="002B46A6" w14:paraId="1CA4A19D" w14:textId="77777777" w:rsidTr="00157E6A">
        <w:tc>
          <w:tcPr>
            <w:tcW w:w="1810" w:type="pct"/>
          </w:tcPr>
          <w:p w14:paraId="00B52C86" w14:textId="77777777" w:rsidR="00DB74C2" w:rsidRPr="00021165" w:rsidRDefault="00DB74C2" w:rsidP="00DB74C2">
            <w:pPr>
              <w:keepNext/>
              <w:spacing w:before="40" w:after="40" w:line="40" w:lineRule="atLeast"/>
              <w:rPr>
                <w:sz w:val="20"/>
                <w:szCs w:val="20"/>
                <w:lang w:eastAsia="ja-JP"/>
              </w:rPr>
            </w:pPr>
            <w:r w:rsidRPr="00021165">
              <w:rPr>
                <w:sz w:val="20"/>
                <w:szCs w:val="20"/>
                <w:lang w:eastAsia="ja-JP"/>
              </w:rPr>
              <w:t>Relative dose intensity, median (range), %</w:t>
            </w:r>
          </w:p>
        </w:tc>
        <w:tc>
          <w:tcPr>
            <w:tcW w:w="1103" w:type="pct"/>
          </w:tcPr>
          <w:p w14:paraId="4179C5F4"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100.0 (39, 160)</w:t>
            </w:r>
          </w:p>
        </w:tc>
        <w:tc>
          <w:tcPr>
            <w:tcW w:w="1220" w:type="pct"/>
          </w:tcPr>
          <w:p w14:paraId="77AC0119"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100.0 (39, 100)</w:t>
            </w:r>
          </w:p>
        </w:tc>
        <w:tc>
          <w:tcPr>
            <w:tcW w:w="867" w:type="pct"/>
          </w:tcPr>
          <w:p w14:paraId="1CB3111F" w14:textId="77777777" w:rsidR="00DB74C2" w:rsidRPr="00021165" w:rsidRDefault="00DB74C2" w:rsidP="00DB74C2">
            <w:pPr>
              <w:keepNext/>
              <w:autoSpaceDE w:val="0"/>
              <w:autoSpaceDN w:val="0"/>
              <w:adjustRightInd w:val="0"/>
              <w:spacing w:before="40" w:after="40" w:line="40" w:lineRule="atLeast"/>
              <w:rPr>
                <w:rFonts w:eastAsia="TimesNewRoman" w:cs="TimesNewRoman"/>
                <w:sz w:val="20"/>
                <w:szCs w:val="20"/>
              </w:rPr>
            </w:pPr>
            <w:r w:rsidRPr="00021165">
              <w:rPr>
                <w:rFonts w:eastAsia="TimesNewRoman" w:cs="TimesNewRoman"/>
                <w:sz w:val="20"/>
                <w:szCs w:val="20"/>
              </w:rPr>
              <w:t>99.6 (10, 322)</w:t>
            </w:r>
          </w:p>
        </w:tc>
      </w:tr>
    </w:tbl>
    <w:p w14:paraId="72D8C538" w14:textId="77777777" w:rsidR="00DB74C2" w:rsidRDefault="00DB74C2" w:rsidP="00DB74C2">
      <w:r>
        <w:t xml:space="preserve">The clinical evaluator has summarised the findings regarding safety. They have noted that the main limitation in the submitted safety data is the lack of long-term safety information in comparison to the possible duration of therapy. The Delegate agrees that this is a concern, but notes that since submission, </w:t>
      </w:r>
      <w:proofErr w:type="spellStart"/>
      <w:r>
        <w:t>gilteritinib</w:t>
      </w:r>
      <w:proofErr w:type="spellEnd"/>
      <w:r>
        <w:t xml:space="preserve"> has been approved for marketing in several jurisdictions and this improves the safety monitoring population over that in the clinical trials.</w:t>
      </w:r>
    </w:p>
    <w:p w14:paraId="0112F699" w14:textId="0BCA374D" w:rsidR="00DB74C2" w:rsidRDefault="00DB74C2" w:rsidP="00DB74C2">
      <w:pPr>
        <w:rPr>
          <w:rFonts w:eastAsia="TimesNewRoman" w:cs="TimesNewRoman"/>
        </w:rPr>
      </w:pPr>
      <w:r>
        <w:t xml:space="preserve">Nearly all patients in both treatment arms experienced at least one treatment-emergent adverse event (TEAE). </w:t>
      </w:r>
      <w:r w:rsidRPr="00CC3AE3">
        <w:t>The most commonly reported TEAEs (all Grades) occurring in ≥</w:t>
      </w:r>
      <w:r>
        <w:t> </w:t>
      </w:r>
      <w:r w:rsidRPr="00CC3AE3">
        <w:t xml:space="preserve">30% of patients in either treatment arm, </w:t>
      </w:r>
      <w:proofErr w:type="spellStart"/>
      <w:r w:rsidRPr="00CC3AE3">
        <w:t>gilteritinib</w:t>
      </w:r>
      <w:proofErr w:type="spellEnd"/>
      <w:r w:rsidRPr="00CC3AE3">
        <w:t xml:space="preserve"> </w:t>
      </w:r>
      <w:r>
        <w:t>versus</w:t>
      </w:r>
      <w:r w:rsidRPr="00CC3AE3">
        <w:t xml:space="preserve"> chemotherapy, were anaemia (47.2% </w:t>
      </w:r>
      <w:r>
        <w:t>versus</w:t>
      </w:r>
      <w:r w:rsidRPr="00CC3AE3">
        <w:t xml:space="preserve"> 34.9%), febrile neutropenia (46.7% </w:t>
      </w:r>
      <w:r>
        <w:t>versus</w:t>
      </w:r>
      <w:r w:rsidRPr="00CC3AE3">
        <w:t xml:space="preserve"> 36.7%), pyrexia (42.7%) </w:t>
      </w:r>
      <w:r>
        <w:t>versus</w:t>
      </w:r>
      <w:r w:rsidRPr="00CC3AE3">
        <w:t xml:space="preserve"> 29.4%), </w:t>
      </w:r>
      <w:r>
        <w:t>alanine aminotransferase (</w:t>
      </w:r>
      <w:r w:rsidRPr="00CC3AE3">
        <w:t>ALT</w:t>
      </w:r>
      <w:r>
        <w:t>)</w:t>
      </w:r>
      <w:r w:rsidRPr="00CC3AE3">
        <w:t xml:space="preserve"> increased (41.9% </w:t>
      </w:r>
      <w:r>
        <w:t>versus</w:t>
      </w:r>
      <w:r w:rsidRPr="00CC3AE3">
        <w:t xml:space="preserve"> 9.2%), </w:t>
      </w:r>
      <w:r>
        <w:t>aspartate aminotransferase (</w:t>
      </w:r>
      <w:r w:rsidRPr="00CC3AE3">
        <w:t>AST</w:t>
      </w:r>
      <w:r>
        <w:t>)</w:t>
      </w:r>
      <w:r w:rsidRPr="00CC3AE3">
        <w:t xml:space="preserve"> increased (40.2% </w:t>
      </w:r>
      <w:r>
        <w:t>versus</w:t>
      </w:r>
      <w:r w:rsidRPr="00CC3AE3">
        <w:t xml:space="preserve"> 11.9), </w:t>
      </w:r>
      <w:r w:rsidRPr="00CC3AE3">
        <w:rPr>
          <w:rFonts w:eastAsia="TimesNewRoman" w:cs="TimesNewRoman"/>
        </w:rPr>
        <w:t xml:space="preserve">diarrhoea (32.9% </w:t>
      </w:r>
      <w:r>
        <w:rPr>
          <w:rFonts w:eastAsia="TimesNewRoman" w:cs="TimesNewRoman"/>
        </w:rPr>
        <w:t>versus</w:t>
      </w:r>
      <w:r w:rsidRPr="00CC3AE3">
        <w:rPr>
          <w:rFonts w:eastAsia="TimesNewRoman" w:cs="TimesNewRoman"/>
        </w:rPr>
        <w:t xml:space="preserve"> 29.4%), nausea (32.1% </w:t>
      </w:r>
      <w:r>
        <w:rPr>
          <w:rFonts w:eastAsia="TimesNewRoman" w:cs="TimesNewRoman"/>
        </w:rPr>
        <w:t>versus</w:t>
      </w:r>
      <w:r w:rsidRPr="00CC3AE3">
        <w:rPr>
          <w:rFonts w:eastAsia="TimesNewRoman" w:cs="TimesNewRoman"/>
        </w:rPr>
        <w:t xml:space="preserve"> 33.0%), constipation (30.9% </w:t>
      </w:r>
      <w:r>
        <w:rPr>
          <w:rFonts w:eastAsia="TimesNewRoman" w:cs="TimesNewRoman"/>
        </w:rPr>
        <w:t>versus</w:t>
      </w:r>
      <w:r w:rsidRPr="00CC3AE3">
        <w:rPr>
          <w:rFonts w:eastAsia="TimesNewRoman" w:cs="TimesNewRoman"/>
        </w:rPr>
        <w:t xml:space="preserve"> 14.7%), and hypokalaemia (28.9% </w:t>
      </w:r>
      <w:r>
        <w:rPr>
          <w:rFonts w:eastAsia="TimesNewRoman" w:cs="TimesNewRoman"/>
        </w:rPr>
        <w:t>versus</w:t>
      </w:r>
      <w:r w:rsidRPr="00CC3AE3">
        <w:rPr>
          <w:rFonts w:eastAsia="TimesNewRoman" w:cs="TimesNewRoman"/>
        </w:rPr>
        <w:t xml:space="preserve"> 31.2%). TEAEs reported in ≥ 10% of patients in either of the two treatment arms and more frequently in the </w:t>
      </w:r>
      <w:proofErr w:type="spellStart"/>
      <w:r w:rsidRPr="00CC3AE3">
        <w:rPr>
          <w:rFonts w:eastAsia="TimesNewRoman" w:cs="TimesNewRoman"/>
        </w:rPr>
        <w:t>gilteritinib</w:t>
      </w:r>
      <w:proofErr w:type="spellEnd"/>
      <w:r w:rsidRPr="00CC3AE3">
        <w:rPr>
          <w:rFonts w:eastAsia="TimesNewRoman" w:cs="TimesNewRoman"/>
        </w:rPr>
        <w:t xml:space="preserve"> 120 mg arm than in the salvage chemotherapy based on event rates adjusted </w:t>
      </w:r>
      <w:r>
        <w:rPr>
          <w:rFonts w:eastAsia="TimesNewRoman" w:cs="TimesNewRoman"/>
        </w:rPr>
        <w:t>by</w:t>
      </w:r>
      <w:r w:rsidRPr="00CC3AE3">
        <w:rPr>
          <w:rFonts w:eastAsia="TimesNewRoman" w:cs="TimesNewRoman"/>
        </w:rPr>
        <w:t xml:space="preserve"> patient-years of exposure were </w:t>
      </w:r>
      <w:r w:rsidRPr="00640B8E">
        <w:rPr>
          <w:rFonts w:eastAsia="TimesNewRoman" w:cs="TimesNewRoman"/>
        </w:rPr>
        <w:t>AST increased</w:t>
      </w:r>
      <w:r w:rsidRPr="00640B8E">
        <w:rPr>
          <w:rFonts w:cs="Cambria Math"/>
        </w:rPr>
        <w:t xml:space="preserve">, </w:t>
      </w:r>
      <w:r w:rsidRPr="00640B8E">
        <w:rPr>
          <w:rFonts w:eastAsia="TimesNewRoman" w:cs="TimesNewRoman"/>
        </w:rPr>
        <w:t xml:space="preserve">ALT increased, </w:t>
      </w:r>
      <w:r w:rsidRPr="00640B8E">
        <w:rPr>
          <w:rFonts w:cs="Cambria Math"/>
        </w:rPr>
        <w:t>b</w:t>
      </w:r>
      <w:r w:rsidRPr="00640B8E">
        <w:rPr>
          <w:rFonts w:eastAsia="TimesNewRoman" w:cs="TimesNewRoman"/>
        </w:rPr>
        <w:t xml:space="preserve">lood alkaline phosphatase increased, </w:t>
      </w:r>
      <w:r>
        <w:rPr>
          <w:rFonts w:eastAsia="TimesNewRoman" w:cs="TimesNewRoman"/>
        </w:rPr>
        <w:t>creatinine kinase (</w:t>
      </w:r>
      <w:r w:rsidRPr="00640B8E">
        <w:rPr>
          <w:rFonts w:eastAsia="TimesNewRoman" w:cs="TimesNewRoman"/>
        </w:rPr>
        <w:t>CK</w:t>
      </w:r>
      <w:r>
        <w:rPr>
          <w:rFonts w:eastAsia="TimesNewRoman" w:cs="TimesNewRoman"/>
        </w:rPr>
        <w:t>)</w:t>
      </w:r>
      <w:r w:rsidRPr="00640B8E">
        <w:rPr>
          <w:rFonts w:eastAsia="TimesNewRoman" w:cs="TimesNewRoman"/>
        </w:rPr>
        <w:t xml:space="preserve"> increased, hyponatraemia, hypophosphatemia, creatinine increased</w:t>
      </w:r>
      <w:r w:rsidRPr="00640B8E">
        <w:rPr>
          <w:rFonts w:cs="Cambria Math"/>
        </w:rPr>
        <w:t>, d</w:t>
      </w:r>
      <w:r w:rsidRPr="00640B8E">
        <w:rPr>
          <w:rFonts w:eastAsia="TimesNewRoman" w:cs="TimesNewRoman"/>
        </w:rPr>
        <w:t xml:space="preserve">izziness, </w:t>
      </w:r>
      <w:r w:rsidRPr="00640B8E">
        <w:rPr>
          <w:rFonts w:cs="Cambria Math"/>
        </w:rPr>
        <w:t>and m</w:t>
      </w:r>
      <w:r w:rsidRPr="00640B8E">
        <w:rPr>
          <w:rFonts w:eastAsia="TimesNewRoman" w:cs="TimesNewRoman"/>
        </w:rPr>
        <w:t xml:space="preserve">yalgia. </w:t>
      </w:r>
      <w:r>
        <w:rPr>
          <w:rFonts w:eastAsia="TimesNewRoman" w:cs="TimesNewRoman"/>
        </w:rPr>
        <w:t xml:space="preserve">All other TEAEs reported in ≥ 10% of patients in either treatment arm were </w:t>
      </w:r>
      <w:r>
        <w:rPr>
          <w:rFonts w:eastAsia="TimesNewRoman" w:cs="TimesNewRoman"/>
        </w:rPr>
        <w:lastRenderedPageBreak/>
        <w:t xml:space="preserve">reported more frequently in the salvage chemotherapy group than in the </w:t>
      </w:r>
      <w:proofErr w:type="spellStart"/>
      <w:r>
        <w:rPr>
          <w:rFonts w:eastAsia="TimesNewRoman" w:cs="TimesNewRoman"/>
        </w:rPr>
        <w:t>gilteritinib</w:t>
      </w:r>
      <w:proofErr w:type="spellEnd"/>
      <w:r>
        <w:rPr>
          <w:rFonts w:eastAsia="TimesNewRoman" w:cs="TimesNewRoman"/>
        </w:rPr>
        <w:t xml:space="preserve"> 120</w:t>
      </w:r>
      <w:r w:rsidR="00827740">
        <w:rPr>
          <w:rFonts w:eastAsia="TimesNewRoman" w:cs="TimesNewRoman"/>
        </w:rPr>
        <w:t> </w:t>
      </w:r>
      <w:r>
        <w:rPr>
          <w:rFonts w:eastAsia="TimesNewRoman" w:cs="TimesNewRoman"/>
        </w:rPr>
        <w:t>mg group when adjusted for patient-years of exposure.</w:t>
      </w:r>
    </w:p>
    <w:p w14:paraId="4F8B0BCC" w14:textId="6772E344" w:rsidR="00DB74C2" w:rsidRDefault="00DB74C2" w:rsidP="00DB74C2">
      <w:pPr>
        <w:rPr>
          <w:rFonts w:eastAsia="TimesNewRoman" w:cs="TimesNewRoman"/>
        </w:rPr>
      </w:pPr>
      <w:r w:rsidRPr="00CC3AE3">
        <w:rPr>
          <w:rFonts w:eastAsia="TimesNewRoman" w:cs="TimesNewRoman"/>
        </w:rPr>
        <w:t xml:space="preserve">Grade ≥ 3 TEAEs reported in ≥ 10% of patients in either of the two treatment arms and more frequently in the </w:t>
      </w:r>
      <w:proofErr w:type="spellStart"/>
      <w:r w:rsidRPr="00CC3AE3">
        <w:rPr>
          <w:rFonts w:eastAsia="TimesNewRoman" w:cs="TimesNewRoman"/>
        </w:rPr>
        <w:t>gilteritinib</w:t>
      </w:r>
      <w:proofErr w:type="spellEnd"/>
      <w:r w:rsidRPr="00CC3AE3">
        <w:rPr>
          <w:rFonts w:eastAsia="TimesNewRoman" w:cs="TimesNewRoman"/>
        </w:rPr>
        <w:t xml:space="preserve"> 120 mg arm than in the salvage </w:t>
      </w:r>
      <w:r>
        <w:rPr>
          <w:rFonts w:eastAsia="TimesNewRoman" w:cs="TimesNewRoman"/>
        </w:rPr>
        <w:t xml:space="preserve">chemotherapy arm </w:t>
      </w:r>
      <w:r w:rsidRPr="00CC3AE3">
        <w:rPr>
          <w:rFonts w:eastAsia="TimesNewRoman" w:cs="TimesNewRoman"/>
        </w:rPr>
        <w:t>based on</w:t>
      </w:r>
      <w:r>
        <w:rPr>
          <w:rFonts w:eastAsia="TimesNewRoman" w:cs="TimesNewRoman"/>
        </w:rPr>
        <w:t xml:space="preserve"> patient-years of exposure were </w:t>
      </w:r>
      <w:r>
        <w:t xml:space="preserve">AST increased, </w:t>
      </w:r>
      <w:r w:rsidRPr="00CC3AE3">
        <w:rPr>
          <w:rFonts w:cs="Cambria Math"/>
        </w:rPr>
        <w:t>h</w:t>
      </w:r>
      <w:r w:rsidRPr="00CC3AE3">
        <w:t>yponatraemia, CK increased, alkaline phosphat</w:t>
      </w:r>
      <w:r>
        <w:t xml:space="preserve">ase increased, abdominal pain, </w:t>
      </w:r>
      <w:r w:rsidRPr="00CC3AE3">
        <w:t>creatinine increased, headache, constipation, dizziness, and myalgia.</w:t>
      </w:r>
      <w:r w:rsidRPr="00640B8E">
        <w:rPr>
          <w:rFonts w:eastAsia="TimesNewRoman" w:cs="TimesNewRoman"/>
        </w:rPr>
        <w:t xml:space="preserve"> </w:t>
      </w:r>
      <w:r>
        <w:rPr>
          <w:rFonts w:eastAsia="TimesNewRoman" w:cs="TimesNewRoman"/>
        </w:rPr>
        <w:t xml:space="preserve">All other Grade ≥ 3 TEAEs reported in ≥ 10% of patients in either treatment arm were reported more frequently in the salvage chemotherapy group than in the </w:t>
      </w:r>
      <w:proofErr w:type="spellStart"/>
      <w:r>
        <w:rPr>
          <w:rFonts w:eastAsia="TimesNewRoman" w:cs="TimesNewRoman"/>
        </w:rPr>
        <w:t>gilteritinib</w:t>
      </w:r>
      <w:proofErr w:type="spellEnd"/>
      <w:r>
        <w:rPr>
          <w:rFonts w:eastAsia="TimesNewRoman" w:cs="TimesNewRoman"/>
        </w:rPr>
        <w:t xml:space="preserve"> 120 mg group when adjusted for patient</w:t>
      </w:r>
      <w:r w:rsidR="00797541">
        <w:rPr>
          <w:rFonts w:eastAsia="TimesNewRoman" w:cs="TimesNewRoman"/>
        </w:rPr>
        <w:t xml:space="preserve"> </w:t>
      </w:r>
      <w:r>
        <w:rPr>
          <w:rFonts w:eastAsia="TimesNewRoman" w:cs="TimesNewRoman"/>
        </w:rPr>
        <w:t>years of exposure.</w:t>
      </w:r>
    </w:p>
    <w:p w14:paraId="24505E24" w14:textId="6425B088" w:rsidR="00DB74C2" w:rsidRPr="002920C5" w:rsidRDefault="00DB74C2" w:rsidP="00DB74C2">
      <w:r w:rsidRPr="00B11F34">
        <w:rPr>
          <w:rFonts w:eastAsia="TimesNewRoman" w:cs="TimesNewRoman"/>
        </w:rPr>
        <w:t xml:space="preserve">In Study 2215-CL-0301, 1 patient (0.4% </w:t>
      </w:r>
      <w:r>
        <w:rPr>
          <w:rFonts w:eastAsia="TimesNewRoman" w:cs="TimesNewRoman"/>
        </w:rPr>
        <w:t>(</w:t>
      </w:r>
      <w:r w:rsidRPr="00B11F34">
        <w:rPr>
          <w:rFonts w:eastAsia="TimesNewRoman" w:cs="TimesNewRoman"/>
        </w:rPr>
        <w:t>1</w:t>
      </w:r>
      <w:r>
        <w:rPr>
          <w:rFonts w:eastAsia="TimesNewRoman" w:cs="TimesNewRoman"/>
        </w:rPr>
        <w:t xml:space="preserve"> out of </w:t>
      </w:r>
      <w:r w:rsidRPr="00B11F34">
        <w:rPr>
          <w:rFonts w:eastAsia="TimesNewRoman" w:cs="TimesNewRoman"/>
        </w:rPr>
        <w:t>246</w:t>
      </w:r>
      <w:r>
        <w:rPr>
          <w:rFonts w:eastAsia="TimesNewRoman" w:cs="TimesNewRoman"/>
        </w:rPr>
        <w:t>)</w:t>
      </w:r>
      <w:r w:rsidRPr="00B11F34">
        <w:rPr>
          <w:rFonts w:eastAsia="TimesNewRoman" w:cs="TimesNewRoman"/>
        </w:rPr>
        <w:t xml:space="preserve">) in the </w:t>
      </w:r>
      <w:proofErr w:type="spellStart"/>
      <w:r w:rsidRPr="00B11F34">
        <w:rPr>
          <w:rFonts w:eastAsia="TimesNewRoman" w:cs="TimesNewRoman"/>
        </w:rPr>
        <w:t>gilteritinib</w:t>
      </w:r>
      <w:proofErr w:type="spellEnd"/>
      <w:r w:rsidRPr="00B11F34">
        <w:rPr>
          <w:rFonts w:eastAsia="TimesNewRoman" w:cs="TimesNewRoman"/>
        </w:rPr>
        <w:t xml:space="preserve"> 120 mg arm experienced a non-drug-related event of acute </w:t>
      </w:r>
      <w:proofErr w:type="spellStart"/>
      <w:r w:rsidRPr="00B11F34">
        <w:rPr>
          <w:rFonts w:eastAsia="TimesNewRoman" w:cs="TimesNewRoman"/>
        </w:rPr>
        <w:t>promyelocytic</w:t>
      </w:r>
      <w:proofErr w:type="spellEnd"/>
      <w:r w:rsidRPr="00B11F34">
        <w:rPr>
          <w:rFonts w:eastAsia="TimesNewRoman" w:cs="TimesNewRoman"/>
        </w:rPr>
        <w:t xml:space="preserve"> leukaemia differentiation syndrome (</w:t>
      </w:r>
      <w:r w:rsidR="00797541">
        <w:rPr>
          <w:rFonts w:eastAsia="TimesNewRoman" w:cs="TimesNewRoman"/>
        </w:rPr>
        <w:t xml:space="preserve">a </w:t>
      </w:r>
      <w:r w:rsidRPr="00B11F34">
        <w:rPr>
          <w:rFonts w:eastAsia="TimesNewRoman" w:cs="TimesNewRoman"/>
        </w:rPr>
        <w:t xml:space="preserve">serious TEAE). No differentiation syndrome </w:t>
      </w:r>
      <w:r>
        <w:rPr>
          <w:rFonts w:eastAsia="TimesNewRoman" w:cs="TimesNewRoman"/>
        </w:rPr>
        <w:t xml:space="preserve">TEAEs </w:t>
      </w:r>
      <w:r w:rsidRPr="00B11F34">
        <w:rPr>
          <w:rFonts w:eastAsia="TimesNewRoman" w:cs="TimesNewRoman"/>
        </w:rPr>
        <w:t xml:space="preserve">were experienced by patients in the salvage chemotherapy arm. </w:t>
      </w:r>
      <w:r w:rsidRPr="00CA189C">
        <w:rPr>
          <w:rFonts w:eastAsia="TimesNewRoman" w:cs="TimesNewRoman"/>
        </w:rPr>
        <w:t xml:space="preserve">In the </w:t>
      </w:r>
      <w:r>
        <w:rPr>
          <w:rFonts w:eastAsia="TimesNewRoman" w:cs="TimesNewRoman"/>
        </w:rPr>
        <w:t>'</w:t>
      </w:r>
      <w:r w:rsidRPr="00021165">
        <w:rPr>
          <w:rFonts w:eastAsia="TimesNewRoman" w:cs="TimesNewRoman"/>
        </w:rPr>
        <w:t xml:space="preserve">integrated </w:t>
      </w:r>
      <w:proofErr w:type="spellStart"/>
      <w:r w:rsidRPr="00021165">
        <w:rPr>
          <w:rFonts w:eastAsia="TimesNewRoman" w:cs="TimesNewRoman"/>
        </w:rPr>
        <w:t>gilteritinib</w:t>
      </w:r>
      <w:proofErr w:type="spellEnd"/>
      <w:r w:rsidRPr="00021165">
        <w:rPr>
          <w:rFonts w:eastAsia="TimesNewRoman" w:cs="TimesNewRoman"/>
        </w:rPr>
        <w:t xml:space="preserve"> 120 mg group (n</w:t>
      </w:r>
      <w:r>
        <w:rPr>
          <w:rFonts w:eastAsia="TimesNewRoman" w:cs="TimesNewRoman"/>
        </w:rPr>
        <w:t> </w:t>
      </w:r>
      <w:r w:rsidRPr="00021165">
        <w:rPr>
          <w:rFonts w:eastAsia="TimesNewRoman" w:cs="TimesNewRoman"/>
        </w:rPr>
        <w:t>=</w:t>
      </w:r>
      <w:r>
        <w:rPr>
          <w:rFonts w:eastAsia="TimesNewRoman" w:cs="TimesNewRoman"/>
        </w:rPr>
        <w:t> </w:t>
      </w:r>
      <w:r w:rsidRPr="00021165">
        <w:rPr>
          <w:rFonts w:eastAsia="TimesNewRoman" w:cs="TimesNewRoman"/>
        </w:rPr>
        <w:t>319)</w:t>
      </w:r>
      <w:r w:rsidRPr="00AF3D55">
        <w:rPr>
          <w:rFonts w:eastAsia="TimesNewRoman" w:cs="TimesNewRoman"/>
        </w:rPr>
        <w:t>,</w:t>
      </w:r>
      <w:r w:rsidRPr="00CA189C">
        <w:rPr>
          <w:rFonts w:eastAsia="TimesNewRoman" w:cs="TimesNewRoman"/>
        </w:rPr>
        <w:t xml:space="preserve"> 3 (0.9%) patients experienced an event of acute </w:t>
      </w:r>
      <w:proofErr w:type="spellStart"/>
      <w:r w:rsidRPr="00CA189C">
        <w:rPr>
          <w:rFonts w:eastAsia="TimesNewRoman" w:cs="TimesNewRoman"/>
        </w:rPr>
        <w:t>promyelocytic</w:t>
      </w:r>
      <w:proofErr w:type="spellEnd"/>
      <w:r w:rsidRPr="00CA189C">
        <w:rPr>
          <w:rFonts w:eastAsia="TimesNewRoman" w:cs="TimesNewRoman"/>
        </w:rPr>
        <w:t xml:space="preserve"> leukaemia differentiation syndrome. In this group, 2 (0.6%) patients experienced a drug-related event of acute </w:t>
      </w:r>
      <w:proofErr w:type="spellStart"/>
      <w:r w:rsidRPr="00CA189C">
        <w:rPr>
          <w:rFonts w:eastAsia="TimesNewRoman" w:cs="TimesNewRoman"/>
        </w:rPr>
        <w:t>promyelocytic</w:t>
      </w:r>
      <w:proofErr w:type="spellEnd"/>
      <w:r w:rsidRPr="00CA189C">
        <w:rPr>
          <w:rFonts w:eastAsia="TimesNewRoman" w:cs="TimesNewRoman"/>
        </w:rPr>
        <w:t xml:space="preserve"> leuk</w:t>
      </w:r>
      <w:r>
        <w:rPr>
          <w:rFonts w:eastAsia="TimesNewRoman" w:cs="TimesNewRoman"/>
        </w:rPr>
        <w:t>a</w:t>
      </w:r>
      <w:r w:rsidRPr="00CA189C">
        <w:rPr>
          <w:rFonts w:eastAsia="TimesNewRoman" w:cs="TimesNewRoman"/>
        </w:rPr>
        <w:t xml:space="preserve">emia differentiation syndrome. No patients </w:t>
      </w:r>
      <w:r>
        <w:rPr>
          <w:rFonts w:eastAsia="TimesNewRoman" w:cs="TimesNewRoman"/>
        </w:rPr>
        <w:t xml:space="preserve">in this group </w:t>
      </w:r>
      <w:r w:rsidRPr="00CA189C">
        <w:rPr>
          <w:rFonts w:eastAsia="TimesNewRoman" w:cs="TimesNewRoman"/>
        </w:rPr>
        <w:t xml:space="preserve">experienced a serious event of acute </w:t>
      </w:r>
      <w:proofErr w:type="spellStart"/>
      <w:r w:rsidRPr="00CA189C">
        <w:rPr>
          <w:rFonts w:eastAsia="TimesNewRoman" w:cs="TimesNewRoman"/>
        </w:rPr>
        <w:t>promyelocytic</w:t>
      </w:r>
      <w:proofErr w:type="spellEnd"/>
      <w:r w:rsidRPr="00CA189C">
        <w:rPr>
          <w:rFonts w:eastAsia="TimesNewRoman" w:cs="TimesNewRoman"/>
        </w:rPr>
        <w:t xml:space="preserve"> leukaemia differ</w:t>
      </w:r>
      <w:r>
        <w:rPr>
          <w:rFonts w:eastAsia="TimesNewRoman" w:cs="TimesNewRoman"/>
        </w:rPr>
        <w:t xml:space="preserve">entiation syndrome, but 1 (0.3%) </w:t>
      </w:r>
      <w:r w:rsidRPr="00CA189C">
        <w:rPr>
          <w:rFonts w:eastAsia="TimesNewRoman" w:cs="TimesNewRoman"/>
        </w:rPr>
        <w:t xml:space="preserve">patient experienced a drug-related Grade 3 or higher event. </w:t>
      </w:r>
      <w:r>
        <w:rPr>
          <w:rFonts w:eastAsia="TimesNewRoman" w:cs="TimesNewRoman"/>
        </w:rPr>
        <w:t xml:space="preserve">In response to a question raised during the evaluation, the sponsor reports that, </w:t>
      </w:r>
      <w:r w:rsidRPr="00B11F34">
        <w:t xml:space="preserve">using </w:t>
      </w:r>
      <w:r w:rsidRPr="00CA189C">
        <w:t xml:space="preserve">the algorithm as defined by the </w:t>
      </w:r>
      <w:proofErr w:type="spellStart"/>
      <w:r w:rsidRPr="00CA189C">
        <w:t>Montesinos</w:t>
      </w:r>
      <w:proofErr w:type="spellEnd"/>
      <w:r w:rsidRPr="00CA189C">
        <w:t xml:space="preserve"> criteria</w:t>
      </w:r>
      <w:r>
        <w:t xml:space="preserve">, </w:t>
      </w:r>
      <w:r w:rsidRPr="00B11F34">
        <w:rPr>
          <w:rFonts w:eastAsia="TimesNewRoman" w:cs="TimesNewRoman"/>
        </w:rPr>
        <w:t xml:space="preserve">it has identified </w:t>
      </w:r>
      <w:r w:rsidRPr="00CA189C">
        <w:t xml:space="preserve">11 </w:t>
      </w:r>
      <w:r w:rsidRPr="00B11F34">
        <w:t xml:space="preserve">(3.4%) patients in the integrated </w:t>
      </w:r>
      <w:proofErr w:type="spellStart"/>
      <w:r w:rsidRPr="00B11F34">
        <w:t>gilteritinib</w:t>
      </w:r>
      <w:proofErr w:type="spellEnd"/>
      <w:r w:rsidRPr="00B11F34">
        <w:t xml:space="preserve"> 120 mg group (n</w:t>
      </w:r>
      <w:r>
        <w:t xml:space="preserve"> </w:t>
      </w:r>
      <w:r w:rsidRPr="00B11F34">
        <w:t>=</w:t>
      </w:r>
      <w:r>
        <w:t xml:space="preserve"> </w:t>
      </w:r>
      <w:r w:rsidRPr="00B11F34">
        <w:t xml:space="preserve">319) who have experienced differentiation </w:t>
      </w:r>
      <w:r>
        <w:t>syndrome.</w:t>
      </w:r>
      <w:r>
        <w:rPr>
          <w:rStyle w:val="FootnoteReference"/>
        </w:rPr>
        <w:footnoteReference w:id="20"/>
      </w:r>
      <w:r>
        <w:t xml:space="preserve"> One death has been reported in the 11 patients identified as experiencing differentiation syndrome in the integrated </w:t>
      </w:r>
      <w:proofErr w:type="spellStart"/>
      <w:r>
        <w:t>gilteritinib</w:t>
      </w:r>
      <w:proofErr w:type="spellEnd"/>
      <w:r>
        <w:t xml:space="preserve"> 120 mg group.</w:t>
      </w:r>
    </w:p>
    <w:p w14:paraId="3A383F87" w14:textId="77777777" w:rsidR="00DB74C2" w:rsidRPr="002920C5" w:rsidRDefault="00DB74C2" w:rsidP="00DB74C2">
      <w:pPr>
        <w:rPr>
          <w:rFonts w:eastAsia="TimesNewRoman" w:cs="TimesNewRoman"/>
        </w:rPr>
      </w:pPr>
      <w:r>
        <w:rPr>
          <w:rFonts w:eastAsia="TimesNewRoman" w:cs="TimesNewRoman"/>
        </w:rPr>
        <w:t xml:space="preserve">The clinical evaluator has overall concluded that the risk-benefit for </w:t>
      </w:r>
      <w:proofErr w:type="spellStart"/>
      <w:r>
        <w:rPr>
          <w:rFonts w:eastAsia="TimesNewRoman" w:cs="TimesNewRoman"/>
        </w:rPr>
        <w:t>gilteritinib</w:t>
      </w:r>
      <w:proofErr w:type="spellEnd"/>
      <w:r>
        <w:rPr>
          <w:rFonts w:eastAsia="TimesNewRoman" w:cs="TimesNewRoman"/>
        </w:rPr>
        <w:t xml:space="preserve"> is positive.</w:t>
      </w:r>
    </w:p>
    <w:p w14:paraId="1AE9FD94" w14:textId="77777777" w:rsidR="00DB74C2" w:rsidRDefault="00DB74C2" w:rsidP="00DB74C2">
      <w:pPr>
        <w:pStyle w:val="Heading4"/>
      </w:pPr>
      <w:r w:rsidRPr="007B6132">
        <w:t>Clinical evaluator’s recommendation</w:t>
      </w:r>
    </w:p>
    <w:p w14:paraId="1DB1E0F2" w14:textId="77777777" w:rsidR="00DB74C2" w:rsidRPr="002C23EF" w:rsidRDefault="00DB74C2" w:rsidP="00DB74C2">
      <w:pPr>
        <w:pStyle w:val="ListBullet"/>
        <w:numPr>
          <w:ilvl w:val="0"/>
          <w:numId w:val="3"/>
        </w:numPr>
      </w:pPr>
      <w:r w:rsidRPr="002C23EF">
        <w:rPr>
          <w:lang w:eastAsia="ja-JP"/>
        </w:rPr>
        <w:t xml:space="preserve">It is recommended that </w:t>
      </w:r>
      <w:proofErr w:type="spellStart"/>
      <w:r w:rsidRPr="002C23EF">
        <w:rPr>
          <w:lang w:eastAsia="ja-JP"/>
        </w:rPr>
        <w:t>gilteritinib</w:t>
      </w:r>
      <w:proofErr w:type="spellEnd"/>
      <w:r w:rsidRPr="002C23EF">
        <w:rPr>
          <w:lang w:eastAsia="ja-JP"/>
        </w:rPr>
        <w:t xml:space="preserve"> be approved for the treatment of </w:t>
      </w:r>
      <w:r w:rsidRPr="002C23EF">
        <w:t>treatment of adult patients who have relapsed or refractory AML with a FLT3 mutation.</w:t>
      </w:r>
    </w:p>
    <w:p w14:paraId="4C0F7702" w14:textId="1023913C" w:rsidR="00DB74C2" w:rsidRPr="002C23EF" w:rsidRDefault="00DB74C2" w:rsidP="00DB74C2">
      <w:pPr>
        <w:pStyle w:val="ListBullet"/>
        <w:numPr>
          <w:ilvl w:val="0"/>
          <w:numId w:val="3"/>
        </w:numPr>
      </w:pPr>
      <w:r w:rsidRPr="002C23EF">
        <w:t xml:space="preserve">It is recommended that </w:t>
      </w:r>
      <w:proofErr w:type="spellStart"/>
      <w:r w:rsidRPr="002C23EF">
        <w:t>gilteritinib</w:t>
      </w:r>
      <w:proofErr w:type="spellEnd"/>
      <w:r w:rsidRPr="002C23EF">
        <w:t xml:space="preserve"> be approved at the dosages proposed in the draft PI provided with the sponsor’s letter of 25 November 2019: </w:t>
      </w:r>
      <w:r w:rsidR="00E56F43">
        <w:t>that is, a</w:t>
      </w:r>
      <w:r w:rsidRPr="002C23EF">
        <w:t xml:space="preserve"> starting dose of 120</w:t>
      </w:r>
      <w:r w:rsidR="00797541">
        <w:t> </w:t>
      </w:r>
      <w:r w:rsidRPr="002C23EF">
        <w:t>mg once daily with option to escalate the dose to 200 mg once daily in the absence of a response (</w:t>
      </w:r>
      <w:r>
        <w:t>composite complete remission</w:t>
      </w:r>
      <w:r w:rsidRPr="002C23EF">
        <w:t xml:space="preserve"> not achieved) after 4 weeks of treatment. Treatment should continue until the patient is no longer clinically benefiting from </w:t>
      </w:r>
      <w:proofErr w:type="spellStart"/>
      <w:r w:rsidRPr="002C23EF">
        <w:t>gilteritinib</w:t>
      </w:r>
      <w:proofErr w:type="spellEnd"/>
      <w:r w:rsidRPr="002C23EF">
        <w:t xml:space="preserve"> or until unacceptable toxicity occurs. Response may be delayed; therefore, continuation of treatment at the prescribed dose for up to 6</w:t>
      </w:r>
      <w:r w:rsidR="00797541">
        <w:t> </w:t>
      </w:r>
      <w:r w:rsidRPr="002C23EF">
        <w:t xml:space="preserve">months should be considered to allow time for a clinical response. In addition, it is recommended that the dose interruption, reduction and discontinuation criteria </w:t>
      </w:r>
      <w:r>
        <w:t>provided in the draft PI be approved.</w:t>
      </w:r>
    </w:p>
    <w:p w14:paraId="0855726E" w14:textId="77777777" w:rsidR="00DB74C2" w:rsidRDefault="00DB74C2" w:rsidP="001D361E">
      <w:pPr>
        <w:pStyle w:val="Heading3"/>
        <w:rPr>
          <w:lang w:eastAsia="en-AU"/>
        </w:rPr>
      </w:pPr>
      <w:bookmarkStart w:id="13" w:name="_Toc50495805"/>
      <w:r>
        <w:rPr>
          <w:lang w:eastAsia="en-AU"/>
        </w:rPr>
        <w:t>Risk management plan</w:t>
      </w:r>
      <w:bookmarkEnd w:id="13"/>
    </w:p>
    <w:p w14:paraId="51138C40" w14:textId="75917C34" w:rsidR="00DB74C2" w:rsidRPr="003864E0" w:rsidRDefault="00DB74C2" w:rsidP="00DB74C2">
      <w:r w:rsidRPr="003864E0">
        <w:t>The sponsor has submitted EU-</w:t>
      </w:r>
      <w:r w:rsidR="00797541">
        <w:t>r</w:t>
      </w:r>
      <w:r w:rsidRPr="003864E0">
        <w:t xml:space="preserve">isk </w:t>
      </w:r>
      <w:r w:rsidR="00797541">
        <w:t>m</w:t>
      </w:r>
      <w:r w:rsidRPr="003864E0">
        <w:t xml:space="preserve">anagement </w:t>
      </w:r>
      <w:r w:rsidR="00797541">
        <w:t>p</w:t>
      </w:r>
      <w:r w:rsidRPr="003864E0">
        <w:t>lan (RMP) version 0.2 (17 June 2019; data lock point (DLP) 17 September 2018) and Australian-specific Annex (ASA) version 0.2 (July 2019) in support of this application. In response to TGA questions sent 18</w:t>
      </w:r>
      <w:r w:rsidR="00797541">
        <w:t> </w:t>
      </w:r>
      <w:r w:rsidRPr="003864E0">
        <w:t xml:space="preserve">December 2019, the sponsor provided updated EU-RMP version 1.0 (4 October 2019; DLP 17 September 2018) and subsequently updated ASA version 0.4 (January 2020). In </w:t>
      </w:r>
      <w:r w:rsidRPr="003864E0">
        <w:lastRenderedPageBreak/>
        <w:t>response to TGA questions sent 20 January 2020, the sponsor provided updated ASA version 0.5 (February 2020). In response to TGA questions sent 7 February 2020 the sponsor provided updated ASA version 0.6 (February 2020).</w:t>
      </w:r>
    </w:p>
    <w:p w14:paraId="75F8461E" w14:textId="77777777" w:rsidR="00DB74C2" w:rsidRDefault="00DB74C2" w:rsidP="00DB74C2">
      <w:pPr>
        <w:rPr>
          <w:lang w:eastAsia="en-AU"/>
        </w:rPr>
      </w:pPr>
      <w:r w:rsidRPr="005A0AB2">
        <w:t>The</w:t>
      </w:r>
      <w:r>
        <w:t xml:space="preserve"> </w:t>
      </w:r>
      <w:r w:rsidRPr="005A0AB2">
        <w:t>summary of safety concerns and their associated risk monitoring and mitigation</w:t>
      </w:r>
      <w:r>
        <w:t xml:space="preserve"> strategies are summarised in Table 6.</w:t>
      </w:r>
      <w:r>
        <w:rPr>
          <w:rStyle w:val="FootnoteReference"/>
          <w:lang w:eastAsia="en-AU"/>
        </w:rPr>
        <w:footnoteReference w:id="21"/>
      </w:r>
    </w:p>
    <w:p w14:paraId="50A6E90E" w14:textId="77777777" w:rsidR="00DB74C2" w:rsidRPr="00E601C5" w:rsidRDefault="00DB74C2" w:rsidP="00DB74C2">
      <w:pPr>
        <w:pStyle w:val="TableTitle"/>
      </w:pPr>
      <w:r w:rsidRPr="00E601C5">
        <w:t xml:space="preserve">Table </w:t>
      </w:r>
      <w:r>
        <w:t>6</w:t>
      </w:r>
      <w:r w:rsidRPr="00E601C5">
        <w:t>. Summary of safety concerns</w:t>
      </w:r>
    </w:p>
    <w:tbl>
      <w:tblPr>
        <w:tblStyle w:val="TableTGAblue"/>
        <w:tblW w:w="5000" w:type="pct"/>
        <w:tblLook w:val="04A0" w:firstRow="1" w:lastRow="0" w:firstColumn="1" w:lastColumn="0" w:noHBand="0" w:noVBand="1"/>
      </w:tblPr>
      <w:tblGrid>
        <w:gridCol w:w="1327"/>
        <w:gridCol w:w="2891"/>
        <w:gridCol w:w="945"/>
        <w:gridCol w:w="1188"/>
        <w:gridCol w:w="945"/>
        <w:gridCol w:w="1188"/>
      </w:tblGrid>
      <w:tr w:rsidR="00DB74C2" w:rsidRPr="009110F5" w14:paraId="5FA03933" w14:textId="77777777" w:rsidTr="001D361E">
        <w:trPr>
          <w:cnfStyle w:val="100000000000" w:firstRow="1" w:lastRow="0" w:firstColumn="0" w:lastColumn="0" w:oddVBand="0" w:evenVBand="0" w:oddHBand="0" w:evenHBand="0" w:firstRowFirstColumn="0" w:firstRowLastColumn="0" w:lastRowFirstColumn="0" w:lastRowLastColumn="0"/>
          <w:trHeight w:val="131"/>
        </w:trPr>
        <w:tc>
          <w:tcPr>
            <w:tcW w:w="3024" w:type="pct"/>
            <w:gridSpan w:val="2"/>
            <w:vMerge w:val="restart"/>
          </w:tcPr>
          <w:p w14:paraId="2E47972D" w14:textId="77777777" w:rsidR="00DB74C2" w:rsidRPr="00021165" w:rsidRDefault="00DB74C2" w:rsidP="00DB74C2">
            <w:pPr>
              <w:pStyle w:val="Tabletext"/>
              <w:ind w:left="0" w:right="0"/>
              <w:rPr>
                <w:b w:val="0"/>
                <w:sz w:val="20"/>
                <w:szCs w:val="20"/>
              </w:rPr>
            </w:pPr>
            <w:r w:rsidRPr="00021165">
              <w:rPr>
                <w:sz w:val="20"/>
                <w:szCs w:val="20"/>
              </w:rPr>
              <w:t>Summary of safety concerns</w:t>
            </w:r>
          </w:p>
        </w:tc>
        <w:tc>
          <w:tcPr>
            <w:tcW w:w="988" w:type="pct"/>
            <w:gridSpan w:val="2"/>
          </w:tcPr>
          <w:p w14:paraId="0B7F7211" w14:textId="77777777" w:rsidR="00DB74C2" w:rsidRPr="00021165" w:rsidRDefault="00DB74C2" w:rsidP="00DB74C2">
            <w:pPr>
              <w:pStyle w:val="Tabletext"/>
              <w:ind w:left="0" w:right="0"/>
              <w:rPr>
                <w:b w:val="0"/>
                <w:sz w:val="20"/>
                <w:szCs w:val="20"/>
              </w:rPr>
            </w:pPr>
            <w:r w:rsidRPr="00021165">
              <w:rPr>
                <w:sz w:val="20"/>
                <w:szCs w:val="20"/>
              </w:rPr>
              <w:t>Pharmacovigilance</w:t>
            </w:r>
          </w:p>
        </w:tc>
        <w:tc>
          <w:tcPr>
            <w:tcW w:w="988" w:type="pct"/>
            <w:gridSpan w:val="2"/>
          </w:tcPr>
          <w:p w14:paraId="3347AC0D" w14:textId="77777777" w:rsidR="00DB74C2" w:rsidRPr="00021165" w:rsidRDefault="00DB74C2" w:rsidP="00DB74C2">
            <w:pPr>
              <w:pStyle w:val="Tabletext"/>
              <w:ind w:left="0" w:right="0"/>
              <w:rPr>
                <w:b w:val="0"/>
                <w:sz w:val="20"/>
                <w:szCs w:val="20"/>
              </w:rPr>
            </w:pPr>
            <w:r w:rsidRPr="00021165">
              <w:rPr>
                <w:sz w:val="20"/>
                <w:szCs w:val="20"/>
              </w:rPr>
              <w:t>Risk Minimisation</w:t>
            </w:r>
          </w:p>
        </w:tc>
      </w:tr>
      <w:tr w:rsidR="00DB74C2" w:rsidRPr="009110F5" w14:paraId="20A13EA6" w14:textId="77777777" w:rsidTr="001D361E">
        <w:trPr>
          <w:trHeight w:val="150"/>
        </w:trPr>
        <w:tc>
          <w:tcPr>
            <w:tcW w:w="3024" w:type="pct"/>
            <w:gridSpan w:val="2"/>
            <w:vMerge/>
            <w:tcBorders>
              <w:right w:val="nil"/>
            </w:tcBorders>
          </w:tcPr>
          <w:p w14:paraId="20BF4880" w14:textId="77777777" w:rsidR="00DB74C2" w:rsidRPr="00021165" w:rsidRDefault="00DB74C2" w:rsidP="00DB74C2">
            <w:pPr>
              <w:pStyle w:val="Tabletext"/>
              <w:keepNext/>
              <w:ind w:left="0" w:right="0"/>
              <w:rPr>
                <w:b/>
                <w:sz w:val="20"/>
                <w:szCs w:val="20"/>
              </w:rPr>
            </w:pPr>
          </w:p>
        </w:tc>
        <w:tc>
          <w:tcPr>
            <w:tcW w:w="449" w:type="pct"/>
            <w:tcBorders>
              <w:left w:val="nil"/>
              <w:right w:val="nil"/>
            </w:tcBorders>
            <w:shd w:val="clear" w:color="auto" w:fill="006DA7"/>
          </w:tcPr>
          <w:p w14:paraId="654D0A59" w14:textId="77777777" w:rsidR="00DB74C2" w:rsidRPr="006B7636" w:rsidRDefault="00DB74C2" w:rsidP="00DB74C2">
            <w:pPr>
              <w:pStyle w:val="Tabletext"/>
              <w:keepNext/>
              <w:ind w:left="0" w:right="0"/>
              <w:rPr>
                <w:b/>
                <w:color w:val="FFFFFF" w:themeColor="background1"/>
                <w:sz w:val="20"/>
                <w:szCs w:val="20"/>
              </w:rPr>
            </w:pPr>
            <w:r w:rsidRPr="006B7636">
              <w:rPr>
                <w:b/>
                <w:color w:val="FFFFFF" w:themeColor="background1"/>
                <w:sz w:val="20"/>
                <w:szCs w:val="20"/>
              </w:rPr>
              <w:t>Routine</w:t>
            </w:r>
          </w:p>
        </w:tc>
        <w:tc>
          <w:tcPr>
            <w:tcW w:w="539" w:type="pct"/>
            <w:tcBorders>
              <w:left w:val="nil"/>
              <w:right w:val="nil"/>
            </w:tcBorders>
            <w:shd w:val="clear" w:color="auto" w:fill="006DA7"/>
          </w:tcPr>
          <w:p w14:paraId="5792ECD8" w14:textId="77777777" w:rsidR="00DB74C2" w:rsidRPr="006B7636" w:rsidRDefault="00DB74C2" w:rsidP="00DB74C2">
            <w:pPr>
              <w:pStyle w:val="Tabletext"/>
              <w:keepNext/>
              <w:ind w:left="0" w:right="0"/>
              <w:rPr>
                <w:b/>
                <w:color w:val="FFFFFF" w:themeColor="background1"/>
                <w:sz w:val="20"/>
                <w:szCs w:val="20"/>
              </w:rPr>
            </w:pPr>
            <w:r w:rsidRPr="006B7636">
              <w:rPr>
                <w:b/>
                <w:color w:val="FFFFFF" w:themeColor="background1"/>
                <w:sz w:val="20"/>
                <w:szCs w:val="20"/>
              </w:rPr>
              <w:t>Additional</w:t>
            </w:r>
          </w:p>
        </w:tc>
        <w:tc>
          <w:tcPr>
            <w:tcW w:w="435" w:type="pct"/>
            <w:tcBorders>
              <w:left w:val="nil"/>
              <w:right w:val="nil"/>
            </w:tcBorders>
            <w:shd w:val="clear" w:color="auto" w:fill="006DA7"/>
          </w:tcPr>
          <w:p w14:paraId="3A95059E" w14:textId="77777777" w:rsidR="00DB74C2" w:rsidRPr="006B7636" w:rsidRDefault="00DB74C2" w:rsidP="00DB74C2">
            <w:pPr>
              <w:pStyle w:val="Tabletext"/>
              <w:keepNext/>
              <w:ind w:left="0" w:right="0"/>
              <w:rPr>
                <w:b/>
                <w:color w:val="FFFFFF" w:themeColor="background1"/>
                <w:sz w:val="20"/>
                <w:szCs w:val="20"/>
              </w:rPr>
            </w:pPr>
            <w:r w:rsidRPr="006B7636">
              <w:rPr>
                <w:b/>
                <w:color w:val="FFFFFF" w:themeColor="background1"/>
                <w:sz w:val="20"/>
                <w:szCs w:val="20"/>
              </w:rPr>
              <w:t>Routine</w:t>
            </w:r>
          </w:p>
        </w:tc>
        <w:tc>
          <w:tcPr>
            <w:tcW w:w="553" w:type="pct"/>
            <w:tcBorders>
              <w:left w:val="nil"/>
            </w:tcBorders>
            <w:shd w:val="clear" w:color="auto" w:fill="006DA7"/>
          </w:tcPr>
          <w:p w14:paraId="02054E80" w14:textId="77777777" w:rsidR="00DB74C2" w:rsidRPr="006B7636" w:rsidRDefault="00DB74C2" w:rsidP="00DB74C2">
            <w:pPr>
              <w:pStyle w:val="Tabletext"/>
              <w:keepNext/>
              <w:ind w:left="0" w:right="0"/>
              <w:rPr>
                <w:b/>
                <w:color w:val="FFFFFF" w:themeColor="background1"/>
                <w:sz w:val="20"/>
                <w:szCs w:val="20"/>
              </w:rPr>
            </w:pPr>
            <w:r w:rsidRPr="006B7636">
              <w:rPr>
                <w:b/>
                <w:color w:val="FFFFFF" w:themeColor="background1"/>
                <w:sz w:val="20"/>
                <w:szCs w:val="20"/>
              </w:rPr>
              <w:t>Additional</w:t>
            </w:r>
          </w:p>
        </w:tc>
      </w:tr>
      <w:tr w:rsidR="00DB74C2" w:rsidRPr="009110F5" w14:paraId="27CBAF3D" w14:textId="77777777" w:rsidTr="00157E6A">
        <w:trPr>
          <w:trHeight w:val="137"/>
        </w:trPr>
        <w:tc>
          <w:tcPr>
            <w:tcW w:w="701" w:type="pct"/>
            <w:vMerge w:val="restart"/>
          </w:tcPr>
          <w:p w14:paraId="64ED17FC" w14:textId="77777777" w:rsidR="00DB74C2" w:rsidRPr="00021165" w:rsidRDefault="00DB74C2" w:rsidP="00DB74C2">
            <w:pPr>
              <w:pStyle w:val="Tabletext"/>
              <w:keepNext/>
              <w:ind w:left="0" w:right="0"/>
              <w:rPr>
                <w:b/>
                <w:sz w:val="20"/>
                <w:szCs w:val="20"/>
              </w:rPr>
            </w:pPr>
            <w:r w:rsidRPr="00021165">
              <w:rPr>
                <w:b/>
                <w:sz w:val="20"/>
                <w:szCs w:val="20"/>
              </w:rPr>
              <w:t>Important identified risks</w:t>
            </w:r>
          </w:p>
        </w:tc>
        <w:tc>
          <w:tcPr>
            <w:tcW w:w="2323" w:type="pct"/>
          </w:tcPr>
          <w:p w14:paraId="76BDF96F" w14:textId="77777777" w:rsidR="00DB74C2" w:rsidRPr="009110F5" w:rsidRDefault="00DB74C2" w:rsidP="00DB74C2">
            <w:pPr>
              <w:keepNext/>
              <w:ind w:left="0" w:right="0"/>
              <w:rPr>
                <w:rFonts w:cstheme="minorHAnsi"/>
                <w:sz w:val="20"/>
                <w:szCs w:val="20"/>
              </w:rPr>
            </w:pPr>
            <w:r w:rsidRPr="009110F5">
              <w:rPr>
                <w:rFonts w:cstheme="minorHAnsi"/>
                <w:sz w:val="20"/>
                <w:szCs w:val="20"/>
              </w:rPr>
              <w:t>Posterior reversible encephalopathy syndrome (PRES)</w:t>
            </w:r>
          </w:p>
        </w:tc>
        <w:tc>
          <w:tcPr>
            <w:tcW w:w="449" w:type="pct"/>
          </w:tcPr>
          <w:p w14:paraId="7116FDD3" w14:textId="77777777" w:rsidR="00DB74C2" w:rsidRPr="00021165" w:rsidRDefault="00DB74C2" w:rsidP="00DB74C2">
            <w:pPr>
              <w:pStyle w:val="Tabletext"/>
              <w:keepNext/>
              <w:ind w:left="0" w:right="0"/>
              <w:jc w:val="center"/>
              <w:rPr>
                <w:color w:val="00B050"/>
                <w:sz w:val="20"/>
                <w:szCs w:val="20"/>
              </w:rPr>
            </w:pPr>
            <w:r w:rsidRPr="00021165">
              <w:rPr>
                <w:sz w:val="20"/>
                <w:szCs w:val="20"/>
              </w:rPr>
              <w:sym w:font="Wingdings" w:char="F0FC"/>
            </w:r>
          </w:p>
        </w:tc>
        <w:tc>
          <w:tcPr>
            <w:tcW w:w="539" w:type="pct"/>
          </w:tcPr>
          <w:p w14:paraId="1A147414"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r w:rsidRPr="00021165">
              <w:rPr>
                <w:sz w:val="20"/>
                <w:szCs w:val="20"/>
              </w:rPr>
              <w:t>¶</w:t>
            </w:r>
          </w:p>
        </w:tc>
        <w:tc>
          <w:tcPr>
            <w:tcW w:w="435" w:type="pct"/>
          </w:tcPr>
          <w:p w14:paraId="1DB5D073"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630A938F" w14:textId="77777777" w:rsidR="00DB74C2" w:rsidRPr="00021165" w:rsidRDefault="00DB74C2" w:rsidP="00DB74C2">
            <w:pPr>
              <w:pStyle w:val="Tabletext"/>
              <w:keepNext/>
              <w:ind w:left="0" w:right="0"/>
              <w:jc w:val="center"/>
              <w:rPr>
                <w:sz w:val="20"/>
                <w:szCs w:val="20"/>
              </w:rPr>
            </w:pPr>
            <w:r w:rsidRPr="00021165">
              <w:rPr>
                <w:sz w:val="20"/>
                <w:szCs w:val="20"/>
              </w:rPr>
              <w:t>–</w:t>
            </w:r>
          </w:p>
        </w:tc>
      </w:tr>
      <w:tr w:rsidR="00DB74C2" w:rsidRPr="009110F5" w14:paraId="79F3E783" w14:textId="77777777" w:rsidTr="00157E6A">
        <w:trPr>
          <w:trHeight w:val="187"/>
        </w:trPr>
        <w:tc>
          <w:tcPr>
            <w:tcW w:w="701" w:type="pct"/>
            <w:vMerge/>
          </w:tcPr>
          <w:p w14:paraId="4C0E8C47" w14:textId="77777777" w:rsidR="00DB74C2" w:rsidRPr="00021165" w:rsidRDefault="00DB74C2" w:rsidP="00DB74C2">
            <w:pPr>
              <w:pStyle w:val="Tabletext"/>
              <w:keepNext/>
              <w:ind w:left="0" w:right="0"/>
              <w:rPr>
                <w:b/>
                <w:sz w:val="20"/>
                <w:szCs w:val="20"/>
              </w:rPr>
            </w:pPr>
          </w:p>
        </w:tc>
        <w:tc>
          <w:tcPr>
            <w:tcW w:w="2323" w:type="pct"/>
          </w:tcPr>
          <w:p w14:paraId="652866D1" w14:textId="77777777" w:rsidR="00DB74C2" w:rsidRPr="009110F5" w:rsidRDefault="00DB74C2" w:rsidP="00DB74C2">
            <w:pPr>
              <w:keepNext/>
              <w:ind w:left="0" w:right="0"/>
              <w:rPr>
                <w:rFonts w:cstheme="minorHAnsi"/>
                <w:sz w:val="20"/>
                <w:szCs w:val="20"/>
              </w:rPr>
            </w:pPr>
            <w:r w:rsidRPr="009110F5">
              <w:rPr>
                <w:rFonts w:cstheme="minorHAnsi"/>
                <w:sz w:val="20"/>
                <w:szCs w:val="20"/>
              </w:rPr>
              <w:t>Differentiation syndrome</w:t>
            </w:r>
          </w:p>
        </w:tc>
        <w:tc>
          <w:tcPr>
            <w:tcW w:w="449" w:type="pct"/>
          </w:tcPr>
          <w:p w14:paraId="59FD56C3"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r w:rsidRPr="00021165">
              <w:rPr>
                <w:sz w:val="20"/>
                <w:szCs w:val="20"/>
              </w:rPr>
              <w:t>†</w:t>
            </w:r>
          </w:p>
        </w:tc>
        <w:tc>
          <w:tcPr>
            <w:tcW w:w="539" w:type="pct"/>
          </w:tcPr>
          <w:p w14:paraId="66F653D3"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r w:rsidRPr="00021165">
              <w:rPr>
                <w:sz w:val="20"/>
                <w:szCs w:val="20"/>
              </w:rPr>
              <w:t>¶</w:t>
            </w:r>
          </w:p>
        </w:tc>
        <w:tc>
          <w:tcPr>
            <w:tcW w:w="435" w:type="pct"/>
          </w:tcPr>
          <w:p w14:paraId="12FAAF74"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3629BAE6"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r w:rsidRPr="00021165">
              <w:rPr>
                <w:sz w:val="20"/>
                <w:szCs w:val="20"/>
              </w:rPr>
              <w:t>ǁ</w:t>
            </w:r>
          </w:p>
        </w:tc>
      </w:tr>
      <w:tr w:rsidR="00DB74C2" w:rsidRPr="009110F5" w14:paraId="6662695E" w14:textId="77777777" w:rsidTr="00157E6A">
        <w:trPr>
          <w:trHeight w:val="159"/>
        </w:trPr>
        <w:tc>
          <w:tcPr>
            <w:tcW w:w="701" w:type="pct"/>
            <w:vMerge w:val="restart"/>
          </w:tcPr>
          <w:p w14:paraId="1D058441" w14:textId="77777777" w:rsidR="00DB74C2" w:rsidRPr="00021165" w:rsidRDefault="00DB74C2" w:rsidP="00DB74C2">
            <w:pPr>
              <w:pStyle w:val="Tabletext"/>
              <w:keepNext/>
              <w:ind w:left="0" w:right="0"/>
              <w:rPr>
                <w:b/>
                <w:sz w:val="20"/>
                <w:szCs w:val="20"/>
              </w:rPr>
            </w:pPr>
            <w:r w:rsidRPr="00021165">
              <w:rPr>
                <w:b/>
                <w:sz w:val="20"/>
                <w:szCs w:val="20"/>
              </w:rPr>
              <w:t>Important potential risks</w:t>
            </w:r>
          </w:p>
        </w:tc>
        <w:tc>
          <w:tcPr>
            <w:tcW w:w="2323" w:type="pct"/>
          </w:tcPr>
          <w:p w14:paraId="77AF683C" w14:textId="77777777" w:rsidR="00DB74C2" w:rsidRPr="009110F5" w:rsidRDefault="00DB74C2" w:rsidP="00DB74C2">
            <w:pPr>
              <w:keepNext/>
              <w:ind w:left="0" w:right="0"/>
              <w:rPr>
                <w:rFonts w:cstheme="minorHAnsi"/>
                <w:sz w:val="20"/>
                <w:szCs w:val="20"/>
              </w:rPr>
            </w:pPr>
            <w:r w:rsidRPr="009110F5">
              <w:rPr>
                <w:rFonts w:cstheme="minorHAnsi"/>
                <w:sz w:val="20"/>
                <w:szCs w:val="20"/>
              </w:rPr>
              <w:t>Torsades de Pointes</w:t>
            </w:r>
          </w:p>
        </w:tc>
        <w:tc>
          <w:tcPr>
            <w:tcW w:w="449" w:type="pct"/>
          </w:tcPr>
          <w:p w14:paraId="1F3EAF99"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539" w:type="pct"/>
          </w:tcPr>
          <w:p w14:paraId="42E34657" w14:textId="77777777" w:rsidR="00DB74C2" w:rsidRPr="00021165" w:rsidRDefault="00DB74C2" w:rsidP="00DB74C2">
            <w:pPr>
              <w:pStyle w:val="Tabletext"/>
              <w:keepNext/>
              <w:ind w:left="0" w:right="0"/>
              <w:jc w:val="center"/>
              <w:rPr>
                <w:i/>
                <w:sz w:val="20"/>
                <w:szCs w:val="20"/>
              </w:rPr>
            </w:pPr>
            <w:r w:rsidRPr="00021165">
              <w:rPr>
                <w:sz w:val="20"/>
                <w:szCs w:val="20"/>
              </w:rPr>
              <w:t>– ¶</w:t>
            </w:r>
          </w:p>
        </w:tc>
        <w:tc>
          <w:tcPr>
            <w:tcW w:w="435" w:type="pct"/>
          </w:tcPr>
          <w:p w14:paraId="240E5591"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54F56CF9" w14:textId="77777777" w:rsidR="00DB74C2" w:rsidRPr="00021165" w:rsidRDefault="00DB74C2" w:rsidP="00DB74C2">
            <w:pPr>
              <w:pStyle w:val="Tabletext"/>
              <w:keepNext/>
              <w:ind w:left="0" w:right="0"/>
              <w:jc w:val="center"/>
              <w:rPr>
                <w:sz w:val="20"/>
                <w:szCs w:val="20"/>
              </w:rPr>
            </w:pPr>
            <w:r w:rsidRPr="00021165">
              <w:rPr>
                <w:sz w:val="20"/>
                <w:szCs w:val="20"/>
              </w:rPr>
              <w:t>–</w:t>
            </w:r>
          </w:p>
        </w:tc>
      </w:tr>
      <w:tr w:rsidR="00DB74C2" w:rsidRPr="009110F5" w14:paraId="7519975B" w14:textId="77777777" w:rsidTr="00157E6A">
        <w:trPr>
          <w:trHeight w:val="159"/>
        </w:trPr>
        <w:tc>
          <w:tcPr>
            <w:tcW w:w="701" w:type="pct"/>
            <w:vMerge/>
          </w:tcPr>
          <w:p w14:paraId="68711DFA" w14:textId="77777777" w:rsidR="00DB74C2" w:rsidRPr="00021165" w:rsidRDefault="00DB74C2" w:rsidP="00DB74C2">
            <w:pPr>
              <w:pStyle w:val="Tabletext"/>
              <w:keepNext/>
              <w:ind w:left="0" w:right="0"/>
              <w:rPr>
                <w:b/>
                <w:sz w:val="20"/>
                <w:szCs w:val="20"/>
              </w:rPr>
            </w:pPr>
          </w:p>
        </w:tc>
        <w:tc>
          <w:tcPr>
            <w:tcW w:w="2323" w:type="pct"/>
          </w:tcPr>
          <w:p w14:paraId="5697F010" w14:textId="77777777" w:rsidR="00DB74C2" w:rsidRPr="009110F5" w:rsidRDefault="00DB74C2" w:rsidP="00DB74C2">
            <w:pPr>
              <w:keepNext/>
              <w:ind w:left="0" w:right="0"/>
              <w:rPr>
                <w:rFonts w:cstheme="minorHAnsi"/>
                <w:sz w:val="20"/>
                <w:szCs w:val="20"/>
              </w:rPr>
            </w:pPr>
            <w:r w:rsidRPr="009110F5">
              <w:rPr>
                <w:rFonts w:cstheme="minorHAnsi"/>
                <w:sz w:val="20"/>
                <w:szCs w:val="20"/>
              </w:rPr>
              <w:t>Serious GI disorders</w:t>
            </w:r>
          </w:p>
        </w:tc>
        <w:tc>
          <w:tcPr>
            <w:tcW w:w="449" w:type="pct"/>
          </w:tcPr>
          <w:p w14:paraId="1DE17366"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539" w:type="pct"/>
          </w:tcPr>
          <w:p w14:paraId="6D14E4DF"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435" w:type="pct"/>
          </w:tcPr>
          <w:p w14:paraId="559D3087"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0A5B8C14" w14:textId="77777777" w:rsidR="00DB74C2" w:rsidRPr="00021165" w:rsidRDefault="00DB74C2" w:rsidP="00DB74C2">
            <w:pPr>
              <w:pStyle w:val="Tabletext"/>
              <w:keepNext/>
              <w:ind w:left="0" w:right="0"/>
              <w:jc w:val="center"/>
              <w:rPr>
                <w:sz w:val="20"/>
                <w:szCs w:val="20"/>
              </w:rPr>
            </w:pPr>
            <w:r w:rsidRPr="00021165">
              <w:rPr>
                <w:sz w:val="20"/>
                <w:szCs w:val="20"/>
              </w:rPr>
              <w:t>–</w:t>
            </w:r>
          </w:p>
        </w:tc>
      </w:tr>
      <w:tr w:rsidR="00DB74C2" w:rsidRPr="009110F5" w14:paraId="2C2A2D4C" w14:textId="77777777" w:rsidTr="00157E6A">
        <w:trPr>
          <w:trHeight w:val="159"/>
        </w:trPr>
        <w:tc>
          <w:tcPr>
            <w:tcW w:w="701" w:type="pct"/>
            <w:vMerge/>
          </w:tcPr>
          <w:p w14:paraId="71D071D2" w14:textId="77777777" w:rsidR="00DB74C2" w:rsidRPr="00021165" w:rsidRDefault="00DB74C2" w:rsidP="00DB74C2">
            <w:pPr>
              <w:pStyle w:val="Tabletext"/>
              <w:keepNext/>
              <w:ind w:left="0" w:right="0"/>
              <w:rPr>
                <w:b/>
                <w:sz w:val="20"/>
                <w:szCs w:val="20"/>
              </w:rPr>
            </w:pPr>
          </w:p>
        </w:tc>
        <w:tc>
          <w:tcPr>
            <w:tcW w:w="2323" w:type="pct"/>
          </w:tcPr>
          <w:p w14:paraId="64AB778E" w14:textId="77777777" w:rsidR="00DB74C2" w:rsidRPr="009110F5" w:rsidRDefault="00DB74C2" w:rsidP="00DB74C2">
            <w:pPr>
              <w:keepNext/>
              <w:ind w:left="0" w:right="0"/>
              <w:rPr>
                <w:rFonts w:cstheme="minorHAnsi"/>
                <w:sz w:val="20"/>
                <w:szCs w:val="20"/>
              </w:rPr>
            </w:pPr>
            <w:r w:rsidRPr="009110F5">
              <w:rPr>
                <w:rFonts w:cstheme="minorHAnsi"/>
                <w:sz w:val="20"/>
                <w:szCs w:val="20"/>
              </w:rPr>
              <w:t>Eye disorders</w:t>
            </w:r>
          </w:p>
        </w:tc>
        <w:tc>
          <w:tcPr>
            <w:tcW w:w="449" w:type="pct"/>
          </w:tcPr>
          <w:p w14:paraId="21165C94"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539" w:type="pct"/>
          </w:tcPr>
          <w:p w14:paraId="71EA5302"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435" w:type="pct"/>
          </w:tcPr>
          <w:p w14:paraId="457F6B3D"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4441D236" w14:textId="77777777" w:rsidR="00DB74C2" w:rsidRPr="00021165" w:rsidRDefault="00DB74C2" w:rsidP="00DB74C2">
            <w:pPr>
              <w:pStyle w:val="Tabletext"/>
              <w:keepNext/>
              <w:ind w:left="0" w:right="0"/>
              <w:jc w:val="center"/>
              <w:rPr>
                <w:sz w:val="20"/>
                <w:szCs w:val="20"/>
              </w:rPr>
            </w:pPr>
            <w:r w:rsidRPr="00021165">
              <w:rPr>
                <w:sz w:val="20"/>
                <w:szCs w:val="20"/>
              </w:rPr>
              <w:t>–</w:t>
            </w:r>
          </w:p>
        </w:tc>
      </w:tr>
      <w:tr w:rsidR="00DB74C2" w:rsidRPr="009110F5" w14:paraId="11F9CED1" w14:textId="77777777" w:rsidTr="00157E6A">
        <w:trPr>
          <w:trHeight w:val="159"/>
        </w:trPr>
        <w:tc>
          <w:tcPr>
            <w:tcW w:w="701" w:type="pct"/>
            <w:vMerge/>
          </w:tcPr>
          <w:p w14:paraId="6918819E" w14:textId="77777777" w:rsidR="00DB74C2" w:rsidRPr="00021165" w:rsidRDefault="00DB74C2" w:rsidP="00DB74C2">
            <w:pPr>
              <w:pStyle w:val="Tabletext"/>
              <w:keepNext/>
              <w:ind w:left="0" w:right="0"/>
              <w:rPr>
                <w:b/>
                <w:sz w:val="20"/>
                <w:szCs w:val="20"/>
              </w:rPr>
            </w:pPr>
          </w:p>
        </w:tc>
        <w:tc>
          <w:tcPr>
            <w:tcW w:w="2323" w:type="pct"/>
          </w:tcPr>
          <w:p w14:paraId="6C316F66" w14:textId="77777777" w:rsidR="00DB74C2" w:rsidRPr="009110F5" w:rsidRDefault="00DB74C2" w:rsidP="00DB74C2">
            <w:pPr>
              <w:keepNext/>
              <w:ind w:left="0" w:right="0"/>
              <w:rPr>
                <w:rFonts w:cstheme="minorHAnsi"/>
                <w:sz w:val="20"/>
                <w:szCs w:val="20"/>
              </w:rPr>
            </w:pPr>
            <w:r w:rsidRPr="009110F5">
              <w:rPr>
                <w:rFonts w:cstheme="minorHAnsi"/>
                <w:sz w:val="20"/>
                <w:szCs w:val="20"/>
              </w:rPr>
              <w:t xml:space="preserve">Pulmonary adverse events </w:t>
            </w:r>
          </w:p>
        </w:tc>
        <w:tc>
          <w:tcPr>
            <w:tcW w:w="449" w:type="pct"/>
          </w:tcPr>
          <w:p w14:paraId="3F8B9690"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539" w:type="pct"/>
          </w:tcPr>
          <w:p w14:paraId="691BEB8D"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435" w:type="pct"/>
          </w:tcPr>
          <w:p w14:paraId="6F2866DF"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7BFF735E" w14:textId="77777777" w:rsidR="00DB74C2" w:rsidRPr="00021165" w:rsidRDefault="00DB74C2" w:rsidP="00DB74C2">
            <w:pPr>
              <w:pStyle w:val="Tabletext"/>
              <w:keepNext/>
              <w:ind w:left="0" w:right="0"/>
              <w:jc w:val="center"/>
              <w:rPr>
                <w:sz w:val="20"/>
                <w:szCs w:val="20"/>
              </w:rPr>
            </w:pPr>
            <w:r w:rsidRPr="00021165">
              <w:rPr>
                <w:sz w:val="20"/>
                <w:szCs w:val="20"/>
              </w:rPr>
              <w:t>–</w:t>
            </w:r>
          </w:p>
        </w:tc>
      </w:tr>
      <w:tr w:rsidR="00DB74C2" w:rsidRPr="009110F5" w14:paraId="7B7EA4CA" w14:textId="77777777" w:rsidTr="00157E6A">
        <w:trPr>
          <w:trHeight w:val="159"/>
        </w:trPr>
        <w:tc>
          <w:tcPr>
            <w:tcW w:w="701" w:type="pct"/>
            <w:vMerge/>
          </w:tcPr>
          <w:p w14:paraId="377FF088" w14:textId="77777777" w:rsidR="00DB74C2" w:rsidRPr="00021165" w:rsidRDefault="00DB74C2" w:rsidP="00DB74C2">
            <w:pPr>
              <w:pStyle w:val="Tabletext"/>
              <w:keepNext/>
              <w:ind w:left="0" w:right="0"/>
              <w:rPr>
                <w:b/>
                <w:sz w:val="20"/>
                <w:szCs w:val="20"/>
              </w:rPr>
            </w:pPr>
          </w:p>
        </w:tc>
        <w:tc>
          <w:tcPr>
            <w:tcW w:w="2323" w:type="pct"/>
          </w:tcPr>
          <w:p w14:paraId="423B6B9F" w14:textId="77777777" w:rsidR="00DB74C2" w:rsidRPr="009110F5" w:rsidRDefault="00DB74C2" w:rsidP="00DB74C2">
            <w:pPr>
              <w:keepNext/>
              <w:ind w:left="0" w:right="0"/>
              <w:rPr>
                <w:rFonts w:cstheme="minorHAnsi"/>
                <w:sz w:val="20"/>
                <w:szCs w:val="20"/>
              </w:rPr>
            </w:pPr>
            <w:r w:rsidRPr="009110F5">
              <w:rPr>
                <w:rFonts w:cstheme="minorHAnsi"/>
                <w:sz w:val="20"/>
                <w:szCs w:val="20"/>
              </w:rPr>
              <w:t>Pancreatitis</w:t>
            </w:r>
          </w:p>
        </w:tc>
        <w:tc>
          <w:tcPr>
            <w:tcW w:w="449" w:type="pct"/>
          </w:tcPr>
          <w:p w14:paraId="7C9C80E9"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r w:rsidRPr="00021165">
              <w:rPr>
                <w:sz w:val="20"/>
                <w:szCs w:val="20"/>
              </w:rPr>
              <w:t>†</w:t>
            </w:r>
          </w:p>
        </w:tc>
        <w:tc>
          <w:tcPr>
            <w:tcW w:w="539" w:type="pct"/>
          </w:tcPr>
          <w:p w14:paraId="1B0A55CB"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435" w:type="pct"/>
          </w:tcPr>
          <w:p w14:paraId="768A1CFE"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2B872AB8" w14:textId="77777777" w:rsidR="00DB74C2" w:rsidRPr="00021165" w:rsidRDefault="00DB74C2" w:rsidP="00DB74C2">
            <w:pPr>
              <w:pStyle w:val="Tabletext"/>
              <w:keepNext/>
              <w:ind w:left="0" w:right="0"/>
              <w:jc w:val="center"/>
              <w:rPr>
                <w:sz w:val="20"/>
                <w:szCs w:val="20"/>
              </w:rPr>
            </w:pPr>
            <w:r w:rsidRPr="00021165">
              <w:rPr>
                <w:sz w:val="20"/>
                <w:szCs w:val="20"/>
              </w:rPr>
              <w:t>–</w:t>
            </w:r>
          </w:p>
        </w:tc>
      </w:tr>
      <w:tr w:rsidR="00DB74C2" w:rsidRPr="009110F5" w14:paraId="4E73DEB9" w14:textId="77777777" w:rsidTr="00157E6A">
        <w:trPr>
          <w:trHeight w:val="112"/>
        </w:trPr>
        <w:tc>
          <w:tcPr>
            <w:tcW w:w="701" w:type="pct"/>
            <w:vMerge/>
          </w:tcPr>
          <w:p w14:paraId="4484D251" w14:textId="77777777" w:rsidR="00DB74C2" w:rsidRPr="00021165" w:rsidRDefault="00DB74C2" w:rsidP="00DB74C2">
            <w:pPr>
              <w:pStyle w:val="Tabletext"/>
              <w:keepNext/>
              <w:ind w:left="0" w:right="0"/>
              <w:rPr>
                <w:b/>
                <w:sz w:val="20"/>
                <w:szCs w:val="20"/>
              </w:rPr>
            </w:pPr>
          </w:p>
        </w:tc>
        <w:tc>
          <w:tcPr>
            <w:tcW w:w="2323" w:type="pct"/>
          </w:tcPr>
          <w:p w14:paraId="36854DDC" w14:textId="77777777" w:rsidR="00DB74C2" w:rsidRPr="00021165" w:rsidRDefault="00DB74C2" w:rsidP="00DB74C2">
            <w:pPr>
              <w:pStyle w:val="Tabletext"/>
              <w:keepNext/>
              <w:ind w:left="0" w:right="0"/>
              <w:rPr>
                <w:rFonts w:cstheme="minorHAnsi"/>
                <w:sz w:val="20"/>
                <w:szCs w:val="20"/>
              </w:rPr>
            </w:pPr>
            <w:r w:rsidRPr="00021165">
              <w:rPr>
                <w:rFonts w:cstheme="minorHAnsi"/>
                <w:sz w:val="20"/>
                <w:szCs w:val="20"/>
              </w:rPr>
              <w:t>Embryo-fetal lethality, suppressed fetal growth, and teratogenicity</w:t>
            </w:r>
          </w:p>
        </w:tc>
        <w:tc>
          <w:tcPr>
            <w:tcW w:w="449" w:type="pct"/>
          </w:tcPr>
          <w:p w14:paraId="3308C1FF"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r w:rsidRPr="00021165">
              <w:rPr>
                <w:sz w:val="20"/>
                <w:szCs w:val="20"/>
              </w:rPr>
              <w:t>*</w:t>
            </w:r>
          </w:p>
        </w:tc>
        <w:tc>
          <w:tcPr>
            <w:tcW w:w="539" w:type="pct"/>
          </w:tcPr>
          <w:p w14:paraId="72071BA4"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435" w:type="pct"/>
          </w:tcPr>
          <w:p w14:paraId="15BC51C6"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7499E1AF" w14:textId="77777777" w:rsidR="00DB74C2" w:rsidRPr="00021165" w:rsidRDefault="00DB74C2" w:rsidP="00DB74C2">
            <w:pPr>
              <w:pStyle w:val="Tabletext"/>
              <w:keepNext/>
              <w:ind w:left="0" w:right="0"/>
              <w:jc w:val="center"/>
              <w:rPr>
                <w:sz w:val="20"/>
                <w:szCs w:val="20"/>
              </w:rPr>
            </w:pPr>
            <w:r w:rsidRPr="00021165">
              <w:rPr>
                <w:sz w:val="20"/>
                <w:szCs w:val="20"/>
              </w:rPr>
              <w:t>–</w:t>
            </w:r>
          </w:p>
        </w:tc>
      </w:tr>
      <w:tr w:rsidR="00DB74C2" w:rsidRPr="009110F5" w14:paraId="2C9F6098" w14:textId="77777777" w:rsidTr="00157E6A">
        <w:trPr>
          <w:trHeight w:val="178"/>
        </w:trPr>
        <w:tc>
          <w:tcPr>
            <w:tcW w:w="701" w:type="pct"/>
            <w:vMerge w:val="restart"/>
          </w:tcPr>
          <w:p w14:paraId="4E344BA1" w14:textId="77777777" w:rsidR="00DB74C2" w:rsidRPr="00021165" w:rsidRDefault="00DB74C2" w:rsidP="00DB74C2">
            <w:pPr>
              <w:pStyle w:val="Tabletext"/>
              <w:keepNext/>
              <w:ind w:left="0" w:right="0"/>
              <w:rPr>
                <w:b/>
                <w:sz w:val="20"/>
                <w:szCs w:val="20"/>
              </w:rPr>
            </w:pPr>
            <w:r w:rsidRPr="00021165">
              <w:rPr>
                <w:b/>
                <w:sz w:val="20"/>
                <w:szCs w:val="20"/>
              </w:rPr>
              <w:t>Missing information</w:t>
            </w:r>
          </w:p>
        </w:tc>
        <w:tc>
          <w:tcPr>
            <w:tcW w:w="2323" w:type="pct"/>
          </w:tcPr>
          <w:p w14:paraId="474632F5" w14:textId="77777777" w:rsidR="00DB74C2" w:rsidRPr="00021165" w:rsidRDefault="00DB74C2" w:rsidP="00DB74C2">
            <w:pPr>
              <w:pStyle w:val="Tabletext"/>
              <w:keepNext/>
              <w:ind w:left="0" w:right="0"/>
              <w:rPr>
                <w:rFonts w:cstheme="minorHAnsi"/>
                <w:sz w:val="20"/>
                <w:szCs w:val="20"/>
              </w:rPr>
            </w:pPr>
            <w:r w:rsidRPr="00021165">
              <w:rPr>
                <w:rFonts w:cstheme="minorHAnsi"/>
                <w:sz w:val="20"/>
                <w:szCs w:val="20"/>
              </w:rPr>
              <w:t>Safety in patients with renal impairment</w:t>
            </w:r>
          </w:p>
        </w:tc>
        <w:tc>
          <w:tcPr>
            <w:tcW w:w="449" w:type="pct"/>
          </w:tcPr>
          <w:p w14:paraId="6B1DC82E"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39" w:type="pct"/>
          </w:tcPr>
          <w:p w14:paraId="70956B1E"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r w:rsidRPr="00021165">
              <w:rPr>
                <w:sz w:val="20"/>
                <w:szCs w:val="20"/>
              </w:rPr>
              <w:t>‡</w:t>
            </w:r>
          </w:p>
        </w:tc>
        <w:tc>
          <w:tcPr>
            <w:tcW w:w="435" w:type="pct"/>
          </w:tcPr>
          <w:p w14:paraId="2F3B5902"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53" w:type="pct"/>
          </w:tcPr>
          <w:p w14:paraId="12D265FD" w14:textId="77777777" w:rsidR="00DB74C2" w:rsidRPr="00021165" w:rsidRDefault="00DB74C2" w:rsidP="00DB74C2">
            <w:pPr>
              <w:pStyle w:val="Tabletext"/>
              <w:keepNext/>
              <w:ind w:left="0" w:right="0"/>
              <w:jc w:val="center"/>
              <w:rPr>
                <w:sz w:val="20"/>
                <w:szCs w:val="20"/>
              </w:rPr>
            </w:pPr>
            <w:r w:rsidRPr="00021165">
              <w:rPr>
                <w:sz w:val="20"/>
                <w:szCs w:val="20"/>
              </w:rPr>
              <w:t>–</w:t>
            </w:r>
          </w:p>
        </w:tc>
      </w:tr>
      <w:tr w:rsidR="00DB74C2" w:rsidRPr="009110F5" w14:paraId="78934CD7" w14:textId="77777777" w:rsidTr="00157E6A">
        <w:trPr>
          <w:trHeight w:val="178"/>
        </w:trPr>
        <w:tc>
          <w:tcPr>
            <w:tcW w:w="701" w:type="pct"/>
            <w:vMerge/>
          </w:tcPr>
          <w:p w14:paraId="79497E35" w14:textId="77777777" w:rsidR="00DB74C2" w:rsidRPr="00021165" w:rsidRDefault="00DB74C2" w:rsidP="00DB74C2">
            <w:pPr>
              <w:pStyle w:val="Tabletext"/>
              <w:keepNext/>
              <w:ind w:left="0" w:right="0"/>
              <w:rPr>
                <w:b/>
                <w:sz w:val="20"/>
                <w:szCs w:val="20"/>
              </w:rPr>
            </w:pPr>
          </w:p>
        </w:tc>
        <w:tc>
          <w:tcPr>
            <w:tcW w:w="2323" w:type="pct"/>
          </w:tcPr>
          <w:p w14:paraId="137BB30A" w14:textId="77777777" w:rsidR="00DB74C2" w:rsidRPr="00021165" w:rsidRDefault="00DB74C2" w:rsidP="00DB74C2">
            <w:pPr>
              <w:pStyle w:val="Tabletext"/>
              <w:keepNext/>
              <w:ind w:left="0" w:right="0"/>
              <w:rPr>
                <w:rFonts w:cstheme="minorHAnsi"/>
                <w:sz w:val="20"/>
                <w:szCs w:val="20"/>
              </w:rPr>
            </w:pPr>
            <w:r w:rsidRPr="00021165">
              <w:rPr>
                <w:rFonts w:cstheme="minorHAnsi"/>
                <w:sz w:val="20"/>
                <w:szCs w:val="20"/>
              </w:rPr>
              <w:t>Long term safety</w:t>
            </w:r>
          </w:p>
        </w:tc>
        <w:tc>
          <w:tcPr>
            <w:tcW w:w="449" w:type="pct"/>
          </w:tcPr>
          <w:p w14:paraId="0B903CCF" w14:textId="77777777" w:rsidR="00DB74C2" w:rsidRPr="00021165" w:rsidRDefault="00DB74C2" w:rsidP="00DB74C2">
            <w:pPr>
              <w:pStyle w:val="Tabletext"/>
              <w:keepNext/>
              <w:ind w:left="0" w:right="0"/>
              <w:jc w:val="center"/>
              <w:rPr>
                <w:sz w:val="20"/>
                <w:szCs w:val="20"/>
              </w:rPr>
            </w:pPr>
            <w:r w:rsidRPr="00021165">
              <w:rPr>
                <w:sz w:val="20"/>
                <w:szCs w:val="20"/>
              </w:rPr>
              <w:sym w:font="Wingdings" w:char="F0FC"/>
            </w:r>
          </w:p>
        </w:tc>
        <w:tc>
          <w:tcPr>
            <w:tcW w:w="539" w:type="pct"/>
          </w:tcPr>
          <w:p w14:paraId="37799130"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435" w:type="pct"/>
          </w:tcPr>
          <w:p w14:paraId="4DC3BCEC" w14:textId="77777777" w:rsidR="00DB74C2" w:rsidRPr="00021165" w:rsidRDefault="00DB74C2" w:rsidP="00DB74C2">
            <w:pPr>
              <w:pStyle w:val="Tabletext"/>
              <w:keepNext/>
              <w:ind w:left="0" w:right="0"/>
              <w:jc w:val="center"/>
              <w:rPr>
                <w:sz w:val="20"/>
                <w:szCs w:val="20"/>
              </w:rPr>
            </w:pPr>
            <w:r w:rsidRPr="00021165">
              <w:rPr>
                <w:sz w:val="20"/>
                <w:szCs w:val="20"/>
              </w:rPr>
              <w:t>–</w:t>
            </w:r>
          </w:p>
        </w:tc>
        <w:tc>
          <w:tcPr>
            <w:tcW w:w="553" w:type="pct"/>
          </w:tcPr>
          <w:p w14:paraId="69338572" w14:textId="77777777" w:rsidR="00DB74C2" w:rsidRPr="00021165" w:rsidRDefault="00DB74C2" w:rsidP="00DB74C2">
            <w:pPr>
              <w:pStyle w:val="Tabletext"/>
              <w:keepNext/>
              <w:ind w:left="0" w:right="0"/>
              <w:jc w:val="center"/>
              <w:rPr>
                <w:sz w:val="20"/>
                <w:szCs w:val="20"/>
              </w:rPr>
            </w:pPr>
            <w:r w:rsidRPr="00021165">
              <w:rPr>
                <w:sz w:val="20"/>
                <w:szCs w:val="20"/>
              </w:rPr>
              <w:t>–</w:t>
            </w:r>
          </w:p>
        </w:tc>
      </w:tr>
    </w:tbl>
    <w:p w14:paraId="45F7B98F" w14:textId="77777777" w:rsidR="00DB74C2" w:rsidRPr="00522F0F" w:rsidRDefault="00DB74C2" w:rsidP="00DB74C2">
      <w:pPr>
        <w:pStyle w:val="TableDescription"/>
      </w:pPr>
      <w:r w:rsidRPr="00522F0F">
        <w:t>* Pregnancy follow-up form and follow-up questionnaire for pregnancy outcomes</w:t>
      </w:r>
      <w:r>
        <w:t xml:space="preserve">, </w:t>
      </w:r>
      <w:r w:rsidRPr="009A29CA">
        <w:t>† Targeted follow-up form</w:t>
      </w:r>
      <w:r>
        <w:t xml:space="preserve">, </w:t>
      </w:r>
      <w:r w:rsidRPr="009A29CA">
        <w:t>‡ Phase I study</w:t>
      </w:r>
      <w:r>
        <w:t xml:space="preserve"> (EU only), </w:t>
      </w:r>
      <w:r w:rsidRPr="009A29CA">
        <w:t>ǁ Patient alert card in the package</w:t>
      </w:r>
      <w:r>
        <w:t xml:space="preserve">, </w:t>
      </w:r>
      <w:r w:rsidRPr="009A29CA">
        <w:t xml:space="preserve">¶ </w:t>
      </w:r>
      <w:r>
        <w:t>Cross sectional study (EU only)</w:t>
      </w:r>
    </w:p>
    <w:p w14:paraId="4B967AB1" w14:textId="647C76AA" w:rsidR="00DB74C2" w:rsidRPr="002920C5" w:rsidRDefault="00DB74C2" w:rsidP="00DB74C2">
      <w:pPr>
        <w:rPr>
          <w:rFonts w:asciiTheme="minorHAnsi" w:hAnsiTheme="minorHAnsi"/>
        </w:rPr>
      </w:pPr>
      <w:r>
        <w:rPr>
          <w:rFonts w:asciiTheme="minorHAnsi" w:hAnsiTheme="minorHAnsi"/>
        </w:rPr>
        <w:t xml:space="preserve">Overall, the RMP evaluator has noted routine risk-reduction measures are to be implemented for </w:t>
      </w:r>
      <w:proofErr w:type="spellStart"/>
      <w:r>
        <w:rPr>
          <w:rFonts w:asciiTheme="minorHAnsi" w:hAnsiTheme="minorHAnsi"/>
        </w:rPr>
        <w:t>gilteritinib</w:t>
      </w:r>
      <w:proofErr w:type="spellEnd"/>
      <w:r>
        <w:rPr>
          <w:rFonts w:asciiTheme="minorHAnsi" w:hAnsiTheme="minorHAnsi"/>
        </w:rPr>
        <w:t xml:space="preserve">. They </w:t>
      </w:r>
      <w:proofErr w:type="gramStart"/>
      <w:r>
        <w:rPr>
          <w:rFonts w:asciiTheme="minorHAnsi" w:hAnsiTheme="minorHAnsi"/>
        </w:rPr>
        <w:t>have, however, noted</w:t>
      </w:r>
      <w:proofErr w:type="gramEnd"/>
      <w:r>
        <w:rPr>
          <w:rFonts w:asciiTheme="minorHAnsi" w:hAnsiTheme="minorHAnsi"/>
        </w:rPr>
        <w:t xml:space="preserve"> that the EU has required additional information to be provided to prescribers regarding the risk of differentiation syndrome and recommended that th</w:t>
      </w:r>
      <w:r w:rsidR="000B0D1B">
        <w:rPr>
          <w:rFonts w:asciiTheme="minorHAnsi" w:hAnsiTheme="minorHAnsi"/>
        </w:rPr>
        <w:t>is be implemented in Australia.</w:t>
      </w:r>
    </w:p>
    <w:p w14:paraId="66EDA6AC" w14:textId="77777777" w:rsidR="00DB74C2" w:rsidRDefault="00DB74C2" w:rsidP="00DB74C2">
      <w:pPr>
        <w:pStyle w:val="Heading3"/>
      </w:pPr>
      <w:bookmarkStart w:id="14" w:name="_Toc50495806"/>
      <w:r>
        <w:lastRenderedPageBreak/>
        <w:t>Risk-benefit analysis</w:t>
      </w:r>
      <w:bookmarkEnd w:id="14"/>
    </w:p>
    <w:p w14:paraId="46201489" w14:textId="77777777" w:rsidR="00DB74C2" w:rsidRDefault="00DB74C2" w:rsidP="00DB74C2">
      <w:pPr>
        <w:pStyle w:val="Heading4"/>
      </w:pPr>
      <w:r w:rsidRPr="00D23139">
        <w:t>Delegate’s considerations</w:t>
      </w:r>
    </w:p>
    <w:p w14:paraId="57C0B5DE" w14:textId="77777777" w:rsidR="00DB74C2" w:rsidRDefault="00DB74C2" w:rsidP="00DB74C2">
      <w:r>
        <w:t xml:space="preserve">The Delegate concurs with the clinical evaluator that Study </w:t>
      </w:r>
      <w:r w:rsidRPr="00B11F34">
        <w:t>2215-CL-0301</w:t>
      </w:r>
      <w:r>
        <w:t xml:space="preserve"> provides clear evidence of clinical benefit over salvage chemotherapy for the proposed indication, R/R AML.</w:t>
      </w:r>
    </w:p>
    <w:p w14:paraId="170DE748" w14:textId="77777777" w:rsidR="00DB74C2" w:rsidRDefault="00DB74C2" w:rsidP="00DB74C2">
      <w:r>
        <w:t>The main outstanding issue is whether additional education should be provided to alert prescribers and patients to the potential for differentiation syndrome. This is an insidious clinical syndrome which is associated with an increased load of mature myeloid cells during treatment, and can mimic a number of other relevant conditions such as infection, thromboembolism and heart failure. Early recognition is necessary to allow management, and differentiation syndrome can be fatal.</w:t>
      </w:r>
    </w:p>
    <w:p w14:paraId="0B6E82A3" w14:textId="60A8BB75" w:rsidR="00DB74C2" w:rsidRDefault="00DB74C2" w:rsidP="00DB74C2">
      <w:r>
        <w:t>The Delegate notes that the EU has required additional clinician information regarding this rare adverse event albeit, as the sponsor has indicated, in the context of a pharmacovigilance survey which is not being conducted in Australia. The Delegate notes that the US prescribing information</w:t>
      </w:r>
      <w:r w:rsidR="00797541">
        <w:t>;</w:t>
      </w:r>
      <w:r>
        <w:rPr>
          <w:rStyle w:val="FootnoteReference"/>
        </w:rPr>
        <w:footnoteReference w:id="22"/>
      </w:r>
      <w:r>
        <w:t xml:space="preserve"> contains a Black Box warning</w:t>
      </w:r>
      <w:r w:rsidR="00E84A09">
        <w:t>;</w:t>
      </w:r>
      <w:r w:rsidR="00E84A09">
        <w:rPr>
          <w:rStyle w:val="FootnoteReference"/>
        </w:rPr>
        <w:footnoteReference w:id="23"/>
      </w:r>
      <w:r>
        <w:t xml:space="preserve"> which states:</w:t>
      </w:r>
    </w:p>
    <w:p w14:paraId="299653A6" w14:textId="77777777" w:rsidR="00DB74C2" w:rsidRPr="00A209B1" w:rsidRDefault="00DB74C2" w:rsidP="00DB74C2">
      <w:pPr>
        <w:ind w:left="720"/>
        <w:rPr>
          <w:lang w:eastAsia="en-AU"/>
        </w:rPr>
      </w:pPr>
      <w:r>
        <w:t>‘</w:t>
      </w:r>
      <w:r w:rsidRPr="00A209B1">
        <w:rPr>
          <w:lang w:eastAsia="en-AU"/>
        </w:rPr>
        <w:t>Important Safety Information</w:t>
      </w:r>
    </w:p>
    <w:p w14:paraId="0713D622" w14:textId="277D3BEE" w:rsidR="00DB74C2" w:rsidRDefault="00C16AF1" w:rsidP="00DB74C2">
      <w:pPr>
        <w:ind w:left="720"/>
        <w:rPr>
          <w:rFonts w:eastAsia="Times New Roman"/>
          <w:lang w:eastAsia="en-AU"/>
        </w:rPr>
      </w:pPr>
      <w:r w:rsidRPr="004652F8">
        <w:rPr>
          <w:rFonts w:eastAsia="Times New Roman"/>
          <w:lang w:eastAsia="en-AU"/>
        </w:rPr>
        <w:t>Warning: Differentiation Syndrome</w:t>
      </w:r>
    </w:p>
    <w:p w14:paraId="1F0A8D20" w14:textId="77777777" w:rsidR="00DB74C2" w:rsidRPr="004652F8" w:rsidRDefault="00DB74C2" w:rsidP="00DB74C2">
      <w:pPr>
        <w:ind w:left="720"/>
        <w:rPr>
          <w:rFonts w:eastAsia="Times New Roman"/>
          <w:lang w:eastAsia="en-AU"/>
        </w:rPr>
      </w:pPr>
      <w:r w:rsidRPr="004652F8">
        <w:rPr>
          <w:rFonts w:eastAsia="Times New Roman"/>
          <w:lang w:eastAsia="en-AU"/>
        </w:rPr>
        <w:t xml:space="preserve">Patients treated with </w:t>
      </w:r>
      <w:proofErr w:type="spellStart"/>
      <w:r>
        <w:rPr>
          <w:rFonts w:eastAsia="Times New Roman"/>
          <w:lang w:eastAsia="en-AU"/>
        </w:rPr>
        <w:t>Xospata</w:t>
      </w:r>
      <w:proofErr w:type="spellEnd"/>
      <w:r>
        <w:rPr>
          <w:rFonts w:eastAsia="Times New Roman"/>
          <w:lang w:eastAsia="en-AU"/>
        </w:rPr>
        <w:t xml:space="preserve"> </w:t>
      </w:r>
      <w:r w:rsidRPr="004652F8">
        <w:rPr>
          <w:rFonts w:eastAsia="Times New Roman"/>
          <w:lang w:eastAsia="en-AU"/>
        </w:rPr>
        <w:t xml:space="preserve">have experienced symptoms of differentiation syndrome, which can be fatal or life-threatening if not treated. Symptoms may include fever, </w:t>
      </w:r>
      <w:proofErr w:type="spellStart"/>
      <w:r w:rsidRPr="004652F8">
        <w:rPr>
          <w:rFonts w:eastAsia="Times New Roman"/>
          <w:lang w:eastAsia="en-AU"/>
        </w:rPr>
        <w:t>dyspnea</w:t>
      </w:r>
      <w:proofErr w:type="spellEnd"/>
      <w:r w:rsidRPr="004652F8">
        <w:rPr>
          <w:rFonts w:eastAsia="Times New Roman"/>
          <w:lang w:eastAsia="en-AU"/>
        </w:rPr>
        <w:t xml:space="preserve">, hypoxia, pulmonary infiltrates, pleural or pericardial effusions, rapid weight gain or peripheral </w:t>
      </w:r>
      <w:proofErr w:type="spellStart"/>
      <w:r w:rsidRPr="004652F8">
        <w:rPr>
          <w:rFonts w:eastAsia="Times New Roman"/>
          <w:lang w:eastAsia="en-AU"/>
        </w:rPr>
        <w:t>edema</w:t>
      </w:r>
      <w:proofErr w:type="spellEnd"/>
      <w:r w:rsidRPr="004652F8">
        <w:rPr>
          <w:rFonts w:eastAsia="Times New Roman"/>
          <w:lang w:eastAsia="en-AU"/>
        </w:rPr>
        <w:t>, hypotension, or renal dysfunction. If differentiation syndrome is suspected, initiate corticosteroid therapy and hemodynamic monitoring until symptom resolution.</w:t>
      </w:r>
      <w:r>
        <w:rPr>
          <w:rFonts w:eastAsia="Times New Roman"/>
          <w:lang w:eastAsia="en-AU"/>
        </w:rPr>
        <w:t>’</w:t>
      </w:r>
    </w:p>
    <w:p w14:paraId="72D4D5FF" w14:textId="5503914B" w:rsidR="00DB74C2" w:rsidRPr="009B2DA5" w:rsidRDefault="00DB74C2" w:rsidP="00DB74C2">
      <w:r w:rsidRPr="004652F8">
        <w:t>From this</w:t>
      </w:r>
      <w:r w:rsidR="00C16AF1">
        <w:t>,</w:t>
      </w:r>
      <w:r w:rsidRPr="004652F8">
        <w:t xml:space="preserve"> the Delegate concludes that there is a significant international regulatory consensus on the need to provide enhanced recognition of </w:t>
      </w:r>
      <w:r>
        <w:t>d</w:t>
      </w:r>
      <w:r w:rsidRPr="004652F8">
        <w:t xml:space="preserve">ifferentiation </w:t>
      </w:r>
      <w:r>
        <w:t>s</w:t>
      </w:r>
      <w:r w:rsidRPr="004652F8">
        <w:t xml:space="preserve">yndrome arising in </w:t>
      </w:r>
      <w:proofErr w:type="spellStart"/>
      <w:r>
        <w:t>g</w:t>
      </w:r>
      <w:r w:rsidRPr="004652F8">
        <w:t>ilteritinib</w:t>
      </w:r>
      <w:proofErr w:type="spellEnd"/>
      <w:r w:rsidRPr="004652F8">
        <w:t xml:space="preserve"> therapy, and this is not limited to the specific implementation of an education program in the </w:t>
      </w:r>
      <w:r>
        <w:t>EU. While the s</w:t>
      </w:r>
      <w:r w:rsidRPr="004652F8">
        <w:t>ponsor has indicated that they do not feel such additional recognition is necessary in Australia, the Delegate is not aware of any material</w:t>
      </w:r>
      <w:r>
        <w:t xml:space="preserve"> argument which has been proposed by the sponsor as to </w:t>
      </w:r>
      <w:r w:rsidRPr="009B2DA5">
        <w:t>why the requirement for it should differ in Australia from that in other major jurisdictions.</w:t>
      </w:r>
    </w:p>
    <w:p w14:paraId="6A227B84" w14:textId="53D1D363" w:rsidR="00DB74C2" w:rsidRDefault="00DB74C2" w:rsidP="00DB74C2">
      <w:r>
        <w:t>The Delegate is minded to either require additional educational material as detailed in the RMP evaluation be made available in Australia, or to require a Black Box warning in the Australian PI as per the US</w:t>
      </w:r>
      <w:r w:rsidR="00E84A09">
        <w:t xml:space="preserve"> Food and Drug Administration</w:t>
      </w:r>
      <w:r>
        <w:t xml:space="preserve"> </w:t>
      </w:r>
      <w:r w:rsidR="00E84A09">
        <w:t>(</w:t>
      </w:r>
      <w:r>
        <w:t>FDA</w:t>
      </w:r>
      <w:r w:rsidR="00E84A09">
        <w:t>)</w:t>
      </w:r>
      <w:r>
        <w:t xml:space="preserve"> prescribing information. The Delegate considers these equally efficacious approaches, and notes that the Black Box label might be preferred by the sponsor given that they have noted that </w:t>
      </w:r>
      <w:proofErr w:type="spellStart"/>
      <w:r>
        <w:t>gilteritinib</w:t>
      </w:r>
      <w:proofErr w:type="spellEnd"/>
      <w:r>
        <w:t xml:space="preserve"> is largely used under clinical supervision. The additional education program would, however, obviate the need for a Black Box warning, in the view of the Delegate.</w:t>
      </w:r>
      <w:r w:rsidR="0095240C">
        <w:rPr>
          <w:rStyle w:val="FootnoteReference"/>
        </w:rPr>
        <w:footnoteReference w:id="24"/>
      </w:r>
    </w:p>
    <w:p w14:paraId="47E955BD" w14:textId="77777777" w:rsidR="00DB74C2" w:rsidRDefault="00DB74C2" w:rsidP="00F35B12">
      <w:pPr>
        <w:pStyle w:val="Heading4"/>
        <w:keepLines/>
      </w:pPr>
      <w:r w:rsidRPr="00D23139">
        <w:lastRenderedPageBreak/>
        <w:t>Proposed action</w:t>
      </w:r>
    </w:p>
    <w:p w14:paraId="5D8B04E2" w14:textId="77777777" w:rsidR="00DB74C2" w:rsidRDefault="00DB74C2" w:rsidP="00F35B12">
      <w:pPr>
        <w:keepNext/>
        <w:keepLines/>
      </w:pPr>
      <w:r>
        <w:t xml:space="preserve">The Delegate intends to register </w:t>
      </w:r>
      <w:proofErr w:type="spellStart"/>
      <w:r>
        <w:t>gilteritinib</w:t>
      </w:r>
      <w:proofErr w:type="spellEnd"/>
      <w:r>
        <w:t xml:space="preserve"> for the indication:</w:t>
      </w:r>
    </w:p>
    <w:p w14:paraId="3947280C" w14:textId="77777777" w:rsidR="00DB74C2" w:rsidRPr="004652F8" w:rsidRDefault="00DB74C2" w:rsidP="00DB74C2">
      <w:pPr>
        <w:ind w:left="720"/>
        <w:rPr>
          <w:i/>
        </w:rPr>
      </w:pPr>
      <w:proofErr w:type="spellStart"/>
      <w:r>
        <w:rPr>
          <w:i/>
        </w:rPr>
        <w:t>Xospata</w:t>
      </w:r>
      <w:proofErr w:type="spellEnd"/>
      <w:r>
        <w:rPr>
          <w:i/>
        </w:rPr>
        <w:t xml:space="preserve"> is indicated for the treatment of adult patients who have relapsed or refractory acute myeloid leukaemia (AML) with a FLT3 mutation.</w:t>
      </w:r>
    </w:p>
    <w:p w14:paraId="79D814F2" w14:textId="77777777" w:rsidR="00DB74C2" w:rsidRDefault="00DB74C2" w:rsidP="00DB74C2">
      <w:r>
        <w:t xml:space="preserve">Pending the sponsor’s decision whether they prefer to implement additional education program for differentiation syndrome outlined in the RMP report, the Delegate intends to approve </w:t>
      </w:r>
      <w:proofErr w:type="spellStart"/>
      <w:r>
        <w:t>gilteritinib</w:t>
      </w:r>
      <w:proofErr w:type="spellEnd"/>
      <w:r>
        <w:t xml:space="preserve"> with an Australian PI containing the Black Box warning discussed above.</w:t>
      </w:r>
    </w:p>
    <w:p w14:paraId="71A877C8" w14:textId="77777777" w:rsidR="00DB74C2" w:rsidRDefault="00DB74C2" w:rsidP="00DB74C2">
      <w:pPr>
        <w:spacing w:before="0" w:after="0" w:line="240" w:lineRule="auto"/>
        <w:rPr>
          <w:rFonts w:asciiTheme="minorHAnsi" w:hAnsiTheme="minorHAnsi"/>
        </w:rPr>
      </w:pPr>
      <w:r>
        <w:rPr>
          <w:rFonts w:asciiTheme="minorHAnsi" w:hAnsiTheme="minorHAnsi"/>
        </w:rPr>
        <w:t>The sponsor is requested to provide a PI document amended from the draft submitted to include changes requested in the nonclinical and clinical evaluation reports, and with amendments clearly identified (for example, comments, tracked changes). This should include the Black Box warning if this is the sponsor’s preferred means of communicating the risk of differentiation syndrome to clinicians.</w:t>
      </w:r>
    </w:p>
    <w:p w14:paraId="670814D6" w14:textId="77777777" w:rsidR="00DB74C2" w:rsidRDefault="00DB74C2" w:rsidP="00DB74C2">
      <w:pPr>
        <w:pStyle w:val="Heading4"/>
      </w:pPr>
      <w:r>
        <w:t>Advisory Committee considerations</w:t>
      </w:r>
      <w:r>
        <w:rPr>
          <w:rStyle w:val="FootnoteReference"/>
        </w:rPr>
        <w:footnoteReference w:id="25"/>
      </w:r>
    </w:p>
    <w:p w14:paraId="3C144636" w14:textId="77777777" w:rsidR="00DB74C2" w:rsidRDefault="00DB74C2" w:rsidP="00DB74C2">
      <w:pPr>
        <w:rPr>
          <w:bCs/>
        </w:rPr>
      </w:pPr>
      <w:r>
        <w:rPr>
          <w:bCs/>
        </w:rPr>
        <w:t>The Delegate did not refer this application to the Advisory Committee on Medicines (ACM) for advice.</w:t>
      </w:r>
    </w:p>
    <w:p w14:paraId="70D651BE" w14:textId="77777777" w:rsidR="00DB74C2" w:rsidRPr="002E238E" w:rsidRDefault="00DB74C2" w:rsidP="00DB74C2">
      <w:pPr>
        <w:pStyle w:val="Heading3"/>
      </w:pPr>
      <w:bookmarkStart w:id="15" w:name="_Toc50495807"/>
      <w:r>
        <w:t>Outcome</w:t>
      </w:r>
      <w:bookmarkEnd w:id="15"/>
    </w:p>
    <w:p w14:paraId="690AD4D7" w14:textId="2508984C" w:rsidR="00DB74C2" w:rsidRPr="00D23139" w:rsidRDefault="00DB74C2" w:rsidP="00DB74C2">
      <w:r w:rsidRPr="00D23139">
        <w:t xml:space="preserve">Based on a review of quality, safety and efficacy, </w:t>
      </w:r>
      <w:r w:rsidR="00E84A09">
        <w:t xml:space="preserve">the </w:t>
      </w:r>
      <w:r w:rsidRPr="00D23139">
        <w:t xml:space="preserve">TGA approved the registration of </w:t>
      </w:r>
      <w:proofErr w:type="spellStart"/>
      <w:r>
        <w:t>Xospata</w:t>
      </w:r>
      <w:proofErr w:type="spellEnd"/>
      <w:r>
        <w:t xml:space="preserve"> </w:t>
      </w:r>
      <w:proofErr w:type="spellStart"/>
      <w:r>
        <w:t>gilteritinib</w:t>
      </w:r>
      <w:proofErr w:type="spellEnd"/>
      <w:r>
        <w:t xml:space="preserve"> (as fumarate)</w:t>
      </w:r>
      <w:r w:rsidRPr="00D23139">
        <w:t xml:space="preserve"> for </w:t>
      </w:r>
      <w:r>
        <w:t>40 mg film-coated tablet administered orally</w:t>
      </w:r>
      <w:r w:rsidRPr="00D23139">
        <w:t>, indicated for:</w:t>
      </w:r>
    </w:p>
    <w:p w14:paraId="5F942ED2" w14:textId="77777777" w:rsidR="00DB74C2" w:rsidRPr="00443FAB" w:rsidRDefault="00DB74C2" w:rsidP="00DB74C2">
      <w:pPr>
        <w:ind w:left="720"/>
        <w:rPr>
          <w:i/>
        </w:rPr>
      </w:pPr>
      <w:proofErr w:type="spellStart"/>
      <w:r w:rsidRPr="00443FAB">
        <w:rPr>
          <w:i/>
        </w:rPr>
        <w:t>Xospata</w:t>
      </w:r>
      <w:proofErr w:type="spellEnd"/>
      <w:r w:rsidRPr="00443FAB">
        <w:rPr>
          <w:i/>
        </w:rPr>
        <w:t xml:space="preserve"> is indicated for the treatment of adult patients who have relapsed or refractory acute myeloid leukaemia </w:t>
      </w:r>
      <w:r>
        <w:rPr>
          <w:i/>
        </w:rPr>
        <w:t xml:space="preserve">(AML) </w:t>
      </w:r>
      <w:r w:rsidRPr="00443FAB">
        <w:rPr>
          <w:i/>
        </w:rPr>
        <w:t>with a FLT3 mutation.</w:t>
      </w:r>
    </w:p>
    <w:p w14:paraId="52D50BA6" w14:textId="77777777" w:rsidR="00DB74C2" w:rsidRDefault="00DB74C2" w:rsidP="00DB74C2">
      <w:pPr>
        <w:pStyle w:val="Heading4"/>
      </w:pPr>
      <w:r w:rsidRPr="00D23139">
        <w:t>Specific conditions of registration applying to these goods</w:t>
      </w:r>
    </w:p>
    <w:p w14:paraId="522CC595" w14:textId="6A8D3AEF" w:rsidR="00DB74C2" w:rsidRPr="006E1223" w:rsidRDefault="00DB74C2" w:rsidP="00DB74C2">
      <w:pPr>
        <w:pStyle w:val="ListBullet"/>
        <w:numPr>
          <w:ilvl w:val="0"/>
          <w:numId w:val="3"/>
        </w:numPr>
      </w:pPr>
      <w:proofErr w:type="spellStart"/>
      <w:r w:rsidRPr="006E1223">
        <w:t>Xospata</w:t>
      </w:r>
      <w:proofErr w:type="spellEnd"/>
      <w:r w:rsidRPr="006E1223">
        <w:t xml:space="preserve"> (</w:t>
      </w:r>
      <w:proofErr w:type="spellStart"/>
      <w:r w:rsidRPr="006E1223">
        <w:t>gliteritinib</w:t>
      </w:r>
      <w:proofErr w:type="spellEnd"/>
      <w:r w:rsidRPr="006E1223">
        <w:t xml:space="preserve">) is to be included in the Black Triangle Scheme. The PI and </w:t>
      </w:r>
      <w:r>
        <w:t>Consumer Medicines Information (</w:t>
      </w:r>
      <w:r w:rsidRPr="006E1223">
        <w:t>CMI</w:t>
      </w:r>
      <w:r>
        <w:t>)</w:t>
      </w:r>
      <w:r w:rsidRPr="006E1223">
        <w:t xml:space="preserve"> for </w:t>
      </w:r>
      <w:proofErr w:type="spellStart"/>
      <w:r w:rsidRPr="006E1223">
        <w:t>Xospata</w:t>
      </w:r>
      <w:proofErr w:type="spellEnd"/>
      <w:r w:rsidRPr="006E1223">
        <w:t xml:space="preserve"> must include the black triangle symbol and mandatory accompanying text for five years, which starts from the date that the sponsor notifies the TGA of supply of the product.</w:t>
      </w:r>
    </w:p>
    <w:p w14:paraId="1AA4BCA6" w14:textId="77777777" w:rsidR="00DB74C2" w:rsidRPr="006E1223" w:rsidRDefault="00DB74C2" w:rsidP="00DB74C2">
      <w:pPr>
        <w:pStyle w:val="ListBullet"/>
        <w:numPr>
          <w:ilvl w:val="0"/>
          <w:numId w:val="3"/>
        </w:numPr>
      </w:pPr>
      <w:r>
        <w:t xml:space="preserve">The </w:t>
      </w:r>
      <w:proofErr w:type="spellStart"/>
      <w:r>
        <w:t>Xospata</w:t>
      </w:r>
      <w:proofErr w:type="spellEnd"/>
      <w:r>
        <w:t xml:space="preserve"> EU-RMP (version 1.0, dated 4 </w:t>
      </w:r>
      <w:r w:rsidRPr="006E1223">
        <w:t xml:space="preserve">October 2019, </w:t>
      </w:r>
      <w:r>
        <w:t>DLP</w:t>
      </w:r>
      <w:r w:rsidRPr="006E1223">
        <w:t xml:space="preserve"> 17 Se</w:t>
      </w:r>
      <w:r>
        <w:t xml:space="preserve">ptember 2018), ASA </w:t>
      </w:r>
      <w:r w:rsidRPr="006E1223">
        <w:t>(version 0.6, dated Feb 2020), included with submission PM-2019-03406-1-6, to be revised to the satisfaction of the TGA, will be implemented in Australia.</w:t>
      </w:r>
    </w:p>
    <w:p w14:paraId="3CE5E5C6" w14:textId="77777777" w:rsidR="00DB74C2" w:rsidRPr="006E1223" w:rsidRDefault="00DB74C2" w:rsidP="00DB74C2">
      <w:pPr>
        <w:pStyle w:val="ListBullet"/>
        <w:numPr>
          <w:ilvl w:val="0"/>
          <w:numId w:val="0"/>
        </w:numPr>
        <w:ind w:left="360"/>
      </w:pPr>
      <w:r w:rsidRPr="006E1223">
        <w:t>An obligatory component of risk management plans is routine pharmacovigilance. Routine pharmacovigilance includes the submission of periodic safety update reports (PSURs).</w:t>
      </w:r>
    </w:p>
    <w:p w14:paraId="5AACC2FB" w14:textId="77777777" w:rsidR="00DB74C2" w:rsidRPr="006E1223" w:rsidRDefault="00DB74C2" w:rsidP="00DB74C2">
      <w:pPr>
        <w:pStyle w:val="ListBullet"/>
        <w:numPr>
          <w:ilvl w:val="0"/>
          <w:numId w:val="0"/>
        </w:numPr>
        <w:ind w:left="360"/>
      </w:pPr>
      <w:r w:rsidRPr="006E1223">
        <w:lastRenderedPageBreak/>
        <w:t>Reports are to be provided in line with the current published list of EU reference dates and frequency of submission of PSURs until the period covered by such reports is not less than three years from the date of the approval letter.</w:t>
      </w:r>
    </w:p>
    <w:p w14:paraId="30C10029" w14:textId="77777777" w:rsidR="00DB74C2" w:rsidRPr="006E1223" w:rsidRDefault="00DB74C2" w:rsidP="00DB74C2">
      <w:pPr>
        <w:pStyle w:val="ListBullet"/>
        <w:numPr>
          <w:ilvl w:val="0"/>
          <w:numId w:val="0"/>
        </w:numPr>
        <w:ind w:left="360"/>
      </w:pPr>
      <w:r w:rsidRPr="006E1223">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772FEABA" w14:textId="77777777" w:rsidR="00DB74C2" w:rsidRDefault="00DB74C2" w:rsidP="00DB74C2">
      <w:pPr>
        <w:pStyle w:val="ListBullet"/>
        <w:numPr>
          <w:ilvl w:val="0"/>
          <w:numId w:val="3"/>
        </w:numPr>
      </w:pPr>
      <w:r w:rsidRPr="006E1223">
        <w:t>In relation to health care professional education material for differentiation syndrome, the sponsor is instructed to: (1) update the ASA with information on how it will be implemented in Australia (including target audience, method of dissemination, timeframe for implementation and how it will be evaluated); (2) provide a copy of the materials including Black Triangle symbol and wording for review and approval prior to product supply; and (3) implement an evaluation of the effectiveness of the material through assessing healthcare professional awareness and clinical knowledge of differentiation syndrome (for example using a cross-sectional study among healthcare professionals).</w:t>
      </w:r>
    </w:p>
    <w:p w14:paraId="044CC681" w14:textId="77777777" w:rsidR="00DB74C2" w:rsidRDefault="00DB74C2" w:rsidP="00DB74C2">
      <w:pPr>
        <w:pStyle w:val="Heading2"/>
      </w:pPr>
      <w:bookmarkStart w:id="16" w:name="_Toc50495808"/>
      <w:r>
        <w:t>Attachment 1. Product Information</w:t>
      </w:r>
      <w:bookmarkEnd w:id="16"/>
    </w:p>
    <w:p w14:paraId="1067E9C1" w14:textId="25C38DC3" w:rsidR="00DB74C2" w:rsidRPr="00C80137" w:rsidRDefault="00DB74C2" w:rsidP="00DB74C2">
      <w:pPr>
        <w:rPr>
          <w:b/>
        </w:rPr>
      </w:pPr>
      <w:r w:rsidRPr="002B3624">
        <w:t xml:space="preserve">The </w:t>
      </w:r>
      <w:r>
        <w:t>PI</w:t>
      </w:r>
      <w:r w:rsidRPr="002B3624">
        <w:t xml:space="preserve"> for </w:t>
      </w:r>
      <w:proofErr w:type="spellStart"/>
      <w:r>
        <w:t>Xospata</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TGA website at &lt;</w:t>
      </w:r>
      <w:hyperlink r:id="rId20" w:history="1">
        <w:r w:rsidRPr="007C6B9B">
          <w:rPr>
            <w:rStyle w:val="Hyperlink"/>
          </w:rPr>
          <w:t>https://www.tga.gov.au/product-information-pi</w:t>
        </w:r>
      </w:hyperlink>
      <w:r w:rsidRPr="007C6B9B">
        <w:t>&gt;.</w:t>
      </w:r>
    </w:p>
    <w:p w14:paraId="7D7F4F00" w14:textId="77777777" w:rsidR="00DB74C2" w:rsidRDefault="00DB74C2" w:rsidP="00DB74C2">
      <w:pPr>
        <w:rPr>
          <w:lang w:eastAsia="ja-JP"/>
        </w:rPr>
      </w:pPr>
    </w:p>
    <w:p w14:paraId="1806B48E" w14:textId="77777777" w:rsidR="00DB74C2" w:rsidRPr="001D043B" w:rsidRDefault="00DB74C2" w:rsidP="00DB74C2">
      <w:pPr>
        <w:pStyle w:val="TableTitle"/>
        <w:sectPr w:rsidR="00DB74C2"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DB74C2" w:rsidRPr="00487162" w14:paraId="1E26F69B" w14:textId="77777777" w:rsidTr="00157E6A">
        <w:trPr>
          <w:trHeight w:hRule="exact" w:val="704"/>
        </w:trPr>
        <w:tc>
          <w:tcPr>
            <w:tcW w:w="9175" w:type="dxa"/>
          </w:tcPr>
          <w:p w14:paraId="5449614F" w14:textId="77777777" w:rsidR="00DB74C2" w:rsidRPr="00487162" w:rsidRDefault="00DB74C2" w:rsidP="00DB74C2">
            <w:pPr>
              <w:pStyle w:val="TGASignoff"/>
            </w:pPr>
            <w:r w:rsidRPr="00487162">
              <w:lastRenderedPageBreak/>
              <w:t>Therapeutic Goods Administration</w:t>
            </w:r>
          </w:p>
        </w:tc>
      </w:tr>
      <w:tr w:rsidR="00DB74C2" w:rsidRPr="004C239D" w14:paraId="6FF48E02" w14:textId="77777777" w:rsidTr="00157E6A">
        <w:trPr>
          <w:trHeight w:val="1221"/>
        </w:trPr>
        <w:tc>
          <w:tcPr>
            <w:tcW w:w="9175" w:type="dxa"/>
            <w:tcMar>
              <w:top w:w="28" w:type="dxa"/>
            </w:tcMar>
          </w:tcPr>
          <w:p w14:paraId="57CF6928" w14:textId="77777777" w:rsidR="00DB74C2" w:rsidRPr="00487162" w:rsidRDefault="00DB74C2" w:rsidP="00DB74C2">
            <w:pPr>
              <w:pStyle w:val="Address"/>
            </w:pPr>
            <w:r w:rsidRPr="00487162">
              <w:t>PO Box 100 Woden ACT 2606 Australia</w:t>
            </w:r>
          </w:p>
          <w:p w14:paraId="4B01FCFF" w14:textId="5A222B4F" w:rsidR="00DB74C2" w:rsidRPr="00487162" w:rsidRDefault="00DB74C2" w:rsidP="00DB74C2">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14:paraId="265397D5" w14:textId="6BE45BC0" w:rsidR="00DB74C2" w:rsidRPr="004C239D" w:rsidRDefault="00466FF0" w:rsidP="00DB74C2">
            <w:pPr>
              <w:pStyle w:val="Address"/>
              <w:spacing w:line="260" w:lineRule="atLeast"/>
              <w:rPr>
                <w:b/>
                <w:color w:val="0000FF"/>
                <w:u w:val="single"/>
              </w:rPr>
            </w:pPr>
            <w:hyperlink r:id="rId26" w:history="1">
              <w:r w:rsidR="00DB74C2" w:rsidRPr="007C6B9B">
                <w:rPr>
                  <w:rStyle w:val="Hyperlink"/>
                  <w:b/>
                </w:rPr>
                <w:t>https://www.tga.gov.au</w:t>
              </w:r>
            </w:hyperlink>
          </w:p>
        </w:tc>
      </w:tr>
    </w:tbl>
    <w:p w14:paraId="13F8D572" w14:textId="77777777" w:rsidR="00DB74C2" w:rsidRPr="00895472" w:rsidRDefault="00DB74C2" w:rsidP="00DB74C2"/>
    <w:p w14:paraId="7810B8FA" w14:textId="77777777" w:rsidR="00774E1D" w:rsidRPr="00DB74C2" w:rsidRDefault="00774E1D" w:rsidP="00DB74C2"/>
    <w:sectPr w:rsidR="00774E1D" w:rsidRPr="00DB74C2"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FED71" w16cid:durableId="22B37673"/>
  <w16cid:commentId w16cid:paraId="2BBC109A" w16cid:durableId="22B37042"/>
  <w16cid:commentId w16cid:paraId="29CEBC15" w16cid:durableId="22B3740A"/>
  <w16cid:commentId w16cid:paraId="47644B22" w16cid:durableId="22B372F2"/>
  <w16cid:commentId w16cid:paraId="69926BAF" w16cid:durableId="22B37133"/>
  <w16cid:commentId w16cid:paraId="013F4B91" w16cid:durableId="22B3714F"/>
  <w16cid:commentId w16cid:paraId="01756145" w16cid:durableId="22B3748E"/>
  <w16cid:commentId w16cid:paraId="22768078" w16cid:durableId="22B37196"/>
  <w16cid:commentId w16cid:paraId="29A8744D" w16cid:durableId="22B371D2"/>
  <w16cid:commentId w16cid:paraId="3541D40F" w16cid:durableId="22B3721C"/>
  <w16cid:commentId w16cid:paraId="727D2645" w16cid:durableId="22B377D0"/>
  <w16cid:commentId w16cid:paraId="53F6BDAF" w16cid:durableId="22B37A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A88C5" w14:textId="77777777" w:rsidR="001316B8" w:rsidRDefault="001316B8" w:rsidP="00C40A36">
      <w:pPr>
        <w:spacing w:after="0"/>
      </w:pPr>
      <w:r>
        <w:separator/>
      </w:r>
    </w:p>
  </w:endnote>
  <w:endnote w:type="continuationSeparator" w:id="0">
    <w:p w14:paraId="64AB6BDF" w14:textId="77777777" w:rsidR="001316B8" w:rsidRDefault="001316B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Gothic"/>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316B8" w:rsidRPr="00487162" w14:paraId="0375F655" w14:textId="77777777" w:rsidTr="00DB750B">
      <w:trPr>
        <w:trHeight w:val="269"/>
      </w:trPr>
      <w:tc>
        <w:tcPr>
          <w:tcW w:w="7371" w:type="dxa"/>
          <w:tcMar>
            <w:top w:w="142" w:type="dxa"/>
            <w:bottom w:w="0" w:type="dxa"/>
          </w:tcMar>
        </w:tcPr>
        <w:p w14:paraId="2EC97C8E" w14:textId="441093E6" w:rsidR="001316B8" w:rsidRPr="00487162" w:rsidRDefault="001316B8" w:rsidP="003751CC">
          <w:pPr>
            <w:pStyle w:val="Footer"/>
          </w:pPr>
          <w:r w:rsidRPr="00487162">
            <w:t>AusPA</w:t>
          </w:r>
          <w:r>
            <w:t xml:space="preserve">R - XOSPATA – </w:t>
          </w:r>
          <w:proofErr w:type="spellStart"/>
          <w:r>
            <w:t>gilteritinib</w:t>
          </w:r>
          <w:proofErr w:type="spellEnd"/>
          <w:r>
            <w:t xml:space="preserve"> (as fumarate) – </w:t>
          </w:r>
          <w:proofErr w:type="spellStart"/>
          <w:r>
            <w:t>Astellas</w:t>
          </w:r>
          <w:proofErr w:type="spellEnd"/>
          <w:r>
            <w:t xml:space="preserve"> Pharma Australia – PM-2019-03406-1-6</w:t>
          </w:r>
          <w:r>
            <w:br/>
            <w:t>FINAL 8 September 2020</w:t>
          </w:r>
        </w:p>
      </w:tc>
      <w:tc>
        <w:tcPr>
          <w:tcW w:w="1490" w:type="dxa"/>
          <w:tcMar>
            <w:top w:w="142" w:type="dxa"/>
            <w:bottom w:w="0" w:type="dxa"/>
          </w:tcMar>
        </w:tcPr>
        <w:p w14:paraId="02BC0E1C" w14:textId="040FD91B" w:rsidR="001316B8" w:rsidRPr="00487162" w:rsidRDefault="001316B8" w:rsidP="00DB750B">
          <w:pPr>
            <w:pStyle w:val="Footer"/>
            <w:jc w:val="right"/>
          </w:pPr>
          <w:r w:rsidRPr="00487162">
            <w:t xml:space="preserve">Page </w:t>
          </w:r>
          <w:r>
            <w:fldChar w:fldCharType="begin"/>
          </w:r>
          <w:r>
            <w:instrText xml:space="preserve"> PAGE  \* Arabic </w:instrText>
          </w:r>
          <w:r>
            <w:fldChar w:fldCharType="separate"/>
          </w:r>
          <w:r w:rsidR="00466FF0">
            <w:rPr>
              <w:noProof/>
            </w:rPr>
            <w:t>21</w:t>
          </w:r>
          <w:r>
            <w:fldChar w:fldCharType="end"/>
          </w:r>
          <w:r w:rsidRPr="00487162">
            <w:t xml:space="preserve"> of </w:t>
          </w:r>
          <w:fldSimple w:instr=" NUMPAGES  \* Arabic ">
            <w:r w:rsidR="00466FF0">
              <w:rPr>
                <w:noProof/>
              </w:rPr>
              <w:t>26</w:t>
            </w:r>
          </w:fldSimple>
        </w:p>
      </w:tc>
    </w:tr>
  </w:tbl>
  <w:p w14:paraId="5F77CA29" w14:textId="77777777" w:rsidR="001316B8" w:rsidRDefault="001316B8"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316B8" w:rsidRPr="00487162" w14:paraId="7D7F8F00" w14:textId="77777777" w:rsidTr="00E45619">
      <w:trPr>
        <w:trHeight w:val="269"/>
      </w:trPr>
      <w:tc>
        <w:tcPr>
          <w:tcW w:w="4519" w:type="dxa"/>
          <w:tcBorders>
            <w:top w:val="single" w:sz="4" w:space="0" w:color="auto"/>
          </w:tcBorders>
          <w:tcMar>
            <w:top w:w="142" w:type="dxa"/>
            <w:bottom w:w="0" w:type="dxa"/>
          </w:tcMar>
        </w:tcPr>
        <w:p w14:paraId="203FD2D2" w14:textId="77777777" w:rsidR="001316B8" w:rsidRPr="00487162" w:rsidRDefault="001316B8" w:rsidP="00FE1DEE">
          <w:pPr>
            <w:pStyle w:val="Footer"/>
          </w:pPr>
          <w:r w:rsidRPr="00487162">
            <w:t>Document title, Part #, Section # - Section title</w:t>
          </w:r>
        </w:p>
        <w:p w14:paraId="4B877FE1" w14:textId="77777777" w:rsidR="001316B8" w:rsidRPr="00487162" w:rsidRDefault="001316B8" w:rsidP="00FE1DEE">
          <w:pPr>
            <w:pStyle w:val="Footer"/>
          </w:pPr>
          <w:r w:rsidRPr="00487162">
            <w:t>V1.0 October 2010</w:t>
          </w:r>
        </w:p>
      </w:tc>
      <w:tc>
        <w:tcPr>
          <w:tcW w:w="4342" w:type="dxa"/>
          <w:tcBorders>
            <w:top w:val="single" w:sz="4" w:space="0" w:color="auto"/>
          </w:tcBorders>
          <w:tcMar>
            <w:top w:w="142" w:type="dxa"/>
            <w:bottom w:w="0" w:type="dxa"/>
          </w:tcMar>
        </w:tcPr>
        <w:p w14:paraId="2841C06B" w14:textId="77777777" w:rsidR="001316B8" w:rsidRPr="00487162" w:rsidRDefault="001316B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219DF3CE" w14:textId="77777777" w:rsidR="001316B8" w:rsidRDefault="00131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61E8" w14:textId="77777777" w:rsidR="001316B8" w:rsidRPr="001C32CD" w:rsidRDefault="001316B8"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316B8" w14:paraId="330E56A4" w14:textId="77777777" w:rsidTr="0010601F">
      <w:trPr>
        <w:trHeight w:val="108"/>
      </w:trPr>
      <w:tc>
        <w:tcPr>
          <w:tcW w:w="8875" w:type="dxa"/>
          <w:gridSpan w:val="2"/>
          <w:tcBorders>
            <w:bottom w:val="single" w:sz="4" w:space="0" w:color="auto"/>
          </w:tcBorders>
          <w:tcMar>
            <w:right w:w="284" w:type="dxa"/>
          </w:tcMar>
        </w:tcPr>
        <w:p w14:paraId="72057B65" w14:textId="77777777" w:rsidR="001316B8" w:rsidRDefault="001316B8" w:rsidP="006E08B3">
          <w:pPr>
            <w:pStyle w:val="Heading3"/>
          </w:pPr>
          <w:r>
            <w:t>Copyright</w:t>
          </w:r>
        </w:p>
        <w:p w14:paraId="575BC60E" w14:textId="77777777" w:rsidR="001316B8" w:rsidRDefault="001316B8" w:rsidP="006E08B3">
          <w:r>
            <w:rPr>
              <w:rFonts w:cs="Arial"/>
            </w:rPr>
            <w:t>©</w:t>
          </w:r>
          <w:r>
            <w:t xml:space="preserve"> Commonwealth of Australia [add year]</w:t>
          </w:r>
        </w:p>
        <w:p w14:paraId="76C9F201" w14:textId="77777777" w:rsidR="001316B8" w:rsidRDefault="001316B8" w:rsidP="006E08B3"/>
        <w:p w14:paraId="3C561849" w14:textId="77777777" w:rsidR="001316B8" w:rsidRDefault="001316B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DEE6F2D" w14:textId="77777777" w:rsidR="001316B8" w:rsidRDefault="001316B8" w:rsidP="006E08B3"/>
        <w:p w14:paraId="4F2BF633" w14:textId="77777777" w:rsidR="001316B8" w:rsidRDefault="001316B8" w:rsidP="006E08B3">
          <w:pPr>
            <w:pStyle w:val="Heading3"/>
          </w:pPr>
          <w:r>
            <w:t>Confidentiality</w:t>
          </w:r>
        </w:p>
        <w:p w14:paraId="6490EF19" w14:textId="77777777" w:rsidR="001316B8" w:rsidRDefault="001316B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731737E" w14:textId="77777777" w:rsidR="001316B8" w:rsidRDefault="001316B8" w:rsidP="006E08B3"/>
        <w:p w14:paraId="2F286158" w14:textId="77777777" w:rsidR="001316B8" w:rsidRDefault="001316B8" w:rsidP="006E08B3">
          <w:r>
            <w:t>For submission made by individuals, all personal details, other than your name, will be removed from your submission before it is published on the TGA’s Internet site.</w:t>
          </w:r>
        </w:p>
        <w:p w14:paraId="3B2B4C21" w14:textId="77777777" w:rsidR="001316B8" w:rsidRDefault="001316B8" w:rsidP="006E08B3"/>
        <w:p w14:paraId="07145BB1" w14:textId="77777777" w:rsidR="001316B8" w:rsidRDefault="001316B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1316B8" w14:paraId="7CE16D6C" w14:textId="77777777" w:rsidTr="0010601F">
      <w:trPr>
        <w:trHeight w:val="417"/>
      </w:trPr>
      <w:tc>
        <w:tcPr>
          <w:tcW w:w="4519" w:type="dxa"/>
          <w:tcBorders>
            <w:top w:val="single" w:sz="4" w:space="0" w:color="auto"/>
          </w:tcBorders>
          <w:tcMar>
            <w:top w:w="142" w:type="dxa"/>
            <w:bottom w:w="0" w:type="dxa"/>
          </w:tcMar>
        </w:tcPr>
        <w:p w14:paraId="481E940A" w14:textId="77777777" w:rsidR="001316B8" w:rsidRDefault="001316B8" w:rsidP="006E08B3">
          <w:r>
            <w:t>Document title, Part #, Section # - Section title</w:t>
          </w:r>
        </w:p>
        <w:p w14:paraId="582221E4" w14:textId="77777777" w:rsidR="001316B8" w:rsidRDefault="001316B8" w:rsidP="006E08B3">
          <w:r>
            <w:t>V1.0 October 2010</w:t>
          </w:r>
        </w:p>
      </w:tc>
      <w:tc>
        <w:tcPr>
          <w:tcW w:w="4356" w:type="dxa"/>
          <w:tcBorders>
            <w:top w:val="single" w:sz="4" w:space="0" w:color="auto"/>
          </w:tcBorders>
          <w:tcMar>
            <w:top w:w="142" w:type="dxa"/>
            <w:bottom w:w="0" w:type="dxa"/>
          </w:tcMar>
        </w:tcPr>
        <w:p w14:paraId="307B1500" w14:textId="77777777" w:rsidR="001316B8" w:rsidRDefault="001316B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6F2FD2ED" w14:textId="77777777" w:rsidR="001316B8" w:rsidRDefault="001316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3A1E0" w14:textId="77777777" w:rsidR="001316B8" w:rsidRDefault="001316B8" w:rsidP="00C40A36">
      <w:pPr>
        <w:spacing w:after="0"/>
      </w:pPr>
      <w:r>
        <w:separator/>
      </w:r>
    </w:p>
  </w:footnote>
  <w:footnote w:type="continuationSeparator" w:id="0">
    <w:p w14:paraId="68FA78C2" w14:textId="77777777" w:rsidR="001316B8" w:rsidRDefault="001316B8" w:rsidP="00C40A36">
      <w:pPr>
        <w:spacing w:after="0"/>
      </w:pPr>
      <w:r>
        <w:continuationSeparator/>
      </w:r>
    </w:p>
  </w:footnote>
  <w:footnote w:id="1">
    <w:p w14:paraId="259C6C13" w14:textId="706ACE3F" w:rsidR="001316B8" w:rsidRPr="00E56F43" w:rsidRDefault="001316B8" w:rsidP="00E56F43">
      <w:pPr>
        <w:pStyle w:val="FootnoteText"/>
        <w:rPr>
          <w:lang w:val="en-US"/>
        </w:rPr>
      </w:pPr>
      <w:r>
        <w:rPr>
          <w:rStyle w:val="FootnoteReference"/>
        </w:rPr>
        <w:footnoteRef/>
      </w:r>
      <w:r>
        <w:t xml:space="preserve"> </w:t>
      </w:r>
      <w:r w:rsidRPr="00C61EC3">
        <w:t xml:space="preserve">The </w:t>
      </w:r>
      <w:r w:rsidRPr="00C61EC3">
        <w:rPr>
          <w:b/>
        </w:rPr>
        <w:t>Black Triangle Scheme</w:t>
      </w:r>
      <w:r w:rsidRPr="00C61EC3">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529AE5A4" w14:textId="011CBF2C" w:rsidR="001316B8" w:rsidRPr="00021165" w:rsidRDefault="001316B8" w:rsidP="00DB74C2">
      <w:pPr>
        <w:pStyle w:val="FootnoteText"/>
      </w:pPr>
      <w:r>
        <w:rPr>
          <w:rStyle w:val="FootnoteReference"/>
        </w:rPr>
        <w:footnoteRef/>
      </w:r>
      <w:r>
        <w:t xml:space="preserve"> </w:t>
      </w:r>
      <w:r w:rsidRPr="00155878">
        <w:t>Australian Institute of Health and Welfare. Cancer in Australia 2019. Canberra: AIHW; 2019.</w:t>
      </w:r>
    </w:p>
  </w:footnote>
  <w:footnote w:id="3">
    <w:p w14:paraId="695A7C02" w14:textId="06DBFF4B" w:rsidR="001316B8" w:rsidRPr="00E56F43" w:rsidRDefault="001316B8">
      <w:pPr>
        <w:pStyle w:val="FootnoteText"/>
        <w:rPr>
          <w:lang w:val="en-US"/>
        </w:rPr>
      </w:pPr>
      <w:r>
        <w:rPr>
          <w:rStyle w:val="FootnoteReference"/>
        </w:rPr>
        <w:footnoteRef/>
      </w:r>
      <w:r>
        <w:t xml:space="preserve"> </w:t>
      </w:r>
      <w:r w:rsidRPr="00E56F43">
        <w:rPr>
          <w:b/>
        </w:rPr>
        <w:t>H</w:t>
      </w:r>
      <w:r>
        <w:rPr>
          <w:b/>
        </w:rPr>
        <w:t>a</w:t>
      </w:r>
      <w:r w:rsidRPr="00E56F43">
        <w:rPr>
          <w:b/>
        </w:rPr>
        <w:t>ematopoietic stem cell transplantation (HSCT)</w:t>
      </w:r>
      <w:r w:rsidRPr="005B5A7E">
        <w:t xml:space="preserve"> is the transplantation of multipotent h</w:t>
      </w:r>
      <w:r>
        <w:t>a</w:t>
      </w:r>
      <w:r w:rsidRPr="005B5A7E">
        <w:t>ematopoietic stem cells, usually derived from bone marrow, peripheral blood, o</w:t>
      </w:r>
      <w:r>
        <w:t>r umbilical cord blood.</w:t>
      </w:r>
      <w:r w:rsidRPr="005B5A7E">
        <w:t xml:space="preserve"> </w:t>
      </w:r>
      <w:r>
        <w:t>A</w:t>
      </w:r>
      <w:r w:rsidRPr="005B5A7E">
        <w:t>llogeneic</w:t>
      </w:r>
      <w:r>
        <w:t xml:space="preserve"> HSCT involves the transplantation of</w:t>
      </w:r>
      <w:r w:rsidRPr="005B5A7E">
        <w:t xml:space="preserve"> stem</w:t>
      </w:r>
      <w:r>
        <w:t xml:space="preserve"> cells</w:t>
      </w:r>
      <w:r w:rsidRPr="005B5A7E">
        <w:t xml:space="preserve"> </w:t>
      </w:r>
      <w:r>
        <w:t>sourced from a donor.</w:t>
      </w:r>
    </w:p>
  </w:footnote>
  <w:footnote w:id="4">
    <w:p w14:paraId="030E047B" w14:textId="4A43EA9D" w:rsidR="001316B8" w:rsidRPr="00E56F43" w:rsidRDefault="001316B8">
      <w:pPr>
        <w:pStyle w:val="FootnoteText"/>
        <w:rPr>
          <w:lang w:val="en-US"/>
        </w:rPr>
      </w:pPr>
      <w:r>
        <w:rPr>
          <w:rStyle w:val="FootnoteReference"/>
        </w:rPr>
        <w:footnoteRef/>
      </w:r>
      <w:r>
        <w:t xml:space="preserve"> </w:t>
      </w:r>
      <w:r w:rsidRPr="00E56F43">
        <w:rPr>
          <w:b/>
          <w:lang w:val="en-US"/>
        </w:rPr>
        <w:t>Autologous HSCT</w:t>
      </w:r>
      <w:r>
        <w:rPr>
          <w:lang w:val="en-US"/>
        </w:rPr>
        <w:t xml:space="preserve"> involves the transplantation of stem cells self-sourced from the same person being treated.</w:t>
      </w:r>
    </w:p>
  </w:footnote>
  <w:footnote w:id="5">
    <w:p w14:paraId="084EF7DB" w14:textId="161A2A05" w:rsidR="001316B8" w:rsidRPr="00E56F43" w:rsidRDefault="001316B8">
      <w:pPr>
        <w:pStyle w:val="FootnoteText"/>
        <w:rPr>
          <w:lang w:val="en-US"/>
        </w:rPr>
      </w:pPr>
      <w:r>
        <w:rPr>
          <w:rStyle w:val="FootnoteReference"/>
        </w:rPr>
        <w:footnoteRef/>
      </w:r>
      <w:r>
        <w:t xml:space="preserve"> </w:t>
      </w:r>
      <w:proofErr w:type="spellStart"/>
      <w:r>
        <w:t>Cytarabine</w:t>
      </w:r>
      <w:proofErr w:type="spellEnd"/>
      <w:r>
        <w:t xml:space="preserve"> is</w:t>
      </w:r>
      <w:r w:rsidRPr="00B754EB">
        <w:t xml:space="preserve"> also known as cytosine </w:t>
      </w:r>
      <w:proofErr w:type="spellStart"/>
      <w:r w:rsidRPr="00B754EB">
        <w:t>arabinoside</w:t>
      </w:r>
      <w:proofErr w:type="spellEnd"/>
      <w:r w:rsidRPr="00B754EB">
        <w:t xml:space="preserve"> (</w:t>
      </w:r>
      <w:proofErr w:type="spellStart"/>
      <w:r w:rsidRPr="00B754EB">
        <w:t>ara</w:t>
      </w:r>
      <w:proofErr w:type="spellEnd"/>
      <w:r w:rsidRPr="00B754EB">
        <w:t>-C)</w:t>
      </w:r>
      <w:r>
        <w:t>.</w:t>
      </w:r>
    </w:p>
  </w:footnote>
  <w:footnote w:id="6">
    <w:p w14:paraId="6CDE18E4" w14:textId="23CD5AA8" w:rsidR="001316B8" w:rsidRPr="00E56F43" w:rsidRDefault="001316B8">
      <w:pPr>
        <w:pStyle w:val="FootnoteText"/>
        <w:rPr>
          <w:lang w:val="en-US"/>
        </w:rPr>
      </w:pPr>
      <w:r>
        <w:rPr>
          <w:rStyle w:val="FootnoteReference"/>
        </w:rPr>
        <w:footnoteRef/>
      </w:r>
      <w:r>
        <w:t xml:space="preserve"> The </w:t>
      </w:r>
      <w:proofErr w:type="spellStart"/>
      <w:r w:rsidRPr="00E56F43">
        <w:rPr>
          <w:b/>
        </w:rPr>
        <w:t>Fms</w:t>
      </w:r>
      <w:proofErr w:type="spellEnd"/>
      <w:r w:rsidRPr="00E56F43">
        <w:rPr>
          <w:b/>
        </w:rPr>
        <w:t xml:space="preserve"> like tyrosine kinase 3 (FLT3)</w:t>
      </w:r>
      <w:r>
        <w:t>, also known as c</w:t>
      </w:r>
      <w:r w:rsidRPr="001D4EBC">
        <w:t>luster of different</w:t>
      </w:r>
      <w:r>
        <w:t xml:space="preserve">iation antigen 135 (CD135) is a cell surface cytokine receptor (protein) encoded by the </w:t>
      </w:r>
      <w:r w:rsidRPr="00E56F43">
        <w:rPr>
          <w:i/>
        </w:rPr>
        <w:t>FLT3</w:t>
      </w:r>
      <w:r>
        <w:t xml:space="preserve"> gene, </w:t>
      </w:r>
      <w:r w:rsidRPr="001D4EBC">
        <w:t xml:space="preserve">expressed </w:t>
      </w:r>
      <w:r>
        <w:t>in many</w:t>
      </w:r>
      <w:r w:rsidRPr="001D4EBC">
        <w:t xml:space="preserve"> h</w:t>
      </w:r>
      <w:r>
        <w:t>a</w:t>
      </w:r>
      <w:r w:rsidRPr="001D4EBC">
        <w:t>ematopoietic progenitor cells. Signalling of FLT3 is important for the normal development of haematopoietic stem cells and progenitor cells.</w:t>
      </w:r>
    </w:p>
  </w:footnote>
  <w:footnote w:id="7">
    <w:p w14:paraId="5CA4C6BB" w14:textId="6BF8C057" w:rsidR="001316B8" w:rsidRPr="00187190" w:rsidRDefault="001316B8" w:rsidP="002E5305">
      <w:pPr>
        <w:pStyle w:val="FootnoteText"/>
      </w:pPr>
      <w:r>
        <w:rPr>
          <w:rStyle w:val="FootnoteReference"/>
        </w:rPr>
        <w:footnoteRef/>
      </w:r>
      <w:r>
        <w:t xml:space="preserve"> </w:t>
      </w:r>
      <w:r w:rsidRPr="005C0841">
        <w:t xml:space="preserve">'Orphan drugs'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w:t>
      </w:r>
      <w:r w:rsidRPr="005C0841">
        <w:rPr>
          <w:b/>
        </w:rPr>
        <w:t>orphan designation</w:t>
      </w:r>
      <w:r w:rsidRPr="005C0841">
        <w:t xml:space="preserve">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8">
    <w:p w14:paraId="7EB8FAE9" w14:textId="7E8AE620" w:rsidR="001316B8" w:rsidRPr="004D3FD3" w:rsidRDefault="001316B8" w:rsidP="007B4223">
      <w:pPr>
        <w:pStyle w:val="FootnoteText"/>
      </w:pPr>
      <w:r>
        <w:rPr>
          <w:rStyle w:val="FootnoteReference"/>
        </w:rPr>
        <w:footnoteRef/>
      </w:r>
      <w:r>
        <w:t xml:space="preserve"> The TGA’s </w:t>
      </w:r>
      <w:r w:rsidRPr="007B4223">
        <w:rPr>
          <w:b/>
        </w:rPr>
        <w:t>priority registration</w:t>
      </w:r>
      <w:r>
        <w:t xml:space="preserve"> process has the same eight phases as the standard prescription medicines registration process but with some modifications to reduce timeframes, resulting in </w:t>
      </w:r>
      <w:r w:rsidRPr="007B4223">
        <w:t xml:space="preserve">faster assessment of vital and life-saving prescription medicines for which a complete data dossier is available. The target timeframe of 150 working days is up to three months shorter than the standard prescription medicines registration process. A valid </w:t>
      </w:r>
      <w:r>
        <w:t>p</w:t>
      </w:r>
      <w:r w:rsidRPr="007B4223">
        <w:t xml:space="preserve">riority review designation must </w:t>
      </w:r>
      <w:r>
        <w:t>be held in order to access the p</w:t>
      </w:r>
      <w:r w:rsidRPr="007B4223">
        <w:t>riority review pathway.</w:t>
      </w:r>
    </w:p>
  </w:footnote>
  <w:footnote w:id="9">
    <w:p w14:paraId="1B689F18" w14:textId="4166F971" w:rsidR="001316B8" w:rsidRPr="00021165" w:rsidRDefault="001316B8" w:rsidP="00DB74C2">
      <w:pPr>
        <w:pStyle w:val="FootnoteText"/>
      </w:pPr>
      <w:r>
        <w:rPr>
          <w:rStyle w:val="FootnoteReference"/>
        </w:rPr>
        <w:footnoteRef/>
      </w:r>
      <w:r>
        <w:t xml:space="preserve"> </w:t>
      </w:r>
      <w:proofErr w:type="spellStart"/>
      <w:r>
        <w:t>Konig</w:t>
      </w:r>
      <w:proofErr w:type="spellEnd"/>
      <w:r>
        <w:t xml:space="preserve">, H. and Levis, M. (2015). Targeting FLT3 to treat </w:t>
      </w:r>
      <w:proofErr w:type="spellStart"/>
      <w:r>
        <w:t>leukemia</w:t>
      </w:r>
      <w:proofErr w:type="spellEnd"/>
      <w:r>
        <w:t xml:space="preserve">. </w:t>
      </w:r>
      <w:r>
        <w:rPr>
          <w:i/>
        </w:rPr>
        <w:t>Expert Opinion on Therapeutic Targets</w:t>
      </w:r>
      <w:r>
        <w:t xml:space="preserve"> 19 (1): 37-54.</w:t>
      </w:r>
    </w:p>
  </w:footnote>
  <w:footnote w:id="10">
    <w:p w14:paraId="17AC1F62" w14:textId="77777777" w:rsidR="001316B8" w:rsidRDefault="001316B8" w:rsidP="00DB74C2">
      <w:pPr>
        <w:pStyle w:val="FootnoteText"/>
      </w:pPr>
      <w:r>
        <w:rPr>
          <w:rStyle w:val="FootnoteReference"/>
        </w:rPr>
        <w:footnoteRef/>
      </w:r>
      <w:r>
        <w:t xml:space="preserve"> </w:t>
      </w:r>
      <w:proofErr w:type="spellStart"/>
      <w:r>
        <w:t>Chevallier</w:t>
      </w:r>
      <w:proofErr w:type="spellEnd"/>
      <w:r>
        <w:t xml:space="preserve">, P. et al. (2011). A new </w:t>
      </w:r>
      <w:proofErr w:type="spellStart"/>
      <w:r>
        <w:t>Leukemia</w:t>
      </w:r>
      <w:proofErr w:type="spellEnd"/>
      <w:r>
        <w:t xml:space="preserve"> Prognostic Scoring System for refractory/relapsed adult acute </w:t>
      </w:r>
      <w:proofErr w:type="spellStart"/>
      <w:r>
        <w:t>myelogeneous</w:t>
      </w:r>
      <w:proofErr w:type="spellEnd"/>
      <w:r>
        <w:t xml:space="preserve"> </w:t>
      </w:r>
      <w:proofErr w:type="spellStart"/>
      <w:r>
        <w:t>leukemia</w:t>
      </w:r>
      <w:proofErr w:type="spellEnd"/>
      <w:r>
        <w:t xml:space="preserve"> patients: a GOELAMS study. </w:t>
      </w:r>
      <w:proofErr w:type="spellStart"/>
      <w:r>
        <w:rPr>
          <w:i/>
        </w:rPr>
        <w:t>Leukemia</w:t>
      </w:r>
      <w:proofErr w:type="spellEnd"/>
      <w:r>
        <w:t xml:space="preserve"> 25: 939-944.</w:t>
      </w:r>
    </w:p>
  </w:footnote>
  <w:footnote w:id="11">
    <w:p w14:paraId="413CA6E7" w14:textId="77777777" w:rsidR="001316B8" w:rsidRDefault="001316B8" w:rsidP="00DB74C2">
      <w:pPr>
        <w:pStyle w:val="FootnoteText"/>
      </w:pPr>
      <w:r>
        <w:rPr>
          <w:rStyle w:val="FootnoteReference"/>
        </w:rPr>
        <w:footnoteRef/>
      </w:r>
      <w:r>
        <w:t xml:space="preserve"> Levis, M. et al. (2011). Results from a randomized trial of salvage chemotherapy followed by </w:t>
      </w:r>
      <w:proofErr w:type="spellStart"/>
      <w:r>
        <w:t>lestaurtinib</w:t>
      </w:r>
      <w:proofErr w:type="spellEnd"/>
      <w:r>
        <w:t xml:space="preserve"> for patients with FLT3 mutant AML in first relapse. </w:t>
      </w:r>
      <w:r>
        <w:rPr>
          <w:i/>
        </w:rPr>
        <w:t>Blood</w:t>
      </w:r>
      <w:r>
        <w:t xml:space="preserve"> 117 (12): 3294-3301.</w:t>
      </w:r>
    </w:p>
  </w:footnote>
  <w:footnote w:id="12">
    <w:p w14:paraId="2318F30F" w14:textId="77777777" w:rsidR="001316B8" w:rsidRDefault="001316B8" w:rsidP="0089088A">
      <w:pPr>
        <w:pStyle w:val="FootnoteText"/>
        <w:spacing w:before="120" w:after="120"/>
        <w:rPr>
          <w:b/>
          <w:lang w:eastAsia="ja-JP"/>
        </w:rPr>
      </w:pPr>
      <w:r>
        <w:rPr>
          <w:rStyle w:val="FootnoteReference"/>
        </w:rPr>
        <w:footnoteRef/>
      </w:r>
      <w:r>
        <w:t xml:space="preserve"> </w:t>
      </w:r>
      <w:r>
        <w:rPr>
          <w:b/>
          <w:lang w:eastAsia="ja-JP"/>
        </w:rPr>
        <w:t xml:space="preserve">Cytochrome P450 (CYP) enzymes: </w:t>
      </w:r>
      <w:r>
        <w:rPr>
          <w:lang w:eastAsia="ja-JP"/>
        </w:rPr>
        <w:t xml:space="preserve">CYPs are the major enzymes involved in drug metabolism, accounting for large part of the total metabolism. Most drugs undergo deactivation by CYPs, either directly or by facilitated excretion from the body. Also, many substances are </w:t>
      </w:r>
      <w:proofErr w:type="spellStart"/>
      <w:r>
        <w:rPr>
          <w:lang w:eastAsia="ja-JP"/>
        </w:rPr>
        <w:t>bioactivated</w:t>
      </w:r>
      <w:proofErr w:type="spellEnd"/>
      <w:r>
        <w:rPr>
          <w:lang w:eastAsia="ja-JP"/>
        </w:rPr>
        <w:t xml:space="preserve"> by CYPs to form their active compounds.</w:t>
      </w:r>
    </w:p>
    <w:p w14:paraId="019342F4" w14:textId="56701042" w:rsidR="001316B8" w:rsidRPr="00C16AF1" w:rsidRDefault="001316B8" w:rsidP="00C16AF1">
      <w:pPr>
        <w:pStyle w:val="FootnoteText"/>
        <w:spacing w:before="120" w:after="120"/>
        <w:rPr>
          <w:b/>
          <w:lang w:eastAsia="ja-JP"/>
        </w:rPr>
      </w:pPr>
      <w:r>
        <w:rPr>
          <w:lang w:eastAsia="ja-JP"/>
        </w:rPr>
        <w:t>Many drugs may increase or decrease the activity of various CYP isozymes either by inducing the biosynthesis of an isozyme (enzyme induction) or by directly inhibiting the activity of the CYP (enzyme inhibition). This is a major source of adverse drug 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3">
    <w:p w14:paraId="52817BCF" w14:textId="618472C7" w:rsidR="001316B8" w:rsidRPr="00E56F43" w:rsidRDefault="001316B8">
      <w:pPr>
        <w:pStyle w:val="FootnoteText"/>
        <w:rPr>
          <w:lang w:val="en-US"/>
        </w:rPr>
      </w:pPr>
      <w:r>
        <w:rPr>
          <w:rStyle w:val="FootnoteReference"/>
        </w:rPr>
        <w:footnoteRef/>
      </w:r>
      <w:r>
        <w:t xml:space="preserve"> </w:t>
      </w:r>
      <w:r w:rsidRPr="0089088A">
        <w:t>Study 2215-CL-0301</w:t>
      </w:r>
      <w:r>
        <w:t>; Title: ‘</w:t>
      </w:r>
      <w:r w:rsidRPr="0089088A">
        <w:t xml:space="preserve">A Phase 3 Open-Label, </w:t>
      </w:r>
      <w:proofErr w:type="spellStart"/>
      <w:r w:rsidRPr="0089088A">
        <w:t>Multicenter</w:t>
      </w:r>
      <w:proofErr w:type="spellEnd"/>
      <w:r w:rsidRPr="0089088A">
        <w:t xml:space="preserve">, Randomized Study of ASP2215 versus Salvage Chemotherapy in Patients with Relapsed or Refractory Acute Myeloid </w:t>
      </w:r>
      <w:proofErr w:type="spellStart"/>
      <w:r w:rsidRPr="0089088A">
        <w:t>Leukemia</w:t>
      </w:r>
      <w:proofErr w:type="spellEnd"/>
      <w:r w:rsidRPr="0089088A">
        <w:t xml:space="preserve"> (AML) with FLT3 Mutation</w:t>
      </w:r>
      <w:r>
        <w:t xml:space="preserve">’. </w:t>
      </w:r>
      <w:proofErr w:type="spellStart"/>
      <w:r w:rsidRPr="0089088A">
        <w:t>EudraCT</w:t>
      </w:r>
      <w:proofErr w:type="spellEnd"/>
      <w:r w:rsidRPr="0089088A">
        <w:t xml:space="preserve"> number</w:t>
      </w:r>
      <w:r>
        <w:t xml:space="preserve">: </w:t>
      </w:r>
      <w:r w:rsidRPr="0089088A">
        <w:t>2015-000140-42</w:t>
      </w:r>
      <w:r>
        <w:t xml:space="preserve">; </w:t>
      </w:r>
      <w:r w:rsidRPr="0089088A">
        <w:t>ClinicalTrials.gov Identifier: NCT02421939</w:t>
      </w:r>
      <w:r>
        <w:t>; also known as the ADMIRAL trial.</w:t>
      </w:r>
    </w:p>
  </w:footnote>
  <w:footnote w:id="14">
    <w:p w14:paraId="4EDBBD84" w14:textId="77777777" w:rsidR="001316B8" w:rsidRDefault="001316B8" w:rsidP="00DB74C2">
      <w:pPr>
        <w:pStyle w:val="FootnoteText"/>
      </w:pPr>
      <w:r>
        <w:rPr>
          <w:rStyle w:val="FootnoteReference"/>
        </w:rPr>
        <w:footnoteRef/>
      </w:r>
      <w:r>
        <w:t xml:space="preserve"> </w:t>
      </w:r>
      <w:r w:rsidRPr="005C0841">
        <w:t xml:space="preserve">Randomised clinical trials analysed by the </w:t>
      </w:r>
      <w:r w:rsidRPr="005C0841">
        <w:rPr>
          <w:b/>
        </w:rPr>
        <w:t>intent-to-treat (ITT)</w:t>
      </w:r>
      <w:r>
        <w:t xml:space="preserve"> approach provide</w:t>
      </w:r>
      <w:r w:rsidRPr="005C0841">
        <w:t xml:space="preserve"> unbiased comparisons among the treatment groups. In the ITT population, none of the patients are excluded and the patients are analysed according to the randomisation scheme.</w:t>
      </w:r>
    </w:p>
  </w:footnote>
  <w:footnote w:id="15">
    <w:p w14:paraId="5F02435F" w14:textId="77777777" w:rsidR="001316B8" w:rsidRPr="00021165" w:rsidRDefault="001316B8" w:rsidP="00DB74C2">
      <w:pPr>
        <w:pStyle w:val="FootnoteText"/>
      </w:pPr>
      <w:r>
        <w:rPr>
          <w:rStyle w:val="FootnoteReference"/>
        </w:rPr>
        <w:footnoteRef/>
      </w:r>
      <w:r w:rsidRPr="00157E6A">
        <w:rPr>
          <w:lang w:val="nl-NL"/>
        </w:rPr>
        <w:t xml:space="preserve"> Perl, A.E. et al. </w:t>
      </w:r>
      <w:r>
        <w:t xml:space="preserve">(2019). </w:t>
      </w:r>
      <w:proofErr w:type="spellStart"/>
      <w:r>
        <w:t>Gilteritinib</w:t>
      </w:r>
      <w:proofErr w:type="spellEnd"/>
      <w:r>
        <w:t xml:space="preserve"> or Chemotherapy for Relapsed or Refractory FLT3-Mutated AML. </w:t>
      </w:r>
      <w:r>
        <w:rPr>
          <w:i/>
        </w:rPr>
        <w:t>New England Journal of Medicine</w:t>
      </w:r>
      <w:r>
        <w:t xml:space="preserve"> 381: 1728-1740.</w:t>
      </w:r>
    </w:p>
  </w:footnote>
  <w:footnote w:id="16">
    <w:p w14:paraId="66F65785" w14:textId="77777777" w:rsidR="001316B8" w:rsidRDefault="001316B8" w:rsidP="002572DB">
      <w:pPr>
        <w:pStyle w:val="FootnoteText"/>
      </w:pPr>
      <w:r>
        <w:rPr>
          <w:rStyle w:val="FootnoteReference"/>
        </w:rPr>
        <w:footnoteRef/>
      </w:r>
      <w:r>
        <w:t xml:space="preserve"> </w:t>
      </w:r>
      <w:r w:rsidRPr="002572DB">
        <w:t>Study 2215-CL-0101</w:t>
      </w:r>
      <w:r>
        <w:t>; Title: ‘</w:t>
      </w:r>
      <w:r w:rsidRPr="002572DB">
        <w:t xml:space="preserve">A Phase 1/2 Open-Label, Dose Escalation Study Investigating the Safety, Tolerability, Pharmacokinetics, and Pharmacodynamics of ASP2215 in Patients with Relapsed or Refractory Acute Myeloid </w:t>
      </w:r>
      <w:proofErr w:type="spellStart"/>
      <w:r w:rsidRPr="002572DB">
        <w:t>Leukemia</w:t>
      </w:r>
      <w:proofErr w:type="spellEnd"/>
      <w:r>
        <w:t xml:space="preserve">’. </w:t>
      </w:r>
      <w:proofErr w:type="spellStart"/>
      <w:r>
        <w:t>E</w:t>
      </w:r>
      <w:r w:rsidRPr="002572DB">
        <w:t>udraCT</w:t>
      </w:r>
      <w:proofErr w:type="spellEnd"/>
      <w:r w:rsidRPr="002572DB">
        <w:t xml:space="preserve"> Number: 2014-002217-31</w:t>
      </w:r>
      <w:r>
        <w:t xml:space="preserve">; </w:t>
      </w:r>
    </w:p>
    <w:p w14:paraId="38AE405A" w14:textId="13886FBF" w:rsidR="001316B8" w:rsidRPr="00E56F43" w:rsidRDefault="001316B8" w:rsidP="002572DB">
      <w:pPr>
        <w:pStyle w:val="FootnoteText"/>
        <w:rPr>
          <w:lang w:val="en-US"/>
        </w:rPr>
      </w:pPr>
      <w:r>
        <w:t>ClinicalTrials.gov Identifier: NCT02014558</w:t>
      </w:r>
    </w:p>
  </w:footnote>
  <w:footnote w:id="17">
    <w:p w14:paraId="092BB28E" w14:textId="4D9CB788" w:rsidR="001316B8" w:rsidRPr="00E56F43" w:rsidRDefault="001316B8">
      <w:pPr>
        <w:pStyle w:val="FootnoteText"/>
        <w:rPr>
          <w:lang w:val="en-US"/>
        </w:rPr>
      </w:pPr>
      <w:r>
        <w:rPr>
          <w:rStyle w:val="FootnoteReference"/>
        </w:rPr>
        <w:footnoteRef/>
      </w:r>
      <w:r>
        <w:t xml:space="preserve"> </w:t>
      </w:r>
      <w:r w:rsidRPr="002572DB">
        <w:t>Study 2215-CL-0102</w:t>
      </w:r>
      <w:r>
        <w:t>; Title: ‘</w:t>
      </w:r>
      <w:r w:rsidRPr="002572DB">
        <w:t xml:space="preserve">Dose Escalation Study to Investigate the Safety, Tolerability and Pharmacokinetics of ASP2215 in Japanese Patients </w:t>
      </w:r>
      <w:proofErr w:type="gramStart"/>
      <w:r w:rsidRPr="002572DB">
        <w:t>With</w:t>
      </w:r>
      <w:proofErr w:type="gramEnd"/>
      <w:r w:rsidRPr="002572DB">
        <w:t xml:space="preserve"> Relapsed or Refractory Acute Myeloid </w:t>
      </w:r>
      <w:proofErr w:type="spellStart"/>
      <w:r w:rsidRPr="002572DB">
        <w:t>Leukemia</w:t>
      </w:r>
      <w:proofErr w:type="spellEnd"/>
      <w:r>
        <w:t xml:space="preserve">’. </w:t>
      </w:r>
      <w:r w:rsidRPr="002572DB">
        <w:t>ClinicalTrials.gov Identifier: NCT02181660</w:t>
      </w:r>
      <w:r>
        <w:t>.</w:t>
      </w:r>
    </w:p>
  </w:footnote>
  <w:footnote w:id="18">
    <w:p w14:paraId="67B12929" w14:textId="166F0BEC" w:rsidR="001316B8" w:rsidRPr="00E56F43" w:rsidRDefault="001316B8">
      <w:pPr>
        <w:pStyle w:val="FootnoteText"/>
        <w:rPr>
          <w:lang w:val="en-US"/>
        </w:rPr>
      </w:pPr>
      <w:r>
        <w:rPr>
          <w:rStyle w:val="FootnoteReference"/>
        </w:rPr>
        <w:footnoteRef/>
      </w:r>
      <w:r>
        <w:t xml:space="preserve"> The </w:t>
      </w:r>
      <w:r w:rsidRPr="00E56F43">
        <w:rPr>
          <w:b/>
        </w:rPr>
        <w:t>full analysis set (FAS</w:t>
      </w:r>
      <w:r>
        <w:t>) of subjects that is as close as possible to the ideal implied by the Intention-to-Treat principle. It is derived from the set of all randomised subjects by minimal and justified elimination of subjects.</w:t>
      </w:r>
    </w:p>
  </w:footnote>
  <w:footnote w:id="19">
    <w:p w14:paraId="74DF8C38" w14:textId="77777777" w:rsidR="001316B8" w:rsidRDefault="001316B8" w:rsidP="00DB74C2">
      <w:pPr>
        <w:pStyle w:val="FootnoteText"/>
      </w:pPr>
      <w:r>
        <w:rPr>
          <w:rStyle w:val="FootnoteReference"/>
        </w:rPr>
        <w:footnoteRef/>
      </w:r>
      <w:r>
        <w:t xml:space="preserve"> </w:t>
      </w:r>
      <w:r w:rsidRPr="00CC3FBB">
        <w:rPr>
          <w:lang w:eastAsia="ja-JP"/>
        </w:rPr>
        <w:t xml:space="preserve">The </w:t>
      </w:r>
      <w:r w:rsidRPr="005C0841">
        <w:rPr>
          <w:b/>
          <w:lang w:eastAsia="ja-JP"/>
        </w:rPr>
        <w:t>per-protocol (PP)</w:t>
      </w:r>
      <w:r w:rsidRPr="00CC3FBB">
        <w:rPr>
          <w:lang w:eastAsia="ja-JP"/>
        </w:rPr>
        <w:t xml:space="preserve"> analysis is restricted to the participants who strictly adhered to the protocol. Also known as ‘on-treatment’ analysis.</w:t>
      </w:r>
    </w:p>
  </w:footnote>
  <w:footnote w:id="20">
    <w:p w14:paraId="3F133216" w14:textId="77777777" w:rsidR="001316B8" w:rsidRPr="00021165" w:rsidRDefault="001316B8" w:rsidP="00DB74C2">
      <w:pPr>
        <w:pStyle w:val="FootnoteText"/>
      </w:pPr>
      <w:r>
        <w:rPr>
          <w:rStyle w:val="FootnoteReference"/>
        </w:rPr>
        <w:footnoteRef/>
      </w:r>
      <w:r>
        <w:t xml:space="preserve"> </w:t>
      </w:r>
      <w:proofErr w:type="spellStart"/>
      <w:r>
        <w:t>Montesinos</w:t>
      </w:r>
      <w:proofErr w:type="spellEnd"/>
      <w:r>
        <w:t xml:space="preserve">, P. et al. (2009). Differentiation syndrome in patients with acute </w:t>
      </w:r>
      <w:proofErr w:type="spellStart"/>
      <w:r>
        <w:t>promyelocytic</w:t>
      </w:r>
      <w:proofErr w:type="spellEnd"/>
      <w:r>
        <w:t xml:space="preserve"> </w:t>
      </w:r>
      <w:proofErr w:type="spellStart"/>
      <w:r>
        <w:t>leukemia</w:t>
      </w:r>
      <w:proofErr w:type="spellEnd"/>
      <w:r>
        <w:t xml:space="preserve"> treated with all-trans retinoic acid and </w:t>
      </w:r>
      <w:proofErr w:type="spellStart"/>
      <w:r>
        <w:t>anthracycline</w:t>
      </w:r>
      <w:proofErr w:type="spellEnd"/>
      <w:r>
        <w:t xml:space="preserve"> chemotherapy: characteristics, outcome, and prognostic factors. </w:t>
      </w:r>
      <w:r>
        <w:rPr>
          <w:i/>
        </w:rPr>
        <w:t>Blood</w:t>
      </w:r>
      <w:r>
        <w:t xml:space="preserve"> 113: 775-783.</w:t>
      </w:r>
    </w:p>
  </w:footnote>
  <w:footnote w:id="21">
    <w:p w14:paraId="5E7545A4" w14:textId="77777777" w:rsidR="001316B8" w:rsidRDefault="001316B8" w:rsidP="00DB74C2">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53FD81A3" w14:textId="77777777" w:rsidR="001316B8" w:rsidRDefault="001316B8" w:rsidP="00DB74C2">
      <w:pPr>
        <w:pStyle w:val="FootnoteText"/>
      </w:pPr>
      <w:r w:rsidRPr="00F12492">
        <w:rPr>
          <w:i/>
        </w:rPr>
        <w:t>Routine pharmacovigilance</w:t>
      </w:r>
      <w:r>
        <w:t xml:space="preserve"> practices involve the following activities:</w:t>
      </w:r>
    </w:p>
    <w:p w14:paraId="3F633AFB" w14:textId="77777777" w:rsidR="001316B8" w:rsidRDefault="001316B8" w:rsidP="00DB74C2">
      <w:pPr>
        <w:pStyle w:val="FootnoteText"/>
        <w:numPr>
          <w:ilvl w:val="0"/>
          <w:numId w:val="28"/>
        </w:numPr>
      </w:pPr>
      <w:r>
        <w:t>All suspected adverse reactions that are reported to the personnel of the company are collected and collated in an accessible manner;</w:t>
      </w:r>
    </w:p>
    <w:p w14:paraId="5CDA972F" w14:textId="77777777" w:rsidR="001316B8" w:rsidRDefault="001316B8" w:rsidP="00DB74C2">
      <w:pPr>
        <w:pStyle w:val="FootnoteText"/>
        <w:numPr>
          <w:ilvl w:val="0"/>
          <w:numId w:val="28"/>
        </w:numPr>
      </w:pPr>
      <w:r>
        <w:t>Reporting to regulatory authorities;</w:t>
      </w:r>
    </w:p>
    <w:p w14:paraId="48E6C469" w14:textId="77777777" w:rsidR="001316B8" w:rsidRDefault="001316B8" w:rsidP="00DB74C2">
      <w:pPr>
        <w:pStyle w:val="FootnoteText"/>
        <w:numPr>
          <w:ilvl w:val="0"/>
          <w:numId w:val="28"/>
        </w:numPr>
      </w:pPr>
      <w:r>
        <w:t>Continuous monitoring of the safety profiles of approved products including signal detection and updating of labelling;</w:t>
      </w:r>
    </w:p>
    <w:p w14:paraId="5809BDEB" w14:textId="77777777" w:rsidR="001316B8" w:rsidRDefault="001316B8" w:rsidP="00DB74C2">
      <w:pPr>
        <w:pStyle w:val="FootnoteText"/>
        <w:numPr>
          <w:ilvl w:val="0"/>
          <w:numId w:val="28"/>
        </w:numPr>
      </w:pPr>
      <w:r>
        <w:t>Submission of PSURs;</w:t>
      </w:r>
    </w:p>
    <w:p w14:paraId="08C7CF0B" w14:textId="77777777" w:rsidR="001316B8" w:rsidRPr="00F12492" w:rsidRDefault="001316B8" w:rsidP="00DB74C2">
      <w:pPr>
        <w:pStyle w:val="FootnoteText"/>
        <w:numPr>
          <w:ilvl w:val="0"/>
          <w:numId w:val="28"/>
        </w:numPr>
        <w:rPr>
          <w:lang w:val="en-US"/>
        </w:rPr>
      </w:pPr>
      <w:r>
        <w:t>Meeting other local regulatory agency requirements.</w:t>
      </w:r>
    </w:p>
  </w:footnote>
  <w:footnote w:id="22">
    <w:p w14:paraId="745E9755" w14:textId="77777777" w:rsidR="001316B8" w:rsidRDefault="001316B8" w:rsidP="00DB74C2">
      <w:pPr>
        <w:pStyle w:val="FootnoteText"/>
      </w:pPr>
      <w:r>
        <w:rPr>
          <w:rStyle w:val="FootnoteReference"/>
        </w:rPr>
        <w:footnoteRef/>
      </w:r>
      <w:r>
        <w:t xml:space="preserve"> FDA Prescribing Information for </w:t>
      </w:r>
      <w:proofErr w:type="spellStart"/>
      <w:r>
        <w:t>Xospata</w:t>
      </w:r>
      <w:proofErr w:type="spellEnd"/>
      <w:r w:rsidRPr="006F058D">
        <w:t xml:space="preserve"> (</w:t>
      </w:r>
      <w:proofErr w:type="spellStart"/>
      <w:r w:rsidRPr="006F058D">
        <w:t>gilteritinib</w:t>
      </w:r>
      <w:proofErr w:type="spellEnd"/>
      <w:r w:rsidRPr="006F058D">
        <w:t>) tablets, for oral use</w:t>
      </w:r>
      <w:r>
        <w:t>, initial approval 2018, revised May 2019.</w:t>
      </w:r>
    </w:p>
  </w:footnote>
  <w:footnote w:id="23">
    <w:p w14:paraId="22C392C3" w14:textId="52BD6BC3" w:rsidR="001316B8" w:rsidRPr="00E56F43" w:rsidRDefault="001316B8">
      <w:pPr>
        <w:pStyle w:val="FootnoteText"/>
        <w:rPr>
          <w:lang w:val="en-US"/>
        </w:rPr>
      </w:pPr>
      <w:r>
        <w:rPr>
          <w:rStyle w:val="FootnoteReference"/>
        </w:rPr>
        <w:footnoteRef/>
      </w:r>
      <w:r>
        <w:t xml:space="preserve"> </w:t>
      </w:r>
      <w:r w:rsidRPr="00E84A09">
        <w:t xml:space="preserve">A </w:t>
      </w:r>
      <w:r w:rsidRPr="00E56F43">
        <w:rPr>
          <w:b/>
        </w:rPr>
        <w:t>boxed warning</w:t>
      </w:r>
      <w:r w:rsidRPr="00E84A09">
        <w:t xml:space="preserve"> is a mechanism used to highlight special warning statements in the Product Information (PI) to the prescriber and patient that could significantly alter the risk for patients when prescribed the product. This warning typically concerns a potential for major impact on public health due to serious adverse events</w:t>
      </w:r>
      <w:r>
        <w:t>.</w:t>
      </w:r>
    </w:p>
  </w:footnote>
  <w:footnote w:id="24">
    <w:p w14:paraId="4B2400CF" w14:textId="3D4D09C5" w:rsidR="001316B8" w:rsidRDefault="001316B8">
      <w:pPr>
        <w:pStyle w:val="FootnoteText"/>
      </w:pPr>
      <w:r>
        <w:rPr>
          <w:rStyle w:val="FootnoteReference"/>
        </w:rPr>
        <w:footnoteRef/>
      </w:r>
      <w:r>
        <w:t xml:space="preserve"> Sponsor clarification: the sponsor has agreed to implement additional educational material related to differentiation syndrome.</w:t>
      </w:r>
    </w:p>
  </w:footnote>
  <w:footnote w:id="25">
    <w:p w14:paraId="6BE09CE0" w14:textId="77777777" w:rsidR="001316B8" w:rsidRDefault="001316B8" w:rsidP="00DB74C2">
      <w:pPr>
        <w:pStyle w:val="FootnoteText"/>
      </w:pPr>
      <w:r>
        <w:rPr>
          <w:rStyle w:val="FootnoteReference"/>
        </w:rPr>
        <w:footnoteRef/>
      </w:r>
      <w:r>
        <w:t xml:space="preserve"> The </w:t>
      </w:r>
      <w:r w:rsidRPr="00E56F43">
        <w:rPr>
          <w:b/>
        </w:rPr>
        <w:t>ACM</w:t>
      </w:r>
      <w:r>
        <w:t xml:space="preserve">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22EF271A" w14:textId="77777777" w:rsidR="001316B8" w:rsidRPr="00456765" w:rsidRDefault="001316B8" w:rsidP="00DB74C2">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CF4F" w14:textId="77777777" w:rsidR="001316B8" w:rsidRDefault="001316B8"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B3BB" w14:textId="77777777" w:rsidR="001316B8" w:rsidRDefault="001316B8">
    <w:pPr>
      <w:rPr>
        <w:noProof/>
        <w:lang w:eastAsia="en-AU"/>
      </w:rPr>
    </w:pPr>
    <w:r w:rsidRPr="00347824">
      <w:rPr>
        <w:noProof/>
        <w:lang w:eastAsia="en-AU"/>
      </w:rPr>
      <w:drawing>
        <wp:anchor distT="0" distB="0" distL="114300" distR="114300" simplePos="0" relativeHeight="251659264" behindDoc="1" locked="0" layoutInCell="1" allowOverlap="1" wp14:anchorId="416813B3" wp14:editId="50C88721">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DB1EB45" w14:textId="35106FF4" w:rsidR="001316B8" w:rsidRDefault="001316B8"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BDC6" w14:textId="77777777" w:rsidR="001316B8" w:rsidRDefault="001316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DDA7C" w14:textId="77777777" w:rsidR="001316B8" w:rsidRDefault="001316B8">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E7ADA" w14:textId="77777777" w:rsidR="001316B8" w:rsidRDefault="001316B8">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FE5AA" w14:textId="77777777" w:rsidR="001316B8" w:rsidRDefault="001316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84461" w14:textId="77777777" w:rsidR="001316B8" w:rsidRDefault="001316B8"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20E4" w14:textId="77777777" w:rsidR="001316B8" w:rsidRDefault="001316B8" w:rsidP="006E08B3">
    <w:r>
      <w:t>Therapeutic Goods Administration</w:t>
    </w:r>
  </w:p>
  <w:p w14:paraId="09759CF4" w14:textId="77777777" w:rsidR="001316B8" w:rsidRDefault="001316B8"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4E06D3B6"/>
    <w:lvl w:ilvl="0" w:tplc="92647D96">
      <w:start w:val="1"/>
      <w:numFmt w:val="bullet"/>
      <w:pStyle w:val="Bulletlis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F7ECB2C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89B15D7"/>
    <w:multiLevelType w:val="hybridMultilevel"/>
    <w:tmpl w:val="3D2E60CC"/>
    <w:lvl w:ilvl="0" w:tplc="04CEB5FC">
      <w:start w:val="1"/>
      <w:numFmt w:val="bullet"/>
      <w:pStyle w:val="Bulletpoint"/>
      <w:lvlText w:val=""/>
      <w:lvlJc w:val="left"/>
      <w:pPr>
        <w:tabs>
          <w:tab w:val="num" w:pos="227"/>
        </w:tabs>
        <w:ind w:left="227"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9"/>
  </w:num>
  <w:num w:numId="29">
    <w:abstractNumId w:val="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E9"/>
    <w:rsid w:val="00002031"/>
    <w:rsid w:val="00004734"/>
    <w:rsid w:val="00006B22"/>
    <w:rsid w:val="0001276A"/>
    <w:rsid w:val="000246AE"/>
    <w:rsid w:val="00025C67"/>
    <w:rsid w:val="000308FF"/>
    <w:rsid w:val="00044772"/>
    <w:rsid w:val="0004541C"/>
    <w:rsid w:val="00045FDF"/>
    <w:rsid w:val="0005559E"/>
    <w:rsid w:val="000604D6"/>
    <w:rsid w:val="000734D8"/>
    <w:rsid w:val="00077775"/>
    <w:rsid w:val="00090471"/>
    <w:rsid w:val="00096AA7"/>
    <w:rsid w:val="000A3AED"/>
    <w:rsid w:val="000B0D1B"/>
    <w:rsid w:val="000B3532"/>
    <w:rsid w:val="000B3A75"/>
    <w:rsid w:val="000C00C2"/>
    <w:rsid w:val="000C690F"/>
    <w:rsid w:val="000D1295"/>
    <w:rsid w:val="000D391B"/>
    <w:rsid w:val="000D3D6D"/>
    <w:rsid w:val="000D4FC7"/>
    <w:rsid w:val="000E6196"/>
    <w:rsid w:val="000F4869"/>
    <w:rsid w:val="000F5B42"/>
    <w:rsid w:val="000F6E6F"/>
    <w:rsid w:val="00105606"/>
    <w:rsid w:val="0010601F"/>
    <w:rsid w:val="0010788A"/>
    <w:rsid w:val="00107A31"/>
    <w:rsid w:val="00110EA5"/>
    <w:rsid w:val="00112F56"/>
    <w:rsid w:val="00124ACD"/>
    <w:rsid w:val="00125318"/>
    <w:rsid w:val="001305A2"/>
    <w:rsid w:val="001316B8"/>
    <w:rsid w:val="00133238"/>
    <w:rsid w:val="00133A1B"/>
    <w:rsid w:val="0014197B"/>
    <w:rsid w:val="00141B75"/>
    <w:rsid w:val="001447CD"/>
    <w:rsid w:val="00145082"/>
    <w:rsid w:val="001516B1"/>
    <w:rsid w:val="00154EBB"/>
    <w:rsid w:val="00155878"/>
    <w:rsid w:val="00156316"/>
    <w:rsid w:val="00157E6A"/>
    <w:rsid w:val="00161181"/>
    <w:rsid w:val="00162D14"/>
    <w:rsid w:val="00163780"/>
    <w:rsid w:val="00165389"/>
    <w:rsid w:val="0017416F"/>
    <w:rsid w:val="0017693F"/>
    <w:rsid w:val="0018110E"/>
    <w:rsid w:val="00181684"/>
    <w:rsid w:val="001843C6"/>
    <w:rsid w:val="001850E0"/>
    <w:rsid w:val="00187190"/>
    <w:rsid w:val="00197D89"/>
    <w:rsid w:val="001A03AF"/>
    <w:rsid w:val="001A2158"/>
    <w:rsid w:val="001A525F"/>
    <w:rsid w:val="001B09F9"/>
    <w:rsid w:val="001B5C90"/>
    <w:rsid w:val="001B6448"/>
    <w:rsid w:val="001C32CD"/>
    <w:rsid w:val="001D2984"/>
    <w:rsid w:val="001D361E"/>
    <w:rsid w:val="001D4EBC"/>
    <w:rsid w:val="001D749B"/>
    <w:rsid w:val="001E07CF"/>
    <w:rsid w:val="001E59F1"/>
    <w:rsid w:val="001F2CEE"/>
    <w:rsid w:val="001F49EB"/>
    <w:rsid w:val="001F6CBA"/>
    <w:rsid w:val="00201D4E"/>
    <w:rsid w:val="002076C9"/>
    <w:rsid w:val="0021527C"/>
    <w:rsid w:val="00220B8A"/>
    <w:rsid w:val="002257F3"/>
    <w:rsid w:val="00233456"/>
    <w:rsid w:val="002339A5"/>
    <w:rsid w:val="00241699"/>
    <w:rsid w:val="002572DB"/>
    <w:rsid w:val="00257848"/>
    <w:rsid w:val="002578E8"/>
    <w:rsid w:val="0027084A"/>
    <w:rsid w:val="00280265"/>
    <w:rsid w:val="00286434"/>
    <w:rsid w:val="00286C59"/>
    <w:rsid w:val="00291957"/>
    <w:rsid w:val="002942D1"/>
    <w:rsid w:val="0029501A"/>
    <w:rsid w:val="002A3721"/>
    <w:rsid w:val="002B1638"/>
    <w:rsid w:val="002B3624"/>
    <w:rsid w:val="002D0952"/>
    <w:rsid w:val="002D6D21"/>
    <w:rsid w:val="002E40B3"/>
    <w:rsid w:val="002E4C9A"/>
    <w:rsid w:val="002E5305"/>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70CE3"/>
    <w:rsid w:val="003728F3"/>
    <w:rsid w:val="003735BC"/>
    <w:rsid w:val="0037496E"/>
    <w:rsid w:val="003751CC"/>
    <w:rsid w:val="00383221"/>
    <w:rsid w:val="00386150"/>
    <w:rsid w:val="003874CE"/>
    <w:rsid w:val="00390900"/>
    <w:rsid w:val="003A7213"/>
    <w:rsid w:val="003A7F6C"/>
    <w:rsid w:val="003B4D60"/>
    <w:rsid w:val="003B7E39"/>
    <w:rsid w:val="003C58DC"/>
    <w:rsid w:val="003D1E62"/>
    <w:rsid w:val="003D613A"/>
    <w:rsid w:val="003E0B99"/>
    <w:rsid w:val="003E2486"/>
    <w:rsid w:val="003E3208"/>
    <w:rsid w:val="003F0B04"/>
    <w:rsid w:val="003F3E2D"/>
    <w:rsid w:val="0040134E"/>
    <w:rsid w:val="004317A1"/>
    <w:rsid w:val="004334C7"/>
    <w:rsid w:val="00440A2D"/>
    <w:rsid w:val="00441C3F"/>
    <w:rsid w:val="00444D1A"/>
    <w:rsid w:val="0045186A"/>
    <w:rsid w:val="004564A7"/>
    <w:rsid w:val="00456765"/>
    <w:rsid w:val="004617BF"/>
    <w:rsid w:val="00463658"/>
    <w:rsid w:val="004637A0"/>
    <w:rsid w:val="004652F8"/>
    <w:rsid w:val="00466FF0"/>
    <w:rsid w:val="004722CC"/>
    <w:rsid w:val="00490483"/>
    <w:rsid w:val="004936E4"/>
    <w:rsid w:val="00494E60"/>
    <w:rsid w:val="00497487"/>
    <w:rsid w:val="004A2771"/>
    <w:rsid w:val="004A6189"/>
    <w:rsid w:val="004A6312"/>
    <w:rsid w:val="004A7390"/>
    <w:rsid w:val="004B7B76"/>
    <w:rsid w:val="004C239D"/>
    <w:rsid w:val="004C2DCA"/>
    <w:rsid w:val="004C61D2"/>
    <w:rsid w:val="004D3FD3"/>
    <w:rsid w:val="004F0C4A"/>
    <w:rsid w:val="004F0F38"/>
    <w:rsid w:val="004F3729"/>
    <w:rsid w:val="004F47D6"/>
    <w:rsid w:val="00500337"/>
    <w:rsid w:val="00501921"/>
    <w:rsid w:val="0051670D"/>
    <w:rsid w:val="0051751E"/>
    <w:rsid w:val="005249C6"/>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951C1"/>
    <w:rsid w:val="005A68B6"/>
    <w:rsid w:val="005B5A7E"/>
    <w:rsid w:val="005C4FC3"/>
    <w:rsid w:val="005C5570"/>
    <w:rsid w:val="005C79A4"/>
    <w:rsid w:val="005D5442"/>
    <w:rsid w:val="005F2BE2"/>
    <w:rsid w:val="00600FAF"/>
    <w:rsid w:val="00603F32"/>
    <w:rsid w:val="00605AD4"/>
    <w:rsid w:val="006136D7"/>
    <w:rsid w:val="00614110"/>
    <w:rsid w:val="00625A6E"/>
    <w:rsid w:val="00632398"/>
    <w:rsid w:val="00640FC3"/>
    <w:rsid w:val="00642020"/>
    <w:rsid w:val="006430EE"/>
    <w:rsid w:val="0065337B"/>
    <w:rsid w:val="0065419D"/>
    <w:rsid w:val="006603BC"/>
    <w:rsid w:val="006604D8"/>
    <w:rsid w:val="006624BE"/>
    <w:rsid w:val="00664A5B"/>
    <w:rsid w:val="0066735C"/>
    <w:rsid w:val="006763D2"/>
    <w:rsid w:val="00680C08"/>
    <w:rsid w:val="006916A0"/>
    <w:rsid w:val="006931B1"/>
    <w:rsid w:val="006A15C0"/>
    <w:rsid w:val="006A58A8"/>
    <w:rsid w:val="006A68DC"/>
    <w:rsid w:val="006B7636"/>
    <w:rsid w:val="006C3E2A"/>
    <w:rsid w:val="006C642F"/>
    <w:rsid w:val="006D03E5"/>
    <w:rsid w:val="006D5D3E"/>
    <w:rsid w:val="006E08B3"/>
    <w:rsid w:val="006E52D6"/>
    <w:rsid w:val="006F17AC"/>
    <w:rsid w:val="006F25B8"/>
    <w:rsid w:val="006F572E"/>
    <w:rsid w:val="007046D6"/>
    <w:rsid w:val="00705DB0"/>
    <w:rsid w:val="0070710A"/>
    <w:rsid w:val="00721BE2"/>
    <w:rsid w:val="00722B57"/>
    <w:rsid w:val="00730F8A"/>
    <w:rsid w:val="00735A8C"/>
    <w:rsid w:val="0074253D"/>
    <w:rsid w:val="0074429B"/>
    <w:rsid w:val="0076041F"/>
    <w:rsid w:val="00761051"/>
    <w:rsid w:val="007615BC"/>
    <w:rsid w:val="00762F05"/>
    <w:rsid w:val="007652FF"/>
    <w:rsid w:val="00770CAC"/>
    <w:rsid w:val="00770EF1"/>
    <w:rsid w:val="00773776"/>
    <w:rsid w:val="00773EF7"/>
    <w:rsid w:val="00774E1D"/>
    <w:rsid w:val="007765D8"/>
    <w:rsid w:val="0077675A"/>
    <w:rsid w:val="00780355"/>
    <w:rsid w:val="007819FD"/>
    <w:rsid w:val="00785717"/>
    <w:rsid w:val="00785721"/>
    <w:rsid w:val="00793A59"/>
    <w:rsid w:val="00797541"/>
    <w:rsid w:val="007A46F5"/>
    <w:rsid w:val="007A6505"/>
    <w:rsid w:val="007B4223"/>
    <w:rsid w:val="007B6132"/>
    <w:rsid w:val="007B6E9F"/>
    <w:rsid w:val="007C1216"/>
    <w:rsid w:val="007C1AF7"/>
    <w:rsid w:val="007C6B9B"/>
    <w:rsid w:val="007F4F4C"/>
    <w:rsid w:val="00805D27"/>
    <w:rsid w:val="00806DCB"/>
    <w:rsid w:val="00821776"/>
    <w:rsid w:val="00827740"/>
    <w:rsid w:val="008321F5"/>
    <w:rsid w:val="00832369"/>
    <w:rsid w:val="00834660"/>
    <w:rsid w:val="00836BC2"/>
    <w:rsid w:val="0085156D"/>
    <w:rsid w:val="00852B28"/>
    <w:rsid w:val="0085641B"/>
    <w:rsid w:val="00857136"/>
    <w:rsid w:val="00875A6B"/>
    <w:rsid w:val="00885B11"/>
    <w:rsid w:val="00886D15"/>
    <w:rsid w:val="00887DD8"/>
    <w:rsid w:val="0089088A"/>
    <w:rsid w:val="00891BA9"/>
    <w:rsid w:val="00895472"/>
    <w:rsid w:val="00896018"/>
    <w:rsid w:val="008960DD"/>
    <w:rsid w:val="0089635C"/>
    <w:rsid w:val="008A2B9D"/>
    <w:rsid w:val="008A3D9F"/>
    <w:rsid w:val="008A5E0B"/>
    <w:rsid w:val="008A6D59"/>
    <w:rsid w:val="008B4B03"/>
    <w:rsid w:val="008B596F"/>
    <w:rsid w:val="008C159F"/>
    <w:rsid w:val="008C1623"/>
    <w:rsid w:val="008C1850"/>
    <w:rsid w:val="008C51A9"/>
    <w:rsid w:val="008E6B28"/>
    <w:rsid w:val="008E7846"/>
    <w:rsid w:val="008F02E5"/>
    <w:rsid w:val="008F1CCC"/>
    <w:rsid w:val="008F2967"/>
    <w:rsid w:val="008F6943"/>
    <w:rsid w:val="00902A21"/>
    <w:rsid w:val="0091523F"/>
    <w:rsid w:val="009152B8"/>
    <w:rsid w:val="00920330"/>
    <w:rsid w:val="009219D7"/>
    <w:rsid w:val="00922D53"/>
    <w:rsid w:val="00923B70"/>
    <w:rsid w:val="00924482"/>
    <w:rsid w:val="00930237"/>
    <w:rsid w:val="00937C17"/>
    <w:rsid w:val="00940A89"/>
    <w:rsid w:val="00941F77"/>
    <w:rsid w:val="00946EA5"/>
    <w:rsid w:val="0095240C"/>
    <w:rsid w:val="00960520"/>
    <w:rsid w:val="00963C08"/>
    <w:rsid w:val="00967D82"/>
    <w:rsid w:val="009752A5"/>
    <w:rsid w:val="0098585A"/>
    <w:rsid w:val="00995AF9"/>
    <w:rsid w:val="009977F0"/>
    <w:rsid w:val="009A4CED"/>
    <w:rsid w:val="009A690D"/>
    <w:rsid w:val="009B1D12"/>
    <w:rsid w:val="009B416B"/>
    <w:rsid w:val="009B551A"/>
    <w:rsid w:val="009C4BD5"/>
    <w:rsid w:val="009D7B77"/>
    <w:rsid w:val="009E070B"/>
    <w:rsid w:val="009E0BB0"/>
    <w:rsid w:val="009E3FBB"/>
    <w:rsid w:val="009F4950"/>
    <w:rsid w:val="009F7353"/>
    <w:rsid w:val="00A02842"/>
    <w:rsid w:val="00A04F85"/>
    <w:rsid w:val="00A05FA4"/>
    <w:rsid w:val="00A102E4"/>
    <w:rsid w:val="00A1219C"/>
    <w:rsid w:val="00A12C42"/>
    <w:rsid w:val="00A14DF7"/>
    <w:rsid w:val="00A22D57"/>
    <w:rsid w:val="00A3246D"/>
    <w:rsid w:val="00A326B9"/>
    <w:rsid w:val="00A36FA7"/>
    <w:rsid w:val="00A44DDB"/>
    <w:rsid w:val="00A475B7"/>
    <w:rsid w:val="00A47AF7"/>
    <w:rsid w:val="00A47C3E"/>
    <w:rsid w:val="00A50226"/>
    <w:rsid w:val="00A565EC"/>
    <w:rsid w:val="00A60BAD"/>
    <w:rsid w:val="00A77F87"/>
    <w:rsid w:val="00A80B5B"/>
    <w:rsid w:val="00A84E36"/>
    <w:rsid w:val="00A91AE1"/>
    <w:rsid w:val="00A964D1"/>
    <w:rsid w:val="00AA0ED0"/>
    <w:rsid w:val="00AA2936"/>
    <w:rsid w:val="00AC2B40"/>
    <w:rsid w:val="00AC2BB2"/>
    <w:rsid w:val="00AC2C3C"/>
    <w:rsid w:val="00AC512D"/>
    <w:rsid w:val="00AD0083"/>
    <w:rsid w:val="00AD3935"/>
    <w:rsid w:val="00AE5B41"/>
    <w:rsid w:val="00AE65EB"/>
    <w:rsid w:val="00AE67A7"/>
    <w:rsid w:val="00AF1D94"/>
    <w:rsid w:val="00AF60C5"/>
    <w:rsid w:val="00B009C6"/>
    <w:rsid w:val="00B01548"/>
    <w:rsid w:val="00B02832"/>
    <w:rsid w:val="00B05ECF"/>
    <w:rsid w:val="00B130C5"/>
    <w:rsid w:val="00B13EBD"/>
    <w:rsid w:val="00B21D29"/>
    <w:rsid w:val="00B23096"/>
    <w:rsid w:val="00B25034"/>
    <w:rsid w:val="00B27631"/>
    <w:rsid w:val="00B33588"/>
    <w:rsid w:val="00B33863"/>
    <w:rsid w:val="00B37D17"/>
    <w:rsid w:val="00B4175E"/>
    <w:rsid w:val="00B41C85"/>
    <w:rsid w:val="00B452CE"/>
    <w:rsid w:val="00B54C25"/>
    <w:rsid w:val="00B5588A"/>
    <w:rsid w:val="00B754EB"/>
    <w:rsid w:val="00B76B91"/>
    <w:rsid w:val="00B77EB1"/>
    <w:rsid w:val="00B811C6"/>
    <w:rsid w:val="00B855B0"/>
    <w:rsid w:val="00B870E9"/>
    <w:rsid w:val="00B92E08"/>
    <w:rsid w:val="00BC622A"/>
    <w:rsid w:val="00BE0A78"/>
    <w:rsid w:val="00BE79F0"/>
    <w:rsid w:val="00BF046D"/>
    <w:rsid w:val="00BF1190"/>
    <w:rsid w:val="00BF3774"/>
    <w:rsid w:val="00BF5D04"/>
    <w:rsid w:val="00C009AA"/>
    <w:rsid w:val="00C1164D"/>
    <w:rsid w:val="00C16861"/>
    <w:rsid w:val="00C16AF1"/>
    <w:rsid w:val="00C31517"/>
    <w:rsid w:val="00C346AB"/>
    <w:rsid w:val="00C404A6"/>
    <w:rsid w:val="00C40A36"/>
    <w:rsid w:val="00C44419"/>
    <w:rsid w:val="00C45E7B"/>
    <w:rsid w:val="00C471B1"/>
    <w:rsid w:val="00C5137F"/>
    <w:rsid w:val="00C52E24"/>
    <w:rsid w:val="00C55723"/>
    <w:rsid w:val="00C6316B"/>
    <w:rsid w:val="00C634A9"/>
    <w:rsid w:val="00C64586"/>
    <w:rsid w:val="00C70D53"/>
    <w:rsid w:val="00C73D0B"/>
    <w:rsid w:val="00C74F5C"/>
    <w:rsid w:val="00C772FF"/>
    <w:rsid w:val="00C80137"/>
    <w:rsid w:val="00C801AF"/>
    <w:rsid w:val="00C80256"/>
    <w:rsid w:val="00C94CD4"/>
    <w:rsid w:val="00C9747E"/>
    <w:rsid w:val="00CB6BC0"/>
    <w:rsid w:val="00CC1B7C"/>
    <w:rsid w:val="00CC727F"/>
    <w:rsid w:val="00CE29EA"/>
    <w:rsid w:val="00CF15C3"/>
    <w:rsid w:val="00CF2B6F"/>
    <w:rsid w:val="00CF2F3E"/>
    <w:rsid w:val="00CF58B6"/>
    <w:rsid w:val="00D0062D"/>
    <w:rsid w:val="00D015C4"/>
    <w:rsid w:val="00D017ED"/>
    <w:rsid w:val="00D040D3"/>
    <w:rsid w:val="00D04C65"/>
    <w:rsid w:val="00D153D8"/>
    <w:rsid w:val="00D201D2"/>
    <w:rsid w:val="00D224FE"/>
    <w:rsid w:val="00D23139"/>
    <w:rsid w:val="00D27297"/>
    <w:rsid w:val="00D425BB"/>
    <w:rsid w:val="00D453FA"/>
    <w:rsid w:val="00D6493E"/>
    <w:rsid w:val="00D7195D"/>
    <w:rsid w:val="00D7301E"/>
    <w:rsid w:val="00D81273"/>
    <w:rsid w:val="00D83AE1"/>
    <w:rsid w:val="00D855D4"/>
    <w:rsid w:val="00D902C9"/>
    <w:rsid w:val="00D93466"/>
    <w:rsid w:val="00DA1124"/>
    <w:rsid w:val="00DA64CB"/>
    <w:rsid w:val="00DB06B8"/>
    <w:rsid w:val="00DB6124"/>
    <w:rsid w:val="00DB74C2"/>
    <w:rsid w:val="00DB750B"/>
    <w:rsid w:val="00DB75B7"/>
    <w:rsid w:val="00DC0A2F"/>
    <w:rsid w:val="00DC18AB"/>
    <w:rsid w:val="00DC1948"/>
    <w:rsid w:val="00DC6E02"/>
    <w:rsid w:val="00DD28CD"/>
    <w:rsid w:val="00DE02AE"/>
    <w:rsid w:val="00DE1F37"/>
    <w:rsid w:val="00DE21D4"/>
    <w:rsid w:val="00DE39D1"/>
    <w:rsid w:val="00DF1D7F"/>
    <w:rsid w:val="00DF4BE4"/>
    <w:rsid w:val="00E01000"/>
    <w:rsid w:val="00E02382"/>
    <w:rsid w:val="00E02FB4"/>
    <w:rsid w:val="00E1324A"/>
    <w:rsid w:val="00E13FC7"/>
    <w:rsid w:val="00E20571"/>
    <w:rsid w:val="00E235F7"/>
    <w:rsid w:val="00E23659"/>
    <w:rsid w:val="00E23845"/>
    <w:rsid w:val="00E239D4"/>
    <w:rsid w:val="00E26130"/>
    <w:rsid w:val="00E40B22"/>
    <w:rsid w:val="00E44ED1"/>
    <w:rsid w:val="00E45619"/>
    <w:rsid w:val="00E4588F"/>
    <w:rsid w:val="00E46DA3"/>
    <w:rsid w:val="00E51BB1"/>
    <w:rsid w:val="00E55CB0"/>
    <w:rsid w:val="00E56F43"/>
    <w:rsid w:val="00E601C5"/>
    <w:rsid w:val="00E624A5"/>
    <w:rsid w:val="00E64BA4"/>
    <w:rsid w:val="00E7344E"/>
    <w:rsid w:val="00E773DF"/>
    <w:rsid w:val="00E82665"/>
    <w:rsid w:val="00E84A09"/>
    <w:rsid w:val="00EB0798"/>
    <w:rsid w:val="00EB40AD"/>
    <w:rsid w:val="00EB586E"/>
    <w:rsid w:val="00EB5FC8"/>
    <w:rsid w:val="00EC463D"/>
    <w:rsid w:val="00EC7A85"/>
    <w:rsid w:val="00ED2922"/>
    <w:rsid w:val="00ED3CAD"/>
    <w:rsid w:val="00ED5A41"/>
    <w:rsid w:val="00EE1DE8"/>
    <w:rsid w:val="00EE27C2"/>
    <w:rsid w:val="00EF4BAD"/>
    <w:rsid w:val="00EF59DC"/>
    <w:rsid w:val="00EF7743"/>
    <w:rsid w:val="00F033EC"/>
    <w:rsid w:val="00F04F68"/>
    <w:rsid w:val="00F12670"/>
    <w:rsid w:val="00F14B27"/>
    <w:rsid w:val="00F3148D"/>
    <w:rsid w:val="00F325C5"/>
    <w:rsid w:val="00F32FE0"/>
    <w:rsid w:val="00F35298"/>
    <w:rsid w:val="00F35B12"/>
    <w:rsid w:val="00F400D5"/>
    <w:rsid w:val="00F47333"/>
    <w:rsid w:val="00F47E37"/>
    <w:rsid w:val="00F53C07"/>
    <w:rsid w:val="00F54B65"/>
    <w:rsid w:val="00F61B5F"/>
    <w:rsid w:val="00F640B6"/>
    <w:rsid w:val="00F66DF2"/>
    <w:rsid w:val="00F80E40"/>
    <w:rsid w:val="00F848D9"/>
    <w:rsid w:val="00FA09D8"/>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965E4E"/>
  <w15:docId w15:val="{A28CB6F7-8925-45D6-9521-5EF3240C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1316B8"/>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316B8"/>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316B8"/>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1316B8"/>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1316B8"/>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TOC5">
    <w:name w:val="toc 5"/>
    <w:basedOn w:val="Normal"/>
    <w:next w:val="Normal"/>
    <w:autoRedefine/>
    <w:uiPriority w:val="39"/>
    <w:semiHidden/>
    <w:unhideWhenUsed/>
    <w:rsid w:val="005C4FC3"/>
    <w:pPr>
      <w:spacing w:after="100"/>
      <w:ind w:left="880"/>
    </w:pPr>
  </w:style>
  <w:style w:type="paragraph" w:customStyle="1" w:styleId="Bulletpoint">
    <w:name w:val="Bullet point"/>
    <w:basedOn w:val="Normal"/>
    <w:rsid w:val="00CE29EA"/>
    <w:pPr>
      <w:numPr>
        <w:numId w:val="29"/>
      </w:numPr>
      <w:tabs>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qFormat/>
    <w:rsid w:val="00CE29EA"/>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CE29EA"/>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CE29EA"/>
    <w:pPr>
      <w:numPr>
        <w:numId w:val="30"/>
      </w:numPr>
      <w:spacing w:after="180"/>
      <w:ind w:left="426" w:hanging="284"/>
    </w:pPr>
    <w:rPr>
      <w:kern w:val="2"/>
    </w:rPr>
  </w:style>
  <w:style w:type="character" w:customStyle="1" w:styleId="TabletextChar">
    <w:name w:val="Table text Char"/>
    <w:basedOn w:val="StandardChar"/>
    <w:link w:val="Tabletext"/>
    <w:rsid w:val="00CE29EA"/>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CE29EA"/>
    <w:rPr>
      <w:rFonts w:ascii="Cambria" w:eastAsia="Times New Roman" w:hAnsi="Cambria" w:cs="Times New Roman"/>
      <w:snapToGrid w:val="0"/>
      <w:kern w:val="2"/>
      <w:sz w:val="23"/>
      <w:szCs w:val="24"/>
    </w:rPr>
  </w:style>
  <w:style w:type="table" w:customStyle="1" w:styleId="TableTGAblue1">
    <w:name w:val="Table TGA blue1"/>
    <w:basedOn w:val="TableNormal"/>
    <w:uiPriority w:val="99"/>
    <w:qFormat/>
    <w:rsid w:val="00DE1F37"/>
    <w:pPr>
      <w:spacing w:after="0" w:line="240" w:lineRule="auto"/>
      <w:ind w:left="170" w:right="170"/>
    </w:pPr>
    <w:rPr>
      <w:rFonts w:ascii="Cambria" w:eastAsia="Calibri" w:hAnsi="Cambria" w:cs="Times New Roman"/>
      <w:color w:val="000000"/>
      <w:szCs w:val="21"/>
      <w:lang w:eastAsia="en-AU"/>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6028">
      <w:bodyDiv w:val="1"/>
      <w:marLeft w:val="0"/>
      <w:marRight w:val="0"/>
      <w:marTop w:val="0"/>
      <w:marBottom w:val="0"/>
      <w:divBdr>
        <w:top w:val="none" w:sz="0" w:space="0" w:color="auto"/>
        <w:left w:val="none" w:sz="0" w:space="0" w:color="auto"/>
        <w:bottom w:val="none" w:sz="0" w:space="0" w:color="auto"/>
        <w:right w:val="none" w:sz="0" w:space="0" w:color="auto"/>
      </w:divBdr>
    </w:div>
    <w:div w:id="245309499">
      <w:bodyDiv w:val="1"/>
      <w:marLeft w:val="0"/>
      <w:marRight w:val="0"/>
      <w:marTop w:val="0"/>
      <w:marBottom w:val="0"/>
      <w:divBdr>
        <w:top w:val="none" w:sz="0" w:space="0" w:color="auto"/>
        <w:left w:val="none" w:sz="0" w:space="0" w:color="auto"/>
        <w:bottom w:val="none" w:sz="0" w:space="0" w:color="auto"/>
        <w:right w:val="none" w:sz="0" w:space="0" w:color="auto"/>
      </w:divBdr>
    </w:div>
    <w:div w:id="282735044">
      <w:bodyDiv w:val="1"/>
      <w:marLeft w:val="0"/>
      <w:marRight w:val="0"/>
      <w:marTop w:val="0"/>
      <w:marBottom w:val="0"/>
      <w:divBdr>
        <w:top w:val="none" w:sz="0" w:space="0" w:color="auto"/>
        <w:left w:val="none" w:sz="0" w:space="0" w:color="auto"/>
        <w:bottom w:val="none" w:sz="0" w:space="0" w:color="auto"/>
        <w:right w:val="none" w:sz="0" w:space="0" w:color="auto"/>
      </w:divBdr>
    </w:div>
    <w:div w:id="344789979">
      <w:bodyDiv w:val="1"/>
      <w:marLeft w:val="0"/>
      <w:marRight w:val="0"/>
      <w:marTop w:val="0"/>
      <w:marBottom w:val="0"/>
      <w:divBdr>
        <w:top w:val="none" w:sz="0" w:space="0" w:color="auto"/>
        <w:left w:val="none" w:sz="0" w:space="0" w:color="auto"/>
        <w:bottom w:val="none" w:sz="0" w:space="0" w:color="auto"/>
        <w:right w:val="none" w:sz="0" w:space="0" w:color="auto"/>
      </w:divBdr>
    </w:div>
    <w:div w:id="1453986571">
      <w:bodyDiv w:val="1"/>
      <w:marLeft w:val="0"/>
      <w:marRight w:val="0"/>
      <w:marTop w:val="0"/>
      <w:marBottom w:val="0"/>
      <w:divBdr>
        <w:top w:val="none" w:sz="0" w:space="0" w:color="auto"/>
        <w:left w:val="none" w:sz="0" w:space="0" w:color="auto"/>
        <w:bottom w:val="none" w:sz="0" w:space="0" w:color="auto"/>
        <w:right w:val="none" w:sz="0" w:space="0" w:color="auto"/>
      </w:divBdr>
    </w:div>
    <w:div w:id="19538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6.png"/><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ga.gov.au/product-information-p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760CB-E610-41AC-9B9A-C946CD34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26</Pages>
  <Words>6404</Words>
  <Characters>36508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42827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Gilteritinib (as fumarate)</dc:title>
  <dc:subject>Prescription medicines</dc:subject>
  <dc:creator>Therapeutic Goods Administration</dc:creator>
  <cp:keywords>AusPARs</cp:keywords>
  <cp:lastPrinted>2019-08-14T04:30:00Z</cp:lastPrinted>
  <dcterms:created xsi:type="dcterms:W3CDTF">2020-09-05T19:46:00Z</dcterms:created>
  <dcterms:modified xsi:type="dcterms:W3CDTF">2020-09-11T00:56:00Z</dcterms:modified>
  <cp:category/>
</cp:coreProperties>
</file>