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38E4" w14:textId="77777777"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403193F5" wp14:editId="4905EA81">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05B02" w14:textId="77777777" w:rsidR="00306954" w:rsidRPr="00BE2A26" w:rsidRDefault="00306954"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03193F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7BA05B02" w14:textId="77777777" w:rsidR="00306954" w:rsidRPr="00BE2A26" w:rsidRDefault="00306954"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w:t>
      </w:r>
      <w:proofErr w:type="gramStart"/>
      <w:r w:rsidR="001A3992" w:rsidRPr="001A3992">
        <w:rPr>
          <w:rFonts w:asciiTheme="majorHAnsi" w:hAnsiTheme="majorHAnsi"/>
        </w:rPr>
        <w:t>are asked</w:t>
      </w:r>
      <w:proofErr w:type="gramEnd"/>
      <w:r w:rsidR="001A3992" w:rsidRPr="001A3992">
        <w:rPr>
          <w:rFonts w:asciiTheme="majorHAnsi" w:hAnsiTheme="majorHAnsi"/>
        </w:rPr>
        <w:t xml:space="preserve"> to report any suspected adverse events at </w:t>
      </w:r>
      <w:hyperlink r:id="rId8" w:history="1">
        <w:r w:rsidRPr="00375DF3">
          <w:rPr>
            <w:rStyle w:val="Hyperlink"/>
            <w:rFonts w:asciiTheme="majorHAnsi" w:hAnsiTheme="majorHAnsi"/>
          </w:rPr>
          <w:t>www.tga.gov.au/reporting-problems</w:t>
        </w:r>
      </w:hyperlink>
      <w:r w:rsidRPr="00375DF3">
        <w:rPr>
          <w:rFonts w:asciiTheme="majorHAnsi" w:hAnsiTheme="majorHAnsi"/>
        </w:rPr>
        <w:t>.</w:t>
      </w:r>
    </w:p>
    <w:p w14:paraId="0E472573" w14:textId="189E5E15" w:rsidR="006018AE" w:rsidRPr="009C133A" w:rsidRDefault="006018AE" w:rsidP="00592BD4">
      <w:pPr>
        <w:pStyle w:val="Heading1"/>
        <w:numPr>
          <w:ilvl w:val="0"/>
          <w:numId w:val="0"/>
        </w:numPr>
        <w:spacing w:after="240"/>
        <w:jc w:val="center"/>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B548B9">
        <w:rPr>
          <w:rFonts w:eastAsia="SimSun"/>
        </w:rPr>
        <w:t>XOSPATA</w:t>
      </w:r>
      <w:r w:rsidR="00592BD4" w:rsidRPr="00592BD4">
        <w:rPr>
          <w:rFonts w:eastAsia="SimSun"/>
          <w:vertAlign w:val="superscript"/>
        </w:rPr>
        <w:t>®</w:t>
      </w:r>
      <w:r w:rsidR="00592BD4">
        <w:rPr>
          <w:rFonts w:eastAsia="SimSun"/>
        </w:rPr>
        <w:t xml:space="preserve"> </w:t>
      </w:r>
      <w:r>
        <w:rPr>
          <w:rFonts w:eastAsia="SimSun"/>
        </w:rPr>
        <w:t>(</w:t>
      </w:r>
      <w:r w:rsidR="00592BD4">
        <w:rPr>
          <w:rFonts w:eastAsia="SimSun"/>
        </w:rPr>
        <w:t>GIlteritinib fumarate</w:t>
      </w:r>
      <w:r>
        <w:rPr>
          <w:rFonts w:eastAsia="SimSun"/>
        </w:rPr>
        <w:t>)</w:t>
      </w:r>
      <w:r w:rsidR="00A64655">
        <w:rPr>
          <w:rFonts w:eastAsia="SimSun"/>
        </w:rPr>
        <w:t xml:space="preserve"> </w:t>
      </w:r>
      <w:r w:rsidR="00592BD4">
        <w:rPr>
          <w:rFonts w:eastAsia="SimSun"/>
        </w:rPr>
        <w:t>film-coated tablets</w:t>
      </w:r>
    </w:p>
    <w:p w14:paraId="5A745D1B" w14:textId="77777777" w:rsidR="001A3992" w:rsidRDefault="001A3992" w:rsidP="001A3992">
      <w:pPr>
        <w:pStyle w:val="Heading1"/>
        <w:spacing w:before="0" w:after="120"/>
      </w:pPr>
      <w:r w:rsidRPr="00035C95">
        <w:t>Name of the medicine</w:t>
      </w:r>
    </w:p>
    <w:p w14:paraId="3D24CBB8" w14:textId="77777777" w:rsidR="00592BD4" w:rsidRPr="00592BD4" w:rsidRDefault="00592BD4" w:rsidP="00592BD4">
      <w:r w:rsidRPr="00357D82">
        <w:rPr>
          <w:iCs/>
          <w:noProof/>
        </w:rPr>
        <w:t>gilteritinib</w:t>
      </w:r>
      <w:r>
        <w:rPr>
          <w:iCs/>
          <w:noProof/>
        </w:rPr>
        <w:t xml:space="preserve"> fumarate</w:t>
      </w:r>
    </w:p>
    <w:p w14:paraId="47A835CC" w14:textId="77777777" w:rsidR="001A3992" w:rsidRDefault="001A3992" w:rsidP="001A3992">
      <w:pPr>
        <w:pStyle w:val="Heading1"/>
        <w:spacing w:before="0" w:after="120"/>
      </w:pPr>
      <w:r w:rsidRPr="00DE5A80">
        <w:t xml:space="preserve">Qualitative and </w:t>
      </w:r>
      <w:r>
        <w:t>quantitative c</w:t>
      </w:r>
      <w:r w:rsidRPr="00DE5A80">
        <w:t>omposition</w:t>
      </w:r>
    </w:p>
    <w:p w14:paraId="1B24B8CA" w14:textId="77777777" w:rsidR="00592BD4" w:rsidRPr="00592BD4" w:rsidRDefault="00592BD4" w:rsidP="00592BD4">
      <w:r w:rsidRPr="00592BD4">
        <w:rPr>
          <w:iCs/>
          <w:noProof/>
        </w:rPr>
        <w:t>Each film-coated tablet contains 44.2 mg gilteritinib fumarate (corresponding to 40 mg gilteritinib).</w:t>
      </w:r>
    </w:p>
    <w:p w14:paraId="6AD1E383" w14:textId="77777777" w:rsidR="005B2812" w:rsidRPr="00592BD4" w:rsidRDefault="005B2812" w:rsidP="005B2812">
      <w:pPr>
        <w:rPr>
          <w:rFonts w:cstheme="minorHAnsi"/>
        </w:rPr>
      </w:pPr>
      <w:r w:rsidRPr="00592BD4">
        <w:rPr>
          <w:rFonts w:cstheme="minorHAnsi"/>
          <w:lang w:val="en"/>
        </w:rPr>
        <w:t>For the full list of excipients</w:t>
      </w:r>
      <w:r w:rsidR="008843BF">
        <w:rPr>
          <w:rFonts w:cstheme="minorHAnsi"/>
          <w:lang w:val="en"/>
        </w:rPr>
        <w:t>, see s</w:t>
      </w:r>
      <w:r w:rsidRPr="00592BD4">
        <w:rPr>
          <w:rFonts w:cstheme="minorHAnsi"/>
          <w:lang w:val="en"/>
        </w:rPr>
        <w:t>ection 6.</w:t>
      </w:r>
      <w:r w:rsidR="00592BD4" w:rsidRPr="00592BD4">
        <w:rPr>
          <w:rFonts w:cstheme="minorHAnsi"/>
          <w:lang w:val="en"/>
        </w:rPr>
        <w:t>1 List of excipients.</w:t>
      </w:r>
    </w:p>
    <w:p w14:paraId="11121965" w14:textId="77777777" w:rsidR="001A3992" w:rsidRDefault="001A3992" w:rsidP="001A3992">
      <w:pPr>
        <w:pStyle w:val="Heading1"/>
        <w:spacing w:before="0" w:after="120"/>
      </w:pPr>
      <w:r w:rsidRPr="00035C95">
        <w:t>Pharmaceutical form</w:t>
      </w:r>
    </w:p>
    <w:p w14:paraId="7E64F474" w14:textId="77777777" w:rsidR="00592BD4" w:rsidRDefault="00592BD4" w:rsidP="00592BD4">
      <w:pPr>
        <w:rPr>
          <w:noProof/>
        </w:rPr>
      </w:pPr>
      <w:r>
        <w:rPr>
          <w:noProof/>
        </w:rPr>
        <w:t>Film-coated tablets.</w:t>
      </w:r>
    </w:p>
    <w:p w14:paraId="02031243" w14:textId="52A527C4" w:rsidR="00592BD4" w:rsidRPr="00357D82" w:rsidRDefault="00592BD4" w:rsidP="00592BD4">
      <w:pPr>
        <w:rPr>
          <w:noProof/>
        </w:rPr>
      </w:pPr>
      <w:r w:rsidRPr="000129A7">
        <w:rPr>
          <w:noProof/>
        </w:rPr>
        <w:t xml:space="preserve">Round, light yellow film-coated tablet, debossed with the </w:t>
      </w:r>
      <w:r w:rsidR="00DC7FC4">
        <w:rPr>
          <w:noProof/>
        </w:rPr>
        <w:t>Astellas</w:t>
      </w:r>
      <w:r w:rsidRPr="000129A7">
        <w:rPr>
          <w:noProof/>
        </w:rPr>
        <w:t xml:space="preserve"> logo and ‘235’ on the same side</w:t>
      </w:r>
      <w:r w:rsidR="005D460F">
        <w:rPr>
          <w:noProof/>
        </w:rPr>
        <w:t>.</w:t>
      </w:r>
    </w:p>
    <w:p w14:paraId="4AE03B3A" w14:textId="77777777" w:rsidR="001A3992" w:rsidRDefault="001A3992" w:rsidP="001A3992">
      <w:pPr>
        <w:pStyle w:val="Heading1"/>
        <w:spacing w:before="0" w:after="120"/>
      </w:pPr>
      <w:r w:rsidRPr="00035C95">
        <w:t>Clinical particulars</w:t>
      </w:r>
    </w:p>
    <w:p w14:paraId="174D0454" w14:textId="44C2A883" w:rsidR="001A3992" w:rsidRDefault="005D460F" w:rsidP="001A3992">
      <w:pPr>
        <w:pStyle w:val="Heading2"/>
        <w:spacing w:before="0" w:after="120"/>
      </w:pPr>
      <w:r>
        <w:t>Therapeutic indications</w:t>
      </w:r>
    </w:p>
    <w:p w14:paraId="20669F40" w14:textId="41D4E40E" w:rsidR="00DC7FC4" w:rsidRDefault="00B548B9" w:rsidP="00592BD4">
      <w:r>
        <w:t>XOSPATA</w:t>
      </w:r>
      <w:r w:rsidR="00592BD4">
        <w:t xml:space="preserve"> </w:t>
      </w:r>
      <w:proofErr w:type="gramStart"/>
      <w:r w:rsidR="00592BD4">
        <w:t>is indicated</w:t>
      </w:r>
      <w:proofErr w:type="gramEnd"/>
      <w:r w:rsidR="00592BD4">
        <w:t xml:space="preserve"> for the treatment of adult patients who have relapsed or refractory acute myeloid </w:t>
      </w:r>
      <w:r w:rsidR="009B6350">
        <w:t>leukaemia</w:t>
      </w:r>
      <w:r w:rsidR="00592BD4">
        <w:t xml:space="preserve"> (AML) with a FLT3 mutation</w:t>
      </w:r>
      <w:r w:rsidR="00DC7FC4">
        <w:t>.</w:t>
      </w:r>
    </w:p>
    <w:p w14:paraId="5B4AC0EA" w14:textId="2A5D7143" w:rsidR="001A3992" w:rsidRDefault="001A3992" w:rsidP="001A3992">
      <w:pPr>
        <w:pStyle w:val="Heading2"/>
        <w:spacing w:before="0" w:after="120"/>
      </w:pPr>
      <w:bookmarkStart w:id="0" w:name="_Ref1551521"/>
      <w:r>
        <w:t>Dose and method of administration</w:t>
      </w:r>
      <w:bookmarkEnd w:id="0"/>
    </w:p>
    <w:p w14:paraId="5DD7ADC5" w14:textId="55B340BF" w:rsidR="00C34C67" w:rsidRDefault="00C34C67" w:rsidP="00C34C67">
      <w:r>
        <w:t xml:space="preserve">Treatment with </w:t>
      </w:r>
      <w:r w:rsidR="00B548B9">
        <w:t>XOSPATA</w:t>
      </w:r>
      <w:r>
        <w:t xml:space="preserve"> </w:t>
      </w:r>
      <w:proofErr w:type="gramStart"/>
      <w:r>
        <w:t>should be initiated and supervised by a physician experienced in th</w:t>
      </w:r>
      <w:r w:rsidR="005D460F">
        <w:t>e use of anti-cancer therapies</w:t>
      </w:r>
      <w:proofErr w:type="gramEnd"/>
      <w:r w:rsidR="005D460F">
        <w:t>.</w:t>
      </w:r>
    </w:p>
    <w:p w14:paraId="36323EED" w14:textId="67A8216F" w:rsidR="00C34C67" w:rsidRDefault="00F63D56" w:rsidP="00C34C67">
      <w:pPr>
        <w:rPr>
          <w:u w:val="single"/>
        </w:rPr>
      </w:pPr>
      <w:r w:rsidRPr="00F63D56">
        <w:t xml:space="preserve">Before taking </w:t>
      </w:r>
      <w:r w:rsidR="003C0D74">
        <w:rPr>
          <w:rFonts w:eastAsia="Times New Roman" w:cs="Times New Roman"/>
          <w:noProof/>
          <w:lang w:val="en-GB"/>
        </w:rPr>
        <w:t>XOSPATA</w:t>
      </w:r>
      <w:r w:rsidRPr="00F63D56">
        <w:t>, relapsed or refractory AML patients must have confirmation of FMS-like tyrosine kinase 3 (FLT3) mutation (internal tandem duplication [ITD] or tyrosine kinase domain [TKD])</w:t>
      </w:r>
      <w:r w:rsidR="00DC7FC4" w:rsidRPr="00F63D56">
        <w:t>.</w:t>
      </w:r>
    </w:p>
    <w:p w14:paraId="40A4D434" w14:textId="77777777" w:rsidR="00592BD4" w:rsidRPr="00C34C67" w:rsidRDefault="00C34C67" w:rsidP="00C34C67">
      <w:pPr>
        <w:spacing w:after="120"/>
        <w:rPr>
          <w:b/>
          <w:bCs/>
        </w:rPr>
      </w:pPr>
      <w:r w:rsidRPr="00C34C67">
        <w:rPr>
          <w:b/>
          <w:bCs/>
        </w:rPr>
        <w:t>Dosage</w:t>
      </w:r>
    </w:p>
    <w:p w14:paraId="0E6D9B05" w14:textId="6163D7C9" w:rsidR="00C34C67" w:rsidRPr="00C34C67" w:rsidRDefault="00C34C67" w:rsidP="005D460F">
      <w:pPr>
        <w:tabs>
          <w:tab w:val="left" w:pos="567"/>
        </w:tabs>
        <w:spacing w:after="120" w:line="260" w:lineRule="exact"/>
        <w:rPr>
          <w:rFonts w:eastAsia="Times New Roman" w:cs="Times New Roman"/>
          <w:szCs w:val="20"/>
          <w:lang w:val="en-GB"/>
        </w:rPr>
      </w:pPr>
      <w:r w:rsidRPr="00C34C67">
        <w:rPr>
          <w:rFonts w:eastAsia="Times New Roman" w:cs="Times New Roman"/>
          <w:lang w:val="en-GB"/>
        </w:rPr>
        <w:t xml:space="preserve">The recommended starting dose of </w:t>
      </w:r>
      <w:r w:rsidR="00B548B9">
        <w:rPr>
          <w:rFonts w:eastAsia="Times New Roman" w:cs="Times New Roman"/>
          <w:noProof/>
          <w:lang w:val="en-GB"/>
        </w:rPr>
        <w:t>XOSPATA</w:t>
      </w:r>
      <w:r w:rsidRPr="00C34C67">
        <w:rPr>
          <w:rFonts w:eastAsia="Times New Roman" w:cs="Times New Roman"/>
          <w:noProof/>
          <w:lang w:val="en-GB"/>
        </w:rPr>
        <w:t xml:space="preserve"> </w:t>
      </w:r>
      <w:r w:rsidRPr="00C34C67">
        <w:rPr>
          <w:rFonts w:eastAsia="Times New Roman" w:cs="Times New Roman"/>
          <w:lang w:val="en-GB"/>
        </w:rPr>
        <w:t>is 120 mg (three 40 mg tablets) once daily.</w:t>
      </w:r>
    </w:p>
    <w:p w14:paraId="03B23188" w14:textId="5B58E772" w:rsidR="00F63D56" w:rsidRPr="00F63D56" w:rsidRDefault="00F63D56" w:rsidP="005D460F">
      <w:pPr>
        <w:tabs>
          <w:tab w:val="left" w:pos="567"/>
        </w:tabs>
        <w:spacing w:after="120" w:line="260" w:lineRule="exact"/>
        <w:rPr>
          <w:rFonts w:eastAsia="Times New Roman" w:cs="Times New Roman"/>
          <w:lang w:val="en-GB"/>
        </w:rPr>
      </w:pPr>
      <w:r w:rsidRPr="00F63D56">
        <w:rPr>
          <w:rFonts w:eastAsia="Times New Roman" w:cs="Times New Roman"/>
          <w:lang w:val="en-GB"/>
        </w:rPr>
        <w:t xml:space="preserve">Blood chemistries, including </w:t>
      </w:r>
      <w:proofErr w:type="spellStart"/>
      <w:r w:rsidRPr="00F63D56">
        <w:rPr>
          <w:rFonts w:eastAsia="Times New Roman" w:cs="Times New Roman"/>
          <w:lang w:val="en-GB"/>
        </w:rPr>
        <w:t>creatine</w:t>
      </w:r>
      <w:proofErr w:type="spellEnd"/>
      <w:r w:rsidRPr="00F63D56">
        <w:rPr>
          <w:rFonts w:eastAsia="Times New Roman" w:cs="Times New Roman"/>
          <w:lang w:val="en-GB"/>
        </w:rPr>
        <w:t xml:space="preserve"> phosphokinase, </w:t>
      </w:r>
      <w:proofErr w:type="gramStart"/>
      <w:r w:rsidRPr="00F63D56">
        <w:rPr>
          <w:rFonts w:eastAsia="Times New Roman" w:cs="Times New Roman"/>
          <w:lang w:val="en-GB"/>
        </w:rPr>
        <w:t>should be assessed</w:t>
      </w:r>
      <w:proofErr w:type="gramEnd"/>
      <w:r w:rsidRPr="00F63D56">
        <w:rPr>
          <w:rFonts w:eastAsia="Times New Roman" w:cs="Times New Roman"/>
          <w:lang w:val="en-GB"/>
        </w:rPr>
        <w:t xml:space="preserve"> prior to initiation of treatment, on day 15 and monthly</w:t>
      </w:r>
      <w:r w:rsidR="005D460F">
        <w:rPr>
          <w:rFonts w:eastAsia="Times New Roman" w:cs="Times New Roman"/>
          <w:lang w:val="en-GB"/>
        </w:rPr>
        <w:t xml:space="preserve"> for the duration of treatment.</w:t>
      </w:r>
    </w:p>
    <w:p w14:paraId="55AF64B5" w14:textId="464082D3" w:rsidR="00C34C67" w:rsidRPr="00C34C67" w:rsidRDefault="00F63D56" w:rsidP="005D460F">
      <w:pPr>
        <w:tabs>
          <w:tab w:val="left" w:pos="567"/>
        </w:tabs>
        <w:spacing w:after="120" w:line="260" w:lineRule="exact"/>
        <w:rPr>
          <w:rFonts w:eastAsia="Times New Roman" w:cs="Times New Roman"/>
          <w:lang w:val="en-GB"/>
        </w:rPr>
      </w:pPr>
      <w:r w:rsidRPr="00F63D56">
        <w:rPr>
          <w:rFonts w:eastAsia="Times New Roman" w:cs="Times New Roman"/>
          <w:lang w:val="en-GB"/>
        </w:rPr>
        <w:t xml:space="preserve">An electrocardiogram (ECG) </w:t>
      </w:r>
      <w:proofErr w:type="gramStart"/>
      <w:r w:rsidRPr="00F63D56">
        <w:rPr>
          <w:rFonts w:eastAsia="Times New Roman" w:cs="Times New Roman"/>
          <w:lang w:val="en-GB"/>
        </w:rPr>
        <w:t>should be performed</w:t>
      </w:r>
      <w:proofErr w:type="gramEnd"/>
      <w:r w:rsidRPr="00F63D56">
        <w:rPr>
          <w:rFonts w:eastAsia="Times New Roman" w:cs="Times New Roman"/>
          <w:lang w:val="en-GB"/>
        </w:rPr>
        <w:t xml:space="preserve"> before initiation of </w:t>
      </w:r>
      <w:r w:rsidR="003C0D74">
        <w:rPr>
          <w:rFonts w:eastAsia="Times New Roman" w:cs="Times New Roman"/>
          <w:noProof/>
          <w:lang w:val="en-GB"/>
        </w:rPr>
        <w:t>XOSPATA</w:t>
      </w:r>
      <w:r w:rsidRPr="00F63D56">
        <w:rPr>
          <w:rFonts w:eastAsia="Times New Roman" w:cs="Times New Roman"/>
          <w:lang w:val="en-GB"/>
        </w:rPr>
        <w:t xml:space="preserve"> treatment, on day </w:t>
      </w:r>
      <w:r w:rsidR="00261AA1">
        <w:rPr>
          <w:rFonts w:eastAsia="Times New Roman" w:cs="Times New Roman"/>
          <w:lang w:val="en-GB"/>
        </w:rPr>
        <w:t xml:space="preserve">8 and </w:t>
      </w:r>
      <w:r w:rsidRPr="00F63D56">
        <w:rPr>
          <w:rFonts w:eastAsia="Times New Roman" w:cs="Times New Roman"/>
          <w:lang w:val="en-GB"/>
        </w:rPr>
        <w:t xml:space="preserve">15 and prior to the start of the next </w:t>
      </w:r>
      <w:r w:rsidR="001434A4">
        <w:rPr>
          <w:rFonts w:eastAsia="Times New Roman" w:cs="Times New Roman"/>
          <w:lang w:val="en-GB"/>
        </w:rPr>
        <w:t>three</w:t>
      </w:r>
      <w:r w:rsidR="001434A4" w:rsidRPr="00F63D56">
        <w:rPr>
          <w:rFonts w:eastAsia="Times New Roman" w:cs="Times New Roman"/>
          <w:lang w:val="en-GB"/>
        </w:rPr>
        <w:t xml:space="preserve"> </w:t>
      </w:r>
      <w:r w:rsidRPr="00F63D56">
        <w:rPr>
          <w:rFonts w:eastAsia="Times New Roman" w:cs="Times New Roman"/>
          <w:lang w:val="en-GB"/>
        </w:rPr>
        <w:t>subsequent months of treatment. In addition, an ECG should be performed following the same schedule in case of dose increase</w:t>
      </w:r>
      <w:r w:rsidR="00C34C67" w:rsidRPr="00C34C67">
        <w:rPr>
          <w:rFonts w:eastAsia="Times New Roman" w:cs="Times New Roman"/>
          <w:lang w:val="en-GB"/>
        </w:rPr>
        <w:t xml:space="preserve"> (</w:t>
      </w:r>
      <w:r w:rsidR="008843BF">
        <w:rPr>
          <w:rFonts w:eastAsia="Times New Roman" w:cs="Times New Roman"/>
          <w:lang w:val="en-GB"/>
        </w:rPr>
        <w:t>see s</w:t>
      </w:r>
      <w:r w:rsidR="00C34C67">
        <w:rPr>
          <w:rFonts w:eastAsia="Times New Roman" w:cs="Times New Roman"/>
          <w:lang w:val="en-GB"/>
        </w:rPr>
        <w:t xml:space="preserve">ection 4.4 </w:t>
      </w:r>
      <w:r w:rsidR="00C34C67">
        <w:rPr>
          <w:rFonts w:eastAsia="Times New Roman" w:cs="Times New Roman"/>
          <w:lang w:val="en-GB"/>
        </w:rPr>
        <w:fldChar w:fldCharType="begin"/>
      </w:r>
      <w:r w:rsidR="00C34C67">
        <w:rPr>
          <w:rFonts w:eastAsia="Times New Roman" w:cs="Times New Roman"/>
          <w:lang w:val="en-GB"/>
        </w:rPr>
        <w:instrText xml:space="preserve"> REF _Ref1551717 \h </w:instrText>
      </w:r>
      <w:r w:rsidR="00C34C67">
        <w:rPr>
          <w:rFonts w:eastAsia="Times New Roman" w:cs="Times New Roman"/>
          <w:lang w:val="en-GB"/>
        </w:rPr>
      </w:r>
      <w:r w:rsidR="00C34C67">
        <w:rPr>
          <w:rFonts w:eastAsia="Times New Roman" w:cs="Times New Roman"/>
          <w:lang w:val="en-GB"/>
        </w:rPr>
        <w:fldChar w:fldCharType="separate"/>
      </w:r>
      <w:r w:rsidR="00C34C67">
        <w:t>Special warnings and precautions for use</w:t>
      </w:r>
      <w:r w:rsidR="00C34C67">
        <w:rPr>
          <w:rFonts w:eastAsia="Times New Roman" w:cs="Times New Roman"/>
          <w:lang w:val="en-GB"/>
        </w:rPr>
        <w:fldChar w:fldCharType="end"/>
      </w:r>
      <w:r w:rsidR="00C34C67">
        <w:rPr>
          <w:rFonts w:eastAsia="Times New Roman" w:cs="Times New Roman"/>
          <w:lang w:val="en-GB"/>
        </w:rPr>
        <w:t xml:space="preserve"> </w:t>
      </w:r>
      <w:r w:rsidR="00C34C67" w:rsidRPr="00C34C67">
        <w:rPr>
          <w:rFonts w:eastAsia="Times New Roman" w:cs="Times New Roman"/>
          <w:lang w:val="en-GB"/>
        </w:rPr>
        <w:t>and</w:t>
      </w:r>
      <w:r w:rsidR="00DC7FC4">
        <w:rPr>
          <w:rFonts w:eastAsia="Times New Roman" w:cs="Times New Roman"/>
          <w:lang w:val="en-GB"/>
        </w:rPr>
        <w:t xml:space="preserve"> section</w:t>
      </w:r>
      <w:r w:rsidR="00C34C67" w:rsidRPr="00C34C67">
        <w:rPr>
          <w:rFonts w:eastAsia="Times New Roman" w:cs="Times New Roman"/>
          <w:lang w:val="en-GB"/>
        </w:rPr>
        <w:t xml:space="preserve"> 4.8</w:t>
      </w:r>
      <w:r w:rsidR="00C34C67">
        <w:rPr>
          <w:rFonts w:eastAsia="Times New Roman" w:cs="Times New Roman"/>
          <w:lang w:val="en-GB"/>
        </w:rPr>
        <w:t xml:space="preserve"> </w:t>
      </w:r>
      <w:r w:rsidR="00C34C67">
        <w:rPr>
          <w:rFonts w:eastAsia="Times New Roman" w:cs="Times New Roman"/>
          <w:lang w:val="en-GB"/>
        </w:rPr>
        <w:fldChar w:fldCharType="begin"/>
      </w:r>
      <w:r w:rsidR="00C34C67">
        <w:rPr>
          <w:rFonts w:eastAsia="Times New Roman" w:cs="Times New Roman"/>
          <w:lang w:val="en-GB"/>
        </w:rPr>
        <w:instrText xml:space="preserve"> REF _Ref1551762 \h </w:instrText>
      </w:r>
      <w:r w:rsidR="00C34C67">
        <w:rPr>
          <w:rFonts w:eastAsia="Times New Roman" w:cs="Times New Roman"/>
          <w:lang w:val="en-GB"/>
        </w:rPr>
      </w:r>
      <w:r w:rsidR="00C34C67">
        <w:rPr>
          <w:rFonts w:eastAsia="Times New Roman" w:cs="Times New Roman"/>
          <w:lang w:val="en-GB"/>
        </w:rPr>
        <w:fldChar w:fldCharType="separate"/>
      </w:r>
      <w:r w:rsidR="00C34C67">
        <w:t>Adverse effects (Undesirable effects)</w:t>
      </w:r>
      <w:r w:rsidR="00C34C67">
        <w:rPr>
          <w:rFonts w:eastAsia="Times New Roman" w:cs="Times New Roman"/>
          <w:lang w:val="en-GB"/>
        </w:rPr>
        <w:fldChar w:fldCharType="end"/>
      </w:r>
      <w:r w:rsidR="005D460F">
        <w:rPr>
          <w:rFonts w:eastAsia="Times New Roman" w:cs="Times New Roman"/>
          <w:lang w:val="en-GB"/>
        </w:rPr>
        <w:t>).</w:t>
      </w:r>
    </w:p>
    <w:p w14:paraId="57C99890" w14:textId="77777777" w:rsidR="009579F6" w:rsidRDefault="00C34C67" w:rsidP="009579F6">
      <w:pPr>
        <w:spacing w:line="240" w:lineRule="auto"/>
      </w:pPr>
      <w:r w:rsidRPr="00C34C67">
        <w:rPr>
          <w:rFonts w:eastAsia="Times New Roman" w:cs="Times New Roman"/>
          <w:szCs w:val="20"/>
          <w:lang w:val="en-GB"/>
        </w:rPr>
        <w:lastRenderedPageBreak/>
        <w:t xml:space="preserve">Treatment should continue until the patient is no longer clinically benefiting from </w:t>
      </w:r>
      <w:r w:rsidR="00B548B9">
        <w:rPr>
          <w:rFonts w:eastAsia="Times New Roman" w:cs="Times New Roman"/>
          <w:szCs w:val="20"/>
          <w:lang w:val="en-GB"/>
        </w:rPr>
        <w:t>XOSPATA</w:t>
      </w:r>
      <w:r w:rsidR="009579F6">
        <w:rPr>
          <w:rFonts w:eastAsia="Times New Roman" w:cs="Times New Roman"/>
          <w:szCs w:val="20"/>
          <w:lang w:val="en-GB"/>
        </w:rPr>
        <w:t xml:space="preserve"> </w:t>
      </w:r>
      <w:r w:rsidR="009579F6">
        <w:t xml:space="preserve">or until unacceptable toxicity occurs. Response </w:t>
      </w:r>
      <w:proofErr w:type="gramStart"/>
      <w:r w:rsidR="009579F6">
        <w:t>may be delayed</w:t>
      </w:r>
      <w:proofErr w:type="gramEnd"/>
      <w:r w:rsidR="009579F6">
        <w:t>; therefore, continuation of treatment at the prescribed dose for up to 6 months should be considered to allow time for a clinical response.</w:t>
      </w:r>
    </w:p>
    <w:p w14:paraId="46A457D7" w14:textId="6BEEBF06" w:rsidR="00C34C67" w:rsidRPr="00C34C67" w:rsidRDefault="009579F6" w:rsidP="005D460F">
      <w:pPr>
        <w:tabs>
          <w:tab w:val="left" w:pos="567"/>
        </w:tabs>
        <w:spacing w:after="120" w:line="260" w:lineRule="exact"/>
        <w:rPr>
          <w:rFonts w:eastAsia="Times New Roman" w:cs="Times New Roman"/>
          <w:szCs w:val="20"/>
          <w:lang w:val="en-GB"/>
        </w:rPr>
      </w:pPr>
      <w:r>
        <w:t xml:space="preserve">In the absence of a response (patient did not achieve a </w:t>
      </w:r>
      <w:proofErr w:type="spellStart"/>
      <w:r>
        <w:t>CRc</w:t>
      </w:r>
      <w:proofErr w:type="spellEnd"/>
      <w:r>
        <w:t xml:space="preserve">) after 4 weeks of treatment, the dose </w:t>
      </w:r>
      <w:proofErr w:type="gramStart"/>
      <w:r>
        <w:t>can be increased</w:t>
      </w:r>
      <w:proofErr w:type="gramEnd"/>
      <w:r>
        <w:t xml:space="preserve"> to 200 mg (five 40 mg tablets) once daily, if tolerated or clinically warranted</w:t>
      </w:r>
      <w:r w:rsidR="00C34C67" w:rsidRPr="00C34C67">
        <w:rPr>
          <w:rFonts w:eastAsia="Times New Roman" w:cs="Times New Roman"/>
          <w:szCs w:val="20"/>
          <w:lang w:val="en-GB"/>
        </w:rPr>
        <w:t>.</w:t>
      </w:r>
    </w:p>
    <w:p w14:paraId="5EF2163D" w14:textId="77777777" w:rsidR="00C34C67" w:rsidRPr="00C34C67" w:rsidRDefault="00C34C67" w:rsidP="005D460F">
      <w:pPr>
        <w:tabs>
          <w:tab w:val="left" w:pos="567"/>
        </w:tabs>
        <w:spacing w:after="120" w:line="260" w:lineRule="exact"/>
        <w:rPr>
          <w:rFonts w:eastAsia="Times New Roman" w:cs="Times New Roman"/>
          <w:i/>
          <w:lang w:val="en-GB"/>
        </w:rPr>
      </w:pPr>
      <w:r w:rsidRPr="00C34C67">
        <w:rPr>
          <w:rFonts w:eastAsia="Times New Roman" w:cs="Times New Roman"/>
          <w:i/>
          <w:szCs w:val="20"/>
          <w:lang w:val="en-GB"/>
        </w:rPr>
        <w:t>Dose modifications</w:t>
      </w:r>
    </w:p>
    <w:p w14:paraId="3511DCC1" w14:textId="73CA1BC0" w:rsidR="00F66045" w:rsidRPr="00C34C67" w:rsidRDefault="00BA1D63" w:rsidP="005D460F">
      <w:pPr>
        <w:tabs>
          <w:tab w:val="left" w:pos="567"/>
        </w:tabs>
        <w:spacing w:after="120" w:line="260" w:lineRule="exact"/>
        <w:rPr>
          <w:rFonts w:eastAsia="Times New Roman" w:cs="Times New Roman"/>
          <w:lang w:val="en-GB"/>
        </w:rPr>
      </w:pPr>
      <w:r>
        <w:rPr>
          <w:rFonts w:eastAsia="Times New Roman" w:cs="Times New Roman"/>
          <w:szCs w:val="20"/>
          <w:lang w:val="en-GB"/>
        </w:rPr>
        <w:t xml:space="preserve">For </w:t>
      </w:r>
      <w:r w:rsidRPr="00BA1D63">
        <w:rPr>
          <w:rFonts w:eastAsia="Times New Roman" w:cs="Times New Roman"/>
          <w:szCs w:val="20"/>
          <w:lang w:val="en-GB"/>
        </w:rPr>
        <w:t xml:space="preserve">dose interruption, reduction and discontinuation </w:t>
      </w:r>
      <w:proofErr w:type="gramStart"/>
      <w:r w:rsidRPr="00BA1D63">
        <w:rPr>
          <w:rFonts w:eastAsia="Times New Roman" w:cs="Times New Roman"/>
          <w:szCs w:val="20"/>
          <w:lang w:val="en-GB"/>
        </w:rPr>
        <w:t>recommendations</w:t>
      </w:r>
      <w:r>
        <w:rPr>
          <w:rFonts w:eastAsia="Times New Roman" w:cs="Times New Roman"/>
          <w:szCs w:val="20"/>
          <w:lang w:val="en-GB"/>
        </w:rPr>
        <w:t>,</w:t>
      </w:r>
      <w:proofErr w:type="gramEnd"/>
      <w:r>
        <w:rPr>
          <w:rFonts w:eastAsia="Times New Roman" w:cs="Times New Roman"/>
          <w:szCs w:val="20"/>
          <w:lang w:val="en-GB"/>
        </w:rPr>
        <w:t xml:space="preserve"> see Table 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93"/>
      </w:tblGrid>
      <w:tr w:rsidR="00F63D56" w:rsidRPr="008348FE" w14:paraId="57895BE9" w14:textId="77777777" w:rsidTr="00F63D56">
        <w:trPr>
          <w:trHeight w:val="305"/>
        </w:trPr>
        <w:tc>
          <w:tcPr>
            <w:tcW w:w="9720" w:type="dxa"/>
            <w:gridSpan w:val="2"/>
            <w:tcBorders>
              <w:top w:val="nil"/>
              <w:left w:val="nil"/>
              <w:bottom w:val="single" w:sz="4" w:space="0" w:color="auto"/>
              <w:right w:val="nil"/>
            </w:tcBorders>
            <w:shd w:val="clear" w:color="auto" w:fill="auto"/>
            <w:vAlign w:val="bottom"/>
          </w:tcPr>
          <w:p w14:paraId="3715B9E5" w14:textId="62EDCF19" w:rsidR="00F63D56" w:rsidRPr="008348FE" w:rsidRDefault="00F63D56" w:rsidP="00F63D56">
            <w:pPr>
              <w:spacing w:after="120"/>
              <w:rPr>
                <w:b/>
              </w:rPr>
            </w:pPr>
            <w:r w:rsidRPr="008348FE">
              <w:rPr>
                <w:b/>
              </w:rPr>
              <w:t>Table 1. XOSPATA dose interruption, reduction and discontinuation recommendations in patients with relapsed or refractory AML</w:t>
            </w:r>
          </w:p>
        </w:tc>
      </w:tr>
      <w:tr w:rsidR="00F63D56" w:rsidRPr="008348FE" w14:paraId="3015209B" w14:textId="77777777" w:rsidTr="00F63D56">
        <w:trPr>
          <w:trHeight w:val="305"/>
        </w:trPr>
        <w:tc>
          <w:tcPr>
            <w:tcW w:w="4027" w:type="dxa"/>
            <w:tcBorders>
              <w:top w:val="single" w:sz="4" w:space="0" w:color="auto"/>
            </w:tcBorders>
            <w:shd w:val="clear" w:color="auto" w:fill="auto"/>
          </w:tcPr>
          <w:p w14:paraId="4B97CBB1" w14:textId="77777777" w:rsidR="00F63D56" w:rsidRPr="003C0D74" w:rsidRDefault="00F63D56" w:rsidP="00F63D56">
            <w:pPr>
              <w:rPr>
                <w:b/>
              </w:rPr>
            </w:pPr>
            <w:r w:rsidRPr="003C0D74">
              <w:rPr>
                <w:b/>
              </w:rPr>
              <w:t>Criteria</w:t>
            </w:r>
          </w:p>
        </w:tc>
        <w:tc>
          <w:tcPr>
            <w:tcW w:w="5693" w:type="dxa"/>
            <w:tcBorders>
              <w:top w:val="single" w:sz="4" w:space="0" w:color="auto"/>
            </w:tcBorders>
            <w:shd w:val="clear" w:color="auto" w:fill="auto"/>
          </w:tcPr>
          <w:p w14:paraId="196E1B2C" w14:textId="70EA59CD" w:rsidR="00F63D56" w:rsidRPr="00D919C2" w:rsidRDefault="00D919C2" w:rsidP="00F63D56">
            <w:pPr>
              <w:rPr>
                <w:b/>
              </w:rPr>
            </w:pPr>
            <w:r w:rsidRPr="00D919C2">
              <w:rPr>
                <w:b/>
              </w:rPr>
              <w:t>XOSPATA</w:t>
            </w:r>
            <w:r w:rsidR="00F63D56" w:rsidRPr="00D919C2">
              <w:rPr>
                <w:b/>
              </w:rPr>
              <w:t xml:space="preserve"> dosing</w:t>
            </w:r>
          </w:p>
        </w:tc>
      </w:tr>
      <w:tr w:rsidR="00F63D56" w:rsidRPr="008348FE" w14:paraId="28F6A089" w14:textId="77777777" w:rsidTr="00F63D56">
        <w:tc>
          <w:tcPr>
            <w:tcW w:w="4027" w:type="dxa"/>
            <w:shd w:val="clear" w:color="auto" w:fill="auto"/>
          </w:tcPr>
          <w:p w14:paraId="3590A7EF" w14:textId="3869AED0" w:rsidR="00F63D56" w:rsidRPr="003C0D74" w:rsidRDefault="003E36CA" w:rsidP="00F63D56">
            <w:r>
              <w:t>D</w:t>
            </w:r>
            <w:r w:rsidR="00F63D56" w:rsidRPr="003C0D74">
              <w:t>ifferentiation syndrome</w:t>
            </w:r>
          </w:p>
        </w:tc>
        <w:tc>
          <w:tcPr>
            <w:tcW w:w="5693" w:type="dxa"/>
            <w:shd w:val="clear" w:color="auto" w:fill="auto"/>
          </w:tcPr>
          <w:p w14:paraId="2EE0E4FD" w14:textId="5582A391" w:rsidR="008001DE" w:rsidRPr="008001DE" w:rsidRDefault="00F63D56" w:rsidP="008001DE">
            <w:pPr>
              <w:pStyle w:val="ListParagraph"/>
              <w:numPr>
                <w:ilvl w:val="0"/>
                <w:numId w:val="17"/>
              </w:numPr>
              <w:rPr>
                <w:rFonts w:ascii="Calibri" w:hAnsi="Calibri"/>
              </w:rPr>
            </w:pPr>
            <w:r w:rsidRPr="008001DE">
              <w:rPr>
                <w:rFonts w:ascii="Calibri" w:hAnsi="Calibri"/>
              </w:rPr>
              <w:t xml:space="preserve">If differentiation syndrome is suspected, </w:t>
            </w:r>
            <w:r w:rsidR="008001DE" w:rsidRPr="008001DE">
              <w:rPr>
                <w:rFonts w:ascii="Calibri" w:hAnsi="Calibri"/>
              </w:rPr>
              <w:t xml:space="preserve">administer systemic </w:t>
            </w:r>
            <w:proofErr w:type="gramStart"/>
            <w:r w:rsidR="008001DE" w:rsidRPr="008001DE">
              <w:rPr>
                <w:rFonts w:ascii="Calibri" w:hAnsi="Calibri"/>
              </w:rPr>
              <w:t>corticosteroids and initiate hemodynamic monitoring until symptom resolution</w:t>
            </w:r>
            <w:proofErr w:type="gramEnd"/>
            <w:r w:rsidR="008001DE" w:rsidRPr="008001DE">
              <w:rPr>
                <w:rFonts w:ascii="Calibri" w:hAnsi="Calibri"/>
              </w:rPr>
              <w:t xml:space="preserve"> and for a minimum of 3 days (see section 4.4 Special warnings and precautions for use).</w:t>
            </w:r>
          </w:p>
          <w:p w14:paraId="1264EF85" w14:textId="01E554D7" w:rsidR="008001DE" w:rsidRPr="008001DE" w:rsidRDefault="008001DE" w:rsidP="008001DE">
            <w:pPr>
              <w:pStyle w:val="ListParagraph"/>
              <w:numPr>
                <w:ilvl w:val="0"/>
                <w:numId w:val="17"/>
              </w:numPr>
              <w:rPr>
                <w:rFonts w:ascii="Calibri" w:hAnsi="Calibri"/>
              </w:rPr>
            </w:pPr>
            <w:r w:rsidRPr="008001DE">
              <w:rPr>
                <w:rFonts w:ascii="Calibri" w:hAnsi="Calibri"/>
              </w:rPr>
              <w:t xml:space="preserve">Interrupt </w:t>
            </w:r>
            <w:r w:rsidR="003C0D74" w:rsidRPr="008001DE">
              <w:rPr>
                <w:rFonts w:ascii="Calibri" w:eastAsia="Times New Roman" w:hAnsi="Calibri" w:cs="Times New Roman"/>
                <w:noProof/>
                <w:lang w:val="en-GB"/>
              </w:rPr>
              <w:t>XOSPATA</w:t>
            </w:r>
            <w:r w:rsidR="00F63D56" w:rsidRPr="008001DE">
              <w:rPr>
                <w:rFonts w:ascii="Calibri" w:hAnsi="Calibri"/>
              </w:rPr>
              <w:t xml:space="preserve"> if severe signs and/or symptoms persist for more than </w:t>
            </w:r>
            <w:proofErr w:type="gramStart"/>
            <w:r w:rsidR="00F63D56" w:rsidRPr="008001DE">
              <w:rPr>
                <w:rFonts w:ascii="Calibri" w:hAnsi="Calibri"/>
              </w:rPr>
              <w:t>48</w:t>
            </w:r>
            <w:proofErr w:type="gramEnd"/>
            <w:r w:rsidR="00F63D56" w:rsidRPr="008001DE">
              <w:rPr>
                <w:rFonts w:ascii="Calibri" w:hAnsi="Calibri"/>
              </w:rPr>
              <w:t xml:space="preserve"> hours after initiation of corticosteroids</w:t>
            </w:r>
            <w:r w:rsidRPr="008001DE">
              <w:rPr>
                <w:rFonts w:ascii="Calibri" w:hAnsi="Calibri"/>
              </w:rPr>
              <w:t xml:space="preserve"> (see section 4.4 Special warnings and precautions for use</w:t>
            </w:r>
            <w:r>
              <w:rPr>
                <w:rFonts w:ascii="Calibri" w:hAnsi="Calibri"/>
              </w:rPr>
              <w:t>)</w:t>
            </w:r>
            <w:r w:rsidR="005D460F">
              <w:rPr>
                <w:rFonts w:ascii="Calibri" w:hAnsi="Calibri"/>
              </w:rPr>
              <w:t>.</w:t>
            </w:r>
          </w:p>
          <w:p w14:paraId="09875C8F" w14:textId="4F2964A6" w:rsidR="00F63D56" w:rsidRPr="003C0D74" w:rsidRDefault="008001DE" w:rsidP="008001DE">
            <w:pPr>
              <w:pStyle w:val="ListParagraph"/>
              <w:numPr>
                <w:ilvl w:val="0"/>
                <w:numId w:val="17"/>
              </w:numPr>
            </w:pPr>
            <w:r w:rsidRPr="008001DE">
              <w:rPr>
                <w:rFonts w:ascii="Calibri" w:hAnsi="Calibri"/>
              </w:rPr>
              <w:t xml:space="preserve">Resume </w:t>
            </w:r>
            <w:r w:rsidR="003C0D74" w:rsidRPr="008001DE">
              <w:rPr>
                <w:rFonts w:ascii="Calibri" w:eastAsia="Times New Roman" w:hAnsi="Calibri" w:cs="Times New Roman"/>
                <w:noProof/>
                <w:lang w:val="en-GB"/>
              </w:rPr>
              <w:t>XOSPATA</w:t>
            </w:r>
            <w:r w:rsidR="00F63D56" w:rsidRPr="008001DE">
              <w:rPr>
                <w:rFonts w:ascii="Calibri" w:hAnsi="Calibri"/>
              </w:rPr>
              <w:t xml:space="preserve"> at the same dose when signs and symptoms improve to Grade 2</w:t>
            </w:r>
            <w:r w:rsidR="00F63D56" w:rsidRPr="008001DE">
              <w:rPr>
                <w:rFonts w:ascii="Calibri" w:hAnsi="Calibri"/>
                <w:vertAlign w:val="superscript"/>
              </w:rPr>
              <w:t>a</w:t>
            </w:r>
            <w:r w:rsidR="00F63D56" w:rsidRPr="008001DE">
              <w:rPr>
                <w:rFonts w:ascii="Calibri" w:hAnsi="Calibri"/>
              </w:rPr>
              <w:t xml:space="preserve"> or lower.</w:t>
            </w:r>
          </w:p>
        </w:tc>
      </w:tr>
      <w:tr w:rsidR="00F63D56" w:rsidRPr="008348FE" w14:paraId="37560A6F" w14:textId="77777777" w:rsidTr="00F63D56">
        <w:tc>
          <w:tcPr>
            <w:tcW w:w="4027" w:type="dxa"/>
            <w:shd w:val="clear" w:color="auto" w:fill="auto"/>
          </w:tcPr>
          <w:p w14:paraId="18795F4B" w14:textId="02070CF3" w:rsidR="00F63D56" w:rsidRPr="003C0D74" w:rsidRDefault="003E36CA" w:rsidP="00F63D56">
            <w:r>
              <w:t>P</w:t>
            </w:r>
            <w:r w:rsidR="00F63D56" w:rsidRPr="003C0D74">
              <w:t>osterior reversible encephalopathy syndrome</w:t>
            </w:r>
          </w:p>
        </w:tc>
        <w:tc>
          <w:tcPr>
            <w:tcW w:w="5693" w:type="dxa"/>
            <w:shd w:val="clear" w:color="auto" w:fill="auto"/>
          </w:tcPr>
          <w:p w14:paraId="03498A94" w14:textId="6388752E" w:rsidR="00F63D56" w:rsidRPr="00527C22" w:rsidRDefault="003C0D74" w:rsidP="00107AD0">
            <w:pPr>
              <w:pStyle w:val="ListParagraph"/>
              <w:numPr>
                <w:ilvl w:val="0"/>
                <w:numId w:val="18"/>
              </w:numPr>
              <w:rPr>
                <w:rFonts w:ascii="Calibri" w:hAnsi="Calibri"/>
              </w:rPr>
            </w:pPr>
            <w:r w:rsidRPr="00527C22">
              <w:rPr>
                <w:rFonts w:ascii="Calibri" w:eastAsia="Times New Roman" w:hAnsi="Calibri" w:cs="Times New Roman"/>
                <w:noProof/>
                <w:lang w:val="en-GB"/>
              </w:rPr>
              <w:t>XOSPATA</w:t>
            </w:r>
            <w:r w:rsidRPr="00527C22">
              <w:rPr>
                <w:rFonts w:ascii="Calibri" w:hAnsi="Calibri"/>
              </w:rPr>
              <w:t xml:space="preserve"> </w:t>
            </w:r>
            <w:proofErr w:type="gramStart"/>
            <w:r w:rsidR="00F63D56" w:rsidRPr="00527C22">
              <w:rPr>
                <w:rFonts w:ascii="Calibri" w:hAnsi="Calibri"/>
              </w:rPr>
              <w:t>should be discontinued</w:t>
            </w:r>
            <w:proofErr w:type="gramEnd"/>
            <w:r w:rsidR="00F63D56" w:rsidRPr="00527C22">
              <w:rPr>
                <w:rFonts w:ascii="Calibri" w:hAnsi="Calibri"/>
              </w:rPr>
              <w:t>.</w:t>
            </w:r>
          </w:p>
        </w:tc>
      </w:tr>
      <w:tr w:rsidR="00F63D56" w:rsidRPr="008348FE" w14:paraId="718E4792" w14:textId="77777777" w:rsidTr="00F63D56">
        <w:tc>
          <w:tcPr>
            <w:tcW w:w="4027" w:type="dxa"/>
            <w:shd w:val="clear" w:color="auto" w:fill="auto"/>
          </w:tcPr>
          <w:p w14:paraId="7ADB26C7" w14:textId="77777777" w:rsidR="00F63D56" w:rsidRPr="003C0D74" w:rsidRDefault="00F63D56" w:rsidP="00F63D56">
            <w:proofErr w:type="spellStart"/>
            <w:r w:rsidRPr="003C0D74">
              <w:t>QTc</w:t>
            </w:r>
            <w:proofErr w:type="spellEnd"/>
            <w:r w:rsidRPr="003C0D74">
              <w:t xml:space="preserve"> interval &gt;500 </w:t>
            </w:r>
            <w:proofErr w:type="spellStart"/>
            <w:r w:rsidRPr="003C0D74">
              <w:t>msec</w:t>
            </w:r>
            <w:proofErr w:type="spellEnd"/>
          </w:p>
        </w:tc>
        <w:tc>
          <w:tcPr>
            <w:tcW w:w="5693" w:type="dxa"/>
            <w:shd w:val="clear" w:color="auto" w:fill="auto"/>
          </w:tcPr>
          <w:p w14:paraId="03831E76" w14:textId="77777777" w:rsidR="00107AD0" w:rsidRPr="00527C22" w:rsidRDefault="003C0D74" w:rsidP="00107AD0">
            <w:pPr>
              <w:pStyle w:val="ListParagraph"/>
              <w:numPr>
                <w:ilvl w:val="0"/>
                <w:numId w:val="18"/>
              </w:numPr>
              <w:rPr>
                <w:rFonts w:ascii="Calibri" w:hAnsi="Calibri"/>
              </w:rPr>
            </w:pPr>
            <w:r w:rsidRPr="00527C22">
              <w:rPr>
                <w:rFonts w:ascii="Calibri" w:eastAsia="Times New Roman" w:hAnsi="Calibri" w:cs="Times New Roman"/>
                <w:noProof/>
                <w:lang w:val="en-GB"/>
              </w:rPr>
              <w:t>XOSPATA</w:t>
            </w:r>
            <w:r w:rsidR="00F63D56" w:rsidRPr="00527C22">
              <w:rPr>
                <w:rFonts w:ascii="Calibri" w:hAnsi="Calibri"/>
              </w:rPr>
              <w:t xml:space="preserve"> </w:t>
            </w:r>
            <w:proofErr w:type="gramStart"/>
            <w:r w:rsidR="00F63D56" w:rsidRPr="00527C22">
              <w:rPr>
                <w:rFonts w:ascii="Calibri" w:hAnsi="Calibri"/>
              </w:rPr>
              <w:t>should be interrupted</w:t>
            </w:r>
            <w:proofErr w:type="gramEnd"/>
            <w:r w:rsidR="00F63D56" w:rsidRPr="00527C22">
              <w:rPr>
                <w:rFonts w:ascii="Calibri" w:hAnsi="Calibri"/>
              </w:rPr>
              <w:t xml:space="preserve">. </w:t>
            </w:r>
          </w:p>
          <w:p w14:paraId="446BAB0F" w14:textId="0F236F77" w:rsidR="00F63D56" w:rsidRPr="003C0D74" w:rsidRDefault="00F63D56" w:rsidP="00287F87">
            <w:pPr>
              <w:pStyle w:val="ListParagraph"/>
              <w:numPr>
                <w:ilvl w:val="0"/>
                <w:numId w:val="18"/>
              </w:numPr>
            </w:pPr>
            <w:r w:rsidRPr="00527C22">
              <w:rPr>
                <w:rFonts w:ascii="Calibri" w:hAnsi="Calibri"/>
              </w:rPr>
              <w:t xml:space="preserve">Treatment with </w:t>
            </w:r>
            <w:r w:rsidR="003C0D74" w:rsidRPr="00527C22">
              <w:rPr>
                <w:rFonts w:ascii="Calibri" w:eastAsia="Times New Roman" w:hAnsi="Calibri" w:cs="Times New Roman"/>
                <w:noProof/>
                <w:lang w:val="en-GB"/>
              </w:rPr>
              <w:t>XOSPATA</w:t>
            </w:r>
            <w:r w:rsidRPr="00527C22">
              <w:rPr>
                <w:rFonts w:ascii="Calibri" w:hAnsi="Calibri"/>
              </w:rPr>
              <w:t xml:space="preserve"> can be resumed at a reduced dose (80 mg or 120 </w:t>
            </w:r>
            <w:proofErr w:type="spellStart"/>
            <w:r w:rsidRPr="00527C22">
              <w:rPr>
                <w:rFonts w:ascii="Calibri" w:hAnsi="Calibri"/>
              </w:rPr>
              <w:t>mg</w:t>
            </w:r>
            <w:r w:rsidRPr="00527C22">
              <w:rPr>
                <w:rFonts w:ascii="Calibri" w:hAnsi="Calibri"/>
                <w:vertAlign w:val="superscript"/>
              </w:rPr>
              <w:t>b</w:t>
            </w:r>
            <w:proofErr w:type="spellEnd"/>
            <w:r w:rsidRPr="00527C22">
              <w:rPr>
                <w:rFonts w:ascii="Calibri" w:hAnsi="Calibri"/>
              </w:rPr>
              <w:t xml:space="preserve">) when </w:t>
            </w:r>
            <w:proofErr w:type="spellStart"/>
            <w:r w:rsidRPr="00527C22">
              <w:rPr>
                <w:rFonts w:ascii="Calibri" w:hAnsi="Calibri"/>
              </w:rPr>
              <w:t>QTc</w:t>
            </w:r>
            <w:proofErr w:type="spellEnd"/>
            <w:r w:rsidRPr="00527C22">
              <w:rPr>
                <w:rFonts w:ascii="Calibri" w:hAnsi="Calibri"/>
              </w:rPr>
              <w:t xml:space="preserve"> interval returns to </w:t>
            </w:r>
            <w:r w:rsidR="00107AD0" w:rsidRPr="00527C22">
              <w:rPr>
                <w:rFonts w:ascii="Calibri" w:hAnsi="Calibri"/>
              </w:rPr>
              <w:t xml:space="preserve">within 30 </w:t>
            </w:r>
            <w:proofErr w:type="spellStart"/>
            <w:r w:rsidR="00107AD0" w:rsidRPr="00527C22">
              <w:rPr>
                <w:rFonts w:ascii="Calibri" w:hAnsi="Calibri"/>
              </w:rPr>
              <w:t>msec</w:t>
            </w:r>
            <w:proofErr w:type="spellEnd"/>
            <w:r w:rsidR="00107AD0" w:rsidRPr="00527C22">
              <w:rPr>
                <w:rFonts w:ascii="Calibri" w:hAnsi="Calibri"/>
              </w:rPr>
              <w:t xml:space="preserve"> of </w:t>
            </w:r>
            <w:r w:rsidRPr="00527C22">
              <w:rPr>
                <w:rFonts w:ascii="Calibri" w:hAnsi="Calibri"/>
              </w:rPr>
              <w:t xml:space="preserve">baseline or </w:t>
            </w:r>
            <w:r w:rsidR="00287F87">
              <w:rPr>
                <w:rFonts w:ascii="Calibri" w:hAnsi="Calibri"/>
              </w:rPr>
              <w:sym w:font="Symbol" w:char="F0A3"/>
            </w:r>
            <w:r w:rsidRPr="00527C22">
              <w:rPr>
                <w:rFonts w:ascii="Calibri" w:hAnsi="Calibri"/>
              </w:rPr>
              <w:t>480 msec.</w:t>
            </w:r>
          </w:p>
        </w:tc>
      </w:tr>
      <w:tr w:rsidR="00306954" w:rsidRPr="008348FE" w14:paraId="4B7DAD1F" w14:textId="77777777" w:rsidTr="00F63D56">
        <w:tc>
          <w:tcPr>
            <w:tcW w:w="4027" w:type="dxa"/>
            <w:shd w:val="clear" w:color="auto" w:fill="auto"/>
          </w:tcPr>
          <w:p w14:paraId="6EE54F1C" w14:textId="66061099" w:rsidR="00306954" w:rsidRPr="00306954" w:rsidRDefault="00306954" w:rsidP="00306954">
            <w:proofErr w:type="spellStart"/>
            <w:r w:rsidRPr="00306954">
              <w:t>QTc</w:t>
            </w:r>
            <w:proofErr w:type="spellEnd"/>
            <w:r w:rsidRPr="00306954">
              <w:t xml:space="preserve"> interval increased by &gt;30 </w:t>
            </w:r>
            <w:proofErr w:type="spellStart"/>
            <w:r w:rsidRPr="00306954">
              <w:t>msec</w:t>
            </w:r>
            <w:proofErr w:type="spellEnd"/>
            <w:r w:rsidRPr="00306954">
              <w:t xml:space="preserve"> on ECG on day 8 of cycle 1</w:t>
            </w:r>
          </w:p>
        </w:tc>
        <w:tc>
          <w:tcPr>
            <w:tcW w:w="5693" w:type="dxa"/>
            <w:shd w:val="clear" w:color="auto" w:fill="auto"/>
          </w:tcPr>
          <w:p w14:paraId="1D32841C" w14:textId="77777777" w:rsidR="00306954" w:rsidRDefault="006827C1" w:rsidP="006827C1">
            <w:pPr>
              <w:pStyle w:val="ListParagraph"/>
              <w:numPr>
                <w:ilvl w:val="0"/>
                <w:numId w:val="18"/>
              </w:numPr>
              <w:rPr>
                <w:rFonts w:asciiTheme="minorHAnsi" w:eastAsia="Times New Roman" w:hAnsiTheme="minorHAnsi" w:cs="Times New Roman"/>
                <w:noProof/>
                <w:lang w:val="en-GB"/>
              </w:rPr>
            </w:pPr>
            <w:r>
              <w:rPr>
                <w:rFonts w:asciiTheme="minorHAnsi" w:eastAsia="Times New Roman" w:hAnsiTheme="minorHAnsi" w:cs="Times New Roman"/>
                <w:noProof/>
                <w:lang w:val="en-GB"/>
              </w:rPr>
              <w:t>C</w:t>
            </w:r>
            <w:r w:rsidRPr="006827C1">
              <w:rPr>
                <w:rFonts w:asciiTheme="minorHAnsi" w:eastAsia="Times New Roman" w:hAnsiTheme="minorHAnsi" w:cs="Times New Roman"/>
                <w:noProof/>
                <w:lang w:val="en-GB"/>
              </w:rPr>
              <w:t>onfirm with ECG on day 9.</w:t>
            </w:r>
          </w:p>
          <w:p w14:paraId="6E18E107" w14:textId="1D10E1DC" w:rsidR="006827C1" w:rsidRPr="00306954" w:rsidRDefault="006827C1" w:rsidP="006827C1">
            <w:pPr>
              <w:pStyle w:val="ListParagraph"/>
              <w:numPr>
                <w:ilvl w:val="0"/>
                <w:numId w:val="18"/>
              </w:numPr>
              <w:rPr>
                <w:rFonts w:asciiTheme="minorHAnsi" w:eastAsia="Times New Roman" w:hAnsiTheme="minorHAnsi" w:cs="Times New Roman"/>
                <w:noProof/>
                <w:lang w:val="en-GB"/>
              </w:rPr>
            </w:pPr>
            <w:r>
              <w:rPr>
                <w:rFonts w:asciiTheme="minorHAnsi" w:eastAsia="Times New Roman" w:hAnsiTheme="minorHAnsi" w:cs="Times New Roman"/>
                <w:noProof/>
                <w:lang w:val="en-GB"/>
              </w:rPr>
              <w:t xml:space="preserve">If </w:t>
            </w:r>
            <w:r w:rsidRPr="006827C1">
              <w:rPr>
                <w:rFonts w:asciiTheme="minorHAnsi" w:eastAsia="Times New Roman" w:hAnsiTheme="minorHAnsi" w:cs="Times New Roman"/>
                <w:noProof/>
                <w:lang w:val="en-GB"/>
              </w:rPr>
              <w:t>confirmed, consider dose reduction to 80 mg or 120 mg</w:t>
            </w:r>
            <w:r w:rsidRPr="006827C1">
              <w:rPr>
                <w:rFonts w:asciiTheme="minorHAnsi" w:eastAsia="Times New Roman" w:hAnsiTheme="minorHAnsi" w:cs="Times New Roman"/>
                <w:noProof/>
                <w:vertAlign w:val="superscript"/>
                <w:lang w:val="en-GB"/>
              </w:rPr>
              <w:t>b</w:t>
            </w:r>
            <w:r w:rsidRPr="006827C1">
              <w:rPr>
                <w:rFonts w:asciiTheme="minorHAnsi" w:eastAsia="Times New Roman" w:hAnsiTheme="minorHAnsi" w:cs="Times New Roman"/>
                <w:noProof/>
                <w:lang w:val="en-GB"/>
              </w:rPr>
              <w:t>.</w:t>
            </w:r>
          </w:p>
        </w:tc>
      </w:tr>
      <w:tr w:rsidR="00F63D56" w:rsidRPr="008348FE" w14:paraId="27C1CE3A" w14:textId="77777777" w:rsidTr="00F63D56">
        <w:trPr>
          <w:trHeight w:val="305"/>
        </w:trPr>
        <w:tc>
          <w:tcPr>
            <w:tcW w:w="4027" w:type="dxa"/>
            <w:shd w:val="clear" w:color="auto" w:fill="auto"/>
          </w:tcPr>
          <w:p w14:paraId="7A5CA62B" w14:textId="77777777" w:rsidR="00F63D56" w:rsidRPr="003C0D74" w:rsidRDefault="00F63D56" w:rsidP="00F63D56">
            <w:r w:rsidRPr="003C0D74">
              <w:t>Symptoms of pancreatitis</w:t>
            </w:r>
          </w:p>
        </w:tc>
        <w:tc>
          <w:tcPr>
            <w:tcW w:w="5693" w:type="dxa"/>
            <w:shd w:val="clear" w:color="auto" w:fill="auto"/>
          </w:tcPr>
          <w:p w14:paraId="1FB756D6" w14:textId="77777777" w:rsidR="00107AD0" w:rsidRPr="00527C22" w:rsidRDefault="003C0D74" w:rsidP="00107AD0">
            <w:pPr>
              <w:pStyle w:val="ListParagraph"/>
              <w:numPr>
                <w:ilvl w:val="0"/>
                <w:numId w:val="19"/>
              </w:numPr>
              <w:rPr>
                <w:rFonts w:ascii="Calibri" w:hAnsi="Calibri"/>
              </w:rPr>
            </w:pPr>
            <w:r w:rsidRPr="00527C22">
              <w:rPr>
                <w:rFonts w:ascii="Calibri" w:eastAsia="Times New Roman" w:hAnsi="Calibri" w:cs="Times New Roman"/>
                <w:noProof/>
                <w:lang w:val="en-GB"/>
              </w:rPr>
              <w:t>XOSPATA</w:t>
            </w:r>
            <w:r w:rsidR="00F63D56" w:rsidRPr="00527C22">
              <w:rPr>
                <w:rFonts w:ascii="Calibri" w:hAnsi="Calibri"/>
              </w:rPr>
              <w:t xml:space="preserve"> </w:t>
            </w:r>
            <w:proofErr w:type="gramStart"/>
            <w:r w:rsidR="00F63D56" w:rsidRPr="00527C22">
              <w:rPr>
                <w:rFonts w:ascii="Calibri" w:hAnsi="Calibri"/>
              </w:rPr>
              <w:t>should be interrupted</w:t>
            </w:r>
            <w:proofErr w:type="gramEnd"/>
            <w:r w:rsidR="00F63D56" w:rsidRPr="00527C22">
              <w:rPr>
                <w:rFonts w:ascii="Calibri" w:hAnsi="Calibri"/>
              </w:rPr>
              <w:t xml:space="preserve"> until pancreatitis is resolved. </w:t>
            </w:r>
          </w:p>
          <w:p w14:paraId="4F5FC2D2" w14:textId="05B22EBA" w:rsidR="00F63D56" w:rsidRPr="003C0D74" w:rsidRDefault="00F63D56" w:rsidP="00107AD0">
            <w:pPr>
              <w:pStyle w:val="ListParagraph"/>
              <w:numPr>
                <w:ilvl w:val="0"/>
                <w:numId w:val="19"/>
              </w:numPr>
            </w:pPr>
            <w:r w:rsidRPr="00527C22">
              <w:rPr>
                <w:rFonts w:ascii="Calibri" w:hAnsi="Calibri"/>
              </w:rPr>
              <w:t xml:space="preserve">Treatment with </w:t>
            </w:r>
            <w:r w:rsidR="009B6350" w:rsidRPr="00527C22">
              <w:rPr>
                <w:rFonts w:ascii="Calibri" w:hAnsi="Calibri"/>
              </w:rPr>
              <w:t>XOSPATA</w:t>
            </w:r>
            <w:r w:rsidRPr="00527C22">
              <w:rPr>
                <w:rFonts w:ascii="Calibri" w:hAnsi="Calibri"/>
              </w:rPr>
              <w:t xml:space="preserve"> </w:t>
            </w:r>
            <w:proofErr w:type="gramStart"/>
            <w:r w:rsidRPr="00527C22">
              <w:rPr>
                <w:rFonts w:ascii="Calibri" w:hAnsi="Calibri"/>
              </w:rPr>
              <w:t>can be resumed</w:t>
            </w:r>
            <w:proofErr w:type="gramEnd"/>
            <w:r w:rsidRPr="00527C22">
              <w:rPr>
                <w:rFonts w:ascii="Calibri" w:hAnsi="Calibri"/>
              </w:rPr>
              <w:t xml:space="preserve"> at a reduced dose (80 mg or 120 </w:t>
            </w:r>
            <w:proofErr w:type="spellStart"/>
            <w:r w:rsidRPr="00527C22">
              <w:rPr>
                <w:rFonts w:ascii="Calibri" w:hAnsi="Calibri"/>
              </w:rPr>
              <w:t>mg</w:t>
            </w:r>
            <w:r w:rsidRPr="00527C22">
              <w:rPr>
                <w:rFonts w:ascii="Calibri" w:hAnsi="Calibri"/>
                <w:vertAlign w:val="superscript"/>
              </w:rPr>
              <w:t>b</w:t>
            </w:r>
            <w:proofErr w:type="spellEnd"/>
            <w:r w:rsidRPr="00527C22">
              <w:rPr>
                <w:rFonts w:ascii="Calibri" w:hAnsi="Calibri"/>
              </w:rPr>
              <w:t>).</w:t>
            </w:r>
          </w:p>
        </w:tc>
      </w:tr>
      <w:tr w:rsidR="00F63D56" w:rsidRPr="008348FE" w14:paraId="2BFBC5EC" w14:textId="77777777" w:rsidTr="00F63D56">
        <w:trPr>
          <w:trHeight w:val="305"/>
        </w:trPr>
        <w:tc>
          <w:tcPr>
            <w:tcW w:w="4027" w:type="dxa"/>
            <w:shd w:val="clear" w:color="auto" w:fill="auto"/>
          </w:tcPr>
          <w:p w14:paraId="51115C0A" w14:textId="77777777" w:rsidR="00F63D56" w:rsidRPr="003C0D74" w:rsidRDefault="00F63D56" w:rsidP="00F63D56">
            <w:r w:rsidRPr="003C0D74">
              <w:t>Other Grade 3a or higher toxicity considered related to treatment.</w:t>
            </w:r>
          </w:p>
        </w:tc>
        <w:tc>
          <w:tcPr>
            <w:tcW w:w="5693" w:type="dxa"/>
            <w:shd w:val="clear" w:color="auto" w:fill="auto"/>
          </w:tcPr>
          <w:p w14:paraId="4177C6A5" w14:textId="2AF8BAAB" w:rsidR="001C65D9" w:rsidRDefault="003C0D74" w:rsidP="00C20322">
            <w:pPr>
              <w:pStyle w:val="ListParagraph"/>
              <w:numPr>
                <w:ilvl w:val="0"/>
                <w:numId w:val="20"/>
              </w:numPr>
              <w:rPr>
                <w:rFonts w:asciiTheme="minorHAnsi" w:hAnsiTheme="minorHAnsi"/>
              </w:rPr>
            </w:pPr>
            <w:r w:rsidRPr="003C0D74">
              <w:rPr>
                <w:rFonts w:asciiTheme="minorHAnsi" w:eastAsia="Times New Roman" w:hAnsiTheme="minorHAnsi" w:cs="Times New Roman"/>
                <w:noProof/>
                <w:lang w:val="en-GB"/>
              </w:rPr>
              <w:t>XOSPATA</w:t>
            </w:r>
            <w:r w:rsidR="00F63D56" w:rsidRPr="003C0D74">
              <w:rPr>
                <w:rFonts w:asciiTheme="minorHAnsi" w:hAnsiTheme="minorHAnsi"/>
              </w:rPr>
              <w:t xml:space="preserve"> </w:t>
            </w:r>
            <w:proofErr w:type="gramStart"/>
            <w:r w:rsidR="00F63D56" w:rsidRPr="003C0D74">
              <w:rPr>
                <w:rFonts w:asciiTheme="minorHAnsi" w:hAnsiTheme="minorHAnsi"/>
              </w:rPr>
              <w:t>should be interrupted</w:t>
            </w:r>
            <w:proofErr w:type="gramEnd"/>
            <w:r w:rsidR="00F63D56" w:rsidRPr="003C0D74">
              <w:rPr>
                <w:rFonts w:asciiTheme="minorHAnsi" w:hAnsiTheme="minorHAnsi"/>
              </w:rPr>
              <w:t xml:space="preserve"> until toxicity resolves or improves to Grade 1</w:t>
            </w:r>
            <w:r w:rsidR="00F63D56" w:rsidRPr="00C20322">
              <w:rPr>
                <w:rFonts w:asciiTheme="minorHAnsi" w:hAnsiTheme="minorHAnsi"/>
                <w:vertAlign w:val="superscript"/>
              </w:rPr>
              <w:t>a</w:t>
            </w:r>
            <w:r w:rsidR="00AA659A">
              <w:rPr>
                <w:rFonts w:asciiTheme="minorHAnsi" w:hAnsiTheme="minorHAnsi"/>
              </w:rPr>
              <w:t>.</w:t>
            </w:r>
          </w:p>
          <w:p w14:paraId="2204C4BA" w14:textId="5ABDE144" w:rsidR="00F63D56" w:rsidRPr="003C0D74" w:rsidRDefault="00F63D56" w:rsidP="00C20322">
            <w:pPr>
              <w:pStyle w:val="ListParagraph"/>
              <w:numPr>
                <w:ilvl w:val="0"/>
                <w:numId w:val="20"/>
              </w:numPr>
              <w:rPr>
                <w:rFonts w:asciiTheme="minorHAnsi" w:hAnsiTheme="minorHAnsi"/>
              </w:rPr>
            </w:pPr>
            <w:r w:rsidRPr="003C0D74">
              <w:rPr>
                <w:rFonts w:asciiTheme="minorHAnsi" w:hAnsiTheme="minorHAnsi"/>
              </w:rPr>
              <w:lastRenderedPageBreak/>
              <w:t xml:space="preserve">Treatment with </w:t>
            </w:r>
            <w:r w:rsidR="00F80972" w:rsidRPr="003C0D74">
              <w:rPr>
                <w:rFonts w:asciiTheme="minorHAnsi" w:hAnsiTheme="minorHAnsi"/>
              </w:rPr>
              <w:t>XOSPATA</w:t>
            </w:r>
            <w:r w:rsidRPr="003C0D74">
              <w:rPr>
                <w:rFonts w:asciiTheme="minorHAnsi" w:hAnsiTheme="minorHAnsi"/>
              </w:rPr>
              <w:t xml:space="preserve"> </w:t>
            </w:r>
            <w:proofErr w:type="gramStart"/>
            <w:r w:rsidRPr="003C0D74">
              <w:rPr>
                <w:rFonts w:asciiTheme="minorHAnsi" w:hAnsiTheme="minorHAnsi"/>
              </w:rPr>
              <w:t>can be resumed</w:t>
            </w:r>
            <w:proofErr w:type="gramEnd"/>
            <w:r w:rsidRPr="003C0D74">
              <w:rPr>
                <w:rFonts w:asciiTheme="minorHAnsi" w:hAnsiTheme="minorHAnsi"/>
              </w:rPr>
              <w:t xml:space="preserve"> at a reduced dose (80 mg or 120 </w:t>
            </w:r>
            <w:proofErr w:type="spellStart"/>
            <w:r w:rsidRPr="003C0D74">
              <w:rPr>
                <w:rFonts w:asciiTheme="minorHAnsi" w:hAnsiTheme="minorHAnsi"/>
              </w:rPr>
              <w:t>mg</w:t>
            </w:r>
            <w:r w:rsidRPr="003C0D74">
              <w:rPr>
                <w:rFonts w:asciiTheme="minorHAnsi" w:hAnsiTheme="minorHAnsi"/>
                <w:vertAlign w:val="superscript"/>
              </w:rPr>
              <w:t>b</w:t>
            </w:r>
            <w:proofErr w:type="spellEnd"/>
            <w:r w:rsidRPr="003C0D74">
              <w:rPr>
                <w:rFonts w:asciiTheme="minorHAnsi" w:hAnsiTheme="minorHAnsi"/>
              </w:rPr>
              <w:t>).</w:t>
            </w:r>
          </w:p>
        </w:tc>
      </w:tr>
      <w:tr w:rsidR="00F63D56" w:rsidRPr="008348FE" w14:paraId="5304CBF1" w14:textId="77777777" w:rsidTr="00F63D56">
        <w:trPr>
          <w:trHeight w:val="305"/>
        </w:trPr>
        <w:tc>
          <w:tcPr>
            <w:tcW w:w="4027" w:type="dxa"/>
            <w:shd w:val="clear" w:color="auto" w:fill="auto"/>
          </w:tcPr>
          <w:p w14:paraId="74E4CAF8" w14:textId="77777777" w:rsidR="00F63D56" w:rsidRPr="003C0D74" w:rsidRDefault="00F63D56" w:rsidP="00F63D56">
            <w:r w:rsidRPr="003C0D74">
              <w:lastRenderedPageBreak/>
              <w:t>Planned haematopoietic stem cell transplantation (HSCT)</w:t>
            </w:r>
          </w:p>
        </w:tc>
        <w:tc>
          <w:tcPr>
            <w:tcW w:w="5693" w:type="dxa"/>
            <w:shd w:val="clear" w:color="auto" w:fill="auto"/>
          </w:tcPr>
          <w:p w14:paraId="328D457D" w14:textId="05045AAE" w:rsidR="00C20322" w:rsidRPr="00527C22" w:rsidRDefault="00C20322" w:rsidP="00C20322">
            <w:pPr>
              <w:pStyle w:val="ListParagraph"/>
              <w:numPr>
                <w:ilvl w:val="0"/>
                <w:numId w:val="21"/>
              </w:numPr>
              <w:rPr>
                <w:rFonts w:ascii="Calibri" w:hAnsi="Calibri"/>
              </w:rPr>
            </w:pPr>
            <w:r w:rsidRPr="00527C22">
              <w:rPr>
                <w:rFonts w:ascii="Calibri" w:eastAsia="Times New Roman" w:hAnsi="Calibri" w:cs="Times New Roman"/>
                <w:noProof/>
                <w:lang w:val="en-GB"/>
              </w:rPr>
              <w:t xml:space="preserve">Interrupt treatment with </w:t>
            </w:r>
            <w:r w:rsidR="003C0D74" w:rsidRPr="00527C22">
              <w:rPr>
                <w:rFonts w:ascii="Calibri" w:eastAsia="Times New Roman" w:hAnsi="Calibri" w:cs="Times New Roman"/>
                <w:noProof/>
                <w:lang w:val="en-GB"/>
              </w:rPr>
              <w:t>XOSPATA</w:t>
            </w:r>
            <w:r w:rsidR="00F63D56" w:rsidRPr="00527C22">
              <w:rPr>
                <w:rFonts w:ascii="Calibri" w:hAnsi="Calibri"/>
              </w:rPr>
              <w:t xml:space="preserve"> one week prior to </w:t>
            </w:r>
            <w:r w:rsidRPr="00527C22">
              <w:rPr>
                <w:rFonts w:ascii="Calibri" w:hAnsi="Calibri"/>
              </w:rPr>
              <w:t xml:space="preserve">administration of the conditioning regimen for </w:t>
            </w:r>
            <w:r w:rsidR="00F63D56" w:rsidRPr="00527C22">
              <w:rPr>
                <w:rFonts w:ascii="Calibri" w:hAnsi="Calibri"/>
              </w:rPr>
              <w:t>HSCT</w:t>
            </w:r>
            <w:r w:rsidRPr="00527C22">
              <w:rPr>
                <w:rFonts w:ascii="Calibri" w:hAnsi="Calibri"/>
              </w:rPr>
              <w:t>.</w:t>
            </w:r>
          </w:p>
          <w:p w14:paraId="084B7CF1" w14:textId="38E030B5" w:rsidR="00F63D56" w:rsidRPr="003C0D74" w:rsidRDefault="00F63D56" w:rsidP="00287F87">
            <w:pPr>
              <w:pStyle w:val="ListParagraph"/>
              <w:numPr>
                <w:ilvl w:val="0"/>
                <w:numId w:val="21"/>
              </w:numPr>
            </w:pPr>
            <w:r w:rsidRPr="00527C22">
              <w:rPr>
                <w:rFonts w:ascii="Calibri" w:hAnsi="Calibri"/>
              </w:rPr>
              <w:t xml:space="preserve"> </w:t>
            </w:r>
            <w:r w:rsidR="00600A7C" w:rsidRPr="00527C22">
              <w:rPr>
                <w:rFonts w:ascii="Calibri" w:hAnsi="Calibri"/>
              </w:rPr>
              <w:t xml:space="preserve">Treatment </w:t>
            </w:r>
            <w:r w:rsidRPr="00527C22">
              <w:rPr>
                <w:rFonts w:ascii="Calibri" w:hAnsi="Calibri"/>
              </w:rPr>
              <w:t>can be resumed 30 days after HSCT if engraftment was successful</w:t>
            </w:r>
            <w:r w:rsidR="00600A7C" w:rsidRPr="00527C22">
              <w:rPr>
                <w:rFonts w:ascii="Calibri" w:hAnsi="Calibri"/>
              </w:rPr>
              <w:t xml:space="preserve">, the patient did not have grade </w:t>
            </w:r>
            <w:r w:rsidR="00287F87">
              <w:rPr>
                <w:rFonts w:ascii="Calibri" w:hAnsi="Calibri"/>
              </w:rPr>
              <w:sym w:font="Symbol" w:char="F0B3"/>
            </w:r>
            <w:r w:rsidR="00600A7C" w:rsidRPr="00527C22">
              <w:rPr>
                <w:rFonts w:ascii="Calibri" w:hAnsi="Calibri"/>
              </w:rPr>
              <w:t xml:space="preserve">2 acute graft versus host disease and was in </w:t>
            </w:r>
            <w:proofErr w:type="spellStart"/>
            <w:r w:rsidR="00600A7C" w:rsidRPr="00527C22">
              <w:rPr>
                <w:rFonts w:ascii="Calibri" w:hAnsi="Calibri"/>
              </w:rPr>
              <w:t>CRc.</w:t>
            </w:r>
            <w:r w:rsidR="00600A7C" w:rsidRPr="00527C22">
              <w:rPr>
                <w:rFonts w:ascii="Calibri" w:hAnsi="Calibri"/>
                <w:vertAlign w:val="superscript"/>
              </w:rPr>
              <w:t>c</w:t>
            </w:r>
            <w:proofErr w:type="spellEnd"/>
          </w:p>
        </w:tc>
      </w:tr>
      <w:tr w:rsidR="00F63D56" w:rsidRPr="008348FE" w14:paraId="52C09695" w14:textId="77777777" w:rsidTr="00F63D56">
        <w:tc>
          <w:tcPr>
            <w:tcW w:w="9720" w:type="dxa"/>
            <w:gridSpan w:val="2"/>
            <w:tcBorders>
              <w:left w:val="nil"/>
              <w:bottom w:val="nil"/>
              <w:right w:val="nil"/>
            </w:tcBorders>
            <w:shd w:val="clear" w:color="auto" w:fill="auto"/>
          </w:tcPr>
          <w:p w14:paraId="32482B1F" w14:textId="2B5A61AE" w:rsidR="00600A7C" w:rsidRPr="00600A7C" w:rsidRDefault="00600A7C" w:rsidP="00600A7C">
            <w:pPr>
              <w:pStyle w:val="ListParagraph"/>
              <w:numPr>
                <w:ilvl w:val="0"/>
                <w:numId w:val="16"/>
              </w:numPr>
              <w:tabs>
                <w:tab w:val="left" w:pos="250"/>
              </w:tabs>
              <w:spacing w:after="0" w:line="260" w:lineRule="exact"/>
              <w:rPr>
                <w:rFonts w:asciiTheme="minorHAnsi" w:hAnsiTheme="minorHAnsi"/>
                <w:sz w:val="20"/>
                <w:szCs w:val="20"/>
                <w:lang w:eastAsia="ko-KR"/>
              </w:rPr>
            </w:pPr>
            <w:r w:rsidRPr="00600A7C">
              <w:rPr>
                <w:rFonts w:asciiTheme="minorHAnsi" w:hAnsiTheme="minorHAnsi"/>
                <w:sz w:val="20"/>
                <w:szCs w:val="20"/>
                <w:lang w:eastAsia="ko-KR"/>
              </w:rPr>
              <w:t xml:space="preserve">Grade 1 is mild, Grade 2 is moderate, Grade 3 is serious, Grade 4 is </w:t>
            </w:r>
            <w:proofErr w:type="gramStart"/>
            <w:r w:rsidRPr="00600A7C">
              <w:rPr>
                <w:rFonts w:asciiTheme="minorHAnsi" w:hAnsiTheme="minorHAnsi"/>
                <w:sz w:val="20"/>
                <w:szCs w:val="20"/>
                <w:lang w:eastAsia="ko-KR"/>
              </w:rPr>
              <w:t>life-threatening</w:t>
            </w:r>
            <w:proofErr w:type="gramEnd"/>
            <w:r w:rsidRPr="00600A7C">
              <w:rPr>
                <w:rFonts w:asciiTheme="minorHAnsi" w:hAnsiTheme="minorHAnsi"/>
                <w:sz w:val="20"/>
                <w:szCs w:val="20"/>
                <w:lang w:eastAsia="ko-KR"/>
              </w:rPr>
              <w:t>.</w:t>
            </w:r>
          </w:p>
          <w:p w14:paraId="15AB1FE7" w14:textId="5CFCC66D" w:rsidR="00600A7C" w:rsidRPr="00600A7C" w:rsidRDefault="00600A7C" w:rsidP="00600A7C">
            <w:pPr>
              <w:pStyle w:val="ListParagraph"/>
              <w:numPr>
                <w:ilvl w:val="0"/>
                <w:numId w:val="16"/>
              </w:numPr>
              <w:tabs>
                <w:tab w:val="left" w:pos="250"/>
              </w:tabs>
              <w:spacing w:after="0" w:line="260" w:lineRule="exact"/>
              <w:rPr>
                <w:rFonts w:asciiTheme="minorHAnsi" w:hAnsiTheme="minorHAnsi"/>
                <w:sz w:val="20"/>
                <w:szCs w:val="20"/>
                <w:lang w:eastAsia="ko-KR"/>
              </w:rPr>
            </w:pPr>
            <w:r w:rsidRPr="00600A7C">
              <w:rPr>
                <w:rFonts w:asciiTheme="minorHAnsi" w:hAnsiTheme="minorHAnsi"/>
                <w:sz w:val="20"/>
                <w:szCs w:val="20"/>
                <w:lang w:eastAsia="ko-KR"/>
              </w:rPr>
              <w:t xml:space="preserve">The daily dose </w:t>
            </w:r>
            <w:proofErr w:type="gramStart"/>
            <w:r w:rsidRPr="00600A7C">
              <w:rPr>
                <w:rFonts w:asciiTheme="minorHAnsi" w:hAnsiTheme="minorHAnsi"/>
                <w:sz w:val="20"/>
                <w:szCs w:val="20"/>
                <w:lang w:eastAsia="ko-KR"/>
              </w:rPr>
              <w:t>can be reduced</w:t>
            </w:r>
            <w:proofErr w:type="gramEnd"/>
            <w:r w:rsidRPr="00600A7C">
              <w:rPr>
                <w:rFonts w:asciiTheme="minorHAnsi" w:hAnsiTheme="minorHAnsi"/>
                <w:sz w:val="20"/>
                <w:szCs w:val="20"/>
                <w:lang w:eastAsia="ko-KR"/>
              </w:rPr>
              <w:t xml:space="preserve"> from 120 mg to 80 mg or from 200 mg to 120 mg.</w:t>
            </w:r>
          </w:p>
          <w:p w14:paraId="67AC8C5C" w14:textId="752E2803" w:rsidR="00600A7C" w:rsidRPr="00527C22" w:rsidRDefault="00600A7C" w:rsidP="00527C22">
            <w:pPr>
              <w:pStyle w:val="ListParagraph"/>
              <w:numPr>
                <w:ilvl w:val="0"/>
                <w:numId w:val="16"/>
              </w:numPr>
              <w:tabs>
                <w:tab w:val="left" w:pos="250"/>
              </w:tabs>
              <w:spacing w:after="0" w:line="260" w:lineRule="exact"/>
              <w:contextualSpacing w:val="0"/>
              <w:jc w:val="both"/>
              <w:rPr>
                <w:rFonts w:asciiTheme="minorHAnsi" w:hAnsiTheme="minorHAnsi"/>
                <w:sz w:val="20"/>
                <w:szCs w:val="20"/>
                <w:lang w:eastAsia="ko-KR"/>
              </w:rPr>
            </w:pPr>
            <w:r w:rsidRPr="00527C22">
              <w:rPr>
                <w:rFonts w:asciiTheme="minorHAnsi" w:hAnsiTheme="minorHAnsi"/>
                <w:sz w:val="20"/>
                <w:szCs w:val="20"/>
                <w:lang w:eastAsia="ko-KR"/>
              </w:rPr>
              <w:t>Composite complete remission (</w:t>
            </w:r>
            <w:proofErr w:type="spellStart"/>
            <w:r w:rsidRPr="00527C22">
              <w:rPr>
                <w:rFonts w:asciiTheme="minorHAnsi" w:hAnsiTheme="minorHAnsi"/>
                <w:sz w:val="20"/>
                <w:szCs w:val="20"/>
                <w:lang w:eastAsia="ko-KR"/>
              </w:rPr>
              <w:t>CRc</w:t>
            </w:r>
            <w:proofErr w:type="spellEnd"/>
            <w:r w:rsidRPr="00527C22">
              <w:rPr>
                <w:rFonts w:asciiTheme="minorHAnsi" w:hAnsiTheme="minorHAnsi"/>
                <w:sz w:val="20"/>
                <w:szCs w:val="20"/>
                <w:lang w:eastAsia="ko-KR"/>
              </w:rPr>
              <w:t>) is defined as the remission rate of all CR (see section 5.1</w:t>
            </w:r>
            <w:r w:rsidR="00527C22" w:rsidRPr="00527C22">
              <w:rPr>
                <w:rFonts w:asciiTheme="minorHAnsi" w:hAnsiTheme="minorHAnsi"/>
                <w:sz w:val="20"/>
                <w:szCs w:val="20"/>
                <w:lang w:eastAsia="ko-KR"/>
              </w:rPr>
              <w:t xml:space="preserve"> </w:t>
            </w:r>
            <w:r w:rsidRPr="00527C22">
              <w:rPr>
                <w:rFonts w:asciiTheme="minorHAnsi" w:hAnsiTheme="minorHAnsi"/>
                <w:sz w:val="20"/>
                <w:szCs w:val="20"/>
                <w:lang w:eastAsia="ko-KR"/>
              </w:rPr>
              <w:t>for definition of</w:t>
            </w:r>
            <w:r w:rsidR="00527C22">
              <w:rPr>
                <w:rFonts w:asciiTheme="minorHAnsi" w:hAnsiTheme="minorHAnsi"/>
                <w:sz w:val="20"/>
                <w:szCs w:val="20"/>
                <w:lang w:eastAsia="ko-KR"/>
              </w:rPr>
              <w:t xml:space="preserve"> </w:t>
            </w:r>
            <w:r w:rsidRPr="00527C22">
              <w:rPr>
                <w:rFonts w:asciiTheme="minorHAnsi" w:hAnsiTheme="minorHAnsi"/>
                <w:sz w:val="20"/>
                <w:szCs w:val="20"/>
                <w:lang w:eastAsia="ko-KR"/>
              </w:rPr>
              <w:t xml:space="preserve">CR), </w:t>
            </w:r>
            <w:proofErr w:type="spellStart"/>
            <w:proofErr w:type="gramStart"/>
            <w:r w:rsidRPr="00527C22">
              <w:rPr>
                <w:rFonts w:asciiTheme="minorHAnsi" w:hAnsiTheme="minorHAnsi"/>
                <w:sz w:val="20"/>
                <w:szCs w:val="20"/>
                <w:lang w:eastAsia="ko-KR"/>
              </w:rPr>
              <w:t>CRp</w:t>
            </w:r>
            <w:proofErr w:type="spellEnd"/>
            <w:proofErr w:type="gramEnd"/>
            <w:r w:rsidRPr="00527C22">
              <w:rPr>
                <w:rFonts w:asciiTheme="minorHAnsi" w:hAnsiTheme="minorHAnsi"/>
                <w:sz w:val="20"/>
                <w:szCs w:val="20"/>
                <w:lang w:eastAsia="ko-KR"/>
              </w:rPr>
              <w:t xml:space="preserve"> [achieved CR except for incomplete platelet recovery (&lt;100 x</w:t>
            </w:r>
            <w:r w:rsidR="00527C22" w:rsidRPr="00527C22">
              <w:rPr>
                <w:rFonts w:asciiTheme="minorHAnsi" w:hAnsiTheme="minorHAnsi"/>
                <w:sz w:val="20"/>
                <w:szCs w:val="20"/>
                <w:lang w:eastAsia="ko-KR"/>
              </w:rPr>
              <w:t xml:space="preserve"> </w:t>
            </w:r>
            <w:r w:rsidRPr="00527C22">
              <w:rPr>
                <w:rFonts w:asciiTheme="minorHAnsi" w:hAnsiTheme="minorHAnsi"/>
                <w:sz w:val="20"/>
                <w:szCs w:val="20"/>
                <w:lang w:eastAsia="ko-KR"/>
              </w:rPr>
              <w:t>10</w:t>
            </w:r>
            <w:r w:rsidRPr="000E5E59">
              <w:rPr>
                <w:rFonts w:asciiTheme="minorHAnsi" w:hAnsiTheme="minorHAnsi"/>
                <w:sz w:val="20"/>
                <w:szCs w:val="20"/>
                <w:vertAlign w:val="superscript"/>
                <w:lang w:eastAsia="ko-KR"/>
              </w:rPr>
              <w:t>9</w:t>
            </w:r>
            <w:r w:rsidRPr="00527C22">
              <w:rPr>
                <w:rFonts w:asciiTheme="minorHAnsi" w:hAnsiTheme="minorHAnsi"/>
                <w:sz w:val="20"/>
                <w:szCs w:val="20"/>
                <w:lang w:eastAsia="ko-KR"/>
              </w:rPr>
              <w:t xml:space="preserve">/L)] and </w:t>
            </w:r>
            <w:proofErr w:type="spellStart"/>
            <w:r w:rsidRPr="00527C22">
              <w:rPr>
                <w:rFonts w:asciiTheme="minorHAnsi" w:hAnsiTheme="minorHAnsi"/>
                <w:sz w:val="20"/>
                <w:szCs w:val="20"/>
                <w:lang w:eastAsia="ko-KR"/>
              </w:rPr>
              <w:t>CRi</w:t>
            </w:r>
            <w:proofErr w:type="spellEnd"/>
            <w:r w:rsidRPr="00527C22">
              <w:rPr>
                <w:rFonts w:asciiTheme="minorHAnsi" w:hAnsiTheme="minorHAnsi"/>
                <w:sz w:val="20"/>
                <w:szCs w:val="20"/>
                <w:lang w:eastAsia="ko-KR"/>
              </w:rPr>
              <w:t xml:space="preserve"> (achieved all criteria for CR except for incomplete haematological recovery</w:t>
            </w:r>
            <w:r w:rsidR="00527C22" w:rsidRPr="00527C22">
              <w:rPr>
                <w:rFonts w:asciiTheme="minorHAnsi" w:hAnsiTheme="minorHAnsi"/>
                <w:sz w:val="20"/>
                <w:szCs w:val="20"/>
                <w:lang w:eastAsia="ko-KR"/>
              </w:rPr>
              <w:t xml:space="preserve"> </w:t>
            </w:r>
            <w:r w:rsidRPr="00527C22">
              <w:rPr>
                <w:rFonts w:asciiTheme="minorHAnsi" w:hAnsiTheme="minorHAnsi"/>
                <w:sz w:val="20"/>
                <w:szCs w:val="20"/>
                <w:lang w:eastAsia="ko-KR"/>
              </w:rPr>
              <w:t>with residual neutropenia &lt;1 x 10</w:t>
            </w:r>
            <w:r w:rsidRPr="000E5E59">
              <w:rPr>
                <w:rFonts w:asciiTheme="minorHAnsi" w:hAnsiTheme="minorHAnsi"/>
                <w:sz w:val="20"/>
                <w:szCs w:val="20"/>
                <w:vertAlign w:val="superscript"/>
                <w:lang w:eastAsia="ko-KR"/>
              </w:rPr>
              <w:t>9</w:t>
            </w:r>
            <w:r w:rsidRPr="00527C22">
              <w:rPr>
                <w:rFonts w:asciiTheme="minorHAnsi" w:hAnsiTheme="minorHAnsi"/>
                <w:sz w:val="20"/>
                <w:szCs w:val="20"/>
                <w:lang w:eastAsia="ko-KR"/>
              </w:rPr>
              <w:t>/L with or without</w:t>
            </w:r>
            <w:r w:rsidR="00527C22">
              <w:rPr>
                <w:rFonts w:asciiTheme="minorHAnsi" w:hAnsiTheme="minorHAnsi"/>
                <w:sz w:val="20"/>
                <w:szCs w:val="20"/>
                <w:lang w:eastAsia="ko-KR"/>
              </w:rPr>
              <w:t xml:space="preserve"> </w:t>
            </w:r>
            <w:r w:rsidRPr="00527C22">
              <w:rPr>
                <w:rFonts w:asciiTheme="minorHAnsi" w:hAnsiTheme="minorHAnsi"/>
                <w:sz w:val="20"/>
                <w:szCs w:val="20"/>
                <w:lang w:eastAsia="ko-KR"/>
              </w:rPr>
              <w:t>complete platelet recovery).</w:t>
            </w:r>
          </w:p>
          <w:p w14:paraId="7056F34C" w14:textId="26B6D14D" w:rsidR="00F63D56" w:rsidRPr="007449CB" w:rsidRDefault="00F63D56" w:rsidP="00527C22">
            <w:pPr>
              <w:pStyle w:val="ListParagraph"/>
              <w:tabs>
                <w:tab w:val="left" w:pos="250"/>
              </w:tabs>
              <w:spacing w:after="0" w:line="260" w:lineRule="exact"/>
              <w:ind w:left="250"/>
              <w:contextualSpacing w:val="0"/>
            </w:pPr>
          </w:p>
        </w:tc>
      </w:tr>
    </w:tbl>
    <w:p w14:paraId="4FF46630" w14:textId="77777777" w:rsidR="00C34C67" w:rsidRPr="000E5E59" w:rsidRDefault="00C34C67" w:rsidP="00AA659A">
      <w:pPr>
        <w:tabs>
          <w:tab w:val="left" w:pos="567"/>
        </w:tabs>
        <w:spacing w:before="120" w:afterLines="120" w:after="288" w:line="260" w:lineRule="exact"/>
        <w:rPr>
          <w:rFonts w:eastAsia="Times New Roman" w:cs="Times New Roman"/>
          <w:i/>
          <w:iCs/>
          <w:lang w:val="en-GB"/>
        </w:rPr>
      </w:pPr>
      <w:r w:rsidRPr="000E5E59">
        <w:rPr>
          <w:rFonts w:eastAsia="Times New Roman" w:cs="Times New Roman"/>
          <w:i/>
          <w:iCs/>
          <w:lang w:val="en-GB"/>
        </w:rPr>
        <w:t>Missed dose</w:t>
      </w:r>
    </w:p>
    <w:p w14:paraId="6E0123EA" w14:textId="10C59500" w:rsidR="00C34C67" w:rsidRDefault="00C34C67" w:rsidP="00AA659A">
      <w:pPr>
        <w:tabs>
          <w:tab w:val="left" w:pos="567"/>
        </w:tabs>
        <w:spacing w:before="120" w:after="120" w:line="240" w:lineRule="auto"/>
        <w:rPr>
          <w:rFonts w:eastAsia="MS Mincho" w:cs="Times New Roman"/>
          <w:szCs w:val="24"/>
          <w:lang w:val="en-GB" w:eastAsia="ja-JP"/>
        </w:rPr>
      </w:pPr>
      <w:r w:rsidRPr="00C34C67">
        <w:rPr>
          <w:rFonts w:eastAsia="Times New Roman" w:cs="Times New Roman"/>
          <w:lang w:val="en-GB"/>
        </w:rPr>
        <w:t xml:space="preserve">Administer </w:t>
      </w:r>
      <w:r w:rsidR="00B548B9">
        <w:rPr>
          <w:rFonts w:eastAsia="Times New Roman" w:cs="Times New Roman"/>
          <w:lang w:val="en-GB"/>
        </w:rPr>
        <w:t>XOSPATA</w:t>
      </w:r>
      <w:r w:rsidRPr="00C34C67">
        <w:rPr>
          <w:rFonts w:eastAsia="Times New Roman" w:cs="Times New Roman"/>
          <w:lang w:val="en-GB"/>
        </w:rPr>
        <w:t xml:space="preserve"> at about the same time each day. </w:t>
      </w:r>
      <w:r w:rsidRPr="00C34C67">
        <w:rPr>
          <w:rFonts w:eastAsia="MS Mincho" w:cs="Times New Roman"/>
          <w:szCs w:val="24"/>
          <w:lang w:val="en-GB" w:eastAsia="ja-JP"/>
        </w:rPr>
        <w:t xml:space="preserve">If a dose </w:t>
      </w:r>
      <w:proofErr w:type="gramStart"/>
      <w:r w:rsidRPr="00C34C67">
        <w:rPr>
          <w:rFonts w:eastAsia="MS Mincho" w:cs="Times New Roman"/>
          <w:szCs w:val="24"/>
          <w:lang w:val="en-GB" w:eastAsia="ja-JP"/>
        </w:rPr>
        <w:t>is missed or not taken at</w:t>
      </w:r>
      <w:proofErr w:type="gramEnd"/>
      <w:r w:rsidRPr="00C34C67">
        <w:rPr>
          <w:rFonts w:eastAsia="MS Mincho" w:cs="Times New Roman"/>
          <w:szCs w:val="24"/>
          <w:lang w:val="en-GB" w:eastAsia="ja-JP"/>
        </w:rPr>
        <w:t xml:space="preserve"> the usual time, administer the dose as soon as possible on the same day, and return to the normal schedule the following day.</w:t>
      </w:r>
      <w:r w:rsidR="00F63D56">
        <w:rPr>
          <w:rFonts w:eastAsia="MS Mincho" w:cs="Times New Roman"/>
          <w:szCs w:val="24"/>
          <w:lang w:val="en-GB" w:eastAsia="ja-JP"/>
        </w:rPr>
        <w:t xml:space="preserve"> </w:t>
      </w:r>
      <w:r w:rsidR="00F63D56" w:rsidRPr="00F63D56">
        <w:rPr>
          <w:rFonts w:eastAsia="MS Mincho" w:cs="Times New Roman"/>
          <w:szCs w:val="24"/>
          <w:lang w:val="en-GB" w:eastAsia="ja-JP"/>
        </w:rPr>
        <w:t>If vomiting occurs after dosing, patients should not take another dose but should return to the normal schedule the following day.</w:t>
      </w:r>
    </w:p>
    <w:p w14:paraId="6E628D17" w14:textId="177CAADC" w:rsidR="00C34C67" w:rsidRPr="00C34C67" w:rsidRDefault="00AA659A" w:rsidP="00AA659A">
      <w:pPr>
        <w:tabs>
          <w:tab w:val="left" w:pos="567"/>
        </w:tabs>
        <w:spacing w:before="120" w:after="120" w:line="240" w:lineRule="auto"/>
        <w:rPr>
          <w:rFonts w:eastAsia="Times New Roman" w:cs="Times New Roman"/>
          <w:b/>
          <w:bCs/>
          <w:lang w:val="en-GB"/>
        </w:rPr>
      </w:pPr>
      <w:r>
        <w:rPr>
          <w:rFonts w:eastAsia="Times New Roman" w:cs="Times New Roman"/>
          <w:b/>
          <w:bCs/>
          <w:lang w:val="en-GB"/>
        </w:rPr>
        <w:t>Method of administration</w:t>
      </w:r>
    </w:p>
    <w:p w14:paraId="01FCF937" w14:textId="70290DCF" w:rsidR="00C34C67" w:rsidRDefault="00AA659A" w:rsidP="00AA659A">
      <w:pPr>
        <w:tabs>
          <w:tab w:val="left" w:pos="567"/>
        </w:tabs>
        <w:spacing w:before="120" w:after="120" w:line="240" w:lineRule="auto"/>
        <w:rPr>
          <w:rFonts w:eastAsia="Times New Roman" w:cs="Times New Roman"/>
          <w:lang w:val="en-GB"/>
        </w:rPr>
      </w:pPr>
      <w:r>
        <w:rPr>
          <w:rFonts w:eastAsia="Times New Roman" w:cs="Times New Roman"/>
          <w:lang w:val="en-GB"/>
        </w:rPr>
        <w:t>For oral use.</w:t>
      </w:r>
    </w:p>
    <w:p w14:paraId="266A99E6" w14:textId="2F3CD2F4" w:rsidR="00C34C67" w:rsidRPr="00C34C67" w:rsidRDefault="00B548B9" w:rsidP="00AA659A">
      <w:pPr>
        <w:tabs>
          <w:tab w:val="left" w:pos="567"/>
        </w:tabs>
        <w:spacing w:before="120" w:after="120" w:line="240" w:lineRule="auto"/>
        <w:rPr>
          <w:rFonts w:eastAsia="Times New Roman" w:cs="Times New Roman"/>
          <w:lang w:val="en-GB"/>
        </w:rPr>
      </w:pPr>
      <w:r>
        <w:rPr>
          <w:rFonts w:eastAsia="Times New Roman" w:cs="Times New Roman"/>
          <w:lang w:val="en-GB"/>
        </w:rPr>
        <w:t>XOSPATA</w:t>
      </w:r>
      <w:r w:rsidR="00C34C67" w:rsidRPr="00C34C67">
        <w:rPr>
          <w:rFonts w:eastAsia="Times New Roman" w:cs="Times New Roman"/>
          <w:lang w:val="en-GB"/>
        </w:rPr>
        <w:t xml:space="preserve"> </w:t>
      </w:r>
      <w:proofErr w:type="gramStart"/>
      <w:r w:rsidR="00C34C67" w:rsidRPr="00C34C67">
        <w:rPr>
          <w:rFonts w:eastAsia="Times New Roman" w:cs="Times New Roman"/>
          <w:lang w:val="en-GB"/>
        </w:rPr>
        <w:t>can be taken</w:t>
      </w:r>
      <w:proofErr w:type="gramEnd"/>
      <w:r w:rsidR="00C34C67" w:rsidRPr="00C34C67">
        <w:rPr>
          <w:rFonts w:eastAsia="Times New Roman" w:cs="Times New Roman"/>
          <w:lang w:val="en-GB"/>
        </w:rPr>
        <w:t xml:space="preserve"> with or without food. The tablets should be swallowed </w:t>
      </w:r>
      <w:proofErr w:type="gramStart"/>
      <w:r w:rsidR="00C34C67" w:rsidRPr="00C34C67">
        <w:rPr>
          <w:rFonts w:eastAsia="Times New Roman" w:cs="Times New Roman"/>
          <w:lang w:val="en-GB"/>
        </w:rPr>
        <w:t>whole</w:t>
      </w:r>
      <w:proofErr w:type="gramEnd"/>
      <w:r w:rsidR="00C34C67" w:rsidRPr="00C34C67">
        <w:rPr>
          <w:rFonts w:eastAsia="Times New Roman" w:cs="Times New Roman"/>
          <w:lang w:val="en-GB"/>
        </w:rPr>
        <w:t xml:space="preserve"> with water and s</w:t>
      </w:r>
      <w:r w:rsidR="00AA659A">
        <w:rPr>
          <w:rFonts w:eastAsia="Times New Roman" w:cs="Times New Roman"/>
          <w:lang w:val="en-GB"/>
        </w:rPr>
        <w:t>hould not be broken or crushed.</w:t>
      </w:r>
    </w:p>
    <w:p w14:paraId="629ECBB8" w14:textId="77777777" w:rsidR="001A3992" w:rsidRDefault="001A3992" w:rsidP="00BE2135">
      <w:pPr>
        <w:pStyle w:val="Heading2"/>
        <w:spacing w:before="0"/>
      </w:pPr>
      <w:r>
        <w:t>Contraindications</w:t>
      </w:r>
    </w:p>
    <w:p w14:paraId="00FA3068" w14:textId="0AA10576" w:rsidR="00BE2135" w:rsidRDefault="00BE2135" w:rsidP="00BE2135">
      <w:r w:rsidRPr="00BE2135">
        <w:t>Hypersensitivity to the active substance or to any of the excipients listed in section 6.1</w:t>
      </w:r>
      <w:r>
        <w:t xml:space="preserve"> </w:t>
      </w:r>
      <w:r>
        <w:fldChar w:fldCharType="begin"/>
      </w:r>
      <w:r>
        <w:instrText xml:space="preserve"> REF _Ref1551851 \h </w:instrText>
      </w:r>
      <w:r>
        <w:fldChar w:fldCharType="separate"/>
      </w:r>
      <w:r w:rsidRPr="00497C85">
        <w:rPr>
          <w:rFonts w:cstheme="minorHAnsi"/>
          <w:lang w:val="en-US"/>
        </w:rPr>
        <w:t>List of excipients</w:t>
      </w:r>
      <w:r>
        <w:fldChar w:fldCharType="end"/>
      </w:r>
      <w:r w:rsidRPr="00BE2135">
        <w:t>.</w:t>
      </w:r>
    </w:p>
    <w:p w14:paraId="5E5B3B0F" w14:textId="13C94671" w:rsidR="00DE502D" w:rsidRPr="00BE2135" w:rsidRDefault="00DE502D" w:rsidP="00BE2135">
      <w:r w:rsidRPr="00DE502D">
        <w:t xml:space="preserve">Anaphylactic reactions </w:t>
      </w:r>
      <w:proofErr w:type="gramStart"/>
      <w:r w:rsidRPr="00DE502D">
        <w:t>have been observed</w:t>
      </w:r>
      <w:proofErr w:type="gramEnd"/>
      <w:r w:rsidRPr="00DE502D">
        <w:t xml:space="preserve"> in clinical</w:t>
      </w:r>
      <w:r w:rsidR="003E36CA">
        <w:t xml:space="preserve"> trials</w:t>
      </w:r>
      <w:r w:rsidRPr="00DE502D">
        <w:t xml:space="preserve"> </w:t>
      </w:r>
      <w:r w:rsidR="0085455C" w:rsidRPr="0085455C">
        <w:t>(see section 4.8 Adverse effects (Undesirable effects))</w:t>
      </w:r>
      <w:r w:rsidRPr="00DE502D">
        <w:t>.</w:t>
      </w:r>
    </w:p>
    <w:p w14:paraId="191FC21A" w14:textId="3BB7C46E" w:rsidR="001A3992" w:rsidRDefault="00E74A56" w:rsidP="001A3992">
      <w:pPr>
        <w:pStyle w:val="Heading2"/>
        <w:spacing w:before="0" w:after="120"/>
      </w:pPr>
      <w:bookmarkStart w:id="1" w:name="_Ref1551717"/>
      <w:r>
        <w:t>Special warnings and p</w:t>
      </w:r>
      <w:r w:rsidR="001A3992">
        <w:t xml:space="preserve">recautions </w:t>
      </w:r>
      <w:r>
        <w:t>for use</w:t>
      </w:r>
      <w:bookmarkEnd w:id="1"/>
    </w:p>
    <w:p w14:paraId="376AC497" w14:textId="63AA19B4" w:rsidR="00990C41" w:rsidRDefault="00990C41" w:rsidP="00990C41">
      <w:pPr>
        <w:pStyle w:val="Heading3"/>
        <w:spacing w:before="0" w:after="120"/>
        <w:rPr>
          <w:b w:val="0"/>
        </w:rPr>
      </w:pPr>
      <w:r w:rsidRPr="00990C41">
        <w:t>Differentiation syndrome</w:t>
      </w:r>
    </w:p>
    <w:p w14:paraId="7612B03F" w14:textId="4CED2840" w:rsidR="00990C41" w:rsidRPr="002E3E31" w:rsidRDefault="003C0D74" w:rsidP="00990C41">
      <w:pPr>
        <w:rPr>
          <w:noProof/>
        </w:rPr>
      </w:pPr>
      <w:r>
        <w:rPr>
          <w:rFonts w:eastAsia="Times New Roman" w:cs="Times New Roman"/>
          <w:noProof/>
          <w:lang w:val="en-GB"/>
        </w:rPr>
        <w:t>XOSPATA</w:t>
      </w:r>
      <w:r w:rsidR="00990C41" w:rsidRPr="00EE1FE3">
        <w:t xml:space="preserve"> has been associated with differentiation syndrome (see section 4.8</w:t>
      </w:r>
      <w:r w:rsidR="00B02929">
        <w:t xml:space="preserve"> </w:t>
      </w:r>
      <w:r w:rsidR="00B02929">
        <w:fldChar w:fldCharType="begin"/>
      </w:r>
      <w:r w:rsidR="00B02929">
        <w:instrText xml:space="preserve"> REF _Ref1551762 \h </w:instrText>
      </w:r>
      <w:r w:rsidR="00B02929">
        <w:fldChar w:fldCharType="separate"/>
      </w:r>
      <w:r w:rsidR="00B02929">
        <w:t>Adverse effects (Undesirable effects)</w:t>
      </w:r>
      <w:r w:rsidR="00B02929">
        <w:fldChar w:fldCharType="end"/>
      </w:r>
      <w:r w:rsidR="00990C41" w:rsidRPr="00EE1FE3">
        <w:t xml:space="preserve">). Differentiation syndrome is associated with rapid proliferation and differentiation of myeloid cells and may be </w:t>
      </w:r>
      <w:proofErr w:type="gramStart"/>
      <w:r w:rsidR="00990C41" w:rsidRPr="00EE1FE3">
        <w:t>life-threatening</w:t>
      </w:r>
      <w:proofErr w:type="gramEnd"/>
      <w:r w:rsidR="00990C41" w:rsidRPr="00EE1FE3">
        <w:t xml:space="preserve"> or fatal if not treated. Symptoms </w:t>
      </w:r>
      <w:r w:rsidR="009A32B0">
        <w:t xml:space="preserve">and other clinical findings </w:t>
      </w:r>
      <w:r w:rsidR="00990C41" w:rsidRPr="00EE1FE3">
        <w:t>of differentiation syndrome include fever, dyspn</w:t>
      </w:r>
      <w:r w:rsidR="00990C41">
        <w:t>o</w:t>
      </w:r>
      <w:r w:rsidR="00990C41" w:rsidRPr="00EE1FE3">
        <w:t xml:space="preserve">ea, pleural effusion, pericardial effusion, pulmonary </w:t>
      </w:r>
      <w:r w:rsidR="00990C41">
        <w:t>o</w:t>
      </w:r>
      <w:r w:rsidR="00990C41" w:rsidRPr="00EE1FE3">
        <w:t xml:space="preserve">edema, hypotension, rapid weight gain, peripheral </w:t>
      </w:r>
      <w:r w:rsidR="00990C41">
        <w:t>o</w:t>
      </w:r>
      <w:r w:rsidR="00990C41" w:rsidRPr="00EE1FE3">
        <w:t xml:space="preserve">edema, rash, and renal dysfunction. </w:t>
      </w:r>
      <w:r w:rsidR="00990C41" w:rsidRPr="00EE1FE3">
        <w:rPr>
          <w:noProof/>
        </w:rPr>
        <w:t xml:space="preserve">If differentiation syndrome is suspected, </w:t>
      </w:r>
      <w:r w:rsidR="00990C41" w:rsidRPr="00EE1FE3">
        <w:t xml:space="preserve">corticosteroid therapy </w:t>
      </w:r>
      <w:proofErr w:type="gramStart"/>
      <w:r w:rsidR="00990C41" w:rsidRPr="00EE1FE3">
        <w:t>should be initiated</w:t>
      </w:r>
      <w:proofErr w:type="gramEnd"/>
      <w:r w:rsidR="00990C41" w:rsidRPr="00EE1FE3">
        <w:t xml:space="preserve"> along with hemodynamic monitoring until symptom resolution</w:t>
      </w:r>
      <w:r w:rsidR="00990C41" w:rsidRPr="00EE1FE3">
        <w:rPr>
          <w:noProof/>
        </w:rPr>
        <w:t>. Corticosteroids can be</w:t>
      </w:r>
      <w:r w:rsidR="00990C41">
        <w:rPr>
          <w:noProof/>
        </w:rPr>
        <w:t xml:space="preserve"> </w:t>
      </w:r>
      <w:r w:rsidR="00990C41">
        <w:rPr>
          <w:noProof/>
        </w:rPr>
        <w:lastRenderedPageBreak/>
        <w:t xml:space="preserve">tapered </w:t>
      </w:r>
      <w:r w:rsidR="00990C41" w:rsidRPr="002E3E31">
        <w:rPr>
          <w:noProof/>
        </w:rPr>
        <w:t xml:space="preserve">after resolution of symptoms and </w:t>
      </w:r>
      <w:r w:rsidR="00990C41">
        <w:rPr>
          <w:noProof/>
        </w:rPr>
        <w:t xml:space="preserve">should be administered </w:t>
      </w:r>
      <w:r w:rsidR="00990C41" w:rsidRPr="002E3E31">
        <w:rPr>
          <w:noProof/>
        </w:rPr>
        <w:t xml:space="preserve">for a minimum of 3 days. Symptoms of differentiation syndrome may recur with premature discontinuation of corticosteroid treatment. If severe signs and/or symptoms persist for more than 48 hours after initiation of corticosteroids, Xospata </w:t>
      </w:r>
      <w:r w:rsidR="00990C41">
        <w:rPr>
          <w:noProof/>
        </w:rPr>
        <w:t xml:space="preserve">should be interrupted </w:t>
      </w:r>
      <w:r w:rsidR="00990C41" w:rsidRPr="002E3E31">
        <w:rPr>
          <w:noProof/>
        </w:rPr>
        <w:t>until signs and symptoms are no longer severe (see sections 4.2</w:t>
      </w:r>
      <w:r>
        <w:rPr>
          <w:noProof/>
        </w:rPr>
        <w:t xml:space="preserve"> </w:t>
      </w:r>
      <w:r>
        <w:fldChar w:fldCharType="begin"/>
      </w:r>
      <w:r>
        <w:instrText xml:space="preserve"> REF _Ref1551521 \h </w:instrText>
      </w:r>
      <w:r>
        <w:fldChar w:fldCharType="separate"/>
      </w:r>
      <w:r>
        <w:t>Dose and method of administration</w:t>
      </w:r>
      <w:r>
        <w:fldChar w:fldCharType="end"/>
      </w:r>
      <w:r w:rsidR="00990C41" w:rsidRPr="002E3E31">
        <w:rPr>
          <w:noProof/>
        </w:rPr>
        <w:t xml:space="preserve"> and 4.8</w:t>
      </w:r>
      <w:r>
        <w:rPr>
          <w:noProof/>
        </w:rPr>
        <w:t xml:space="preserve"> </w:t>
      </w:r>
      <w:r>
        <w:fldChar w:fldCharType="begin"/>
      </w:r>
      <w:r>
        <w:instrText xml:space="preserve"> REF _Ref1551762 \h </w:instrText>
      </w:r>
      <w:r>
        <w:fldChar w:fldCharType="separate"/>
      </w:r>
      <w:proofErr w:type="gramStart"/>
      <w:r>
        <w:t>Adverse</w:t>
      </w:r>
      <w:proofErr w:type="gramEnd"/>
      <w:r>
        <w:t xml:space="preserve"> effects (Undesirable effects)</w:t>
      </w:r>
      <w:r>
        <w:fldChar w:fldCharType="end"/>
      </w:r>
      <w:r w:rsidR="00990C41" w:rsidRPr="002E3E31">
        <w:rPr>
          <w:noProof/>
        </w:rPr>
        <w:t>).</w:t>
      </w:r>
    </w:p>
    <w:p w14:paraId="72661B63" w14:textId="77777777" w:rsidR="001A3992" w:rsidRDefault="00453278" w:rsidP="001A3992">
      <w:pPr>
        <w:pStyle w:val="Heading3"/>
        <w:spacing w:before="0" w:after="120"/>
        <w:rPr>
          <w:b w:val="0"/>
        </w:rPr>
      </w:pPr>
      <w:r w:rsidRPr="00453278">
        <w:t>Posterior Reversible Encephalopathy Syndrome</w:t>
      </w:r>
    </w:p>
    <w:p w14:paraId="5235964B" w14:textId="423F404B" w:rsidR="00453278" w:rsidRPr="00453278" w:rsidRDefault="00FF050D" w:rsidP="00453278">
      <w:r w:rsidRPr="00FF050D">
        <w:t xml:space="preserve">There have been reports of posterior reversible encephalopathy syndrome (PRES) in patients receiving </w:t>
      </w:r>
      <w:r w:rsidR="003C0D74" w:rsidRPr="00FF050D">
        <w:t>XOSPATA</w:t>
      </w:r>
      <w:r w:rsidRPr="00FF050D">
        <w:t xml:space="preserve"> (see section 4.8</w:t>
      </w:r>
      <w:r w:rsidR="003C0D74">
        <w:t xml:space="preserve"> </w:t>
      </w:r>
      <w:r w:rsidR="003C0D74">
        <w:fldChar w:fldCharType="begin"/>
      </w:r>
      <w:r w:rsidR="003C0D74">
        <w:instrText xml:space="preserve"> REF _Ref1551762 \h </w:instrText>
      </w:r>
      <w:r w:rsidR="003C0D74">
        <w:fldChar w:fldCharType="separate"/>
      </w:r>
      <w:r w:rsidR="003C0D74">
        <w:t>Adverse effects (Undesirable effects)</w:t>
      </w:r>
      <w:r w:rsidR="003C0D74">
        <w:fldChar w:fldCharType="end"/>
      </w:r>
      <w:r w:rsidRPr="00FF050D">
        <w:t xml:space="preserve">). PRES is a rare, reversible, neurological disorder with which can present with rapidly evolving symptoms including seizure, headache, confusion, visual and neurological disturbances, with or without associated hypertension and altered mental status. If PRES </w:t>
      </w:r>
      <w:proofErr w:type="gramStart"/>
      <w:r w:rsidRPr="00FF050D">
        <w:t>is suspected</w:t>
      </w:r>
      <w:proofErr w:type="gramEnd"/>
      <w:r w:rsidRPr="00FF050D">
        <w:t xml:space="preserve">, it should be confirmed by brain imaging, preferably magnetic resonance imaging (MRI). Discontinuation of </w:t>
      </w:r>
      <w:r w:rsidR="00995E0C" w:rsidRPr="00FF050D">
        <w:t>XOSPATA</w:t>
      </w:r>
      <w:r w:rsidRPr="00FF050D">
        <w:t xml:space="preserve"> in patients who develop PRES </w:t>
      </w:r>
      <w:proofErr w:type="gramStart"/>
      <w:r w:rsidRPr="00FF050D">
        <w:t>is recommended</w:t>
      </w:r>
      <w:proofErr w:type="gramEnd"/>
      <w:r w:rsidRPr="00FF050D">
        <w:t>.</w:t>
      </w:r>
      <w:r w:rsidRPr="00FF050D" w:rsidDel="00FF050D">
        <w:t xml:space="preserve"> </w:t>
      </w:r>
      <w:r w:rsidR="00453278" w:rsidRPr="00453278">
        <w:t>(</w:t>
      </w:r>
      <w:proofErr w:type="gramStart"/>
      <w:r w:rsidR="008843BF">
        <w:t>see</w:t>
      </w:r>
      <w:proofErr w:type="gramEnd"/>
      <w:r w:rsidR="008843BF">
        <w:t xml:space="preserve"> s</w:t>
      </w:r>
      <w:r w:rsidR="00453278" w:rsidRPr="00453278">
        <w:t>ections 4.2</w:t>
      </w:r>
      <w:r w:rsidR="00453278">
        <w:t xml:space="preserve"> </w:t>
      </w:r>
      <w:r w:rsidR="00453278">
        <w:fldChar w:fldCharType="begin"/>
      </w:r>
      <w:r w:rsidR="00453278">
        <w:instrText xml:space="preserve"> REF _Ref1551521 \h </w:instrText>
      </w:r>
      <w:r w:rsidR="00453278">
        <w:fldChar w:fldCharType="separate"/>
      </w:r>
      <w:r w:rsidR="00453278">
        <w:t>Dose and method of administration</w:t>
      </w:r>
      <w:r w:rsidR="00453278">
        <w:fldChar w:fldCharType="end"/>
      </w:r>
      <w:r w:rsidR="00453278" w:rsidRPr="00453278">
        <w:t xml:space="preserve"> and 4.8</w:t>
      </w:r>
      <w:r w:rsidR="00453278">
        <w:t xml:space="preserve"> </w:t>
      </w:r>
      <w:r w:rsidR="00453278">
        <w:fldChar w:fldCharType="begin"/>
      </w:r>
      <w:r w:rsidR="00453278">
        <w:instrText xml:space="preserve"> REF _Ref1551762 \h </w:instrText>
      </w:r>
      <w:r w:rsidR="00453278">
        <w:fldChar w:fldCharType="separate"/>
      </w:r>
      <w:r w:rsidR="00453278">
        <w:t>Adverse effects (Undesirable effects)</w:t>
      </w:r>
      <w:r w:rsidR="00453278">
        <w:fldChar w:fldCharType="end"/>
      </w:r>
      <w:r w:rsidR="00453278" w:rsidRPr="00453278">
        <w:t>).</w:t>
      </w:r>
    </w:p>
    <w:p w14:paraId="6CD39E13" w14:textId="77777777" w:rsidR="001A3992" w:rsidRDefault="00453278" w:rsidP="001A3992">
      <w:pPr>
        <w:pStyle w:val="Heading3"/>
        <w:spacing w:before="0" w:after="120"/>
      </w:pPr>
      <w:r w:rsidRPr="00453278">
        <w:t>Prolonged QT interval</w:t>
      </w:r>
    </w:p>
    <w:p w14:paraId="788BAE2D" w14:textId="7ACF0398" w:rsidR="00090773" w:rsidRDefault="008843BF" w:rsidP="008843BF">
      <w:pPr>
        <w:rPr>
          <w:lang w:val="en-GB"/>
        </w:rPr>
      </w:pPr>
      <w:proofErr w:type="spellStart"/>
      <w:r w:rsidRPr="008843BF">
        <w:rPr>
          <w:lang w:val="en-GB"/>
        </w:rPr>
        <w:t>Gilteritinib</w:t>
      </w:r>
      <w:proofErr w:type="spellEnd"/>
      <w:r w:rsidRPr="008843BF">
        <w:rPr>
          <w:lang w:val="en-GB"/>
        </w:rPr>
        <w:t xml:space="preserve"> has been associated with prolonged cardiac ventricular repolarisation (QT Interval) (</w:t>
      </w:r>
      <w:r>
        <w:rPr>
          <w:lang w:val="en-GB"/>
        </w:rPr>
        <w:t xml:space="preserve">see sections </w:t>
      </w:r>
      <w:r w:rsidRPr="008843BF">
        <w:rPr>
          <w:lang w:val="en-GB"/>
        </w:rPr>
        <w:t xml:space="preserve">4.8 </w:t>
      </w:r>
      <w:r>
        <w:rPr>
          <w:lang w:val="en-GB"/>
        </w:rPr>
        <w:fldChar w:fldCharType="begin"/>
      </w:r>
      <w:r>
        <w:rPr>
          <w:lang w:val="en-GB"/>
        </w:rPr>
        <w:instrText xml:space="preserve"> REF _Ref1551762 \h </w:instrText>
      </w:r>
      <w:r>
        <w:rPr>
          <w:lang w:val="en-GB"/>
        </w:rPr>
      </w:r>
      <w:r>
        <w:rPr>
          <w:lang w:val="en-GB"/>
        </w:rPr>
        <w:fldChar w:fldCharType="separate"/>
      </w:r>
      <w:proofErr w:type="gramStart"/>
      <w:r>
        <w:t>Adverse</w:t>
      </w:r>
      <w:proofErr w:type="gramEnd"/>
      <w:r>
        <w:t xml:space="preserve"> effects (Undesirable effects)</w:t>
      </w:r>
      <w:r>
        <w:rPr>
          <w:lang w:val="en-GB"/>
        </w:rPr>
        <w:fldChar w:fldCharType="end"/>
      </w:r>
      <w:r>
        <w:rPr>
          <w:lang w:val="en-GB"/>
        </w:rPr>
        <w:t xml:space="preserve"> </w:t>
      </w:r>
      <w:r w:rsidRPr="008843BF">
        <w:rPr>
          <w:lang w:val="en-GB"/>
        </w:rPr>
        <w:t>and 5.1</w:t>
      </w:r>
      <w:r>
        <w:rPr>
          <w:lang w:val="en-GB"/>
        </w:rPr>
        <w:t xml:space="preserve"> </w:t>
      </w:r>
      <w:r>
        <w:rPr>
          <w:lang w:val="en-GB"/>
        </w:rPr>
        <w:fldChar w:fldCharType="begin"/>
      </w:r>
      <w:r>
        <w:rPr>
          <w:lang w:val="en-GB"/>
        </w:rPr>
        <w:instrText xml:space="preserve"> REF _Ref1553325 \h </w:instrText>
      </w:r>
      <w:r>
        <w:rPr>
          <w:lang w:val="en-GB"/>
        </w:rPr>
      </w:r>
      <w:r>
        <w:rPr>
          <w:lang w:val="en-GB"/>
        </w:rPr>
        <w:fldChar w:fldCharType="separate"/>
      </w:r>
      <w:proofErr w:type="spellStart"/>
      <w:r w:rsidRPr="00EC3C40">
        <w:rPr>
          <w:lang w:val="en-US"/>
        </w:rPr>
        <w:t>Pharmacodynamic</w:t>
      </w:r>
      <w:proofErr w:type="spellEnd"/>
      <w:r w:rsidRPr="00EC3C40">
        <w:rPr>
          <w:lang w:val="en-US"/>
        </w:rPr>
        <w:t xml:space="preserve"> properties</w:t>
      </w:r>
      <w:r>
        <w:rPr>
          <w:lang w:val="en-GB"/>
        </w:rPr>
        <w:fldChar w:fldCharType="end"/>
      </w:r>
      <w:r w:rsidRPr="008843BF">
        <w:rPr>
          <w:lang w:val="en-GB"/>
        </w:rPr>
        <w:t xml:space="preserve">). </w:t>
      </w:r>
      <w:r w:rsidR="00C81060" w:rsidRPr="00C81060">
        <w:rPr>
          <w:lang w:val="en-GB"/>
        </w:rPr>
        <w:t xml:space="preserve">QT prolongation </w:t>
      </w:r>
      <w:proofErr w:type="gramStart"/>
      <w:r w:rsidR="00C81060" w:rsidRPr="00C81060">
        <w:rPr>
          <w:lang w:val="en-GB"/>
        </w:rPr>
        <w:t>can be observed</w:t>
      </w:r>
      <w:proofErr w:type="gramEnd"/>
      <w:r w:rsidR="00C81060" w:rsidRPr="00C81060">
        <w:rPr>
          <w:lang w:val="en-GB"/>
        </w:rPr>
        <w:t xml:space="preserve"> in the first </w:t>
      </w:r>
      <w:r w:rsidR="00006038">
        <w:rPr>
          <w:lang w:val="en-GB"/>
        </w:rPr>
        <w:t>three</w:t>
      </w:r>
      <w:r w:rsidR="00C81060" w:rsidRPr="00C81060">
        <w:rPr>
          <w:lang w:val="en-GB"/>
        </w:rPr>
        <w:t xml:space="preserve"> months of treatment with </w:t>
      </w:r>
      <w:r w:rsidR="00995E0C">
        <w:rPr>
          <w:lang w:val="en-GB"/>
        </w:rPr>
        <w:t>XOSPATA</w:t>
      </w:r>
      <w:r w:rsidR="00C81060" w:rsidRPr="00C81060">
        <w:rPr>
          <w:lang w:val="en-GB"/>
        </w:rPr>
        <w:t xml:space="preserve">. Therefore, electrocardiogram (ECG) should be performed prior to initiation of treatment, on day </w:t>
      </w:r>
      <w:r w:rsidR="0085455C">
        <w:rPr>
          <w:lang w:val="en-GB"/>
        </w:rPr>
        <w:t xml:space="preserve">8 and </w:t>
      </w:r>
      <w:r w:rsidR="00C81060" w:rsidRPr="00C81060">
        <w:rPr>
          <w:lang w:val="en-GB"/>
        </w:rPr>
        <w:t xml:space="preserve">15 </w:t>
      </w:r>
      <w:r w:rsidR="0085455C">
        <w:rPr>
          <w:lang w:val="en-GB"/>
        </w:rPr>
        <w:t xml:space="preserve">of cycle 1, </w:t>
      </w:r>
      <w:r w:rsidR="00C81060" w:rsidRPr="00C81060">
        <w:rPr>
          <w:lang w:val="en-GB"/>
        </w:rPr>
        <w:t xml:space="preserve">and prior to the start of the next </w:t>
      </w:r>
      <w:proofErr w:type="gramStart"/>
      <w:r w:rsidR="006827C1">
        <w:rPr>
          <w:lang w:val="en-GB"/>
        </w:rPr>
        <w:t>three</w:t>
      </w:r>
      <w:proofErr w:type="gramEnd"/>
      <w:r w:rsidR="006827C1" w:rsidRPr="00C81060">
        <w:rPr>
          <w:lang w:val="en-GB"/>
        </w:rPr>
        <w:t xml:space="preserve"> </w:t>
      </w:r>
      <w:r w:rsidR="00C81060" w:rsidRPr="00C81060">
        <w:rPr>
          <w:lang w:val="en-GB"/>
        </w:rPr>
        <w:t xml:space="preserve">subsequent months of treatment. In addition, an ECG </w:t>
      </w:r>
      <w:proofErr w:type="gramStart"/>
      <w:r w:rsidR="00C81060" w:rsidRPr="00C81060">
        <w:rPr>
          <w:lang w:val="en-GB"/>
        </w:rPr>
        <w:t>should be performed</w:t>
      </w:r>
      <w:proofErr w:type="gramEnd"/>
      <w:r w:rsidR="00C81060" w:rsidRPr="00C81060">
        <w:rPr>
          <w:lang w:val="en-GB"/>
        </w:rPr>
        <w:t xml:space="preserve"> in case of dose increase, following the same schedule. Hypokalaemia or hypomagnesaemia may increase the QT prolongation risk. Hypokalaemia or hypomagnesaemia should therefore be corrected prior to and during </w:t>
      </w:r>
      <w:r w:rsidR="00995E0C" w:rsidRPr="00C81060">
        <w:rPr>
          <w:lang w:val="en-GB"/>
        </w:rPr>
        <w:t>XOSPATA</w:t>
      </w:r>
      <w:r w:rsidR="00C81060" w:rsidRPr="00C81060">
        <w:rPr>
          <w:lang w:val="en-GB"/>
        </w:rPr>
        <w:t xml:space="preserve"> treatment.</w:t>
      </w:r>
    </w:p>
    <w:p w14:paraId="0D642F26" w14:textId="59700133" w:rsidR="008843BF" w:rsidRPr="008843BF" w:rsidRDefault="00B548B9" w:rsidP="008843BF">
      <w:pPr>
        <w:rPr>
          <w:lang w:val="en-GB"/>
        </w:rPr>
      </w:pPr>
      <w:r>
        <w:rPr>
          <w:lang w:val="en-GB"/>
        </w:rPr>
        <w:t>XOSPATA</w:t>
      </w:r>
      <w:r w:rsidR="00090773">
        <w:rPr>
          <w:lang w:val="en-GB"/>
        </w:rPr>
        <w:t xml:space="preserve"> should be i</w:t>
      </w:r>
      <w:r w:rsidR="008843BF" w:rsidRPr="008843BF">
        <w:rPr>
          <w:lang w:val="en-GB"/>
        </w:rPr>
        <w:t>nterrupt</w:t>
      </w:r>
      <w:r w:rsidR="00090773">
        <w:rPr>
          <w:lang w:val="en-GB"/>
        </w:rPr>
        <w:t>ed</w:t>
      </w:r>
      <w:r w:rsidR="008843BF" w:rsidRPr="008843BF">
        <w:rPr>
          <w:lang w:val="en-GB"/>
        </w:rPr>
        <w:t xml:space="preserve"> in patients who have a </w:t>
      </w:r>
      <w:proofErr w:type="spellStart"/>
      <w:r w:rsidR="008843BF" w:rsidRPr="008843BF">
        <w:rPr>
          <w:lang w:val="en-GB"/>
        </w:rPr>
        <w:t>QTcF</w:t>
      </w:r>
      <w:proofErr w:type="spellEnd"/>
      <w:r w:rsidR="008843BF" w:rsidRPr="008843BF">
        <w:rPr>
          <w:lang w:val="en-GB"/>
        </w:rPr>
        <w:t> &gt;500 </w:t>
      </w:r>
      <w:proofErr w:type="spellStart"/>
      <w:r w:rsidR="008843BF" w:rsidRPr="008843BF">
        <w:rPr>
          <w:lang w:val="en-GB"/>
        </w:rPr>
        <w:t>msec</w:t>
      </w:r>
      <w:proofErr w:type="spellEnd"/>
      <w:r w:rsidR="008843BF" w:rsidRPr="008843BF">
        <w:rPr>
          <w:lang w:val="en-GB"/>
        </w:rPr>
        <w:t xml:space="preserve"> (</w:t>
      </w:r>
      <w:r w:rsidR="008843BF">
        <w:rPr>
          <w:lang w:val="en-GB"/>
        </w:rPr>
        <w:t>see s</w:t>
      </w:r>
      <w:r w:rsidR="008843BF" w:rsidRPr="008843BF">
        <w:rPr>
          <w:lang w:val="en-GB"/>
        </w:rPr>
        <w:t>ection 4.2</w:t>
      </w:r>
      <w:r w:rsidR="008843BF">
        <w:rPr>
          <w:lang w:val="en-GB"/>
        </w:rPr>
        <w:t xml:space="preserve"> </w:t>
      </w:r>
      <w:r w:rsidR="008843BF">
        <w:rPr>
          <w:lang w:val="en-GB"/>
        </w:rPr>
        <w:fldChar w:fldCharType="begin"/>
      </w:r>
      <w:r w:rsidR="008843BF">
        <w:rPr>
          <w:lang w:val="en-GB"/>
        </w:rPr>
        <w:instrText xml:space="preserve"> REF _Ref1551521 \h </w:instrText>
      </w:r>
      <w:r w:rsidR="008843BF">
        <w:rPr>
          <w:lang w:val="en-GB"/>
        </w:rPr>
      </w:r>
      <w:r w:rsidR="008843BF">
        <w:rPr>
          <w:lang w:val="en-GB"/>
        </w:rPr>
        <w:fldChar w:fldCharType="separate"/>
      </w:r>
      <w:r w:rsidR="008843BF">
        <w:t>Dose and method of administration</w:t>
      </w:r>
      <w:r w:rsidR="008843BF">
        <w:rPr>
          <w:lang w:val="en-GB"/>
        </w:rPr>
        <w:fldChar w:fldCharType="end"/>
      </w:r>
      <w:r w:rsidR="008843BF" w:rsidRPr="008843BF">
        <w:rPr>
          <w:lang w:val="en-GB"/>
        </w:rPr>
        <w:t>).</w:t>
      </w:r>
    </w:p>
    <w:p w14:paraId="37B5AD1B" w14:textId="77777777" w:rsidR="00453278" w:rsidRDefault="00453278" w:rsidP="00453278">
      <w:pPr>
        <w:pStyle w:val="Heading3"/>
        <w:spacing w:before="0" w:after="120"/>
      </w:pPr>
      <w:r w:rsidRPr="00453278">
        <w:t>Pancreatitis</w:t>
      </w:r>
    </w:p>
    <w:p w14:paraId="4FBEA7B8" w14:textId="5676A096" w:rsidR="008843BF" w:rsidRDefault="00C81060" w:rsidP="00C81060">
      <w:r w:rsidRPr="00C81060">
        <w:t xml:space="preserve">There have been reports of pancreatitis. Patients who develop signs and symptoms suggestive of pancreatitis </w:t>
      </w:r>
      <w:proofErr w:type="gramStart"/>
      <w:r w:rsidRPr="00C81060">
        <w:t>should be evaluated and monitored</w:t>
      </w:r>
      <w:proofErr w:type="gramEnd"/>
      <w:r w:rsidRPr="00C81060">
        <w:t xml:space="preserve">. </w:t>
      </w:r>
      <w:r w:rsidR="00995E0C" w:rsidRPr="00C81060">
        <w:t>XOSPATA</w:t>
      </w:r>
      <w:r w:rsidRPr="00C81060">
        <w:t xml:space="preserve"> should </w:t>
      </w:r>
      <w:proofErr w:type="gramStart"/>
      <w:r w:rsidRPr="00C81060">
        <w:t>be interrupted</w:t>
      </w:r>
      <w:proofErr w:type="gramEnd"/>
      <w:r w:rsidRPr="00C81060">
        <w:t xml:space="preserve"> and can be resumed at a reduced dose when the signs and symptoms of pancreatitis have resolved (see section 4.2</w:t>
      </w:r>
      <w:r w:rsidR="00995E0C">
        <w:t xml:space="preserve"> </w:t>
      </w:r>
      <w:r w:rsidR="00995E0C">
        <w:rPr>
          <w:lang w:val="en-GB"/>
        </w:rPr>
        <w:fldChar w:fldCharType="begin"/>
      </w:r>
      <w:r w:rsidR="00995E0C">
        <w:rPr>
          <w:lang w:val="en-GB"/>
        </w:rPr>
        <w:instrText xml:space="preserve"> REF _Ref1551521 \h </w:instrText>
      </w:r>
      <w:r w:rsidR="00995E0C">
        <w:rPr>
          <w:lang w:val="en-GB"/>
        </w:rPr>
      </w:r>
      <w:r w:rsidR="00995E0C">
        <w:rPr>
          <w:lang w:val="en-GB"/>
        </w:rPr>
        <w:fldChar w:fldCharType="separate"/>
      </w:r>
      <w:r w:rsidR="00995E0C">
        <w:t>Dose and method of administration</w:t>
      </w:r>
      <w:r w:rsidR="00995E0C">
        <w:rPr>
          <w:lang w:val="en-GB"/>
        </w:rPr>
        <w:fldChar w:fldCharType="end"/>
      </w:r>
      <w:r w:rsidRPr="00C81060">
        <w:t>).</w:t>
      </w:r>
    </w:p>
    <w:p w14:paraId="3F268A7B" w14:textId="78996F8D" w:rsidR="00C81060" w:rsidRDefault="00C81060" w:rsidP="00C81060">
      <w:pPr>
        <w:pStyle w:val="Heading3"/>
        <w:spacing w:before="0" w:after="120"/>
      </w:pPr>
      <w:r>
        <w:t>Interactions</w:t>
      </w:r>
    </w:p>
    <w:p w14:paraId="0B8263DB" w14:textId="7F0058D0" w:rsidR="00C81060" w:rsidRDefault="00C81060" w:rsidP="00C81060">
      <w:proofErr w:type="spellStart"/>
      <w:r>
        <w:t>Coadministration</w:t>
      </w:r>
      <w:proofErr w:type="spellEnd"/>
      <w:r>
        <w:t xml:space="preserve"> of CYP3A/P-</w:t>
      </w:r>
      <w:proofErr w:type="spellStart"/>
      <w:r>
        <w:t>gp</w:t>
      </w:r>
      <w:proofErr w:type="spellEnd"/>
      <w:r>
        <w:t xml:space="preserve"> inducers may lead to decreased </w:t>
      </w:r>
      <w:proofErr w:type="spellStart"/>
      <w:r>
        <w:t>gilteritinib</w:t>
      </w:r>
      <w:proofErr w:type="spellEnd"/>
      <w:r>
        <w:t xml:space="preserve"> exposure and consequently a risk for lack of efficacy. Therefore, concomitant use of </w:t>
      </w:r>
      <w:r w:rsidR="00995E0C">
        <w:t>XOSPATA</w:t>
      </w:r>
      <w:r>
        <w:t xml:space="preserve"> with strong CYP3A4/P-</w:t>
      </w:r>
      <w:proofErr w:type="spellStart"/>
      <w:r>
        <w:t>gp</w:t>
      </w:r>
      <w:proofErr w:type="spellEnd"/>
      <w:r>
        <w:t xml:space="preserve"> inducers </w:t>
      </w:r>
      <w:proofErr w:type="gramStart"/>
      <w:r>
        <w:t>should be avoided</w:t>
      </w:r>
      <w:proofErr w:type="gramEnd"/>
      <w:r>
        <w:t xml:space="preserve"> (see section 4.5</w:t>
      </w:r>
      <w:r w:rsidR="00995E0C">
        <w:t xml:space="preserve"> I</w:t>
      </w:r>
      <w:r w:rsidR="00995E0C" w:rsidRPr="00995E0C">
        <w:t>nteractions with other medicines and other forms of interactions</w:t>
      </w:r>
      <w:r>
        <w:t>).</w:t>
      </w:r>
    </w:p>
    <w:p w14:paraId="65AC985D" w14:textId="0F322A83" w:rsidR="00C81060" w:rsidRDefault="00C81060" w:rsidP="00C81060">
      <w:r>
        <w:t xml:space="preserve">Caution is required when concomitantly prescribing </w:t>
      </w:r>
      <w:r w:rsidR="00995E0C">
        <w:t>XOSPATA</w:t>
      </w:r>
      <w:r>
        <w:t xml:space="preserve"> with medicinal products that are strong inhibitors of CYP3A and/or P-</w:t>
      </w:r>
      <w:proofErr w:type="spellStart"/>
      <w:r>
        <w:t>gp</w:t>
      </w:r>
      <w:proofErr w:type="spellEnd"/>
      <w:r>
        <w:t xml:space="preserve"> (such as, but not limited to, </w:t>
      </w:r>
      <w:proofErr w:type="spellStart"/>
      <w:r>
        <w:t>voriconazole</w:t>
      </w:r>
      <w:proofErr w:type="spellEnd"/>
      <w:r>
        <w:t xml:space="preserve">, </w:t>
      </w:r>
      <w:proofErr w:type="spellStart"/>
      <w:r>
        <w:t>itraconazole</w:t>
      </w:r>
      <w:proofErr w:type="spellEnd"/>
      <w:r>
        <w:t xml:space="preserve">, </w:t>
      </w:r>
      <w:proofErr w:type="spellStart"/>
      <w:r>
        <w:t>posaconazole</w:t>
      </w:r>
      <w:proofErr w:type="spellEnd"/>
      <w:r>
        <w:t xml:space="preserve"> and clarithromycin) because they can increase </w:t>
      </w:r>
      <w:proofErr w:type="spellStart"/>
      <w:r>
        <w:t>gilteritinib</w:t>
      </w:r>
      <w:proofErr w:type="spellEnd"/>
      <w:r>
        <w:t xml:space="preserve"> exposure. Alternative </w:t>
      </w:r>
      <w:r>
        <w:lastRenderedPageBreak/>
        <w:t>medicinal products that do not strongly inhibit CYP3A and/or P-</w:t>
      </w:r>
      <w:proofErr w:type="spellStart"/>
      <w:r>
        <w:t>gp</w:t>
      </w:r>
      <w:proofErr w:type="spellEnd"/>
      <w:r>
        <w:t xml:space="preserve"> activity </w:t>
      </w:r>
      <w:proofErr w:type="gramStart"/>
      <w:r>
        <w:t>should be considered</w:t>
      </w:r>
      <w:proofErr w:type="gramEnd"/>
      <w:r>
        <w:t xml:space="preserve">. In situations where satisfactory therapeutic alternatives do not exist, patients </w:t>
      </w:r>
      <w:proofErr w:type="gramStart"/>
      <w:r>
        <w:t>should be closely monitored</w:t>
      </w:r>
      <w:proofErr w:type="gramEnd"/>
      <w:r>
        <w:t xml:space="preserve"> for toxicities during administration of </w:t>
      </w:r>
      <w:r w:rsidR="00995E0C">
        <w:t>XOSPATA</w:t>
      </w:r>
      <w:r>
        <w:t xml:space="preserve"> (see section 4.5</w:t>
      </w:r>
      <w:r w:rsidR="00995E0C" w:rsidRPr="00995E0C">
        <w:t xml:space="preserve"> </w:t>
      </w:r>
      <w:r w:rsidR="00995E0C">
        <w:t>I</w:t>
      </w:r>
      <w:r w:rsidR="00995E0C" w:rsidRPr="00995E0C">
        <w:t>nteractions with other medicines and other forms of interactions</w:t>
      </w:r>
      <w:r>
        <w:t>).</w:t>
      </w:r>
    </w:p>
    <w:p w14:paraId="41389DE2" w14:textId="176EEE45" w:rsidR="00C81060" w:rsidRPr="00C81060" w:rsidRDefault="00995E0C" w:rsidP="00C81060">
      <w:r>
        <w:t>XOSPATA</w:t>
      </w:r>
      <w:r w:rsidR="00C81060">
        <w:t xml:space="preserve"> may reduce the effects of medicinal products that target 5HT</w:t>
      </w:r>
      <w:r w:rsidR="00C81060" w:rsidRPr="00995E0C">
        <w:rPr>
          <w:vertAlign w:val="subscript"/>
        </w:rPr>
        <w:t>2B</w:t>
      </w:r>
      <w:r w:rsidR="00C81060">
        <w:t xml:space="preserve"> receptor or sigma nonspecific receptors. Therefore, concomitant use of </w:t>
      </w:r>
      <w:r>
        <w:t>XOSPATA</w:t>
      </w:r>
      <w:r w:rsidR="00C81060">
        <w:t xml:space="preserve"> with these products </w:t>
      </w:r>
      <w:proofErr w:type="gramStart"/>
      <w:r w:rsidR="00C81060">
        <w:t>should be avoided</w:t>
      </w:r>
      <w:proofErr w:type="gramEnd"/>
      <w:r w:rsidR="00C81060">
        <w:t xml:space="preserve"> unless use is considered essential for the care of the patient (see section 4.5</w:t>
      </w:r>
      <w:r w:rsidRPr="00995E0C">
        <w:t xml:space="preserve"> </w:t>
      </w:r>
      <w:r>
        <w:t>I</w:t>
      </w:r>
      <w:r w:rsidRPr="00995E0C">
        <w:t>nteractions with other medicines and other forms of interactions</w:t>
      </w:r>
      <w:r w:rsidR="00C81060">
        <w:t>).</w:t>
      </w:r>
    </w:p>
    <w:p w14:paraId="60351F8C" w14:textId="734938F3" w:rsidR="00453278" w:rsidRDefault="00453278" w:rsidP="00453278">
      <w:pPr>
        <w:pStyle w:val="Heading3"/>
        <w:spacing w:before="0" w:after="120"/>
      </w:pPr>
      <w:proofErr w:type="spellStart"/>
      <w:r w:rsidRPr="00453278">
        <w:t>Embryofetal</w:t>
      </w:r>
      <w:proofErr w:type="spellEnd"/>
      <w:r w:rsidRPr="00453278">
        <w:t xml:space="preserve"> toxicity and</w:t>
      </w:r>
      <w:r w:rsidRPr="00C81060">
        <w:t xml:space="preserve"> </w:t>
      </w:r>
      <w:r w:rsidR="00C81060" w:rsidRPr="00995E0C">
        <w:rPr>
          <w:noProof/>
        </w:rPr>
        <w:t>contraception</w:t>
      </w:r>
    </w:p>
    <w:p w14:paraId="710838AA" w14:textId="397FA056" w:rsidR="008843BF" w:rsidRDefault="008843BF" w:rsidP="008843BF">
      <w:r>
        <w:t xml:space="preserve">Pregnant women </w:t>
      </w:r>
      <w:proofErr w:type="gramStart"/>
      <w:r>
        <w:t>should be informed</w:t>
      </w:r>
      <w:proofErr w:type="gramEnd"/>
      <w:r>
        <w:t xml:space="preserve"> of the potential risk to a </w:t>
      </w:r>
      <w:proofErr w:type="spellStart"/>
      <w:r>
        <w:t>fetus</w:t>
      </w:r>
      <w:proofErr w:type="spellEnd"/>
      <w:r>
        <w:t xml:space="preserve"> (see section 4.6 </w:t>
      </w:r>
      <w:r>
        <w:fldChar w:fldCharType="begin"/>
      </w:r>
      <w:r>
        <w:instrText xml:space="preserve"> REF _Ref1553706 \h </w:instrText>
      </w:r>
      <w:r>
        <w:fldChar w:fldCharType="separate"/>
      </w:r>
      <w:r>
        <w:t>Fertility, pregnancy and lactation</w:t>
      </w:r>
      <w:r>
        <w:fldChar w:fldCharType="end"/>
      </w:r>
      <w:r>
        <w:t xml:space="preserve">). Females of reproductive potential </w:t>
      </w:r>
      <w:proofErr w:type="gramStart"/>
      <w:r>
        <w:t>should be advised</w:t>
      </w:r>
      <w:proofErr w:type="gramEnd"/>
      <w:r>
        <w:t xml:space="preserve"> to have a pregnancy test within seven days prior to starting treatment with </w:t>
      </w:r>
      <w:r w:rsidR="00B548B9">
        <w:t>XOSPATA</w:t>
      </w:r>
      <w:r>
        <w:t xml:space="preserve"> and to use effective contraception during treatment with </w:t>
      </w:r>
      <w:r w:rsidR="00B548B9">
        <w:t>XOSPATA</w:t>
      </w:r>
      <w:r>
        <w:t xml:space="preserve"> and for at least 6 months after stopping treatment. </w:t>
      </w:r>
      <w:r w:rsidR="00A8434C" w:rsidRPr="00A8434C">
        <w:t>Women using hormonal contraceptives should add a barrier method of contraception.</w:t>
      </w:r>
      <w:r w:rsidR="00A8434C">
        <w:t xml:space="preserve"> </w:t>
      </w:r>
      <w:r w:rsidR="00C81060" w:rsidRPr="00C81060">
        <w:t xml:space="preserve">Males with female partners of reproductive potential </w:t>
      </w:r>
      <w:proofErr w:type="gramStart"/>
      <w:r w:rsidR="00C81060" w:rsidRPr="00C81060">
        <w:t>should be advised</w:t>
      </w:r>
      <w:proofErr w:type="gramEnd"/>
      <w:r w:rsidR="00C81060" w:rsidRPr="00C81060">
        <w:t xml:space="preserve"> to use effective contraception during treatment and for at least 4 month</w:t>
      </w:r>
      <w:r w:rsidR="00B02929">
        <w:t>s after the last dose of</w:t>
      </w:r>
      <w:r>
        <w:t xml:space="preserve"> </w:t>
      </w:r>
      <w:r w:rsidR="00B548B9">
        <w:t>XOSPATA</w:t>
      </w:r>
      <w:r>
        <w:t>.</w:t>
      </w:r>
    </w:p>
    <w:p w14:paraId="45414F75" w14:textId="77777777" w:rsidR="00453278" w:rsidRDefault="008843BF" w:rsidP="00453278">
      <w:pPr>
        <w:pStyle w:val="Heading3"/>
        <w:spacing w:before="0" w:after="120"/>
        <w:rPr>
          <w:b w:val="0"/>
        </w:rPr>
      </w:pPr>
      <w:r>
        <w:t>Use in hepatic impairment</w:t>
      </w:r>
    </w:p>
    <w:p w14:paraId="7592230D" w14:textId="27962261" w:rsidR="008843BF" w:rsidRPr="008843BF" w:rsidRDefault="008843BF" w:rsidP="008843BF">
      <w:pPr>
        <w:rPr>
          <w:lang w:val="en-GB"/>
        </w:rPr>
      </w:pPr>
      <w:r w:rsidRPr="008843BF">
        <w:rPr>
          <w:lang w:val="en-GB"/>
        </w:rPr>
        <w:t xml:space="preserve">No dose adjustment is required for patients with mild (Child-Pugh Class A) or moderate (Child-Pugh Class B) hepatic impairment. </w:t>
      </w:r>
      <w:r w:rsidR="00B548B9">
        <w:rPr>
          <w:lang w:val="en-GB"/>
        </w:rPr>
        <w:t>XOSPATA</w:t>
      </w:r>
      <w:r w:rsidRPr="008843BF">
        <w:rPr>
          <w:lang w:val="en-GB"/>
        </w:rPr>
        <w:t xml:space="preserve"> </w:t>
      </w:r>
      <w:proofErr w:type="gramStart"/>
      <w:r w:rsidRPr="008843BF">
        <w:rPr>
          <w:lang w:val="en-GB"/>
        </w:rPr>
        <w:t>has not been studied</w:t>
      </w:r>
      <w:proofErr w:type="gramEnd"/>
      <w:r w:rsidRPr="008843BF">
        <w:rPr>
          <w:lang w:val="en-GB"/>
        </w:rPr>
        <w:t xml:space="preserve"> in patients with severe hepatic impairment (Child-Pugh Class C) (see section 5.2</w:t>
      </w:r>
      <w:r>
        <w:rPr>
          <w:lang w:val="en-GB"/>
        </w:rPr>
        <w:t xml:space="preserve"> </w:t>
      </w:r>
      <w:r>
        <w:rPr>
          <w:lang w:val="en-GB"/>
        </w:rPr>
        <w:fldChar w:fldCharType="begin"/>
      </w:r>
      <w:r>
        <w:rPr>
          <w:lang w:val="en-GB"/>
        </w:rPr>
        <w:instrText xml:space="preserve"> REF _Ref1553814 \h </w:instrText>
      </w:r>
      <w:r>
        <w:rPr>
          <w:lang w:val="en-GB"/>
        </w:rPr>
      </w:r>
      <w:r>
        <w:rPr>
          <w:lang w:val="en-GB"/>
        </w:rPr>
        <w:fldChar w:fldCharType="separate"/>
      </w:r>
      <w:r w:rsidRPr="00EC3C40">
        <w:rPr>
          <w:lang w:val="en-US"/>
        </w:rPr>
        <w:t>Pharmacokinetic properties</w:t>
      </w:r>
      <w:r>
        <w:rPr>
          <w:lang w:val="en-GB"/>
        </w:rPr>
        <w:fldChar w:fldCharType="end"/>
      </w:r>
      <w:r w:rsidRPr="008843BF">
        <w:rPr>
          <w:lang w:val="en-GB"/>
        </w:rPr>
        <w:t>).</w:t>
      </w:r>
    </w:p>
    <w:p w14:paraId="0257AAFA" w14:textId="77777777" w:rsidR="001A3992" w:rsidRDefault="008843BF" w:rsidP="001A3992">
      <w:pPr>
        <w:pStyle w:val="Heading3"/>
        <w:spacing w:before="0" w:after="120"/>
      </w:pPr>
      <w:r>
        <w:t>Use in renal impairment</w:t>
      </w:r>
    </w:p>
    <w:p w14:paraId="7846F908" w14:textId="37EACF6D" w:rsidR="008843BF" w:rsidRPr="00E12F58" w:rsidRDefault="00E12F58" w:rsidP="0085455C">
      <w:pPr>
        <w:rPr>
          <w:lang w:val="en-GB"/>
        </w:rPr>
      </w:pPr>
      <w:r w:rsidRPr="00E12F58">
        <w:rPr>
          <w:lang w:val="en-GB"/>
        </w:rPr>
        <w:t>No dose adjustment is necessary in patients with renal impairment</w:t>
      </w:r>
      <w:r w:rsidR="0085455C">
        <w:rPr>
          <w:lang w:val="en-GB"/>
        </w:rPr>
        <w:t xml:space="preserve">. </w:t>
      </w:r>
      <w:r w:rsidR="0085455C" w:rsidRPr="0085455C">
        <w:rPr>
          <w:lang w:val="en-GB"/>
        </w:rPr>
        <w:t>There is no</w:t>
      </w:r>
      <w:r w:rsidR="0085455C">
        <w:rPr>
          <w:lang w:val="en-GB"/>
        </w:rPr>
        <w:t xml:space="preserve"> </w:t>
      </w:r>
      <w:r w:rsidR="0085455C" w:rsidRPr="0085455C">
        <w:rPr>
          <w:lang w:val="en-GB"/>
        </w:rPr>
        <w:t>clinical experience in patients with severe renal impairment</w:t>
      </w:r>
      <w:r w:rsidRPr="00E12F58">
        <w:rPr>
          <w:lang w:val="en-GB"/>
        </w:rPr>
        <w:t xml:space="preserve"> (see section 5.2</w:t>
      </w:r>
      <w:r>
        <w:rPr>
          <w:lang w:val="en-GB"/>
        </w:rPr>
        <w:t xml:space="preserve"> </w:t>
      </w:r>
      <w:r>
        <w:rPr>
          <w:lang w:val="en-GB"/>
        </w:rPr>
        <w:fldChar w:fldCharType="begin"/>
      </w:r>
      <w:r>
        <w:rPr>
          <w:lang w:val="en-GB"/>
        </w:rPr>
        <w:instrText xml:space="preserve"> REF _Ref1553814 \h </w:instrText>
      </w:r>
      <w:r>
        <w:rPr>
          <w:lang w:val="en-GB"/>
        </w:rPr>
      </w:r>
      <w:r>
        <w:rPr>
          <w:lang w:val="en-GB"/>
        </w:rPr>
        <w:fldChar w:fldCharType="separate"/>
      </w:r>
      <w:r w:rsidRPr="00EC3C40">
        <w:rPr>
          <w:lang w:val="en-US"/>
        </w:rPr>
        <w:t>Pharmacokinetic properties</w:t>
      </w:r>
      <w:r>
        <w:rPr>
          <w:lang w:val="en-GB"/>
        </w:rPr>
        <w:fldChar w:fldCharType="end"/>
      </w:r>
      <w:r w:rsidRPr="00E12F58">
        <w:rPr>
          <w:lang w:val="en-GB"/>
        </w:rPr>
        <w:t>).</w:t>
      </w:r>
    </w:p>
    <w:p w14:paraId="55CC9B4C" w14:textId="77777777" w:rsidR="001A3992" w:rsidRDefault="001A3992" w:rsidP="001A3992">
      <w:pPr>
        <w:pStyle w:val="Heading3"/>
        <w:spacing w:before="0" w:after="120"/>
      </w:pPr>
      <w:r w:rsidRPr="00B878CC">
        <w:t>Use in the elderly</w:t>
      </w:r>
    </w:p>
    <w:p w14:paraId="256E990A" w14:textId="35351B0F" w:rsidR="00E12F58" w:rsidRPr="00E12F58" w:rsidRDefault="00E12F58" w:rsidP="00E12F58">
      <w:pPr>
        <w:rPr>
          <w:lang w:val="en-GB"/>
        </w:rPr>
      </w:pPr>
      <w:r w:rsidRPr="00E12F58">
        <w:rPr>
          <w:lang w:val="en-GB"/>
        </w:rPr>
        <w:t xml:space="preserve">No dose adjustment is required in </w:t>
      </w:r>
      <w:proofErr w:type="gramStart"/>
      <w:r w:rsidRPr="00E12F58">
        <w:rPr>
          <w:lang w:val="en-GB"/>
        </w:rPr>
        <w:t>patients</w:t>
      </w:r>
      <w:proofErr w:type="gramEnd"/>
      <w:r w:rsidRPr="00E12F58">
        <w:rPr>
          <w:lang w:val="en-GB"/>
        </w:rPr>
        <w:t xml:space="preserve"> </w:t>
      </w:r>
      <w:r w:rsidR="007055AC">
        <w:rPr>
          <w:lang w:val="en-GB"/>
        </w:rPr>
        <w:sym w:font="Symbol" w:char="F0B3"/>
      </w:r>
      <w:r w:rsidRPr="00E12F58">
        <w:rPr>
          <w:lang w:val="en-GB"/>
        </w:rPr>
        <w:t>65 years of age (see section 5.2</w:t>
      </w:r>
      <w:r>
        <w:rPr>
          <w:lang w:val="en-GB"/>
        </w:rPr>
        <w:t xml:space="preserve"> </w:t>
      </w:r>
      <w:r>
        <w:rPr>
          <w:lang w:val="en-GB"/>
        </w:rPr>
        <w:fldChar w:fldCharType="begin"/>
      </w:r>
      <w:r>
        <w:rPr>
          <w:lang w:val="en-GB"/>
        </w:rPr>
        <w:instrText xml:space="preserve"> REF _Ref1553814 \h </w:instrText>
      </w:r>
      <w:r>
        <w:rPr>
          <w:lang w:val="en-GB"/>
        </w:rPr>
      </w:r>
      <w:r>
        <w:rPr>
          <w:lang w:val="en-GB"/>
        </w:rPr>
        <w:fldChar w:fldCharType="separate"/>
      </w:r>
      <w:r w:rsidRPr="00EC3C40">
        <w:rPr>
          <w:lang w:val="en-US"/>
        </w:rPr>
        <w:t>Pharmacokinetic properties</w:t>
      </w:r>
      <w:r>
        <w:rPr>
          <w:lang w:val="en-GB"/>
        </w:rPr>
        <w:fldChar w:fldCharType="end"/>
      </w:r>
      <w:r w:rsidRPr="00E12F58">
        <w:rPr>
          <w:lang w:val="en-GB"/>
        </w:rPr>
        <w:t>).</w:t>
      </w:r>
    </w:p>
    <w:p w14:paraId="1EF1D3BA" w14:textId="77777777" w:rsidR="001A3992" w:rsidRDefault="001A3992" w:rsidP="001A3992">
      <w:pPr>
        <w:pStyle w:val="Heading3"/>
        <w:spacing w:before="0" w:after="120"/>
      </w:pPr>
      <w:r w:rsidRPr="00B878CC">
        <w:t>Paediatric use</w:t>
      </w:r>
    </w:p>
    <w:p w14:paraId="3E5437CC" w14:textId="7A863E81" w:rsidR="00E12F58" w:rsidRDefault="00E12F58" w:rsidP="00E12F58">
      <w:r>
        <w:t xml:space="preserve">The safety and efficacy of </w:t>
      </w:r>
      <w:r w:rsidR="00B548B9">
        <w:t>XOSPATA</w:t>
      </w:r>
      <w:r>
        <w:t xml:space="preserve"> in children aged below 18 year</w:t>
      </w:r>
      <w:r w:rsidR="00AA659A">
        <w:t xml:space="preserve">s </w:t>
      </w:r>
      <w:proofErr w:type="gramStart"/>
      <w:r w:rsidR="00AA659A">
        <w:t>has not yet been established</w:t>
      </w:r>
      <w:proofErr w:type="gramEnd"/>
      <w:r w:rsidR="00AA659A">
        <w:t>.</w:t>
      </w:r>
    </w:p>
    <w:p w14:paraId="3FED73E9" w14:textId="4BEE9D7B" w:rsidR="00E12F58" w:rsidRPr="00E12F58" w:rsidRDefault="00E12F58" w:rsidP="00E12F58">
      <w:r>
        <w:t>No data are available.</w:t>
      </w:r>
      <w:r w:rsidR="00BA1D63">
        <w:t xml:space="preserve"> XOSPATA </w:t>
      </w:r>
      <w:proofErr w:type="gramStart"/>
      <w:r w:rsidR="00BA1D63">
        <w:t>should not be used</w:t>
      </w:r>
      <w:proofErr w:type="gramEnd"/>
      <w:r w:rsidR="00BA1D63">
        <w:t xml:space="preserve"> in children from birth </w:t>
      </w:r>
      <w:r w:rsidR="00BA1D63" w:rsidRPr="00EE1FE3">
        <w:t>to less than 6 months of age</w:t>
      </w:r>
      <w:r w:rsidR="00BA1D63">
        <w:t xml:space="preserve"> because of potential safety concerns. </w:t>
      </w:r>
      <w:r w:rsidR="00BA1D63">
        <w:rPr>
          <w:rFonts w:eastAsia="MS Mincho"/>
          <w:szCs w:val="24"/>
          <w:lang w:eastAsia="ja-JP"/>
        </w:rPr>
        <w:t>Due to</w:t>
      </w:r>
      <w:r w:rsidR="00BA1D63" w:rsidRPr="00F91ADF">
        <w:rPr>
          <w:rFonts w:eastAsia="MS Mincho"/>
          <w:i/>
          <w:szCs w:val="24"/>
          <w:lang w:eastAsia="ja-JP"/>
        </w:rPr>
        <w:t xml:space="preserve"> in vitro</w:t>
      </w:r>
      <w:r w:rsidR="00BA1D63">
        <w:rPr>
          <w:rFonts w:eastAsia="MS Mincho"/>
          <w:szCs w:val="24"/>
          <w:lang w:eastAsia="ja-JP"/>
        </w:rPr>
        <w:t xml:space="preserve"> binding to 5HT</w:t>
      </w:r>
      <w:r w:rsidR="00BA1D63" w:rsidRPr="00925F4C">
        <w:rPr>
          <w:rFonts w:eastAsia="MS Mincho"/>
          <w:szCs w:val="24"/>
          <w:vertAlign w:val="subscript"/>
          <w:lang w:eastAsia="ja-JP"/>
        </w:rPr>
        <w:t>2B</w:t>
      </w:r>
      <w:r w:rsidR="00BA1D63" w:rsidRPr="00925F4C">
        <w:t xml:space="preserve"> </w:t>
      </w:r>
      <w:r w:rsidR="00BA1D63">
        <w:t>(see section 4.5</w:t>
      </w:r>
      <w:r w:rsidR="00995E0C" w:rsidRPr="00995E0C">
        <w:t xml:space="preserve"> </w:t>
      </w:r>
      <w:r w:rsidR="00995E0C">
        <w:t>I</w:t>
      </w:r>
      <w:r w:rsidR="00995E0C" w:rsidRPr="00995E0C">
        <w:t>nteractions with other medicines and other forms of interactions</w:t>
      </w:r>
      <w:r w:rsidR="00BA1D63">
        <w:t>)</w:t>
      </w:r>
      <w:r w:rsidR="00BA1D63">
        <w:rPr>
          <w:rFonts w:eastAsia="MS Mincho"/>
          <w:szCs w:val="24"/>
          <w:lang w:eastAsia="ja-JP"/>
        </w:rPr>
        <w:t>, there is a potential impact on cardiac development in patients less than 6 months of age</w:t>
      </w:r>
      <w:r w:rsidR="00BA1D63">
        <w:t>.</w:t>
      </w:r>
    </w:p>
    <w:p w14:paraId="13849394" w14:textId="77777777" w:rsidR="001A3992" w:rsidRDefault="001A3992" w:rsidP="001A3992">
      <w:pPr>
        <w:pStyle w:val="Heading3"/>
        <w:spacing w:before="0" w:after="120"/>
      </w:pPr>
      <w:r w:rsidRPr="00B878CC">
        <w:t>Effects on</w:t>
      </w:r>
      <w:r w:rsidRPr="00CC0D90">
        <w:t xml:space="preserve"> laboratory tests</w:t>
      </w:r>
    </w:p>
    <w:p w14:paraId="601E57C0" w14:textId="77777777" w:rsidR="00E12F58" w:rsidRPr="00E12F58" w:rsidRDefault="00E12F58" w:rsidP="00E12F58">
      <w:r w:rsidRPr="00062F47">
        <w:t>No data are available.</w:t>
      </w:r>
    </w:p>
    <w:p w14:paraId="0719496E" w14:textId="77777777" w:rsidR="001A3992" w:rsidRDefault="001A3992" w:rsidP="001A3992">
      <w:pPr>
        <w:pStyle w:val="Heading2"/>
        <w:keepNext/>
        <w:keepLines/>
        <w:spacing w:before="0" w:after="120"/>
      </w:pPr>
      <w:bookmarkStart w:id="2" w:name="_Ref1645530"/>
      <w:r>
        <w:lastRenderedPageBreak/>
        <w:t>Interactions with other medicines and other forms of interactions</w:t>
      </w:r>
      <w:bookmarkEnd w:id="2"/>
    </w:p>
    <w:p w14:paraId="7022AAEB" w14:textId="77777777" w:rsidR="00013C8C" w:rsidRPr="004F7045" w:rsidRDefault="00013C8C" w:rsidP="00013C8C">
      <w:pPr>
        <w:rPr>
          <w:rFonts w:eastAsia="MS Mincho"/>
          <w:szCs w:val="24"/>
          <w:lang w:eastAsia="ja-JP"/>
        </w:rPr>
      </w:pPr>
      <w:proofErr w:type="spellStart"/>
      <w:r w:rsidRPr="004F7045">
        <w:rPr>
          <w:rFonts w:eastAsia="MS Mincho"/>
          <w:szCs w:val="24"/>
          <w:lang w:eastAsia="ja-JP"/>
        </w:rPr>
        <w:t>Gil</w:t>
      </w:r>
      <w:r>
        <w:rPr>
          <w:rFonts w:eastAsia="MS Mincho"/>
          <w:szCs w:val="24"/>
          <w:lang w:eastAsia="ja-JP"/>
        </w:rPr>
        <w:t>teritinib</w:t>
      </w:r>
      <w:proofErr w:type="spellEnd"/>
      <w:r>
        <w:rPr>
          <w:rFonts w:eastAsia="MS Mincho"/>
          <w:szCs w:val="24"/>
          <w:lang w:eastAsia="ja-JP"/>
        </w:rPr>
        <w:t xml:space="preserve"> is primarily metabolis</w:t>
      </w:r>
      <w:r w:rsidRPr="004F7045">
        <w:rPr>
          <w:rFonts w:eastAsia="MS Mincho"/>
          <w:szCs w:val="24"/>
          <w:lang w:eastAsia="ja-JP"/>
        </w:rPr>
        <w:t>ed by CYP3A enzymes</w:t>
      </w:r>
      <w:r>
        <w:rPr>
          <w:rFonts w:eastAsia="MS Mincho"/>
          <w:szCs w:val="24"/>
          <w:lang w:eastAsia="ja-JP"/>
        </w:rPr>
        <w:t>,</w:t>
      </w:r>
      <w:r w:rsidRPr="004F7045">
        <w:rPr>
          <w:rFonts w:eastAsia="MS Mincho"/>
          <w:szCs w:val="24"/>
          <w:lang w:eastAsia="ja-JP"/>
        </w:rPr>
        <w:t xml:space="preserve"> which </w:t>
      </w:r>
      <w:proofErr w:type="gramStart"/>
      <w:r w:rsidRPr="004F7045">
        <w:rPr>
          <w:rFonts w:eastAsia="MS Mincho"/>
          <w:szCs w:val="24"/>
          <w:lang w:eastAsia="ja-JP"/>
        </w:rPr>
        <w:t>can be induced or inhibited by a number of concomitant medications</w:t>
      </w:r>
      <w:proofErr w:type="gramEnd"/>
      <w:r>
        <w:rPr>
          <w:rFonts w:eastAsia="MS Mincho"/>
          <w:szCs w:val="24"/>
          <w:lang w:eastAsia="ja-JP"/>
        </w:rPr>
        <w:t>.</w:t>
      </w:r>
    </w:p>
    <w:p w14:paraId="7D03EEC8" w14:textId="216AFB13" w:rsidR="00013C8C" w:rsidRPr="00095FD2" w:rsidRDefault="00013C8C" w:rsidP="00013C8C">
      <w:pPr>
        <w:spacing w:after="0"/>
        <w:rPr>
          <w:rFonts w:eastAsia="MS Mincho"/>
          <w:szCs w:val="24"/>
          <w:u w:val="single"/>
          <w:lang w:eastAsia="ja-JP"/>
        </w:rPr>
      </w:pPr>
      <w:r w:rsidRPr="00095FD2">
        <w:rPr>
          <w:rFonts w:eastAsia="MS Mincho"/>
          <w:szCs w:val="24"/>
          <w:u w:val="single"/>
          <w:lang w:eastAsia="ja-JP"/>
        </w:rPr>
        <w:t xml:space="preserve">Effects of Other </w:t>
      </w:r>
      <w:r>
        <w:rPr>
          <w:rFonts w:eastAsia="MS Mincho"/>
          <w:szCs w:val="24"/>
          <w:u w:val="single"/>
          <w:lang w:eastAsia="ja-JP"/>
        </w:rPr>
        <w:t>Medicinal Products</w:t>
      </w:r>
      <w:r w:rsidRPr="00095FD2">
        <w:rPr>
          <w:rFonts w:eastAsia="MS Mincho"/>
          <w:szCs w:val="24"/>
          <w:u w:val="single"/>
          <w:lang w:eastAsia="ja-JP"/>
        </w:rPr>
        <w:t xml:space="preserve"> on </w:t>
      </w:r>
      <w:r w:rsidR="00B548B9">
        <w:rPr>
          <w:rFonts w:eastAsia="MS Mincho"/>
          <w:szCs w:val="24"/>
          <w:u w:val="single"/>
          <w:lang w:eastAsia="ja-JP"/>
        </w:rPr>
        <w:t>XOSPATA</w:t>
      </w:r>
    </w:p>
    <w:p w14:paraId="1AEC60C6" w14:textId="77777777" w:rsidR="00013C8C" w:rsidRPr="005C23C4" w:rsidRDefault="00013C8C" w:rsidP="00013C8C">
      <w:pPr>
        <w:spacing w:after="0"/>
        <w:rPr>
          <w:rFonts w:eastAsia="MS Mincho"/>
          <w:i/>
          <w:szCs w:val="24"/>
          <w:lang w:eastAsia="ja-JP"/>
        </w:rPr>
      </w:pPr>
      <w:r w:rsidRPr="005C23C4">
        <w:rPr>
          <w:rFonts w:eastAsia="MS Mincho"/>
          <w:i/>
          <w:szCs w:val="24"/>
          <w:lang w:eastAsia="ja-JP"/>
        </w:rPr>
        <w:t>CYP3A</w:t>
      </w:r>
      <w:r>
        <w:rPr>
          <w:rFonts w:eastAsia="MS Mincho"/>
          <w:i/>
          <w:szCs w:val="24"/>
          <w:lang w:eastAsia="ja-JP"/>
        </w:rPr>
        <w:t>/</w:t>
      </w:r>
      <w:r w:rsidRPr="005C23C4">
        <w:rPr>
          <w:rFonts w:eastAsia="MS Mincho"/>
          <w:i/>
          <w:szCs w:val="24"/>
          <w:lang w:eastAsia="ja-JP"/>
        </w:rPr>
        <w:t>P-</w:t>
      </w:r>
      <w:proofErr w:type="spellStart"/>
      <w:r w:rsidRPr="005C23C4">
        <w:rPr>
          <w:rFonts w:eastAsia="MS Mincho"/>
          <w:i/>
          <w:szCs w:val="24"/>
          <w:lang w:eastAsia="ja-JP"/>
        </w:rPr>
        <w:t>gp</w:t>
      </w:r>
      <w:proofErr w:type="spellEnd"/>
      <w:r w:rsidRPr="005C23C4">
        <w:rPr>
          <w:rFonts w:eastAsia="MS Mincho"/>
          <w:i/>
          <w:szCs w:val="24"/>
          <w:lang w:eastAsia="ja-JP"/>
        </w:rPr>
        <w:t xml:space="preserve"> Inducers</w:t>
      </w:r>
    </w:p>
    <w:p w14:paraId="794957FB" w14:textId="27C48D91" w:rsidR="00013C8C" w:rsidRPr="00F34124" w:rsidRDefault="00013C8C" w:rsidP="00013C8C">
      <w:pPr>
        <w:rPr>
          <w:rFonts w:eastAsia="MS Mincho"/>
          <w:szCs w:val="24"/>
          <w:lang w:eastAsia="ja-JP"/>
        </w:rPr>
      </w:pPr>
      <w:r>
        <w:rPr>
          <w:noProof/>
        </w:rPr>
        <w:t xml:space="preserve">Concomitant use of </w:t>
      </w:r>
      <w:r w:rsidR="00B548B9">
        <w:rPr>
          <w:noProof/>
        </w:rPr>
        <w:t>XOSPATA</w:t>
      </w:r>
      <w:r>
        <w:rPr>
          <w:noProof/>
        </w:rPr>
        <w:t xml:space="preserve"> with s</w:t>
      </w:r>
      <w:r>
        <w:rPr>
          <w:noProof/>
          <w:lang w:val="en"/>
        </w:rPr>
        <w:t xml:space="preserve">trong CYP3A/P-gp inducers (e.g., phenytoin, rifampin </w:t>
      </w:r>
      <w:r w:rsidRPr="00466815">
        <w:rPr>
          <w:noProof/>
          <w:lang w:val="en"/>
        </w:rPr>
        <w:t xml:space="preserve">and </w:t>
      </w:r>
      <w:r>
        <w:rPr>
          <w:noProof/>
          <w:lang w:val="en"/>
        </w:rPr>
        <w:t>St. John’s Wort)</w:t>
      </w:r>
      <w:r w:rsidRPr="00466815">
        <w:rPr>
          <w:noProof/>
          <w:lang w:val="en"/>
        </w:rPr>
        <w:t xml:space="preserve"> </w:t>
      </w:r>
      <w:r>
        <w:rPr>
          <w:noProof/>
          <w:lang w:val="en"/>
        </w:rPr>
        <w:t xml:space="preserve">should be avoided because they </w:t>
      </w:r>
      <w:r w:rsidRPr="00466815">
        <w:rPr>
          <w:noProof/>
          <w:lang w:val="en"/>
        </w:rPr>
        <w:t xml:space="preserve">can </w:t>
      </w:r>
      <w:r>
        <w:rPr>
          <w:noProof/>
          <w:lang w:val="en"/>
        </w:rPr>
        <w:t>decrease</w:t>
      </w:r>
      <w:r w:rsidRPr="00466815">
        <w:rPr>
          <w:noProof/>
          <w:lang w:val="en"/>
        </w:rPr>
        <w:t xml:space="preserve"> </w:t>
      </w:r>
      <w:r>
        <w:rPr>
          <w:noProof/>
          <w:lang w:val="en"/>
        </w:rPr>
        <w:t>gilteritinib</w:t>
      </w:r>
      <w:r w:rsidRPr="00466815">
        <w:rPr>
          <w:noProof/>
          <w:lang w:val="en"/>
        </w:rPr>
        <w:t xml:space="preserve"> plasma concentrations. </w:t>
      </w:r>
      <w:r>
        <w:rPr>
          <w:noProof/>
          <w:lang w:val="en"/>
        </w:rPr>
        <w:t>In healthy subjects, co-administration of rifampicin (600 mg), a strong CYP3A/P-gp inducer, to steady state with a single 20 mg dose of gilteritinib decreased gilteritinib mean C</w:t>
      </w:r>
      <w:r w:rsidRPr="002B76C1">
        <w:rPr>
          <w:noProof/>
          <w:vertAlign w:val="subscript"/>
          <w:lang w:val="en"/>
        </w:rPr>
        <w:t>max</w:t>
      </w:r>
      <w:r>
        <w:rPr>
          <w:noProof/>
          <w:lang w:val="en"/>
        </w:rPr>
        <w:t xml:space="preserve"> by 27% and mean AUC</w:t>
      </w:r>
      <w:r w:rsidRPr="002B76C1">
        <w:rPr>
          <w:noProof/>
          <w:vertAlign w:val="subscript"/>
          <w:lang w:val="en"/>
        </w:rPr>
        <w:t>inf</w:t>
      </w:r>
      <w:r>
        <w:rPr>
          <w:noProof/>
          <w:lang w:val="en"/>
        </w:rPr>
        <w:t xml:space="preserve"> by 70%, respectively, compared to subjects administered a single dose of gilteritinib alone.</w:t>
      </w:r>
      <w:r w:rsidR="00842200">
        <w:rPr>
          <w:noProof/>
          <w:lang w:val="en"/>
        </w:rPr>
        <w:t xml:space="preserve"> (see section 4.4 S</w:t>
      </w:r>
      <w:r w:rsidR="00842200" w:rsidRPr="00842200">
        <w:rPr>
          <w:noProof/>
          <w:lang w:val="en"/>
        </w:rPr>
        <w:t>pecial warnings and precautions for use</w:t>
      </w:r>
      <w:r w:rsidR="00842200">
        <w:rPr>
          <w:noProof/>
          <w:lang w:val="en"/>
        </w:rPr>
        <w:t>).</w:t>
      </w:r>
    </w:p>
    <w:p w14:paraId="0DC1200A" w14:textId="637735C1" w:rsidR="00013C8C" w:rsidRPr="005C23C4" w:rsidRDefault="00013C8C" w:rsidP="00013C8C">
      <w:pPr>
        <w:spacing w:after="0"/>
        <w:rPr>
          <w:rFonts w:eastAsia="MS Mincho"/>
          <w:i/>
          <w:szCs w:val="24"/>
          <w:lang w:eastAsia="ja-JP"/>
        </w:rPr>
      </w:pPr>
      <w:r w:rsidRPr="005C23C4">
        <w:rPr>
          <w:rFonts w:eastAsia="MS Mincho"/>
          <w:i/>
          <w:szCs w:val="24"/>
          <w:lang w:eastAsia="ja-JP"/>
        </w:rPr>
        <w:t>CYP3A Inhibitors</w:t>
      </w:r>
      <w:r w:rsidR="00842200" w:rsidRPr="00842200">
        <w:rPr>
          <w:rFonts w:eastAsia="MS Mincho"/>
          <w:i/>
          <w:szCs w:val="24"/>
          <w:lang w:eastAsia="ja-JP"/>
        </w:rPr>
        <w:t xml:space="preserve"> </w:t>
      </w:r>
      <w:r w:rsidR="00842200">
        <w:rPr>
          <w:rFonts w:eastAsia="MS Mincho"/>
          <w:i/>
          <w:szCs w:val="24"/>
          <w:lang w:eastAsia="ja-JP"/>
        </w:rPr>
        <w:t>and/or P-</w:t>
      </w:r>
      <w:proofErr w:type="spellStart"/>
      <w:r w:rsidR="00842200">
        <w:rPr>
          <w:rFonts w:eastAsia="MS Mincho"/>
          <w:i/>
          <w:szCs w:val="24"/>
          <w:lang w:eastAsia="ja-JP"/>
        </w:rPr>
        <w:t>gp</w:t>
      </w:r>
      <w:proofErr w:type="spellEnd"/>
      <w:r w:rsidR="00842200" w:rsidRPr="005C23C4">
        <w:rPr>
          <w:rFonts w:eastAsia="MS Mincho"/>
          <w:i/>
          <w:szCs w:val="24"/>
          <w:lang w:eastAsia="ja-JP"/>
        </w:rPr>
        <w:t xml:space="preserve"> </w:t>
      </w:r>
      <w:r w:rsidR="00842200">
        <w:rPr>
          <w:rFonts w:eastAsia="MS Mincho"/>
          <w:i/>
          <w:szCs w:val="24"/>
          <w:lang w:eastAsia="ja-JP"/>
        </w:rPr>
        <w:t>i</w:t>
      </w:r>
      <w:r w:rsidR="00842200" w:rsidRPr="005C23C4">
        <w:rPr>
          <w:rFonts w:eastAsia="MS Mincho"/>
          <w:i/>
          <w:szCs w:val="24"/>
          <w:lang w:eastAsia="ja-JP"/>
        </w:rPr>
        <w:t>nhibitors</w:t>
      </w:r>
    </w:p>
    <w:p w14:paraId="44F6C9D1" w14:textId="62EFD1DA" w:rsidR="00013C8C" w:rsidRPr="00EF1E98" w:rsidRDefault="00013C8C" w:rsidP="00013C8C">
      <w:pPr>
        <w:rPr>
          <w:rFonts w:eastAsia="MS Mincho"/>
        </w:rPr>
      </w:pPr>
      <w:r>
        <w:rPr>
          <w:noProof/>
        </w:rPr>
        <w:t>S</w:t>
      </w:r>
      <w:r>
        <w:rPr>
          <w:noProof/>
          <w:lang w:val="en"/>
        </w:rPr>
        <w:t xml:space="preserve">trong inhibitors of CYP3A (e.g., </w:t>
      </w:r>
      <w:r w:rsidR="000F5691">
        <w:rPr>
          <w:noProof/>
          <w:lang w:val="en"/>
        </w:rPr>
        <w:t>voriconazole, itraconazole, posaconazole, clarithromycin, erythromycin, captopril, carvedilol, ritonavir, azithromycin</w:t>
      </w:r>
      <w:r>
        <w:rPr>
          <w:noProof/>
          <w:lang w:val="en"/>
        </w:rPr>
        <w:t xml:space="preserve">) should be used with caution during </w:t>
      </w:r>
      <w:r w:rsidR="00B548B9">
        <w:rPr>
          <w:noProof/>
          <w:lang w:val="en"/>
        </w:rPr>
        <w:t>XOSPATA</w:t>
      </w:r>
      <w:r>
        <w:rPr>
          <w:noProof/>
          <w:lang w:val="en"/>
        </w:rPr>
        <w:t xml:space="preserve"> treatment because they can increase gilteritinib plasma concentrations</w:t>
      </w:r>
      <w:r w:rsidRPr="00466815">
        <w:rPr>
          <w:noProof/>
          <w:lang w:val="en"/>
        </w:rPr>
        <w:t>.</w:t>
      </w:r>
      <w:r>
        <w:rPr>
          <w:noProof/>
          <w:lang w:val="en"/>
        </w:rPr>
        <w:t xml:space="preserve"> A single, 10 mg dose of gilteritinib co-administered with itraconazole (200 mg once daily for 28 days), a strong CYP3A </w:t>
      </w:r>
      <w:r w:rsidR="00842200">
        <w:rPr>
          <w:noProof/>
          <w:lang w:val="en"/>
        </w:rPr>
        <w:t xml:space="preserve">and/or P-gp </w:t>
      </w:r>
      <w:r>
        <w:rPr>
          <w:noProof/>
          <w:lang w:val="en"/>
        </w:rPr>
        <w:t>inhibitor, to healthy subjects resulted in an approximate 20% increase in mean C</w:t>
      </w:r>
      <w:r w:rsidRPr="002B76C1">
        <w:rPr>
          <w:noProof/>
          <w:vertAlign w:val="subscript"/>
          <w:lang w:val="en"/>
        </w:rPr>
        <w:t>max</w:t>
      </w:r>
      <w:r>
        <w:rPr>
          <w:noProof/>
          <w:lang w:val="en"/>
        </w:rPr>
        <w:t xml:space="preserve"> and 2.2</w:t>
      </w:r>
      <w:r>
        <w:rPr>
          <w:noProof/>
          <w:lang w:val="en"/>
        </w:rPr>
        <w:noBreakHyphen/>
        <w:t>fold increase in mean AUC</w:t>
      </w:r>
      <w:r w:rsidRPr="002B76C1">
        <w:rPr>
          <w:noProof/>
          <w:vertAlign w:val="subscript"/>
          <w:lang w:val="en"/>
        </w:rPr>
        <w:t>inf</w:t>
      </w:r>
      <w:r>
        <w:rPr>
          <w:noProof/>
          <w:lang w:val="en"/>
        </w:rPr>
        <w:t xml:space="preserve"> relative to subjects administered a single dose of gilteritinib alone. </w:t>
      </w:r>
      <w:proofErr w:type="spellStart"/>
      <w:r w:rsidRPr="00F34124">
        <w:rPr>
          <w:rFonts w:eastAsia="MS Mincho"/>
          <w:szCs w:val="24"/>
          <w:lang w:eastAsia="ja-JP"/>
        </w:rPr>
        <w:t>Gilteritinib</w:t>
      </w:r>
      <w:proofErr w:type="spellEnd"/>
      <w:r w:rsidRPr="00F34124">
        <w:rPr>
          <w:rFonts w:eastAsia="MS Mincho"/>
          <w:szCs w:val="24"/>
          <w:lang w:eastAsia="ja-JP"/>
        </w:rPr>
        <w:t xml:space="preserve"> exposure increased </w:t>
      </w:r>
      <w:r>
        <w:rPr>
          <w:rFonts w:eastAsia="MS Mincho"/>
          <w:szCs w:val="24"/>
          <w:lang w:eastAsia="ja-JP"/>
        </w:rPr>
        <w:t>approximately 1.5-fold in patients with relapsed or refractory AML</w:t>
      </w:r>
      <w:r w:rsidRPr="00F34124">
        <w:rPr>
          <w:rFonts w:eastAsia="MS Mincho"/>
          <w:szCs w:val="24"/>
          <w:lang w:eastAsia="ja-JP"/>
        </w:rPr>
        <w:t xml:space="preserve"> </w:t>
      </w:r>
      <w:r>
        <w:rPr>
          <w:rFonts w:eastAsia="MS Mincho"/>
          <w:szCs w:val="24"/>
          <w:lang w:eastAsia="ja-JP"/>
        </w:rPr>
        <w:t xml:space="preserve">when </w:t>
      </w:r>
      <w:r w:rsidRPr="00F34124">
        <w:rPr>
          <w:rFonts w:eastAsia="MS Mincho"/>
          <w:szCs w:val="24"/>
          <w:lang w:eastAsia="ja-JP"/>
        </w:rPr>
        <w:t>co</w:t>
      </w:r>
      <w:r>
        <w:rPr>
          <w:rFonts w:eastAsia="MS Mincho"/>
          <w:szCs w:val="24"/>
          <w:lang w:eastAsia="ja-JP"/>
        </w:rPr>
        <w:t>-</w:t>
      </w:r>
      <w:r w:rsidRPr="00F34124">
        <w:rPr>
          <w:rFonts w:eastAsia="MS Mincho"/>
          <w:szCs w:val="24"/>
          <w:lang w:eastAsia="ja-JP"/>
        </w:rPr>
        <w:t>administered with a strong CYP3A</w:t>
      </w:r>
      <w:r w:rsidR="00842200" w:rsidRPr="00842200">
        <w:rPr>
          <w:noProof/>
          <w:lang w:val="en"/>
        </w:rPr>
        <w:t xml:space="preserve"> </w:t>
      </w:r>
      <w:r w:rsidR="00842200">
        <w:rPr>
          <w:noProof/>
          <w:lang w:val="en"/>
        </w:rPr>
        <w:t>and/or P-gp</w:t>
      </w:r>
      <w:r w:rsidRPr="00F34124">
        <w:rPr>
          <w:rFonts w:eastAsia="MS Mincho"/>
          <w:szCs w:val="24"/>
          <w:lang w:eastAsia="ja-JP"/>
        </w:rPr>
        <w:t xml:space="preserve"> inhibitor.</w:t>
      </w:r>
      <w:r w:rsidR="00842200">
        <w:rPr>
          <w:noProof/>
          <w:lang w:val="en"/>
        </w:rPr>
        <w:t xml:space="preserve"> (see section 4.4 S</w:t>
      </w:r>
      <w:r w:rsidR="00842200" w:rsidRPr="00842200">
        <w:rPr>
          <w:noProof/>
          <w:lang w:val="en"/>
        </w:rPr>
        <w:t>pecial warnings and precautions for use</w:t>
      </w:r>
      <w:r w:rsidR="00842200">
        <w:rPr>
          <w:noProof/>
          <w:lang w:val="en"/>
        </w:rPr>
        <w:t>).</w:t>
      </w:r>
    </w:p>
    <w:p w14:paraId="51EE4DF0" w14:textId="672D9955" w:rsidR="00842200" w:rsidRDefault="00842200" w:rsidP="001E17E8">
      <w:pPr>
        <w:spacing w:after="0"/>
        <w:rPr>
          <w:rFonts w:eastAsia="MS Mincho"/>
          <w:i/>
          <w:szCs w:val="24"/>
          <w:lang w:eastAsia="ja-JP"/>
        </w:rPr>
      </w:pPr>
      <w:proofErr w:type="spellStart"/>
      <w:r w:rsidRPr="00F4463E">
        <w:rPr>
          <w:rFonts w:eastAsia="MS Mincho"/>
          <w:i/>
          <w:szCs w:val="24"/>
          <w:lang w:eastAsia="ja-JP"/>
        </w:rPr>
        <w:t>Gilteritinib</w:t>
      </w:r>
      <w:proofErr w:type="spellEnd"/>
      <w:r w:rsidRPr="00F4463E">
        <w:rPr>
          <w:rFonts w:eastAsia="MS Mincho"/>
          <w:i/>
          <w:szCs w:val="24"/>
          <w:lang w:eastAsia="ja-JP"/>
        </w:rPr>
        <w:t xml:space="preserve"> as an inhibitor or inducer</w:t>
      </w:r>
    </w:p>
    <w:p w14:paraId="5944AF6A" w14:textId="7036E53F" w:rsidR="00013C8C" w:rsidRDefault="00842200" w:rsidP="00013C8C">
      <w:pPr>
        <w:rPr>
          <w:rFonts w:eastAsia="MS Mincho"/>
          <w:szCs w:val="24"/>
          <w:lang w:eastAsia="ja-JP"/>
        </w:rPr>
      </w:pPr>
      <w:proofErr w:type="spellStart"/>
      <w:r w:rsidRPr="00842200">
        <w:rPr>
          <w:rFonts w:eastAsia="MS Mincho"/>
          <w:iCs/>
          <w:szCs w:val="24"/>
          <w:lang w:eastAsia="ja-JP"/>
        </w:rPr>
        <w:t>Gilteritinib</w:t>
      </w:r>
      <w:proofErr w:type="spellEnd"/>
      <w:r w:rsidRPr="00842200">
        <w:rPr>
          <w:rFonts w:eastAsia="MS Mincho"/>
          <w:iCs/>
          <w:szCs w:val="24"/>
          <w:lang w:eastAsia="ja-JP"/>
        </w:rPr>
        <w:t xml:space="preserve"> is not an inhibitor or inducer of CYP3A4 or an inhibitor of MATE1 in vivo. The pharmacokinetics of midazolam (a sensitive CYP3A4 substrate) were not significantly (</w:t>
      </w:r>
      <w:proofErr w:type="spellStart"/>
      <w:r w:rsidRPr="00842200">
        <w:rPr>
          <w:rFonts w:eastAsia="MS Mincho"/>
          <w:iCs/>
          <w:szCs w:val="24"/>
          <w:lang w:eastAsia="ja-JP"/>
        </w:rPr>
        <w:t>Cmax</w:t>
      </w:r>
      <w:proofErr w:type="spellEnd"/>
      <w:r w:rsidRPr="00842200">
        <w:rPr>
          <w:rFonts w:eastAsia="MS Mincho"/>
          <w:iCs/>
          <w:szCs w:val="24"/>
          <w:lang w:eastAsia="ja-JP"/>
        </w:rPr>
        <w:t xml:space="preserve"> and AUC increased approximately 10%) affected after once-daily administration of </w:t>
      </w:r>
      <w:proofErr w:type="spellStart"/>
      <w:r w:rsidRPr="00842200">
        <w:rPr>
          <w:rFonts w:eastAsia="MS Mincho"/>
          <w:iCs/>
          <w:szCs w:val="24"/>
          <w:lang w:eastAsia="ja-JP"/>
        </w:rPr>
        <w:t>gilteritinib</w:t>
      </w:r>
      <w:proofErr w:type="spellEnd"/>
      <w:r w:rsidRPr="00842200">
        <w:rPr>
          <w:rFonts w:eastAsia="MS Mincho"/>
          <w:iCs/>
          <w:szCs w:val="24"/>
          <w:lang w:eastAsia="ja-JP"/>
        </w:rPr>
        <w:t xml:space="preserve"> (300 mg) for 15 days in patients with FLT3-mutated relapsed or refractory AML. Additionally, the pharmacokinetics of cephalexin (a sensitive MATE1 substrate) were not significantly (</w:t>
      </w:r>
      <w:proofErr w:type="spellStart"/>
      <w:r w:rsidRPr="00842200">
        <w:rPr>
          <w:rFonts w:eastAsia="MS Mincho"/>
          <w:iCs/>
          <w:szCs w:val="24"/>
          <w:lang w:eastAsia="ja-JP"/>
        </w:rPr>
        <w:t>Cmax</w:t>
      </w:r>
      <w:proofErr w:type="spellEnd"/>
      <w:r w:rsidRPr="00842200">
        <w:rPr>
          <w:rFonts w:eastAsia="MS Mincho"/>
          <w:iCs/>
          <w:szCs w:val="24"/>
          <w:lang w:eastAsia="ja-JP"/>
        </w:rPr>
        <w:t xml:space="preserve"> and AUC decreased by less than 10%) affected after once daily administration of </w:t>
      </w:r>
      <w:proofErr w:type="spellStart"/>
      <w:r w:rsidRPr="00842200">
        <w:rPr>
          <w:rFonts w:eastAsia="MS Mincho"/>
          <w:iCs/>
          <w:szCs w:val="24"/>
          <w:lang w:eastAsia="ja-JP"/>
        </w:rPr>
        <w:t>gilteritinib</w:t>
      </w:r>
      <w:proofErr w:type="spellEnd"/>
      <w:r w:rsidRPr="00842200">
        <w:rPr>
          <w:rFonts w:eastAsia="MS Mincho"/>
          <w:iCs/>
          <w:szCs w:val="24"/>
          <w:lang w:eastAsia="ja-JP"/>
        </w:rPr>
        <w:t xml:space="preserve"> (200 mg) for 15 days in patients with FLT3-mutated relapsed or refractory AML</w:t>
      </w:r>
      <w:r w:rsidR="00013C8C" w:rsidRPr="00E827DB">
        <w:rPr>
          <w:rFonts w:eastAsia="MS Mincho"/>
          <w:szCs w:val="24"/>
          <w:lang w:eastAsia="ja-JP"/>
        </w:rPr>
        <w:t>.</w:t>
      </w:r>
    </w:p>
    <w:p w14:paraId="3B0A6201" w14:textId="645CEB5E" w:rsidR="00013C8C" w:rsidRDefault="00013C8C" w:rsidP="00013C8C">
      <w:pPr>
        <w:spacing w:after="0"/>
        <w:rPr>
          <w:rFonts w:eastAsia="MS Mincho"/>
          <w:szCs w:val="24"/>
          <w:u w:val="single"/>
          <w:lang w:eastAsia="ja-JP"/>
        </w:rPr>
      </w:pPr>
      <w:r w:rsidRPr="00095FD2">
        <w:rPr>
          <w:rFonts w:eastAsia="MS Mincho"/>
          <w:szCs w:val="24"/>
          <w:u w:val="single"/>
          <w:lang w:eastAsia="ja-JP"/>
        </w:rPr>
        <w:t xml:space="preserve">Effects of </w:t>
      </w:r>
      <w:r w:rsidR="00B548B9">
        <w:rPr>
          <w:rFonts w:eastAsia="MS Mincho"/>
          <w:szCs w:val="24"/>
          <w:u w:val="single"/>
          <w:lang w:eastAsia="ja-JP"/>
        </w:rPr>
        <w:t>XOSPATA</w:t>
      </w:r>
      <w:r w:rsidRPr="00095FD2">
        <w:rPr>
          <w:rFonts w:eastAsia="MS Mincho"/>
          <w:szCs w:val="24"/>
          <w:u w:val="single"/>
          <w:lang w:eastAsia="ja-JP"/>
        </w:rPr>
        <w:t xml:space="preserve"> on Other </w:t>
      </w:r>
      <w:r>
        <w:rPr>
          <w:rFonts w:eastAsia="MS Mincho"/>
          <w:szCs w:val="24"/>
          <w:u w:val="single"/>
          <w:lang w:eastAsia="ja-JP"/>
        </w:rPr>
        <w:t>Medicinal Products</w:t>
      </w:r>
    </w:p>
    <w:p w14:paraId="44A8AB95" w14:textId="77777777" w:rsidR="001E17E8" w:rsidRPr="00095FD2" w:rsidRDefault="001E17E8" w:rsidP="00995E0C">
      <w:pPr>
        <w:spacing w:after="0"/>
        <w:rPr>
          <w:rFonts w:eastAsia="MS Mincho"/>
          <w:szCs w:val="24"/>
          <w:u w:val="single"/>
          <w:lang w:eastAsia="ja-JP"/>
        </w:rPr>
      </w:pPr>
      <w:r w:rsidRPr="002C78BC">
        <w:rPr>
          <w:rFonts w:eastAsia="MS Mincho"/>
          <w:i/>
          <w:szCs w:val="24"/>
          <w:lang w:eastAsia="ja-JP"/>
        </w:rPr>
        <w:t>5HT</w:t>
      </w:r>
      <w:r w:rsidRPr="002C78BC">
        <w:rPr>
          <w:rFonts w:eastAsia="MS Mincho"/>
          <w:i/>
          <w:szCs w:val="24"/>
          <w:vertAlign w:val="subscript"/>
          <w:lang w:eastAsia="ja-JP"/>
        </w:rPr>
        <w:t>2B</w:t>
      </w:r>
      <w:r w:rsidRPr="002C78BC">
        <w:rPr>
          <w:rFonts w:eastAsia="MS Mincho"/>
          <w:i/>
          <w:szCs w:val="24"/>
          <w:lang w:eastAsia="ja-JP"/>
        </w:rPr>
        <w:t xml:space="preserve"> receptor or sigma nonspecific receptor</w:t>
      </w:r>
    </w:p>
    <w:p w14:paraId="51D32476" w14:textId="77777777" w:rsidR="005650E7" w:rsidRDefault="00013C8C" w:rsidP="00013C8C">
      <w:pPr>
        <w:rPr>
          <w:rFonts w:eastAsia="MS Mincho"/>
          <w:szCs w:val="24"/>
          <w:lang w:eastAsia="ja-JP"/>
        </w:rPr>
      </w:pPr>
      <w:r w:rsidRPr="009E46FC">
        <w:rPr>
          <w:rFonts w:eastAsia="MS Mincho"/>
          <w:szCs w:val="24"/>
          <w:lang w:eastAsia="ja-JP"/>
        </w:rPr>
        <w:t xml:space="preserve">Based on </w:t>
      </w:r>
      <w:r w:rsidRPr="00DD79CB">
        <w:rPr>
          <w:rFonts w:eastAsia="MS Mincho"/>
          <w:i/>
          <w:szCs w:val="24"/>
          <w:lang w:eastAsia="ja-JP"/>
        </w:rPr>
        <w:t>in vitro</w:t>
      </w:r>
      <w:r w:rsidRPr="009E46FC">
        <w:rPr>
          <w:rFonts w:eastAsia="MS Mincho"/>
          <w:szCs w:val="24"/>
          <w:lang w:eastAsia="ja-JP"/>
        </w:rPr>
        <w:t xml:space="preserve"> data, </w:t>
      </w:r>
      <w:proofErr w:type="spellStart"/>
      <w:r>
        <w:rPr>
          <w:rFonts w:eastAsia="MS Mincho"/>
          <w:szCs w:val="24"/>
          <w:lang w:eastAsia="ja-JP"/>
        </w:rPr>
        <w:t>gilteritinib</w:t>
      </w:r>
      <w:proofErr w:type="spellEnd"/>
      <w:r w:rsidRPr="009E46FC">
        <w:rPr>
          <w:rFonts w:eastAsia="MS Mincho"/>
          <w:szCs w:val="24"/>
          <w:lang w:eastAsia="ja-JP"/>
        </w:rPr>
        <w:t xml:space="preserve"> may reduce the effects of medicinal products that target 5HT</w:t>
      </w:r>
      <w:r w:rsidRPr="00DD79CB">
        <w:rPr>
          <w:rFonts w:eastAsia="MS Mincho"/>
          <w:szCs w:val="24"/>
          <w:vertAlign w:val="subscript"/>
          <w:lang w:eastAsia="ja-JP"/>
        </w:rPr>
        <w:t>2B</w:t>
      </w:r>
      <w:r w:rsidRPr="009E46FC">
        <w:rPr>
          <w:rFonts w:eastAsia="MS Mincho"/>
          <w:szCs w:val="24"/>
          <w:lang w:eastAsia="ja-JP"/>
        </w:rPr>
        <w:t xml:space="preserve"> receptor or sigma nonspecific receptor (e.g., </w:t>
      </w:r>
      <w:proofErr w:type="spellStart"/>
      <w:r w:rsidRPr="009E46FC">
        <w:rPr>
          <w:rFonts w:eastAsia="MS Mincho"/>
          <w:szCs w:val="24"/>
          <w:lang w:eastAsia="ja-JP"/>
        </w:rPr>
        <w:t>escitalopram</w:t>
      </w:r>
      <w:proofErr w:type="spellEnd"/>
      <w:r w:rsidRPr="009E46FC">
        <w:rPr>
          <w:rFonts w:eastAsia="MS Mincho"/>
          <w:szCs w:val="24"/>
          <w:lang w:eastAsia="ja-JP"/>
        </w:rPr>
        <w:t xml:space="preserve">, fluoxetine, sertraline). Avoid concomitant use of these medicinal products with </w:t>
      </w:r>
      <w:r w:rsidR="00B548B9">
        <w:rPr>
          <w:rFonts w:eastAsia="MS Mincho"/>
          <w:szCs w:val="24"/>
          <w:lang w:eastAsia="ja-JP"/>
        </w:rPr>
        <w:t>XOSPATA</w:t>
      </w:r>
      <w:r w:rsidRPr="009E46FC">
        <w:rPr>
          <w:rFonts w:eastAsia="MS Mincho"/>
          <w:szCs w:val="24"/>
          <w:lang w:eastAsia="ja-JP"/>
        </w:rPr>
        <w:t xml:space="preserve"> unless use </w:t>
      </w:r>
      <w:proofErr w:type="gramStart"/>
      <w:r w:rsidRPr="009E46FC">
        <w:rPr>
          <w:rFonts w:eastAsia="MS Mincho"/>
          <w:szCs w:val="24"/>
          <w:lang w:eastAsia="ja-JP"/>
        </w:rPr>
        <w:t>is considered</w:t>
      </w:r>
      <w:proofErr w:type="gramEnd"/>
      <w:r w:rsidRPr="009E46FC">
        <w:rPr>
          <w:rFonts w:eastAsia="MS Mincho"/>
          <w:szCs w:val="24"/>
          <w:lang w:eastAsia="ja-JP"/>
        </w:rPr>
        <w:t xml:space="preserve"> essential for the care of the </w:t>
      </w:r>
      <w:r>
        <w:rPr>
          <w:rFonts w:eastAsia="MS Mincho"/>
          <w:szCs w:val="24"/>
          <w:lang w:eastAsia="ja-JP"/>
        </w:rPr>
        <w:t>patient.</w:t>
      </w:r>
    </w:p>
    <w:p w14:paraId="10566389" w14:textId="77777777" w:rsidR="005650E7" w:rsidRPr="00EE2E43" w:rsidRDefault="005650E7" w:rsidP="005650E7">
      <w:pPr>
        <w:spacing w:after="0"/>
        <w:rPr>
          <w:i/>
          <w:iCs/>
        </w:rPr>
      </w:pPr>
      <w:r w:rsidRPr="00EE2E43">
        <w:rPr>
          <w:i/>
          <w:iCs/>
        </w:rPr>
        <w:t>Transporter drug-drug interactions</w:t>
      </w:r>
    </w:p>
    <w:p w14:paraId="185E9ACE" w14:textId="4E16950C" w:rsidR="00013C8C" w:rsidRDefault="005650E7" w:rsidP="00013C8C">
      <w:pPr>
        <w:rPr>
          <w:rFonts w:eastAsia="MS Mincho"/>
          <w:szCs w:val="24"/>
          <w:lang w:eastAsia="ja-JP"/>
        </w:rPr>
      </w:pPr>
      <w:r w:rsidRPr="00CE0448">
        <w:rPr>
          <w:i/>
        </w:rPr>
        <w:t>In vitro</w:t>
      </w:r>
      <w:r>
        <w:t xml:space="preserve"> experiments demonstrated that </w:t>
      </w:r>
      <w:proofErr w:type="spellStart"/>
      <w:r>
        <w:t>gilteritinib</w:t>
      </w:r>
      <w:proofErr w:type="spellEnd"/>
      <w:r>
        <w:t xml:space="preserve"> is a P-</w:t>
      </w:r>
      <w:proofErr w:type="spellStart"/>
      <w:r>
        <w:t>gp</w:t>
      </w:r>
      <w:proofErr w:type="spellEnd"/>
      <w:r>
        <w:t xml:space="preserve"> substrate and may potentially inhibit BCRP and P-</w:t>
      </w:r>
      <w:proofErr w:type="spellStart"/>
      <w:r>
        <w:t>gp</w:t>
      </w:r>
      <w:proofErr w:type="spellEnd"/>
      <w:r>
        <w:t xml:space="preserve"> in the small intestine, OCT1 in the liver at clinically relevant concentrations.</w:t>
      </w:r>
    </w:p>
    <w:p w14:paraId="00658D88" w14:textId="3D500D9D" w:rsidR="001A3992" w:rsidRDefault="001A3992" w:rsidP="001A3992">
      <w:pPr>
        <w:pStyle w:val="Heading2"/>
        <w:spacing w:before="0" w:after="120"/>
      </w:pPr>
      <w:bookmarkStart w:id="3" w:name="_Ref1553706"/>
      <w:r>
        <w:lastRenderedPageBreak/>
        <w:t>Fertility, pregnancy and lactation</w:t>
      </w:r>
      <w:bookmarkEnd w:id="3"/>
    </w:p>
    <w:p w14:paraId="5C519015" w14:textId="71485BB7" w:rsidR="00E51C2A" w:rsidRPr="004431F6" w:rsidRDefault="00E51C2A" w:rsidP="007D437F">
      <w:r w:rsidRPr="00013C8C">
        <w:t xml:space="preserve">Pregnancy testing </w:t>
      </w:r>
      <w:proofErr w:type="gramStart"/>
      <w:r w:rsidRPr="00013C8C">
        <w:t>is recommended</w:t>
      </w:r>
      <w:proofErr w:type="gramEnd"/>
      <w:r w:rsidRPr="00013C8C">
        <w:t xml:space="preserve"> for females of reproductive potential seven days prior to initiating </w:t>
      </w:r>
      <w:r>
        <w:t>XOSPATA</w:t>
      </w:r>
      <w:r w:rsidRPr="00013C8C">
        <w:t xml:space="preserve"> treatment. Women of childbearing potential </w:t>
      </w:r>
      <w:proofErr w:type="gramStart"/>
      <w:r w:rsidRPr="00013C8C">
        <w:t>are recommended</w:t>
      </w:r>
      <w:proofErr w:type="gramEnd"/>
      <w:r w:rsidRPr="00013C8C">
        <w:t xml:space="preserve"> to use effective contraception</w:t>
      </w:r>
      <w:r w:rsidR="003F6A67" w:rsidRPr="003F6A67">
        <w:t xml:space="preserve"> (methods that result in less than 1% pregnancy rates)</w:t>
      </w:r>
      <w:r w:rsidRPr="00013C8C">
        <w:t xml:space="preserve"> during and up to 6 months after treatment.</w:t>
      </w:r>
      <w:r w:rsidR="003F6A67" w:rsidRPr="003F6A67">
        <w:t xml:space="preserve"> It is unknown whether </w:t>
      </w:r>
      <w:r w:rsidR="00F518AB">
        <w:t>XOSPATA</w:t>
      </w:r>
      <w:r w:rsidR="003F6A67" w:rsidRPr="003F6A67">
        <w:t xml:space="preserve"> may reduce the effectiveness of hormonal contraceptives, and therefore women using hormonal contraceptives should add a barrier method of contraception.</w:t>
      </w:r>
      <w:r w:rsidRPr="00013C8C">
        <w:t xml:space="preserve"> </w:t>
      </w:r>
      <w:r>
        <w:t>M</w:t>
      </w:r>
      <w:r w:rsidRPr="00013C8C">
        <w:t xml:space="preserve">ales of reproductive potential </w:t>
      </w:r>
      <w:proofErr w:type="gramStart"/>
      <w:r>
        <w:t>should be advised</w:t>
      </w:r>
      <w:proofErr w:type="gramEnd"/>
      <w:r>
        <w:t xml:space="preserve"> </w:t>
      </w:r>
      <w:r w:rsidRPr="00013C8C">
        <w:t xml:space="preserve">to use effective contraception during treatment and for at least 4 months after the last dose of </w:t>
      </w:r>
      <w:r>
        <w:t>XOSPATA</w:t>
      </w:r>
      <w:r w:rsidRPr="00013C8C">
        <w:t xml:space="preserve"> (see section 4.4</w:t>
      </w:r>
      <w:r>
        <w:t xml:space="preserve"> </w:t>
      </w:r>
      <w:r>
        <w:fldChar w:fldCharType="begin"/>
      </w:r>
      <w:r>
        <w:instrText xml:space="preserve"> REF _Ref1551717 \h </w:instrText>
      </w:r>
      <w:r>
        <w:fldChar w:fldCharType="separate"/>
      </w:r>
      <w:r>
        <w:t>Special warnings and precautions for use</w:t>
      </w:r>
      <w:r>
        <w:fldChar w:fldCharType="end"/>
      </w:r>
      <w:r w:rsidRPr="00013C8C">
        <w:t>).</w:t>
      </w:r>
    </w:p>
    <w:p w14:paraId="52F352D4" w14:textId="77777777" w:rsidR="001A3992" w:rsidRDefault="001A3992" w:rsidP="001A3992">
      <w:pPr>
        <w:pStyle w:val="Heading3"/>
        <w:spacing w:before="0" w:after="120"/>
      </w:pPr>
      <w:r w:rsidRPr="00B878CC">
        <w:t>Effects on fertility</w:t>
      </w:r>
    </w:p>
    <w:p w14:paraId="5BBD603D" w14:textId="1DDDEDD5" w:rsidR="00013C8C" w:rsidRDefault="00013C8C" w:rsidP="00013C8C">
      <w:pPr>
        <w:rPr>
          <w:noProof/>
        </w:rPr>
      </w:pPr>
      <w:r w:rsidRPr="005C23C4">
        <w:rPr>
          <w:noProof/>
        </w:rPr>
        <w:t xml:space="preserve">There are no data on the effect of </w:t>
      </w:r>
      <w:r>
        <w:rPr>
          <w:noProof/>
        </w:rPr>
        <w:t>gilterinitib</w:t>
      </w:r>
      <w:r w:rsidR="00096BEE">
        <w:rPr>
          <w:noProof/>
        </w:rPr>
        <w:t xml:space="preserve"> on human fertility.</w:t>
      </w:r>
    </w:p>
    <w:p w14:paraId="2EE0E591" w14:textId="2A42E8DD" w:rsidR="001A3992" w:rsidRDefault="001A3992" w:rsidP="005B2812">
      <w:pPr>
        <w:pStyle w:val="Heading3"/>
        <w:spacing w:before="0" w:after="120"/>
        <w:rPr>
          <w:rFonts w:cstheme="minorHAnsi"/>
        </w:rPr>
      </w:pPr>
      <w:r w:rsidRPr="00B878CC">
        <w:t xml:space="preserve">Use in pregnancy </w:t>
      </w:r>
      <w:r w:rsidR="005B2812" w:rsidRPr="00497C85">
        <w:rPr>
          <w:rFonts w:cstheme="minorHAnsi"/>
        </w:rPr>
        <w:t>– Pr</w:t>
      </w:r>
      <w:r w:rsidR="00013C8C">
        <w:rPr>
          <w:rFonts w:cstheme="minorHAnsi"/>
        </w:rPr>
        <w:t xml:space="preserve">egnancy Category </w:t>
      </w:r>
      <w:r w:rsidR="00FC64C8">
        <w:rPr>
          <w:rFonts w:cstheme="minorHAnsi"/>
        </w:rPr>
        <w:t>D</w:t>
      </w:r>
    </w:p>
    <w:p w14:paraId="58719D50" w14:textId="4F484300" w:rsidR="0030672E" w:rsidRDefault="008652D6" w:rsidP="0030672E">
      <w:r w:rsidRPr="008652D6">
        <w:t xml:space="preserve">XOSPATA can cause </w:t>
      </w:r>
      <w:proofErr w:type="spellStart"/>
      <w:r w:rsidRPr="008652D6">
        <w:t>fetal</w:t>
      </w:r>
      <w:proofErr w:type="spellEnd"/>
      <w:r w:rsidRPr="008652D6">
        <w:t xml:space="preserve"> harm when administered to pregnant women. There are no or limited amount of data from the use of XOSPATA in pregnant women. </w:t>
      </w:r>
      <w:proofErr w:type="spellStart"/>
      <w:r w:rsidRPr="008652D6">
        <w:t>Gilteritinib</w:t>
      </w:r>
      <w:proofErr w:type="spellEnd"/>
      <w:r w:rsidRPr="008652D6">
        <w:t xml:space="preserve"> crossed the placenta in rats (</w:t>
      </w:r>
      <w:proofErr w:type="spellStart"/>
      <w:r w:rsidRPr="008652D6">
        <w:t>fetal</w:t>
      </w:r>
      <w:proofErr w:type="spellEnd"/>
      <w:r w:rsidRPr="008652D6">
        <w:t xml:space="preserve"> tissue levels were similar to maternal plasma levels), causing </w:t>
      </w:r>
      <w:proofErr w:type="spellStart"/>
      <w:r w:rsidRPr="008652D6">
        <w:t>embryofetal</w:t>
      </w:r>
      <w:proofErr w:type="spellEnd"/>
      <w:r w:rsidRPr="008652D6">
        <w:t xml:space="preserve"> lethality and teratogenicity at doses resulting in subclinical exposures (</w:t>
      </w:r>
      <w:r w:rsidR="00287F87">
        <w:sym w:font="Symbol" w:char="F0B3"/>
      </w:r>
      <w:r w:rsidRPr="008652D6">
        <w:t xml:space="preserve">20 mg/kg/day PO). XOSPATA </w:t>
      </w:r>
      <w:proofErr w:type="gramStart"/>
      <w:r w:rsidR="00E56B57">
        <w:t>should</w:t>
      </w:r>
      <w:r w:rsidRPr="008652D6">
        <w:t xml:space="preserve"> not </w:t>
      </w:r>
      <w:r w:rsidR="00E56B57">
        <w:t>be used</w:t>
      </w:r>
      <w:proofErr w:type="gramEnd"/>
      <w:r w:rsidR="00E56B57">
        <w:t xml:space="preserve"> </w:t>
      </w:r>
      <w:r w:rsidRPr="008652D6">
        <w:t xml:space="preserve">during pregnancy or in women of childbearing potential not using effective contraception. For more information regarding contraception and appropriate </w:t>
      </w:r>
      <w:proofErr w:type="gramStart"/>
      <w:r w:rsidRPr="008652D6">
        <w:t>wash-out</w:t>
      </w:r>
      <w:proofErr w:type="gramEnd"/>
      <w:r w:rsidRPr="008652D6">
        <w:t xml:space="preserve"> periods see section 4.4 Special warnings and precautions for use — </w:t>
      </w:r>
      <w:proofErr w:type="spellStart"/>
      <w:r w:rsidRPr="008652D6">
        <w:t>Embryofetal</w:t>
      </w:r>
      <w:proofErr w:type="spellEnd"/>
      <w:r w:rsidRPr="008652D6">
        <w:t xml:space="preserve"> toxicity and contraception</w:t>
      </w:r>
      <w:r>
        <w:t>.</w:t>
      </w:r>
    </w:p>
    <w:p w14:paraId="4B026DFD" w14:textId="2554656C" w:rsidR="001A3992" w:rsidRDefault="001A3992" w:rsidP="005975FF">
      <w:pPr>
        <w:pStyle w:val="Heading3"/>
      </w:pPr>
      <w:r w:rsidRPr="00B878CC">
        <w:t>Use in</w:t>
      </w:r>
      <w:r w:rsidR="00096BEE">
        <w:t xml:space="preserve"> lactation</w:t>
      </w:r>
    </w:p>
    <w:p w14:paraId="3742545C" w14:textId="64BC32AD" w:rsidR="00013C8C" w:rsidRDefault="00013C8C" w:rsidP="00013C8C">
      <w:r>
        <w:t xml:space="preserve">It is unknown whether </w:t>
      </w:r>
      <w:proofErr w:type="spellStart"/>
      <w:r>
        <w:t>gilteritinib</w:t>
      </w:r>
      <w:proofErr w:type="spellEnd"/>
      <w:r>
        <w:t xml:space="preserve"> or its metabolites </w:t>
      </w:r>
      <w:proofErr w:type="gramStart"/>
      <w:r>
        <w:t>are excreted</w:t>
      </w:r>
      <w:proofErr w:type="gramEnd"/>
      <w:r>
        <w:t xml:space="preserve"> in human milk. Available animal data have shown excretion of </w:t>
      </w:r>
      <w:proofErr w:type="spellStart"/>
      <w:r>
        <w:t>gilteritinib</w:t>
      </w:r>
      <w:proofErr w:type="spellEnd"/>
      <w:r>
        <w:t xml:space="preserve"> and</w:t>
      </w:r>
      <w:r w:rsidR="00F73B54">
        <w:t>/or</w:t>
      </w:r>
      <w:r>
        <w:t xml:space="preserve"> its metabolites in the animal milk of lactating rats</w:t>
      </w:r>
      <w:r w:rsidR="00F73B54">
        <w:t xml:space="preserve"> </w:t>
      </w:r>
      <w:r w:rsidR="00F73B54" w:rsidRPr="00830F0B">
        <w:t>with levels higher than maternal plasma levels</w:t>
      </w:r>
      <w:r w:rsidR="00F73B54">
        <w:t>. D</w:t>
      </w:r>
      <w:r>
        <w:t xml:space="preserve">istribution to the tissues in infant rats via the milk </w:t>
      </w:r>
      <w:r w:rsidR="00F73B54" w:rsidRPr="00830F0B">
        <w:t>was evident</w:t>
      </w:r>
      <w:r w:rsidR="00096BEE">
        <w:t>.</w:t>
      </w:r>
    </w:p>
    <w:p w14:paraId="06AB11E9" w14:textId="2CCF3139" w:rsidR="00013C8C" w:rsidRPr="00013C8C" w:rsidRDefault="00013C8C" w:rsidP="00013C8C">
      <w:r>
        <w:t xml:space="preserve">A risk to </w:t>
      </w:r>
      <w:r w:rsidR="001E17E8">
        <w:t>breast-fed children</w:t>
      </w:r>
      <w:r>
        <w:t xml:space="preserve"> </w:t>
      </w:r>
      <w:proofErr w:type="gramStart"/>
      <w:r>
        <w:t>cannot be excluded</w:t>
      </w:r>
      <w:proofErr w:type="gramEnd"/>
      <w:r>
        <w:t xml:space="preserve">. Breastfeeding </w:t>
      </w:r>
      <w:proofErr w:type="gramStart"/>
      <w:r>
        <w:t>should be discontinued</w:t>
      </w:r>
      <w:proofErr w:type="gramEnd"/>
      <w:r>
        <w:t xml:space="preserve"> during treatment with </w:t>
      </w:r>
      <w:r w:rsidR="00B548B9">
        <w:t>XOSPATA</w:t>
      </w:r>
      <w:r w:rsidR="001E17E8">
        <w:t xml:space="preserve"> and for at least two months after the last dose</w:t>
      </w:r>
      <w:r>
        <w:t>.</w:t>
      </w:r>
    </w:p>
    <w:p w14:paraId="6BDACBDE" w14:textId="77777777" w:rsidR="001A3992" w:rsidRDefault="001A3992" w:rsidP="001A3992">
      <w:pPr>
        <w:pStyle w:val="Heading2"/>
        <w:spacing w:before="0" w:after="120"/>
      </w:pPr>
      <w:r w:rsidRPr="00EC3C40">
        <w:t>Effects</w:t>
      </w:r>
      <w:r>
        <w:t xml:space="preserve"> on ability to drive and use machines </w:t>
      </w:r>
    </w:p>
    <w:p w14:paraId="43CBF4A4" w14:textId="722D2CE7" w:rsidR="00FC5120" w:rsidRDefault="00FC5120" w:rsidP="00FC5120">
      <w:pPr>
        <w:rPr>
          <w:noProof/>
        </w:rPr>
      </w:pPr>
      <w:bookmarkStart w:id="4" w:name="_Ref1551762"/>
      <w:r>
        <w:rPr>
          <w:noProof/>
        </w:rPr>
        <w:t>Gilteritinib</w:t>
      </w:r>
      <w:r w:rsidRPr="00BC73E4">
        <w:rPr>
          <w:noProof/>
        </w:rPr>
        <w:t xml:space="preserve"> has </w:t>
      </w:r>
      <w:r>
        <w:rPr>
          <w:noProof/>
        </w:rPr>
        <w:t>minor</w:t>
      </w:r>
      <w:r w:rsidRPr="000643D3">
        <w:rPr>
          <w:noProof/>
        </w:rPr>
        <w:t xml:space="preserve"> influence</w:t>
      </w:r>
      <w:r w:rsidRPr="00BC73E4">
        <w:rPr>
          <w:noProof/>
        </w:rPr>
        <w:t xml:space="preserve"> on the ability to drive and use machines.</w:t>
      </w:r>
      <w:r>
        <w:rPr>
          <w:noProof/>
        </w:rPr>
        <w:t xml:space="preserve"> Dizziness has been reported in patients taking </w:t>
      </w:r>
      <w:r w:rsidR="00B548B9">
        <w:rPr>
          <w:noProof/>
        </w:rPr>
        <w:t>XOSPATA</w:t>
      </w:r>
      <w:r>
        <w:rPr>
          <w:noProof/>
        </w:rPr>
        <w:t xml:space="preserve"> and should be considered when assessing a patient’s ability to drive or use machines (see section 4.8 </w:t>
      </w:r>
      <w:r>
        <w:rPr>
          <w:noProof/>
        </w:rPr>
        <w:fldChar w:fldCharType="begin"/>
      </w:r>
      <w:r>
        <w:rPr>
          <w:noProof/>
        </w:rPr>
        <w:instrText xml:space="preserve"> REF _Ref1554381 \h </w:instrText>
      </w:r>
      <w:r>
        <w:rPr>
          <w:noProof/>
        </w:rPr>
      </w:r>
      <w:r>
        <w:rPr>
          <w:noProof/>
        </w:rPr>
        <w:fldChar w:fldCharType="separate"/>
      </w:r>
      <w:proofErr w:type="gramStart"/>
      <w:r>
        <w:t>Adverse</w:t>
      </w:r>
      <w:proofErr w:type="gramEnd"/>
      <w:r>
        <w:t xml:space="preserve"> effects (Undesirable effects)</w:t>
      </w:r>
      <w:r>
        <w:rPr>
          <w:noProof/>
        </w:rPr>
        <w:fldChar w:fldCharType="end"/>
      </w:r>
      <w:r>
        <w:rPr>
          <w:noProof/>
        </w:rPr>
        <w:t>).</w:t>
      </w:r>
    </w:p>
    <w:p w14:paraId="02750E20" w14:textId="7D2D5AAD" w:rsidR="001A3992" w:rsidRDefault="001A3992" w:rsidP="001A3992">
      <w:pPr>
        <w:pStyle w:val="Heading2"/>
        <w:keepNext/>
        <w:keepLines/>
        <w:spacing w:before="0" w:after="120"/>
      </w:pPr>
      <w:bookmarkStart w:id="5" w:name="_Ref1554381"/>
      <w:r>
        <w:t>Adverse effects (Undesirable effects)</w:t>
      </w:r>
      <w:bookmarkEnd w:id="4"/>
      <w:bookmarkEnd w:id="5"/>
    </w:p>
    <w:p w14:paraId="5FAB8D3B" w14:textId="77777777" w:rsidR="00FC5120" w:rsidRDefault="00FC5120" w:rsidP="00FC5120">
      <w:pPr>
        <w:rPr>
          <w:u w:val="single"/>
        </w:rPr>
      </w:pPr>
      <w:r>
        <w:rPr>
          <w:u w:val="single"/>
        </w:rPr>
        <w:t>Summary of the safety profile</w:t>
      </w:r>
    </w:p>
    <w:p w14:paraId="535605B3" w14:textId="7F66BC5A" w:rsidR="00FC5120" w:rsidRPr="005A1022" w:rsidRDefault="00FC5120" w:rsidP="00FC5120">
      <w:pPr>
        <w:rPr>
          <w:noProof/>
        </w:rPr>
      </w:pPr>
      <w:r w:rsidRPr="005A1022">
        <w:rPr>
          <w:noProof/>
        </w:rPr>
        <w:t xml:space="preserve">The safety of </w:t>
      </w:r>
      <w:r w:rsidR="00B548B9">
        <w:rPr>
          <w:noProof/>
        </w:rPr>
        <w:t>XOSPATA</w:t>
      </w:r>
      <w:r w:rsidRPr="005A1022">
        <w:rPr>
          <w:noProof/>
        </w:rPr>
        <w:t xml:space="preserve"> was evaluated in </w:t>
      </w:r>
      <w:r>
        <w:rPr>
          <w:noProof/>
        </w:rPr>
        <w:t>319</w:t>
      </w:r>
      <w:r w:rsidRPr="005A1022">
        <w:rPr>
          <w:noProof/>
        </w:rPr>
        <w:t xml:space="preserve"> patients with relapsed or refractory </w:t>
      </w:r>
      <w:r>
        <w:rPr>
          <w:noProof/>
        </w:rPr>
        <w:t>AML</w:t>
      </w:r>
      <w:r w:rsidRPr="005A1022">
        <w:rPr>
          <w:noProof/>
        </w:rPr>
        <w:t xml:space="preserve"> </w:t>
      </w:r>
      <w:r w:rsidRPr="00CE5E16">
        <w:rPr>
          <w:noProof/>
        </w:rPr>
        <w:t>who received at least one dose of 120</w:t>
      </w:r>
      <w:r>
        <w:rPr>
          <w:noProof/>
        </w:rPr>
        <w:t> </w:t>
      </w:r>
      <w:r w:rsidRPr="00CE5E16">
        <w:rPr>
          <w:noProof/>
        </w:rPr>
        <w:t xml:space="preserve">mg </w:t>
      </w:r>
      <w:r>
        <w:rPr>
          <w:noProof/>
        </w:rPr>
        <w:t>gilteritinib</w:t>
      </w:r>
      <w:r w:rsidR="00096BEE">
        <w:rPr>
          <w:noProof/>
        </w:rPr>
        <w:t>.</w:t>
      </w:r>
    </w:p>
    <w:p w14:paraId="262578C6" w14:textId="23A02D6D" w:rsidR="00FC5120" w:rsidRPr="00715B1F" w:rsidRDefault="00FC5120" w:rsidP="00FC5120">
      <w:pPr>
        <w:rPr>
          <w:noProof/>
          <w:shd w:val="pct15" w:color="auto" w:fill="FFFFFF"/>
        </w:rPr>
      </w:pPr>
      <w:r w:rsidRPr="00BB4344">
        <w:rPr>
          <w:noProof/>
        </w:rPr>
        <w:t xml:space="preserve">The most frequent adverse drug reactions </w:t>
      </w:r>
      <w:r>
        <w:rPr>
          <w:noProof/>
        </w:rPr>
        <w:t xml:space="preserve">with gilteritinib </w:t>
      </w:r>
      <w:r w:rsidRPr="00BB4344">
        <w:rPr>
          <w:noProof/>
        </w:rPr>
        <w:t>w</w:t>
      </w:r>
      <w:r w:rsidRPr="00715B1F">
        <w:rPr>
          <w:noProof/>
        </w:rPr>
        <w:t>ere alanine aminotransferase (ALT) increased</w:t>
      </w:r>
      <w:r>
        <w:rPr>
          <w:noProof/>
        </w:rPr>
        <w:t xml:space="preserve"> (82.1%)</w:t>
      </w:r>
      <w:r w:rsidRPr="00715B1F">
        <w:rPr>
          <w:noProof/>
        </w:rPr>
        <w:t>, aspartate aminotransferase (AST) increased</w:t>
      </w:r>
      <w:r>
        <w:rPr>
          <w:noProof/>
        </w:rPr>
        <w:t xml:space="preserve"> (80.6%)</w:t>
      </w:r>
      <w:r w:rsidRPr="00715B1F">
        <w:rPr>
          <w:noProof/>
        </w:rPr>
        <w:t xml:space="preserve">, </w:t>
      </w:r>
      <w:r>
        <w:rPr>
          <w:noProof/>
        </w:rPr>
        <w:t xml:space="preserve">blood alkaline phosphatase </w:t>
      </w:r>
      <w:r>
        <w:rPr>
          <w:noProof/>
        </w:rPr>
        <w:lastRenderedPageBreak/>
        <w:t xml:space="preserve">increased (68.7%), </w:t>
      </w:r>
      <w:r w:rsidR="000E5E59">
        <w:rPr>
          <w:noProof/>
        </w:rPr>
        <w:t xml:space="preserve">blood creatine phosphokinase increased (52.9%), </w:t>
      </w:r>
      <w:r w:rsidRPr="00715B1F">
        <w:rPr>
          <w:noProof/>
        </w:rPr>
        <w:t>diarrhoea</w:t>
      </w:r>
      <w:r>
        <w:rPr>
          <w:noProof/>
        </w:rPr>
        <w:t xml:space="preserve"> (35.1%)</w:t>
      </w:r>
      <w:r w:rsidRPr="00715B1F">
        <w:rPr>
          <w:noProof/>
        </w:rPr>
        <w:t>, fatigue</w:t>
      </w:r>
      <w:r>
        <w:rPr>
          <w:noProof/>
        </w:rPr>
        <w:t xml:space="preserve"> (30.4%)</w:t>
      </w:r>
      <w:r w:rsidRPr="00715B1F">
        <w:rPr>
          <w:noProof/>
        </w:rPr>
        <w:t>,</w:t>
      </w:r>
      <w:r>
        <w:rPr>
          <w:noProof/>
        </w:rPr>
        <w:t xml:space="preserve"> </w:t>
      </w:r>
      <w:r w:rsidRPr="00715B1F">
        <w:rPr>
          <w:noProof/>
        </w:rPr>
        <w:t>nausea</w:t>
      </w:r>
      <w:r>
        <w:rPr>
          <w:noProof/>
        </w:rPr>
        <w:t xml:space="preserve"> (29.8%)</w:t>
      </w:r>
      <w:r w:rsidRPr="00715B1F">
        <w:rPr>
          <w:noProof/>
        </w:rPr>
        <w:t xml:space="preserve">, </w:t>
      </w:r>
      <w:r>
        <w:rPr>
          <w:noProof/>
        </w:rPr>
        <w:t xml:space="preserve">constipation (28.2%), cough (28.2%), </w:t>
      </w:r>
      <w:r w:rsidRPr="00715B1F">
        <w:rPr>
          <w:noProof/>
        </w:rPr>
        <w:t>peripheral oedema</w:t>
      </w:r>
      <w:r>
        <w:rPr>
          <w:noProof/>
        </w:rPr>
        <w:t xml:space="preserve"> (24.1%)</w:t>
      </w:r>
      <w:r w:rsidRPr="00715B1F">
        <w:rPr>
          <w:noProof/>
        </w:rPr>
        <w:t xml:space="preserve">, </w:t>
      </w:r>
      <w:r>
        <w:rPr>
          <w:noProof/>
        </w:rPr>
        <w:t xml:space="preserve">dyspnea (24.1%), </w:t>
      </w:r>
      <w:r w:rsidRPr="00715B1F">
        <w:rPr>
          <w:noProof/>
        </w:rPr>
        <w:t xml:space="preserve"> </w:t>
      </w:r>
      <w:r>
        <w:rPr>
          <w:noProof/>
        </w:rPr>
        <w:t xml:space="preserve">dizziness (20.4%), hypotension (17.2%), </w:t>
      </w:r>
      <w:r w:rsidRPr="00715B1F">
        <w:rPr>
          <w:noProof/>
        </w:rPr>
        <w:t>pain in extremity</w:t>
      </w:r>
      <w:r>
        <w:rPr>
          <w:noProof/>
        </w:rPr>
        <w:t xml:space="preserve"> (14.7%)</w:t>
      </w:r>
      <w:r w:rsidRPr="00715B1F">
        <w:rPr>
          <w:noProof/>
        </w:rPr>
        <w:t xml:space="preserve">, </w:t>
      </w:r>
      <w:r>
        <w:rPr>
          <w:noProof/>
        </w:rPr>
        <w:t xml:space="preserve">asthenia (13.8%), </w:t>
      </w:r>
      <w:r w:rsidRPr="00715B1F">
        <w:rPr>
          <w:noProof/>
        </w:rPr>
        <w:t>arthralgia</w:t>
      </w:r>
      <w:r>
        <w:rPr>
          <w:noProof/>
        </w:rPr>
        <w:t xml:space="preserve"> (12.5%)</w:t>
      </w:r>
      <w:r w:rsidRPr="00715B1F">
        <w:rPr>
          <w:noProof/>
        </w:rPr>
        <w:t xml:space="preserve"> </w:t>
      </w:r>
      <w:r>
        <w:rPr>
          <w:noProof/>
        </w:rPr>
        <w:t xml:space="preserve">and </w:t>
      </w:r>
      <w:r w:rsidRPr="00715B1F">
        <w:rPr>
          <w:noProof/>
        </w:rPr>
        <w:t xml:space="preserve">myalgia </w:t>
      </w:r>
      <w:r>
        <w:rPr>
          <w:noProof/>
        </w:rPr>
        <w:t>(12.5%).</w:t>
      </w:r>
    </w:p>
    <w:p w14:paraId="76FC7DD9" w14:textId="2B0460AF" w:rsidR="004431F6" w:rsidRDefault="004431F6" w:rsidP="00A17A6E">
      <w:pPr>
        <w:rPr>
          <w:noProof/>
        </w:rPr>
      </w:pPr>
      <w:r w:rsidRPr="00BB4344">
        <w:rPr>
          <w:noProof/>
        </w:rPr>
        <w:t>The most frequent serious</w:t>
      </w:r>
      <w:r>
        <w:rPr>
          <w:noProof/>
        </w:rPr>
        <w:t xml:space="preserve"> adverse reactions were</w:t>
      </w:r>
      <w:r w:rsidR="00A17A6E">
        <w:rPr>
          <w:noProof/>
        </w:rPr>
        <w:t xml:space="preserve"> acute kidney injury </w:t>
      </w:r>
      <w:r w:rsidR="00A17A6E" w:rsidRPr="00691DEB">
        <w:rPr>
          <w:noProof/>
        </w:rPr>
        <w:t>(</w:t>
      </w:r>
      <w:r w:rsidR="00691DEB">
        <w:rPr>
          <w:noProof/>
        </w:rPr>
        <w:t>6.6%</w:t>
      </w:r>
      <w:r w:rsidR="00A17A6E" w:rsidRPr="00691DEB">
        <w:rPr>
          <w:noProof/>
        </w:rPr>
        <w:t>),</w:t>
      </w:r>
      <w:r>
        <w:rPr>
          <w:noProof/>
        </w:rPr>
        <w:t xml:space="preserve"> </w:t>
      </w:r>
      <w:r w:rsidRPr="00715B1F">
        <w:rPr>
          <w:noProof/>
        </w:rPr>
        <w:t>diarrhoea</w:t>
      </w:r>
      <w:r>
        <w:rPr>
          <w:noProof/>
        </w:rPr>
        <w:t xml:space="preserve"> (4.7%), </w:t>
      </w:r>
      <w:r w:rsidRPr="00715B1F">
        <w:rPr>
          <w:noProof/>
        </w:rPr>
        <w:t>ALT increased</w:t>
      </w:r>
      <w:r>
        <w:rPr>
          <w:noProof/>
        </w:rPr>
        <w:t xml:space="preserve"> (4.1%)</w:t>
      </w:r>
      <w:r w:rsidRPr="00715B1F">
        <w:rPr>
          <w:noProof/>
        </w:rPr>
        <w:t>,</w:t>
      </w:r>
      <w:r>
        <w:rPr>
          <w:noProof/>
        </w:rPr>
        <w:t xml:space="preserve"> dyspnea (3.4%), </w:t>
      </w:r>
      <w:r w:rsidRPr="00715B1F">
        <w:rPr>
          <w:noProof/>
        </w:rPr>
        <w:t>AST increased</w:t>
      </w:r>
      <w:r>
        <w:rPr>
          <w:noProof/>
        </w:rPr>
        <w:t xml:space="preserve"> (3.1%) and hypotension (2.8%). Other clinically significant serious adverse reactions included differentiation syndrome (2.2%), electrocardiogram QT prolonged (0.9%) and </w:t>
      </w:r>
      <w:r w:rsidRPr="00616285">
        <w:rPr>
          <w:noProof/>
        </w:rPr>
        <w:t>posterior reversible encephalopathy syndrome</w:t>
      </w:r>
      <w:r>
        <w:rPr>
          <w:noProof/>
        </w:rPr>
        <w:t xml:space="preserve"> (0.6%).</w:t>
      </w:r>
    </w:p>
    <w:p w14:paraId="6B1F259C" w14:textId="1F7B277B" w:rsidR="00FC5120" w:rsidRPr="00815BB7" w:rsidRDefault="00FC5120" w:rsidP="00FC5120">
      <w:pPr>
        <w:rPr>
          <w:noProof/>
          <w:u w:val="single"/>
        </w:rPr>
      </w:pPr>
      <w:r w:rsidRPr="00815BB7">
        <w:rPr>
          <w:noProof/>
          <w:u w:val="single"/>
        </w:rPr>
        <w:t xml:space="preserve">Tabulated </w:t>
      </w:r>
      <w:r>
        <w:rPr>
          <w:noProof/>
          <w:u w:val="single"/>
        </w:rPr>
        <w:t>list</w:t>
      </w:r>
      <w:r w:rsidRPr="00815BB7">
        <w:rPr>
          <w:noProof/>
          <w:u w:val="single"/>
        </w:rPr>
        <w:t xml:space="preserve"> of adverse reacti</w:t>
      </w:r>
      <w:r w:rsidR="00096BEE">
        <w:rPr>
          <w:noProof/>
          <w:u w:val="single"/>
        </w:rPr>
        <w:t>ons</w:t>
      </w:r>
    </w:p>
    <w:p w14:paraId="24F2D326" w14:textId="24B79A38" w:rsidR="00FC5120" w:rsidRDefault="00FC5120" w:rsidP="00FC5120">
      <w:pPr>
        <w:rPr>
          <w:noProof/>
        </w:rPr>
      </w:pPr>
      <w:r w:rsidRPr="005A1022">
        <w:rPr>
          <w:noProof/>
        </w:rPr>
        <w:t>Adverse reactions observed during clinical studies are listed below by frequency category. Frequency categories are defined as follows: very common (</w:t>
      </w:r>
      <w:r w:rsidR="003D4EDC">
        <w:rPr>
          <w:noProof/>
        </w:rPr>
        <w:sym w:font="Symbol" w:char="F0B3"/>
      </w:r>
      <w:r w:rsidRPr="005A1022">
        <w:rPr>
          <w:noProof/>
        </w:rPr>
        <w:t>1/10); common (</w:t>
      </w:r>
      <w:r w:rsidR="003D4EDC">
        <w:rPr>
          <w:noProof/>
        </w:rPr>
        <w:sym w:font="Symbol" w:char="F0B3"/>
      </w:r>
      <w:r w:rsidRPr="005A1022">
        <w:rPr>
          <w:noProof/>
        </w:rPr>
        <w:t>1/100 to &lt;1/10); uncommon (</w:t>
      </w:r>
      <w:r w:rsidR="003D4EDC">
        <w:rPr>
          <w:noProof/>
        </w:rPr>
        <w:sym w:font="Symbol" w:char="F0B3"/>
      </w:r>
      <w:r w:rsidRPr="005A1022">
        <w:rPr>
          <w:noProof/>
        </w:rPr>
        <w:t>1/1,000 to &lt;1/100); rare (</w:t>
      </w:r>
      <w:r w:rsidR="003D4EDC">
        <w:rPr>
          <w:noProof/>
        </w:rPr>
        <w:sym w:font="Symbol" w:char="F0B3"/>
      </w:r>
      <w:r w:rsidRPr="005A1022">
        <w:rPr>
          <w:noProof/>
        </w:rPr>
        <w:t>1/10,000 to &lt;1/1,000); very rare (&lt;1/10,000); not known (cannot be estimated from the available data). Within each frequency grouping, adverse reactions are presented in order of decreasing seriousness</w:t>
      </w:r>
      <w:r>
        <w:rPr>
          <w:noProof/>
        </w:rPr>
        <w:t>.</w:t>
      </w:r>
    </w:p>
    <w:p w14:paraId="129B2DDA" w14:textId="1C2E0FD5" w:rsidR="00BE6ABC" w:rsidRDefault="00BE6ABC" w:rsidP="00BE6ABC">
      <w:pPr>
        <w:pStyle w:val="Caption"/>
        <w:keepNext/>
        <w:rPr>
          <w:b/>
          <w:bCs/>
          <w:i w:val="0"/>
          <w:iCs w:val="0"/>
          <w:color w:val="auto"/>
          <w:sz w:val="22"/>
          <w:szCs w:val="22"/>
        </w:rPr>
      </w:pPr>
      <w:r w:rsidRPr="00BE6ABC">
        <w:rPr>
          <w:b/>
          <w:bCs/>
          <w:i w:val="0"/>
          <w:iCs w:val="0"/>
          <w:color w:val="auto"/>
          <w:sz w:val="22"/>
          <w:szCs w:val="22"/>
        </w:rPr>
        <w:t xml:space="preserve">Table </w:t>
      </w:r>
      <w:r w:rsidR="00F80972">
        <w:rPr>
          <w:b/>
          <w:bCs/>
          <w:i w:val="0"/>
          <w:iCs w:val="0"/>
          <w:color w:val="auto"/>
          <w:sz w:val="22"/>
          <w:szCs w:val="22"/>
        </w:rPr>
        <w:t>2</w:t>
      </w:r>
      <w:r w:rsidRPr="00BE6ABC">
        <w:rPr>
          <w:b/>
          <w:bCs/>
          <w:i w:val="0"/>
          <w:iCs w:val="0"/>
          <w:color w:val="auto"/>
          <w:sz w:val="22"/>
          <w:szCs w:val="22"/>
        </w:rPr>
        <w:t>: Adverse reactions</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992"/>
        <w:gridCol w:w="53"/>
        <w:gridCol w:w="942"/>
        <w:gridCol w:w="1559"/>
      </w:tblGrid>
      <w:tr w:rsidR="007F1B75" w:rsidRPr="007F1B75" w14:paraId="6DBB09FF" w14:textId="77777777" w:rsidTr="00AE632A">
        <w:trPr>
          <w:cantSplit/>
          <w:jc w:val="center"/>
        </w:trPr>
        <w:tc>
          <w:tcPr>
            <w:tcW w:w="4104" w:type="dxa"/>
            <w:shd w:val="clear" w:color="auto" w:fill="auto"/>
            <w:vAlign w:val="center"/>
          </w:tcPr>
          <w:p w14:paraId="62F05A91" w14:textId="77777777" w:rsidR="007F1B75" w:rsidRPr="007F1B75" w:rsidRDefault="007F1B75" w:rsidP="00AE632A">
            <w:pPr>
              <w:keepNext/>
              <w:tabs>
                <w:tab w:val="left" w:pos="567"/>
              </w:tabs>
              <w:spacing w:after="0" w:line="260" w:lineRule="exact"/>
              <w:jc w:val="both"/>
              <w:rPr>
                <w:rFonts w:eastAsia="MS Mincho" w:cs="Times New Roman"/>
                <w:b/>
                <w:sz w:val="20"/>
                <w:szCs w:val="20"/>
                <w:lang w:val="en-GB" w:eastAsia="ja-JP"/>
              </w:rPr>
            </w:pPr>
            <w:r w:rsidRPr="007F1B75">
              <w:rPr>
                <w:rFonts w:eastAsia="MS Mincho" w:cs="Times New Roman"/>
                <w:b/>
                <w:sz w:val="20"/>
                <w:szCs w:val="20"/>
                <w:lang w:val="en-GB" w:eastAsia="ja-JP"/>
              </w:rPr>
              <w:t>Adverse drug reactions</w:t>
            </w:r>
          </w:p>
        </w:tc>
        <w:tc>
          <w:tcPr>
            <w:tcW w:w="1045" w:type="dxa"/>
            <w:gridSpan w:val="2"/>
            <w:shd w:val="clear" w:color="auto" w:fill="auto"/>
            <w:vAlign w:val="center"/>
          </w:tcPr>
          <w:p w14:paraId="39CF4B63"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MS Mincho" w:cs="Times New Roman"/>
                <w:b/>
                <w:sz w:val="20"/>
                <w:szCs w:val="20"/>
                <w:lang w:val="en-GB" w:eastAsia="ja-JP"/>
              </w:rPr>
              <w:t>All Grades</w:t>
            </w:r>
          </w:p>
          <w:p w14:paraId="608BDF38"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MS Mincho" w:cs="Times New Roman"/>
                <w:b/>
                <w:sz w:val="20"/>
                <w:szCs w:val="20"/>
                <w:lang w:val="en-GB" w:eastAsia="ja-JP"/>
              </w:rPr>
              <w:t>%</w:t>
            </w:r>
          </w:p>
        </w:tc>
        <w:tc>
          <w:tcPr>
            <w:tcW w:w="942" w:type="dxa"/>
            <w:shd w:val="clear" w:color="auto" w:fill="auto"/>
          </w:tcPr>
          <w:p w14:paraId="70FF4168" w14:textId="30CDD8BB"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MS Mincho" w:cs="Times New Roman"/>
                <w:b/>
                <w:sz w:val="20"/>
                <w:szCs w:val="20"/>
                <w:lang w:val="en-GB" w:eastAsia="ja-JP"/>
              </w:rPr>
              <w:t xml:space="preserve">Grades </w:t>
            </w:r>
            <w:r w:rsidR="00287F87" w:rsidRPr="00287F87">
              <w:rPr>
                <w:rFonts w:eastAsia="MS Mincho" w:cs="Times New Roman"/>
                <w:b/>
                <w:sz w:val="20"/>
                <w:szCs w:val="20"/>
                <w:lang w:val="en-GB" w:eastAsia="ja-JP"/>
              </w:rPr>
              <w:sym w:font="Symbol" w:char="F0B3"/>
            </w:r>
            <w:r w:rsidRPr="007F1B75">
              <w:rPr>
                <w:rFonts w:eastAsia="MS Mincho" w:cs="Times New Roman"/>
                <w:b/>
                <w:sz w:val="20"/>
                <w:szCs w:val="20"/>
                <w:lang w:val="en-GB" w:eastAsia="ja-JP"/>
              </w:rPr>
              <w:t>3</w:t>
            </w:r>
          </w:p>
          <w:p w14:paraId="0B7D195D"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MS Mincho" w:cs="Times New Roman"/>
                <w:b/>
                <w:sz w:val="20"/>
                <w:szCs w:val="20"/>
                <w:lang w:val="en-GB" w:eastAsia="ja-JP"/>
              </w:rPr>
              <w:t>%</w:t>
            </w:r>
          </w:p>
        </w:tc>
        <w:tc>
          <w:tcPr>
            <w:tcW w:w="1559" w:type="dxa"/>
            <w:shd w:val="clear" w:color="auto" w:fill="auto"/>
          </w:tcPr>
          <w:p w14:paraId="5942AB86"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MS Mincho" w:cs="Times New Roman"/>
                <w:b/>
                <w:sz w:val="20"/>
                <w:szCs w:val="20"/>
                <w:lang w:val="en-GB" w:eastAsia="ja-JP"/>
              </w:rPr>
              <w:t>Frequency category</w:t>
            </w:r>
          </w:p>
        </w:tc>
      </w:tr>
      <w:tr w:rsidR="007F1B75" w:rsidRPr="007F1B75" w14:paraId="06FAEA84" w14:textId="77777777" w:rsidTr="00AE632A">
        <w:trPr>
          <w:cantSplit/>
          <w:jc w:val="center"/>
        </w:trPr>
        <w:tc>
          <w:tcPr>
            <w:tcW w:w="7650" w:type="dxa"/>
            <w:gridSpan w:val="5"/>
            <w:shd w:val="clear" w:color="auto" w:fill="auto"/>
            <w:vAlign w:val="bottom"/>
          </w:tcPr>
          <w:p w14:paraId="3B7B5F11" w14:textId="77777777" w:rsidR="007F1B75" w:rsidRPr="007F1B75" w:rsidRDefault="007F1B75" w:rsidP="00AE632A">
            <w:pPr>
              <w:keepNext/>
              <w:tabs>
                <w:tab w:val="left" w:pos="567"/>
              </w:tabs>
              <w:spacing w:after="0" w:line="260" w:lineRule="exact"/>
              <w:rPr>
                <w:rFonts w:eastAsia="MS Mincho" w:cs="Times New Roman"/>
                <w:b/>
                <w:sz w:val="20"/>
                <w:szCs w:val="20"/>
                <w:lang w:val="en-GB" w:eastAsia="ja-JP"/>
              </w:rPr>
            </w:pPr>
            <w:r w:rsidRPr="007F1B75">
              <w:rPr>
                <w:rFonts w:eastAsia="Times New Roman" w:cs="Times New Roman"/>
                <w:b/>
                <w:sz w:val="20"/>
                <w:szCs w:val="20"/>
                <w:lang w:val="en-GB" w:eastAsia="ja-JP"/>
              </w:rPr>
              <w:t>Immune system disorders</w:t>
            </w:r>
          </w:p>
        </w:tc>
      </w:tr>
      <w:tr w:rsidR="007F1B75" w:rsidRPr="007F1B75" w14:paraId="2379D7EA" w14:textId="77777777" w:rsidTr="00AE632A">
        <w:trPr>
          <w:cantSplit/>
          <w:jc w:val="center"/>
        </w:trPr>
        <w:tc>
          <w:tcPr>
            <w:tcW w:w="4104" w:type="dxa"/>
            <w:shd w:val="clear" w:color="auto" w:fill="auto"/>
          </w:tcPr>
          <w:p w14:paraId="63038D89" w14:textId="77777777" w:rsidR="007F1B75" w:rsidRPr="007F1B75" w:rsidRDefault="007F1B75" w:rsidP="00AE632A">
            <w:pPr>
              <w:keepNext/>
              <w:tabs>
                <w:tab w:val="left" w:pos="567"/>
              </w:tabs>
              <w:spacing w:after="0" w:line="260" w:lineRule="exact"/>
              <w:rPr>
                <w:rFonts w:eastAsia="MS Mincho" w:cs="Times New Roman"/>
                <w:sz w:val="20"/>
                <w:szCs w:val="20"/>
                <w:lang w:val="en-GB" w:eastAsia="ja-JP"/>
              </w:rPr>
            </w:pPr>
            <w:r w:rsidRPr="007F1B75">
              <w:rPr>
                <w:rFonts w:eastAsia="Times New Roman" w:cs="Times New Roman"/>
                <w:sz w:val="20"/>
                <w:szCs w:val="20"/>
                <w:lang w:val="en-GB" w:eastAsia="ja-JP"/>
              </w:rPr>
              <w:t>Anaphylactic reaction</w:t>
            </w:r>
          </w:p>
        </w:tc>
        <w:tc>
          <w:tcPr>
            <w:tcW w:w="1045" w:type="dxa"/>
            <w:gridSpan w:val="2"/>
            <w:shd w:val="clear" w:color="auto" w:fill="auto"/>
            <w:vAlign w:val="bottom"/>
          </w:tcPr>
          <w:p w14:paraId="1A59BAD5"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1.3</w:t>
            </w:r>
          </w:p>
        </w:tc>
        <w:tc>
          <w:tcPr>
            <w:tcW w:w="942" w:type="dxa"/>
            <w:shd w:val="clear" w:color="auto" w:fill="auto"/>
            <w:vAlign w:val="bottom"/>
          </w:tcPr>
          <w:p w14:paraId="7F612CBB"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1.3</w:t>
            </w:r>
          </w:p>
        </w:tc>
        <w:tc>
          <w:tcPr>
            <w:tcW w:w="1559" w:type="dxa"/>
            <w:shd w:val="clear" w:color="auto" w:fill="auto"/>
            <w:vAlign w:val="bottom"/>
          </w:tcPr>
          <w:p w14:paraId="4DFDFA58"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Common</w:t>
            </w:r>
          </w:p>
        </w:tc>
      </w:tr>
      <w:tr w:rsidR="007F1B75" w:rsidRPr="007F1B75" w14:paraId="4BED7316" w14:textId="77777777" w:rsidTr="00AE632A">
        <w:trPr>
          <w:cantSplit/>
          <w:jc w:val="center"/>
        </w:trPr>
        <w:tc>
          <w:tcPr>
            <w:tcW w:w="7650" w:type="dxa"/>
            <w:gridSpan w:val="5"/>
            <w:shd w:val="clear" w:color="auto" w:fill="auto"/>
            <w:vAlign w:val="bottom"/>
          </w:tcPr>
          <w:p w14:paraId="145CEC99" w14:textId="77777777" w:rsidR="007F1B75" w:rsidRPr="007F1B75" w:rsidRDefault="007F1B75" w:rsidP="00AE632A">
            <w:pPr>
              <w:keepNext/>
              <w:tabs>
                <w:tab w:val="left" w:pos="567"/>
              </w:tabs>
              <w:spacing w:after="0" w:line="260" w:lineRule="exact"/>
              <w:rPr>
                <w:rFonts w:eastAsia="MS Mincho" w:cs="Times New Roman"/>
                <w:b/>
                <w:sz w:val="20"/>
                <w:szCs w:val="20"/>
                <w:lang w:val="en-GB" w:eastAsia="ja-JP"/>
              </w:rPr>
            </w:pPr>
            <w:r w:rsidRPr="007F1B75">
              <w:rPr>
                <w:rFonts w:eastAsia="Times New Roman" w:cs="Times New Roman"/>
                <w:b/>
                <w:sz w:val="20"/>
                <w:szCs w:val="20"/>
                <w:lang w:val="en-GB"/>
              </w:rPr>
              <w:t>Nervous system disorders</w:t>
            </w:r>
          </w:p>
        </w:tc>
      </w:tr>
      <w:tr w:rsidR="007F1B75" w:rsidRPr="007F1B75" w14:paraId="1B5B606E" w14:textId="77777777" w:rsidTr="00AE632A">
        <w:trPr>
          <w:cantSplit/>
          <w:jc w:val="center"/>
        </w:trPr>
        <w:tc>
          <w:tcPr>
            <w:tcW w:w="4104" w:type="dxa"/>
            <w:shd w:val="clear" w:color="auto" w:fill="auto"/>
          </w:tcPr>
          <w:p w14:paraId="6F64F419" w14:textId="77777777" w:rsidR="007F1B75" w:rsidRPr="007F1B75" w:rsidRDefault="007F1B75" w:rsidP="00AE632A">
            <w:pPr>
              <w:keepNext/>
              <w:tabs>
                <w:tab w:val="left" w:pos="567"/>
              </w:tabs>
              <w:spacing w:after="0" w:line="260" w:lineRule="exact"/>
              <w:rPr>
                <w:rFonts w:eastAsia="MS Mincho" w:cs="Times New Roman"/>
                <w:sz w:val="20"/>
                <w:szCs w:val="20"/>
                <w:lang w:val="en-GB" w:eastAsia="ja-JP"/>
              </w:rPr>
            </w:pPr>
            <w:r w:rsidRPr="007F1B75">
              <w:rPr>
                <w:rFonts w:eastAsia="Times New Roman" w:cs="Times New Roman"/>
                <w:sz w:val="20"/>
                <w:szCs w:val="20"/>
                <w:lang w:val="en-GB" w:eastAsia="ja-JP"/>
              </w:rPr>
              <w:t>Dizziness</w:t>
            </w:r>
          </w:p>
        </w:tc>
        <w:tc>
          <w:tcPr>
            <w:tcW w:w="1045" w:type="dxa"/>
            <w:gridSpan w:val="2"/>
            <w:shd w:val="clear" w:color="auto" w:fill="auto"/>
            <w:vAlign w:val="bottom"/>
          </w:tcPr>
          <w:p w14:paraId="0EF54C82"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20.4</w:t>
            </w:r>
          </w:p>
        </w:tc>
        <w:tc>
          <w:tcPr>
            <w:tcW w:w="942" w:type="dxa"/>
            <w:shd w:val="clear" w:color="auto" w:fill="auto"/>
            <w:vAlign w:val="bottom"/>
          </w:tcPr>
          <w:p w14:paraId="7384E094"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0.3</w:t>
            </w:r>
          </w:p>
        </w:tc>
        <w:tc>
          <w:tcPr>
            <w:tcW w:w="1559" w:type="dxa"/>
            <w:shd w:val="clear" w:color="auto" w:fill="auto"/>
            <w:vAlign w:val="bottom"/>
          </w:tcPr>
          <w:p w14:paraId="4BA8874D"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Very common</w:t>
            </w:r>
          </w:p>
        </w:tc>
      </w:tr>
      <w:tr w:rsidR="007F1B75" w:rsidRPr="007F1B75" w14:paraId="2B101D88" w14:textId="77777777" w:rsidTr="00AE632A">
        <w:trPr>
          <w:cantSplit/>
          <w:jc w:val="center"/>
        </w:trPr>
        <w:tc>
          <w:tcPr>
            <w:tcW w:w="4104" w:type="dxa"/>
            <w:shd w:val="clear" w:color="auto" w:fill="auto"/>
          </w:tcPr>
          <w:p w14:paraId="1B8F0C11" w14:textId="77777777" w:rsidR="007F1B75" w:rsidRPr="007F1B75" w:rsidRDefault="007F1B75" w:rsidP="00AE632A">
            <w:pPr>
              <w:keepNext/>
              <w:tabs>
                <w:tab w:val="left" w:pos="567"/>
              </w:tabs>
              <w:spacing w:after="0" w:line="260" w:lineRule="exact"/>
              <w:rPr>
                <w:rFonts w:eastAsia="MS Mincho" w:cs="Times New Roman"/>
                <w:sz w:val="20"/>
                <w:szCs w:val="20"/>
                <w:lang w:val="en-GB" w:eastAsia="ja-JP"/>
              </w:rPr>
            </w:pPr>
            <w:r w:rsidRPr="007F1B75">
              <w:rPr>
                <w:rFonts w:eastAsia="Times New Roman" w:cs="Times New Roman"/>
                <w:sz w:val="20"/>
                <w:szCs w:val="20"/>
                <w:lang w:val="en-GB" w:eastAsia="ja-JP"/>
              </w:rPr>
              <w:t xml:space="preserve">Posterior reversible encephalopathy syndrome </w:t>
            </w:r>
          </w:p>
        </w:tc>
        <w:tc>
          <w:tcPr>
            <w:tcW w:w="1045" w:type="dxa"/>
            <w:gridSpan w:val="2"/>
            <w:shd w:val="clear" w:color="auto" w:fill="auto"/>
            <w:vAlign w:val="bottom"/>
          </w:tcPr>
          <w:p w14:paraId="59CEB32E"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0.6</w:t>
            </w:r>
          </w:p>
        </w:tc>
        <w:tc>
          <w:tcPr>
            <w:tcW w:w="942" w:type="dxa"/>
            <w:shd w:val="clear" w:color="auto" w:fill="auto"/>
            <w:vAlign w:val="bottom"/>
          </w:tcPr>
          <w:p w14:paraId="69BCBEBB"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0.6</w:t>
            </w:r>
          </w:p>
        </w:tc>
        <w:tc>
          <w:tcPr>
            <w:tcW w:w="1559" w:type="dxa"/>
            <w:shd w:val="clear" w:color="auto" w:fill="auto"/>
            <w:vAlign w:val="bottom"/>
          </w:tcPr>
          <w:p w14:paraId="08EDEFAB" w14:textId="77777777" w:rsidR="007F1B75" w:rsidRPr="007F1B75" w:rsidRDefault="007F1B75" w:rsidP="00AE632A">
            <w:pPr>
              <w:keepNext/>
              <w:tabs>
                <w:tab w:val="left" w:pos="567"/>
              </w:tabs>
              <w:spacing w:after="0" w:line="260" w:lineRule="exact"/>
              <w:jc w:val="center"/>
              <w:rPr>
                <w:rFonts w:eastAsia="MS Mincho" w:cs="Times New Roman"/>
                <w:b/>
                <w:sz w:val="20"/>
                <w:szCs w:val="20"/>
                <w:lang w:val="en-GB" w:eastAsia="ja-JP"/>
              </w:rPr>
            </w:pPr>
            <w:r w:rsidRPr="007F1B75">
              <w:rPr>
                <w:rFonts w:eastAsia="Times New Roman" w:cs="Times New Roman"/>
                <w:sz w:val="20"/>
                <w:szCs w:val="20"/>
                <w:lang w:val="en-GB" w:eastAsia="ja-JP"/>
              </w:rPr>
              <w:t>Uncommon</w:t>
            </w:r>
          </w:p>
        </w:tc>
      </w:tr>
      <w:tr w:rsidR="007F1B75" w:rsidRPr="007F1B75" w14:paraId="3BE0C33C" w14:textId="77777777" w:rsidTr="00AE632A">
        <w:trPr>
          <w:cantSplit/>
          <w:jc w:val="center"/>
        </w:trPr>
        <w:tc>
          <w:tcPr>
            <w:tcW w:w="7650" w:type="dxa"/>
            <w:gridSpan w:val="5"/>
            <w:shd w:val="clear" w:color="auto" w:fill="auto"/>
            <w:vAlign w:val="bottom"/>
          </w:tcPr>
          <w:p w14:paraId="2449BCE8" w14:textId="77777777" w:rsidR="007F1B75" w:rsidRPr="007F1B75" w:rsidRDefault="007F1B75" w:rsidP="00AE632A">
            <w:pPr>
              <w:keepNext/>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Cardiac disorders</w:t>
            </w:r>
          </w:p>
        </w:tc>
      </w:tr>
      <w:tr w:rsidR="007F1B75" w:rsidRPr="007F1B75" w14:paraId="3143D343" w14:textId="77777777" w:rsidTr="00A17A6E">
        <w:trPr>
          <w:cantSplit/>
          <w:jc w:val="center"/>
        </w:trPr>
        <w:tc>
          <w:tcPr>
            <w:tcW w:w="4104" w:type="dxa"/>
            <w:shd w:val="clear" w:color="auto" w:fill="auto"/>
            <w:vAlign w:val="center"/>
          </w:tcPr>
          <w:p w14:paraId="38AE9C0E" w14:textId="77777777" w:rsidR="007F1B75" w:rsidRPr="007F1B75" w:rsidRDefault="007F1B75" w:rsidP="00AE632A">
            <w:pPr>
              <w:keepNext/>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Electrocardiogram QT prolonged</w:t>
            </w:r>
          </w:p>
        </w:tc>
        <w:tc>
          <w:tcPr>
            <w:tcW w:w="992" w:type="dxa"/>
            <w:shd w:val="clear" w:color="auto" w:fill="auto"/>
            <w:vAlign w:val="bottom"/>
          </w:tcPr>
          <w:p w14:paraId="1DA594F6"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8.8</w:t>
            </w:r>
          </w:p>
        </w:tc>
        <w:tc>
          <w:tcPr>
            <w:tcW w:w="995" w:type="dxa"/>
            <w:gridSpan w:val="2"/>
            <w:shd w:val="clear" w:color="auto" w:fill="auto"/>
            <w:vAlign w:val="bottom"/>
          </w:tcPr>
          <w:p w14:paraId="74506CF8"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2.5</w:t>
            </w:r>
          </w:p>
        </w:tc>
        <w:tc>
          <w:tcPr>
            <w:tcW w:w="1559" w:type="dxa"/>
            <w:shd w:val="clear" w:color="auto" w:fill="auto"/>
            <w:vAlign w:val="bottom"/>
          </w:tcPr>
          <w:p w14:paraId="4C714A7F"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r w:rsidR="007F1B75" w:rsidRPr="007F1B75" w14:paraId="1C6D4C5E" w14:textId="77777777" w:rsidTr="00A17A6E">
        <w:trPr>
          <w:cantSplit/>
          <w:jc w:val="center"/>
        </w:trPr>
        <w:tc>
          <w:tcPr>
            <w:tcW w:w="4104" w:type="dxa"/>
            <w:shd w:val="clear" w:color="auto" w:fill="auto"/>
            <w:vAlign w:val="center"/>
          </w:tcPr>
          <w:p w14:paraId="120C851D" w14:textId="77777777" w:rsidR="007F1B75" w:rsidRPr="007F1B75" w:rsidRDefault="007F1B75" w:rsidP="00AE632A">
            <w:pPr>
              <w:keepNext/>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Pericardial effusion</w:t>
            </w:r>
          </w:p>
        </w:tc>
        <w:tc>
          <w:tcPr>
            <w:tcW w:w="992" w:type="dxa"/>
            <w:shd w:val="clear" w:color="auto" w:fill="auto"/>
            <w:vAlign w:val="bottom"/>
          </w:tcPr>
          <w:p w14:paraId="055B5FDD"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4.1</w:t>
            </w:r>
          </w:p>
        </w:tc>
        <w:tc>
          <w:tcPr>
            <w:tcW w:w="995" w:type="dxa"/>
            <w:gridSpan w:val="2"/>
            <w:shd w:val="clear" w:color="auto" w:fill="auto"/>
            <w:vAlign w:val="bottom"/>
          </w:tcPr>
          <w:p w14:paraId="1D7948DA"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0.9</w:t>
            </w:r>
          </w:p>
        </w:tc>
        <w:tc>
          <w:tcPr>
            <w:tcW w:w="1559" w:type="dxa"/>
            <w:shd w:val="clear" w:color="auto" w:fill="auto"/>
            <w:vAlign w:val="bottom"/>
          </w:tcPr>
          <w:p w14:paraId="50EC8313"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r w:rsidR="007F1B75" w:rsidRPr="007F1B75" w14:paraId="33CFE7A1" w14:textId="77777777" w:rsidTr="00A17A6E">
        <w:trPr>
          <w:cantSplit/>
          <w:jc w:val="center"/>
        </w:trPr>
        <w:tc>
          <w:tcPr>
            <w:tcW w:w="4104" w:type="dxa"/>
            <w:shd w:val="clear" w:color="auto" w:fill="auto"/>
            <w:vAlign w:val="center"/>
          </w:tcPr>
          <w:p w14:paraId="28176B2C" w14:textId="77777777" w:rsidR="007F1B75" w:rsidRPr="007F1B75" w:rsidRDefault="007F1B75" w:rsidP="00AE632A">
            <w:pPr>
              <w:keepNext/>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Pericarditis</w:t>
            </w:r>
          </w:p>
        </w:tc>
        <w:tc>
          <w:tcPr>
            <w:tcW w:w="992" w:type="dxa"/>
            <w:shd w:val="clear" w:color="auto" w:fill="auto"/>
            <w:vAlign w:val="bottom"/>
          </w:tcPr>
          <w:p w14:paraId="2577333B"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1.6</w:t>
            </w:r>
          </w:p>
        </w:tc>
        <w:tc>
          <w:tcPr>
            <w:tcW w:w="995" w:type="dxa"/>
            <w:gridSpan w:val="2"/>
            <w:shd w:val="clear" w:color="auto" w:fill="auto"/>
            <w:vAlign w:val="bottom"/>
          </w:tcPr>
          <w:p w14:paraId="68F51368"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w:t>
            </w:r>
          </w:p>
        </w:tc>
        <w:tc>
          <w:tcPr>
            <w:tcW w:w="1559" w:type="dxa"/>
            <w:shd w:val="clear" w:color="auto" w:fill="auto"/>
            <w:vAlign w:val="bottom"/>
          </w:tcPr>
          <w:p w14:paraId="1CF666BB" w14:textId="77777777" w:rsidR="007F1B75" w:rsidRPr="007F1B75" w:rsidRDefault="007F1B75" w:rsidP="00AE632A">
            <w:pPr>
              <w:keepNext/>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r w:rsidR="007F1B75" w:rsidRPr="007F1B75" w14:paraId="3950CECC" w14:textId="77777777" w:rsidTr="00A17A6E">
        <w:trPr>
          <w:cantSplit/>
          <w:jc w:val="center"/>
        </w:trPr>
        <w:tc>
          <w:tcPr>
            <w:tcW w:w="4104" w:type="dxa"/>
            <w:shd w:val="clear" w:color="auto" w:fill="auto"/>
            <w:vAlign w:val="center"/>
          </w:tcPr>
          <w:p w14:paraId="49F5E135"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Cardiac failure</w:t>
            </w:r>
          </w:p>
        </w:tc>
        <w:tc>
          <w:tcPr>
            <w:tcW w:w="992" w:type="dxa"/>
            <w:shd w:val="clear" w:color="auto" w:fill="auto"/>
            <w:vAlign w:val="bottom"/>
          </w:tcPr>
          <w:p w14:paraId="78CD804C"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1.3</w:t>
            </w:r>
          </w:p>
        </w:tc>
        <w:tc>
          <w:tcPr>
            <w:tcW w:w="995" w:type="dxa"/>
            <w:gridSpan w:val="2"/>
            <w:shd w:val="clear" w:color="auto" w:fill="auto"/>
            <w:vAlign w:val="bottom"/>
          </w:tcPr>
          <w:p w14:paraId="7EBFDFD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1.3</w:t>
            </w:r>
          </w:p>
        </w:tc>
        <w:tc>
          <w:tcPr>
            <w:tcW w:w="1559" w:type="dxa"/>
            <w:shd w:val="clear" w:color="auto" w:fill="auto"/>
            <w:vAlign w:val="bottom"/>
          </w:tcPr>
          <w:p w14:paraId="21FB1B3E"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r w:rsidR="007F1B75" w:rsidRPr="007F1B75" w14:paraId="47386F40" w14:textId="77777777" w:rsidTr="00AE632A">
        <w:trPr>
          <w:cantSplit/>
          <w:jc w:val="center"/>
        </w:trPr>
        <w:tc>
          <w:tcPr>
            <w:tcW w:w="7650" w:type="dxa"/>
            <w:gridSpan w:val="5"/>
            <w:shd w:val="clear" w:color="auto" w:fill="auto"/>
            <w:vAlign w:val="bottom"/>
          </w:tcPr>
          <w:p w14:paraId="6C1A4791"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eastAsia="ja-JP"/>
              </w:rPr>
              <w:t>Vascular disorders</w:t>
            </w:r>
          </w:p>
        </w:tc>
      </w:tr>
      <w:tr w:rsidR="007F1B75" w:rsidRPr="007F1B75" w14:paraId="0CED0BEF" w14:textId="77777777" w:rsidTr="00A17A6E">
        <w:trPr>
          <w:cantSplit/>
          <w:jc w:val="center"/>
        </w:trPr>
        <w:tc>
          <w:tcPr>
            <w:tcW w:w="4104" w:type="dxa"/>
            <w:shd w:val="clear" w:color="auto" w:fill="auto"/>
          </w:tcPr>
          <w:p w14:paraId="5B10C18A"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Hypotension</w:t>
            </w:r>
          </w:p>
        </w:tc>
        <w:tc>
          <w:tcPr>
            <w:tcW w:w="992" w:type="dxa"/>
            <w:shd w:val="clear" w:color="auto" w:fill="auto"/>
            <w:vAlign w:val="bottom"/>
          </w:tcPr>
          <w:p w14:paraId="2CDDBC6D"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17.2</w:t>
            </w:r>
          </w:p>
        </w:tc>
        <w:tc>
          <w:tcPr>
            <w:tcW w:w="995" w:type="dxa"/>
            <w:gridSpan w:val="2"/>
            <w:shd w:val="clear" w:color="auto" w:fill="auto"/>
            <w:vAlign w:val="bottom"/>
          </w:tcPr>
          <w:p w14:paraId="51926DA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7.2</w:t>
            </w:r>
          </w:p>
        </w:tc>
        <w:tc>
          <w:tcPr>
            <w:tcW w:w="1559" w:type="dxa"/>
            <w:shd w:val="clear" w:color="auto" w:fill="auto"/>
            <w:vAlign w:val="bottom"/>
          </w:tcPr>
          <w:p w14:paraId="7985612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0AFD391D" w14:textId="77777777" w:rsidTr="00AE632A">
        <w:trPr>
          <w:cantSplit/>
          <w:jc w:val="center"/>
        </w:trPr>
        <w:tc>
          <w:tcPr>
            <w:tcW w:w="7650" w:type="dxa"/>
            <w:gridSpan w:val="5"/>
            <w:shd w:val="clear" w:color="auto" w:fill="auto"/>
            <w:vAlign w:val="bottom"/>
          </w:tcPr>
          <w:p w14:paraId="7CEF7F8D"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Respiratory, thoracic and mediastinal disorders</w:t>
            </w:r>
          </w:p>
        </w:tc>
      </w:tr>
      <w:tr w:rsidR="007F1B75" w:rsidRPr="007F1B75" w14:paraId="02D8E30C" w14:textId="77777777" w:rsidTr="00A17A6E">
        <w:trPr>
          <w:cantSplit/>
          <w:jc w:val="center"/>
        </w:trPr>
        <w:tc>
          <w:tcPr>
            <w:tcW w:w="4104" w:type="dxa"/>
            <w:shd w:val="clear" w:color="auto" w:fill="auto"/>
          </w:tcPr>
          <w:p w14:paraId="2F84CECD"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Cough</w:t>
            </w:r>
          </w:p>
        </w:tc>
        <w:tc>
          <w:tcPr>
            <w:tcW w:w="992" w:type="dxa"/>
            <w:shd w:val="clear" w:color="auto" w:fill="auto"/>
            <w:vAlign w:val="bottom"/>
          </w:tcPr>
          <w:p w14:paraId="14FE49F8"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28.2</w:t>
            </w:r>
          </w:p>
        </w:tc>
        <w:tc>
          <w:tcPr>
            <w:tcW w:w="995" w:type="dxa"/>
            <w:gridSpan w:val="2"/>
            <w:shd w:val="clear" w:color="auto" w:fill="auto"/>
            <w:vAlign w:val="bottom"/>
          </w:tcPr>
          <w:p w14:paraId="7A686B1C"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0.3</w:t>
            </w:r>
          </w:p>
        </w:tc>
        <w:tc>
          <w:tcPr>
            <w:tcW w:w="1559" w:type="dxa"/>
            <w:shd w:val="clear" w:color="auto" w:fill="auto"/>
            <w:vAlign w:val="bottom"/>
          </w:tcPr>
          <w:p w14:paraId="12E1FDF9"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71574F0C" w14:textId="77777777" w:rsidTr="00A17A6E">
        <w:trPr>
          <w:cantSplit/>
          <w:jc w:val="center"/>
        </w:trPr>
        <w:tc>
          <w:tcPr>
            <w:tcW w:w="4104" w:type="dxa"/>
            <w:shd w:val="clear" w:color="auto" w:fill="auto"/>
          </w:tcPr>
          <w:p w14:paraId="558AEF91"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Dyspnoea</w:t>
            </w:r>
          </w:p>
        </w:tc>
        <w:tc>
          <w:tcPr>
            <w:tcW w:w="992" w:type="dxa"/>
            <w:shd w:val="clear" w:color="auto" w:fill="auto"/>
            <w:vAlign w:val="bottom"/>
          </w:tcPr>
          <w:p w14:paraId="4E156DF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24.1</w:t>
            </w:r>
          </w:p>
        </w:tc>
        <w:tc>
          <w:tcPr>
            <w:tcW w:w="995" w:type="dxa"/>
            <w:gridSpan w:val="2"/>
            <w:shd w:val="clear" w:color="auto" w:fill="auto"/>
            <w:vAlign w:val="bottom"/>
          </w:tcPr>
          <w:p w14:paraId="27285082"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4.4</w:t>
            </w:r>
          </w:p>
        </w:tc>
        <w:tc>
          <w:tcPr>
            <w:tcW w:w="1559" w:type="dxa"/>
            <w:shd w:val="clear" w:color="auto" w:fill="auto"/>
            <w:vAlign w:val="bottom"/>
          </w:tcPr>
          <w:p w14:paraId="50A55268"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44BDD072" w14:textId="77777777" w:rsidTr="00A17A6E">
        <w:trPr>
          <w:cantSplit/>
          <w:jc w:val="center"/>
        </w:trPr>
        <w:tc>
          <w:tcPr>
            <w:tcW w:w="4104" w:type="dxa"/>
            <w:shd w:val="clear" w:color="auto" w:fill="auto"/>
          </w:tcPr>
          <w:p w14:paraId="3D807572" w14:textId="77777777" w:rsidR="007F1B75" w:rsidRPr="007F1B75" w:rsidRDefault="007F1B75" w:rsidP="00AE632A">
            <w:pPr>
              <w:tabs>
                <w:tab w:val="left" w:pos="567"/>
                <w:tab w:val="left" w:pos="3090"/>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Differentiation syndrome</w:t>
            </w:r>
          </w:p>
        </w:tc>
        <w:tc>
          <w:tcPr>
            <w:tcW w:w="992" w:type="dxa"/>
            <w:shd w:val="clear" w:color="auto" w:fill="auto"/>
            <w:vAlign w:val="bottom"/>
          </w:tcPr>
          <w:p w14:paraId="04267A73"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MS Mincho" w:cs="Times New Roman"/>
                <w:sz w:val="20"/>
                <w:szCs w:val="20"/>
                <w:lang w:val="en-GB" w:eastAsia="ja-JP"/>
              </w:rPr>
              <w:t>3.4</w:t>
            </w:r>
          </w:p>
        </w:tc>
        <w:tc>
          <w:tcPr>
            <w:tcW w:w="995" w:type="dxa"/>
            <w:gridSpan w:val="2"/>
            <w:shd w:val="clear" w:color="auto" w:fill="auto"/>
            <w:vAlign w:val="bottom"/>
          </w:tcPr>
          <w:p w14:paraId="53342DB2"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MS Mincho" w:cs="Times New Roman"/>
                <w:sz w:val="20"/>
                <w:szCs w:val="20"/>
                <w:lang w:val="en-GB" w:eastAsia="ja-JP"/>
              </w:rPr>
              <w:t>2.2</w:t>
            </w:r>
          </w:p>
        </w:tc>
        <w:tc>
          <w:tcPr>
            <w:tcW w:w="1559" w:type="dxa"/>
            <w:shd w:val="clear" w:color="auto" w:fill="auto"/>
            <w:vAlign w:val="bottom"/>
          </w:tcPr>
          <w:p w14:paraId="13C9EE0B"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MS Mincho" w:cs="Times New Roman"/>
                <w:sz w:val="20"/>
                <w:szCs w:val="20"/>
                <w:lang w:val="en-GB" w:eastAsia="ja-JP"/>
              </w:rPr>
              <w:t>Common</w:t>
            </w:r>
          </w:p>
        </w:tc>
      </w:tr>
      <w:tr w:rsidR="007F1B75" w:rsidRPr="007F1B75" w14:paraId="32E32875" w14:textId="77777777" w:rsidTr="00AE632A">
        <w:trPr>
          <w:cantSplit/>
          <w:jc w:val="center"/>
        </w:trPr>
        <w:tc>
          <w:tcPr>
            <w:tcW w:w="7650" w:type="dxa"/>
            <w:gridSpan w:val="5"/>
            <w:shd w:val="clear" w:color="auto" w:fill="auto"/>
            <w:vAlign w:val="bottom"/>
          </w:tcPr>
          <w:p w14:paraId="40F284F3"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Gastrointestinal disorders</w:t>
            </w:r>
          </w:p>
        </w:tc>
      </w:tr>
      <w:tr w:rsidR="007F1B75" w:rsidRPr="007F1B75" w14:paraId="7DD73133" w14:textId="77777777" w:rsidTr="00A17A6E">
        <w:trPr>
          <w:cantSplit/>
          <w:jc w:val="center"/>
        </w:trPr>
        <w:tc>
          <w:tcPr>
            <w:tcW w:w="4104" w:type="dxa"/>
            <w:shd w:val="clear" w:color="auto" w:fill="auto"/>
            <w:vAlign w:val="center"/>
          </w:tcPr>
          <w:p w14:paraId="4F93E399"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Diarrhoea</w:t>
            </w:r>
          </w:p>
        </w:tc>
        <w:tc>
          <w:tcPr>
            <w:tcW w:w="992" w:type="dxa"/>
            <w:shd w:val="clear" w:color="auto" w:fill="auto"/>
            <w:vAlign w:val="bottom"/>
          </w:tcPr>
          <w:p w14:paraId="778F4F4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35.1</w:t>
            </w:r>
          </w:p>
        </w:tc>
        <w:tc>
          <w:tcPr>
            <w:tcW w:w="995" w:type="dxa"/>
            <w:gridSpan w:val="2"/>
            <w:shd w:val="clear" w:color="auto" w:fill="auto"/>
            <w:vAlign w:val="bottom"/>
          </w:tcPr>
          <w:p w14:paraId="4FE149CF"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4.1</w:t>
            </w:r>
          </w:p>
        </w:tc>
        <w:tc>
          <w:tcPr>
            <w:tcW w:w="1559" w:type="dxa"/>
            <w:shd w:val="clear" w:color="auto" w:fill="auto"/>
            <w:vAlign w:val="bottom"/>
          </w:tcPr>
          <w:p w14:paraId="10D95D2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2B5F2F4B" w14:textId="77777777" w:rsidTr="00A17A6E">
        <w:trPr>
          <w:cantSplit/>
          <w:jc w:val="center"/>
        </w:trPr>
        <w:tc>
          <w:tcPr>
            <w:tcW w:w="4104" w:type="dxa"/>
            <w:shd w:val="clear" w:color="auto" w:fill="auto"/>
            <w:vAlign w:val="center"/>
          </w:tcPr>
          <w:p w14:paraId="43876CC9"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Nausea</w:t>
            </w:r>
          </w:p>
        </w:tc>
        <w:tc>
          <w:tcPr>
            <w:tcW w:w="992" w:type="dxa"/>
            <w:shd w:val="clear" w:color="auto" w:fill="auto"/>
            <w:vAlign w:val="bottom"/>
          </w:tcPr>
          <w:p w14:paraId="3D652D3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29.8</w:t>
            </w:r>
          </w:p>
        </w:tc>
        <w:tc>
          <w:tcPr>
            <w:tcW w:w="995" w:type="dxa"/>
            <w:gridSpan w:val="2"/>
            <w:shd w:val="clear" w:color="auto" w:fill="auto"/>
            <w:vAlign w:val="bottom"/>
          </w:tcPr>
          <w:p w14:paraId="6D847AC8"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1.9</w:t>
            </w:r>
          </w:p>
        </w:tc>
        <w:tc>
          <w:tcPr>
            <w:tcW w:w="1559" w:type="dxa"/>
            <w:shd w:val="clear" w:color="auto" w:fill="auto"/>
            <w:vAlign w:val="bottom"/>
          </w:tcPr>
          <w:p w14:paraId="0E6748C4"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756FC033" w14:textId="77777777" w:rsidTr="00A17A6E">
        <w:trPr>
          <w:cantSplit/>
          <w:jc w:val="center"/>
        </w:trPr>
        <w:tc>
          <w:tcPr>
            <w:tcW w:w="4104" w:type="dxa"/>
            <w:shd w:val="clear" w:color="auto" w:fill="auto"/>
            <w:vAlign w:val="center"/>
          </w:tcPr>
          <w:p w14:paraId="7DA60A89"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Constipation</w:t>
            </w:r>
          </w:p>
        </w:tc>
        <w:tc>
          <w:tcPr>
            <w:tcW w:w="992" w:type="dxa"/>
            <w:shd w:val="clear" w:color="auto" w:fill="auto"/>
            <w:vAlign w:val="bottom"/>
          </w:tcPr>
          <w:p w14:paraId="65EF361C"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28.2</w:t>
            </w:r>
          </w:p>
        </w:tc>
        <w:tc>
          <w:tcPr>
            <w:tcW w:w="995" w:type="dxa"/>
            <w:gridSpan w:val="2"/>
            <w:shd w:val="clear" w:color="auto" w:fill="auto"/>
            <w:vAlign w:val="bottom"/>
          </w:tcPr>
          <w:p w14:paraId="24FBB241"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0.6</w:t>
            </w:r>
          </w:p>
        </w:tc>
        <w:tc>
          <w:tcPr>
            <w:tcW w:w="1559" w:type="dxa"/>
            <w:shd w:val="clear" w:color="auto" w:fill="auto"/>
            <w:vAlign w:val="bottom"/>
          </w:tcPr>
          <w:p w14:paraId="66F23889"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762DDAE2" w14:textId="77777777" w:rsidTr="00AE632A">
        <w:trPr>
          <w:cantSplit/>
          <w:jc w:val="center"/>
        </w:trPr>
        <w:tc>
          <w:tcPr>
            <w:tcW w:w="7650" w:type="dxa"/>
            <w:gridSpan w:val="5"/>
            <w:shd w:val="clear" w:color="auto" w:fill="auto"/>
            <w:vAlign w:val="bottom"/>
          </w:tcPr>
          <w:p w14:paraId="5B2D5BF6"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Hepatobiliary disorders</w:t>
            </w:r>
          </w:p>
        </w:tc>
      </w:tr>
      <w:tr w:rsidR="007F1B75" w:rsidRPr="007F1B75" w14:paraId="252A22A8" w14:textId="77777777" w:rsidTr="00A17A6E">
        <w:trPr>
          <w:cantSplit/>
          <w:jc w:val="center"/>
        </w:trPr>
        <w:tc>
          <w:tcPr>
            <w:tcW w:w="4104" w:type="dxa"/>
            <w:shd w:val="clear" w:color="auto" w:fill="auto"/>
            <w:vAlign w:val="center"/>
          </w:tcPr>
          <w:p w14:paraId="58330D3B"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Alanine aminotransferase increased*</w:t>
            </w:r>
          </w:p>
        </w:tc>
        <w:tc>
          <w:tcPr>
            <w:tcW w:w="992" w:type="dxa"/>
            <w:shd w:val="clear" w:color="auto" w:fill="auto"/>
            <w:vAlign w:val="bottom"/>
          </w:tcPr>
          <w:p w14:paraId="398F777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82.1</w:t>
            </w:r>
          </w:p>
        </w:tc>
        <w:tc>
          <w:tcPr>
            <w:tcW w:w="995" w:type="dxa"/>
            <w:gridSpan w:val="2"/>
            <w:shd w:val="clear" w:color="auto" w:fill="auto"/>
            <w:vAlign w:val="bottom"/>
          </w:tcPr>
          <w:p w14:paraId="4FE6BA5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12.9</w:t>
            </w:r>
          </w:p>
        </w:tc>
        <w:tc>
          <w:tcPr>
            <w:tcW w:w="1559" w:type="dxa"/>
            <w:shd w:val="clear" w:color="auto" w:fill="auto"/>
            <w:vAlign w:val="bottom"/>
          </w:tcPr>
          <w:p w14:paraId="6187789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4F1BA6DD" w14:textId="77777777" w:rsidTr="00A17A6E">
        <w:trPr>
          <w:cantSplit/>
          <w:jc w:val="center"/>
        </w:trPr>
        <w:tc>
          <w:tcPr>
            <w:tcW w:w="4104" w:type="dxa"/>
            <w:shd w:val="clear" w:color="auto" w:fill="auto"/>
            <w:vAlign w:val="center"/>
          </w:tcPr>
          <w:p w14:paraId="5C804CCA"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Aspartate aminotransferase increased*</w:t>
            </w:r>
          </w:p>
        </w:tc>
        <w:tc>
          <w:tcPr>
            <w:tcW w:w="992" w:type="dxa"/>
            <w:shd w:val="clear" w:color="auto" w:fill="auto"/>
            <w:vAlign w:val="bottom"/>
          </w:tcPr>
          <w:p w14:paraId="410EBF58"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80.6</w:t>
            </w:r>
          </w:p>
        </w:tc>
        <w:tc>
          <w:tcPr>
            <w:tcW w:w="995" w:type="dxa"/>
            <w:gridSpan w:val="2"/>
            <w:shd w:val="clear" w:color="auto" w:fill="auto"/>
            <w:vAlign w:val="bottom"/>
          </w:tcPr>
          <w:p w14:paraId="6DCF6443"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10.3</w:t>
            </w:r>
          </w:p>
        </w:tc>
        <w:tc>
          <w:tcPr>
            <w:tcW w:w="1559" w:type="dxa"/>
            <w:shd w:val="clear" w:color="auto" w:fill="auto"/>
            <w:vAlign w:val="bottom"/>
          </w:tcPr>
          <w:p w14:paraId="4846619D"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313384A1" w14:textId="77777777" w:rsidTr="00AE632A">
        <w:trPr>
          <w:cantSplit/>
          <w:jc w:val="center"/>
        </w:trPr>
        <w:tc>
          <w:tcPr>
            <w:tcW w:w="7650" w:type="dxa"/>
            <w:gridSpan w:val="5"/>
            <w:shd w:val="clear" w:color="auto" w:fill="auto"/>
            <w:vAlign w:val="bottom"/>
          </w:tcPr>
          <w:p w14:paraId="72DD5C86"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Musculoskeletal and connective tissue disorders</w:t>
            </w:r>
          </w:p>
        </w:tc>
      </w:tr>
      <w:tr w:rsidR="007F1B75" w:rsidRPr="007F1B75" w14:paraId="62E62712" w14:textId="77777777" w:rsidTr="00A17A6E">
        <w:trPr>
          <w:cantSplit/>
          <w:jc w:val="center"/>
        </w:trPr>
        <w:tc>
          <w:tcPr>
            <w:tcW w:w="4104" w:type="dxa"/>
            <w:shd w:val="clear" w:color="auto" w:fill="auto"/>
            <w:vAlign w:val="center"/>
          </w:tcPr>
          <w:p w14:paraId="2073E962"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 xml:space="preserve">Blood </w:t>
            </w:r>
            <w:proofErr w:type="spellStart"/>
            <w:r w:rsidRPr="007F1B75">
              <w:rPr>
                <w:rFonts w:eastAsia="Times New Roman" w:cs="Times New Roman"/>
                <w:sz w:val="20"/>
                <w:szCs w:val="20"/>
                <w:lang w:val="en-GB" w:eastAsia="ja-JP"/>
              </w:rPr>
              <w:t>creatine</w:t>
            </w:r>
            <w:proofErr w:type="spellEnd"/>
            <w:r w:rsidRPr="007F1B75">
              <w:rPr>
                <w:rFonts w:eastAsia="Times New Roman" w:cs="Times New Roman"/>
                <w:sz w:val="20"/>
                <w:szCs w:val="20"/>
                <w:lang w:val="en-GB" w:eastAsia="ja-JP"/>
              </w:rPr>
              <w:t xml:space="preserve"> phosphokinase increased*</w:t>
            </w:r>
          </w:p>
        </w:tc>
        <w:tc>
          <w:tcPr>
            <w:tcW w:w="992" w:type="dxa"/>
            <w:shd w:val="clear" w:color="auto" w:fill="auto"/>
            <w:vAlign w:val="bottom"/>
          </w:tcPr>
          <w:p w14:paraId="19CD26BA" w14:textId="52FB80A5" w:rsidR="007F1B75" w:rsidRPr="007F1B75" w:rsidRDefault="00A331AE" w:rsidP="00AE632A">
            <w:pPr>
              <w:tabs>
                <w:tab w:val="left" w:pos="567"/>
              </w:tabs>
              <w:spacing w:after="0" w:line="260" w:lineRule="exact"/>
              <w:jc w:val="center"/>
              <w:rPr>
                <w:rFonts w:eastAsia="Times New Roman" w:cs="Times New Roman"/>
                <w:sz w:val="20"/>
                <w:szCs w:val="20"/>
                <w:lang w:val="en-GB" w:eastAsia="ja-JP"/>
              </w:rPr>
            </w:pPr>
            <w:r>
              <w:rPr>
                <w:rFonts w:eastAsia="Times New Roman" w:cs="Times New Roman"/>
                <w:sz w:val="20"/>
                <w:szCs w:val="20"/>
                <w:lang w:val="en-GB" w:eastAsia="ja-JP"/>
              </w:rPr>
              <w:t>53.9</w:t>
            </w:r>
          </w:p>
        </w:tc>
        <w:tc>
          <w:tcPr>
            <w:tcW w:w="995" w:type="dxa"/>
            <w:gridSpan w:val="2"/>
            <w:shd w:val="clear" w:color="auto" w:fill="auto"/>
            <w:vAlign w:val="bottom"/>
          </w:tcPr>
          <w:p w14:paraId="6E53640A" w14:textId="6002582E" w:rsidR="007F1B75" w:rsidRPr="007F1B75" w:rsidRDefault="00A331AE" w:rsidP="00AE632A">
            <w:pPr>
              <w:tabs>
                <w:tab w:val="left" w:pos="567"/>
              </w:tabs>
              <w:spacing w:after="0" w:line="260" w:lineRule="exact"/>
              <w:jc w:val="center"/>
              <w:rPr>
                <w:rFonts w:eastAsia="Times New Roman" w:cs="Times New Roman"/>
                <w:sz w:val="20"/>
                <w:szCs w:val="20"/>
                <w:lang w:val="en-GB" w:eastAsia="ja-JP"/>
              </w:rPr>
            </w:pPr>
            <w:r w:rsidRPr="00691DEB">
              <w:rPr>
                <w:rFonts w:eastAsia="Times New Roman" w:cs="Times New Roman"/>
                <w:sz w:val="20"/>
                <w:szCs w:val="20"/>
                <w:lang w:val="en-GB" w:eastAsia="ja-JP"/>
              </w:rPr>
              <w:t>6.3</w:t>
            </w:r>
          </w:p>
        </w:tc>
        <w:tc>
          <w:tcPr>
            <w:tcW w:w="1559" w:type="dxa"/>
            <w:shd w:val="clear" w:color="auto" w:fill="auto"/>
            <w:vAlign w:val="bottom"/>
          </w:tcPr>
          <w:p w14:paraId="1031D5DD"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5EF96220" w14:textId="77777777" w:rsidTr="00A17A6E">
        <w:trPr>
          <w:cantSplit/>
          <w:jc w:val="center"/>
        </w:trPr>
        <w:tc>
          <w:tcPr>
            <w:tcW w:w="4104" w:type="dxa"/>
            <w:shd w:val="clear" w:color="auto" w:fill="auto"/>
            <w:vAlign w:val="center"/>
          </w:tcPr>
          <w:p w14:paraId="3275C8B0"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lastRenderedPageBreak/>
              <w:t>Blood alkaline phosphatase increased*</w:t>
            </w:r>
          </w:p>
        </w:tc>
        <w:tc>
          <w:tcPr>
            <w:tcW w:w="992" w:type="dxa"/>
            <w:shd w:val="clear" w:color="auto" w:fill="auto"/>
            <w:vAlign w:val="bottom"/>
          </w:tcPr>
          <w:p w14:paraId="6BA0D809"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68.7</w:t>
            </w:r>
          </w:p>
        </w:tc>
        <w:tc>
          <w:tcPr>
            <w:tcW w:w="995" w:type="dxa"/>
            <w:gridSpan w:val="2"/>
            <w:shd w:val="clear" w:color="auto" w:fill="auto"/>
            <w:vAlign w:val="bottom"/>
          </w:tcPr>
          <w:p w14:paraId="148CB1C8"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1.6</w:t>
            </w:r>
          </w:p>
        </w:tc>
        <w:tc>
          <w:tcPr>
            <w:tcW w:w="1559" w:type="dxa"/>
            <w:shd w:val="clear" w:color="auto" w:fill="auto"/>
            <w:vAlign w:val="bottom"/>
          </w:tcPr>
          <w:p w14:paraId="748CF755"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21FCA799" w14:textId="77777777" w:rsidTr="00A17A6E">
        <w:trPr>
          <w:cantSplit/>
          <w:jc w:val="center"/>
        </w:trPr>
        <w:tc>
          <w:tcPr>
            <w:tcW w:w="4104" w:type="dxa"/>
            <w:shd w:val="clear" w:color="auto" w:fill="auto"/>
            <w:vAlign w:val="center"/>
          </w:tcPr>
          <w:p w14:paraId="20365558"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Pain in extremity</w:t>
            </w:r>
          </w:p>
        </w:tc>
        <w:tc>
          <w:tcPr>
            <w:tcW w:w="992" w:type="dxa"/>
            <w:shd w:val="clear" w:color="auto" w:fill="auto"/>
            <w:vAlign w:val="bottom"/>
          </w:tcPr>
          <w:p w14:paraId="5F74E423"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14.7</w:t>
            </w:r>
          </w:p>
        </w:tc>
        <w:tc>
          <w:tcPr>
            <w:tcW w:w="995" w:type="dxa"/>
            <w:gridSpan w:val="2"/>
            <w:shd w:val="clear" w:color="auto" w:fill="auto"/>
            <w:vAlign w:val="bottom"/>
          </w:tcPr>
          <w:p w14:paraId="22610462"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0.6</w:t>
            </w:r>
          </w:p>
        </w:tc>
        <w:tc>
          <w:tcPr>
            <w:tcW w:w="1559" w:type="dxa"/>
            <w:shd w:val="clear" w:color="auto" w:fill="auto"/>
            <w:vAlign w:val="bottom"/>
          </w:tcPr>
          <w:p w14:paraId="7EF1EC21"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3A89DFC1" w14:textId="77777777" w:rsidTr="00A17A6E">
        <w:trPr>
          <w:cantSplit/>
          <w:jc w:val="center"/>
        </w:trPr>
        <w:tc>
          <w:tcPr>
            <w:tcW w:w="4104" w:type="dxa"/>
            <w:shd w:val="clear" w:color="auto" w:fill="auto"/>
            <w:vAlign w:val="center"/>
          </w:tcPr>
          <w:p w14:paraId="74B66AED"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Arthralgia</w:t>
            </w:r>
          </w:p>
        </w:tc>
        <w:tc>
          <w:tcPr>
            <w:tcW w:w="992" w:type="dxa"/>
            <w:shd w:val="clear" w:color="auto" w:fill="auto"/>
            <w:vAlign w:val="bottom"/>
          </w:tcPr>
          <w:p w14:paraId="1530F7D7"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12.5</w:t>
            </w:r>
          </w:p>
        </w:tc>
        <w:tc>
          <w:tcPr>
            <w:tcW w:w="995" w:type="dxa"/>
            <w:gridSpan w:val="2"/>
            <w:shd w:val="clear" w:color="auto" w:fill="auto"/>
            <w:vAlign w:val="bottom"/>
          </w:tcPr>
          <w:p w14:paraId="12A0C2C2"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1.3</w:t>
            </w:r>
          </w:p>
        </w:tc>
        <w:tc>
          <w:tcPr>
            <w:tcW w:w="1559" w:type="dxa"/>
            <w:shd w:val="clear" w:color="auto" w:fill="auto"/>
            <w:vAlign w:val="bottom"/>
          </w:tcPr>
          <w:p w14:paraId="3C5C432D"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5B0BCDCA" w14:textId="77777777" w:rsidTr="00A17A6E">
        <w:trPr>
          <w:cantSplit/>
          <w:jc w:val="center"/>
        </w:trPr>
        <w:tc>
          <w:tcPr>
            <w:tcW w:w="4104" w:type="dxa"/>
            <w:shd w:val="clear" w:color="auto" w:fill="auto"/>
            <w:vAlign w:val="center"/>
          </w:tcPr>
          <w:p w14:paraId="5659B0C0"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Myalgia</w:t>
            </w:r>
          </w:p>
        </w:tc>
        <w:tc>
          <w:tcPr>
            <w:tcW w:w="992" w:type="dxa"/>
            <w:shd w:val="clear" w:color="auto" w:fill="auto"/>
            <w:vAlign w:val="bottom"/>
          </w:tcPr>
          <w:p w14:paraId="49DE941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12.5</w:t>
            </w:r>
          </w:p>
        </w:tc>
        <w:tc>
          <w:tcPr>
            <w:tcW w:w="995" w:type="dxa"/>
            <w:gridSpan w:val="2"/>
            <w:shd w:val="clear" w:color="auto" w:fill="auto"/>
            <w:vAlign w:val="bottom"/>
          </w:tcPr>
          <w:p w14:paraId="7AE3DDC4"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0.3</w:t>
            </w:r>
          </w:p>
        </w:tc>
        <w:tc>
          <w:tcPr>
            <w:tcW w:w="1559" w:type="dxa"/>
            <w:shd w:val="clear" w:color="auto" w:fill="auto"/>
            <w:vAlign w:val="bottom"/>
          </w:tcPr>
          <w:p w14:paraId="12BF96E0"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4D1C030F" w14:textId="77777777" w:rsidTr="00A17A6E">
        <w:trPr>
          <w:cantSplit/>
          <w:jc w:val="center"/>
        </w:trPr>
        <w:tc>
          <w:tcPr>
            <w:tcW w:w="4104" w:type="dxa"/>
            <w:shd w:val="clear" w:color="auto" w:fill="auto"/>
            <w:vAlign w:val="center"/>
          </w:tcPr>
          <w:p w14:paraId="6EE2A3FC"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Musculoskeletal pain</w:t>
            </w:r>
          </w:p>
        </w:tc>
        <w:tc>
          <w:tcPr>
            <w:tcW w:w="992" w:type="dxa"/>
            <w:shd w:val="clear" w:color="auto" w:fill="auto"/>
            <w:vAlign w:val="bottom"/>
          </w:tcPr>
          <w:p w14:paraId="07B9E014"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4.1</w:t>
            </w:r>
          </w:p>
        </w:tc>
        <w:tc>
          <w:tcPr>
            <w:tcW w:w="995" w:type="dxa"/>
            <w:gridSpan w:val="2"/>
            <w:shd w:val="clear" w:color="auto" w:fill="auto"/>
            <w:vAlign w:val="bottom"/>
          </w:tcPr>
          <w:p w14:paraId="00D6178A"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0.3</w:t>
            </w:r>
          </w:p>
        </w:tc>
        <w:tc>
          <w:tcPr>
            <w:tcW w:w="1559" w:type="dxa"/>
            <w:shd w:val="clear" w:color="auto" w:fill="auto"/>
            <w:vAlign w:val="bottom"/>
          </w:tcPr>
          <w:p w14:paraId="3051CC6B"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r w:rsidR="00A17A6E" w:rsidRPr="00A17A6E" w14:paraId="220AA6E7" w14:textId="77777777" w:rsidTr="000E5E59">
        <w:trPr>
          <w:cantSplit/>
          <w:jc w:val="center"/>
        </w:trPr>
        <w:tc>
          <w:tcPr>
            <w:tcW w:w="7650" w:type="dxa"/>
            <w:gridSpan w:val="5"/>
            <w:shd w:val="clear" w:color="auto" w:fill="auto"/>
            <w:vAlign w:val="center"/>
          </w:tcPr>
          <w:p w14:paraId="4E07F339" w14:textId="7AC4B3D8" w:rsidR="00A17A6E" w:rsidRPr="00A17A6E" w:rsidRDefault="00A17A6E" w:rsidP="00A17A6E">
            <w:pPr>
              <w:tabs>
                <w:tab w:val="left" w:pos="567"/>
              </w:tabs>
              <w:spacing w:after="0" w:line="260" w:lineRule="exact"/>
              <w:rPr>
                <w:rFonts w:eastAsia="Times New Roman" w:cs="Times New Roman"/>
                <w:b/>
                <w:bCs/>
                <w:sz w:val="20"/>
                <w:szCs w:val="20"/>
                <w:lang w:val="en-GB" w:eastAsia="ja-JP"/>
              </w:rPr>
            </w:pPr>
            <w:r w:rsidRPr="00A17A6E">
              <w:rPr>
                <w:rFonts w:eastAsia="Times New Roman" w:cs="Times New Roman"/>
                <w:b/>
                <w:bCs/>
                <w:sz w:val="20"/>
                <w:szCs w:val="20"/>
                <w:lang w:val="en-GB" w:eastAsia="ja-JP"/>
              </w:rPr>
              <w:t>Renal and urinary disorders</w:t>
            </w:r>
          </w:p>
        </w:tc>
      </w:tr>
      <w:tr w:rsidR="00A17A6E" w:rsidRPr="007F1B75" w14:paraId="2A258CF7" w14:textId="77777777" w:rsidTr="00A17A6E">
        <w:trPr>
          <w:cantSplit/>
          <w:jc w:val="center"/>
        </w:trPr>
        <w:tc>
          <w:tcPr>
            <w:tcW w:w="4104" w:type="dxa"/>
            <w:shd w:val="clear" w:color="auto" w:fill="auto"/>
            <w:vAlign w:val="center"/>
          </w:tcPr>
          <w:p w14:paraId="44BD0E3D" w14:textId="71728E3E" w:rsidR="00A17A6E" w:rsidRPr="007F1B75" w:rsidRDefault="00A17A6E" w:rsidP="00AE632A">
            <w:pPr>
              <w:tabs>
                <w:tab w:val="left" w:pos="567"/>
              </w:tabs>
              <w:spacing w:after="0" w:line="260" w:lineRule="exact"/>
              <w:rPr>
                <w:rFonts w:eastAsia="Times New Roman" w:cs="Times New Roman"/>
                <w:sz w:val="20"/>
                <w:szCs w:val="20"/>
                <w:lang w:val="en-GB" w:eastAsia="ja-JP"/>
              </w:rPr>
            </w:pPr>
            <w:r>
              <w:rPr>
                <w:rFonts w:eastAsia="Times New Roman" w:cs="Times New Roman"/>
                <w:sz w:val="20"/>
                <w:szCs w:val="20"/>
                <w:lang w:val="en-GB" w:eastAsia="ja-JP"/>
              </w:rPr>
              <w:t>Acute kidney injury</w:t>
            </w:r>
          </w:p>
        </w:tc>
        <w:tc>
          <w:tcPr>
            <w:tcW w:w="992" w:type="dxa"/>
            <w:shd w:val="clear" w:color="auto" w:fill="auto"/>
            <w:vAlign w:val="bottom"/>
          </w:tcPr>
          <w:p w14:paraId="23D81307" w14:textId="370582D4" w:rsidR="00A17A6E" w:rsidRPr="007F1B75" w:rsidRDefault="00A17A6E" w:rsidP="00AE632A">
            <w:pPr>
              <w:tabs>
                <w:tab w:val="left" w:pos="567"/>
              </w:tabs>
              <w:spacing w:after="0" w:line="260" w:lineRule="exact"/>
              <w:jc w:val="center"/>
              <w:rPr>
                <w:rFonts w:eastAsia="Times New Roman" w:cs="Times New Roman"/>
                <w:sz w:val="20"/>
                <w:szCs w:val="20"/>
                <w:lang w:val="en-GB" w:eastAsia="ja-JP"/>
              </w:rPr>
            </w:pPr>
            <w:r>
              <w:rPr>
                <w:rFonts w:eastAsia="Times New Roman" w:cs="Times New Roman"/>
                <w:sz w:val="20"/>
                <w:szCs w:val="20"/>
                <w:lang w:val="en-GB" w:eastAsia="ja-JP"/>
              </w:rPr>
              <w:t>6.6</w:t>
            </w:r>
          </w:p>
        </w:tc>
        <w:tc>
          <w:tcPr>
            <w:tcW w:w="995" w:type="dxa"/>
            <w:gridSpan w:val="2"/>
            <w:shd w:val="clear" w:color="auto" w:fill="auto"/>
            <w:vAlign w:val="bottom"/>
          </w:tcPr>
          <w:p w14:paraId="335EB75B" w14:textId="723D839E" w:rsidR="00A17A6E" w:rsidRPr="00691DEB" w:rsidRDefault="00A17A6E" w:rsidP="00AE632A">
            <w:pPr>
              <w:tabs>
                <w:tab w:val="left" w:pos="567"/>
              </w:tabs>
              <w:spacing w:after="0" w:line="260" w:lineRule="exact"/>
              <w:jc w:val="center"/>
              <w:rPr>
                <w:rFonts w:eastAsia="Times New Roman" w:cs="Times New Roman"/>
                <w:sz w:val="20"/>
                <w:szCs w:val="20"/>
                <w:highlight w:val="yellow"/>
                <w:lang w:val="en-GB" w:eastAsia="ja-JP"/>
              </w:rPr>
            </w:pPr>
            <w:r w:rsidRPr="003E36CA">
              <w:rPr>
                <w:rFonts w:eastAsia="Times New Roman" w:cs="Times New Roman"/>
                <w:sz w:val="20"/>
                <w:szCs w:val="20"/>
                <w:lang w:val="en-GB" w:eastAsia="ja-JP"/>
              </w:rPr>
              <w:t>2.2</w:t>
            </w:r>
          </w:p>
        </w:tc>
        <w:tc>
          <w:tcPr>
            <w:tcW w:w="1559" w:type="dxa"/>
            <w:shd w:val="clear" w:color="auto" w:fill="auto"/>
            <w:vAlign w:val="bottom"/>
          </w:tcPr>
          <w:p w14:paraId="53ACE04B" w14:textId="0B01C9DB" w:rsidR="00A17A6E" w:rsidRPr="007F1B75" w:rsidRDefault="00A17A6E" w:rsidP="00AE632A">
            <w:pPr>
              <w:tabs>
                <w:tab w:val="left" w:pos="567"/>
              </w:tabs>
              <w:spacing w:after="0" w:line="260" w:lineRule="exact"/>
              <w:jc w:val="center"/>
              <w:rPr>
                <w:rFonts w:eastAsia="Times New Roman" w:cs="Times New Roman"/>
                <w:sz w:val="20"/>
                <w:szCs w:val="20"/>
                <w:lang w:val="en-GB" w:eastAsia="ja-JP"/>
              </w:rPr>
            </w:pPr>
            <w:r>
              <w:rPr>
                <w:rFonts w:eastAsia="Times New Roman" w:cs="Times New Roman"/>
                <w:sz w:val="20"/>
                <w:szCs w:val="20"/>
                <w:lang w:val="en-GB" w:eastAsia="ja-JP"/>
              </w:rPr>
              <w:t>Common</w:t>
            </w:r>
          </w:p>
        </w:tc>
      </w:tr>
      <w:tr w:rsidR="007F1B75" w:rsidRPr="007F1B75" w14:paraId="2153218B" w14:textId="77777777" w:rsidTr="00AE632A">
        <w:trPr>
          <w:cantSplit/>
          <w:jc w:val="center"/>
        </w:trPr>
        <w:tc>
          <w:tcPr>
            <w:tcW w:w="7650" w:type="dxa"/>
            <w:gridSpan w:val="5"/>
            <w:shd w:val="clear" w:color="auto" w:fill="auto"/>
            <w:vAlign w:val="bottom"/>
          </w:tcPr>
          <w:p w14:paraId="46AE21CA"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b/>
                <w:sz w:val="20"/>
                <w:szCs w:val="20"/>
                <w:lang w:val="en-GB"/>
              </w:rPr>
              <w:t>General disorders and administration site conditions</w:t>
            </w:r>
          </w:p>
        </w:tc>
      </w:tr>
      <w:tr w:rsidR="007F1B75" w:rsidRPr="007F1B75" w14:paraId="7C218021" w14:textId="77777777" w:rsidTr="00A17A6E">
        <w:trPr>
          <w:cantSplit/>
          <w:jc w:val="center"/>
        </w:trPr>
        <w:tc>
          <w:tcPr>
            <w:tcW w:w="4104" w:type="dxa"/>
            <w:shd w:val="clear" w:color="auto" w:fill="auto"/>
          </w:tcPr>
          <w:p w14:paraId="0D3A9F33"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Fatigue</w:t>
            </w:r>
          </w:p>
        </w:tc>
        <w:tc>
          <w:tcPr>
            <w:tcW w:w="992" w:type="dxa"/>
            <w:shd w:val="clear" w:color="auto" w:fill="auto"/>
            <w:vAlign w:val="center"/>
          </w:tcPr>
          <w:p w14:paraId="1CFA28DE"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30.4</w:t>
            </w:r>
          </w:p>
        </w:tc>
        <w:tc>
          <w:tcPr>
            <w:tcW w:w="995" w:type="dxa"/>
            <w:gridSpan w:val="2"/>
            <w:shd w:val="clear" w:color="auto" w:fill="auto"/>
          </w:tcPr>
          <w:p w14:paraId="43FE8F1C"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3.1</w:t>
            </w:r>
          </w:p>
        </w:tc>
        <w:tc>
          <w:tcPr>
            <w:tcW w:w="1559" w:type="dxa"/>
            <w:shd w:val="clear" w:color="auto" w:fill="auto"/>
          </w:tcPr>
          <w:p w14:paraId="17C5036F"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4B99A8BA" w14:textId="77777777" w:rsidTr="00A17A6E">
        <w:trPr>
          <w:cantSplit/>
          <w:jc w:val="center"/>
        </w:trPr>
        <w:tc>
          <w:tcPr>
            <w:tcW w:w="4104" w:type="dxa"/>
            <w:shd w:val="clear" w:color="auto" w:fill="auto"/>
            <w:vAlign w:val="center"/>
          </w:tcPr>
          <w:p w14:paraId="2C3D64C8"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Peripheral oedema</w:t>
            </w:r>
          </w:p>
        </w:tc>
        <w:tc>
          <w:tcPr>
            <w:tcW w:w="992" w:type="dxa"/>
            <w:shd w:val="clear" w:color="auto" w:fill="auto"/>
            <w:vAlign w:val="center"/>
          </w:tcPr>
          <w:p w14:paraId="4A500A9F"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24.1</w:t>
            </w:r>
          </w:p>
        </w:tc>
        <w:tc>
          <w:tcPr>
            <w:tcW w:w="995" w:type="dxa"/>
            <w:gridSpan w:val="2"/>
            <w:shd w:val="clear" w:color="auto" w:fill="auto"/>
          </w:tcPr>
          <w:p w14:paraId="7BB457EA"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0.3</w:t>
            </w:r>
          </w:p>
        </w:tc>
        <w:tc>
          <w:tcPr>
            <w:tcW w:w="1559" w:type="dxa"/>
            <w:shd w:val="clear" w:color="auto" w:fill="auto"/>
          </w:tcPr>
          <w:p w14:paraId="509DAA43"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6F7D7868" w14:textId="77777777" w:rsidTr="00A17A6E">
        <w:trPr>
          <w:cantSplit/>
          <w:jc w:val="center"/>
        </w:trPr>
        <w:tc>
          <w:tcPr>
            <w:tcW w:w="4104" w:type="dxa"/>
            <w:shd w:val="clear" w:color="auto" w:fill="auto"/>
            <w:vAlign w:val="center"/>
          </w:tcPr>
          <w:p w14:paraId="60EABFFC"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Asthenia</w:t>
            </w:r>
          </w:p>
        </w:tc>
        <w:tc>
          <w:tcPr>
            <w:tcW w:w="992" w:type="dxa"/>
            <w:shd w:val="clear" w:color="auto" w:fill="auto"/>
            <w:vAlign w:val="center"/>
          </w:tcPr>
          <w:p w14:paraId="28D40D46"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13.8</w:t>
            </w:r>
          </w:p>
        </w:tc>
        <w:tc>
          <w:tcPr>
            <w:tcW w:w="995" w:type="dxa"/>
            <w:gridSpan w:val="2"/>
            <w:shd w:val="clear" w:color="auto" w:fill="auto"/>
            <w:vAlign w:val="center"/>
          </w:tcPr>
          <w:p w14:paraId="6A0E1164"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2.5</w:t>
            </w:r>
          </w:p>
        </w:tc>
        <w:tc>
          <w:tcPr>
            <w:tcW w:w="1559" w:type="dxa"/>
            <w:shd w:val="clear" w:color="auto" w:fill="auto"/>
          </w:tcPr>
          <w:p w14:paraId="38BE16CD"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Very common</w:t>
            </w:r>
          </w:p>
        </w:tc>
      </w:tr>
      <w:tr w:rsidR="007F1B75" w:rsidRPr="007F1B75" w14:paraId="7CD4401D" w14:textId="77777777" w:rsidTr="00A17A6E">
        <w:trPr>
          <w:cantSplit/>
          <w:jc w:val="center"/>
        </w:trPr>
        <w:tc>
          <w:tcPr>
            <w:tcW w:w="4104" w:type="dxa"/>
            <w:shd w:val="clear" w:color="auto" w:fill="auto"/>
            <w:vAlign w:val="center"/>
          </w:tcPr>
          <w:p w14:paraId="3B8127FD" w14:textId="77777777" w:rsidR="007F1B75" w:rsidRPr="007F1B75" w:rsidRDefault="007F1B75" w:rsidP="00AE632A">
            <w:pPr>
              <w:tabs>
                <w:tab w:val="left" w:pos="567"/>
              </w:tabs>
              <w:spacing w:after="0" w:line="260" w:lineRule="exact"/>
              <w:rPr>
                <w:rFonts w:eastAsia="Times New Roman" w:cs="Times New Roman"/>
                <w:sz w:val="20"/>
                <w:szCs w:val="20"/>
                <w:lang w:val="en-GB" w:eastAsia="ja-JP"/>
              </w:rPr>
            </w:pPr>
            <w:r w:rsidRPr="007F1B75">
              <w:rPr>
                <w:rFonts w:eastAsia="Times New Roman" w:cs="Times New Roman"/>
                <w:sz w:val="20"/>
                <w:szCs w:val="20"/>
                <w:lang w:val="en-GB" w:eastAsia="ja-JP"/>
              </w:rPr>
              <w:t>Malaise</w:t>
            </w:r>
          </w:p>
        </w:tc>
        <w:tc>
          <w:tcPr>
            <w:tcW w:w="992" w:type="dxa"/>
            <w:shd w:val="clear" w:color="auto" w:fill="auto"/>
            <w:vAlign w:val="center"/>
          </w:tcPr>
          <w:p w14:paraId="64E7F8A3"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4.4</w:t>
            </w:r>
          </w:p>
        </w:tc>
        <w:tc>
          <w:tcPr>
            <w:tcW w:w="995" w:type="dxa"/>
            <w:gridSpan w:val="2"/>
            <w:shd w:val="clear" w:color="auto" w:fill="auto"/>
            <w:vAlign w:val="center"/>
          </w:tcPr>
          <w:p w14:paraId="323A7C5A"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0</w:t>
            </w:r>
          </w:p>
        </w:tc>
        <w:tc>
          <w:tcPr>
            <w:tcW w:w="1559" w:type="dxa"/>
            <w:shd w:val="clear" w:color="auto" w:fill="auto"/>
          </w:tcPr>
          <w:p w14:paraId="08C15B32" w14:textId="77777777" w:rsidR="007F1B75" w:rsidRPr="007F1B75" w:rsidRDefault="007F1B75" w:rsidP="00AE632A">
            <w:pPr>
              <w:tabs>
                <w:tab w:val="left" w:pos="567"/>
              </w:tabs>
              <w:spacing w:after="0" w:line="260" w:lineRule="exact"/>
              <w:jc w:val="center"/>
              <w:rPr>
                <w:rFonts w:eastAsia="Times New Roman" w:cs="Times New Roman"/>
                <w:sz w:val="20"/>
                <w:szCs w:val="20"/>
                <w:lang w:val="en-GB" w:eastAsia="ja-JP"/>
              </w:rPr>
            </w:pPr>
            <w:r w:rsidRPr="007F1B75">
              <w:rPr>
                <w:rFonts w:eastAsia="Times New Roman" w:cs="Times New Roman"/>
                <w:sz w:val="20"/>
                <w:szCs w:val="20"/>
                <w:lang w:val="en-GB" w:eastAsia="ja-JP"/>
              </w:rPr>
              <w:t>Common</w:t>
            </w:r>
          </w:p>
        </w:tc>
      </w:tr>
    </w:tbl>
    <w:p w14:paraId="6E323BF6" w14:textId="53E923A3" w:rsidR="007F1B75" w:rsidRPr="007F1B75" w:rsidRDefault="007F1B75" w:rsidP="007F1B75">
      <w:r>
        <w:tab/>
      </w:r>
      <w:r w:rsidRPr="00472F07">
        <w:rPr>
          <w:sz w:val="20"/>
          <w:szCs w:val="20"/>
          <w:lang w:val="en-US"/>
        </w:rPr>
        <w:t xml:space="preserve">* Frequency </w:t>
      </w:r>
      <w:proofErr w:type="gramStart"/>
      <w:r w:rsidRPr="00472F07">
        <w:rPr>
          <w:sz w:val="20"/>
          <w:szCs w:val="20"/>
          <w:lang w:val="en-US"/>
        </w:rPr>
        <w:t>is based</w:t>
      </w:r>
      <w:proofErr w:type="gramEnd"/>
      <w:r w:rsidRPr="00472F07">
        <w:rPr>
          <w:sz w:val="20"/>
          <w:szCs w:val="20"/>
          <w:lang w:val="en-US"/>
        </w:rPr>
        <w:t xml:space="preserve"> on central laboratory values.</w:t>
      </w:r>
    </w:p>
    <w:p w14:paraId="239D39D9" w14:textId="278716F9" w:rsidR="001A7BD3" w:rsidRPr="00995E0C" w:rsidRDefault="001A7BD3" w:rsidP="001A7BD3">
      <w:pPr>
        <w:rPr>
          <w:u w:val="single"/>
        </w:rPr>
      </w:pPr>
      <w:r w:rsidRPr="00995E0C">
        <w:rPr>
          <w:u w:val="single"/>
        </w:rPr>
        <w:t>Description of selected adverse reactions</w:t>
      </w:r>
    </w:p>
    <w:p w14:paraId="61C10A4E" w14:textId="77777777" w:rsidR="001A7BD3" w:rsidRPr="00995E0C" w:rsidRDefault="001A7BD3" w:rsidP="00995E0C">
      <w:pPr>
        <w:spacing w:after="0"/>
        <w:rPr>
          <w:i/>
          <w:iCs/>
        </w:rPr>
      </w:pPr>
      <w:r w:rsidRPr="00995E0C">
        <w:rPr>
          <w:i/>
          <w:iCs/>
        </w:rPr>
        <w:t>Differentiation syndrome</w:t>
      </w:r>
    </w:p>
    <w:p w14:paraId="45B52F52" w14:textId="2B00566D" w:rsidR="001A7BD3" w:rsidRDefault="001A7BD3" w:rsidP="001A7BD3">
      <w:r>
        <w:t xml:space="preserve">Of 319 patients treated with </w:t>
      </w:r>
      <w:r w:rsidR="00995E0C">
        <w:t>XOSPATA</w:t>
      </w:r>
      <w:r>
        <w:t xml:space="preserve"> in the clinical trials, 11 (3%) experienced differentiation syndrome. Differentiation syndrome is associated with rapid proliferation and differentiation of myeloid cells and may be </w:t>
      </w:r>
      <w:proofErr w:type="gramStart"/>
      <w:r>
        <w:t>life-threatening</w:t>
      </w:r>
      <w:proofErr w:type="gramEnd"/>
      <w:r>
        <w:t xml:space="preserve"> or fatal if not treated. Symptoms of differentiation syndrome in patients treated with </w:t>
      </w:r>
      <w:r w:rsidR="00995E0C">
        <w:t>XOSPATA</w:t>
      </w:r>
      <w:r>
        <w:t xml:space="preserve"> included fever, dyspnoea, pleural effusion, pericardial effusion, pulmonary oedema, hypotension, rapid weight gain, peripheral oedema, rash, and renal dysfunction. Some cases had concomitant acute febrile neutrophilic dermatosis. Differentiation syndrome occurred as early as </w:t>
      </w:r>
      <w:r w:rsidR="00691DEB">
        <w:t xml:space="preserve">one </w:t>
      </w:r>
      <w:proofErr w:type="gramStart"/>
      <w:r>
        <w:t xml:space="preserve">day and up to </w:t>
      </w:r>
      <w:r w:rsidR="00691DEB">
        <w:t>82</w:t>
      </w:r>
      <w:r>
        <w:t xml:space="preserve"> days after </w:t>
      </w:r>
      <w:r w:rsidR="00995E0C">
        <w:t>XOSPATA</w:t>
      </w:r>
      <w:r>
        <w:t xml:space="preserve"> initiation</w:t>
      </w:r>
      <w:proofErr w:type="gramEnd"/>
      <w:r>
        <w:t xml:space="preserve"> and has been observed with or without concomitant </w:t>
      </w:r>
      <w:proofErr w:type="spellStart"/>
      <w:r>
        <w:t>leukocytosis</w:t>
      </w:r>
      <w:proofErr w:type="spellEnd"/>
      <w:r>
        <w:t xml:space="preserve">. Of the 11 patients who experienced differentiation syndrome, 9 (82%) recovered after treatment or after dose interruption of </w:t>
      </w:r>
      <w:r w:rsidR="00995E0C">
        <w:t>XOSPATA</w:t>
      </w:r>
      <w:r>
        <w:t xml:space="preserve">. For recommendations in case of suspected differentiation </w:t>
      </w:r>
      <w:proofErr w:type="gramStart"/>
      <w:r>
        <w:t>syndrome</w:t>
      </w:r>
      <w:proofErr w:type="gramEnd"/>
      <w:r>
        <w:t xml:space="preserve"> see sections 4.2 </w:t>
      </w:r>
      <w:r w:rsidR="000E0E39">
        <w:rPr>
          <w:lang w:val="en-GB"/>
        </w:rPr>
        <w:fldChar w:fldCharType="begin"/>
      </w:r>
      <w:r w:rsidR="000E0E39">
        <w:rPr>
          <w:lang w:val="en-GB"/>
        </w:rPr>
        <w:instrText xml:space="preserve"> REF _Ref1551521 \h </w:instrText>
      </w:r>
      <w:r w:rsidR="000E0E39">
        <w:rPr>
          <w:lang w:val="en-GB"/>
        </w:rPr>
      </w:r>
      <w:r w:rsidR="000E0E39">
        <w:rPr>
          <w:lang w:val="en-GB"/>
        </w:rPr>
        <w:fldChar w:fldCharType="separate"/>
      </w:r>
      <w:r w:rsidR="000E0E39">
        <w:t>Dose and method of administration</w:t>
      </w:r>
      <w:r w:rsidR="000E0E39">
        <w:rPr>
          <w:lang w:val="en-GB"/>
        </w:rPr>
        <w:fldChar w:fldCharType="end"/>
      </w:r>
      <w:r w:rsidR="000E0E39">
        <w:rPr>
          <w:lang w:val="en-GB"/>
        </w:rPr>
        <w:t xml:space="preserve"> </w:t>
      </w:r>
      <w:r>
        <w:t>and 4.4</w:t>
      </w:r>
      <w:r w:rsidR="000E0E39">
        <w:t xml:space="preserve"> </w:t>
      </w:r>
      <w:r w:rsidR="000E0E39">
        <w:rPr>
          <w:noProof/>
          <w:lang w:val="en"/>
        </w:rPr>
        <w:t>S</w:t>
      </w:r>
      <w:r w:rsidR="000E0E39" w:rsidRPr="00842200">
        <w:rPr>
          <w:noProof/>
          <w:lang w:val="en"/>
        </w:rPr>
        <w:t>pecial warnings and precautions for use</w:t>
      </w:r>
      <w:r>
        <w:t>.</w:t>
      </w:r>
    </w:p>
    <w:p w14:paraId="40D1D49D" w14:textId="47635A94" w:rsidR="001A7BD3" w:rsidRPr="00995E0C" w:rsidRDefault="001A7BD3" w:rsidP="00995E0C">
      <w:pPr>
        <w:spacing w:after="0"/>
        <w:rPr>
          <w:i/>
          <w:iCs/>
        </w:rPr>
      </w:pPr>
      <w:r w:rsidRPr="00995E0C">
        <w:rPr>
          <w:i/>
          <w:iCs/>
        </w:rPr>
        <w:t>PRES</w:t>
      </w:r>
    </w:p>
    <w:p w14:paraId="4CD668FF" w14:textId="55717F2C" w:rsidR="001A7BD3" w:rsidRDefault="001A7BD3" w:rsidP="001A7BD3">
      <w:r>
        <w:t xml:space="preserve">Of the 319 patients treated with </w:t>
      </w:r>
      <w:r w:rsidR="00995E0C">
        <w:t>XOSPATA</w:t>
      </w:r>
      <w:r>
        <w:t xml:space="preserve"> in the clinical trials, 0.6% experienced posterior reversible encephalopathy syndrome (PRES). PRES is a rare, reversible, neurological disorder, which can present with rapidly evolving symptoms including seizure, headache, </w:t>
      </w:r>
      <w:proofErr w:type="gramStart"/>
      <w:r>
        <w:t>confusion</w:t>
      </w:r>
      <w:proofErr w:type="gramEnd"/>
      <w:r>
        <w:t>, visual and neurological disturbances, with or without associated hypertension. Symptoms have resolved after discontinuation of treatment (see sections 4.2</w:t>
      </w:r>
      <w:r w:rsidR="000E0E39">
        <w:t xml:space="preserve"> </w:t>
      </w:r>
      <w:r w:rsidR="000E0E39">
        <w:rPr>
          <w:lang w:val="en-GB"/>
        </w:rPr>
        <w:fldChar w:fldCharType="begin"/>
      </w:r>
      <w:r w:rsidR="000E0E39">
        <w:rPr>
          <w:lang w:val="en-GB"/>
        </w:rPr>
        <w:instrText xml:space="preserve"> REF _Ref1551521 \h </w:instrText>
      </w:r>
      <w:r w:rsidR="000E0E39">
        <w:rPr>
          <w:lang w:val="en-GB"/>
        </w:rPr>
      </w:r>
      <w:r w:rsidR="000E0E39">
        <w:rPr>
          <w:lang w:val="en-GB"/>
        </w:rPr>
        <w:fldChar w:fldCharType="separate"/>
      </w:r>
      <w:proofErr w:type="gramStart"/>
      <w:r w:rsidR="000E0E39">
        <w:t>Dose and method of administration</w:t>
      </w:r>
      <w:r w:rsidR="000E0E39">
        <w:rPr>
          <w:lang w:val="en-GB"/>
        </w:rPr>
        <w:fldChar w:fldCharType="end"/>
      </w:r>
      <w:r>
        <w:t xml:space="preserve"> and 4.4</w:t>
      </w:r>
      <w:r w:rsidR="000E0E39">
        <w:t xml:space="preserve"> </w:t>
      </w:r>
      <w:r w:rsidR="000E0E39">
        <w:rPr>
          <w:noProof/>
          <w:lang w:val="en"/>
        </w:rPr>
        <w:t>S</w:t>
      </w:r>
      <w:r w:rsidR="000E0E39" w:rsidRPr="00842200">
        <w:rPr>
          <w:noProof/>
          <w:lang w:val="en"/>
        </w:rPr>
        <w:t>pecial warnings</w:t>
      </w:r>
      <w:proofErr w:type="gramEnd"/>
      <w:r w:rsidR="000E0E39" w:rsidRPr="00842200">
        <w:rPr>
          <w:noProof/>
          <w:lang w:val="en"/>
        </w:rPr>
        <w:t xml:space="preserve"> and precautions for use</w:t>
      </w:r>
      <w:r>
        <w:t>).</w:t>
      </w:r>
    </w:p>
    <w:p w14:paraId="46E3E0BC" w14:textId="77777777" w:rsidR="001A7BD3" w:rsidRPr="00995E0C" w:rsidRDefault="001A7BD3" w:rsidP="00995E0C">
      <w:pPr>
        <w:spacing w:after="0"/>
        <w:rPr>
          <w:i/>
          <w:iCs/>
        </w:rPr>
      </w:pPr>
      <w:r w:rsidRPr="00995E0C">
        <w:rPr>
          <w:i/>
          <w:iCs/>
        </w:rPr>
        <w:t>QT prolongation</w:t>
      </w:r>
    </w:p>
    <w:p w14:paraId="64CB07F4" w14:textId="090CCA7F" w:rsidR="001A7BD3" w:rsidRDefault="001A7BD3" w:rsidP="00995E0C">
      <w:proofErr w:type="gramStart"/>
      <w:r>
        <w:t xml:space="preserve">Of the 317 patients treated with </w:t>
      </w:r>
      <w:r w:rsidR="00757B7E">
        <w:t>XOSPATA</w:t>
      </w:r>
      <w:r>
        <w:t xml:space="preserve"> at 120 mg with a post-baseline QTC value in clinical trials, 4 patients (1%) experienced a </w:t>
      </w:r>
      <w:proofErr w:type="spellStart"/>
      <w:r>
        <w:t>QTcF</w:t>
      </w:r>
      <w:proofErr w:type="spellEnd"/>
      <w:r>
        <w:t xml:space="preserve"> &gt;500 msec. Additionally, across all doses, 12 patients (2.3%) with relapsed/refractory AML had a maximum post-baseline </w:t>
      </w:r>
      <w:proofErr w:type="spellStart"/>
      <w:r>
        <w:t>QTcF</w:t>
      </w:r>
      <w:proofErr w:type="spellEnd"/>
      <w:r>
        <w:t xml:space="preserve"> interval &gt;500 </w:t>
      </w:r>
      <w:proofErr w:type="spellStart"/>
      <w:r>
        <w:t>msec</w:t>
      </w:r>
      <w:proofErr w:type="spellEnd"/>
      <w:r>
        <w:t xml:space="preserve"> (see sections 4.2</w:t>
      </w:r>
      <w:r w:rsidR="000E0E39">
        <w:t xml:space="preserve"> </w:t>
      </w:r>
      <w:r w:rsidR="000E0E39">
        <w:rPr>
          <w:lang w:val="en-GB"/>
        </w:rPr>
        <w:fldChar w:fldCharType="begin"/>
      </w:r>
      <w:r w:rsidR="000E0E39">
        <w:rPr>
          <w:lang w:val="en-GB"/>
        </w:rPr>
        <w:instrText xml:space="preserve"> REF _Ref1551521 \h </w:instrText>
      </w:r>
      <w:r w:rsidR="000E0E39">
        <w:rPr>
          <w:lang w:val="en-GB"/>
        </w:rPr>
      </w:r>
      <w:r w:rsidR="000E0E39">
        <w:rPr>
          <w:lang w:val="en-GB"/>
        </w:rPr>
        <w:fldChar w:fldCharType="separate"/>
      </w:r>
      <w:r w:rsidR="000E0E39">
        <w:t>Dose and method of administration</w:t>
      </w:r>
      <w:r w:rsidR="000E0E39">
        <w:rPr>
          <w:lang w:val="en-GB"/>
        </w:rPr>
        <w:fldChar w:fldCharType="end"/>
      </w:r>
      <w:r>
        <w:t>, 4.4</w:t>
      </w:r>
      <w:r w:rsidR="000E0E39">
        <w:t xml:space="preserve"> </w:t>
      </w:r>
      <w:r w:rsidR="000E0E39">
        <w:rPr>
          <w:noProof/>
          <w:lang w:val="en"/>
        </w:rPr>
        <w:t>S</w:t>
      </w:r>
      <w:r w:rsidR="000E0E39" w:rsidRPr="00842200">
        <w:rPr>
          <w:noProof/>
          <w:lang w:val="en"/>
        </w:rPr>
        <w:t>pecial warnings and precautions for use</w:t>
      </w:r>
      <w:r>
        <w:t xml:space="preserve"> and 5.1</w:t>
      </w:r>
      <w:r w:rsidR="000E0E39">
        <w:t xml:space="preserve"> </w:t>
      </w:r>
      <w:proofErr w:type="spellStart"/>
      <w:r w:rsidR="000E0E39">
        <w:t>Ph</w:t>
      </w:r>
      <w:r w:rsidR="000E0E39" w:rsidRPr="000E0E39">
        <w:t>armacodynamic</w:t>
      </w:r>
      <w:proofErr w:type="spellEnd"/>
      <w:r w:rsidR="000E0E39" w:rsidRPr="000E0E39">
        <w:t xml:space="preserve"> properties</w:t>
      </w:r>
      <w:r w:rsidRPr="000E0E39">
        <w:t>)</w:t>
      </w:r>
      <w:r>
        <w:t>.</w:t>
      </w:r>
      <w:proofErr w:type="gramEnd"/>
    </w:p>
    <w:p w14:paraId="4F392699" w14:textId="1446377A" w:rsidR="0021200F" w:rsidRPr="002B424E" w:rsidRDefault="0021200F" w:rsidP="0021200F">
      <w:pPr>
        <w:pStyle w:val="Heading3"/>
      </w:pPr>
      <w:r>
        <w:lastRenderedPageBreak/>
        <w:t>Reporting suspected adverse effects</w:t>
      </w:r>
    </w:p>
    <w:p w14:paraId="5E8AA9BA" w14:textId="77777777" w:rsidR="005B2812" w:rsidRPr="00726761" w:rsidRDefault="005B2812" w:rsidP="005B2812">
      <w:r w:rsidRPr="00726761">
        <w:rPr>
          <w:rFonts w:cstheme="minorHAnsi"/>
          <w:lang w:val="en"/>
        </w:rPr>
        <w:t xml:space="preserve">Reporting suspected adverse reactions after registration of the medicinal product is important. It allows continued monitoring of the benefit-risk balance of the medicinal product. Healthcare professionals </w:t>
      </w:r>
      <w:proofErr w:type="gramStart"/>
      <w:r w:rsidRPr="00726761">
        <w:rPr>
          <w:rFonts w:cstheme="minorHAnsi"/>
          <w:lang w:val="en"/>
        </w:rPr>
        <w:t>are asked</w:t>
      </w:r>
      <w:proofErr w:type="gramEnd"/>
      <w:r w:rsidRPr="00726761">
        <w:rPr>
          <w:rFonts w:cstheme="minorHAnsi"/>
          <w:lang w:val="en"/>
        </w:rPr>
        <w:t xml:space="preserve"> to report any suspected adverse reactions at </w:t>
      </w:r>
      <w:hyperlink r:id="rId9" w:history="1">
        <w:r w:rsidRPr="00726761">
          <w:rPr>
            <w:rStyle w:val="Hyperlink"/>
            <w:rFonts w:cstheme="minorHAnsi"/>
            <w:lang w:val="en"/>
          </w:rPr>
          <w:t>www.tga.gov.au/reporting-problems</w:t>
        </w:r>
      </w:hyperlink>
      <w:r w:rsidRPr="00726761">
        <w:rPr>
          <w:rFonts w:cstheme="minorHAnsi"/>
          <w:lang w:val="en"/>
        </w:rPr>
        <w:t>.</w:t>
      </w:r>
    </w:p>
    <w:p w14:paraId="089E1EDD" w14:textId="77777777" w:rsidR="001A3992" w:rsidRDefault="001A3992" w:rsidP="001A3992">
      <w:pPr>
        <w:pStyle w:val="Heading2"/>
        <w:keepNext/>
        <w:keepLines/>
        <w:spacing w:before="0" w:after="120"/>
      </w:pPr>
      <w:r>
        <w:t>Overdose</w:t>
      </w:r>
    </w:p>
    <w:p w14:paraId="3512B30B" w14:textId="3C44C0D5" w:rsidR="00472F07" w:rsidRPr="00472F07" w:rsidRDefault="00472F07" w:rsidP="00472F07">
      <w:r w:rsidRPr="00472F07">
        <w:t xml:space="preserve">There is no known specific antidote for </w:t>
      </w:r>
      <w:r w:rsidR="00B548B9">
        <w:t>XOSPATA</w:t>
      </w:r>
      <w:r w:rsidRPr="00472F07">
        <w:t xml:space="preserve">. In the event of an overdose, patients </w:t>
      </w:r>
      <w:proofErr w:type="gramStart"/>
      <w:r w:rsidRPr="00472F07">
        <w:t>must be closely monitored</w:t>
      </w:r>
      <w:proofErr w:type="gramEnd"/>
      <w:r w:rsidRPr="00472F07">
        <w:t xml:space="preserve"> for signs or symptoms of adverse reactions, and appropriate symptomatic and supportive treatment initiated, taking into consideration the long half-life estimated at 113 hours.</w:t>
      </w:r>
    </w:p>
    <w:p w14:paraId="296B6DA9" w14:textId="77777777" w:rsidR="005B2812" w:rsidRPr="00472F07" w:rsidRDefault="005B2812" w:rsidP="005B2812">
      <w:r w:rsidRPr="00472F07">
        <w:rPr>
          <w:rFonts w:cstheme="minorHAnsi"/>
          <w:lang w:val="en"/>
        </w:rPr>
        <w:t>For information on the management of overdose, contact the Poisons Information Centre on 13 11 26 (Australia).</w:t>
      </w:r>
    </w:p>
    <w:p w14:paraId="195ABCDF"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490C6DA2" w14:textId="77777777" w:rsidR="001A3992" w:rsidRDefault="001A3992" w:rsidP="001A3992">
      <w:pPr>
        <w:pStyle w:val="Heading2"/>
        <w:spacing w:before="0" w:after="120"/>
        <w:rPr>
          <w:lang w:val="en-US"/>
        </w:rPr>
      </w:pPr>
      <w:bookmarkStart w:id="6" w:name="_Ref1553325"/>
      <w:proofErr w:type="spellStart"/>
      <w:r w:rsidRPr="00EC3C40">
        <w:rPr>
          <w:lang w:val="en-US"/>
        </w:rPr>
        <w:t>Pharmacodynamic</w:t>
      </w:r>
      <w:proofErr w:type="spellEnd"/>
      <w:r w:rsidRPr="00EC3C40">
        <w:rPr>
          <w:lang w:val="en-US"/>
        </w:rPr>
        <w:t xml:space="preserve"> properties</w:t>
      </w:r>
      <w:bookmarkEnd w:id="6"/>
      <w:r w:rsidRPr="00EC3C40">
        <w:rPr>
          <w:lang w:val="en-US"/>
        </w:rPr>
        <w:t xml:space="preserve"> </w:t>
      </w:r>
    </w:p>
    <w:p w14:paraId="7CD6C9A6" w14:textId="77777777" w:rsidR="00472F07" w:rsidRDefault="00472F07" w:rsidP="00472F07">
      <w:pPr>
        <w:rPr>
          <w:lang w:val="en-US"/>
        </w:rPr>
      </w:pPr>
      <w:proofErr w:type="spellStart"/>
      <w:r w:rsidRPr="00472F07">
        <w:rPr>
          <w:lang w:val="en-US"/>
        </w:rPr>
        <w:t>Pharmacotherapeutic</w:t>
      </w:r>
      <w:proofErr w:type="spellEnd"/>
      <w:r w:rsidRPr="00472F07">
        <w:rPr>
          <w:lang w:val="en-US"/>
        </w:rPr>
        <w:t xml:space="preserve"> group: protein kinase inhibitors, ATC code: L01XE54</w:t>
      </w:r>
    </w:p>
    <w:p w14:paraId="5702D16D" w14:textId="77777777" w:rsidR="00472F07" w:rsidRPr="00472F07" w:rsidRDefault="00472F07" w:rsidP="00472F07">
      <w:pPr>
        <w:spacing w:after="0"/>
        <w:rPr>
          <w:u w:val="single"/>
          <w:lang w:val="en-GB"/>
        </w:rPr>
      </w:pPr>
      <w:proofErr w:type="spellStart"/>
      <w:r w:rsidRPr="00472F07">
        <w:rPr>
          <w:u w:val="single"/>
          <w:lang w:val="en-GB"/>
        </w:rPr>
        <w:t>Pharmacodynamic</w:t>
      </w:r>
      <w:proofErr w:type="spellEnd"/>
      <w:r w:rsidRPr="00472F07">
        <w:rPr>
          <w:u w:val="single"/>
          <w:lang w:val="en-GB"/>
        </w:rPr>
        <w:t xml:space="preserve"> effects</w:t>
      </w:r>
    </w:p>
    <w:p w14:paraId="222920A3" w14:textId="312548D8" w:rsidR="00472F07" w:rsidRPr="00472F07" w:rsidRDefault="00472F07" w:rsidP="00472F07">
      <w:pPr>
        <w:rPr>
          <w:lang w:val="en-GB"/>
        </w:rPr>
      </w:pPr>
      <w:r w:rsidRPr="00472F07">
        <w:rPr>
          <w:lang w:val="en-GB"/>
        </w:rPr>
        <w:t xml:space="preserve">In patients with relapsed or refractory AML receiving </w:t>
      </w:r>
      <w:proofErr w:type="spellStart"/>
      <w:r w:rsidRPr="00472F07">
        <w:rPr>
          <w:lang w:val="en-GB"/>
        </w:rPr>
        <w:t>gilteritinib</w:t>
      </w:r>
      <w:proofErr w:type="spellEnd"/>
      <w:r w:rsidRPr="00472F07">
        <w:rPr>
          <w:lang w:val="en-GB"/>
        </w:rPr>
        <w:t xml:space="preserve"> 120 mg, substantial (&gt; 90%) inhibition of FLT3 phosphorylation was rapid (within 24 hours after first dose) and sustained, as characterised by an </w:t>
      </w:r>
      <w:r w:rsidRPr="00472F07">
        <w:rPr>
          <w:i/>
          <w:lang w:val="en-GB"/>
        </w:rPr>
        <w:t>ex vivo</w:t>
      </w:r>
      <w:r w:rsidRPr="00472F07">
        <w:rPr>
          <w:lang w:val="en-GB"/>
        </w:rPr>
        <w:t xml:space="preserve"> plasma i</w:t>
      </w:r>
      <w:r w:rsidR="00096BEE">
        <w:rPr>
          <w:lang w:val="en-GB"/>
        </w:rPr>
        <w:t>nhibitory activity (PIA) assay.</w:t>
      </w:r>
    </w:p>
    <w:p w14:paraId="1ED5BF1F" w14:textId="7D1D9EFA" w:rsidR="00472F07" w:rsidRPr="00472F07" w:rsidRDefault="00096BEE" w:rsidP="00472F07">
      <w:pPr>
        <w:spacing w:after="0"/>
        <w:rPr>
          <w:u w:val="single"/>
          <w:lang w:val="en-GB"/>
        </w:rPr>
      </w:pPr>
      <w:r>
        <w:rPr>
          <w:u w:val="single"/>
          <w:lang w:val="en-GB"/>
        </w:rPr>
        <w:t>Prolonged QT interval</w:t>
      </w:r>
    </w:p>
    <w:p w14:paraId="0911BAB1" w14:textId="337C334C" w:rsidR="00472F07" w:rsidRPr="00472F07" w:rsidRDefault="00472F07" w:rsidP="00472F07">
      <w:pPr>
        <w:rPr>
          <w:lang w:val="en-GB"/>
        </w:rPr>
      </w:pPr>
      <w:r w:rsidRPr="00472F07">
        <w:rPr>
          <w:lang w:val="en-GB"/>
        </w:rPr>
        <w:t xml:space="preserve">A concentration-related increase in change from baseline of </w:t>
      </w:r>
      <w:proofErr w:type="spellStart"/>
      <w:r w:rsidRPr="00472F07">
        <w:rPr>
          <w:lang w:val="en-GB"/>
        </w:rPr>
        <w:t>QTcF</w:t>
      </w:r>
      <w:proofErr w:type="spellEnd"/>
      <w:r w:rsidRPr="00472F07">
        <w:rPr>
          <w:lang w:val="en-GB"/>
        </w:rPr>
        <w:t xml:space="preserve"> </w:t>
      </w:r>
      <w:proofErr w:type="gramStart"/>
      <w:r w:rsidRPr="00472F07">
        <w:rPr>
          <w:lang w:val="en-GB"/>
        </w:rPr>
        <w:t>was observed</w:t>
      </w:r>
      <w:proofErr w:type="gramEnd"/>
      <w:r w:rsidRPr="00472F07">
        <w:rPr>
          <w:lang w:val="en-GB"/>
        </w:rPr>
        <w:t xml:space="preserve"> across </w:t>
      </w:r>
      <w:proofErr w:type="spellStart"/>
      <w:r w:rsidRPr="00472F07">
        <w:rPr>
          <w:lang w:val="en-GB"/>
        </w:rPr>
        <w:t>gilteritinib</w:t>
      </w:r>
      <w:proofErr w:type="spellEnd"/>
      <w:r w:rsidRPr="00472F07">
        <w:rPr>
          <w:lang w:val="en-GB"/>
        </w:rPr>
        <w:t xml:space="preserve"> doses ranging from 20 to 450 mg. The predicted mean change from baseline of </w:t>
      </w:r>
      <w:proofErr w:type="spellStart"/>
      <w:r w:rsidRPr="00472F07">
        <w:rPr>
          <w:lang w:val="en-GB"/>
        </w:rPr>
        <w:t>QTcF</w:t>
      </w:r>
      <w:proofErr w:type="spellEnd"/>
      <w:r w:rsidRPr="00472F07">
        <w:rPr>
          <w:lang w:val="en-GB"/>
        </w:rPr>
        <w:t xml:space="preserve"> at the mean </w:t>
      </w:r>
      <w:proofErr w:type="gramStart"/>
      <w:r w:rsidRPr="00472F07">
        <w:rPr>
          <w:lang w:val="en-GB"/>
        </w:rPr>
        <w:t>steady-state</w:t>
      </w:r>
      <w:proofErr w:type="gramEnd"/>
      <w:r w:rsidRPr="00472F07">
        <w:rPr>
          <w:lang w:val="en-GB"/>
        </w:rPr>
        <w:t xml:space="preserve"> </w:t>
      </w:r>
      <w:proofErr w:type="spellStart"/>
      <w:r w:rsidRPr="00472F07">
        <w:rPr>
          <w:lang w:val="en-GB"/>
        </w:rPr>
        <w:t>C</w:t>
      </w:r>
      <w:r w:rsidRPr="00472F07">
        <w:rPr>
          <w:vertAlign w:val="subscript"/>
          <w:lang w:val="en-GB"/>
        </w:rPr>
        <w:t>max</w:t>
      </w:r>
      <w:proofErr w:type="spellEnd"/>
      <w:r w:rsidRPr="00472F07">
        <w:rPr>
          <w:lang w:val="en-GB"/>
        </w:rPr>
        <w:t xml:space="preserve"> (282.0 ng/mL) at the 120 mg daily dose was 4.9</w:t>
      </w:r>
      <w:r w:rsidR="002E1C71">
        <w:rPr>
          <w:lang w:val="en-GB"/>
        </w:rPr>
        <w:t>6</w:t>
      </w:r>
      <w:r w:rsidRPr="00472F07">
        <w:rPr>
          <w:lang w:val="en-GB"/>
        </w:rPr>
        <w:t> </w:t>
      </w:r>
      <w:proofErr w:type="spellStart"/>
      <w:r w:rsidRPr="00472F07">
        <w:rPr>
          <w:lang w:val="en-GB"/>
        </w:rPr>
        <w:t>msec</w:t>
      </w:r>
      <w:proofErr w:type="spellEnd"/>
      <w:r w:rsidRPr="00472F07">
        <w:rPr>
          <w:lang w:val="en-GB"/>
        </w:rPr>
        <w:t xml:space="preserve"> with an upper 1-sided 95% CI = 6.20 msec.</w:t>
      </w:r>
    </w:p>
    <w:p w14:paraId="4784B2CD" w14:textId="77777777" w:rsidR="001A3992" w:rsidRDefault="001A3992" w:rsidP="001A3992">
      <w:pPr>
        <w:pStyle w:val="Heading3"/>
        <w:spacing w:before="0" w:after="120"/>
      </w:pPr>
      <w:r w:rsidRPr="00B878CC">
        <w:t>Mechanism of action</w:t>
      </w:r>
    </w:p>
    <w:p w14:paraId="48CC2B74" w14:textId="539B675B" w:rsidR="00472F07" w:rsidRDefault="00472F07" w:rsidP="00472F07">
      <w:proofErr w:type="spellStart"/>
      <w:r>
        <w:t>Gilteritinib</w:t>
      </w:r>
      <w:proofErr w:type="spellEnd"/>
      <w:r>
        <w:t xml:space="preserve"> fumarate is a FMS-like tyrosine kinase 3 (FLT3) and AXL </w:t>
      </w:r>
      <w:r w:rsidR="005911F1" w:rsidRPr="005911F1">
        <w:t>(as well as other kinases)</w:t>
      </w:r>
      <w:r w:rsidR="005911F1">
        <w:t xml:space="preserve"> </w:t>
      </w:r>
      <w:r w:rsidR="00096BEE">
        <w:t>inhibitor.</w:t>
      </w:r>
    </w:p>
    <w:p w14:paraId="5BABD7D5" w14:textId="47004B1F" w:rsidR="00472F07" w:rsidRPr="00472F07" w:rsidRDefault="00472F07" w:rsidP="00472F07">
      <w:proofErr w:type="spellStart"/>
      <w:r>
        <w:t>Gilteritinib</w:t>
      </w:r>
      <w:proofErr w:type="spellEnd"/>
      <w:r>
        <w:t xml:space="preserve"> </w:t>
      </w:r>
      <w:r w:rsidR="002E1C71">
        <w:t>inhibits</w:t>
      </w:r>
      <w:r>
        <w:t xml:space="preserve"> FLT3 receptor signalling and proliferation in cells expressing FLT3 including FLT3-ITD, FLT3-D835Y, and FLT3-ITD-D835Y, and it induced apoptosis in </w:t>
      </w:r>
      <w:proofErr w:type="spellStart"/>
      <w:r>
        <w:t>leuk</w:t>
      </w:r>
      <w:r w:rsidR="005911F1">
        <w:t>a</w:t>
      </w:r>
      <w:r>
        <w:t>emic</w:t>
      </w:r>
      <w:proofErr w:type="spellEnd"/>
      <w:r>
        <w:t xml:space="preserve"> cells expressing FLT3-ITD.</w:t>
      </w:r>
    </w:p>
    <w:p w14:paraId="6A83E649" w14:textId="77777777" w:rsidR="001A3992" w:rsidRDefault="001A3992" w:rsidP="001A3992">
      <w:pPr>
        <w:pStyle w:val="Heading3"/>
        <w:spacing w:before="0" w:after="120"/>
        <w:rPr>
          <w:lang w:val="en-US"/>
        </w:rPr>
      </w:pPr>
      <w:r w:rsidRPr="00B878CC">
        <w:t>Clinical</w:t>
      </w:r>
      <w:r w:rsidRPr="00B878CC">
        <w:rPr>
          <w:lang w:val="en-US"/>
        </w:rPr>
        <w:t xml:space="preserve"> trials</w:t>
      </w:r>
    </w:p>
    <w:p w14:paraId="61266B8A" w14:textId="77777777" w:rsidR="00162645" w:rsidRPr="00162645" w:rsidRDefault="00162645" w:rsidP="00162645">
      <w:pPr>
        <w:spacing w:after="0"/>
        <w:rPr>
          <w:i/>
          <w:lang w:val="en-GB"/>
        </w:rPr>
      </w:pPr>
      <w:r w:rsidRPr="00162645">
        <w:rPr>
          <w:i/>
          <w:lang w:val="en-GB"/>
        </w:rPr>
        <w:t>Relapsed or refractory AML</w:t>
      </w:r>
    </w:p>
    <w:p w14:paraId="5A9B7C4C" w14:textId="77777777" w:rsidR="002E1C71" w:rsidRPr="002467AD" w:rsidRDefault="002E1C71" w:rsidP="002E1C71">
      <w:r>
        <w:t xml:space="preserve">Efficacy and safety </w:t>
      </w:r>
      <w:proofErr w:type="gramStart"/>
      <w:r>
        <w:t>was evaluated</w:t>
      </w:r>
      <w:proofErr w:type="gramEnd"/>
      <w:r>
        <w:t xml:space="preserve"> in </w:t>
      </w:r>
      <w:r>
        <w:rPr>
          <w:noProof/>
        </w:rPr>
        <w:t>the active-controlled, phase 3 trial (2215-CL-0301).</w:t>
      </w:r>
    </w:p>
    <w:p w14:paraId="6B39BD1E" w14:textId="77777777" w:rsidR="00162645" w:rsidRPr="00162645" w:rsidRDefault="00162645" w:rsidP="00F95F9B">
      <w:pPr>
        <w:spacing w:after="0"/>
        <w:rPr>
          <w:lang w:val="en-GB"/>
        </w:rPr>
      </w:pPr>
      <w:r w:rsidRPr="00162645">
        <w:rPr>
          <w:i/>
          <w:lang w:val="en-GB"/>
        </w:rPr>
        <w:t>ADMIRAL Trial (2215-CL-0301)</w:t>
      </w:r>
    </w:p>
    <w:p w14:paraId="2119094F" w14:textId="4229360C" w:rsidR="00162645" w:rsidRPr="00162645" w:rsidRDefault="005A3A9C" w:rsidP="00162645">
      <w:pPr>
        <w:rPr>
          <w:lang w:val="en-GB"/>
        </w:rPr>
      </w:pPr>
      <w:r w:rsidRPr="005A3A9C">
        <w:rPr>
          <w:lang w:val="en-GB"/>
        </w:rPr>
        <w:t xml:space="preserve">The ADMIRAL trial is a Phase 3, open-label, multicentre, randomised clinical trial of adult patients with relapsed or refractory AML with a FLT3 mutation as determined by the </w:t>
      </w:r>
      <w:proofErr w:type="spellStart"/>
      <w:r w:rsidRPr="005A3A9C">
        <w:rPr>
          <w:lang w:val="en-GB"/>
        </w:rPr>
        <w:t>LeukoStrat</w:t>
      </w:r>
      <w:proofErr w:type="spellEnd"/>
      <w:r w:rsidRPr="005A3A9C">
        <w:rPr>
          <w:lang w:val="en-GB"/>
        </w:rPr>
        <w:t xml:space="preserve">® </w:t>
      </w:r>
      <w:proofErr w:type="spellStart"/>
      <w:r w:rsidRPr="005A3A9C">
        <w:rPr>
          <w:lang w:val="en-GB"/>
        </w:rPr>
        <w:t>CDx</w:t>
      </w:r>
      <w:proofErr w:type="spellEnd"/>
      <w:r w:rsidRPr="005A3A9C">
        <w:rPr>
          <w:lang w:val="en-GB"/>
        </w:rPr>
        <w:t xml:space="preserve"> FLT3 </w:t>
      </w:r>
      <w:r w:rsidRPr="005A3A9C">
        <w:rPr>
          <w:lang w:val="en-GB"/>
        </w:rPr>
        <w:lastRenderedPageBreak/>
        <w:t xml:space="preserve">Mutation Assay. In this trial, 371 patients </w:t>
      </w:r>
      <w:proofErr w:type="gramStart"/>
      <w:r w:rsidRPr="005A3A9C">
        <w:rPr>
          <w:lang w:val="en-GB"/>
        </w:rPr>
        <w:t>were randomized</w:t>
      </w:r>
      <w:proofErr w:type="gramEnd"/>
      <w:r w:rsidRPr="005A3A9C">
        <w:rPr>
          <w:lang w:val="en-GB"/>
        </w:rPr>
        <w:t xml:space="preserve"> in a 2:1 ratio to receive </w:t>
      </w:r>
      <w:proofErr w:type="spellStart"/>
      <w:r w:rsidRPr="005A3A9C">
        <w:rPr>
          <w:lang w:val="en-GB"/>
        </w:rPr>
        <w:t>gilteritinib</w:t>
      </w:r>
      <w:proofErr w:type="spellEnd"/>
      <w:r w:rsidRPr="005A3A9C">
        <w:rPr>
          <w:lang w:val="en-GB"/>
        </w:rPr>
        <w:t xml:space="preserve"> or one of the following salvage chemotherapies (247 in the </w:t>
      </w:r>
      <w:proofErr w:type="spellStart"/>
      <w:r w:rsidRPr="005A3A9C">
        <w:rPr>
          <w:lang w:val="en-GB"/>
        </w:rPr>
        <w:t>gilteritinib</w:t>
      </w:r>
      <w:proofErr w:type="spellEnd"/>
      <w:r w:rsidRPr="005A3A9C">
        <w:rPr>
          <w:lang w:val="en-GB"/>
        </w:rPr>
        <w:t xml:space="preserve"> arm and 124 in the salvage chemotherapy arm):</w:t>
      </w:r>
    </w:p>
    <w:p w14:paraId="5886D445" w14:textId="7673B5AF" w:rsidR="00162645" w:rsidRPr="00162645" w:rsidRDefault="00162645" w:rsidP="00162645">
      <w:pPr>
        <w:numPr>
          <w:ilvl w:val="0"/>
          <w:numId w:val="11"/>
        </w:numPr>
        <w:spacing w:after="0"/>
        <w:rPr>
          <w:lang w:val="en-GB"/>
        </w:rPr>
      </w:pPr>
      <w:proofErr w:type="spellStart"/>
      <w:r w:rsidRPr="00162645">
        <w:rPr>
          <w:lang w:val="en-GB"/>
        </w:rPr>
        <w:t>cytarabine</w:t>
      </w:r>
      <w:proofErr w:type="spellEnd"/>
      <w:r w:rsidRPr="00162645">
        <w:rPr>
          <w:lang w:val="en-GB"/>
        </w:rPr>
        <w:t xml:space="preserve"> 20 mg twice daily by subcutaneous (SC) or intravenous (IV) for 10 days (days 1 through 10)</w:t>
      </w:r>
      <w:r w:rsidR="005A3A9C">
        <w:rPr>
          <w:lang w:val="en-GB"/>
        </w:rPr>
        <w:t xml:space="preserve"> (</w:t>
      </w:r>
      <w:proofErr w:type="spellStart"/>
      <w:r w:rsidR="005A3A9C">
        <w:rPr>
          <w:lang w:val="en-GB"/>
        </w:rPr>
        <w:t>LoDAC</w:t>
      </w:r>
      <w:proofErr w:type="spellEnd"/>
      <w:r w:rsidR="005A3A9C">
        <w:rPr>
          <w:lang w:val="en-GB"/>
        </w:rPr>
        <w:t>)</w:t>
      </w:r>
    </w:p>
    <w:p w14:paraId="478A3A3A" w14:textId="77777777" w:rsidR="00162645" w:rsidRPr="00162645" w:rsidRDefault="00162645" w:rsidP="00162645">
      <w:pPr>
        <w:numPr>
          <w:ilvl w:val="0"/>
          <w:numId w:val="11"/>
        </w:numPr>
        <w:spacing w:after="0"/>
        <w:rPr>
          <w:lang w:val="en-GB"/>
        </w:rPr>
      </w:pPr>
      <w:proofErr w:type="spellStart"/>
      <w:r w:rsidRPr="00162645">
        <w:rPr>
          <w:lang w:val="en-GB"/>
        </w:rPr>
        <w:t>azacitidine</w:t>
      </w:r>
      <w:proofErr w:type="spellEnd"/>
      <w:r w:rsidRPr="00162645">
        <w:rPr>
          <w:lang w:val="en-GB"/>
        </w:rPr>
        <w:t xml:space="preserve"> 75 mg/m</w:t>
      </w:r>
      <w:r w:rsidRPr="00162645">
        <w:rPr>
          <w:vertAlign w:val="superscript"/>
          <w:lang w:val="en-GB"/>
        </w:rPr>
        <w:t>2</w:t>
      </w:r>
      <w:r w:rsidRPr="00162645">
        <w:rPr>
          <w:lang w:val="en-GB"/>
        </w:rPr>
        <w:t xml:space="preserve"> once daily by SC or IV for 7 days (days 1 through 7)</w:t>
      </w:r>
    </w:p>
    <w:p w14:paraId="1CE890C6" w14:textId="3EC8BEBE" w:rsidR="00162645" w:rsidRPr="00162645" w:rsidRDefault="00162645" w:rsidP="00162645">
      <w:pPr>
        <w:numPr>
          <w:ilvl w:val="0"/>
          <w:numId w:val="11"/>
        </w:numPr>
        <w:spacing w:after="0"/>
        <w:rPr>
          <w:lang w:val="en-GB"/>
        </w:rPr>
      </w:pPr>
      <w:proofErr w:type="spellStart"/>
      <w:r w:rsidRPr="00162645">
        <w:rPr>
          <w:lang w:val="en-GB"/>
        </w:rPr>
        <w:t>mitoxantrone</w:t>
      </w:r>
      <w:proofErr w:type="spellEnd"/>
      <w:r w:rsidRPr="00162645">
        <w:rPr>
          <w:lang w:val="en-GB"/>
        </w:rPr>
        <w:t xml:space="preserve"> 8 mg/m</w:t>
      </w:r>
      <w:r w:rsidRPr="00162645">
        <w:rPr>
          <w:vertAlign w:val="superscript"/>
          <w:lang w:val="en-GB"/>
        </w:rPr>
        <w:t>2</w:t>
      </w:r>
      <w:r w:rsidRPr="00162645">
        <w:rPr>
          <w:lang w:val="en-GB"/>
        </w:rPr>
        <w:t>, etoposide 100 mg/m</w:t>
      </w:r>
      <w:r w:rsidRPr="00162645">
        <w:rPr>
          <w:vertAlign w:val="superscript"/>
          <w:lang w:val="en-GB"/>
        </w:rPr>
        <w:t>2</w:t>
      </w:r>
      <w:r w:rsidRPr="00162645">
        <w:rPr>
          <w:lang w:val="en-GB"/>
        </w:rPr>
        <w:t xml:space="preserve"> and </w:t>
      </w:r>
      <w:proofErr w:type="spellStart"/>
      <w:r w:rsidRPr="00162645">
        <w:rPr>
          <w:lang w:val="en-GB"/>
        </w:rPr>
        <w:t>cytarabine</w:t>
      </w:r>
      <w:proofErr w:type="spellEnd"/>
      <w:r w:rsidRPr="00162645">
        <w:rPr>
          <w:lang w:val="en-GB"/>
        </w:rPr>
        <w:t xml:space="preserve"> 1000 mg/m</w:t>
      </w:r>
      <w:r w:rsidRPr="00162645">
        <w:rPr>
          <w:vertAlign w:val="superscript"/>
          <w:lang w:val="en-GB"/>
        </w:rPr>
        <w:t>2</w:t>
      </w:r>
      <w:r w:rsidRPr="00162645">
        <w:rPr>
          <w:lang w:val="en-GB"/>
        </w:rPr>
        <w:t xml:space="preserve"> once daily by IV for 5 days (days 1 through 5)</w:t>
      </w:r>
      <w:r w:rsidR="005A3A9C">
        <w:rPr>
          <w:lang w:val="en-GB"/>
        </w:rPr>
        <w:t xml:space="preserve"> (MEC)</w:t>
      </w:r>
    </w:p>
    <w:p w14:paraId="2106BD45" w14:textId="2FDB8498" w:rsidR="00162645" w:rsidRPr="00162645" w:rsidRDefault="00162645" w:rsidP="00162645">
      <w:pPr>
        <w:numPr>
          <w:ilvl w:val="0"/>
          <w:numId w:val="11"/>
        </w:numPr>
        <w:rPr>
          <w:bCs/>
          <w:lang w:val="en-GB"/>
        </w:rPr>
      </w:pPr>
      <w:proofErr w:type="gramStart"/>
      <w:r w:rsidRPr="00162645">
        <w:rPr>
          <w:lang w:val="en-GB"/>
        </w:rPr>
        <w:t>granulocyte colony-stimulating factor 300 mcg/m</w:t>
      </w:r>
      <w:r w:rsidRPr="00162645">
        <w:rPr>
          <w:vertAlign w:val="superscript"/>
          <w:lang w:val="en-GB"/>
        </w:rPr>
        <w:t>2</w:t>
      </w:r>
      <w:r w:rsidRPr="00162645">
        <w:rPr>
          <w:lang w:val="en-GB"/>
        </w:rPr>
        <w:t xml:space="preserve"> once daily by SC for 5 days (days 1 to 5), </w:t>
      </w:r>
      <w:proofErr w:type="spellStart"/>
      <w:r w:rsidRPr="00162645">
        <w:rPr>
          <w:lang w:val="en-GB"/>
        </w:rPr>
        <w:t>fludarabine</w:t>
      </w:r>
      <w:proofErr w:type="spellEnd"/>
      <w:r w:rsidRPr="00162645">
        <w:rPr>
          <w:lang w:val="en-GB"/>
        </w:rPr>
        <w:t xml:space="preserve"> 30 mg/m</w:t>
      </w:r>
      <w:r w:rsidRPr="00162645">
        <w:rPr>
          <w:vertAlign w:val="superscript"/>
          <w:lang w:val="en-GB"/>
        </w:rPr>
        <w:t>2</w:t>
      </w:r>
      <w:r w:rsidRPr="00162645">
        <w:rPr>
          <w:lang w:val="en-GB"/>
        </w:rPr>
        <w:t xml:space="preserve"> once daily by IV for 5 days (days 2 through 6), </w:t>
      </w:r>
      <w:proofErr w:type="spellStart"/>
      <w:r w:rsidRPr="00162645">
        <w:rPr>
          <w:lang w:val="en-GB"/>
        </w:rPr>
        <w:t>cytarabine</w:t>
      </w:r>
      <w:proofErr w:type="spellEnd"/>
      <w:r w:rsidRPr="00162645">
        <w:rPr>
          <w:lang w:val="en-GB"/>
        </w:rPr>
        <w:t xml:space="preserve"> 2000 mg/m</w:t>
      </w:r>
      <w:r w:rsidRPr="00162645">
        <w:rPr>
          <w:vertAlign w:val="superscript"/>
          <w:lang w:val="en-GB"/>
        </w:rPr>
        <w:t>2</w:t>
      </w:r>
      <w:r w:rsidRPr="00162645">
        <w:rPr>
          <w:lang w:val="en-GB"/>
        </w:rPr>
        <w:t xml:space="preserve"> once daily by IV for 5 days (days 2 through 6), </w:t>
      </w:r>
      <w:proofErr w:type="spellStart"/>
      <w:r w:rsidRPr="00162645">
        <w:rPr>
          <w:lang w:val="en-GB"/>
        </w:rPr>
        <w:t>idarubicin</w:t>
      </w:r>
      <w:proofErr w:type="spellEnd"/>
      <w:r w:rsidRPr="00162645">
        <w:rPr>
          <w:lang w:val="en-GB"/>
        </w:rPr>
        <w:t xml:space="preserve"> 10 mg/m</w:t>
      </w:r>
      <w:r w:rsidRPr="00162645">
        <w:rPr>
          <w:vertAlign w:val="superscript"/>
          <w:lang w:val="en-GB"/>
        </w:rPr>
        <w:t>2</w:t>
      </w:r>
      <w:r w:rsidRPr="00162645">
        <w:rPr>
          <w:lang w:val="en-GB"/>
        </w:rPr>
        <w:t xml:space="preserve"> once daily by IV for 3 days (days 2 through 4)</w:t>
      </w:r>
      <w:r w:rsidR="005A3A9C">
        <w:rPr>
          <w:lang w:val="en-GB"/>
        </w:rPr>
        <w:t xml:space="preserve"> </w:t>
      </w:r>
      <w:r w:rsidR="005A3A9C">
        <w:rPr>
          <w:rFonts w:eastAsia="TimesNewRoman"/>
        </w:rPr>
        <w:t>(FLAG-Ida)</w:t>
      </w:r>
      <w:r w:rsidRPr="00162645">
        <w:rPr>
          <w:lang w:val="en-GB"/>
        </w:rPr>
        <w:t>.</w:t>
      </w:r>
      <w:proofErr w:type="gramEnd"/>
    </w:p>
    <w:p w14:paraId="3184FD1F" w14:textId="54A56D12" w:rsidR="00F95F9B" w:rsidRPr="00F95F9B" w:rsidRDefault="00F95F9B" w:rsidP="00F95F9B">
      <w:pPr>
        <w:rPr>
          <w:lang w:val="en-GB"/>
        </w:rPr>
      </w:pPr>
      <w:proofErr w:type="spellStart"/>
      <w:r w:rsidRPr="00F95F9B">
        <w:rPr>
          <w:lang w:val="en-GB"/>
        </w:rPr>
        <w:t>Gilteritinib</w:t>
      </w:r>
      <w:proofErr w:type="spellEnd"/>
      <w:r w:rsidRPr="00F95F9B">
        <w:rPr>
          <w:lang w:val="en-GB"/>
        </w:rPr>
        <w:t xml:space="preserve"> </w:t>
      </w:r>
      <w:proofErr w:type="gramStart"/>
      <w:r w:rsidRPr="00F95F9B">
        <w:rPr>
          <w:lang w:val="en-GB"/>
        </w:rPr>
        <w:t>was given</w:t>
      </w:r>
      <w:proofErr w:type="gramEnd"/>
      <w:r w:rsidRPr="00F95F9B">
        <w:rPr>
          <w:lang w:val="en-GB"/>
        </w:rPr>
        <w:t xml:space="preserve"> orally at a starting dose of 120 mg daily until unacceptable toxicity or lack of clinical benefit. Dose reductions </w:t>
      </w:r>
      <w:proofErr w:type="gramStart"/>
      <w:r w:rsidRPr="00F95F9B">
        <w:rPr>
          <w:lang w:val="en-GB"/>
        </w:rPr>
        <w:t>were allowed</w:t>
      </w:r>
      <w:proofErr w:type="gramEnd"/>
      <w:r w:rsidRPr="00F95F9B">
        <w:rPr>
          <w:lang w:val="en-GB"/>
        </w:rPr>
        <w:t>, to manage adverse reactions, and dose increases were allowed, for those patients who did not respond at the starting dose of 120 mg.</w:t>
      </w:r>
    </w:p>
    <w:p w14:paraId="251CAD6B" w14:textId="1BFA9667" w:rsidR="00F95F9B" w:rsidRPr="00F95F9B" w:rsidRDefault="00F95F9B" w:rsidP="00F95F9B">
      <w:pPr>
        <w:rPr>
          <w:lang w:val="en-GB"/>
        </w:rPr>
      </w:pPr>
      <w:r w:rsidRPr="00F95F9B">
        <w:rPr>
          <w:lang w:val="en-GB"/>
        </w:rPr>
        <w:t xml:space="preserve">MEC and FLAG-Ida </w:t>
      </w:r>
      <w:proofErr w:type="gramStart"/>
      <w:r w:rsidRPr="00F95F9B">
        <w:rPr>
          <w:lang w:val="en-GB"/>
        </w:rPr>
        <w:t>were given</w:t>
      </w:r>
      <w:proofErr w:type="gramEnd"/>
      <w:r w:rsidRPr="00F95F9B">
        <w:rPr>
          <w:lang w:val="en-GB"/>
        </w:rPr>
        <w:t xml:space="preserve"> for up to two cycles depending on response to first cycle. </w:t>
      </w:r>
      <w:proofErr w:type="spellStart"/>
      <w:r w:rsidRPr="00F95F9B">
        <w:rPr>
          <w:lang w:val="en-GB"/>
        </w:rPr>
        <w:t>LoDAC</w:t>
      </w:r>
      <w:proofErr w:type="spellEnd"/>
      <w:r w:rsidRPr="00F95F9B">
        <w:rPr>
          <w:lang w:val="en-GB"/>
        </w:rPr>
        <w:t xml:space="preserve"> and </w:t>
      </w:r>
      <w:proofErr w:type="spellStart"/>
      <w:r w:rsidRPr="00F95F9B">
        <w:rPr>
          <w:lang w:val="en-GB"/>
        </w:rPr>
        <w:t>azacitidine</w:t>
      </w:r>
      <w:proofErr w:type="spellEnd"/>
      <w:r w:rsidRPr="00F95F9B">
        <w:rPr>
          <w:lang w:val="en-GB"/>
        </w:rPr>
        <w:t xml:space="preserve"> </w:t>
      </w:r>
      <w:proofErr w:type="gramStart"/>
      <w:r w:rsidRPr="00F95F9B">
        <w:rPr>
          <w:lang w:val="en-GB"/>
        </w:rPr>
        <w:t>were given</w:t>
      </w:r>
      <w:proofErr w:type="gramEnd"/>
      <w:r w:rsidRPr="00F95F9B">
        <w:rPr>
          <w:lang w:val="en-GB"/>
        </w:rPr>
        <w:t xml:space="preserve"> in continuous 4-week cycles until unacceptable toxicity or lack of clinical benefit.</w:t>
      </w:r>
    </w:p>
    <w:p w14:paraId="583599B1" w14:textId="1B776200" w:rsidR="00F95F9B" w:rsidRPr="00F95F9B" w:rsidRDefault="00F95F9B" w:rsidP="00F95F9B">
      <w:pPr>
        <w:rPr>
          <w:lang w:val="en-GB"/>
        </w:rPr>
      </w:pPr>
      <w:r w:rsidRPr="00F95F9B">
        <w:rPr>
          <w:lang w:val="en-GB"/>
        </w:rPr>
        <w:t xml:space="preserve">The demographic and baseline characteristics were </w:t>
      </w:r>
      <w:proofErr w:type="gramStart"/>
      <w:r w:rsidRPr="00F95F9B">
        <w:rPr>
          <w:lang w:val="en-GB"/>
        </w:rPr>
        <w:t>well-balanced</w:t>
      </w:r>
      <w:proofErr w:type="gramEnd"/>
      <w:r w:rsidRPr="00F95F9B">
        <w:rPr>
          <w:lang w:val="en-GB"/>
        </w:rPr>
        <w:t xml:space="preserve"> between the two treatment arms. The median age at randomisation was 62 years (range 20 to 84 years) in the </w:t>
      </w:r>
      <w:proofErr w:type="spellStart"/>
      <w:r w:rsidRPr="00F95F9B">
        <w:rPr>
          <w:lang w:val="en-GB"/>
        </w:rPr>
        <w:t>gilteritinib</w:t>
      </w:r>
      <w:proofErr w:type="spellEnd"/>
      <w:r w:rsidRPr="00F95F9B">
        <w:rPr>
          <w:lang w:val="en-GB"/>
        </w:rPr>
        <w:t xml:space="preserve"> arm and 62 years (range 19 to 85 years) in the salvage chemotherapy arm. Fifty-four percent of the patients were female. Most patients in the study were Caucasian (59.3%)</w:t>
      </w:r>
      <w:proofErr w:type="gramStart"/>
      <w:r w:rsidRPr="00F95F9B">
        <w:rPr>
          <w:lang w:val="en-GB"/>
        </w:rPr>
        <w:t>;</w:t>
      </w:r>
      <w:proofErr w:type="gramEnd"/>
      <w:r w:rsidRPr="00F95F9B">
        <w:rPr>
          <w:lang w:val="en-GB"/>
        </w:rPr>
        <w:t xml:space="preserve"> 27.5% Asian, 5.7% Black, 4% other races and 3.5% unknown. The majority of patients (83.8%) had an ECOG performance status score of </w:t>
      </w:r>
      <w:proofErr w:type="gramStart"/>
      <w:r w:rsidRPr="00F95F9B">
        <w:rPr>
          <w:lang w:val="en-GB"/>
        </w:rPr>
        <w:t>0</w:t>
      </w:r>
      <w:proofErr w:type="gramEnd"/>
      <w:r w:rsidRPr="00F95F9B">
        <w:rPr>
          <w:lang w:val="en-GB"/>
        </w:rPr>
        <w:t xml:space="preserve"> or 1. Patients had the following confirmed mutations: FLT3-ITD alone (88.4%), FLT3-TKD alone (8.4%) or both FLT3-ITD and -TKD (1.9%). Prior to treatment with </w:t>
      </w:r>
      <w:proofErr w:type="spellStart"/>
      <w:r w:rsidRPr="00F95F9B">
        <w:rPr>
          <w:lang w:val="en-GB"/>
        </w:rPr>
        <w:t>gilteritinib</w:t>
      </w:r>
      <w:proofErr w:type="spellEnd"/>
      <w:r w:rsidRPr="00F95F9B">
        <w:rPr>
          <w:lang w:val="en-GB"/>
        </w:rPr>
        <w:t>, 39.4% of patients had primary refractory AML, 19.7% had relapsed AML after an allogeneic haematopoietic stem cell transplant (HSCT) and 41% had relapsed AML with no allogenic HSCT. Majority of patients had AML with intermediate risk cytogenetics (73%), 10% had unfavourable, 1.</w:t>
      </w:r>
      <w:r w:rsidR="00EA4A47">
        <w:rPr>
          <w:lang w:val="en-GB"/>
        </w:rPr>
        <w:t>3</w:t>
      </w:r>
      <w:r w:rsidRPr="00F95F9B">
        <w:rPr>
          <w:lang w:val="en-GB"/>
        </w:rPr>
        <w:t>% had favourable and 15.</w:t>
      </w:r>
      <w:r w:rsidR="00EA4A47">
        <w:rPr>
          <w:lang w:val="en-GB"/>
        </w:rPr>
        <w:t>6</w:t>
      </w:r>
      <w:r w:rsidRPr="00F95F9B">
        <w:rPr>
          <w:lang w:val="en-GB"/>
        </w:rPr>
        <w:t>% had unclassified cytogenetics.</w:t>
      </w:r>
    </w:p>
    <w:p w14:paraId="0935DE26" w14:textId="11D92B23" w:rsidR="00162645" w:rsidRPr="00162645" w:rsidRDefault="00F95F9B" w:rsidP="00F95F9B">
      <w:pPr>
        <w:rPr>
          <w:lang w:val="en-GB"/>
        </w:rPr>
      </w:pPr>
      <w:r w:rsidRPr="00F95F9B">
        <w:rPr>
          <w:lang w:val="en-GB"/>
        </w:rPr>
        <w:t xml:space="preserve">The primary efficacy endpoint for the final analysis was OS in the intent-to-treat (ITT) population, measured from the date of randomisation until death by any cause (number of events analysed was 261). Patients randomised to the </w:t>
      </w:r>
      <w:proofErr w:type="spellStart"/>
      <w:r w:rsidRPr="00F95F9B">
        <w:rPr>
          <w:lang w:val="en-GB"/>
        </w:rPr>
        <w:t>gilteritinib</w:t>
      </w:r>
      <w:proofErr w:type="spellEnd"/>
      <w:r w:rsidRPr="00F95F9B">
        <w:rPr>
          <w:lang w:val="en-GB"/>
        </w:rPr>
        <w:t xml:space="preserve"> arm had significantly longer survival compared to the chemotherapy arm (HR 0.637; 95% CI 0.490 – 0.830; </w:t>
      </w:r>
      <w:proofErr w:type="gramStart"/>
      <w:r w:rsidRPr="00F95F9B">
        <w:rPr>
          <w:lang w:val="en-GB"/>
        </w:rPr>
        <w:t>1</w:t>
      </w:r>
      <w:proofErr w:type="gramEnd"/>
      <w:r w:rsidRPr="00F95F9B">
        <w:rPr>
          <w:lang w:val="en-GB"/>
        </w:rPr>
        <w:t xml:space="preserve"> sided p-value: 0.0004). The median OS was 9.3 months for patients receiving </w:t>
      </w:r>
      <w:proofErr w:type="spellStart"/>
      <w:r w:rsidRPr="00F95F9B">
        <w:rPr>
          <w:lang w:val="en-GB"/>
        </w:rPr>
        <w:t>gilteritinib</w:t>
      </w:r>
      <w:proofErr w:type="spellEnd"/>
      <w:r w:rsidRPr="00F95F9B">
        <w:rPr>
          <w:lang w:val="en-GB"/>
        </w:rPr>
        <w:t xml:space="preserve"> and 5.6 months for those receiving chemotherapy. Efficacy was further supported by the rate of complete remission (CR)/complete remission with partial </w:t>
      </w:r>
      <w:proofErr w:type="spellStart"/>
      <w:r w:rsidRPr="00F95F9B">
        <w:rPr>
          <w:lang w:val="en-GB"/>
        </w:rPr>
        <w:t>haematologic</w:t>
      </w:r>
      <w:proofErr w:type="spellEnd"/>
      <w:r w:rsidRPr="00F95F9B">
        <w:rPr>
          <w:lang w:val="en-GB"/>
        </w:rPr>
        <w:t xml:space="preserve"> recovery (</w:t>
      </w:r>
      <w:proofErr w:type="spellStart"/>
      <w:r w:rsidRPr="00F95F9B">
        <w:rPr>
          <w:lang w:val="en-GB"/>
        </w:rPr>
        <w:t>CRh</w:t>
      </w:r>
      <w:proofErr w:type="spellEnd"/>
      <w:r w:rsidRPr="00F95F9B">
        <w:rPr>
          <w:lang w:val="en-GB"/>
        </w:rPr>
        <w:t>), the duration of CR/</w:t>
      </w:r>
      <w:proofErr w:type="spellStart"/>
      <w:r w:rsidRPr="00F95F9B">
        <w:rPr>
          <w:lang w:val="en-GB"/>
        </w:rPr>
        <w:t>CRh</w:t>
      </w:r>
      <w:proofErr w:type="spellEnd"/>
      <w:r w:rsidRPr="00F95F9B">
        <w:rPr>
          <w:lang w:val="en-GB"/>
        </w:rPr>
        <w:t xml:space="preserve"> (DOR) and a modified analysis of event free survival (EFS)</w:t>
      </w:r>
      <w:r w:rsidR="00162645" w:rsidRPr="00162645">
        <w:rPr>
          <w:lang w:val="en-GB"/>
        </w:rPr>
        <w:t xml:space="preserve"> (</w:t>
      </w:r>
      <w:r w:rsidR="00BE6ABC">
        <w:rPr>
          <w:lang w:val="en-GB"/>
        </w:rPr>
        <w:fldChar w:fldCharType="begin"/>
      </w:r>
      <w:r w:rsidR="00BE6ABC">
        <w:rPr>
          <w:lang w:val="en-GB"/>
        </w:rPr>
        <w:instrText xml:space="preserve"> REF _Ref1643154 \h  \* MERGEFORMAT </w:instrText>
      </w:r>
      <w:r w:rsidR="00BE6ABC">
        <w:rPr>
          <w:lang w:val="en-GB"/>
        </w:rPr>
      </w:r>
      <w:r w:rsidR="00BE6ABC">
        <w:rPr>
          <w:lang w:val="en-GB"/>
        </w:rPr>
        <w:fldChar w:fldCharType="separate"/>
      </w:r>
      <w:r w:rsidR="00F80972" w:rsidRPr="00F80972">
        <w:rPr>
          <w:b/>
          <w:bCs/>
        </w:rPr>
        <w:t xml:space="preserve">Table </w:t>
      </w:r>
      <w:r w:rsidR="00F80972">
        <w:rPr>
          <w:b/>
          <w:bCs/>
        </w:rPr>
        <w:t>3</w:t>
      </w:r>
      <w:r w:rsidR="00BE6ABC">
        <w:rPr>
          <w:lang w:val="en-GB"/>
        </w:rPr>
        <w:fldChar w:fldCharType="end"/>
      </w:r>
      <w:r w:rsidR="00162645" w:rsidRPr="00162645">
        <w:rPr>
          <w:lang w:val="en-GB"/>
        </w:rPr>
        <w:t xml:space="preserve">, </w:t>
      </w:r>
      <w:r w:rsidR="00BE6ABC">
        <w:rPr>
          <w:lang w:val="en-GB"/>
        </w:rPr>
        <w:fldChar w:fldCharType="begin"/>
      </w:r>
      <w:r w:rsidR="00BE6ABC">
        <w:rPr>
          <w:lang w:val="en-GB"/>
        </w:rPr>
        <w:instrText xml:space="preserve"> REF _Ref1643262 \h </w:instrText>
      </w:r>
      <w:r w:rsidR="00BE6ABC">
        <w:rPr>
          <w:lang w:val="en-GB"/>
        </w:rPr>
      </w:r>
      <w:r w:rsidR="00BE6ABC">
        <w:rPr>
          <w:lang w:val="en-GB"/>
        </w:rPr>
        <w:fldChar w:fldCharType="separate"/>
      </w:r>
      <w:r w:rsidR="00BE6ABC" w:rsidRPr="00BE6ABC">
        <w:rPr>
          <w:b/>
          <w:bCs/>
        </w:rPr>
        <w:t xml:space="preserve">Figure </w:t>
      </w:r>
      <w:r w:rsidR="00BE6ABC" w:rsidRPr="00BE6ABC">
        <w:rPr>
          <w:b/>
          <w:bCs/>
          <w:noProof/>
        </w:rPr>
        <w:t>1</w:t>
      </w:r>
      <w:r w:rsidR="00BE6ABC">
        <w:rPr>
          <w:lang w:val="en-GB"/>
        </w:rPr>
        <w:fldChar w:fldCharType="end"/>
      </w:r>
      <w:r w:rsidR="00162645" w:rsidRPr="00162645">
        <w:rPr>
          <w:lang w:val="en-GB"/>
        </w:rPr>
        <w:t>).</w:t>
      </w:r>
    </w:p>
    <w:p w14:paraId="7297FDDE" w14:textId="0EF98A97" w:rsidR="00BE6ABC" w:rsidRDefault="00BE6ABC" w:rsidP="00BE6ABC">
      <w:pPr>
        <w:pStyle w:val="Caption"/>
        <w:keepNext/>
        <w:rPr>
          <w:b/>
          <w:bCs/>
          <w:i w:val="0"/>
          <w:iCs w:val="0"/>
          <w:color w:val="auto"/>
          <w:sz w:val="22"/>
          <w:szCs w:val="22"/>
        </w:rPr>
      </w:pPr>
      <w:bookmarkStart w:id="7" w:name="_Ref1643154"/>
      <w:r w:rsidRPr="00BE6ABC">
        <w:rPr>
          <w:b/>
          <w:bCs/>
          <w:i w:val="0"/>
          <w:iCs w:val="0"/>
          <w:color w:val="auto"/>
          <w:sz w:val="22"/>
          <w:szCs w:val="22"/>
        </w:rPr>
        <w:lastRenderedPageBreak/>
        <w:t xml:space="preserve">Table </w:t>
      </w:r>
      <w:bookmarkEnd w:id="7"/>
      <w:r w:rsidR="00F80972">
        <w:rPr>
          <w:b/>
          <w:bCs/>
          <w:i w:val="0"/>
          <w:iCs w:val="0"/>
          <w:color w:val="auto"/>
          <w:sz w:val="22"/>
          <w:szCs w:val="22"/>
        </w:rPr>
        <w:t>3</w:t>
      </w:r>
      <w:r w:rsidRPr="00BE6ABC">
        <w:rPr>
          <w:b/>
          <w:bCs/>
          <w:i w:val="0"/>
          <w:iCs w:val="0"/>
          <w:color w:val="auto"/>
          <w:sz w:val="22"/>
          <w:szCs w:val="22"/>
        </w:rPr>
        <w:t xml:space="preserve">: ADMIRAL </w:t>
      </w:r>
      <w:r w:rsidR="00DD5205" w:rsidRPr="00DD5205">
        <w:rPr>
          <w:b/>
          <w:bCs/>
          <w:i w:val="0"/>
          <w:iCs w:val="0"/>
          <w:color w:val="auto"/>
          <w:sz w:val="22"/>
          <w:szCs w:val="22"/>
        </w:rPr>
        <w:t>trial overall survival, complete remission and event free survival in patients with relapsed or refractory AML</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3095"/>
        <w:gridCol w:w="3098"/>
        <w:gridCol w:w="11"/>
      </w:tblGrid>
      <w:tr w:rsidR="00F95F9B" w14:paraId="59A2D4F1" w14:textId="77777777" w:rsidTr="007D437F">
        <w:trPr>
          <w:gridAfter w:val="1"/>
          <w:wAfter w:w="11" w:type="dxa"/>
        </w:trPr>
        <w:tc>
          <w:tcPr>
            <w:tcW w:w="3506" w:type="dxa"/>
            <w:tcBorders>
              <w:top w:val="single" w:sz="4" w:space="0" w:color="auto"/>
            </w:tcBorders>
            <w:shd w:val="clear" w:color="auto" w:fill="auto"/>
          </w:tcPr>
          <w:p w14:paraId="2CF245D0" w14:textId="77777777" w:rsidR="00F95F9B" w:rsidRPr="007D437F" w:rsidRDefault="00F95F9B" w:rsidP="000F5691">
            <w:pPr>
              <w:spacing w:line="240" w:lineRule="auto"/>
              <w:rPr>
                <w:sz w:val="20"/>
                <w:szCs w:val="20"/>
              </w:rPr>
            </w:pPr>
          </w:p>
        </w:tc>
        <w:tc>
          <w:tcPr>
            <w:tcW w:w="3095" w:type="dxa"/>
            <w:tcBorders>
              <w:top w:val="single" w:sz="4" w:space="0" w:color="auto"/>
            </w:tcBorders>
            <w:shd w:val="clear" w:color="auto" w:fill="auto"/>
          </w:tcPr>
          <w:p w14:paraId="656D1606" w14:textId="77777777" w:rsidR="00F95F9B" w:rsidRPr="007D437F" w:rsidRDefault="00F95F9B" w:rsidP="000F5691">
            <w:pPr>
              <w:spacing w:line="240" w:lineRule="auto"/>
              <w:jc w:val="center"/>
              <w:rPr>
                <w:b/>
                <w:sz w:val="20"/>
                <w:szCs w:val="20"/>
              </w:rPr>
            </w:pPr>
            <w:proofErr w:type="spellStart"/>
            <w:r w:rsidRPr="007D437F">
              <w:rPr>
                <w:b/>
                <w:sz w:val="20"/>
                <w:szCs w:val="20"/>
              </w:rPr>
              <w:t>Gilteritinib</w:t>
            </w:r>
            <w:proofErr w:type="spellEnd"/>
          </w:p>
          <w:p w14:paraId="24F2DFBD" w14:textId="77777777" w:rsidR="00F95F9B" w:rsidRPr="007D437F" w:rsidRDefault="00F95F9B" w:rsidP="000F5691">
            <w:pPr>
              <w:spacing w:line="240" w:lineRule="auto"/>
              <w:jc w:val="center"/>
              <w:rPr>
                <w:b/>
                <w:sz w:val="20"/>
                <w:szCs w:val="20"/>
              </w:rPr>
            </w:pPr>
            <w:r w:rsidRPr="007D437F">
              <w:rPr>
                <w:b/>
                <w:sz w:val="20"/>
                <w:szCs w:val="20"/>
              </w:rPr>
              <w:t>(N=247)</w:t>
            </w:r>
          </w:p>
        </w:tc>
        <w:tc>
          <w:tcPr>
            <w:tcW w:w="3098" w:type="dxa"/>
            <w:tcBorders>
              <w:top w:val="single" w:sz="4" w:space="0" w:color="auto"/>
            </w:tcBorders>
            <w:shd w:val="clear" w:color="auto" w:fill="auto"/>
          </w:tcPr>
          <w:p w14:paraId="147E1D4B" w14:textId="77777777" w:rsidR="00F95F9B" w:rsidRPr="007D437F" w:rsidRDefault="00F95F9B" w:rsidP="000F5691">
            <w:pPr>
              <w:spacing w:line="240" w:lineRule="auto"/>
              <w:jc w:val="center"/>
              <w:rPr>
                <w:b/>
                <w:sz w:val="20"/>
                <w:szCs w:val="20"/>
              </w:rPr>
            </w:pPr>
            <w:r w:rsidRPr="007D437F">
              <w:rPr>
                <w:b/>
                <w:sz w:val="20"/>
                <w:szCs w:val="20"/>
              </w:rPr>
              <w:t>Chemotherapy</w:t>
            </w:r>
          </w:p>
          <w:p w14:paraId="45369299" w14:textId="77777777" w:rsidR="00F95F9B" w:rsidRPr="007D437F" w:rsidRDefault="00F95F9B" w:rsidP="000F5691">
            <w:pPr>
              <w:spacing w:line="240" w:lineRule="auto"/>
              <w:jc w:val="center"/>
              <w:rPr>
                <w:b/>
                <w:sz w:val="20"/>
                <w:szCs w:val="20"/>
              </w:rPr>
            </w:pPr>
            <w:r w:rsidRPr="007D437F">
              <w:rPr>
                <w:b/>
                <w:sz w:val="20"/>
                <w:szCs w:val="20"/>
              </w:rPr>
              <w:t>(N=124)</w:t>
            </w:r>
          </w:p>
        </w:tc>
      </w:tr>
      <w:tr w:rsidR="00F95F9B" w14:paraId="05C92789" w14:textId="77777777" w:rsidTr="007D437F">
        <w:tc>
          <w:tcPr>
            <w:tcW w:w="9710" w:type="dxa"/>
            <w:gridSpan w:val="4"/>
            <w:shd w:val="clear" w:color="auto" w:fill="auto"/>
            <w:vAlign w:val="bottom"/>
          </w:tcPr>
          <w:p w14:paraId="56D007D4" w14:textId="77777777" w:rsidR="00F95F9B" w:rsidRPr="007D437F" w:rsidRDefault="00F95F9B" w:rsidP="000F5691">
            <w:pPr>
              <w:spacing w:line="240" w:lineRule="auto"/>
              <w:rPr>
                <w:sz w:val="20"/>
                <w:szCs w:val="20"/>
              </w:rPr>
            </w:pPr>
            <w:r w:rsidRPr="007D437F">
              <w:rPr>
                <w:b/>
                <w:sz w:val="20"/>
                <w:szCs w:val="20"/>
              </w:rPr>
              <w:t>Overall survival</w:t>
            </w:r>
          </w:p>
        </w:tc>
      </w:tr>
      <w:tr w:rsidR="00F95F9B" w14:paraId="2CCC830E" w14:textId="77777777" w:rsidTr="007D437F">
        <w:trPr>
          <w:gridAfter w:val="1"/>
          <w:wAfter w:w="11" w:type="dxa"/>
        </w:trPr>
        <w:tc>
          <w:tcPr>
            <w:tcW w:w="3506" w:type="dxa"/>
            <w:shd w:val="clear" w:color="auto" w:fill="auto"/>
          </w:tcPr>
          <w:p w14:paraId="10FE6C3E" w14:textId="77777777" w:rsidR="00F95F9B" w:rsidRPr="007D437F" w:rsidRDefault="00F95F9B" w:rsidP="000F5691">
            <w:pPr>
              <w:spacing w:line="240" w:lineRule="auto"/>
              <w:rPr>
                <w:sz w:val="20"/>
                <w:szCs w:val="20"/>
              </w:rPr>
            </w:pPr>
            <w:r w:rsidRPr="007D437F">
              <w:rPr>
                <w:sz w:val="20"/>
                <w:szCs w:val="20"/>
              </w:rPr>
              <w:t>Deaths, n (%)</w:t>
            </w:r>
          </w:p>
        </w:tc>
        <w:tc>
          <w:tcPr>
            <w:tcW w:w="3095" w:type="dxa"/>
            <w:shd w:val="clear" w:color="auto" w:fill="auto"/>
          </w:tcPr>
          <w:p w14:paraId="0B8B4637" w14:textId="77777777" w:rsidR="00F95F9B" w:rsidRPr="007D437F" w:rsidRDefault="00F95F9B" w:rsidP="000F5691">
            <w:pPr>
              <w:spacing w:line="240" w:lineRule="auto"/>
              <w:jc w:val="center"/>
              <w:rPr>
                <w:sz w:val="20"/>
                <w:szCs w:val="20"/>
              </w:rPr>
            </w:pPr>
            <w:r w:rsidRPr="007D437F">
              <w:rPr>
                <w:sz w:val="20"/>
                <w:szCs w:val="20"/>
              </w:rPr>
              <w:t>171 (69.2)</w:t>
            </w:r>
          </w:p>
        </w:tc>
        <w:tc>
          <w:tcPr>
            <w:tcW w:w="3098" w:type="dxa"/>
            <w:shd w:val="clear" w:color="auto" w:fill="auto"/>
          </w:tcPr>
          <w:p w14:paraId="79116E97" w14:textId="77777777" w:rsidR="00F95F9B" w:rsidRPr="007D437F" w:rsidRDefault="00F95F9B" w:rsidP="000F5691">
            <w:pPr>
              <w:spacing w:line="240" w:lineRule="auto"/>
              <w:jc w:val="center"/>
              <w:rPr>
                <w:sz w:val="20"/>
                <w:szCs w:val="20"/>
              </w:rPr>
            </w:pPr>
            <w:r w:rsidRPr="007D437F">
              <w:rPr>
                <w:sz w:val="20"/>
                <w:szCs w:val="20"/>
              </w:rPr>
              <w:t>90 (72.6)</w:t>
            </w:r>
          </w:p>
        </w:tc>
      </w:tr>
      <w:tr w:rsidR="00F95F9B" w14:paraId="6BC20B6B" w14:textId="77777777" w:rsidTr="007D437F">
        <w:trPr>
          <w:gridAfter w:val="1"/>
          <w:wAfter w:w="11" w:type="dxa"/>
        </w:trPr>
        <w:tc>
          <w:tcPr>
            <w:tcW w:w="3506" w:type="dxa"/>
            <w:shd w:val="clear" w:color="auto" w:fill="auto"/>
          </w:tcPr>
          <w:p w14:paraId="3CCC6EA7" w14:textId="77777777" w:rsidR="00F95F9B" w:rsidRPr="007D437F" w:rsidRDefault="00F95F9B" w:rsidP="000F5691">
            <w:pPr>
              <w:spacing w:line="240" w:lineRule="auto"/>
              <w:rPr>
                <w:sz w:val="20"/>
                <w:szCs w:val="20"/>
              </w:rPr>
            </w:pPr>
            <w:r w:rsidRPr="007D437F">
              <w:rPr>
                <w:sz w:val="20"/>
                <w:szCs w:val="20"/>
              </w:rPr>
              <w:t>Median in months (95% CI)</w:t>
            </w:r>
          </w:p>
        </w:tc>
        <w:tc>
          <w:tcPr>
            <w:tcW w:w="3095" w:type="dxa"/>
            <w:shd w:val="clear" w:color="auto" w:fill="auto"/>
          </w:tcPr>
          <w:p w14:paraId="09BDC9D9" w14:textId="77777777" w:rsidR="00F95F9B" w:rsidRPr="007D437F" w:rsidRDefault="00F95F9B" w:rsidP="000F5691">
            <w:pPr>
              <w:spacing w:line="240" w:lineRule="auto"/>
              <w:jc w:val="center"/>
              <w:rPr>
                <w:sz w:val="20"/>
                <w:szCs w:val="20"/>
              </w:rPr>
            </w:pPr>
            <w:r w:rsidRPr="007D437F">
              <w:rPr>
                <w:sz w:val="20"/>
                <w:szCs w:val="20"/>
              </w:rPr>
              <w:t>9.3 (7.7, 10.7)</w:t>
            </w:r>
          </w:p>
        </w:tc>
        <w:tc>
          <w:tcPr>
            <w:tcW w:w="3098" w:type="dxa"/>
            <w:shd w:val="clear" w:color="auto" w:fill="auto"/>
          </w:tcPr>
          <w:p w14:paraId="50F540C1" w14:textId="77777777" w:rsidR="00F95F9B" w:rsidRPr="007D437F" w:rsidRDefault="00F95F9B" w:rsidP="000F5691">
            <w:pPr>
              <w:spacing w:line="240" w:lineRule="auto"/>
              <w:jc w:val="center"/>
              <w:rPr>
                <w:sz w:val="20"/>
                <w:szCs w:val="20"/>
              </w:rPr>
            </w:pPr>
            <w:r w:rsidRPr="007D437F">
              <w:rPr>
                <w:sz w:val="20"/>
                <w:szCs w:val="20"/>
              </w:rPr>
              <w:t>5.6 (4.7, 7.3)</w:t>
            </w:r>
          </w:p>
        </w:tc>
      </w:tr>
      <w:tr w:rsidR="00F95F9B" w14:paraId="4E7FB80A" w14:textId="77777777" w:rsidTr="007D437F">
        <w:trPr>
          <w:gridAfter w:val="1"/>
          <w:wAfter w:w="11" w:type="dxa"/>
        </w:trPr>
        <w:tc>
          <w:tcPr>
            <w:tcW w:w="3506" w:type="dxa"/>
            <w:shd w:val="clear" w:color="auto" w:fill="auto"/>
          </w:tcPr>
          <w:p w14:paraId="0E3D09E0" w14:textId="77777777" w:rsidR="00F95F9B" w:rsidRPr="007D437F" w:rsidRDefault="00F95F9B" w:rsidP="000F5691">
            <w:pPr>
              <w:spacing w:line="240" w:lineRule="auto"/>
              <w:rPr>
                <w:sz w:val="20"/>
                <w:szCs w:val="20"/>
              </w:rPr>
            </w:pPr>
            <w:r w:rsidRPr="007D437F">
              <w:rPr>
                <w:sz w:val="20"/>
                <w:szCs w:val="20"/>
              </w:rPr>
              <w:t>Hazard Ratio (95% CI)</w:t>
            </w:r>
          </w:p>
        </w:tc>
        <w:tc>
          <w:tcPr>
            <w:tcW w:w="6193" w:type="dxa"/>
            <w:gridSpan w:val="2"/>
            <w:shd w:val="clear" w:color="auto" w:fill="auto"/>
          </w:tcPr>
          <w:p w14:paraId="56B08F8B" w14:textId="77777777" w:rsidR="00F95F9B" w:rsidRPr="007D437F" w:rsidRDefault="00F95F9B" w:rsidP="000F5691">
            <w:pPr>
              <w:spacing w:line="240" w:lineRule="auto"/>
              <w:jc w:val="center"/>
              <w:rPr>
                <w:sz w:val="20"/>
                <w:szCs w:val="20"/>
              </w:rPr>
            </w:pPr>
            <w:r w:rsidRPr="007D437F">
              <w:rPr>
                <w:sz w:val="20"/>
                <w:szCs w:val="20"/>
              </w:rPr>
              <w:t>0.637 (0.490, 0.830)</w:t>
            </w:r>
          </w:p>
        </w:tc>
      </w:tr>
      <w:tr w:rsidR="00F95F9B" w14:paraId="7DEB7FB7" w14:textId="77777777" w:rsidTr="007D437F">
        <w:trPr>
          <w:gridAfter w:val="1"/>
          <w:wAfter w:w="11" w:type="dxa"/>
        </w:trPr>
        <w:tc>
          <w:tcPr>
            <w:tcW w:w="3506" w:type="dxa"/>
            <w:shd w:val="clear" w:color="auto" w:fill="auto"/>
          </w:tcPr>
          <w:p w14:paraId="14C42ABB" w14:textId="77777777" w:rsidR="00F95F9B" w:rsidRPr="007D437F" w:rsidRDefault="00F95F9B" w:rsidP="000F5691">
            <w:pPr>
              <w:spacing w:line="240" w:lineRule="auto"/>
              <w:rPr>
                <w:sz w:val="20"/>
                <w:szCs w:val="20"/>
              </w:rPr>
            </w:pPr>
            <w:r w:rsidRPr="007D437F">
              <w:rPr>
                <w:sz w:val="20"/>
                <w:szCs w:val="20"/>
              </w:rPr>
              <w:t>p-value (1-sided)</w:t>
            </w:r>
            <w:r w:rsidRPr="007D437F">
              <w:rPr>
                <w:sz w:val="20"/>
                <w:szCs w:val="20"/>
                <w:vertAlign w:val="superscript"/>
              </w:rPr>
              <w:t>g</w:t>
            </w:r>
          </w:p>
        </w:tc>
        <w:tc>
          <w:tcPr>
            <w:tcW w:w="6193" w:type="dxa"/>
            <w:gridSpan w:val="2"/>
            <w:shd w:val="clear" w:color="auto" w:fill="auto"/>
          </w:tcPr>
          <w:p w14:paraId="44A80C45" w14:textId="77777777" w:rsidR="00F95F9B" w:rsidRPr="007D437F" w:rsidRDefault="00F95F9B" w:rsidP="000F5691">
            <w:pPr>
              <w:spacing w:line="240" w:lineRule="auto"/>
              <w:jc w:val="center"/>
              <w:rPr>
                <w:sz w:val="20"/>
                <w:szCs w:val="20"/>
              </w:rPr>
            </w:pPr>
            <w:r w:rsidRPr="007D437F">
              <w:rPr>
                <w:sz w:val="20"/>
                <w:szCs w:val="20"/>
              </w:rPr>
              <w:t>0.0004</w:t>
            </w:r>
          </w:p>
        </w:tc>
      </w:tr>
      <w:tr w:rsidR="00F95F9B" w14:paraId="524C7317" w14:textId="77777777" w:rsidTr="007D437F">
        <w:trPr>
          <w:gridAfter w:val="1"/>
          <w:wAfter w:w="11" w:type="dxa"/>
        </w:trPr>
        <w:tc>
          <w:tcPr>
            <w:tcW w:w="3506" w:type="dxa"/>
            <w:shd w:val="clear" w:color="auto" w:fill="auto"/>
          </w:tcPr>
          <w:p w14:paraId="4E8F88B7" w14:textId="77777777" w:rsidR="00F95F9B" w:rsidRPr="007D437F" w:rsidRDefault="00F95F9B" w:rsidP="000F5691">
            <w:pPr>
              <w:spacing w:line="240" w:lineRule="auto"/>
              <w:rPr>
                <w:sz w:val="20"/>
                <w:szCs w:val="20"/>
              </w:rPr>
            </w:pPr>
            <w:r w:rsidRPr="007D437F">
              <w:rPr>
                <w:sz w:val="20"/>
                <w:szCs w:val="20"/>
              </w:rPr>
              <w:t>1 year survival rate, % (95% CI)</w:t>
            </w:r>
          </w:p>
        </w:tc>
        <w:tc>
          <w:tcPr>
            <w:tcW w:w="3095" w:type="dxa"/>
            <w:shd w:val="clear" w:color="auto" w:fill="auto"/>
          </w:tcPr>
          <w:p w14:paraId="737CAA6C" w14:textId="77777777" w:rsidR="00F95F9B" w:rsidRPr="007D437F" w:rsidRDefault="00F95F9B" w:rsidP="000F5691">
            <w:pPr>
              <w:spacing w:line="240" w:lineRule="auto"/>
              <w:jc w:val="center"/>
              <w:rPr>
                <w:sz w:val="20"/>
                <w:szCs w:val="20"/>
              </w:rPr>
            </w:pPr>
            <w:r w:rsidRPr="007D437F">
              <w:rPr>
                <w:sz w:val="20"/>
                <w:szCs w:val="20"/>
              </w:rPr>
              <w:t>37.1 (30.7, 43.6)</w:t>
            </w:r>
          </w:p>
        </w:tc>
        <w:tc>
          <w:tcPr>
            <w:tcW w:w="3098" w:type="dxa"/>
            <w:shd w:val="clear" w:color="auto" w:fill="auto"/>
          </w:tcPr>
          <w:p w14:paraId="10A2D830" w14:textId="77777777" w:rsidR="00F95F9B" w:rsidRPr="007D437F" w:rsidRDefault="00F95F9B" w:rsidP="000F5691">
            <w:pPr>
              <w:spacing w:line="240" w:lineRule="auto"/>
              <w:jc w:val="center"/>
              <w:rPr>
                <w:sz w:val="20"/>
                <w:szCs w:val="20"/>
              </w:rPr>
            </w:pPr>
            <w:r w:rsidRPr="007D437F">
              <w:rPr>
                <w:sz w:val="20"/>
                <w:szCs w:val="20"/>
              </w:rPr>
              <w:t>16.7 (9.9, 25)</w:t>
            </w:r>
          </w:p>
        </w:tc>
      </w:tr>
      <w:tr w:rsidR="00F95F9B" w14:paraId="3A62B23D" w14:textId="77777777" w:rsidTr="007D437F">
        <w:tc>
          <w:tcPr>
            <w:tcW w:w="9710" w:type="dxa"/>
            <w:gridSpan w:val="4"/>
            <w:shd w:val="clear" w:color="auto" w:fill="auto"/>
            <w:vAlign w:val="bottom"/>
          </w:tcPr>
          <w:p w14:paraId="59E82866" w14:textId="77777777" w:rsidR="00F95F9B" w:rsidRPr="007D437F" w:rsidRDefault="00F95F9B" w:rsidP="000F5691">
            <w:pPr>
              <w:spacing w:line="240" w:lineRule="auto"/>
              <w:rPr>
                <w:sz w:val="20"/>
                <w:szCs w:val="20"/>
              </w:rPr>
            </w:pPr>
            <w:r w:rsidRPr="007D437F">
              <w:rPr>
                <w:b/>
                <w:sz w:val="20"/>
                <w:szCs w:val="20"/>
              </w:rPr>
              <w:t>Complete remission</w:t>
            </w:r>
          </w:p>
        </w:tc>
      </w:tr>
      <w:tr w:rsidR="00F95F9B" w14:paraId="4E5948B0" w14:textId="77777777" w:rsidTr="007D437F">
        <w:trPr>
          <w:gridAfter w:val="1"/>
          <w:wAfter w:w="11" w:type="dxa"/>
        </w:trPr>
        <w:tc>
          <w:tcPr>
            <w:tcW w:w="3506" w:type="dxa"/>
            <w:shd w:val="clear" w:color="auto" w:fill="auto"/>
          </w:tcPr>
          <w:p w14:paraId="775C9830" w14:textId="77777777" w:rsidR="00F95F9B" w:rsidRPr="007D437F" w:rsidRDefault="00F95F9B" w:rsidP="000F5691">
            <w:pPr>
              <w:spacing w:line="240" w:lineRule="auto"/>
              <w:rPr>
                <w:sz w:val="20"/>
                <w:szCs w:val="20"/>
              </w:rPr>
            </w:pPr>
            <w:proofErr w:type="spellStart"/>
            <w:r w:rsidRPr="007D437F">
              <w:rPr>
                <w:sz w:val="20"/>
                <w:szCs w:val="20"/>
              </w:rPr>
              <w:t>CR</w:t>
            </w:r>
            <w:r w:rsidRPr="007D437F">
              <w:rPr>
                <w:sz w:val="20"/>
                <w:szCs w:val="20"/>
                <w:vertAlign w:val="superscript"/>
              </w:rPr>
              <w:t>a</w:t>
            </w:r>
            <w:proofErr w:type="spellEnd"/>
            <w:r w:rsidRPr="007D437F">
              <w:rPr>
                <w:sz w:val="20"/>
                <w:szCs w:val="20"/>
              </w:rPr>
              <w:t xml:space="preserve"> (95% </w:t>
            </w:r>
            <w:proofErr w:type="spellStart"/>
            <w:r w:rsidRPr="007D437F">
              <w:rPr>
                <w:sz w:val="20"/>
                <w:szCs w:val="20"/>
              </w:rPr>
              <w:t>CI</w:t>
            </w:r>
            <w:r w:rsidRPr="007D437F">
              <w:rPr>
                <w:sz w:val="20"/>
                <w:szCs w:val="20"/>
                <w:vertAlign w:val="superscript"/>
              </w:rPr>
              <w:t>b</w:t>
            </w:r>
            <w:proofErr w:type="spellEnd"/>
            <w:r w:rsidRPr="007D437F">
              <w:rPr>
                <w:sz w:val="20"/>
                <w:szCs w:val="20"/>
              </w:rPr>
              <w:t>)</w:t>
            </w:r>
          </w:p>
        </w:tc>
        <w:tc>
          <w:tcPr>
            <w:tcW w:w="3095" w:type="dxa"/>
            <w:shd w:val="clear" w:color="auto" w:fill="auto"/>
          </w:tcPr>
          <w:p w14:paraId="364754F6" w14:textId="77777777" w:rsidR="00F95F9B" w:rsidRPr="007D437F" w:rsidRDefault="00F95F9B" w:rsidP="000F5691">
            <w:pPr>
              <w:spacing w:line="240" w:lineRule="auto"/>
              <w:jc w:val="center"/>
              <w:rPr>
                <w:sz w:val="20"/>
                <w:szCs w:val="20"/>
              </w:rPr>
            </w:pPr>
            <w:r w:rsidRPr="007D437F">
              <w:rPr>
                <w:sz w:val="20"/>
                <w:szCs w:val="20"/>
              </w:rPr>
              <w:t>21.1% (16.1, 26.7)</w:t>
            </w:r>
          </w:p>
        </w:tc>
        <w:tc>
          <w:tcPr>
            <w:tcW w:w="3098" w:type="dxa"/>
            <w:shd w:val="clear" w:color="auto" w:fill="auto"/>
          </w:tcPr>
          <w:p w14:paraId="69932E04" w14:textId="77777777" w:rsidR="00F95F9B" w:rsidRPr="007D437F" w:rsidRDefault="00F95F9B" w:rsidP="000F5691">
            <w:pPr>
              <w:spacing w:line="240" w:lineRule="auto"/>
              <w:jc w:val="center"/>
              <w:rPr>
                <w:sz w:val="20"/>
                <w:szCs w:val="20"/>
              </w:rPr>
            </w:pPr>
            <w:r w:rsidRPr="007D437F">
              <w:rPr>
                <w:sz w:val="20"/>
                <w:szCs w:val="20"/>
              </w:rPr>
              <w:t>10.5% (5.7, 17.3)</w:t>
            </w:r>
          </w:p>
        </w:tc>
      </w:tr>
      <w:tr w:rsidR="00F95F9B" w14:paraId="26DCB19D" w14:textId="77777777" w:rsidTr="007D437F">
        <w:trPr>
          <w:gridAfter w:val="1"/>
          <w:wAfter w:w="11" w:type="dxa"/>
        </w:trPr>
        <w:tc>
          <w:tcPr>
            <w:tcW w:w="3506" w:type="dxa"/>
            <w:shd w:val="clear" w:color="auto" w:fill="auto"/>
          </w:tcPr>
          <w:p w14:paraId="52465DBB" w14:textId="77777777" w:rsidR="00F95F9B" w:rsidRPr="007D437F" w:rsidRDefault="00F95F9B" w:rsidP="000F5691">
            <w:pPr>
              <w:spacing w:line="240" w:lineRule="auto"/>
              <w:rPr>
                <w:sz w:val="20"/>
                <w:szCs w:val="20"/>
              </w:rPr>
            </w:pPr>
            <w:r w:rsidRPr="007D437F">
              <w:rPr>
                <w:sz w:val="20"/>
                <w:szCs w:val="20"/>
              </w:rPr>
              <w:t xml:space="preserve">Median </w:t>
            </w:r>
            <w:proofErr w:type="spellStart"/>
            <w:r w:rsidRPr="007D437F">
              <w:rPr>
                <w:sz w:val="20"/>
                <w:szCs w:val="20"/>
              </w:rPr>
              <w:t>DOR</w:t>
            </w:r>
            <w:r w:rsidRPr="007D437F">
              <w:rPr>
                <w:sz w:val="20"/>
                <w:szCs w:val="20"/>
                <w:vertAlign w:val="superscript"/>
              </w:rPr>
              <w:t>c</w:t>
            </w:r>
            <w:proofErr w:type="spellEnd"/>
            <w:r w:rsidRPr="007D437F">
              <w:rPr>
                <w:sz w:val="20"/>
                <w:szCs w:val="20"/>
              </w:rPr>
              <w:t xml:space="preserve"> in months (95% </w:t>
            </w:r>
            <w:proofErr w:type="spellStart"/>
            <w:r w:rsidRPr="007D437F">
              <w:rPr>
                <w:sz w:val="20"/>
                <w:szCs w:val="20"/>
              </w:rPr>
              <w:t>CI</w:t>
            </w:r>
            <w:r w:rsidRPr="007D437F">
              <w:rPr>
                <w:sz w:val="20"/>
                <w:szCs w:val="20"/>
                <w:vertAlign w:val="superscript"/>
              </w:rPr>
              <w:t>e</w:t>
            </w:r>
            <w:proofErr w:type="spellEnd"/>
            <w:r w:rsidRPr="007D437F">
              <w:rPr>
                <w:sz w:val="20"/>
                <w:szCs w:val="20"/>
              </w:rPr>
              <w:t>)</w:t>
            </w:r>
          </w:p>
        </w:tc>
        <w:tc>
          <w:tcPr>
            <w:tcW w:w="3095" w:type="dxa"/>
            <w:shd w:val="clear" w:color="auto" w:fill="auto"/>
          </w:tcPr>
          <w:p w14:paraId="7086A7F2" w14:textId="77777777" w:rsidR="00F95F9B" w:rsidRPr="007D437F" w:rsidRDefault="00F95F9B" w:rsidP="000F5691">
            <w:pPr>
              <w:spacing w:line="240" w:lineRule="auto"/>
              <w:jc w:val="center"/>
              <w:rPr>
                <w:sz w:val="20"/>
                <w:szCs w:val="20"/>
              </w:rPr>
            </w:pPr>
            <w:r w:rsidRPr="007D437F">
              <w:rPr>
                <w:sz w:val="20"/>
                <w:szCs w:val="20"/>
              </w:rPr>
              <w:t>NR (</w:t>
            </w:r>
            <w:r w:rsidRPr="007D437F">
              <w:rPr>
                <w:sz w:val="20"/>
                <w:szCs w:val="20"/>
                <w:lang w:val="pt-BR"/>
              </w:rPr>
              <w:t>11, NR)</w:t>
            </w:r>
          </w:p>
        </w:tc>
        <w:tc>
          <w:tcPr>
            <w:tcW w:w="3098" w:type="dxa"/>
            <w:shd w:val="clear" w:color="auto" w:fill="auto"/>
          </w:tcPr>
          <w:p w14:paraId="78E5E705" w14:textId="77777777" w:rsidR="00F95F9B" w:rsidRPr="007D437F" w:rsidRDefault="00F95F9B" w:rsidP="000F5691">
            <w:pPr>
              <w:spacing w:line="240" w:lineRule="auto"/>
              <w:jc w:val="center"/>
              <w:rPr>
                <w:sz w:val="20"/>
                <w:szCs w:val="20"/>
              </w:rPr>
            </w:pPr>
            <w:r w:rsidRPr="007D437F">
              <w:rPr>
                <w:sz w:val="20"/>
                <w:szCs w:val="20"/>
              </w:rPr>
              <w:t>1.8 (NE, NE)</w:t>
            </w:r>
          </w:p>
        </w:tc>
      </w:tr>
      <w:tr w:rsidR="00F95F9B" w14:paraId="49070932" w14:textId="77777777" w:rsidTr="007D437F">
        <w:trPr>
          <w:gridAfter w:val="1"/>
          <w:wAfter w:w="11" w:type="dxa"/>
        </w:trPr>
        <w:tc>
          <w:tcPr>
            <w:tcW w:w="3506" w:type="dxa"/>
            <w:shd w:val="clear" w:color="auto" w:fill="auto"/>
          </w:tcPr>
          <w:p w14:paraId="7B96A52E" w14:textId="77777777" w:rsidR="00F95F9B" w:rsidRPr="007D437F" w:rsidRDefault="00F95F9B" w:rsidP="000F5691">
            <w:pPr>
              <w:spacing w:line="240" w:lineRule="auto"/>
              <w:rPr>
                <w:sz w:val="20"/>
                <w:szCs w:val="20"/>
              </w:rPr>
            </w:pPr>
            <w:r w:rsidRPr="007D437F">
              <w:rPr>
                <w:sz w:val="20"/>
                <w:szCs w:val="20"/>
                <w:lang w:val="pt-BR"/>
              </w:rPr>
              <w:t>CRh</w:t>
            </w:r>
            <w:r w:rsidRPr="007D437F">
              <w:rPr>
                <w:sz w:val="20"/>
                <w:szCs w:val="20"/>
                <w:vertAlign w:val="superscript"/>
                <w:lang w:val="pt-BR"/>
              </w:rPr>
              <w:t>d</w:t>
            </w:r>
            <w:r w:rsidRPr="007D437F">
              <w:rPr>
                <w:sz w:val="20"/>
                <w:szCs w:val="20"/>
                <w:lang w:val="pt-BR"/>
              </w:rPr>
              <w:t xml:space="preserve"> (95% CI</w:t>
            </w:r>
            <w:r w:rsidRPr="007D437F">
              <w:rPr>
                <w:sz w:val="20"/>
                <w:szCs w:val="20"/>
                <w:vertAlign w:val="superscript"/>
              </w:rPr>
              <w:t>b</w:t>
            </w:r>
            <w:r w:rsidRPr="007D437F">
              <w:rPr>
                <w:sz w:val="20"/>
                <w:szCs w:val="20"/>
                <w:lang w:val="pt-BR"/>
              </w:rPr>
              <w:t>)</w:t>
            </w:r>
          </w:p>
        </w:tc>
        <w:tc>
          <w:tcPr>
            <w:tcW w:w="3095" w:type="dxa"/>
            <w:shd w:val="clear" w:color="auto" w:fill="auto"/>
          </w:tcPr>
          <w:p w14:paraId="5D4BCB0C" w14:textId="77777777" w:rsidR="00F95F9B" w:rsidRPr="007D437F" w:rsidRDefault="00F95F9B" w:rsidP="000F5691">
            <w:pPr>
              <w:spacing w:line="240" w:lineRule="auto"/>
              <w:jc w:val="center"/>
              <w:rPr>
                <w:sz w:val="20"/>
                <w:szCs w:val="20"/>
              </w:rPr>
            </w:pPr>
            <w:r w:rsidRPr="007D437F">
              <w:rPr>
                <w:sz w:val="20"/>
                <w:szCs w:val="20"/>
                <w:lang w:val="pt-BR"/>
              </w:rPr>
              <w:t>13% (9, 17.8)</w:t>
            </w:r>
          </w:p>
        </w:tc>
        <w:tc>
          <w:tcPr>
            <w:tcW w:w="3098" w:type="dxa"/>
            <w:shd w:val="clear" w:color="auto" w:fill="auto"/>
          </w:tcPr>
          <w:p w14:paraId="3FB97695" w14:textId="77777777" w:rsidR="00F95F9B" w:rsidRPr="007D437F" w:rsidRDefault="00F95F9B" w:rsidP="000F5691">
            <w:pPr>
              <w:spacing w:line="240" w:lineRule="auto"/>
              <w:jc w:val="center"/>
              <w:rPr>
                <w:sz w:val="20"/>
                <w:szCs w:val="20"/>
              </w:rPr>
            </w:pPr>
            <w:r w:rsidRPr="007D437F">
              <w:rPr>
                <w:sz w:val="20"/>
                <w:szCs w:val="20"/>
                <w:lang w:val="pt-BR"/>
              </w:rPr>
              <w:t>4.8% (1.8, 10.2)</w:t>
            </w:r>
          </w:p>
        </w:tc>
      </w:tr>
      <w:tr w:rsidR="00F95F9B" w14:paraId="5AA6BB83" w14:textId="77777777" w:rsidTr="007D437F">
        <w:trPr>
          <w:gridAfter w:val="1"/>
          <w:wAfter w:w="11" w:type="dxa"/>
        </w:trPr>
        <w:tc>
          <w:tcPr>
            <w:tcW w:w="3506" w:type="dxa"/>
            <w:shd w:val="clear" w:color="auto" w:fill="auto"/>
          </w:tcPr>
          <w:p w14:paraId="2DF89F8D" w14:textId="77777777" w:rsidR="00F95F9B" w:rsidRPr="007D437F" w:rsidRDefault="00F95F9B" w:rsidP="000F5691">
            <w:pPr>
              <w:spacing w:line="240" w:lineRule="auto"/>
              <w:rPr>
                <w:sz w:val="20"/>
                <w:szCs w:val="20"/>
              </w:rPr>
            </w:pPr>
            <w:r w:rsidRPr="007D437F">
              <w:rPr>
                <w:sz w:val="20"/>
                <w:szCs w:val="20"/>
                <w:lang w:val="en-US"/>
              </w:rPr>
              <w:t>Median DOR</w:t>
            </w:r>
            <w:r w:rsidRPr="007D437F">
              <w:rPr>
                <w:sz w:val="20"/>
                <w:szCs w:val="20"/>
                <w:vertAlign w:val="superscript"/>
              </w:rPr>
              <w:t>c</w:t>
            </w:r>
            <w:r w:rsidRPr="007D437F">
              <w:rPr>
                <w:sz w:val="20"/>
                <w:szCs w:val="20"/>
              </w:rPr>
              <w:t xml:space="preserve"> in months </w:t>
            </w:r>
            <w:r w:rsidRPr="007D437F">
              <w:rPr>
                <w:sz w:val="20"/>
                <w:szCs w:val="20"/>
                <w:lang w:val="en-US"/>
              </w:rPr>
              <w:t>(95% CI</w:t>
            </w:r>
            <w:r w:rsidRPr="007D437F">
              <w:rPr>
                <w:sz w:val="20"/>
                <w:szCs w:val="20"/>
                <w:vertAlign w:val="superscript"/>
              </w:rPr>
              <w:t>e</w:t>
            </w:r>
            <w:r w:rsidRPr="007D437F">
              <w:rPr>
                <w:sz w:val="20"/>
                <w:szCs w:val="20"/>
                <w:lang w:val="en-US"/>
              </w:rPr>
              <w:t>)</w:t>
            </w:r>
          </w:p>
        </w:tc>
        <w:tc>
          <w:tcPr>
            <w:tcW w:w="3095" w:type="dxa"/>
            <w:shd w:val="clear" w:color="auto" w:fill="auto"/>
          </w:tcPr>
          <w:p w14:paraId="360DBCA4" w14:textId="77777777" w:rsidR="00F95F9B" w:rsidRPr="007D437F" w:rsidRDefault="00F95F9B" w:rsidP="000F5691">
            <w:pPr>
              <w:spacing w:line="240" w:lineRule="auto"/>
              <w:jc w:val="center"/>
              <w:rPr>
                <w:sz w:val="20"/>
                <w:szCs w:val="20"/>
              </w:rPr>
            </w:pPr>
            <w:r w:rsidRPr="007D437F">
              <w:rPr>
                <w:sz w:val="20"/>
                <w:szCs w:val="20"/>
                <w:lang w:val="pt-BR"/>
              </w:rPr>
              <w:t>4 (2.1, 5.3)</w:t>
            </w:r>
          </w:p>
        </w:tc>
        <w:tc>
          <w:tcPr>
            <w:tcW w:w="3098" w:type="dxa"/>
            <w:shd w:val="clear" w:color="auto" w:fill="auto"/>
          </w:tcPr>
          <w:p w14:paraId="480A9FF1" w14:textId="77777777" w:rsidR="00F95F9B" w:rsidRPr="007D437F" w:rsidRDefault="00F95F9B" w:rsidP="000F5691">
            <w:pPr>
              <w:spacing w:line="240" w:lineRule="auto"/>
              <w:jc w:val="center"/>
              <w:rPr>
                <w:sz w:val="20"/>
                <w:szCs w:val="20"/>
              </w:rPr>
            </w:pPr>
            <w:r w:rsidRPr="007D437F">
              <w:rPr>
                <w:sz w:val="20"/>
                <w:szCs w:val="20"/>
                <w:lang w:val="pt-BR"/>
              </w:rPr>
              <w:t>NE (NE, NE)</w:t>
            </w:r>
          </w:p>
        </w:tc>
      </w:tr>
      <w:tr w:rsidR="00F95F9B" w:rsidRPr="00A51452" w14:paraId="795D54DF" w14:textId="77777777" w:rsidTr="007D437F">
        <w:trPr>
          <w:gridAfter w:val="1"/>
          <w:wAfter w:w="11" w:type="dxa"/>
        </w:trPr>
        <w:tc>
          <w:tcPr>
            <w:tcW w:w="3506" w:type="dxa"/>
            <w:shd w:val="clear" w:color="auto" w:fill="auto"/>
          </w:tcPr>
          <w:p w14:paraId="49747E0F" w14:textId="77777777" w:rsidR="00F95F9B" w:rsidRPr="007D437F" w:rsidRDefault="00F95F9B" w:rsidP="000F5691">
            <w:pPr>
              <w:spacing w:line="240" w:lineRule="auto"/>
              <w:rPr>
                <w:sz w:val="20"/>
                <w:szCs w:val="20"/>
              </w:rPr>
            </w:pPr>
            <w:r w:rsidRPr="007D437F">
              <w:rPr>
                <w:sz w:val="20"/>
                <w:szCs w:val="20"/>
                <w:lang w:val="pt-BR"/>
              </w:rPr>
              <w:t>CR/CRh (95% CI</w:t>
            </w:r>
            <w:r w:rsidRPr="007D437F">
              <w:rPr>
                <w:sz w:val="20"/>
                <w:szCs w:val="20"/>
                <w:vertAlign w:val="superscript"/>
                <w:lang w:val="pt-BR"/>
              </w:rPr>
              <w:t>b</w:t>
            </w:r>
            <w:r w:rsidRPr="007D437F">
              <w:rPr>
                <w:sz w:val="20"/>
                <w:szCs w:val="20"/>
                <w:lang w:val="pt-BR"/>
              </w:rPr>
              <w:t>)</w:t>
            </w:r>
          </w:p>
        </w:tc>
        <w:tc>
          <w:tcPr>
            <w:tcW w:w="3095" w:type="dxa"/>
            <w:shd w:val="clear" w:color="auto" w:fill="auto"/>
          </w:tcPr>
          <w:p w14:paraId="1514EDC1" w14:textId="77777777" w:rsidR="00F95F9B" w:rsidRPr="007D437F" w:rsidRDefault="00F95F9B" w:rsidP="000F5691">
            <w:pPr>
              <w:spacing w:line="240" w:lineRule="auto"/>
              <w:jc w:val="center"/>
              <w:rPr>
                <w:sz w:val="20"/>
                <w:szCs w:val="20"/>
              </w:rPr>
            </w:pPr>
            <w:r w:rsidRPr="007D437F">
              <w:rPr>
                <w:sz w:val="20"/>
                <w:szCs w:val="20"/>
                <w:lang w:val="pt-BR"/>
              </w:rPr>
              <w:t>34% (</w:t>
            </w:r>
            <w:r w:rsidRPr="007D437F">
              <w:rPr>
                <w:sz w:val="20"/>
                <w:szCs w:val="20"/>
              </w:rPr>
              <w:t>28.1, 40.3)</w:t>
            </w:r>
          </w:p>
        </w:tc>
        <w:tc>
          <w:tcPr>
            <w:tcW w:w="3098" w:type="dxa"/>
            <w:shd w:val="clear" w:color="auto" w:fill="auto"/>
          </w:tcPr>
          <w:p w14:paraId="5EF1B298" w14:textId="77777777" w:rsidR="00F95F9B" w:rsidRPr="007D437F" w:rsidRDefault="00F95F9B" w:rsidP="000F5691">
            <w:pPr>
              <w:spacing w:line="240" w:lineRule="auto"/>
              <w:jc w:val="center"/>
              <w:rPr>
                <w:sz w:val="20"/>
                <w:szCs w:val="20"/>
              </w:rPr>
            </w:pPr>
            <w:r w:rsidRPr="007D437F">
              <w:rPr>
                <w:sz w:val="20"/>
                <w:szCs w:val="20"/>
                <w:lang w:val="pt-BR"/>
              </w:rPr>
              <w:t>15.3% (9.5, 22.9)</w:t>
            </w:r>
          </w:p>
        </w:tc>
      </w:tr>
      <w:tr w:rsidR="00F95F9B" w14:paraId="62A63E2C" w14:textId="77777777" w:rsidTr="007D437F">
        <w:trPr>
          <w:gridAfter w:val="1"/>
          <w:wAfter w:w="11" w:type="dxa"/>
        </w:trPr>
        <w:tc>
          <w:tcPr>
            <w:tcW w:w="3506" w:type="dxa"/>
            <w:shd w:val="clear" w:color="auto" w:fill="auto"/>
          </w:tcPr>
          <w:p w14:paraId="0C8DDF2F" w14:textId="77777777" w:rsidR="00F95F9B" w:rsidRPr="007D437F" w:rsidRDefault="00F95F9B" w:rsidP="000F5691">
            <w:pPr>
              <w:spacing w:line="240" w:lineRule="auto"/>
              <w:rPr>
                <w:sz w:val="20"/>
                <w:szCs w:val="20"/>
              </w:rPr>
            </w:pPr>
            <w:r w:rsidRPr="007D437F">
              <w:rPr>
                <w:sz w:val="20"/>
                <w:szCs w:val="20"/>
              </w:rPr>
              <w:t xml:space="preserve">Median </w:t>
            </w:r>
            <w:proofErr w:type="spellStart"/>
            <w:r w:rsidRPr="007D437F">
              <w:rPr>
                <w:sz w:val="20"/>
                <w:szCs w:val="20"/>
              </w:rPr>
              <w:t>DOR</w:t>
            </w:r>
            <w:r w:rsidRPr="007D437F">
              <w:rPr>
                <w:sz w:val="20"/>
                <w:szCs w:val="20"/>
                <w:vertAlign w:val="superscript"/>
              </w:rPr>
              <w:t>c</w:t>
            </w:r>
            <w:proofErr w:type="spellEnd"/>
            <w:r w:rsidRPr="007D437F">
              <w:rPr>
                <w:sz w:val="20"/>
                <w:szCs w:val="20"/>
              </w:rPr>
              <w:t xml:space="preserve"> in months (95% </w:t>
            </w:r>
            <w:proofErr w:type="spellStart"/>
            <w:r w:rsidRPr="007D437F">
              <w:rPr>
                <w:sz w:val="20"/>
                <w:szCs w:val="20"/>
              </w:rPr>
              <w:t>CI</w:t>
            </w:r>
            <w:r w:rsidRPr="007D437F">
              <w:rPr>
                <w:sz w:val="20"/>
                <w:szCs w:val="20"/>
                <w:vertAlign w:val="superscript"/>
              </w:rPr>
              <w:t>e</w:t>
            </w:r>
            <w:proofErr w:type="spellEnd"/>
            <w:r w:rsidRPr="007D437F">
              <w:rPr>
                <w:sz w:val="20"/>
                <w:szCs w:val="20"/>
              </w:rPr>
              <w:t>)</w:t>
            </w:r>
          </w:p>
        </w:tc>
        <w:tc>
          <w:tcPr>
            <w:tcW w:w="3095" w:type="dxa"/>
            <w:shd w:val="clear" w:color="auto" w:fill="auto"/>
          </w:tcPr>
          <w:p w14:paraId="39B7BE67" w14:textId="77777777" w:rsidR="00F95F9B" w:rsidRPr="007D437F" w:rsidRDefault="00F95F9B" w:rsidP="000F5691">
            <w:pPr>
              <w:spacing w:line="240" w:lineRule="auto"/>
              <w:jc w:val="center"/>
              <w:rPr>
                <w:sz w:val="20"/>
                <w:szCs w:val="20"/>
              </w:rPr>
            </w:pPr>
            <w:r w:rsidRPr="007D437F">
              <w:rPr>
                <w:sz w:val="20"/>
                <w:szCs w:val="20"/>
              </w:rPr>
              <w:t>11 (4.6, NR)</w:t>
            </w:r>
          </w:p>
        </w:tc>
        <w:tc>
          <w:tcPr>
            <w:tcW w:w="3098" w:type="dxa"/>
            <w:shd w:val="clear" w:color="auto" w:fill="auto"/>
          </w:tcPr>
          <w:p w14:paraId="59105553" w14:textId="77777777" w:rsidR="00F95F9B" w:rsidRPr="007D437F" w:rsidRDefault="00F95F9B" w:rsidP="000F5691">
            <w:pPr>
              <w:spacing w:line="240" w:lineRule="auto"/>
              <w:jc w:val="center"/>
              <w:rPr>
                <w:sz w:val="20"/>
                <w:szCs w:val="20"/>
              </w:rPr>
            </w:pPr>
            <w:r w:rsidRPr="007D437F">
              <w:rPr>
                <w:sz w:val="20"/>
                <w:szCs w:val="20"/>
              </w:rPr>
              <w:t>1.8 (</w:t>
            </w:r>
            <w:r w:rsidRPr="007D437F">
              <w:rPr>
                <w:sz w:val="20"/>
                <w:szCs w:val="20"/>
                <w:lang w:val="en-US"/>
              </w:rPr>
              <w:t>NE, NE)</w:t>
            </w:r>
          </w:p>
        </w:tc>
      </w:tr>
      <w:tr w:rsidR="00F95F9B" w14:paraId="47F5B850" w14:textId="77777777" w:rsidTr="007D437F">
        <w:trPr>
          <w:gridAfter w:val="1"/>
          <w:wAfter w:w="11" w:type="dxa"/>
        </w:trPr>
        <w:tc>
          <w:tcPr>
            <w:tcW w:w="9699" w:type="dxa"/>
            <w:gridSpan w:val="3"/>
            <w:shd w:val="clear" w:color="auto" w:fill="auto"/>
            <w:vAlign w:val="bottom"/>
          </w:tcPr>
          <w:p w14:paraId="1EAC02D7" w14:textId="77777777" w:rsidR="00F95F9B" w:rsidRPr="007D437F" w:rsidRDefault="00F95F9B" w:rsidP="000F5691">
            <w:pPr>
              <w:spacing w:line="240" w:lineRule="auto"/>
              <w:rPr>
                <w:sz w:val="20"/>
                <w:szCs w:val="20"/>
              </w:rPr>
            </w:pPr>
            <w:r w:rsidRPr="007D437F">
              <w:rPr>
                <w:b/>
                <w:sz w:val="20"/>
                <w:szCs w:val="20"/>
              </w:rPr>
              <w:t xml:space="preserve">Event free </w:t>
            </w:r>
            <w:proofErr w:type="spellStart"/>
            <w:r w:rsidRPr="007D437F">
              <w:rPr>
                <w:b/>
                <w:sz w:val="20"/>
                <w:szCs w:val="20"/>
              </w:rPr>
              <w:t>survival</w:t>
            </w:r>
            <w:r w:rsidRPr="007D437F">
              <w:rPr>
                <w:b/>
                <w:sz w:val="20"/>
                <w:szCs w:val="20"/>
                <w:vertAlign w:val="superscript"/>
              </w:rPr>
              <w:t>f</w:t>
            </w:r>
            <w:proofErr w:type="spellEnd"/>
          </w:p>
        </w:tc>
      </w:tr>
      <w:tr w:rsidR="00F95F9B" w14:paraId="23B1C298" w14:textId="77777777" w:rsidTr="007D437F">
        <w:trPr>
          <w:gridAfter w:val="1"/>
          <w:wAfter w:w="11" w:type="dxa"/>
        </w:trPr>
        <w:tc>
          <w:tcPr>
            <w:tcW w:w="3506" w:type="dxa"/>
            <w:shd w:val="clear" w:color="auto" w:fill="auto"/>
          </w:tcPr>
          <w:p w14:paraId="38ACB678" w14:textId="77777777" w:rsidR="00F95F9B" w:rsidRPr="007D437F" w:rsidRDefault="00F95F9B" w:rsidP="000F5691">
            <w:pPr>
              <w:spacing w:line="240" w:lineRule="auto"/>
              <w:rPr>
                <w:sz w:val="20"/>
                <w:szCs w:val="20"/>
              </w:rPr>
            </w:pPr>
            <w:r w:rsidRPr="007D437F">
              <w:rPr>
                <w:sz w:val="20"/>
                <w:szCs w:val="20"/>
              </w:rPr>
              <w:t>Median in months (95% CI)</w:t>
            </w:r>
          </w:p>
        </w:tc>
        <w:tc>
          <w:tcPr>
            <w:tcW w:w="3095" w:type="dxa"/>
            <w:shd w:val="clear" w:color="auto" w:fill="auto"/>
          </w:tcPr>
          <w:p w14:paraId="54E0F887" w14:textId="77777777" w:rsidR="00F95F9B" w:rsidRPr="007D437F" w:rsidRDefault="00F95F9B" w:rsidP="000F5691">
            <w:pPr>
              <w:spacing w:line="240" w:lineRule="auto"/>
              <w:jc w:val="center"/>
              <w:rPr>
                <w:sz w:val="20"/>
                <w:szCs w:val="20"/>
              </w:rPr>
            </w:pPr>
            <w:r w:rsidRPr="007D437F">
              <w:rPr>
                <w:sz w:val="20"/>
                <w:szCs w:val="20"/>
              </w:rPr>
              <w:t>2.3 (1.4, 3.6)</w:t>
            </w:r>
          </w:p>
        </w:tc>
        <w:tc>
          <w:tcPr>
            <w:tcW w:w="3098" w:type="dxa"/>
            <w:shd w:val="clear" w:color="auto" w:fill="auto"/>
          </w:tcPr>
          <w:p w14:paraId="55AB3233" w14:textId="77777777" w:rsidR="00F95F9B" w:rsidRPr="007D437F" w:rsidRDefault="00F95F9B" w:rsidP="000F5691">
            <w:pPr>
              <w:spacing w:line="240" w:lineRule="auto"/>
              <w:jc w:val="center"/>
              <w:rPr>
                <w:sz w:val="20"/>
                <w:szCs w:val="20"/>
              </w:rPr>
            </w:pPr>
            <w:r w:rsidRPr="007D437F">
              <w:rPr>
                <w:sz w:val="20"/>
                <w:szCs w:val="20"/>
              </w:rPr>
              <w:t>0.7 (0.1, 1.3)</w:t>
            </w:r>
          </w:p>
        </w:tc>
      </w:tr>
      <w:tr w:rsidR="00F95F9B" w14:paraId="03FE9C7C" w14:textId="77777777" w:rsidTr="007D437F">
        <w:trPr>
          <w:gridAfter w:val="1"/>
          <w:wAfter w:w="11" w:type="dxa"/>
        </w:trPr>
        <w:tc>
          <w:tcPr>
            <w:tcW w:w="3506" w:type="dxa"/>
            <w:shd w:val="clear" w:color="auto" w:fill="auto"/>
          </w:tcPr>
          <w:p w14:paraId="7583028E" w14:textId="77777777" w:rsidR="00F95F9B" w:rsidRPr="007D437F" w:rsidRDefault="00F95F9B" w:rsidP="000F5691">
            <w:pPr>
              <w:spacing w:line="240" w:lineRule="auto"/>
              <w:rPr>
                <w:sz w:val="20"/>
                <w:szCs w:val="20"/>
              </w:rPr>
            </w:pPr>
            <w:r w:rsidRPr="007D437F">
              <w:rPr>
                <w:sz w:val="20"/>
                <w:szCs w:val="20"/>
              </w:rPr>
              <w:t>Hazard Ratio (95% CI)</w:t>
            </w:r>
          </w:p>
        </w:tc>
        <w:tc>
          <w:tcPr>
            <w:tcW w:w="6193" w:type="dxa"/>
            <w:gridSpan w:val="2"/>
            <w:shd w:val="clear" w:color="auto" w:fill="auto"/>
          </w:tcPr>
          <w:p w14:paraId="3E05EA69" w14:textId="77777777" w:rsidR="00F95F9B" w:rsidRPr="007D437F" w:rsidRDefault="00F95F9B" w:rsidP="000F5691">
            <w:pPr>
              <w:spacing w:line="240" w:lineRule="auto"/>
              <w:jc w:val="center"/>
              <w:rPr>
                <w:sz w:val="20"/>
                <w:szCs w:val="20"/>
              </w:rPr>
            </w:pPr>
            <w:r w:rsidRPr="007D437F">
              <w:rPr>
                <w:sz w:val="20"/>
                <w:szCs w:val="20"/>
              </w:rPr>
              <w:t>0.499 (0.387, 0.643)</w:t>
            </w:r>
          </w:p>
        </w:tc>
      </w:tr>
      <w:tr w:rsidR="00F95F9B" w14:paraId="2B79DFB1" w14:textId="77777777" w:rsidTr="007D437F">
        <w:trPr>
          <w:gridAfter w:val="1"/>
          <w:wAfter w:w="11" w:type="dxa"/>
        </w:trPr>
        <w:tc>
          <w:tcPr>
            <w:tcW w:w="3506" w:type="dxa"/>
            <w:tcBorders>
              <w:bottom w:val="single" w:sz="4" w:space="0" w:color="auto"/>
            </w:tcBorders>
            <w:shd w:val="clear" w:color="auto" w:fill="auto"/>
          </w:tcPr>
          <w:p w14:paraId="59C5E875" w14:textId="77777777" w:rsidR="00F95F9B" w:rsidRPr="007D437F" w:rsidRDefault="00F95F9B" w:rsidP="000F5691">
            <w:pPr>
              <w:spacing w:line="240" w:lineRule="auto"/>
              <w:rPr>
                <w:sz w:val="20"/>
                <w:szCs w:val="20"/>
              </w:rPr>
            </w:pPr>
            <w:r w:rsidRPr="007D437F">
              <w:rPr>
                <w:sz w:val="20"/>
                <w:szCs w:val="20"/>
              </w:rPr>
              <w:t>p-value (1-sided)</w:t>
            </w:r>
            <w:r w:rsidRPr="007D437F">
              <w:rPr>
                <w:sz w:val="20"/>
                <w:szCs w:val="20"/>
                <w:vertAlign w:val="superscript"/>
              </w:rPr>
              <w:t>g</w:t>
            </w:r>
          </w:p>
        </w:tc>
        <w:tc>
          <w:tcPr>
            <w:tcW w:w="6193" w:type="dxa"/>
            <w:gridSpan w:val="2"/>
            <w:tcBorders>
              <w:bottom w:val="single" w:sz="4" w:space="0" w:color="auto"/>
            </w:tcBorders>
            <w:shd w:val="clear" w:color="auto" w:fill="auto"/>
          </w:tcPr>
          <w:p w14:paraId="1873BF2D" w14:textId="77777777" w:rsidR="00F95F9B" w:rsidRPr="007D437F" w:rsidRDefault="00F95F9B" w:rsidP="000F5691">
            <w:pPr>
              <w:spacing w:line="240" w:lineRule="auto"/>
              <w:jc w:val="center"/>
              <w:rPr>
                <w:sz w:val="20"/>
                <w:szCs w:val="20"/>
              </w:rPr>
            </w:pPr>
            <w:r w:rsidRPr="007D437F">
              <w:rPr>
                <w:sz w:val="20"/>
                <w:szCs w:val="20"/>
              </w:rPr>
              <w:t>&lt;0.0001</w:t>
            </w:r>
          </w:p>
        </w:tc>
      </w:tr>
      <w:tr w:rsidR="00F95F9B" w14:paraId="42F1D8F2" w14:textId="77777777" w:rsidTr="007D437F">
        <w:trPr>
          <w:gridAfter w:val="1"/>
          <w:wAfter w:w="11" w:type="dxa"/>
        </w:trPr>
        <w:tc>
          <w:tcPr>
            <w:tcW w:w="9699" w:type="dxa"/>
            <w:gridSpan w:val="3"/>
            <w:tcBorders>
              <w:top w:val="single" w:sz="4" w:space="0" w:color="auto"/>
              <w:left w:val="nil"/>
              <w:bottom w:val="nil"/>
              <w:right w:val="nil"/>
            </w:tcBorders>
            <w:shd w:val="clear" w:color="auto" w:fill="auto"/>
            <w:vAlign w:val="bottom"/>
          </w:tcPr>
          <w:p w14:paraId="7D874192" w14:textId="77777777" w:rsidR="00F95F9B" w:rsidRPr="007D437F" w:rsidRDefault="00F95F9B" w:rsidP="000F5691">
            <w:pPr>
              <w:pStyle w:val="TableNotes"/>
              <w:numPr>
                <w:ilvl w:val="0"/>
                <w:numId w:val="0"/>
              </w:numPr>
              <w:spacing w:after="0" w:line="240" w:lineRule="auto"/>
              <w:ind w:left="360" w:hanging="360"/>
              <w:rPr>
                <w:rFonts w:asciiTheme="minorHAnsi" w:hAnsiTheme="minorHAnsi"/>
                <w:szCs w:val="18"/>
              </w:rPr>
            </w:pPr>
            <w:r w:rsidRPr="007D437F">
              <w:rPr>
                <w:rFonts w:asciiTheme="minorHAnsi" w:hAnsiTheme="minorHAnsi"/>
                <w:szCs w:val="18"/>
              </w:rPr>
              <w:t>CI: confidence interval; NE: not estimable</w:t>
            </w:r>
          </w:p>
          <w:p w14:paraId="48EB67B0" w14:textId="78AE7D95" w:rsidR="00F95F9B" w:rsidRPr="007D437F" w:rsidRDefault="00F95F9B" w:rsidP="00F95F9B">
            <w:pPr>
              <w:pStyle w:val="TableNotes"/>
              <w:numPr>
                <w:ilvl w:val="0"/>
                <w:numId w:val="13"/>
              </w:numPr>
              <w:spacing w:before="0" w:after="0" w:line="240" w:lineRule="auto"/>
              <w:rPr>
                <w:rFonts w:asciiTheme="minorHAnsi" w:hAnsiTheme="minorHAnsi"/>
                <w:szCs w:val="18"/>
              </w:rPr>
            </w:pPr>
            <w:r w:rsidRPr="007D437F">
              <w:rPr>
                <w:rFonts w:asciiTheme="minorHAnsi" w:hAnsiTheme="minorHAnsi"/>
                <w:szCs w:val="18"/>
              </w:rPr>
              <w:t xml:space="preserve">CR was defined as an absolute neutrophil count </w:t>
            </w:r>
            <w:r w:rsidR="00287F87">
              <w:rPr>
                <w:rFonts w:asciiTheme="minorHAnsi" w:hAnsiTheme="minorHAnsi"/>
                <w:szCs w:val="18"/>
              </w:rPr>
              <w:sym w:font="Symbol" w:char="F0B3"/>
            </w:r>
            <w:r w:rsidRPr="007D437F">
              <w:rPr>
                <w:rFonts w:asciiTheme="minorHAnsi" w:hAnsiTheme="minorHAnsi"/>
                <w:szCs w:val="18"/>
              </w:rPr>
              <w:t>1.0 x 10</w:t>
            </w:r>
            <w:r w:rsidRPr="007D437F">
              <w:rPr>
                <w:rFonts w:asciiTheme="minorHAnsi" w:hAnsiTheme="minorHAnsi"/>
                <w:szCs w:val="18"/>
                <w:vertAlign w:val="superscript"/>
              </w:rPr>
              <w:t>9</w:t>
            </w:r>
            <w:r w:rsidRPr="007D437F">
              <w:rPr>
                <w:rFonts w:asciiTheme="minorHAnsi" w:hAnsiTheme="minorHAnsi"/>
                <w:szCs w:val="18"/>
              </w:rPr>
              <w:t xml:space="preserve">/L, platelets </w:t>
            </w:r>
            <w:r w:rsidR="00287F87">
              <w:rPr>
                <w:rFonts w:asciiTheme="minorHAnsi" w:hAnsiTheme="minorHAnsi"/>
                <w:szCs w:val="18"/>
              </w:rPr>
              <w:sym w:font="Symbol" w:char="F0B3"/>
            </w:r>
            <w:r w:rsidRPr="007D437F">
              <w:rPr>
                <w:rFonts w:asciiTheme="minorHAnsi" w:hAnsiTheme="minorHAnsi"/>
                <w:szCs w:val="18"/>
              </w:rPr>
              <w:t>100 x 10</w:t>
            </w:r>
            <w:r w:rsidRPr="007D437F">
              <w:rPr>
                <w:rFonts w:asciiTheme="minorHAnsi" w:hAnsiTheme="minorHAnsi"/>
                <w:szCs w:val="18"/>
                <w:vertAlign w:val="superscript"/>
              </w:rPr>
              <w:t>9</w:t>
            </w:r>
            <w:r w:rsidRPr="007D437F">
              <w:rPr>
                <w:rFonts w:asciiTheme="minorHAnsi" w:hAnsiTheme="minorHAnsi"/>
                <w:szCs w:val="18"/>
              </w:rPr>
              <w:t xml:space="preserve">/L, normal marrow differential with &lt;5% blasts, must have been red blood cells, platelet transfusion independent and no evidence of </w:t>
            </w:r>
            <w:proofErr w:type="spellStart"/>
            <w:r w:rsidRPr="007D437F">
              <w:rPr>
                <w:rFonts w:asciiTheme="minorHAnsi" w:hAnsiTheme="minorHAnsi"/>
                <w:szCs w:val="18"/>
              </w:rPr>
              <w:t>extramedullary</w:t>
            </w:r>
            <w:proofErr w:type="spellEnd"/>
            <w:r w:rsidRPr="007D437F">
              <w:rPr>
                <w:rFonts w:asciiTheme="minorHAnsi" w:hAnsiTheme="minorHAnsi"/>
                <w:szCs w:val="18"/>
              </w:rPr>
              <w:t xml:space="preserve"> </w:t>
            </w:r>
            <w:r w:rsidR="009B6350">
              <w:rPr>
                <w:rFonts w:asciiTheme="minorHAnsi" w:hAnsiTheme="minorHAnsi"/>
                <w:szCs w:val="18"/>
              </w:rPr>
              <w:t>leukaemia</w:t>
            </w:r>
            <w:r w:rsidRPr="007D437F">
              <w:rPr>
                <w:rFonts w:asciiTheme="minorHAnsi" w:hAnsiTheme="minorHAnsi"/>
                <w:szCs w:val="18"/>
              </w:rPr>
              <w:t>.</w:t>
            </w:r>
          </w:p>
          <w:p w14:paraId="09F5A947" w14:textId="77777777" w:rsidR="00F95F9B" w:rsidRPr="007D437F" w:rsidRDefault="00F95F9B" w:rsidP="00F95F9B">
            <w:pPr>
              <w:pStyle w:val="TableNotes"/>
              <w:numPr>
                <w:ilvl w:val="0"/>
                <w:numId w:val="13"/>
              </w:numPr>
              <w:spacing w:before="0" w:after="0" w:line="240" w:lineRule="auto"/>
              <w:rPr>
                <w:rFonts w:asciiTheme="minorHAnsi" w:hAnsiTheme="minorHAnsi"/>
                <w:szCs w:val="18"/>
              </w:rPr>
            </w:pPr>
            <w:r w:rsidRPr="007D437F">
              <w:rPr>
                <w:rFonts w:asciiTheme="minorHAnsi" w:hAnsiTheme="minorHAnsi"/>
                <w:szCs w:val="18"/>
              </w:rPr>
              <w:t xml:space="preserve">The 95% CI rate </w:t>
            </w:r>
            <w:proofErr w:type="gramStart"/>
            <w:r w:rsidRPr="007D437F">
              <w:rPr>
                <w:rFonts w:asciiTheme="minorHAnsi" w:hAnsiTheme="minorHAnsi"/>
                <w:szCs w:val="18"/>
              </w:rPr>
              <w:t>was calculated</w:t>
            </w:r>
            <w:proofErr w:type="gramEnd"/>
            <w:r w:rsidRPr="007D437F">
              <w:rPr>
                <w:rFonts w:asciiTheme="minorHAnsi" w:hAnsiTheme="minorHAnsi"/>
                <w:szCs w:val="18"/>
              </w:rPr>
              <w:t xml:space="preserve"> using the exact method based on binomial distribution. </w:t>
            </w:r>
          </w:p>
          <w:p w14:paraId="306BB035" w14:textId="77777777" w:rsidR="00F95F9B" w:rsidRPr="007D437F" w:rsidRDefault="00F95F9B" w:rsidP="00F95F9B">
            <w:pPr>
              <w:pStyle w:val="TableNotes"/>
              <w:numPr>
                <w:ilvl w:val="0"/>
                <w:numId w:val="13"/>
              </w:numPr>
              <w:spacing w:before="0" w:after="0" w:line="240" w:lineRule="auto"/>
              <w:rPr>
                <w:rFonts w:asciiTheme="minorHAnsi" w:hAnsiTheme="minorHAnsi"/>
                <w:szCs w:val="18"/>
              </w:rPr>
            </w:pPr>
            <w:r w:rsidRPr="007D437F">
              <w:rPr>
                <w:rFonts w:asciiTheme="minorHAnsi" w:hAnsiTheme="minorHAnsi"/>
                <w:szCs w:val="18"/>
              </w:rPr>
              <w:t xml:space="preserve">DOR </w:t>
            </w:r>
            <w:proofErr w:type="gramStart"/>
            <w:r w:rsidRPr="007D437F">
              <w:rPr>
                <w:rFonts w:asciiTheme="minorHAnsi" w:hAnsiTheme="minorHAnsi"/>
                <w:szCs w:val="18"/>
              </w:rPr>
              <w:t>was defined</w:t>
            </w:r>
            <w:proofErr w:type="gramEnd"/>
            <w:r w:rsidRPr="007D437F">
              <w:rPr>
                <w:rFonts w:asciiTheme="minorHAnsi" w:hAnsiTheme="minorHAnsi"/>
                <w:szCs w:val="18"/>
              </w:rPr>
              <w:t xml:space="preserve"> as the time from the date of either first CR or </w:t>
            </w:r>
            <w:proofErr w:type="spellStart"/>
            <w:r w:rsidRPr="007D437F">
              <w:rPr>
                <w:rFonts w:asciiTheme="minorHAnsi" w:hAnsiTheme="minorHAnsi"/>
                <w:szCs w:val="18"/>
              </w:rPr>
              <w:t>CRh</w:t>
            </w:r>
            <w:proofErr w:type="spellEnd"/>
            <w:r w:rsidRPr="007D437F">
              <w:rPr>
                <w:rFonts w:asciiTheme="minorHAnsi" w:hAnsiTheme="minorHAnsi"/>
                <w:szCs w:val="18"/>
              </w:rPr>
              <w:t xml:space="preserve"> until the date of a documented relapse of any type.</w:t>
            </w:r>
          </w:p>
          <w:p w14:paraId="2E53A990" w14:textId="3A415B32" w:rsidR="00F95F9B" w:rsidRPr="007D437F" w:rsidRDefault="00F95F9B" w:rsidP="00F95F9B">
            <w:pPr>
              <w:pStyle w:val="TableNotes"/>
              <w:numPr>
                <w:ilvl w:val="0"/>
                <w:numId w:val="13"/>
              </w:numPr>
              <w:spacing w:before="0" w:after="0" w:line="240" w:lineRule="auto"/>
              <w:rPr>
                <w:rFonts w:asciiTheme="minorHAnsi" w:hAnsiTheme="minorHAnsi"/>
                <w:szCs w:val="18"/>
              </w:rPr>
            </w:pPr>
            <w:proofErr w:type="spellStart"/>
            <w:r w:rsidRPr="007D437F">
              <w:rPr>
                <w:rFonts w:asciiTheme="minorHAnsi" w:hAnsiTheme="minorHAnsi"/>
                <w:szCs w:val="18"/>
              </w:rPr>
              <w:t>CRh</w:t>
            </w:r>
            <w:proofErr w:type="spellEnd"/>
            <w:r w:rsidRPr="007D437F">
              <w:rPr>
                <w:rFonts w:asciiTheme="minorHAnsi" w:hAnsiTheme="minorHAnsi"/>
                <w:szCs w:val="18"/>
              </w:rPr>
              <w:t xml:space="preserve"> </w:t>
            </w:r>
            <w:proofErr w:type="gramStart"/>
            <w:r w:rsidRPr="007D437F">
              <w:rPr>
                <w:rFonts w:asciiTheme="minorHAnsi" w:hAnsiTheme="minorHAnsi"/>
                <w:szCs w:val="18"/>
              </w:rPr>
              <w:t>was defined</w:t>
            </w:r>
            <w:proofErr w:type="gramEnd"/>
            <w:r w:rsidRPr="007D437F">
              <w:rPr>
                <w:rFonts w:asciiTheme="minorHAnsi" w:hAnsiTheme="minorHAnsi"/>
                <w:szCs w:val="18"/>
              </w:rPr>
              <w:t xml:space="preserve"> as marrow blasts &lt;5%, partial </w:t>
            </w:r>
            <w:proofErr w:type="spellStart"/>
            <w:r w:rsidRPr="007D437F">
              <w:rPr>
                <w:rFonts w:asciiTheme="minorHAnsi" w:hAnsiTheme="minorHAnsi"/>
                <w:szCs w:val="18"/>
              </w:rPr>
              <w:t>haematologic</w:t>
            </w:r>
            <w:proofErr w:type="spellEnd"/>
            <w:r w:rsidRPr="007D437F">
              <w:rPr>
                <w:rFonts w:asciiTheme="minorHAnsi" w:hAnsiTheme="minorHAnsi"/>
                <w:szCs w:val="18"/>
              </w:rPr>
              <w:t xml:space="preserve"> recovery absolute neutrophil count </w:t>
            </w:r>
            <w:r w:rsidR="00287F87">
              <w:rPr>
                <w:rFonts w:asciiTheme="minorHAnsi" w:hAnsiTheme="minorHAnsi"/>
                <w:szCs w:val="18"/>
              </w:rPr>
              <w:sym w:font="Symbol" w:char="F0B3"/>
            </w:r>
            <w:r w:rsidRPr="007D437F">
              <w:rPr>
                <w:rFonts w:asciiTheme="minorHAnsi" w:hAnsiTheme="minorHAnsi"/>
                <w:szCs w:val="18"/>
              </w:rPr>
              <w:t>0.5 x 10</w:t>
            </w:r>
            <w:r w:rsidRPr="007D437F">
              <w:rPr>
                <w:rFonts w:asciiTheme="minorHAnsi" w:hAnsiTheme="minorHAnsi"/>
                <w:szCs w:val="18"/>
                <w:vertAlign w:val="superscript"/>
              </w:rPr>
              <w:t>9</w:t>
            </w:r>
            <w:r w:rsidRPr="007D437F">
              <w:rPr>
                <w:rFonts w:asciiTheme="minorHAnsi" w:hAnsiTheme="minorHAnsi"/>
                <w:szCs w:val="18"/>
              </w:rPr>
              <w:t xml:space="preserve">/L and platelets </w:t>
            </w:r>
            <w:r w:rsidR="00287F87">
              <w:rPr>
                <w:rFonts w:asciiTheme="minorHAnsi" w:hAnsiTheme="minorHAnsi"/>
                <w:szCs w:val="18"/>
              </w:rPr>
              <w:sym w:font="Symbol" w:char="F0B3"/>
            </w:r>
            <w:r w:rsidRPr="007D437F">
              <w:rPr>
                <w:rFonts w:asciiTheme="minorHAnsi" w:hAnsiTheme="minorHAnsi"/>
                <w:szCs w:val="18"/>
              </w:rPr>
              <w:t>50 x 10</w:t>
            </w:r>
            <w:r w:rsidRPr="007D437F">
              <w:rPr>
                <w:rFonts w:asciiTheme="minorHAnsi" w:hAnsiTheme="minorHAnsi"/>
                <w:szCs w:val="18"/>
                <w:vertAlign w:val="superscript"/>
              </w:rPr>
              <w:t>9</w:t>
            </w:r>
            <w:r w:rsidRPr="007D437F">
              <w:rPr>
                <w:rFonts w:asciiTheme="minorHAnsi" w:hAnsiTheme="minorHAnsi"/>
                <w:szCs w:val="18"/>
              </w:rPr>
              <w:t xml:space="preserve">/L, no evidence of </w:t>
            </w:r>
            <w:proofErr w:type="spellStart"/>
            <w:r w:rsidRPr="007D437F">
              <w:rPr>
                <w:rFonts w:asciiTheme="minorHAnsi" w:hAnsiTheme="minorHAnsi"/>
                <w:szCs w:val="18"/>
              </w:rPr>
              <w:t>extramedullary</w:t>
            </w:r>
            <w:proofErr w:type="spellEnd"/>
            <w:r w:rsidRPr="007D437F">
              <w:rPr>
                <w:rFonts w:asciiTheme="minorHAnsi" w:hAnsiTheme="minorHAnsi"/>
                <w:szCs w:val="18"/>
              </w:rPr>
              <w:t xml:space="preserve"> </w:t>
            </w:r>
            <w:r w:rsidR="009B6350">
              <w:rPr>
                <w:rFonts w:asciiTheme="minorHAnsi" w:hAnsiTheme="minorHAnsi"/>
                <w:szCs w:val="18"/>
              </w:rPr>
              <w:t>leukaemia</w:t>
            </w:r>
            <w:r w:rsidRPr="007D437F">
              <w:rPr>
                <w:rFonts w:asciiTheme="minorHAnsi" w:hAnsiTheme="minorHAnsi"/>
                <w:szCs w:val="18"/>
              </w:rPr>
              <w:t xml:space="preserve"> and could not have been classified as CR.</w:t>
            </w:r>
          </w:p>
          <w:p w14:paraId="5A9CB7A7" w14:textId="77777777" w:rsidR="00F95F9B" w:rsidRPr="007D437F" w:rsidRDefault="00F95F9B" w:rsidP="00F95F9B">
            <w:pPr>
              <w:pStyle w:val="TableNotes"/>
              <w:numPr>
                <w:ilvl w:val="0"/>
                <w:numId w:val="13"/>
              </w:numPr>
              <w:spacing w:before="0" w:after="0" w:line="240" w:lineRule="auto"/>
              <w:rPr>
                <w:rFonts w:asciiTheme="minorHAnsi" w:hAnsiTheme="minorHAnsi"/>
                <w:szCs w:val="18"/>
              </w:rPr>
            </w:pPr>
            <w:r w:rsidRPr="007D437F">
              <w:rPr>
                <w:rFonts w:asciiTheme="minorHAnsi" w:hAnsiTheme="minorHAnsi"/>
                <w:szCs w:val="18"/>
              </w:rPr>
              <w:t>Based on Kaplan-Meier estimates.</w:t>
            </w:r>
          </w:p>
          <w:p w14:paraId="493E604D" w14:textId="32F30010" w:rsidR="00F95F9B" w:rsidRPr="007D437F" w:rsidRDefault="00F95F9B" w:rsidP="00F95F9B">
            <w:pPr>
              <w:pStyle w:val="TableNotes"/>
              <w:numPr>
                <w:ilvl w:val="0"/>
                <w:numId w:val="13"/>
              </w:numPr>
              <w:spacing w:before="0" w:after="0" w:line="240" w:lineRule="auto"/>
              <w:rPr>
                <w:rFonts w:asciiTheme="minorHAnsi" w:hAnsiTheme="minorHAnsi"/>
                <w:szCs w:val="18"/>
              </w:rPr>
            </w:pPr>
            <w:r w:rsidRPr="007D437F">
              <w:rPr>
                <w:rFonts w:asciiTheme="minorHAnsi" w:hAnsiTheme="minorHAnsi"/>
                <w:szCs w:val="18"/>
              </w:rPr>
              <w:t>Modified analysis of event free survival (EFS), defined as a failure to obtain a composite complete remission (</w:t>
            </w:r>
            <w:proofErr w:type="spellStart"/>
            <w:r w:rsidRPr="007D437F">
              <w:rPr>
                <w:rFonts w:asciiTheme="minorHAnsi" w:hAnsiTheme="minorHAnsi"/>
                <w:szCs w:val="18"/>
              </w:rPr>
              <w:t>CRc</w:t>
            </w:r>
            <w:proofErr w:type="spellEnd"/>
            <w:r w:rsidRPr="007D437F">
              <w:rPr>
                <w:rFonts w:asciiTheme="minorHAnsi" w:hAnsiTheme="minorHAnsi"/>
                <w:szCs w:val="18"/>
              </w:rPr>
              <w:t>) with failures assigned as an event on date of randomization, relapse, or death from any cause, including events and initiation of new anti-</w:t>
            </w:r>
            <w:r w:rsidR="009B6350">
              <w:rPr>
                <w:rFonts w:asciiTheme="minorHAnsi" w:hAnsiTheme="minorHAnsi"/>
                <w:szCs w:val="18"/>
              </w:rPr>
              <w:t>leukaemia</w:t>
            </w:r>
            <w:r w:rsidRPr="007D437F">
              <w:rPr>
                <w:rFonts w:asciiTheme="minorHAnsi" w:hAnsiTheme="minorHAnsi"/>
                <w:szCs w:val="18"/>
              </w:rPr>
              <w:t xml:space="preserve"> treatments reported in long-term follow up.</w:t>
            </w:r>
          </w:p>
          <w:p w14:paraId="7901539E" w14:textId="77777777" w:rsidR="00F95F9B" w:rsidRPr="0071388E" w:rsidRDefault="00F95F9B" w:rsidP="00F95F9B">
            <w:pPr>
              <w:pStyle w:val="TableNotes"/>
              <w:numPr>
                <w:ilvl w:val="0"/>
                <w:numId w:val="13"/>
              </w:numPr>
              <w:spacing w:before="0" w:after="0" w:line="240" w:lineRule="auto"/>
              <w:rPr>
                <w:szCs w:val="18"/>
              </w:rPr>
            </w:pPr>
            <w:r w:rsidRPr="007D437F">
              <w:rPr>
                <w:rFonts w:asciiTheme="minorHAnsi" w:hAnsiTheme="minorHAnsi"/>
                <w:szCs w:val="18"/>
              </w:rPr>
              <w:t>Based on log-rank test from stratified analysis.</w:t>
            </w:r>
          </w:p>
        </w:tc>
      </w:tr>
    </w:tbl>
    <w:p w14:paraId="63E2747C" w14:textId="77777777" w:rsidR="00F95F9B" w:rsidRPr="00F80972" w:rsidRDefault="00F95F9B" w:rsidP="00F80972"/>
    <w:p w14:paraId="5F6C2F1E" w14:textId="77777777" w:rsidR="00BE6ABC" w:rsidRPr="00BE6ABC" w:rsidRDefault="00162645" w:rsidP="00BE6ABC">
      <w:pPr>
        <w:keepNext/>
        <w:spacing w:after="240"/>
        <w:rPr>
          <w:b/>
          <w:bCs/>
        </w:rPr>
      </w:pPr>
      <w:bookmarkStart w:id="8" w:name="_Ref1643262"/>
      <w:r>
        <w:rPr>
          <w:noProof/>
          <w:lang w:eastAsia="en-AU"/>
        </w:rPr>
        <w:lastRenderedPageBreak/>
        <w:drawing>
          <wp:anchor distT="0" distB="0" distL="114300" distR="114300" simplePos="0" relativeHeight="251659264" behindDoc="1" locked="0" layoutInCell="1" allowOverlap="0" wp14:anchorId="0D14A0E3" wp14:editId="6B6CEE7E">
            <wp:simplePos x="0" y="0"/>
            <wp:positionH relativeFrom="column">
              <wp:align>left</wp:align>
            </wp:positionH>
            <wp:positionV relativeFrom="paragraph">
              <wp:posOffset>165100</wp:posOffset>
            </wp:positionV>
            <wp:extent cx="5846445" cy="3282315"/>
            <wp:effectExtent l="0" t="0" r="1905" b="0"/>
            <wp:wrapTight wrapText="bothSides">
              <wp:wrapPolygon edited="0">
                <wp:start x="0" y="0"/>
                <wp:lineTo x="0" y="21437"/>
                <wp:lineTo x="21537" y="21437"/>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6445" cy="328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6ABC" w:rsidRPr="00BE6ABC">
        <w:rPr>
          <w:b/>
          <w:bCs/>
        </w:rPr>
        <w:t xml:space="preserve">Figure </w:t>
      </w:r>
      <w:r w:rsidR="00BE6ABC" w:rsidRPr="00BE6ABC">
        <w:rPr>
          <w:b/>
          <w:bCs/>
        </w:rPr>
        <w:fldChar w:fldCharType="begin"/>
      </w:r>
      <w:r w:rsidR="00BE6ABC" w:rsidRPr="00BE6ABC">
        <w:rPr>
          <w:b/>
          <w:bCs/>
        </w:rPr>
        <w:instrText xml:space="preserve"> SEQ Figure \* ARABIC </w:instrText>
      </w:r>
      <w:r w:rsidR="00BE6ABC" w:rsidRPr="00BE6ABC">
        <w:rPr>
          <w:b/>
          <w:bCs/>
        </w:rPr>
        <w:fldChar w:fldCharType="separate"/>
      </w:r>
      <w:r w:rsidR="00BE6ABC" w:rsidRPr="00BE6ABC">
        <w:rPr>
          <w:b/>
          <w:bCs/>
          <w:noProof/>
        </w:rPr>
        <w:t>1</w:t>
      </w:r>
      <w:r w:rsidR="00BE6ABC" w:rsidRPr="00BE6ABC">
        <w:rPr>
          <w:b/>
          <w:bCs/>
        </w:rPr>
        <w:fldChar w:fldCharType="end"/>
      </w:r>
      <w:bookmarkEnd w:id="8"/>
      <w:r w:rsidR="00BE6ABC" w:rsidRPr="00BE6ABC">
        <w:rPr>
          <w:b/>
          <w:bCs/>
        </w:rPr>
        <w:t>: Kaplan-Meier Plot of Overall Survival in ADMIRAL Trial</w:t>
      </w:r>
    </w:p>
    <w:p w14:paraId="72196729" w14:textId="26D3394B" w:rsidR="00A40A96" w:rsidRDefault="00A40A96" w:rsidP="00A40A96">
      <w:r>
        <w:t>For patients who achieved a CR/</w:t>
      </w:r>
      <w:proofErr w:type="spellStart"/>
      <w:r>
        <w:t>CRh</w:t>
      </w:r>
      <w:proofErr w:type="spellEnd"/>
      <w:r>
        <w:t xml:space="preserve">, the median time to first response was 3.7 months (range, 0.9 to 10.6 months) in the </w:t>
      </w:r>
      <w:proofErr w:type="spellStart"/>
      <w:r>
        <w:t>gilteritinib</w:t>
      </w:r>
      <w:proofErr w:type="spellEnd"/>
      <w:r>
        <w:t xml:space="preserve"> arm and 1.2 months (range: 1 to 2.6 months) in the salvage chemotherapy arm. The median time to best response of CR/</w:t>
      </w:r>
      <w:proofErr w:type="spellStart"/>
      <w:r>
        <w:t>CRh</w:t>
      </w:r>
      <w:proofErr w:type="spellEnd"/>
      <w:r>
        <w:t xml:space="preserve"> was 3.8 months (range, 0.9 to 16 months) in the </w:t>
      </w:r>
      <w:proofErr w:type="spellStart"/>
      <w:r>
        <w:t>gilteritinib</w:t>
      </w:r>
      <w:proofErr w:type="spellEnd"/>
      <w:r>
        <w:t xml:space="preserve"> arm and 1.2 months (range: 1 to 2.6 months) in</w:t>
      </w:r>
      <w:r w:rsidR="00096BEE">
        <w:t xml:space="preserve"> the salvage chemotherapy arm.</w:t>
      </w:r>
    </w:p>
    <w:p w14:paraId="53978DD9" w14:textId="58F925D8" w:rsidR="00A40A96" w:rsidRDefault="00A40A96" w:rsidP="00A40A96">
      <w:r>
        <w:t>Among the 197 patients who were dependent on red blood cell (RBC) and/or platelet transfusions at baseline, 68 (34.5%) became independent of RBC and platelet transfusions during any 56-day post-baseline period. For the 49 patients who were independent of both RBC and platelet transfusions at baseline, 29 (59.2%) remained transfusion-independent during any 56-day post-basel</w:t>
      </w:r>
      <w:r w:rsidR="00096BEE">
        <w:t>ine period.</w:t>
      </w:r>
    </w:p>
    <w:p w14:paraId="75AB7FE8" w14:textId="274DD4D9" w:rsidR="001A3992" w:rsidRDefault="001A3992" w:rsidP="001A3992">
      <w:pPr>
        <w:pStyle w:val="Heading2"/>
        <w:keepNext/>
        <w:spacing w:before="0" w:after="120"/>
        <w:rPr>
          <w:lang w:val="en-US"/>
        </w:rPr>
      </w:pPr>
      <w:bookmarkStart w:id="9" w:name="_Ref1553814"/>
      <w:r w:rsidRPr="00EC3C40">
        <w:rPr>
          <w:lang w:val="en-US"/>
        </w:rPr>
        <w:t>Pharmacokinetic properties</w:t>
      </w:r>
      <w:bookmarkEnd w:id="9"/>
    </w:p>
    <w:p w14:paraId="4F56EF0D" w14:textId="4D6BAB89" w:rsidR="0021200F" w:rsidRDefault="0021200F" w:rsidP="000E375F">
      <w:pPr>
        <w:pStyle w:val="Heading3"/>
      </w:pPr>
      <w:r w:rsidRPr="00497C85">
        <w:t>Absorption</w:t>
      </w:r>
    </w:p>
    <w:p w14:paraId="551DA4A8" w14:textId="77777777" w:rsidR="00E4593E" w:rsidRDefault="00E4593E" w:rsidP="00E4593E">
      <w:r>
        <w:t xml:space="preserve">Following oral administration of </w:t>
      </w:r>
      <w:proofErr w:type="spellStart"/>
      <w:r>
        <w:t>gilteritinib</w:t>
      </w:r>
      <w:proofErr w:type="spellEnd"/>
      <w:r>
        <w:t xml:space="preserve">, peak plasma concentrations </w:t>
      </w:r>
      <w:proofErr w:type="gramStart"/>
      <w:r>
        <w:t>are observed</w:t>
      </w:r>
      <w:proofErr w:type="gramEnd"/>
      <w:r>
        <w:t xml:space="preserve"> at a median </w:t>
      </w:r>
      <w:proofErr w:type="spellStart"/>
      <w:r>
        <w:t>t</w:t>
      </w:r>
      <w:r w:rsidRPr="00E4593E">
        <w:rPr>
          <w:vertAlign w:val="subscript"/>
        </w:rPr>
        <w:t>max</w:t>
      </w:r>
      <w:proofErr w:type="spellEnd"/>
      <w:r>
        <w:t xml:space="preserve"> approximately between 4 and 6 hours in healthy volunteers and patients with relapsed or refractory AML. </w:t>
      </w:r>
      <w:proofErr w:type="spellStart"/>
      <w:r>
        <w:t>Gilteritinib</w:t>
      </w:r>
      <w:proofErr w:type="spellEnd"/>
      <w:r>
        <w:t xml:space="preserve"> undergoes first-order absorption with an estimated absorption rate (</w:t>
      </w:r>
      <w:proofErr w:type="spellStart"/>
      <w:r>
        <w:t>k</w:t>
      </w:r>
      <w:r w:rsidRPr="00E4593E">
        <w:rPr>
          <w:vertAlign w:val="subscript"/>
        </w:rPr>
        <w:t>a</w:t>
      </w:r>
      <w:proofErr w:type="spellEnd"/>
      <w:r>
        <w:t>) of 0.43 h-1 with a lag time of 0.34 hours based on population PK modelling. Median steady-state maximum concentration (</w:t>
      </w:r>
      <w:proofErr w:type="spellStart"/>
      <w:r>
        <w:t>C</w:t>
      </w:r>
      <w:r w:rsidRPr="00E4593E">
        <w:rPr>
          <w:vertAlign w:val="subscript"/>
        </w:rPr>
        <w:t>max</w:t>
      </w:r>
      <w:proofErr w:type="spellEnd"/>
      <w:r>
        <w:t>) is 282.0 ng/mL (</w:t>
      </w:r>
      <w:proofErr w:type="gramStart"/>
      <w:r>
        <w:t>CV%</w:t>
      </w:r>
      <w:proofErr w:type="gramEnd"/>
      <w:r>
        <w:t xml:space="preserve"> = 50.8), and area under the plasma concentration curve during 24-hour dosing interval (AUC</w:t>
      </w:r>
      <w:r w:rsidRPr="00E4593E">
        <w:rPr>
          <w:vertAlign w:val="subscript"/>
        </w:rPr>
        <w:t>0-24</w:t>
      </w:r>
      <w:r>
        <w:t xml:space="preserve">) is 6180 </w:t>
      </w:r>
      <w:proofErr w:type="spellStart"/>
      <w:r>
        <w:t>ng·h</w:t>
      </w:r>
      <w:proofErr w:type="spellEnd"/>
      <w:r>
        <w:t xml:space="preserve">/mL (CV% = 46.4) after once-daily dosing of 120 mg </w:t>
      </w:r>
      <w:proofErr w:type="spellStart"/>
      <w:r>
        <w:t>gilteritinib</w:t>
      </w:r>
      <w:proofErr w:type="spellEnd"/>
      <w:r>
        <w:t xml:space="preserve">. Steady-state plasma levels </w:t>
      </w:r>
      <w:proofErr w:type="gramStart"/>
      <w:r>
        <w:t>are reached</w:t>
      </w:r>
      <w:proofErr w:type="gramEnd"/>
      <w:r>
        <w:t xml:space="preserve"> within 15 days of once-daily dosing with an approximate 10-fold accumulation.</w:t>
      </w:r>
    </w:p>
    <w:p w14:paraId="6D42A030" w14:textId="77777777" w:rsidR="00E4593E" w:rsidRPr="00E4593E" w:rsidRDefault="00E4593E" w:rsidP="00096BEE">
      <w:pPr>
        <w:keepNext/>
        <w:spacing w:after="0"/>
        <w:rPr>
          <w:i/>
          <w:iCs/>
        </w:rPr>
      </w:pPr>
      <w:r w:rsidRPr="00E4593E">
        <w:rPr>
          <w:i/>
          <w:iCs/>
        </w:rPr>
        <w:lastRenderedPageBreak/>
        <w:t>Effect of Food</w:t>
      </w:r>
    </w:p>
    <w:p w14:paraId="30084581" w14:textId="1E659EFD" w:rsidR="006932BE" w:rsidRPr="006932BE" w:rsidRDefault="00E4593E" w:rsidP="00E4593E">
      <w:r>
        <w:t xml:space="preserve">In healthy adults, </w:t>
      </w:r>
      <w:proofErr w:type="spellStart"/>
      <w:r>
        <w:t>gilteritinib</w:t>
      </w:r>
      <w:proofErr w:type="spellEnd"/>
      <w:r>
        <w:t xml:space="preserve"> </w:t>
      </w:r>
      <w:proofErr w:type="spellStart"/>
      <w:r>
        <w:t>C</w:t>
      </w:r>
      <w:r w:rsidRPr="00E4593E">
        <w:rPr>
          <w:vertAlign w:val="subscript"/>
        </w:rPr>
        <w:t>max</w:t>
      </w:r>
      <w:proofErr w:type="spellEnd"/>
      <w:r>
        <w:t xml:space="preserve"> and AUC decreased by approximately 26% and less than 10%, respectively, when a single 40 mg dose of </w:t>
      </w:r>
      <w:proofErr w:type="spellStart"/>
      <w:r>
        <w:t>gilteritinib</w:t>
      </w:r>
      <w:proofErr w:type="spellEnd"/>
      <w:r>
        <w:t xml:space="preserve"> </w:t>
      </w:r>
      <w:proofErr w:type="gramStart"/>
      <w:r>
        <w:t>was co-administered</w:t>
      </w:r>
      <w:proofErr w:type="gramEnd"/>
      <w:r>
        <w:t xml:space="preserve"> with a high fat meal compared to </w:t>
      </w:r>
      <w:proofErr w:type="spellStart"/>
      <w:r>
        <w:t>gilteritinib</w:t>
      </w:r>
      <w:proofErr w:type="spellEnd"/>
      <w:r>
        <w:t xml:space="preserve"> exposure in fasted state. Median </w:t>
      </w:r>
      <w:proofErr w:type="spellStart"/>
      <w:r>
        <w:t>t</w:t>
      </w:r>
      <w:r w:rsidRPr="00E4593E">
        <w:rPr>
          <w:vertAlign w:val="subscript"/>
        </w:rPr>
        <w:t>max</w:t>
      </w:r>
      <w:proofErr w:type="spellEnd"/>
      <w:r>
        <w:t xml:space="preserve"> </w:t>
      </w:r>
      <w:proofErr w:type="gramStart"/>
      <w:r>
        <w:t>was delayed</w:t>
      </w:r>
      <w:proofErr w:type="gramEnd"/>
      <w:r>
        <w:t xml:space="preserve"> 2 hours when </w:t>
      </w:r>
      <w:proofErr w:type="spellStart"/>
      <w:r>
        <w:t>gilteritinib</w:t>
      </w:r>
      <w:proofErr w:type="spellEnd"/>
      <w:r>
        <w:t xml:space="preserve"> was adm</w:t>
      </w:r>
      <w:r w:rsidR="007E4C33">
        <w:t>inistered with a high-fat meal.</w:t>
      </w:r>
    </w:p>
    <w:p w14:paraId="485F2747" w14:textId="77777777" w:rsidR="0021200F" w:rsidRDefault="0021200F" w:rsidP="0021200F">
      <w:pPr>
        <w:pStyle w:val="Heading3"/>
        <w:spacing w:before="0" w:after="120"/>
        <w:rPr>
          <w:rFonts w:cstheme="minorHAnsi"/>
          <w:b w:val="0"/>
        </w:rPr>
      </w:pPr>
      <w:r w:rsidRPr="00497C85">
        <w:rPr>
          <w:rFonts w:cstheme="minorHAnsi"/>
        </w:rPr>
        <w:t>Distribution</w:t>
      </w:r>
    </w:p>
    <w:p w14:paraId="0572983A" w14:textId="320F4975" w:rsidR="00E4593E" w:rsidRDefault="00E4593E" w:rsidP="00E4593E">
      <w:r w:rsidRPr="00F34124">
        <w:t>The population estimate of central and peripheral volume of distribution were 10</w:t>
      </w:r>
      <w:r>
        <w:t xml:space="preserve">92 L and 1100 L, respectively. </w:t>
      </w:r>
      <w:r w:rsidRPr="00F34124">
        <w:t xml:space="preserve">These data indicate </w:t>
      </w:r>
      <w:proofErr w:type="spellStart"/>
      <w:r w:rsidRPr="00F34124">
        <w:t>gilteritinib</w:t>
      </w:r>
      <w:proofErr w:type="spellEnd"/>
      <w:r w:rsidRPr="00F34124">
        <w:t xml:space="preserve"> distributes extensively outside of plasma</w:t>
      </w:r>
      <w:r>
        <w:t>,</w:t>
      </w:r>
      <w:r w:rsidRPr="00F34124">
        <w:t xml:space="preserve"> which may indicate extensive tissue distribution. </w:t>
      </w:r>
      <w:r w:rsidRPr="008C68B9">
        <w:rPr>
          <w:i/>
        </w:rPr>
        <w:t>In vivo</w:t>
      </w:r>
      <w:r w:rsidRPr="00F34124">
        <w:t xml:space="preserve"> plasma protein binding in humans is approximately 90% and </w:t>
      </w:r>
      <w:proofErr w:type="spellStart"/>
      <w:r w:rsidRPr="00F34124">
        <w:t>gilteritini</w:t>
      </w:r>
      <w:r>
        <w:t>b</w:t>
      </w:r>
      <w:proofErr w:type="spellEnd"/>
      <w:r w:rsidR="007E4C33">
        <w:t xml:space="preserve"> is primarily bound to albumin.</w:t>
      </w:r>
    </w:p>
    <w:p w14:paraId="67FBF803" w14:textId="77777777" w:rsidR="0021200F" w:rsidRDefault="0021200F" w:rsidP="0021200F">
      <w:pPr>
        <w:pStyle w:val="Heading3"/>
        <w:spacing w:before="0" w:after="120"/>
        <w:rPr>
          <w:rFonts w:cstheme="minorHAnsi"/>
        </w:rPr>
      </w:pPr>
      <w:r w:rsidRPr="00497C85">
        <w:rPr>
          <w:rFonts w:cstheme="minorHAnsi"/>
        </w:rPr>
        <w:t>Metabolism</w:t>
      </w:r>
    </w:p>
    <w:p w14:paraId="48667A5C" w14:textId="78CB2766" w:rsidR="00E4593E" w:rsidRPr="00D53799" w:rsidRDefault="00E4593E" w:rsidP="00E4593E">
      <w:r w:rsidRPr="00F34124">
        <w:t xml:space="preserve">Based on </w:t>
      </w:r>
      <w:r w:rsidRPr="00127180">
        <w:rPr>
          <w:i/>
        </w:rPr>
        <w:t>in vitro</w:t>
      </w:r>
      <w:r w:rsidRPr="00F34124">
        <w:t xml:space="preserve"> data, </w:t>
      </w:r>
      <w:proofErr w:type="spellStart"/>
      <w:r w:rsidRPr="00F34124">
        <w:t>gil</w:t>
      </w:r>
      <w:r>
        <w:t>teritinib</w:t>
      </w:r>
      <w:proofErr w:type="spellEnd"/>
      <w:r>
        <w:t xml:space="preserve"> is primarily metabolis</w:t>
      </w:r>
      <w:r w:rsidRPr="00F34124">
        <w:t>ed via</w:t>
      </w:r>
      <w:r>
        <w:t xml:space="preserve"> CYP3A4. </w:t>
      </w:r>
      <w:r w:rsidRPr="00F34124">
        <w:t xml:space="preserve">The </w:t>
      </w:r>
      <w:r>
        <w:t xml:space="preserve">primary </w:t>
      </w:r>
      <w:r w:rsidRPr="00F34124">
        <w:t>metabolites in human</w:t>
      </w:r>
      <w:r>
        <w:t>s</w:t>
      </w:r>
      <w:r w:rsidRPr="00F34124">
        <w:t xml:space="preserve"> include </w:t>
      </w:r>
      <w:r>
        <w:t>M17</w:t>
      </w:r>
      <w:r w:rsidRPr="00F34124">
        <w:t xml:space="preserve"> (formed via </w:t>
      </w:r>
      <w:r>
        <w:t>N-</w:t>
      </w:r>
      <w:proofErr w:type="spellStart"/>
      <w:r>
        <w:t>dealkylation</w:t>
      </w:r>
      <w:proofErr w:type="spellEnd"/>
      <w:r>
        <w:t xml:space="preserve"> and </w:t>
      </w:r>
      <w:r w:rsidRPr="00F34124">
        <w:t xml:space="preserve">oxidation), </w:t>
      </w:r>
      <w:r>
        <w:t>M16</w:t>
      </w:r>
      <w:r w:rsidRPr="00F34124">
        <w:t xml:space="preserve"> and </w:t>
      </w:r>
      <w:r>
        <w:t>M10</w:t>
      </w:r>
      <w:r w:rsidRPr="00F34124">
        <w:t xml:space="preserve"> (both formed via N</w:t>
      </w:r>
      <w:r w:rsidRPr="00F34124">
        <w:noBreakHyphen/>
      </w:r>
      <w:proofErr w:type="spellStart"/>
      <w:r w:rsidRPr="00F34124">
        <w:t>dealkylation</w:t>
      </w:r>
      <w:proofErr w:type="spellEnd"/>
      <w:r w:rsidRPr="00F34124">
        <w:t>)</w:t>
      </w:r>
      <w:r>
        <w:t xml:space="preserve"> and were observed in animals. </w:t>
      </w:r>
      <w:r w:rsidRPr="00F34124">
        <w:t xml:space="preserve">None of these </w:t>
      </w:r>
      <w:r>
        <w:t>three</w:t>
      </w:r>
      <w:r w:rsidRPr="00F34124">
        <w:t xml:space="preserve"> metabolites exceeded 10% of overall parent exposure.</w:t>
      </w:r>
      <w:r>
        <w:t xml:space="preserve"> The pharmacological activity of the metabolites against FLT</w:t>
      </w:r>
      <w:r w:rsidR="007E4C33">
        <w:t>3 and AXL receptors is unknown.</w:t>
      </w:r>
    </w:p>
    <w:p w14:paraId="1E70EB26" w14:textId="77777777" w:rsidR="0021200F" w:rsidRDefault="0021200F" w:rsidP="0021200F">
      <w:pPr>
        <w:pStyle w:val="Heading3"/>
        <w:spacing w:before="0" w:after="120"/>
        <w:rPr>
          <w:rFonts w:cstheme="minorHAnsi"/>
        </w:rPr>
      </w:pPr>
      <w:r w:rsidRPr="00497C85">
        <w:rPr>
          <w:rFonts w:cstheme="minorHAnsi"/>
        </w:rPr>
        <w:t>Excretion</w:t>
      </w:r>
    </w:p>
    <w:p w14:paraId="6CF9CE78" w14:textId="1D466AFF" w:rsidR="00E4593E" w:rsidRDefault="00E4593E" w:rsidP="00E4593E">
      <w:r w:rsidRPr="00F34124">
        <w:t>After a single dose of [</w:t>
      </w:r>
      <w:r w:rsidRPr="000718AA">
        <w:rPr>
          <w:vertAlign w:val="superscript"/>
        </w:rPr>
        <w:t>14</w:t>
      </w:r>
      <w:r w:rsidRPr="00F34124">
        <w:t>C]-</w:t>
      </w:r>
      <w:proofErr w:type="spellStart"/>
      <w:r w:rsidRPr="00F34124">
        <w:t>gilteritinib</w:t>
      </w:r>
      <w:proofErr w:type="spellEnd"/>
      <w:r w:rsidRPr="00F34124">
        <w:t xml:space="preserve">, </w:t>
      </w:r>
      <w:proofErr w:type="spellStart"/>
      <w:r w:rsidRPr="00F34124">
        <w:t>gilteritinib</w:t>
      </w:r>
      <w:proofErr w:type="spellEnd"/>
      <w:r w:rsidRPr="00F34124">
        <w:t xml:space="preserve"> </w:t>
      </w:r>
      <w:proofErr w:type="gramStart"/>
      <w:r w:rsidRPr="00F34124">
        <w:t>is primarily excreted</w:t>
      </w:r>
      <w:proofErr w:type="gramEnd"/>
      <w:r w:rsidRPr="00F34124">
        <w:t xml:space="preserve"> in f</w:t>
      </w:r>
      <w:r>
        <w:t>a</w:t>
      </w:r>
      <w:r w:rsidRPr="00F34124">
        <w:t>eces with 64.5% of the total administered dose recovered in faeces. Renal excretion is a minor elimination pathway with 16.4% of the total dose recovered in urine</w:t>
      </w:r>
      <w:r>
        <w:t xml:space="preserve"> as unchanged drug and metabolites</w:t>
      </w:r>
      <w:r w:rsidRPr="00F34124">
        <w:t xml:space="preserve">. </w:t>
      </w:r>
      <w:proofErr w:type="spellStart"/>
      <w:r w:rsidRPr="00F34124">
        <w:t>Gilteritinib</w:t>
      </w:r>
      <w:proofErr w:type="spellEnd"/>
      <w:r w:rsidRPr="00F34124">
        <w:t xml:space="preserve"> plasma concentrations declined in a bi-exponential manner with a</w:t>
      </w:r>
      <w:r>
        <w:t xml:space="preserve"> population mean</w:t>
      </w:r>
      <w:r w:rsidRPr="00F34124">
        <w:t xml:space="preserve"> </w:t>
      </w:r>
      <w:r>
        <w:t>estimated</w:t>
      </w:r>
      <w:r w:rsidRPr="00F34124">
        <w:t xml:space="preserve"> half-life of 113 hours. The estimated apparent clearance (CL/F) based on the population PK model is 14.85</w:t>
      </w:r>
      <w:r>
        <w:t> L</w:t>
      </w:r>
      <w:r w:rsidRPr="00F34124">
        <w:t>/h.</w:t>
      </w:r>
    </w:p>
    <w:p w14:paraId="138DA161" w14:textId="7B3DAC93" w:rsidR="005650E7" w:rsidRDefault="001761DC" w:rsidP="005975FF">
      <w:pPr>
        <w:spacing w:after="0"/>
      </w:pPr>
      <w:r>
        <w:rPr>
          <w:u w:val="single"/>
        </w:rPr>
        <w:t>Linearity/Non-linearity</w:t>
      </w:r>
    </w:p>
    <w:p w14:paraId="3AF912B0" w14:textId="46D5CFB1" w:rsidR="001761DC" w:rsidRPr="00773180" w:rsidRDefault="001761DC" w:rsidP="001761DC">
      <w:r w:rsidRPr="00773180">
        <w:t xml:space="preserve">In general, </w:t>
      </w:r>
      <w:proofErr w:type="spellStart"/>
      <w:r w:rsidRPr="00773180">
        <w:t>gilteritinib</w:t>
      </w:r>
      <w:proofErr w:type="spellEnd"/>
      <w:r w:rsidRPr="00773180">
        <w:t xml:space="preserve"> exhibited linear, dose-proportional pharmacokinetics after single and multiple dose administration at doses ranging from 20 to 450</w:t>
      </w:r>
      <w:r>
        <w:t> </w:t>
      </w:r>
      <w:r w:rsidRPr="00773180">
        <w:t xml:space="preserve">mg in patients with relapsed or refractory AML. </w:t>
      </w:r>
    </w:p>
    <w:p w14:paraId="5A97B758" w14:textId="77777777" w:rsidR="001761DC" w:rsidRPr="00D53799" w:rsidRDefault="001761DC" w:rsidP="001761DC">
      <w:pPr>
        <w:spacing w:after="0"/>
        <w:rPr>
          <w:u w:val="single"/>
        </w:rPr>
      </w:pPr>
      <w:r w:rsidRPr="00D53799">
        <w:rPr>
          <w:u w:val="single"/>
        </w:rPr>
        <w:t>Special Populations</w:t>
      </w:r>
    </w:p>
    <w:p w14:paraId="09618569" w14:textId="77777777" w:rsidR="001761DC" w:rsidRDefault="001761DC" w:rsidP="001761DC">
      <w:r w:rsidRPr="00A10633">
        <w:t xml:space="preserve">Based on population pharmacokinetic analyses, </w:t>
      </w:r>
      <w:r>
        <w:t>n</w:t>
      </w:r>
      <w:r w:rsidRPr="00F34124">
        <w:t xml:space="preserve">o clinically meaningful effect on the pharmacokinetics of </w:t>
      </w:r>
      <w:proofErr w:type="spellStart"/>
      <w:r w:rsidRPr="00F34124">
        <w:t>gilteritinib</w:t>
      </w:r>
      <w:proofErr w:type="spellEnd"/>
      <w:r w:rsidRPr="00F34124">
        <w:t xml:space="preserve"> was observed for the following covariates: age (20 years to 90 years), race (Caucasian, Black, Asian or Other), sex, body weight (36</w:t>
      </w:r>
      <w:r>
        <w:t> </w:t>
      </w:r>
      <w:r w:rsidRPr="00F34124">
        <w:t>kg to 157</w:t>
      </w:r>
      <w:r>
        <w:t> </w:t>
      </w:r>
      <w:r w:rsidRPr="00F34124">
        <w:t>kg), and body surface area (1.29 to 2.96</w:t>
      </w:r>
      <w:r>
        <w:t> </w:t>
      </w:r>
      <w:r w:rsidRPr="00F34124">
        <w:t>m</w:t>
      </w:r>
      <w:r w:rsidRPr="000718AA">
        <w:rPr>
          <w:vertAlign w:val="superscript"/>
        </w:rPr>
        <w:t>2</w:t>
      </w:r>
      <w:r w:rsidRPr="00F34124">
        <w:t>).</w:t>
      </w:r>
    </w:p>
    <w:p w14:paraId="7D47C9D5" w14:textId="77777777" w:rsidR="001761DC" w:rsidRPr="00F34124" w:rsidRDefault="001761DC" w:rsidP="001761DC">
      <w:pPr>
        <w:spacing w:after="0"/>
        <w:rPr>
          <w:rFonts w:eastAsia="MS Mincho"/>
          <w:i/>
          <w:szCs w:val="24"/>
          <w:lang w:eastAsia="ja-JP"/>
        </w:rPr>
      </w:pPr>
      <w:r w:rsidRPr="00F34124">
        <w:rPr>
          <w:rFonts w:eastAsia="MS Mincho"/>
          <w:i/>
          <w:szCs w:val="24"/>
          <w:lang w:eastAsia="ja-JP"/>
        </w:rPr>
        <w:t>Hepatic impairment</w:t>
      </w:r>
    </w:p>
    <w:p w14:paraId="7A5A9FDB" w14:textId="77777777" w:rsidR="00CC3E01" w:rsidRDefault="00CC3E01" w:rsidP="00CC3E01">
      <w:r w:rsidRPr="00F34124">
        <w:t xml:space="preserve">The effect of hepatic impairment on </w:t>
      </w:r>
      <w:proofErr w:type="spellStart"/>
      <w:r w:rsidRPr="00F34124">
        <w:t>gilteritinib</w:t>
      </w:r>
      <w:proofErr w:type="spellEnd"/>
      <w:r w:rsidRPr="00F34124">
        <w:t xml:space="preserve"> pharmacokinetics </w:t>
      </w:r>
      <w:r>
        <w:t>was</w:t>
      </w:r>
      <w:r w:rsidRPr="00F34124">
        <w:t xml:space="preserve"> studied in subjects with mild (Child-Pugh Class A) and moderate (Child-Pugh Class B) hepatic impairment. Results indicate unbound </w:t>
      </w:r>
      <w:proofErr w:type="spellStart"/>
      <w:r w:rsidRPr="00F34124">
        <w:t>gilteritinib</w:t>
      </w:r>
      <w:proofErr w:type="spellEnd"/>
      <w:r w:rsidRPr="00F34124">
        <w:t xml:space="preserve"> exposure in subjects with mild or moderate hepatic impairment is comparable to that observed in subjects with normal hepatic function. The effect of mild hepatic impairment </w:t>
      </w:r>
      <w:r>
        <w:t xml:space="preserve">[as </w:t>
      </w:r>
      <w:r w:rsidRPr="00F34124">
        <w:t xml:space="preserve">defined </w:t>
      </w:r>
      <w:r>
        <w:t>by NCI-ODWG]</w:t>
      </w:r>
      <w:r w:rsidRPr="00F34124">
        <w:t xml:space="preserve"> on </w:t>
      </w:r>
      <w:proofErr w:type="spellStart"/>
      <w:r w:rsidRPr="00F34124">
        <w:t>gilteritinib</w:t>
      </w:r>
      <w:proofErr w:type="spellEnd"/>
      <w:r w:rsidRPr="00F34124">
        <w:t xml:space="preserve"> exposure was also assessed using the population PK model and the results demonstrate little difference in predicted steady-state </w:t>
      </w:r>
      <w:proofErr w:type="spellStart"/>
      <w:r w:rsidRPr="00F34124">
        <w:t>gilteritinib</w:t>
      </w:r>
      <w:proofErr w:type="spellEnd"/>
      <w:r w:rsidRPr="00F34124">
        <w:t xml:space="preserve"> exposure relative to a typical patient with </w:t>
      </w:r>
      <w:r>
        <w:t>relapsed or refractory</w:t>
      </w:r>
      <w:r w:rsidRPr="00F34124">
        <w:t xml:space="preserve"> AML </w:t>
      </w:r>
      <w:r>
        <w:t xml:space="preserve">and </w:t>
      </w:r>
      <w:r w:rsidRPr="00F34124">
        <w:t>normal liver function.</w:t>
      </w:r>
    </w:p>
    <w:p w14:paraId="79D60D56" w14:textId="77777777" w:rsidR="001761DC" w:rsidRDefault="001761DC" w:rsidP="001761DC">
      <w:proofErr w:type="spellStart"/>
      <w:r w:rsidRPr="00F34124">
        <w:lastRenderedPageBreak/>
        <w:t>Gilteritinib</w:t>
      </w:r>
      <w:proofErr w:type="spellEnd"/>
      <w:r w:rsidRPr="00F34124">
        <w:t xml:space="preserve"> </w:t>
      </w:r>
      <w:proofErr w:type="gramStart"/>
      <w:r w:rsidRPr="00F34124">
        <w:t>has not been studied</w:t>
      </w:r>
      <w:proofErr w:type="gramEnd"/>
      <w:r w:rsidRPr="00F34124">
        <w:t xml:space="preserve"> in patients with severe hepatic impairment (Child-Pugh Class C).</w:t>
      </w:r>
    </w:p>
    <w:p w14:paraId="23CA9F85" w14:textId="77777777" w:rsidR="001761DC" w:rsidRPr="00F34124" w:rsidRDefault="001761DC" w:rsidP="001761DC">
      <w:pPr>
        <w:spacing w:after="0"/>
        <w:rPr>
          <w:rFonts w:eastAsia="MS Mincho"/>
          <w:i/>
          <w:szCs w:val="24"/>
          <w:lang w:eastAsia="ja-JP"/>
        </w:rPr>
      </w:pPr>
      <w:r w:rsidRPr="00F34124">
        <w:rPr>
          <w:rFonts w:eastAsia="MS Mincho"/>
          <w:i/>
          <w:szCs w:val="24"/>
          <w:lang w:eastAsia="ja-JP"/>
        </w:rPr>
        <w:t>Renal impairment</w:t>
      </w:r>
    </w:p>
    <w:p w14:paraId="64A6951B" w14:textId="77777777" w:rsidR="00CC3E01" w:rsidRPr="00F34124" w:rsidRDefault="00CC3E01" w:rsidP="00CC3E01">
      <w:r>
        <w:t xml:space="preserve">A dedicated renal impairment study </w:t>
      </w:r>
      <w:proofErr w:type="gramStart"/>
      <w:r>
        <w:t>has not been conducted</w:t>
      </w:r>
      <w:proofErr w:type="gramEnd"/>
      <w:r>
        <w:t xml:space="preserve"> to assess</w:t>
      </w:r>
      <w:r w:rsidRPr="00F34124">
        <w:t xml:space="preserve"> of the effect of renal function on </w:t>
      </w:r>
      <w:proofErr w:type="spellStart"/>
      <w:r w:rsidRPr="00F34124">
        <w:t>gilteritinib</w:t>
      </w:r>
      <w:proofErr w:type="spellEnd"/>
      <w:r w:rsidRPr="00F34124">
        <w:t xml:space="preserve"> </w:t>
      </w:r>
      <w:r>
        <w:t>pharmacokinetics.</w:t>
      </w:r>
      <w:r w:rsidRPr="00F34124">
        <w:t xml:space="preserve"> </w:t>
      </w:r>
      <w:r>
        <w:t>In t</w:t>
      </w:r>
      <w:r w:rsidRPr="00F34124">
        <w:t xml:space="preserve">he population </w:t>
      </w:r>
      <w:r>
        <w:t>pharmacokinetic analysis</w:t>
      </w:r>
      <w:r w:rsidRPr="00F34124">
        <w:t xml:space="preserve"> serum creatinine, a marker of renal </w:t>
      </w:r>
      <w:proofErr w:type="gramStart"/>
      <w:r w:rsidRPr="00F34124">
        <w:t>function,</w:t>
      </w:r>
      <w:proofErr w:type="gramEnd"/>
      <w:r w:rsidRPr="00F34124">
        <w:t xml:space="preserve"> </w:t>
      </w:r>
      <w:r>
        <w:t xml:space="preserve">was identified </w:t>
      </w:r>
      <w:r w:rsidRPr="00F34124">
        <w:t>as a stati</w:t>
      </w:r>
      <w:r>
        <w:t>sti</w:t>
      </w:r>
      <w:r w:rsidRPr="00F34124">
        <w:t>cally significant covariate</w:t>
      </w:r>
      <w:r>
        <w:t xml:space="preserve">. Estimated </w:t>
      </w:r>
      <w:r w:rsidRPr="00F34124">
        <w:t xml:space="preserve">impact on </w:t>
      </w:r>
      <w:proofErr w:type="spellStart"/>
      <w:r w:rsidRPr="00F34124">
        <w:t>gilteritinib</w:t>
      </w:r>
      <w:proofErr w:type="spellEnd"/>
      <w:r w:rsidRPr="00F34124">
        <w:t xml:space="preserve"> exposure was less than 2-fold.</w:t>
      </w:r>
    </w:p>
    <w:p w14:paraId="21BE81E7" w14:textId="47DFDDB3" w:rsidR="001A3992" w:rsidRDefault="001A3992" w:rsidP="001A3992">
      <w:pPr>
        <w:pStyle w:val="Heading2"/>
        <w:spacing w:before="0" w:after="120"/>
        <w:rPr>
          <w:lang w:val="en-US"/>
        </w:rPr>
      </w:pPr>
      <w:bookmarkStart w:id="10" w:name="_Ref1553719"/>
      <w:r w:rsidRPr="00EC3C40">
        <w:rPr>
          <w:lang w:val="en-US"/>
        </w:rPr>
        <w:t>Preclinical safety data</w:t>
      </w:r>
      <w:bookmarkEnd w:id="10"/>
    </w:p>
    <w:p w14:paraId="248A3224" w14:textId="1885BE9C" w:rsidR="001A3992" w:rsidRDefault="001A3992" w:rsidP="001A3992">
      <w:pPr>
        <w:pStyle w:val="Heading3"/>
        <w:spacing w:before="0" w:after="120"/>
      </w:pPr>
      <w:proofErr w:type="spellStart"/>
      <w:r w:rsidRPr="00B878CC">
        <w:t>Genotoxicity</w:t>
      </w:r>
      <w:proofErr w:type="spellEnd"/>
    </w:p>
    <w:p w14:paraId="4F9ED1B7" w14:textId="18FBDE44" w:rsidR="00CC3E01" w:rsidRDefault="00CC3E01" w:rsidP="00CC3E01">
      <w:proofErr w:type="spellStart"/>
      <w:r>
        <w:t>Gilteritinib</w:t>
      </w:r>
      <w:proofErr w:type="spellEnd"/>
      <w:r>
        <w:t xml:space="preserve"> did not induce gene mutation </w:t>
      </w:r>
      <w:r w:rsidR="00167364">
        <w:t xml:space="preserve">in an </w:t>
      </w:r>
      <w:r w:rsidRPr="00B71C47">
        <w:rPr>
          <w:i/>
          <w:iCs/>
        </w:rPr>
        <w:t>in vitro</w:t>
      </w:r>
      <w:r w:rsidR="00167364" w:rsidRPr="00B71C47">
        <w:t xml:space="preserve"> </w:t>
      </w:r>
      <w:r w:rsidR="00B71C47" w:rsidRPr="00B71C47">
        <w:t>bacterial reverse mutation assay</w:t>
      </w:r>
      <w:r w:rsidR="0068124A">
        <w:t xml:space="preserve"> </w:t>
      </w:r>
      <w:r w:rsidR="0068124A" w:rsidRPr="0068124A">
        <w:t xml:space="preserve">and chromosome aberration in an </w:t>
      </w:r>
      <w:r w:rsidR="0068124A" w:rsidRPr="0068124A">
        <w:rPr>
          <w:i/>
          <w:iCs/>
        </w:rPr>
        <w:t>in vitro</w:t>
      </w:r>
      <w:r w:rsidR="0068124A" w:rsidRPr="0068124A">
        <w:t xml:space="preserve"> chromosome aberration assay with Chinese hamster lung cells</w:t>
      </w:r>
      <w:r w:rsidR="00B71C47" w:rsidRPr="00B71C47">
        <w:t>. However</w:t>
      </w:r>
      <w:r w:rsidR="00B71C47">
        <w:t>, t</w:t>
      </w:r>
      <w:r>
        <w:t xml:space="preserve">he </w:t>
      </w:r>
      <w:r w:rsidRPr="00B71C47">
        <w:rPr>
          <w:i/>
          <w:iCs/>
        </w:rPr>
        <w:t>in vivo</w:t>
      </w:r>
      <w:r>
        <w:t xml:space="preserve"> micronucleus test showed that </w:t>
      </w:r>
      <w:proofErr w:type="spellStart"/>
      <w:r>
        <w:t>gilteritinib</w:t>
      </w:r>
      <w:proofErr w:type="spellEnd"/>
      <w:r>
        <w:t xml:space="preserve"> induce</w:t>
      </w:r>
      <w:r w:rsidR="00B71C47">
        <w:t>d</w:t>
      </w:r>
      <w:r>
        <w:t xml:space="preserve"> micronuclei in </w:t>
      </w:r>
      <w:r w:rsidR="00B71C47" w:rsidRPr="00B71C47">
        <w:t xml:space="preserve">mouse bone marrow cells at oral doses </w:t>
      </w:r>
      <w:r w:rsidR="00495302">
        <w:sym w:font="Symbol" w:char="F0B3"/>
      </w:r>
      <w:bookmarkStart w:id="11" w:name="_GoBack"/>
      <w:bookmarkEnd w:id="11"/>
      <w:r w:rsidR="00B71C47" w:rsidRPr="00B71C47">
        <w:t>65 mg/kg/day (resulting in subclinical exposures</w:t>
      </w:r>
      <w:r>
        <w:t>.</w:t>
      </w:r>
    </w:p>
    <w:p w14:paraId="101FF02F" w14:textId="77777777" w:rsidR="001A3992" w:rsidRDefault="001A3992" w:rsidP="001A3992">
      <w:pPr>
        <w:pStyle w:val="Heading3"/>
        <w:spacing w:before="0" w:after="120"/>
        <w:rPr>
          <w:lang w:val="en-US"/>
        </w:rPr>
      </w:pPr>
      <w:proofErr w:type="spellStart"/>
      <w:r w:rsidRPr="00B878CC">
        <w:t>Carcin</w:t>
      </w:r>
      <w:r w:rsidRPr="00B878CC">
        <w:rPr>
          <w:lang w:val="en-US"/>
        </w:rPr>
        <w:t>ogenicity</w:t>
      </w:r>
      <w:proofErr w:type="spellEnd"/>
    </w:p>
    <w:p w14:paraId="344DF90A" w14:textId="77777777" w:rsidR="00243B3D" w:rsidRPr="00243B3D" w:rsidRDefault="00243B3D" w:rsidP="00243B3D">
      <w:pPr>
        <w:rPr>
          <w:lang w:val="en-US"/>
        </w:rPr>
      </w:pPr>
      <w:r>
        <w:t xml:space="preserve">Carcinogenicity studies </w:t>
      </w:r>
      <w:proofErr w:type="gramStart"/>
      <w:r>
        <w:t>have not been performed</w:t>
      </w:r>
      <w:proofErr w:type="gramEnd"/>
      <w:r>
        <w:t xml:space="preserve"> with </w:t>
      </w:r>
      <w:proofErr w:type="spellStart"/>
      <w:r>
        <w:t>gilteritinib</w:t>
      </w:r>
      <w:proofErr w:type="spellEnd"/>
      <w:r>
        <w:t>.</w:t>
      </w:r>
    </w:p>
    <w:p w14:paraId="2E57D6CA" w14:textId="77777777" w:rsidR="001A3992" w:rsidRDefault="001A3992" w:rsidP="001A3992">
      <w:pPr>
        <w:pStyle w:val="Heading1"/>
        <w:spacing w:before="0" w:after="120"/>
        <w:rPr>
          <w:lang w:val="en-US"/>
        </w:rPr>
      </w:pPr>
      <w:r>
        <w:rPr>
          <w:lang w:val="en-US"/>
        </w:rPr>
        <w:t>Pharmaceutical particulars</w:t>
      </w:r>
    </w:p>
    <w:p w14:paraId="7AD7DB45" w14:textId="77777777" w:rsidR="005B2812" w:rsidRDefault="005B2812" w:rsidP="005B2812">
      <w:pPr>
        <w:pStyle w:val="Heading2"/>
        <w:spacing w:before="0" w:after="120"/>
        <w:rPr>
          <w:rFonts w:cstheme="minorHAnsi"/>
          <w:lang w:val="en-US"/>
        </w:rPr>
      </w:pPr>
      <w:bookmarkStart w:id="12" w:name="_Ref1551851"/>
      <w:r w:rsidRPr="00497C85">
        <w:rPr>
          <w:rFonts w:cstheme="minorHAnsi"/>
          <w:lang w:val="en-US"/>
        </w:rPr>
        <w:t>List of excipients</w:t>
      </w:r>
      <w:bookmarkEnd w:id="12"/>
      <w:r w:rsidRPr="00497C85">
        <w:rPr>
          <w:rFonts w:cstheme="minorHAnsi"/>
          <w:lang w:val="en-US"/>
        </w:rPr>
        <w:t xml:space="preserve"> </w:t>
      </w:r>
    </w:p>
    <w:p w14:paraId="4603E8BE" w14:textId="77777777" w:rsidR="009E56A4" w:rsidRPr="00256178" w:rsidRDefault="009E56A4" w:rsidP="009E56A4">
      <w:pPr>
        <w:spacing w:after="0"/>
        <w:rPr>
          <w:noProof/>
          <w:u w:val="single"/>
          <w:lang w:val="it-IT"/>
        </w:rPr>
      </w:pPr>
      <w:r w:rsidRPr="00D54066">
        <w:rPr>
          <w:noProof/>
          <w:u w:val="single"/>
          <w:lang w:val="it-IT"/>
        </w:rPr>
        <w:t>Tablet Core:</w:t>
      </w:r>
    </w:p>
    <w:p w14:paraId="1F049279" w14:textId="61908F9F" w:rsidR="009E56A4" w:rsidRDefault="009E56A4" w:rsidP="009E56A4">
      <w:pPr>
        <w:spacing w:after="0"/>
        <w:rPr>
          <w:noProof/>
          <w:lang w:val="it-IT"/>
        </w:rPr>
      </w:pPr>
      <w:r w:rsidRPr="00B371C7">
        <w:rPr>
          <w:noProof/>
          <w:lang w:val="it-IT"/>
        </w:rPr>
        <w:t xml:space="preserve">Mannitol </w:t>
      </w:r>
    </w:p>
    <w:p w14:paraId="0D73F072" w14:textId="77777777" w:rsidR="00D54066" w:rsidRDefault="00D54066" w:rsidP="009E56A4">
      <w:pPr>
        <w:spacing w:after="0"/>
        <w:rPr>
          <w:noProof/>
          <w:lang w:val="it-IT"/>
        </w:rPr>
      </w:pPr>
      <w:r w:rsidRPr="00062F47">
        <w:rPr>
          <w:noProof/>
          <w:lang w:val="it-IT"/>
        </w:rPr>
        <w:t>Hyprolos</w:t>
      </w:r>
      <w:r w:rsidRPr="00D54066">
        <w:rPr>
          <w:noProof/>
          <w:lang w:val="it-IT"/>
        </w:rPr>
        <w:t>e</w:t>
      </w:r>
    </w:p>
    <w:p w14:paraId="33DBF9A4" w14:textId="77777777" w:rsidR="009E56A4" w:rsidRPr="000A1E87" w:rsidRDefault="009E56A4" w:rsidP="009E56A4">
      <w:pPr>
        <w:rPr>
          <w:noProof/>
        </w:rPr>
      </w:pPr>
      <w:r w:rsidRPr="000A1E87">
        <w:rPr>
          <w:noProof/>
        </w:rPr>
        <w:t xml:space="preserve">Magnesium Stearate </w:t>
      </w:r>
    </w:p>
    <w:p w14:paraId="1904D336" w14:textId="77777777" w:rsidR="009E56A4" w:rsidRPr="000A1E87" w:rsidRDefault="009E56A4" w:rsidP="009E56A4">
      <w:pPr>
        <w:spacing w:after="0"/>
        <w:rPr>
          <w:noProof/>
          <w:u w:val="single"/>
        </w:rPr>
      </w:pPr>
      <w:r w:rsidRPr="00D54066">
        <w:rPr>
          <w:noProof/>
          <w:u w:val="single"/>
        </w:rPr>
        <w:t>Coating:</w:t>
      </w:r>
    </w:p>
    <w:p w14:paraId="69276ECB" w14:textId="77777777" w:rsidR="009E56A4" w:rsidRPr="000A1E87" w:rsidRDefault="009E56A4" w:rsidP="009E56A4">
      <w:pPr>
        <w:spacing w:after="0"/>
        <w:rPr>
          <w:noProof/>
        </w:rPr>
      </w:pPr>
      <w:r w:rsidRPr="000A1E87">
        <w:rPr>
          <w:noProof/>
        </w:rPr>
        <w:t xml:space="preserve">Hypromellose </w:t>
      </w:r>
    </w:p>
    <w:p w14:paraId="28D25A15" w14:textId="77777777" w:rsidR="009E56A4" w:rsidRPr="000A1E87" w:rsidRDefault="00D54066" w:rsidP="009E56A4">
      <w:pPr>
        <w:spacing w:after="0"/>
        <w:rPr>
          <w:noProof/>
        </w:rPr>
      </w:pPr>
      <w:r w:rsidRPr="00062F47">
        <w:rPr>
          <w:noProof/>
        </w:rPr>
        <w:t>Purified t</w:t>
      </w:r>
      <w:r w:rsidR="009E56A4" w:rsidRPr="00062F47">
        <w:rPr>
          <w:noProof/>
        </w:rPr>
        <w:t>al</w:t>
      </w:r>
      <w:r w:rsidR="009E56A4" w:rsidRPr="000A1E87">
        <w:rPr>
          <w:noProof/>
        </w:rPr>
        <w:t>c</w:t>
      </w:r>
    </w:p>
    <w:p w14:paraId="28D6A688" w14:textId="77777777" w:rsidR="009E56A4" w:rsidRPr="000A1E87" w:rsidRDefault="009E56A4" w:rsidP="009E56A4">
      <w:pPr>
        <w:spacing w:after="0"/>
        <w:rPr>
          <w:noProof/>
        </w:rPr>
      </w:pPr>
      <w:proofErr w:type="spellStart"/>
      <w:r>
        <w:rPr>
          <w:rFonts w:eastAsia="MS Mincho"/>
          <w:szCs w:val="24"/>
          <w:lang w:eastAsia="ja-JP"/>
        </w:rPr>
        <w:t>Macrogol</w:t>
      </w:r>
      <w:proofErr w:type="spellEnd"/>
      <w:r w:rsidR="00D54066">
        <w:rPr>
          <w:rFonts w:eastAsia="MS Mincho"/>
          <w:szCs w:val="24"/>
          <w:lang w:eastAsia="ja-JP"/>
        </w:rPr>
        <w:t xml:space="preserve"> 8000</w:t>
      </w:r>
    </w:p>
    <w:p w14:paraId="4DBF6D26" w14:textId="77777777" w:rsidR="009E56A4" w:rsidRPr="00B371C7" w:rsidRDefault="009E56A4" w:rsidP="009E56A4">
      <w:pPr>
        <w:spacing w:after="0"/>
        <w:rPr>
          <w:noProof/>
          <w:lang w:val="nl-NL"/>
        </w:rPr>
      </w:pPr>
      <w:r w:rsidRPr="00B371C7">
        <w:rPr>
          <w:noProof/>
          <w:lang w:val="nl-NL"/>
        </w:rPr>
        <w:t>Titanium dioxide</w:t>
      </w:r>
    </w:p>
    <w:p w14:paraId="43CB180E" w14:textId="321FB12E" w:rsidR="009E56A4" w:rsidRPr="000439AF" w:rsidRDefault="009E56A4" w:rsidP="009E56A4">
      <w:pPr>
        <w:rPr>
          <w:noProof/>
          <w:lang w:val="en-US"/>
        </w:rPr>
      </w:pPr>
      <w:r>
        <w:rPr>
          <w:noProof/>
          <w:lang w:val="en-US"/>
        </w:rPr>
        <w:t>I</w:t>
      </w:r>
      <w:r w:rsidRPr="000439AF">
        <w:rPr>
          <w:noProof/>
          <w:lang w:val="en-US"/>
        </w:rPr>
        <w:t>ron oxide</w:t>
      </w:r>
      <w:r>
        <w:rPr>
          <w:noProof/>
          <w:lang w:val="en-US"/>
        </w:rPr>
        <w:t xml:space="preserve"> yellow</w:t>
      </w:r>
      <w:r w:rsidRPr="000439AF">
        <w:rPr>
          <w:noProof/>
          <w:lang w:val="en-US"/>
        </w:rPr>
        <w:t xml:space="preserve"> </w:t>
      </w:r>
    </w:p>
    <w:p w14:paraId="6166B557"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14:paraId="3C47A5CB" w14:textId="77777777" w:rsidR="005B2812" w:rsidRPr="009E56A4" w:rsidRDefault="005B2812" w:rsidP="005B2812">
      <w:pPr>
        <w:rPr>
          <w:rFonts w:cstheme="minorHAnsi"/>
          <w:lang w:val="en-US"/>
        </w:rPr>
      </w:pPr>
      <w:r w:rsidRPr="009E56A4">
        <w:rPr>
          <w:rFonts w:cstheme="minorHAnsi"/>
          <w:lang w:val="en"/>
        </w:rPr>
        <w:t xml:space="preserve">Incompatibilities </w:t>
      </w:r>
      <w:proofErr w:type="gramStart"/>
      <w:r w:rsidRPr="009E56A4">
        <w:rPr>
          <w:rFonts w:cstheme="minorHAnsi"/>
          <w:lang w:val="en"/>
        </w:rPr>
        <w:t>were either not assessed or not identified as part of the registration of this medicine</w:t>
      </w:r>
      <w:proofErr w:type="gramEnd"/>
      <w:r w:rsidRPr="009E56A4">
        <w:rPr>
          <w:rFonts w:cstheme="minorHAnsi"/>
          <w:lang w:val="en"/>
        </w:rPr>
        <w:t xml:space="preserve">. </w:t>
      </w:r>
    </w:p>
    <w:p w14:paraId="23B038C3"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3A7E466A" w14:textId="77777777" w:rsidR="005B2812" w:rsidRPr="00497C85" w:rsidRDefault="005B2812" w:rsidP="005B2812">
      <w:pPr>
        <w:rPr>
          <w:rFonts w:asciiTheme="majorHAnsi" w:hAnsiTheme="majorHAnsi" w:cstheme="minorHAnsi"/>
          <w:lang w:val="en-US"/>
        </w:rPr>
      </w:pPr>
      <w:r w:rsidRPr="009E56A4">
        <w:rPr>
          <w:rFonts w:cstheme="minorHAnsi"/>
          <w:lang w:val="en"/>
        </w:rPr>
        <w:t xml:space="preserve">In Australia, information on the shelf life </w:t>
      </w:r>
      <w:proofErr w:type="gramStart"/>
      <w:r w:rsidRPr="009E56A4">
        <w:rPr>
          <w:rFonts w:cstheme="minorHAnsi"/>
          <w:lang w:val="en"/>
        </w:rPr>
        <w:t>can be found</w:t>
      </w:r>
      <w:proofErr w:type="gramEnd"/>
      <w:r w:rsidRPr="009E56A4">
        <w:rPr>
          <w:rFonts w:cstheme="minorHAnsi"/>
          <w:lang w:val="en"/>
        </w:rPr>
        <w:t xml:space="preserve"> on the public summary of the Australian Register of Therapeutic Goods (ARTG). The expiry date </w:t>
      </w:r>
      <w:proofErr w:type="gramStart"/>
      <w:r w:rsidRPr="009E56A4">
        <w:rPr>
          <w:rFonts w:cstheme="minorHAnsi"/>
          <w:lang w:val="en"/>
        </w:rPr>
        <w:t>can be found</w:t>
      </w:r>
      <w:proofErr w:type="gramEnd"/>
      <w:r w:rsidRPr="009E56A4">
        <w:rPr>
          <w:rFonts w:cstheme="minorHAnsi"/>
          <w:lang w:val="en"/>
        </w:rPr>
        <w:t xml:space="preserve"> on the packaging.</w:t>
      </w:r>
    </w:p>
    <w:p w14:paraId="1960257B" w14:textId="77777777"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1FE71E4C" w14:textId="77777777" w:rsidR="00BB0F12" w:rsidRDefault="00BB0F12" w:rsidP="009E56A4">
      <w:r>
        <w:t>Store in the original container.</w:t>
      </w:r>
    </w:p>
    <w:p w14:paraId="27B82D8B" w14:textId="2C2EF12D" w:rsidR="006242A2" w:rsidRDefault="006242A2" w:rsidP="009E56A4">
      <w:r w:rsidRPr="006242A2">
        <w:lastRenderedPageBreak/>
        <w:t>Store be</w:t>
      </w:r>
      <w:r>
        <w:t xml:space="preserve">low </w:t>
      </w:r>
      <w:r w:rsidR="00974AE4">
        <w:t>25</w:t>
      </w:r>
      <w:r w:rsidRPr="006242A2">
        <w:rPr>
          <w:vertAlign w:val="superscript"/>
        </w:rPr>
        <w:t>o</w:t>
      </w:r>
      <w:r w:rsidRPr="006242A2">
        <w:t>C</w:t>
      </w:r>
      <w:r>
        <w:t>.</w:t>
      </w:r>
    </w:p>
    <w:p w14:paraId="188A926A" w14:textId="1AEBAB7F" w:rsidR="009E56A4" w:rsidRPr="009E56A4" w:rsidRDefault="009E56A4" w:rsidP="00BB0F12">
      <w:r w:rsidRPr="009E56A4">
        <w:t>This medicinal product does not require any special storage conditions.</w:t>
      </w:r>
    </w:p>
    <w:p w14:paraId="171F9EDD" w14:textId="77777777" w:rsidR="005B2812" w:rsidRDefault="005B2812" w:rsidP="005B2812">
      <w:pPr>
        <w:pStyle w:val="Heading2"/>
        <w:spacing w:before="0" w:after="120"/>
        <w:rPr>
          <w:rFonts w:cstheme="minorHAnsi"/>
          <w:lang w:val="en-US"/>
        </w:rPr>
      </w:pPr>
      <w:r w:rsidRPr="00497C85">
        <w:rPr>
          <w:rFonts w:cstheme="minorHAnsi"/>
          <w:lang w:val="en-US"/>
        </w:rPr>
        <w:t xml:space="preserve">Nature and contents of container </w:t>
      </w:r>
    </w:p>
    <w:p w14:paraId="1465D31F" w14:textId="0CB3E419" w:rsidR="00974AE4" w:rsidRDefault="00974AE4" w:rsidP="00974AE4">
      <w:r>
        <w:t>OPA/aluminium/PVC/aluminium blisters con</w:t>
      </w:r>
      <w:r w:rsidR="007E4C33">
        <w:t>taining 21 film coated tablets.</w:t>
      </w:r>
    </w:p>
    <w:p w14:paraId="29AA0160" w14:textId="0B57061A" w:rsidR="009E56A4" w:rsidRPr="009E56A4" w:rsidRDefault="00974AE4" w:rsidP="009E56A4">
      <w:r>
        <w:t>Each pack contains 84 film-coated tablets.</w:t>
      </w:r>
    </w:p>
    <w:p w14:paraId="7A03887A" w14:textId="7BAEF950" w:rsidR="005B2812" w:rsidRPr="00497C85" w:rsidRDefault="005B2812" w:rsidP="005B2812">
      <w:pPr>
        <w:pStyle w:val="Heading2"/>
        <w:spacing w:before="0" w:after="120"/>
        <w:rPr>
          <w:rFonts w:cstheme="minorHAnsi"/>
          <w:lang w:val="en-US"/>
        </w:rPr>
      </w:pPr>
      <w:r w:rsidRPr="00497C85">
        <w:rPr>
          <w:rFonts w:cstheme="minorHAnsi"/>
          <w:lang w:val="en-US"/>
        </w:rPr>
        <w:t xml:space="preserve">Special precautions for </w:t>
      </w:r>
      <w:r w:rsidR="007E4C33">
        <w:rPr>
          <w:rFonts w:cstheme="minorHAnsi"/>
          <w:lang w:val="en-US"/>
        </w:rPr>
        <w:t>disposal</w:t>
      </w:r>
    </w:p>
    <w:p w14:paraId="7497B0E5" w14:textId="0DDD8C06" w:rsidR="001A3992" w:rsidRDefault="0021200F" w:rsidP="009E56A4">
      <w:pPr>
        <w:rPr>
          <w:lang w:val="en-US"/>
        </w:rPr>
      </w:pPr>
      <w:r w:rsidRPr="009E56A4">
        <w:rPr>
          <w:rFonts w:cstheme="minorHAnsi"/>
          <w:lang w:val="en"/>
        </w:rPr>
        <w:t>In Australia, any unused medicine or waste material should be disposed of by</w:t>
      </w:r>
      <w:r w:rsidR="007E4C33">
        <w:rPr>
          <w:rFonts w:cstheme="minorHAnsi"/>
          <w:lang w:val="en"/>
        </w:rPr>
        <w:t xml:space="preserve"> taking to your local pharmacy.</w:t>
      </w:r>
    </w:p>
    <w:p w14:paraId="7A6A35B4" w14:textId="77777777" w:rsidR="00D54066" w:rsidRDefault="00D54066" w:rsidP="00D54066">
      <w:pPr>
        <w:pStyle w:val="Heading2"/>
        <w:rPr>
          <w:lang w:val="en-US"/>
        </w:rPr>
      </w:pPr>
      <w:r>
        <w:rPr>
          <w:lang w:val="en-US"/>
        </w:rPr>
        <w:t>Physicochemical properties</w:t>
      </w:r>
    </w:p>
    <w:p w14:paraId="579B259D" w14:textId="77777777" w:rsidR="001A3992" w:rsidRDefault="001A3992" w:rsidP="008E0372">
      <w:pPr>
        <w:pStyle w:val="Heading3"/>
        <w:spacing w:before="0" w:after="120"/>
        <w:rPr>
          <w:lang w:val="en-US"/>
        </w:rPr>
      </w:pPr>
      <w:r>
        <w:rPr>
          <w:lang w:val="en-US"/>
        </w:rPr>
        <w:t>Chemical structure</w:t>
      </w:r>
    </w:p>
    <w:p w14:paraId="75FECF2C" w14:textId="77777777" w:rsidR="008E0372" w:rsidRDefault="008E0372" w:rsidP="008E0372">
      <w:proofErr w:type="spellStart"/>
      <w:r w:rsidRPr="008E0372">
        <w:t>Gilteritinib</w:t>
      </w:r>
      <w:proofErr w:type="spellEnd"/>
      <w:r w:rsidRPr="008E0372">
        <w:t xml:space="preserve"> is a tyrosine kinase inhibitor. The chemical name is 2-Pyrazinecarboxamide, 6-ethyl-3-[[</w:t>
      </w:r>
      <w:proofErr w:type="gramStart"/>
      <w:r w:rsidRPr="008E0372">
        <w:t>3-</w:t>
      </w:r>
      <w:proofErr w:type="gramEnd"/>
      <w:r w:rsidRPr="008E0372">
        <w:t>methoxy-4-[4-(4</w:t>
      </w:r>
      <w:r w:rsidRPr="008E0372">
        <w:softHyphen/>
        <w:t xml:space="preserve"> methyl-1-piperazinyl)-1-piperidinyl] phenyl] amino]-5-[(tetrahydro-2</w:t>
      </w:r>
      <w:r w:rsidRPr="008E0372">
        <w:rPr>
          <w:i/>
          <w:iCs/>
        </w:rPr>
        <w:t>H</w:t>
      </w:r>
      <w:r w:rsidRPr="008E0372">
        <w:t>-pyran-4-yl) amino]-, (2E)-2-butenedioate (2:1). The molecular weight is 1221.50 and the molecular formula is (C</w:t>
      </w:r>
      <w:r w:rsidRPr="008E0372">
        <w:rPr>
          <w:vertAlign w:val="subscript"/>
        </w:rPr>
        <w:t>29</w:t>
      </w:r>
      <w:r w:rsidRPr="008E0372">
        <w:t>H</w:t>
      </w:r>
      <w:r w:rsidRPr="008E0372">
        <w:rPr>
          <w:vertAlign w:val="subscript"/>
        </w:rPr>
        <w:t>44</w:t>
      </w:r>
      <w:r w:rsidRPr="008E0372">
        <w:t>N</w:t>
      </w:r>
      <w:r w:rsidRPr="008E0372">
        <w:rPr>
          <w:vertAlign w:val="subscript"/>
        </w:rPr>
        <w:t>8</w:t>
      </w:r>
      <w:r w:rsidRPr="008E0372">
        <w:t>O</w:t>
      </w:r>
      <w:r w:rsidRPr="008E0372">
        <w:rPr>
          <w:vertAlign w:val="subscript"/>
        </w:rPr>
        <w:t>3</w:t>
      </w:r>
      <w:r w:rsidRPr="008E0372">
        <w:t>)</w:t>
      </w:r>
      <w:proofErr w:type="gramStart"/>
      <w:r w:rsidRPr="008E0372">
        <w:rPr>
          <w:vertAlign w:val="subscript"/>
        </w:rPr>
        <w:t>2</w:t>
      </w:r>
      <w:r w:rsidRPr="008E0372">
        <w:t>·</w:t>
      </w:r>
      <w:proofErr w:type="gramEnd"/>
      <w:r w:rsidRPr="008E0372">
        <w:t>C</w:t>
      </w:r>
      <w:r w:rsidRPr="008E0372">
        <w:rPr>
          <w:vertAlign w:val="subscript"/>
        </w:rPr>
        <w:t>4</w:t>
      </w:r>
      <w:r w:rsidRPr="008E0372">
        <w:t>H</w:t>
      </w:r>
      <w:r w:rsidRPr="008E0372">
        <w:rPr>
          <w:vertAlign w:val="subscript"/>
        </w:rPr>
        <w:t>4</w:t>
      </w:r>
      <w:r w:rsidRPr="008E0372">
        <w:t>O</w:t>
      </w:r>
      <w:r w:rsidRPr="008E0372">
        <w:rPr>
          <w:vertAlign w:val="subscript"/>
        </w:rPr>
        <w:t>4</w:t>
      </w:r>
      <w:r>
        <w:t>. The structural formula is:</w:t>
      </w:r>
    </w:p>
    <w:p w14:paraId="1012D1D7" w14:textId="11ADB0EA" w:rsidR="008E0372" w:rsidRPr="008E0372" w:rsidRDefault="006E4249" w:rsidP="008E0372">
      <w:pPr>
        <w:rPr>
          <w:lang w:val="en-US"/>
        </w:rPr>
      </w:pPr>
      <w:r>
        <w:rPr>
          <w:noProof/>
          <w:lang w:eastAsia="en-AU"/>
        </w:rPr>
        <w:drawing>
          <wp:inline distT="0" distB="0" distL="0" distR="0" wp14:anchorId="4F68B708" wp14:editId="7F428651">
            <wp:extent cx="5695950" cy="1990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1990725"/>
                    </a:xfrm>
                    <a:prstGeom prst="rect">
                      <a:avLst/>
                    </a:prstGeom>
                    <a:noFill/>
                    <a:ln>
                      <a:noFill/>
                    </a:ln>
                  </pic:spPr>
                </pic:pic>
              </a:graphicData>
            </a:graphic>
          </wp:inline>
        </w:drawing>
      </w:r>
      <w:proofErr w:type="spellStart"/>
      <w:r w:rsidR="008E0372">
        <w:t>Gilteritinib</w:t>
      </w:r>
      <w:proofErr w:type="spellEnd"/>
      <w:r w:rsidR="008E0372">
        <w:t xml:space="preserve"> fumarate is a light </w:t>
      </w:r>
      <w:proofErr w:type="gramStart"/>
      <w:r w:rsidR="008E0372">
        <w:t>yellow to yellow</w:t>
      </w:r>
      <w:proofErr w:type="gramEnd"/>
      <w:r w:rsidR="008E0372">
        <w:t xml:space="preserve"> powder or crystals that is sparingly soluble in water and very slightly soluble in anhydrous ethanol.</w:t>
      </w:r>
    </w:p>
    <w:p w14:paraId="3D08CD6B" w14:textId="77777777" w:rsidR="001A3992" w:rsidRDefault="001A3992" w:rsidP="001A3992">
      <w:pPr>
        <w:pStyle w:val="Heading3"/>
        <w:spacing w:before="0" w:after="120"/>
        <w:rPr>
          <w:lang w:val="en-US"/>
        </w:rPr>
      </w:pPr>
      <w:r w:rsidRPr="00EC3C40">
        <w:rPr>
          <w:lang w:val="en-US"/>
        </w:rPr>
        <w:t>CAS number</w:t>
      </w:r>
    </w:p>
    <w:p w14:paraId="15BD5113" w14:textId="31D1231F" w:rsidR="008E0372" w:rsidRPr="008E0372" w:rsidRDefault="006E4249" w:rsidP="008E0372">
      <w:pPr>
        <w:rPr>
          <w:lang w:val="en-US"/>
        </w:rPr>
      </w:pPr>
      <w:r>
        <w:rPr>
          <w:lang w:val="en-US"/>
        </w:rPr>
        <w:t>1</w:t>
      </w:r>
      <w:r w:rsidRPr="006E4249">
        <w:rPr>
          <w:lang w:val="en-US"/>
        </w:rPr>
        <w:t>254053-84-3</w:t>
      </w:r>
    </w:p>
    <w:p w14:paraId="1ADBF928"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03F2304D" w14:textId="77777777" w:rsidR="009E56A4" w:rsidRPr="009E56A4" w:rsidRDefault="009E56A4" w:rsidP="009E56A4">
      <w:pPr>
        <w:rPr>
          <w:lang w:val="en-US"/>
        </w:rPr>
      </w:pPr>
      <w:r w:rsidRPr="009E56A4">
        <w:rPr>
          <w:lang w:val="en-US"/>
        </w:rPr>
        <w:t>Schedule 4 – Prescription only medicine</w:t>
      </w:r>
    </w:p>
    <w:p w14:paraId="7D33B95C" w14:textId="1EFEF1B5" w:rsidR="00285173" w:rsidRDefault="001A3992" w:rsidP="00285173">
      <w:pPr>
        <w:pStyle w:val="Heading1"/>
        <w:spacing w:before="0" w:after="120"/>
        <w:rPr>
          <w:lang w:val="en-US"/>
        </w:rPr>
      </w:pPr>
      <w:r w:rsidRPr="007D497E">
        <w:rPr>
          <w:lang w:val="en-US"/>
        </w:rPr>
        <w:t>Sponsor</w:t>
      </w:r>
    </w:p>
    <w:p w14:paraId="445AF1E3" w14:textId="77777777" w:rsidR="009E56A4" w:rsidRPr="009E56A4" w:rsidRDefault="009E56A4" w:rsidP="009E56A4">
      <w:pPr>
        <w:spacing w:after="0"/>
        <w:rPr>
          <w:lang w:val="en-US"/>
        </w:rPr>
      </w:pPr>
      <w:proofErr w:type="spellStart"/>
      <w:r w:rsidRPr="009E56A4">
        <w:rPr>
          <w:lang w:val="en-US"/>
        </w:rPr>
        <w:t>Astellas</w:t>
      </w:r>
      <w:proofErr w:type="spellEnd"/>
      <w:r w:rsidRPr="009E56A4">
        <w:rPr>
          <w:lang w:val="en-US"/>
        </w:rPr>
        <w:t xml:space="preserve"> Pharma Australia Pty Ltd</w:t>
      </w:r>
    </w:p>
    <w:p w14:paraId="6FFE67DB" w14:textId="77777777" w:rsidR="009E56A4" w:rsidRPr="009E56A4" w:rsidRDefault="009E56A4" w:rsidP="009E56A4">
      <w:pPr>
        <w:spacing w:after="0"/>
        <w:rPr>
          <w:lang w:val="en-US"/>
        </w:rPr>
      </w:pPr>
      <w:r w:rsidRPr="009E56A4">
        <w:rPr>
          <w:lang w:val="en-US"/>
        </w:rPr>
        <w:t>6 Eden Park Drive</w:t>
      </w:r>
    </w:p>
    <w:p w14:paraId="0DE326F6" w14:textId="77777777" w:rsidR="009E56A4" w:rsidRPr="009E56A4" w:rsidRDefault="009E56A4" w:rsidP="009E56A4">
      <w:pPr>
        <w:rPr>
          <w:lang w:val="en-US"/>
        </w:rPr>
      </w:pPr>
      <w:r w:rsidRPr="009E56A4">
        <w:rPr>
          <w:lang w:val="en-US"/>
        </w:rPr>
        <w:lastRenderedPageBreak/>
        <w:t>Macquarie Park NSW 2113</w:t>
      </w:r>
    </w:p>
    <w:p w14:paraId="5E5A5C25" w14:textId="77777777" w:rsidR="009E56A4" w:rsidRPr="009E56A4" w:rsidRDefault="009E56A4" w:rsidP="00C2345E">
      <w:pPr>
        <w:spacing w:after="0"/>
        <w:rPr>
          <w:lang w:val="en-US"/>
        </w:rPr>
      </w:pPr>
      <w:r w:rsidRPr="009E56A4">
        <w:rPr>
          <w:lang w:val="en-US"/>
        </w:rPr>
        <w:t>Tel: 1800 751 755 (Medical Information)</w:t>
      </w:r>
    </w:p>
    <w:p w14:paraId="4B8DDACC" w14:textId="77777777" w:rsidR="009E56A4" w:rsidRPr="009E56A4" w:rsidRDefault="009E56A4" w:rsidP="00C2345E">
      <w:pPr>
        <w:spacing w:after="0"/>
        <w:rPr>
          <w:lang w:val="en-US"/>
        </w:rPr>
      </w:pPr>
      <w:r w:rsidRPr="009E56A4">
        <w:rPr>
          <w:lang w:val="en-US"/>
        </w:rPr>
        <w:t>Email: aaumedinfo@astellas.com (Medical Information)</w:t>
      </w:r>
    </w:p>
    <w:p w14:paraId="1C0F9868" w14:textId="77777777" w:rsidR="009E56A4" w:rsidRPr="009E56A4" w:rsidRDefault="009E56A4" w:rsidP="009E56A4">
      <w:pPr>
        <w:rPr>
          <w:lang w:val="en-US"/>
        </w:rPr>
      </w:pPr>
      <w:r w:rsidRPr="009E56A4">
        <w:rPr>
          <w:lang w:val="en-US"/>
        </w:rPr>
        <w:t>Website: www.astellas.com/au</w:t>
      </w:r>
    </w:p>
    <w:p w14:paraId="1D568E86" w14:textId="1BCFE694" w:rsidR="00285173" w:rsidRDefault="00285173" w:rsidP="00285173">
      <w:pPr>
        <w:pStyle w:val="Heading1"/>
        <w:spacing w:before="0" w:after="120"/>
        <w:rPr>
          <w:lang w:val="en-US"/>
        </w:rPr>
      </w:pPr>
      <w:r w:rsidRPr="007D497E">
        <w:rPr>
          <w:lang w:val="en-US"/>
        </w:rPr>
        <w:t xml:space="preserve">Date of first </w:t>
      </w:r>
      <w:r w:rsidR="007E4C33">
        <w:rPr>
          <w:lang w:val="en-US"/>
        </w:rPr>
        <w:t>approval</w:t>
      </w:r>
    </w:p>
    <w:p w14:paraId="1CA65BC3" w14:textId="4A7DF696" w:rsidR="00C2345E" w:rsidRPr="00C2345E" w:rsidRDefault="00073D99" w:rsidP="00C2345E">
      <w:pPr>
        <w:rPr>
          <w:lang w:val="en-US"/>
        </w:rPr>
      </w:pPr>
      <w:r>
        <w:rPr>
          <w:lang w:val="en-US"/>
        </w:rPr>
        <w:t>2 April 2020</w:t>
      </w:r>
    </w:p>
    <w:p w14:paraId="351AFA58" w14:textId="582792FD" w:rsidR="00285173" w:rsidRDefault="00285173" w:rsidP="00285173">
      <w:pPr>
        <w:pStyle w:val="Heading1"/>
        <w:spacing w:before="0" w:after="120"/>
        <w:rPr>
          <w:lang w:val="en-US"/>
        </w:rPr>
      </w:pPr>
      <w:r>
        <w:rPr>
          <w:lang w:val="en-US"/>
        </w:rPr>
        <w:t>Date of re</w:t>
      </w:r>
      <w:r w:rsidR="007E4C33">
        <w:rPr>
          <w:lang w:val="en-US"/>
        </w:rPr>
        <w:t>vision</w:t>
      </w:r>
    </w:p>
    <w:p w14:paraId="6702C5C7" w14:textId="77777777" w:rsidR="00C2345E" w:rsidRPr="00C2345E" w:rsidRDefault="00C2345E" w:rsidP="00C2345E">
      <w:pPr>
        <w:rPr>
          <w:lang w:val="en-US"/>
        </w:rPr>
      </w:pPr>
      <w:r>
        <w:rPr>
          <w:lang w:val="en-US"/>
        </w:rPr>
        <w:t>Not applicable</w:t>
      </w:r>
    </w:p>
    <w:p w14:paraId="706A4BE4" w14:textId="7777777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0CC59515" w14:textId="77777777" w:rsidTr="00693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38EE598C" w14:textId="77777777" w:rsidR="00285173" w:rsidRPr="002E277D" w:rsidRDefault="00285173" w:rsidP="006932BE">
            <w:pPr>
              <w:rPr>
                <w:sz w:val="20"/>
                <w:lang w:val="en-US"/>
              </w:rPr>
            </w:pPr>
            <w:r w:rsidRPr="002E277D">
              <w:rPr>
                <w:sz w:val="20"/>
                <w:lang w:val="en-US"/>
              </w:rPr>
              <w:t>Section Changed</w:t>
            </w:r>
          </w:p>
        </w:tc>
        <w:tc>
          <w:tcPr>
            <w:tcW w:w="7858" w:type="dxa"/>
            <w:shd w:val="clear" w:color="auto" w:fill="F2F2F2" w:themeFill="background1" w:themeFillShade="F2"/>
            <w:vAlign w:val="center"/>
          </w:tcPr>
          <w:p w14:paraId="2AEE231B" w14:textId="77777777" w:rsidR="00285173" w:rsidRPr="002E277D" w:rsidRDefault="00285173" w:rsidP="006932BE">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1021565E" w14:textId="77777777" w:rsidTr="006932BE">
        <w:tc>
          <w:tcPr>
            <w:cnfStyle w:val="001000000000" w:firstRow="0" w:lastRow="0" w:firstColumn="1" w:lastColumn="0" w:oddVBand="0" w:evenVBand="0" w:oddHBand="0" w:evenHBand="0" w:firstRowFirstColumn="0" w:firstRowLastColumn="0" w:lastRowFirstColumn="0" w:lastRowLastColumn="0"/>
            <w:tcW w:w="1384" w:type="dxa"/>
            <w:vAlign w:val="center"/>
          </w:tcPr>
          <w:p w14:paraId="12F50B0B" w14:textId="77777777" w:rsidR="00285173" w:rsidRPr="00C2345E" w:rsidRDefault="00C2345E" w:rsidP="006932BE">
            <w:pPr>
              <w:rPr>
                <w:b w:val="0"/>
                <w:bCs w:val="0"/>
                <w:lang w:val="en-US"/>
              </w:rPr>
            </w:pPr>
            <w:r w:rsidRPr="00C2345E">
              <w:rPr>
                <w:b w:val="0"/>
                <w:bCs w:val="0"/>
                <w:lang w:val="en-US"/>
              </w:rPr>
              <w:t>all</w:t>
            </w:r>
          </w:p>
        </w:tc>
        <w:tc>
          <w:tcPr>
            <w:tcW w:w="7858" w:type="dxa"/>
            <w:vAlign w:val="center"/>
          </w:tcPr>
          <w:p w14:paraId="5DB55240" w14:textId="77777777" w:rsidR="00285173" w:rsidRDefault="00C2345E" w:rsidP="006932BE">
            <w:pPr>
              <w:cnfStyle w:val="000000000000" w:firstRow="0" w:lastRow="0" w:firstColumn="0" w:lastColumn="0" w:oddVBand="0" w:evenVBand="0" w:oddHBand="0" w:evenHBand="0" w:firstRowFirstColumn="0" w:firstRowLastColumn="0" w:lastRowFirstColumn="0" w:lastRowLastColumn="0"/>
              <w:rPr>
                <w:lang w:val="en-US"/>
              </w:rPr>
            </w:pPr>
            <w:r>
              <w:rPr>
                <w:lang w:val="en-US"/>
              </w:rPr>
              <w:t>New product information</w:t>
            </w:r>
          </w:p>
        </w:tc>
      </w:tr>
      <w:tr w:rsidR="00285173" w14:paraId="157464DC" w14:textId="77777777" w:rsidTr="006932BE">
        <w:tc>
          <w:tcPr>
            <w:cnfStyle w:val="001000000000" w:firstRow="0" w:lastRow="0" w:firstColumn="1" w:lastColumn="0" w:oddVBand="0" w:evenVBand="0" w:oddHBand="0" w:evenHBand="0" w:firstRowFirstColumn="0" w:firstRowLastColumn="0" w:lastRowFirstColumn="0" w:lastRowLastColumn="0"/>
            <w:tcW w:w="1384" w:type="dxa"/>
            <w:vAlign w:val="center"/>
          </w:tcPr>
          <w:p w14:paraId="69FB03F3" w14:textId="77777777" w:rsidR="00285173" w:rsidRDefault="00285173" w:rsidP="006932BE">
            <w:pPr>
              <w:rPr>
                <w:lang w:val="en-US"/>
              </w:rPr>
            </w:pPr>
          </w:p>
        </w:tc>
        <w:tc>
          <w:tcPr>
            <w:tcW w:w="7858" w:type="dxa"/>
            <w:vAlign w:val="center"/>
          </w:tcPr>
          <w:p w14:paraId="5DD37D22" w14:textId="77777777" w:rsidR="00285173" w:rsidRDefault="00285173" w:rsidP="006932BE">
            <w:pPr>
              <w:cnfStyle w:val="000000000000" w:firstRow="0" w:lastRow="0" w:firstColumn="0" w:lastColumn="0" w:oddVBand="0" w:evenVBand="0" w:oddHBand="0" w:evenHBand="0" w:firstRowFirstColumn="0" w:firstRowLastColumn="0" w:lastRowFirstColumn="0" w:lastRowLastColumn="0"/>
              <w:rPr>
                <w:lang w:val="en-US"/>
              </w:rPr>
            </w:pPr>
          </w:p>
        </w:tc>
      </w:tr>
      <w:tr w:rsidR="00285173" w14:paraId="4788B5B7" w14:textId="77777777" w:rsidTr="006932BE">
        <w:tc>
          <w:tcPr>
            <w:cnfStyle w:val="001000000000" w:firstRow="0" w:lastRow="0" w:firstColumn="1" w:lastColumn="0" w:oddVBand="0" w:evenVBand="0" w:oddHBand="0" w:evenHBand="0" w:firstRowFirstColumn="0" w:firstRowLastColumn="0" w:lastRowFirstColumn="0" w:lastRowLastColumn="0"/>
            <w:tcW w:w="1384" w:type="dxa"/>
            <w:vAlign w:val="center"/>
          </w:tcPr>
          <w:p w14:paraId="2D4E07CB" w14:textId="77777777" w:rsidR="00285173" w:rsidRDefault="00285173" w:rsidP="006932BE">
            <w:pPr>
              <w:rPr>
                <w:lang w:val="en-US"/>
              </w:rPr>
            </w:pPr>
          </w:p>
        </w:tc>
        <w:tc>
          <w:tcPr>
            <w:tcW w:w="7858" w:type="dxa"/>
            <w:vAlign w:val="center"/>
          </w:tcPr>
          <w:p w14:paraId="258DAF3E" w14:textId="77777777" w:rsidR="00285173" w:rsidRDefault="00285173" w:rsidP="006932BE">
            <w:pPr>
              <w:cnfStyle w:val="000000000000" w:firstRow="0" w:lastRow="0" w:firstColumn="0" w:lastColumn="0" w:oddVBand="0" w:evenVBand="0" w:oddHBand="0" w:evenHBand="0" w:firstRowFirstColumn="0" w:firstRowLastColumn="0" w:lastRowFirstColumn="0" w:lastRowLastColumn="0"/>
              <w:rPr>
                <w:lang w:val="en-US"/>
              </w:rPr>
            </w:pPr>
          </w:p>
        </w:tc>
      </w:tr>
    </w:tbl>
    <w:p w14:paraId="14E2144D" w14:textId="77777777" w:rsidR="00960CD5" w:rsidRDefault="00960CD5" w:rsidP="007E4C33">
      <w:pPr>
        <w:pStyle w:val="Heading1"/>
        <w:numPr>
          <w:ilvl w:val="0"/>
          <w:numId w:val="0"/>
        </w:numPr>
        <w:spacing w:before="0" w:after="120"/>
      </w:pPr>
    </w:p>
    <w:sectPr w:rsidR="00960CD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A7F6" w14:textId="77777777" w:rsidR="00306954" w:rsidRDefault="00306954" w:rsidP="001A3992">
      <w:pPr>
        <w:spacing w:after="0" w:line="240" w:lineRule="auto"/>
      </w:pPr>
      <w:r>
        <w:separator/>
      </w:r>
    </w:p>
  </w:endnote>
  <w:endnote w:type="continuationSeparator" w:id="0">
    <w:p w14:paraId="7B63B92C" w14:textId="77777777" w:rsidR="00306954" w:rsidRDefault="0030695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05307212" w14:textId="16598E70" w:rsidR="00306954" w:rsidRPr="00B8074A" w:rsidRDefault="00306954" w:rsidP="006932BE">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495302">
          <w:rPr>
            <w:noProof/>
            <w:sz w:val="20"/>
          </w:rPr>
          <w:t>17</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0C9E4" w14:textId="77777777" w:rsidR="00306954" w:rsidRDefault="00306954" w:rsidP="001A3992">
      <w:pPr>
        <w:spacing w:after="0" w:line="240" w:lineRule="auto"/>
      </w:pPr>
      <w:r>
        <w:separator/>
      </w:r>
    </w:p>
  </w:footnote>
  <w:footnote w:type="continuationSeparator" w:id="0">
    <w:p w14:paraId="644EC261" w14:textId="77777777" w:rsidR="00306954" w:rsidRDefault="00306954"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shd w:val="clear" w:color="auto" w:fill="E4F2E0"/>
      <w:tblLook w:val="04A0" w:firstRow="1" w:lastRow="0" w:firstColumn="1" w:lastColumn="0" w:noHBand="0" w:noVBand="1"/>
    </w:tblPr>
    <w:tblGrid>
      <w:gridCol w:w="8720"/>
    </w:tblGrid>
    <w:tr w:rsidR="005D460F" w14:paraId="6C797161" w14:textId="77777777" w:rsidTr="005D460F">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602E54D6" w14:textId="27BFA258" w:rsidR="005D460F" w:rsidRDefault="005D460F" w:rsidP="005D460F">
          <w:pPr>
            <w:spacing w:before="40" w:after="40"/>
            <w:rPr>
              <w:b/>
              <w:sz w:val="20"/>
              <w:szCs w:val="20"/>
            </w:rPr>
          </w:pPr>
          <w:r>
            <w:rPr>
              <w:b/>
              <w:sz w:val="20"/>
              <w:szCs w:val="20"/>
            </w:rPr>
            <w:t xml:space="preserve">Attachment 1: Product information for </w:t>
          </w:r>
          <w:proofErr w:type="spellStart"/>
          <w:r w:rsidRPr="005D460F">
            <w:rPr>
              <w:b/>
              <w:sz w:val="20"/>
              <w:szCs w:val="20"/>
            </w:rPr>
            <w:t>AusPAR</w:t>
          </w:r>
          <w:proofErr w:type="spellEnd"/>
          <w:r w:rsidRPr="005D460F">
            <w:rPr>
              <w:b/>
              <w:sz w:val="20"/>
              <w:szCs w:val="20"/>
            </w:rPr>
            <w:t xml:space="preserve"> - XOSPATA – </w:t>
          </w:r>
          <w:proofErr w:type="spellStart"/>
          <w:r w:rsidRPr="005D460F">
            <w:rPr>
              <w:b/>
              <w:sz w:val="20"/>
              <w:szCs w:val="20"/>
            </w:rPr>
            <w:t>gilteritinib</w:t>
          </w:r>
          <w:proofErr w:type="spellEnd"/>
          <w:r w:rsidRPr="005D460F">
            <w:rPr>
              <w:b/>
              <w:sz w:val="20"/>
              <w:szCs w:val="20"/>
            </w:rPr>
            <w:t xml:space="preserve"> (as fumarate) – </w:t>
          </w:r>
          <w:proofErr w:type="spellStart"/>
          <w:r w:rsidRPr="005D460F">
            <w:rPr>
              <w:b/>
              <w:sz w:val="20"/>
              <w:szCs w:val="20"/>
            </w:rPr>
            <w:t>Astellas</w:t>
          </w:r>
          <w:proofErr w:type="spellEnd"/>
          <w:r w:rsidRPr="005D460F">
            <w:rPr>
              <w:b/>
              <w:sz w:val="20"/>
              <w:szCs w:val="20"/>
            </w:rPr>
            <w:t xml:space="preserve"> Pharma Australia – PM-2019-03406-1-6</w:t>
          </w:r>
          <w:r>
            <w:rPr>
              <w:b/>
              <w:sz w:val="20"/>
              <w:szCs w:val="20"/>
            </w:rPr>
            <w:t xml:space="preserve"> </w:t>
          </w:r>
          <w:r w:rsidRPr="005D460F">
            <w:rPr>
              <w:b/>
              <w:sz w:val="20"/>
              <w:szCs w:val="20"/>
            </w:rPr>
            <w:t>F</w:t>
          </w:r>
          <w:r>
            <w:rPr>
              <w:b/>
              <w:sz w:val="20"/>
              <w:szCs w:val="20"/>
            </w:rPr>
            <w:t>inal</w:t>
          </w:r>
          <w:r w:rsidRPr="005D460F">
            <w:rPr>
              <w:b/>
              <w:sz w:val="20"/>
              <w:szCs w:val="20"/>
            </w:rPr>
            <w:t xml:space="preserve"> 8 September 2020</w:t>
          </w:r>
          <w:r>
            <w:rPr>
              <w:b/>
              <w:sz w:val="20"/>
              <w:szCs w:val="20"/>
            </w:rPr>
            <w:t xml:space="preserve">. This is the Product Information that </w:t>
          </w:r>
          <w:proofErr w:type="gramStart"/>
          <w:r>
            <w:rPr>
              <w:b/>
              <w:sz w:val="20"/>
              <w:szCs w:val="20"/>
            </w:rPr>
            <w:t>was approved</w:t>
          </w:r>
          <w:proofErr w:type="gramEnd"/>
          <w:r>
            <w:rPr>
              <w:b/>
              <w:sz w:val="20"/>
              <w:szCs w:val="20"/>
            </w:rPr>
            <w:t xml:space="preserve"> with the submission described in this </w:t>
          </w:r>
          <w:proofErr w:type="spellStart"/>
          <w:r>
            <w:rPr>
              <w:b/>
              <w:sz w:val="20"/>
              <w:szCs w:val="20"/>
            </w:rPr>
            <w:t>AusPAR</w:t>
          </w:r>
          <w:proofErr w:type="spellEnd"/>
          <w:r>
            <w:rPr>
              <w:b/>
              <w:sz w:val="20"/>
              <w:szCs w:val="20"/>
            </w:rPr>
            <w:t xml:space="preserve">. It </w:t>
          </w:r>
          <w:proofErr w:type="gramStart"/>
          <w:r>
            <w:rPr>
              <w:b/>
              <w:sz w:val="20"/>
              <w:szCs w:val="20"/>
            </w:rPr>
            <w:t>may have been superseded</w:t>
          </w:r>
          <w:proofErr w:type="gramEnd"/>
          <w:r>
            <w:rPr>
              <w:b/>
              <w:sz w:val="20"/>
              <w:szCs w:val="20"/>
            </w:rPr>
            <w:t>. For the most recent PI, please refer to the TGA website at &lt;</w:t>
          </w:r>
          <w:hyperlink r:id="rId1" w:history="1">
            <w:r>
              <w:rPr>
                <w:rStyle w:val="Hyperlink"/>
                <w:b/>
                <w:sz w:val="20"/>
                <w:szCs w:val="20"/>
              </w:rPr>
              <w:t>https://www.tga.gov.au/product-information-pi</w:t>
            </w:r>
          </w:hyperlink>
          <w:r>
            <w:rPr>
              <w:b/>
              <w:sz w:val="20"/>
              <w:szCs w:val="20"/>
            </w:rPr>
            <w:t>&gt;</w:t>
          </w:r>
        </w:p>
      </w:tc>
    </w:tr>
  </w:tbl>
  <w:p w14:paraId="65A4987E" w14:textId="77777777" w:rsidR="005D460F" w:rsidRDefault="005D4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90A95"/>
    <w:multiLevelType w:val="multilevel"/>
    <w:tmpl w:val="2760D08E"/>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C9A67DD"/>
    <w:multiLevelType w:val="hybridMultilevel"/>
    <w:tmpl w:val="ABE8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61DED"/>
    <w:multiLevelType w:val="hybridMultilevel"/>
    <w:tmpl w:val="671C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7448EC"/>
    <w:multiLevelType w:val="hybridMultilevel"/>
    <w:tmpl w:val="8D849F96"/>
    <w:lvl w:ilvl="0" w:tplc="650631AE">
      <w:start w:val="1"/>
      <w:numFmt w:val="decimal"/>
      <w:pStyle w:val="TableNotes"/>
      <w:lvlText w:val="%1."/>
      <w:lvlJc w:val="left"/>
      <w:pPr>
        <w:ind w:left="360" w:hanging="360"/>
      </w:pPr>
    </w:lvl>
    <w:lvl w:ilvl="1" w:tplc="325EC058" w:tentative="1">
      <w:start w:val="1"/>
      <w:numFmt w:val="lowerLetter"/>
      <w:lvlText w:val="%2."/>
      <w:lvlJc w:val="left"/>
      <w:pPr>
        <w:ind w:left="1080" w:hanging="360"/>
      </w:pPr>
    </w:lvl>
    <w:lvl w:ilvl="2" w:tplc="87A4010C" w:tentative="1">
      <w:start w:val="1"/>
      <w:numFmt w:val="lowerRoman"/>
      <w:lvlText w:val="%3."/>
      <w:lvlJc w:val="right"/>
      <w:pPr>
        <w:ind w:left="1800" w:hanging="180"/>
      </w:pPr>
    </w:lvl>
    <w:lvl w:ilvl="3" w:tplc="9B9EABDE" w:tentative="1">
      <w:start w:val="1"/>
      <w:numFmt w:val="decimal"/>
      <w:lvlText w:val="%4."/>
      <w:lvlJc w:val="left"/>
      <w:pPr>
        <w:ind w:left="2520" w:hanging="360"/>
      </w:pPr>
    </w:lvl>
    <w:lvl w:ilvl="4" w:tplc="1402F290" w:tentative="1">
      <w:start w:val="1"/>
      <w:numFmt w:val="lowerLetter"/>
      <w:lvlText w:val="%5."/>
      <w:lvlJc w:val="left"/>
      <w:pPr>
        <w:ind w:left="3240" w:hanging="360"/>
      </w:pPr>
    </w:lvl>
    <w:lvl w:ilvl="5" w:tplc="034CF144" w:tentative="1">
      <w:start w:val="1"/>
      <w:numFmt w:val="lowerRoman"/>
      <w:lvlText w:val="%6."/>
      <w:lvlJc w:val="right"/>
      <w:pPr>
        <w:ind w:left="3960" w:hanging="180"/>
      </w:pPr>
    </w:lvl>
    <w:lvl w:ilvl="6" w:tplc="434C2484" w:tentative="1">
      <w:start w:val="1"/>
      <w:numFmt w:val="decimal"/>
      <w:lvlText w:val="%7."/>
      <w:lvlJc w:val="left"/>
      <w:pPr>
        <w:ind w:left="4680" w:hanging="360"/>
      </w:pPr>
    </w:lvl>
    <w:lvl w:ilvl="7" w:tplc="546C4CAC" w:tentative="1">
      <w:start w:val="1"/>
      <w:numFmt w:val="lowerLetter"/>
      <w:lvlText w:val="%8."/>
      <w:lvlJc w:val="left"/>
      <w:pPr>
        <w:ind w:left="5400" w:hanging="360"/>
      </w:pPr>
    </w:lvl>
    <w:lvl w:ilvl="8" w:tplc="DF648158" w:tentative="1">
      <w:start w:val="1"/>
      <w:numFmt w:val="lowerRoman"/>
      <w:lvlText w:val="%9."/>
      <w:lvlJc w:val="right"/>
      <w:pPr>
        <w:ind w:left="6120" w:hanging="180"/>
      </w:pPr>
    </w:lvl>
  </w:abstractNum>
  <w:abstractNum w:abstractNumId="7" w15:restartNumberingAfterBreak="0">
    <w:nsid w:val="30C667A9"/>
    <w:multiLevelType w:val="hybridMultilevel"/>
    <w:tmpl w:val="BC220AF8"/>
    <w:lvl w:ilvl="0" w:tplc="2D8A91DE">
      <w:start w:val="1"/>
      <w:numFmt w:val="lowerLetter"/>
      <w:lvlText w:val="%1."/>
      <w:lvlJc w:val="left"/>
      <w:pPr>
        <w:ind w:left="360" w:hanging="360"/>
      </w:pPr>
      <w:rPr>
        <w:rFonts w:ascii="Calibri" w:hAnsi="Calibr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F360C"/>
    <w:multiLevelType w:val="hybridMultilevel"/>
    <w:tmpl w:val="5C96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97369"/>
    <w:multiLevelType w:val="hybridMultilevel"/>
    <w:tmpl w:val="3A3A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5537F"/>
    <w:multiLevelType w:val="multilevel"/>
    <w:tmpl w:val="A104C18A"/>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B56B26"/>
    <w:multiLevelType w:val="hybridMultilevel"/>
    <w:tmpl w:val="BEA2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D587C"/>
    <w:multiLevelType w:val="hybridMultilevel"/>
    <w:tmpl w:val="B6D4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11"/>
  </w:num>
  <w:num w:numId="5">
    <w:abstractNumId w:val="19"/>
  </w:num>
  <w:num w:numId="6">
    <w:abstractNumId w:val="15"/>
  </w:num>
  <w:num w:numId="7">
    <w:abstractNumId w:val="13"/>
  </w:num>
  <w:num w:numId="8">
    <w:abstractNumId w:val="17"/>
  </w:num>
  <w:num w:numId="9">
    <w:abstractNumId w:val="5"/>
  </w:num>
  <w:num w:numId="10">
    <w:abstractNumId w:val="12"/>
  </w:num>
  <w:num w:numId="11">
    <w:abstractNumId w:val="16"/>
  </w:num>
  <w:num w:numId="12">
    <w:abstractNumId w:val="6"/>
  </w:num>
  <w:num w:numId="13">
    <w:abstractNumId w:val="2"/>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9"/>
  </w:num>
  <w:num w:numId="19">
    <w:abstractNumId w:val="4"/>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9C"/>
    <w:rsid w:val="00006038"/>
    <w:rsid w:val="00013C8C"/>
    <w:rsid w:val="00042302"/>
    <w:rsid w:val="00062F47"/>
    <w:rsid w:val="00073D99"/>
    <w:rsid w:val="00087C45"/>
    <w:rsid w:val="00090773"/>
    <w:rsid w:val="00096BEE"/>
    <w:rsid w:val="000E0E39"/>
    <w:rsid w:val="000E375F"/>
    <w:rsid w:val="000E5E59"/>
    <w:rsid w:val="000F5691"/>
    <w:rsid w:val="00107AD0"/>
    <w:rsid w:val="001434A4"/>
    <w:rsid w:val="00162645"/>
    <w:rsid w:val="00167364"/>
    <w:rsid w:val="001761DC"/>
    <w:rsid w:val="001834E7"/>
    <w:rsid w:val="001A0A18"/>
    <w:rsid w:val="001A3992"/>
    <w:rsid w:val="001A7BD3"/>
    <w:rsid w:val="001C65D9"/>
    <w:rsid w:val="001E17E8"/>
    <w:rsid w:val="0021200F"/>
    <w:rsid w:val="00223634"/>
    <w:rsid w:val="00243B3D"/>
    <w:rsid w:val="00261AA1"/>
    <w:rsid w:val="002816B7"/>
    <w:rsid w:val="00285173"/>
    <w:rsid w:val="00287F87"/>
    <w:rsid w:val="002B6589"/>
    <w:rsid w:val="002E1C71"/>
    <w:rsid w:val="002E277D"/>
    <w:rsid w:val="0030672E"/>
    <w:rsid w:val="00306954"/>
    <w:rsid w:val="00313C01"/>
    <w:rsid w:val="00347F8A"/>
    <w:rsid w:val="00375DF3"/>
    <w:rsid w:val="003C0D74"/>
    <w:rsid w:val="003C16B6"/>
    <w:rsid w:val="003D4EDC"/>
    <w:rsid w:val="003E36CA"/>
    <w:rsid w:val="003E3AA7"/>
    <w:rsid w:val="003F6A67"/>
    <w:rsid w:val="00431ACD"/>
    <w:rsid w:val="004431F6"/>
    <w:rsid w:val="00453278"/>
    <w:rsid w:val="00472F07"/>
    <w:rsid w:val="00495302"/>
    <w:rsid w:val="004B6B19"/>
    <w:rsid w:val="004E6605"/>
    <w:rsid w:val="00527C22"/>
    <w:rsid w:val="00560391"/>
    <w:rsid w:val="005650E7"/>
    <w:rsid w:val="005911F1"/>
    <w:rsid w:val="00592BD4"/>
    <w:rsid w:val="005975FF"/>
    <w:rsid w:val="005A3A9C"/>
    <w:rsid w:val="005B2812"/>
    <w:rsid w:val="005B62F4"/>
    <w:rsid w:val="005D460F"/>
    <w:rsid w:val="00600A7C"/>
    <w:rsid w:val="006018AE"/>
    <w:rsid w:val="006242A2"/>
    <w:rsid w:val="00643D68"/>
    <w:rsid w:val="0068124A"/>
    <w:rsid w:val="006827C1"/>
    <w:rsid w:val="00691DEB"/>
    <w:rsid w:val="006932BE"/>
    <w:rsid w:val="006E4249"/>
    <w:rsid w:val="006E5825"/>
    <w:rsid w:val="007055AC"/>
    <w:rsid w:val="00726761"/>
    <w:rsid w:val="007306CC"/>
    <w:rsid w:val="00752437"/>
    <w:rsid w:val="00757B7E"/>
    <w:rsid w:val="00786507"/>
    <w:rsid w:val="007C5338"/>
    <w:rsid w:val="007C66C8"/>
    <w:rsid w:val="007D437F"/>
    <w:rsid w:val="007E4C33"/>
    <w:rsid w:val="007F1B75"/>
    <w:rsid w:val="008001DE"/>
    <w:rsid w:val="00842200"/>
    <w:rsid w:val="0085455C"/>
    <w:rsid w:val="008652D6"/>
    <w:rsid w:val="008843BF"/>
    <w:rsid w:val="00884F84"/>
    <w:rsid w:val="008A24CB"/>
    <w:rsid w:val="008A7A8D"/>
    <w:rsid w:val="008A7F37"/>
    <w:rsid w:val="008E0372"/>
    <w:rsid w:val="008F7EA2"/>
    <w:rsid w:val="00905FE6"/>
    <w:rsid w:val="0092489C"/>
    <w:rsid w:val="009579F6"/>
    <w:rsid w:val="00957DC3"/>
    <w:rsid w:val="00960CD5"/>
    <w:rsid w:val="00974AE4"/>
    <w:rsid w:val="00990C41"/>
    <w:rsid w:val="00995E0C"/>
    <w:rsid w:val="009A32B0"/>
    <w:rsid w:val="009B6350"/>
    <w:rsid w:val="009E56A4"/>
    <w:rsid w:val="009E7997"/>
    <w:rsid w:val="00A17A6E"/>
    <w:rsid w:val="00A331AE"/>
    <w:rsid w:val="00A40A96"/>
    <w:rsid w:val="00A64655"/>
    <w:rsid w:val="00A8434C"/>
    <w:rsid w:val="00A854FF"/>
    <w:rsid w:val="00A97FA7"/>
    <w:rsid w:val="00AA659A"/>
    <w:rsid w:val="00AE632A"/>
    <w:rsid w:val="00AF238D"/>
    <w:rsid w:val="00B02929"/>
    <w:rsid w:val="00B34617"/>
    <w:rsid w:val="00B50B20"/>
    <w:rsid w:val="00B548B9"/>
    <w:rsid w:val="00B71C47"/>
    <w:rsid w:val="00B755D8"/>
    <w:rsid w:val="00BA1D63"/>
    <w:rsid w:val="00BB0F12"/>
    <w:rsid w:val="00BE2135"/>
    <w:rsid w:val="00BE2A26"/>
    <w:rsid w:val="00BE6ABC"/>
    <w:rsid w:val="00C20322"/>
    <w:rsid w:val="00C2345E"/>
    <w:rsid w:val="00C34C67"/>
    <w:rsid w:val="00C77745"/>
    <w:rsid w:val="00C81060"/>
    <w:rsid w:val="00CA2EEC"/>
    <w:rsid w:val="00CC3E01"/>
    <w:rsid w:val="00CF7CB6"/>
    <w:rsid w:val="00D22B6F"/>
    <w:rsid w:val="00D46D87"/>
    <w:rsid w:val="00D54066"/>
    <w:rsid w:val="00D63FB3"/>
    <w:rsid w:val="00D919C2"/>
    <w:rsid w:val="00D96C1E"/>
    <w:rsid w:val="00DC7C00"/>
    <w:rsid w:val="00DC7FC4"/>
    <w:rsid w:val="00DD5205"/>
    <w:rsid w:val="00DE502D"/>
    <w:rsid w:val="00DE78F5"/>
    <w:rsid w:val="00E12F58"/>
    <w:rsid w:val="00E14231"/>
    <w:rsid w:val="00E3734D"/>
    <w:rsid w:val="00E4593E"/>
    <w:rsid w:val="00E514A9"/>
    <w:rsid w:val="00E51C2A"/>
    <w:rsid w:val="00E56B57"/>
    <w:rsid w:val="00E74A56"/>
    <w:rsid w:val="00EA3C58"/>
    <w:rsid w:val="00EA4A47"/>
    <w:rsid w:val="00EC69C0"/>
    <w:rsid w:val="00ED0070"/>
    <w:rsid w:val="00EE2756"/>
    <w:rsid w:val="00EE2E43"/>
    <w:rsid w:val="00EE409C"/>
    <w:rsid w:val="00F44346"/>
    <w:rsid w:val="00F50070"/>
    <w:rsid w:val="00F518AB"/>
    <w:rsid w:val="00F63D56"/>
    <w:rsid w:val="00F66045"/>
    <w:rsid w:val="00F73B54"/>
    <w:rsid w:val="00F80972"/>
    <w:rsid w:val="00F95F9B"/>
    <w:rsid w:val="00FC5120"/>
    <w:rsid w:val="00FC64C8"/>
    <w:rsid w:val="00FE690B"/>
    <w:rsid w:val="00FF050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0D7EAE2"/>
  <w15:docId w15:val="{5223E0A3-5D14-4D17-AE7C-B061BA6F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aliases w:val="Annotationtext,Comment Text Char Char,Comment Text Char1 Char Char,Comment Text Char Char Char Char,Comment Text Char Char1"/>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ableNotes">
    <w:name w:val="Table Notes"/>
    <w:basedOn w:val="ListParagraph"/>
    <w:locked/>
    <w:rsid w:val="00162645"/>
    <w:pPr>
      <w:numPr>
        <w:numId w:val="12"/>
      </w:numPr>
      <w:spacing w:before="120" w:after="120"/>
    </w:pPr>
    <w:rPr>
      <w:rFonts w:ascii="Times New Roman" w:eastAsia="Times New Roman" w:hAnsi="Times New Roman" w:cs="Times New Roman"/>
      <w:sz w:val="18"/>
      <w:szCs w:val="24"/>
      <w:lang w:val="en-CA"/>
    </w:rPr>
  </w:style>
  <w:style w:type="paragraph" w:styleId="Header">
    <w:name w:val="header"/>
    <w:basedOn w:val="Normal"/>
    <w:link w:val="HeaderChar"/>
    <w:uiPriority w:val="99"/>
    <w:unhideWhenUsed/>
    <w:rsid w:val="00BE6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ABC"/>
  </w:style>
  <w:style w:type="paragraph" w:styleId="Caption">
    <w:name w:val="caption"/>
    <w:basedOn w:val="Normal"/>
    <w:next w:val="Normal"/>
    <w:uiPriority w:val="35"/>
    <w:unhideWhenUsed/>
    <w:qFormat/>
    <w:rsid w:val="00BE6ABC"/>
    <w:pPr>
      <w:spacing w:line="240" w:lineRule="auto"/>
    </w:pPr>
    <w:rPr>
      <w:i/>
      <w:iCs/>
      <w:color w:val="1F497D" w:themeColor="text2"/>
      <w:sz w:val="18"/>
      <w:szCs w:val="18"/>
    </w:rPr>
  </w:style>
  <w:style w:type="paragraph" w:styleId="CommentSubject">
    <w:name w:val="annotation subject"/>
    <w:basedOn w:val="CommentText"/>
    <w:next w:val="CommentText"/>
    <w:link w:val="CommentSubjectChar"/>
    <w:uiPriority w:val="99"/>
    <w:semiHidden/>
    <w:unhideWhenUsed/>
    <w:rsid w:val="001761DC"/>
    <w:rPr>
      <w:rFonts w:asciiTheme="minorHAnsi" w:hAnsiTheme="minorHAnsi"/>
      <w:b/>
      <w:bCs/>
    </w:rPr>
  </w:style>
  <w:style w:type="character" w:customStyle="1" w:styleId="CommentSubjectChar">
    <w:name w:val="Comment Subject Char"/>
    <w:basedOn w:val="CommentTextChar"/>
    <w:link w:val="CommentSubject"/>
    <w:uiPriority w:val="99"/>
    <w:semiHidden/>
    <w:rsid w:val="001761DC"/>
    <w:rPr>
      <w:rFonts w:ascii="Cambria" w:hAnsi="Cambria"/>
      <w:b/>
      <w:bCs/>
      <w:sz w:val="20"/>
      <w:szCs w:val="20"/>
    </w:rPr>
  </w:style>
  <w:style w:type="paragraph" w:styleId="Revision">
    <w:name w:val="Revision"/>
    <w:hidden/>
    <w:uiPriority w:val="99"/>
    <w:semiHidden/>
    <w:rsid w:val="007F1B75"/>
    <w:pPr>
      <w:spacing w:after="0" w:line="240" w:lineRule="auto"/>
    </w:pPr>
  </w:style>
  <w:style w:type="table" w:styleId="TableGrid">
    <w:name w:val="Table Grid"/>
    <w:basedOn w:val="TableNormal"/>
    <w:uiPriority w:val="59"/>
    <w:rsid w:val="005D460F"/>
    <w:pPr>
      <w:spacing w:after="0" w:line="240" w:lineRule="auto"/>
    </w:pPr>
    <w:rPr>
      <w:rFonts w:eastAsia="Cambr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18272">
      <w:bodyDiv w:val="1"/>
      <w:marLeft w:val="0"/>
      <w:marRight w:val="0"/>
      <w:marTop w:val="0"/>
      <w:marBottom w:val="0"/>
      <w:divBdr>
        <w:top w:val="none" w:sz="0" w:space="0" w:color="auto"/>
        <w:left w:val="none" w:sz="0" w:space="0" w:color="auto"/>
        <w:bottom w:val="none" w:sz="0" w:space="0" w:color="auto"/>
        <w:right w:val="none" w:sz="0" w:space="0" w:color="auto"/>
      </w:divBdr>
    </w:div>
    <w:div w:id="914586670">
      <w:bodyDiv w:val="1"/>
      <w:marLeft w:val="0"/>
      <w:marRight w:val="0"/>
      <w:marTop w:val="0"/>
      <w:marBottom w:val="0"/>
      <w:divBdr>
        <w:top w:val="none" w:sz="0" w:space="0" w:color="auto"/>
        <w:left w:val="none" w:sz="0" w:space="0" w:color="auto"/>
        <w:bottom w:val="none" w:sz="0" w:space="0" w:color="auto"/>
        <w:right w:val="none" w:sz="0" w:space="0" w:color="auto"/>
      </w:divBdr>
    </w:div>
    <w:div w:id="988631983">
      <w:bodyDiv w:val="1"/>
      <w:marLeft w:val="0"/>
      <w:marRight w:val="0"/>
      <w:marTop w:val="0"/>
      <w:marBottom w:val="0"/>
      <w:divBdr>
        <w:top w:val="none" w:sz="0" w:space="0" w:color="auto"/>
        <w:left w:val="none" w:sz="0" w:space="0" w:color="auto"/>
        <w:bottom w:val="none" w:sz="0" w:space="0" w:color="auto"/>
        <w:right w:val="none" w:sz="0" w:space="0" w:color="auto"/>
      </w:divBdr>
    </w:div>
    <w:div w:id="15530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U00027\Downloads\pi-template-new-format-with-black-triangl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02D1-D506-4437-B0C6-37A66079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 (2).dotx</Template>
  <TotalTime>43</TotalTime>
  <Pages>17</Pages>
  <Words>5615</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Astellas Pharma Australia</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Gilteritinib (as fumarate)</dc:title>
  <dc:subject>Prescription medicines</dc:subject>
  <dc:creator>Astellas Pharma Australia</dc:creator>
  <cp:keywords>AusPARs</cp:keywords>
  <cp:lastPrinted>2017-11-13T05:13:00Z</cp:lastPrinted>
  <dcterms:created xsi:type="dcterms:W3CDTF">2020-04-03T02:33:00Z</dcterms:created>
  <dcterms:modified xsi:type="dcterms:W3CDTF">2020-09-11T05:28:00Z</dcterms:modified>
</cp:coreProperties>
</file>