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0CF0AA2" w14:textId="77777777" w:rsidTr="00BF1190">
        <w:trPr>
          <w:trHeight w:val="1863"/>
        </w:trPr>
        <w:tc>
          <w:tcPr>
            <w:tcW w:w="3652" w:type="dxa"/>
            <w:tcBorders>
              <w:top w:val="nil"/>
              <w:left w:val="nil"/>
              <w:bottom w:val="nil"/>
              <w:right w:val="nil"/>
            </w:tcBorders>
          </w:tcPr>
          <w:p w14:paraId="2BA695D6" w14:textId="758A016B" w:rsidR="008E7846" w:rsidRPr="00096AA7" w:rsidRDefault="00CD0A73" w:rsidP="00CD0A73">
            <w:pPr>
              <w:rPr>
                <w:rFonts w:ascii="Arial" w:hAnsi="Arial" w:cs="Arial"/>
                <w:b/>
                <w:color w:val="002C47"/>
                <w:sz w:val="36"/>
                <w:szCs w:val="36"/>
              </w:rPr>
            </w:pPr>
            <w:r>
              <w:rPr>
                <w:rFonts w:ascii="Arial" w:hAnsi="Arial" w:cs="Arial"/>
                <w:b/>
                <w:color w:val="002C47"/>
                <w:sz w:val="36"/>
                <w:szCs w:val="36"/>
              </w:rPr>
              <w:t>September</w:t>
            </w:r>
            <w:r w:rsidR="00B17704">
              <w:rPr>
                <w:rFonts w:ascii="Arial" w:hAnsi="Arial" w:cs="Arial"/>
                <w:b/>
                <w:color w:val="002C47"/>
                <w:sz w:val="36"/>
                <w:szCs w:val="36"/>
              </w:rPr>
              <w:t xml:space="preserve"> </w:t>
            </w:r>
            <w:r w:rsidR="00E360C9">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DB3ADB5" w14:textId="77777777" w:rsidTr="0032583B">
        <w:trPr>
          <w:trHeight w:val="868"/>
        </w:trPr>
        <w:tc>
          <w:tcPr>
            <w:tcW w:w="9079" w:type="dxa"/>
          </w:tcPr>
          <w:p w14:paraId="11D7C52B" w14:textId="77777777" w:rsidR="0032583B" w:rsidRPr="00A964D1" w:rsidRDefault="0032583B" w:rsidP="00A964D1">
            <w:pPr>
              <w:pStyle w:val="Title"/>
              <w:rPr>
                <w:color w:val="FFFFFF" w:themeColor="background1"/>
              </w:rPr>
            </w:pPr>
            <w:bookmarkStart w:id="0" w:name="_GoBack"/>
            <w:r w:rsidRPr="00A964D1">
              <w:rPr>
                <w:color w:val="FFFFFF" w:themeColor="background1"/>
              </w:rPr>
              <w:t xml:space="preserve">Australian Public Assessment Report for </w:t>
            </w:r>
            <w:proofErr w:type="spellStart"/>
            <w:r w:rsidR="00E360C9" w:rsidRPr="00E360C9">
              <w:rPr>
                <w:color w:val="FFFFFF" w:themeColor="background1"/>
              </w:rPr>
              <w:t>Galcanezumab</w:t>
            </w:r>
            <w:bookmarkEnd w:id="0"/>
            <w:proofErr w:type="spellEnd"/>
          </w:p>
        </w:tc>
      </w:tr>
      <w:tr w:rsidR="0032583B" w:rsidRPr="00B64760" w14:paraId="7037A7BF" w14:textId="77777777" w:rsidTr="0032583B">
        <w:tc>
          <w:tcPr>
            <w:tcW w:w="9079" w:type="dxa"/>
          </w:tcPr>
          <w:p w14:paraId="111BBD3E"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E360C9" w:rsidRPr="00E360C9">
              <w:rPr>
                <w:color w:val="FFFFFF" w:themeColor="background1"/>
              </w:rPr>
              <w:t>Emgality</w:t>
            </w:r>
            <w:proofErr w:type="spellEnd"/>
          </w:p>
        </w:tc>
      </w:tr>
      <w:tr w:rsidR="0032583B" w:rsidRPr="00B64760" w14:paraId="6F91CEC7" w14:textId="77777777" w:rsidTr="0032583B">
        <w:trPr>
          <w:trHeight w:val="486"/>
        </w:trPr>
        <w:tc>
          <w:tcPr>
            <w:tcW w:w="9079" w:type="dxa"/>
          </w:tcPr>
          <w:p w14:paraId="222B3B61" w14:textId="1E3C800C" w:rsidR="0032583B" w:rsidRPr="008E7846" w:rsidRDefault="0032583B" w:rsidP="0032583B">
            <w:pPr>
              <w:pStyle w:val="Subtitle"/>
              <w:rPr>
                <w:color w:val="FFFFFF" w:themeColor="background1"/>
              </w:rPr>
            </w:pPr>
            <w:r w:rsidRPr="008E7846">
              <w:rPr>
                <w:color w:val="FFFFFF" w:themeColor="background1"/>
              </w:rPr>
              <w:t xml:space="preserve">Sponsor: </w:t>
            </w:r>
            <w:r w:rsidR="00E360C9" w:rsidRPr="00E360C9">
              <w:rPr>
                <w:color w:val="FFFFFF" w:themeColor="background1"/>
              </w:rPr>
              <w:t>Eli Lil</w:t>
            </w:r>
            <w:r w:rsidR="00B04AD1">
              <w:rPr>
                <w:color w:val="FFFFFF" w:themeColor="background1"/>
              </w:rPr>
              <w:t>l</w:t>
            </w:r>
            <w:r w:rsidR="00E360C9" w:rsidRPr="00E360C9">
              <w:rPr>
                <w:color w:val="FFFFFF" w:themeColor="background1"/>
              </w:rPr>
              <w:t>y Australia Pty Ltd</w:t>
            </w:r>
          </w:p>
        </w:tc>
      </w:tr>
    </w:tbl>
    <w:p w14:paraId="47B6A0A1" w14:textId="77777777" w:rsidR="008E7846" w:rsidRPr="0085156D" w:rsidRDefault="008E7846" w:rsidP="0085156D">
      <w:r w:rsidRPr="0085156D">
        <w:br w:type="page"/>
      </w:r>
    </w:p>
    <w:p w14:paraId="443D0F8A" w14:textId="77777777" w:rsidR="008E7846" w:rsidRPr="001F6CBA" w:rsidRDefault="008E7846" w:rsidP="008E7846">
      <w:pPr>
        <w:pStyle w:val="NonTOCHeading2"/>
      </w:pPr>
      <w:r w:rsidRPr="001F6CBA">
        <w:lastRenderedPageBreak/>
        <w:t>About the Therapeutic Goods Administration (TGA)</w:t>
      </w:r>
    </w:p>
    <w:p w14:paraId="7589ECCF" w14:textId="77777777" w:rsidR="008E7846" w:rsidRDefault="008E7846" w:rsidP="00572B43">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14:paraId="474EAC92" w14:textId="77777777" w:rsidR="008E7846" w:rsidRDefault="00C80137" w:rsidP="00572B43">
      <w:pPr>
        <w:pStyle w:val="ListBullet"/>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03F421E" w14:textId="77777777" w:rsidR="008E7846" w:rsidRDefault="008E7846" w:rsidP="00572B43">
      <w:pPr>
        <w:pStyle w:val="ListBullet"/>
      </w:pPr>
      <w:r>
        <w:t>The work of the TGA is based on applying scientific and clinical expertise to decision-making, to ensure that the benefits to consumers outweigh any risks associated with the use of medicines and medical devices.</w:t>
      </w:r>
    </w:p>
    <w:p w14:paraId="05D85404" w14:textId="77777777" w:rsidR="008E7846" w:rsidRDefault="008E7846" w:rsidP="00572B43">
      <w:pPr>
        <w:pStyle w:val="ListBullet"/>
      </w:pPr>
      <w:r>
        <w:t>The TGA relies on the public, healthcare professionals and industry to report problems with medicines or medical devices. TGA investigates reports received by it to determine any necessary regulatory action.</w:t>
      </w:r>
    </w:p>
    <w:p w14:paraId="571BCC22" w14:textId="77777777" w:rsidR="00441C3F" w:rsidRDefault="008E7846" w:rsidP="00572B43">
      <w:pPr>
        <w:pStyle w:val="ListBullet"/>
      </w:pPr>
      <w:r>
        <w:t xml:space="preserve">To report a problem with a medicine or medical device, please see the information on </w:t>
      </w:r>
      <w:r w:rsidR="00441C3F">
        <w:t>the TGA website &lt;</w:t>
      </w:r>
      <w:hyperlink r:id="rId13" w:history="1">
        <w:r w:rsidR="00441C3F">
          <w:rPr>
            <w:rStyle w:val="Hyperlink"/>
          </w:rPr>
          <w:t>https://www.tga.gov.au</w:t>
        </w:r>
      </w:hyperlink>
      <w:r w:rsidR="00441C3F">
        <w:t>&gt;.</w:t>
      </w:r>
    </w:p>
    <w:p w14:paraId="60731468" w14:textId="77777777" w:rsidR="008E7846" w:rsidRDefault="008E7846" w:rsidP="00875A6B">
      <w:pPr>
        <w:pStyle w:val="NonTOCHeading2"/>
      </w:pPr>
      <w:r>
        <w:t xml:space="preserve">About </w:t>
      </w:r>
      <w:proofErr w:type="spellStart"/>
      <w:r>
        <w:t>AusPARs</w:t>
      </w:r>
      <w:proofErr w:type="spellEnd"/>
    </w:p>
    <w:p w14:paraId="39E2D4BD" w14:textId="77777777" w:rsidR="008E7846" w:rsidRDefault="008E7846" w:rsidP="00572B43">
      <w:pPr>
        <w:pStyle w:val="ListBullet"/>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4E083345" w14:textId="77777777" w:rsidR="008E7846" w:rsidRDefault="008E7846" w:rsidP="00572B43">
      <w:pPr>
        <w:pStyle w:val="ListBullet"/>
      </w:pPr>
      <w:proofErr w:type="spellStart"/>
      <w:r>
        <w:t>AusPARs</w:t>
      </w:r>
      <w:proofErr w:type="spellEnd"/>
      <w:r>
        <w:t xml:space="preserve"> are prepared and published by the TGA.</w:t>
      </w:r>
    </w:p>
    <w:p w14:paraId="2BA3CB63" w14:textId="77777777" w:rsidR="008E7846" w:rsidRDefault="008E7846" w:rsidP="00572B43">
      <w:pPr>
        <w:pStyle w:val="ListBullet"/>
      </w:pPr>
      <w:r>
        <w:t xml:space="preserve">An </w:t>
      </w:r>
      <w:proofErr w:type="spellStart"/>
      <w:r>
        <w:t>AusPAR</w:t>
      </w:r>
      <w:proofErr w:type="spellEnd"/>
      <w:r>
        <w:t xml:space="preserve"> is prepared for submissions that relate to new chemical entities, generic medicines, major variations and extensions of indications.</w:t>
      </w:r>
    </w:p>
    <w:p w14:paraId="45BE6F54" w14:textId="77777777" w:rsidR="008E7846" w:rsidRDefault="008E7846" w:rsidP="00572B43">
      <w:pPr>
        <w:pStyle w:val="ListBullet"/>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35C1C59A" w14:textId="77777777" w:rsidR="00B452CE" w:rsidRDefault="008E7846" w:rsidP="00572B43">
      <w:pPr>
        <w:pStyle w:val="ListBullet"/>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65C687D9" w14:textId="77777777" w:rsidR="00924482" w:rsidRPr="00DF1D7F" w:rsidRDefault="00924482" w:rsidP="00F54B65">
      <w:pPr>
        <w:pStyle w:val="LegalSubheading"/>
        <w:spacing w:before="3120"/>
      </w:pPr>
      <w:r w:rsidRPr="00DF1D7F">
        <w:t>Copyright</w:t>
      </w:r>
    </w:p>
    <w:p w14:paraId="0C56870C"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4" w:history="1">
        <w:r w:rsidRPr="00191B3B">
          <w:rPr>
            <w:rStyle w:val="Hyperlink"/>
            <w:rFonts w:cs="Arial"/>
            <w:lang w:val="en-GB"/>
          </w:rPr>
          <w:t>tga.copyright@tga.gov.au</w:t>
        </w:r>
      </w:hyperlink>
      <w:r w:rsidRPr="00191B3B">
        <w:rPr>
          <w:rFonts w:cs="Arial"/>
        </w:rPr>
        <w:t>&gt;.</w:t>
      </w:r>
    </w:p>
    <w:p w14:paraId="6E878A75" w14:textId="77777777" w:rsidR="00924482" w:rsidRDefault="00924482" w:rsidP="00924482">
      <w:pPr>
        <w:pStyle w:val="LegalCopy"/>
        <w:sectPr w:rsidR="00924482" w:rsidSect="003D1E62">
          <w:headerReference w:type="default" r:id="rId15"/>
          <w:footerReference w:type="default" r:id="rId16"/>
          <w:headerReference w:type="first" r:id="rId17"/>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0D7A60F" w14:textId="77777777" w:rsidR="0089635C" w:rsidRPr="0089635C" w:rsidRDefault="0089635C" w:rsidP="0010788A">
          <w:pPr>
            <w:pStyle w:val="Contents"/>
          </w:pPr>
          <w:r w:rsidRPr="0010788A">
            <w:t>Contents</w:t>
          </w:r>
        </w:p>
        <w:p w14:paraId="2FD4EC25" w14:textId="48209CC9" w:rsidR="00E0317F"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0822155" w:history="1">
            <w:r w:rsidR="00E0317F" w:rsidRPr="00BB2F4E">
              <w:rPr>
                <w:rStyle w:val="Hyperlink"/>
                <w:noProof/>
              </w:rPr>
              <w:t>Common abbreviations</w:t>
            </w:r>
            <w:r w:rsidR="00E0317F">
              <w:rPr>
                <w:noProof/>
                <w:webHidden/>
              </w:rPr>
              <w:tab/>
            </w:r>
            <w:r w:rsidR="00E0317F">
              <w:rPr>
                <w:noProof/>
                <w:webHidden/>
              </w:rPr>
              <w:fldChar w:fldCharType="begin"/>
            </w:r>
            <w:r w:rsidR="00E0317F">
              <w:rPr>
                <w:noProof/>
                <w:webHidden/>
              </w:rPr>
              <w:instrText xml:space="preserve"> PAGEREF _Toc20822155 \h </w:instrText>
            </w:r>
            <w:r w:rsidR="00E0317F">
              <w:rPr>
                <w:noProof/>
                <w:webHidden/>
              </w:rPr>
            </w:r>
            <w:r w:rsidR="00E0317F">
              <w:rPr>
                <w:noProof/>
                <w:webHidden/>
              </w:rPr>
              <w:fldChar w:fldCharType="separate"/>
            </w:r>
            <w:r w:rsidR="00E0317F">
              <w:rPr>
                <w:noProof/>
                <w:webHidden/>
              </w:rPr>
              <w:t>5</w:t>
            </w:r>
            <w:r w:rsidR="00E0317F">
              <w:rPr>
                <w:noProof/>
                <w:webHidden/>
              </w:rPr>
              <w:fldChar w:fldCharType="end"/>
            </w:r>
          </w:hyperlink>
        </w:p>
        <w:p w14:paraId="16741C0A" w14:textId="5B79095D" w:rsidR="00E0317F" w:rsidRDefault="00E0317F">
          <w:pPr>
            <w:pStyle w:val="TOC2"/>
            <w:rPr>
              <w:rFonts w:asciiTheme="minorHAnsi" w:eastAsiaTheme="minorEastAsia" w:hAnsiTheme="minorHAnsi" w:cstheme="minorBidi"/>
              <w:b w:val="0"/>
              <w:noProof/>
              <w:sz w:val="22"/>
              <w:lang w:eastAsia="en-AU"/>
            </w:rPr>
          </w:pPr>
          <w:hyperlink w:anchor="_Toc20822156" w:history="1">
            <w:r w:rsidRPr="00BB2F4E">
              <w:rPr>
                <w:rStyle w:val="Hyperlink"/>
                <w:noProof/>
              </w:rPr>
              <w:t>I. Introduction to product submission</w:t>
            </w:r>
            <w:r>
              <w:rPr>
                <w:noProof/>
                <w:webHidden/>
              </w:rPr>
              <w:tab/>
            </w:r>
            <w:r>
              <w:rPr>
                <w:noProof/>
                <w:webHidden/>
              </w:rPr>
              <w:fldChar w:fldCharType="begin"/>
            </w:r>
            <w:r>
              <w:rPr>
                <w:noProof/>
                <w:webHidden/>
              </w:rPr>
              <w:instrText xml:space="preserve"> PAGEREF _Toc20822156 \h </w:instrText>
            </w:r>
            <w:r>
              <w:rPr>
                <w:noProof/>
                <w:webHidden/>
              </w:rPr>
            </w:r>
            <w:r>
              <w:rPr>
                <w:noProof/>
                <w:webHidden/>
              </w:rPr>
              <w:fldChar w:fldCharType="separate"/>
            </w:r>
            <w:r>
              <w:rPr>
                <w:noProof/>
                <w:webHidden/>
              </w:rPr>
              <w:t>9</w:t>
            </w:r>
            <w:r>
              <w:rPr>
                <w:noProof/>
                <w:webHidden/>
              </w:rPr>
              <w:fldChar w:fldCharType="end"/>
            </w:r>
          </w:hyperlink>
        </w:p>
        <w:p w14:paraId="7F6461E1" w14:textId="357EBCF9" w:rsidR="00E0317F" w:rsidRDefault="00E0317F">
          <w:pPr>
            <w:pStyle w:val="TOC3"/>
            <w:rPr>
              <w:rFonts w:asciiTheme="minorHAnsi" w:eastAsiaTheme="minorEastAsia" w:hAnsiTheme="minorHAnsi" w:cstheme="minorBidi"/>
              <w:noProof/>
              <w:lang w:eastAsia="en-AU"/>
            </w:rPr>
          </w:pPr>
          <w:hyperlink w:anchor="_Toc20822157" w:history="1">
            <w:r w:rsidRPr="00BB2F4E">
              <w:rPr>
                <w:rStyle w:val="Hyperlink"/>
                <w:noProof/>
                <w:lang w:eastAsia="en-AU"/>
              </w:rPr>
              <w:t>Submission details</w:t>
            </w:r>
            <w:r>
              <w:rPr>
                <w:noProof/>
                <w:webHidden/>
              </w:rPr>
              <w:tab/>
            </w:r>
            <w:r>
              <w:rPr>
                <w:noProof/>
                <w:webHidden/>
              </w:rPr>
              <w:fldChar w:fldCharType="begin"/>
            </w:r>
            <w:r>
              <w:rPr>
                <w:noProof/>
                <w:webHidden/>
              </w:rPr>
              <w:instrText xml:space="preserve"> PAGEREF _Toc20822157 \h </w:instrText>
            </w:r>
            <w:r>
              <w:rPr>
                <w:noProof/>
                <w:webHidden/>
              </w:rPr>
            </w:r>
            <w:r>
              <w:rPr>
                <w:noProof/>
                <w:webHidden/>
              </w:rPr>
              <w:fldChar w:fldCharType="separate"/>
            </w:r>
            <w:r>
              <w:rPr>
                <w:noProof/>
                <w:webHidden/>
              </w:rPr>
              <w:t>9</w:t>
            </w:r>
            <w:r>
              <w:rPr>
                <w:noProof/>
                <w:webHidden/>
              </w:rPr>
              <w:fldChar w:fldCharType="end"/>
            </w:r>
          </w:hyperlink>
        </w:p>
        <w:p w14:paraId="490BE20F" w14:textId="3F0C5299" w:rsidR="00E0317F" w:rsidRDefault="00E0317F">
          <w:pPr>
            <w:pStyle w:val="TOC3"/>
            <w:rPr>
              <w:rFonts w:asciiTheme="minorHAnsi" w:eastAsiaTheme="minorEastAsia" w:hAnsiTheme="minorHAnsi" w:cstheme="minorBidi"/>
              <w:noProof/>
              <w:lang w:eastAsia="en-AU"/>
            </w:rPr>
          </w:pPr>
          <w:hyperlink w:anchor="_Toc20822158" w:history="1">
            <w:r w:rsidRPr="00BB2F4E">
              <w:rPr>
                <w:rStyle w:val="Hyperlink"/>
                <w:noProof/>
              </w:rPr>
              <w:t>Product background</w:t>
            </w:r>
            <w:r>
              <w:rPr>
                <w:noProof/>
                <w:webHidden/>
              </w:rPr>
              <w:tab/>
            </w:r>
            <w:r>
              <w:rPr>
                <w:noProof/>
                <w:webHidden/>
              </w:rPr>
              <w:fldChar w:fldCharType="begin"/>
            </w:r>
            <w:r>
              <w:rPr>
                <w:noProof/>
                <w:webHidden/>
              </w:rPr>
              <w:instrText xml:space="preserve"> PAGEREF _Toc20822158 \h </w:instrText>
            </w:r>
            <w:r>
              <w:rPr>
                <w:noProof/>
                <w:webHidden/>
              </w:rPr>
            </w:r>
            <w:r>
              <w:rPr>
                <w:noProof/>
                <w:webHidden/>
              </w:rPr>
              <w:fldChar w:fldCharType="separate"/>
            </w:r>
            <w:r>
              <w:rPr>
                <w:noProof/>
                <w:webHidden/>
              </w:rPr>
              <w:t>9</w:t>
            </w:r>
            <w:r>
              <w:rPr>
                <w:noProof/>
                <w:webHidden/>
              </w:rPr>
              <w:fldChar w:fldCharType="end"/>
            </w:r>
          </w:hyperlink>
        </w:p>
        <w:p w14:paraId="67EC33E3" w14:textId="33277B35" w:rsidR="00E0317F" w:rsidRDefault="00E0317F">
          <w:pPr>
            <w:pStyle w:val="TOC3"/>
            <w:rPr>
              <w:rFonts w:asciiTheme="minorHAnsi" w:eastAsiaTheme="minorEastAsia" w:hAnsiTheme="minorHAnsi" w:cstheme="minorBidi"/>
              <w:noProof/>
              <w:lang w:eastAsia="en-AU"/>
            </w:rPr>
          </w:pPr>
          <w:hyperlink w:anchor="_Toc20822159" w:history="1">
            <w:r w:rsidRPr="00BB2F4E">
              <w:rPr>
                <w:rStyle w:val="Hyperlink"/>
                <w:noProof/>
              </w:rPr>
              <w:t>Regulatory status</w:t>
            </w:r>
            <w:r>
              <w:rPr>
                <w:noProof/>
                <w:webHidden/>
              </w:rPr>
              <w:tab/>
            </w:r>
            <w:r>
              <w:rPr>
                <w:noProof/>
                <w:webHidden/>
              </w:rPr>
              <w:fldChar w:fldCharType="begin"/>
            </w:r>
            <w:r>
              <w:rPr>
                <w:noProof/>
                <w:webHidden/>
              </w:rPr>
              <w:instrText xml:space="preserve"> PAGEREF _Toc20822159 \h </w:instrText>
            </w:r>
            <w:r>
              <w:rPr>
                <w:noProof/>
                <w:webHidden/>
              </w:rPr>
            </w:r>
            <w:r>
              <w:rPr>
                <w:noProof/>
                <w:webHidden/>
              </w:rPr>
              <w:fldChar w:fldCharType="separate"/>
            </w:r>
            <w:r>
              <w:rPr>
                <w:noProof/>
                <w:webHidden/>
              </w:rPr>
              <w:t>10</w:t>
            </w:r>
            <w:r>
              <w:rPr>
                <w:noProof/>
                <w:webHidden/>
              </w:rPr>
              <w:fldChar w:fldCharType="end"/>
            </w:r>
          </w:hyperlink>
        </w:p>
        <w:p w14:paraId="6B8F6E85" w14:textId="6F479AD5" w:rsidR="00E0317F" w:rsidRDefault="00E0317F">
          <w:pPr>
            <w:pStyle w:val="TOC3"/>
            <w:rPr>
              <w:rFonts w:asciiTheme="minorHAnsi" w:eastAsiaTheme="minorEastAsia" w:hAnsiTheme="minorHAnsi" w:cstheme="minorBidi"/>
              <w:noProof/>
              <w:lang w:eastAsia="en-AU"/>
            </w:rPr>
          </w:pPr>
          <w:hyperlink w:anchor="_Toc20822160" w:history="1">
            <w:r w:rsidRPr="00BB2F4E">
              <w:rPr>
                <w:rStyle w:val="Hyperlink"/>
                <w:noProof/>
              </w:rPr>
              <w:t>Product Information</w:t>
            </w:r>
            <w:r>
              <w:rPr>
                <w:noProof/>
                <w:webHidden/>
              </w:rPr>
              <w:tab/>
            </w:r>
            <w:r>
              <w:rPr>
                <w:noProof/>
                <w:webHidden/>
              </w:rPr>
              <w:fldChar w:fldCharType="begin"/>
            </w:r>
            <w:r>
              <w:rPr>
                <w:noProof/>
                <w:webHidden/>
              </w:rPr>
              <w:instrText xml:space="preserve"> PAGEREF _Toc20822160 \h </w:instrText>
            </w:r>
            <w:r>
              <w:rPr>
                <w:noProof/>
                <w:webHidden/>
              </w:rPr>
            </w:r>
            <w:r>
              <w:rPr>
                <w:noProof/>
                <w:webHidden/>
              </w:rPr>
              <w:fldChar w:fldCharType="separate"/>
            </w:r>
            <w:r>
              <w:rPr>
                <w:noProof/>
                <w:webHidden/>
              </w:rPr>
              <w:t>11</w:t>
            </w:r>
            <w:r>
              <w:rPr>
                <w:noProof/>
                <w:webHidden/>
              </w:rPr>
              <w:fldChar w:fldCharType="end"/>
            </w:r>
          </w:hyperlink>
        </w:p>
        <w:p w14:paraId="788FC319" w14:textId="0783413D" w:rsidR="00E0317F" w:rsidRDefault="00E0317F">
          <w:pPr>
            <w:pStyle w:val="TOC2"/>
            <w:rPr>
              <w:rFonts w:asciiTheme="minorHAnsi" w:eastAsiaTheme="minorEastAsia" w:hAnsiTheme="minorHAnsi" w:cstheme="minorBidi"/>
              <w:b w:val="0"/>
              <w:noProof/>
              <w:sz w:val="22"/>
              <w:lang w:eastAsia="en-AU"/>
            </w:rPr>
          </w:pPr>
          <w:hyperlink w:anchor="_Toc20822161" w:history="1">
            <w:r w:rsidRPr="00BB2F4E">
              <w:rPr>
                <w:rStyle w:val="Hyperlink"/>
                <w:noProof/>
              </w:rPr>
              <w:t>II. Registration time line</w:t>
            </w:r>
            <w:r>
              <w:rPr>
                <w:noProof/>
                <w:webHidden/>
              </w:rPr>
              <w:tab/>
            </w:r>
            <w:r>
              <w:rPr>
                <w:noProof/>
                <w:webHidden/>
              </w:rPr>
              <w:fldChar w:fldCharType="begin"/>
            </w:r>
            <w:r>
              <w:rPr>
                <w:noProof/>
                <w:webHidden/>
              </w:rPr>
              <w:instrText xml:space="preserve"> PAGEREF _Toc20822161 \h </w:instrText>
            </w:r>
            <w:r>
              <w:rPr>
                <w:noProof/>
                <w:webHidden/>
              </w:rPr>
            </w:r>
            <w:r>
              <w:rPr>
                <w:noProof/>
                <w:webHidden/>
              </w:rPr>
              <w:fldChar w:fldCharType="separate"/>
            </w:r>
            <w:r>
              <w:rPr>
                <w:noProof/>
                <w:webHidden/>
              </w:rPr>
              <w:t>11</w:t>
            </w:r>
            <w:r>
              <w:rPr>
                <w:noProof/>
                <w:webHidden/>
              </w:rPr>
              <w:fldChar w:fldCharType="end"/>
            </w:r>
          </w:hyperlink>
        </w:p>
        <w:p w14:paraId="3E3C8DBE" w14:textId="4845730A" w:rsidR="00E0317F" w:rsidRDefault="00E0317F">
          <w:pPr>
            <w:pStyle w:val="TOC2"/>
            <w:rPr>
              <w:rFonts w:asciiTheme="minorHAnsi" w:eastAsiaTheme="minorEastAsia" w:hAnsiTheme="minorHAnsi" w:cstheme="minorBidi"/>
              <w:b w:val="0"/>
              <w:noProof/>
              <w:sz w:val="22"/>
              <w:lang w:eastAsia="en-AU"/>
            </w:rPr>
          </w:pPr>
          <w:hyperlink w:anchor="_Toc20822162" w:history="1">
            <w:r w:rsidRPr="00BB2F4E">
              <w:rPr>
                <w:rStyle w:val="Hyperlink"/>
                <w:noProof/>
              </w:rPr>
              <w:t>III. Quality findings</w:t>
            </w:r>
            <w:r>
              <w:rPr>
                <w:noProof/>
                <w:webHidden/>
              </w:rPr>
              <w:tab/>
            </w:r>
            <w:r>
              <w:rPr>
                <w:noProof/>
                <w:webHidden/>
              </w:rPr>
              <w:fldChar w:fldCharType="begin"/>
            </w:r>
            <w:r>
              <w:rPr>
                <w:noProof/>
                <w:webHidden/>
              </w:rPr>
              <w:instrText xml:space="preserve"> PAGEREF _Toc20822162 \h </w:instrText>
            </w:r>
            <w:r>
              <w:rPr>
                <w:noProof/>
                <w:webHidden/>
              </w:rPr>
            </w:r>
            <w:r>
              <w:rPr>
                <w:noProof/>
                <w:webHidden/>
              </w:rPr>
              <w:fldChar w:fldCharType="separate"/>
            </w:r>
            <w:r>
              <w:rPr>
                <w:noProof/>
                <w:webHidden/>
              </w:rPr>
              <w:t>12</w:t>
            </w:r>
            <w:r>
              <w:rPr>
                <w:noProof/>
                <w:webHidden/>
              </w:rPr>
              <w:fldChar w:fldCharType="end"/>
            </w:r>
          </w:hyperlink>
        </w:p>
        <w:p w14:paraId="34168F03" w14:textId="4B9B3C14" w:rsidR="00E0317F" w:rsidRDefault="00E0317F">
          <w:pPr>
            <w:pStyle w:val="TOC3"/>
            <w:rPr>
              <w:rFonts w:asciiTheme="minorHAnsi" w:eastAsiaTheme="minorEastAsia" w:hAnsiTheme="minorHAnsi" w:cstheme="minorBidi"/>
              <w:noProof/>
              <w:lang w:eastAsia="en-AU"/>
            </w:rPr>
          </w:pPr>
          <w:hyperlink w:anchor="_Toc20822163" w:history="1">
            <w:r w:rsidRPr="00BB2F4E">
              <w:rPr>
                <w:rStyle w:val="Hyperlink"/>
                <w:noProof/>
              </w:rPr>
              <w:t>Drug substance (active ingredient) and drug product manufacturing</w:t>
            </w:r>
            <w:r>
              <w:rPr>
                <w:noProof/>
                <w:webHidden/>
              </w:rPr>
              <w:tab/>
            </w:r>
            <w:r>
              <w:rPr>
                <w:noProof/>
                <w:webHidden/>
              </w:rPr>
              <w:fldChar w:fldCharType="begin"/>
            </w:r>
            <w:r>
              <w:rPr>
                <w:noProof/>
                <w:webHidden/>
              </w:rPr>
              <w:instrText xml:space="preserve"> PAGEREF _Toc20822163 \h </w:instrText>
            </w:r>
            <w:r>
              <w:rPr>
                <w:noProof/>
                <w:webHidden/>
              </w:rPr>
            </w:r>
            <w:r>
              <w:rPr>
                <w:noProof/>
                <w:webHidden/>
              </w:rPr>
              <w:fldChar w:fldCharType="separate"/>
            </w:r>
            <w:r>
              <w:rPr>
                <w:noProof/>
                <w:webHidden/>
              </w:rPr>
              <w:t>12</w:t>
            </w:r>
            <w:r>
              <w:rPr>
                <w:noProof/>
                <w:webHidden/>
              </w:rPr>
              <w:fldChar w:fldCharType="end"/>
            </w:r>
          </w:hyperlink>
        </w:p>
        <w:p w14:paraId="60792986" w14:textId="7BB19559" w:rsidR="00E0317F" w:rsidRDefault="00E0317F">
          <w:pPr>
            <w:pStyle w:val="TOC3"/>
            <w:rPr>
              <w:rFonts w:asciiTheme="minorHAnsi" w:eastAsiaTheme="minorEastAsia" w:hAnsiTheme="minorHAnsi" w:cstheme="minorBidi"/>
              <w:noProof/>
              <w:lang w:eastAsia="en-AU"/>
            </w:rPr>
          </w:pPr>
          <w:hyperlink w:anchor="_Toc20822164" w:history="1">
            <w:r w:rsidRPr="00BB2F4E">
              <w:rPr>
                <w:rStyle w:val="Hyperlink"/>
                <w:noProof/>
              </w:rPr>
              <w:t>Quality summary and conclusions</w:t>
            </w:r>
            <w:r>
              <w:rPr>
                <w:noProof/>
                <w:webHidden/>
              </w:rPr>
              <w:tab/>
            </w:r>
            <w:r>
              <w:rPr>
                <w:noProof/>
                <w:webHidden/>
              </w:rPr>
              <w:fldChar w:fldCharType="begin"/>
            </w:r>
            <w:r>
              <w:rPr>
                <w:noProof/>
                <w:webHidden/>
              </w:rPr>
              <w:instrText xml:space="preserve"> PAGEREF _Toc20822164 \h </w:instrText>
            </w:r>
            <w:r>
              <w:rPr>
                <w:noProof/>
                <w:webHidden/>
              </w:rPr>
            </w:r>
            <w:r>
              <w:rPr>
                <w:noProof/>
                <w:webHidden/>
              </w:rPr>
              <w:fldChar w:fldCharType="separate"/>
            </w:r>
            <w:r>
              <w:rPr>
                <w:noProof/>
                <w:webHidden/>
              </w:rPr>
              <w:t>13</w:t>
            </w:r>
            <w:r>
              <w:rPr>
                <w:noProof/>
                <w:webHidden/>
              </w:rPr>
              <w:fldChar w:fldCharType="end"/>
            </w:r>
          </w:hyperlink>
        </w:p>
        <w:p w14:paraId="233AE5CE" w14:textId="5EABD94D" w:rsidR="00E0317F" w:rsidRDefault="00E0317F">
          <w:pPr>
            <w:pStyle w:val="TOC2"/>
            <w:rPr>
              <w:rFonts w:asciiTheme="minorHAnsi" w:eastAsiaTheme="minorEastAsia" w:hAnsiTheme="minorHAnsi" w:cstheme="minorBidi"/>
              <w:b w:val="0"/>
              <w:noProof/>
              <w:sz w:val="22"/>
              <w:lang w:eastAsia="en-AU"/>
            </w:rPr>
          </w:pPr>
          <w:hyperlink w:anchor="_Toc20822165" w:history="1">
            <w:r w:rsidRPr="00BB2F4E">
              <w:rPr>
                <w:rStyle w:val="Hyperlink"/>
                <w:noProof/>
              </w:rPr>
              <w:t>IV. Nonclinical findings</w:t>
            </w:r>
            <w:r>
              <w:rPr>
                <w:noProof/>
                <w:webHidden/>
              </w:rPr>
              <w:tab/>
            </w:r>
            <w:r>
              <w:rPr>
                <w:noProof/>
                <w:webHidden/>
              </w:rPr>
              <w:fldChar w:fldCharType="begin"/>
            </w:r>
            <w:r>
              <w:rPr>
                <w:noProof/>
                <w:webHidden/>
              </w:rPr>
              <w:instrText xml:space="preserve"> PAGEREF _Toc20822165 \h </w:instrText>
            </w:r>
            <w:r>
              <w:rPr>
                <w:noProof/>
                <w:webHidden/>
              </w:rPr>
            </w:r>
            <w:r>
              <w:rPr>
                <w:noProof/>
                <w:webHidden/>
              </w:rPr>
              <w:fldChar w:fldCharType="separate"/>
            </w:r>
            <w:r>
              <w:rPr>
                <w:noProof/>
                <w:webHidden/>
              </w:rPr>
              <w:t>13</w:t>
            </w:r>
            <w:r>
              <w:rPr>
                <w:noProof/>
                <w:webHidden/>
              </w:rPr>
              <w:fldChar w:fldCharType="end"/>
            </w:r>
          </w:hyperlink>
        </w:p>
        <w:p w14:paraId="258EC76F" w14:textId="328CA8F0" w:rsidR="00E0317F" w:rsidRDefault="00E0317F">
          <w:pPr>
            <w:pStyle w:val="TOC3"/>
            <w:rPr>
              <w:rFonts w:asciiTheme="minorHAnsi" w:eastAsiaTheme="minorEastAsia" w:hAnsiTheme="minorHAnsi" w:cstheme="minorBidi"/>
              <w:noProof/>
              <w:lang w:eastAsia="en-AU"/>
            </w:rPr>
          </w:pPr>
          <w:hyperlink w:anchor="_Toc20822166" w:history="1">
            <w:r w:rsidRPr="00BB2F4E">
              <w:rPr>
                <w:rStyle w:val="Hyperlink"/>
                <w:noProof/>
              </w:rPr>
              <w:t>Introduction</w:t>
            </w:r>
            <w:r>
              <w:rPr>
                <w:noProof/>
                <w:webHidden/>
              </w:rPr>
              <w:tab/>
            </w:r>
            <w:r>
              <w:rPr>
                <w:noProof/>
                <w:webHidden/>
              </w:rPr>
              <w:fldChar w:fldCharType="begin"/>
            </w:r>
            <w:r>
              <w:rPr>
                <w:noProof/>
                <w:webHidden/>
              </w:rPr>
              <w:instrText xml:space="preserve"> PAGEREF _Toc20822166 \h </w:instrText>
            </w:r>
            <w:r>
              <w:rPr>
                <w:noProof/>
                <w:webHidden/>
              </w:rPr>
            </w:r>
            <w:r>
              <w:rPr>
                <w:noProof/>
                <w:webHidden/>
              </w:rPr>
              <w:fldChar w:fldCharType="separate"/>
            </w:r>
            <w:r>
              <w:rPr>
                <w:noProof/>
                <w:webHidden/>
              </w:rPr>
              <w:t>13</w:t>
            </w:r>
            <w:r>
              <w:rPr>
                <w:noProof/>
                <w:webHidden/>
              </w:rPr>
              <w:fldChar w:fldCharType="end"/>
            </w:r>
          </w:hyperlink>
        </w:p>
        <w:p w14:paraId="7185BE9E" w14:textId="3C97CCCA" w:rsidR="00E0317F" w:rsidRDefault="00E0317F">
          <w:pPr>
            <w:pStyle w:val="TOC3"/>
            <w:rPr>
              <w:rFonts w:asciiTheme="minorHAnsi" w:eastAsiaTheme="minorEastAsia" w:hAnsiTheme="minorHAnsi" w:cstheme="minorBidi"/>
              <w:noProof/>
              <w:lang w:eastAsia="en-AU"/>
            </w:rPr>
          </w:pPr>
          <w:hyperlink w:anchor="_Toc20822167" w:history="1">
            <w:r w:rsidRPr="00BB2F4E">
              <w:rPr>
                <w:rStyle w:val="Hyperlink"/>
                <w:noProof/>
              </w:rPr>
              <w:t>Pharmacology</w:t>
            </w:r>
            <w:r>
              <w:rPr>
                <w:noProof/>
                <w:webHidden/>
              </w:rPr>
              <w:tab/>
            </w:r>
            <w:r>
              <w:rPr>
                <w:noProof/>
                <w:webHidden/>
              </w:rPr>
              <w:fldChar w:fldCharType="begin"/>
            </w:r>
            <w:r>
              <w:rPr>
                <w:noProof/>
                <w:webHidden/>
              </w:rPr>
              <w:instrText xml:space="preserve"> PAGEREF _Toc20822167 \h </w:instrText>
            </w:r>
            <w:r>
              <w:rPr>
                <w:noProof/>
                <w:webHidden/>
              </w:rPr>
            </w:r>
            <w:r>
              <w:rPr>
                <w:noProof/>
                <w:webHidden/>
              </w:rPr>
              <w:fldChar w:fldCharType="separate"/>
            </w:r>
            <w:r>
              <w:rPr>
                <w:noProof/>
                <w:webHidden/>
              </w:rPr>
              <w:t>13</w:t>
            </w:r>
            <w:r>
              <w:rPr>
                <w:noProof/>
                <w:webHidden/>
              </w:rPr>
              <w:fldChar w:fldCharType="end"/>
            </w:r>
          </w:hyperlink>
        </w:p>
        <w:p w14:paraId="32EEB6AD" w14:textId="51118689" w:rsidR="00E0317F" w:rsidRDefault="00E0317F">
          <w:pPr>
            <w:pStyle w:val="TOC3"/>
            <w:rPr>
              <w:rFonts w:asciiTheme="minorHAnsi" w:eastAsiaTheme="minorEastAsia" w:hAnsiTheme="minorHAnsi" w:cstheme="minorBidi"/>
              <w:noProof/>
              <w:lang w:eastAsia="en-AU"/>
            </w:rPr>
          </w:pPr>
          <w:hyperlink w:anchor="_Toc20822168" w:history="1">
            <w:r w:rsidRPr="00BB2F4E">
              <w:rPr>
                <w:rStyle w:val="Hyperlink"/>
                <w:noProof/>
              </w:rPr>
              <w:t>Pharmacokinetics</w:t>
            </w:r>
            <w:r>
              <w:rPr>
                <w:noProof/>
                <w:webHidden/>
              </w:rPr>
              <w:tab/>
            </w:r>
            <w:r>
              <w:rPr>
                <w:noProof/>
                <w:webHidden/>
              </w:rPr>
              <w:fldChar w:fldCharType="begin"/>
            </w:r>
            <w:r>
              <w:rPr>
                <w:noProof/>
                <w:webHidden/>
              </w:rPr>
              <w:instrText xml:space="preserve"> PAGEREF _Toc20822168 \h </w:instrText>
            </w:r>
            <w:r>
              <w:rPr>
                <w:noProof/>
                <w:webHidden/>
              </w:rPr>
            </w:r>
            <w:r>
              <w:rPr>
                <w:noProof/>
                <w:webHidden/>
              </w:rPr>
              <w:fldChar w:fldCharType="separate"/>
            </w:r>
            <w:r>
              <w:rPr>
                <w:noProof/>
                <w:webHidden/>
              </w:rPr>
              <w:t>14</w:t>
            </w:r>
            <w:r>
              <w:rPr>
                <w:noProof/>
                <w:webHidden/>
              </w:rPr>
              <w:fldChar w:fldCharType="end"/>
            </w:r>
          </w:hyperlink>
        </w:p>
        <w:p w14:paraId="0AE2C751" w14:textId="3CCDB5A8" w:rsidR="00E0317F" w:rsidRDefault="00E0317F">
          <w:pPr>
            <w:pStyle w:val="TOC3"/>
            <w:rPr>
              <w:rFonts w:asciiTheme="minorHAnsi" w:eastAsiaTheme="minorEastAsia" w:hAnsiTheme="minorHAnsi" w:cstheme="minorBidi"/>
              <w:noProof/>
              <w:lang w:eastAsia="en-AU"/>
            </w:rPr>
          </w:pPr>
          <w:hyperlink w:anchor="_Toc20822169" w:history="1">
            <w:r w:rsidRPr="00BB2F4E">
              <w:rPr>
                <w:rStyle w:val="Hyperlink"/>
                <w:noProof/>
              </w:rPr>
              <w:t>Toxicology</w:t>
            </w:r>
            <w:r>
              <w:rPr>
                <w:noProof/>
                <w:webHidden/>
              </w:rPr>
              <w:tab/>
            </w:r>
            <w:r>
              <w:rPr>
                <w:noProof/>
                <w:webHidden/>
              </w:rPr>
              <w:fldChar w:fldCharType="begin"/>
            </w:r>
            <w:r>
              <w:rPr>
                <w:noProof/>
                <w:webHidden/>
              </w:rPr>
              <w:instrText xml:space="preserve"> PAGEREF _Toc20822169 \h </w:instrText>
            </w:r>
            <w:r>
              <w:rPr>
                <w:noProof/>
                <w:webHidden/>
              </w:rPr>
            </w:r>
            <w:r>
              <w:rPr>
                <w:noProof/>
                <w:webHidden/>
              </w:rPr>
              <w:fldChar w:fldCharType="separate"/>
            </w:r>
            <w:r>
              <w:rPr>
                <w:noProof/>
                <w:webHidden/>
              </w:rPr>
              <w:t>15</w:t>
            </w:r>
            <w:r>
              <w:rPr>
                <w:noProof/>
                <w:webHidden/>
              </w:rPr>
              <w:fldChar w:fldCharType="end"/>
            </w:r>
          </w:hyperlink>
        </w:p>
        <w:p w14:paraId="3905384E" w14:textId="1F801CD3" w:rsidR="00E0317F" w:rsidRDefault="00E0317F">
          <w:pPr>
            <w:pStyle w:val="TOC3"/>
            <w:rPr>
              <w:rFonts w:asciiTheme="minorHAnsi" w:eastAsiaTheme="minorEastAsia" w:hAnsiTheme="minorHAnsi" w:cstheme="minorBidi"/>
              <w:noProof/>
              <w:lang w:eastAsia="en-AU"/>
            </w:rPr>
          </w:pPr>
          <w:hyperlink w:anchor="_Toc20822170" w:history="1">
            <w:r w:rsidRPr="00BB2F4E">
              <w:rPr>
                <w:rStyle w:val="Hyperlink"/>
                <w:noProof/>
              </w:rPr>
              <w:t>Nonclinical summary and conclusions</w:t>
            </w:r>
            <w:r>
              <w:rPr>
                <w:noProof/>
                <w:webHidden/>
              </w:rPr>
              <w:tab/>
            </w:r>
            <w:r>
              <w:rPr>
                <w:noProof/>
                <w:webHidden/>
              </w:rPr>
              <w:fldChar w:fldCharType="begin"/>
            </w:r>
            <w:r>
              <w:rPr>
                <w:noProof/>
                <w:webHidden/>
              </w:rPr>
              <w:instrText xml:space="preserve"> PAGEREF _Toc20822170 \h </w:instrText>
            </w:r>
            <w:r>
              <w:rPr>
                <w:noProof/>
                <w:webHidden/>
              </w:rPr>
            </w:r>
            <w:r>
              <w:rPr>
                <w:noProof/>
                <w:webHidden/>
              </w:rPr>
              <w:fldChar w:fldCharType="separate"/>
            </w:r>
            <w:r>
              <w:rPr>
                <w:noProof/>
                <w:webHidden/>
              </w:rPr>
              <w:t>21</w:t>
            </w:r>
            <w:r>
              <w:rPr>
                <w:noProof/>
                <w:webHidden/>
              </w:rPr>
              <w:fldChar w:fldCharType="end"/>
            </w:r>
          </w:hyperlink>
        </w:p>
        <w:p w14:paraId="184DE5ED" w14:textId="40A862C2" w:rsidR="00E0317F" w:rsidRDefault="00E0317F">
          <w:pPr>
            <w:pStyle w:val="TOC2"/>
            <w:rPr>
              <w:rFonts w:asciiTheme="minorHAnsi" w:eastAsiaTheme="minorEastAsia" w:hAnsiTheme="minorHAnsi" w:cstheme="minorBidi"/>
              <w:b w:val="0"/>
              <w:noProof/>
              <w:sz w:val="22"/>
              <w:lang w:eastAsia="en-AU"/>
            </w:rPr>
          </w:pPr>
          <w:hyperlink w:anchor="_Toc20822171" w:history="1">
            <w:r w:rsidRPr="00BB2F4E">
              <w:rPr>
                <w:rStyle w:val="Hyperlink"/>
                <w:noProof/>
              </w:rPr>
              <w:t>V. Clinical findings</w:t>
            </w:r>
            <w:r>
              <w:rPr>
                <w:noProof/>
                <w:webHidden/>
              </w:rPr>
              <w:tab/>
            </w:r>
            <w:r>
              <w:rPr>
                <w:noProof/>
                <w:webHidden/>
              </w:rPr>
              <w:fldChar w:fldCharType="begin"/>
            </w:r>
            <w:r>
              <w:rPr>
                <w:noProof/>
                <w:webHidden/>
              </w:rPr>
              <w:instrText xml:space="preserve"> PAGEREF _Toc20822171 \h </w:instrText>
            </w:r>
            <w:r>
              <w:rPr>
                <w:noProof/>
                <w:webHidden/>
              </w:rPr>
            </w:r>
            <w:r>
              <w:rPr>
                <w:noProof/>
                <w:webHidden/>
              </w:rPr>
              <w:fldChar w:fldCharType="separate"/>
            </w:r>
            <w:r>
              <w:rPr>
                <w:noProof/>
                <w:webHidden/>
              </w:rPr>
              <w:t>23</w:t>
            </w:r>
            <w:r>
              <w:rPr>
                <w:noProof/>
                <w:webHidden/>
              </w:rPr>
              <w:fldChar w:fldCharType="end"/>
            </w:r>
          </w:hyperlink>
        </w:p>
        <w:p w14:paraId="7F7A638D" w14:textId="29427227" w:rsidR="00E0317F" w:rsidRDefault="00E0317F">
          <w:pPr>
            <w:pStyle w:val="TOC3"/>
            <w:rPr>
              <w:rFonts w:asciiTheme="minorHAnsi" w:eastAsiaTheme="minorEastAsia" w:hAnsiTheme="minorHAnsi" w:cstheme="minorBidi"/>
              <w:noProof/>
              <w:lang w:eastAsia="en-AU"/>
            </w:rPr>
          </w:pPr>
          <w:hyperlink w:anchor="_Toc20822172" w:history="1">
            <w:r w:rsidRPr="00BB2F4E">
              <w:rPr>
                <w:rStyle w:val="Hyperlink"/>
                <w:noProof/>
              </w:rPr>
              <w:t>Introduction</w:t>
            </w:r>
            <w:r>
              <w:rPr>
                <w:noProof/>
                <w:webHidden/>
              </w:rPr>
              <w:tab/>
            </w:r>
            <w:r>
              <w:rPr>
                <w:noProof/>
                <w:webHidden/>
              </w:rPr>
              <w:fldChar w:fldCharType="begin"/>
            </w:r>
            <w:r>
              <w:rPr>
                <w:noProof/>
                <w:webHidden/>
              </w:rPr>
              <w:instrText xml:space="preserve"> PAGEREF _Toc20822172 \h </w:instrText>
            </w:r>
            <w:r>
              <w:rPr>
                <w:noProof/>
                <w:webHidden/>
              </w:rPr>
            </w:r>
            <w:r>
              <w:rPr>
                <w:noProof/>
                <w:webHidden/>
              </w:rPr>
              <w:fldChar w:fldCharType="separate"/>
            </w:r>
            <w:r>
              <w:rPr>
                <w:noProof/>
                <w:webHidden/>
              </w:rPr>
              <w:t>23</w:t>
            </w:r>
            <w:r>
              <w:rPr>
                <w:noProof/>
                <w:webHidden/>
              </w:rPr>
              <w:fldChar w:fldCharType="end"/>
            </w:r>
          </w:hyperlink>
        </w:p>
        <w:p w14:paraId="154A09BE" w14:textId="212C455F" w:rsidR="00E0317F" w:rsidRDefault="00E0317F">
          <w:pPr>
            <w:pStyle w:val="TOC3"/>
            <w:rPr>
              <w:rFonts w:asciiTheme="minorHAnsi" w:eastAsiaTheme="minorEastAsia" w:hAnsiTheme="minorHAnsi" w:cstheme="minorBidi"/>
              <w:noProof/>
              <w:lang w:eastAsia="en-AU"/>
            </w:rPr>
          </w:pPr>
          <w:hyperlink w:anchor="_Toc20822173" w:history="1">
            <w:r w:rsidRPr="00BB2F4E">
              <w:rPr>
                <w:rStyle w:val="Hyperlink"/>
                <w:noProof/>
              </w:rPr>
              <w:t>Pharmacokinetics</w:t>
            </w:r>
            <w:r>
              <w:rPr>
                <w:noProof/>
                <w:webHidden/>
              </w:rPr>
              <w:tab/>
            </w:r>
            <w:r>
              <w:rPr>
                <w:noProof/>
                <w:webHidden/>
              </w:rPr>
              <w:fldChar w:fldCharType="begin"/>
            </w:r>
            <w:r>
              <w:rPr>
                <w:noProof/>
                <w:webHidden/>
              </w:rPr>
              <w:instrText xml:space="preserve"> PAGEREF _Toc20822173 \h </w:instrText>
            </w:r>
            <w:r>
              <w:rPr>
                <w:noProof/>
                <w:webHidden/>
              </w:rPr>
            </w:r>
            <w:r>
              <w:rPr>
                <w:noProof/>
                <w:webHidden/>
              </w:rPr>
              <w:fldChar w:fldCharType="separate"/>
            </w:r>
            <w:r>
              <w:rPr>
                <w:noProof/>
                <w:webHidden/>
              </w:rPr>
              <w:t>27</w:t>
            </w:r>
            <w:r>
              <w:rPr>
                <w:noProof/>
                <w:webHidden/>
              </w:rPr>
              <w:fldChar w:fldCharType="end"/>
            </w:r>
          </w:hyperlink>
        </w:p>
        <w:p w14:paraId="546478B1" w14:textId="0E3DE880" w:rsidR="00E0317F" w:rsidRDefault="00E0317F">
          <w:pPr>
            <w:pStyle w:val="TOC3"/>
            <w:rPr>
              <w:rFonts w:asciiTheme="minorHAnsi" w:eastAsiaTheme="minorEastAsia" w:hAnsiTheme="minorHAnsi" w:cstheme="minorBidi"/>
              <w:noProof/>
              <w:lang w:eastAsia="en-AU"/>
            </w:rPr>
          </w:pPr>
          <w:hyperlink w:anchor="_Toc20822174" w:history="1">
            <w:r w:rsidRPr="00BB2F4E">
              <w:rPr>
                <w:rStyle w:val="Hyperlink"/>
                <w:noProof/>
              </w:rPr>
              <w:t>Pharmacodynamics</w:t>
            </w:r>
            <w:r>
              <w:rPr>
                <w:noProof/>
                <w:webHidden/>
              </w:rPr>
              <w:tab/>
            </w:r>
            <w:r>
              <w:rPr>
                <w:noProof/>
                <w:webHidden/>
              </w:rPr>
              <w:fldChar w:fldCharType="begin"/>
            </w:r>
            <w:r>
              <w:rPr>
                <w:noProof/>
                <w:webHidden/>
              </w:rPr>
              <w:instrText xml:space="preserve"> PAGEREF _Toc20822174 \h </w:instrText>
            </w:r>
            <w:r>
              <w:rPr>
                <w:noProof/>
                <w:webHidden/>
              </w:rPr>
            </w:r>
            <w:r>
              <w:rPr>
                <w:noProof/>
                <w:webHidden/>
              </w:rPr>
              <w:fldChar w:fldCharType="separate"/>
            </w:r>
            <w:r>
              <w:rPr>
                <w:noProof/>
                <w:webHidden/>
              </w:rPr>
              <w:t>29</w:t>
            </w:r>
            <w:r>
              <w:rPr>
                <w:noProof/>
                <w:webHidden/>
              </w:rPr>
              <w:fldChar w:fldCharType="end"/>
            </w:r>
          </w:hyperlink>
        </w:p>
        <w:p w14:paraId="2D7700C2" w14:textId="77215A29" w:rsidR="00E0317F" w:rsidRDefault="00E0317F">
          <w:pPr>
            <w:pStyle w:val="TOC3"/>
            <w:rPr>
              <w:rFonts w:asciiTheme="minorHAnsi" w:eastAsiaTheme="minorEastAsia" w:hAnsiTheme="minorHAnsi" w:cstheme="minorBidi"/>
              <w:noProof/>
              <w:lang w:eastAsia="en-AU"/>
            </w:rPr>
          </w:pPr>
          <w:hyperlink w:anchor="_Toc20822175" w:history="1">
            <w:r w:rsidRPr="00BB2F4E">
              <w:rPr>
                <w:rStyle w:val="Hyperlink"/>
                <w:noProof/>
              </w:rPr>
              <w:t>Dosage selection for the pivotal studies</w:t>
            </w:r>
            <w:r>
              <w:rPr>
                <w:noProof/>
                <w:webHidden/>
              </w:rPr>
              <w:tab/>
            </w:r>
            <w:r>
              <w:rPr>
                <w:noProof/>
                <w:webHidden/>
              </w:rPr>
              <w:fldChar w:fldCharType="begin"/>
            </w:r>
            <w:r>
              <w:rPr>
                <w:noProof/>
                <w:webHidden/>
              </w:rPr>
              <w:instrText xml:space="preserve"> PAGEREF _Toc20822175 \h </w:instrText>
            </w:r>
            <w:r>
              <w:rPr>
                <w:noProof/>
                <w:webHidden/>
              </w:rPr>
            </w:r>
            <w:r>
              <w:rPr>
                <w:noProof/>
                <w:webHidden/>
              </w:rPr>
              <w:fldChar w:fldCharType="separate"/>
            </w:r>
            <w:r>
              <w:rPr>
                <w:noProof/>
                <w:webHidden/>
              </w:rPr>
              <w:t>30</w:t>
            </w:r>
            <w:r>
              <w:rPr>
                <w:noProof/>
                <w:webHidden/>
              </w:rPr>
              <w:fldChar w:fldCharType="end"/>
            </w:r>
          </w:hyperlink>
        </w:p>
        <w:p w14:paraId="4964DFE1" w14:textId="510FF2D3" w:rsidR="00E0317F" w:rsidRDefault="00E0317F">
          <w:pPr>
            <w:pStyle w:val="TOC3"/>
            <w:rPr>
              <w:rFonts w:asciiTheme="minorHAnsi" w:eastAsiaTheme="minorEastAsia" w:hAnsiTheme="minorHAnsi" w:cstheme="minorBidi"/>
              <w:noProof/>
              <w:lang w:eastAsia="en-AU"/>
            </w:rPr>
          </w:pPr>
          <w:hyperlink w:anchor="_Toc20822176" w:history="1">
            <w:r w:rsidRPr="00BB2F4E">
              <w:rPr>
                <w:rStyle w:val="Hyperlink"/>
                <w:noProof/>
              </w:rPr>
              <w:t>Efficacy</w:t>
            </w:r>
            <w:r>
              <w:rPr>
                <w:noProof/>
                <w:webHidden/>
              </w:rPr>
              <w:tab/>
            </w:r>
            <w:r>
              <w:rPr>
                <w:noProof/>
                <w:webHidden/>
              </w:rPr>
              <w:fldChar w:fldCharType="begin"/>
            </w:r>
            <w:r>
              <w:rPr>
                <w:noProof/>
                <w:webHidden/>
              </w:rPr>
              <w:instrText xml:space="preserve"> PAGEREF _Toc20822176 \h </w:instrText>
            </w:r>
            <w:r>
              <w:rPr>
                <w:noProof/>
                <w:webHidden/>
              </w:rPr>
            </w:r>
            <w:r>
              <w:rPr>
                <w:noProof/>
                <w:webHidden/>
              </w:rPr>
              <w:fldChar w:fldCharType="separate"/>
            </w:r>
            <w:r>
              <w:rPr>
                <w:noProof/>
                <w:webHidden/>
              </w:rPr>
              <w:t>32</w:t>
            </w:r>
            <w:r>
              <w:rPr>
                <w:noProof/>
                <w:webHidden/>
              </w:rPr>
              <w:fldChar w:fldCharType="end"/>
            </w:r>
          </w:hyperlink>
        </w:p>
        <w:p w14:paraId="3DED8691" w14:textId="1F5D45EA" w:rsidR="00E0317F" w:rsidRDefault="00E0317F">
          <w:pPr>
            <w:pStyle w:val="TOC3"/>
            <w:rPr>
              <w:rFonts w:asciiTheme="minorHAnsi" w:eastAsiaTheme="minorEastAsia" w:hAnsiTheme="minorHAnsi" w:cstheme="minorBidi"/>
              <w:noProof/>
              <w:lang w:eastAsia="en-AU"/>
            </w:rPr>
          </w:pPr>
          <w:hyperlink w:anchor="_Toc20822177" w:history="1">
            <w:r w:rsidRPr="00BB2F4E">
              <w:rPr>
                <w:rStyle w:val="Hyperlink"/>
                <w:noProof/>
              </w:rPr>
              <w:t>Safety</w:t>
            </w:r>
            <w:r>
              <w:rPr>
                <w:noProof/>
                <w:webHidden/>
              </w:rPr>
              <w:tab/>
            </w:r>
            <w:r>
              <w:rPr>
                <w:noProof/>
                <w:webHidden/>
              </w:rPr>
              <w:fldChar w:fldCharType="begin"/>
            </w:r>
            <w:r>
              <w:rPr>
                <w:noProof/>
                <w:webHidden/>
              </w:rPr>
              <w:instrText xml:space="preserve"> PAGEREF _Toc20822177 \h </w:instrText>
            </w:r>
            <w:r>
              <w:rPr>
                <w:noProof/>
                <w:webHidden/>
              </w:rPr>
            </w:r>
            <w:r>
              <w:rPr>
                <w:noProof/>
                <w:webHidden/>
              </w:rPr>
              <w:fldChar w:fldCharType="separate"/>
            </w:r>
            <w:r>
              <w:rPr>
                <w:noProof/>
                <w:webHidden/>
              </w:rPr>
              <w:t>32</w:t>
            </w:r>
            <w:r>
              <w:rPr>
                <w:noProof/>
                <w:webHidden/>
              </w:rPr>
              <w:fldChar w:fldCharType="end"/>
            </w:r>
          </w:hyperlink>
        </w:p>
        <w:p w14:paraId="5C503B9F" w14:textId="4D732372" w:rsidR="00E0317F" w:rsidRDefault="00E0317F">
          <w:pPr>
            <w:pStyle w:val="TOC3"/>
            <w:rPr>
              <w:rFonts w:asciiTheme="minorHAnsi" w:eastAsiaTheme="minorEastAsia" w:hAnsiTheme="minorHAnsi" w:cstheme="minorBidi"/>
              <w:noProof/>
              <w:lang w:eastAsia="en-AU"/>
            </w:rPr>
          </w:pPr>
          <w:hyperlink w:anchor="_Toc20822178" w:history="1">
            <w:r w:rsidRPr="00BB2F4E">
              <w:rPr>
                <w:rStyle w:val="Hyperlink"/>
                <w:noProof/>
              </w:rPr>
              <w:t>First round benefit-risk assessment</w:t>
            </w:r>
            <w:r>
              <w:rPr>
                <w:noProof/>
                <w:webHidden/>
              </w:rPr>
              <w:tab/>
            </w:r>
            <w:r>
              <w:rPr>
                <w:noProof/>
                <w:webHidden/>
              </w:rPr>
              <w:fldChar w:fldCharType="begin"/>
            </w:r>
            <w:r>
              <w:rPr>
                <w:noProof/>
                <w:webHidden/>
              </w:rPr>
              <w:instrText xml:space="preserve"> PAGEREF _Toc20822178 \h </w:instrText>
            </w:r>
            <w:r>
              <w:rPr>
                <w:noProof/>
                <w:webHidden/>
              </w:rPr>
            </w:r>
            <w:r>
              <w:rPr>
                <w:noProof/>
                <w:webHidden/>
              </w:rPr>
              <w:fldChar w:fldCharType="separate"/>
            </w:r>
            <w:r>
              <w:rPr>
                <w:noProof/>
                <w:webHidden/>
              </w:rPr>
              <w:t>47</w:t>
            </w:r>
            <w:r>
              <w:rPr>
                <w:noProof/>
                <w:webHidden/>
              </w:rPr>
              <w:fldChar w:fldCharType="end"/>
            </w:r>
          </w:hyperlink>
        </w:p>
        <w:p w14:paraId="0D0C1F87" w14:textId="606FD349" w:rsidR="00E0317F" w:rsidRDefault="00E0317F">
          <w:pPr>
            <w:pStyle w:val="TOC3"/>
            <w:rPr>
              <w:rFonts w:asciiTheme="minorHAnsi" w:eastAsiaTheme="minorEastAsia" w:hAnsiTheme="minorHAnsi" w:cstheme="minorBidi"/>
              <w:noProof/>
              <w:lang w:eastAsia="en-AU"/>
            </w:rPr>
          </w:pPr>
          <w:hyperlink w:anchor="_Toc20822179" w:history="1">
            <w:r w:rsidRPr="00BB2F4E">
              <w:rPr>
                <w:rStyle w:val="Hyperlink"/>
                <w:noProof/>
              </w:rPr>
              <w:t>First round recommendation regarding authorisation</w:t>
            </w:r>
            <w:r>
              <w:rPr>
                <w:noProof/>
                <w:webHidden/>
              </w:rPr>
              <w:tab/>
            </w:r>
            <w:r>
              <w:rPr>
                <w:noProof/>
                <w:webHidden/>
              </w:rPr>
              <w:fldChar w:fldCharType="begin"/>
            </w:r>
            <w:r>
              <w:rPr>
                <w:noProof/>
                <w:webHidden/>
              </w:rPr>
              <w:instrText xml:space="preserve"> PAGEREF _Toc20822179 \h </w:instrText>
            </w:r>
            <w:r>
              <w:rPr>
                <w:noProof/>
                <w:webHidden/>
              </w:rPr>
            </w:r>
            <w:r>
              <w:rPr>
                <w:noProof/>
                <w:webHidden/>
              </w:rPr>
              <w:fldChar w:fldCharType="separate"/>
            </w:r>
            <w:r>
              <w:rPr>
                <w:noProof/>
                <w:webHidden/>
              </w:rPr>
              <w:t>49</w:t>
            </w:r>
            <w:r>
              <w:rPr>
                <w:noProof/>
                <w:webHidden/>
              </w:rPr>
              <w:fldChar w:fldCharType="end"/>
            </w:r>
          </w:hyperlink>
        </w:p>
        <w:p w14:paraId="25222C93" w14:textId="2A58E884" w:rsidR="00E0317F" w:rsidRDefault="00E0317F">
          <w:pPr>
            <w:pStyle w:val="TOC3"/>
            <w:rPr>
              <w:rFonts w:asciiTheme="minorHAnsi" w:eastAsiaTheme="minorEastAsia" w:hAnsiTheme="minorHAnsi" w:cstheme="minorBidi"/>
              <w:noProof/>
              <w:lang w:eastAsia="en-AU"/>
            </w:rPr>
          </w:pPr>
          <w:hyperlink w:anchor="_Toc20822180" w:history="1">
            <w:r w:rsidRPr="00BB2F4E">
              <w:rPr>
                <w:rStyle w:val="Hyperlink"/>
                <w:noProof/>
              </w:rPr>
              <w:t>Clinical questions and second round evaluation</w:t>
            </w:r>
            <w:r>
              <w:rPr>
                <w:noProof/>
                <w:webHidden/>
              </w:rPr>
              <w:tab/>
            </w:r>
            <w:r>
              <w:rPr>
                <w:noProof/>
                <w:webHidden/>
              </w:rPr>
              <w:fldChar w:fldCharType="begin"/>
            </w:r>
            <w:r>
              <w:rPr>
                <w:noProof/>
                <w:webHidden/>
              </w:rPr>
              <w:instrText xml:space="preserve"> PAGEREF _Toc20822180 \h </w:instrText>
            </w:r>
            <w:r>
              <w:rPr>
                <w:noProof/>
                <w:webHidden/>
              </w:rPr>
            </w:r>
            <w:r>
              <w:rPr>
                <w:noProof/>
                <w:webHidden/>
              </w:rPr>
              <w:fldChar w:fldCharType="separate"/>
            </w:r>
            <w:r>
              <w:rPr>
                <w:noProof/>
                <w:webHidden/>
              </w:rPr>
              <w:t>49</w:t>
            </w:r>
            <w:r>
              <w:rPr>
                <w:noProof/>
                <w:webHidden/>
              </w:rPr>
              <w:fldChar w:fldCharType="end"/>
            </w:r>
          </w:hyperlink>
        </w:p>
        <w:p w14:paraId="2B14D586" w14:textId="6A003230" w:rsidR="00E0317F" w:rsidRDefault="00E0317F">
          <w:pPr>
            <w:pStyle w:val="TOC3"/>
            <w:rPr>
              <w:rFonts w:asciiTheme="minorHAnsi" w:eastAsiaTheme="minorEastAsia" w:hAnsiTheme="minorHAnsi" w:cstheme="minorBidi"/>
              <w:noProof/>
              <w:lang w:eastAsia="en-AU"/>
            </w:rPr>
          </w:pPr>
          <w:hyperlink w:anchor="_Toc20822181" w:history="1">
            <w:r w:rsidRPr="00BB2F4E">
              <w:rPr>
                <w:rStyle w:val="Hyperlink"/>
                <w:noProof/>
              </w:rPr>
              <w:t>Second round benefit-risk assessment</w:t>
            </w:r>
            <w:r>
              <w:rPr>
                <w:noProof/>
                <w:webHidden/>
              </w:rPr>
              <w:tab/>
            </w:r>
            <w:r>
              <w:rPr>
                <w:noProof/>
                <w:webHidden/>
              </w:rPr>
              <w:fldChar w:fldCharType="begin"/>
            </w:r>
            <w:r>
              <w:rPr>
                <w:noProof/>
                <w:webHidden/>
              </w:rPr>
              <w:instrText xml:space="preserve"> PAGEREF _Toc20822181 \h </w:instrText>
            </w:r>
            <w:r>
              <w:rPr>
                <w:noProof/>
                <w:webHidden/>
              </w:rPr>
            </w:r>
            <w:r>
              <w:rPr>
                <w:noProof/>
                <w:webHidden/>
              </w:rPr>
              <w:fldChar w:fldCharType="separate"/>
            </w:r>
            <w:r>
              <w:rPr>
                <w:noProof/>
                <w:webHidden/>
              </w:rPr>
              <w:t>53</w:t>
            </w:r>
            <w:r>
              <w:rPr>
                <w:noProof/>
                <w:webHidden/>
              </w:rPr>
              <w:fldChar w:fldCharType="end"/>
            </w:r>
          </w:hyperlink>
        </w:p>
        <w:p w14:paraId="59505284" w14:textId="41E22613" w:rsidR="00E0317F" w:rsidRDefault="00E0317F">
          <w:pPr>
            <w:pStyle w:val="TOC2"/>
            <w:rPr>
              <w:rFonts w:asciiTheme="minorHAnsi" w:eastAsiaTheme="minorEastAsia" w:hAnsiTheme="minorHAnsi" w:cstheme="minorBidi"/>
              <w:b w:val="0"/>
              <w:noProof/>
              <w:sz w:val="22"/>
              <w:lang w:eastAsia="en-AU"/>
            </w:rPr>
          </w:pPr>
          <w:hyperlink w:anchor="_Toc20822182" w:history="1">
            <w:r w:rsidRPr="00BB2F4E">
              <w:rPr>
                <w:rStyle w:val="Hyperlink"/>
                <w:noProof/>
              </w:rPr>
              <w:t>VI. Pharmacovigilance findings</w:t>
            </w:r>
            <w:r>
              <w:rPr>
                <w:noProof/>
                <w:webHidden/>
              </w:rPr>
              <w:tab/>
            </w:r>
            <w:r>
              <w:rPr>
                <w:noProof/>
                <w:webHidden/>
              </w:rPr>
              <w:fldChar w:fldCharType="begin"/>
            </w:r>
            <w:r>
              <w:rPr>
                <w:noProof/>
                <w:webHidden/>
              </w:rPr>
              <w:instrText xml:space="preserve"> PAGEREF _Toc20822182 \h </w:instrText>
            </w:r>
            <w:r>
              <w:rPr>
                <w:noProof/>
                <w:webHidden/>
              </w:rPr>
            </w:r>
            <w:r>
              <w:rPr>
                <w:noProof/>
                <w:webHidden/>
              </w:rPr>
              <w:fldChar w:fldCharType="separate"/>
            </w:r>
            <w:r>
              <w:rPr>
                <w:noProof/>
                <w:webHidden/>
              </w:rPr>
              <w:t>53</w:t>
            </w:r>
            <w:r>
              <w:rPr>
                <w:noProof/>
                <w:webHidden/>
              </w:rPr>
              <w:fldChar w:fldCharType="end"/>
            </w:r>
          </w:hyperlink>
        </w:p>
        <w:p w14:paraId="797A6DD0" w14:textId="25122F34" w:rsidR="00E0317F" w:rsidRDefault="00E0317F">
          <w:pPr>
            <w:pStyle w:val="TOC3"/>
            <w:rPr>
              <w:rFonts w:asciiTheme="minorHAnsi" w:eastAsiaTheme="minorEastAsia" w:hAnsiTheme="minorHAnsi" w:cstheme="minorBidi"/>
              <w:noProof/>
              <w:lang w:eastAsia="en-AU"/>
            </w:rPr>
          </w:pPr>
          <w:hyperlink w:anchor="_Toc20822183" w:history="1">
            <w:r w:rsidRPr="00BB2F4E">
              <w:rPr>
                <w:rStyle w:val="Hyperlink"/>
                <w:noProof/>
                <w:lang w:eastAsia="en-AU"/>
              </w:rPr>
              <w:t>Risk management plan</w:t>
            </w:r>
            <w:r>
              <w:rPr>
                <w:noProof/>
                <w:webHidden/>
              </w:rPr>
              <w:tab/>
            </w:r>
            <w:r>
              <w:rPr>
                <w:noProof/>
                <w:webHidden/>
              </w:rPr>
              <w:fldChar w:fldCharType="begin"/>
            </w:r>
            <w:r>
              <w:rPr>
                <w:noProof/>
                <w:webHidden/>
              </w:rPr>
              <w:instrText xml:space="preserve"> PAGEREF _Toc20822183 \h </w:instrText>
            </w:r>
            <w:r>
              <w:rPr>
                <w:noProof/>
                <w:webHidden/>
              </w:rPr>
            </w:r>
            <w:r>
              <w:rPr>
                <w:noProof/>
                <w:webHidden/>
              </w:rPr>
              <w:fldChar w:fldCharType="separate"/>
            </w:r>
            <w:r>
              <w:rPr>
                <w:noProof/>
                <w:webHidden/>
              </w:rPr>
              <w:t>53</w:t>
            </w:r>
            <w:r>
              <w:rPr>
                <w:noProof/>
                <w:webHidden/>
              </w:rPr>
              <w:fldChar w:fldCharType="end"/>
            </w:r>
          </w:hyperlink>
        </w:p>
        <w:p w14:paraId="68D3B8ED" w14:textId="71B34894" w:rsidR="00E0317F" w:rsidRDefault="00E0317F">
          <w:pPr>
            <w:pStyle w:val="TOC2"/>
            <w:rPr>
              <w:rFonts w:asciiTheme="minorHAnsi" w:eastAsiaTheme="minorEastAsia" w:hAnsiTheme="minorHAnsi" w:cstheme="minorBidi"/>
              <w:b w:val="0"/>
              <w:noProof/>
              <w:sz w:val="22"/>
              <w:lang w:eastAsia="en-AU"/>
            </w:rPr>
          </w:pPr>
          <w:hyperlink w:anchor="_Toc20822184" w:history="1">
            <w:r w:rsidRPr="00BB2F4E">
              <w:rPr>
                <w:rStyle w:val="Hyperlink"/>
                <w:noProof/>
              </w:rPr>
              <w:t>VII. Overall conclusion and risk/benefit assessment</w:t>
            </w:r>
            <w:r>
              <w:rPr>
                <w:noProof/>
                <w:webHidden/>
              </w:rPr>
              <w:tab/>
            </w:r>
            <w:r>
              <w:rPr>
                <w:noProof/>
                <w:webHidden/>
              </w:rPr>
              <w:fldChar w:fldCharType="begin"/>
            </w:r>
            <w:r>
              <w:rPr>
                <w:noProof/>
                <w:webHidden/>
              </w:rPr>
              <w:instrText xml:space="preserve"> PAGEREF _Toc20822184 \h </w:instrText>
            </w:r>
            <w:r>
              <w:rPr>
                <w:noProof/>
                <w:webHidden/>
              </w:rPr>
            </w:r>
            <w:r>
              <w:rPr>
                <w:noProof/>
                <w:webHidden/>
              </w:rPr>
              <w:fldChar w:fldCharType="separate"/>
            </w:r>
            <w:r>
              <w:rPr>
                <w:noProof/>
                <w:webHidden/>
              </w:rPr>
              <w:t>55</w:t>
            </w:r>
            <w:r>
              <w:rPr>
                <w:noProof/>
                <w:webHidden/>
              </w:rPr>
              <w:fldChar w:fldCharType="end"/>
            </w:r>
          </w:hyperlink>
        </w:p>
        <w:p w14:paraId="1D6A3963" w14:textId="01E0AC82" w:rsidR="00E0317F" w:rsidRDefault="00E0317F">
          <w:pPr>
            <w:pStyle w:val="TOC3"/>
            <w:rPr>
              <w:rFonts w:asciiTheme="minorHAnsi" w:eastAsiaTheme="minorEastAsia" w:hAnsiTheme="minorHAnsi" w:cstheme="minorBidi"/>
              <w:noProof/>
              <w:lang w:eastAsia="en-AU"/>
            </w:rPr>
          </w:pPr>
          <w:hyperlink w:anchor="_Toc20822185" w:history="1">
            <w:r w:rsidRPr="00BB2F4E">
              <w:rPr>
                <w:rStyle w:val="Hyperlink"/>
                <w:noProof/>
              </w:rPr>
              <w:t>Background</w:t>
            </w:r>
            <w:r>
              <w:rPr>
                <w:noProof/>
                <w:webHidden/>
              </w:rPr>
              <w:tab/>
            </w:r>
            <w:r>
              <w:rPr>
                <w:noProof/>
                <w:webHidden/>
              </w:rPr>
              <w:fldChar w:fldCharType="begin"/>
            </w:r>
            <w:r>
              <w:rPr>
                <w:noProof/>
                <w:webHidden/>
              </w:rPr>
              <w:instrText xml:space="preserve"> PAGEREF _Toc20822185 \h </w:instrText>
            </w:r>
            <w:r>
              <w:rPr>
                <w:noProof/>
                <w:webHidden/>
              </w:rPr>
            </w:r>
            <w:r>
              <w:rPr>
                <w:noProof/>
                <w:webHidden/>
              </w:rPr>
              <w:fldChar w:fldCharType="separate"/>
            </w:r>
            <w:r>
              <w:rPr>
                <w:noProof/>
                <w:webHidden/>
              </w:rPr>
              <w:t>55</w:t>
            </w:r>
            <w:r>
              <w:rPr>
                <w:noProof/>
                <w:webHidden/>
              </w:rPr>
              <w:fldChar w:fldCharType="end"/>
            </w:r>
          </w:hyperlink>
        </w:p>
        <w:p w14:paraId="0F2843EA" w14:textId="52DAEBB3" w:rsidR="00E0317F" w:rsidRDefault="00E0317F">
          <w:pPr>
            <w:pStyle w:val="TOC3"/>
            <w:rPr>
              <w:rFonts w:asciiTheme="minorHAnsi" w:eastAsiaTheme="minorEastAsia" w:hAnsiTheme="minorHAnsi" w:cstheme="minorBidi"/>
              <w:noProof/>
              <w:lang w:eastAsia="en-AU"/>
            </w:rPr>
          </w:pPr>
          <w:hyperlink w:anchor="_Toc20822186" w:history="1">
            <w:r w:rsidRPr="00BB2F4E">
              <w:rPr>
                <w:rStyle w:val="Hyperlink"/>
                <w:noProof/>
              </w:rPr>
              <w:t>Quality</w:t>
            </w:r>
            <w:r>
              <w:rPr>
                <w:noProof/>
                <w:webHidden/>
              </w:rPr>
              <w:tab/>
            </w:r>
            <w:r>
              <w:rPr>
                <w:noProof/>
                <w:webHidden/>
              </w:rPr>
              <w:fldChar w:fldCharType="begin"/>
            </w:r>
            <w:r>
              <w:rPr>
                <w:noProof/>
                <w:webHidden/>
              </w:rPr>
              <w:instrText xml:space="preserve"> PAGEREF _Toc20822186 \h </w:instrText>
            </w:r>
            <w:r>
              <w:rPr>
                <w:noProof/>
                <w:webHidden/>
              </w:rPr>
            </w:r>
            <w:r>
              <w:rPr>
                <w:noProof/>
                <w:webHidden/>
              </w:rPr>
              <w:fldChar w:fldCharType="separate"/>
            </w:r>
            <w:r>
              <w:rPr>
                <w:noProof/>
                <w:webHidden/>
              </w:rPr>
              <w:t>56</w:t>
            </w:r>
            <w:r>
              <w:rPr>
                <w:noProof/>
                <w:webHidden/>
              </w:rPr>
              <w:fldChar w:fldCharType="end"/>
            </w:r>
          </w:hyperlink>
        </w:p>
        <w:p w14:paraId="16C21D49" w14:textId="48760C63" w:rsidR="00E0317F" w:rsidRDefault="00E0317F">
          <w:pPr>
            <w:pStyle w:val="TOC3"/>
            <w:rPr>
              <w:rFonts w:asciiTheme="minorHAnsi" w:eastAsiaTheme="minorEastAsia" w:hAnsiTheme="minorHAnsi" w:cstheme="minorBidi"/>
              <w:noProof/>
              <w:lang w:eastAsia="en-AU"/>
            </w:rPr>
          </w:pPr>
          <w:hyperlink w:anchor="_Toc20822187" w:history="1">
            <w:r w:rsidRPr="00BB2F4E">
              <w:rPr>
                <w:rStyle w:val="Hyperlink"/>
                <w:noProof/>
              </w:rPr>
              <w:t>Nonclinical</w:t>
            </w:r>
            <w:r>
              <w:rPr>
                <w:noProof/>
                <w:webHidden/>
              </w:rPr>
              <w:tab/>
            </w:r>
            <w:r>
              <w:rPr>
                <w:noProof/>
                <w:webHidden/>
              </w:rPr>
              <w:fldChar w:fldCharType="begin"/>
            </w:r>
            <w:r>
              <w:rPr>
                <w:noProof/>
                <w:webHidden/>
              </w:rPr>
              <w:instrText xml:space="preserve"> PAGEREF _Toc20822187 \h </w:instrText>
            </w:r>
            <w:r>
              <w:rPr>
                <w:noProof/>
                <w:webHidden/>
              </w:rPr>
            </w:r>
            <w:r>
              <w:rPr>
                <w:noProof/>
                <w:webHidden/>
              </w:rPr>
              <w:fldChar w:fldCharType="separate"/>
            </w:r>
            <w:r>
              <w:rPr>
                <w:noProof/>
                <w:webHidden/>
              </w:rPr>
              <w:t>57</w:t>
            </w:r>
            <w:r>
              <w:rPr>
                <w:noProof/>
                <w:webHidden/>
              </w:rPr>
              <w:fldChar w:fldCharType="end"/>
            </w:r>
          </w:hyperlink>
        </w:p>
        <w:p w14:paraId="2FEA329E" w14:textId="055A61AC" w:rsidR="00E0317F" w:rsidRDefault="00E0317F">
          <w:pPr>
            <w:pStyle w:val="TOC3"/>
            <w:rPr>
              <w:rFonts w:asciiTheme="minorHAnsi" w:eastAsiaTheme="minorEastAsia" w:hAnsiTheme="minorHAnsi" w:cstheme="minorBidi"/>
              <w:noProof/>
              <w:lang w:eastAsia="en-AU"/>
            </w:rPr>
          </w:pPr>
          <w:hyperlink w:anchor="_Toc20822188" w:history="1">
            <w:r w:rsidRPr="00BB2F4E">
              <w:rPr>
                <w:rStyle w:val="Hyperlink"/>
                <w:noProof/>
              </w:rPr>
              <w:t>Clinical</w:t>
            </w:r>
            <w:r>
              <w:rPr>
                <w:noProof/>
                <w:webHidden/>
              </w:rPr>
              <w:tab/>
            </w:r>
            <w:r>
              <w:rPr>
                <w:noProof/>
                <w:webHidden/>
              </w:rPr>
              <w:fldChar w:fldCharType="begin"/>
            </w:r>
            <w:r>
              <w:rPr>
                <w:noProof/>
                <w:webHidden/>
              </w:rPr>
              <w:instrText xml:space="preserve"> PAGEREF _Toc20822188 \h </w:instrText>
            </w:r>
            <w:r>
              <w:rPr>
                <w:noProof/>
                <w:webHidden/>
              </w:rPr>
            </w:r>
            <w:r>
              <w:rPr>
                <w:noProof/>
                <w:webHidden/>
              </w:rPr>
              <w:fldChar w:fldCharType="separate"/>
            </w:r>
            <w:r>
              <w:rPr>
                <w:noProof/>
                <w:webHidden/>
              </w:rPr>
              <w:t>57</w:t>
            </w:r>
            <w:r>
              <w:rPr>
                <w:noProof/>
                <w:webHidden/>
              </w:rPr>
              <w:fldChar w:fldCharType="end"/>
            </w:r>
          </w:hyperlink>
        </w:p>
        <w:p w14:paraId="46A49A9C" w14:textId="41391CDB" w:rsidR="00E0317F" w:rsidRDefault="00E0317F">
          <w:pPr>
            <w:pStyle w:val="TOC3"/>
            <w:rPr>
              <w:rFonts w:asciiTheme="minorHAnsi" w:eastAsiaTheme="minorEastAsia" w:hAnsiTheme="minorHAnsi" w:cstheme="minorBidi"/>
              <w:noProof/>
              <w:lang w:eastAsia="en-AU"/>
            </w:rPr>
          </w:pPr>
          <w:hyperlink w:anchor="_Toc20822189" w:history="1">
            <w:r w:rsidRPr="00BB2F4E">
              <w:rPr>
                <w:rStyle w:val="Hyperlink"/>
                <w:noProof/>
                <w:lang w:eastAsia="en-AU"/>
              </w:rPr>
              <w:t>Risk management plan</w:t>
            </w:r>
            <w:r>
              <w:rPr>
                <w:noProof/>
                <w:webHidden/>
              </w:rPr>
              <w:tab/>
            </w:r>
            <w:r>
              <w:rPr>
                <w:noProof/>
                <w:webHidden/>
              </w:rPr>
              <w:fldChar w:fldCharType="begin"/>
            </w:r>
            <w:r>
              <w:rPr>
                <w:noProof/>
                <w:webHidden/>
              </w:rPr>
              <w:instrText xml:space="preserve"> PAGEREF _Toc20822189 \h </w:instrText>
            </w:r>
            <w:r>
              <w:rPr>
                <w:noProof/>
                <w:webHidden/>
              </w:rPr>
            </w:r>
            <w:r>
              <w:rPr>
                <w:noProof/>
                <w:webHidden/>
              </w:rPr>
              <w:fldChar w:fldCharType="separate"/>
            </w:r>
            <w:r>
              <w:rPr>
                <w:noProof/>
                <w:webHidden/>
              </w:rPr>
              <w:t>68</w:t>
            </w:r>
            <w:r>
              <w:rPr>
                <w:noProof/>
                <w:webHidden/>
              </w:rPr>
              <w:fldChar w:fldCharType="end"/>
            </w:r>
          </w:hyperlink>
        </w:p>
        <w:p w14:paraId="33CC29E4" w14:textId="7B6B6412" w:rsidR="00E0317F" w:rsidRDefault="00E0317F">
          <w:pPr>
            <w:pStyle w:val="TOC3"/>
            <w:rPr>
              <w:rFonts w:asciiTheme="minorHAnsi" w:eastAsiaTheme="minorEastAsia" w:hAnsiTheme="minorHAnsi" w:cstheme="minorBidi"/>
              <w:noProof/>
              <w:lang w:eastAsia="en-AU"/>
            </w:rPr>
          </w:pPr>
          <w:hyperlink w:anchor="_Toc20822190" w:history="1">
            <w:r w:rsidRPr="00BB2F4E">
              <w:rPr>
                <w:rStyle w:val="Hyperlink"/>
                <w:noProof/>
              </w:rPr>
              <w:t>Risk-benefit analysis</w:t>
            </w:r>
            <w:r>
              <w:rPr>
                <w:noProof/>
                <w:webHidden/>
              </w:rPr>
              <w:tab/>
            </w:r>
            <w:r>
              <w:rPr>
                <w:noProof/>
                <w:webHidden/>
              </w:rPr>
              <w:fldChar w:fldCharType="begin"/>
            </w:r>
            <w:r>
              <w:rPr>
                <w:noProof/>
                <w:webHidden/>
              </w:rPr>
              <w:instrText xml:space="preserve"> PAGEREF _Toc20822190 \h </w:instrText>
            </w:r>
            <w:r>
              <w:rPr>
                <w:noProof/>
                <w:webHidden/>
              </w:rPr>
            </w:r>
            <w:r>
              <w:rPr>
                <w:noProof/>
                <w:webHidden/>
              </w:rPr>
              <w:fldChar w:fldCharType="separate"/>
            </w:r>
            <w:r>
              <w:rPr>
                <w:noProof/>
                <w:webHidden/>
              </w:rPr>
              <w:t>68</w:t>
            </w:r>
            <w:r>
              <w:rPr>
                <w:noProof/>
                <w:webHidden/>
              </w:rPr>
              <w:fldChar w:fldCharType="end"/>
            </w:r>
          </w:hyperlink>
        </w:p>
        <w:p w14:paraId="3A6FD3CA" w14:textId="07528DC9" w:rsidR="00E0317F" w:rsidRDefault="00E0317F">
          <w:pPr>
            <w:pStyle w:val="TOC3"/>
            <w:rPr>
              <w:rFonts w:asciiTheme="minorHAnsi" w:eastAsiaTheme="minorEastAsia" w:hAnsiTheme="minorHAnsi" w:cstheme="minorBidi"/>
              <w:noProof/>
              <w:lang w:eastAsia="en-AU"/>
            </w:rPr>
          </w:pPr>
          <w:hyperlink w:anchor="_Toc20822191" w:history="1">
            <w:r w:rsidRPr="00BB2F4E">
              <w:rPr>
                <w:rStyle w:val="Hyperlink"/>
                <w:noProof/>
              </w:rPr>
              <w:t>Outcome</w:t>
            </w:r>
            <w:r>
              <w:rPr>
                <w:noProof/>
                <w:webHidden/>
              </w:rPr>
              <w:tab/>
            </w:r>
            <w:r>
              <w:rPr>
                <w:noProof/>
                <w:webHidden/>
              </w:rPr>
              <w:fldChar w:fldCharType="begin"/>
            </w:r>
            <w:r>
              <w:rPr>
                <w:noProof/>
                <w:webHidden/>
              </w:rPr>
              <w:instrText xml:space="preserve"> PAGEREF _Toc20822191 \h </w:instrText>
            </w:r>
            <w:r>
              <w:rPr>
                <w:noProof/>
                <w:webHidden/>
              </w:rPr>
            </w:r>
            <w:r>
              <w:rPr>
                <w:noProof/>
                <w:webHidden/>
              </w:rPr>
              <w:fldChar w:fldCharType="separate"/>
            </w:r>
            <w:r>
              <w:rPr>
                <w:noProof/>
                <w:webHidden/>
              </w:rPr>
              <w:t>80</w:t>
            </w:r>
            <w:r>
              <w:rPr>
                <w:noProof/>
                <w:webHidden/>
              </w:rPr>
              <w:fldChar w:fldCharType="end"/>
            </w:r>
          </w:hyperlink>
        </w:p>
        <w:p w14:paraId="6F1CBC8E" w14:textId="1F213055" w:rsidR="00E0317F" w:rsidRDefault="00E0317F">
          <w:pPr>
            <w:pStyle w:val="TOC2"/>
            <w:rPr>
              <w:rFonts w:asciiTheme="minorHAnsi" w:eastAsiaTheme="minorEastAsia" w:hAnsiTheme="minorHAnsi" w:cstheme="minorBidi"/>
              <w:b w:val="0"/>
              <w:noProof/>
              <w:sz w:val="22"/>
              <w:lang w:eastAsia="en-AU"/>
            </w:rPr>
          </w:pPr>
          <w:hyperlink w:anchor="_Toc20822192" w:history="1">
            <w:r w:rsidRPr="00BB2F4E">
              <w:rPr>
                <w:rStyle w:val="Hyperlink"/>
                <w:noProof/>
              </w:rPr>
              <w:t>Attachment 1. Product Information</w:t>
            </w:r>
            <w:r>
              <w:rPr>
                <w:noProof/>
                <w:webHidden/>
              </w:rPr>
              <w:tab/>
            </w:r>
            <w:r>
              <w:rPr>
                <w:noProof/>
                <w:webHidden/>
              </w:rPr>
              <w:fldChar w:fldCharType="begin"/>
            </w:r>
            <w:r>
              <w:rPr>
                <w:noProof/>
                <w:webHidden/>
              </w:rPr>
              <w:instrText xml:space="preserve"> PAGEREF _Toc20822192 \h </w:instrText>
            </w:r>
            <w:r>
              <w:rPr>
                <w:noProof/>
                <w:webHidden/>
              </w:rPr>
            </w:r>
            <w:r>
              <w:rPr>
                <w:noProof/>
                <w:webHidden/>
              </w:rPr>
              <w:fldChar w:fldCharType="separate"/>
            </w:r>
            <w:r>
              <w:rPr>
                <w:noProof/>
                <w:webHidden/>
              </w:rPr>
              <w:t>81</w:t>
            </w:r>
            <w:r>
              <w:rPr>
                <w:noProof/>
                <w:webHidden/>
              </w:rPr>
              <w:fldChar w:fldCharType="end"/>
            </w:r>
          </w:hyperlink>
        </w:p>
        <w:p w14:paraId="07345D67" w14:textId="77C3DBD2" w:rsidR="003A7F6C" w:rsidRPr="00B811C6" w:rsidRDefault="00DB6124" w:rsidP="00B811C6">
          <w:pPr>
            <w:pStyle w:val="TOC2"/>
          </w:pPr>
          <w:r>
            <w:fldChar w:fldCharType="end"/>
          </w:r>
        </w:p>
      </w:sdtContent>
    </w:sdt>
    <w:bookmarkStart w:id="3" w:name="_Toc314842482" w:displacedByCustomXml="prev"/>
    <w:p w14:paraId="7EEFDAF5" w14:textId="77777777" w:rsidR="00FD119B" w:rsidRDefault="00FD119B">
      <w:pPr>
        <w:spacing w:before="0" w:after="200" w:line="0" w:lineRule="auto"/>
      </w:pPr>
      <w:r>
        <w:br w:type="page"/>
      </w:r>
    </w:p>
    <w:p w14:paraId="52AFDF17" w14:textId="77777777" w:rsidR="00C52E24" w:rsidRPr="00C52E24" w:rsidRDefault="00441C3F" w:rsidP="00404F61">
      <w:pPr>
        <w:pStyle w:val="Heading2"/>
      </w:pPr>
      <w:bookmarkStart w:id="4" w:name="_Toc351716269"/>
      <w:bookmarkStart w:id="5" w:name="_Toc351718881"/>
      <w:bookmarkStart w:id="6" w:name="_Toc355338616"/>
      <w:bookmarkStart w:id="7" w:name="_Toc356306144"/>
      <w:bookmarkStart w:id="8" w:name="_Toc20822155"/>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2518"/>
        <w:gridCol w:w="6202"/>
      </w:tblGrid>
      <w:tr w:rsidR="002F2AC8" w:rsidRPr="00FD119B" w14:paraId="573EE643" w14:textId="77777777" w:rsidTr="003C76F3">
        <w:trPr>
          <w:cnfStyle w:val="100000000000" w:firstRow="1" w:lastRow="0" w:firstColumn="0" w:lastColumn="0" w:oddVBand="0" w:evenVBand="0" w:oddHBand="0" w:evenHBand="0" w:firstRowFirstColumn="0" w:firstRowLastColumn="0" w:lastRowFirstColumn="0" w:lastRowLastColumn="0"/>
        </w:trPr>
        <w:tc>
          <w:tcPr>
            <w:tcW w:w="2518" w:type="dxa"/>
          </w:tcPr>
          <w:p w14:paraId="400E5963" w14:textId="77777777" w:rsidR="002F2AC8" w:rsidRPr="00FD119B" w:rsidRDefault="002F2AC8" w:rsidP="00FD119B">
            <w:pPr>
              <w:keepNext w:val="0"/>
              <w:ind w:left="0" w:right="0"/>
              <w:rPr>
                <w:szCs w:val="22"/>
                <w:lang w:eastAsia="en-US"/>
              </w:rPr>
            </w:pPr>
            <w:r w:rsidRPr="00FD119B">
              <w:rPr>
                <w:szCs w:val="22"/>
                <w:lang w:eastAsia="en-US"/>
              </w:rPr>
              <w:t>Abbreviation</w:t>
            </w:r>
          </w:p>
        </w:tc>
        <w:tc>
          <w:tcPr>
            <w:tcW w:w="6202" w:type="dxa"/>
          </w:tcPr>
          <w:p w14:paraId="0187F140" w14:textId="77777777" w:rsidR="002F2AC8" w:rsidRPr="00FD119B" w:rsidRDefault="002F2AC8" w:rsidP="00FD119B">
            <w:pPr>
              <w:keepNext w:val="0"/>
              <w:ind w:left="0" w:right="0"/>
              <w:rPr>
                <w:szCs w:val="22"/>
                <w:lang w:eastAsia="en-US"/>
              </w:rPr>
            </w:pPr>
            <w:r w:rsidRPr="00FD119B">
              <w:rPr>
                <w:szCs w:val="22"/>
                <w:lang w:eastAsia="en-US"/>
              </w:rPr>
              <w:t>Meaning</w:t>
            </w:r>
          </w:p>
        </w:tc>
      </w:tr>
      <w:tr w:rsidR="002F2AC8" w:rsidRPr="00FD119B" w14:paraId="2ACB55C9" w14:textId="77777777" w:rsidTr="003C76F3">
        <w:tc>
          <w:tcPr>
            <w:tcW w:w="2518" w:type="dxa"/>
          </w:tcPr>
          <w:p w14:paraId="23147328" w14:textId="77777777" w:rsidR="002F2AC8" w:rsidRPr="00EB7E59" w:rsidRDefault="002F2AC8" w:rsidP="00960170">
            <w:pPr>
              <w:rPr>
                <w:rFonts w:eastAsia="TimesNewRoman"/>
              </w:rPr>
            </w:pPr>
            <w:r>
              <w:t>~</w:t>
            </w:r>
          </w:p>
        </w:tc>
        <w:tc>
          <w:tcPr>
            <w:tcW w:w="6202" w:type="dxa"/>
          </w:tcPr>
          <w:p w14:paraId="62928A2A" w14:textId="77777777" w:rsidR="002F2AC8" w:rsidRDefault="002F2AC8" w:rsidP="000A19B8">
            <w:pPr>
              <w:rPr>
                <w:rFonts w:eastAsia="TimesNewRoman"/>
              </w:rPr>
            </w:pPr>
            <w:r>
              <w:t>Approximately</w:t>
            </w:r>
          </w:p>
        </w:tc>
      </w:tr>
      <w:tr w:rsidR="002F2AC8" w:rsidRPr="00FD119B" w14:paraId="47B98ED5" w14:textId="77777777" w:rsidTr="003C76F3">
        <w:tc>
          <w:tcPr>
            <w:tcW w:w="2518" w:type="dxa"/>
          </w:tcPr>
          <w:p w14:paraId="55A6C268" w14:textId="77777777" w:rsidR="002F2AC8" w:rsidRDefault="002F2AC8" w:rsidP="00960170">
            <w:r>
              <w:t>AC</w:t>
            </w:r>
            <w:r w:rsidRPr="00D23139">
              <w:t>M</w:t>
            </w:r>
          </w:p>
        </w:tc>
        <w:tc>
          <w:tcPr>
            <w:tcW w:w="6202" w:type="dxa"/>
          </w:tcPr>
          <w:p w14:paraId="797CE712" w14:textId="77777777" w:rsidR="002F2AC8" w:rsidRDefault="002F2AC8" w:rsidP="00413B00">
            <w:r>
              <w:t>Advisory Committee on Medicines</w:t>
            </w:r>
          </w:p>
        </w:tc>
      </w:tr>
      <w:tr w:rsidR="002F2AC8" w:rsidRPr="00FD119B" w14:paraId="1B5167F7" w14:textId="77777777" w:rsidTr="003C76F3">
        <w:tc>
          <w:tcPr>
            <w:tcW w:w="2518" w:type="dxa"/>
          </w:tcPr>
          <w:p w14:paraId="34A94D6F" w14:textId="77777777" w:rsidR="002F2AC8" w:rsidRPr="00EB7E59" w:rsidRDefault="002F2AC8" w:rsidP="00960170">
            <w:pPr>
              <w:rPr>
                <w:rFonts w:eastAsia="TimesNewRoman"/>
              </w:rPr>
            </w:pPr>
            <w:r w:rsidRPr="00EB7E59">
              <w:rPr>
                <w:rFonts w:eastAsia="TimesNewRoman"/>
              </w:rPr>
              <w:t>ADA</w:t>
            </w:r>
          </w:p>
        </w:tc>
        <w:tc>
          <w:tcPr>
            <w:tcW w:w="6202" w:type="dxa"/>
          </w:tcPr>
          <w:p w14:paraId="5E0C5CCF" w14:textId="77777777" w:rsidR="002F2AC8" w:rsidRPr="00EB7E59" w:rsidRDefault="002F2AC8" w:rsidP="00960170">
            <w:pPr>
              <w:rPr>
                <w:rFonts w:eastAsia="TimesNewRoman"/>
              </w:rPr>
            </w:pPr>
            <w:r>
              <w:rPr>
                <w:rFonts w:eastAsia="TimesNewRoman"/>
              </w:rPr>
              <w:t>Anti-drug a</w:t>
            </w:r>
            <w:r w:rsidRPr="00EB7E59">
              <w:rPr>
                <w:rFonts w:eastAsia="TimesNewRoman"/>
              </w:rPr>
              <w:t>ntibodies</w:t>
            </w:r>
          </w:p>
        </w:tc>
      </w:tr>
      <w:tr w:rsidR="002F2AC8" w:rsidRPr="00FD119B" w14:paraId="2BB27111" w14:textId="77777777" w:rsidTr="003C76F3">
        <w:tc>
          <w:tcPr>
            <w:tcW w:w="2518" w:type="dxa"/>
          </w:tcPr>
          <w:p w14:paraId="1D0E1E63" w14:textId="77777777" w:rsidR="002F2AC8" w:rsidRPr="00EB7E59" w:rsidRDefault="002F2AC8" w:rsidP="00960170">
            <w:pPr>
              <w:rPr>
                <w:rFonts w:eastAsia="TimesNewRoman"/>
              </w:rPr>
            </w:pPr>
            <w:r w:rsidRPr="00EB7E59">
              <w:rPr>
                <w:rFonts w:eastAsia="TimesNewRoman"/>
              </w:rPr>
              <w:t>AE</w:t>
            </w:r>
          </w:p>
        </w:tc>
        <w:tc>
          <w:tcPr>
            <w:tcW w:w="6202" w:type="dxa"/>
          </w:tcPr>
          <w:p w14:paraId="41B08386" w14:textId="77777777" w:rsidR="002F2AC8" w:rsidRPr="00EB7E59" w:rsidRDefault="002F2AC8" w:rsidP="00960170">
            <w:pPr>
              <w:rPr>
                <w:rFonts w:eastAsia="TimesNewRoman"/>
              </w:rPr>
            </w:pPr>
            <w:r>
              <w:rPr>
                <w:rFonts w:eastAsia="TimesNewRoman"/>
              </w:rPr>
              <w:t>Adverse event</w:t>
            </w:r>
          </w:p>
        </w:tc>
      </w:tr>
      <w:tr w:rsidR="002F2AC8" w:rsidRPr="00FD119B" w14:paraId="6D3737D7" w14:textId="77777777" w:rsidTr="003C76F3">
        <w:tc>
          <w:tcPr>
            <w:tcW w:w="2518" w:type="dxa"/>
          </w:tcPr>
          <w:p w14:paraId="77A8544B" w14:textId="77777777" w:rsidR="002F2AC8" w:rsidRPr="00EB7E59" w:rsidRDefault="002F2AC8" w:rsidP="00960170">
            <w:pPr>
              <w:rPr>
                <w:rFonts w:eastAsia="TimesNewRoman"/>
              </w:rPr>
            </w:pPr>
            <w:r>
              <w:rPr>
                <w:lang w:eastAsia="ja-JP"/>
              </w:rPr>
              <w:t>ALT</w:t>
            </w:r>
          </w:p>
        </w:tc>
        <w:tc>
          <w:tcPr>
            <w:tcW w:w="6202" w:type="dxa"/>
          </w:tcPr>
          <w:p w14:paraId="0FB6A727" w14:textId="77777777" w:rsidR="002F2AC8" w:rsidRDefault="002F2AC8" w:rsidP="00EF16A8">
            <w:pPr>
              <w:rPr>
                <w:rFonts w:eastAsia="TimesNewRoman"/>
              </w:rPr>
            </w:pPr>
            <w:r>
              <w:rPr>
                <w:lang w:eastAsia="ja-JP"/>
              </w:rPr>
              <w:t>Alanine aminotransferase</w:t>
            </w:r>
          </w:p>
        </w:tc>
      </w:tr>
      <w:tr w:rsidR="002F2AC8" w:rsidRPr="00FD119B" w14:paraId="15BBF7E3" w14:textId="77777777" w:rsidTr="003C76F3">
        <w:tc>
          <w:tcPr>
            <w:tcW w:w="2518" w:type="dxa"/>
          </w:tcPr>
          <w:p w14:paraId="7A66278A" w14:textId="77777777" w:rsidR="002F2AC8" w:rsidRDefault="002F2AC8" w:rsidP="00960170">
            <w:pPr>
              <w:rPr>
                <w:lang w:eastAsia="ja-JP"/>
              </w:rPr>
            </w:pPr>
            <w:r w:rsidRPr="00940A89">
              <w:t>ARTG</w:t>
            </w:r>
          </w:p>
        </w:tc>
        <w:tc>
          <w:tcPr>
            <w:tcW w:w="6202" w:type="dxa"/>
          </w:tcPr>
          <w:p w14:paraId="3C07E3D3" w14:textId="77777777" w:rsidR="002F2AC8" w:rsidRDefault="002F2AC8" w:rsidP="00B04AD1">
            <w:pPr>
              <w:rPr>
                <w:lang w:eastAsia="ja-JP"/>
              </w:rPr>
            </w:pPr>
            <w:r w:rsidRPr="00940A89">
              <w:t>Australian</w:t>
            </w:r>
            <w:r>
              <w:t xml:space="preserve"> Register of Therapeutic Goods</w:t>
            </w:r>
          </w:p>
        </w:tc>
      </w:tr>
      <w:tr w:rsidR="002F2AC8" w:rsidRPr="00FD119B" w14:paraId="54306FC5" w14:textId="77777777" w:rsidTr="003C76F3">
        <w:tc>
          <w:tcPr>
            <w:tcW w:w="2518" w:type="dxa"/>
          </w:tcPr>
          <w:p w14:paraId="672177F5" w14:textId="77777777" w:rsidR="002F2AC8" w:rsidRPr="00EB7E59" w:rsidRDefault="002F2AC8" w:rsidP="00960170">
            <w:pPr>
              <w:rPr>
                <w:rFonts w:eastAsia="TimesNewRoman"/>
              </w:rPr>
            </w:pPr>
            <w:r w:rsidRPr="00EB7E59">
              <w:rPr>
                <w:rFonts w:eastAsia="TimesNewRoman"/>
              </w:rPr>
              <w:t>ASA</w:t>
            </w:r>
          </w:p>
        </w:tc>
        <w:tc>
          <w:tcPr>
            <w:tcW w:w="6202" w:type="dxa"/>
          </w:tcPr>
          <w:p w14:paraId="0A03F090" w14:textId="77777777" w:rsidR="002F2AC8" w:rsidRPr="00EB7E59" w:rsidRDefault="002F2AC8" w:rsidP="00960170">
            <w:pPr>
              <w:rPr>
                <w:rFonts w:eastAsia="TimesNewRoman"/>
              </w:rPr>
            </w:pPr>
            <w:r>
              <w:rPr>
                <w:rFonts w:eastAsia="TimesNewRoman"/>
              </w:rPr>
              <w:t>Australian Specific Annex</w:t>
            </w:r>
          </w:p>
        </w:tc>
      </w:tr>
      <w:tr w:rsidR="002F2AC8" w:rsidRPr="00FD119B" w14:paraId="2B4DDCDA" w14:textId="77777777" w:rsidTr="003C76F3">
        <w:tc>
          <w:tcPr>
            <w:tcW w:w="2518" w:type="dxa"/>
          </w:tcPr>
          <w:p w14:paraId="613CBFE4" w14:textId="77777777" w:rsidR="002F2AC8" w:rsidRPr="00EB7E59" w:rsidRDefault="002F2AC8" w:rsidP="00960170">
            <w:pPr>
              <w:rPr>
                <w:rFonts w:eastAsia="TimesNewRoman"/>
              </w:rPr>
            </w:pPr>
            <w:proofErr w:type="spellStart"/>
            <w:r w:rsidRPr="00540C03">
              <w:rPr>
                <w:lang w:val="en-GB"/>
              </w:rPr>
              <w:t>Asn</w:t>
            </w:r>
            <w:proofErr w:type="spellEnd"/>
          </w:p>
        </w:tc>
        <w:tc>
          <w:tcPr>
            <w:tcW w:w="6202" w:type="dxa"/>
          </w:tcPr>
          <w:p w14:paraId="729A7A2C" w14:textId="77777777" w:rsidR="002F2AC8" w:rsidRPr="00EB7E59" w:rsidRDefault="002F2AC8" w:rsidP="005C3C86">
            <w:pPr>
              <w:rPr>
                <w:rFonts w:eastAsia="TimesNewRoman"/>
              </w:rPr>
            </w:pPr>
            <w:r>
              <w:rPr>
                <w:lang w:val="en-GB"/>
              </w:rPr>
              <w:t>Asparagine</w:t>
            </w:r>
          </w:p>
        </w:tc>
      </w:tr>
      <w:tr w:rsidR="002F2AC8" w:rsidRPr="00FD119B" w14:paraId="766EF455" w14:textId="77777777" w:rsidTr="003C76F3">
        <w:tc>
          <w:tcPr>
            <w:tcW w:w="2518" w:type="dxa"/>
          </w:tcPr>
          <w:p w14:paraId="651E5C34" w14:textId="77777777" w:rsidR="002F2AC8" w:rsidRPr="00540C03" w:rsidRDefault="002F2AC8" w:rsidP="00960170">
            <w:pPr>
              <w:rPr>
                <w:lang w:val="en-GB"/>
              </w:rPr>
            </w:pPr>
            <w:r>
              <w:t>AST</w:t>
            </w:r>
          </w:p>
        </w:tc>
        <w:tc>
          <w:tcPr>
            <w:tcW w:w="6202" w:type="dxa"/>
          </w:tcPr>
          <w:p w14:paraId="58C41BE5" w14:textId="77777777" w:rsidR="002F2AC8" w:rsidRDefault="002F2AC8" w:rsidP="00925A3E">
            <w:pPr>
              <w:rPr>
                <w:lang w:val="en-GB"/>
              </w:rPr>
            </w:pPr>
            <w:r>
              <w:t>Aspartate amino</w:t>
            </w:r>
            <w:r w:rsidRPr="00925A3E">
              <w:t>transferase</w:t>
            </w:r>
          </w:p>
        </w:tc>
      </w:tr>
      <w:tr w:rsidR="002F2AC8" w:rsidRPr="00FD119B" w14:paraId="53A44E16" w14:textId="77777777" w:rsidTr="003C76F3">
        <w:tc>
          <w:tcPr>
            <w:tcW w:w="2518" w:type="dxa"/>
          </w:tcPr>
          <w:p w14:paraId="19A06069" w14:textId="77777777" w:rsidR="002F2AC8" w:rsidRPr="00540C03" w:rsidRDefault="002F2AC8" w:rsidP="00960170">
            <w:pPr>
              <w:rPr>
                <w:lang w:val="en-GB"/>
              </w:rPr>
            </w:pPr>
            <w:r>
              <w:t>AUC</w:t>
            </w:r>
          </w:p>
        </w:tc>
        <w:tc>
          <w:tcPr>
            <w:tcW w:w="6202" w:type="dxa"/>
          </w:tcPr>
          <w:p w14:paraId="389F559E" w14:textId="77777777" w:rsidR="002F2AC8" w:rsidRDefault="002F2AC8" w:rsidP="000A0DAA">
            <w:pPr>
              <w:rPr>
                <w:lang w:val="en-GB"/>
              </w:rPr>
            </w:pPr>
            <w:r>
              <w:t>Area under the curve</w:t>
            </w:r>
          </w:p>
        </w:tc>
      </w:tr>
      <w:tr w:rsidR="002F2AC8" w:rsidRPr="00FD119B" w14:paraId="31109607" w14:textId="77777777" w:rsidTr="003C76F3">
        <w:tc>
          <w:tcPr>
            <w:tcW w:w="2518" w:type="dxa"/>
          </w:tcPr>
          <w:p w14:paraId="61548AF7" w14:textId="77777777" w:rsidR="002F2AC8" w:rsidRPr="00EB7E59" w:rsidRDefault="002F2AC8" w:rsidP="00960170">
            <w:pPr>
              <w:rPr>
                <w:rFonts w:eastAsia="TimesNewRoman"/>
              </w:rPr>
            </w:pPr>
            <w:proofErr w:type="spellStart"/>
            <w:r w:rsidRPr="00EB7E59">
              <w:rPr>
                <w:rFonts w:eastAsia="TimesNewRoman"/>
              </w:rPr>
              <w:t>AUC</w:t>
            </w:r>
            <w:r w:rsidRPr="000A0DAA">
              <w:rPr>
                <w:rFonts w:eastAsia="TimesNewRoman"/>
                <w:vertAlign w:val="subscript"/>
              </w:rPr>
              <w:t>inf</w:t>
            </w:r>
            <w:proofErr w:type="spellEnd"/>
          </w:p>
        </w:tc>
        <w:tc>
          <w:tcPr>
            <w:tcW w:w="6202" w:type="dxa"/>
          </w:tcPr>
          <w:p w14:paraId="036411EE" w14:textId="77777777" w:rsidR="002F2AC8" w:rsidRPr="00EB7E59" w:rsidRDefault="002F2AC8" w:rsidP="00960170">
            <w:pPr>
              <w:rPr>
                <w:rFonts w:eastAsia="TimesNewRoman"/>
              </w:rPr>
            </w:pPr>
            <w:r>
              <w:rPr>
                <w:rFonts w:eastAsia="TimesNewRoman"/>
              </w:rPr>
              <w:t>A</w:t>
            </w:r>
            <w:r w:rsidRPr="00EB7E59">
              <w:rPr>
                <w:rFonts w:eastAsia="TimesNewRoman"/>
              </w:rPr>
              <w:t>rea under the curve</w:t>
            </w:r>
            <w:r>
              <w:rPr>
                <w:rFonts w:eastAsia="TimesNewRoman"/>
              </w:rPr>
              <w:t xml:space="preserve"> (to infinity)</w:t>
            </w:r>
          </w:p>
        </w:tc>
      </w:tr>
      <w:tr w:rsidR="002F2AC8" w:rsidRPr="00FD119B" w14:paraId="63F9D04C" w14:textId="77777777" w:rsidTr="003C76F3">
        <w:tc>
          <w:tcPr>
            <w:tcW w:w="2518" w:type="dxa"/>
          </w:tcPr>
          <w:p w14:paraId="645857B8" w14:textId="77777777" w:rsidR="002F2AC8" w:rsidRPr="00EB7E59" w:rsidRDefault="002F2AC8" w:rsidP="00960170">
            <w:pPr>
              <w:rPr>
                <w:rFonts w:eastAsia="TimesNewRoman"/>
              </w:rPr>
            </w:pPr>
            <w:r w:rsidRPr="00EB7E59">
              <w:rPr>
                <w:rFonts w:eastAsia="TimesNewRoman"/>
              </w:rPr>
              <w:t>BMI</w:t>
            </w:r>
          </w:p>
        </w:tc>
        <w:tc>
          <w:tcPr>
            <w:tcW w:w="6202" w:type="dxa"/>
          </w:tcPr>
          <w:p w14:paraId="2C2A0B22" w14:textId="77777777" w:rsidR="002F2AC8" w:rsidRPr="00EB7E59" w:rsidRDefault="002F2AC8" w:rsidP="00960170">
            <w:pPr>
              <w:rPr>
                <w:rFonts w:eastAsia="TimesNewRoman"/>
              </w:rPr>
            </w:pPr>
            <w:r w:rsidRPr="00EB7E59">
              <w:rPr>
                <w:rFonts w:eastAsia="TimesNewRoman"/>
              </w:rPr>
              <w:t>Body Mass Index</w:t>
            </w:r>
          </w:p>
        </w:tc>
      </w:tr>
      <w:tr w:rsidR="002F2AC8" w:rsidRPr="00FD119B" w14:paraId="7E02B08B" w14:textId="77777777" w:rsidTr="003C76F3">
        <w:tc>
          <w:tcPr>
            <w:tcW w:w="2518" w:type="dxa"/>
          </w:tcPr>
          <w:p w14:paraId="01B8CF40" w14:textId="77777777" w:rsidR="002F2AC8" w:rsidRPr="00EB7E59" w:rsidRDefault="002F2AC8" w:rsidP="00960170">
            <w:pPr>
              <w:rPr>
                <w:rFonts w:eastAsia="TimesNewRoman"/>
              </w:rPr>
            </w:pPr>
            <w:r>
              <w:rPr>
                <w:lang w:eastAsia="ja-JP"/>
              </w:rPr>
              <w:t>BUN</w:t>
            </w:r>
          </w:p>
        </w:tc>
        <w:tc>
          <w:tcPr>
            <w:tcW w:w="6202" w:type="dxa"/>
          </w:tcPr>
          <w:p w14:paraId="29F38359" w14:textId="77777777" w:rsidR="002F2AC8" w:rsidRPr="00EB7E59" w:rsidRDefault="002F2AC8" w:rsidP="00A76EA2">
            <w:pPr>
              <w:rPr>
                <w:rFonts w:eastAsia="TimesNewRoman"/>
              </w:rPr>
            </w:pPr>
            <w:r>
              <w:rPr>
                <w:lang w:eastAsia="ja-JP"/>
              </w:rPr>
              <w:t>Blood urea nitrogen</w:t>
            </w:r>
          </w:p>
        </w:tc>
      </w:tr>
      <w:tr w:rsidR="002F2AC8" w:rsidRPr="00FD119B" w14:paraId="0B86BE88" w14:textId="77777777" w:rsidTr="003C76F3">
        <w:tc>
          <w:tcPr>
            <w:tcW w:w="2518" w:type="dxa"/>
          </w:tcPr>
          <w:p w14:paraId="483BB2B7" w14:textId="77777777" w:rsidR="002F2AC8" w:rsidRPr="00EB7E59" w:rsidRDefault="002F2AC8" w:rsidP="00960170">
            <w:pPr>
              <w:rPr>
                <w:rFonts w:eastAsia="TimesNewRoman"/>
              </w:rPr>
            </w:pPr>
            <w:proofErr w:type="spellStart"/>
            <w:r>
              <w:t>cAMP</w:t>
            </w:r>
            <w:proofErr w:type="spellEnd"/>
          </w:p>
        </w:tc>
        <w:tc>
          <w:tcPr>
            <w:tcW w:w="6202" w:type="dxa"/>
          </w:tcPr>
          <w:p w14:paraId="3543F7D0" w14:textId="77777777" w:rsidR="002F2AC8" w:rsidRPr="00EB7E59" w:rsidRDefault="002F2AC8" w:rsidP="00155170">
            <w:pPr>
              <w:rPr>
                <w:rFonts w:eastAsia="TimesNewRoman"/>
              </w:rPr>
            </w:pPr>
            <w:r>
              <w:t>C</w:t>
            </w:r>
            <w:r w:rsidRPr="00155170">
              <w:t>yclic adenosine monophosphate</w:t>
            </w:r>
          </w:p>
        </w:tc>
      </w:tr>
      <w:tr w:rsidR="00AE3FC5" w:rsidRPr="00FD119B" w14:paraId="3166C930" w14:textId="77777777" w:rsidTr="003C76F3">
        <w:tc>
          <w:tcPr>
            <w:tcW w:w="2518" w:type="dxa"/>
          </w:tcPr>
          <w:p w14:paraId="43AD705E" w14:textId="3242FC77" w:rsidR="00AE3FC5" w:rsidRDefault="00AE3FC5" w:rsidP="00960170">
            <w:proofErr w:type="spellStart"/>
            <w:r>
              <w:t>C</w:t>
            </w:r>
            <w:r w:rsidRPr="00CD0A73">
              <w:rPr>
                <w:vertAlign w:val="subscript"/>
              </w:rPr>
              <w:t>av,ss</w:t>
            </w:r>
            <w:proofErr w:type="spellEnd"/>
          </w:p>
        </w:tc>
        <w:tc>
          <w:tcPr>
            <w:tcW w:w="6202" w:type="dxa"/>
          </w:tcPr>
          <w:p w14:paraId="6FBC99D7" w14:textId="1F151431" w:rsidR="00AE3FC5" w:rsidRDefault="00AE3FC5" w:rsidP="00155170">
            <w:r>
              <w:t>Average concentration within a dosing interval at steady-state</w:t>
            </w:r>
          </w:p>
        </w:tc>
      </w:tr>
      <w:tr w:rsidR="002F2AC8" w:rsidRPr="00FD119B" w14:paraId="6C90A08A" w14:textId="77777777" w:rsidTr="003C76F3">
        <w:tc>
          <w:tcPr>
            <w:tcW w:w="2518" w:type="dxa"/>
          </w:tcPr>
          <w:p w14:paraId="4B482453" w14:textId="77777777" w:rsidR="002F2AC8" w:rsidRPr="00EB7E59" w:rsidRDefault="002F2AC8" w:rsidP="00960170">
            <w:pPr>
              <w:rPr>
                <w:rFonts w:eastAsia="TimesNewRoman"/>
              </w:rPr>
            </w:pPr>
            <w:r>
              <w:rPr>
                <w:rFonts w:eastAsia="TimesNewRoman"/>
              </w:rPr>
              <w:t>CGA…</w:t>
            </w:r>
          </w:p>
        </w:tc>
        <w:tc>
          <w:tcPr>
            <w:tcW w:w="6202" w:type="dxa"/>
          </w:tcPr>
          <w:p w14:paraId="29A6517B" w14:textId="77777777" w:rsidR="002F2AC8" w:rsidRPr="00EB7E59" w:rsidRDefault="002F2AC8" w:rsidP="00960170">
            <w:pPr>
              <w:rPr>
                <w:rFonts w:eastAsia="TimesNewRoman"/>
              </w:rPr>
            </w:pPr>
            <w:r>
              <w:rPr>
                <w:rFonts w:eastAsia="TimesNewRoman"/>
              </w:rPr>
              <w:t>Study identifier</w:t>
            </w:r>
          </w:p>
        </w:tc>
      </w:tr>
      <w:tr w:rsidR="002F2AC8" w:rsidRPr="00FD119B" w14:paraId="4CD17E2F" w14:textId="77777777" w:rsidTr="003C76F3">
        <w:tc>
          <w:tcPr>
            <w:tcW w:w="2518" w:type="dxa"/>
          </w:tcPr>
          <w:p w14:paraId="036BCB91" w14:textId="77777777" w:rsidR="002F2AC8" w:rsidRPr="00EB7E59" w:rsidRDefault="002F2AC8" w:rsidP="00960170">
            <w:pPr>
              <w:rPr>
                <w:rFonts w:eastAsia="TimesNewRoman"/>
              </w:rPr>
            </w:pPr>
            <w:r w:rsidRPr="00EB7E59">
              <w:rPr>
                <w:rFonts w:eastAsia="TimesNewRoman"/>
              </w:rPr>
              <w:t>CGRP</w:t>
            </w:r>
          </w:p>
        </w:tc>
        <w:tc>
          <w:tcPr>
            <w:tcW w:w="6202" w:type="dxa"/>
          </w:tcPr>
          <w:p w14:paraId="596D2FD9" w14:textId="77777777" w:rsidR="002F2AC8" w:rsidRPr="00EB7E59" w:rsidRDefault="002F2AC8" w:rsidP="00960170">
            <w:pPr>
              <w:rPr>
                <w:rFonts w:eastAsia="TimesNewRoman"/>
              </w:rPr>
            </w:pPr>
            <w:r>
              <w:rPr>
                <w:rFonts w:eastAsia="TimesNewRoman"/>
              </w:rPr>
              <w:t xml:space="preserve">Calcitonin gene </w:t>
            </w:r>
            <w:r w:rsidRPr="00EB7E59">
              <w:rPr>
                <w:rFonts w:eastAsia="TimesNewRoman"/>
              </w:rPr>
              <w:t>related peptide</w:t>
            </w:r>
          </w:p>
        </w:tc>
      </w:tr>
      <w:tr w:rsidR="002F2AC8" w:rsidRPr="00FD119B" w14:paraId="5E9F25D2" w14:textId="77777777" w:rsidTr="003C76F3">
        <w:tc>
          <w:tcPr>
            <w:tcW w:w="2518" w:type="dxa"/>
          </w:tcPr>
          <w:p w14:paraId="1BE2AF90" w14:textId="77777777" w:rsidR="002F2AC8" w:rsidRPr="00EB7E59" w:rsidRDefault="002F2AC8" w:rsidP="00960170">
            <w:pPr>
              <w:rPr>
                <w:rFonts w:eastAsia="TimesNewRoman"/>
              </w:rPr>
            </w:pPr>
            <w:r w:rsidRPr="00EB7E59">
              <w:rPr>
                <w:rFonts w:eastAsia="TimesNewRoman"/>
              </w:rPr>
              <w:t>CHMP</w:t>
            </w:r>
          </w:p>
        </w:tc>
        <w:tc>
          <w:tcPr>
            <w:tcW w:w="6202" w:type="dxa"/>
          </w:tcPr>
          <w:p w14:paraId="6275DCA9" w14:textId="77777777" w:rsidR="002F2AC8" w:rsidRPr="00EB7E59" w:rsidRDefault="002F2AC8" w:rsidP="00960170">
            <w:pPr>
              <w:rPr>
                <w:rFonts w:eastAsia="TimesNewRoman"/>
              </w:rPr>
            </w:pPr>
            <w:r w:rsidRPr="00EB7E59">
              <w:rPr>
                <w:rFonts w:eastAsia="TimesNewRoman"/>
              </w:rPr>
              <w:t>Committee for Medicinal Products for Human Use</w:t>
            </w:r>
          </w:p>
        </w:tc>
      </w:tr>
      <w:tr w:rsidR="002F2AC8" w:rsidRPr="00FD119B" w14:paraId="41883BD6" w14:textId="77777777" w:rsidTr="003C76F3">
        <w:tc>
          <w:tcPr>
            <w:tcW w:w="2518" w:type="dxa"/>
          </w:tcPr>
          <w:p w14:paraId="1A7ACEBF" w14:textId="77777777" w:rsidR="002F2AC8" w:rsidRPr="00EB7E59" w:rsidRDefault="002F2AC8" w:rsidP="00960170">
            <w:pPr>
              <w:rPr>
                <w:rFonts w:eastAsia="TimesNewRoman"/>
              </w:rPr>
            </w:pPr>
            <w:r w:rsidRPr="00EB7E59">
              <w:rPr>
                <w:rFonts w:eastAsia="TimesNewRoman"/>
              </w:rPr>
              <w:t>CHO</w:t>
            </w:r>
          </w:p>
        </w:tc>
        <w:tc>
          <w:tcPr>
            <w:tcW w:w="6202" w:type="dxa"/>
          </w:tcPr>
          <w:p w14:paraId="745A269D" w14:textId="2A59BE73" w:rsidR="002F2AC8" w:rsidRPr="00EB7E59" w:rsidRDefault="002F2AC8" w:rsidP="00384E20">
            <w:pPr>
              <w:rPr>
                <w:rFonts w:eastAsia="TimesNewRoman"/>
              </w:rPr>
            </w:pPr>
            <w:r w:rsidRPr="00EB7E59">
              <w:rPr>
                <w:rFonts w:eastAsia="TimesNewRoman"/>
              </w:rPr>
              <w:t xml:space="preserve">Chinese </w:t>
            </w:r>
            <w:r w:rsidR="00384E20">
              <w:rPr>
                <w:rFonts w:eastAsia="TimesNewRoman"/>
              </w:rPr>
              <w:t>h</w:t>
            </w:r>
            <w:r w:rsidRPr="00EB7E59">
              <w:rPr>
                <w:rFonts w:eastAsia="TimesNewRoman"/>
              </w:rPr>
              <w:t xml:space="preserve">amster </w:t>
            </w:r>
            <w:r w:rsidR="00384E20">
              <w:rPr>
                <w:rFonts w:eastAsia="TimesNewRoman"/>
              </w:rPr>
              <w:t>o</w:t>
            </w:r>
            <w:r w:rsidR="00384E20" w:rsidRPr="00EB7E59">
              <w:rPr>
                <w:rFonts w:eastAsia="TimesNewRoman"/>
              </w:rPr>
              <w:t>vary</w:t>
            </w:r>
          </w:p>
        </w:tc>
      </w:tr>
      <w:tr w:rsidR="002F2AC8" w:rsidRPr="00FD119B" w14:paraId="5FA7590D" w14:textId="77777777" w:rsidTr="003C76F3">
        <w:tc>
          <w:tcPr>
            <w:tcW w:w="2518" w:type="dxa"/>
          </w:tcPr>
          <w:p w14:paraId="226C62AD" w14:textId="77777777" w:rsidR="002F2AC8" w:rsidRPr="00EB7E59" w:rsidRDefault="002F2AC8" w:rsidP="00960170">
            <w:pPr>
              <w:rPr>
                <w:rFonts w:eastAsia="TimesNewRoman"/>
              </w:rPr>
            </w:pPr>
            <w:r w:rsidRPr="00EB7E59">
              <w:rPr>
                <w:rFonts w:eastAsia="TimesNewRoman"/>
              </w:rPr>
              <w:t>CI</w:t>
            </w:r>
          </w:p>
        </w:tc>
        <w:tc>
          <w:tcPr>
            <w:tcW w:w="6202" w:type="dxa"/>
          </w:tcPr>
          <w:p w14:paraId="331249D6" w14:textId="77777777" w:rsidR="002F2AC8" w:rsidRPr="00EB7E59" w:rsidRDefault="002F2AC8" w:rsidP="00960170">
            <w:pPr>
              <w:rPr>
                <w:rFonts w:eastAsia="TimesNewRoman"/>
              </w:rPr>
            </w:pPr>
            <w:r>
              <w:rPr>
                <w:rFonts w:eastAsia="TimesNewRoman"/>
              </w:rPr>
              <w:t>C</w:t>
            </w:r>
            <w:r w:rsidRPr="00EB7E59">
              <w:rPr>
                <w:rFonts w:eastAsia="TimesNewRoman"/>
              </w:rPr>
              <w:t>onfidence interval</w:t>
            </w:r>
          </w:p>
        </w:tc>
      </w:tr>
      <w:tr w:rsidR="002F2AC8" w:rsidRPr="00FD119B" w14:paraId="3F9B76D8" w14:textId="77777777" w:rsidTr="003C76F3">
        <w:tc>
          <w:tcPr>
            <w:tcW w:w="2518" w:type="dxa"/>
          </w:tcPr>
          <w:p w14:paraId="32103E69" w14:textId="77777777" w:rsidR="002F2AC8" w:rsidRPr="00EB7E59" w:rsidRDefault="002F2AC8" w:rsidP="00960170">
            <w:pPr>
              <w:rPr>
                <w:rFonts w:eastAsia="TimesNewRoman"/>
              </w:rPr>
            </w:pPr>
            <w:proofErr w:type="spellStart"/>
            <w:r w:rsidRPr="000A0DAA">
              <w:t>C</w:t>
            </w:r>
            <w:r w:rsidRPr="000A0DAA">
              <w:rPr>
                <w:vertAlign w:val="subscript"/>
              </w:rPr>
              <w:t>max</w:t>
            </w:r>
            <w:proofErr w:type="spellEnd"/>
          </w:p>
        </w:tc>
        <w:tc>
          <w:tcPr>
            <w:tcW w:w="6202" w:type="dxa"/>
          </w:tcPr>
          <w:p w14:paraId="34371132" w14:textId="77777777" w:rsidR="002F2AC8" w:rsidRPr="00EB7E59" w:rsidRDefault="002F2AC8" w:rsidP="000A0DAA">
            <w:pPr>
              <w:rPr>
                <w:rFonts w:eastAsia="TimesNewRoman"/>
              </w:rPr>
            </w:pPr>
            <w:r>
              <w:t>Peak serum concentration</w:t>
            </w:r>
          </w:p>
        </w:tc>
      </w:tr>
      <w:tr w:rsidR="002F2AC8" w:rsidRPr="00FD119B" w14:paraId="509B664C" w14:textId="77777777" w:rsidTr="003C76F3">
        <w:tc>
          <w:tcPr>
            <w:tcW w:w="2518" w:type="dxa"/>
          </w:tcPr>
          <w:p w14:paraId="4A2B017A" w14:textId="77777777" w:rsidR="002F2AC8" w:rsidRPr="00EB7E59" w:rsidRDefault="002F2AC8" w:rsidP="00960170">
            <w:pPr>
              <w:rPr>
                <w:rFonts w:eastAsia="TimesNewRoman"/>
              </w:rPr>
            </w:pPr>
            <w:r w:rsidRPr="00EB7E59">
              <w:rPr>
                <w:rFonts w:eastAsia="TimesNewRoman"/>
              </w:rPr>
              <w:t>CMI</w:t>
            </w:r>
          </w:p>
        </w:tc>
        <w:tc>
          <w:tcPr>
            <w:tcW w:w="6202" w:type="dxa"/>
          </w:tcPr>
          <w:p w14:paraId="6EE48A52" w14:textId="2C54669A" w:rsidR="002F2AC8" w:rsidRPr="00EB7E59" w:rsidRDefault="002F2AC8" w:rsidP="00960170">
            <w:pPr>
              <w:rPr>
                <w:rFonts w:eastAsia="TimesNewRoman"/>
              </w:rPr>
            </w:pPr>
            <w:r w:rsidRPr="00EB7E59">
              <w:rPr>
                <w:rFonts w:eastAsia="TimesNewRoman"/>
              </w:rPr>
              <w:t>Consumer Medicines Informati</w:t>
            </w:r>
            <w:r w:rsidR="00384E20">
              <w:rPr>
                <w:rFonts w:eastAsia="TimesNewRoman"/>
              </w:rPr>
              <w:t>on</w:t>
            </w:r>
          </w:p>
        </w:tc>
      </w:tr>
      <w:tr w:rsidR="002F2AC8" w:rsidRPr="00FD119B" w14:paraId="338D6231" w14:textId="77777777" w:rsidTr="003C76F3">
        <w:tc>
          <w:tcPr>
            <w:tcW w:w="2518" w:type="dxa"/>
          </w:tcPr>
          <w:p w14:paraId="74B04AD9" w14:textId="77777777" w:rsidR="002F2AC8" w:rsidRPr="00EB7E59" w:rsidRDefault="002F2AC8" w:rsidP="00960170">
            <w:pPr>
              <w:rPr>
                <w:rFonts w:eastAsia="TimesNewRoman"/>
              </w:rPr>
            </w:pPr>
            <w:r>
              <w:t>CNS</w:t>
            </w:r>
          </w:p>
        </w:tc>
        <w:tc>
          <w:tcPr>
            <w:tcW w:w="6202" w:type="dxa"/>
          </w:tcPr>
          <w:p w14:paraId="2A344D7C" w14:textId="77777777" w:rsidR="002F2AC8" w:rsidRPr="00EB7E59" w:rsidRDefault="002F2AC8" w:rsidP="00776BD6">
            <w:pPr>
              <w:rPr>
                <w:rFonts w:eastAsia="TimesNewRoman"/>
              </w:rPr>
            </w:pPr>
            <w:r>
              <w:t>Central nervous system</w:t>
            </w:r>
          </w:p>
        </w:tc>
      </w:tr>
      <w:tr w:rsidR="002F2AC8" w:rsidRPr="00FD119B" w14:paraId="1A8ACBA0" w14:textId="77777777" w:rsidTr="003C76F3">
        <w:tc>
          <w:tcPr>
            <w:tcW w:w="2518" w:type="dxa"/>
          </w:tcPr>
          <w:p w14:paraId="51FCCAF7" w14:textId="77777777" w:rsidR="002F2AC8" w:rsidRDefault="002F2AC8" w:rsidP="00960170">
            <w:r>
              <w:t>CPD</w:t>
            </w:r>
          </w:p>
        </w:tc>
        <w:tc>
          <w:tcPr>
            <w:tcW w:w="6202" w:type="dxa"/>
          </w:tcPr>
          <w:p w14:paraId="6A034569" w14:textId="77777777" w:rsidR="002F2AC8" w:rsidRDefault="002F2AC8" w:rsidP="006D357A">
            <w:r>
              <w:t>Certified Product Details</w:t>
            </w:r>
          </w:p>
        </w:tc>
      </w:tr>
      <w:tr w:rsidR="002F2AC8" w:rsidRPr="00FD119B" w14:paraId="6BD091AC" w14:textId="77777777" w:rsidTr="003C76F3">
        <w:tc>
          <w:tcPr>
            <w:tcW w:w="2518" w:type="dxa"/>
          </w:tcPr>
          <w:p w14:paraId="59B283FA" w14:textId="77777777" w:rsidR="002F2AC8" w:rsidRDefault="002F2AC8" w:rsidP="00960170">
            <w:r>
              <w:lastRenderedPageBreak/>
              <w:t>CSF</w:t>
            </w:r>
          </w:p>
        </w:tc>
        <w:tc>
          <w:tcPr>
            <w:tcW w:w="6202" w:type="dxa"/>
          </w:tcPr>
          <w:p w14:paraId="307DF945" w14:textId="77777777" w:rsidR="002F2AC8" w:rsidRDefault="002F2AC8" w:rsidP="00FD3BDB">
            <w:r>
              <w:rPr>
                <w:bCs/>
              </w:rPr>
              <w:t>C</w:t>
            </w:r>
            <w:r w:rsidRPr="00FD3BDB">
              <w:rPr>
                <w:bCs/>
              </w:rPr>
              <w:t>erebrospinal fluid</w:t>
            </w:r>
          </w:p>
        </w:tc>
      </w:tr>
      <w:tr w:rsidR="002F2AC8" w:rsidRPr="00FD119B" w14:paraId="16992263" w14:textId="77777777" w:rsidTr="003C76F3">
        <w:tc>
          <w:tcPr>
            <w:tcW w:w="2518" w:type="dxa"/>
          </w:tcPr>
          <w:p w14:paraId="3B7169DF" w14:textId="77777777" w:rsidR="002F2AC8" w:rsidRPr="00EB7E59" w:rsidRDefault="002F2AC8" w:rsidP="00960170">
            <w:pPr>
              <w:rPr>
                <w:rFonts w:eastAsia="TimesNewRoman"/>
              </w:rPr>
            </w:pPr>
            <w:r w:rsidRPr="00EB7E59">
              <w:rPr>
                <w:rFonts w:eastAsia="TimesNewRoman"/>
              </w:rPr>
              <w:t>CSR</w:t>
            </w:r>
          </w:p>
        </w:tc>
        <w:tc>
          <w:tcPr>
            <w:tcW w:w="6202" w:type="dxa"/>
          </w:tcPr>
          <w:p w14:paraId="08F7698E" w14:textId="77777777" w:rsidR="002F2AC8" w:rsidRPr="00EB7E59" w:rsidRDefault="002F2AC8" w:rsidP="00960170">
            <w:pPr>
              <w:rPr>
                <w:rFonts w:eastAsia="TimesNewRoman"/>
              </w:rPr>
            </w:pPr>
            <w:r w:rsidRPr="00EB7E59">
              <w:rPr>
                <w:rFonts w:eastAsia="TimesNewRoman"/>
              </w:rPr>
              <w:t>Clinical Study Report</w:t>
            </w:r>
          </w:p>
        </w:tc>
      </w:tr>
      <w:tr w:rsidR="002F2AC8" w:rsidRPr="00FD119B" w14:paraId="7BA51232" w14:textId="77777777" w:rsidTr="003C76F3">
        <w:tc>
          <w:tcPr>
            <w:tcW w:w="2518" w:type="dxa"/>
          </w:tcPr>
          <w:p w14:paraId="0BC8F37B" w14:textId="77777777" w:rsidR="002F2AC8" w:rsidRDefault="002F2AC8" w:rsidP="00960170">
            <w:r w:rsidRPr="00301F97">
              <w:t>CV</w:t>
            </w:r>
          </w:p>
        </w:tc>
        <w:tc>
          <w:tcPr>
            <w:tcW w:w="6202" w:type="dxa"/>
          </w:tcPr>
          <w:p w14:paraId="37315C0C" w14:textId="77777777" w:rsidR="002F2AC8" w:rsidRDefault="002F2AC8" w:rsidP="00301F97">
            <w:r>
              <w:t>Cardiovascular</w:t>
            </w:r>
          </w:p>
        </w:tc>
      </w:tr>
      <w:tr w:rsidR="002F2AC8" w:rsidRPr="00FD119B" w14:paraId="1AAD2E57" w14:textId="77777777" w:rsidTr="003C76F3">
        <w:tc>
          <w:tcPr>
            <w:tcW w:w="2518" w:type="dxa"/>
          </w:tcPr>
          <w:p w14:paraId="06B80034" w14:textId="77777777" w:rsidR="002F2AC8" w:rsidRPr="00EB7E59" w:rsidRDefault="002F2AC8" w:rsidP="00960170">
            <w:pPr>
              <w:rPr>
                <w:rFonts w:eastAsia="TimesNewRoman"/>
              </w:rPr>
            </w:pPr>
            <w:proofErr w:type="spellStart"/>
            <w:r>
              <w:rPr>
                <w:lang w:val="en-GB"/>
              </w:rPr>
              <w:t>Cys</w:t>
            </w:r>
            <w:proofErr w:type="spellEnd"/>
          </w:p>
        </w:tc>
        <w:tc>
          <w:tcPr>
            <w:tcW w:w="6202" w:type="dxa"/>
          </w:tcPr>
          <w:p w14:paraId="5BEC7E11" w14:textId="77777777" w:rsidR="002F2AC8" w:rsidRDefault="002F2AC8" w:rsidP="005C3C86">
            <w:pPr>
              <w:rPr>
                <w:rFonts w:eastAsia="TimesNewRoman"/>
              </w:rPr>
            </w:pPr>
            <w:r>
              <w:rPr>
                <w:lang w:val="en-GB"/>
              </w:rPr>
              <w:t>C</w:t>
            </w:r>
            <w:r w:rsidRPr="00540C03">
              <w:rPr>
                <w:lang w:val="en-GB"/>
              </w:rPr>
              <w:t>ysteine</w:t>
            </w:r>
          </w:p>
        </w:tc>
      </w:tr>
      <w:tr w:rsidR="002F2AC8" w:rsidRPr="00FD119B" w14:paraId="037BEDF8" w14:textId="77777777" w:rsidTr="003C76F3">
        <w:tc>
          <w:tcPr>
            <w:tcW w:w="2518" w:type="dxa"/>
          </w:tcPr>
          <w:p w14:paraId="00D7831F" w14:textId="77777777" w:rsidR="002F2AC8" w:rsidRDefault="002F2AC8" w:rsidP="00960170">
            <w:r w:rsidRPr="00717374">
              <w:t>EAIRs</w:t>
            </w:r>
          </w:p>
        </w:tc>
        <w:tc>
          <w:tcPr>
            <w:tcW w:w="6202" w:type="dxa"/>
          </w:tcPr>
          <w:p w14:paraId="66CDE29F" w14:textId="77777777" w:rsidR="002F2AC8" w:rsidRDefault="002F2AC8" w:rsidP="00642AB9">
            <w:r>
              <w:t>Exposure adjusted incidence rates</w:t>
            </w:r>
          </w:p>
        </w:tc>
      </w:tr>
      <w:tr w:rsidR="002F2AC8" w:rsidRPr="00FD119B" w14:paraId="582C22B2" w14:textId="77777777" w:rsidTr="003C76F3">
        <w:tc>
          <w:tcPr>
            <w:tcW w:w="2518" w:type="dxa"/>
          </w:tcPr>
          <w:p w14:paraId="4464F9DE" w14:textId="77777777" w:rsidR="002F2AC8" w:rsidRPr="00EB7E59" w:rsidRDefault="002F2AC8" w:rsidP="00960170">
            <w:pPr>
              <w:rPr>
                <w:rFonts w:eastAsia="TimesNewRoman"/>
              </w:rPr>
            </w:pPr>
            <w:r w:rsidRPr="00EB7E59">
              <w:rPr>
                <w:rFonts w:eastAsia="TimesNewRoman"/>
              </w:rPr>
              <w:t>ECG</w:t>
            </w:r>
          </w:p>
        </w:tc>
        <w:tc>
          <w:tcPr>
            <w:tcW w:w="6202" w:type="dxa"/>
          </w:tcPr>
          <w:p w14:paraId="70D28B05" w14:textId="3E5EF6A7" w:rsidR="002F2AC8" w:rsidRPr="00EB7E59" w:rsidRDefault="002F2AC8" w:rsidP="00960170">
            <w:pPr>
              <w:rPr>
                <w:rFonts w:eastAsia="TimesNewRoman"/>
              </w:rPr>
            </w:pPr>
            <w:r w:rsidRPr="00EB7E59">
              <w:rPr>
                <w:rFonts w:eastAsia="TimesNewRoman"/>
              </w:rPr>
              <w:t>Electrocardiogra</w:t>
            </w:r>
            <w:r>
              <w:rPr>
                <w:rFonts w:eastAsia="TimesNewRoman"/>
              </w:rPr>
              <w:t>m</w:t>
            </w:r>
            <w:r w:rsidR="00384E20">
              <w:rPr>
                <w:rFonts w:eastAsia="TimesNewRoman"/>
              </w:rPr>
              <w:t xml:space="preserve"> /e</w:t>
            </w:r>
            <w:r>
              <w:rPr>
                <w:rFonts w:eastAsia="TimesNewRoman"/>
              </w:rPr>
              <w:t>lectrocardiographic</w:t>
            </w:r>
          </w:p>
        </w:tc>
      </w:tr>
      <w:tr w:rsidR="002F2AC8" w:rsidRPr="00FD119B" w14:paraId="5CFD5BF1" w14:textId="77777777" w:rsidTr="003C76F3">
        <w:tc>
          <w:tcPr>
            <w:tcW w:w="2518" w:type="dxa"/>
          </w:tcPr>
          <w:p w14:paraId="303BE573" w14:textId="4BE15836" w:rsidR="002F2AC8" w:rsidRPr="00EB7E59" w:rsidRDefault="00384E20" w:rsidP="00960170">
            <w:pPr>
              <w:rPr>
                <w:rFonts w:eastAsia="TimesNewRoman"/>
              </w:rPr>
            </w:pPr>
            <w:proofErr w:type="spellStart"/>
            <w:r>
              <w:t>e</w:t>
            </w:r>
            <w:r w:rsidR="002F2AC8">
              <w:t>DISH</w:t>
            </w:r>
            <w:proofErr w:type="spellEnd"/>
          </w:p>
        </w:tc>
        <w:tc>
          <w:tcPr>
            <w:tcW w:w="6202" w:type="dxa"/>
          </w:tcPr>
          <w:p w14:paraId="04DE3E01" w14:textId="271ED145" w:rsidR="002F2AC8" w:rsidRDefault="002F2AC8" w:rsidP="00384E20">
            <w:pPr>
              <w:rPr>
                <w:rFonts w:eastAsia="TimesNewRoman"/>
              </w:rPr>
            </w:pPr>
            <w:r>
              <w:t xml:space="preserve">Evaluation of </w:t>
            </w:r>
            <w:r w:rsidR="00384E20">
              <w:t>drug-induced serious hepatotoxicity</w:t>
            </w:r>
          </w:p>
        </w:tc>
      </w:tr>
      <w:tr w:rsidR="002F2AC8" w:rsidRPr="00FD119B" w14:paraId="00B4C856" w14:textId="77777777" w:rsidTr="003C76F3">
        <w:tc>
          <w:tcPr>
            <w:tcW w:w="2518" w:type="dxa"/>
          </w:tcPr>
          <w:p w14:paraId="7EBD1380" w14:textId="77777777" w:rsidR="002F2AC8" w:rsidRPr="00EB7E59" w:rsidRDefault="002F2AC8" w:rsidP="00960170">
            <w:pPr>
              <w:rPr>
                <w:rFonts w:eastAsia="TimesNewRoman"/>
              </w:rPr>
            </w:pPr>
            <w:r w:rsidRPr="00EB7E59">
              <w:rPr>
                <w:rFonts w:eastAsia="TimesNewRoman"/>
              </w:rPr>
              <w:t>EMA</w:t>
            </w:r>
          </w:p>
        </w:tc>
        <w:tc>
          <w:tcPr>
            <w:tcW w:w="6202" w:type="dxa"/>
          </w:tcPr>
          <w:p w14:paraId="36A2055E" w14:textId="77777777" w:rsidR="002F2AC8" w:rsidRPr="00EB7E59" w:rsidRDefault="002F2AC8" w:rsidP="00960170">
            <w:pPr>
              <w:rPr>
                <w:rFonts w:eastAsia="TimesNewRoman"/>
              </w:rPr>
            </w:pPr>
            <w:r w:rsidRPr="00EB7E59">
              <w:rPr>
                <w:rFonts w:eastAsia="TimesNewRoman"/>
              </w:rPr>
              <w:t>European Medicines Agency</w:t>
            </w:r>
          </w:p>
        </w:tc>
      </w:tr>
      <w:tr w:rsidR="002F2AC8" w:rsidRPr="00FD119B" w14:paraId="403867EA" w14:textId="77777777" w:rsidTr="003C76F3">
        <w:tc>
          <w:tcPr>
            <w:tcW w:w="2518" w:type="dxa"/>
          </w:tcPr>
          <w:p w14:paraId="32762EE9" w14:textId="77777777" w:rsidR="002F2AC8" w:rsidRPr="00EB7E59" w:rsidRDefault="002F2AC8" w:rsidP="00960170">
            <w:pPr>
              <w:rPr>
                <w:rFonts w:eastAsia="TimesNewRoman"/>
              </w:rPr>
            </w:pPr>
            <w:r>
              <w:t>F1</w:t>
            </w:r>
          </w:p>
        </w:tc>
        <w:tc>
          <w:tcPr>
            <w:tcW w:w="6202" w:type="dxa"/>
          </w:tcPr>
          <w:p w14:paraId="7AF265CD" w14:textId="77777777" w:rsidR="002F2AC8" w:rsidRPr="00EB7E59" w:rsidRDefault="002F2AC8" w:rsidP="001B3F55">
            <w:pPr>
              <w:rPr>
                <w:rFonts w:eastAsia="TimesNewRoman"/>
              </w:rPr>
            </w:pPr>
            <w:r>
              <w:t>First filial generation</w:t>
            </w:r>
          </w:p>
        </w:tc>
      </w:tr>
      <w:tr w:rsidR="002F2AC8" w:rsidRPr="00FD119B" w14:paraId="090F4C2A" w14:textId="77777777" w:rsidTr="003C76F3">
        <w:tc>
          <w:tcPr>
            <w:tcW w:w="2518" w:type="dxa"/>
          </w:tcPr>
          <w:p w14:paraId="4EF75698" w14:textId="77777777" w:rsidR="002F2AC8" w:rsidRDefault="002F2AC8" w:rsidP="00960170">
            <w:r>
              <w:t>FDA</w:t>
            </w:r>
          </w:p>
        </w:tc>
        <w:tc>
          <w:tcPr>
            <w:tcW w:w="6202" w:type="dxa"/>
          </w:tcPr>
          <w:p w14:paraId="01C1F637" w14:textId="5345B6EC" w:rsidR="002F2AC8" w:rsidRDefault="00384E20" w:rsidP="00384E20">
            <w:r>
              <w:t xml:space="preserve">(United States) </w:t>
            </w:r>
            <w:r w:rsidR="002F2AC8">
              <w:t>Food and Drug Administration</w:t>
            </w:r>
          </w:p>
        </w:tc>
      </w:tr>
      <w:tr w:rsidR="002F2AC8" w:rsidRPr="00FD119B" w14:paraId="65508449" w14:textId="77777777" w:rsidTr="003C76F3">
        <w:tc>
          <w:tcPr>
            <w:tcW w:w="2518" w:type="dxa"/>
          </w:tcPr>
          <w:p w14:paraId="2AE992DF" w14:textId="77777777" w:rsidR="002F2AC8" w:rsidRPr="00EB7E59" w:rsidRDefault="002F2AC8" w:rsidP="00960170">
            <w:pPr>
              <w:rPr>
                <w:rFonts w:eastAsia="TimesNewRoman"/>
              </w:rPr>
            </w:pPr>
            <w:r w:rsidRPr="00EB7E59">
              <w:rPr>
                <w:rFonts w:eastAsia="TimesNewRoman"/>
              </w:rPr>
              <w:t>GCP</w:t>
            </w:r>
          </w:p>
        </w:tc>
        <w:tc>
          <w:tcPr>
            <w:tcW w:w="6202" w:type="dxa"/>
          </w:tcPr>
          <w:p w14:paraId="5DB4348A" w14:textId="77777777" w:rsidR="002F2AC8" w:rsidRPr="00EB7E59" w:rsidRDefault="002F2AC8" w:rsidP="00960170">
            <w:pPr>
              <w:rPr>
                <w:rFonts w:eastAsia="TimesNewRoman"/>
              </w:rPr>
            </w:pPr>
            <w:r w:rsidRPr="00EB7E59">
              <w:rPr>
                <w:rFonts w:eastAsia="TimesNewRoman"/>
              </w:rPr>
              <w:t>Good Clinical Practice</w:t>
            </w:r>
          </w:p>
        </w:tc>
      </w:tr>
      <w:tr w:rsidR="002F2AC8" w:rsidRPr="00FD119B" w14:paraId="066D5452" w14:textId="77777777" w:rsidTr="003C76F3">
        <w:tc>
          <w:tcPr>
            <w:tcW w:w="2518" w:type="dxa"/>
          </w:tcPr>
          <w:p w14:paraId="5CEFC720" w14:textId="77777777" w:rsidR="002F2AC8" w:rsidRPr="00EB7E59" w:rsidRDefault="002F2AC8" w:rsidP="00960170">
            <w:pPr>
              <w:rPr>
                <w:rFonts w:eastAsia="TimesNewRoman"/>
              </w:rPr>
            </w:pPr>
            <w:r>
              <w:t>GGT</w:t>
            </w:r>
          </w:p>
        </w:tc>
        <w:tc>
          <w:tcPr>
            <w:tcW w:w="6202" w:type="dxa"/>
          </w:tcPr>
          <w:p w14:paraId="75B6F1F6" w14:textId="77777777" w:rsidR="002F2AC8" w:rsidRPr="00EB7E59" w:rsidRDefault="002F2AC8" w:rsidP="00925A3E">
            <w:pPr>
              <w:rPr>
                <w:rFonts w:eastAsia="TimesNewRoman"/>
              </w:rPr>
            </w:pPr>
            <w:r>
              <w:t xml:space="preserve">Gamma </w:t>
            </w:r>
            <w:proofErr w:type="spellStart"/>
            <w:r w:rsidRPr="00925A3E">
              <w:t>glutamyltransferase</w:t>
            </w:r>
            <w:proofErr w:type="spellEnd"/>
          </w:p>
        </w:tc>
      </w:tr>
      <w:tr w:rsidR="002F2AC8" w:rsidRPr="00FD119B" w14:paraId="28EC2803" w14:textId="77777777" w:rsidTr="003C76F3">
        <w:tc>
          <w:tcPr>
            <w:tcW w:w="2518" w:type="dxa"/>
          </w:tcPr>
          <w:p w14:paraId="2B487B46" w14:textId="77777777" w:rsidR="002F2AC8" w:rsidRPr="00EB7E59" w:rsidRDefault="002F2AC8" w:rsidP="00960170">
            <w:pPr>
              <w:rPr>
                <w:rFonts w:eastAsia="TimesNewRoman"/>
              </w:rPr>
            </w:pPr>
            <w:r>
              <w:rPr>
                <w:rFonts w:eastAsia="TimesNewRoman"/>
              </w:rPr>
              <w:t>GLP</w:t>
            </w:r>
          </w:p>
        </w:tc>
        <w:tc>
          <w:tcPr>
            <w:tcW w:w="6202" w:type="dxa"/>
          </w:tcPr>
          <w:p w14:paraId="16ADE9B9" w14:textId="77777777" w:rsidR="002F2AC8" w:rsidRPr="00EB7E59" w:rsidRDefault="002F2AC8" w:rsidP="00960170">
            <w:pPr>
              <w:rPr>
                <w:rFonts w:eastAsia="TimesNewRoman"/>
              </w:rPr>
            </w:pPr>
            <w:r>
              <w:rPr>
                <w:rFonts w:eastAsia="TimesNewRoman"/>
              </w:rPr>
              <w:t>Good Laboratory Practice</w:t>
            </w:r>
          </w:p>
        </w:tc>
      </w:tr>
      <w:tr w:rsidR="002F2AC8" w:rsidRPr="00FD119B" w14:paraId="2EACA872" w14:textId="77777777" w:rsidTr="003C76F3">
        <w:tc>
          <w:tcPr>
            <w:tcW w:w="2518" w:type="dxa"/>
          </w:tcPr>
          <w:p w14:paraId="06C7D1B6" w14:textId="77777777" w:rsidR="002F2AC8" w:rsidRDefault="002F2AC8" w:rsidP="00960170">
            <w:pPr>
              <w:rPr>
                <w:rFonts w:eastAsia="TimesNewRoman"/>
              </w:rPr>
            </w:pPr>
            <w:r>
              <w:rPr>
                <w:rFonts w:eastAsia="TimesNewRoman"/>
              </w:rPr>
              <w:t>GMP</w:t>
            </w:r>
          </w:p>
        </w:tc>
        <w:tc>
          <w:tcPr>
            <w:tcW w:w="6202" w:type="dxa"/>
          </w:tcPr>
          <w:p w14:paraId="3AC4E5B2" w14:textId="77777777" w:rsidR="002F2AC8" w:rsidRDefault="002F2AC8" w:rsidP="00960170">
            <w:pPr>
              <w:rPr>
                <w:rFonts w:eastAsia="TimesNewRoman"/>
              </w:rPr>
            </w:pPr>
            <w:r>
              <w:rPr>
                <w:rFonts w:eastAsia="TimesNewRoman"/>
              </w:rPr>
              <w:t>Good Manufacturing Practice</w:t>
            </w:r>
          </w:p>
        </w:tc>
      </w:tr>
      <w:tr w:rsidR="002F2AC8" w:rsidRPr="00FD119B" w14:paraId="6351A05D" w14:textId="77777777" w:rsidTr="003C76F3">
        <w:tc>
          <w:tcPr>
            <w:tcW w:w="2518" w:type="dxa"/>
          </w:tcPr>
          <w:p w14:paraId="30C6DB88" w14:textId="77777777" w:rsidR="002F2AC8" w:rsidRDefault="002F2AC8" w:rsidP="00960170">
            <w:pPr>
              <w:rPr>
                <w:rFonts w:eastAsia="TimesNewRoman"/>
              </w:rPr>
            </w:pPr>
            <w:proofErr w:type="spellStart"/>
            <w:r>
              <w:t>hERG</w:t>
            </w:r>
            <w:proofErr w:type="spellEnd"/>
          </w:p>
        </w:tc>
        <w:tc>
          <w:tcPr>
            <w:tcW w:w="6202" w:type="dxa"/>
          </w:tcPr>
          <w:p w14:paraId="57E0BA22" w14:textId="11649B78" w:rsidR="002F2AC8" w:rsidRDefault="002F2AC8" w:rsidP="00776BD6">
            <w:pPr>
              <w:rPr>
                <w:rFonts w:eastAsia="TimesNewRoman"/>
              </w:rPr>
            </w:pPr>
            <w:r>
              <w:t>Human ether</w:t>
            </w:r>
            <w:r w:rsidR="00384E20">
              <w:t>-à-</w:t>
            </w:r>
            <w:r>
              <w:t>go</w:t>
            </w:r>
            <w:r w:rsidR="00384E20">
              <w:t>-</w:t>
            </w:r>
            <w:r>
              <w:t>go related g</w:t>
            </w:r>
            <w:r w:rsidRPr="00776BD6">
              <w:t>ene</w:t>
            </w:r>
          </w:p>
        </w:tc>
      </w:tr>
      <w:tr w:rsidR="002F2AC8" w:rsidRPr="00FD119B" w14:paraId="0E83E4CD" w14:textId="77777777" w:rsidTr="003C76F3">
        <w:tc>
          <w:tcPr>
            <w:tcW w:w="2518" w:type="dxa"/>
          </w:tcPr>
          <w:p w14:paraId="4D81ECD8" w14:textId="77777777" w:rsidR="002F2AC8" w:rsidRPr="00EB7E59" w:rsidRDefault="002F2AC8" w:rsidP="00960170">
            <w:pPr>
              <w:rPr>
                <w:rFonts w:eastAsia="TimesNewRoman"/>
              </w:rPr>
            </w:pPr>
            <w:r>
              <w:t>IC</w:t>
            </w:r>
            <w:r w:rsidRPr="007E030E">
              <w:rPr>
                <w:vertAlign w:val="subscript"/>
              </w:rPr>
              <w:t>50</w:t>
            </w:r>
          </w:p>
        </w:tc>
        <w:tc>
          <w:tcPr>
            <w:tcW w:w="6202" w:type="dxa"/>
          </w:tcPr>
          <w:p w14:paraId="0C680B3D" w14:textId="77777777" w:rsidR="002F2AC8" w:rsidRPr="00EB7E59" w:rsidRDefault="002F2AC8" w:rsidP="007E030E">
            <w:pPr>
              <w:rPr>
                <w:rFonts w:eastAsia="TimesNewRoman"/>
              </w:rPr>
            </w:pPr>
            <w:r>
              <w:t>Half maximal inhibitory concentration</w:t>
            </w:r>
          </w:p>
        </w:tc>
      </w:tr>
      <w:tr w:rsidR="002F2AC8" w:rsidRPr="00FD119B" w14:paraId="1A1FFB42" w14:textId="77777777" w:rsidTr="003C76F3">
        <w:tc>
          <w:tcPr>
            <w:tcW w:w="2518" w:type="dxa"/>
          </w:tcPr>
          <w:p w14:paraId="74ED4471" w14:textId="77777777" w:rsidR="002F2AC8" w:rsidRPr="00EB7E59" w:rsidRDefault="002F2AC8" w:rsidP="00960170">
            <w:pPr>
              <w:rPr>
                <w:rFonts w:eastAsia="TimesNewRoman"/>
              </w:rPr>
            </w:pPr>
            <w:r w:rsidRPr="00EB7E59">
              <w:rPr>
                <w:rFonts w:eastAsia="TimesNewRoman"/>
              </w:rPr>
              <w:t>ICH</w:t>
            </w:r>
          </w:p>
        </w:tc>
        <w:tc>
          <w:tcPr>
            <w:tcW w:w="6202" w:type="dxa"/>
          </w:tcPr>
          <w:p w14:paraId="4D679730" w14:textId="77777777" w:rsidR="002F2AC8" w:rsidRPr="00EB7E59" w:rsidRDefault="002F2AC8" w:rsidP="00960170">
            <w:pPr>
              <w:rPr>
                <w:rFonts w:eastAsia="TimesNewRoman"/>
              </w:rPr>
            </w:pPr>
            <w:r w:rsidRPr="00EB7E59">
              <w:rPr>
                <w:rFonts w:eastAsia="TimesNewRoman"/>
              </w:rPr>
              <w:t>International Conference on Harmonisation</w:t>
            </w:r>
          </w:p>
        </w:tc>
      </w:tr>
      <w:tr w:rsidR="002F2AC8" w:rsidRPr="00FD119B" w14:paraId="00B0EBC4" w14:textId="77777777" w:rsidTr="003C76F3">
        <w:tc>
          <w:tcPr>
            <w:tcW w:w="2518" w:type="dxa"/>
          </w:tcPr>
          <w:p w14:paraId="57F6DF41" w14:textId="77777777" w:rsidR="002F2AC8" w:rsidRPr="00EB7E59" w:rsidRDefault="002F2AC8" w:rsidP="00960170">
            <w:pPr>
              <w:rPr>
                <w:rFonts w:eastAsia="TimesNewRoman"/>
              </w:rPr>
            </w:pPr>
            <w:r w:rsidRPr="00540C03">
              <w:rPr>
                <w:lang w:val="en-GB"/>
              </w:rPr>
              <w:t>IgG</w:t>
            </w:r>
          </w:p>
        </w:tc>
        <w:tc>
          <w:tcPr>
            <w:tcW w:w="6202" w:type="dxa"/>
          </w:tcPr>
          <w:p w14:paraId="34DF9702" w14:textId="77777777" w:rsidR="002F2AC8" w:rsidRDefault="002F2AC8" w:rsidP="00FD3BDB">
            <w:pPr>
              <w:rPr>
                <w:rFonts w:eastAsia="TimesNewRoman"/>
              </w:rPr>
            </w:pPr>
            <w:r>
              <w:rPr>
                <w:lang w:val="en-GB"/>
              </w:rPr>
              <w:t>Immunoglobulin G</w:t>
            </w:r>
          </w:p>
        </w:tc>
      </w:tr>
      <w:tr w:rsidR="002F2AC8" w:rsidRPr="00FD119B" w14:paraId="799F6BED" w14:textId="77777777" w:rsidTr="003C76F3">
        <w:tc>
          <w:tcPr>
            <w:tcW w:w="2518" w:type="dxa"/>
          </w:tcPr>
          <w:p w14:paraId="1E516EFC" w14:textId="77777777" w:rsidR="002F2AC8" w:rsidRPr="00EB7E59" w:rsidRDefault="002F2AC8" w:rsidP="00960170">
            <w:pPr>
              <w:rPr>
                <w:rFonts w:eastAsia="TimesNewRoman"/>
              </w:rPr>
            </w:pPr>
            <w:r w:rsidRPr="00EB7E59">
              <w:rPr>
                <w:rFonts w:eastAsia="TimesNewRoman"/>
              </w:rPr>
              <w:t>IHS</w:t>
            </w:r>
          </w:p>
        </w:tc>
        <w:tc>
          <w:tcPr>
            <w:tcW w:w="6202" w:type="dxa"/>
          </w:tcPr>
          <w:p w14:paraId="351B768A" w14:textId="77777777" w:rsidR="002F2AC8" w:rsidRPr="00EB7E59" w:rsidRDefault="002F2AC8" w:rsidP="00960170">
            <w:pPr>
              <w:rPr>
                <w:rFonts w:eastAsia="TimesNewRoman"/>
              </w:rPr>
            </w:pPr>
            <w:r w:rsidRPr="00EB7E59">
              <w:rPr>
                <w:rFonts w:eastAsia="TimesNewRoman"/>
              </w:rPr>
              <w:t>International Headache Society</w:t>
            </w:r>
          </w:p>
        </w:tc>
      </w:tr>
      <w:tr w:rsidR="002F2AC8" w:rsidRPr="00FD119B" w14:paraId="3C641998" w14:textId="77777777" w:rsidTr="003C76F3">
        <w:tc>
          <w:tcPr>
            <w:tcW w:w="2518" w:type="dxa"/>
          </w:tcPr>
          <w:p w14:paraId="73FC58D8" w14:textId="77777777" w:rsidR="002F2AC8" w:rsidRPr="00EB7E59" w:rsidRDefault="002F2AC8" w:rsidP="00960170">
            <w:pPr>
              <w:rPr>
                <w:rFonts w:eastAsia="TimesNewRoman"/>
              </w:rPr>
            </w:pPr>
            <w:r>
              <w:rPr>
                <w:rFonts w:eastAsia="TimesNewRoman"/>
              </w:rPr>
              <w:t>IV</w:t>
            </w:r>
          </w:p>
        </w:tc>
        <w:tc>
          <w:tcPr>
            <w:tcW w:w="6202" w:type="dxa"/>
          </w:tcPr>
          <w:p w14:paraId="32E954B9" w14:textId="77777777" w:rsidR="002F2AC8" w:rsidRPr="00EB7E59" w:rsidRDefault="002F2AC8" w:rsidP="00960170">
            <w:pPr>
              <w:rPr>
                <w:rFonts w:eastAsia="TimesNewRoman"/>
              </w:rPr>
            </w:pPr>
            <w:r>
              <w:rPr>
                <w:rFonts w:eastAsia="TimesNewRoman"/>
              </w:rPr>
              <w:t>Intravenous</w:t>
            </w:r>
          </w:p>
        </w:tc>
      </w:tr>
      <w:tr w:rsidR="002F2AC8" w:rsidRPr="00FD119B" w14:paraId="3529B5BB" w14:textId="77777777" w:rsidTr="003C76F3">
        <w:tc>
          <w:tcPr>
            <w:tcW w:w="2518" w:type="dxa"/>
          </w:tcPr>
          <w:p w14:paraId="6736B4A2" w14:textId="77777777" w:rsidR="002F2AC8" w:rsidRPr="00EB7E59" w:rsidRDefault="002F2AC8" w:rsidP="00960170">
            <w:pPr>
              <w:rPr>
                <w:rFonts w:eastAsia="TimesNewRoman"/>
              </w:rPr>
            </w:pPr>
            <w:r>
              <w:t>K</w:t>
            </w:r>
            <w:r w:rsidRPr="007E030E">
              <w:rPr>
                <w:vertAlign w:val="subscript"/>
              </w:rPr>
              <w:t>b</w:t>
            </w:r>
          </w:p>
        </w:tc>
        <w:tc>
          <w:tcPr>
            <w:tcW w:w="6202" w:type="dxa"/>
          </w:tcPr>
          <w:p w14:paraId="38BC9194" w14:textId="2AA54E64" w:rsidR="002F2AC8" w:rsidRDefault="002F2AC8" w:rsidP="003D1DF5">
            <w:pPr>
              <w:rPr>
                <w:rFonts w:eastAsia="TimesNewRoman"/>
              </w:rPr>
            </w:pPr>
            <w:r>
              <w:t>Eq</w:t>
            </w:r>
            <w:r w:rsidR="00572B43">
              <w:t>uilibrium dissociation constant</w:t>
            </w:r>
          </w:p>
        </w:tc>
      </w:tr>
      <w:tr w:rsidR="002F2AC8" w:rsidRPr="00FD119B" w14:paraId="46508DAB" w14:textId="77777777" w:rsidTr="003C76F3">
        <w:tc>
          <w:tcPr>
            <w:tcW w:w="2518" w:type="dxa"/>
          </w:tcPr>
          <w:p w14:paraId="1C2D8E0B" w14:textId="77777777" w:rsidR="002F2AC8" w:rsidRPr="00EB7E59" w:rsidRDefault="002F2AC8" w:rsidP="00960170">
            <w:pPr>
              <w:rPr>
                <w:rFonts w:eastAsia="TimesNewRoman"/>
              </w:rPr>
            </w:pPr>
            <w:proofErr w:type="spellStart"/>
            <w:r w:rsidRPr="007E030E">
              <w:t>K</w:t>
            </w:r>
            <w:r>
              <w:rPr>
                <w:vertAlign w:val="subscript"/>
              </w:rPr>
              <w:t>d</w:t>
            </w:r>
            <w:proofErr w:type="spellEnd"/>
          </w:p>
        </w:tc>
        <w:tc>
          <w:tcPr>
            <w:tcW w:w="6202" w:type="dxa"/>
          </w:tcPr>
          <w:p w14:paraId="1AAEFDF0" w14:textId="77777777" w:rsidR="002F2AC8" w:rsidRDefault="002F2AC8" w:rsidP="00960170">
            <w:pPr>
              <w:rPr>
                <w:rFonts w:eastAsia="TimesNewRoman"/>
              </w:rPr>
            </w:pPr>
            <w:r>
              <w:rPr>
                <w:rFonts w:eastAsia="TimesNewRoman"/>
              </w:rPr>
              <w:t>Dissociation constant</w:t>
            </w:r>
          </w:p>
        </w:tc>
      </w:tr>
      <w:tr w:rsidR="002F2AC8" w:rsidRPr="00FD119B" w14:paraId="4E61DDB3" w14:textId="77777777" w:rsidTr="003C76F3">
        <w:tc>
          <w:tcPr>
            <w:tcW w:w="2518" w:type="dxa"/>
          </w:tcPr>
          <w:p w14:paraId="1B57BCC7" w14:textId="77777777" w:rsidR="002F2AC8" w:rsidRPr="007E030E" w:rsidRDefault="002F2AC8" w:rsidP="00960170">
            <w:r w:rsidRPr="00717374">
              <w:t>k</w:t>
            </w:r>
            <w:r w:rsidRPr="000D3879">
              <w:rPr>
                <w:vertAlign w:val="subscript"/>
              </w:rPr>
              <w:t>in</w:t>
            </w:r>
          </w:p>
        </w:tc>
        <w:tc>
          <w:tcPr>
            <w:tcW w:w="6202" w:type="dxa"/>
          </w:tcPr>
          <w:p w14:paraId="0FF1E81A" w14:textId="77777777" w:rsidR="002F2AC8" w:rsidRDefault="002F2AC8" w:rsidP="000D3879">
            <w:pPr>
              <w:rPr>
                <w:rFonts w:eastAsia="TimesNewRoman"/>
              </w:rPr>
            </w:pPr>
            <w:r>
              <w:t>Formation rate</w:t>
            </w:r>
          </w:p>
        </w:tc>
      </w:tr>
      <w:tr w:rsidR="002F2AC8" w:rsidRPr="00FD119B" w14:paraId="3A81877E" w14:textId="77777777" w:rsidTr="003C76F3">
        <w:tc>
          <w:tcPr>
            <w:tcW w:w="2518" w:type="dxa"/>
          </w:tcPr>
          <w:p w14:paraId="1B82F4F8" w14:textId="77777777" w:rsidR="002F2AC8" w:rsidRPr="00717374" w:rsidRDefault="002F2AC8" w:rsidP="00960170">
            <w:proofErr w:type="spellStart"/>
            <w:r w:rsidRPr="00717374">
              <w:t>k</w:t>
            </w:r>
            <w:r w:rsidRPr="000D3879">
              <w:rPr>
                <w:vertAlign w:val="subscript"/>
              </w:rPr>
              <w:t>out</w:t>
            </w:r>
            <w:proofErr w:type="spellEnd"/>
          </w:p>
        </w:tc>
        <w:tc>
          <w:tcPr>
            <w:tcW w:w="6202" w:type="dxa"/>
          </w:tcPr>
          <w:p w14:paraId="09FC98E0" w14:textId="77777777" w:rsidR="002F2AC8" w:rsidRDefault="002F2AC8" w:rsidP="000D3879">
            <w:r>
              <w:t>E</w:t>
            </w:r>
            <w:r w:rsidRPr="00717374">
              <w:t>limination rate</w:t>
            </w:r>
          </w:p>
        </w:tc>
      </w:tr>
      <w:tr w:rsidR="002F2AC8" w:rsidRPr="00FD119B" w14:paraId="184178A7" w14:textId="77777777" w:rsidTr="003C76F3">
        <w:tc>
          <w:tcPr>
            <w:tcW w:w="2518" w:type="dxa"/>
          </w:tcPr>
          <w:p w14:paraId="1637B681" w14:textId="77777777" w:rsidR="002F2AC8" w:rsidRPr="00EB7E59" w:rsidRDefault="002F2AC8" w:rsidP="00960170">
            <w:pPr>
              <w:rPr>
                <w:rFonts w:eastAsia="TimesNewRoman"/>
              </w:rPr>
            </w:pPr>
            <w:r w:rsidRPr="00651498">
              <w:rPr>
                <w:rFonts w:asciiTheme="minorHAnsi" w:hAnsiTheme="minorHAnsi"/>
                <w:lang w:val="en-GB"/>
              </w:rPr>
              <w:t>LC-MS-MS</w:t>
            </w:r>
          </w:p>
        </w:tc>
        <w:tc>
          <w:tcPr>
            <w:tcW w:w="6202" w:type="dxa"/>
          </w:tcPr>
          <w:p w14:paraId="72614282" w14:textId="77777777" w:rsidR="002F2AC8" w:rsidRDefault="002F2AC8" w:rsidP="005C3C86">
            <w:pPr>
              <w:rPr>
                <w:rFonts w:eastAsia="TimesNewRoman"/>
              </w:rPr>
            </w:pPr>
            <w:r>
              <w:rPr>
                <w:rFonts w:asciiTheme="minorHAnsi" w:hAnsiTheme="minorHAnsi"/>
              </w:rPr>
              <w:t>L</w:t>
            </w:r>
            <w:r w:rsidRPr="005C3C86">
              <w:rPr>
                <w:rFonts w:asciiTheme="minorHAnsi" w:hAnsiTheme="minorHAnsi"/>
              </w:rPr>
              <w:t>iquid chromatography–</w:t>
            </w:r>
            <w:r w:rsidRPr="00204A99">
              <w:rPr>
                <w:rFonts w:asciiTheme="minorHAnsi" w:hAnsiTheme="minorHAnsi"/>
              </w:rPr>
              <w:t xml:space="preserve">tandem </w:t>
            </w:r>
            <w:r w:rsidRPr="005C3C86">
              <w:rPr>
                <w:rFonts w:asciiTheme="minorHAnsi" w:hAnsiTheme="minorHAnsi"/>
              </w:rPr>
              <w:t>mass spectrometry</w:t>
            </w:r>
          </w:p>
        </w:tc>
      </w:tr>
      <w:tr w:rsidR="002F2AC8" w:rsidRPr="00FD119B" w14:paraId="4F3AC340" w14:textId="77777777" w:rsidTr="003C76F3">
        <w:tc>
          <w:tcPr>
            <w:tcW w:w="2518" w:type="dxa"/>
          </w:tcPr>
          <w:p w14:paraId="22BE6939" w14:textId="49BABE12" w:rsidR="002F2AC8" w:rsidRPr="00477F14" w:rsidRDefault="002F2AC8" w:rsidP="00960170">
            <w:r>
              <w:t>LY29</w:t>
            </w:r>
            <w:r w:rsidR="00BD4DC6">
              <w:t>5</w:t>
            </w:r>
            <w:r>
              <w:t>1742, LY</w:t>
            </w:r>
          </w:p>
        </w:tc>
        <w:tc>
          <w:tcPr>
            <w:tcW w:w="6202" w:type="dxa"/>
          </w:tcPr>
          <w:p w14:paraId="7DD77F47" w14:textId="7BC2B7E1" w:rsidR="002F2AC8" w:rsidRDefault="002F2AC8" w:rsidP="00960170">
            <w:proofErr w:type="spellStart"/>
            <w:r>
              <w:t>Galcanezumab</w:t>
            </w:r>
            <w:proofErr w:type="spellEnd"/>
            <w:r w:rsidR="00384E20">
              <w:t xml:space="preserve"> (company drug development codename)</w:t>
            </w:r>
          </w:p>
        </w:tc>
      </w:tr>
      <w:tr w:rsidR="002F2AC8" w:rsidRPr="00FD119B" w14:paraId="0F561656" w14:textId="77777777" w:rsidTr="003C76F3">
        <w:tc>
          <w:tcPr>
            <w:tcW w:w="2518" w:type="dxa"/>
          </w:tcPr>
          <w:p w14:paraId="1C613CDA" w14:textId="77777777" w:rsidR="002F2AC8" w:rsidRPr="00477F14" w:rsidRDefault="002F2AC8" w:rsidP="00960170">
            <w:proofErr w:type="spellStart"/>
            <w:r w:rsidRPr="00477F14">
              <w:lastRenderedPageBreak/>
              <w:t>mAbs</w:t>
            </w:r>
            <w:proofErr w:type="spellEnd"/>
          </w:p>
        </w:tc>
        <w:tc>
          <w:tcPr>
            <w:tcW w:w="6202" w:type="dxa"/>
          </w:tcPr>
          <w:p w14:paraId="59683F6D" w14:textId="77777777" w:rsidR="002F2AC8" w:rsidRPr="00477F14" w:rsidRDefault="002F2AC8" w:rsidP="00960170">
            <w:r>
              <w:t>Monoclonal antibodies</w:t>
            </w:r>
          </w:p>
        </w:tc>
      </w:tr>
      <w:tr w:rsidR="002F2AC8" w:rsidRPr="00FD119B" w14:paraId="7F136267" w14:textId="77777777" w:rsidTr="003C76F3">
        <w:tc>
          <w:tcPr>
            <w:tcW w:w="2518" w:type="dxa"/>
          </w:tcPr>
          <w:p w14:paraId="74A39DA2" w14:textId="77777777" w:rsidR="002F2AC8" w:rsidRPr="00477F14" w:rsidRDefault="002F2AC8" w:rsidP="00960170">
            <w:r w:rsidRPr="00477F14">
              <w:t>MHD</w:t>
            </w:r>
          </w:p>
        </w:tc>
        <w:tc>
          <w:tcPr>
            <w:tcW w:w="6202" w:type="dxa"/>
          </w:tcPr>
          <w:p w14:paraId="43E33920" w14:textId="77777777" w:rsidR="002F2AC8" w:rsidRPr="00477F14" w:rsidRDefault="002F2AC8" w:rsidP="00960170">
            <w:r>
              <w:t>Migraine headache days</w:t>
            </w:r>
          </w:p>
        </w:tc>
      </w:tr>
      <w:tr w:rsidR="002F2AC8" w:rsidRPr="00FD119B" w14:paraId="71E92D6A" w14:textId="77777777" w:rsidTr="003C76F3">
        <w:tc>
          <w:tcPr>
            <w:tcW w:w="2518" w:type="dxa"/>
          </w:tcPr>
          <w:p w14:paraId="25B30B32" w14:textId="77777777" w:rsidR="002F2AC8" w:rsidRPr="00477F14" w:rsidRDefault="002F2AC8" w:rsidP="00960170">
            <w:proofErr w:type="spellStart"/>
            <w:r>
              <w:t>ms</w:t>
            </w:r>
            <w:proofErr w:type="spellEnd"/>
          </w:p>
        </w:tc>
        <w:tc>
          <w:tcPr>
            <w:tcW w:w="6202" w:type="dxa"/>
          </w:tcPr>
          <w:p w14:paraId="60C147B7" w14:textId="77777777" w:rsidR="002F2AC8" w:rsidRDefault="002F2AC8" w:rsidP="00960170">
            <w:r>
              <w:t>Millisecond</w:t>
            </w:r>
          </w:p>
        </w:tc>
      </w:tr>
      <w:tr w:rsidR="002F2AC8" w:rsidRPr="00FD119B" w14:paraId="18A4FE1D" w14:textId="77777777" w:rsidTr="003C76F3">
        <w:tc>
          <w:tcPr>
            <w:tcW w:w="2518" w:type="dxa"/>
          </w:tcPr>
          <w:p w14:paraId="198037F7" w14:textId="77777777" w:rsidR="002F2AC8" w:rsidRPr="00477F14" w:rsidRDefault="002F2AC8" w:rsidP="00960170">
            <w:r w:rsidRPr="00477F14">
              <w:t>MSQ</w:t>
            </w:r>
            <w:r>
              <w:t>,</w:t>
            </w:r>
          </w:p>
        </w:tc>
        <w:tc>
          <w:tcPr>
            <w:tcW w:w="6202" w:type="dxa"/>
          </w:tcPr>
          <w:p w14:paraId="66EFCD54" w14:textId="77777777" w:rsidR="002F2AC8" w:rsidRPr="00477F14" w:rsidRDefault="002F2AC8" w:rsidP="00960170">
            <w:r w:rsidRPr="00477F14">
              <w:t>Migraine Specific Quality of Life</w:t>
            </w:r>
          </w:p>
        </w:tc>
      </w:tr>
      <w:tr w:rsidR="002F2AC8" w:rsidRPr="00FD119B" w14:paraId="5348AA8B" w14:textId="77777777" w:rsidTr="003C76F3">
        <w:tc>
          <w:tcPr>
            <w:tcW w:w="2518" w:type="dxa"/>
          </w:tcPr>
          <w:p w14:paraId="0CB555E9" w14:textId="77777777" w:rsidR="002F2AC8" w:rsidRPr="00477F14" w:rsidRDefault="002F2AC8" w:rsidP="00960170">
            <w:proofErr w:type="spellStart"/>
            <w:r>
              <w:t>NAb</w:t>
            </w:r>
            <w:proofErr w:type="spellEnd"/>
          </w:p>
        </w:tc>
        <w:tc>
          <w:tcPr>
            <w:tcW w:w="6202" w:type="dxa"/>
          </w:tcPr>
          <w:p w14:paraId="23AD880A" w14:textId="77777777" w:rsidR="002F2AC8" w:rsidRPr="00477F14" w:rsidRDefault="002F2AC8" w:rsidP="00B916AE">
            <w:r>
              <w:t>Neutralising antibodies</w:t>
            </w:r>
          </w:p>
        </w:tc>
      </w:tr>
      <w:tr w:rsidR="002F2AC8" w:rsidRPr="00FD119B" w14:paraId="7F42ACEA" w14:textId="77777777" w:rsidTr="003C76F3">
        <w:tc>
          <w:tcPr>
            <w:tcW w:w="2518" w:type="dxa"/>
          </w:tcPr>
          <w:p w14:paraId="25C37834" w14:textId="77777777" w:rsidR="002F2AC8" w:rsidRPr="00477F14" w:rsidRDefault="002F2AC8" w:rsidP="00960170">
            <w:r>
              <w:t>NOAEL</w:t>
            </w:r>
          </w:p>
        </w:tc>
        <w:tc>
          <w:tcPr>
            <w:tcW w:w="6202" w:type="dxa"/>
          </w:tcPr>
          <w:p w14:paraId="56E73755" w14:textId="77777777" w:rsidR="002F2AC8" w:rsidRDefault="002F2AC8" w:rsidP="006F17FC">
            <w:r>
              <w:t>No observed adverse effect level</w:t>
            </w:r>
          </w:p>
        </w:tc>
      </w:tr>
      <w:tr w:rsidR="002F2AC8" w:rsidRPr="00FD119B" w14:paraId="3C326DAB" w14:textId="77777777" w:rsidTr="003C76F3">
        <w:tc>
          <w:tcPr>
            <w:tcW w:w="2518" w:type="dxa"/>
          </w:tcPr>
          <w:p w14:paraId="3BF08292" w14:textId="77777777" w:rsidR="002F2AC8" w:rsidRDefault="002F2AC8" w:rsidP="00960170">
            <w:r w:rsidRPr="00301F97">
              <w:t>PASS</w:t>
            </w:r>
          </w:p>
        </w:tc>
        <w:tc>
          <w:tcPr>
            <w:tcW w:w="6202" w:type="dxa"/>
          </w:tcPr>
          <w:p w14:paraId="14CDF4BB" w14:textId="77777777" w:rsidR="002F2AC8" w:rsidRDefault="002F2AC8" w:rsidP="00301F97">
            <w:r>
              <w:t>Post authorisation safety study</w:t>
            </w:r>
          </w:p>
        </w:tc>
      </w:tr>
      <w:tr w:rsidR="002F2AC8" w:rsidRPr="00FD119B" w14:paraId="115E12CE" w14:textId="77777777" w:rsidTr="003C76F3">
        <w:tc>
          <w:tcPr>
            <w:tcW w:w="2518" w:type="dxa"/>
          </w:tcPr>
          <w:p w14:paraId="75A61AC0" w14:textId="77777777" w:rsidR="002F2AC8" w:rsidRPr="00477F14" w:rsidRDefault="002F2AC8" w:rsidP="00960170">
            <w:r w:rsidRPr="00477F14">
              <w:t>PD</w:t>
            </w:r>
          </w:p>
        </w:tc>
        <w:tc>
          <w:tcPr>
            <w:tcW w:w="6202" w:type="dxa"/>
          </w:tcPr>
          <w:p w14:paraId="005D2B98" w14:textId="5D229DD2" w:rsidR="002F2AC8" w:rsidRPr="00477F14" w:rsidRDefault="002F2AC8" w:rsidP="00960170">
            <w:proofErr w:type="spellStart"/>
            <w:r>
              <w:t>P</w:t>
            </w:r>
            <w:r w:rsidRPr="00477F14">
              <w:t>harmacodynamic</w:t>
            </w:r>
            <w:proofErr w:type="spellEnd"/>
            <w:r w:rsidR="00384E20">
              <w:t>(</w:t>
            </w:r>
            <w:r w:rsidRPr="00477F14">
              <w:t>s</w:t>
            </w:r>
            <w:r w:rsidR="00384E20">
              <w:t>)</w:t>
            </w:r>
          </w:p>
        </w:tc>
      </w:tr>
      <w:tr w:rsidR="002F2AC8" w:rsidRPr="00ED3530" w14:paraId="098728A5" w14:textId="77777777" w:rsidTr="003C76F3">
        <w:tc>
          <w:tcPr>
            <w:tcW w:w="2518" w:type="dxa"/>
          </w:tcPr>
          <w:p w14:paraId="61041F3C" w14:textId="77777777" w:rsidR="002F2AC8" w:rsidRPr="00477F14" w:rsidRDefault="002F2AC8" w:rsidP="00960170">
            <w:r w:rsidRPr="00277D35">
              <w:rPr>
                <w:rFonts w:eastAsiaTheme="minorHAnsi"/>
              </w:rPr>
              <w:t>PGI-S</w:t>
            </w:r>
          </w:p>
        </w:tc>
        <w:tc>
          <w:tcPr>
            <w:tcW w:w="6202" w:type="dxa"/>
          </w:tcPr>
          <w:p w14:paraId="762F240E" w14:textId="77777777" w:rsidR="002F2AC8" w:rsidRPr="00ED3530" w:rsidRDefault="002F2AC8" w:rsidP="00CA7644">
            <w:r w:rsidRPr="00ED3530">
              <w:rPr>
                <w:rFonts w:eastAsiaTheme="minorHAnsi"/>
              </w:rPr>
              <w:t>Patient Global Impression-Improvement Score</w:t>
            </w:r>
          </w:p>
        </w:tc>
      </w:tr>
      <w:tr w:rsidR="002F2AC8" w:rsidRPr="00FD119B" w14:paraId="0EFBEB5E" w14:textId="77777777" w:rsidTr="003C76F3">
        <w:tc>
          <w:tcPr>
            <w:tcW w:w="2518" w:type="dxa"/>
          </w:tcPr>
          <w:p w14:paraId="212F09A6" w14:textId="77777777" w:rsidR="002F2AC8" w:rsidRPr="00477F14" w:rsidRDefault="002F2AC8" w:rsidP="00960170">
            <w:r>
              <w:t>PK</w:t>
            </w:r>
          </w:p>
        </w:tc>
        <w:tc>
          <w:tcPr>
            <w:tcW w:w="6202" w:type="dxa"/>
          </w:tcPr>
          <w:p w14:paraId="2491F8A0" w14:textId="140D6A1E" w:rsidR="002F2AC8" w:rsidRDefault="002F2AC8" w:rsidP="00023342">
            <w:r>
              <w:t>Pharmacokinetic</w:t>
            </w:r>
            <w:r w:rsidR="00384E20">
              <w:t>(s)</w:t>
            </w:r>
          </w:p>
        </w:tc>
      </w:tr>
      <w:tr w:rsidR="002F2AC8" w:rsidRPr="00FD119B" w14:paraId="67A44DE0" w14:textId="77777777" w:rsidTr="003C76F3">
        <w:tc>
          <w:tcPr>
            <w:tcW w:w="2518" w:type="dxa"/>
          </w:tcPr>
          <w:p w14:paraId="7181356F" w14:textId="77777777" w:rsidR="002F2AC8" w:rsidRDefault="002F2AC8" w:rsidP="00960170">
            <w:proofErr w:type="spellStart"/>
            <w:r>
              <w:t>pM</w:t>
            </w:r>
            <w:proofErr w:type="spellEnd"/>
          </w:p>
        </w:tc>
        <w:tc>
          <w:tcPr>
            <w:tcW w:w="6202" w:type="dxa"/>
          </w:tcPr>
          <w:p w14:paraId="04EBDDB0" w14:textId="77777777" w:rsidR="002F2AC8" w:rsidRDefault="002F2AC8" w:rsidP="00023342">
            <w:proofErr w:type="spellStart"/>
            <w:r>
              <w:t>Picomolar</w:t>
            </w:r>
            <w:proofErr w:type="spellEnd"/>
          </w:p>
        </w:tc>
      </w:tr>
      <w:tr w:rsidR="002F2AC8" w:rsidRPr="00FD119B" w14:paraId="681F1255" w14:textId="77777777" w:rsidTr="003C76F3">
        <w:tc>
          <w:tcPr>
            <w:tcW w:w="2518" w:type="dxa"/>
          </w:tcPr>
          <w:p w14:paraId="254C7945" w14:textId="77777777" w:rsidR="002F2AC8" w:rsidRPr="00477F14" w:rsidRDefault="002F2AC8" w:rsidP="00960170">
            <w:r w:rsidRPr="00CB6544">
              <w:t>PSUR</w:t>
            </w:r>
          </w:p>
        </w:tc>
        <w:tc>
          <w:tcPr>
            <w:tcW w:w="6202" w:type="dxa"/>
          </w:tcPr>
          <w:p w14:paraId="01D51F51" w14:textId="77777777" w:rsidR="002F2AC8" w:rsidRDefault="002F2AC8" w:rsidP="001F316B">
            <w:r>
              <w:t>P</w:t>
            </w:r>
            <w:r w:rsidRPr="001F316B">
              <w:t>eriodic safety update reports</w:t>
            </w:r>
          </w:p>
        </w:tc>
      </w:tr>
      <w:tr w:rsidR="002F2AC8" w:rsidRPr="00FD119B" w14:paraId="0EC108EF" w14:textId="77777777" w:rsidTr="003C76F3">
        <w:tc>
          <w:tcPr>
            <w:tcW w:w="2518" w:type="dxa"/>
          </w:tcPr>
          <w:p w14:paraId="0B0F31A8" w14:textId="77777777" w:rsidR="002F2AC8" w:rsidRPr="00CB6544" w:rsidRDefault="002F2AC8" w:rsidP="00960170">
            <w:proofErr w:type="spellStart"/>
            <w:r>
              <w:t>QTc</w:t>
            </w:r>
            <w:proofErr w:type="spellEnd"/>
          </w:p>
        </w:tc>
        <w:tc>
          <w:tcPr>
            <w:tcW w:w="6202" w:type="dxa"/>
          </w:tcPr>
          <w:p w14:paraId="60F0BE4A" w14:textId="77777777" w:rsidR="002F2AC8" w:rsidRDefault="002F2AC8" w:rsidP="001F316B">
            <w:r>
              <w:t>QT corrected</w:t>
            </w:r>
          </w:p>
        </w:tc>
      </w:tr>
      <w:tr w:rsidR="002F2AC8" w:rsidRPr="00FD119B" w14:paraId="089DB67D" w14:textId="77777777" w:rsidTr="003C76F3">
        <w:tc>
          <w:tcPr>
            <w:tcW w:w="2518" w:type="dxa"/>
          </w:tcPr>
          <w:p w14:paraId="1E806974" w14:textId="77777777" w:rsidR="002F2AC8" w:rsidRDefault="002F2AC8" w:rsidP="00960170">
            <w:proofErr w:type="spellStart"/>
            <w:r>
              <w:rPr>
                <w:lang w:eastAsia="ja-JP"/>
              </w:rPr>
              <w:t>QTcF</w:t>
            </w:r>
            <w:proofErr w:type="spellEnd"/>
          </w:p>
        </w:tc>
        <w:tc>
          <w:tcPr>
            <w:tcW w:w="6202" w:type="dxa"/>
          </w:tcPr>
          <w:p w14:paraId="3F5A5C8F" w14:textId="77777777" w:rsidR="002F2AC8" w:rsidRDefault="002F2AC8" w:rsidP="00EF4784">
            <w:r>
              <w:rPr>
                <w:lang w:eastAsia="ja-JP"/>
              </w:rPr>
              <w:t xml:space="preserve">QT corrected by </w:t>
            </w:r>
            <w:proofErr w:type="spellStart"/>
            <w:r>
              <w:rPr>
                <w:lang w:eastAsia="ja-JP"/>
              </w:rPr>
              <w:t>Fridericia’s</w:t>
            </w:r>
            <w:proofErr w:type="spellEnd"/>
            <w:r>
              <w:rPr>
                <w:lang w:eastAsia="ja-JP"/>
              </w:rPr>
              <w:t xml:space="preserve"> method</w:t>
            </w:r>
          </w:p>
        </w:tc>
      </w:tr>
      <w:tr w:rsidR="002F2AC8" w:rsidRPr="00FD119B" w14:paraId="53F0D5D8" w14:textId="77777777" w:rsidTr="003C76F3">
        <w:tc>
          <w:tcPr>
            <w:tcW w:w="2518" w:type="dxa"/>
          </w:tcPr>
          <w:p w14:paraId="256E9967" w14:textId="77777777" w:rsidR="002F2AC8" w:rsidRDefault="002F2AC8" w:rsidP="00960170">
            <w:r>
              <w:rPr>
                <w:lang w:eastAsia="ja-JP"/>
              </w:rPr>
              <w:t>RMP</w:t>
            </w:r>
          </w:p>
        </w:tc>
        <w:tc>
          <w:tcPr>
            <w:tcW w:w="6202" w:type="dxa"/>
          </w:tcPr>
          <w:p w14:paraId="1EFFBC8B" w14:textId="77777777" w:rsidR="002F2AC8" w:rsidRDefault="002F2AC8" w:rsidP="00A66A69">
            <w:r>
              <w:rPr>
                <w:lang w:eastAsia="ja-JP"/>
              </w:rPr>
              <w:t>Risk Management Plan</w:t>
            </w:r>
          </w:p>
        </w:tc>
      </w:tr>
      <w:tr w:rsidR="002F2AC8" w:rsidRPr="00FD119B" w14:paraId="542ABC88" w14:textId="77777777" w:rsidTr="003C76F3">
        <w:tc>
          <w:tcPr>
            <w:tcW w:w="2518" w:type="dxa"/>
          </w:tcPr>
          <w:p w14:paraId="5948A5E5" w14:textId="77777777" w:rsidR="002F2AC8" w:rsidRPr="00477F14" w:rsidRDefault="002F2AC8" w:rsidP="00960170">
            <w:r w:rsidRPr="00477F14">
              <w:t>SAEs</w:t>
            </w:r>
          </w:p>
        </w:tc>
        <w:tc>
          <w:tcPr>
            <w:tcW w:w="6202" w:type="dxa"/>
          </w:tcPr>
          <w:p w14:paraId="531127A5" w14:textId="63D555DE" w:rsidR="002F2AC8" w:rsidRPr="00477F14" w:rsidRDefault="002F2AC8" w:rsidP="00384E20">
            <w:r>
              <w:t xml:space="preserve">Serious </w:t>
            </w:r>
            <w:r w:rsidR="00384E20">
              <w:t>adverse e</w:t>
            </w:r>
            <w:r w:rsidR="00384E20" w:rsidRPr="00477F14">
              <w:t>vents</w:t>
            </w:r>
          </w:p>
        </w:tc>
      </w:tr>
      <w:tr w:rsidR="002F2AC8" w:rsidRPr="00FD119B" w14:paraId="1BF5CF6D" w14:textId="77777777" w:rsidTr="003C76F3">
        <w:tc>
          <w:tcPr>
            <w:tcW w:w="2518" w:type="dxa"/>
          </w:tcPr>
          <w:p w14:paraId="068F9436" w14:textId="77777777" w:rsidR="002F2AC8" w:rsidRPr="00477F14" w:rsidRDefault="002F2AC8" w:rsidP="00960170">
            <w:r w:rsidRPr="00477F14">
              <w:t>SC</w:t>
            </w:r>
          </w:p>
        </w:tc>
        <w:tc>
          <w:tcPr>
            <w:tcW w:w="6202" w:type="dxa"/>
          </w:tcPr>
          <w:p w14:paraId="4D35972F" w14:textId="77777777" w:rsidR="002F2AC8" w:rsidRPr="00477F14" w:rsidRDefault="002F2AC8" w:rsidP="00960170">
            <w:r>
              <w:t>S</w:t>
            </w:r>
            <w:r w:rsidRPr="00477F14">
              <w:t>ubcutaneous</w:t>
            </w:r>
          </w:p>
        </w:tc>
      </w:tr>
      <w:tr w:rsidR="002F2AC8" w:rsidRPr="00FD119B" w14:paraId="307BA525" w14:textId="77777777" w:rsidTr="003C76F3">
        <w:tc>
          <w:tcPr>
            <w:tcW w:w="2518" w:type="dxa"/>
          </w:tcPr>
          <w:p w14:paraId="40234AE9" w14:textId="77777777" w:rsidR="002F2AC8" w:rsidRPr="00477F14" w:rsidRDefault="002F2AC8" w:rsidP="00960170">
            <w:proofErr w:type="spellStart"/>
            <w:r w:rsidRPr="0013769C">
              <w:t>SmPC</w:t>
            </w:r>
            <w:proofErr w:type="spellEnd"/>
          </w:p>
        </w:tc>
        <w:tc>
          <w:tcPr>
            <w:tcW w:w="6202" w:type="dxa"/>
          </w:tcPr>
          <w:p w14:paraId="24FD9CF8" w14:textId="77777777" w:rsidR="002F2AC8" w:rsidRDefault="002F2AC8" w:rsidP="0013769C">
            <w:r w:rsidRPr="0013769C">
              <w:t>Summ</w:t>
            </w:r>
            <w:r>
              <w:t>ary of Product Characteristics</w:t>
            </w:r>
          </w:p>
        </w:tc>
      </w:tr>
      <w:tr w:rsidR="002F2AC8" w:rsidRPr="00FD119B" w14:paraId="451A4612" w14:textId="77777777" w:rsidTr="003C76F3">
        <w:tc>
          <w:tcPr>
            <w:tcW w:w="2518" w:type="dxa"/>
          </w:tcPr>
          <w:p w14:paraId="127B481F" w14:textId="77777777" w:rsidR="002F2AC8" w:rsidRPr="00477F14" w:rsidRDefault="002F2AC8" w:rsidP="00960170">
            <w:r w:rsidRPr="00477F14">
              <w:t>SMQs</w:t>
            </w:r>
          </w:p>
        </w:tc>
        <w:tc>
          <w:tcPr>
            <w:tcW w:w="6202" w:type="dxa"/>
          </w:tcPr>
          <w:p w14:paraId="1E8A9246" w14:textId="77777777" w:rsidR="002F2AC8" w:rsidRPr="00477F14" w:rsidRDefault="002F2AC8" w:rsidP="00960170">
            <w:r w:rsidRPr="00477F14">
              <w:t>Standardised Medical Dictionary for Regulatory Activities Queries</w:t>
            </w:r>
          </w:p>
        </w:tc>
      </w:tr>
      <w:tr w:rsidR="002F2AC8" w:rsidRPr="00FD119B" w14:paraId="06585059" w14:textId="77777777" w:rsidTr="003C76F3">
        <w:tc>
          <w:tcPr>
            <w:tcW w:w="2518" w:type="dxa"/>
          </w:tcPr>
          <w:p w14:paraId="1BFEF4B0" w14:textId="77777777" w:rsidR="002F2AC8" w:rsidRPr="00477F14" w:rsidRDefault="002F2AC8" w:rsidP="00960170">
            <w:r>
              <w:rPr>
                <w:lang w:eastAsia="ja-JP"/>
              </w:rPr>
              <w:t>SOC</w:t>
            </w:r>
          </w:p>
        </w:tc>
        <w:tc>
          <w:tcPr>
            <w:tcW w:w="6202" w:type="dxa"/>
          </w:tcPr>
          <w:p w14:paraId="1EFDB6BE" w14:textId="77777777" w:rsidR="002F2AC8" w:rsidRPr="00477F14" w:rsidRDefault="002F2AC8" w:rsidP="003E44EE">
            <w:r>
              <w:rPr>
                <w:lang w:eastAsia="ja-JP"/>
              </w:rPr>
              <w:t>System Organ Class</w:t>
            </w:r>
          </w:p>
        </w:tc>
      </w:tr>
      <w:tr w:rsidR="002F2AC8" w:rsidRPr="00FD119B" w14:paraId="58DB1FEA" w14:textId="77777777" w:rsidTr="003C76F3">
        <w:tc>
          <w:tcPr>
            <w:tcW w:w="2518" w:type="dxa"/>
          </w:tcPr>
          <w:p w14:paraId="050F1817" w14:textId="77777777" w:rsidR="002F2AC8" w:rsidRPr="00477F14" w:rsidRDefault="002F2AC8" w:rsidP="00960170">
            <w:r w:rsidRPr="000A0DAA">
              <w:t>t</w:t>
            </w:r>
            <w:r w:rsidRPr="000A0DAA">
              <w:rPr>
                <w:vertAlign w:val="subscript"/>
              </w:rPr>
              <w:t>½</w:t>
            </w:r>
          </w:p>
        </w:tc>
        <w:tc>
          <w:tcPr>
            <w:tcW w:w="6202" w:type="dxa"/>
          </w:tcPr>
          <w:p w14:paraId="2F1BCED9" w14:textId="77777777" w:rsidR="002F2AC8" w:rsidRPr="00477F14" w:rsidRDefault="002F2AC8" w:rsidP="000A0DAA">
            <w:r>
              <w:t>Biological half life</w:t>
            </w:r>
          </w:p>
        </w:tc>
      </w:tr>
      <w:tr w:rsidR="002F2AC8" w:rsidRPr="00FD119B" w14:paraId="3BCCDACB" w14:textId="77777777" w:rsidTr="003C76F3">
        <w:tc>
          <w:tcPr>
            <w:tcW w:w="2518" w:type="dxa"/>
          </w:tcPr>
          <w:p w14:paraId="69643FFA" w14:textId="77777777" w:rsidR="002F2AC8" w:rsidRPr="000A0DAA" w:rsidRDefault="002F2AC8" w:rsidP="00960170">
            <w:r>
              <w:rPr>
                <w:lang w:eastAsia="ja-JP"/>
              </w:rPr>
              <w:t>TE ADA</w:t>
            </w:r>
          </w:p>
        </w:tc>
        <w:tc>
          <w:tcPr>
            <w:tcW w:w="6202" w:type="dxa"/>
          </w:tcPr>
          <w:p w14:paraId="45F75035" w14:textId="77777777" w:rsidR="002F2AC8" w:rsidRDefault="002F2AC8" w:rsidP="00ED1074">
            <w:r>
              <w:rPr>
                <w:lang w:eastAsia="ja-JP"/>
              </w:rPr>
              <w:t>Treatment emergent anti-drug antibodies</w:t>
            </w:r>
          </w:p>
        </w:tc>
      </w:tr>
      <w:tr w:rsidR="002F2AC8" w:rsidRPr="00FD119B" w14:paraId="33EF0242" w14:textId="77777777" w:rsidTr="003C76F3">
        <w:tc>
          <w:tcPr>
            <w:tcW w:w="2518" w:type="dxa"/>
          </w:tcPr>
          <w:p w14:paraId="3CF279E9" w14:textId="77777777" w:rsidR="002F2AC8" w:rsidRPr="00477F14" w:rsidRDefault="002F2AC8" w:rsidP="00960170">
            <w:r w:rsidRPr="00477F14">
              <w:t>TEAE</w:t>
            </w:r>
          </w:p>
        </w:tc>
        <w:tc>
          <w:tcPr>
            <w:tcW w:w="6202" w:type="dxa"/>
          </w:tcPr>
          <w:p w14:paraId="3D3BA328" w14:textId="77777777" w:rsidR="002F2AC8" w:rsidRPr="00477F14" w:rsidRDefault="002F2AC8" w:rsidP="00960170">
            <w:r>
              <w:t xml:space="preserve">Treatment </w:t>
            </w:r>
            <w:r w:rsidRPr="00477F14">
              <w:t>emergent adverse event</w:t>
            </w:r>
          </w:p>
        </w:tc>
      </w:tr>
      <w:tr w:rsidR="002F2AC8" w:rsidRPr="00FD119B" w14:paraId="7BFCED1E" w14:textId="77777777" w:rsidTr="003C76F3">
        <w:tc>
          <w:tcPr>
            <w:tcW w:w="2518" w:type="dxa"/>
          </w:tcPr>
          <w:p w14:paraId="733677D0" w14:textId="77777777" w:rsidR="002F2AC8" w:rsidRPr="00477F14" w:rsidRDefault="002F2AC8" w:rsidP="00960170">
            <w:r w:rsidRPr="00477F14">
              <w:t>TGA</w:t>
            </w:r>
          </w:p>
        </w:tc>
        <w:tc>
          <w:tcPr>
            <w:tcW w:w="6202" w:type="dxa"/>
          </w:tcPr>
          <w:p w14:paraId="0B9F5E9A" w14:textId="77777777" w:rsidR="002F2AC8" w:rsidRPr="00477F14" w:rsidRDefault="002F2AC8" w:rsidP="00960170">
            <w:r w:rsidRPr="00477F14">
              <w:t>Therapeutic Goods Administration</w:t>
            </w:r>
          </w:p>
        </w:tc>
      </w:tr>
      <w:tr w:rsidR="002F2AC8" w:rsidRPr="00FD119B" w14:paraId="0E72BDA5" w14:textId="77777777" w:rsidTr="003C76F3">
        <w:tc>
          <w:tcPr>
            <w:tcW w:w="2518" w:type="dxa"/>
          </w:tcPr>
          <w:p w14:paraId="31219A6D" w14:textId="77777777" w:rsidR="002F2AC8" w:rsidRPr="00477F14" w:rsidRDefault="002F2AC8" w:rsidP="00960170">
            <w:proofErr w:type="spellStart"/>
            <w:r>
              <w:t>T</w:t>
            </w:r>
            <w:r w:rsidRPr="008A5465">
              <w:rPr>
                <w:vertAlign w:val="subscript"/>
              </w:rPr>
              <w:t>max</w:t>
            </w:r>
            <w:proofErr w:type="spellEnd"/>
          </w:p>
        </w:tc>
        <w:tc>
          <w:tcPr>
            <w:tcW w:w="6202" w:type="dxa"/>
          </w:tcPr>
          <w:p w14:paraId="712E0B41" w14:textId="77777777" w:rsidR="002F2AC8" w:rsidRPr="00477F14" w:rsidRDefault="002F2AC8" w:rsidP="00960170">
            <w:r>
              <w:t>The time after administration of a drug when the maximum plasma concentration is reached</w:t>
            </w:r>
          </w:p>
        </w:tc>
      </w:tr>
      <w:tr w:rsidR="002F2AC8" w:rsidRPr="00FD119B" w14:paraId="2F0579B2" w14:textId="77777777" w:rsidTr="003C76F3">
        <w:tc>
          <w:tcPr>
            <w:tcW w:w="2518" w:type="dxa"/>
          </w:tcPr>
          <w:p w14:paraId="62E20E53" w14:textId="77777777" w:rsidR="002F2AC8" w:rsidRPr="00477F14" w:rsidRDefault="002F2AC8" w:rsidP="00960170">
            <w:r w:rsidRPr="00477F14">
              <w:lastRenderedPageBreak/>
              <w:t>ULN</w:t>
            </w:r>
          </w:p>
        </w:tc>
        <w:tc>
          <w:tcPr>
            <w:tcW w:w="6202" w:type="dxa"/>
          </w:tcPr>
          <w:p w14:paraId="154C6683" w14:textId="77777777" w:rsidR="002F2AC8" w:rsidRPr="00477F14" w:rsidRDefault="002F2AC8" w:rsidP="00960170">
            <w:r>
              <w:t>U</w:t>
            </w:r>
            <w:r w:rsidRPr="00477F14">
              <w:t>pper limit of normal</w:t>
            </w:r>
          </w:p>
        </w:tc>
      </w:tr>
      <w:tr w:rsidR="002F2AC8" w:rsidRPr="00FD119B" w14:paraId="4DB7102B" w14:textId="77777777" w:rsidTr="003C76F3">
        <w:tc>
          <w:tcPr>
            <w:tcW w:w="2518" w:type="dxa"/>
          </w:tcPr>
          <w:p w14:paraId="001A6DCC" w14:textId="77777777" w:rsidR="002F2AC8" w:rsidRPr="00477F14" w:rsidRDefault="002F2AC8" w:rsidP="00776BD6">
            <w:proofErr w:type="spellStart"/>
            <w:r>
              <w:t>V</w:t>
            </w:r>
            <w:r w:rsidRPr="00776BD6">
              <w:rPr>
                <w:vertAlign w:val="subscript"/>
              </w:rPr>
              <w:t>ss</w:t>
            </w:r>
            <w:proofErr w:type="spellEnd"/>
          </w:p>
        </w:tc>
        <w:tc>
          <w:tcPr>
            <w:tcW w:w="6202" w:type="dxa"/>
          </w:tcPr>
          <w:p w14:paraId="10F2CD34" w14:textId="77777777" w:rsidR="002F2AC8" w:rsidRDefault="002F2AC8" w:rsidP="00776BD6">
            <w:r>
              <w:t>Mean volume of distribution</w:t>
            </w:r>
          </w:p>
        </w:tc>
      </w:tr>
      <w:tr w:rsidR="002F2AC8" w:rsidRPr="00FD119B" w14:paraId="7365BC0E" w14:textId="77777777" w:rsidTr="003C76F3">
        <w:tc>
          <w:tcPr>
            <w:tcW w:w="2518" w:type="dxa"/>
          </w:tcPr>
          <w:p w14:paraId="02F42663" w14:textId="77777777" w:rsidR="002F2AC8" w:rsidRDefault="002F2AC8" w:rsidP="00776BD6">
            <w:r>
              <w:t>WBC</w:t>
            </w:r>
          </w:p>
        </w:tc>
        <w:tc>
          <w:tcPr>
            <w:tcW w:w="6202" w:type="dxa"/>
          </w:tcPr>
          <w:p w14:paraId="6B7144B5" w14:textId="77777777" w:rsidR="002F2AC8" w:rsidRDefault="002F2AC8" w:rsidP="00ED1074">
            <w:r>
              <w:t>White blood cell</w:t>
            </w:r>
          </w:p>
        </w:tc>
      </w:tr>
    </w:tbl>
    <w:p w14:paraId="64531CE5" w14:textId="77777777" w:rsidR="008E7846" w:rsidRDefault="00F53C07" w:rsidP="00572B43">
      <w:pPr>
        <w:pStyle w:val="Heading2"/>
        <w:pageBreakBefore/>
        <w:spacing w:before="0"/>
      </w:pPr>
      <w:bookmarkStart w:id="9" w:name="_Toc20822156"/>
      <w:r>
        <w:lastRenderedPageBreak/>
        <w:t>I.</w:t>
      </w:r>
      <w:r w:rsidR="008E7846">
        <w:t xml:space="preserve"> Introduction to product submission</w:t>
      </w:r>
      <w:bookmarkEnd w:id="1"/>
      <w:bookmarkEnd w:id="3"/>
      <w:bookmarkEnd w:id="9"/>
    </w:p>
    <w:p w14:paraId="63887659" w14:textId="77777777" w:rsidR="008E7846" w:rsidRDefault="008E7846" w:rsidP="008E7846">
      <w:pPr>
        <w:pStyle w:val="Heading3"/>
        <w:rPr>
          <w:lang w:eastAsia="en-AU"/>
        </w:rPr>
      </w:pPr>
      <w:bookmarkStart w:id="10" w:name="_Toc247691502"/>
      <w:bookmarkStart w:id="11" w:name="_Toc314842483"/>
      <w:bookmarkStart w:id="12" w:name="_Toc20822157"/>
      <w:r>
        <w:rPr>
          <w:lang w:eastAsia="en-AU"/>
        </w:rPr>
        <w:t>Submission details</w:t>
      </w:r>
      <w:bookmarkEnd w:id="10"/>
      <w:bookmarkEnd w:id="11"/>
      <w:bookmarkEnd w:id="12"/>
    </w:p>
    <w:tbl>
      <w:tblPr>
        <w:tblW w:w="8628" w:type="dxa"/>
        <w:tblInd w:w="108" w:type="dxa"/>
        <w:tblLook w:val="01E0" w:firstRow="1" w:lastRow="1" w:firstColumn="1" w:lastColumn="1" w:noHBand="0" w:noVBand="0"/>
      </w:tblPr>
      <w:tblGrid>
        <w:gridCol w:w="2722"/>
        <w:gridCol w:w="5906"/>
      </w:tblGrid>
      <w:tr w:rsidR="008E7846" w:rsidRPr="003D1E62" w14:paraId="4A082383" w14:textId="77777777" w:rsidTr="00782C51">
        <w:trPr>
          <w:trHeight w:val="499"/>
        </w:trPr>
        <w:tc>
          <w:tcPr>
            <w:tcW w:w="2722" w:type="dxa"/>
          </w:tcPr>
          <w:p w14:paraId="05312986" w14:textId="77777777" w:rsidR="008E7846" w:rsidRPr="003D1E62" w:rsidRDefault="001B5C90" w:rsidP="001B5C90">
            <w:pPr>
              <w:rPr>
                <w:i/>
              </w:rPr>
            </w:pPr>
            <w:r>
              <w:rPr>
                <w:i/>
              </w:rPr>
              <w:t>Type of s</w:t>
            </w:r>
            <w:r w:rsidR="008E7846" w:rsidRPr="003D1E62">
              <w:rPr>
                <w:i/>
              </w:rPr>
              <w:t>ubmission</w:t>
            </w:r>
            <w:r>
              <w:rPr>
                <w:i/>
              </w:rPr>
              <w:t>:</w:t>
            </w:r>
          </w:p>
        </w:tc>
        <w:tc>
          <w:tcPr>
            <w:tcW w:w="5906" w:type="dxa"/>
          </w:tcPr>
          <w:p w14:paraId="4A12B074" w14:textId="77777777" w:rsidR="008E7846" w:rsidRPr="003D1E62" w:rsidRDefault="008E7846" w:rsidP="00F46CB3">
            <w:r w:rsidRPr="003D1E62">
              <w:t xml:space="preserve">New </w:t>
            </w:r>
            <w:r w:rsidR="00F46CB3">
              <w:t>biological entity</w:t>
            </w:r>
          </w:p>
        </w:tc>
      </w:tr>
      <w:tr w:rsidR="008E7846" w:rsidRPr="003D1E62" w14:paraId="39E3C897" w14:textId="77777777" w:rsidTr="00782C51">
        <w:trPr>
          <w:trHeight w:val="499"/>
        </w:trPr>
        <w:tc>
          <w:tcPr>
            <w:tcW w:w="2722" w:type="dxa"/>
          </w:tcPr>
          <w:p w14:paraId="35473C78" w14:textId="77777777" w:rsidR="008E7846" w:rsidRPr="003D1E62" w:rsidRDefault="008E7846" w:rsidP="003D1E62">
            <w:r w:rsidRPr="003D1E62">
              <w:rPr>
                <w:i/>
              </w:rPr>
              <w:t>Decision</w:t>
            </w:r>
            <w:r w:rsidRPr="003D1E62">
              <w:t>:</w:t>
            </w:r>
          </w:p>
        </w:tc>
        <w:tc>
          <w:tcPr>
            <w:tcW w:w="5906" w:type="dxa"/>
          </w:tcPr>
          <w:p w14:paraId="08E7A64F" w14:textId="77777777" w:rsidR="008E7846" w:rsidRPr="003D1E62" w:rsidRDefault="00E360C9" w:rsidP="001B5C90">
            <w:r>
              <w:t>Approved</w:t>
            </w:r>
          </w:p>
        </w:tc>
      </w:tr>
      <w:tr w:rsidR="008E7846" w:rsidRPr="003D1E62" w14:paraId="13997262" w14:textId="77777777" w:rsidTr="00782C51">
        <w:trPr>
          <w:trHeight w:val="499"/>
        </w:trPr>
        <w:tc>
          <w:tcPr>
            <w:tcW w:w="2722" w:type="dxa"/>
          </w:tcPr>
          <w:p w14:paraId="729322EB"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5906" w:type="dxa"/>
          </w:tcPr>
          <w:p w14:paraId="11AF77F3" w14:textId="77777777" w:rsidR="008E7846" w:rsidRPr="003D1E62" w:rsidRDefault="0054587B" w:rsidP="0054587B">
            <w:r>
              <w:t>22 May 2019</w:t>
            </w:r>
          </w:p>
        </w:tc>
      </w:tr>
      <w:tr w:rsidR="00ED2922" w:rsidRPr="003D1E62" w14:paraId="2088E4B8" w14:textId="77777777" w:rsidTr="00782C51">
        <w:trPr>
          <w:trHeight w:val="499"/>
        </w:trPr>
        <w:tc>
          <w:tcPr>
            <w:tcW w:w="2722" w:type="dxa"/>
          </w:tcPr>
          <w:p w14:paraId="00C5C98F" w14:textId="77777777" w:rsidR="00ED2922" w:rsidRPr="00441C3F" w:rsidRDefault="00ED2922" w:rsidP="001B5C90">
            <w:pPr>
              <w:rPr>
                <w:i/>
              </w:rPr>
            </w:pPr>
            <w:r w:rsidRPr="00441C3F">
              <w:rPr>
                <w:i/>
              </w:rPr>
              <w:t>Date of entry onto ARTG</w:t>
            </w:r>
            <w:r w:rsidR="00500337">
              <w:rPr>
                <w:i/>
              </w:rPr>
              <w:t>:</w:t>
            </w:r>
          </w:p>
        </w:tc>
        <w:tc>
          <w:tcPr>
            <w:tcW w:w="5906" w:type="dxa"/>
          </w:tcPr>
          <w:p w14:paraId="3ED23004" w14:textId="77777777" w:rsidR="00ED2922" w:rsidRPr="00441C3F" w:rsidRDefault="0054587B" w:rsidP="00D153D8">
            <w:pPr>
              <w:rPr>
                <w:i/>
              </w:rPr>
            </w:pPr>
            <w:r>
              <w:t>28 May 2019</w:t>
            </w:r>
          </w:p>
        </w:tc>
      </w:tr>
      <w:tr w:rsidR="00500337" w:rsidRPr="003D1E62" w14:paraId="6BFC8130" w14:textId="77777777" w:rsidTr="00782C51">
        <w:trPr>
          <w:trHeight w:val="514"/>
        </w:trPr>
        <w:tc>
          <w:tcPr>
            <w:tcW w:w="2722" w:type="dxa"/>
          </w:tcPr>
          <w:p w14:paraId="3EBB2EED" w14:textId="77777777" w:rsidR="00500337" w:rsidRPr="00441C3F" w:rsidRDefault="001C15F7" w:rsidP="001B5C90">
            <w:pPr>
              <w:rPr>
                <w:i/>
              </w:rPr>
            </w:pPr>
            <w:r>
              <w:rPr>
                <w:i/>
              </w:rPr>
              <w:t>ARTG numbers</w:t>
            </w:r>
            <w:r w:rsidR="00500337">
              <w:rPr>
                <w:i/>
              </w:rPr>
              <w:t>:</w:t>
            </w:r>
          </w:p>
        </w:tc>
        <w:tc>
          <w:tcPr>
            <w:tcW w:w="5906" w:type="dxa"/>
          </w:tcPr>
          <w:p w14:paraId="2E0409E6" w14:textId="77777777" w:rsidR="00500337" w:rsidRPr="00441C3F" w:rsidRDefault="001C15F7" w:rsidP="00EC463D">
            <w:r>
              <w:t>302145</w:t>
            </w:r>
            <w:r w:rsidR="00EA2B66">
              <w:t>, 30214</w:t>
            </w:r>
            <w:r>
              <w:t>6</w:t>
            </w:r>
          </w:p>
        </w:tc>
      </w:tr>
      <w:tr w:rsidR="003735BC" w:rsidRPr="003D1E62" w14:paraId="7BA60E9E" w14:textId="77777777" w:rsidTr="003C76F3">
        <w:trPr>
          <w:trHeight w:val="1134"/>
        </w:trPr>
        <w:tc>
          <w:tcPr>
            <w:tcW w:w="2722" w:type="dxa"/>
          </w:tcPr>
          <w:p w14:paraId="50F4F6F6"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5906" w:type="dxa"/>
            <w:vAlign w:val="center"/>
          </w:tcPr>
          <w:p w14:paraId="60B32431" w14:textId="77777777" w:rsidR="003735BC" w:rsidRDefault="0054587B" w:rsidP="00971E6C">
            <w:r>
              <w:t>Yes</w:t>
            </w:r>
          </w:p>
          <w:p w14:paraId="53804A0F" w14:textId="77777777" w:rsidR="003735BC" w:rsidRPr="00487162" w:rsidRDefault="003735BC" w:rsidP="00E307E7">
            <w:r>
              <w:t xml:space="preserve">This product will remain in the scheme for 5 years, starting on the date the product is first supplied in </w:t>
            </w:r>
            <w:r w:rsidRPr="00D453FA">
              <w:t>Australia</w:t>
            </w:r>
            <w:r w:rsidR="0054587B">
              <w:t>.</w:t>
            </w:r>
          </w:p>
        </w:tc>
      </w:tr>
    </w:tbl>
    <w:p w14:paraId="2C8BB631" w14:textId="77777777" w:rsidR="008E7846" w:rsidRDefault="008E7846" w:rsidP="008E7846"/>
    <w:tbl>
      <w:tblPr>
        <w:tblW w:w="8523" w:type="dxa"/>
        <w:tblInd w:w="108" w:type="dxa"/>
        <w:tblLook w:val="01E0" w:firstRow="1" w:lastRow="1" w:firstColumn="1" w:lastColumn="1" w:noHBand="0" w:noVBand="0"/>
      </w:tblPr>
      <w:tblGrid>
        <w:gridCol w:w="2689"/>
        <w:gridCol w:w="5834"/>
      </w:tblGrid>
      <w:tr w:rsidR="008E7846" w:rsidRPr="00487162" w14:paraId="074A4951" w14:textId="77777777" w:rsidTr="00782C51">
        <w:trPr>
          <w:trHeight w:val="494"/>
        </w:trPr>
        <w:tc>
          <w:tcPr>
            <w:tcW w:w="2689" w:type="dxa"/>
          </w:tcPr>
          <w:p w14:paraId="06D933C5" w14:textId="77777777" w:rsidR="008E7846" w:rsidRPr="00487162" w:rsidRDefault="001C15F7" w:rsidP="00E45619">
            <w:pPr>
              <w:rPr>
                <w:i/>
              </w:rPr>
            </w:pPr>
            <w:r>
              <w:rPr>
                <w:i/>
              </w:rPr>
              <w:t>Active ingredient</w:t>
            </w:r>
            <w:r w:rsidR="001B5C90">
              <w:rPr>
                <w:i/>
              </w:rPr>
              <w:t>:</w:t>
            </w:r>
          </w:p>
        </w:tc>
        <w:tc>
          <w:tcPr>
            <w:tcW w:w="5834" w:type="dxa"/>
          </w:tcPr>
          <w:p w14:paraId="55A3C85C" w14:textId="745D8C07" w:rsidR="008E7846" w:rsidRPr="00487162" w:rsidRDefault="00384E20" w:rsidP="00EA2B66">
            <w:proofErr w:type="spellStart"/>
            <w:r>
              <w:t>G</w:t>
            </w:r>
            <w:r w:rsidR="00EA2B66">
              <w:t>alcanezumab</w:t>
            </w:r>
            <w:proofErr w:type="spellEnd"/>
          </w:p>
        </w:tc>
      </w:tr>
      <w:tr w:rsidR="008E7846" w:rsidRPr="00487162" w14:paraId="5BE5E6A3" w14:textId="77777777" w:rsidTr="00782C51">
        <w:trPr>
          <w:trHeight w:val="494"/>
        </w:trPr>
        <w:tc>
          <w:tcPr>
            <w:tcW w:w="2689" w:type="dxa"/>
          </w:tcPr>
          <w:p w14:paraId="47EB5E60" w14:textId="77777777" w:rsidR="008E7846" w:rsidRPr="00487162" w:rsidRDefault="008E7846" w:rsidP="001B5C90">
            <w:pPr>
              <w:rPr>
                <w:i/>
              </w:rPr>
            </w:pPr>
            <w:r w:rsidRPr="00487162">
              <w:rPr>
                <w:i/>
              </w:rPr>
              <w:t>Product</w:t>
            </w:r>
            <w:r w:rsidR="001C15F7">
              <w:rPr>
                <w:i/>
              </w:rPr>
              <w:t xml:space="preserve"> name</w:t>
            </w:r>
            <w:r w:rsidR="001B5C90">
              <w:rPr>
                <w:i/>
              </w:rPr>
              <w:t>:</w:t>
            </w:r>
          </w:p>
        </w:tc>
        <w:tc>
          <w:tcPr>
            <w:tcW w:w="5834" w:type="dxa"/>
          </w:tcPr>
          <w:p w14:paraId="2B905A53" w14:textId="77777777" w:rsidR="008E7846" w:rsidRPr="00487162" w:rsidRDefault="00EA2B66" w:rsidP="00E45619">
            <w:proofErr w:type="spellStart"/>
            <w:r>
              <w:t>Emgality</w:t>
            </w:r>
            <w:proofErr w:type="spellEnd"/>
          </w:p>
        </w:tc>
      </w:tr>
      <w:tr w:rsidR="008E7846" w:rsidRPr="00487162" w14:paraId="01232AB1" w14:textId="77777777" w:rsidTr="00782C51">
        <w:trPr>
          <w:trHeight w:val="1257"/>
        </w:trPr>
        <w:tc>
          <w:tcPr>
            <w:tcW w:w="2689" w:type="dxa"/>
          </w:tcPr>
          <w:p w14:paraId="1DCDD5CE"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5834" w:type="dxa"/>
          </w:tcPr>
          <w:p w14:paraId="7C900A76" w14:textId="77777777" w:rsidR="0054587B" w:rsidRPr="0054587B" w:rsidRDefault="0054587B" w:rsidP="0054587B">
            <w:r w:rsidRPr="0054587B">
              <w:t>Eli Lilly Australia Pty Limited</w:t>
            </w:r>
          </w:p>
          <w:p w14:paraId="3CEE4DC6" w14:textId="77777777" w:rsidR="0054587B" w:rsidRPr="0054587B" w:rsidRDefault="0054587B" w:rsidP="0054587B">
            <w:r w:rsidRPr="0054587B">
              <w:t>112 Wharf Road</w:t>
            </w:r>
          </w:p>
          <w:p w14:paraId="1D2A76FB" w14:textId="77777777" w:rsidR="008E7846" w:rsidRPr="00487162" w:rsidRDefault="0054587B" w:rsidP="0054587B">
            <w:r w:rsidRPr="0054587B">
              <w:t>West Ryde, NSW 2114</w:t>
            </w:r>
          </w:p>
        </w:tc>
      </w:tr>
      <w:tr w:rsidR="008E7846" w:rsidRPr="00487162" w14:paraId="0ACF9D9F" w14:textId="77777777" w:rsidTr="00782C51">
        <w:trPr>
          <w:trHeight w:val="494"/>
        </w:trPr>
        <w:tc>
          <w:tcPr>
            <w:tcW w:w="2689" w:type="dxa"/>
          </w:tcPr>
          <w:p w14:paraId="3D2981EC" w14:textId="77777777" w:rsidR="008E7846" w:rsidRPr="00487162" w:rsidRDefault="001C15F7" w:rsidP="00E45619">
            <w:pPr>
              <w:rPr>
                <w:i/>
              </w:rPr>
            </w:pPr>
            <w:r>
              <w:rPr>
                <w:i/>
              </w:rPr>
              <w:t>Dose form</w:t>
            </w:r>
            <w:r w:rsidR="001B5C90">
              <w:rPr>
                <w:i/>
              </w:rPr>
              <w:t>:</w:t>
            </w:r>
          </w:p>
        </w:tc>
        <w:tc>
          <w:tcPr>
            <w:tcW w:w="5834" w:type="dxa"/>
          </w:tcPr>
          <w:p w14:paraId="7C6A085C" w14:textId="77777777" w:rsidR="008E7846" w:rsidRPr="00487162" w:rsidRDefault="001C15F7" w:rsidP="00E45619">
            <w:r>
              <w:t>Injection, solution</w:t>
            </w:r>
          </w:p>
        </w:tc>
      </w:tr>
      <w:tr w:rsidR="008E7846" w:rsidRPr="00487162" w14:paraId="45490D96" w14:textId="77777777" w:rsidTr="00782C51">
        <w:trPr>
          <w:trHeight w:val="494"/>
        </w:trPr>
        <w:tc>
          <w:tcPr>
            <w:tcW w:w="2689" w:type="dxa"/>
          </w:tcPr>
          <w:p w14:paraId="59DE9B53" w14:textId="77777777" w:rsidR="008E7846" w:rsidRPr="00487162" w:rsidRDefault="001C15F7" w:rsidP="00E45619">
            <w:pPr>
              <w:rPr>
                <w:i/>
              </w:rPr>
            </w:pPr>
            <w:r>
              <w:rPr>
                <w:i/>
              </w:rPr>
              <w:t>Strength:</w:t>
            </w:r>
          </w:p>
        </w:tc>
        <w:tc>
          <w:tcPr>
            <w:tcW w:w="5834" w:type="dxa"/>
          </w:tcPr>
          <w:p w14:paraId="4BF9B2B1" w14:textId="77777777" w:rsidR="008E7846" w:rsidRPr="00487162" w:rsidRDefault="00EA2B66" w:rsidP="00E45619">
            <w:r>
              <w:t>120 mg/mL</w:t>
            </w:r>
          </w:p>
        </w:tc>
      </w:tr>
      <w:tr w:rsidR="008E7846" w:rsidRPr="00487162" w14:paraId="63E8F7A1" w14:textId="77777777" w:rsidTr="00782C51">
        <w:trPr>
          <w:trHeight w:val="494"/>
        </w:trPr>
        <w:tc>
          <w:tcPr>
            <w:tcW w:w="2689" w:type="dxa"/>
          </w:tcPr>
          <w:p w14:paraId="1E9B12CE" w14:textId="77777777" w:rsidR="008E7846" w:rsidRPr="00487162" w:rsidRDefault="001C15F7" w:rsidP="001C15F7">
            <w:pPr>
              <w:rPr>
                <w:i/>
              </w:rPr>
            </w:pPr>
            <w:r>
              <w:rPr>
                <w:i/>
              </w:rPr>
              <w:t>Containers</w:t>
            </w:r>
            <w:r w:rsidR="008E7846" w:rsidRPr="00487162">
              <w:rPr>
                <w:i/>
              </w:rPr>
              <w:t>:</w:t>
            </w:r>
          </w:p>
        </w:tc>
        <w:tc>
          <w:tcPr>
            <w:tcW w:w="5834" w:type="dxa"/>
          </w:tcPr>
          <w:p w14:paraId="3E2D1E1C" w14:textId="77777777" w:rsidR="008E7846" w:rsidRPr="00487162" w:rsidRDefault="001C15F7" w:rsidP="00E45619">
            <w:r>
              <w:t>Prefilled syringe, prefilled pen</w:t>
            </w:r>
          </w:p>
        </w:tc>
      </w:tr>
      <w:tr w:rsidR="008E7846" w:rsidRPr="00487162" w14:paraId="5AA0CCDD" w14:textId="77777777" w:rsidTr="00782C51">
        <w:trPr>
          <w:trHeight w:val="763"/>
        </w:trPr>
        <w:tc>
          <w:tcPr>
            <w:tcW w:w="2689" w:type="dxa"/>
          </w:tcPr>
          <w:p w14:paraId="7B70C50F" w14:textId="77777777" w:rsidR="008E7846" w:rsidRPr="00487162" w:rsidRDefault="001C15F7" w:rsidP="00E45619">
            <w:pPr>
              <w:rPr>
                <w:i/>
              </w:rPr>
            </w:pPr>
            <w:r>
              <w:rPr>
                <w:i/>
              </w:rPr>
              <w:t>Pack sizes</w:t>
            </w:r>
            <w:r w:rsidR="008E7846" w:rsidRPr="00487162">
              <w:rPr>
                <w:i/>
              </w:rPr>
              <w:t>:</w:t>
            </w:r>
          </w:p>
        </w:tc>
        <w:tc>
          <w:tcPr>
            <w:tcW w:w="5834" w:type="dxa"/>
          </w:tcPr>
          <w:p w14:paraId="3044CE08" w14:textId="77777777" w:rsidR="008E7846" w:rsidRPr="00487162" w:rsidRDefault="00D83E16" w:rsidP="001C15F7">
            <w:r>
              <w:t>1, 2,</w:t>
            </w:r>
            <w:r w:rsidR="00971E6C">
              <w:t xml:space="preserve"> and </w:t>
            </w:r>
            <w:r>
              <w:t>3</w:t>
            </w:r>
          </w:p>
        </w:tc>
      </w:tr>
      <w:tr w:rsidR="008E7846" w:rsidRPr="00487162" w14:paraId="60D8661F" w14:textId="77777777" w:rsidTr="00782C51">
        <w:trPr>
          <w:trHeight w:val="494"/>
        </w:trPr>
        <w:tc>
          <w:tcPr>
            <w:tcW w:w="2689" w:type="dxa"/>
          </w:tcPr>
          <w:p w14:paraId="65E030D2"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5834" w:type="dxa"/>
          </w:tcPr>
          <w:p w14:paraId="64BDCFC3" w14:textId="77777777" w:rsidR="008E7846" w:rsidRPr="00B04AD1" w:rsidRDefault="002E1E97" w:rsidP="00B04AD1">
            <w:pPr>
              <w:rPr>
                <w:i/>
              </w:rPr>
            </w:pPr>
            <w:proofErr w:type="spellStart"/>
            <w:r w:rsidRPr="00B04AD1">
              <w:rPr>
                <w:i/>
              </w:rPr>
              <w:t>Emgality</w:t>
            </w:r>
            <w:proofErr w:type="spellEnd"/>
            <w:r w:rsidR="0054587B" w:rsidRPr="00B04AD1">
              <w:rPr>
                <w:i/>
              </w:rPr>
              <w:t xml:space="preserve"> is indicated for the pro</w:t>
            </w:r>
            <w:r w:rsidR="00B04AD1" w:rsidRPr="00B04AD1">
              <w:rPr>
                <w:i/>
              </w:rPr>
              <w:t>phylaxis of migraine in adults.</w:t>
            </w:r>
          </w:p>
        </w:tc>
      </w:tr>
      <w:tr w:rsidR="008E7846" w:rsidRPr="00487162" w14:paraId="5B542FCC" w14:textId="77777777" w:rsidTr="00782C51">
        <w:trPr>
          <w:trHeight w:val="494"/>
        </w:trPr>
        <w:tc>
          <w:tcPr>
            <w:tcW w:w="2689" w:type="dxa"/>
          </w:tcPr>
          <w:p w14:paraId="68D29DE2" w14:textId="77777777" w:rsidR="008E7846" w:rsidRPr="00487162" w:rsidRDefault="00416F6A" w:rsidP="00E45619">
            <w:pPr>
              <w:rPr>
                <w:i/>
              </w:rPr>
            </w:pPr>
            <w:r>
              <w:rPr>
                <w:i/>
              </w:rPr>
              <w:t>Route</w:t>
            </w:r>
            <w:r w:rsidR="008E7846" w:rsidRPr="00487162">
              <w:rPr>
                <w:i/>
              </w:rPr>
              <w:t xml:space="preserve"> of administration:</w:t>
            </w:r>
          </w:p>
        </w:tc>
        <w:tc>
          <w:tcPr>
            <w:tcW w:w="5834" w:type="dxa"/>
          </w:tcPr>
          <w:p w14:paraId="72FFD325" w14:textId="77777777" w:rsidR="008E7846" w:rsidRPr="00487162" w:rsidRDefault="00EA2B66" w:rsidP="00E45619">
            <w:r>
              <w:t>Subcutaneous injection</w:t>
            </w:r>
          </w:p>
        </w:tc>
      </w:tr>
      <w:tr w:rsidR="008E7846" w:rsidRPr="00487162" w14:paraId="5154A302" w14:textId="77777777" w:rsidTr="00782C51">
        <w:trPr>
          <w:trHeight w:val="748"/>
        </w:trPr>
        <w:tc>
          <w:tcPr>
            <w:tcW w:w="2689" w:type="dxa"/>
          </w:tcPr>
          <w:p w14:paraId="47BA7A9A" w14:textId="77777777" w:rsidR="008E7846" w:rsidRPr="00487162" w:rsidRDefault="008E7846" w:rsidP="00E45619">
            <w:pPr>
              <w:rPr>
                <w:i/>
              </w:rPr>
            </w:pPr>
            <w:r w:rsidRPr="00487162">
              <w:rPr>
                <w:i/>
              </w:rPr>
              <w:t>Dosage:</w:t>
            </w:r>
          </w:p>
        </w:tc>
        <w:tc>
          <w:tcPr>
            <w:tcW w:w="5834" w:type="dxa"/>
          </w:tcPr>
          <w:p w14:paraId="57FE4973" w14:textId="43D1E7FF" w:rsidR="008E7846" w:rsidRPr="00487162" w:rsidRDefault="00416F6A" w:rsidP="00E45619">
            <w:r>
              <w:t>120 mg injected subcutaneously once a month, with an initial loading dose of 240 mg.</w:t>
            </w:r>
            <w:r w:rsidR="00EA2B66">
              <w:t xml:space="preserve"> For further details see </w:t>
            </w:r>
            <w:r w:rsidR="00384E20">
              <w:t xml:space="preserve">the </w:t>
            </w:r>
            <w:r w:rsidR="00EA2B66">
              <w:t>Product Information.</w:t>
            </w:r>
          </w:p>
        </w:tc>
      </w:tr>
    </w:tbl>
    <w:p w14:paraId="36FE6296" w14:textId="77777777" w:rsidR="008E7846" w:rsidRDefault="008E7846" w:rsidP="00572B43">
      <w:pPr>
        <w:pStyle w:val="Heading3"/>
      </w:pPr>
      <w:bookmarkStart w:id="13" w:name="_Toc247691503"/>
      <w:bookmarkStart w:id="14" w:name="_Toc314842484"/>
      <w:bookmarkStart w:id="15" w:name="_Toc20822158"/>
      <w:r>
        <w:t>Product background</w:t>
      </w:r>
      <w:bookmarkEnd w:id="13"/>
      <w:bookmarkEnd w:id="14"/>
      <w:bookmarkEnd w:id="15"/>
    </w:p>
    <w:p w14:paraId="5818ECAF" w14:textId="243838C1" w:rsidR="008E7846" w:rsidRDefault="00940A89" w:rsidP="00940A89">
      <w:r w:rsidRPr="00940A89">
        <w:t xml:space="preserve">This </w:t>
      </w:r>
      <w:proofErr w:type="spellStart"/>
      <w:r w:rsidRPr="00940A89">
        <w:t>AusPAR</w:t>
      </w:r>
      <w:proofErr w:type="spellEnd"/>
      <w:r w:rsidRPr="00940A89">
        <w:t xml:space="preserve"> describes the applicat</w:t>
      </w:r>
      <w:r w:rsidR="00EA2B66">
        <w:t xml:space="preserve">ion by </w:t>
      </w:r>
      <w:r w:rsidR="00416F6A" w:rsidRPr="0054587B">
        <w:t>Eli Lilly Australia Pty Limited</w:t>
      </w:r>
      <w:r w:rsidR="00416F6A">
        <w:t xml:space="preserve"> (</w:t>
      </w:r>
      <w:r w:rsidR="00EA2B66">
        <w:t>the sponsor</w:t>
      </w:r>
      <w:r w:rsidR="00416F6A">
        <w:t>)</w:t>
      </w:r>
      <w:r w:rsidR="00EA2B66">
        <w:t xml:space="preserve"> to register </w:t>
      </w:r>
      <w:proofErr w:type="spellStart"/>
      <w:r w:rsidR="00EA2B66">
        <w:t>Emgality</w:t>
      </w:r>
      <w:proofErr w:type="spellEnd"/>
      <w:r w:rsidRPr="00940A89">
        <w:t xml:space="preserve"> </w:t>
      </w:r>
      <w:r w:rsidR="002E6FBA">
        <w:t>(</w:t>
      </w:r>
      <w:proofErr w:type="spellStart"/>
      <w:r w:rsidR="002E6FBA">
        <w:t>galcanezumab</w:t>
      </w:r>
      <w:proofErr w:type="spellEnd"/>
      <w:r w:rsidR="002E6FBA">
        <w:t xml:space="preserve">) </w:t>
      </w:r>
      <w:r w:rsidRPr="00940A89">
        <w:t>f</w:t>
      </w:r>
      <w:r w:rsidR="00782C51">
        <w:t>or the following indication:</w:t>
      </w:r>
    </w:p>
    <w:p w14:paraId="4F3CC765" w14:textId="77777777" w:rsidR="00782C51" w:rsidRPr="00782C51" w:rsidRDefault="00782C51" w:rsidP="00782C51">
      <w:pPr>
        <w:ind w:left="720"/>
        <w:rPr>
          <w:i/>
        </w:rPr>
      </w:pPr>
      <w:proofErr w:type="spellStart"/>
      <w:r w:rsidRPr="00782C51">
        <w:rPr>
          <w:i/>
        </w:rPr>
        <w:t>Emgality</w:t>
      </w:r>
      <w:proofErr w:type="spellEnd"/>
      <w:r w:rsidRPr="00782C51">
        <w:rPr>
          <w:i/>
        </w:rPr>
        <w:t xml:space="preserve"> is indicated for the prophylaxis of migraine in adults.</w:t>
      </w:r>
    </w:p>
    <w:p w14:paraId="69BA5504" w14:textId="5D3491F8" w:rsidR="0007206D" w:rsidRDefault="0007206D" w:rsidP="00572B43">
      <w:pPr>
        <w:rPr>
          <w:lang w:eastAsia="ja-JP"/>
        </w:rPr>
      </w:pPr>
      <w:bookmarkStart w:id="16" w:name="_Toc314842485"/>
      <w:bookmarkStart w:id="17" w:name="_Toc247691504"/>
      <w:r w:rsidRPr="00EC065F">
        <w:lastRenderedPageBreak/>
        <w:t xml:space="preserve">Migraine is a common </w:t>
      </w:r>
      <w:r>
        <w:t xml:space="preserve">neurological </w:t>
      </w:r>
      <w:r w:rsidRPr="00EC065F">
        <w:t xml:space="preserve">condition, usually manifesting as severe headache, and often accompanied by visual changes, </w:t>
      </w:r>
      <w:r w:rsidR="00D83E16">
        <w:t>light sensitivity</w:t>
      </w:r>
      <w:r w:rsidRPr="00EC065F">
        <w:t xml:space="preserve">, </w:t>
      </w:r>
      <w:r w:rsidR="00D83E16">
        <w:t>sound sensitivity</w:t>
      </w:r>
      <w:r w:rsidRPr="00EC065F">
        <w:t xml:space="preserve">, nausea, and lethargy. It is sometimes associated with focal neurological deficits such as weakness or numbness, speech disturbance, or vertigo. Many people suffer infrequent migraines, with only a few attacks per year, but some </w:t>
      </w:r>
      <w:r w:rsidR="000A2F15">
        <w:t>patients</w:t>
      </w:r>
      <w:r w:rsidRPr="00EC065F">
        <w:t xml:space="preserve"> experience multiple attacks per month. </w:t>
      </w:r>
      <w:r>
        <w:rPr>
          <w:lang w:eastAsia="ja-JP"/>
        </w:rPr>
        <w:t>Migraines can have major impacts on quality of life and mood, especially if they occur frequently. Migraine is also a major cause of absenteeism from work.</w:t>
      </w:r>
    </w:p>
    <w:p w14:paraId="2C5C66CD" w14:textId="3FF59E23" w:rsidR="0007206D" w:rsidRDefault="00C46409" w:rsidP="0007206D">
      <w:pPr>
        <w:rPr>
          <w:lang w:eastAsia="ja-JP"/>
        </w:rPr>
      </w:pPr>
      <w:r>
        <w:rPr>
          <w:lang w:eastAsia="ja-JP"/>
        </w:rPr>
        <w:t>S</w:t>
      </w:r>
      <w:r w:rsidR="0007206D">
        <w:rPr>
          <w:lang w:eastAsia="ja-JP"/>
        </w:rPr>
        <w:t>evere attacks ma</w:t>
      </w:r>
      <w:r w:rsidR="00775D3F">
        <w:rPr>
          <w:lang w:eastAsia="ja-JP"/>
        </w:rPr>
        <w:t>y be treated with specific anti</w:t>
      </w:r>
      <w:r w:rsidR="00971E6C">
        <w:rPr>
          <w:lang w:eastAsia="ja-JP"/>
        </w:rPr>
        <w:t>-</w:t>
      </w:r>
      <w:r w:rsidR="0007206D">
        <w:rPr>
          <w:lang w:eastAsia="ja-JP"/>
        </w:rPr>
        <w:t xml:space="preserve">migraine drugs, often from the </w:t>
      </w:r>
      <w:proofErr w:type="spellStart"/>
      <w:r w:rsidR="0007206D">
        <w:rPr>
          <w:lang w:eastAsia="ja-JP"/>
        </w:rPr>
        <w:t>triptan</w:t>
      </w:r>
      <w:proofErr w:type="spellEnd"/>
      <w:r w:rsidR="0007206D">
        <w:rPr>
          <w:lang w:eastAsia="ja-JP"/>
        </w:rPr>
        <w:t xml:space="preserve"> family (</w:t>
      </w:r>
      <w:proofErr w:type="spellStart"/>
      <w:r w:rsidR="0007206D">
        <w:rPr>
          <w:lang w:eastAsia="ja-JP"/>
        </w:rPr>
        <w:t>sumatriptan</w:t>
      </w:r>
      <w:proofErr w:type="spellEnd"/>
      <w:r w:rsidR="0007206D">
        <w:rPr>
          <w:lang w:eastAsia="ja-JP"/>
        </w:rPr>
        <w:t xml:space="preserve">, </w:t>
      </w:r>
      <w:proofErr w:type="spellStart"/>
      <w:r w:rsidR="0007206D">
        <w:rPr>
          <w:lang w:eastAsia="ja-JP"/>
        </w:rPr>
        <w:t>zolmitriptan</w:t>
      </w:r>
      <w:proofErr w:type="spellEnd"/>
      <w:r w:rsidR="0007206D">
        <w:rPr>
          <w:lang w:eastAsia="ja-JP"/>
        </w:rPr>
        <w:t xml:space="preserve">, and others). These are often effective if taken early in the attack, but many patients respond only partially to </w:t>
      </w:r>
      <w:proofErr w:type="spellStart"/>
      <w:r w:rsidR="0007206D">
        <w:rPr>
          <w:lang w:eastAsia="ja-JP"/>
        </w:rPr>
        <w:t>triptans</w:t>
      </w:r>
      <w:proofErr w:type="spellEnd"/>
      <w:r w:rsidR="0007206D">
        <w:rPr>
          <w:lang w:eastAsia="ja-JP"/>
        </w:rPr>
        <w:t xml:space="preserve">, and still require bed rest and analgesics. Some </w:t>
      </w:r>
      <w:r w:rsidR="00D83E16">
        <w:rPr>
          <w:lang w:eastAsia="ja-JP"/>
        </w:rPr>
        <w:t>patients</w:t>
      </w:r>
      <w:r w:rsidR="0007206D">
        <w:rPr>
          <w:lang w:eastAsia="ja-JP"/>
        </w:rPr>
        <w:t xml:space="preserve"> may need antiemetic </w:t>
      </w:r>
      <w:r w:rsidR="00775D3F">
        <w:rPr>
          <w:lang w:eastAsia="ja-JP"/>
        </w:rPr>
        <w:t>(anti-nausea</w:t>
      </w:r>
      <w:r w:rsidR="00D83E16">
        <w:rPr>
          <w:lang w:eastAsia="ja-JP"/>
        </w:rPr>
        <w:t xml:space="preserve"> and vomiting) </w:t>
      </w:r>
      <w:r w:rsidR="0007206D">
        <w:rPr>
          <w:lang w:eastAsia="ja-JP"/>
        </w:rPr>
        <w:t>medication, as well. Resistant cases may sometimes require treatment with stronger analgesics, including narcotics. When migraines are more frequent (such as 4 or more attacks per month), or when the effects of individual migraines are</w:t>
      </w:r>
      <w:r w:rsidR="00775D3F">
        <w:rPr>
          <w:lang w:eastAsia="ja-JP"/>
        </w:rPr>
        <w:t xml:space="preserve"> very severe, prophylactic </w:t>
      </w:r>
      <w:r w:rsidR="00971E6C">
        <w:rPr>
          <w:lang w:eastAsia="ja-JP"/>
        </w:rPr>
        <w:t>anti-migraine</w:t>
      </w:r>
      <w:r w:rsidR="0007206D">
        <w:rPr>
          <w:lang w:eastAsia="ja-JP"/>
        </w:rPr>
        <w:t xml:space="preserve"> agents are </w:t>
      </w:r>
      <w:r w:rsidR="00775D3F">
        <w:rPr>
          <w:lang w:eastAsia="ja-JP"/>
        </w:rPr>
        <w:t xml:space="preserve">usually indicated, such as beta </w:t>
      </w:r>
      <w:r w:rsidR="0007206D">
        <w:rPr>
          <w:lang w:eastAsia="ja-JP"/>
        </w:rPr>
        <w:t xml:space="preserve">blockers (especially </w:t>
      </w:r>
      <w:proofErr w:type="spellStart"/>
      <w:r w:rsidR="0007206D">
        <w:rPr>
          <w:lang w:eastAsia="ja-JP"/>
        </w:rPr>
        <w:t>propanolol</w:t>
      </w:r>
      <w:proofErr w:type="spellEnd"/>
      <w:r w:rsidR="0007206D">
        <w:rPr>
          <w:lang w:eastAsia="ja-JP"/>
        </w:rPr>
        <w:t>), calcium channel blockers (verapamil), some anticonvulsants (</w:t>
      </w:r>
      <w:proofErr w:type="spellStart"/>
      <w:r w:rsidR="0007206D">
        <w:rPr>
          <w:lang w:eastAsia="ja-JP"/>
        </w:rPr>
        <w:t>topiramate</w:t>
      </w:r>
      <w:proofErr w:type="spellEnd"/>
      <w:r w:rsidR="0007206D">
        <w:rPr>
          <w:lang w:eastAsia="ja-JP"/>
        </w:rPr>
        <w:t xml:space="preserve">, valproate), and </w:t>
      </w:r>
      <w:proofErr w:type="spellStart"/>
      <w:r w:rsidR="00C3570D">
        <w:rPr>
          <w:lang w:eastAsia="ja-JP"/>
        </w:rPr>
        <w:t>p</w:t>
      </w:r>
      <w:r w:rsidR="00C3570D" w:rsidRPr="00C3570D">
        <w:rPr>
          <w:lang w:eastAsia="ja-JP"/>
        </w:rPr>
        <w:t>izotifen</w:t>
      </w:r>
      <w:proofErr w:type="spellEnd"/>
      <w:r w:rsidR="00D83E16">
        <w:rPr>
          <w:lang w:eastAsia="ja-JP"/>
        </w:rPr>
        <w:t>. None of these drugs are</w:t>
      </w:r>
      <w:r w:rsidR="0007206D">
        <w:rPr>
          <w:lang w:eastAsia="ja-JP"/>
        </w:rPr>
        <w:t xml:space="preserve"> highly effective, and all of them are associated with </w:t>
      </w:r>
      <w:r w:rsidR="00DF2A39">
        <w:rPr>
          <w:lang w:eastAsia="ja-JP"/>
        </w:rPr>
        <w:t>significant tolerability issues;</w:t>
      </w:r>
      <w:r w:rsidR="0007206D">
        <w:rPr>
          <w:lang w:eastAsia="ja-JP"/>
        </w:rPr>
        <w:t xml:space="preserve"> as such there is a clear unmet need for addition</w:t>
      </w:r>
      <w:r w:rsidR="00775D3F">
        <w:rPr>
          <w:lang w:eastAsia="ja-JP"/>
        </w:rPr>
        <w:t>al prophylactic anti</w:t>
      </w:r>
      <w:r w:rsidR="00971E6C">
        <w:rPr>
          <w:lang w:eastAsia="ja-JP"/>
        </w:rPr>
        <w:t>-</w:t>
      </w:r>
      <w:r w:rsidR="0007206D">
        <w:rPr>
          <w:lang w:eastAsia="ja-JP"/>
        </w:rPr>
        <w:t>migraine agents.</w:t>
      </w:r>
    </w:p>
    <w:p w14:paraId="6FE092F9" w14:textId="097FA299" w:rsidR="0007206D" w:rsidRPr="0007206D" w:rsidRDefault="0007206D" w:rsidP="0007206D">
      <w:proofErr w:type="spellStart"/>
      <w:r>
        <w:t>Galcanezumab</w:t>
      </w:r>
      <w:proofErr w:type="spellEnd"/>
      <w:r>
        <w:t xml:space="preserve"> is a </w:t>
      </w:r>
      <w:r w:rsidR="00384E20" w:rsidRPr="0007206D">
        <w:t>humani</w:t>
      </w:r>
      <w:r w:rsidR="00384E20">
        <w:t>s</w:t>
      </w:r>
      <w:r w:rsidR="00384E20" w:rsidRPr="0007206D">
        <w:t xml:space="preserve">ed </w:t>
      </w:r>
      <w:r w:rsidR="00B6138F">
        <w:t>monoclonal antibody</w:t>
      </w:r>
      <w:r w:rsidRPr="0007206D">
        <w:t xml:space="preserve"> </w:t>
      </w:r>
      <w:r w:rsidR="00B6138F">
        <w:t>(</w:t>
      </w:r>
      <w:proofErr w:type="spellStart"/>
      <w:r w:rsidR="00B6138F">
        <w:t>mAb</w:t>
      </w:r>
      <w:proofErr w:type="spellEnd"/>
      <w:r w:rsidR="00B6138F">
        <w:t xml:space="preserve">) </w:t>
      </w:r>
      <w:r w:rsidRPr="0007206D">
        <w:t>th</w:t>
      </w:r>
      <w:r w:rsidR="00775D3F">
        <w:t xml:space="preserve">at binds to the calcitonin gene </w:t>
      </w:r>
      <w:r w:rsidRPr="0007206D">
        <w:t>related peptide (CGRP) ligand,</w:t>
      </w:r>
      <w:r>
        <w:t xml:space="preserve"> preventing binding to its receptor. During a migraine attack, CGRP levels increase, causing vasodilation and nociceptive</w:t>
      </w:r>
      <w:r w:rsidR="005C3C86">
        <w:t xml:space="preserve"> signalling and it is hypothesis</w:t>
      </w:r>
      <w:r>
        <w:t xml:space="preserve">ed that inhibiting the binding of CGRP to its receptor will prevent migraine. </w:t>
      </w:r>
      <w:r>
        <w:rPr>
          <w:rFonts w:asciiTheme="minorHAnsi" w:eastAsiaTheme="minorHAnsi" w:hAnsiTheme="minorHAnsi"/>
        </w:rPr>
        <w:t>One</w:t>
      </w:r>
      <w:r w:rsidRPr="009E4D53">
        <w:rPr>
          <w:rFonts w:asciiTheme="minorHAnsi" w:eastAsiaTheme="minorHAnsi" w:hAnsiTheme="minorHAnsi"/>
        </w:rPr>
        <w:t xml:space="preserve"> drug in this class</w:t>
      </w:r>
      <w:r>
        <w:rPr>
          <w:rFonts w:asciiTheme="minorHAnsi" w:eastAsiaTheme="minorHAnsi" w:hAnsiTheme="minorHAnsi"/>
        </w:rPr>
        <w:t xml:space="preserve"> (</w:t>
      </w:r>
      <w:proofErr w:type="spellStart"/>
      <w:r w:rsidR="00B6138F">
        <w:rPr>
          <w:rFonts w:asciiTheme="minorHAnsi" w:eastAsiaTheme="minorHAnsi" w:hAnsiTheme="minorHAnsi"/>
        </w:rPr>
        <w:t>mAb</w:t>
      </w:r>
      <w:proofErr w:type="spellEnd"/>
      <w:r>
        <w:rPr>
          <w:rFonts w:asciiTheme="minorHAnsi" w:eastAsiaTheme="minorHAnsi" w:hAnsiTheme="minorHAnsi"/>
        </w:rPr>
        <w:t>)</w:t>
      </w:r>
      <w:r w:rsidRPr="009E4D53">
        <w:rPr>
          <w:rFonts w:asciiTheme="minorHAnsi" w:eastAsiaTheme="minorHAnsi" w:hAnsiTheme="minorHAnsi"/>
        </w:rPr>
        <w:t xml:space="preserve"> was approved </w:t>
      </w:r>
      <w:r>
        <w:rPr>
          <w:rFonts w:asciiTheme="minorHAnsi" w:eastAsiaTheme="minorHAnsi" w:hAnsiTheme="minorHAnsi"/>
        </w:rPr>
        <w:t>last</w:t>
      </w:r>
      <w:r w:rsidRPr="009E4D53">
        <w:rPr>
          <w:rFonts w:asciiTheme="minorHAnsi" w:eastAsiaTheme="minorHAnsi" w:hAnsiTheme="minorHAnsi"/>
        </w:rPr>
        <w:t xml:space="preserve"> year for the preventive</w:t>
      </w:r>
      <w:r>
        <w:rPr>
          <w:rFonts w:asciiTheme="minorHAnsi" w:eastAsiaTheme="minorHAnsi" w:hAnsiTheme="minorHAnsi"/>
        </w:rPr>
        <w:t xml:space="preserve"> treatment of migraine: </w:t>
      </w:r>
      <w:proofErr w:type="spellStart"/>
      <w:r w:rsidRPr="000A2F15">
        <w:rPr>
          <w:rFonts w:asciiTheme="minorHAnsi" w:eastAsiaTheme="minorHAnsi" w:hAnsiTheme="minorHAnsi"/>
        </w:rPr>
        <w:t>erenumab</w:t>
      </w:r>
      <w:proofErr w:type="spellEnd"/>
      <w:r w:rsidR="00111126">
        <w:rPr>
          <w:rFonts w:asciiTheme="minorHAnsi" w:eastAsiaTheme="minorHAnsi" w:hAnsiTheme="minorHAnsi"/>
        </w:rPr>
        <w:t xml:space="preserve"> (</w:t>
      </w:r>
      <w:proofErr w:type="spellStart"/>
      <w:r w:rsidR="00111126">
        <w:rPr>
          <w:rFonts w:asciiTheme="minorHAnsi" w:eastAsiaTheme="minorHAnsi" w:hAnsiTheme="minorHAnsi"/>
        </w:rPr>
        <w:t>Aimovig</w:t>
      </w:r>
      <w:proofErr w:type="spellEnd"/>
      <w:r w:rsidR="00111126">
        <w:rPr>
          <w:rFonts w:asciiTheme="minorHAnsi" w:eastAsiaTheme="minorHAnsi" w:hAnsiTheme="minorHAnsi"/>
        </w:rPr>
        <w:t>)</w:t>
      </w:r>
      <w:r w:rsidRPr="000A2F15">
        <w:rPr>
          <w:rFonts w:asciiTheme="minorHAnsi" w:eastAsiaTheme="minorHAnsi" w:hAnsiTheme="minorHAnsi"/>
        </w:rPr>
        <w:t>.</w:t>
      </w:r>
      <w:r>
        <w:rPr>
          <w:rFonts w:asciiTheme="minorHAnsi" w:eastAsiaTheme="minorHAnsi" w:hAnsiTheme="minorHAnsi"/>
        </w:rPr>
        <w:t xml:space="preserve"> </w:t>
      </w:r>
      <w:proofErr w:type="spellStart"/>
      <w:r w:rsidRPr="0007206D">
        <w:rPr>
          <w:rFonts w:asciiTheme="minorHAnsi" w:eastAsiaTheme="minorHAnsi" w:hAnsiTheme="minorHAnsi"/>
        </w:rPr>
        <w:t>Galcanezumab</w:t>
      </w:r>
      <w:proofErr w:type="spellEnd"/>
      <w:r w:rsidRPr="0007206D">
        <w:rPr>
          <w:rFonts w:asciiTheme="minorHAnsi" w:eastAsiaTheme="minorHAnsi" w:hAnsiTheme="minorHAnsi"/>
        </w:rPr>
        <w:t xml:space="preserve"> binds to the CGRP ligand, whereas </w:t>
      </w:r>
      <w:proofErr w:type="spellStart"/>
      <w:r w:rsidRPr="0007206D">
        <w:rPr>
          <w:rFonts w:asciiTheme="minorHAnsi" w:eastAsiaTheme="minorHAnsi" w:hAnsiTheme="minorHAnsi"/>
        </w:rPr>
        <w:t>erenumab</w:t>
      </w:r>
      <w:proofErr w:type="spellEnd"/>
      <w:r w:rsidRPr="0007206D">
        <w:rPr>
          <w:rFonts w:asciiTheme="minorHAnsi" w:eastAsiaTheme="minorHAnsi" w:hAnsiTheme="minorHAnsi"/>
        </w:rPr>
        <w:t xml:space="preserve"> binds to the CGRP receptor.</w:t>
      </w:r>
    </w:p>
    <w:p w14:paraId="157345C2" w14:textId="77777777" w:rsidR="008E7846" w:rsidRPr="003F31A2" w:rsidRDefault="00386150" w:rsidP="00572B43">
      <w:pPr>
        <w:pStyle w:val="Heading3"/>
      </w:pPr>
      <w:bookmarkStart w:id="18" w:name="_Toc20822159"/>
      <w:r>
        <w:t>Regulatory s</w:t>
      </w:r>
      <w:r w:rsidR="008E7846">
        <w:t>tatus</w:t>
      </w:r>
      <w:bookmarkEnd w:id="16"/>
      <w:bookmarkEnd w:id="17"/>
      <w:bookmarkEnd w:id="18"/>
    </w:p>
    <w:p w14:paraId="0247DB27" w14:textId="77777777" w:rsidR="00940A89" w:rsidRDefault="00940A89" w:rsidP="00940A89">
      <w:bookmarkStart w:id="19" w:name="_Toc247691505"/>
      <w:bookmarkStart w:id="20" w:name="_Toc314842486"/>
      <w:r w:rsidRPr="00940A89">
        <w:t>The product received initial registration on the Australian Register of Therapeutic Goods (ARTG) on</w:t>
      </w:r>
      <w:r w:rsidR="001C15F7">
        <w:t xml:space="preserve"> 28 May 2019.</w:t>
      </w:r>
    </w:p>
    <w:p w14:paraId="19AF1913" w14:textId="38DC0B35" w:rsidR="00940A89" w:rsidRDefault="00940A89" w:rsidP="00940A89">
      <w:r w:rsidRPr="00940A89">
        <w:t>At the time the TGA</w:t>
      </w:r>
      <w:r w:rsidR="001C15F7">
        <w:t xml:space="preserve"> considered this application, </w:t>
      </w:r>
      <w:r w:rsidR="00AD21A4">
        <w:t xml:space="preserve">a similar application had been approved in </w:t>
      </w:r>
      <w:r w:rsidR="00C61092">
        <w:t>the European Union (</w:t>
      </w:r>
      <w:r w:rsidR="00AD21A4">
        <w:t>EU</w:t>
      </w:r>
      <w:r w:rsidR="00C61092">
        <w:t xml:space="preserve">), under the </w:t>
      </w:r>
      <w:r w:rsidR="00AD21A4">
        <w:t>centralised</w:t>
      </w:r>
      <w:r w:rsidR="00C61092">
        <w:t xml:space="preserve"> procedure on</w:t>
      </w:r>
      <w:r w:rsidR="00AD21A4">
        <w:t xml:space="preserve"> 14 November 2018 and </w:t>
      </w:r>
      <w:r w:rsidR="00C61092">
        <w:t>in the United States of America (</w:t>
      </w:r>
      <w:r w:rsidR="00CD0A73">
        <w:t>USA</w:t>
      </w:r>
      <w:r w:rsidR="00C61092">
        <w:t>) on</w:t>
      </w:r>
      <w:r w:rsidR="00AD21A4">
        <w:t>27 September 2018</w:t>
      </w:r>
      <w:r w:rsidR="007F1E71">
        <w:t xml:space="preserve"> (see </w:t>
      </w:r>
      <w:r w:rsidR="007F1E71">
        <w:fldChar w:fldCharType="begin"/>
      </w:r>
      <w:r w:rsidR="007F1E71">
        <w:instrText xml:space="preserve"> REF _Ref19012544 \h </w:instrText>
      </w:r>
      <w:r w:rsidR="007F1E71">
        <w:fldChar w:fldCharType="separate"/>
      </w:r>
      <w:r w:rsidR="007F1E71">
        <w:t xml:space="preserve">Table </w:t>
      </w:r>
      <w:r w:rsidR="007F1E71">
        <w:rPr>
          <w:noProof/>
        </w:rPr>
        <w:t>1</w:t>
      </w:r>
      <w:r w:rsidR="007F1E71">
        <w:fldChar w:fldCharType="end"/>
      </w:r>
      <w:r w:rsidR="00B04AD1">
        <w:t>)</w:t>
      </w:r>
      <w:r w:rsidR="00AD21A4">
        <w:t xml:space="preserve">. </w:t>
      </w:r>
      <w:r w:rsidR="00485D7B">
        <w:t>An a</w:t>
      </w:r>
      <w:r w:rsidR="001C15F7">
        <w:t>pplication to register</w:t>
      </w:r>
      <w:r w:rsidR="00B04AD1">
        <w:t xml:space="preserve"> </w:t>
      </w:r>
      <w:proofErr w:type="spellStart"/>
      <w:r w:rsidR="00775D3F">
        <w:t>Emgality</w:t>
      </w:r>
      <w:proofErr w:type="spellEnd"/>
      <w:r w:rsidR="00894068">
        <w:t xml:space="preserve"> </w:t>
      </w:r>
      <w:r w:rsidR="00485D7B">
        <w:t xml:space="preserve">was </w:t>
      </w:r>
      <w:r w:rsidR="001C15F7">
        <w:t>u</w:t>
      </w:r>
      <w:r w:rsidR="00CD0A73">
        <w:t>nder evaluation in</w:t>
      </w:r>
      <w:r w:rsidR="001C15F7">
        <w:t xml:space="preserve"> Switzerland</w:t>
      </w:r>
      <w:r w:rsidR="00AD21A4">
        <w:t>.</w:t>
      </w:r>
      <w:bookmarkStart w:id="21" w:name="_Ref14965140"/>
      <w:r w:rsidR="00FA7E60">
        <w:rPr>
          <w:rStyle w:val="FootnoteReference"/>
        </w:rPr>
        <w:footnoteReference w:id="2"/>
      </w:r>
      <w:bookmarkEnd w:id="21"/>
    </w:p>
    <w:p w14:paraId="6D61A054" w14:textId="71DA4BB7" w:rsidR="00C46409" w:rsidRDefault="007F1E71" w:rsidP="007F1E71">
      <w:pPr>
        <w:pStyle w:val="TableTitle"/>
      </w:pPr>
      <w:bookmarkStart w:id="22" w:name="_Ref19012544"/>
      <w:r>
        <w:t xml:space="preserve">Table </w:t>
      </w:r>
      <w:fldSimple w:instr=" SEQ Table \* ARABIC ">
        <w:r>
          <w:rPr>
            <w:noProof/>
          </w:rPr>
          <w:t>1</w:t>
        </w:r>
      </w:fldSimple>
      <w:bookmarkEnd w:id="22"/>
      <w:r w:rsidR="00C46409">
        <w:t>: Foreign regulatory status of similar applications as of 18 March 2019</w:t>
      </w:r>
    </w:p>
    <w:tbl>
      <w:tblPr>
        <w:tblStyle w:val="TableTGAblue"/>
        <w:tblW w:w="0" w:type="auto"/>
        <w:tblLook w:val="04A0" w:firstRow="1" w:lastRow="0" w:firstColumn="1" w:lastColumn="0" w:noHBand="0" w:noVBand="1"/>
      </w:tblPr>
      <w:tblGrid>
        <w:gridCol w:w="1602"/>
        <w:gridCol w:w="1224"/>
        <w:gridCol w:w="1906"/>
        <w:gridCol w:w="3641"/>
      </w:tblGrid>
      <w:tr w:rsidR="00C46409" w:rsidRPr="00C46409" w14:paraId="24C6859A" w14:textId="77777777" w:rsidTr="003C76F3">
        <w:trPr>
          <w:cnfStyle w:val="100000000000" w:firstRow="1" w:lastRow="0" w:firstColumn="0" w:lastColumn="0" w:oddVBand="0" w:evenVBand="0" w:oddHBand="0" w:evenHBand="0" w:firstRowFirstColumn="0" w:firstRowLastColumn="0" w:lastRowFirstColumn="0" w:lastRowLastColumn="0"/>
          <w:trHeight w:val="475"/>
        </w:trPr>
        <w:tc>
          <w:tcPr>
            <w:tcW w:w="1602" w:type="dxa"/>
          </w:tcPr>
          <w:p w14:paraId="5550B0B9" w14:textId="77777777" w:rsidR="00C46409" w:rsidRPr="00C46409" w:rsidRDefault="00C46409" w:rsidP="00C46409">
            <w:pPr>
              <w:ind w:left="0" w:right="0"/>
              <w:rPr>
                <w:sz w:val="20"/>
                <w:szCs w:val="20"/>
              </w:rPr>
            </w:pPr>
            <w:r w:rsidRPr="00C46409">
              <w:rPr>
                <w:sz w:val="20"/>
                <w:szCs w:val="20"/>
              </w:rPr>
              <w:t>Region</w:t>
            </w:r>
          </w:p>
        </w:tc>
        <w:tc>
          <w:tcPr>
            <w:tcW w:w="1224" w:type="dxa"/>
          </w:tcPr>
          <w:p w14:paraId="13988CF1" w14:textId="77777777" w:rsidR="00C46409" w:rsidRPr="00C46409" w:rsidRDefault="00D75F01" w:rsidP="00C46409">
            <w:pPr>
              <w:ind w:left="0" w:right="0"/>
              <w:rPr>
                <w:sz w:val="20"/>
                <w:szCs w:val="20"/>
              </w:rPr>
            </w:pPr>
            <w:r>
              <w:rPr>
                <w:sz w:val="20"/>
                <w:szCs w:val="20"/>
              </w:rPr>
              <w:t>Submitted</w:t>
            </w:r>
          </w:p>
        </w:tc>
        <w:tc>
          <w:tcPr>
            <w:tcW w:w="1906" w:type="dxa"/>
          </w:tcPr>
          <w:p w14:paraId="5E63A3F5" w14:textId="77777777" w:rsidR="00C46409" w:rsidRPr="00C46409" w:rsidRDefault="00D75F01" w:rsidP="00C46409">
            <w:pPr>
              <w:ind w:left="0" w:right="0"/>
              <w:rPr>
                <w:sz w:val="20"/>
                <w:szCs w:val="20"/>
              </w:rPr>
            </w:pPr>
            <w:r>
              <w:rPr>
                <w:sz w:val="20"/>
                <w:szCs w:val="20"/>
              </w:rPr>
              <w:t>Status</w:t>
            </w:r>
          </w:p>
        </w:tc>
        <w:tc>
          <w:tcPr>
            <w:tcW w:w="3641" w:type="dxa"/>
          </w:tcPr>
          <w:p w14:paraId="2F95E6DD" w14:textId="77777777" w:rsidR="00C46409" w:rsidRPr="00C46409" w:rsidRDefault="00C46409" w:rsidP="00C46409">
            <w:pPr>
              <w:ind w:left="0" w:right="0"/>
              <w:rPr>
                <w:sz w:val="20"/>
                <w:szCs w:val="20"/>
              </w:rPr>
            </w:pPr>
            <w:r w:rsidRPr="00C46409">
              <w:rPr>
                <w:sz w:val="20"/>
                <w:szCs w:val="20"/>
              </w:rPr>
              <w:t>Indication</w:t>
            </w:r>
          </w:p>
        </w:tc>
      </w:tr>
      <w:tr w:rsidR="00C46409" w:rsidRPr="00C46409" w14:paraId="5F297FEF" w14:textId="77777777" w:rsidTr="003C76F3">
        <w:trPr>
          <w:trHeight w:val="691"/>
        </w:trPr>
        <w:tc>
          <w:tcPr>
            <w:tcW w:w="1602" w:type="dxa"/>
          </w:tcPr>
          <w:p w14:paraId="6F002C33" w14:textId="77777777" w:rsidR="00C46409" w:rsidRPr="00C46409" w:rsidRDefault="00C46409" w:rsidP="00C46409">
            <w:pPr>
              <w:ind w:left="0" w:right="0"/>
              <w:rPr>
                <w:sz w:val="20"/>
                <w:szCs w:val="20"/>
              </w:rPr>
            </w:pPr>
            <w:r w:rsidRPr="00C46409">
              <w:rPr>
                <w:sz w:val="20"/>
                <w:szCs w:val="20"/>
              </w:rPr>
              <w:t>EU (centralised)</w:t>
            </w:r>
          </w:p>
        </w:tc>
        <w:tc>
          <w:tcPr>
            <w:tcW w:w="1224" w:type="dxa"/>
          </w:tcPr>
          <w:p w14:paraId="74AC96C3" w14:textId="77777777" w:rsidR="00C46409" w:rsidRPr="00C46409" w:rsidRDefault="00D75F01" w:rsidP="00C46409">
            <w:pPr>
              <w:ind w:left="0" w:right="0"/>
              <w:rPr>
                <w:sz w:val="20"/>
                <w:szCs w:val="20"/>
              </w:rPr>
            </w:pPr>
            <w:r>
              <w:rPr>
                <w:sz w:val="20"/>
                <w:szCs w:val="20"/>
              </w:rPr>
              <w:t>26 October 2017</w:t>
            </w:r>
          </w:p>
        </w:tc>
        <w:tc>
          <w:tcPr>
            <w:tcW w:w="1906" w:type="dxa"/>
          </w:tcPr>
          <w:p w14:paraId="1C20A8F5" w14:textId="77777777" w:rsidR="00C46409" w:rsidRPr="00C46409" w:rsidRDefault="00C46409" w:rsidP="00C46409">
            <w:pPr>
              <w:ind w:left="0" w:right="0"/>
              <w:rPr>
                <w:sz w:val="20"/>
                <w:szCs w:val="20"/>
              </w:rPr>
            </w:pPr>
            <w:r w:rsidRPr="00C46409">
              <w:rPr>
                <w:sz w:val="20"/>
                <w:szCs w:val="20"/>
              </w:rPr>
              <w:t>14 November 2018</w:t>
            </w:r>
          </w:p>
        </w:tc>
        <w:tc>
          <w:tcPr>
            <w:tcW w:w="3641" w:type="dxa"/>
          </w:tcPr>
          <w:p w14:paraId="2BFE8B0F" w14:textId="77777777" w:rsidR="00C46409" w:rsidRPr="00B17704" w:rsidRDefault="00C46409" w:rsidP="00C46409">
            <w:pPr>
              <w:autoSpaceDE w:val="0"/>
              <w:autoSpaceDN w:val="0"/>
              <w:adjustRightInd w:val="0"/>
              <w:spacing w:before="0" w:after="0" w:line="240" w:lineRule="auto"/>
              <w:ind w:left="0" w:right="0"/>
              <w:rPr>
                <w:rFonts w:eastAsiaTheme="minorHAnsi"/>
                <w:i/>
                <w:sz w:val="20"/>
                <w:szCs w:val="20"/>
              </w:rPr>
            </w:pPr>
            <w:proofErr w:type="spellStart"/>
            <w:r w:rsidRPr="00B17704">
              <w:rPr>
                <w:rFonts w:eastAsiaTheme="minorHAnsi"/>
                <w:i/>
                <w:sz w:val="20"/>
                <w:szCs w:val="20"/>
              </w:rPr>
              <w:t>Emgality</w:t>
            </w:r>
            <w:proofErr w:type="spellEnd"/>
            <w:r w:rsidRPr="00B17704">
              <w:rPr>
                <w:rFonts w:eastAsiaTheme="minorHAnsi"/>
                <w:i/>
                <w:sz w:val="20"/>
                <w:szCs w:val="20"/>
              </w:rPr>
              <w:t xml:space="preserve"> is indicated for the prophylaxis of migraine in adults who have at least 4 migraine days per month.</w:t>
            </w:r>
          </w:p>
        </w:tc>
      </w:tr>
      <w:tr w:rsidR="00C46409" w:rsidRPr="00C46409" w14:paraId="652D5911" w14:textId="77777777" w:rsidTr="003C76F3">
        <w:trPr>
          <w:trHeight w:val="464"/>
        </w:trPr>
        <w:tc>
          <w:tcPr>
            <w:tcW w:w="1602" w:type="dxa"/>
          </w:tcPr>
          <w:p w14:paraId="561DEA96" w14:textId="77777777" w:rsidR="00C46409" w:rsidRPr="00C46409" w:rsidRDefault="00C46409" w:rsidP="00C46409">
            <w:pPr>
              <w:ind w:left="0" w:right="0"/>
              <w:rPr>
                <w:sz w:val="20"/>
                <w:szCs w:val="20"/>
              </w:rPr>
            </w:pPr>
            <w:r w:rsidRPr="00C46409">
              <w:rPr>
                <w:sz w:val="20"/>
                <w:szCs w:val="20"/>
              </w:rPr>
              <w:t>USA</w:t>
            </w:r>
          </w:p>
        </w:tc>
        <w:tc>
          <w:tcPr>
            <w:tcW w:w="1224" w:type="dxa"/>
          </w:tcPr>
          <w:p w14:paraId="54BD5282" w14:textId="77777777" w:rsidR="00C46409" w:rsidRPr="00C46409" w:rsidRDefault="00D75F01" w:rsidP="00C46409">
            <w:pPr>
              <w:ind w:left="0" w:right="0"/>
              <w:rPr>
                <w:sz w:val="20"/>
                <w:szCs w:val="20"/>
              </w:rPr>
            </w:pPr>
            <w:r>
              <w:rPr>
                <w:sz w:val="20"/>
                <w:szCs w:val="20"/>
              </w:rPr>
              <w:t>27 September 2017</w:t>
            </w:r>
          </w:p>
        </w:tc>
        <w:tc>
          <w:tcPr>
            <w:tcW w:w="1906" w:type="dxa"/>
          </w:tcPr>
          <w:p w14:paraId="7E133325" w14:textId="77777777" w:rsidR="00C46409" w:rsidRPr="00C46409" w:rsidRDefault="00C46409" w:rsidP="00C46409">
            <w:pPr>
              <w:ind w:left="0" w:right="0"/>
              <w:rPr>
                <w:sz w:val="20"/>
                <w:szCs w:val="20"/>
              </w:rPr>
            </w:pPr>
            <w:r w:rsidRPr="00C46409">
              <w:rPr>
                <w:sz w:val="20"/>
                <w:szCs w:val="20"/>
              </w:rPr>
              <w:t>27 September 2018</w:t>
            </w:r>
          </w:p>
        </w:tc>
        <w:tc>
          <w:tcPr>
            <w:tcW w:w="3641" w:type="dxa"/>
          </w:tcPr>
          <w:p w14:paraId="419DFE30" w14:textId="77777777" w:rsidR="00C46409" w:rsidRPr="00B17704" w:rsidRDefault="00C46409" w:rsidP="00C46409">
            <w:pPr>
              <w:autoSpaceDE w:val="0"/>
              <w:autoSpaceDN w:val="0"/>
              <w:adjustRightInd w:val="0"/>
              <w:spacing w:before="0" w:after="0" w:line="240" w:lineRule="auto"/>
              <w:ind w:left="0" w:right="0"/>
              <w:rPr>
                <w:rFonts w:eastAsiaTheme="minorHAnsi"/>
                <w:i/>
                <w:sz w:val="20"/>
                <w:szCs w:val="20"/>
              </w:rPr>
            </w:pPr>
            <w:proofErr w:type="spellStart"/>
            <w:r w:rsidRPr="00B17704">
              <w:rPr>
                <w:rFonts w:eastAsiaTheme="minorHAnsi"/>
                <w:i/>
                <w:sz w:val="20"/>
                <w:szCs w:val="20"/>
              </w:rPr>
              <w:t>Emgality</w:t>
            </w:r>
            <w:proofErr w:type="spellEnd"/>
            <w:r w:rsidRPr="00B17704">
              <w:rPr>
                <w:rFonts w:eastAsiaTheme="minorHAnsi"/>
                <w:i/>
                <w:sz w:val="20"/>
                <w:szCs w:val="20"/>
              </w:rPr>
              <w:t xml:space="preserve"> is indicated for the preventive treatment of migraine in adults.</w:t>
            </w:r>
          </w:p>
        </w:tc>
      </w:tr>
      <w:tr w:rsidR="00C46409" w:rsidRPr="00C46409" w14:paraId="5EBD1170" w14:textId="77777777" w:rsidTr="003C76F3">
        <w:trPr>
          <w:trHeight w:val="475"/>
        </w:trPr>
        <w:tc>
          <w:tcPr>
            <w:tcW w:w="1602" w:type="dxa"/>
          </w:tcPr>
          <w:p w14:paraId="34FD47FA" w14:textId="77777777" w:rsidR="00C46409" w:rsidRPr="00C46409" w:rsidRDefault="00C46409" w:rsidP="00C46409">
            <w:pPr>
              <w:ind w:left="0" w:right="0"/>
              <w:rPr>
                <w:sz w:val="20"/>
                <w:szCs w:val="20"/>
              </w:rPr>
            </w:pPr>
            <w:r w:rsidRPr="00C46409">
              <w:rPr>
                <w:sz w:val="20"/>
                <w:szCs w:val="20"/>
              </w:rPr>
              <w:t>Switzerland</w:t>
            </w:r>
          </w:p>
        </w:tc>
        <w:tc>
          <w:tcPr>
            <w:tcW w:w="1224" w:type="dxa"/>
          </w:tcPr>
          <w:p w14:paraId="73BF22ED" w14:textId="77777777" w:rsidR="00C46409" w:rsidRPr="00C46409" w:rsidRDefault="00D75F01" w:rsidP="00C46409">
            <w:pPr>
              <w:ind w:left="0" w:right="0"/>
              <w:rPr>
                <w:sz w:val="20"/>
                <w:szCs w:val="20"/>
              </w:rPr>
            </w:pPr>
            <w:r>
              <w:rPr>
                <w:sz w:val="20"/>
                <w:szCs w:val="20"/>
              </w:rPr>
              <w:t>11 January 2018</w:t>
            </w:r>
          </w:p>
        </w:tc>
        <w:tc>
          <w:tcPr>
            <w:tcW w:w="1906" w:type="dxa"/>
          </w:tcPr>
          <w:p w14:paraId="06ABC787" w14:textId="3436EAC1" w:rsidR="00C46409" w:rsidRPr="00C46409" w:rsidRDefault="002C724F" w:rsidP="00FA7E60">
            <w:pPr>
              <w:ind w:left="0" w:right="0"/>
              <w:rPr>
                <w:sz w:val="20"/>
                <w:szCs w:val="20"/>
              </w:rPr>
            </w:pPr>
            <w:r>
              <w:rPr>
                <w:sz w:val="20"/>
                <w:szCs w:val="20"/>
              </w:rPr>
              <w:t>Under review</w:t>
            </w:r>
            <w:r w:rsidR="00FA7E60">
              <w:rPr>
                <w:sz w:val="20"/>
                <w:szCs w:val="20"/>
              </w:rPr>
              <w:fldChar w:fldCharType="begin"/>
            </w:r>
            <w:r w:rsidR="00FA7E60">
              <w:rPr>
                <w:sz w:val="20"/>
                <w:szCs w:val="20"/>
              </w:rPr>
              <w:instrText xml:space="preserve"> NOTEREF _Ref14965140 \f \h </w:instrText>
            </w:r>
            <w:r w:rsidR="00FA7E60">
              <w:rPr>
                <w:sz w:val="20"/>
                <w:szCs w:val="20"/>
              </w:rPr>
            </w:r>
            <w:r w:rsidR="00FA7E60">
              <w:rPr>
                <w:sz w:val="20"/>
                <w:szCs w:val="20"/>
              </w:rPr>
              <w:fldChar w:fldCharType="separate"/>
            </w:r>
            <w:r w:rsidR="00FA7E60" w:rsidRPr="00CD0A73">
              <w:rPr>
                <w:rStyle w:val="FootnoteReference"/>
                <w:szCs w:val="22"/>
              </w:rPr>
              <w:t>1</w:t>
            </w:r>
            <w:r w:rsidR="00FA7E60">
              <w:rPr>
                <w:sz w:val="20"/>
                <w:szCs w:val="20"/>
              </w:rPr>
              <w:fldChar w:fldCharType="end"/>
            </w:r>
          </w:p>
        </w:tc>
        <w:tc>
          <w:tcPr>
            <w:tcW w:w="3641" w:type="dxa"/>
          </w:tcPr>
          <w:p w14:paraId="0712290A" w14:textId="77777777" w:rsidR="00C46409" w:rsidRPr="00C46409" w:rsidRDefault="00C46409" w:rsidP="00C46409">
            <w:pPr>
              <w:ind w:left="0" w:right="0"/>
              <w:rPr>
                <w:sz w:val="20"/>
                <w:szCs w:val="20"/>
              </w:rPr>
            </w:pPr>
          </w:p>
        </w:tc>
      </w:tr>
    </w:tbl>
    <w:p w14:paraId="05825698" w14:textId="77777777" w:rsidR="008E7846" w:rsidRDefault="008E7846" w:rsidP="00572B43">
      <w:pPr>
        <w:pStyle w:val="Heading3"/>
      </w:pPr>
      <w:bookmarkStart w:id="23" w:name="_Toc20822160"/>
      <w:r>
        <w:lastRenderedPageBreak/>
        <w:t>Product Information</w:t>
      </w:r>
      <w:bookmarkEnd w:id="19"/>
      <w:bookmarkEnd w:id="20"/>
      <w:bookmarkEnd w:id="23"/>
    </w:p>
    <w:p w14:paraId="7440B219" w14:textId="77777777" w:rsidR="00940A89" w:rsidRDefault="006136D7" w:rsidP="00940A89">
      <w:bookmarkStart w:id="24" w:name="_Toc247691506"/>
      <w:bookmarkStart w:id="25"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8" w:history="1">
        <w:r w:rsidR="00441C3F" w:rsidRPr="00441C3F">
          <w:rPr>
            <w:rStyle w:val="Hyperlink"/>
          </w:rPr>
          <w:t>https://www.tga.gov.au/product-information-pi</w:t>
        </w:r>
      </w:hyperlink>
      <w:r w:rsidR="00441C3F">
        <w:t>&gt;</w:t>
      </w:r>
      <w:r w:rsidR="00940A89" w:rsidRPr="00940A89">
        <w:t>.</w:t>
      </w:r>
    </w:p>
    <w:p w14:paraId="70FD61B7" w14:textId="77777777" w:rsidR="00500337" w:rsidRDefault="00500337" w:rsidP="00500337">
      <w:pPr>
        <w:pStyle w:val="Heading2"/>
      </w:pPr>
      <w:bookmarkStart w:id="26" w:name="_Toc504480011"/>
      <w:bookmarkStart w:id="27" w:name="_Toc20822161"/>
      <w:r>
        <w:t>II. Registration time line</w:t>
      </w:r>
      <w:bookmarkEnd w:id="26"/>
      <w:bookmarkEnd w:id="27"/>
    </w:p>
    <w:p w14:paraId="439A9467" w14:textId="7B08AC0D" w:rsidR="00500337" w:rsidRDefault="007F1E71" w:rsidP="00500337">
      <w:r>
        <w:fldChar w:fldCharType="begin"/>
      </w:r>
      <w:r>
        <w:instrText xml:space="preserve"> REF _Ref19012572 \h </w:instrText>
      </w:r>
      <w:r>
        <w:fldChar w:fldCharType="separate"/>
      </w:r>
      <w:r>
        <w:t xml:space="preserve">Table </w:t>
      </w:r>
      <w:r>
        <w:rPr>
          <w:noProof/>
        </w:rPr>
        <w:t>2</w:t>
      </w:r>
      <w:r>
        <w:fldChar w:fldCharType="end"/>
      </w:r>
      <w:r w:rsidR="00500337">
        <w:t xml:space="preserve"> captures the key steps and dates for this application and which are detailed and discussed in this </w:t>
      </w:r>
      <w:proofErr w:type="spellStart"/>
      <w:r w:rsidR="00500337">
        <w:t>AusPAR</w:t>
      </w:r>
      <w:proofErr w:type="spellEnd"/>
      <w:r w:rsidR="0074165D">
        <w:t>.</w:t>
      </w:r>
    </w:p>
    <w:p w14:paraId="1C3C150D" w14:textId="54B4402B" w:rsidR="00500337" w:rsidRPr="00377BD4" w:rsidRDefault="007F1E71" w:rsidP="007F1E71">
      <w:pPr>
        <w:pStyle w:val="TableTitle"/>
      </w:pPr>
      <w:bookmarkStart w:id="28" w:name="_Ref19012572"/>
      <w:r>
        <w:t xml:space="preserve">Table </w:t>
      </w:r>
      <w:fldSimple w:instr=" SEQ Table \* ARABIC ">
        <w:r>
          <w:rPr>
            <w:noProof/>
          </w:rPr>
          <w:t>2</w:t>
        </w:r>
      </w:fldSimple>
      <w:bookmarkEnd w:id="28"/>
      <w:r>
        <w:t>:</w:t>
      </w:r>
      <w:r w:rsidR="006A58A8" w:rsidRPr="006A58A8">
        <w:t xml:space="preserve"> Timeline for Submission PM-</w:t>
      </w:r>
      <w:r w:rsidR="005211E9">
        <w:t>2018-00780-1-1</w:t>
      </w:r>
    </w:p>
    <w:tbl>
      <w:tblPr>
        <w:tblStyle w:val="TableTGAblue"/>
        <w:tblW w:w="0" w:type="auto"/>
        <w:tblLook w:val="04A0" w:firstRow="1" w:lastRow="0" w:firstColumn="1" w:lastColumn="0" w:noHBand="0" w:noVBand="1"/>
      </w:tblPr>
      <w:tblGrid>
        <w:gridCol w:w="5211"/>
        <w:gridCol w:w="2653"/>
      </w:tblGrid>
      <w:tr w:rsidR="00500337" w14:paraId="2A1BA2FB" w14:textId="77777777" w:rsidTr="00894068">
        <w:trPr>
          <w:cnfStyle w:val="100000000000" w:firstRow="1" w:lastRow="0" w:firstColumn="0" w:lastColumn="0" w:oddVBand="0" w:evenVBand="0" w:oddHBand="0" w:evenHBand="0" w:firstRowFirstColumn="0" w:firstRowLastColumn="0" w:lastRowFirstColumn="0" w:lastRowLastColumn="0"/>
          <w:cantSplit/>
          <w:trHeight w:val="506"/>
        </w:trPr>
        <w:tc>
          <w:tcPr>
            <w:tcW w:w="5211" w:type="dxa"/>
          </w:tcPr>
          <w:p w14:paraId="48006133" w14:textId="77777777" w:rsidR="00500337" w:rsidRDefault="00500337" w:rsidP="00500337">
            <w:pPr>
              <w:ind w:left="0" w:right="0"/>
            </w:pPr>
            <w:r>
              <w:t>Description</w:t>
            </w:r>
          </w:p>
        </w:tc>
        <w:tc>
          <w:tcPr>
            <w:tcW w:w="2653" w:type="dxa"/>
          </w:tcPr>
          <w:p w14:paraId="519DB453" w14:textId="77777777" w:rsidR="00500337" w:rsidRDefault="00500337" w:rsidP="00500337">
            <w:pPr>
              <w:ind w:left="0" w:right="0"/>
            </w:pPr>
            <w:r>
              <w:t>Date</w:t>
            </w:r>
          </w:p>
        </w:tc>
      </w:tr>
      <w:tr w:rsidR="00500337" w14:paraId="342E03C2" w14:textId="77777777" w:rsidTr="00894068">
        <w:trPr>
          <w:trHeight w:val="766"/>
        </w:trPr>
        <w:tc>
          <w:tcPr>
            <w:tcW w:w="5211" w:type="dxa"/>
          </w:tcPr>
          <w:p w14:paraId="01482DF6" w14:textId="77777777" w:rsidR="00500337" w:rsidRDefault="00500337" w:rsidP="00500337">
            <w:pPr>
              <w:ind w:left="0" w:right="0"/>
            </w:pPr>
            <w:r>
              <w:t>Submission dossier accepted and first round evaluation commenced</w:t>
            </w:r>
          </w:p>
        </w:tc>
        <w:tc>
          <w:tcPr>
            <w:tcW w:w="2653" w:type="dxa"/>
          </w:tcPr>
          <w:p w14:paraId="4917E160" w14:textId="77777777" w:rsidR="00500337" w:rsidRDefault="005211E9" w:rsidP="00500337">
            <w:pPr>
              <w:ind w:left="0" w:right="0"/>
            </w:pPr>
            <w:r>
              <w:t>31 May 2018</w:t>
            </w:r>
          </w:p>
        </w:tc>
      </w:tr>
      <w:tr w:rsidR="00500337" w14:paraId="4E06589E" w14:textId="77777777" w:rsidTr="00894068">
        <w:trPr>
          <w:trHeight w:val="506"/>
        </w:trPr>
        <w:tc>
          <w:tcPr>
            <w:tcW w:w="5211" w:type="dxa"/>
          </w:tcPr>
          <w:p w14:paraId="6452ED49" w14:textId="77777777" w:rsidR="00500337" w:rsidRDefault="00500337" w:rsidP="00500337">
            <w:pPr>
              <w:ind w:left="0" w:right="0"/>
            </w:pPr>
            <w:r>
              <w:t>First round evaluation completed</w:t>
            </w:r>
          </w:p>
        </w:tc>
        <w:tc>
          <w:tcPr>
            <w:tcW w:w="2653" w:type="dxa"/>
          </w:tcPr>
          <w:p w14:paraId="5C65F21E" w14:textId="77777777" w:rsidR="00500337" w:rsidRDefault="005211E9" w:rsidP="00500337">
            <w:pPr>
              <w:ind w:left="0" w:right="0"/>
            </w:pPr>
            <w:r>
              <w:t>31 October 2018</w:t>
            </w:r>
          </w:p>
        </w:tc>
      </w:tr>
      <w:tr w:rsidR="00500337" w14:paraId="6142AC7F" w14:textId="77777777" w:rsidTr="00894068">
        <w:trPr>
          <w:trHeight w:val="777"/>
        </w:trPr>
        <w:tc>
          <w:tcPr>
            <w:tcW w:w="5211" w:type="dxa"/>
          </w:tcPr>
          <w:p w14:paraId="64827891" w14:textId="77777777" w:rsidR="00500337" w:rsidRDefault="00500337" w:rsidP="00500337">
            <w:pPr>
              <w:ind w:left="0" w:right="0"/>
            </w:pPr>
            <w:r>
              <w:t>Sponsor provides responses on questions raised in first round evaluation</w:t>
            </w:r>
          </w:p>
        </w:tc>
        <w:tc>
          <w:tcPr>
            <w:tcW w:w="2653" w:type="dxa"/>
          </w:tcPr>
          <w:p w14:paraId="7C584457" w14:textId="77777777" w:rsidR="00500337" w:rsidRDefault="005211E9" w:rsidP="00500337">
            <w:pPr>
              <w:ind w:left="0" w:right="0"/>
            </w:pPr>
            <w:r>
              <w:t>20 December 2018</w:t>
            </w:r>
          </w:p>
        </w:tc>
      </w:tr>
      <w:tr w:rsidR="00500337" w14:paraId="0C8549CF" w14:textId="77777777" w:rsidTr="00894068">
        <w:trPr>
          <w:trHeight w:val="506"/>
        </w:trPr>
        <w:tc>
          <w:tcPr>
            <w:tcW w:w="5211" w:type="dxa"/>
          </w:tcPr>
          <w:p w14:paraId="55E07DBF" w14:textId="77777777" w:rsidR="00500337" w:rsidRDefault="00500337" w:rsidP="00500337">
            <w:pPr>
              <w:ind w:left="0" w:right="0"/>
            </w:pPr>
            <w:r>
              <w:t>Second round evaluation completed</w:t>
            </w:r>
          </w:p>
        </w:tc>
        <w:tc>
          <w:tcPr>
            <w:tcW w:w="2653" w:type="dxa"/>
          </w:tcPr>
          <w:p w14:paraId="2044DAA9" w14:textId="77777777" w:rsidR="00500337" w:rsidRDefault="005211E9" w:rsidP="00500337">
            <w:pPr>
              <w:ind w:left="0" w:right="0"/>
            </w:pPr>
            <w:r>
              <w:t>11 February 2019</w:t>
            </w:r>
          </w:p>
        </w:tc>
      </w:tr>
      <w:tr w:rsidR="00500337" w14:paraId="66615DDB" w14:textId="77777777" w:rsidTr="00894068">
        <w:trPr>
          <w:trHeight w:val="766"/>
        </w:trPr>
        <w:tc>
          <w:tcPr>
            <w:tcW w:w="5211" w:type="dxa"/>
          </w:tcPr>
          <w:p w14:paraId="706D3774" w14:textId="77777777" w:rsidR="00500337" w:rsidRDefault="00500337" w:rsidP="00500337">
            <w:pPr>
              <w:ind w:left="0" w:right="0"/>
            </w:pPr>
            <w:r>
              <w:t>Delegate’s Overall benefit-risk assessment and request for Advisory Committee advice</w:t>
            </w:r>
          </w:p>
        </w:tc>
        <w:tc>
          <w:tcPr>
            <w:tcW w:w="2653" w:type="dxa"/>
          </w:tcPr>
          <w:p w14:paraId="28F55241" w14:textId="77777777" w:rsidR="00500337" w:rsidRDefault="00D2414F" w:rsidP="00500337">
            <w:pPr>
              <w:ind w:left="0" w:right="0"/>
            </w:pPr>
            <w:r>
              <w:t>4 March 2019</w:t>
            </w:r>
          </w:p>
        </w:tc>
      </w:tr>
      <w:tr w:rsidR="00500337" w14:paraId="0E83B923" w14:textId="77777777" w:rsidTr="00894068">
        <w:trPr>
          <w:trHeight w:val="766"/>
        </w:trPr>
        <w:tc>
          <w:tcPr>
            <w:tcW w:w="5211" w:type="dxa"/>
          </w:tcPr>
          <w:p w14:paraId="405A7705" w14:textId="77777777" w:rsidR="00500337" w:rsidRDefault="00500337" w:rsidP="00500337">
            <w:pPr>
              <w:ind w:left="0" w:right="0"/>
            </w:pPr>
            <w:r>
              <w:t>Sponsor’s pre-Advisory Committee response</w:t>
            </w:r>
          </w:p>
        </w:tc>
        <w:tc>
          <w:tcPr>
            <w:tcW w:w="2653" w:type="dxa"/>
          </w:tcPr>
          <w:p w14:paraId="6994DA33" w14:textId="77777777" w:rsidR="00500337" w:rsidRDefault="00D2414F" w:rsidP="00500337">
            <w:pPr>
              <w:ind w:left="0" w:right="0"/>
            </w:pPr>
            <w:r>
              <w:t>13 March 2019</w:t>
            </w:r>
          </w:p>
        </w:tc>
      </w:tr>
      <w:tr w:rsidR="00500337" w14:paraId="47E3C54F" w14:textId="77777777" w:rsidTr="00894068">
        <w:trPr>
          <w:trHeight w:val="506"/>
        </w:trPr>
        <w:tc>
          <w:tcPr>
            <w:tcW w:w="5211" w:type="dxa"/>
          </w:tcPr>
          <w:p w14:paraId="6E6228B0" w14:textId="77777777" w:rsidR="00500337" w:rsidRDefault="00500337" w:rsidP="00500337">
            <w:pPr>
              <w:ind w:left="0" w:right="0"/>
            </w:pPr>
            <w:r>
              <w:t>Advisory Committee meeting</w:t>
            </w:r>
          </w:p>
        </w:tc>
        <w:tc>
          <w:tcPr>
            <w:tcW w:w="2653" w:type="dxa"/>
          </w:tcPr>
          <w:p w14:paraId="46BFD1E3" w14:textId="77777777" w:rsidR="00500337" w:rsidRDefault="00D2414F" w:rsidP="00500337">
            <w:pPr>
              <w:ind w:left="0" w:right="0"/>
            </w:pPr>
            <w:r>
              <w:t>5 April 2019</w:t>
            </w:r>
          </w:p>
        </w:tc>
      </w:tr>
      <w:tr w:rsidR="00500337" w14:paraId="65E613E6" w14:textId="77777777" w:rsidTr="00894068">
        <w:trPr>
          <w:trHeight w:val="506"/>
        </w:trPr>
        <w:tc>
          <w:tcPr>
            <w:tcW w:w="5211" w:type="dxa"/>
          </w:tcPr>
          <w:p w14:paraId="08154B5C" w14:textId="77777777" w:rsidR="00500337" w:rsidRDefault="00500337" w:rsidP="00500337">
            <w:pPr>
              <w:ind w:left="0" w:right="0"/>
            </w:pPr>
            <w:r>
              <w:t>Registration decision (Outcome)</w:t>
            </w:r>
          </w:p>
        </w:tc>
        <w:tc>
          <w:tcPr>
            <w:tcW w:w="2653" w:type="dxa"/>
          </w:tcPr>
          <w:p w14:paraId="33F8ABDD" w14:textId="77777777" w:rsidR="00500337" w:rsidRDefault="00D2414F" w:rsidP="00500337">
            <w:pPr>
              <w:ind w:left="0" w:right="0"/>
            </w:pPr>
            <w:r>
              <w:t>22 May 2019</w:t>
            </w:r>
          </w:p>
        </w:tc>
      </w:tr>
      <w:tr w:rsidR="00500337" w14:paraId="174B3682" w14:textId="77777777" w:rsidTr="00894068">
        <w:trPr>
          <w:trHeight w:val="777"/>
        </w:trPr>
        <w:tc>
          <w:tcPr>
            <w:tcW w:w="5211" w:type="dxa"/>
          </w:tcPr>
          <w:p w14:paraId="46965DDC" w14:textId="77777777" w:rsidR="00500337" w:rsidRDefault="00500337" w:rsidP="00500337">
            <w:pPr>
              <w:ind w:left="0" w:right="0"/>
            </w:pPr>
            <w:r>
              <w:t>Completion of administrative activities and registration on ARTG</w:t>
            </w:r>
          </w:p>
        </w:tc>
        <w:tc>
          <w:tcPr>
            <w:tcW w:w="2653" w:type="dxa"/>
          </w:tcPr>
          <w:p w14:paraId="119B8BB4" w14:textId="77777777" w:rsidR="00500337" w:rsidRDefault="00D2414F" w:rsidP="00500337">
            <w:pPr>
              <w:ind w:left="0" w:right="0"/>
            </w:pPr>
            <w:r>
              <w:t>28 May 2019</w:t>
            </w:r>
          </w:p>
        </w:tc>
      </w:tr>
      <w:tr w:rsidR="00500337" w14:paraId="693903BA" w14:textId="77777777" w:rsidTr="00894068">
        <w:trPr>
          <w:trHeight w:val="777"/>
        </w:trPr>
        <w:tc>
          <w:tcPr>
            <w:tcW w:w="5211" w:type="dxa"/>
          </w:tcPr>
          <w:p w14:paraId="3B76E2F5" w14:textId="77777777" w:rsidR="00500337" w:rsidRDefault="00500337" w:rsidP="00500337">
            <w:pPr>
              <w:ind w:left="0" w:right="0"/>
            </w:pPr>
            <w:r>
              <w:t>Number of working days from submission dossier acceptance to registration decision*</w:t>
            </w:r>
          </w:p>
        </w:tc>
        <w:tc>
          <w:tcPr>
            <w:tcW w:w="2653" w:type="dxa"/>
          </w:tcPr>
          <w:p w14:paraId="5AEDA0A7" w14:textId="77777777" w:rsidR="00500337" w:rsidRDefault="005211E9" w:rsidP="00500337">
            <w:pPr>
              <w:ind w:left="0" w:right="0"/>
            </w:pPr>
            <w:r>
              <w:t>208</w:t>
            </w:r>
          </w:p>
        </w:tc>
      </w:tr>
    </w:tbl>
    <w:p w14:paraId="4B50E756"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79C7B63D" w14:textId="77777777" w:rsidR="00500337" w:rsidRDefault="00500337" w:rsidP="00500337">
      <w:r>
        <w:t>Evaluations included under Quality findings and Nonclinical findings incorporate both the first and second round evaluations.</w:t>
      </w:r>
    </w:p>
    <w:p w14:paraId="7DA746DB" w14:textId="77777777" w:rsidR="00500337" w:rsidRDefault="00775D3F" w:rsidP="00500337">
      <w:r>
        <w:t xml:space="preserve">TGA guidance at pre </w:t>
      </w:r>
      <w:r w:rsidR="00500337" w:rsidRPr="00F0221F">
        <w:t>submission meetings is nonbinding and without prejudice.</w:t>
      </w:r>
    </w:p>
    <w:p w14:paraId="155633C6" w14:textId="77777777" w:rsidR="008E7846" w:rsidRPr="003602A9" w:rsidRDefault="00500337" w:rsidP="008E7846">
      <w:pPr>
        <w:pStyle w:val="Heading2"/>
        <w:ind w:left="-11"/>
      </w:pPr>
      <w:bookmarkStart w:id="29" w:name="_Toc20822162"/>
      <w:r>
        <w:lastRenderedPageBreak/>
        <w:t>I</w:t>
      </w:r>
      <w:r w:rsidR="008E7846">
        <w:t>II. Quality</w:t>
      </w:r>
      <w:bookmarkEnd w:id="2"/>
      <w:r w:rsidR="008E7846">
        <w:t xml:space="preserve"> findings</w:t>
      </w:r>
      <w:bookmarkEnd w:id="24"/>
      <w:bookmarkEnd w:id="25"/>
      <w:bookmarkEnd w:id="29"/>
    </w:p>
    <w:p w14:paraId="270D0248" w14:textId="247721D5" w:rsidR="008E7846" w:rsidRDefault="008E7846" w:rsidP="00940A89">
      <w:pPr>
        <w:pStyle w:val="Heading3"/>
      </w:pPr>
      <w:bookmarkStart w:id="30" w:name="_Toc247691507"/>
      <w:bookmarkStart w:id="31" w:name="_Toc314842488"/>
      <w:bookmarkStart w:id="32" w:name="_Hlk14261204"/>
      <w:bookmarkStart w:id="33" w:name="_Toc20822163"/>
      <w:r w:rsidRPr="008751DC">
        <w:t xml:space="preserve">Drug </w:t>
      </w:r>
      <w:r>
        <w:t>s</w:t>
      </w:r>
      <w:r w:rsidRPr="008751DC">
        <w:t>ubstance</w:t>
      </w:r>
      <w:r>
        <w:t xml:space="preserve"> (active ingredient)</w:t>
      </w:r>
      <w:bookmarkEnd w:id="30"/>
      <w:bookmarkEnd w:id="31"/>
      <w:r w:rsidR="00E70ADD">
        <w:t xml:space="preserve"> and </w:t>
      </w:r>
      <w:r w:rsidR="003759FC">
        <w:t>d</w:t>
      </w:r>
      <w:r w:rsidR="00E70ADD">
        <w:t xml:space="preserve">rug </w:t>
      </w:r>
      <w:r w:rsidR="003759FC">
        <w:t>p</w:t>
      </w:r>
      <w:r w:rsidR="00E70ADD">
        <w:t xml:space="preserve">roduct </w:t>
      </w:r>
      <w:r w:rsidR="003759FC">
        <w:t>m</w:t>
      </w:r>
      <w:r w:rsidR="00E70ADD">
        <w:t>anufacturing</w:t>
      </w:r>
      <w:bookmarkEnd w:id="33"/>
    </w:p>
    <w:p w14:paraId="49726C37" w14:textId="683E698D" w:rsidR="00A55444" w:rsidRDefault="00D847F7" w:rsidP="00A55444">
      <w:pPr>
        <w:rPr>
          <w:lang w:val="en-GB"/>
        </w:rPr>
      </w:pPr>
      <w:proofErr w:type="spellStart"/>
      <w:r w:rsidRPr="00540C03">
        <w:rPr>
          <w:lang w:val="en-GB"/>
        </w:rPr>
        <w:t>Galcanezumab</w:t>
      </w:r>
      <w:proofErr w:type="spellEnd"/>
      <w:r w:rsidRPr="00540C03">
        <w:rPr>
          <w:lang w:val="en-GB"/>
        </w:rPr>
        <w:t xml:space="preserve"> is a</w:t>
      </w:r>
      <w:r>
        <w:rPr>
          <w:lang w:val="en-GB"/>
        </w:rPr>
        <w:t xml:space="preserve"> </w:t>
      </w:r>
      <w:r w:rsidR="00CB369F">
        <w:rPr>
          <w:lang w:val="en-GB"/>
        </w:rPr>
        <w:t>humani</w:t>
      </w:r>
      <w:r w:rsidR="00D53AC4">
        <w:rPr>
          <w:lang w:val="en-GB"/>
        </w:rPr>
        <w:t>s</w:t>
      </w:r>
      <w:r w:rsidR="00CB369F">
        <w:rPr>
          <w:lang w:val="en-GB"/>
        </w:rPr>
        <w:t>ed</w:t>
      </w:r>
      <w:r>
        <w:rPr>
          <w:lang w:val="en-GB"/>
        </w:rPr>
        <w:t xml:space="preserve"> </w:t>
      </w:r>
      <w:proofErr w:type="spellStart"/>
      <w:r w:rsidR="00B6138F">
        <w:rPr>
          <w:rFonts w:asciiTheme="minorHAnsi" w:eastAsiaTheme="minorHAnsi" w:hAnsiTheme="minorHAnsi"/>
        </w:rPr>
        <w:t>mAb</w:t>
      </w:r>
      <w:proofErr w:type="spellEnd"/>
      <w:r>
        <w:rPr>
          <w:lang w:val="en-GB"/>
        </w:rPr>
        <w:t xml:space="preserve"> of the </w:t>
      </w:r>
      <w:r w:rsidRPr="00540C03">
        <w:rPr>
          <w:lang w:val="en-GB"/>
        </w:rPr>
        <w:t xml:space="preserve">immunoglobulin G4 (IgG4) </w:t>
      </w:r>
      <w:r>
        <w:rPr>
          <w:lang w:val="en-GB"/>
        </w:rPr>
        <w:t xml:space="preserve">subclass </w:t>
      </w:r>
      <w:r w:rsidRPr="00540C03">
        <w:rPr>
          <w:lang w:val="en-GB"/>
        </w:rPr>
        <w:t xml:space="preserve">composed of </w:t>
      </w:r>
      <w:r>
        <w:rPr>
          <w:lang w:val="en-GB"/>
        </w:rPr>
        <w:t xml:space="preserve">2 </w:t>
      </w:r>
      <w:r w:rsidRPr="00540C03">
        <w:rPr>
          <w:lang w:val="en-GB"/>
        </w:rPr>
        <w:t>identical immunoglobulin kappa light chains and two identical imm</w:t>
      </w:r>
      <w:r w:rsidR="00CD0A73">
        <w:rPr>
          <w:lang w:val="en-GB"/>
        </w:rPr>
        <w:t>unoglobulin gamma heavy chains.</w:t>
      </w:r>
      <w:r w:rsidR="005C3C86" w:rsidRPr="00E70ADD">
        <w:rPr>
          <w:lang w:val="en-GB"/>
        </w:rPr>
        <w:t xml:space="preserve"> </w:t>
      </w:r>
      <w:r w:rsidRPr="00540C03">
        <w:rPr>
          <w:lang w:val="en-GB"/>
        </w:rPr>
        <w:t xml:space="preserve">Each </w:t>
      </w:r>
      <w:r w:rsidR="00775D3F">
        <w:rPr>
          <w:lang w:val="en-GB"/>
        </w:rPr>
        <w:t xml:space="preserve">heavy chain contains a single N </w:t>
      </w:r>
      <w:r w:rsidRPr="00540C03">
        <w:rPr>
          <w:lang w:val="en-GB"/>
        </w:rPr>
        <w:t xml:space="preserve">linked glycosylation site at </w:t>
      </w:r>
      <w:r w:rsidR="005C3C86">
        <w:rPr>
          <w:lang w:val="en-GB"/>
        </w:rPr>
        <w:t>asparagine (</w:t>
      </w:r>
      <w:proofErr w:type="spellStart"/>
      <w:r w:rsidRPr="00540C03">
        <w:rPr>
          <w:lang w:val="en-GB"/>
        </w:rPr>
        <w:t>Asn</w:t>
      </w:r>
      <w:proofErr w:type="spellEnd"/>
      <w:r w:rsidR="005C3C86">
        <w:rPr>
          <w:lang w:val="en-GB"/>
        </w:rPr>
        <w:t xml:space="preserve">) </w:t>
      </w:r>
      <w:r w:rsidR="00775D3F">
        <w:rPr>
          <w:lang w:val="en-GB"/>
        </w:rPr>
        <w:t xml:space="preserve">296. The N </w:t>
      </w:r>
      <w:r w:rsidRPr="00540C03">
        <w:rPr>
          <w:lang w:val="en-GB"/>
        </w:rPr>
        <w:t xml:space="preserve">linked glycosylation structure is predominantly a </w:t>
      </w:r>
      <w:proofErr w:type="spellStart"/>
      <w:r w:rsidRPr="00540C03">
        <w:rPr>
          <w:lang w:val="en-GB"/>
        </w:rPr>
        <w:t>fucosylated</w:t>
      </w:r>
      <w:proofErr w:type="spellEnd"/>
      <w:r w:rsidRPr="00540C03">
        <w:rPr>
          <w:lang w:val="en-GB"/>
        </w:rPr>
        <w:t xml:space="preserve">, complex </w:t>
      </w:r>
      <w:proofErr w:type="spellStart"/>
      <w:r w:rsidRPr="00540C03">
        <w:rPr>
          <w:lang w:val="en-GB"/>
        </w:rPr>
        <w:t>biantennary</w:t>
      </w:r>
      <w:proofErr w:type="spellEnd"/>
      <w:r w:rsidRPr="00540C03">
        <w:rPr>
          <w:lang w:val="en-GB"/>
        </w:rPr>
        <w:t xml:space="preserve"> glycan with 0 galactose</w:t>
      </w:r>
      <w:r w:rsidR="001A77B9">
        <w:rPr>
          <w:lang w:val="en-GB"/>
        </w:rPr>
        <w:t xml:space="preserve"> residues (G0F) on either arm.</w:t>
      </w:r>
      <w:r w:rsidR="00A55444">
        <w:rPr>
          <w:lang w:val="en-GB"/>
        </w:rPr>
        <w:t xml:space="preserve"> </w:t>
      </w:r>
      <w:r w:rsidR="00A55444">
        <w:t>A</w:t>
      </w:r>
      <w:r w:rsidR="00A55444" w:rsidRPr="001D4AAA">
        <w:t xml:space="preserve"> schematic </w:t>
      </w:r>
      <w:r w:rsidR="00C61092">
        <w:t xml:space="preserve">diagram </w:t>
      </w:r>
      <w:r w:rsidR="00A55444" w:rsidRPr="001D4AAA">
        <w:t xml:space="preserve">of </w:t>
      </w:r>
      <w:proofErr w:type="spellStart"/>
      <w:r w:rsidR="00A55444">
        <w:rPr>
          <w:lang w:val="en-GB"/>
        </w:rPr>
        <w:t>g</w:t>
      </w:r>
      <w:r w:rsidR="00A55444" w:rsidRPr="00540C03">
        <w:rPr>
          <w:lang w:val="en-GB"/>
        </w:rPr>
        <w:t>alcanezumab</w:t>
      </w:r>
      <w:proofErr w:type="spellEnd"/>
      <w:r w:rsidR="007F1E71">
        <w:rPr>
          <w:lang w:val="en-GB"/>
        </w:rPr>
        <w:t xml:space="preserve"> structure is shown in </w:t>
      </w:r>
      <w:r w:rsidR="007F1E71">
        <w:rPr>
          <w:lang w:val="en-GB"/>
        </w:rPr>
        <w:fldChar w:fldCharType="begin"/>
      </w:r>
      <w:r w:rsidR="007F1E71">
        <w:rPr>
          <w:lang w:val="en-GB"/>
        </w:rPr>
        <w:instrText xml:space="preserve"> REF _Ref19013511 \h </w:instrText>
      </w:r>
      <w:r w:rsidR="007F1E71">
        <w:rPr>
          <w:lang w:val="en-GB"/>
        </w:rPr>
      </w:r>
      <w:r w:rsidR="007F1E71">
        <w:rPr>
          <w:lang w:val="en-GB"/>
        </w:rPr>
        <w:fldChar w:fldCharType="separate"/>
      </w:r>
      <w:r w:rsidR="007F1E71">
        <w:t xml:space="preserve">Figure </w:t>
      </w:r>
      <w:r w:rsidR="007F1E71">
        <w:rPr>
          <w:noProof/>
        </w:rPr>
        <w:t>1</w:t>
      </w:r>
      <w:r w:rsidR="007F1E71">
        <w:rPr>
          <w:lang w:val="en-GB"/>
        </w:rPr>
        <w:fldChar w:fldCharType="end"/>
      </w:r>
      <w:r w:rsidR="00A55444">
        <w:rPr>
          <w:lang w:val="en-GB"/>
        </w:rPr>
        <w:t>.</w:t>
      </w:r>
    </w:p>
    <w:p w14:paraId="45AE57A4" w14:textId="19C7E6B0" w:rsidR="00A55444" w:rsidRPr="001D4AAA" w:rsidRDefault="007F1E71" w:rsidP="007F1E71">
      <w:pPr>
        <w:pStyle w:val="FigureTitle"/>
      </w:pPr>
      <w:bookmarkStart w:id="34" w:name="_Ref19013511"/>
      <w:r>
        <w:t xml:space="preserve">Figure </w:t>
      </w:r>
      <w:fldSimple w:instr=" SEQ Figure \* ARABIC ">
        <w:r>
          <w:rPr>
            <w:noProof/>
          </w:rPr>
          <w:t>1</w:t>
        </w:r>
      </w:fldSimple>
      <w:bookmarkEnd w:id="34"/>
      <w:r w:rsidR="00A55444">
        <w:rPr>
          <w:lang w:val="en-GB"/>
        </w:rPr>
        <w:t xml:space="preserve">: Schematic diagram of </w:t>
      </w:r>
      <w:proofErr w:type="spellStart"/>
      <w:r w:rsidR="00A55444">
        <w:rPr>
          <w:lang w:val="en-GB"/>
        </w:rPr>
        <w:t>galcanezumab</w:t>
      </w:r>
      <w:proofErr w:type="spellEnd"/>
    </w:p>
    <w:p w14:paraId="4C650A5D" w14:textId="77777777" w:rsidR="00A55444" w:rsidRDefault="00A55444" w:rsidP="00A55444">
      <w:r w:rsidRPr="00CD0A73">
        <w:rPr>
          <w:rFonts w:asciiTheme="minorHAnsi" w:hAnsiTheme="minorHAnsi"/>
          <w:noProof/>
          <w:lang w:eastAsia="en-AU"/>
        </w:rPr>
        <w:drawing>
          <wp:inline distT="0" distB="0" distL="0" distR="0" wp14:anchorId="7A5AE90A" wp14:editId="0CAB22F7">
            <wp:extent cx="3009900" cy="2876550"/>
            <wp:effectExtent l="0" t="0" r="0" b="0"/>
            <wp:docPr id="16" name="Picture 16" descr="Schematic diagram of galcane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22439" r="22245" b="25755"/>
                    <a:stretch/>
                  </pic:blipFill>
                  <pic:spPr bwMode="auto">
                    <a:xfrm>
                      <a:off x="0" y="0"/>
                      <a:ext cx="3012689" cy="2879215"/>
                    </a:xfrm>
                    <a:prstGeom prst="rect">
                      <a:avLst/>
                    </a:prstGeom>
                    <a:noFill/>
                    <a:ln>
                      <a:noFill/>
                    </a:ln>
                    <a:extLst>
                      <a:ext uri="{53640926-AAD7-44D8-BBD7-CCE9431645EC}">
                        <a14:shadowObscured xmlns:a14="http://schemas.microsoft.com/office/drawing/2010/main"/>
                      </a:ext>
                    </a:extLst>
                  </pic:spPr>
                </pic:pic>
              </a:graphicData>
            </a:graphic>
          </wp:inline>
        </w:drawing>
      </w:r>
    </w:p>
    <w:p w14:paraId="154936E0" w14:textId="533E2E28" w:rsidR="00F0221F" w:rsidRPr="00E70ADD" w:rsidRDefault="00A55444" w:rsidP="00572B43">
      <w:pPr>
        <w:pStyle w:val="FigureDescription"/>
      </w:pPr>
      <w:r>
        <w:t>The 32 cysteine (</w:t>
      </w:r>
      <w:proofErr w:type="spellStart"/>
      <w:r>
        <w:t>Cys</w:t>
      </w:r>
      <w:proofErr w:type="spellEnd"/>
      <w:r>
        <w:t xml:space="preserve">) residues that are involved in the intra chain and inter chain disulphide bonding are shown. The variable region is shown in green, the constant region is shown in blue. Orange colour lines between </w:t>
      </w:r>
      <w:proofErr w:type="spellStart"/>
      <w:r>
        <w:t>Cys</w:t>
      </w:r>
      <w:proofErr w:type="spellEnd"/>
      <w:r>
        <w:t xml:space="preserve"> residues indicate disulphide bonds. The location of the N linked glycosylation at asparagine (</w:t>
      </w:r>
      <w:proofErr w:type="spellStart"/>
      <w:r>
        <w:t>Asn</w:t>
      </w:r>
      <w:proofErr w:type="spellEnd"/>
      <w:r>
        <w:t>) 296 in each heavy chain is also illustrated.</w:t>
      </w:r>
    </w:p>
    <w:p w14:paraId="77E07354" w14:textId="5C14936F" w:rsidR="00D847F7" w:rsidRDefault="003759FC" w:rsidP="00D847F7">
      <w:r>
        <w:t>A</w:t>
      </w:r>
      <w:r w:rsidR="00D847F7" w:rsidRPr="00E70ADD">
        <w:t xml:space="preserve">nalysis of </w:t>
      </w:r>
      <w:proofErr w:type="spellStart"/>
      <w:r w:rsidR="00D847F7" w:rsidRPr="00E70ADD">
        <w:t>galcanezumab</w:t>
      </w:r>
      <w:proofErr w:type="spellEnd"/>
      <w:r w:rsidR="00D847F7" w:rsidRPr="00E70ADD">
        <w:t xml:space="preserve"> using multiple orthogonal assays showed it had features consistent with those of an IgG4 antibody.</w:t>
      </w:r>
    </w:p>
    <w:p w14:paraId="78B5589F" w14:textId="77777777" w:rsidR="00D847F7" w:rsidRDefault="00D847F7" w:rsidP="00940A89">
      <w:r w:rsidRPr="009F7C8A">
        <w:t>Overall,</w:t>
      </w:r>
      <w:r w:rsidR="00DC50DF">
        <w:t xml:space="preserve"> supplied data is satisfactory</w:t>
      </w:r>
      <w:r w:rsidRPr="009F7C8A">
        <w:t xml:space="preserve"> and there are no further quality related con</w:t>
      </w:r>
      <w:r w:rsidR="00DC50DF">
        <w:t>cerns pertaining to this issue.</w:t>
      </w:r>
    </w:p>
    <w:p w14:paraId="6015B662" w14:textId="77777777" w:rsidR="00D847F7" w:rsidRDefault="00D847F7" w:rsidP="00D847F7">
      <w:proofErr w:type="spellStart"/>
      <w:r>
        <w:t>Galcanezumab</w:t>
      </w:r>
      <w:proofErr w:type="spellEnd"/>
      <w:r w:rsidRPr="00D21741">
        <w:t xml:space="preserve"> is a fully humanised IgG</w:t>
      </w:r>
      <w:r>
        <w:t>4</w:t>
      </w:r>
      <w:r w:rsidRPr="00D21741">
        <w:t xml:space="preserve"> </w:t>
      </w:r>
      <w:proofErr w:type="spellStart"/>
      <w:r w:rsidR="00B6138F">
        <w:rPr>
          <w:rFonts w:asciiTheme="minorHAnsi" w:eastAsiaTheme="minorHAnsi" w:hAnsiTheme="minorHAnsi"/>
        </w:rPr>
        <w:t>mAb</w:t>
      </w:r>
      <w:proofErr w:type="spellEnd"/>
      <w:r w:rsidR="00B6138F" w:rsidRPr="00D21741">
        <w:t xml:space="preserve"> </w:t>
      </w:r>
      <w:r w:rsidRPr="00D21741">
        <w:t xml:space="preserve">generated using recombinant DNA technology in Chinese hamster ovary (CHO) cells with specificity for an epitope within the </w:t>
      </w:r>
      <w:r w:rsidR="00630E42">
        <w:t>CGRP</w:t>
      </w:r>
      <w:r w:rsidR="00204A99">
        <w:t xml:space="preserve">. </w:t>
      </w:r>
      <w:r w:rsidRPr="00D21741">
        <w:t xml:space="preserve">The following steps are used in the manufacturing process of </w:t>
      </w:r>
      <w:proofErr w:type="spellStart"/>
      <w:r>
        <w:t>g</w:t>
      </w:r>
      <w:r w:rsidRPr="004C65A6">
        <w:t>alcanezumab</w:t>
      </w:r>
      <w:proofErr w:type="spellEnd"/>
      <w:r w:rsidR="00023F95">
        <w:t>.</w:t>
      </w:r>
    </w:p>
    <w:p w14:paraId="3C02B9B9" w14:textId="77777777" w:rsidR="00D847F7" w:rsidRDefault="00630E42" w:rsidP="00D847F7">
      <w:r>
        <w:t>T</w:t>
      </w:r>
      <w:r w:rsidR="00D847F7">
        <w:t>he working cell bank vial undergoes thawing and expansion in shake flasks, followed by expansion in disposable rocking back bioreactors and the commercial scale bioreactor before harvest collection to produce the bulk harvest drug product.</w:t>
      </w:r>
    </w:p>
    <w:p w14:paraId="26F45EEC" w14:textId="499FB056" w:rsidR="00E307E7" w:rsidRDefault="00D847F7" w:rsidP="00CD0A73">
      <w:r>
        <w:t>The bulk harvest is purified using</w:t>
      </w:r>
      <w:r w:rsidR="00077DD5">
        <w:t xml:space="preserve"> a series of chromatography, viral inactivation and filtration steps.</w:t>
      </w:r>
      <w:bookmarkEnd w:id="32"/>
    </w:p>
    <w:p w14:paraId="07EA3A49" w14:textId="77777777" w:rsidR="00D847F7" w:rsidRDefault="00D847F7" w:rsidP="00940A89">
      <w:r>
        <w:t>The drug substance and drug product materials undergo in process control testing and in process acceptance criteria testing. All manufacturing steps and analy</w:t>
      </w:r>
      <w:r w:rsidR="00630E42">
        <w:t>tical procedures are validated.</w:t>
      </w:r>
    </w:p>
    <w:p w14:paraId="3FCABEFD" w14:textId="7108C77A" w:rsidR="00D847F7" w:rsidRDefault="00D847F7" w:rsidP="00940A89">
      <w:r w:rsidRPr="00A2761D">
        <w:lastRenderedPageBreak/>
        <w:t>All manufacturing steps are validated</w:t>
      </w:r>
      <w:r>
        <w:t xml:space="preserve"> other than the re</w:t>
      </w:r>
      <w:r w:rsidR="00B04AD1">
        <w:t>-</w:t>
      </w:r>
      <w:r>
        <w:t>filtration process in commercial manufacturing. Only l</w:t>
      </w:r>
      <w:r w:rsidR="00775D3F">
        <w:t xml:space="preserve">aboratory </w:t>
      </w:r>
      <w:r w:rsidRPr="00116E3B">
        <w:t>scale reprocessing studies (re</w:t>
      </w:r>
      <w:r w:rsidR="00B04AD1">
        <w:t>-</w:t>
      </w:r>
      <w:r w:rsidRPr="00116E3B">
        <w:t xml:space="preserve">filtration) were performed to </w:t>
      </w:r>
      <w:r w:rsidR="00C61092" w:rsidRPr="00116E3B">
        <w:t>characteri</w:t>
      </w:r>
      <w:r w:rsidR="00C61092">
        <w:t>s</w:t>
      </w:r>
      <w:r w:rsidR="00C61092" w:rsidRPr="00116E3B">
        <w:t xml:space="preserve">e </w:t>
      </w:r>
      <w:r w:rsidRPr="00116E3B">
        <w:t xml:space="preserve">the impact of reprocessing across the viral filter or the drug substance final filter on </w:t>
      </w:r>
      <w:proofErr w:type="spellStart"/>
      <w:r w:rsidRPr="00116E3B">
        <w:t>galcanezumab</w:t>
      </w:r>
      <w:proofErr w:type="spellEnd"/>
      <w:r w:rsidRPr="00116E3B">
        <w:t xml:space="preserve"> quality attributes</w:t>
      </w:r>
      <w:r>
        <w:t xml:space="preserve">. </w:t>
      </w:r>
      <w:r w:rsidRPr="006210E3">
        <w:t>The sponsor has committed to co</w:t>
      </w:r>
      <w:r w:rsidR="00775D3F">
        <w:t xml:space="preserve">mplete validation of commercial </w:t>
      </w:r>
      <w:r w:rsidRPr="006210E3">
        <w:t>scale viral filtrate process intermediate reprocessing, and</w:t>
      </w:r>
      <w:r w:rsidR="00F43A80">
        <w:t xml:space="preserve"> drug substance</w:t>
      </w:r>
      <w:r w:rsidRPr="006210E3">
        <w:t xml:space="preserve"> final filtration reprocessing using three runs of re</w:t>
      </w:r>
      <w:r w:rsidR="00B04AD1">
        <w:t>-</w:t>
      </w:r>
      <w:r w:rsidRPr="006210E3">
        <w:t>filt</w:t>
      </w:r>
      <w:r w:rsidR="00F46CB3">
        <w:t>r</w:t>
      </w:r>
      <w:r w:rsidRPr="006210E3">
        <w:t>ation in commercial manufacturing. The sponsor will report any out of specifications with this activity.</w:t>
      </w:r>
    </w:p>
    <w:p w14:paraId="600DB9CA" w14:textId="77777777" w:rsidR="001F316B" w:rsidRPr="00D847F7" w:rsidRDefault="001F316B" w:rsidP="00940A89">
      <w:pPr>
        <w:rPr>
          <w:b/>
        </w:rPr>
      </w:pPr>
      <w:r>
        <w:t>At the time of this evaluation</w:t>
      </w:r>
      <w:r w:rsidR="005A14C3">
        <w:t>,</w:t>
      </w:r>
      <w:r>
        <w:t xml:space="preserve"> f</w:t>
      </w:r>
      <w:r w:rsidR="005A14C3">
        <w:t xml:space="preserve">our </w:t>
      </w:r>
      <w:r w:rsidR="00F46CB3" w:rsidRPr="00A2761D">
        <w:t>manufacturer’s</w:t>
      </w:r>
      <w:r w:rsidRPr="00A2761D">
        <w:t xml:space="preserve"> application</w:t>
      </w:r>
      <w:r w:rsidR="00F46CB3">
        <w:t>s</w:t>
      </w:r>
      <w:r w:rsidRPr="00A2761D">
        <w:t xml:space="preserve"> for TGA clearance are still pending t</w:t>
      </w:r>
      <w:r>
        <w:t xml:space="preserve">o be approved. TGA </w:t>
      </w:r>
      <w:r w:rsidR="00F46CB3">
        <w:rPr>
          <w:rFonts w:eastAsia="TimesNewRoman"/>
        </w:rPr>
        <w:t>Good Manufacturing Practice</w:t>
      </w:r>
      <w:r w:rsidR="00F46CB3">
        <w:t xml:space="preserve"> (</w:t>
      </w:r>
      <w:r>
        <w:t>GMP</w:t>
      </w:r>
      <w:r w:rsidR="00F46CB3">
        <w:t>)</w:t>
      </w:r>
      <w:r>
        <w:t xml:space="preserve"> c</w:t>
      </w:r>
      <w:r w:rsidRPr="00A2761D">
        <w:t>learances for two of the manufactures have expired.</w:t>
      </w:r>
      <w:r w:rsidRPr="001F316B">
        <w:t xml:space="preserve"> TGA</w:t>
      </w:r>
      <w:r>
        <w:t xml:space="preserve"> clearance/c</w:t>
      </w:r>
      <w:r w:rsidRPr="001F316B">
        <w:t>ertificate for a</w:t>
      </w:r>
      <w:r w:rsidR="00775D3F">
        <w:t xml:space="preserve">ll the manufacturers must be up to </w:t>
      </w:r>
      <w:r w:rsidRPr="001F316B">
        <w:t>date by the time this application for registration is approved</w:t>
      </w:r>
      <w:r>
        <w:t>.</w:t>
      </w:r>
      <w:bookmarkStart w:id="35" w:name="_Ref12530487"/>
      <w:r w:rsidR="008845A0">
        <w:rPr>
          <w:rStyle w:val="FootnoteReference"/>
        </w:rPr>
        <w:footnoteReference w:id="3"/>
      </w:r>
      <w:bookmarkEnd w:id="35"/>
    </w:p>
    <w:p w14:paraId="099D57F9" w14:textId="77777777" w:rsidR="008E7846" w:rsidRPr="008751DC" w:rsidRDefault="008E7846" w:rsidP="00572B43">
      <w:pPr>
        <w:pStyle w:val="Heading3"/>
      </w:pPr>
      <w:bookmarkStart w:id="36" w:name="_Toc247691509"/>
      <w:bookmarkStart w:id="37" w:name="_Toc314842493"/>
      <w:bookmarkStart w:id="38" w:name="_Toc20822164"/>
      <w:r>
        <w:t>Quality s</w:t>
      </w:r>
      <w:r w:rsidRPr="008751DC">
        <w:t>ummary</w:t>
      </w:r>
      <w:r>
        <w:t xml:space="preserve"> and conclusions</w:t>
      </w:r>
      <w:bookmarkEnd w:id="36"/>
      <w:bookmarkEnd w:id="37"/>
      <w:bookmarkEnd w:id="38"/>
    </w:p>
    <w:p w14:paraId="744499E9" w14:textId="77777777" w:rsidR="000071C8" w:rsidRDefault="00D847F7" w:rsidP="00D847F7">
      <w:r w:rsidRPr="0084139A">
        <w:t>There are no objections to the registration of this product from sterility; endotoxin, container safety and viral safety related aspects</w:t>
      </w:r>
      <w:r w:rsidR="000071C8">
        <w:t>.</w:t>
      </w:r>
    </w:p>
    <w:p w14:paraId="06D1712A" w14:textId="77777777" w:rsidR="008E7846" w:rsidRDefault="00D847F7" w:rsidP="008E7846">
      <w:r w:rsidRPr="0084139A">
        <w:t>Overall, sufficient evidence has been provided to demonstrate that the risks relat</w:t>
      </w:r>
      <w:r w:rsidR="006210E3">
        <w:t>ed to the manufacturing quality</w:t>
      </w:r>
      <w:r w:rsidRPr="0084139A">
        <w:t xml:space="preserve"> of </w:t>
      </w:r>
      <w:proofErr w:type="spellStart"/>
      <w:r>
        <w:t>Emgality</w:t>
      </w:r>
      <w:proofErr w:type="spellEnd"/>
      <w:r w:rsidRPr="0084139A">
        <w:t xml:space="preserve"> have been controlled to an acceptable level.</w:t>
      </w:r>
    </w:p>
    <w:p w14:paraId="2BEF12EE" w14:textId="77777777" w:rsidR="008E7846" w:rsidRDefault="008E7846" w:rsidP="00572B43">
      <w:pPr>
        <w:pStyle w:val="Heading2"/>
      </w:pPr>
      <w:bookmarkStart w:id="39" w:name="_Toc196046439"/>
      <w:bookmarkStart w:id="40" w:name="_Toc247691510"/>
      <w:bookmarkStart w:id="41" w:name="_Toc314842494"/>
      <w:bookmarkStart w:id="42" w:name="_Toc20822165"/>
      <w:r>
        <w:t>I</w:t>
      </w:r>
      <w:r w:rsidR="00500337">
        <w:t>V</w:t>
      </w:r>
      <w:r>
        <w:t>. Nonclinical</w:t>
      </w:r>
      <w:bookmarkEnd w:id="39"/>
      <w:r>
        <w:t xml:space="preserve"> findings</w:t>
      </w:r>
      <w:bookmarkEnd w:id="40"/>
      <w:bookmarkEnd w:id="41"/>
      <w:bookmarkEnd w:id="42"/>
    </w:p>
    <w:p w14:paraId="0DB5F08F" w14:textId="77777777" w:rsidR="008E7846" w:rsidRDefault="008E7846" w:rsidP="00572B43">
      <w:pPr>
        <w:pStyle w:val="Heading3"/>
      </w:pPr>
      <w:bookmarkStart w:id="43" w:name="_Toc247691511"/>
      <w:bookmarkStart w:id="44" w:name="_Toc314842495"/>
      <w:bookmarkStart w:id="45" w:name="_Toc20822166"/>
      <w:r>
        <w:t>Introduction</w:t>
      </w:r>
      <w:bookmarkEnd w:id="43"/>
      <w:bookmarkEnd w:id="44"/>
      <w:bookmarkEnd w:id="45"/>
    </w:p>
    <w:p w14:paraId="17DA44FD" w14:textId="77777777" w:rsidR="00AC1D61" w:rsidRDefault="00416F6A" w:rsidP="00572B43">
      <w:r>
        <w:t>The sponsor</w:t>
      </w:r>
      <w:r w:rsidR="00AC1D61">
        <w:t xml:space="preserve"> has applied to register a new biological entity, </w:t>
      </w:r>
      <w:proofErr w:type="spellStart"/>
      <w:r w:rsidR="00AC1D61">
        <w:t>galcanezumab</w:t>
      </w:r>
      <w:proofErr w:type="spellEnd"/>
      <w:r w:rsidR="00AC1D61">
        <w:t xml:space="preserve"> (</w:t>
      </w:r>
      <w:proofErr w:type="spellStart"/>
      <w:r w:rsidR="00AC1D61">
        <w:t>Emgality</w:t>
      </w:r>
      <w:proofErr w:type="spellEnd"/>
      <w:r w:rsidR="00AC1D61">
        <w:t xml:space="preserve">). </w:t>
      </w:r>
      <w:proofErr w:type="spellStart"/>
      <w:r w:rsidR="00AC1D61">
        <w:t>Emgality</w:t>
      </w:r>
      <w:proofErr w:type="spellEnd"/>
      <w:r w:rsidR="006A421D">
        <w:t xml:space="preserve"> </w:t>
      </w:r>
      <w:r w:rsidR="00AC1D61" w:rsidRPr="00AC1D61">
        <w:t>is pro</w:t>
      </w:r>
      <w:r w:rsidR="00AC1D61">
        <w:t>posed to be used for the prophylactic treatment of migraine in adults. The</w:t>
      </w:r>
      <w:r>
        <w:t xml:space="preserve"> proposed dosing regimen is 120 </w:t>
      </w:r>
      <w:r w:rsidR="00AC1D61">
        <w:t>mg injected subcutaneously once a month, with an in</w:t>
      </w:r>
      <w:r>
        <w:t>itial loading dose of 240 </w:t>
      </w:r>
      <w:r w:rsidR="00AC1D61">
        <w:t>mg. Treatment dura</w:t>
      </w:r>
      <w:r w:rsidR="006A421D">
        <w:t>tion is expected to be chronic.</w:t>
      </w:r>
    </w:p>
    <w:p w14:paraId="2B9569BD" w14:textId="77777777" w:rsidR="00AC1D61" w:rsidRPr="005A14C3" w:rsidRDefault="00AC1D61" w:rsidP="00572B43">
      <w:pPr>
        <w:rPr>
          <w:b/>
          <w:bCs/>
        </w:rPr>
      </w:pPr>
      <w:r w:rsidRPr="00E307E7">
        <w:t>The nonclinical dossier was of good overall quality, and in general accordance w</w:t>
      </w:r>
      <w:r w:rsidR="00775D3F" w:rsidRPr="00E307E7">
        <w:t xml:space="preserve">ith relevant TGA </w:t>
      </w:r>
      <w:r w:rsidRPr="00E307E7">
        <w:t xml:space="preserve">adopted guidelines, including </w:t>
      </w:r>
      <w:r w:rsidR="00ED1074" w:rsidRPr="003C76F3">
        <w:t>International Conference on</w:t>
      </w:r>
      <w:r w:rsidR="00ED1074" w:rsidRPr="00EB7E59">
        <w:rPr>
          <w:rFonts w:eastAsia="TimesNewRoman"/>
        </w:rPr>
        <w:t xml:space="preserve"> Harmonisation</w:t>
      </w:r>
      <w:r w:rsidR="00ED1074">
        <w:t xml:space="preserve"> (</w:t>
      </w:r>
      <w:r>
        <w:t>ICH</w:t>
      </w:r>
      <w:r w:rsidR="00ED1074">
        <w:t>)</w:t>
      </w:r>
      <w:r>
        <w:t xml:space="preserve"> S6(R1).</w:t>
      </w:r>
      <w:bookmarkStart w:id="46" w:name="_Ref12351989"/>
      <w:r w:rsidR="00416F6A">
        <w:rPr>
          <w:rStyle w:val="FootnoteReference"/>
        </w:rPr>
        <w:footnoteReference w:id="4"/>
      </w:r>
      <w:bookmarkEnd w:id="46"/>
      <w:r>
        <w:t xml:space="preserve"> All pivotal toxicity studies were conducted according to </w:t>
      </w:r>
      <w:r w:rsidR="00416F6A">
        <w:rPr>
          <w:rFonts w:eastAsia="TimesNewRoman"/>
        </w:rPr>
        <w:t>Good Laboratory Practice</w:t>
      </w:r>
      <w:r w:rsidR="00416F6A">
        <w:t xml:space="preserve"> (</w:t>
      </w:r>
      <w:r>
        <w:t>GLP</w:t>
      </w:r>
      <w:r w:rsidR="00416F6A">
        <w:t>)</w:t>
      </w:r>
      <w:r>
        <w:t xml:space="preserve"> standards.</w:t>
      </w:r>
    </w:p>
    <w:p w14:paraId="1E064A9C" w14:textId="77777777" w:rsidR="008E7846" w:rsidRDefault="008E7846" w:rsidP="00433863">
      <w:pPr>
        <w:pStyle w:val="Heading3"/>
      </w:pPr>
      <w:bookmarkStart w:id="47" w:name="_Toc247691512"/>
      <w:bookmarkStart w:id="48" w:name="_Toc314842496"/>
      <w:bookmarkStart w:id="49" w:name="_Toc20822167"/>
      <w:r w:rsidRPr="00020030">
        <w:t>Pharmacology</w:t>
      </w:r>
      <w:bookmarkEnd w:id="47"/>
      <w:bookmarkEnd w:id="48"/>
      <w:bookmarkEnd w:id="49"/>
    </w:p>
    <w:p w14:paraId="7268F911" w14:textId="77777777" w:rsidR="000071C8" w:rsidRDefault="006A421D" w:rsidP="00433863">
      <w:proofErr w:type="spellStart"/>
      <w:r>
        <w:t>Galcanezumab</w:t>
      </w:r>
      <w:proofErr w:type="spellEnd"/>
      <w:r>
        <w:t xml:space="preserve"> is a humanised IgG4 </w:t>
      </w:r>
      <w:proofErr w:type="spellStart"/>
      <w:r w:rsidR="00B6138F">
        <w:rPr>
          <w:rFonts w:asciiTheme="minorHAnsi" w:eastAsiaTheme="minorHAnsi" w:hAnsiTheme="minorHAnsi"/>
        </w:rPr>
        <w:t>mAb</w:t>
      </w:r>
      <w:proofErr w:type="spellEnd"/>
      <w:r w:rsidR="00B6138F">
        <w:t xml:space="preserve"> </w:t>
      </w:r>
      <w:r>
        <w:t xml:space="preserve">directed against </w:t>
      </w:r>
      <w:r w:rsidR="0096187D">
        <w:t>CGRP</w:t>
      </w:r>
      <w:r>
        <w:t>. CGRP is widely expressed in the central and peripheral nervous systems. CGRP has been associated with the pathophysiology of migraine and numerous other (</w:t>
      </w:r>
      <w:proofErr w:type="spellStart"/>
      <w:r>
        <w:t>patho</w:t>
      </w:r>
      <w:proofErr w:type="spellEnd"/>
      <w:r>
        <w:t>)</w:t>
      </w:r>
      <w:r w:rsidR="006210E3">
        <w:t xml:space="preserve"> </w:t>
      </w:r>
      <w:r>
        <w:t>physiological conditions</w:t>
      </w:r>
      <w:r w:rsidR="000071C8">
        <w:t>.</w:t>
      </w:r>
      <w:bookmarkStart w:id="50" w:name="_Ref12517079"/>
      <w:r w:rsidR="0096187D">
        <w:rPr>
          <w:rStyle w:val="FootnoteReference"/>
        </w:rPr>
        <w:footnoteReference w:id="5"/>
      </w:r>
      <w:bookmarkEnd w:id="50"/>
    </w:p>
    <w:p w14:paraId="4027FC6F" w14:textId="77777777" w:rsidR="0057105C" w:rsidRDefault="006A421D" w:rsidP="00433863">
      <w:pPr>
        <w:pStyle w:val="Heading4"/>
      </w:pPr>
      <w:r>
        <w:t>Primary pharmacology</w:t>
      </w:r>
    </w:p>
    <w:p w14:paraId="590C0085" w14:textId="77777777" w:rsidR="000071C8" w:rsidRDefault="006A421D" w:rsidP="00433863">
      <w:r>
        <w:t xml:space="preserve">Binding studies confirmed the affinity of </w:t>
      </w:r>
      <w:proofErr w:type="spellStart"/>
      <w:r>
        <w:t>galcanezumab</w:t>
      </w:r>
      <w:proofErr w:type="spellEnd"/>
      <w:r>
        <w:t xml:space="preserve"> for human and rat CGRP (</w:t>
      </w:r>
      <w:r w:rsidR="007E030E">
        <w:t xml:space="preserve">dissociation constant </w:t>
      </w:r>
      <w:r w:rsidR="002F2AC8">
        <w:t>(</w:t>
      </w:r>
      <w:proofErr w:type="spellStart"/>
      <w:r w:rsidRPr="007E030E">
        <w:t>K</w:t>
      </w:r>
      <w:r w:rsidR="003D1DF5">
        <w:rPr>
          <w:vertAlign w:val="subscript"/>
        </w:rPr>
        <w:t>d</w:t>
      </w:r>
      <w:proofErr w:type="spellEnd"/>
      <w:r w:rsidR="002F2AC8">
        <w:t>)</w:t>
      </w:r>
      <w:r w:rsidRPr="007E030E">
        <w:t xml:space="preserve"> </w:t>
      </w:r>
      <w:r w:rsidR="000A19B8" w:rsidRPr="007E030E">
        <w:t>3</w:t>
      </w:r>
      <w:r w:rsidR="000A19B8">
        <w:t>1 and 250 </w:t>
      </w:r>
      <w:proofErr w:type="spellStart"/>
      <w:r w:rsidR="005A14C3">
        <w:t>picomolar</w:t>
      </w:r>
      <w:proofErr w:type="spellEnd"/>
      <w:r w:rsidR="005A14C3">
        <w:t xml:space="preserve"> </w:t>
      </w:r>
      <w:r w:rsidR="002F2AC8">
        <w:t>(</w:t>
      </w:r>
      <w:proofErr w:type="spellStart"/>
      <w:r>
        <w:t>pM</w:t>
      </w:r>
      <w:proofErr w:type="spellEnd"/>
      <w:r w:rsidR="002F2AC8">
        <w:t>)</w:t>
      </w:r>
      <w:r>
        <w:t xml:space="preserve">, respectively), which share 89% amino acid sequence homology. </w:t>
      </w:r>
      <w:proofErr w:type="spellStart"/>
      <w:r>
        <w:t>Galcanezumab</w:t>
      </w:r>
      <w:proofErr w:type="spellEnd"/>
      <w:r>
        <w:t xml:space="preserve"> did not bind to the human CGRP receptor, </w:t>
      </w:r>
      <w:r>
        <w:lastRenderedPageBreak/>
        <w:t xml:space="preserve">amylin, </w:t>
      </w:r>
      <w:proofErr w:type="spellStart"/>
      <w:r>
        <w:t>adrenomedullin</w:t>
      </w:r>
      <w:proofErr w:type="spellEnd"/>
      <w:r>
        <w:t xml:space="preserve">, calcitonin, or </w:t>
      </w:r>
      <w:proofErr w:type="spellStart"/>
      <w:r>
        <w:t>intermedin</w:t>
      </w:r>
      <w:proofErr w:type="spellEnd"/>
      <w:r>
        <w:t xml:space="preserve">, all members of the calcitonin family of peptides. </w:t>
      </w:r>
      <w:proofErr w:type="spellStart"/>
      <w:r>
        <w:t>Galcanezumab</w:t>
      </w:r>
      <w:proofErr w:type="spellEnd"/>
      <w:r>
        <w:t xml:space="preserve"> did not bind Fc receptors I, </w:t>
      </w:r>
      <w:proofErr w:type="spellStart"/>
      <w:r>
        <w:t>IIa</w:t>
      </w:r>
      <w:proofErr w:type="spellEnd"/>
      <w:r>
        <w:t xml:space="preserve">, and </w:t>
      </w:r>
      <w:proofErr w:type="spellStart"/>
      <w:r>
        <w:t>IIIa</w:t>
      </w:r>
      <w:proofErr w:type="spellEnd"/>
      <w:r>
        <w:t xml:space="preserve"> or the complement component C1q</w:t>
      </w:r>
      <w:r w:rsidR="000071C8">
        <w:t>.</w:t>
      </w:r>
    </w:p>
    <w:p w14:paraId="3C7CD21F" w14:textId="6E7EC5E6" w:rsidR="000071C8" w:rsidRDefault="006A421D" w:rsidP="00433863">
      <w:r w:rsidRPr="00F0343F">
        <w:rPr>
          <w:i/>
          <w:iCs/>
        </w:rPr>
        <w:t>In vitro</w:t>
      </w:r>
      <w:r w:rsidRPr="000A19B8">
        <w:t>,</w:t>
      </w:r>
      <w:r>
        <w:t xml:space="preserve"> </w:t>
      </w:r>
      <w:proofErr w:type="spellStart"/>
      <w:r>
        <w:t>galcanezumab</w:t>
      </w:r>
      <w:proofErr w:type="spellEnd"/>
      <w:r>
        <w:t xml:space="preserve"> inhibited both human α and β</w:t>
      </w:r>
      <w:r w:rsidR="007E030E">
        <w:t xml:space="preserve"> </w:t>
      </w:r>
      <w:r w:rsidR="00775D3F">
        <w:t xml:space="preserve">CGRP </w:t>
      </w:r>
      <w:r>
        <w:t xml:space="preserve">induced </w:t>
      </w:r>
      <w:r w:rsidR="00155170">
        <w:t>c</w:t>
      </w:r>
      <w:r w:rsidR="00155170" w:rsidRPr="00155170">
        <w:t xml:space="preserve">yclic adenosine monophosphate </w:t>
      </w:r>
      <w:r w:rsidR="00155170">
        <w:t>(</w:t>
      </w:r>
      <w:proofErr w:type="spellStart"/>
      <w:r w:rsidR="00155170">
        <w:t>cAMP</w:t>
      </w:r>
      <w:proofErr w:type="spellEnd"/>
      <w:r w:rsidR="00155170">
        <w:t>)</w:t>
      </w:r>
      <w:r w:rsidR="00776BD6">
        <w:t xml:space="preserve"> production, </w:t>
      </w:r>
      <w:r w:rsidR="007E030E">
        <w:t>half ma</w:t>
      </w:r>
      <w:r w:rsidR="00155170">
        <w:t>ximal inhibitory concentration (</w:t>
      </w:r>
      <w:r>
        <w:t>IC</w:t>
      </w:r>
      <w:r w:rsidRPr="007E030E">
        <w:rPr>
          <w:vertAlign w:val="subscript"/>
        </w:rPr>
        <w:t>50</w:t>
      </w:r>
      <w:r w:rsidR="00155170">
        <w:t>)</w:t>
      </w:r>
      <w:r w:rsidRPr="007E030E">
        <w:t xml:space="preserve"> </w:t>
      </w:r>
      <w:r w:rsidR="000A19B8">
        <w:t>0.35 </w:t>
      </w:r>
      <w:r>
        <w:t>±</w:t>
      </w:r>
      <w:r w:rsidR="000A19B8">
        <w:t> 0.07 and 0.176 ± </w:t>
      </w:r>
      <w:r w:rsidR="007E030E">
        <w:t>0.022 </w:t>
      </w:r>
      <w:proofErr w:type="spellStart"/>
      <w:r w:rsidR="005A14C3">
        <w:t>nanomolar</w:t>
      </w:r>
      <w:proofErr w:type="spellEnd"/>
      <w:r w:rsidR="005A14C3">
        <w:t xml:space="preserve"> (</w:t>
      </w:r>
      <w:proofErr w:type="spellStart"/>
      <w:r w:rsidR="00155170">
        <w:t>nM</w:t>
      </w:r>
      <w:proofErr w:type="spellEnd"/>
      <w:r w:rsidR="005A14C3">
        <w:t>)</w:t>
      </w:r>
      <w:r w:rsidR="00155170">
        <w:t>, respectively</w:t>
      </w:r>
      <w:r>
        <w:t xml:space="preserve">. </w:t>
      </w:r>
      <w:proofErr w:type="spellStart"/>
      <w:r>
        <w:t>Gal</w:t>
      </w:r>
      <w:r w:rsidR="003F27D8">
        <w:t>canezumab</w:t>
      </w:r>
      <w:proofErr w:type="spellEnd"/>
      <w:r w:rsidR="003F27D8">
        <w:t xml:space="preserve"> inhibited rabbit CGRP </w:t>
      </w:r>
      <w:r>
        <w:t xml:space="preserve">induced </w:t>
      </w:r>
      <w:proofErr w:type="spellStart"/>
      <w:r>
        <w:t>cAMP</w:t>
      </w:r>
      <w:proofErr w:type="spellEnd"/>
      <w:r>
        <w:t xml:space="preserve"> accumulation with an </w:t>
      </w:r>
      <w:r w:rsidR="007E030E">
        <w:t>IC</w:t>
      </w:r>
      <w:r w:rsidR="007E030E" w:rsidRPr="007E030E">
        <w:rPr>
          <w:vertAlign w:val="subscript"/>
        </w:rPr>
        <w:t>50</w:t>
      </w:r>
      <w:r w:rsidR="007E030E" w:rsidRPr="007E030E">
        <w:t xml:space="preserve"> </w:t>
      </w:r>
      <w:r w:rsidR="000A19B8">
        <w:t>of 0.06 </w:t>
      </w:r>
      <w:proofErr w:type="spellStart"/>
      <w:r w:rsidR="000A19B8">
        <w:t>nM</w:t>
      </w:r>
      <w:proofErr w:type="spellEnd"/>
      <w:r w:rsidR="000A19B8">
        <w:t xml:space="preserve"> and </w:t>
      </w:r>
      <w:r w:rsidR="007E030E">
        <w:t>equilibrium dissociation constant (</w:t>
      </w:r>
      <w:r w:rsidR="000A19B8">
        <w:t>K</w:t>
      </w:r>
      <w:r w:rsidR="000A19B8" w:rsidRPr="007E030E">
        <w:rPr>
          <w:vertAlign w:val="subscript"/>
        </w:rPr>
        <w:t>b</w:t>
      </w:r>
      <w:r w:rsidR="007E030E">
        <w:t>)</w:t>
      </w:r>
      <w:r w:rsidR="000A19B8">
        <w:t xml:space="preserve"> of 4.1 </w:t>
      </w:r>
      <w:proofErr w:type="spellStart"/>
      <w:r>
        <w:t>pM</w:t>
      </w:r>
      <w:proofErr w:type="spellEnd"/>
      <w:r>
        <w:t xml:space="preserve"> (human </w:t>
      </w:r>
      <w:r w:rsidR="007E030E">
        <w:t>IC</w:t>
      </w:r>
      <w:r w:rsidR="007E030E" w:rsidRPr="007E030E">
        <w:rPr>
          <w:vertAlign w:val="subscript"/>
        </w:rPr>
        <w:t>50</w:t>
      </w:r>
      <w:r w:rsidR="007E030E" w:rsidRPr="007E030E">
        <w:t xml:space="preserve"> </w:t>
      </w:r>
      <w:r w:rsidR="000A19B8">
        <w:t>0.23 </w:t>
      </w:r>
      <w:proofErr w:type="spellStart"/>
      <w:r>
        <w:t>nM</w:t>
      </w:r>
      <w:proofErr w:type="spellEnd"/>
      <w:r>
        <w:t xml:space="preserve"> and K</w:t>
      </w:r>
      <w:r w:rsidRPr="007E030E">
        <w:rPr>
          <w:vertAlign w:val="subscript"/>
        </w:rPr>
        <w:t>b</w:t>
      </w:r>
      <w:r>
        <w:t xml:space="preserve"> </w:t>
      </w:r>
      <w:r w:rsidR="000A19B8">
        <w:t>44.2 </w:t>
      </w:r>
      <w:proofErr w:type="spellStart"/>
      <w:r>
        <w:t>pM</w:t>
      </w:r>
      <w:proofErr w:type="spellEnd"/>
      <w:r w:rsidRPr="000A19B8">
        <w:t xml:space="preserve">) </w:t>
      </w:r>
      <w:r w:rsidRPr="00F0343F">
        <w:rPr>
          <w:i/>
          <w:iCs/>
        </w:rPr>
        <w:t>in vitro</w:t>
      </w:r>
      <w:r>
        <w:t xml:space="preserve">. Binding of CGRP to human amylin receptor </w:t>
      </w:r>
      <w:r w:rsidR="002770A9">
        <w:t xml:space="preserve">1 </w:t>
      </w:r>
      <w:r>
        <w:t xml:space="preserve">was decreased by </w:t>
      </w:r>
      <w:proofErr w:type="spellStart"/>
      <w:r>
        <w:t>galcanezumab</w:t>
      </w:r>
      <w:proofErr w:type="spellEnd"/>
      <w:r>
        <w:t xml:space="preserve"> (IC</w:t>
      </w:r>
      <w:r>
        <w:rPr>
          <w:sz w:val="14"/>
          <w:szCs w:val="14"/>
        </w:rPr>
        <w:t xml:space="preserve">50 </w:t>
      </w:r>
      <w:r w:rsidR="000A19B8">
        <w:t>0.9 </w:t>
      </w:r>
      <w:proofErr w:type="spellStart"/>
      <w:r w:rsidR="000A19B8">
        <w:t>nM</w:t>
      </w:r>
      <w:proofErr w:type="spellEnd"/>
      <w:r w:rsidR="000A19B8">
        <w:t xml:space="preserve"> and K</w:t>
      </w:r>
      <w:r w:rsidR="000A19B8" w:rsidRPr="00776BD6">
        <w:rPr>
          <w:vertAlign w:val="subscript"/>
        </w:rPr>
        <w:t>b</w:t>
      </w:r>
      <w:r w:rsidR="000A19B8">
        <w:t xml:space="preserve"> 54 </w:t>
      </w:r>
      <w:proofErr w:type="spellStart"/>
      <w:r>
        <w:t>pM</w:t>
      </w:r>
      <w:proofErr w:type="spellEnd"/>
      <w:r>
        <w:t>)</w:t>
      </w:r>
      <w:r w:rsidR="000071C8">
        <w:t>.</w:t>
      </w:r>
    </w:p>
    <w:p w14:paraId="1B95C701" w14:textId="77777777" w:rsidR="000071C8" w:rsidRDefault="006A421D" w:rsidP="00433863">
      <w:r w:rsidRPr="00F0343F">
        <w:rPr>
          <w:i/>
          <w:iCs/>
        </w:rPr>
        <w:t>In vivo</w:t>
      </w:r>
      <w:r>
        <w:t xml:space="preserve">, </w:t>
      </w:r>
      <w:proofErr w:type="spellStart"/>
      <w:r>
        <w:t>galcanezumab</w:t>
      </w:r>
      <w:proofErr w:type="spellEnd"/>
      <w:r w:rsidR="003F27D8">
        <w:t xml:space="preserve"> was shown to inhibit capsaicin </w:t>
      </w:r>
      <w:r>
        <w:t xml:space="preserve">induced increase </w:t>
      </w:r>
      <w:r w:rsidR="00776BD6">
        <w:t>in dermal blood flow in rats (</w:t>
      </w:r>
      <w:r w:rsidR="00776BD6" w:rsidRPr="00776BD6">
        <w:t>4</w:t>
      </w:r>
      <w:r w:rsidR="00776BD6">
        <w:t> </w:t>
      </w:r>
      <w:r w:rsidRPr="00776BD6">
        <w:t>mg</w:t>
      </w:r>
      <w:r>
        <w:t>/k</w:t>
      </w:r>
      <w:r w:rsidR="000A19B8">
        <w:t xml:space="preserve">g </w:t>
      </w:r>
      <w:r w:rsidR="00776BD6">
        <w:t xml:space="preserve">subcutaneous </w:t>
      </w:r>
      <w:r w:rsidR="002F2AC8">
        <w:t>(</w:t>
      </w:r>
      <w:r w:rsidR="000A19B8">
        <w:t>SC</w:t>
      </w:r>
      <w:r w:rsidR="002F2AC8">
        <w:t>)</w:t>
      </w:r>
      <w:r w:rsidR="000A19B8">
        <w:t xml:space="preserve">) and </w:t>
      </w:r>
      <w:proofErr w:type="spellStart"/>
      <w:r w:rsidR="000A19B8">
        <w:t>cynomolgus</w:t>
      </w:r>
      <w:proofErr w:type="spellEnd"/>
      <w:r w:rsidR="000A19B8">
        <w:t xml:space="preserve"> monkeys (5 </w:t>
      </w:r>
      <w:r>
        <w:t xml:space="preserve">mg/kg </w:t>
      </w:r>
      <w:r w:rsidR="00776BD6">
        <w:t xml:space="preserve">intravenous </w:t>
      </w:r>
      <w:r w:rsidR="002F2AC8">
        <w:t>(</w:t>
      </w:r>
      <w:r>
        <w:t>IV</w:t>
      </w:r>
      <w:r w:rsidR="002F2AC8">
        <w:t>)</w:t>
      </w:r>
      <w:r>
        <w:t>)</w:t>
      </w:r>
      <w:r w:rsidR="000071C8">
        <w:t>.</w:t>
      </w:r>
    </w:p>
    <w:p w14:paraId="5C003FBD" w14:textId="77777777" w:rsidR="000071C8" w:rsidRDefault="006A421D" w:rsidP="00433863">
      <w:r>
        <w:t xml:space="preserve">Overall, the primary pharmacology data support the proposed indication but do not allow </w:t>
      </w:r>
      <w:r w:rsidRPr="00F0343F">
        <w:rPr>
          <w:i/>
          <w:iCs/>
        </w:rPr>
        <w:t>in vivo</w:t>
      </w:r>
      <w:r>
        <w:rPr>
          <w:i/>
          <w:iCs/>
        </w:rPr>
        <w:t xml:space="preserve"> </w:t>
      </w:r>
      <w:r>
        <w:t>efficacy assessment due to the lack of a validated animal model of migraine</w:t>
      </w:r>
      <w:r w:rsidR="000071C8">
        <w:t>.</w:t>
      </w:r>
    </w:p>
    <w:p w14:paraId="109A0F5A" w14:textId="77777777" w:rsidR="0057105C" w:rsidRDefault="006A421D" w:rsidP="000071C8">
      <w:pPr>
        <w:pStyle w:val="Heading4"/>
      </w:pPr>
      <w:r>
        <w:t>Safety pharmacology</w:t>
      </w:r>
    </w:p>
    <w:p w14:paraId="014BB36F" w14:textId="7220C113" w:rsidR="004334C7" w:rsidRPr="004334C7" w:rsidRDefault="006A421D" w:rsidP="00433863">
      <w:r>
        <w:t xml:space="preserve">Specialised safety pharmacology studies on </w:t>
      </w:r>
      <w:proofErr w:type="spellStart"/>
      <w:r>
        <w:t>galcanezumab</w:t>
      </w:r>
      <w:proofErr w:type="spellEnd"/>
      <w:r>
        <w:t xml:space="preserve"> were not conducted; however, cardiovascular, respiratory, and central nervous system </w:t>
      </w:r>
      <w:r w:rsidR="00776BD6">
        <w:t xml:space="preserve">(CNS) </w:t>
      </w:r>
      <w:r>
        <w:t xml:space="preserve">evaluations were integrated </w:t>
      </w:r>
      <w:r w:rsidR="00776BD6">
        <w:t>into the protocols of the GLP 6 </w:t>
      </w:r>
      <w:r w:rsidR="003F27D8">
        <w:t xml:space="preserve">month </w:t>
      </w:r>
      <w:proofErr w:type="spellStart"/>
      <w:r w:rsidR="003F27D8">
        <w:t>cynomolgus</w:t>
      </w:r>
      <w:proofErr w:type="spellEnd"/>
      <w:r w:rsidR="003F27D8">
        <w:t xml:space="preserve"> monkey repeat </w:t>
      </w:r>
      <w:r>
        <w:t xml:space="preserve">dose toxicology study. There were no effects on </w:t>
      </w:r>
      <w:proofErr w:type="spellStart"/>
      <w:r>
        <w:t>neurobehavioural</w:t>
      </w:r>
      <w:proofErr w:type="spellEnd"/>
      <w:r>
        <w:t xml:space="preserve"> parameters (including body temperature), or cardiovascular (including </w:t>
      </w:r>
      <w:r w:rsidR="00776BD6">
        <w:t xml:space="preserve">electrocardiogram </w:t>
      </w:r>
      <w:r w:rsidR="002F2AC8">
        <w:t>(</w:t>
      </w:r>
      <w:r>
        <w:t>ECG</w:t>
      </w:r>
      <w:r w:rsidR="002F2AC8">
        <w:t>)</w:t>
      </w:r>
      <w:r>
        <w:t xml:space="preserve"> waveforms, heart rate, QRS duration </w:t>
      </w:r>
      <w:r w:rsidR="00776BD6">
        <w:t>and</w:t>
      </w:r>
      <w:r>
        <w:t xml:space="preserve"> PR, QT, QTC intervals) or re</w:t>
      </w:r>
      <w:r w:rsidR="003F27D8">
        <w:t xml:space="preserve">spiratory effects in the repeat </w:t>
      </w:r>
      <w:r>
        <w:t>dose toxicity study in mon</w:t>
      </w:r>
      <w:r w:rsidR="00776BD6">
        <w:t>keys, following doses up to 100 mg/kg/week SC for 6 </w:t>
      </w:r>
      <w:r>
        <w:t xml:space="preserve">months. Overall, no effect on functions of CNS, cardiovascular and respiratory systems is predicted with monthly dosing of </w:t>
      </w:r>
      <w:proofErr w:type="spellStart"/>
      <w:r>
        <w:t>galcanezumab</w:t>
      </w:r>
      <w:proofErr w:type="spellEnd"/>
      <w:r>
        <w:t xml:space="preserve">. No </w:t>
      </w:r>
      <w:r w:rsidR="003F27D8">
        <w:t>human ether</w:t>
      </w:r>
      <w:r w:rsidR="00C61092">
        <w:t>-à-go-go</w:t>
      </w:r>
      <w:r w:rsidR="003F27D8">
        <w:t xml:space="preserve"> </w:t>
      </w:r>
      <w:r w:rsidR="00776BD6">
        <w:t>related g</w:t>
      </w:r>
      <w:r w:rsidR="00776BD6" w:rsidRPr="00776BD6">
        <w:t xml:space="preserve">ene </w:t>
      </w:r>
      <w:r w:rsidR="00776BD6">
        <w:t>(</w:t>
      </w:r>
      <w:proofErr w:type="spellStart"/>
      <w:r>
        <w:t>hERG</w:t>
      </w:r>
      <w:proofErr w:type="spellEnd"/>
      <w:r w:rsidR="00776BD6">
        <w:t>)</w:t>
      </w:r>
      <w:r>
        <w:t xml:space="preserve"> assay was performed, which i</w:t>
      </w:r>
      <w:r w:rsidR="003F27D8">
        <w:t xml:space="preserve">s appropriate for biotechnology </w:t>
      </w:r>
      <w:r>
        <w:t>derived therapeutic products.</w:t>
      </w:r>
    </w:p>
    <w:p w14:paraId="502F6498" w14:textId="77777777" w:rsidR="008E7846" w:rsidRDefault="008E7846" w:rsidP="00433863">
      <w:pPr>
        <w:pStyle w:val="Heading3"/>
      </w:pPr>
      <w:bookmarkStart w:id="51" w:name="_Toc247691513"/>
      <w:bookmarkStart w:id="52" w:name="_Toc314842497"/>
      <w:bookmarkStart w:id="53" w:name="_Toc20822168"/>
      <w:r>
        <w:t>Pharmacokinetics</w:t>
      </w:r>
      <w:bookmarkEnd w:id="51"/>
      <w:bookmarkEnd w:id="52"/>
      <w:bookmarkEnd w:id="53"/>
    </w:p>
    <w:p w14:paraId="4532E8B2" w14:textId="4547F35A" w:rsidR="000071C8" w:rsidRDefault="006A421D" w:rsidP="00572B43">
      <w:bookmarkStart w:id="54" w:name="_Toc247691514"/>
      <w:bookmarkStart w:id="55" w:name="_Toc314842498"/>
      <w:r>
        <w:t>Pharmacokinetic</w:t>
      </w:r>
      <w:r w:rsidR="00023342">
        <w:t xml:space="preserve"> (PK)</w:t>
      </w:r>
      <w:r>
        <w:t xml:space="preserve"> and </w:t>
      </w:r>
      <w:proofErr w:type="spellStart"/>
      <w:r>
        <w:t>toxicokinetic</w:t>
      </w:r>
      <w:proofErr w:type="spellEnd"/>
      <w:r>
        <w:t xml:space="preserve"> characteristics of </w:t>
      </w:r>
      <w:proofErr w:type="spellStart"/>
      <w:r>
        <w:t>galcanezumab</w:t>
      </w:r>
      <w:proofErr w:type="spellEnd"/>
      <w:r>
        <w:t xml:space="preserve"> were assessed in rats</w:t>
      </w:r>
      <w:r w:rsidR="003F27D8">
        <w:t xml:space="preserve"> and </w:t>
      </w:r>
      <w:proofErr w:type="spellStart"/>
      <w:r w:rsidR="003F27D8">
        <w:t>cynomolgus</w:t>
      </w:r>
      <w:proofErr w:type="spellEnd"/>
      <w:r w:rsidR="003F27D8">
        <w:t xml:space="preserve"> monkeys. Single </w:t>
      </w:r>
      <w:r>
        <w:t xml:space="preserve">dose assessment in monkeys was conducted following </w:t>
      </w:r>
      <w:r w:rsidR="00776BD6">
        <w:t>IV dose of 2 </w:t>
      </w:r>
      <w:r>
        <w:t>mg/kg. The mean volume of distribution (</w:t>
      </w:r>
      <w:proofErr w:type="spellStart"/>
      <w:r>
        <w:t>V</w:t>
      </w:r>
      <w:r>
        <w:rPr>
          <w:sz w:val="14"/>
          <w:szCs w:val="14"/>
        </w:rPr>
        <w:t>ss</w:t>
      </w:r>
      <w:proofErr w:type="spellEnd"/>
      <w:r w:rsidR="00776BD6">
        <w:t>) in monkeys was 52.2 </w:t>
      </w:r>
      <w:r>
        <w:t>mL/kg (</w:t>
      </w:r>
      <w:r w:rsidR="000A19B8">
        <w:t xml:space="preserve">approximately </w:t>
      </w:r>
      <w:r w:rsidR="002F2AC8">
        <w:t>(</w:t>
      </w:r>
      <w:r>
        <w:t>~</w:t>
      </w:r>
      <w:r w:rsidR="002F2AC8">
        <w:t>)</w:t>
      </w:r>
      <w:r w:rsidR="00776BD6">
        <w:t xml:space="preserve"> </w:t>
      </w:r>
      <w:r>
        <w:t>similar to plasma volume) and</w:t>
      </w:r>
      <w:r w:rsidR="00776BD6">
        <w:t xml:space="preserve"> mean serum clearance was 0.015 </w:t>
      </w:r>
      <w:r>
        <w:t>L/day following IV bolus administration. Elimination from the systemic circulation was slow after single IV administration, with half-life of ~</w:t>
      </w:r>
      <w:r w:rsidR="000A0DAA">
        <w:t xml:space="preserve"> </w:t>
      </w:r>
      <w:r w:rsidR="00AE6262">
        <w:t xml:space="preserve">8 days. Repeat </w:t>
      </w:r>
      <w:r>
        <w:t xml:space="preserve">dose assessments were determined </w:t>
      </w:r>
      <w:r w:rsidR="00AE6262">
        <w:t xml:space="preserve">in rats and monkeys from repeat </w:t>
      </w:r>
      <w:r>
        <w:t xml:space="preserve">dose toxicity studies. Rats and monkeys received weekly doses of </w:t>
      </w:r>
      <w:proofErr w:type="spellStart"/>
      <w:r>
        <w:t>galcanez</w:t>
      </w:r>
      <w:r w:rsidR="000A0DAA">
        <w:t>umab</w:t>
      </w:r>
      <w:proofErr w:type="spellEnd"/>
      <w:r w:rsidR="000A0DAA">
        <w:t xml:space="preserve"> at 1.5, 15, 20, 100 or 250 </w:t>
      </w:r>
      <w:r>
        <w:t>mg/</w:t>
      </w:r>
      <w:r w:rsidR="000A0DAA">
        <w:t>kg (rats) and 1.5, 2, 15 or 100 mg/kg (monkeys) for 6 weeks, 3 or 6 </w:t>
      </w:r>
      <w:r>
        <w:t xml:space="preserve">months. </w:t>
      </w:r>
      <w:proofErr w:type="spellStart"/>
      <w:r>
        <w:t>Galcanezumab</w:t>
      </w:r>
      <w:proofErr w:type="spellEnd"/>
      <w:r>
        <w:t xml:space="preserve"> administered SC showed slow systemic distribution, reaching maximu</w:t>
      </w:r>
      <w:r w:rsidR="000A0DAA">
        <w:t>m serum concentration between 1 to</w:t>
      </w:r>
      <w:r w:rsidR="00AE6262">
        <w:t xml:space="preserve">7 days post </w:t>
      </w:r>
      <w:r>
        <w:t>dose and a long elimination (</w:t>
      </w:r>
      <w:r w:rsidR="000A0DAA">
        <w:t xml:space="preserve">biological half-life </w:t>
      </w:r>
      <w:r w:rsidR="002F2AC8">
        <w:t>(</w:t>
      </w:r>
      <w:r w:rsidRPr="000A0DAA">
        <w:t>t</w:t>
      </w:r>
      <w:r w:rsidRPr="000A0DAA">
        <w:rPr>
          <w:vertAlign w:val="subscript"/>
        </w:rPr>
        <w:t>½</w:t>
      </w:r>
      <w:r w:rsidR="002F2AC8">
        <w:t>)</w:t>
      </w:r>
      <w:r>
        <w:rPr>
          <w:sz w:val="14"/>
          <w:szCs w:val="14"/>
        </w:rPr>
        <w:t xml:space="preserve"> </w:t>
      </w:r>
      <w:r w:rsidR="000A0DAA">
        <w:t xml:space="preserve">7 to </w:t>
      </w:r>
      <w:r>
        <w:t>13 days). Peak and overall exposure (</w:t>
      </w:r>
      <w:r w:rsidR="000A0DAA">
        <w:t xml:space="preserve">peak serum concentration </w:t>
      </w:r>
      <w:r w:rsidR="002F2AC8">
        <w:t>(</w:t>
      </w:r>
      <w:proofErr w:type="spellStart"/>
      <w:r w:rsidRPr="000A0DAA">
        <w:t>C</w:t>
      </w:r>
      <w:r w:rsidRPr="000A0DAA">
        <w:rPr>
          <w:vertAlign w:val="subscript"/>
        </w:rPr>
        <w:t>max</w:t>
      </w:r>
      <w:proofErr w:type="spellEnd"/>
      <w:r w:rsidR="002F2AC8">
        <w:t>)</w:t>
      </w:r>
      <w:r w:rsidRPr="000A0DAA">
        <w:t xml:space="preserve"> a</w:t>
      </w:r>
      <w:r>
        <w:t xml:space="preserve">nd </w:t>
      </w:r>
      <w:r w:rsidR="000A0DAA">
        <w:t xml:space="preserve">area under the curve </w:t>
      </w:r>
      <w:r w:rsidR="002F2AC8">
        <w:t>(</w:t>
      </w:r>
      <w:r>
        <w:t>AUC</w:t>
      </w:r>
      <w:r w:rsidR="002F2AC8">
        <w:t>)</w:t>
      </w:r>
      <w:r w:rsidR="00AE6262">
        <w:t xml:space="preserve">) was less than dose proportional in rats and dose </w:t>
      </w:r>
      <w:r>
        <w:t xml:space="preserve">proportional in monkeys. Accumulation with repeated (weekly) dosing was observed. Repeat dosing did not uncover </w:t>
      </w:r>
      <w:r w:rsidR="00521159">
        <w:t xml:space="preserve">exposure </w:t>
      </w:r>
      <w:r>
        <w:t>differences between male and female monkeys</w:t>
      </w:r>
      <w:r w:rsidR="000071C8">
        <w:t>.</w:t>
      </w:r>
    </w:p>
    <w:p w14:paraId="4D15D2EC" w14:textId="77777777" w:rsidR="000071C8" w:rsidRDefault="006A421D" w:rsidP="00433863">
      <w:r>
        <w:t>In human population pharmacokinetic studies following SC administration, peak serum concentration was reached at ~</w:t>
      </w:r>
      <w:r w:rsidR="00FD3BDB">
        <w:t> 5 </w:t>
      </w:r>
      <w:proofErr w:type="gramStart"/>
      <w:r w:rsidR="00AE6262">
        <w:t>days</w:t>
      </w:r>
      <w:proofErr w:type="gramEnd"/>
      <w:r w:rsidR="00AE6262">
        <w:t xml:space="preserve"> post </w:t>
      </w:r>
      <w:r>
        <w:t>dose (a</w:t>
      </w:r>
      <w:r w:rsidR="00FD3BDB">
        <w:t>t a 240 mg loading dose followed by 5 </w:t>
      </w:r>
      <w:r>
        <w:t>c</w:t>
      </w:r>
      <w:r w:rsidR="00FD3BDB">
        <w:t>onsecutive monthly doses of 120 mg) and the half-life was 27 </w:t>
      </w:r>
      <w:r>
        <w:t>days. The predicted clearance and v</w:t>
      </w:r>
      <w:r w:rsidR="00FD3BDB">
        <w:t>olume of distribution were 0.19 L/day and 7.3 </w:t>
      </w:r>
      <w:r>
        <w:t>L (~</w:t>
      </w:r>
      <w:r w:rsidR="00FD3BDB">
        <w:t> 122 mL/kg for a 60 </w:t>
      </w:r>
      <w:r>
        <w:t>kg adult), respectively</w:t>
      </w:r>
      <w:r w:rsidR="000071C8">
        <w:t>.</w:t>
      </w:r>
    </w:p>
    <w:p w14:paraId="594994E7" w14:textId="44D0CAB5" w:rsidR="000071C8" w:rsidRDefault="006A421D" w:rsidP="00433863">
      <w:r>
        <w:lastRenderedPageBreak/>
        <w:t xml:space="preserve">Tissue distribution was assessed in rats following a single SC administration of </w:t>
      </w:r>
      <w:r w:rsidR="00FD3BDB">
        <w:t xml:space="preserve">radiolabelled </w:t>
      </w:r>
      <w:proofErr w:type="spellStart"/>
      <w:r w:rsidR="00FD3BDB">
        <w:t>galcanezumab</w:t>
      </w:r>
      <w:proofErr w:type="spellEnd"/>
      <w:r w:rsidR="00FD3BDB">
        <w:t xml:space="preserve"> at 4 </w:t>
      </w:r>
      <w:r>
        <w:t xml:space="preserve">mg/kg. </w:t>
      </w:r>
      <w:proofErr w:type="spellStart"/>
      <w:r>
        <w:t>Galcanezumab</w:t>
      </w:r>
      <w:proofErr w:type="spellEnd"/>
      <w:r>
        <w:t xml:space="preserve"> was detected in plasma and tissues for ≥</w:t>
      </w:r>
      <w:r w:rsidR="00FD3BDB">
        <w:t xml:space="preserve"> 7 </w:t>
      </w:r>
      <w:r>
        <w:t xml:space="preserve">days. Tissue distribution of </w:t>
      </w:r>
      <w:proofErr w:type="spellStart"/>
      <w:r>
        <w:t>galcanezumab</w:t>
      </w:r>
      <w:proofErr w:type="spellEnd"/>
      <w:r>
        <w:t xml:space="preserve"> across was dura mater &gt; spleen &gt; trigeminal ganglia &gt; hypothalamus = spinal cord &gt; prefrontal cortex = cerebellum &gt; </w:t>
      </w:r>
      <w:r w:rsidR="00FD3BDB">
        <w:rPr>
          <w:bCs/>
        </w:rPr>
        <w:t>c</w:t>
      </w:r>
      <w:r w:rsidR="00FD3BDB" w:rsidRPr="00FD3BDB">
        <w:rPr>
          <w:bCs/>
        </w:rPr>
        <w:t>erebrospinal fluid</w:t>
      </w:r>
      <w:r w:rsidR="00FD3BDB" w:rsidRPr="00FD3BDB">
        <w:t xml:space="preserve"> </w:t>
      </w:r>
      <w:r w:rsidR="00FD3BDB">
        <w:t>(</w:t>
      </w:r>
      <w:r>
        <w:t>CSF</w:t>
      </w:r>
      <w:r w:rsidR="00FD3BDB">
        <w:t>)</w:t>
      </w:r>
      <w:r w:rsidR="000071C8">
        <w:t>.</w:t>
      </w:r>
    </w:p>
    <w:p w14:paraId="76E254B5" w14:textId="77777777" w:rsidR="006A421D" w:rsidRDefault="006A421D" w:rsidP="00572B43">
      <w:r>
        <w:t xml:space="preserve">No specific studies on metabolism, excretion or pharmacokinetic interactions were conducted. This is acceptable given the protein nature of the drug, in accordance with </w:t>
      </w:r>
      <w:r w:rsidR="00FD3BDB">
        <w:t>relevant guidleines</w:t>
      </w:r>
      <w:r>
        <w:t>.</w:t>
      </w:r>
      <w:r w:rsidR="00FD3BDB">
        <w:fldChar w:fldCharType="begin"/>
      </w:r>
      <w:r w:rsidR="00FD3BDB">
        <w:instrText xml:space="preserve"> NOTEREF _Ref12351989 \f \h </w:instrText>
      </w:r>
      <w:r w:rsidR="00FD3BDB">
        <w:fldChar w:fldCharType="separate"/>
      </w:r>
      <w:r w:rsidR="00FD3BDB" w:rsidRPr="00FD3BDB">
        <w:rPr>
          <w:rStyle w:val="FootnoteReference"/>
        </w:rPr>
        <w:t>1</w:t>
      </w:r>
      <w:r w:rsidR="00FD3BDB">
        <w:fldChar w:fldCharType="end"/>
      </w:r>
      <w:r>
        <w:t xml:space="preserve"> It is expected that </w:t>
      </w:r>
      <w:proofErr w:type="spellStart"/>
      <w:r>
        <w:t>galcanezumab</w:t>
      </w:r>
      <w:proofErr w:type="spellEnd"/>
      <w:r>
        <w:t xml:space="preserve"> will be eliminated by normal protein degradation pathways for IgG molecules.</w:t>
      </w:r>
    </w:p>
    <w:p w14:paraId="63D88815" w14:textId="77777777" w:rsidR="001B5C90" w:rsidRDefault="008E7846" w:rsidP="00572B43">
      <w:pPr>
        <w:pStyle w:val="Heading3"/>
      </w:pPr>
      <w:bookmarkStart w:id="56" w:name="_Toc20822169"/>
      <w:r>
        <w:t>Toxicology</w:t>
      </w:r>
      <w:bookmarkEnd w:id="54"/>
      <w:bookmarkEnd w:id="55"/>
      <w:bookmarkEnd w:id="56"/>
    </w:p>
    <w:p w14:paraId="04E96FDD" w14:textId="77777777" w:rsidR="0057105C" w:rsidRDefault="006A421D" w:rsidP="000071C8">
      <w:pPr>
        <w:pStyle w:val="Heading4"/>
      </w:pPr>
      <w:r>
        <w:t>Acute toxicity</w:t>
      </w:r>
    </w:p>
    <w:p w14:paraId="0A7529C9" w14:textId="77777777" w:rsidR="00C9747E" w:rsidRDefault="00AE6262" w:rsidP="00433863">
      <w:pPr>
        <w:rPr>
          <w:noProof/>
          <w:lang w:eastAsia="en-AU"/>
        </w:rPr>
      </w:pPr>
      <w:r>
        <w:t xml:space="preserve">Acute toxicity from a single </w:t>
      </w:r>
      <w:r w:rsidR="006A421D">
        <w:t xml:space="preserve">dose of </w:t>
      </w:r>
      <w:proofErr w:type="spellStart"/>
      <w:r w:rsidR="006A421D">
        <w:t>galcanezumab</w:t>
      </w:r>
      <w:proofErr w:type="spellEnd"/>
      <w:r w:rsidR="006A421D">
        <w:t xml:space="preserve"> was not examined. This is acceptable, with relevant information on acute</w:t>
      </w:r>
      <w:r>
        <w:t xml:space="preserve"> toxicity available from repeat </w:t>
      </w:r>
      <w:r w:rsidR="006A421D">
        <w:t>dose toxicity studies instead. No acute toxic effects were apparent in rats and monkeys in those studies u</w:t>
      </w:r>
      <w:r w:rsidR="00023342">
        <w:t>p the highest doses tested (250 mg/kg/week SC and 100 </w:t>
      </w:r>
      <w:r w:rsidR="006A421D">
        <w:t>mg/k</w:t>
      </w:r>
      <w:r>
        <w:t xml:space="preserve">g/week SC, respectively). A non GLP compliant single </w:t>
      </w:r>
      <w:r w:rsidR="006A421D">
        <w:t xml:space="preserve">dose pharmacokinetic study was conducted in </w:t>
      </w:r>
      <w:proofErr w:type="spellStart"/>
      <w:r w:rsidR="006A421D">
        <w:t>cynomolgus</w:t>
      </w:r>
      <w:proofErr w:type="spellEnd"/>
      <w:r w:rsidR="006A421D">
        <w:t xml:space="preserve"> monkeys using the IV route.</w:t>
      </w:r>
    </w:p>
    <w:p w14:paraId="4BD0B5D9" w14:textId="0BA5B795" w:rsidR="00550D61" w:rsidRPr="00550D61" w:rsidRDefault="007F1E71" w:rsidP="007F1E71">
      <w:pPr>
        <w:pStyle w:val="TableTitle"/>
      </w:pPr>
      <w:r>
        <w:t xml:space="preserve">Table </w:t>
      </w:r>
      <w:fldSimple w:instr=" SEQ Table \* ARABIC ">
        <w:r>
          <w:rPr>
            <w:noProof/>
          </w:rPr>
          <w:t>3</w:t>
        </w:r>
      </w:fldSimple>
      <w:r w:rsidR="00023342">
        <w:t>:</w:t>
      </w:r>
      <w:r w:rsidR="00550D61" w:rsidRPr="00550D61">
        <w:t xml:space="preserve"> Relative exposure in the acute pharmacokinetic in monkeys</w:t>
      </w:r>
    </w:p>
    <w:tbl>
      <w:tblPr>
        <w:tblStyle w:val="TableTGAblue"/>
        <w:tblW w:w="4927" w:type="pct"/>
        <w:tblLook w:val="04A0" w:firstRow="1" w:lastRow="0" w:firstColumn="1" w:lastColumn="0" w:noHBand="0" w:noVBand="1"/>
      </w:tblPr>
      <w:tblGrid>
        <w:gridCol w:w="2989"/>
        <w:gridCol w:w="1868"/>
        <w:gridCol w:w="1868"/>
        <w:gridCol w:w="1868"/>
      </w:tblGrid>
      <w:tr w:rsidR="00550D61" w:rsidRPr="00701599" w14:paraId="12DF59A4" w14:textId="77777777" w:rsidTr="00CD0A73">
        <w:trPr>
          <w:cnfStyle w:val="100000000000" w:firstRow="1" w:lastRow="0" w:firstColumn="0" w:lastColumn="0" w:oddVBand="0" w:evenVBand="0" w:oddHBand="0" w:evenHBand="0" w:firstRowFirstColumn="0" w:firstRowLastColumn="0" w:lastRowFirstColumn="0" w:lastRowLastColumn="0"/>
          <w:trHeight w:val="653"/>
        </w:trPr>
        <w:tc>
          <w:tcPr>
            <w:tcW w:w="1739" w:type="pct"/>
          </w:tcPr>
          <w:p w14:paraId="20DD17A8" w14:textId="77777777" w:rsidR="00550D61" w:rsidRPr="00701599" w:rsidRDefault="00550D61" w:rsidP="00701599">
            <w:pPr>
              <w:pStyle w:val="Tabletext"/>
              <w:spacing w:before="0" w:after="0"/>
              <w:ind w:left="0" w:right="0"/>
              <w:jc w:val="center"/>
              <w:rPr>
                <w:sz w:val="20"/>
                <w:lang w:val="en-GB"/>
              </w:rPr>
            </w:pPr>
            <w:r w:rsidRPr="00701599">
              <w:rPr>
                <w:sz w:val="20"/>
                <w:lang w:val="en-GB"/>
              </w:rPr>
              <w:t>Study details</w:t>
            </w:r>
          </w:p>
        </w:tc>
        <w:tc>
          <w:tcPr>
            <w:tcW w:w="1087" w:type="pct"/>
          </w:tcPr>
          <w:p w14:paraId="5CE148FE" w14:textId="77777777" w:rsidR="00550D61" w:rsidRPr="00701599" w:rsidRDefault="00550D61" w:rsidP="00701599">
            <w:pPr>
              <w:pStyle w:val="Tabletext"/>
              <w:spacing w:before="0" w:after="0"/>
              <w:ind w:left="0" w:right="0"/>
              <w:jc w:val="center"/>
              <w:rPr>
                <w:sz w:val="20"/>
                <w:lang w:val="en-GB"/>
              </w:rPr>
            </w:pPr>
            <w:r w:rsidRPr="00701599">
              <w:rPr>
                <w:sz w:val="20"/>
                <w:lang w:val="en-GB"/>
              </w:rPr>
              <w:t>Dose (mg/kg/week)</w:t>
            </w:r>
          </w:p>
        </w:tc>
        <w:tc>
          <w:tcPr>
            <w:tcW w:w="1087" w:type="pct"/>
          </w:tcPr>
          <w:p w14:paraId="49BA249F" w14:textId="77777777" w:rsidR="00550D61" w:rsidRPr="00701599" w:rsidRDefault="00550D61" w:rsidP="00701599">
            <w:pPr>
              <w:pStyle w:val="Tabletext"/>
              <w:spacing w:before="0" w:after="0"/>
              <w:ind w:left="0" w:right="0"/>
              <w:jc w:val="center"/>
              <w:rPr>
                <w:sz w:val="20"/>
                <w:lang w:val="en-GB"/>
              </w:rPr>
            </w:pPr>
            <w:r w:rsidRPr="00701599">
              <w:rPr>
                <w:sz w:val="20"/>
              </w:rPr>
              <w:t>AUC</w:t>
            </w:r>
            <w:r w:rsidRPr="00701599">
              <w:rPr>
                <w:sz w:val="20"/>
                <w:vertAlign w:val="subscript"/>
              </w:rPr>
              <w:t xml:space="preserve">0‒∞ </w:t>
            </w:r>
            <w:r w:rsidRPr="00701599">
              <w:rPr>
                <w:sz w:val="20"/>
              </w:rPr>
              <w:t>(</w:t>
            </w:r>
            <w:proofErr w:type="spellStart"/>
            <w:r w:rsidRPr="00701599">
              <w:rPr>
                <w:sz w:val="20"/>
              </w:rPr>
              <w:t>μg∙h</w:t>
            </w:r>
            <w:r w:rsidR="00753F31">
              <w:rPr>
                <w:sz w:val="20"/>
              </w:rPr>
              <w:t>our</w:t>
            </w:r>
            <w:proofErr w:type="spellEnd"/>
            <w:r w:rsidRPr="00701599">
              <w:rPr>
                <w:sz w:val="20"/>
              </w:rPr>
              <w:t>/mL)</w:t>
            </w:r>
          </w:p>
        </w:tc>
        <w:tc>
          <w:tcPr>
            <w:tcW w:w="1087" w:type="pct"/>
          </w:tcPr>
          <w:p w14:paraId="051BB444" w14:textId="77777777" w:rsidR="00550D61" w:rsidRPr="00701599" w:rsidRDefault="00550D61" w:rsidP="00701599">
            <w:pPr>
              <w:pStyle w:val="Tabletext"/>
              <w:spacing w:before="0" w:after="0"/>
              <w:ind w:left="0" w:right="0"/>
              <w:jc w:val="center"/>
              <w:rPr>
                <w:sz w:val="20"/>
                <w:vertAlign w:val="superscript"/>
                <w:lang w:val="en-GB"/>
              </w:rPr>
            </w:pPr>
            <w:r w:rsidRPr="00701599">
              <w:rPr>
                <w:sz w:val="20"/>
                <w:lang w:val="en-GB"/>
              </w:rPr>
              <w:t>Exposure ratio</w:t>
            </w:r>
            <w:r w:rsidRPr="00701599">
              <w:rPr>
                <w:sz w:val="20"/>
                <w:vertAlign w:val="superscript"/>
                <w:lang w:val="en-GB"/>
              </w:rPr>
              <w:t>#</w:t>
            </w:r>
          </w:p>
        </w:tc>
      </w:tr>
      <w:tr w:rsidR="00550D61" w:rsidRPr="00701599" w14:paraId="1C0F58BB" w14:textId="77777777" w:rsidTr="00ED1074">
        <w:trPr>
          <w:trHeight w:val="490"/>
        </w:trPr>
        <w:tc>
          <w:tcPr>
            <w:tcW w:w="1739" w:type="pct"/>
          </w:tcPr>
          <w:p w14:paraId="1D7EA041" w14:textId="77777777" w:rsidR="00023342" w:rsidRPr="00701599" w:rsidRDefault="00023342" w:rsidP="00701599">
            <w:pPr>
              <w:pStyle w:val="Tabletext"/>
              <w:spacing w:before="0" w:after="0"/>
              <w:ind w:left="0" w:right="0"/>
              <w:jc w:val="center"/>
              <w:rPr>
                <w:b/>
                <w:sz w:val="20"/>
              </w:rPr>
            </w:pPr>
            <w:r w:rsidRPr="00701599">
              <w:rPr>
                <w:b/>
                <w:sz w:val="20"/>
              </w:rPr>
              <w:t>Study 8214340LO</w:t>
            </w:r>
          </w:p>
          <w:p w14:paraId="1DD68F85" w14:textId="77777777" w:rsidR="00550D61" w:rsidRPr="00701599" w:rsidRDefault="00550D61" w:rsidP="00701599">
            <w:pPr>
              <w:pStyle w:val="Tabletext"/>
              <w:spacing w:before="0" w:after="0"/>
              <w:ind w:left="0" w:right="0"/>
              <w:jc w:val="center"/>
              <w:rPr>
                <w:sz w:val="20"/>
              </w:rPr>
            </w:pPr>
            <w:r w:rsidRPr="00701599">
              <w:rPr>
                <w:sz w:val="20"/>
              </w:rPr>
              <w:t>Single IV dose</w:t>
            </w:r>
          </w:p>
        </w:tc>
        <w:tc>
          <w:tcPr>
            <w:tcW w:w="1087" w:type="pct"/>
          </w:tcPr>
          <w:p w14:paraId="4B4C93BE" w14:textId="77777777" w:rsidR="00550D61" w:rsidRPr="00701599" w:rsidRDefault="00550D61" w:rsidP="00701599">
            <w:pPr>
              <w:pStyle w:val="Tabletext"/>
              <w:spacing w:before="0" w:after="0"/>
              <w:ind w:left="0" w:right="0"/>
              <w:jc w:val="center"/>
              <w:rPr>
                <w:sz w:val="20"/>
              </w:rPr>
            </w:pPr>
            <w:r w:rsidRPr="00701599">
              <w:rPr>
                <w:sz w:val="20"/>
              </w:rPr>
              <w:t>2</w:t>
            </w:r>
          </w:p>
        </w:tc>
        <w:tc>
          <w:tcPr>
            <w:tcW w:w="1087" w:type="pct"/>
          </w:tcPr>
          <w:p w14:paraId="53CCC33A" w14:textId="77777777" w:rsidR="00550D61" w:rsidRPr="00701599" w:rsidRDefault="00550D61" w:rsidP="00701599">
            <w:pPr>
              <w:pStyle w:val="Tabletext"/>
              <w:spacing w:before="0" w:after="0"/>
              <w:ind w:left="0" w:right="0"/>
              <w:jc w:val="center"/>
              <w:rPr>
                <w:sz w:val="20"/>
              </w:rPr>
            </w:pPr>
            <w:r w:rsidRPr="00701599">
              <w:rPr>
                <w:sz w:val="20"/>
              </w:rPr>
              <w:t>8217</w:t>
            </w:r>
          </w:p>
        </w:tc>
        <w:tc>
          <w:tcPr>
            <w:tcW w:w="1087" w:type="pct"/>
          </w:tcPr>
          <w:p w14:paraId="716A74CA" w14:textId="179293A6" w:rsidR="00550D61" w:rsidRPr="00701599" w:rsidRDefault="00535204" w:rsidP="00701599">
            <w:pPr>
              <w:pStyle w:val="Tabletext"/>
              <w:spacing w:before="0" w:after="0"/>
              <w:ind w:left="0" w:right="0"/>
              <w:jc w:val="center"/>
              <w:rPr>
                <w:sz w:val="20"/>
              </w:rPr>
            </w:pPr>
            <w:r>
              <w:rPr>
                <w:sz w:val="20"/>
              </w:rPr>
              <w:t>2.1</w:t>
            </w:r>
          </w:p>
        </w:tc>
      </w:tr>
      <w:tr w:rsidR="00550D61" w:rsidRPr="00701599" w14:paraId="359BDB08" w14:textId="77777777" w:rsidTr="00ED1074">
        <w:trPr>
          <w:trHeight w:val="736"/>
        </w:trPr>
        <w:tc>
          <w:tcPr>
            <w:tcW w:w="1739" w:type="pct"/>
          </w:tcPr>
          <w:p w14:paraId="13CBAE6A" w14:textId="77777777" w:rsidR="00023342" w:rsidRPr="00701599" w:rsidRDefault="00023342" w:rsidP="00701599">
            <w:pPr>
              <w:pStyle w:val="Tabletext"/>
              <w:spacing w:before="0" w:after="0"/>
              <w:ind w:left="0" w:right="0"/>
              <w:jc w:val="center"/>
              <w:rPr>
                <w:b/>
                <w:sz w:val="20"/>
              </w:rPr>
            </w:pPr>
            <w:r w:rsidRPr="00701599">
              <w:rPr>
                <w:b/>
                <w:sz w:val="20"/>
              </w:rPr>
              <w:t>Human: Population PK analysis</w:t>
            </w:r>
          </w:p>
          <w:p w14:paraId="07EEDFFE" w14:textId="77777777" w:rsidR="00550D61" w:rsidRPr="00701599" w:rsidRDefault="00753F31" w:rsidP="00701599">
            <w:pPr>
              <w:pStyle w:val="Tabletext"/>
              <w:spacing w:before="0" w:after="0"/>
              <w:ind w:left="0" w:right="0"/>
              <w:jc w:val="center"/>
              <w:rPr>
                <w:sz w:val="20"/>
              </w:rPr>
            </w:pPr>
            <w:r>
              <w:rPr>
                <w:sz w:val="20"/>
              </w:rPr>
              <w:t xml:space="preserve">(1 </w:t>
            </w:r>
            <w:r w:rsidR="00550D61" w:rsidRPr="00701599">
              <w:rPr>
                <w:sz w:val="20"/>
              </w:rPr>
              <w:t>compartment model)</w:t>
            </w:r>
          </w:p>
        </w:tc>
        <w:tc>
          <w:tcPr>
            <w:tcW w:w="1087" w:type="pct"/>
          </w:tcPr>
          <w:p w14:paraId="7213D1B0" w14:textId="77777777" w:rsidR="00550D61" w:rsidRPr="00701599" w:rsidRDefault="00550D61" w:rsidP="00701599">
            <w:pPr>
              <w:pStyle w:val="Tabletext"/>
              <w:spacing w:before="0" w:after="0"/>
              <w:ind w:left="0" w:right="0"/>
              <w:jc w:val="center"/>
              <w:rPr>
                <w:sz w:val="20"/>
              </w:rPr>
            </w:pPr>
            <w:r w:rsidRPr="00701599">
              <w:rPr>
                <w:sz w:val="20"/>
              </w:rPr>
              <w:t>120 mg*</w:t>
            </w:r>
          </w:p>
        </w:tc>
        <w:tc>
          <w:tcPr>
            <w:tcW w:w="1087" w:type="pct"/>
          </w:tcPr>
          <w:p w14:paraId="7D603289" w14:textId="77777777" w:rsidR="00550D61" w:rsidRPr="00701599" w:rsidRDefault="00550D61" w:rsidP="00701599">
            <w:pPr>
              <w:pStyle w:val="Tabletext"/>
              <w:spacing w:before="0" w:after="0"/>
              <w:ind w:left="0" w:right="0"/>
              <w:jc w:val="center"/>
              <w:rPr>
                <w:sz w:val="20"/>
              </w:rPr>
            </w:pPr>
            <w:r w:rsidRPr="00701599">
              <w:rPr>
                <w:sz w:val="20"/>
              </w:rPr>
              <w:t>15900</w:t>
            </w:r>
          </w:p>
        </w:tc>
        <w:tc>
          <w:tcPr>
            <w:tcW w:w="1087" w:type="pct"/>
          </w:tcPr>
          <w:p w14:paraId="6E7FBDA8" w14:textId="77777777" w:rsidR="00550D61" w:rsidRPr="00701599" w:rsidRDefault="00550D61" w:rsidP="00701599">
            <w:pPr>
              <w:pStyle w:val="Tabletext"/>
              <w:spacing w:before="0" w:after="0"/>
              <w:ind w:left="0" w:right="0"/>
              <w:jc w:val="center"/>
              <w:rPr>
                <w:sz w:val="20"/>
              </w:rPr>
            </w:pPr>
          </w:p>
        </w:tc>
      </w:tr>
    </w:tbl>
    <w:p w14:paraId="372E8545" w14:textId="599AFAFD" w:rsidR="00550D61" w:rsidRDefault="00A17E10" w:rsidP="00572B43">
      <w:pPr>
        <w:pStyle w:val="TableDescription"/>
      </w:pPr>
      <w:r>
        <w:t>AUC</w:t>
      </w:r>
      <w:r>
        <w:rPr>
          <w:vertAlign w:val="subscript"/>
        </w:rPr>
        <w:t>0-</w:t>
      </w:r>
      <w:r w:rsidRPr="00701599">
        <w:rPr>
          <w:sz w:val="20"/>
          <w:vertAlign w:val="subscript"/>
        </w:rPr>
        <w:t>∞</w:t>
      </w:r>
      <w:r>
        <w:rPr>
          <w:sz w:val="20"/>
          <w:vertAlign w:val="subscript"/>
        </w:rPr>
        <w:t xml:space="preserve"> </w:t>
      </w:r>
      <w:r>
        <w:rPr>
          <w:sz w:val="20"/>
        </w:rPr>
        <w:t xml:space="preserve">= Area under the curve from time zero (dosing) to infinity; </w:t>
      </w:r>
      <w:r w:rsidR="00550D61">
        <w:t xml:space="preserve">* = </w:t>
      </w:r>
      <w:proofErr w:type="spellStart"/>
      <w:r w:rsidR="00550D61">
        <w:t>AUC</w:t>
      </w:r>
      <w:r w:rsidR="00550D61" w:rsidRPr="002227B7">
        <w:rPr>
          <w:vertAlign w:val="subscript"/>
        </w:rPr>
        <w:t>τ</w:t>
      </w:r>
      <w:proofErr w:type="spellEnd"/>
      <w:r w:rsidR="00550D61" w:rsidRPr="002227B7">
        <w:rPr>
          <w:vertAlign w:val="subscript"/>
        </w:rPr>
        <w:t xml:space="preserve">, </w:t>
      </w:r>
      <w:proofErr w:type="spellStart"/>
      <w:r w:rsidR="00550D61" w:rsidRPr="002227B7">
        <w:rPr>
          <w:vertAlign w:val="subscript"/>
        </w:rPr>
        <w:t>ss</w:t>
      </w:r>
      <w:proofErr w:type="spellEnd"/>
      <w:r w:rsidR="00550D61">
        <w:t xml:space="preserve"> after a 240 mg loading dose followed by 5 c</w:t>
      </w:r>
      <w:r w:rsidR="00023342">
        <w:t>onsecutive monthly doses of 120 </w:t>
      </w:r>
      <w:r w:rsidR="002F2AC8">
        <w:t xml:space="preserve">mg. </w:t>
      </w:r>
      <w:r w:rsidR="00550D61" w:rsidRPr="00CD0A73">
        <w:t>#</w:t>
      </w:r>
      <w:r>
        <w:t> </w:t>
      </w:r>
      <w:r w:rsidR="00753F31">
        <w:t>=</w:t>
      </w:r>
      <w:r>
        <w:t> </w:t>
      </w:r>
      <w:r w:rsidR="00753F31">
        <w:t>animal:</w:t>
      </w:r>
      <w:r>
        <w:t> </w:t>
      </w:r>
      <w:r w:rsidR="00550D61">
        <w:t>human serum AUC</w:t>
      </w:r>
      <w:r w:rsidR="00550D61" w:rsidRPr="002227B7">
        <w:rPr>
          <w:vertAlign w:val="subscript"/>
        </w:rPr>
        <w:t>0-t</w:t>
      </w:r>
      <w:r w:rsidR="00753F31">
        <w:t xml:space="preserve"> times by </w:t>
      </w:r>
      <w:proofErr w:type="spellStart"/>
      <w:proofErr w:type="gramStart"/>
      <w:r w:rsidR="00753F31">
        <w:t>animal:</w:t>
      </w:r>
      <w:r w:rsidR="00550D61">
        <w:t>human</w:t>
      </w:r>
      <w:proofErr w:type="spellEnd"/>
      <w:proofErr w:type="gramEnd"/>
      <w:r w:rsidR="00550D61">
        <w:t xml:space="preserve"> dosing frequency</w:t>
      </w:r>
    </w:p>
    <w:p w14:paraId="0EBB66DC" w14:textId="77777777" w:rsidR="006A421D" w:rsidRDefault="00AE6262" w:rsidP="000071C8">
      <w:pPr>
        <w:pStyle w:val="Heading4"/>
      </w:pPr>
      <w:r>
        <w:t xml:space="preserve">Repeat </w:t>
      </w:r>
      <w:r w:rsidR="0057105C">
        <w:t>dose toxicity</w:t>
      </w:r>
    </w:p>
    <w:p w14:paraId="4665C1A4" w14:textId="578D5DAA" w:rsidR="000071C8" w:rsidRDefault="00AE6262" w:rsidP="00433863">
      <w:r>
        <w:t xml:space="preserve">Repeat </w:t>
      </w:r>
      <w:r w:rsidR="006A421D">
        <w:t>dose toxicity studies were c</w:t>
      </w:r>
      <w:r w:rsidR="00701599">
        <w:t>onducted in rats and monkeys (</w:t>
      </w:r>
      <w:r w:rsidR="000B5785">
        <w:t>6</w:t>
      </w:r>
      <w:r w:rsidR="00701599">
        <w:t> weeks, 3 and 6 </w:t>
      </w:r>
      <w:r w:rsidR="006A421D">
        <w:t>months). Administration was once weekly in all studies (</w:t>
      </w:r>
      <w:r w:rsidR="00701599">
        <w:t>that is</w:t>
      </w:r>
      <w:r w:rsidR="006A421D">
        <w:t>, given more frequently than the once a month</w:t>
      </w:r>
      <w:r w:rsidR="006A421D" w:rsidRPr="006A421D">
        <w:t xml:space="preserve"> </w:t>
      </w:r>
      <w:r w:rsidR="006A421D">
        <w:t xml:space="preserve">regimen in patients) and by the clinical route (SC). The pivotal studies were appropriately designed and conducted in terms of the species used (rat and </w:t>
      </w:r>
      <w:proofErr w:type="spellStart"/>
      <w:r w:rsidR="00701599">
        <w:t>cynomolgus</w:t>
      </w:r>
      <w:proofErr w:type="spellEnd"/>
      <w:r w:rsidR="00701599">
        <w:t xml:space="preserve"> monkey), duration (6 </w:t>
      </w:r>
      <w:r w:rsidR="006A421D">
        <w:t>months), group size and range of endpoints examined</w:t>
      </w:r>
      <w:r w:rsidR="000071C8">
        <w:t>.</w:t>
      </w:r>
    </w:p>
    <w:p w14:paraId="48C28180" w14:textId="77777777" w:rsidR="006A421D" w:rsidRDefault="0057105C" w:rsidP="000071C8">
      <w:pPr>
        <w:pStyle w:val="Heading5"/>
      </w:pPr>
      <w:r>
        <w:t>Relative exposure</w:t>
      </w:r>
    </w:p>
    <w:p w14:paraId="68EEEBEE" w14:textId="6BF846BE" w:rsidR="006A421D" w:rsidRDefault="006A421D" w:rsidP="00433863">
      <w:pPr>
        <w:rPr>
          <w:noProof/>
          <w:lang w:eastAsia="en-AU"/>
        </w:rPr>
      </w:pPr>
      <w:proofErr w:type="spellStart"/>
      <w:proofErr w:type="gramStart"/>
      <w:r>
        <w:t>Animal:human</w:t>
      </w:r>
      <w:proofErr w:type="spellEnd"/>
      <w:proofErr w:type="gramEnd"/>
      <w:r>
        <w:t xml:space="preserve"> exposure multiples achieved in the key toxicity studies are calculated below based on comparison of serum AUC for </w:t>
      </w:r>
      <w:proofErr w:type="spellStart"/>
      <w:r>
        <w:t>galcanezumab</w:t>
      </w:r>
      <w:proofErr w:type="spellEnd"/>
      <w:r>
        <w:t>, adjusted for differences in dosing frequency (</w:t>
      </w:r>
      <w:r w:rsidR="00701599">
        <w:t>that is</w:t>
      </w:r>
      <w:r>
        <w:t xml:space="preserve">, animal values are multiplied by </w:t>
      </w:r>
      <w:r w:rsidR="00CD0A73">
        <w:t>4</w:t>
      </w:r>
      <w:r w:rsidR="005438F2">
        <w:t xml:space="preserve"> </w:t>
      </w:r>
      <w:r>
        <w:t xml:space="preserve">to account for weekly </w:t>
      </w:r>
      <w:r w:rsidR="00701599" w:rsidRPr="00701599">
        <w:rPr>
          <w:iCs/>
        </w:rPr>
        <w:t xml:space="preserve">compared </w:t>
      </w:r>
      <w:r w:rsidR="00701599" w:rsidRPr="00701599">
        <w:t>with</w:t>
      </w:r>
      <w:r w:rsidRPr="00701599">
        <w:t xml:space="preserve"> monthly</w:t>
      </w:r>
      <w:r>
        <w:t xml:space="preserve"> dosing). The cli</w:t>
      </w:r>
      <w:r w:rsidR="00AE6262">
        <w:t xml:space="preserve">nical AUC values predicted by 1 </w:t>
      </w:r>
      <w:r>
        <w:t>comp</w:t>
      </w:r>
      <w:r w:rsidR="00701599">
        <w:t>artment population PK modelling</w:t>
      </w:r>
      <w:r>
        <w:rPr>
          <w:color w:val="0000FF"/>
        </w:rPr>
        <w:t xml:space="preserve"> </w:t>
      </w:r>
      <w:r>
        <w:t>are used for exposure comparison. The AUC data used for animals is the mean of the male and female values on the last sampling occasion. Very high multiples of the human exposure were obtained at the highest doses tested.</w:t>
      </w:r>
    </w:p>
    <w:p w14:paraId="30DE00E6" w14:textId="66A669CE" w:rsidR="00550D61" w:rsidRPr="00141656" w:rsidRDefault="007F1E71" w:rsidP="007F1E71">
      <w:pPr>
        <w:pStyle w:val="TableTitle"/>
      </w:pPr>
      <w:r>
        <w:lastRenderedPageBreak/>
        <w:t xml:space="preserve">Table </w:t>
      </w:r>
      <w:fldSimple w:instr=" SEQ Table \* ARABIC ">
        <w:r>
          <w:rPr>
            <w:noProof/>
          </w:rPr>
          <w:t>4</w:t>
        </w:r>
      </w:fldSimple>
      <w:r w:rsidR="00DC50DF">
        <w:t>:</w:t>
      </w:r>
      <w:r w:rsidR="00AE6262">
        <w:t xml:space="preserve"> Relative exposure in repeat </w:t>
      </w:r>
      <w:r w:rsidR="00550D61">
        <w:t>dose toxicity studies</w:t>
      </w:r>
    </w:p>
    <w:tbl>
      <w:tblPr>
        <w:tblStyle w:val="TableTGAblue"/>
        <w:tblW w:w="4750" w:type="pct"/>
        <w:tblLook w:val="04A0" w:firstRow="1" w:lastRow="0" w:firstColumn="1" w:lastColumn="0" w:noHBand="0" w:noVBand="1"/>
      </w:tblPr>
      <w:tblGrid>
        <w:gridCol w:w="1656"/>
        <w:gridCol w:w="1657"/>
        <w:gridCol w:w="1657"/>
        <w:gridCol w:w="1657"/>
        <w:gridCol w:w="1657"/>
      </w:tblGrid>
      <w:tr w:rsidR="00550D61" w:rsidRPr="00701599" w14:paraId="517B41FE" w14:textId="77777777" w:rsidTr="00701599">
        <w:trPr>
          <w:cnfStyle w:val="100000000000" w:firstRow="1" w:lastRow="0" w:firstColumn="0" w:lastColumn="0" w:oddVBand="0" w:evenVBand="0" w:oddHBand="0" w:evenHBand="0" w:firstRowFirstColumn="0" w:firstRowLastColumn="0" w:lastRowFirstColumn="0" w:lastRowLastColumn="0"/>
        </w:trPr>
        <w:tc>
          <w:tcPr>
            <w:tcW w:w="1000" w:type="pct"/>
          </w:tcPr>
          <w:p w14:paraId="4FD53F8F" w14:textId="77777777" w:rsidR="00550D61" w:rsidRPr="00701599" w:rsidRDefault="00550D61" w:rsidP="00B17704">
            <w:pPr>
              <w:pStyle w:val="TableHeader"/>
              <w:ind w:left="0" w:right="0"/>
              <w:rPr>
                <w:b/>
                <w:sz w:val="20"/>
                <w:szCs w:val="20"/>
                <w:lang w:val="en-GB"/>
              </w:rPr>
            </w:pPr>
            <w:r w:rsidRPr="00701599">
              <w:rPr>
                <w:b/>
                <w:sz w:val="20"/>
                <w:szCs w:val="20"/>
                <w:lang w:val="en-GB"/>
              </w:rPr>
              <w:t>Species</w:t>
            </w:r>
          </w:p>
        </w:tc>
        <w:tc>
          <w:tcPr>
            <w:tcW w:w="1000" w:type="pct"/>
          </w:tcPr>
          <w:p w14:paraId="42F44025" w14:textId="77777777" w:rsidR="00701599" w:rsidRDefault="00701599" w:rsidP="00B17704">
            <w:pPr>
              <w:pStyle w:val="TableHeader"/>
              <w:ind w:left="0" w:right="0"/>
              <w:rPr>
                <w:b/>
                <w:sz w:val="20"/>
                <w:szCs w:val="20"/>
                <w:lang w:val="en-GB"/>
              </w:rPr>
            </w:pPr>
            <w:r>
              <w:rPr>
                <w:b/>
                <w:sz w:val="20"/>
                <w:szCs w:val="20"/>
                <w:lang w:val="en-GB"/>
              </w:rPr>
              <w:t>Study duration</w:t>
            </w:r>
          </w:p>
          <w:p w14:paraId="2F4D9433" w14:textId="77777777" w:rsidR="00550D61" w:rsidRPr="00701599" w:rsidRDefault="002F2AC8" w:rsidP="00B17704">
            <w:pPr>
              <w:pStyle w:val="TableHeader"/>
              <w:ind w:left="0" w:right="0"/>
              <w:rPr>
                <w:b/>
                <w:sz w:val="20"/>
                <w:szCs w:val="20"/>
                <w:lang w:val="en-GB"/>
              </w:rPr>
            </w:pPr>
            <w:r>
              <w:rPr>
                <w:b/>
                <w:sz w:val="20"/>
                <w:szCs w:val="20"/>
                <w:lang w:val="en-GB"/>
              </w:rPr>
              <w:t>(</w:t>
            </w:r>
            <w:r w:rsidR="00550D61" w:rsidRPr="00701599">
              <w:rPr>
                <w:b/>
                <w:sz w:val="20"/>
                <w:szCs w:val="20"/>
                <w:lang w:val="en-GB"/>
              </w:rPr>
              <w:t>Study no.</w:t>
            </w:r>
            <w:r>
              <w:rPr>
                <w:b/>
                <w:sz w:val="20"/>
                <w:szCs w:val="20"/>
                <w:lang w:val="en-GB"/>
              </w:rPr>
              <w:t>)</w:t>
            </w:r>
          </w:p>
        </w:tc>
        <w:tc>
          <w:tcPr>
            <w:tcW w:w="1000" w:type="pct"/>
          </w:tcPr>
          <w:p w14:paraId="4E3B2A50" w14:textId="77777777" w:rsidR="00550D61" w:rsidRPr="00701599" w:rsidRDefault="00550D61" w:rsidP="00B17704">
            <w:pPr>
              <w:pStyle w:val="TableHeader"/>
              <w:ind w:left="0" w:right="0"/>
              <w:rPr>
                <w:b/>
                <w:sz w:val="20"/>
                <w:szCs w:val="20"/>
                <w:lang w:val="en-GB"/>
              </w:rPr>
            </w:pPr>
            <w:r w:rsidRPr="00701599">
              <w:rPr>
                <w:b/>
                <w:sz w:val="20"/>
                <w:szCs w:val="20"/>
                <w:lang w:val="en-GB"/>
              </w:rPr>
              <w:t>Dose (mg/kg/week); SC</w:t>
            </w:r>
          </w:p>
        </w:tc>
        <w:tc>
          <w:tcPr>
            <w:tcW w:w="1000" w:type="pct"/>
          </w:tcPr>
          <w:p w14:paraId="4ED32B55" w14:textId="77777777" w:rsidR="00701599" w:rsidRDefault="00550D61" w:rsidP="00B17704">
            <w:pPr>
              <w:pStyle w:val="TableHeader"/>
              <w:ind w:left="0" w:right="0"/>
              <w:rPr>
                <w:b/>
                <w:sz w:val="20"/>
                <w:szCs w:val="20"/>
                <w:vertAlign w:val="subscript"/>
                <w:lang w:val="en-GB"/>
              </w:rPr>
            </w:pPr>
            <w:r w:rsidRPr="00701599">
              <w:rPr>
                <w:b/>
                <w:sz w:val="20"/>
                <w:szCs w:val="20"/>
                <w:lang w:val="en-GB"/>
              </w:rPr>
              <w:t>AUC</w:t>
            </w:r>
            <w:r w:rsidR="00753F31">
              <w:rPr>
                <w:b/>
                <w:sz w:val="20"/>
                <w:szCs w:val="20"/>
                <w:vertAlign w:val="subscript"/>
                <w:lang w:val="en-GB"/>
              </w:rPr>
              <w:t>0-168</w:t>
            </w:r>
            <w:r w:rsidR="002F2AC8">
              <w:rPr>
                <w:b/>
                <w:sz w:val="20"/>
                <w:szCs w:val="20"/>
                <w:vertAlign w:val="subscript"/>
                <w:lang w:val="en-GB"/>
              </w:rPr>
              <w:t xml:space="preserve"> </w:t>
            </w:r>
            <w:r w:rsidR="00753F31">
              <w:rPr>
                <w:b/>
                <w:sz w:val="20"/>
                <w:szCs w:val="20"/>
                <w:vertAlign w:val="subscript"/>
                <w:lang w:val="en-GB"/>
              </w:rPr>
              <w:t>hours</w:t>
            </w:r>
          </w:p>
          <w:p w14:paraId="163247C7" w14:textId="77777777" w:rsidR="00550D61" w:rsidRPr="00701599" w:rsidRDefault="00550D61" w:rsidP="00B17704">
            <w:pPr>
              <w:pStyle w:val="TableHeader"/>
              <w:ind w:left="0" w:right="0"/>
              <w:rPr>
                <w:b/>
                <w:sz w:val="20"/>
                <w:szCs w:val="20"/>
                <w:lang w:val="en-GB"/>
              </w:rPr>
            </w:pPr>
            <w:r w:rsidRPr="00701599">
              <w:rPr>
                <w:b/>
                <w:sz w:val="20"/>
                <w:szCs w:val="20"/>
                <w:lang w:val="en-GB"/>
              </w:rPr>
              <w:t>(</w:t>
            </w:r>
            <w:proofErr w:type="spellStart"/>
            <w:r w:rsidRPr="00701599">
              <w:rPr>
                <w:b/>
                <w:sz w:val="20"/>
                <w:szCs w:val="20"/>
                <w:lang w:val="en-GB"/>
              </w:rPr>
              <w:t>μg·h</w:t>
            </w:r>
            <w:r w:rsidR="00753F31">
              <w:rPr>
                <w:b/>
                <w:sz w:val="20"/>
                <w:szCs w:val="20"/>
                <w:lang w:val="en-GB"/>
              </w:rPr>
              <w:t>our</w:t>
            </w:r>
            <w:proofErr w:type="spellEnd"/>
            <w:r w:rsidRPr="00701599">
              <w:rPr>
                <w:b/>
                <w:sz w:val="20"/>
                <w:szCs w:val="20"/>
                <w:lang w:val="en-GB"/>
              </w:rPr>
              <w:t>/mL)</w:t>
            </w:r>
          </w:p>
        </w:tc>
        <w:tc>
          <w:tcPr>
            <w:tcW w:w="1000" w:type="pct"/>
          </w:tcPr>
          <w:p w14:paraId="21F8665A" w14:textId="77777777" w:rsidR="00550D61" w:rsidRPr="00701599" w:rsidRDefault="00550D61" w:rsidP="00B17704">
            <w:pPr>
              <w:pStyle w:val="TableHeader"/>
              <w:ind w:left="0" w:right="0"/>
              <w:rPr>
                <w:b/>
                <w:sz w:val="20"/>
                <w:szCs w:val="20"/>
                <w:vertAlign w:val="subscript"/>
                <w:lang w:val="en-GB"/>
              </w:rPr>
            </w:pPr>
            <w:r w:rsidRPr="00701599">
              <w:rPr>
                <w:b/>
                <w:sz w:val="20"/>
                <w:szCs w:val="20"/>
                <w:lang w:val="en-GB"/>
              </w:rPr>
              <w:t>Exposure ratio</w:t>
            </w:r>
            <w:r w:rsidRPr="00701599">
              <w:rPr>
                <w:b/>
                <w:sz w:val="20"/>
                <w:szCs w:val="20"/>
                <w:vertAlign w:val="subscript"/>
                <w:lang w:val="en-GB"/>
              </w:rPr>
              <w:t>#</w:t>
            </w:r>
          </w:p>
        </w:tc>
      </w:tr>
      <w:tr w:rsidR="00550D61" w:rsidRPr="00701599" w14:paraId="05388C78" w14:textId="77777777" w:rsidTr="00701599">
        <w:tc>
          <w:tcPr>
            <w:tcW w:w="1000" w:type="pct"/>
            <w:vMerge w:val="restart"/>
          </w:tcPr>
          <w:p w14:paraId="009F8911" w14:textId="77777777" w:rsidR="00AE6262" w:rsidRDefault="00AE6262" w:rsidP="00B17704">
            <w:pPr>
              <w:pStyle w:val="Tabletext"/>
              <w:keepNext/>
              <w:spacing w:before="0" w:after="0"/>
              <w:ind w:left="0" w:right="0"/>
              <w:jc w:val="center"/>
              <w:rPr>
                <w:b/>
              </w:rPr>
            </w:pPr>
            <w:r>
              <w:rPr>
                <w:b/>
              </w:rPr>
              <w:t>Rat</w:t>
            </w:r>
          </w:p>
          <w:p w14:paraId="0359F1D9" w14:textId="77777777" w:rsidR="00550D61" w:rsidRPr="00701599" w:rsidRDefault="00550D61" w:rsidP="00B17704">
            <w:pPr>
              <w:pStyle w:val="Tabletext"/>
              <w:keepNext/>
              <w:spacing w:before="0" w:after="0"/>
              <w:ind w:left="0" w:right="0"/>
              <w:jc w:val="center"/>
            </w:pPr>
            <w:r w:rsidRPr="00701599">
              <w:t>(Sprague Dawley)</w:t>
            </w:r>
          </w:p>
        </w:tc>
        <w:tc>
          <w:tcPr>
            <w:tcW w:w="1000" w:type="pct"/>
            <w:vMerge w:val="restart"/>
          </w:tcPr>
          <w:p w14:paraId="2C9FCCCE" w14:textId="77777777" w:rsidR="00550D61" w:rsidRPr="00701599" w:rsidRDefault="00550D61" w:rsidP="00B17704">
            <w:pPr>
              <w:pStyle w:val="Tabletext"/>
              <w:keepNext/>
              <w:spacing w:before="0" w:after="0"/>
              <w:ind w:left="0" w:right="0"/>
              <w:jc w:val="center"/>
            </w:pPr>
            <w:r w:rsidRPr="00701599">
              <w:t>6 weeks</w:t>
            </w:r>
          </w:p>
          <w:p w14:paraId="0980B7F0" w14:textId="77777777" w:rsidR="00550D61" w:rsidRPr="00701599" w:rsidRDefault="002F2AC8" w:rsidP="00B17704">
            <w:pPr>
              <w:pStyle w:val="Tabletext"/>
              <w:keepNext/>
              <w:spacing w:before="0" w:after="0"/>
              <w:ind w:left="0" w:right="0"/>
              <w:jc w:val="center"/>
            </w:pPr>
            <w:r>
              <w:t>(</w:t>
            </w:r>
            <w:r w:rsidR="00550D61" w:rsidRPr="00701599">
              <w:t>503646</w:t>
            </w:r>
            <w:r>
              <w:t>)</w:t>
            </w:r>
          </w:p>
        </w:tc>
        <w:tc>
          <w:tcPr>
            <w:tcW w:w="1000" w:type="pct"/>
          </w:tcPr>
          <w:p w14:paraId="2A1D361D" w14:textId="77777777" w:rsidR="00550D61" w:rsidRPr="00701599" w:rsidRDefault="00550D61" w:rsidP="00B17704">
            <w:pPr>
              <w:pStyle w:val="Tabletext"/>
              <w:keepNext/>
              <w:spacing w:before="0" w:after="0"/>
              <w:ind w:left="0" w:right="0"/>
              <w:jc w:val="center"/>
            </w:pPr>
            <w:r w:rsidRPr="00701599">
              <w:t>1.5</w:t>
            </w:r>
          </w:p>
        </w:tc>
        <w:tc>
          <w:tcPr>
            <w:tcW w:w="1000" w:type="pct"/>
          </w:tcPr>
          <w:p w14:paraId="3DB1B00B" w14:textId="77777777" w:rsidR="00550D61" w:rsidRPr="00701599" w:rsidRDefault="00550D61" w:rsidP="00B17704">
            <w:pPr>
              <w:pStyle w:val="Tabletext"/>
              <w:keepNext/>
              <w:spacing w:before="0" w:after="0"/>
              <w:ind w:left="0" w:right="0"/>
              <w:jc w:val="center"/>
            </w:pPr>
            <w:r w:rsidRPr="00701599">
              <w:t>4560</w:t>
            </w:r>
          </w:p>
        </w:tc>
        <w:tc>
          <w:tcPr>
            <w:tcW w:w="1000" w:type="pct"/>
          </w:tcPr>
          <w:p w14:paraId="64BB6C59" w14:textId="6490BD5F" w:rsidR="00550D61" w:rsidRPr="00701599" w:rsidRDefault="00550D61" w:rsidP="00B17704">
            <w:pPr>
              <w:pStyle w:val="Tabletext"/>
              <w:keepNext/>
              <w:spacing w:before="0" w:after="0"/>
              <w:ind w:left="0" w:right="0"/>
              <w:jc w:val="center"/>
            </w:pPr>
            <w:r w:rsidRPr="00701599">
              <w:t>1</w:t>
            </w:r>
            <w:r w:rsidR="004C7929">
              <w:t>.1</w:t>
            </w:r>
          </w:p>
        </w:tc>
      </w:tr>
      <w:tr w:rsidR="00550D61" w:rsidRPr="00701599" w14:paraId="0104DB31" w14:textId="77777777" w:rsidTr="00701599">
        <w:tc>
          <w:tcPr>
            <w:tcW w:w="1000" w:type="pct"/>
            <w:vMerge/>
          </w:tcPr>
          <w:p w14:paraId="65718DEA" w14:textId="77777777" w:rsidR="00550D61" w:rsidRPr="00701599" w:rsidRDefault="00550D61" w:rsidP="00B17704">
            <w:pPr>
              <w:pStyle w:val="Tabletext"/>
              <w:keepNext/>
              <w:spacing w:before="0" w:after="0"/>
              <w:ind w:left="0" w:right="0"/>
              <w:jc w:val="center"/>
            </w:pPr>
          </w:p>
        </w:tc>
        <w:tc>
          <w:tcPr>
            <w:tcW w:w="1000" w:type="pct"/>
            <w:vMerge/>
          </w:tcPr>
          <w:p w14:paraId="505E3E4C" w14:textId="77777777" w:rsidR="00550D61" w:rsidRPr="00701599" w:rsidRDefault="00550D61" w:rsidP="00B17704">
            <w:pPr>
              <w:pStyle w:val="Tabletext"/>
              <w:keepNext/>
              <w:spacing w:before="0" w:after="0"/>
              <w:ind w:left="0" w:right="0"/>
              <w:jc w:val="center"/>
            </w:pPr>
          </w:p>
        </w:tc>
        <w:tc>
          <w:tcPr>
            <w:tcW w:w="1000" w:type="pct"/>
          </w:tcPr>
          <w:p w14:paraId="4A88BFDA" w14:textId="77777777" w:rsidR="00550D61" w:rsidRPr="00701599" w:rsidRDefault="00550D61" w:rsidP="00B17704">
            <w:pPr>
              <w:pStyle w:val="Tabletext"/>
              <w:keepNext/>
              <w:spacing w:before="0" w:after="0"/>
              <w:ind w:left="0" w:right="0"/>
              <w:jc w:val="center"/>
            </w:pPr>
            <w:r w:rsidRPr="00701599">
              <w:t>15</w:t>
            </w:r>
          </w:p>
        </w:tc>
        <w:tc>
          <w:tcPr>
            <w:tcW w:w="1000" w:type="pct"/>
          </w:tcPr>
          <w:p w14:paraId="7B34EAA7" w14:textId="77777777" w:rsidR="00550D61" w:rsidRPr="00701599" w:rsidRDefault="00550D61" w:rsidP="00B17704">
            <w:pPr>
              <w:pStyle w:val="Tabletext"/>
              <w:keepNext/>
              <w:spacing w:before="0" w:after="0"/>
              <w:ind w:left="0" w:right="0"/>
              <w:jc w:val="center"/>
            </w:pPr>
            <w:r w:rsidRPr="00701599">
              <w:t>36416</w:t>
            </w:r>
          </w:p>
        </w:tc>
        <w:tc>
          <w:tcPr>
            <w:tcW w:w="1000" w:type="pct"/>
          </w:tcPr>
          <w:p w14:paraId="381B0E6A" w14:textId="3ECDFD69" w:rsidR="00550D61" w:rsidRPr="00701599" w:rsidRDefault="00895DCB" w:rsidP="00B17704">
            <w:pPr>
              <w:pStyle w:val="Tabletext"/>
              <w:keepNext/>
              <w:spacing w:before="0" w:after="0"/>
              <w:ind w:left="0" w:right="0"/>
              <w:jc w:val="center"/>
            </w:pPr>
            <w:r>
              <w:t>9</w:t>
            </w:r>
          </w:p>
        </w:tc>
      </w:tr>
      <w:tr w:rsidR="00550D61" w:rsidRPr="00701599" w14:paraId="5A438C40" w14:textId="77777777" w:rsidTr="00701599">
        <w:tc>
          <w:tcPr>
            <w:tcW w:w="1000" w:type="pct"/>
            <w:vMerge/>
          </w:tcPr>
          <w:p w14:paraId="3259A2BF" w14:textId="77777777" w:rsidR="00550D61" w:rsidRPr="00701599" w:rsidRDefault="00550D61" w:rsidP="00B17704">
            <w:pPr>
              <w:pStyle w:val="Tabletext"/>
              <w:keepNext/>
              <w:spacing w:before="0" w:after="0"/>
              <w:ind w:left="0" w:right="0"/>
              <w:jc w:val="center"/>
            </w:pPr>
          </w:p>
        </w:tc>
        <w:tc>
          <w:tcPr>
            <w:tcW w:w="1000" w:type="pct"/>
            <w:vMerge/>
          </w:tcPr>
          <w:p w14:paraId="33C538DA" w14:textId="77777777" w:rsidR="00550D61" w:rsidRPr="00701599" w:rsidRDefault="00550D61" w:rsidP="00B17704">
            <w:pPr>
              <w:pStyle w:val="Tabletext"/>
              <w:keepNext/>
              <w:spacing w:before="0" w:after="0"/>
              <w:ind w:left="0" w:right="0"/>
              <w:jc w:val="center"/>
            </w:pPr>
          </w:p>
        </w:tc>
        <w:tc>
          <w:tcPr>
            <w:tcW w:w="1000" w:type="pct"/>
          </w:tcPr>
          <w:p w14:paraId="3022E2C5" w14:textId="77777777" w:rsidR="00550D61" w:rsidRPr="00701599" w:rsidRDefault="00550D61" w:rsidP="00B17704">
            <w:pPr>
              <w:pStyle w:val="Tabletext"/>
              <w:keepNext/>
              <w:spacing w:before="0" w:after="0"/>
              <w:ind w:left="0" w:right="0"/>
              <w:jc w:val="center"/>
            </w:pPr>
            <w:r w:rsidRPr="00701599">
              <w:t>100</w:t>
            </w:r>
          </w:p>
        </w:tc>
        <w:tc>
          <w:tcPr>
            <w:tcW w:w="1000" w:type="pct"/>
          </w:tcPr>
          <w:p w14:paraId="45625A0C" w14:textId="77777777" w:rsidR="00550D61" w:rsidRPr="00701599" w:rsidRDefault="00550D61" w:rsidP="00B17704">
            <w:pPr>
              <w:pStyle w:val="Tabletext"/>
              <w:keepNext/>
              <w:spacing w:before="0" w:after="0"/>
              <w:ind w:left="0" w:right="0"/>
              <w:jc w:val="center"/>
            </w:pPr>
            <w:r w:rsidRPr="00701599">
              <w:t>35822</w:t>
            </w:r>
          </w:p>
        </w:tc>
        <w:tc>
          <w:tcPr>
            <w:tcW w:w="1000" w:type="pct"/>
          </w:tcPr>
          <w:p w14:paraId="69256293" w14:textId="7E393E5A" w:rsidR="00550D61" w:rsidRPr="00701599" w:rsidRDefault="00895DCB" w:rsidP="00B17704">
            <w:pPr>
              <w:pStyle w:val="Tabletext"/>
              <w:keepNext/>
              <w:spacing w:before="0" w:after="0"/>
              <w:ind w:left="0" w:right="0"/>
              <w:jc w:val="center"/>
            </w:pPr>
            <w:r>
              <w:t>9</w:t>
            </w:r>
          </w:p>
        </w:tc>
      </w:tr>
      <w:tr w:rsidR="00550D61" w:rsidRPr="00701599" w14:paraId="33B4113D" w14:textId="77777777" w:rsidTr="00701599">
        <w:tc>
          <w:tcPr>
            <w:tcW w:w="1000" w:type="pct"/>
            <w:vMerge/>
          </w:tcPr>
          <w:p w14:paraId="6C684DD6" w14:textId="77777777" w:rsidR="00550D61" w:rsidRPr="00701599" w:rsidRDefault="00550D61" w:rsidP="00B17704">
            <w:pPr>
              <w:pStyle w:val="Tabletext"/>
              <w:keepNext/>
              <w:spacing w:before="0" w:after="0"/>
              <w:ind w:left="0" w:right="0"/>
              <w:jc w:val="center"/>
            </w:pPr>
          </w:p>
        </w:tc>
        <w:tc>
          <w:tcPr>
            <w:tcW w:w="1000" w:type="pct"/>
            <w:vMerge w:val="restart"/>
          </w:tcPr>
          <w:p w14:paraId="787EFBBB" w14:textId="77777777" w:rsidR="00701599" w:rsidRPr="00753F31" w:rsidRDefault="00550D61" w:rsidP="00B17704">
            <w:pPr>
              <w:pStyle w:val="Tabletext"/>
              <w:keepNext/>
              <w:spacing w:before="0" w:after="0"/>
              <w:ind w:left="0" w:right="0"/>
              <w:jc w:val="center"/>
            </w:pPr>
            <w:r w:rsidRPr="00701599">
              <w:t>3 months</w:t>
            </w:r>
          </w:p>
          <w:p w14:paraId="3A8C31D7" w14:textId="77777777" w:rsidR="00550D61" w:rsidRPr="00701599" w:rsidRDefault="002F2AC8" w:rsidP="00B17704">
            <w:pPr>
              <w:pStyle w:val="Tabletext"/>
              <w:keepNext/>
              <w:spacing w:before="0" w:after="0"/>
              <w:ind w:left="0" w:right="0"/>
              <w:jc w:val="center"/>
              <w:rPr>
                <w:vertAlign w:val="subscript"/>
              </w:rPr>
            </w:pPr>
            <w:r>
              <w:t>(</w:t>
            </w:r>
            <w:r w:rsidR="00550D61" w:rsidRPr="00701599">
              <w:t>504702</w:t>
            </w:r>
            <w:r>
              <w:t>)</w:t>
            </w:r>
          </w:p>
        </w:tc>
        <w:tc>
          <w:tcPr>
            <w:tcW w:w="1000" w:type="pct"/>
          </w:tcPr>
          <w:p w14:paraId="2F60D727" w14:textId="77777777" w:rsidR="00550D61" w:rsidRPr="00701599" w:rsidRDefault="00550D61" w:rsidP="00B17704">
            <w:pPr>
              <w:pStyle w:val="Tabletext"/>
              <w:keepNext/>
              <w:spacing w:before="0" w:after="0"/>
              <w:ind w:left="0" w:right="0"/>
              <w:jc w:val="center"/>
            </w:pPr>
            <w:r w:rsidRPr="00701599">
              <w:t>15</w:t>
            </w:r>
          </w:p>
        </w:tc>
        <w:tc>
          <w:tcPr>
            <w:tcW w:w="1000" w:type="pct"/>
          </w:tcPr>
          <w:p w14:paraId="312AC909" w14:textId="77777777" w:rsidR="00550D61" w:rsidRPr="00701599" w:rsidRDefault="00550D61" w:rsidP="00B17704">
            <w:pPr>
              <w:pStyle w:val="Tabletext"/>
              <w:keepNext/>
              <w:spacing w:before="0" w:after="0"/>
              <w:ind w:left="0" w:right="0"/>
              <w:jc w:val="center"/>
            </w:pPr>
            <w:r w:rsidRPr="00701599">
              <w:t>32987</w:t>
            </w:r>
          </w:p>
        </w:tc>
        <w:tc>
          <w:tcPr>
            <w:tcW w:w="1000" w:type="pct"/>
          </w:tcPr>
          <w:p w14:paraId="516F3E40" w14:textId="6044A0FB" w:rsidR="00550D61" w:rsidRPr="00701599" w:rsidRDefault="00895DCB" w:rsidP="00B17704">
            <w:pPr>
              <w:pStyle w:val="Tabletext"/>
              <w:keepNext/>
              <w:spacing w:before="0" w:after="0"/>
              <w:ind w:left="0" w:right="0"/>
              <w:jc w:val="center"/>
            </w:pPr>
            <w:r>
              <w:t>8</w:t>
            </w:r>
          </w:p>
        </w:tc>
      </w:tr>
      <w:tr w:rsidR="00550D61" w:rsidRPr="00701599" w14:paraId="5DAC3949" w14:textId="77777777" w:rsidTr="00701599">
        <w:tc>
          <w:tcPr>
            <w:tcW w:w="1000" w:type="pct"/>
            <w:vMerge/>
          </w:tcPr>
          <w:p w14:paraId="1E0631E5" w14:textId="77777777" w:rsidR="00550D61" w:rsidRPr="00701599" w:rsidRDefault="00550D61" w:rsidP="00B17704">
            <w:pPr>
              <w:pStyle w:val="Tabletext"/>
              <w:keepNext/>
              <w:spacing w:before="0" w:after="0"/>
              <w:ind w:left="0" w:right="0"/>
              <w:jc w:val="center"/>
            </w:pPr>
          </w:p>
        </w:tc>
        <w:tc>
          <w:tcPr>
            <w:tcW w:w="1000" w:type="pct"/>
            <w:vMerge/>
          </w:tcPr>
          <w:p w14:paraId="6EB4E4C5" w14:textId="77777777" w:rsidR="00550D61" w:rsidRPr="00701599" w:rsidRDefault="00550D61" w:rsidP="00B17704">
            <w:pPr>
              <w:pStyle w:val="Tabletext"/>
              <w:keepNext/>
              <w:spacing w:before="0" w:after="0"/>
              <w:ind w:left="0" w:right="0"/>
              <w:jc w:val="center"/>
            </w:pPr>
          </w:p>
        </w:tc>
        <w:tc>
          <w:tcPr>
            <w:tcW w:w="1000" w:type="pct"/>
          </w:tcPr>
          <w:p w14:paraId="2CB95DD1" w14:textId="77777777" w:rsidR="00550D61" w:rsidRPr="00701599" w:rsidRDefault="00550D61" w:rsidP="00B17704">
            <w:pPr>
              <w:pStyle w:val="Tabletext"/>
              <w:keepNext/>
              <w:spacing w:before="0" w:after="0"/>
              <w:ind w:left="0" w:right="0"/>
              <w:jc w:val="center"/>
            </w:pPr>
            <w:r w:rsidRPr="00701599">
              <w:t>100</w:t>
            </w:r>
          </w:p>
        </w:tc>
        <w:tc>
          <w:tcPr>
            <w:tcW w:w="1000" w:type="pct"/>
          </w:tcPr>
          <w:p w14:paraId="5E50E554" w14:textId="77777777" w:rsidR="00550D61" w:rsidRPr="00701599" w:rsidRDefault="00550D61" w:rsidP="00B17704">
            <w:pPr>
              <w:pStyle w:val="Tabletext"/>
              <w:keepNext/>
              <w:spacing w:before="0" w:after="0"/>
              <w:ind w:left="0" w:right="0"/>
              <w:jc w:val="center"/>
            </w:pPr>
            <w:r w:rsidRPr="00701599">
              <w:t>35362</w:t>
            </w:r>
          </w:p>
        </w:tc>
        <w:tc>
          <w:tcPr>
            <w:tcW w:w="1000" w:type="pct"/>
          </w:tcPr>
          <w:p w14:paraId="607AAF84" w14:textId="0827FFFC" w:rsidR="00550D61" w:rsidRPr="00701599" w:rsidRDefault="00895DCB" w:rsidP="00B17704">
            <w:pPr>
              <w:pStyle w:val="Tabletext"/>
              <w:keepNext/>
              <w:spacing w:before="0" w:after="0"/>
              <w:ind w:left="0" w:right="0"/>
              <w:jc w:val="center"/>
            </w:pPr>
            <w:r>
              <w:t>9</w:t>
            </w:r>
          </w:p>
        </w:tc>
      </w:tr>
      <w:tr w:rsidR="00550D61" w:rsidRPr="00701599" w14:paraId="2F425A9B" w14:textId="77777777" w:rsidTr="00701599">
        <w:tc>
          <w:tcPr>
            <w:tcW w:w="1000" w:type="pct"/>
            <w:vMerge/>
          </w:tcPr>
          <w:p w14:paraId="331E99A9" w14:textId="77777777" w:rsidR="00550D61" w:rsidRPr="00701599" w:rsidRDefault="00550D61" w:rsidP="00B17704">
            <w:pPr>
              <w:pStyle w:val="Tabletext"/>
              <w:keepNext/>
              <w:spacing w:before="0" w:after="0"/>
              <w:ind w:left="0" w:right="0"/>
              <w:jc w:val="center"/>
            </w:pPr>
          </w:p>
        </w:tc>
        <w:tc>
          <w:tcPr>
            <w:tcW w:w="1000" w:type="pct"/>
            <w:vMerge w:val="restart"/>
          </w:tcPr>
          <w:p w14:paraId="37F9B0B3" w14:textId="77777777" w:rsidR="00550D61" w:rsidRPr="00701599" w:rsidRDefault="00550D61" w:rsidP="00B17704">
            <w:pPr>
              <w:pStyle w:val="Tabletext"/>
              <w:keepNext/>
              <w:spacing w:before="0" w:after="0"/>
              <w:ind w:left="0" w:right="0"/>
              <w:jc w:val="center"/>
            </w:pPr>
            <w:r w:rsidRPr="00701599">
              <w:t>6 months</w:t>
            </w:r>
          </w:p>
          <w:p w14:paraId="00FCA7BC" w14:textId="77777777" w:rsidR="00550D61" w:rsidRPr="00701599" w:rsidRDefault="002F2AC8" w:rsidP="00B17704">
            <w:pPr>
              <w:pStyle w:val="Tabletext"/>
              <w:keepNext/>
              <w:spacing w:before="0" w:after="0"/>
              <w:ind w:left="0" w:right="0"/>
              <w:jc w:val="center"/>
            </w:pPr>
            <w:r>
              <w:t>(</w:t>
            </w:r>
            <w:r w:rsidR="00550D61" w:rsidRPr="00701599">
              <w:t>8297946</w:t>
            </w:r>
            <w:r>
              <w:t>)</w:t>
            </w:r>
          </w:p>
        </w:tc>
        <w:tc>
          <w:tcPr>
            <w:tcW w:w="1000" w:type="pct"/>
          </w:tcPr>
          <w:p w14:paraId="77BB8F91" w14:textId="77777777" w:rsidR="00550D61" w:rsidRPr="00701599" w:rsidRDefault="00550D61" w:rsidP="00B17704">
            <w:pPr>
              <w:pStyle w:val="Tabletext"/>
              <w:keepNext/>
              <w:spacing w:before="0" w:after="0"/>
              <w:ind w:left="0" w:right="0"/>
              <w:jc w:val="center"/>
            </w:pPr>
            <w:r w:rsidRPr="00701599">
              <w:t>20</w:t>
            </w:r>
          </w:p>
        </w:tc>
        <w:tc>
          <w:tcPr>
            <w:tcW w:w="1000" w:type="pct"/>
          </w:tcPr>
          <w:p w14:paraId="717F9753" w14:textId="77777777" w:rsidR="00550D61" w:rsidRPr="00701599" w:rsidRDefault="00550D61" w:rsidP="00B17704">
            <w:pPr>
              <w:pStyle w:val="Tabletext"/>
              <w:keepNext/>
              <w:spacing w:before="0" w:after="0"/>
              <w:ind w:left="0" w:right="0"/>
              <w:jc w:val="center"/>
            </w:pPr>
            <w:r w:rsidRPr="00701599">
              <w:t>29900</w:t>
            </w:r>
          </w:p>
        </w:tc>
        <w:tc>
          <w:tcPr>
            <w:tcW w:w="1000" w:type="pct"/>
          </w:tcPr>
          <w:p w14:paraId="46DD34E0" w14:textId="05F8FF02" w:rsidR="00550D61" w:rsidRPr="00701599" w:rsidRDefault="00895DCB" w:rsidP="00B17704">
            <w:pPr>
              <w:pStyle w:val="Tabletext"/>
              <w:keepNext/>
              <w:spacing w:before="0" w:after="0"/>
              <w:ind w:left="0" w:right="0"/>
              <w:jc w:val="center"/>
            </w:pPr>
            <w:r>
              <w:t>8</w:t>
            </w:r>
          </w:p>
        </w:tc>
      </w:tr>
      <w:tr w:rsidR="00550D61" w:rsidRPr="00701599" w14:paraId="398E8C3F" w14:textId="77777777" w:rsidTr="00701599">
        <w:tc>
          <w:tcPr>
            <w:tcW w:w="1000" w:type="pct"/>
            <w:vMerge/>
          </w:tcPr>
          <w:p w14:paraId="1F9AAEFF" w14:textId="77777777" w:rsidR="00550D61" w:rsidRPr="00701599" w:rsidRDefault="00550D61" w:rsidP="00B17704">
            <w:pPr>
              <w:pStyle w:val="Tabletext"/>
              <w:keepNext/>
              <w:spacing w:before="0" w:after="0"/>
              <w:ind w:left="0" w:right="0"/>
              <w:jc w:val="center"/>
            </w:pPr>
          </w:p>
        </w:tc>
        <w:tc>
          <w:tcPr>
            <w:tcW w:w="1000" w:type="pct"/>
            <w:vMerge/>
          </w:tcPr>
          <w:p w14:paraId="0C383971" w14:textId="77777777" w:rsidR="00550D61" w:rsidRPr="00701599" w:rsidRDefault="00550D61" w:rsidP="00B17704">
            <w:pPr>
              <w:pStyle w:val="Tabletext"/>
              <w:keepNext/>
              <w:spacing w:before="0" w:after="0"/>
              <w:ind w:left="0" w:right="0"/>
              <w:jc w:val="center"/>
            </w:pPr>
          </w:p>
        </w:tc>
        <w:tc>
          <w:tcPr>
            <w:tcW w:w="1000" w:type="pct"/>
          </w:tcPr>
          <w:p w14:paraId="64005E7E" w14:textId="77777777" w:rsidR="00550D61" w:rsidRPr="00701599" w:rsidRDefault="00550D61" w:rsidP="00B17704">
            <w:pPr>
              <w:pStyle w:val="Tabletext"/>
              <w:keepNext/>
              <w:spacing w:before="0" w:after="0"/>
              <w:ind w:left="0" w:right="0"/>
              <w:jc w:val="center"/>
            </w:pPr>
            <w:r w:rsidRPr="00701599">
              <w:t>250</w:t>
            </w:r>
          </w:p>
        </w:tc>
        <w:tc>
          <w:tcPr>
            <w:tcW w:w="1000" w:type="pct"/>
          </w:tcPr>
          <w:p w14:paraId="7D35FBAF" w14:textId="77777777" w:rsidR="00550D61" w:rsidRPr="00701599" w:rsidRDefault="00550D61" w:rsidP="00B17704">
            <w:pPr>
              <w:pStyle w:val="Tabletext"/>
              <w:keepNext/>
              <w:spacing w:before="0" w:after="0"/>
              <w:ind w:left="0" w:right="0"/>
              <w:jc w:val="center"/>
            </w:pPr>
            <w:r w:rsidRPr="00701599">
              <w:t>70450</w:t>
            </w:r>
          </w:p>
        </w:tc>
        <w:tc>
          <w:tcPr>
            <w:tcW w:w="1000" w:type="pct"/>
          </w:tcPr>
          <w:p w14:paraId="1B0568B4" w14:textId="54CA83B6" w:rsidR="00550D61" w:rsidRPr="00701599" w:rsidRDefault="004C7929" w:rsidP="00B17704">
            <w:pPr>
              <w:pStyle w:val="Tabletext"/>
              <w:keepNext/>
              <w:spacing w:before="0" w:after="0"/>
              <w:ind w:left="0" w:right="0"/>
              <w:jc w:val="center"/>
            </w:pPr>
            <w:r>
              <w:t>18</w:t>
            </w:r>
          </w:p>
        </w:tc>
      </w:tr>
      <w:tr w:rsidR="00550D61" w:rsidRPr="00701599" w14:paraId="6FB8EE3C" w14:textId="77777777" w:rsidTr="00701599">
        <w:tc>
          <w:tcPr>
            <w:tcW w:w="1000" w:type="pct"/>
            <w:vMerge w:val="restart"/>
          </w:tcPr>
          <w:p w14:paraId="2CA711F9" w14:textId="77777777" w:rsidR="00AE6262" w:rsidRDefault="00AE6262" w:rsidP="00B17704">
            <w:pPr>
              <w:pStyle w:val="Tabletext"/>
              <w:keepNext/>
              <w:spacing w:before="0" w:after="0"/>
              <w:ind w:left="0" w:right="0"/>
              <w:jc w:val="center"/>
              <w:rPr>
                <w:b/>
              </w:rPr>
            </w:pPr>
            <w:r>
              <w:rPr>
                <w:b/>
              </w:rPr>
              <w:t>Monkey</w:t>
            </w:r>
          </w:p>
          <w:p w14:paraId="20694311" w14:textId="77777777" w:rsidR="00550D61" w:rsidRPr="00701599" w:rsidRDefault="00550D61" w:rsidP="00B17704">
            <w:pPr>
              <w:pStyle w:val="Tabletext"/>
              <w:keepNext/>
              <w:spacing w:before="0" w:after="0"/>
              <w:ind w:left="0" w:right="0"/>
              <w:jc w:val="center"/>
            </w:pPr>
            <w:r w:rsidRPr="00701599">
              <w:t>(</w:t>
            </w:r>
            <w:proofErr w:type="spellStart"/>
            <w:r w:rsidRPr="00701599">
              <w:t>cynomolgus</w:t>
            </w:r>
            <w:proofErr w:type="spellEnd"/>
            <w:r w:rsidRPr="00701599">
              <w:t>)</w:t>
            </w:r>
          </w:p>
        </w:tc>
        <w:tc>
          <w:tcPr>
            <w:tcW w:w="1000" w:type="pct"/>
            <w:vMerge w:val="restart"/>
          </w:tcPr>
          <w:p w14:paraId="013EB334" w14:textId="77777777" w:rsidR="00550D61" w:rsidRPr="00701599" w:rsidRDefault="00550D61" w:rsidP="00B17704">
            <w:pPr>
              <w:pStyle w:val="Tabletext"/>
              <w:keepNext/>
              <w:spacing w:before="0" w:after="0"/>
              <w:ind w:left="0" w:right="0"/>
              <w:jc w:val="center"/>
            </w:pPr>
            <w:r w:rsidRPr="00701599">
              <w:t>6 weeks</w:t>
            </w:r>
          </w:p>
          <w:p w14:paraId="5D6D8511" w14:textId="77777777" w:rsidR="00550D61" w:rsidRPr="00701599" w:rsidRDefault="002F2AC8" w:rsidP="00B17704">
            <w:pPr>
              <w:pStyle w:val="Tabletext"/>
              <w:keepNext/>
              <w:spacing w:before="0" w:after="0"/>
              <w:ind w:left="0" w:right="0"/>
              <w:jc w:val="center"/>
            </w:pPr>
            <w:r>
              <w:t>(</w:t>
            </w:r>
            <w:r w:rsidR="00550D61" w:rsidRPr="00701599">
              <w:t>503647</w:t>
            </w:r>
            <w:r>
              <w:t>)</w:t>
            </w:r>
          </w:p>
        </w:tc>
        <w:tc>
          <w:tcPr>
            <w:tcW w:w="1000" w:type="pct"/>
          </w:tcPr>
          <w:p w14:paraId="4D96B957" w14:textId="77777777" w:rsidR="00550D61" w:rsidRPr="00701599" w:rsidRDefault="00550D61" w:rsidP="00B17704">
            <w:pPr>
              <w:pStyle w:val="Tabletext"/>
              <w:keepNext/>
              <w:spacing w:before="0" w:after="0"/>
              <w:ind w:left="0" w:right="0"/>
              <w:jc w:val="center"/>
            </w:pPr>
            <w:r w:rsidRPr="00701599">
              <w:t>1.5</w:t>
            </w:r>
          </w:p>
        </w:tc>
        <w:tc>
          <w:tcPr>
            <w:tcW w:w="1000" w:type="pct"/>
          </w:tcPr>
          <w:p w14:paraId="2A510D95" w14:textId="77777777" w:rsidR="00550D61" w:rsidRPr="00701599" w:rsidRDefault="00550D61" w:rsidP="00B17704">
            <w:pPr>
              <w:pStyle w:val="Tabletext"/>
              <w:keepNext/>
              <w:spacing w:before="0" w:after="0"/>
              <w:ind w:left="0" w:right="0"/>
              <w:jc w:val="center"/>
            </w:pPr>
            <w:r w:rsidRPr="00701599">
              <w:t>5146</w:t>
            </w:r>
          </w:p>
        </w:tc>
        <w:tc>
          <w:tcPr>
            <w:tcW w:w="1000" w:type="pct"/>
          </w:tcPr>
          <w:p w14:paraId="0282D1D8" w14:textId="3F864F8A" w:rsidR="00550D61" w:rsidRPr="00701599" w:rsidRDefault="00550D61" w:rsidP="00B17704">
            <w:pPr>
              <w:pStyle w:val="Tabletext"/>
              <w:keepNext/>
              <w:spacing w:before="0" w:after="0"/>
              <w:ind w:left="0" w:right="0"/>
              <w:jc w:val="center"/>
            </w:pPr>
            <w:r w:rsidRPr="00701599">
              <w:t>1.</w:t>
            </w:r>
            <w:r w:rsidR="004C7929">
              <w:t>3</w:t>
            </w:r>
          </w:p>
        </w:tc>
      </w:tr>
      <w:tr w:rsidR="00550D61" w:rsidRPr="00701599" w14:paraId="6B9171B7" w14:textId="77777777" w:rsidTr="00701599">
        <w:tc>
          <w:tcPr>
            <w:tcW w:w="1000" w:type="pct"/>
            <w:vMerge/>
          </w:tcPr>
          <w:p w14:paraId="2498586E" w14:textId="77777777" w:rsidR="00550D61" w:rsidRPr="00701599" w:rsidRDefault="00550D61" w:rsidP="00B17704">
            <w:pPr>
              <w:pStyle w:val="Tabletext"/>
              <w:keepNext/>
              <w:spacing w:before="0" w:after="0"/>
              <w:ind w:left="0" w:right="0"/>
              <w:jc w:val="center"/>
            </w:pPr>
          </w:p>
        </w:tc>
        <w:tc>
          <w:tcPr>
            <w:tcW w:w="1000" w:type="pct"/>
            <w:vMerge/>
          </w:tcPr>
          <w:p w14:paraId="03853C45" w14:textId="77777777" w:rsidR="00550D61" w:rsidRPr="00701599" w:rsidRDefault="00550D61" w:rsidP="00B17704">
            <w:pPr>
              <w:pStyle w:val="Tabletext"/>
              <w:keepNext/>
              <w:spacing w:before="0" w:after="0"/>
              <w:ind w:left="0" w:right="0"/>
              <w:jc w:val="center"/>
            </w:pPr>
          </w:p>
        </w:tc>
        <w:tc>
          <w:tcPr>
            <w:tcW w:w="1000" w:type="pct"/>
          </w:tcPr>
          <w:p w14:paraId="2965E169" w14:textId="77777777" w:rsidR="00550D61" w:rsidRPr="00701599" w:rsidRDefault="00550D61" w:rsidP="00B17704">
            <w:pPr>
              <w:pStyle w:val="Tabletext"/>
              <w:keepNext/>
              <w:spacing w:before="0" w:after="0"/>
              <w:ind w:left="0" w:right="0"/>
              <w:jc w:val="center"/>
            </w:pPr>
            <w:r w:rsidRPr="00701599">
              <w:t>15</w:t>
            </w:r>
          </w:p>
        </w:tc>
        <w:tc>
          <w:tcPr>
            <w:tcW w:w="1000" w:type="pct"/>
          </w:tcPr>
          <w:p w14:paraId="4485316A" w14:textId="77777777" w:rsidR="00550D61" w:rsidRPr="00701599" w:rsidRDefault="00550D61" w:rsidP="00B17704">
            <w:pPr>
              <w:pStyle w:val="Tabletext"/>
              <w:keepNext/>
              <w:spacing w:before="0" w:after="0"/>
              <w:ind w:left="0" w:right="0"/>
              <w:jc w:val="center"/>
            </w:pPr>
            <w:r w:rsidRPr="00701599">
              <w:t>49920</w:t>
            </w:r>
          </w:p>
        </w:tc>
        <w:tc>
          <w:tcPr>
            <w:tcW w:w="1000" w:type="pct"/>
          </w:tcPr>
          <w:p w14:paraId="44C59928" w14:textId="77777777" w:rsidR="00550D61" w:rsidRPr="00701599" w:rsidRDefault="00550D61" w:rsidP="00B17704">
            <w:pPr>
              <w:pStyle w:val="Tabletext"/>
              <w:keepNext/>
              <w:spacing w:before="0" w:after="0"/>
              <w:ind w:left="0" w:right="0"/>
              <w:jc w:val="center"/>
            </w:pPr>
            <w:r w:rsidRPr="00701599">
              <w:t>13</w:t>
            </w:r>
          </w:p>
        </w:tc>
      </w:tr>
      <w:tr w:rsidR="00550D61" w:rsidRPr="00701599" w14:paraId="3EF26F7B" w14:textId="77777777" w:rsidTr="00701599">
        <w:tc>
          <w:tcPr>
            <w:tcW w:w="1000" w:type="pct"/>
            <w:vMerge/>
          </w:tcPr>
          <w:p w14:paraId="45C45FAF" w14:textId="77777777" w:rsidR="00550D61" w:rsidRPr="00701599" w:rsidRDefault="00550D61" w:rsidP="00B17704">
            <w:pPr>
              <w:pStyle w:val="Tabletext"/>
              <w:keepNext/>
              <w:spacing w:before="0" w:after="0"/>
              <w:ind w:left="0" w:right="0"/>
              <w:jc w:val="center"/>
            </w:pPr>
          </w:p>
        </w:tc>
        <w:tc>
          <w:tcPr>
            <w:tcW w:w="1000" w:type="pct"/>
            <w:vMerge/>
          </w:tcPr>
          <w:p w14:paraId="19978D20" w14:textId="77777777" w:rsidR="00550D61" w:rsidRPr="00701599" w:rsidRDefault="00550D61" w:rsidP="00B17704">
            <w:pPr>
              <w:pStyle w:val="Tabletext"/>
              <w:keepNext/>
              <w:spacing w:before="0" w:after="0"/>
              <w:ind w:left="0" w:right="0"/>
              <w:jc w:val="center"/>
            </w:pPr>
          </w:p>
        </w:tc>
        <w:tc>
          <w:tcPr>
            <w:tcW w:w="1000" w:type="pct"/>
          </w:tcPr>
          <w:p w14:paraId="660DC237" w14:textId="77777777" w:rsidR="00550D61" w:rsidRPr="00701599" w:rsidRDefault="00550D61" w:rsidP="00B17704">
            <w:pPr>
              <w:pStyle w:val="Tabletext"/>
              <w:keepNext/>
              <w:spacing w:before="0" w:after="0"/>
              <w:ind w:left="0" w:right="0"/>
              <w:jc w:val="center"/>
            </w:pPr>
            <w:r w:rsidRPr="00701599">
              <w:t>100</w:t>
            </w:r>
          </w:p>
        </w:tc>
        <w:tc>
          <w:tcPr>
            <w:tcW w:w="1000" w:type="pct"/>
          </w:tcPr>
          <w:p w14:paraId="38E09DA9" w14:textId="77777777" w:rsidR="00550D61" w:rsidRPr="00701599" w:rsidRDefault="00550D61" w:rsidP="00B17704">
            <w:pPr>
              <w:pStyle w:val="Tabletext"/>
              <w:keepNext/>
              <w:spacing w:before="0" w:after="0"/>
              <w:ind w:left="0" w:right="0"/>
              <w:jc w:val="center"/>
            </w:pPr>
            <w:r w:rsidRPr="00701599">
              <w:t>436455</w:t>
            </w:r>
          </w:p>
        </w:tc>
        <w:tc>
          <w:tcPr>
            <w:tcW w:w="1000" w:type="pct"/>
          </w:tcPr>
          <w:p w14:paraId="1C0D2288" w14:textId="5682F63A" w:rsidR="00550D61" w:rsidRPr="00701599" w:rsidRDefault="00895DCB" w:rsidP="00B17704">
            <w:pPr>
              <w:pStyle w:val="Tabletext"/>
              <w:keepNext/>
              <w:spacing w:before="0" w:after="0"/>
              <w:ind w:left="0" w:right="0"/>
              <w:jc w:val="center"/>
            </w:pPr>
            <w:r>
              <w:t>11</w:t>
            </w:r>
            <w:r w:rsidR="004C7929">
              <w:t>0</w:t>
            </w:r>
          </w:p>
        </w:tc>
      </w:tr>
      <w:tr w:rsidR="00550D61" w:rsidRPr="00701599" w14:paraId="562942B3" w14:textId="77777777" w:rsidTr="00701599">
        <w:tc>
          <w:tcPr>
            <w:tcW w:w="1000" w:type="pct"/>
            <w:vMerge/>
          </w:tcPr>
          <w:p w14:paraId="75ABA4BC" w14:textId="77777777" w:rsidR="00550D61" w:rsidRPr="00701599" w:rsidRDefault="00550D61" w:rsidP="00B17704">
            <w:pPr>
              <w:pStyle w:val="Tabletext"/>
              <w:keepNext/>
              <w:spacing w:before="0" w:after="0"/>
              <w:ind w:left="0" w:right="0"/>
              <w:jc w:val="center"/>
            </w:pPr>
          </w:p>
        </w:tc>
        <w:tc>
          <w:tcPr>
            <w:tcW w:w="1000" w:type="pct"/>
            <w:vMerge w:val="restart"/>
          </w:tcPr>
          <w:p w14:paraId="54DBC572" w14:textId="77777777" w:rsidR="00AE6262" w:rsidRPr="00AE6262" w:rsidRDefault="00550D61" w:rsidP="00B17704">
            <w:pPr>
              <w:pStyle w:val="Tabletext"/>
              <w:keepNext/>
              <w:spacing w:before="0" w:after="0"/>
              <w:ind w:left="0" w:right="0"/>
              <w:jc w:val="center"/>
              <w:rPr>
                <w:szCs w:val="19"/>
              </w:rPr>
            </w:pPr>
            <w:r w:rsidRPr="00701599">
              <w:t>3 months</w:t>
            </w:r>
          </w:p>
          <w:p w14:paraId="0E3277B7" w14:textId="77777777" w:rsidR="00550D61" w:rsidRPr="00AE6262" w:rsidRDefault="002F2AC8" w:rsidP="00B17704">
            <w:pPr>
              <w:pStyle w:val="Tabletext"/>
              <w:keepNext/>
              <w:spacing w:before="0" w:after="0"/>
              <w:ind w:left="0" w:right="0"/>
              <w:jc w:val="center"/>
              <w:rPr>
                <w:vertAlign w:val="subscript"/>
              </w:rPr>
            </w:pPr>
            <w:r>
              <w:t>(</w:t>
            </w:r>
            <w:r w:rsidR="00550D61" w:rsidRPr="00701599">
              <w:t>504703</w:t>
            </w:r>
            <w:r>
              <w:t>)</w:t>
            </w:r>
          </w:p>
        </w:tc>
        <w:tc>
          <w:tcPr>
            <w:tcW w:w="1000" w:type="pct"/>
          </w:tcPr>
          <w:p w14:paraId="41275E07" w14:textId="77777777" w:rsidR="00550D61" w:rsidRPr="00701599" w:rsidRDefault="00550D61" w:rsidP="00B17704">
            <w:pPr>
              <w:pStyle w:val="Tabletext"/>
              <w:keepNext/>
              <w:spacing w:before="0" w:after="0"/>
              <w:ind w:left="0" w:right="0"/>
              <w:jc w:val="center"/>
            </w:pPr>
            <w:r w:rsidRPr="00701599">
              <w:t>15</w:t>
            </w:r>
          </w:p>
        </w:tc>
        <w:tc>
          <w:tcPr>
            <w:tcW w:w="1000" w:type="pct"/>
          </w:tcPr>
          <w:p w14:paraId="1E4F1560" w14:textId="77777777" w:rsidR="00550D61" w:rsidRPr="00701599" w:rsidRDefault="00550D61" w:rsidP="00B17704">
            <w:pPr>
              <w:pStyle w:val="Tabletext"/>
              <w:keepNext/>
              <w:spacing w:before="0" w:after="0"/>
              <w:ind w:left="0" w:right="0"/>
              <w:jc w:val="center"/>
            </w:pPr>
            <w:r w:rsidRPr="00701599">
              <w:t>55656</w:t>
            </w:r>
          </w:p>
        </w:tc>
        <w:tc>
          <w:tcPr>
            <w:tcW w:w="1000" w:type="pct"/>
          </w:tcPr>
          <w:p w14:paraId="5AF3CDC1" w14:textId="057F3E61" w:rsidR="00550D61" w:rsidRPr="00701599" w:rsidRDefault="004C7929" w:rsidP="00B17704">
            <w:pPr>
              <w:pStyle w:val="Tabletext"/>
              <w:keepNext/>
              <w:spacing w:before="0" w:after="0"/>
              <w:ind w:left="0" w:right="0"/>
              <w:jc w:val="center"/>
            </w:pPr>
            <w:r>
              <w:t>14</w:t>
            </w:r>
          </w:p>
        </w:tc>
      </w:tr>
      <w:tr w:rsidR="00550D61" w:rsidRPr="00701599" w14:paraId="47D1F5CC" w14:textId="77777777" w:rsidTr="00701599">
        <w:tc>
          <w:tcPr>
            <w:tcW w:w="1000" w:type="pct"/>
            <w:vMerge/>
          </w:tcPr>
          <w:p w14:paraId="07F0A1DA" w14:textId="77777777" w:rsidR="00550D61" w:rsidRPr="00701599" w:rsidRDefault="00550D61" w:rsidP="00B17704">
            <w:pPr>
              <w:pStyle w:val="Tabletext"/>
              <w:keepNext/>
              <w:spacing w:before="0" w:after="0"/>
              <w:ind w:left="0" w:right="0"/>
              <w:jc w:val="center"/>
            </w:pPr>
          </w:p>
        </w:tc>
        <w:tc>
          <w:tcPr>
            <w:tcW w:w="1000" w:type="pct"/>
            <w:vMerge/>
          </w:tcPr>
          <w:p w14:paraId="357DCCFC" w14:textId="77777777" w:rsidR="00550D61" w:rsidRPr="00701599" w:rsidRDefault="00550D61" w:rsidP="00B17704">
            <w:pPr>
              <w:pStyle w:val="Tabletext"/>
              <w:keepNext/>
              <w:spacing w:before="0" w:after="0"/>
              <w:ind w:left="0" w:right="0"/>
              <w:jc w:val="center"/>
            </w:pPr>
          </w:p>
        </w:tc>
        <w:tc>
          <w:tcPr>
            <w:tcW w:w="1000" w:type="pct"/>
          </w:tcPr>
          <w:p w14:paraId="362DC081" w14:textId="77777777" w:rsidR="00550D61" w:rsidRPr="00701599" w:rsidRDefault="00550D61" w:rsidP="00B17704">
            <w:pPr>
              <w:pStyle w:val="Tabletext"/>
              <w:keepNext/>
              <w:spacing w:before="0" w:after="0"/>
              <w:ind w:left="0" w:right="0"/>
              <w:jc w:val="center"/>
            </w:pPr>
            <w:r w:rsidRPr="00701599">
              <w:t>100</w:t>
            </w:r>
          </w:p>
        </w:tc>
        <w:tc>
          <w:tcPr>
            <w:tcW w:w="1000" w:type="pct"/>
          </w:tcPr>
          <w:p w14:paraId="143EF05B" w14:textId="77777777" w:rsidR="00550D61" w:rsidRPr="00701599" w:rsidRDefault="00550D61" w:rsidP="00B17704">
            <w:pPr>
              <w:pStyle w:val="Tabletext"/>
              <w:keepNext/>
              <w:spacing w:before="0" w:after="0"/>
              <w:ind w:left="0" w:right="0"/>
              <w:jc w:val="center"/>
            </w:pPr>
            <w:r w:rsidRPr="00701599">
              <w:t>334964</w:t>
            </w:r>
          </w:p>
        </w:tc>
        <w:tc>
          <w:tcPr>
            <w:tcW w:w="1000" w:type="pct"/>
          </w:tcPr>
          <w:p w14:paraId="4D977E37" w14:textId="2579C9F2" w:rsidR="00550D61" w:rsidRPr="00701599" w:rsidRDefault="004C7929" w:rsidP="00B17704">
            <w:pPr>
              <w:pStyle w:val="Tabletext"/>
              <w:keepNext/>
              <w:spacing w:before="0" w:after="0"/>
              <w:ind w:left="0" w:right="0"/>
              <w:jc w:val="center"/>
            </w:pPr>
            <w:r>
              <w:t>84</w:t>
            </w:r>
          </w:p>
        </w:tc>
      </w:tr>
      <w:tr w:rsidR="00550D61" w:rsidRPr="00701599" w14:paraId="4E79BEEA" w14:textId="77777777" w:rsidTr="00701599">
        <w:tc>
          <w:tcPr>
            <w:tcW w:w="1000" w:type="pct"/>
            <w:vMerge/>
          </w:tcPr>
          <w:p w14:paraId="5CCF6993" w14:textId="77777777" w:rsidR="00550D61" w:rsidRPr="00701599" w:rsidRDefault="00550D61" w:rsidP="00B17704">
            <w:pPr>
              <w:pStyle w:val="Tabletext"/>
              <w:keepNext/>
              <w:spacing w:before="0" w:after="0"/>
              <w:ind w:left="0" w:right="0"/>
              <w:jc w:val="center"/>
            </w:pPr>
          </w:p>
        </w:tc>
        <w:tc>
          <w:tcPr>
            <w:tcW w:w="1000" w:type="pct"/>
            <w:vMerge w:val="restart"/>
          </w:tcPr>
          <w:p w14:paraId="1C121DC5" w14:textId="77777777" w:rsidR="00550D61" w:rsidRPr="00701599" w:rsidRDefault="00550D61" w:rsidP="00B17704">
            <w:pPr>
              <w:pStyle w:val="Tabletext"/>
              <w:keepNext/>
              <w:spacing w:before="0" w:after="0"/>
              <w:ind w:left="0" w:right="0"/>
              <w:jc w:val="center"/>
            </w:pPr>
            <w:r w:rsidRPr="00701599">
              <w:t>6 months</w:t>
            </w:r>
          </w:p>
          <w:p w14:paraId="7E0CE195" w14:textId="77777777" w:rsidR="00550D61" w:rsidRPr="00701599" w:rsidRDefault="002F2AC8" w:rsidP="00B17704">
            <w:pPr>
              <w:pStyle w:val="Tabletext"/>
              <w:keepNext/>
              <w:spacing w:before="0" w:after="0"/>
              <w:ind w:left="0" w:right="0"/>
              <w:jc w:val="center"/>
            </w:pPr>
            <w:r>
              <w:t>(</w:t>
            </w:r>
            <w:r w:rsidR="00550D61" w:rsidRPr="00701599">
              <w:t>8297947</w:t>
            </w:r>
            <w:r>
              <w:t>)</w:t>
            </w:r>
          </w:p>
        </w:tc>
        <w:tc>
          <w:tcPr>
            <w:tcW w:w="1000" w:type="pct"/>
          </w:tcPr>
          <w:p w14:paraId="4F371B39" w14:textId="77777777" w:rsidR="00550D61" w:rsidRPr="00701599" w:rsidRDefault="00550D61" w:rsidP="00B17704">
            <w:pPr>
              <w:pStyle w:val="Tabletext"/>
              <w:keepNext/>
              <w:spacing w:before="0" w:after="0"/>
              <w:ind w:left="0" w:right="0"/>
              <w:jc w:val="center"/>
            </w:pPr>
            <w:r w:rsidRPr="00701599">
              <w:t>2</w:t>
            </w:r>
          </w:p>
        </w:tc>
        <w:tc>
          <w:tcPr>
            <w:tcW w:w="1000" w:type="pct"/>
          </w:tcPr>
          <w:p w14:paraId="101C2A8F" w14:textId="7A938F39" w:rsidR="00550D61" w:rsidRPr="00701599" w:rsidRDefault="0029020F" w:rsidP="00B17704">
            <w:pPr>
              <w:pStyle w:val="Tabletext"/>
              <w:keepNext/>
              <w:spacing w:before="0" w:after="0"/>
              <w:ind w:left="0" w:right="0"/>
              <w:jc w:val="center"/>
            </w:pPr>
            <w:r>
              <w:t>7650</w:t>
            </w:r>
          </w:p>
        </w:tc>
        <w:tc>
          <w:tcPr>
            <w:tcW w:w="1000" w:type="pct"/>
          </w:tcPr>
          <w:p w14:paraId="2399630D" w14:textId="5EE556DA" w:rsidR="00550D61" w:rsidRPr="00701599" w:rsidRDefault="0029020F" w:rsidP="00B17704">
            <w:pPr>
              <w:pStyle w:val="Tabletext"/>
              <w:keepNext/>
              <w:spacing w:before="0" w:after="0"/>
              <w:ind w:left="0" w:right="0"/>
              <w:jc w:val="center"/>
            </w:pPr>
            <w:r>
              <w:t>2</w:t>
            </w:r>
          </w:p>
        </w:tc>
      </w:tr>
      <w:tr w:rsidR="00550D61" w:rsidRPr="00701599" w14:paraId="4F6597BB" w14:textId="77777777" w:rsidTr="00701599">
        <w:tc>
          <w:tcPr>
            <w:tcW w:w="1000" w:type="pct"/>
            <w:vMerge/>
          </w:tcPr>
          <w:p w14:paraId="2F9E0501" w14:textId="77777777" w:rsidR="00550D61" w:rsidRPr="00701599" w:rsidRDefault="00550D61" w:rsidP="00B17704">
            <w:pPr>
              <w:pStyle w:val="Tabletext"/>
              <w:keepNext/>
              <w:spacing w:before="0" w:after="0"/>
              <w:ind w:left="0" w:right="0"/>
              <w:jc w:val="center"/>
            </w:pPr>
          </w:p>
        </w:tc>
        <w:tc>
          <w:tcPr>
            <w:tcW w:w="1000" w:type="pct"/>
            <w:vMerge/>
          </w:tcPr>
          <w:p w14:paraId="5C32C3B7" w14:textId="77777777" w:rsidR="00550D61" w:rsidRPr="00701599" w:rsidRDefault="00550D61" w:rsidP="00B17704">
            <w:pPr>
              <w:pStyle w:val="Tabletext"/>
              <w:keepNext/>
              <w:spacing w:before="0" w:after="0"/>
              <w:ind w:left="0" w:right="0"/>
              <w:jc w:val="center"/>
            </w:pPr>
          </w:p>
        </w:tc>
        <w:tc>
          <w:tcPr>
            <w:tcW w:w="1000" w:type="pct"/>
          </w:tcPr>
          <w:p w14:paraId="228B20D8" w14:textId="77777777" w:rsidR="00550D61" w:rsidRPr="00701599" w:rsidRDefault="00550D61" w:rsidP="00B17704">
            <w:pPr>
              <w:pStyle w:val="Tabletext"/>
              <w:keepNext/>
              <w:spacing w:before="0" w:after="0"/>
              <w:ind w:left="0" w:right="0"/>
              <w:jc w:val="center"/>
            </w:pPr>
            <w:r w:rsidRPr="00701599">
              <w:t>100</w:t>
            </w:r>
          </w:p>
        </w:tc>
        <w:tc>
          <w:tcPr>
            <w:tcW w:w="1000" w:type="pct"/>
          </w:tcPr>
          <w:p w14:paraId="4E77BE62" w14:textId="77777777" w:rsidR="00550D61" w:rsidRPr="00701599" w:rsidRDefault="00550D61" w:rsidP="00B17704">
            <w:pPr>
              <w:pStyle w:val="Tabletext"/>
              <w:keepNext/>
              <w:spacing w:before="0" w:after="0"/>
              <w:ind w:left="0" w:right="0"/>
              <w:jc w:val="center"/>
            </w:pPr>
            <w:r w:rsidRPr="00701599">
              <w:t>579500</w:t>
            </w:r>
          </w:p>
        </w:tc>
        <w:tc>
          <w:tcPr>
            <w:tcW w:w="1000" w:type="pct"/>
          </w:tcPr>
          <w:p w14:paraId="62CF8D1E" w14:textId="2583776F" w:rsidR="00550D61" w:rsidRPr="00701599" w:rsidRDefault="0029020F" w:rsidP="00B17704">
            <w:pPr>
              <w:pStyle w:val="Tabletext"/>
              <w:keepNext/>
              <w:spacing w:before="0" w:after="0"/>
              <w:ind w:left="0" w:right="0"/>
              <w:jc w:val="center"/>
            </w:pPr>
            <w:r>
              <w:t>1</w:t>
            </w:r>
            <w:r w:rsidR="004C7929">
              <w:t>46</w:t>
            </w:r>
          </w:p>
        </w:tc>
      </w:tr>
      <w:tr w:rsidR="00550D61" w:rsidRPr="00701599" w14:paraId="3CD4E00F" w14:textId="77777777" w:rsidTr="00701599">
        <w:tc>
          <w:tcPr>
            <w:tcW w:w="2000" w:type="pct"/>
            <w:gridSpan w:val="2"/>
          </w:tcPr>
          <w:p w14:paraId="077AC6FD" w14:textId="77777777" w:rsidR="00AE6262" w:rsidRDefault="00AE6262" w:rsidP="00B17704">
            <w:pPr>
              <w:pStyle w:val="Tabletext"/>
              <w:keepNext/>
              <w:spacing w:before="0" w:after="0"/>
              <w:ind w:left="0" w:right="0"/>
              <w:jc w:val="center"/>
              <w:rPr>
                <w:b/>
              </w:rPr>
            </w:pPr>
            <w:r>
              <w:rPr>
                <w:b/>
              </w:rPr>
              <w:t>Human: Population PK analysis</w:t>
            </w:r>
          </w:p>
          <w:p w14:paraId="0C309A86" w14:textId="77777777" w:rsidR="00550D61" w:rsidRPr="00701599" w:rsidRDefault="00AE6262" w:rsidP="00B17704">
            <w:pPr>
              <w:pStyle w:val="Tabletext"/>
              <w:keepNext/>
              <w:spacing w:before="0" w:after="0"/>
              <w:ind w:left="0" w:right="0"/>
              <w:jc w:val="center"/>
            </w:pPr>
            <w:r>
              <w:t xml:space="preserve">(1 </w:t>
            </w:r>
            <w:r w:rsidR="00550D61" w:rsidRPr="00701599">
              <w:t>compartment model)</w:t>
            </w:r>
          </w:p>
        </w:tc>
        <w:tc>
          <w:tcPr>
            <w:tcW w:w="1000" w:type="pct"/>
          </w:tcPr>
          <w:p w14:paraId="3FA4CC83" w14:textId="77777777" w:rsidR="00550D61" w:rsidRPr="00701599" w:rsidRDefault="00550D61" w:rsidP="00B17704">
            <w:pPr>
              <w:pStyle w:val="Tabletext"/>
              <w:keepNext/>
              <w:spacing w:before="0" w:after="0"/>
              <w:ind w:left="0" w:right="0"/>
              <w:jc w:val="center"/>
            </w:pPr>
            <w:r w:rsidRPr="00701599">
              <w:t>120 mg*</w:t>
            </w:r>
          </w:p>
        </w:tc>
        <w:tc>
          <w:tcPr>
            <w:tcW w:w="1000" w:type="pct"/>
          </w:tcPr>
          <w:p w14:paraId="3046A285" w14:textId="77777777" w:rsidR="00550D61" w:rsidRPr="00701599" w:rsidRDefault="00550D61" w:rsidP="00B17704">
            <w:pPr>
              <w:pStyle w:val="Tabletext"/>
              <w:keepNext/>
              <w:spacing w:before="0" w:after="0"/>
              <w:ind w:left="0" w:right="0"/>
              <w:jc w:val="center"/>
            </w:pPr>
            <w:r w:rsidRPr="00701599">
              <w:t>15900</w:t>
            </w:r>
          </w:p>
        </w:tc>
        <w:tc>
          <w:tcPr>
            <w:tcW w:w="1000" w:type="pct"/>
          </w:tcPr>
          <w:p w14:paraId="20D5957F" w14:textId="77777777" w:rsidR="00550D61" w:rsidRPr="00701599" w:rsidRDefault="00550D61" w:rsidP="00B17704">
            <w:pPr>
              <w:pStyle w:val="Tabletext"/>
              <w:keepNext/>
              <w:spacing w:before="0" w:after="0"/>
              <w:ind w:left="0" w:right="0"/>
              <w:jc w:val="center"/>
            </w:pPr>
            <w:r w:rsidRPr="00701599">
              <w:t>-</w:t>
            </w:r>
          </w:p>
        </w:tc>
      </w:tr>
    </w:tbl>
    <w:p w14:paraId="4DA47EC2" w14:textId="77777777" w:rsidR="006A421D" w:rsidRDefault="00550D61" w:rsidP="00572B43">
      <w:pPr>
        <w:pStyle w:val="TableDescription"/>
      </w:pPr>
      <w:r>
        <w:t xml:space="preserve">* = </w:t>
      </w:r>
      <w:proofErr w:type="spellStart"/>
      <w:r>
        <w:t>AUC</w:t>
      </w:r>
      <w:r w:rsidRPr="002227B7">
        <w:rPr>
          <w:vertAlign w:val="subscript"/>
        </w:rPr>
        <w:t>τ</w:t>
      </w:r>
      <w:proofErr w:type="spellEnd"/>
      <w:r w:rsidRPr="002227B7">
        <w:rPr>
          <w:vertAlign w:val="subscript"/>
        </w:rPr>
        <w:t xml:space="preserve">, </w:t>
      </w:r>
      <w:proofErr w:type="spellStart"/>
      <w:r w:rsidRPr="002227B7">
        <w:rPr>
          <w:vertAlign w:val="subscript"/>
        </w:rPr>
        <w:t>ss</w:t>
      </w:r>
      <w:proofErr w:type="spellEnd"/>
      <w:r>
        <w:t xml:space="preserve"> after a 240 mg loading dose followed by 5 consecutive monthly doses of 120 mg (representative of the pro</w:t>
      </w:r>
      <w:r w:rsidR="00DC50DF">
        <w:t>posed clinical dosing regimen);</w:t>
      </w:r>
      <w:r w:rsidR="0074165D">
        <w:t xml:space="preserve"> </w:t>
      </w:r>
      <w:r w:rsidRPr="002227B7">
        <w:rPr>
          <w:vertAlign w:val="superscript"/>
        </w:rPr>
        <w:t>#</w:t>
      </w:r>
      <w:r>
        <w:t xml:space="preserve"> = </w:t>
      </w:r>
      <w:proofErr w:type="spellStart"/>
      <w:proofErr w:type="gramStart"/>
      <w:r>
        <w:t>animal:human</w:t>
      </w:r>
      <w:proofErr w:type="spellEnd"/>
      <w:proofErr w:type="gramEnd"/>
      <w:r>
        <w:t xml:space="preserve"> serum AUC</w:t>
      </w:r>
      <w:r w:rsidRPr="002227B7">
        <w:rPr>
          <w:vertAlign w:val="subscript"/>
        </w:rPr>
        <w:t>0-t</w:t>
      </w:r>
      <w:r w:rsidR="00701599">
        <w:t xml:space="preserve"> times by</w:t>
      </w:r>
      <w:r>
        <w:t xml:space="preserve"> </w:t>
      </w:r>
      <w:r w:rsidR="00701599">
        <w:t>animal:</w:t>
      </w:r>
      <w:r w:rsidR="00753F31">
        <w:t xml:space="preserve"> </w:t>
      </w:r>
      <w:r w:rsidR="00701599">
        <w:t>human dosing frequency;</w:t>
      </w:r>
      <w:r w:rsidR="0074165D">
        <w:t xml:space="preserve"> </w:t>
      </w:r>
      <w:r>
        <w:t>^ = AUC values for males only</w:t>
      </w:r>
      <w:r w:rsidR="003C76F3">
        <w:t>.</w:t>
      </w:r>
    </w:p>
    <w:p w14:paraId="3A9FB41D" w14:textId="77777777" w:rsidR="000071C8" w:rsidRDefault="006A421D" w:rsidP="00433863">
      <w:r>
        <w:t>Limited data on anti-drug antibodies</w:t>
      </w:r>
      <w:r w:rsidR="003C76F3">
        <w:t xml:space="preserve"> (ADA</w:t>
      </w:r>
      <w:r w:rsidR="00AE6262">
        <w:t xml:space="preserve">) are available. In the </w:t>
      </w:r>
      <w:proofErr w:type="gramStart"/>
      <w:r w:rsidR="00AE6262">
        <w:t xml:space="preserve">3 </w:t>
      </w:r>
      <w:r w:rsidR="003C76F3">
        <w:t>month</w:t>
      </w:r>
      <w:proofErr w:type="gramEnd"/>
      <w:r w:rsidR="003C76F3">
        <w:t xml:space="preserve"> rat study, ADA</w:t>
      </w:r>
      <w:r>
        <w:t xml:space="preserve"> were detected at moderate to </w:t>
      </w:r>
      <w:r w:rsidR="00701599">
        <w:t>high incidence at doses of ≥ 15 mg/kg/week (6 out of 20 animals at 15 mg/kg/week and 12 out of 20 animals at 100 </w:t>
      </w:r>
      <w:r>
        <w:t xml:space="preserve">mg/kg/week), and resulted in a reduction in exposure to </w:t>
      </w:r>
      <w:proofErr w:type="spellStart"/>
      <w:r>
        <w:t>galcanezumab</w:t>
      </w:r>
      <w:proofErr w:type="spellEnd"/>
      <w:r>
        <w:t xml:space="preserve"> in some animals.</w:t>
      </w:r>
      <w:r w:rsidR="00701599">
        <w:t xml:space="preserve"> No </w:t>
      </w:r>
      <w:r w:rsidR="003C76F3">
        <w:t>ADA</w:t>
      </w:r>
      <w:r w:rsidR="00701599">
        <w:t xml:space="preserve"> were detected in the </w:t>
      </w:r>
      <w:proofErr w:type="gramStart"/>
      <w:r w:rsidR="00701599">
        <w:t>3 month</w:t>
      </w:r>
      <w:proofErr w:type="gramEnd"/>
      <w:r w:rsidR="00701599">
        <w:t xml:space="preserve"> monkey study at doses </w:t>
      </w:r>
      <w:r w:rsidR="00753F31">
        <w:t>≥ 15</w:t>
      </w:r>
      <w:r w:rsidR="00701599">
        <w:t> </w:t>
      </w:r>
      <w:r w:rsidR="00AE6262">
        <w:t xml:space="preserve">mg/kg/week. The dose </w:t>
      </w:r>
      <w:r>
        <w:t>dependent reduction in ex</w:t>
      </w:r>
      <w:r w:rsidR="00701599">
        <w:t xml:space="preserve">posure to </w:t>
      </w:r>
      <w:proofErr w:type="spellStart"/>
      <w:r w:rsidR="00701599">
        <w:t>galcanezumab</w:t>
      </w:r>
      <w:proofErr w:type="spellEnd"/>
      <w:r w:rsidR="00701599">
        <w:t xml:space="preserve"> in the 6 week and </w:t>
      </w:r>
      <w:proofErr w:type="gramStart"/>
      <w:r w:rsidR="00701599">
        <w:t>3 </w:t>
      </w:r>
      <w:r>
        <w:t>month</w:t>
      </w:r>
      <w:proofErr w:type="gramEnd"/>
      <w:r>
        <w:t xml:space="preserve"> rat studies limits the characterisation of its toxicity at the highest dose tested (</w:t>
      </w:r>
      <w:r w:rsidR="00550D61">
        <w:t>that is</w:t>
      </w:r>
      <w:r w:rsidR="00701599">
        <w:t>, 100 </w:t>
      </w:r>
      <w:r>
        <w:t>mg/kg/week)</w:t>
      </w:r>
      <w:r w:rsidR="000071C8">
        <w:t>.</w:t>
      </w:r>
    </w:p>
    <w:p w14:paraId="1BCD9BFF" w14:textId="77777777" w:rsidR="0057105C" w:rsidRDefault="006A421D" w:rsidP="00572B43">
      <w:pPr>
        <w:pStyle w:val="Heading5"/>
      </w:pPr>
      <w:r>
        <w:t>Major toxicities</w:t>
      </w:r>
    </w:p>
    <w:p w14:paraId="39E648D9" w14:textId="77777777" w:rsidR="006A421D" w:rsidRDefault="006A421D" w:rsidP="00433863">
      <w:proofErr w:type="spellStart"/>
      <w:r>
        <w:t>Galcanezum</w:t>
      </w:r>
      <w:r w:rsidR="00AE6262">
        <w:t>ab</w:t>
      </w:r>
      <w:proofErr w:type="spellEnd"/>
      <w:r w:rsidR="00AE6262">
        <w:t xml:space="preserve"> was well tolerated in repeat </w:t>
      </w:r>
      <w:r>
        <w:t>dose toxicity studies follo</w:t>
      </w:r>
      <w:r w:rsidR="00701599">
        <w:t>wing SC doses up to 100 and 250 mg/kg/week for 6 </w:t>
      </w:r>
      <w:r>
        <w:t>months in monkeys and rats, respecti</w:t>
      </w:r>
      <w:r w:rsidR="00701599">
        <w:t>vely. Two rats treated with 250 </w:t>
      </w:r>
      <w:r>
        <w:t xml:space="preserve">mg/kg/week </w:t>
      </w:r>
      <w:proofErr w:type="spellStart"/>
      <w:r>
        <w:t>galcanezumab</w:t>
      </w:r>
      <w:proofErr w:type="spellEnd"/>
      <w:r>
        <w:t xml:space="preserve"> were either found </w:t>
      </w:r>
      <w:r w:rsidR="00701599">
        <w:t xml:space="preserve">deceased </w:t>
      </w:r>
      <w:r w:rsidR="00925A3E">
        <w:t xml:space="preserve">(unknown causes) </w:t>
      </w:r>
      <w:r w:rsidR="00701599">
        <w:t xml:space="preserve">or </w:t>
      </w:r>
      <w:proofErr w:type="spellStart"/>
      <w:r w:rsidR="00701599">
        <w:t>euthanised</w:t>
      </w:r>
      <w:proofErr w:type="spellEnd"/>
      <w:r w:rsidR="00701599">
        <w:t xml:space="preserve"> during the </w:t>
      </w:r>
      <w:proofErr w:type="gramStart"/>
      <w:r w:rsidR="00701599">
        <w:t>6 month</w:t>
      </w:r>
      <w:proofErr w:type="gramEnd"/>
      <w:r w:rsidR="00701599">
        <w:t xml:space="preserve"> study (on Day 169 </w:t>
      </w:r>
      <w:r w:rsidR="002F2AC8">
        <w:t>(</w:t>
      </w:r>
      <w:r w:rsidR="00701599">
        <w:t>male</w:t>
      </w:r>
      <w:r w:rsidR="002F2AC8">
        <w:t>)</w:t>
      </w:r>
      <w:r w:rsidR="00701599">
        <w:t xml:space="preserve"> and on Day 176 </w:t>
      </w:r>
      <w:r w:rsidR="002F2AC8">
        <w:t>(</w:t>
      </w:r>
      <w:r w:rsidR="00701599">
        <w:t>female</w:t>
      </w:r>
      <w:r w:rsidR="002F2AC8">
        <w:t>)</w:t>
      </w:r>
      <w:r>
        <w:t xml:space="preserve">). The female was </w:t>
      </w:r>
      <w:proofErr w:type="spellStart"/>
      <w:r w:rsidR="00701599">
        <w:t>euthanised</w:t>
      </w:r>
      <w:proofErr w:type="spellEnd"/>
      <w:r>
        <w:t xml:space="preserve"> due to the development of a spontaneous perianal </w:t>
      </w:r>
      <w:proofErr w:type="spellStart"/>
      <w:r>
        <w:t>fibrosarcoma</w:t>
      </w:r>
      <w:proofErr w:type="spellEnd"/>
      <w:r>
        <w:t>. No oth</w:t>
      </w:r>
      <w:r w:rsidR="00AE6262">
        <w:t xml:space="preserve">er </w:t>
      </w:r>
      <w:proofErr w:type="spellStart"/>
      <w:r w:rsidR="00AE6262">
        <w:t>galcanezumab</w:t>
      </w:r>
      <w:proofErr w:type="spellEnd"/>
      <w:r w:rsidR="00AE6262">
        <w:t xml:space="preserve"> </w:t>
      </w:r>
      <w:r>
        <w:t>related mortality or morbidity was obser</w:t>
      </w:r>
      <w:r w:rsidR="00AE6262">
        <w:t xml:space="preserve">ved. There were no </w:t>
      </w:r>
      <w:proofErr w:type="spellStart"/>
      <w:r w:rsidR="00AE6262">
        <w:t>galcanezumab</w:t>
      </w:r>
      <w:proofErr w:type="spellEnd"/>
      <w:r w:rsidR="00AE6262">
        <w:t xml:space="preserve"> </w:t>
      </w:r>
      <w:r>
        <w:t>related clinical signs.</w:t>
      </w:r>
    </w:p>
    <w:p w14:paraId="5285840C" w14:textId="77777777" w:rsidR="000071C8" w:rsidRDefault="006A421D" w:rsidP="00433863">
      <w:r>
        <w:t>Reduced body weight gain was noted in</w:t>
      </w:r>
      <w:r w:rsidR="00701599">
        <w:t xml:space="preserve"> rats administered doses of 250 </w:t>
      </w:r>
      <w:r>
        <w:t>mg/kg/week; this was associated with in a reduction in food intake. Body weight gain was also decreased in a</w:t>
      </w:r>
      <w:r w:rsidR="00AE6262">
        <w:t xml:space="preserve"> dose </w:t>
      </w:r>
      <w:r w:rsidR="00701599">
        <w:t xml:space="preserve">dependent manner in the </w:t>
      </w:r>
      <w:proofErr w:type="gramStart"/>
      <w:r w:rsidR="00701599">
        <w:t>6 </w:t>
      </w:r>
      <w:r>
        <w:t>month</w:t>
      </w:r>
      <w:proofErr w:type="gramEnd"/>
      <w:r>
        <w:t xml:space="preserve"> monkey studies; no changes in food consumption were observed</w:t>
      </w:r>
      <w:r w:rsidR="000071C8">
        <w:t>.</w:t>
      </w:r>
    </w:p>
    <w:p w14:paraId="6727AAAE" w14:textId="77777777" w:rsidR="000071C8" w:rsidRDefault="006A421D" w:rsidP="00433863">
      <w:r>
        <w:t xml:space="preserve">No remarkable effects on body temperature, safety pharmacology parameters (respiratory rate, CNS function and ECG) or clinical pathology parameters were observed following </w:t>
      </w:r>
      <w:proofErr w:type="spellStart"/>
      <w:r>
        <w:t>galcanezumab</w:t>
      </w:r>
      <w:proofErr w:type="spellEnd"/>
      <w:r>
        <w:t xml:space="preserve"> administration. </w:t>
      </w:r>
      <w:r w:rsidR="00AE6262">
        <w:t xml:space="preserve">There were also no </w:t>
      </w:r>
      <w:proofErr w:type="spellStart"/>
      <w:r w:rsidR="00AE6262">
        <w:t>galcanezumab</w:t>
      </w:r>
      <w:proofErr w:type="spellEnd"/>
      <w:r w:rsidR="00AE6262">
        <w:t xml:space="preserve"> </w:t>
      </w:r>
      <w:r>
        <w:t xml:space="preserve">related findings in </w:t>
      </w:r>
      <w:proofErr w:type="spellStart"/>
      <w:r>
        <w:t>ophthalmoscopic</w:t>
      </w:r>
      <w:proofErr w:type="spellEnd"/>
      <w:r>
        <w:t xml:space="preserve"> and physical examinations</w:t>
      </w:r>
      <w:r w:rsidR="000071C8">
        <w:t>.</w:t>
      </w:r>
    </w:p>
    <w:p w14:paraId="77CBCBBF" w14:textId="77777777" w:rsidR="000071C8" w:rsidRDefault="006A421D" w:rsidP="00433863">
      <w:r>
        <w:t>Full haemat</w:t>
      </w:r>
      <w:r w:rsidR="00AE6262">
        <w:t xml:space="preserve">ological assessment showed dose </w:t>
      </w:r>
      <w:r>
        <w:t>dependent changes in white blood</w:t>
      </w:r>
      <w:r w:rsidR="00701599">
        <w:t xml:space="preserve"> cell </w:t>
      </w:r>
      <w:r w:rsidR="00ED1074">
        <w:t xml:space="preserve">(WBC) </w:t>
      </w:r>
      <w:r w:rsidR="00701599">
        <w:t>parameters in male (decreased</w:t>
      </w:r>
      <w:r>
        <w:t xml:space="preserve"> WBC and l</w:t>
      </w:r>
      <w:r w:rsidR="00701599">
        <w:t>ympho</w:t>
      </w:r>
      <w:r w:rsidR="00925A3E">
        <w:t>cytes counts) and female (incre</w:t>
      </w:r>
      <w:r w:rsidR="00701599">
        <w:t>ased</w:t>
      </w:r>
      <w:r>
        <w:t xml:space="preserve"> WBC a</w:t>
      </w:r>
      <w:r w:rsidR="00925A3E">
        <w:t>nd lymphocytes counts) monkeys, in the 3and 6 month studies</w:t>
      </w:r>
      <w:r>
        <w:t>. Increased lymphocyte and eosinophil counts were also increased in both sexes</w:t>
      </w:r>
      <w:r w:rsidR="00ED1074">
        <w:t xml:space="preserve"> in the </w:t>
      </w:r>
      <w:proofErr w:type="gramStart"/>
      <w:r w:rsidR="00ED1074">
        <w:t>3 </w:t>
      </w:r>
      <w:r w:rsidR="00925A3E">
        <w:t>month</w:t>
      </w:r>
      <w:proofErr w:type="gramEnd"/>
      <w:r w:rsidR="00925A3E">
        <w:t xml:space="preserve"> rat</w:t>
      </w:r>
      <w:r>
        <w:t xml:space="preserve"> study</w:t>
      </w:r>
      <w:r w:rsidR="000071C8">
        <w:t>.</w:t>
      </w:r>
    </w:p>
    <w:p w14:paraId="605445DC" w14:textId="77777777" w:rsidR="000071C8" w:rsidRDefault="006A421D" w:rsidP="00433863">
      <w:r>
        <w:lastRenderedPageBreak/>
        <w:t>Serum chemistry analys</w:t>
      </w:r>
      <w:r w:rsidR="00AE6262">
        <w:t xml:space="preserve">es did not show clear treatment </w:t>
      </w:r>
      <w:r>
        <w:t>related effects</w:t>
      </w:r>
      <w:r w:rsidR="00AE6262">
        <w:t xml:space="preserve">, although there were some dose </w:t>
      </w:r>
      <w:r>
        <w:t>dependent fluctuations that were not sta</w:t>
      </w:r>
      <w:r w:rsidR="00ED1074">
        <w:t xml:space="preserve">tistically significant in the </w:t>
      </w:r>
      <w:proofErr w:type="gramStart"/>
      <w:r w:rsidR="00ED1074">
        <w:t>6 </w:t>
      </w:r>
      <w:r w:rsidR="00925A3E">
        <w:t>month</w:t>
      </w:r>
      <w:proofErr w:type="gramEnd"/>
      <w:r w:rsidR="00925A3E">
        <w:t xml:space="preserve"> monkey study (increased</w:t>
      </w:r>
      <w:r>
        <w:t xml:space="preserve"> cholesterol in females </w:t>
      </w:r>
      <w:r w:rsidR="002F2AC8">
        <w:t>(</w:t>
      </w:r>
      <w:r>
        <w:t>33</w:t>
      </w:r>
      <w:r w:rsidR="00925A3E">
        <w:t xml:space="preserve"> </w:t>
      </w:r>
      <w:r w:rsidR="00AE6262">
        <w:t>to</w:t>
      </w:r>
      <w:r w:rsidR="00925A3E">
        <w:t xml:space="preserve"> </w:t>
      </w:r>
      <w:r>
        <w:t>52%</w:t>
      </w:r>
      <w:r w:rsidR="002F2AC8">
        <w:t>)</w:t>
      </w:r>
      <w:r>
        <w:t xml:space="preserve">, </w:t>
      </w:r>
      <w:r w:rsidR="00925A3E">
        <w:t>increased</w:t>
      </w:r>
      <w:r>
        <w:t xml:space="preserve"> glucose in males </w:t>
      </w:r>
      <w:r w:rsidR="002F2AC8">
        <w:t>(</w:t>
      </w:r>
      <w:r>
        <w:t>5</w:t>
      </w:r>
      <w:r w:rsidR="00925A3E">
        <w:t xml:space="preserve"> </w:t>
      </w:r>
      <w:r w:rsidR="00AE6262">
        <w:t>to</w:t>
      </w:r>
      <w:r w:rsidR="00925A3E">
        <w:t xml:space="preserve"> </w:t>
      </w:r>
      <w:r>
        <w:t>24%</w:t>
      </w:r>
      <w:r w:rsidR="002F2AC8">
        <w:t>)</w:t>
      </w:r>
      <w:r>
        <w:t xml:space="preserve">, </w:t>
      </w:r>
      <w:r w:rsidR="00925A3E">
        <w:t>decreased</w:t>
      </w:r>
      <w:r>
        <w:t xml:space="preserve"> glucose in females </w:t>
      </w:r>
      <w:r w:rsidR="002F2AC8">
        <w:t>(</w:t>
      </w:r>
      <w:r>
        <w:t>11</w:t>
      </w:r>
      <w:r w:rsidR="00925A3E">
        <w:t xml:space="preserve"> </w:t>
      </w:r>
      <w:r w:rsidR="00AE6262">
        <w:t>to</w:t>
      </w:r>
      <w:r w:rsidR="00925A3E">
        <w:t xml:space="preserve"> </w:t>
      </w:r>
      <w:r>
        <w:t>23%, st</w:t>
      </w:r>
      <w:r w:rsidR="00AE6262">
        <w:t xml:space="preserve">atistically significant at high </w:t>
      </w:r>
      <w:r>
        <w:t>dose</w:t>
      </w:r>
      <w:r w:rsidR="002F2AC8">
        <w:t>)</w:t>
      </w:r>
      <w:r>
        <w:t xml:space="preserve"> and </w:t>
      </w:r>
      <w:r w:rsidR="00925A3E">
        <w:t>decreased</w:t>
      </w:r>
      <w:r>
        <w:t xml:space="preserve"> </w:t>
      </w:r>
      <w:r w:rsidR="00925A3E">
        <w:t>g</w:t>
      </w:r>
      <w:r w:rsidR="00AE6262">
        <w:t xml:space="preserve">amma </w:t>
      </w:r>
      <w:proofErr w:type="spellStart"/>
      <w:r w:rsidR="00925A3E" w:rsidRPr="00925A3E">
        <w:t>glutamyltransferase</w:t>
      </w:r>
      <w:proofErr w:type="spellEnd"/>
      <w:r w:rsidR="00ED1074">
        <w:t xml:space="preserve"> </w:t>
      </w:r>
      <w:r w:rsidR="002F2AC8">
        <w:t>(</w:t>
      </w:r>
      <w:r>
        <w:t>GGT</w:t>
      </w:r>
      <w:r w:rsidR="002F2AC8">
        <w:t>)</w:t>
      </w:r>
      <w:r>
        <w:t xml:space="preserve"> in males </w:t>
      </w:r>
      <w:r w:rsidR="002F2AC8">
        <w:t>(</w:t>
      </w:r>
      <w:r>
        <w:t>by up to 28%</w:t>
      </w:r>
      <w:r w:rsidR="002F2AC8">
        <w:t>)</w:t>
      </w:r>
      <w:r>
        <w:t xml:space="preserve"> and females </w:t>
      </w:r>
      <w:r w:rsidR="002F2AC8">
        <w:t>(</w:t>
      </w:r>
      <w:r>
        <w:t>by up to 44%</w:t>
      </w:r>
      <w:r w:rsidR="002F2AC8">
        <w:t>)</w:t>
      </w:r>
      <w:r w:rsidR="00ED1074">
        <w:t>)</w:t>
      </w:r>
      <w:r>
        <w:t>. Histological correlates were not observed for any of these findings and therefore they are unlikely to be toxicologically significant. Sli</w:t>
      </w:r>
      <w:r w:rsidR="00640F96">
        <w:t>ght changes were noted in the 6 </w:t>
      </w:r>
      <w:r>
        <w:t>week (</w:t>
      </w:r>
      <w:r w:rsidR="00925A3E">
        <w:t>decreased</w:t>
      </w:r>
      <w:r>
        <w:t xml:space="preserve"> cholesterol, </w:t>
      </w:r>
      <w:r w:rsidR="00925A3E">
        <w:t>aspartate amino</w:t>
      </w:r>
      <w:r w:rsidR="00925A3E" w:rsidRPr="00925A3E">
        <w:t xml:space="preserve">transferase </w:t>
      </w:r>
      <w:r w:rsidR="002F2AC8">
        <w:t>(</w:t>
      </w:r>
      <w:r>
        <w:t>A</w:t>
      </w:r>
      <w:r w:rsidR="00925A3E">
        <w:t>ST</w:t>
      </w:r>
      <w:r w:rsidR="002F2AC8">
        <w:t>)</w:t>
      </w:r>
      <w:r w:rsidR="00925A3E">
        <w:t xml:space="preserve"> and in</w:t>
      </w:r>
      <w:r w:rsidR="00640F96">
        <w:t>creased total bilirubin) and 3 </w:t>
      </w:r>
      <w:proofErr w:type="gramStart"/>
      <w:r w:rsidR="00925A3E">
        <w:t>month</w:t>
      </w:r>
      <w:proofErr w:type="gramEnd"/>
      <w:r w:rsidR="00925A3E">
        <w:t xml:space="preserve"> (increased globulin, cholesterol, sodium</w:t>
      </w:r>
      <w:r>
        <w:t xml:space="preserve"> and </w:t>
      </w:r>
      <w:r w:rsidR="00925A3E">
        <w:t>decreased albumin/globulin</w:t>
      </w:r>
      <w:r>
        <w:t xml:space="preserve"> ratio) monkey studies</w:t>
      </w:r>
      <w:r w:rsidR="000071C8">
        <w:t>.</w:t>
      </w:r>
    </w:p>
    <w:p w14:paraId="1C090348" w14:textId="77777777" w:rsidR="000071C8" w:rsidRDefault="00AE6262" w:rsidP="00433863">
      <w:r>
        <w:t xml:space="preserve">Post </w:t>
      </w:r>
      <w:r w:rsidR="006A421D" w:rsidRPr="00640F96">
        <w:t>mortem examin</w:t>
      </w:r>
      <w:r>
        <w:t xml:space="preserve">ations revealed no </w:t>
      </w:r>
      <w:proofErr w:type="spellStart"/>
      <w:r>
        <w:t>galcanezumab</w:t>
      </w:r>
      <w:proofErr w:type="spellEnd"/>
      <w:r>
        <w:t xml:space="preserve"> </w:t>
      </w:r>
      <w:r w:rsidR="006A421D" w:rsidRPr="00640F96">
        <w:t>related macroscopic observations. Histopathologic</w:t>
      </w:r>
      <w:r>
        <w:t xml:space="preserve">al changes consisted of minimal to </w:t>
      </w:r>
      <w:r w:rsidR="006A421D" w:rsidRPr="00640F96">
        <w:t>slight perivascular mononuc</w:t>
      </w:r>
      <w:r w:rsidR="00640F96">
        <w:t xml:space="preserve">lear cell infiltrates (in the </w:t>
      </w:r>
      <w:proofErr w:type="gramStart"/>
      <w:r w:rsidR="00640F96">
        <w:t>6 month</w:t>
      </w:r>
      <w:proofErr w:type="gramEnd"/>
      <w:r w:rsidR="00640F96">
        <w:t xml:space="preserve"> rat and the 3 and 6 month monkey studies), minimal to moderate inflammation (in the 6 month rat and the 6 </w:t>
      </w:r>
      <w:r w:rsidR="006A421D" w:rsidRPr="00640F96">
        <w:t>w</w:t>
      </w:r>
      <w:r w:rsidR="00640F96">
        <w:t>eek monkey studies) and minimal to moderate pigment (in the 6 </w:t>
      </w:r>
      <w:r w:rsidR="006A421D" w:rsidRPr="00640F96">
        <w:t>month rat study) at the SC injection sites. The incidence and severity of these observations were ge</w:t>
      </w:r>
      <w:r>
        <w:t xml:space="preserve">nerally dose </w:t>
      </w:r>
      <w:r w:rsidR="006A421D" w:rsidRPr="00640F96">
        <w:t>dependent, but were not observed in all treated animals. Due to the lack of d</w:t>
      </w:r>
      <w:r w:rsidR="009C6095">
        <w:t>ata (recovery periods for the 6 week and 3 </w:t>
      </w:r>
      <w:r w:rsidR="006A421D" w:rsidRPr="00640F96">
        <w:t xml:space="preserve">month studies for only one treatment group) the reversibility of these observations could not be established. In some monkeys there was also evidence of low level muscular degeneration/fibrosis. These findings are considered to be a nonspecific response to the injection of a foreign protein and not a direct effect of </w:t>
      </w:r>
      <w:proofErr w:type="spellStart"/>
      <w:r w:rsidR="006A421D" w:rsidRPr="00640F96">
        <w:t>galcanezumab</w:t>
      </w:r>
      <w:proofErr w:type="spellEnd"/>
      <w:r w:rsidR="000071C8" w:rsidRPr="00640F96">
        <w:t>.</w:t>
      </w:r>
    </w:p>
    <w:p w14:paraId="20CFAC63" w14:textId="77777777" w:rsidR="006A421D" w:rsidRDefault="006A421D" w:rsidP="00433863">
      <w:r>
        <w:t>A number of organ weight changes (relative to body weig</w:t>
      </w:r>
      <w:r w:rsidR="00AE6262">
        <w:t xml:space="preserve">ht) were noted following repeat </w:t>
      </w:r>
      <w:r>
        <w:t>dose treatment. These included increased spleen weight in male and fe</w:t>
      </w:r>
      <w:r w:rsidR="009C6095">
        <w:t>male rats and female monkeys (6 </w:t>
      </w:r>
      <w:r w:rsidR="00AE6262">
        <w:t xml:space="preserve">month studies) at the high </w:t>
      </w:r>
      <w:r>
        <w:t xml:space="preserve">dose (rat: 7% </w:t>
      </w:r>
      <w:r w:rsidR="002F2AC8">
        <w:t>(</w:t>
      </w:r>
      <w:r w:rsidR="009C6095">
        <w:t>male</w:t>
      </w:r>
      <w:r w:rsidR="002F2AC8">
        <w:t>)</w:t>
      </w:r>
      <w:r w:rsidR="009C6095">
        <w:t xml:space="preserve"> and 11% </w:t>
      </w:r>
      <w:r w:rsidR="002F2AC8">
        <w:t>(</w:t>
      </w:r>
      <w:r w:rsidR="009C6095">
        <w:t>female</w:t>
      </w:r>
      <w:r w:rsidR="002F2AC8">
        <w:t>)</w:t>
      </w:r>
      <w:r w:rsidR="009C6095">
        <w:t xml:space="preserve">; monkey: 45% </w:t>
      </w:r>
      <w:r w:rsidR="002F2AC8">
        <w:t>(</w:t>
      </w:r>
      <w:r w:rsidR="009C6095">
        <w:t>female</w:t>
      </w:r>
      <w:r w:rsidR="002F2AC8">
        <w:t>)</w:t>
      </w:r>
      <w:r>
        <w:t xml:space="preserve">), increased thyroid/parathyroid weight </w:t>
      </w:r>
      <w:r w:rsidR="00AE6262">
        <w:t>in monkeys (</w:t>
      </w:r>
      <w:proofErr w:type="gramStart"/>
      <w:r w:rsidR="00AE6262">
        <w:t>6 month</w:t>
      </w:r>
      <w:proofErr w:type="gramEnd"/>
      <w:r w:rsidR="00AE6262">
        <w:t xml:space="preserve"> study high </w:t>
      </w:r>
      <w:r w:rsidR="009C6095">
        <w:t xml:space="preserve">dose; 19% </w:t>
      </w:r>
      <w:r w:rsidR="002F2AC8">
        <w:t>(</w:t>
      </w:r>
      <w:r w:rsidR="009C6095">
        <w:t>male</w:t>
      </w:r>
      <w:r w:rsidR="002F2AC8">
        <w:t>)</w:t>
      </w:r>
      <w:r w:rsidR="009C6095">
        <w:t xml:space="preserve"> and 24% </w:t>
      </w:r>
      <w:r w:rsidR="002F2AC8">
        <w:t>(</w:t>
      </w:r>
      <w:r w:rsidR="009C6095">
        <w:t>female</w:t>
      </w:r>
      <w:r w:rsidR="002F2AC8">
        <w:t>)</w:t>
      </w:r>
      <w:r>
        <w:t>), decreased epididymis and testi</w:t>
      </w:r>
      <w:r w:rsidR="009C6095">
        <w:t xml:space="preserve">s weight at both doses in the 6 month monkey study (18 to 26% and 39 to </w:t>
      </w:r>
      <w:r>
        <w:t>51%, respectively). Uterus weight was increased in the pivotal rat study (1</w:t>
      </w:r>
      <w:r w:rsidR="00AE6262">
        <w:t xml:space="preserve">9% at high </w:t>
      </w:r>
      <w:r>
        <w:t>dose). These</w:t>
      </w:r>
      <w:r w:rsidR="00AE6262">
        <w:t xml:space="preserve"> organ weight changes were dose </w:t>
      </w:r>
      <w:r>
        <w:t>dependent but were not statistically significant and had no histological correlate. They were the</w:t>
      </w:r>
      <w:r w:rsidR="00AE6262">
        <w:t xml:space="preserve">refore not considered treatment related. A number of other dose </w:t>
      </w:r>
      <w:r>
        <w:t>dependent changes in organ weights including fluctuation in thymus, liver and adrenal weights were</w:t>
      </w:r>
      <w:r w:rsidR="00AE6262">
        <w:t xml:space="preserve"> not considered to be treatment </w:t>
      </w:r>
      <w:r>
        <w:t>related on the basis that they had no histological correlates and were not always observed in both sexes and both species.</w:t>
      </w:r>
    </w:p>
    <w:p w14:paraId="5A151387" w14:textId="77777777" w:rsidR="00433863" w:rsidRDefault="000071C8" w:rsidP="000071C8">
      <w:pPr>
        <w:pStyle w:val="Heading4"/>
      </w:pPr>
      <w:proofErr w:type="spellStart"/>
      <w:r>
        <w:t>Genotoxicity</w:t>
      </w:r>
      <w:proofErr w:type="spellEnd"/>
    </w:p>
    <w:p w14:paraId="759AF968" w14:textId="77777777" w:rsidR="000071C8" w:rsidRDefault="00433863" w:rsidP="00433863">
      <w:r>
        <w:t xml:space="preserve">The genotoxic potential of </w:t>
      </w:r>
      <w:proofErr w:type="spellStart"/>
      <w:r>
        <w:t>galcanezumab</w:t>
      </w:r>
      <w:proofErr w:type="spellEnd"/>
      <w:r>
        <w:t xml:space="preserve"> was not examined in dedicated nonclinical studies, which is</w:t>
      </w:r>
      <w:r w:rsidR="00AE6262">
        <w:t xml:space="preserve"> acceptable for a biotechnology </w:t>
      </w:r>
      <w:r>
        <w:t>derived pharmaceutical as per ICH guideline</w:t>
      </w:r>
      <w:r w:rsidR="009C6095">
        <w:t>s</w:t>
      </w:r>
      <w:r w:rsidR="000071C8">
        <w:t>.</w:t>
      </w:r>
      <w:r w:rsidR="00FD3BDB">
        <w:fldChar w:fldCharType="begin"/>
      </w:r>
      <w:r w:rsidR="00FD3BDB">
        <w:instrText xml:space="preserve"> NOTEREF _Ref12351989 \f \h </w:instrText>
      </w:r>
      <w:r w:rsidR="00FD3BDB">
        <w:fldChar w:fldCharType="separate"/>
      </w:r>
      <w:r w:rsidR="00FD3BDB" w:rsidRPr="00FD3BDB">
        <w:rPr>
          <w:rStyle w:val="FootnoteReference"/>
        </w:rPr>
        <w:t>1</w:t>
      </w:r>
      <w:r w:rsidR="00FD3BDB">
        <w:fldChar w:fldCharType="end"/>
      </w:r>
    </w:p>
    <w:p w14:paraId="555F030A" w14:textId="77777777" w:rsidR="00433863" w:rsidRDefault="000071C8" w:rsidP="000071C8">
      <w:pPr>
        <w:pStyle w:val="Heading4"/>
      </w:pPr>
      <w:r>
        <w:t>Carcinogenicity</w:t>
      </w:r>
    </w:p>
    <w:p w14:paraId="39048501" w14:textId="77777777" w:rsidR="000071C8" w:rsidRDefault="00433863" w:rsidP="00433863">
      <w:r>
        <w:t xml:space="preserve">Carcinogenicity studies were not conducted. This is acceptable under </w:t>
      </w:r>
      <w:r w:rsidR="00FD3BDB">
        <w:t>the relevant guildelines</w:t>
      </w:r>
      <w:r>
        <w:t>.</w:t>
      </w:r>
      <w:r w:rsidR="00FD3BDB">
        <w:fldChar w:fldCharType="begin"/>
      </w:r>
      <w:r w:rsidR="00FD3BDB">
        <w:instrText xml:space="preserve"> NOTEREF _Ref12351989 \f \h </w:instrText>
      </w:r>
      <w:r w:rsidR="00FD3BDB">
        <w:fldChar w:fldCharType="separate"/>
      </w:r>
      <w:r w:rsidR="00FD3BDB" w:rsidRPr="00FD3BDB">
        <w:rPr>
          <w:rStyle w:val="FootnoteReference"/>
        </w:rPr>
        <w:t>1</w:t>
      </w:r>
      <w:r w:rsidR="00FD3BDB">
        <w:fldChar w:fldCharType="end"/>
      </w:r>
      <w:r>
        <w:t xml:space="preserve"> The mechanism of action of </w:t>
      </w:r>
      <w:proofErr w:type="spellStart"/>
      <w:r>
        <w:t>galcanezumab</w:t>
      </w:r>
      <w:proofErr w:type="spellEnd"/>
      <w:r>
        <w:t xml:space="preserve"> is not expe</w:t>
      </w:r>
      <w:r w:rsidR="00AE6262">
        <w:t xml:space="preserve">cted to be carcinogenic. No pre </w:t>
      </w:r>
      <w:r>
        <w:t xml:space="preserve">neoplastic lesions were observed in rats and </w:t>
      </w:r>
      <w:proofErr w:type="spellStart"/>
      <w:r>
        <w:t>cynomolgus</w:t>
      </w:r>
      <w:proofErr w:type="spellEnd"/>
      <w:r>
        <w:t xml:space="preserve"> monkeys administered </w:t>
      </w:r>
      <w:proofErr w:type="spellStart"/>
      <w:r w:rsidR="009C6095">
        <w:t>galcanezumab</w:t>
      </w:r>
      <w:proofErr w:type="spellEnd"/>
      <w:r w:rsidR="009C6095">
        <w:t xml:space="preserve"> weekly for up to 6 </w:t>
      </w:r>
      <w:r>
        <w:t>months. Although</w:t>
      </w:r>
      <w:r w:rsidRPr="00433863">
        <w:t xml:space="preserve"> </w:t>
      </w:r>
      <w:r>
        <w:t>this time span is relative sho</w:t>
      </w:r>
      <w:r w:rsidR="00AE6262">
        <w:t xml:space="preserve">rt in the monkey lifespan, life </w:t>
      </w:r>
      <w:r>
        <w:t>time carcinogenicity studies in primates are not ethically feasible</w:t>
      </w:r>
      <w:r w:rsidR="000071C8">
        <w:t>.</w:t>
      </w:r>
    </w:p>
    <w:p w14:paraId="7D6F4031" w14:textId="77777777" w:rsidR="00433863" w:rsidRDefault="000071C8" w:rsidP="000071C8">
      <w:pPr>
        <w:pStyle w:val="Heading4"/>
      </w:pPr>
      <w:r>
        <w:t>Reproductive toxicity</w:t>
      </w:r>
    </w:p>
    <w:p w14:paraId="2FFE86EC" w14:textId="77777777" w:rsidR="00433863" w:rsidRDefault="00433863" w:rsidP="00433863">
      <w:r>
        <w:t>Reproductive tox</w:t>
      </w:r>
      <w:r w:rsidR="009C6095">
        <w:t>icity studies submitted by the s</w:t>
      </w:r>
      <w:r>
        <w:t>ponsor covered all stages (fertility, early embryonic developmen</w:t>
      </w:r>
      <w:r w:rsidR="00AE6262">
        <w:t xml:space="preserve">t, </w:t>
      </w:r>
      <w:proofErr w:type="spellStart"/>
      <w:r w:rsidR="00AE6262">
        <w:t>embryofetal</w:t>
      </w:r>
      <w:proofErr w:type="spellEnd"/>
      <w:r w:rsidR="00AE6262">
        <w:t xml:space="preserve"> development, pre and postnatal</w:t>
      </w:r>
      <w:r>
        <w:t xml:space="preserve"> development and juvenile development). All studies were conducted by the SC route. The pivotal studies </w:t>
      </w:r>
      <w:r>
        <w:lastRenderedPageBreak/>
        <w:t>were appropriately designed and conducted in term of dose selection, group size, the timing and duration of treatment, and the endpoints examined.</w:t>
      </w:r>
    </w:p>
    <w:p w14:paraId="528ACD98" w14:textId="77777777" w:rsidR="00433863" w:rsidRDefault="00433863" w:rsidP="000071C8">
      <w:pPr>
        <w:pStyle w:val="Heading5"/>
      </w:pPr>
      <w:r>
        <w:t>Relative exposure</w:t>
      </w:r>
    </w:p>
    <w:p w14:paraId="31FE3376" w14:textId="63A9B190" w:rsidR="00550D61" w:rsidRPr="00B54A17" w:rsidRDefault="007F1E71" w:rsidP="007F1E71">
      <w:pPr>
        <w:pStyle w:val="TableTitle"/>
      </w:pPr>
      <w:r>
        <w:t xml:space="preserve">Table </w:t>
      </w:r>
      <w:fldSimple w:instr=" SEQ Table \* ARABIC ">
        <w:r>
          <w:rPr>
            <w:noProof/>
          </w:rPr>
          <w:t>5</w:t>
        </w:r>
      </w:fldSimple>
      <w:r w:rsidR="001B3F55">
        <w:t>:</w:t>
      </w:r>
      <w:r w:rsidR="00550D61">
        <w:t xml:space="preserve">  Relative e</w:t>
      </w:r>
      <w:r w:rsidR="00550D61" w:rsidRPr="00EB69F1">
        <w:t>xposure</w:t>
      </w:r>
      <w:r w:rsidR="00550D61">
        <w:t xml:space="preserve"> in reproductive </w:t>
      </w:r>
      <w:r w:rsidR="00550D61" w:rsidRPr="00EB69F1">
        <w:t>toxicity studies</w:t>
      </w:r>
      <w:r w:rsidR="006956F8">
        <w:t xml:space="preserve">, </w:t>
      </w:r>
      <w:proofErr w:type="spellStart"/>
      <w:r w:rsidR="00550D61">
        <w:t>galcanezumab</w:t>
      </w:r>
      <w:proofErr w:type="spellEnd"/>
      <w:r w:rsidR="00550D61">
        <w:t xml:space="preserve"> plasma steady state conc</w:t>
      </w:r>
      <w:r w:rsidR="009C6095">
        <w:t>entratio</w:t>
      </w:r>
      <w:r w:rsidR="006956F8">
        <w:t>n</w:t>
      </w:r>
    </w:p>
    <w:tbl>
      <w:tblPr>
        <w:tblStyle w:val="TableTGAblue"/>
        <w:tblW w:w="4936" w:type="pct"/>
        <w:tblLayout w:type="fixed"/>
        <w:tblLook w:val="01E0" w:firstRow="1" w:lastRow="1" w:firstColumn="1" w:lastColumn="1" w:noHBand="0" w:noVBand="0"/>
      </w:tblPr>
      <w:tblGrid>
        <w:gridCol w:w="2235"/>
        <w:gridCol w:w="1134"/>
        <w:gridCol w:w="1275"/>
        <w:gridCol w:w="1434"/>
        <w:gridCol w:w="1401"/>
        <w:gridCol w:w="1129"/>
      </w:tblGrid>
      <w:tr w:rsidR="00550D61" w:rsidRPr="009C6095" w14:paraId="6D8CD000" w14:textId="77777777" w:rsidTr="006956F8">
        <w:trPr>
          <w:cnfStyle w:val="100000000000" w:firstRow="1" w:lastRow="0" w:firstColumn="0" w:lastColumn="0" w:oddVBand="0" w:evenVBand="0" w:oddHBand="0" w:evenHBand="0" w:firstRowFirstColumn="0" w:firstRowLastColumn="0" w:lastRowFirstColumn="0" w:lastRowLastColumn="0"/>
          <w:trHeight w:val="1182"/>
        </w:trPr>
        <w:tc>
          <w:tcPr>
            <w:tcW w:w="2235" w:type="dxa"/>
          </w:tcPr>
          <w:p w14:paraId="0008F749" w14:textId="77777777" w:rsidR="00550D61" w:rsidRPr="009C6095" w:rsidRDefault="00550D61" w:rsidP="009C6095">
            <w:pPr>
              <w:pStyle w:val="Tabletext"/>
              <w:spacing w:before="0" w:after="0"/>
              <w:ind w:left="0" w:right="0"/>
              <w:jc w:val="center"/>
              <w:rPr>
                <w:sz w:val="20"/>
                <w:szCs w:val="20"/>
              </w:rPr>
            </w:pPr>
            <w:r w:rsidRPr="009C6095">
              <w:rPr>
                <w:sz w:val="20"/>
                <w:szCs w:val="20"/>
              </w:rPr>
              <w:t>Species/Dose</w:t>
            </w:r>
          </w:p>
        </w:tc>
        <w:tc>
          <w:tcPr>
            <w:tcW w:w="1134" w:type="dxa"/>
          </w:tcPr>
          <w:p w14:paraId="73034E95" w14:textId="77777777" w:rsidR="006956F8" w:rsidRDefault="006956F8" w:rsidP="009C6095">
            <w:pPr>
              <w:pStyle w:val="Tabletext"/>
              <w:spacing w:before="0" w:after="0"/>
              <w:ind w:left="0" w:right="0"/>
              <w:jc w:val="center"/>
              <w:rPr>
                <w:sz w:val="20"/>
                <w:szCs w:val="20"/>
              </w:rPr>
            </w:pPr>
            <w:r>
              <w:rPr>
                <w:sz w:val="20"/>
                <w:szCs w:val="20"/>
              </w:rPr>
              <w:t>Dose</w:t>
            </w:r>
          </w:p>
          <w:p w14:paraId="60EAAAA1" w14:textId="77777777" w:rsidR="00550D61" w:rsidRPr="009C6095" w:rsidRDefault="00550D61" w:rsidP="009C6095">
            <w:pPr>
              <w:pStyle w:val="Tabletext"/>
              <w:spacing w:before="0" w:after="0"/>
              <w:ind w:left="0" w:right="0"/>
              <w:jc w:val="center"/>
              <w:rPr>
                <w:sz w:val="20"/>
                <w:szCs w:val="20"/>
              </w:rPr>
            </w:pPr>
            <w:r w:rsidRPr="009C6095">
              <w:rPr>
                <w:sz w:val="20"/>
                <w:szCs w:val="20"/>
              </w:rPr>
              <w:t>(mg/kg)</w:t>
            </w:r>
          </w:p>
        </w:tc>
        <w:tc>
          <w:tcPr>
            <w:tcW w:w="1275" w:type="dxa"/>
          </w:tcPr>
          <w:p w14:paraId="25A0DDBF" w14:textId="77777777" w:rsidR="00550D61" w:rsidRPr="009C6095" w:rsidRDefault="001B3F55" w:rsidP="009C6095">
            <w:pPr>
              <w:pStyle w:val="Tabletext"/>
              <w:spacing w:before="0" w:after="0"/>
              <w:ind w:left="0" w:right="0"/>
              <w:jc w:val="center"/>
              <w:rPr>
                <w:sz w:val="20"/>
                <w:szCs w:val="20"/>
              </w:rPr>
            </w:pPr>
            <w:r>
              <w:rPr>
                <w:sz w:val="20"/>
                <w:szCs w:val="20"/>
              </w:rPr>
              <w:t xml:space="preserve">Study </w:t>
            </w:r>
            <w:proofErr w:type="spellStart"/>
            <w:r>
              <w:rPr>
                <w:sz w:val="20"/>
                <w:szCs w:val="20"/>
              </w:rPr>
              <w:t>AUC</w:t>
            </w:r>
            <w:r w:rsidRPr="001B3F55">
              <w:rPr>
                <w:sz w:val="20"/>
                <w:szCs w:val="20"/>
                <w:vertAlign w:val="subscript"/>
              </w:rPr>
              <w:t>ss</w:t>
            </w:r>
            <w:proofErr w:type="spellEnd"/>
          </w:p>
          <w:p w14:paraId="2767BA83" w14:textId="77777777" w:rsidR="00550D61" w:rsidRPr="009C6095" w:rsidRDefault="00550D61" w:rsidP="009C6095">
            <w:pPr>
              <w:pStyle w:val="Tabletext"/>
              <w:spacing w:before="0" w:after="0"/>
              <w:ind w:left="0" w:right="0"/>
              <w:jc w:val="center"/>
              <w:rPr>
                <w:sz w:val="20"/>
                <w:szCs w:val="20"/>
              </w:rPr>
            </w:pPr>
            <w:r w:rsidRPr="009C6095">
              <w:rPr>
                <w:sz w:val="20"/>
                <w:szCs w:val="20"/>
              </w:rPr>
              <w:t>(</w:t>
            </w:r>
            <w:proofErr w:type="spellStart"/>
            <w:r w:rsidRPr="009C6095">
              <w:rPr>
                <w:sz w:val="20"/>
                <w:szCs w:val="20"/>
              </w:rPr>
              <w:t>μg∙d</w:t>
            </w:r>
            <w:r w:rsidR="006956F8">
              <w:rPr>
                <w:sz w:val="20"/>
                <w:szCs w:val="20"/>
              </w:rPr>
              <w:t>ay</w:t>
            </w:r>
            <w:proofErr w:type="spellEnd"/>
            <w:r w:rsidRPr="009C6095">
              <w:rPr>
                <w:sz w:val="20"/>
                <w:szCs w:val="20"/>
              </w:rPr>
              <w:t>/mL)</w:t>
            </w:r>
          </w:p>
        </w:tc>
        <w:tc>
          <w:tcPr>
            <w:tcW w:w="1434" w:type="dxa"/>
          </w:tcPr>
          <w:p w14:paraId="516AEA10" w14:textId="77777777" w:rsidR="00550D61" w:rsidRPr="009C6095" w:rsidRDefault="00550D61" w:rsidP="009C6095">
            <w:pPr>
              <w:pStyle w:val="Tabletext"/>
              <w:spacing w:before="0" w:after="0"/>
              <w:ind w:left="0" w:right="0"/>
              <w:jc w:val="center"/>
              <w:rPr>
                <w:sz w:val="20"/>
                <w:szCs w:val="20"/>
              </w:rPr>
            </w:pPr>
            <w:r w:rsidRPr="009C6095">
              <w:rPr>
                <w:sz w:val="20"/>
                <w:szCs w:val="20"/>
              </w:rPr>
              <w:t>AUC normalised to AUC</w:t>
            </w:r>
            <w:r w:rsidRPr="009C6095">
              <w:rPr>
                <w:sz w:val="20"/>
                <w:szCs w:val="20"/>
                <w:vertAlign w:val="subscript"/>
              </w:rPr>
              <w:t>0-7</w:t>
            </w:r>
            <w:r w:rsidR="006956F8">
              <w:rPr>
                <w:sz w:val="20"/>
                <w:szCs w:val="20"/>
                <w:vertAlign w:val="subscript"/>
              </w:rPr>
              <w:t xml:space="preserve"> </w:t>
            </w:r>
            <w:r w:rsidRPr="009C6095">
              <w:rPr>
                <w:sz w:val="20"/>
                <w:szCs w:val="20"/>
                <w:vertAlign w:val="subscript"/>
              </w:rPr>
              <w:t>d</w:t>
            </w:r>
            <w:r w:rsidR="006956F8">
              <w:rPr>
                <w:sz w:val="20"/>
                <w:szCs w:val="20"/>
                <w:vertAlign w:val="subscript"/>
              </w:rPr>
              <w:t>ays</w:t>
            </w:r>
          </w:p>
          <w:p w14:paraId="0DA243AE" w14:textId="77777777" w:rsidR="00550D61" w:rsidRPr="009C6095" w:rsidRDefault="00550D61" w:rsidP="009C6095">
            <w:pPr>
              <w:pStyle w:val="Tabletext"/>
              <w:spacing w:before="0" w:after="0"/>
              <w:ind w:left="0" w:right="0"/>
              <w:jc w:val="center"/>
              <w:rPr>
                <w:sz w:val="20"/>
                <w:szCs w:val="20"/>
              </w:rPr>
            </w:pPr>
            <w:r w:rsidRPr="009C6095">
              <w:rPr>
                <w:sz w:val="20"/>
                <w:szCs w:val="20"/>
              </w:rPr>
              <w:t>(µ</w:t>
            </w:r>
            <w:proofErr w:type="spellStart"/>
            <w:r w:rsidRPr="009C6095">
              <w:rPr>
                <w:sz w:val="20"/>
                <w:szCs w:val="20"/>
              </w:rPr>
              <w:t>g∙</w:t>
            </w:r>
            <w:r w:rsidR="006956F8">
              <w:rPr>
                <w:sz w:val="20"/>
                <w:szCs w:val="20"/>
              </w:rPr>
              <w:t>day</w:t>
            </w:r>
            <w:proofErr w:type="spellEnd"/>
            <w:r w:rsidRPr="009C6095">
              <w:rPr>
                <w:sz w:val="20"/>
                <w:szCs w:val="20"/>
              </w:rPr>
              <w:t>/mL)</w:t>
            </w:r>
          </w:p>
        </w:tc>
        <w:tc>
          <w:tcPr>
            <w:tcW w:w="1401" w:type="dxa"/>
          </w:tcPr>
          <w:p w14:paraId="250B11DA" w14:textId="77777777" w:rsidR="00550D61" w:rsidRPr="009C6095" w:rsidRDefault="00550D61" w:rsidP="009C6095">
            <w:pPr>
              <w:pStyle w:val="Tabletext"/>
              <w:spacing w:before="0" w:after="0"/>
              <w:ind w:left="0" w:right="0"/>
              <w:jc w:val="center"/>
              <w:rPr>
                <w:sz w:val="20"/>
                <w:szCs w:val="20"/>
              </w:rPr>
            </w:pPr>
            <w:r w:rsidRPr="009C6095">
              <w:rPr>
                <w:sz w:val="20"/>
                <w:szCs w:val="20"/>
              </w:rPr>
              <w:t>Steady State Concentration</w:t>
            </w:r>
          </w:p>
          <w:p w14:paraId="34B88F0B" w14:textId="77777777" w:rsidR="00550D61" w:rsidRPr="009C6095" w:rsidRDefault="00550D61" w:rsidP="009C6095">
            <w:pPr>
              <w:pStyle w:val="Tabletext"/>
              <w:spacing w:before="0" w:after="0"/>
              <w:ind w:left="0" w:right="0"/>
              <w:jc w:val="center"/>
              <w:rPr>
                <w:sz w:val="20"/>
                <w:szCs w:val="20"/>
              </w:rPr>
            </w:pPr>
            <w:r w:rsidRPr="009C6095">
              <w:rPr>
                <w:sz w:val="20"/>
                <w:szCs w:val="20"/>
              </w:rPr>
              <w:t>(µg/mL)=</w:t>
            </w:r>
            <w:proofErr w:type="spellStart"/>
            <w:r w:rsidRPr="009C6095">
              <w:rPr>
                <w:sz w:val="20"/>
                <w:szCs w:val="20"/>
              </w:rPr>
              <w:t>C</w:t>
            </w:r>
            <w:r w:rsidRPr="009C6095">
              <w:rPr>
                <w:sz w:val="20"/>
                <w:szCs w:val="20"/>
                <w:vertAlign w:val="subscript"/>
              </w:rPr>
              <w:t>av,ss</w:t>
            </w:r>
            <w:proofErr w:type="spellEnd"/>
          </w:p>
        </w:tc>
        <w:tc>
          <w:tcPr>
            <w:tcW w:w="1129" w:type="dxa"/>
          </w:tcPr>
          <w:p w14:paraId="27547157" w14:textId="77777777" w:rsidR="00550D61" w:rsidRPr="009C6095" w:rsidRDefault="00550D61" w:rsidP="009C6095">
            <w:pPr>
              <w:pStyle w:val="Tabletext"/>
              <w:spacing w:before="0" w:after="0"/>
              <w:ind w:left="0" w:right="0"/>
              <w:jc w:val="center"/>
              <w:rPr>
                <w:sz w:val="20"/>
                <w:szCs w:val="20"/>
              </w:rPr>
            </w:pPr>
            <w:r w:rsidRPr="009C6095">
              <w:rPr>
                <w:sz w:val="20"/>
                <w:szCs w:val="20"/>
              </w:rPr>
              <w:t xml:space="preserve">Exposure </w:t>
            </w:r>
            <w:proofErr w:type="spellStart"/>
            <w:r w:rsidRPr="009C6095">
              <w:rPr>
                <w:sz w:val="20"/>
                <w:szCs w:val="20"/>
              </w:rPr>
              <w:t>ratio</w:t>
            </w:r>
            <w:r w:rsidRPr="009C6095">
              <w:rPr>
                <w:sz w:val="20"/>
                <w:szCs w:val="20"/>
                <w:vertAlign w:val="superscript"/>
              </w:rPr>
              <w:t>a</w:t>
            </w:r>
            <w:proofErr w:type="spellEnd"/>
          </w:p>
        </w:tc>
      </w:tr>
      <w:tr w:rsidR="00550D61" w:rsidRPr="009C6095" w14:paraId="41CFCA1D" w14:textId="77777777" w:rsidTr="006956F8">
        <w:trPr>
          <w:trHeight w:val="526"/>
        </w:trPr>
        <w:tc>
          <w:tcPr>
            <w:tcW w:w="2235" w:type="dxa"/>
          </w:tcPr>
          <w:p w14:paraId="4E146F15" w14:textId="77777777" w:rsidR="00550D61" w:rsidRPr="009C6095" w:rsidRDefault="00550D61" w:rsidP="009C6095">
            <w:pPr>
              <w:pStyle w:val="Tabletext"/>
              <w:spacing w:before="0" w:after="0"/>
              <w:ind w:left="0" w:right="0"/>
              <w:jc w:val="center"/>
              <w:rPr>
                <w:sz w:val="20"/>
                <w:szCs w:val="20"/>
              </w:rPr>
            </w:pPr>
            <w:r w:rsidRPr="009C6095">
              <w:rPr>
                <w:sz w:val="20"/>
                <w:szCs w:val="20"/>
              </w:rPr>
              <w:t>Human (120</w:t>
            </w:r>
            <w:r w:rsidR="001B3F55">
              <w:rPr>
                <w:sz w:val="20"/>
                <w:szCs w:val="20"/>
              </w:rPr>
              <w:t xml:space="preserve"> </w:t>
            </w:r>
            <w:r w:rsidRPr="009C6095">
              <w:rPr>
                <w:sz w:val="20"/>
                <w:szCs w:val="20"/>
              </w:rPr>
              <w:t>mg)</w:t>
            </w:r>
            <w:proofErr w:type="spellStart"/>
            <w:r w:rsidRPr="009C6095">
              <w:rPr>
                <w:sz w:val="20"/>
                <w:szCs w:val="20"/>
                <w:vertAlign w:val="superscript"/>
              </w:rPr>
              <w:t>b,c</w:t>
            </w:r>
            <w:proofErr w:type="spellEnd"/>
          </w:p>
        </w:tc>
        <w:tc>
          <w:tcPr>
            <w:tcW w:w="1134" w:type="dxa"/>
          </w:tcPr>
          <w:p w14:paraId="00F665CE" w14:textId="77777777" w:rsidR="00550D61" w:rsidRPr="009C6095" w:rsidRDefault="00550D61" w:rsidP="009C6095">
            <w:pPr>
              <w:pStyle w:val="Tabletext"/>
              <w:spacing w:before="0" w:after="0"/>
              <w:ind w:left="0" w:right="0"/>
              <w:jc w:val="center"/>
              <w:rPr>
                <w:sz w:val="20"/>
                <w:szCs w:val="20"/>
              </w:rPr>
            </w:pPr>
            <w:r w:rsidRPr="009C6095">
              <w:rPr>
                <w:sz w:val="20"/>
                <w:szCs w:val="20"/>
              </w:rPr>
              <w:t>2</w:t>
            </w:r>
          </w:p>
        </w:tc>
        <w:tc>
          <w:tcPr>
            <w:tcW w:w="1275" w:type="dxa"/>
          </w:tcPr>
          <w:p w14:paraId="07AC35E7" w14:textId="77777777" w:rsidR="00550D61" w:rsidRPr="009C6095" w:rsidRDefault="00550D61" w:rsidP="009C6095">
            <w:pPr>
              <w:pStyle w:val="Tabletext"/>
              <w:spacing w:before="0" w:after="0"/>
              <w:ind w:left="0" w:right="0"/>
              <w:jc w:val="center"/>
              <w:rPr>
                <w:sz w:val="20"/>
                <w:szCs w:val="20"/>
              </w:rPr>
            </w:pPr>
            <w:r w:rsidRPr="009C6095">
              <w:rPr>
                <w:sz w:val="20"/>
                <w:szCs w:val="20"/>
              </w:rPr>
              <w:t>AUC</w:t>
            </w:r>
            <w:r w:rsidRPr="009C6095">
              <w:rPr>
                <w:sz w:val="20"/>
                <w:szCs w:val="20"/>
                <w:vertAlign w:val="subscript"/>
              </w:rPr>
              <w:t>0-30</w:t>
            </w:r>
            <w:r w:rsidR="006956F8">
              <w:rPr>
                <w:sz w:val="20"/>
                <w:szCs w:val="20"/>
                <w:vertAlign w:val="subscript"/>
              </w:rPr>
              <w:t xml:space="preserve"> </w:t>
            </w:r>
            <w:r w:rsidRPr="009C6095">
              <w:rPr>
                <w:sz w:val="20"/>
                <w:szCs w:val="20"/>
                <w:vertAlign w:val="subscript"/>
              </w:rPr>
              <w:t>d</w:t>
            </w:r>
            <w:r w:rsidR="006956F8">
              <w:rPr>
                <w:sz w:val="20"/>
                <w:szCs w:val="20"/>
                <w:vertAlign w:val="subscript"/>
              </w:rPr>
              <w:t>ays</w:t>
            </w:r>
            <w:r w:rsidR="001B3F55">
              <w:rPr>
                <w:sz w:val="20"/>
                <w:szCs w:val="20"/>
              </w:rPr>
              <w:t xml:space="preserve"> </w:t>
            </w:r>
            <w:r w:rsidRPr="009C6095">
              <w:rPr>
                <w:sz w:val="20"/>
                <w:szCs w:val="20"/>
              </w:rPr>
              <w:t>= 662.5</w:t>
            </w:r>
          </w:p>
        </w:tc>
        <w:tc>
          <w:tcPr>
            <w:tcW w:w="1434" w:type="dxa"/>
          </w:tcPr>
          <w:p w14:paraId="749C9CE2" w14:textId="77777777" w:rsidR="00550D61" w:rsidRPr="009C6095" w:rsidRDefault="00550D61" w:rsidP="009C6095">
            <w:pPr>
              <w:pStyle w:val="Tabletext"/>
              <w:spacing w:before="0" w:after="0"/>
              <w:ind w:left="0" w:right="0"/>
              <w:jc w:val="center"/>
              <w:rPr>
                <w:sz w:val="20"/>
                <w:szCs w:val="20"/>
              </w:rPr>
            </w:pPr>
            <w:r w:rsidRPr="009C6095">
              <w:rPr>
                <w:sz w:val="20"/>
                <w:szCs w:val="20"/>
              </w:rPr>
              <w:t>296</w:t>
            </w:r>
          </w:p>
        </w:tc>
        <w:tc>
          <w:tcPr>
            <w:tcW w:w="1401" w:type="dxa"/>
          </w:tcPr>
          <w:p w14:paraId="373B77C3" w14:textId="77777777" w:rsidR="00550D61" w:rsidRPr="009C6095" w:rsidRDefault="00550D61" w:rsidP="009C6095">
            <w:pPr>
              <w:pStyle w:val="Tabletext"/>
              <w:spacing w:before="0" w:after="0"/>
              <w:ind w:left="0" w:right="0"/>
              <w:jc w:val="center"/>
              <w:rPr>
                <w:sz w:val="20"/>
                <w:szCs w:val="20"/>
              </w:rPr>
            </w:pPr>
            <w:r w:rsidRPr="009C6095">
              <w:rPr>
                <w:sz w:val="20"/>
                <w:szCs w:val="20"/>
              </w:rPr>
              <w:t>22.1</w:t>
            </w:r>
          </w:p>
        </w:tc>
        <w:tc>
          <w:tcPr>
            <w:tcW w:w="1129" w:type="dxa"/>
          </w:tcPr>
          <w:p w14:paraId="7F6E340D" w14:textId="77777777" w:rsidR="00550D61" w:rsidRPr="009C6095" w:rsidRDefault="00550D61" w:rsidP="009C6095">
            <w:pPr>
              <w:pStyle w:val="Tabletext"/>
              <w:spacing w:before="0" w:after="0"/>
              <w:ind w:left="0" w:right="0"/>
              <w:jc w:val="center"/>
              <w:rPr>
                <w:sz w:val="20"/>
                <w:szCs w:val="20"/>
              </w:rPr>
            </w:pPr>
            <w:r w:rsidRPr="009C6095">
              <w:rPr>
                <w:sz w:val="20"/>
                <w:szCs w:val="20"/>
              </w:rPr>
              <w:t>-</w:t>
            </w:r>
          </w:p>
        </w:tc>
      </w:tr>
      <w:tr w:rsidR="00550D61" w:rsidRPr="009C6095" w14:paraId="2B577000" w14:textId="77777777" w:rsidTr="006956F8">
        <w:trPr>
          <w:trHeight w:val="722"/>
        </w:trPr>
        <w:tc>
          <w:tcPr>
            <w:tcW w:w="2235" w:type="dxa"/>
          </w:tcPr>
          <w:p w14:paraId="5B8989E2" w14:textId="77777777" w:rsidR="00550D61" w:rsidRPr="009C6095" w:rsidRDefault="00550D61" w:rsidP="009C6095">
            <w:pPr>
              <w:pStyle w:val="Tabletext"/>
              <w:spacing w:before="0" w:after="0"/>
              <w:ind w:left="0" w:right="0"/>
              <w:jc w:val="center"/>
              <w:rPr>
                <w:sz w:val="20"/>
                <w:szCs w:val="20"/>
              </w:rPr>
            </w:pPr>
            <w:r w:rsidRPr="009C6095">
              <w:rPr>
                <w:sz w:val="20"/>
                <w:szCs w:val="20"/>
              </w:rPr>
              <w:t xml:space="preserve">Rat male fertility study </w:t>
            </w:r>
            <w:proofErr w:type="spellStart"/>
            <w:r w:rsidRPr="009C6095">
              <w:rPr>
                <w:sz w:val="20"/>
                <w:szCs w:val="20"/>
              </w:rPr>
              <w:t>NOAEL</w:t>
            </w:r>
            <w:r w:rsidRPr="009C6095">
              <w:rPr>
                <w:sz w:val="20"/>
                <w:szCs w:val="20"/>
                <w:vertAlign w:val="superscript"/>
              </w:rPr>
              <w:t>d</w:t>
            </w:r>
            <w:proofErr w:type="spellEnd"/>
          </w:p>
        </w:tc>
        <w:tc>
          <w:tcPr>
            <w:tcW w:w="1134" w:type="dxa"/>
          </w:tcPr>
          <w:p w14:paraId="467B8AA7" w14:textId="77777777" w:rsidR="00550D61" w:rsidRPr="009C6095" w:rsidRDefault="00550D61" w:rsidP="009C6095">
            <w:pPr>
              <w:pStyle w:val="Tabletext"/>
              <w:spacing w:before="0" w:after="0"/>
              <w:ind w:left="0" w:right="0"/>
              <w:jc w:val="center"/>
              <w:rPr>
                <w:sz w:val="20"/>
                <w:szCs w:val="20"/>
              </w:rPr>
            </w:pPr>
            <w:r w:rsidRPr="009C6095">
              <w:rPr>
                <w:sz w:val="20"/>
                <w:szCs w:val="20"/>
              </w:rPr>
              <w:t>250</w:t>
            </w:r>
          </w:p>
        </w:tc>
        <w:tc>
          <w:tcPr>
            <w:tcW w:w="1275" w:type="dxa"/>
          </w:tcPr>
          <w:p w14:paraId="0C83038F" w14:textId="77777777" w:rsidR="00550D61" w:rsidRPr="009C6095" w:rsidRDefault="00550D61" w:rsidP="009C6095">
            <w:pPr>
              <w:pStyle w:val="Tabletext"/>
              <w:spacing w:before="0" w:after="0"/>
              <w:ind w:left="0" w:right="0"/>
              <w:jc w:val="center"/>
              <w:rPr>
                <w:sz w:val="20"/>
                <w:szCs w:val="20"/>
              </w:rPr>
            </w:pPr>
            <w:r w:rsidRPr="009C6095">
              <w:rPr>
                <w:sz w:val="20"/>
                <w:szCs w:val="20"/>
              </w:rPr>
              <w:t>AUC</w:t>
            </w:r>
            <w:r w:rsidRPr="009C6095">
              <w:rPr>
                <w:sz w:val="20"/>
                <w:szCs w:val="20"/>
                <w:vertAlign w:val="subscript"/>
              </w:rPr>
              <w:t>0-30</w:t>
            </w:r>
            <w:r w:rsidR="006956F8">
              <w:rPr>
                <w:sz w:val="20"/>
                <w:szCs w:val="20"/>
                <w:vertAlign w:val="subscript"/>
              </w:rPr>
              <w:t xml:space="preserve"> </w:t>
            </w:r>
            <w:r w:rsidRPr="009C6095">
              <w:rPr>
                <w:sz w:val="20"/>
                <w:szCs w:val="20"/>
                <w:vertAlign w:val="subscript"/>
              </w:rPr>
              <w:t>d</w:t>
            </w:r>
            <w:r w:rsidR="006956F8">
              <w:rPr>
                <w:sz w:val="20"/>
                <w:szCs w:val="20"/>
                <w:vertAlign w:val="subscript"/>
              </w:rPr>
              <w:t>ays</w:t>
            </w:r>
            <w:r w:rsidR="001B3F55">
              <w:rPr>
                <w:sz w:val="20"/>
                <w:szCs w:val="20"/>
              </w:rPr>
              <w:t xml:space="preserve"> </w:t>
            </w:r>
            <w:r w:rsidRPr="009C6095">
              <w:rPr>
                <w:sz w:val="20"/>
                <w:szCs w:val="20"/>
              </w:rPr>
              <w:t>= 1221</w:t>
            </w:r>
          </w:p>
        </w:tc>
        <w:tc>
          <w:tcPr>
            <w:tcW w:w="1434" w:type="dxa"/>
          </w:tcPr>
          <w:p w14:paraId="192C4517" w14:textId="77777777" w:rsidR="00550D61" w:rsidRPr="009C6095" w:rsidRDefault="00550D61" w:rsidP="009C6095">
            <w:pPr>
              <w:pStyle w:val="Tabletext"/>
              <w:spacing w:before="0" w:after="0"/>
              <w:ind w:left="0" w:right="0"/>
              <w:jc w:val="center"/>
              <w:rPr>
                <w:sz w:val="20"/>
                <w:szCs w:val="20"/>
              </w:rPr>
            </w:pPr>
            <w:r w:rsidRPr="009C6095">
              <w:rPr>
                <w:sz w:val="20"/>
                <w:szCs w:val="20"/>
              </w:rPr>
              <w:t>1221</w:t>
            </w:r>
          </w:p>
        </w:tc>
        <w:tc>
          <w:tcPr>
            <w:tcW w:w="1401" w:type="dxa"/>
          </w:tcPr>
          <w:p w14:paraId="5263496A" w14:textId="77777777" w:rsidR="00550D61" w:rsidRPr="009C6095" w:rsidRDefault="00550D61" w:rsidP="009C6095">
            <w:pPr>
              <w:pStyle w:val="Tabletext"/>
              <w:spacing w:before="0" w:after="0"/>
              <w:ind w:left="0" w:right="0"/>
              <w:jc w:val="center"/>
              <w:rPr>
                <w:sz w:val="20"/>
                <w:szCs w:val="20"/>
              </w:rPr>
            </w:pPr>
            <w:r w:rsidRPr="009C6095">
              <w:rPr>
                <w:sz w:val="20"/>
                <w:szCs w:val="20"/>
              </w:rPr>
              <w:t>174</w:t>
            </w:r>
          </w:p>
        </w:tc>
        <w:tc>
          <w:tcPr>
            <w:tcW w:w="1129" w:type="dxa"/>
          </w:tcPr>
          <w:p w14:paraId="46043AFA" w14:textId="77777777" w:rsidR="00550D61" w:rsidRPr="009C6095" w:rsidRDefault="00550D61" w:rsidP="009C6095">
            <w:pPr>
              <w:pStyle w:val="Tabletext"/>
              <w:spacing w:before="0" w:after="0"/>
              <w:ind w:left="0" w:right="0"/>
              <w:jc w:val="center"/>
              <w:rPr>
                <w:sz w:val="20"/>
                <w:szCs w:val="20"/>
              </w:rPr>
            </w:pPr>
            <w:r w:rsidRPr="009C6095">
              <w:rPr>
                <w:sz w:val="20"/>
                <w:szCs w:val="20"/>
              </w:rPr>
              <w:t>7.9</w:t>
            </w:r>
          </w:p>
        </w:tc>
      </w:tr>
      <w:tr w:rsidR="00550D61" w:rsidRPr="009C6095" w14:paraId="6AD2B306" w14:textId="77777777" w:rsidTr="006956F8">
        <w:trPr>
          <w:trHeight w:val="722"/>
        </w:trPr>
        <w:tc>
          <w:tcPr>
            <w:tcW w:w="2235" w:type="dxa"/>
          </w:tcPr>
          <w:p w14:paraId="5470680C" w14:textId="77777777" w:rsidR="00550D61" w:rsidRPr="009C6095" w:rsidRDefault="00550D61" w:rsidP="009C6095">
            <w:pPr>
              <w:pStyle w:val="Tabletext"/>
              <w:spacing w:before="0" w:after="0"/>
              <w:ind w:left="0" w:right="0"/>
              <w:jc w:val="center"/>
              <w:rPr>
                <w:sz w:val="20"/>
                <w:szCs w:val="20"/>
              </w:rPr>
            </w:pPr>
            <w:r w:rsidRPr="009C6095">
              <w:rPr>
                <w:sz w:val="20"/>
                <w:szCs w:val="20"/>
              </w:rPr>
              <w:t xml:space="preserve">Rat female fertility </w:t>
            </w:r>
            <w:r w:rsidR="001B3F55">
              <w:rPr>
                <w:sz w:val="20"/>
                <w:szCs w:val="20"/>
              </w:rPr>
              <w:t>and</w:t>
            </w:r>
            <w:r w:rsidRPr="009C6095">
              <w:rPr>
                <w:sz w:val="20"/>
                <w:szCs w:val="20"/>
              </w:rPr>
              <w:t xml:space="preserve"> </w:t>
            </w:r>
            <w:proofErr w:type="spellStart"/>
            <w:r w:rsidR="00EB1138" w:rsidRPr="009C6095">
              <w:rPr>
                <w:sz w:val="20"/>
                <w:szCs w:val="20"/>
              </w:rPr>
              <w:t>embryofetal</w:t>
            </w:r>
            <w:proofErr w:type="spellEnd"/>
            <w:r w:rsidR="00EB1138" w:rsidRPr="009C6095">
              <w:rPr>
                <w:sz w:val="20"/>
                <w:szCs w:val="20"/>
              </w:rPr>
              <w:t xml:space="preserve"> development</w:t>
            </w:r>
            <w:r w:rsidRPr="009C6095">
              <w:rPr>
                <w:sz w:val="20"/>
                <w:szCs w:val="20"/>
              </w:rPr>
              <w:t xml:space="preserve"> study </w:t>
            </w:r>
            <w:proofErr w:type="spellStart"/>
            <w:r w:rsidRPr="009C6095">
              <w:rPr>
                <w:sz w:val="20"/>
                <w:szCs w:val="20"/>
              </w:rPr>
              <w:t>NOAEL</w:t>
            </w:r>
            <w:r w:rsidRPr="009C6095">
              <w:rPr>
                <w:sz w:val="20"/>
                <w:szCs w:val="20"/>
                <w:vertAlign w:val="superscript"/>
              </w:rPr>
              <w:t>e</w:t>
            </w:r>
            <w:proofErr w:type="spellEnd"/>
          </w:p>
        </w:tc>
        <w:tc>
          <w:tcPr>
            <w:tcW w:w="1134" w:type="dxa"/>
          </w:tcPr>
          <w:p w14:paraId="7754691A" w14:textId="77777777" w:rsidR="00550D61" w:rsidRPr="009C6095" w:rsidRDefault="00550D61" w:rsidP="009C6095">
            <w:pPr>
              <w:pStyle w:val="Tabletext"/>
              <w:spacing w:before="0" w:after="0"/>
              <w:ind w:left="0" w:right="0"/>
              <w:jc w:val="center"/>
              <w:rPr>
                <w:sz w:val="20"/>
                <w:szCs w:val="20"/>
              </w:rPr>
            </w:pPr>
            <w:r w:rsidRPr="009C6095">
              <w:rPr>
                <w:sz w:val="20"/>
                <w:szCs w:val="20"/>
              </w:rPr>
              <w:t>100</w:t>
            </w:r>
          </w:p>
        </w:tc>
        <w:tc>
          <w:tcPr>
            <w:tcW w:w="1275" w:type="dxa"/>
          </w:tcPr>
          <w:p w14:paraId="7C50F4FD" w14:textId="77777777" w:rsidR="00550D61" w:rsidRPr="009C6095" w:rsidRDefault="00550D61" w:rsidP="009C6095">
            <w:pPr>
              <w:pStyle w:val="Tabletext"/>
              <w:spacing w:before="0" w:after="0"/>
              <w:ind w:left="0" w:right="0"/>
              <w:jc w:val="center"/>
              <w:rPr>
                <w:sz w:val="20"/>
                <w:szCs w:val="20"/>
              </w:rPr>
            </w:pPr>
            <w:r w:rsidRPr="009C6095">
              <w:rPr>
                <w:sz w:val="20"/>
                <w:szCs w:val="20"/>
              </w:rPr>
              <w:t>AUC</w:t>
            </w:r>
            <w:r w:rsidRPr="009C6095">
              <w:rPr>
                <w:sz w:val="20"/>
                <w:szCs w:val="20"/>
                <w:vertAlign w:val="subscript"/>
              </w:rPr>
              <w:t>0-30</w:t>
            </w:r>
            <w:r w:rsidR="006956F8">
              <w:rPr>
                <w:sz w:val="20"/>
                <w:szCs w:val="20"/>
                <w:vertAlign w:val="subscript"/>
              </w:rPr>
              <w:t xml:space="preserve"> </w:t>
            </w:r>
            <w:r w:rsidRPr="009C6095">
              <w:rPr>
                <w:sz w:val="20"/>
                <w:szCs w:val="20"/>
                <w:vertAlign w:val="subscript"/>
              </w:rPr>
              <w:t>d</w:t>
            </w:r>
            <w:r w:rsidR="006956F8">
              <w:rPr>
                <w:sz w:val="20"/>
                <w:szCs w:val="20"/>
                <w:vertAlign w:val="subscript"/>
              </w:rPr>
              <w:t>ays</w:t>
            </w:r>
            <w:r w:rsidR="001B3F55">
              <w:rPr>
                <w:sz w:val="20"/>
                <w:szCs w:val="20"/>
              </w:rPr>
              <w:t xml:space="preserve"> </w:t>
            </w:r>
            <w:r w:rsidRPr="009C6095">
              <w:rPr>
                <w:sz w:val="20"/>
                <w:szCs w:val="20"/>
              </w:rPr>
              <w:t>= 1675</w:t>
            </w:r>
          </w:p>
        </w:tc>
        <w:tc>
          <w:tcPr>
            <w:tcW w:w="1434" w:type="dxa"/>
          </w:tcPr>
          <w:p w14:paraId="48D39980" w14:textId="77777777" w:rsidR="00550D61" w:rsidRPr="009C6095" w:rsidRDefault="00550D61" w:rsidP="009C6095">
            <w:pPr>
              <w:pStyle w:val="Tabletext"/>
              <w:spacing w:before="0" w:after="0"/>
              <w:ind w:left="0" w:right="0"/>
              <w:jc w:val="center"/>
              <w:rPr>
                <w:sz w:val="20"/>
                <w:szCs w:val="20"/>
              </w:rPr>
            </w:pPr>
            <w:r w:rsidRPr="009C6095">
              <w:rPr>
                <w:sz w:val="20"/>
                <w:szCs w:val="20"/>
              </w:rPr>
              <w:t>1675</w:t>
            </w:r>
          </w:p>
        </w:tc>
        <w:tc>
          <w:tcPr>
            <w:tcW w:w="1401" w:type="dxa"/>
          </w:tcPr>
          <w:p w14:paraId="78B4AC9F" w14:textId="77777777" w:rsidR="00550D61" w:rsidRPr="009C6095" w:rsidRDefault="00550D61" w:rsidP="009C6095">
            <w:pPr>
              <w:pStyle w:val="Tabletext"/>
              <w:spacing w:before="0" w:after="0"/>
              <w:ind w:left="0" w:right="0"/>
              <w:jc w:val="center"/>
              <w:rPr>
                <w:sz w:val="20"/>
                <w:szCs w:val="20"/>
              </w:rPr>
            </w:pPr>
            <w:r w:rsidRPr="009C6095">
              <w:rPr>
                <w:sz w:val="20"/>
                <w:szCs w:val="20"/>
              </w:rPr>
              <w:t>239</w:t>
            </w:r>
          </w:p>
        </w:tc>
        <w:tc>
          <w:tcPr>
            <w:tcW w:w="1129" w:type="dxa"/>
          </w:tcPr>
          <w:p w14:paraId="464F49E5" w14:textId="77777777" w:rsidR="00550D61" w:rsidRPr="009C6095" w:rsidRDefault="00550D61" w:rsidP="009C6095">
            <w:pPr>
              <w:pStyle w:val="Tabletext"/>
              <w:spacing w:before="0" w:after="0"/>
              <w:ind w:left="0" w:right="0"/>
              <w:jc w:val="center"/>
              <w:rPr>
                <w:sz w:val="20"/>
                <w:szCs w:val="20"/>
              </w:rPr>
            </w:pPr>
            <w:r w:rsidRPr="009C6095">
              <w:rPr>
                <w:sz w:val="20"/>
                <w:szCs w:val="20"/>
              </w:rPr>
              <w:t>11</w:t>
            </w:r>
          </w:p>
        </w:tc>
      </w:tr>
      <w:tr w:rsidR="00550D61" w:rsidRPr="009C6095" w14:paraId="418B2873" w14:textId="77777777" w:rsidTr="006956F8">
        <w:trPr>
          <w:trHeight w:val="737"/>
        </w:trPr>
        <w:tc>
          <w:tcPr>
            <w:tcW w:w="2235" w:type="dxa"/>
          </w:tcPr>
          <w:p w14:paraId="302AEF68" w14:textId="77777777" w:rsidR="00550D61" w:rsidRPr="009C6095" w:rsidRDefault="001B3F55" w:rsidP="009C6095">
            <w:pPr>
              <w:pStyle w:val="Tabletext"/>
              <w:spacing w:before="0" w:after="0"/>
              <w:ind w:left="0" w:right="0"/>
              <w:jc w:val="center"/>
              <w:rPr>
                <w:sz w:val="20"/>
                <w:szCs w:val="20"/>
              </w:rPr>
            </w:pPr>
            <w:r>
              <w:rPr>
                <w:sz w:val="20"/>
                <w:szCs w:val="20"/>
              </w:rPr>
              <w:t>A</w:t>
            </w:r>
            <w:r w:rsidR="00550D61" w:rsidRPr="009C6095">
              <w:rPr>
                <w:sz w:val="20"/>
                <w:szCs w:val="20"/>
              </w:rPr>
              <w:t xml:space="preserve">dditional rat female fertility </w:t>
            </w:r>
            <w:r>
              <w:rPr>
                <w:sz w:val="20"/>
                <w:szCs w:val="20"/>
              </w:rPr>
              <w:t>and</w:t>
            </w:r>
            <w:r w:rsidR="00550D61" w:rsidRPr="009C6095">
              <w:rPr>
                <w:sz w:val="20"/>
                <w:szCs w:val="20"/>
              </w:rPr>
              <w:t xml:space="preserve"> </w:t>
            </w:r>
            <w:proofErr w:type="spellStart"/>
            <w:r w:rsidR="00EB1138" w:rsidRPr="009C6095">
              <w:rPr>
                <w:sz w:val="20"/>
                <w:szCs w:val="20"/>
              </w:rPr>
              <w:t>embryofetal</w:t>
            </w:r>
            <w:proofErr w:type="spellEnd"/>
            <w:r w:rsidR="00EB1138" w:rsidRPr="009C6095">
              <w:rPr>
                <w:sz w:val="20"/>
                <w:szCs w:val="20"/>
              </w:rPr>
              <w:t xml:space="preserve"> development</w:t>
            </w:r>
            <w:r w:rsidR="00550D61" w:rsidRPr="009C6095">
              <w:rPr>
                <w:sz w:val="20"/>
                <w:szCs w:val="20"/>
              </w:rPr>
              <w:t xml:space="preserve"> study </w:t>
            </w:r>
            <w:proofErr w:type="spellStart"/>
            <w:r w:rsidR="00550D61" w:rsidRPr="009C6095">
              <w:rPr>
                <w:sz w:val="20"/>
                <w:szCs w:val="20"/>
              </w:rPr>
              <w:t>NOAEL</w:t>
            </w:r>
            <w:r w:rsidR="00550D61" w:rsidRPr="009C6095">
              <w:rPr>
                <w:sz w:val="20"/>
                <w:szCs w:val="20"/>
                <w:vertAlign w:val="superscript"/>
              </w:rPr>
              <w:t>f</w:t>
            </w:r>
            <w:proofErr w:type="spellEnd"/>
          </w:p>
        </w:tc>
        <w:tc>
          <w:tcPr>
            <w:tcW w:w="1134" w:type="dxa"/>
          </w:tcPr>
          <w:p w14:paraId="7A2F36EE" w14:textId="77777777" w:rsidR="00550D61" w:rsidRPr="009C6095" w:rsidRDefault="00550D61" w:rsidP="009C6095">
            <w:pPr>
              <w:pStyle w:val="Tabletext"/>
              <w:spacing w:before="0" w:after="0"/>
              <w:ind w:left="0" w:right="0"/>
              <w:jc w:val="center"/>
              <w:rPr>
                <w:sz w:val="20"/>
                <w:szCs w:val="20"/>
              </w:rPr>
            </w:pPr>
            <w:r w:rsidRPr="009C6095">
              <w:rPr>
                <w:sz w:val="20"/>
                <w:szCs w:val="20"/>
              </w:rPr>
              <w:t>250</w:t>
            </w:r>
          </w:p>
        </w:tc>
        <w:tc>
          <w:tcPr>
            <w:tcW w:w="1275" w:type="dxa"/>
          </w:tcPr>
          <w:p w14:paraId="005B339D" w14:textId="77777777" w:rsidR="00550D61" w:rsidRPr="009C6095" w:rsidRDefault="00550D61" w:rsidP="009C6095">
            <w:pPr>
              <w:pStyle w:val="Tabletext"/>
              <w:spacing w:before="0" w:after="0"/>
              <w:ind w:left="0" w:right="0"/>
              <w:jc w:val="center"/>
              <w:rPr>
                <w:sz w:val="20"/>
                <w:szCs w:val="20"/>
              </w:rPr>
            </w:pPr>
            <w:r w:rsidRPr="009C6095">
              <w:rPr>
                <w:sz w:val="20"/>
                <w:szCs w:val="20"/>
              </w:rPr>
              <w:t>AUC</w:t>
            </w:r>
            <w:r w:rsidRPr="009C6095">
              <w:rPr>
                <w:sz w:val="20"/>
                <w:szCs w:val="20"/>
                <w:vertAlign w:val="subscript"/>
              </w:rPr>
              <w:t>0-30</w:t>
            </w:r>
            <w:r w:rsidR="006956F8">
              <w:rPr>
                <w:sz w:val="20"/>
                <w:szCs w:val="20"/>
                <w:vertAlign w:val="subscript"/>
              </w:rPr>
              <w:t xml:space="preserve"> </w:t>
            </w:r>
            <w:r w:rsidRPr="009C6095">
              <w:rPr>
                <w:sz w:val="20"/>
                <w:szCs w:val="20"/>
                <w:vertAlign w:val="subscript"/>
              </w:rPr>
              <w:t>d</w:t>
            </w:r>
            <w:r w:rsidR="006956F8">
              <w:rPr>
                <w:sz w:val="20"/>
                <w:szCs w:val="20"/>
                <w:vertAlign w:val="subscript"/>
              </w:rPr>
              <w:t>ays</w:t>
            </w:r>
            <w:r w:rsidR="001B3F55">
              <w:rPr>
                <w:sz w:val="20"/>
                <w:szCs w:val="20"/>
              </w:rPr>
              <w:t xml:space="preserve"> </w:t>
            </w:r>
            <w:r w:rsidRPr="009C6095">
              <w:rPr>
                <w:sz w:val="20"/>
                <w:szCs w:val="20"/>
              </w:rPr>
              <w:t>= 2546</w:t>
            </w:r>
          </w:p>
        </w:tc>
        <w:tc>
          <w:tcPr>
            <w:tcW w:w="1434" w:type="dxa"/>
          </w:tcPr>
          <w:p w14:paraId="45D7B7EC" w14:textId="77777777" w:rsidR="00550D61" w:rsidRPr="009C6095" w:rsidRDefault="00550D61" w:rsidP="009C6095">
            <w:pPr>
              <w:pStyle w:val="Tabletext"/>
              <w:spacing w:before="0" w:after="0"/>
              <w:ind w:left="0" w:right="0"/>
              <w:jc w:val="center"/>
              <w:rPr>
                <w:sz w:val="20"/>
                <w:szCs w:val="20"/>
              </w:rPr>
            </w:pPr>
            <w:r w:rsidRPr="009C6095">
              <w:rPr>
                <w:sz w:val="20"/>
                <w:szCs w:val="20"/>
              </w:rPr>
              <w:t>5941</w:t>
            </w:r>
          </w:p>
        </w:tc>
        <w:tc>
          <w:tcPr>
            <w:tcW w:w="1401" w:type="dxa"/>
          </w:tcPr>
          <w:p w14:paraId="7FB7A0D0" w14:textId="77777777" w:rsidR="00550D61" w:rsidRPr="009C6095" w:rsidRDefault="00550D61" w:rsidP="009C6095">
            <w:pPr>
              <w:pStyle w:val="Tabletext"/>
              <w:spacing w:before="0" w:after="0"/>
              <w:ind w:left="0" w:right="0"/>
              <w:jc w:val="center"/>
              <w:rPr>
                <w:sz w:val="20"/>
                <w:szCs w:val="20"/>
              </w:rPr>
            </w:pPr>
            <w:r w:rsidRPr="009C6095">
              <w:rPr>
                <w:sz w:val="20"/>
                <w:szCs w:val="20"/>
              </w:rPr>
              <w:t>849</w:t>
            </w:r>
          </w:p>
        </w:tc>
        <w:tc>
          <w:tcPr>
            <w:tcW w:w="1129" w:type="dxa"/>
          </w:tcPr>
          <w:p w14:paraId="42A1501C" w14:textId="77777777" w:rsidR="00550D61" w:rsidRPr="009C6095" w:rsidRDefault="00550D61" w:rsidP="009C6095">
            <w:pPr>
              <w:pStyle w:val="Tabletext"/>
              <w:spacing w:before="0" w:after="0"/>
              <w:ind w:left="0" w:right="0"/>
              <w:jc w:val="center"/>
              <w:rPr>
                <w:sz w:val="20"/>
                <w:szCs w:val="20"/>
              </w:rPr>
            </w:pPr>
            <w:r w:rsidRPr="009C6095">
              <w:rPr>
                <w:sz w:val="20"/>
                <w:szCs w:val="20"/>
              </w:rPr>
              <w:t>38</w:t>
            </w:r>
          </w:p>
        </w:tc>
      </w:tr>
      <w:tr w:rsidR="00550D61" w:rsidRPr="009C6095" w14:paraId="5741285E" w14:textId="77777777" w:rsidTr="006956F8">
        <w:trPr>
          <w:trHeight w:val="782"/>
        </w:trPr>
        <w:tc>
          <w:tcPr>
            <w:tcW w:w="2235" w:type="dxa"/>
          </w:tcPr>
          <w:p w14:paraId="129B9B4C" w14:textId="77777777" w:rsidR="00550D61" w:rsidRPr="009C6095" w:rsidRDefault="00550D61" w:rsidP="0074165D">
            <w:pPr>
              <w:pStyle w:val="Tabletext"/>
              <w:spacing w:before="0" w:after="0"/>
              <w:ind w:left="0" w:right="0"/>
              <w:jc w:val="center"/>
              <w:rPr>
                <w:sz w:val="20"/>
                <w:szCs w:val="20"/>
              </w:rPr>
            </w:pPr>
            <w:r w:rsidRPr="009C6095">
              <w:rPr>
                <w:sz w:val="20"/>
                <w:szCs w:val="20"/>
              </w:rPr>
              <w:t xml:space="preserve">Rabbit </w:t>
            </w:r>
            <w:proofErr w:type="spellStart"/>
            <w:r w:rsidRPr="009C6095">
              <w:rPr>
                <w:sz w:val="20"/>
                <w:szCs w:val="20"/>
              </w:rPr>
              <w:t>embryofetal</w:t>
            </w:r>
            <w:proofErr w:type="spellEnd"/>
            <w:r w:rsidRPr="009C6095">
              <w:rPr>
                <w:sz w:val="20"/>
                <w:szCs w:val="20"/>
              </w:rPr>
              <w:t xml:space="preserve"> development</w:t>
            </w:r>
            <w:r w:rsidR="0074165D">
              <w:rPr>
                <w:sz w:val="20"/>
                <w:szCs w:val="20"/>
              </w:rPr>
              <w:t xml:space="preserve"> </w:t>
            </w:r>
            <w:r w:rsidRPr="009C6095">
              <w:rPr>
                <w:sz w:val="20"/>
                <w:szCs w:val="20"/>
              </w:rPr>
              <w:t xml:space="preserve">study </w:t>
            </w:r>
            <w:proofErr w:type="spellStart"/>
            <w:r w:rsidRPr="009C6095">
              <w:rPr>
                <w:sz w:val="20"/>
                <w:szCs w:val="20"/>
              </w:rPr>
              <w:t>NOAEL</w:t>
            </w:r>
            <w:r w:rsidRPr="009C6095">
              <w:rPr>
                <w:sz w:val="20"/>
                <w:szCs w:val="20"/>
                <w:vertAlign w:val="superscript"/>
              </w:rPr>
              <w:t>g</w:t>
            </w:r>
            <w:proofErr w:type="spellEnd"/>
          </w:p>
        </w:tc>
        <w:tc>
          <w:tcPr>
            <w:tcW w:w="1134" w:type="dxa"/>
          </w:tcPr>
          <w:p w14:paraId="76A16C14" w14:textId="77777777" w:rsidR="00550D61" w:rsidRPr="009C6095" w:rsidRDefault="00550D61" w:rsidP="009C6095">
            <w:pPr>
              <w:pStyle w:val="Tabletext"/>
              <w:spacing w:before="0" w:after="0"/>
              <w:ind w:left="0" w:right="0"/>
              <w:jc w:val="center"/>
              <w:rPr>
                <w:sz w:val="20"/>
                <w:szCs w:val="20"/>
              </w:rPr>
            </w:pPr>
            <w:r w:rsidRPr="009C6095">
              <w:rPr>
                <w:sz w:val="20"/>
                <w:szCs w:val="20"/>
              </w:rPr>
              <w:t>100</w:t>
            </w:r>
          </w:p>
        </w:tc>
        <w:tc>
          <w:tcPr>
            <w:tcW w:w="1275" w:type="dxa"/>
          </w:tcPr>
          <w:p w14:paraId="29BC2152" w14:textId="77777777" w:rsidR="00550D61" w:rsidRPr="009C6095" w:rsidRDefault="00550D61" w:rsidP="009C6095">
            <w:pPr>
              <w:pStyle w:val="Tabletext"/>
              <w:spacing w:before="0" w:after="0"/>
              <w:ind w:left="0" w:right="0"/>
              <w:jc w:val="center"/>
              <w:rPr>
                <w:sz w:val="20"/>
                <w:szCs w:val="20"/>
              </w:rPr>
            </w:pPr>
            <w:r w:rsidRPr="009C6095">
              <w:rPr>
                <w:sz w:val="20"/>
                <w:szCs w:val="20"/>
              </w:rPr>
              <w:t>AUC</w:t>
            </w:r>
            <w:r w:rsidRPr="009C6095">
              <w:rPr>
                <w:sz w:val="20"/>
                <w:szCs w:val="20"/>
                <w:vertAlign w:val="subscript"/>
              </w:rPr>
              <w:t>0-30</w:t>
            </w:r>
            <w:r w:rsidR="006956F8">
              <w:rPr>
                <w:sz w:val="20"/>
                <w:szCs w:val="20"/>
                <w:vertAlign w:val="subscript"/>
              </w:rPr>
              <w:t xml:space="preserve"> </w:t>
            </w:r>
            <w:r w:rsidRPr="009C6095">
              <w:rPr>
                <w:sz w:val="20"/>
                <w:szCs w:val="20"/>
                <w:vertAlign w:val="subscript"/>
              </w:rPr>
              <w:t>d</w:t>
            </w:r>
            <w:r w:rsidR="006956F8">
              <w:rPr>
                <w:sz w:val="20"/>
                <w:szCs w:val="20"/>
                <w:vertAlign w:val="subscript"/>
              </w:rPr>
              <w:t>ays</w:t>
            </w:r>
            <w:r w:rsidR="001B3F55" w:rsidRPr="001B3F55">
              <w:rPr>
                <w:sz w:val="20"/>
                <w:szCs w:val="20"/>
              </w:rPr>
              <w:t xml:space="preserve"> </w:t>
            </w:r>
            <w:r w:rsidRPr="009C6095">
              <w:rPr>
                <w:sz w:val="20"/>
                <w:szCs w:val="20"/>
              </w:rPr>
              <w:t>= 4250</w:t>
            </w:r>
          </w:p>
        </w:tc>
        <w:tc>
          <w:tcPr>
            <w:tcW w:w="1434" w:type="dxa"/>
          </w:tcPr>
          <w:p w14:paraId="3157098D" w14:textId="77777777" w:rsidR="00550D61" w:rsidRPr="009C6095" w:rsidRDefault="00550D61" w:rsidP="009C6095">
            <w:pPr>
              <w:pStyle w:val="Tabletext"/>
              <w:spacing w:before="0" w:after="0"/>
              <w:ind w:left="0" w:right="0"/>
              <w:jc w:val="center"/>
              <w:rPr>
                <w:sz w:val="20"/>
                <w:szCs w:val="20"/>
              </w:rPr>
            </w:pPr>
            <w:r w:rsidRPr="009C6095">
              <w:rPr>
                <w:sz w:val="20"/>
                <w:szCs w:val="20"/>
              </w:rPr>
              <w:t>9917</w:t>
            </w:r>
          </w:p>
        </w:tc>
        <w:tc>
          <w:tcPr>
            <w:tcW w:w="1401" w:type="dxa"/>
          </w:tcPr>
          <w:p w14:paraId="731639FD" w14:textId="77777777" w:rsidR="00550D61" w:rsidRPr="009C6095" w:rsidRDefault="00550D61" w:rsidP="009C6095">
            <w:pPr>
              <w:pStyle w:val="Tabletext"/>
              <w:spacing w:before="0" w:after="0"/>
              <w:ind w:left="0" w:right="0"/>
              <w:jc w:val="center"/>
              <w:rPr>
                <w:sz w:val="20"/>
                <w:szCs w:val="20"/>
              </w:rPr>
            </w:pPr>
            <w:r w:rsidRPr="009C6095">
              <w:rPr>
                <w:sz w:val="20"/>
                <w:szCs w:val="20"/>
              </w:rPr>
              <w:t>1417</w:t>
            </w:r>
          </w:p>
        </w:tc>
        <w:tc>
          <w:tcPr>
            <w:tcW w:w="1129" w:type="dxa"/>
          </w:tcPr>
          <w:p w14:paraId="36BBA1F6" w14:textId="77777777" w:rsidR="00550D61" w:rsidRPr="009C6095" w:rsidRDefault="00550D61" w:rsidP="009C6095">
            <w:pPr>
              <w:pStyle w:val="Tabletext"/>
              <w:spacing w:before="0" w:after="0"/>
              <w:ind w:left="0" w:right="0"/>
              <w:jc w:val="center"/>
              <w:rPr>
                <w:sz w:val="20"/>
                <w:szCs w:val="20"/>
              </w:rPr>
            </w:pPr>
            <w:r w:rsidRPr="009C6095">
              <w:rPr>
                <w:sz w:val="20"/>
                <w:szCs w:val="20"/>
              </w:rPr>
              <w:t>64</w:t>
            </w:r>
          </w:p>
        </w:tc>
      </w:tr>
      <w:tr w:rsidR="00550D61" w:rsidRPr="009C6095" w14:paraId="4866C20E" w14:textId="77777777" w:rsidTr="006956F8">
        <w:trPr>
          <w:trHeight w:val="737"/>
        </w:trPr>
        <w:tc>
          <w:tcPr>
            <w:tcW w:w="2235" w:type="dxa"/>
          </w:tcPr>
          <w:p w14:paraId="79B67B5B" w14:textId="77777777" w:rsidR="00550D61" w:rsidRPr="009C6095" w:rsidRDefault="00550D61" w:rsidP="0074165D">
            <w:pPr>
              <w:pStyle w:val="Tabletext"/>
              <w:spacing w:before="0" w:after="0"/>
              <w:ind w:left="0" w:right="0"/>
              <w:jc w:val="center"/>
              <w:rPr>
                <w:sz w:val="20"/>
                <w:szCs w:val="20"/>
              </w:rPr>
            </w:pPr>
            <w:r w:rsidRPr="009C6095">
              <w:rPr>
                <w:sz w:val="20"/>
                <w:szCs w:val="20"/>
              </w:rPr>
              <w:t>Rat prenatal and postnatal</w:t>
            </w:r>
            <w:r w:rsidR="0074165D">
              <w:rPr>
                <w:sz w:val="20"/>
                <w:szCs w:val="20"/>
              </w:rPr>
              <w:t xml:space="preserve"> </w:t>
            </w:r>
            <w:r w:rsidRPr="009C6095">
              <w:rPr>
                <w:sz w:val="20"/>
                <w:szCs w:val="20"/>
              </w:rPr>
              <w:t xml:space="preserve">development study </w:t>
            </w:r>
            <w:proofErr w:type="spellStart"/>
            <w:r w:rsidRPr="009C6095">
              <w:rPr>
                <w:sz w:val="20"/>
                <w:szCs w:val="20"/>
              </w:rPr>
              <w:t>NOAEL</w:t>
            </w:r>
            <w:r w:rsidRPr="009C6095">
              <w:rPr>
                <w:sz w:val="20"/>
                <w:szCs w:val="20"/>
                <w:vertAlign w:val="superscript"/>
              </w:rPr>
              <w:t>h</w:t>
            </w:r>
            <w:proofErr w:type="spellEnd"/>
          </w:p>
        </w:tc>
        <w:tc>
          <w:tcPr>
            <w:tcW w:w="1134" w:type="dxa"/>
          </w:tcPr>
          <w:p w14:paraId="68A750C3" w14:textId="77777777" w:rsidR="00550D61" w:rsidRPr="009C6095" w:rsidRDefault="00550D61" w:rsidP="009C6095">
            <w:pPr>
              <w:pStyle w:val="Tabletext"/>
              <w:spacing w:before="0" w:after="0"/>
              <w:ind w:left="0" w:right="0"/>
              <w:jc w:val="center"/>
              <w:rPr>
                <w:sz w:val="20"/>
                <w:szCs w:val="20"/>
              </w:rPr>
            </w:pPr>
            <w:r w:rsidRPr="009C6095">
              <w:rPr>
                <w:sz w:val="20"/>
                <w:szCs w:val="20"/>
              </w:rPr>
              <w:t>250</w:t>
            </w:r>
          </w:p>
        </w:tc>
        <w:tc>
          <w:tcPr>
            <w:tcW w:w="1275" w:type="dxa"/>
          </w:tcPr>
          <w:p w14:paraId="75D228AC" w14:textId="77777777" w:rsidR="00550D61" w:rsidRPr="009C6095" w:rsidRDefault="00550D61" w:rsidP="009C6095">
            <w:pPr>
              <w:pStyle w:val="Tabletext"/>
              <w:spacing w:before="0" w:after="0"/>
              <w:ind w:left="0" w:right="0"/>
              <w:jc w:val="center"/>
              <w:rPr>
                <w:sz w:val="20"/>
                <w:szCs w:val="20"/>
              </w:rPr>
            </w:pPr>
            <w:r w:rsidRPr="009C6095">
              <w:rPr>
                <w:sz w:val="20"/>
                <w:szCs w:val="20"/>
              </w:rPr>
              <w:t>AUC</w:t>
            </w:r>
            <w:r w:rsidRPr="009C6095">
              <w:rPr>
                <w:sz w:val="20"/>
                <w:szCs w:val="20"/>
                <w:vertAlign w:val="subscript"/>
              </w:rPr>
              <w:t>0-30</w:t>
            </w:r>
            <w:r w:rsidR="006956F8">
              <w:rPr>
                <w:sz w:val="20"/>
                <w:szCs w:val="20"/>
                <w:vertAlign w:val="subscript"/>
              </w:rPr>
              <w:t xml:space="preserve"> </w:t>
            </w:r>
            <w:r w:rsidRPr="009C6095">
              <w:rPr>
                <w:sz w:val="20"/>
                <w:szCs w:val="20"/>
                <w:vertAlign w:val="subscript"/>
              </w:rPr>
              <w:t>d</w:t>
            </w:r>
            <w:r w:rsidR="006956F8">
              <w:rPr>
                <w:sz w:val="20"/>
                <w:szCs w:val="20"/>
                <w:vertAlign w:val="subscript"/>
              </w:rPr>
              <w:t>ays</w:t>
            </w:r>
            <w:r w:rsidR="001B3F55">
              <w:rPr>
                <w:sz w:val="20"/>
                <w:szCs w:val="20"/>
              </w:rPr>
              <w:t xml:space="preserve"> </w:t>
            </w:r>
            <w:r w:rsidRPr="009C6095">
              <w:rPr>
                <w:sz w:val="20"/>
                <w:szCs w:val="20"/>
              </w:rPr>
              <w:t>= 5333</w:t>
            </w:r>
          </w:p>
        </w:tc>
        <w:tc>
          <w:tcPr>
            <w:tcW w:w="1434" w:type="dxa"/>
          </w:tcPr>
          <w:p w14:paraId="1A6F348A" w14:textId="77777777" w:rsidR="00550D61" w:rsidRPr="009C6095" w:rsidRDefault="00550D61" w:rsidP="009C6095">
            <w:pPr>
              <w:pStyle w:val="Tabletext"/>
              <w:spacing w:before="0" w:after="0"/>
              <w:ind w:left="0" w:right="0"/>
              <w:jc w:val="center"/>
              <w:rPr>
                <w:sz w:val="20"/>
                <w:szCs w:val="20"/>
              </w:rPr>
            </w:pPr>
            <w:r w:rsidRPr="009C6095">
              <w:rPr>
                <w:sz w:val="20"/>
                <w:szCs w:val="20"/>
              </w:rPr>
              <w:t>5333</w:t>
            </w:r>
          </w:p>
        </w:tc>
        <w:tc>
          <w:tcPr>
            <w:tcW w:w="1401" w:type="dxa"/>
          </w:tcPr>
          <w:p w14:paraId="373F54E5" w14:textId="77777777" w:rsidR="00550D61" w:rsidRPr="009C6095" w:rsidRDefault="00550D61" w:rsidP="009C6095">
            <w:pPr>
              <w:pStyle w:val="Tabletext"/>
              <w:spacing w:before="0" w:after="0"/>
              <w:ind w:left="0" w:right="0"/>
              <w:jc w:val="center"/>
              <w:rPr>
                <w:sz w:val="20"/>
                <w:szCs w:val="20"/>
              </w:rPr>
            </w:pPr>
            <w:r w:rsidRPr="009C6095">
              <w:rPr>
                <w:sz w:val="20"/>
                <w:szCs w:val="20"/>
              </w:rPr>
              <w:t>761</w:t>
            </w:r>
          </w:p>
        </w:tc>
        <w:tc>
          <w:tcPr>
            <w:tcW w:w="1129" w:type="dxa"/>
          </w:tcPr>
          <w:p w14:paraId="13A8A8F7" w14:textId="77777777" w:rsidR="00550D61" w:rsidRPr="009C6095" w:rsidRDefault="00550D61" w:rsidP="009C6095">
            <w:pPr>
              <w:pStyle w:val="Tabletext"/>
              <w:spacing w:before="0" w:after="0"/>
              <w:ind w:left="0" w:right="0"/>
              <w:jc w:val="center"/>
              <w:rPr>
                <w:sz w:val="20"/>
                <w:szCs w:val="20"/>
              </w:rPr>
            </w:pPr>
            <w:r w:rsidRPr="009C6095">
              <w:rPr>
                <w:sz w:val="20"/>
                <w:szCs w:val="20"/>
              </w:rPr>
              <w:t>34</w:t>
            </w:r>
          </w:p>
        </w:tc>
      </w:tr>
    </w:tbl>
    <w:p w14:paraId="292F6103" w14:textId="30DAA863" w:rsidR="00433863" w:rsidRPr="00B17704" w:rsidRDefault="00550D61" w:rsidP="00572B43">
      <w:pPr>
        <w:pStyle w:val="TableDescription"/>
      </w:pPr>
      <w:r w:rsidRPr="00D14CE7">
        <w:t>Abbreviations: AUC = area under the serum concentrati</w:t>
      </w:r>
      <w:r w:rsidR="006F17FC">
        <w:t xml:space="preserve">on versus time curve; </w:t>
      </w:r>
      <w:proofErr w:type="spellStart"/>
      <w:proofErr w:type="gramStart"/>
      <w:r w:rsidR="00AE3FC5">
        <w:t>Cav,ss</w:t>
      </w:r>
      <w:proofErr w:type="spellEnd"/>
      <w:proofErr w:type="gramEnd"/>
      <w:r w:rsidR="00AE3FC5">
        <w:t xml:space="preserve"> = average concentration within a do</w:t>
      </w:r>
      <w:r w:rsidR="00DC6C8D">
        <w:t xml:space="preserve">sing interval at steady-state, </w:t>
      </w:r>
      <w:r w:rsidR="006F17FC">
        <w:t xml:space="preserve">NOAEL =no </w:t>
      </w:r>
      <w:r w:rsidRPr="00D14CE7">
        <w:t>observe</w:t>
      </w:r>
      <w:r w:rsidR="006F17FC">
        <w:t xml:space="preserve">d adverse </w:t>
      </w:r>
      <w:r w:rsidRPr="00D14CE7">
        <w:t>effect level.</w:t>
      </w:r>
      <w:r w:rsidR="00B17704">
        <w:t xml:space="preserve"> </w:t>
      </w:r>
      <w:proofErr w:type="spellStart"/>
      <w:r w:rsidRPr="00D14CE7">
        <w:t>a</w:t>
      </w:r>
      <w:proofErr w:type="spellEnd"/>
      <w:r w:rsidRPr="00D14CE7">
        <w:t xml:space="preserve"> Expos</w:t>
      </w:r>
      <w:r w:rsidR="001B3F55">
        <w:t>ure multiple = (</w:t>
      </w:r>
      <w:proofErr w:type="spellStart"/>
      <w:proofErr w:type="gramStart"/>
      <w:r w:rsidR="001B3F55">
        <w:t>Cav,ss</w:t>
      </w:r>
      <w:proofErr w:type="gramEnd"/>
      <w:r w:rsidR="001B3F55">
        <w:t>,animals</w:t>
      </w:r>
      <w:proofErr w:type="spellEnd"/>
      <w:r w:rsidR="001B3F55">
        <w:t>)/</w:t>
      </w:r>
      <w:r w:rsidRPr="00D14CE7">
        <w:t>(</w:t>
      </w:r>
      <w:proofErr w:type="spellStart"/>
      <w:r w:rsidRPr="00D14CE7">
        <w:t>Cav,ss,humans</w:t>
      </w:r>
      <w:proofErr w:type="spellEnd"/>
      <w:r w:rsidRPr="00D14CE7">
        <w:t>) = (</w:t>
      </w:r>
      <w:r w:rsidRPr="009C6095">
        <w:t>AUC</w:t>
      </w:r>
      <w:r w:rsidRPr="009C6095">
        <w:rPr>
          <w:vertAlign w:val="subscript"/>
        </w:rPr>
        <w:t>0-7d</w:t>
      </w:r>
      <w:r w:rsidR="006956F8">
        <w:rPr>
          <w:vertAlign w:val="subscript"/>
        </w:rPr>
        <w:t>ays</w:t>
      </w:r>
      <w:r w:rsidR="009C6095" w:rsidRPr="009C6095">
        <w:t xml:space="preserve"> </w:t>
      </w:r>
      <w:r w:rsidR="001B3F55">
        <w:t>in animals)/</w:t>
      </w:r>
      <w:r w:rsidRPr="00D14CE7">
        <w:t xml:space="preserve">(Adjusted </w:t>
      </w:r>
      <w:r w:rsidR="009C6095" w:rsidRPr="009C6095">
        <w:t>AUC</w:t>
      </w:r>
      <w:r w:rsidR="009C6095" w:rsidRPr="009C6095">
        <w:rPr>
          <w:vertAlign w:val="subscript"/>
        </w:rPr>
        <w:t>0-7d</w:t>
      </w:r>
      <w:r w:rsidR="006956F8">
        <w:rPr>
          <w:vertAlign w:val="subscript"/>
        </w:rPr>
        <w:t>ays</w:t>
      </w:r>
      <w:r w:rsidR="009C6095" w:rsidRPr="009C6095">
        <w:t xml:space="preserve"> </w:t>
      </w:r>
      <w:r w:rsidRPr="00D14CE7">
        <w:t>in humans).</w:t>
      </w:r>
      <w:r w:rsidR="0074165D">
        <w:t xml:space="preserve"> </w:t>
      </w:r>
      <w:r w:rsidRPr="00D14CE7">
        <w:t>b Assuming a loading dose of 240 mg followed by a monthly dose of 120 mg (12</w:t>
      </w:r>
      <w:r w:rsidR="006956F8">
        <w:t>0 mg per 60 kg = 2 </w:t>
      </w:r>
      <w:r w:rsidRPr="00D14CE7">
        <w:t>mg/kg).</w:t>
      </w:r>
      <w:r w:rsidR="003C76F3">
        <w:t xml:space="preserve"> </w:t>
      </w:r>
      <w:r w:rsidRPr="00D14CE7">
        <w:t>c The average human steady state serum concentration at 120 mg administered every 30 days, after a 240 mg</w:t>
      </w:r>
      <w:r>
        <w:t xml:space="preserve"> </w:t>
      </w:r>
      <w:r w:rsidRPr="00D14CE7">
        <w:t>loading dose, was determined as part of a population PK analysis involving Studies CGAB, CGAE, CGAG,</w:t>
      </w:r>
      <w:r>
        <w:t xml:space="preserve"> </w:t>
      </w:r>
      <w:r w:rsidRPr="00D14CE7">
        <w:t>CGAH, CGAI, and CGAO.</w:t>
      </w:r>
      <w:r w:rsidR="0074165D">
        <w:t xml:space="preserve"> </w:t>
      </w:r>
      <w:r w:rsidRPr="00D14CE7">
        <w:t xml:space="preserve">d Mean male rat </w:t>
      </w:r>
      <w:r w:rsidR="009C6095" w:rsidRPr="009C6095">
        <w:t>AUC</w:t>
      </w:r>
      <w:r w:rsidR="009C6095" w:rsidRPr="009C6095">
        <w:rPr>
          <w:vertAlign w:val="subscript"/>
        </w:rPr>
        <w:t>0-7d</w:t>
      </w:r>
      <w:r w:rsidR="006956F8">
        <w:rPr>
          <w:vertAlign w:val="subscript"/>
        </w:rPr>
        <w:t>ays</w:t>
      </w:r>
      <w:r w:rsidR="009C6095" w:rsidRPr="009C6095">
        <w:t xml:space="preserve"> </w:t>
      </w:r>
      <w:r w:rsidRPr="00D14CE7">
        <w:t>was determined on Day 35 in Study 8316570.</w:t>
      </w:r>
      <w:r w:rsidR="0074165D">
        <w:t xml:space="preserve"> </w:t>
      </w:r>
      <w:proofErr w:type="spellStart"/>
      <w:r w:rsidRPr="00D14CE7">
        <w:t>e</w:t>
      </w:r>
      <w:proofErr w:type="spellEnd"/>
      <w:r w:rsidRPr="00D14CE7">
        <w:t xml:space="preserve"> Mean female rat </w:t>
      </w:r>
      <w:r w:rsidR="009C6095" w:rsidRPr="009C6095">
        <w:t>AUC</w:t>
      </w:r>
      <w:r w:rsidR="009C6095" w:rsidRPr="009C6095">
        <w:rPr>
          <w:vertAlign w:val="subscript"/>
        </w:rPr>
        <w:t>0-7d</w:t>
      </w:r>
      <w:r w:rsidR="006956F8">
        <w:rPr>
          <w:vertAlign w:val="subscript"/>
        </w:rPr>
        <w:t>ays</w:t>
      </w:r>
      <w:r w:rsidRPr="00D14CE7">
        <w:t xml:space="preserve"> was determined on Gestation Day 13 in Study WIL-353311.</w:t>
      </w:r>
      <w:r w:rsidR="0074165D">
        <w:t xml:space="preserve"> </w:t>
      </w:r>
      <w:r w:rsidRPr="00D14CE7">
        <w:t xml:space="preserve">f Mean female rat </w:t>
      </w:r>
      <w:r w:rsidR="009C6095" w:rsidRPr="009C6095">
        <w:t>AUC</w:t>
      </w:r>
      <w:r w:rsidR="009C6095" w:rsidRPr="009C6095">
        <w:rPr>
          <w:vertAlign w:val="subscript"/>
        </w:rPr>
        <w:t>0-</w:t>
      </w:r>
      <w:r w:rsidR="009C6095">
        <w:rPr>
          <w:vertAlign w:val="subscript"/>
        </w:rPr>
        <w:t>3</w:t>
      </w:r>
      <w:r w:rsidR="009C6095" w:rsidRPr="009C6095">
        <w:rPr>
          <w:vertAlign w:val="subscript"/>
        </w:rPr>
        <w:t>d</w:t>
      </w:r>
      <w:r w:rsidR="006956F8">
        <w:rPr>
          <w:vertAlign w:val="subscript"/>
        </w:rPr>
        <w:t>ays</w:t>
      </w:r>
      <w:r w:rsidR="009C6095" w:rsidRPr="009C6095">
        <w:t xml:space="preserve"> </w:t>
      </w:r>
      <w:r w:rsidRPr="00D14CE7">
        <w:t>was determined on Gestation Day 18 in Study 20096436.</w:t>
      </w:r>
      <w:r w:rsidR="0074165D">
        <w:t xml:space="preserve"> </w:t>
      </w:r>
      <w:r w:rsidRPr="00D14CE7">
        <w:t xml:space="preserve">g Mean female rabbit </w:t>
      </w:r>
      <w:r w:rsidR="009C6095" w:rsidRPr="009C6095">
        <w:t>AUC</w:t>
      </w:r>
      <w:r w:rsidR="009C6095">
        <w:rPr>
          <w:vertAlign w:val="subscript"/>
        </w:rPr>
        <w:t>0-3</w:t>
      </w:r>
      <w:r w:rsidR="009C6095" w:rsidRPr="009C6095">
        <w:rPr>
          <w:vertAlign w:val="subscript"/>
        </w:rPr>
        <w:t>d</w:t>
      </w:r>
      <w:r w:rsidR="006956F8" w:rsidRPr="006956F8">
        <w:rPr>
          <w:vertAlign w:val="subscript"/>
        </w:rPr>
        <w:t>ays</w:t>
      </w:r>
      <w:r w:rsidRPr="00D14CE7">
        <w:t xml:space="preserve"> was determined on Gestation Day 20 in Study WIL-353310.</w:t>
      </w:r>
      <w:r w:rsidR="0074165D">
        <w:t xml:space="preserve"> </w:t>
      </w:r>
      <w:r w:rsidRPr="00D14CE7">
        <w:t xml:space="preserve">h Mean female rat </w:t>
      </w:r>
      <w:r w:rsidR="009C6095" w:rsidRPr="009C6095">
        <w:t>AUC</w:t>
      </w:r>
      <w:r w:rsidR="009C6095" w:rsidRPr="009C6095">
        <w:rPr>
          <w:vertAlign w:val="subscript"/>
        </w:rPr>
        <w:t>0-7d</w:t>
      </w:r>
      <w:r w:rsidR="006956F8">
        <w:rPr>
          <w:vertAlign w:val="subscript"/>
        </w:rPr>
        <w:t>ays</w:t>
      </w:r>
      <w:r w:rsidR="009C6095" w:rsidRPr="009C6095">
        <w:t xml:space="preserve"> </w:t>
      </w:r>
      <w:r w:rsidRPr="00D14CE7">
        <w:t>was determined on Lactation Day 20 in Study 20092502.</w:t>
      </w:r>
    </w:p>
    <w:p w14:paraId="19A98656" w14:textId="77777777" w:rsidR="00433863" w:rsidRDefault="00433863" w:rsidP="00433863">
      <w:r>
        <w:t xml:space="preserve">Placental transfer was demonstrated in rats and was high in rabbits, with </w:t>
      </w:r>
      <w:proofErr w:type="spellStart"/>
      <w:r>
        <w:t>galcanezumab</w:t>
      </w:r>
      <w:proofErr w:type="spellEnd"/>
      <w:r>
        <w:t xml:space="preserve"> detected in </w:t>
      </w:r>
      <w:proofErr w:type="spellStart"/>
      <w:r>
        <w:t>fetal</w:t>
      </w:r>
      <w:proofErr w:type="spellEnd"/>
      <w:r>
        <w:t xml:space="preserve"> serum. </w:t>
      </w:r>
      <w:proofErr w:type="spellStart"/>
      <w:r>
        <w:t>Fetal</w:t>
      </w:r>
      <w:proofErr w:type="spellEnd"/>
      <w:r>
        <w:t xml:space="preserve"> to maternal ratios were 0.32 in rats and 1.8</w:t>
      </w:r>
      <w:r w:rsidR="009C6095">
        <w:t>9 in rabbits for 100 </w:t>
      </w:r>
      <w:r>
        <w:t xml:space="preserve">mg/kg/week, suggesting that rate of transfer is low in rats and high in rabbits. Moreover, given the slow elimination half-life, the likelihood of </w:t>
      </w:r>
      <w:proofErr w:type="spellStart"/>
      <w:r>
        <w:t>galcanezumab</w:t>
      </w:r>
      <w:proofErr w:type="spellEnd"/>
      <w:r>
        <w:t xml:space="preserve"> levels persisting in the </w:t>
      </w:r>
      <w:proofErr w:type="spellStart"/>
      <w:r>
        <w:t>fetal</w:t>
      </w:r>
      <w:proofErr w:type="spellEnd"/>
      <w:r>
        <w:t xml:space="preserve"> circulation is high. Excretion in milk was not examined.</w:t>
      </w:r>
    </w:p>
    <w:p w14:paraId="17934758" w14:textId="77777777" w:rsidR="000071C8" w:rsidRDefault="00433863" w:rsidP="00433863">
      <w:r>
        <w:t xml:space="preserve">No adverse effects on male or female fertility were observed with </w:t>
      </w:r>
      <w:proofErr w:type="spellStart"/>
      <w:r>
        <w:t>galcanezumab</w:t>
      </w:r>
      <w:proofErr w:type="spellEnd"/>
      <w:r>
        <w:t xml:space="preserve"> in rats up </w:t>
      </w:r>
      <w:r w:rsidR="009C6095">
        <w:t>to the highest dose tested (250 </w:t>
      </w:r>
      <w:r w:rsidR="001B3F55">
        <w:t>mg/kg every 3 </w:t>
      </w:r>
      <w:r>
        <w:t>day</w:t>
      </w:r>
      <w:r w:rsidR="001B3F55">
        <w:t xml:space="preserve">s or weekly; relative exposure </w:t>
      </w:r>
      <w:r w:rsidR="002F2AC8">
        <w:t>(</w:t>
      </w:r>
      <w:r w:rsidR="001B3F55">
        <w:t>AUC</w:t>
      </w:r>
      <w:r w:rsidR="002F2AC8">
        <w:t>)</w:t>
      </w:r>
      <w:r>
        <w:t xml:space="preserve"> 8 and 38, respectively)</w:t>
      </w:r>
      <w:r w:rsidR="000071C8">
        <w:t>.</w:t>
      </w:r>
    </w:p>
    <w:p w14:paraId="0824B3FE" w14:textId="77777777" w:rsidR="00433863" w:rsidRDefault="00433863" w:rsidP="00433863">
      <w:r>
        <w:t xml:space="preserve">The </w:t>
      </w:r>
      <w:proofErr w:type="spellStart"/>
      <w:r>
        <w:t>embryofetal</w:t>
      </w:r>
      <w:proofErr w:type="spellEnd"/>
      <w:r>
        <w:t xml:space="preserve"> development studies tested four doses of </w:t>
      </w:r>
      <w:proofErr w:type="spellStart"/>
      <w:r>
        <w:t>g</w:t>
      </w:r>
      <w:r w:rsidR="009C6095">
        <w:t>alcanezumab</w:t>
      </w:r>
      <w:proofErr w:type="spellEnd"/>
      <w:r w:rsidR="009C6095">
        <w:t xml:space="preserve"> (15, 30, 100 or 250 mg/kg), administered every 3 to </w:t>
      </w:r>
      <w:r>
        <w:t>5 days or once per week via the SC route to rats or rabbits during the period of organogenesis. T</w:t>
      </w:r>
      <w:r w:rsidR="00AE6262">
        <w:t xml:space="preserve">here </w:t>
      </w:r>
      <w:proofErr w:type="gramStart"/>
      <w:r w:rsidR="00AE6262">
        <w:t>were</w:t>
      </w:r>
      <w:proofErr w:type="gramEnd"/>
      <w:r w:rsidR="00AE6262">
        <w:t xml:space="preserve"> no maternal treatment </w:t>
      </w:r>
      <w:r>
        <w:t xml:space="preserve">related changes or mortalities. </w:t>
      </w:r>
      <w:proofErr w:type="spellStart"/>
      <w:r>
        <w:t>Fetal</w:t>
      </w:r>
      <w:proofErr w:type="spellEnd"/>
      <w:r>
        <w:t xml:space="preserve"> development </w:t>
      </w:r>
      <w:r w:rsidR="009C6095">
        <w:t>was slowed at a dose of 250 </w:t>
      </w:r>
      <w:r>
        <w:t xml:space="preserve">mg/kg every 3 days </w:t>
      </w:r>
      <w:r>
        <w:lastRenderedPageBreak/>
        <w:t xml:space="preserve">(maternal </w:t>
      </w:r>
      <w:proofErr w:type="spellStart"/>
      <w:r>
        <w:t>galcanezumab</w:t>
      </w:r>
      <w:proofErr w:type="spellEnd"/>
      <w:r>
        <w:t xml:space="preserve"> treatment </w:t>
      </w:r>
      <w:r w:rsidR="006F17FC">
        <w:t>gestational day</w:t>
      </w:r>
      <w:r>
        <w:t xml:space="preserve"> 3 </w:t>
      </w:r>
      <w:r w:rsidR="006F17FC">
        <w:t xml:space="preserve">to </w:t>
      </w:r>
      <w:r>
        <w:t xml:space="preserve">18) as shown by an increased incidence of skeletal variations (incompletely ossified ribs, short ribs). These variations occurred in the absence of </w:t>
      </w:r>
      <w:proofErr w:type="spellStart"/>
      <w:r>
        <w:t>maternotoxicity</w:t>
      </w:r>
      <w:proofErr w:type="spellEnd"/>
      <w:r>
        <w:t xml:space="preserve"> and only at a high relative exposure (38; AUC) and are not considered clinically relevant. No </w:t>
      </w:r>
      <w:proofErr w:type="spellStart"/>
      <w:r>
        <w:t>embryofetal</w:t>
      </w:r>
      <w:proofErr w:type="spellEnd"/>
      <w:r>
        <w:t xml:space="preserve"> variations/malformations were observed at doses ≤</w:t>
      </w:r>
      <w:r w:rsidR="006F17FC">
        <w:t xml:space="preserve"> 100 </w:t>
      </w:r>
      <w:r>
        <w:t xml:space="preserve">mg/kg/week in the rat and rabbit </w:t>
      </w:r>
      <w:proofErr w:type="spellStart"/>
      <w:r>
        <w:t>embryofetal</w:t>
      </w:r>
      <w:proofErr w:type="spellEnd"/>
      <w:r>
        <w:t xml:space="preserve"> studies. Therefore, the </w:t>
      </w:r>
      <w:r w:rsidR="006F17FC">
        <w:t>no observed adverse effect level</w:t>
      </w:r>
      <w:r w:rsidR="006F17FC" w:rsidRPr="006F17FC">
        <w:t xml:space="preserve"> </w:t>
      </w:r>
      <w:r w:rsidR="006F17FC">
        <w:t>(</w:t>
      </w:r>
      <w:r>
        <w:t>NOAEL</w:t>
      </w:r>
      <w:r w:rsidR="006F17FC">
        <w:t>)</w:t>
      </w:r>
      <w:r>
        <w:t xml:space="preserve"> for </w:t>
      </w:r>
      <w:proofErr w:type="spellStart"/>
      <w:r>
        <w:t>embryofetal</w:t>
      </w:r>
      <w:proofErr w:type="spellEnd"/>
      <w:r>
        <w:t xml:space="preserve"> development in rats and </w:t>
      </w:r>
      <w:r w:rsidR="006F17FC">
        <w:t xml:space="preserve">rabbits is considered to be 100 mg/kg/week or every 4 to </w:t>
      </w:r>
      <w:r>
        <w:t>5days, respective</w:t>
      </w:r>
      <w:r w:rsidR="006F17FC">
        <w:t>ly (relative exposure (AUC) 11 and</w:t>
      </w:r>
      <w:r>
        <w:t xml:space="preserve"> 64, respectively).</w:t>
      </w:r>
    </w:p>
    <w:p w14:paraId="0319D385" w14:textId="77777777" w:rsidR="000071C8" w:rsidRDefault="00AE6262" w:rsidP="00433863">
      <w:r>
        <w:t>In a pre</w:t>
      </w:r>
      <w:r w:rsidR="00433863">
        <w:t xml:space="preserve">/postnatal development study, pregnant rats received </w:t>
      </w:r>
      <w:proofErr w:type="spellStart"/>
      <w:r w:rsidR="00433863">
        <w:t>galcanezumab</w:t>
      </w:r>
      <w:proofErr w:type="spellEnd"/>
      <w:r w:rsidR="00433863">
        <w:t xml:space="preserve"> eve</w:t>
      </w:r>
      <w:r w:rsidR="006F17FC">
        <w:t>ry 3 days at doses of 30 or 250 </w:t>
      </w:r>
      <w:r w:rsidR="00433863">
        <w:t xml:space="preserve">mg/kg via the SC route from the period of organogenesis through to end of the lactation period. </w:t>
      </w:r>
      <w:r w:rsidR="001B3F55">
        <w:t>First filial generation (</w:t>
      </w:r>
      <w:r w:rsidR="00433863">
        <w:t>F1</w:t>
      </w:r>
      <w:r w:rsidR="001B3F55">
        <w:t>)</w:t>
      </w:r>
      <w:r w:rsidR="00433863">
        <w:t xml:space="preserve"> female offspring were observed until </w:t>
      </w:r>
      <w:r w:rsidR="006F17FC">
        <w:t>gestational day 13</w:t>
      </w:r>
      <w:r w:rsidR="00433863">
        <w:t xml:space="preserve"> and F1 male off</w:t>
      </w:r>
      <w:r w:rsidR="001B3F55">
        <w:t xml:space="preserve">spring until postpartum day 117 to </w:t>
      </w:r>
      <w:r w:rsidR="00433863">
        <w:t>119. No adverse effects on maternal health were reported.</w:t>
      </w:r>
      <w:r>
        <w:t xml:space="preserve"> One maternal animal in the low </w:t>
      </w:r>
      <w:r w:rsidR="00433863">
        <w:t xml:space="preserve">dose group was found </w:t>
      </w:r>
      <w:r w:rsidR="001B3F55">
        <w:t>deceased</w:t>
      </w:r>
      <w:r w:rsidR="00433863">
        <w:t xml:space="preserve"> during the lactation period</w:t>
      </w:r>
      <w:r w:rsidR="00B22E42">
        <w:t xml:space="preserve"> </w:t>
      </w:r>
      <w:r w:rsidR="001B3F55">
        <w:t>(cause not determined)</w:t>
      </w:r>
      <w:r w:rsidR="00433863">
        <w:t xml:space="preserve">. The length of gestation was not affected by treatment and the total number of pups delivered was similar between groups. The rates of </w:t>
      </w:r>
      <w:proofErr w:type="spellStart"/>
      <w:r w:rsidR="00433863">
        <w:t>fetal</w:t>
      </w:r>
      <w:proofErr w:type="spellEnd"/>
      <w:r w:rsidR="00433863">
        <w:t xml:space="preserve"> loss and pup loss were comparable between the treated and vehicle control </w:t>
      </w:r>
      <w:r>
        <w:t xml:space="preserve">groups. There </w:t>
      </w:r>
      <w:proofErr w:type="gramStart"/>
      <w:r>
        <w:t>were</w:t>
      </w:r>
      <w:proofErr w:type="gramEnd"/>
      <w:r>
        <w:t xml:space="preserve"> no treatment </w:t>
      </w:r>
      <w:r w:rsidR="00433863">
        <w:t xml:space="preserve">related effects on clinical signs, body weight gains, sexual maturation, motor activity, learning </w:t>
      </w:r>
      <w:r w:rsidR="001B3F55">
        <w:t>and</w:t>
      </w:r>
      <w:r w:rsidR="00433863">
        <w:t xml:space="preserve"> memory or reproductive function. F1 femal</w:t>
      </w:r>
      <w:r>
        <w:t xml:space="preserve">es showed no maternal treatment </w:t>
      </w:r>
      <w:r w:rsidR="00433863">
        <w:t>relat</w:t>
      </w:r>
      <w:r>
        <w:t xml:space="preserve">ed changes. The increase in non-viable embryo numbers and post </w:t>
      </w:r>
      <w:r w:rsidR="00433863">
        <w:t>implantation loss observed was not statistically significant and did not exceed historical control range (relative ex</w:t>
      </w:r>
      <w:r w:rsidR="001B3F55">
        <w:t xml:space="preserve">posure </w:t>
      </w:r>
      <w:r w:rsidR="002F2AC8">
        <w:t>(</w:t>
      </w:r>
      <w:r w:rsidR="001B3F55">
        <w:t>AUC</w:t>
      </w:r>
      <w:r w:rsidR="002F2AC8">
        <w:t>)</w:t>
      </w:r>
      <w:r w:rsidR="00433863">
        <w:t xml:space="preserve"> of 34). Sperm motility and density in F1 males were not affected by treatment. A significant reduction in the mean number of normal sperm correlated with increase in the mean number of a</w:t>
      </w:r>
      <w:r>
        <w:t xml:space="preserve">bnormal sperm was noted in high </w:t>
      </w:r>
      <w:r w:rsidR="00433863">
        <w:t>do</w:t>
      </w:r>
      <w:r w:rsidR="00B22E42">
        <w:t xml:space="preserve">se F1 males (relative exposure </w:t>
      </w:r>
      <w:r w:rsidR="002F2AC8">
        <w:t>(</w:t>
      </w:r>
      <w:r w:rsidR="00B22E42">
        <w:t>AUC</w:t>
      </w:r>
      <w:r w:rsidR="002F2AC8">
        <w:t>)</w:t>
      </w:r>
      <w:r w:rsidR="00433863">
        <w:t xml:space="preserve"> of 34). This finding was attributed to one male which had small testes and small </w:t>
      </w:r>
      <w:proofErr w:type="spellStart"/>
      <w:r w:rsidR="00433863">
        <w:t>epididymides</w:t>
      </w:r>
      <w:proofErr w:type="spellEnd"/>
      <w:r w:rsidR="00433863">
        <w:t xml:space="preserve"> (out of 200 sperm: 13 normal, 55 with detached heads </w:t>
      </w:r>
      <w:r w:rsidR="001B3F55">
        <w:t>and</w:t>
      </w:r>
      <w:r w:rsidR="00433863">
        <w:t xml:space="preserve"> 127 with no heads). The NOAEL for pup development is </w:t>
      </w:r>
      <w:r w:rsidR="00B22E42">
        <w:t>considered to be 250 mg/kg every 3 </w:t>
      </w:r>
      <w:r w:rsidR="00433863">
        <w:t>days</w:t>
      </w:r>
      <w:r w:rsidR="000071C8">
        <w:t>.</w:t>
      </w:r>
    </w:p>
    <w:p w14:paraId="10D44A4B" w14:textId="77777777" w:rsidR="000071C8" w:rsidRDefault="00433863" w:rsidP="00433863">
      <w:r>
        <w:t xml:space="preserve">Whilst no clinical juvenile indications are sought </w:t>
      </w:r>
      <w:r w:rsidR="00B22E42">
        <w:t>in the current submission, the s</w:t>
      </w:r>
      <w:r>
        <w:t>ponsor submitted a juvenile repeat dose toxicity study in rats that r</w:t>
      </w:r>
      <w:r w:rsidR="00B22E42">
        <w:t xml:space="preserve">eceived </w:t>
      </w:r>
      <w:proofErr w:type="spellStart"/>
      <w:r w:rsidR="00B22E42">
        <w:t>galcanezumab</w:t>
      </w:r>
      <w:proofErr w:type="spellEnd"/>
      <w:r w:rsidR="00B22E42">
        <w:t xml:space="preserve"> SC every 3 days at doses of 30 or 250 </w:t>
      </w:r>
      <w:r>
        <w:t xml:space="preserve">mg/kg from </w:t>
      </w:r>
      <w:r w:rsidR="00AE6262">
        <w:t>post</w:t>
      </w:r>
      <w:r w:rsidR="00B22E42">
        <w:t xml:space="preserve">natal day 21 to </w:t>
      </w:r>
      <w:r>
        <w:t>90. Treatment was well tolerated. A slight reduction in body weight gain and foo</w:t>
      </w:r>
      <w:r w:rsidR="00AE6262">
        <w:t xml:space="preserve">d consumption was noted in high </w:t>
      </w:r>
      <w:r>
        <w:t>dose groups. Full haemat</w:t>
      </w:r>
      <w:r w:rsidR="00AE6262">
        <w:t xml:space="preserve">ological assessment showed dose </w:t>
      </w:r>
      <w:r>
        <w:t>dependent increase in eosinophils and platelets levels in both sexes; activated partial thromboplastin time and fibrinogen levels were increased in males, decrease in prothrombin time was observed in males and urea nitrogen and creatinine levels were reduced in both sexes. Only partial recovery was observed following treatment withdra</w:t>
      </w:r>
      <w:r w:rsidR="00AE6262">
        <w:t xml:space="preserve">wal. There were no </w:t>
      </w:r>
      <w:proofErr w:type="spellStart"/>
      <w:r w:rsidR="00AE6262">
        <w:t>galcanezumab</w:t>
      </w:r>
      <w:proofErr w:type="spellEnd"/>
      <w:r w:rsidR="00AE6262">
        <w:t xml:space="preserve"> </w:t>
      </w:r>
      <w:r>
        <w:t>related findings in clinical pathology parameters, urinalysis, physical examination, organ weights or macroscopic evaluation</w:t>
      </w:r>
      <w:r w:rsidR="000071C8">
        <w:t>.</w:t>
      </w:r>
    </w:p>
    <w:p w14:paraId="3B32E2D6" w14:textId="77777777" w:rsidR="00433863" w:rsidRDefault="00433863" w:rsidP="00433863">
      <w:r>
        <w:t>As in adult animals, histopathological changes consisted of increased incidence of mononu</w:t>
      </w:r>
      <w:r w:rsidR="00B22E42">
        <w:t xml:space="preserve">clear cell infiltrates (minimal to </w:t>
      </w:r>
      <w:r>
        <w:t>mild). The reversibility of these findings was only partial following treatment withdrawal.</w:t>
      </w:r>
    </w:p>
    <w:p w14:paraId="2A34F014" w14:textId="77777777" w:rsidR="00433863" w:rsidRDefault="00433863" w:rsidP="00433863">
      <w:r>
        <w:t xml:space="preserve">Reproductive parameters (sexual maturation, oestrous cycling, reproductive capacity </w:t>
      </w:r>
      <w:r w:rsidR="002F2AC8">
        <w:t>(</w:t>
      </w:r>
      <w:r>
        <w:t>mating and fertility</w:t>
      </w:r>
      <w:r w:rsidR="002F2AC8">
        <w:t>)</w:t>
      </w:r>
      <w:r>
        <w:t xml:space="preserve">, sperm assessment </w:t>
      </w:r>
      <w:r w:rsidR="002F2AC8">
        <w:t>(</w:t>
      </w:r>
      <w:r>
        <w:t>motility, concentration, morphology</w:t>
      </w:r>
      <w:r w:rsidR="002F2AC8">
        <w:t>)</w:t>
      </w:r>
      <w:r>
        <w:t xml:space="preserve">, litter values </w:t>
      </w:r>
      <w:r w:rsidR="002F2AC8">
        <w:t>(</w:t>
      </w:r>
      <w:r>
        <w:t xml:space="preserve">corpora </w:t>
      </w:r>
      <w:proofErr w:type="spellStart"/>
      <w:r>
        <w:t>l</w:t>
      </w:r>
      <w:r w:rsidR="00AE6262">
        <w:t>utea</w:t>
      </w:r>
      <w:proofErr w:type="spellEnd"/>
      <w:r w:rsidR="00AE6262">
        <w:t xml:space="preserve">, implantation numbers, pre/post </w:t>
      </w:r>
      <w:r>
        <w:t xml:space="preserve">implantation loss, number of live/dead </w:t>
      </w:r>
      <w:proofErr w:type="spellStart"/>
      <w:r>
        <w:t>fetuses</w:t>
      </w:r>
      <w:proofErr w:type="spellEnd"/>
      <w:r w:rsidR="002F2AC8">
        <w:t>)</w:t>
      </w:r>
      <w:r>
        <w:t>) were unaffected by treatment.</w:t>
      </w:r>
    </w:p>
    <w:p w14:paraId="4BEAFBEB" w14:textId="77777777" w:rsidR="000071C8" w:rsidRDefault="00433863" w:rsidP="00433863">
      <w:r>
        <w:t xml:space="preserve">A decrease in motor activity (ambulation </w:t>
      </w:r>
      <w:r w:rsidR="001B3F55">
        <w:t>and</w:t>
      </w:r>
      <w:r>
        <w:t xml:space="preserve"> fine movements) was observed at both doses in both sexes (statistically significant in females), c</w:t>
      </w:r>
      <w:r w:rsidR="00B22E42">
        <w:t>omplete reversal was observed 1 </w:t>
      </w:r>
      <w:r>
        <w:t>month following treatment with</w:t>
      </w:r>
      <w:r w:rsidR="00AE6262">
        <w:t xml:space="preserve">drawal. There </w:t>
      </w:r>
      <w:proofErr w:type="gramStart"/>
      <w:r w:rsidR="00AE6262">
        <w:t>were</w:t>
      </w:r>
      <w:proofErr w:type="gramEnd"/>
      <w:r w:rsidR="00AE6262">
        <w:t xml:space="preserve"> no treatment </w:t>
      </w:r>
      <w:r>
        <w:t>related effects on acoustic startle habituation and learning and memory</w:t>
      </w:r>
      <w:r w:rsidR="000071C8">
        <w:t>.</w:t>
      </w:r>
    </w:p>
    <w:p w14:paraId="10CF393F" w14:textId="392A27EA" w:rsidR="000071C8" w:rsidRDefault="00AE6262" w:rsidP="00433863">
      <w:r>
        <w:t xml:space="preserve">A potential treatment </w:t>
      </w:r>
      <w:r w:rsidR="00433863">
        <w:t>related effect on bone densitometry was</w:t>
      </w:r>
      <w:r>
        <w:t xml:space="preserve"> observed, particularly in high </w:t>
      </w:r>
      <w:r w:rsidR="00433863">
        <w:t xml:space="preserve">dose treated animals of both </w:t>
      </w:r>
      <w:r w:rsidR="00B22E42">
        <w:t>sexes (relative exposure</w:t>
      </w:r>
      <w:r w:rsidR="00CF1BBC">
        <w:t xml:space="preserve"> ratio to humans</w:t>
      </w:r>
      <w:r w:rsidR="00B22E42">
        <w:t xml:space="preserve">, </w:t>
      </w:r>
      <w:r w:rsidR="004C7929">
        <w:t>73</w:t>
      </w:r>
      <w:r w:rsidR="00CF1BBC">
        <w:t xml:space="preserve"> </w:t>
      </w:r>
      <w:r w:rsidR="002F2AC8">
        <w:t>(</w:t>
      </w:r>
      <w:r w:rsidR="00B22E42">
        <w:t>male</w:t>
      </w:r>
      <w:r w:rsidR="002F2AC8">
        <w:t>)</w:t>
      </w:r>
      <w:r w:rsidR="00B22E42">
        <w:t>/</w:t>
      </w:r>
      <w:r w:rsidR="004C7929">
        <w:t>104</w:t>
      </w:r>
      <w:r w:rsidR="00CF1BBC">
        <w:t xml:space="preserve"> </w:t>
      </w:r>
      <w:r w:rsidR="002F2AC8">
        <w:lastRenderedPageBreak/>
        <w:t>(</w:t>
      </w:r>
      <w:r w:rsidR="00B22E42">
        <w:t>female</w:t>
      </w:r>
      <w:r w:rsidR="002F2AC8">
        <w:t>)</w:t>
      </w:r>
      <w:r w:rsidR="00433863">
        <w:t xml:space="preserve"> based on AUC); with reduced trabecular bone area, bone mineral content (-25%) and bone mineral density (-21 to -24%). Recovery was variable in both males and f</w:t>
      </w:r>
      <w:r w:rsidR="00B22E42">
        <w:t xml:space="preserve">emales at both doses after a </w:t>
      </w:r>
      <w:proofErr w:type="gramStart"/>
      <w:r w:rsidR="00B22E42">
        <w:t xml:space="preserve">46 </w:t>
      </w:r>
      <w:r w:rsidR="00433863">
        <w:t>day</w:t>
      </w:r>
      <w:proofErr w:type="gramEnd"/>
      <w:r w:rsidR="00433863">
        <w:t xml:space="preserve"> recovery period. Furthermore, minimal changes were observed in cortical b</w:t>
      </w:r>
      <w:r>
        <w:t xml:space="preserve">one, and there was no treatment </w:t>
      </w:r>
      <w:r w:rsidR="00433863">
        <w:t>related effect on femur length</w:t>
      </w:r>
      <w:r w:rsidR="000071C8">
        <w:t>.</w:t>
      </w:r>
    </w:p>
    <w:p w14:paraId="78D3D550" w14:textId="77777777" w:rsidR="000071C8" w:rsidRDefault="00433863" w:rsidP="00433863">
      <w:r>
        <w:t>Schinke et al. (2004)</w:t>
      </w:r>
      <w:r w:rsidR="00FF0F5C">
        <w:t xml:space="preserve"> </w:t>
      </w:r>
      <w:r w:rsidR="00FF0F5C">
        <w:rPr>
          <w:rStyle w:val="FootnoteReference"/>
        </w:rPr>
        <w:footnoteReference w:id="6"/>
      </w:r>
      <w:r>
        <w:t xml:space="preserve"> showed decrease bone formation and osteopenia (including significant reduction of t</w:t>
      </w:r>
      <w:r w:rsidR="00AE6262">
        <w:t xml:space="preserve">he trabecular bone volume) in α CGRP </w:t>
      </w:r>
      <w:r>
        <w:t xml:space="preserve">deficient mice, providing mechanistic evidence for a role for CGRP in bone formation. It is therefore possible that the effects observed with </w:t>
      </w:r>
      <w:proofErr w:type="spellStart"/>
      <w:r>
        <w:t>galcanezumab</w:t>
      </w:r>
      <w:proofErr w:type="spellEnd"/>
      <w:r>
        <w:t xml:space="preserve"> on trabecular bone of juvenile rats are pharmacologically mediated; however, consideration of the minor changes, their reversibility, and relative exposure margins (AUC) in the juvenile rat studies suggest limited clinical relevance</w:t>
      </w:r>
      <w:r w:rsidR="000071C8">
        <w:t>.</w:t>
      </w:r>
    </w:p>
    <w:p w14:paraId="71AB5D70" w14:textId="77777777" w:rsidR="00433863" w:rsidRDefault="000071C8" w:rsidP="000071C8">
      <w:pPr>
        <w:pStyle w:val="Heading5"/>
      </w:pPr>
      <w:r>
        <w:t>Pregnancy classification</w:t>
      </w:r>
    </w:p>
    <w:p w14:paraId="562C89CC" w14:textId="77777777" w:rsidR="00433863" w:rsidRDefault="00404F61" w:rsidP="00433863">
      <w:r>
        <w:t>The s</w:t>
      </w:r>
      <w:r w:rsidR="00433863">
        <w:t xml:space="preserve">ponsor has proposed </w:t>
      </w:r>
      <w:r w:rsidR="00433863" w:rsidRPr="00404F61">
        <w:rPr>
          <w:bCs/>
        </w:rPr>
        <w:t>Pregnancy Category B1</w:t>
      </w:r>
      <w:r w:rsidR="00433863" w:rsidRPr="00404F61">
        <w:t xml:space="preserve"> </w:t>
      </w:r>
      <w:bookmarkStart w:id="57" w:name="_Ref12365394"/>
      <w:r>
        <w:rPr>
          <w:rStyle w:val="FootnoteReference"/>
        </w:rPr>
        <w:footnoteReference w:id="7"/>
      </w:r>
      <w:bookmarkEnd w:id="57"/>
      <w:r>
        <w:t xml:space="preserve"> </w:t>
      </w:r>
      <w:r w:rsidR="00433863">
        <w:t xml:space="preserve">for </w:t>
      </w:r>
      <w:proofErr w:type="spellStart"/>
      <w:r w:rsidR="00433863">
        <w:t>galcanezumab</w:t>
      </w:r>
      <w:proofErr w:type="spellEnd"/>
      <w:r w:rsidR="00433863">
        <w:t xml:space="preserve">. A B1 category is considered appropriate for this product in the absence of any adverse maternal or </w:t>
      </w:r>
      <w:proofErr w:type="spellStart"/>
      <w:r w:rsidR="00433863">
        <w:t>fetal</w:t>
      </w:r>
      <w:proofErr w:type="spellEnd"/>
      <w:r w:rsidR="00433863">
        <w:t xml:space="preserve"> effects in adequately </w:t>
      </w:r>
      <w:r w:rsidR="00AE6262">
        <w:t xml:space="preserve">conducted </w:t>
      </w:r>
      <w:proofErr w:type="spellStart"/>
      <w:r w:rsidR="00AE6262">
        <w:t>embryofetal</w:t>
      </w:r>
      <w:proofErr w:type="spellEnd"/>
      <w:r w:rsidR="00AE6262">
        <w:t xml:space="preserve"> and pre</w:t>
      </w:r>
      <w:r w:rsidR="00433863">
        <w:t>/postnatal development studies in female rats and rabbits. This is consistent with the Australian p</w:t>
      </w:r>
      <w:r>
        <w:t xml:space="preserve">regnancy category for </w:t>
      </w:r>
      <w:proofErr w:type="spellStart"/>
      <w:r>
        <w:t>erenumab</w:t>
      </w:r>
      <w:proofErr w:type="spellEnd"/>
      <w:r>
        <w:t xml:space="preserve">, </w:t>
      </w:r>
      <w:r w:rsidR="00433863">
        <w:t>another drug in the same class.</w:t>
      </w:r>
    </w:p>
    <w:p w14:paraId="05AF378C" w14:textId="77777777" w:rsidR="0057105C" w:rsidRDefault="00433863" w:rsidP="000071C8">
      <w:pPr>
        <w:pStyle w:val="Heading4"/>
      </w:pPr>
      <w:r>
        <w:t>Local tolerance</w:t>
      </w:r>
    </w:p>
    <w:p w14:paraId="2DF2A092" w14:textId="77777777" w:rsidR="000071C8" w:rsidRDefault="00404F61" w:rsidP="00433863">
      <w:r>
        <w:t>The sponsor</w:t>
      </w:r>
      <w:r w:rsidR="00433863">
        <w:t xml:space="preserve"> did not conduct a dedicated local tolerance study. The assessment of local tolerance w</w:t>
      </w:r>
      <w:r w:rsidR="007A6B12">
        <w:t xml:space="preserve">as incorporated into the repeat </w:t>
      </w:r>
      <w:r w:rsidR="00433863">
        <w:t xml:space="preserve">dose toxicology studies in rats and </w:t>
      </w:r>
      <w:proofErr w:type="spellStart"/>
      <w:r w:rsidR="00433863">
        <w:t>cynomolgus</w:t>
      </w:r>
      <w:proofErr w:type="spellEnd"/>
      <w:r w:rsidR="00433863">
        <w:t xml:space="preserve"> monkeys (macroscopic and microscopic evaluation of SC injection sites). Neither oedema nor erythema were observed following treatment. Examination of SC injection sites revealed an increased incidence and severity of perivascular mononuclear cell infiltrates and chronic inflammat</w:t>
      </w:r>
      <w:r>
        <w:t>ion (at concentrations up to 50 </w:t>
      </w:r>
      <w:r w:rsidR="00433863">
        <w:t>mg/mL). Isolated occurrences of slight muscular degeneration and slight fibrosis were</w:t>
      </w:r>
      <w:r>
        <w:t xml:space="preserve"> also observed in monkeys at 50 </w:t>
      </w:r>
      <w:r w:rsidR="00433863">
        <w:t>mg/</w:t>
      </w:r>
      <w:proofErr w:type="spellStart"/>
      <w:r w:rsidR="00433863">
        <w:t>mL.</w:t>
      </w:r>
      <w:proofErr w:type="spellEnd"/>
      <w:r w:rsidR="00433863">
        <w:t xml:space="preserve"> These findings are considered to be reactions to the injection of foreign protein and not adverse. Injection site reactions are reported as very common adverse effects observed in clinical trial subjects in the </w:t>
      </w:r>
      <w:r>
        <w:t>PI</w:t>
      </w:r>
      <w:r w:rsidR="00433863">
        <w:t xml:space="preserve"> document</w:t>
      </w:r>
      <w:r w:rsidR="000071C8">
        <w:t>.</w:t>
      </w:r>
    </w:p>
    <w:p w14:paraId="5006C90B" w14:textId="77777777" w:rsidR="0057105C" w:rsidRDefault="00433863" w:rsidP="000071C8">
      <w:pPr>
        <w:pStyle w:val="Heading4"/>
      </w:pPr>
      <w:proofErr w:type="spellStart"/>
      <w:r>
        <w:t>Immunotoxicity</w:t>
      </w:r>
      <w:proofErr w:type="spellEnd"/>
    </w:p>
    <w:p w14:paraId="2F5B9A31" w14:textId="77777777" w:rsidR="000071C8" w:rsidRDefault="00433863" w:rsidP="00433863">
      <w:r>
        <w:t xml:space="preserve">Signs of </w:t>
      </w:r>
      <w:proofErr w:type="spellStart"/>
      <w:r>
        <w:t>immunotoxicity</w:t>
      </w:r>
      <w:proofErr w:type="spellEnd"/>
      <w:r>
        <w:t xml:space="preserve"> were</w:t>
      </w:r>
      <w:r w:rsidR="007A6B12">
        <w:t xml:space="preserve"> not observed in general repeat </w:t>
      </w:r>
      <w:r>
        <w:t xml:space="preserve">dose toxicity studies and no specialised </w:t>
      </w:r>
      <w:proofErr w:type="spellStart"/>
      <w:r>
        <w:t>immunotoxicity</w:t>
      </w:r>
      <w:proofErr w:type="spellEnd"/>
      <w:r>
        <w:t xml:space="preserve"> studies were performed</w:t>
      </w:r>
      <w:r w:rsidR="000071C8">
        <w:t>.</w:t>
      </w:r>
    </w:p>
    <w:p w14:paraId="6837128E" w14:textId="77777777" w:rsidR="0057105C" w:rsidRDefault="00433863" w:rsidP="000071C8">
      <w:pPr>
        <w:pStyle w:val="Heading4"/>
      </w:pPr>
      <w:proofErr w:type="spellStart"/>
      <w:r>
        <w:t>Phototoxicity</w:t>
      </w:r>
      <w:proofErr w:type="spellEnd"/>
    </w:p>
    <w:p w14:paraId="23CFB9BD" w14:textId="77777777" w:rsidR="00433863" w:rsidRDefault="00433863" w:rsidP="00433863">
      <w:proofErr w:type="spellStart"/>
      <w:r>
        <w:t>Phototoxicity</w:t>
      </w:r>
      <w:proofErr w:type="spellEnd"/>
      <w:r>
        <w:t xml:space="preserve"> studies were not conducted. This is accepta</w:t>
      </w:r>
      <w:r w:rsidR="000071C8">
        <w:t xml:space="preserve">ble in accordance with </w:t>
      </w:r>
      <w:r w:rsidR="00404F61">
        <w:t>relevant guidelines.</w:t>
      </w:r>
      <w:r w:rsidR="00404F61">
        <w:rPr>
          <w:rStyle w:val="FootnoteReference"/>
        </w:rPr>
        <w:footnoteReference w:id="8"/>
      </w:r>
    </w:p>
    <w:p w14:paraId="73154D91" w14:textId="77777777" w:rsidR="0057105C" w:rsidRDefault="00433863" w:rsidP="000071C8">
      <w:pPr>
        <w:pStyle w:val="Heading4"/>
      </w:pPr>
      <w:r>
        <w:lastRenderedPageBreak/>
        <w:t>Paediatric use</w:t>
      </w:r>
    </w:p>
    <w:p w14:paraId="134D9F93" w14:textId="60E5E775" w:rsidR="00433863" w:rsidRDefault="00433863" w:rsidP="00433863">
      <w:proofErr w:type="spellStart"/>
      <w:r>
        <w:t>Galcanezumab</w:t>
      </w:r>
      <w:proofErr w:type="spellEnd"/>
      <w:r>
        <w:t xml:space="preserve"> is not proposed for paediatric use. In a juvenile study in ra</w:t>
      </w:r>
      <w:r w:rsidR="00E47C75">
        <w:t>ts, administration of up to 250 </w:t>
      </w:r>
      <w:r>
        <w:t xml:space="preserve">mg/kg every 3 days SC from </w:t>
      </w:r>
      <w:r w:rsidR="007A6B12">
        <w:t>post</w:t>
      </w:r>
      <w:r w:rsidR="00E47C75">
        <w:t xml:space="preserve">natal day 21 to </w:t>
      </w:r>
      <w:r>
        <w:t>90 did not cause any observable adverse effects apart from small, reversible reductions in trabecular bone area, bone mineral content and bone mineral density at high re</w:t>
      </w:r>
      <w:r w:rsidR="002E5E54">
        <w:t>lative exposure</w:t>
      </w:r>
      <w:r w:rsidR="00CF1BBC">
        <w:t xml:space="preserve"> ratios</w:t>
      </w:r>
      <w:r w:rsidR="002E5E54">
        <w:t xml:space="preserve"> of </w:t>
      </w:r>
      <w:r w:rsidR="004C7929">
        <w:t>73</w:t>
      </w:r>
      <w:r w:rsidR="00CF1BBC">
        <w:t xml:space="preserve"> </w:t>
      </w:r>
      <w:r w:rsidR="002E5E54">
        <w:t xml:space="preserve">(males) and </w:t>
      </w:r>
      <w:r w:rsidR="004C7929">
        <w:t>104</w:t>
      </w:r>
      <w:r w:rsidR="00CF1BBC">
        <w:t xml:space="preserve"> </w:t>
      </w:r>
      <w:r w:rsidR="002E5E54">
        <w:t>(</w:t>
      </w:r>
      <w:r w:rsidR="00E47C75">
        <w:t>female</w:t>
      </w:r>
      <w:r w:rsidR="002E5E54">
        <w:t xml:space="preserve">s), </w:t>
      </w:r>
      <w:r>
        <w:t>b</w:t>
      </w:r>
      <w:r w:rsidR="002E5E54">
        <w:t>ased on AUC</w:t>
      </w:r>
      <w:r w:rsidR="00E47C75">
        <w:t>. The NOAEL was 250 mg/kg every 3 </w:t>
      </w:r>
      <w:r>
        <w:t>days.</w:t>
      </w:r>
    </w:p>
    <w:p w14:paraId="23EF9376" w14:textId="77777777" w:rsidR="0057105C" w:rsidRDefault="00433863" w:rsidP="000071C8">
      <w:pPr>
        <w:pStyle w:val="Heading4"/>
      </w:pPr>
      <w:r>
        <w:t>Comments on the Nonclinical Safety Specification of the Risk Management Plan</w:t>
      </w:r>
    </w:p>
    <w:p w14:paraId="38F8CD2A" w14:textId="77777777" w:rsidR="00433863" w:rsidRDefault="00433863" w:rsidP="00433863">
      <w:r>
        <w:t xml:space="preserve">Results and conclusions drawn from the nonclinical programme for </w:t>
      </w:r>
      <w:proofErr w:type="spellStart"/>
      <w:r>
        <w:t>galcanezumab</w:t>
      </w:r>
      <w:proofErr w:type="spellEnd"/>
      <w:r>
        <w:t xml:space="preserve"> detailed in </w:t>
      </w:r>
      <w:r w:rsidR="00B22E42">
        <w:t>the sponsor</w:t>
      </w:r>
      <w:r w:rsidR="007A6B12">
        <w:t xml:space="preserve">’s draft Australian </w:t>
      </w:r>
      <w:r>
        <w:t xml:space="preserve">Specific Annex </w:t>
      </w:r>
      <w:r w:rsidR="00DD3D1D">
        <w:t xml:space="preserve">(ASA) </w:t>
      </w:r>
      <w:r>
        <w:t>to the EU Risk Management Plan (Version 0.1) are in general concordance wit</w:t>
      </w:r>
      <w:r w:rsidR="002E5E54">
        <w:t>h those of the nonclinical e</w:t>
      </w:r>
      <w:r>
        <w:t>valuator.</w:t>
      </w:r>
    </w:p>
    <w:p w14:paraId="3BE3A00C" w14:textId="77777777" w:rsidR="008E7846" w:rsidRDefault="008E7846" w:rsidP="00572B43">
      <w:pPr>
        <w:pStyle w:val="Heading3"/>
      </w:pPr>
      <w:bookmarkStart w:id="58" w:name="_Toc247691515"/>
      <w:bookmarkStart w:id="59" w:name="_Toc314842499"/>
      <w:bookmarkStart w:id="60" w:name="_Toc20822170"/>
      <w:r>
        <w:t>Nonclinical summary and conclusions</w:t>
      </w:r>
      <w:bookmarkEnd w:id="58"/>
      <w:bookmarkEnd w:id="59"/>
      <w:bookmarkEnd w:id="60"/>
    </w:p>
    <w:p w14:paraId="267FB365" w14:textId="77777777" w:rsidR="00AC1D61" w:rsidRDefault="00AC1D61" w:rsidP="00572B43">
      <w:pPr>
        <w:pStyle w:val="Heading4"/>
      </w:pPr>
      <w:r>
        <w:t>Non clinical summary</w:t>
      </w:r>
    </w:p>
    <w:p w14:paraId="0C11E4AA" w14:textId="77777777" w:rsidR="000071C8" w:rsidRDefault="00E47C75" w:rsidP="00572B43">
      <w:pPr>
        <w:pStyle w:val="ListBullet"/>
      </w:pPr>
      <w:r>
        <w:t>The nonclinical dossier</w:t>
      </w:r>
      <w:r w:rsidR="00AC1D61">
        <w:t xml:space="preserve"> contained an adequate set of studies investigating pharmacology, pharmacokinetics and toxicity, conducted in general accordance with relev</w:t>
      </w:r>
      <w:r w:rsidR="007A6B12">
        <w:t xml:space="preserve">ant TGA </w:t>
      </w:r>
      <w:r w:rsidR="00AC1D61">
        <w:t xml:space="preserve">adopted </w:t>
      </w:r>
      <w:r w:rsidR="00FD3BDB">
        <w:t>guidelines</w:t>
      </w:r>
      <w:r w:rsidR="00AC1D61">
        <w:t>.</w:t>
      </w:r>
      <w:r w:rsidR="00FD3BDB">
        <w:fldChar w:fldCharType="begin"/>
      </w:r>
      <w:r w:rsidR="00FD3BDB">
        <w:instrText xml:space="preserve"> NOTEREF _Ref12351989 \f \h </w:instrText>
      </w:r>
      <w:r w:rsidR="00FD3BDB">
        <w:fldChar w:fldCharType="separate"/>
      </w:r>
      <w:r w:rsidR="00FD3BDB" w:rsidRPr="00FD3BDB">
        <w:rPr>
          <w:rStyle w:val="FootnoteReference"/>
        </w:rPr>
        <w:t>1</w:t>
      </w:r>
      <w:r w:rsidR="00FD3BDB">
        <w:fldChar w:fldCharType="end"/>
      </w:r>
      <w:r w:rsidR="00AC1D61">
        <w:t xml:space="preserve"> The nonclinical dossier was of good overall quality, and all pivotal </w:t>
      </w:r>
      <w:r w:rsidR="007A6B12">
        <w:t xml:space="preserve">safety </w:t>
      </w:r>
      <w:r>
        <w:t xml:space="preserve">related studies were GLP </w:t>
      </w:r>
      <w:r w:rsidR="00AC1D61">
        <w:t>compliant</w:t>
      </w:r>
      <w:r w:rsidR="000071C8">
        <w:t>.</w:t>
      </w:r>
    </w:p>
    <w:p w14:paraId="257DFF5D" w14:textId="77777777" w:rsidR="000071C8" w:rsidRDefault="00AC1D61" w:rsidP="00572B43">
      <w:pPr>
        <w:pStyle w:val="ListBullet"/>
      </w:pPr>
      <w:r>
        <w:t>CGRP is widely expressed in the central and peripheral nervous systems. CGRP has been associated with the pathophysiology of migraine. It has also been suggested to be involved in numerous other (</w:t>
      </w:r>
      <w:proofErr w:type="spellStart"/>
      <w:r>
        <w:t>patho</w:t>
      </w:r>
      <w:proofErr w:type="spellEnd"/>
      <w:r>
        <w:t>)</w:t>
      </w:r>
      <w:r w:rsidR="007A6B12">
        <w:t xml:space="preserve"> </w:t>
      </w:r>
      <w:r>
        <w:t>physiological situations (</w:t>
      </w:r>
      <w:r w:rsidR="007A6B12">
        <w:t>for example</w:t>
      </w:r>
      <w:r>
        <w:t>, cardiovascular regulation/disease, neurogenic inflammation, pain, sepsis, arthritis, wound healing, bone formation, diabetes and obesity)</w:t>
      </w:r>
      <w:r w:rsidR="000071C8">
        <w:t>.</w:t>
      </w:r>
    </w:p>
    <w:p w14:paraId="6DBA4FB3" w14:textId="77777777" w:rsidR="000071C8" w:rsidRPr="00E47C75" w:rsidRDefault="00AC1D61" w:rsidP="00572B43">
      <w:pPr>
        <w:pStyle w:val="ListBullet"/>
      </w:pPr>
      <w:r w:rsidRPr="00F0343F">
        <w:rPr>
          <w:i/>
        </w:rPr>
        <w:t>In vitro</w:t>
      </w:r>
      <w:r w:rsidRPr="00E47C75">
        <w:t xml:space="preserve"> studies established that </w:t>
      </w:r>
      <w:proofErr w:type="spellStart"/>
      <w:r w:rsidRPr="00E47C75">
        <w:t>galcanezumab</w:t>
      </w:r>
      <w:proofErr w:type="spellEnd"/>
      <w:r w:rsidRPr="00E47C75">
        <w:t xml:space="preserve"> binds to human and rat CGRP with high affinity (K</w:t>
      </w:r>
      <w:r w:rsidRPr="00E47C75">
        <w:rPr>
          <w:vertAlign w:val="subscript"/>
        </w:rPr>
        <w:t>D</w:t>
      </w:r>
      <w:r w:rsidRPr="00E47C75">
        <w:t xml:space="preserve"> 31 and 250 </w:t>
      </w:r>
      <w:proofErr w:type="spellStart"/>
      <w:r w:rsidRPr="00E47C75">
        <w:t>pM</w:t>
      </w:r>
      <w:proofErr w:type="spellEnd"/>
      <w:r w:rsidRPr="00E47C75">
        <w:t xml:space="preserve">, respectively) and does not bind to human CGRP receptor, amylin, </w:t>
      </w:r>
      <w:proofErr w:type="spellStart"/>
      <w:r w:rsidRPr="00E47C75">
        <w:t>adrenomedullin</w:t>
      </w:r>
      <w:proofErr w:type="spellEnd"/>
      <w:r w:rsidRPr="00E47C75">
        <w:t xml:space="preserve">, calcitonin, </w:t>
      </w:r>
      <w:proofErr w:type="spellStart"/>
      <w:r w:rsidRPr="00E47C75">
        <w:t>intermedin</w:t>
      </w:r>
      <w:proofErr w:type="spellEnd"/>
      <w:r w:rsidRPr="00E47C75">
        <w:t xml:space="preserve"> (all members of the calcitonin family of peptides), Fc receptors I, </w:t>
      </w:r>
      <w:proofErr w:type="spellStart"/>
      <w:r w:rsidRPr="00E47C75">
        <w:t>IIa</w:t>
      </w:r>
      <w:proofErr w:type="spellEnd"/>
      <w:r w:rsidRPr="00E47C75">
        <w:t xml:space="preserve">, and </w:t>
      </w:r>
      <w:proofErr w:type="spellStart"/>
      <w:r w:rsidRPr="00E47C75">
        <w:t>IIIa</w:t>
      </w:r>
      <w:proofErr w:type="spellEnd"/>
      <w:r w:rsidRPr="00E47C75">
        <w:t xml:space="preserve"> or the complement component C1q. </w:t>
      </w:r>
      <w:proofErr w:type="spellStart"/>
      <w:r w:rsidRPr="00E47C75">
        <w:t>Galcanezumab</w:t>
      </w:r>
      <w:proofErr w:type="spellEnd"/>
      <w:r w:rsidRPr="00E47C75">
        <w:t xml:space="preserve"> inhibits the accumulation of </w:t>
      </w:r>
      <w:proofErr w:type="spellStart"/>
      <w:r w:rsidRPr="00E47C75">
        <w:t>cAMP</w:t>
      </w:r>
      <w:proofErr w:type="spellEnd"/>
      <w:r w:rsidRPr="00E47C75">
        <w:t xml:space="preserve"> induced by the human CGRP isoforms (α and β; IC</w:t>
      </w:r>
      <w:r w:rsidRPr="00E47C75">
        <w:rPr>
          <w:vertAlign w:val="subscript"/>
        </w:rPr>
        <w:t>50</w:t>
      </w:r>
      <w:r w:rsidRPr="00E47C75">
        <w:t xml:space="preserve"> 0.35 ± 0.07 and 0.176 ± 0.022 </w:t>
      </w:r>
      <w:proofErr w:type="spellStart"/>
      <w:r w:rsidRPr="00E47C75">
        <w:t>nM</w:t>
      </w:r>
      <w:proofErr w:type="spellEnd"/>
      <w:r w:rsidRPr="00E47C75">
        <w:t>, respectively) and rabbit CGRP (IC</w:t>
      </w:r>
      <w:r w:rsidRPr="00E47C75">
        <w:rPr>
          <w:vertAlign w:val="subscript"/>
        </w:rPr>
        <w:t>50</w:t>
      </w:r>
      <w:r w:rsidRPr="00E47C75">
        <w:t xml:space="preserve"> 0.06 </w:t>
      </w:r>
      <w:proofErr w:type="spellStart"/>
      <w:r w:rsidRPr="00E47C75">
        <w:t>nM</w:t>
      </w:r>
      <w:proofErr w:type="spellEnd"/>
      <w:r w:rsidRPr="00E47C75">
        <w:t xml:space="preserve">) </w:t>
      </w:r>
      <w:r w:rsidRPr="00F0343F">
        <w:rPr>
          <w:i/>
        </w:rPr>
        <w:t>in vitro</w:t>
      </w:r>
      <w:r w:rsidRPr="00E47C75">
        <w:t xml:space="preserve">. Binding of CGRP to human amylin receptor is decreased by </w:t>
      </w:r>
      <w:proofErr w:type="spellStart"/>
      <w:r w:rsidRPr="00E47C75">
        <w:t>galcanezumab</w:t>
      </w:r>
      <w:proofErr w:type="spellEnd"/>
      <w:r w:rsidRPr="00E47C75">
        <w:t xml:space="preserve"> (IC</w:t>
      </w:r>
      <w:r w:rsidRPr="00E47C75">
        <w:rPr>
          <w:vertAlign w:val="subscript"/>
        </w:rPr>
        <w:t>50</w:t>
      </w:r>
      <w:r w:rsidRPr="00E47C75">
        <w:t xml:space="preserve"> 0.9 </w:t>
      </w:r>
      <w:proofErr w:type="spellStart"/>
      <w:r w:rsidRPr="00E47C75">
        <w:t>nM</w:t>
      </w:r>
      <w:proofErr w:type="spellEnd"/>
      <w:r w:rsidRPr="00E47C75">
        <w:t xml:space="preserve">). </w:t>
      </w:r>
      <w:proofErr w:type="spellStart"/>
      <w:r w:rsidRPr="00E47C75">
        <w:t>Galc</w:t>
      </w:r>
      <w:r w:rsidR="007A6B12">
        <w:t>anezumab</w:t>
      </w:r>
      <w:proofErr w:type="spellEnd"/>
      <w:r w:rsidR="007A6B12">
        <w:t xml:space="preserve"> inhibits the capsaicin </w:t>
      </w:r>
      <w:r w:rsidRPr="00E47C75">
        <w:t xml:space="preserve">induced increase in dermal blood flow in rats and </w:t>
      </w:r>
      <w:proofErr w:type="spellStart"/>
      <w:r w:rsidRPr="00E47C75">
        <w:t>cynomolgus</w:t>
      </w:r>
      <w:proofErr w:type="spellEnd"/>
      <w:r w:rsidRPr="00E47C75">
        <w:t xml:space="preserve"> monkeys </w:t>
      </w:r>
      <w:r w:rsidRPr="00F0343F">
        <w:rPr>
          <w:i/>
        </w:rPr>
        <w:t>in vivo</w:t>
      </w:r>
      <w:r w:rsidR="000071C8" w:rsidRPr="00E47C75">
        <w:t>.</w:t>
      </w:r>
    </w:p>
    <w:p w14:paraId="1F9079B8" w14:textId="77777777" w:rsidR="000071C8" w:rsidRDefault="00AC1D61" w:rsidP="00572B43">
      <w:pPr>
        <w:pStyle w:val="ListBullet"/>
      </w:pPr>
      <w:r>
        <w:t>α and β</w:t>
      </w:r>
      <w:r w:rsidR="00E47C75">
        <w:t xml:space="preserve"> </w:t>
      </w:r>
      <w:r>
        <w:t>CGRP are highly conserved among species, including rats and human. In humans α and β</w:t>
      </w:r>
      <w:r w:rsidR="00E47C75">
        <w:t xml:space="preserve"> </w:t>
      </w:r>
      <w:r>
        <w:t xml:space="preserve">CGRP differ by 3 amino acids and in rat, by one amino acid. Their biological activities are very similar. </w:t>
      </w:r>
      <w:proofErr w:type="spellStart"/>
      <w:r>
        <w:t>Galcanezumab</w:t>
      </w:r>
      <w:proofErr w:type="spellEnd"/>
      <w:r>
        <w:t xml:space="preserve"> shows comparable affinity for the animal forms of CGRP </w:t>
      </w:r>
      <w:r w:rsidR="00701599" w:rsidRPr="00701599">
        <w:rPr>
          <w:iCs/>
        </w:rPr>
        <w:t xml:space="preserve">compared </w:t>
      </w:r>
      <w:r w:rsidR="00701599" w:rsidRPr="002E5E54">
        <w:rPr>
          <w:iCs/>
        </w:rPr>
        <w:t>with</w:t>
      </w:r>
      <w:r w:rsidRPr="002E5E54">
        <w:rPr>
          <w:iCs/>
        </w:rPr>
        <w:t xml:space="preserve"> </w:t>
      </w:r>
      <w:r w:rsidRPr="002E5E54">
        <w:t>the</w:t>
      </w:r>
      <w:r>
        <w:t xml:space="preserve"> human form</w:t>
      </w:r>
      <w:r w:rsidR="000071C8">
        <w:t>.</w:t>
      </w:r>
    </w:p>
    <w:p w14:paraId="049A4CB5" w14:textId="77777777" w:rsidR="000071C8" w:rsidRDefault="00AC1D61" w:rsidP="00572B43">
      <w:pPr>
        <w:pStyle w:val="ListBullet"/>
      </w:pPr>
      <w:r>
        <w:t>Safety pharmacology parameters we</w:t>
      </w:r>
      <w:r w:rsidR="007A6B12">
        <w:t xml:space="preserve">re incorporated into the repeat </w:t>
      </w:r>
      <w:r>
        <w:t xml:space="preserve">dose toxicity studies in monkeys. No adverse effects were seen on </w:t>
      </w:r>
      <w:proofErr w:type="spellStart"/>
      <w:r>
        <w:t>neurobehavioural</w:t>
      </w:r>
      <w:proofErr w:type="spellEnd"/>
      <w:r>
        <w:t xml:space="preserve"> parameters (including body temperature), cardiovascular (including ECG waveforms, heart rate, QRS duration </w:t>
      </w:r>
      <w:r w:rsidR="001B3F55">
        <w:t>and</w:t>
      </w:r>
      <w:r>
        <w:t xml:space="preserve"> PR, QT, </w:t>
      </w:r>
      <w:proofErr w:type="spellStart"/>
      <w:r w:rsidR="008A5465">
        <w:t>QTc</w:t>
      </w:r>
      <w:proofErr w:type="spellEnd"/>
      <w:r w:rsidR="008A5465">
        <w:t xml:space="preserve"> corrected </w:t>
      </w:r>
      <w:r w:rsidR="002F2AC8">
        <w:t>(</w:t>
      </w:r>
      <w:proofErr w:type="spellStart"/>
      <w:r>
        <w:t>QT</w:t>
      </w:r>
      <w:r w:rsidR="002E5E54">
        <w:t>c</w:t>
      </w:r>
      <w:proofErr w:type="spellEnd"/>
      <w:r w:rsidR="002F2AC8">
        <w:t>)</w:t>
      </w:r>
      <w:r>
        <w:rPr>
          <w:sz w:val="14"/>
          <w:szCs w:val="14"/>
        </w:rPr>
        <w:t xml:space="preserve"> </w:t>
      </w:r>
      <w:r>
        <w:t>intervals) or respiratory systems in monkeys af</w:t>
      </w:r>
      <w:r w:rsidR="00E47C75">
        <w:t>ter repeated dosing for up to 6 </w:t>
      </w:r>
      <w:r>
        <w:t>months</w:t>
      </w:r>
      <w:r w:rsidR="000071C8">
        <w:t>.</w:t>
      </w:r>
    </w:p>
    <w:p w14:paraId="2E7D6C75" w14:textId="720BDD0E" w:rsidR="000071C8" w:rsidRPr="00E47C75" w:rsidRDefault="00AC1D61" w:rsidP="00572B43">
      <w:pPr>
        <w:pStyle w:val="ListBullet"/>
      </w:pPr>
      <w:r w:rsidRPr="00E47C75">
        <w:t xml:space="preserve">Pharmacokinetic studies with </w:t>
      </w:r>
      <w:proofErr w:type="spellStart"/>
      <w:r w:rsidRPr="00E47C75">
        <w:t>galcanezumab</w:t>
      </w:r>
      <w:proofErr w:type="spellEnd"/>
      <w:r w:rsidRPr="00E47C75">
        <w:t xml:space="preserve"> showed slow systemic distribution (</w:t>
      </w:r>
      <w:r w:rsidR="008A5465">
        <w:t>time after administration of a drug when the maximum plasma concentration is reached</w:t>
      </w:r>
      <w:r w:rsidR="008A5465" w:rsidRPr="00E47C75">
        <w:t xml:space="preserve"> </w:t>
      </w:r>
      <w:r w:rsidR="002F2AC8">
        <w:t>(</w:t>
      </w:r>
      <w:proofErr w:type="spellStart"/>
      <w:r w:rsidRPr="00E47C75">
        <w:t>T</w:t>
      </w:r>
      <w:r w:rsidR="008A5465">
        <w:rPr>
          <w:vertAlign w:val="subscript"/>
        </w:rPr>
        <w:t>max</w:t>
      </w:r>
      <w:proofErr w:type="spellEnd"/>
      <w:r w:rsidR="002F2AC8">
        <w:t>)</w:t>
      </w:r>
      <w:r w:rsidR="008A5465">
        <w:t xml:space="preserve"> of </w:t>
      </w:r>
      <w:r w:rsidR="00E47C75">
        <w:t xml:space="preserve">1 to </w:t>
      </w:r>
      <w:r w:rsidRPr="00E47C75">
        <w:t>7 days) and a long elimination half-life (t</w:t>
      </w:r>
      <w:r w:rsidRPr="00E47C75">
        <w:rPr>
          <w:vertAlign w:val="subscript"/>
        </w:rPr>
        <w:t>½</w:t>
      </w:r>
      <w:r w:rsidRPr="00E47C75">
        <w:t xml:space="preserve"> </w:t>
      </w:r>
      <w:r w:rsidR="00E47C75">
        <w:t xml:space="preserve">7 to </w:t>
      </w:r>
      <w:r w:rsidRPr="00E47C75">
        <w:t xml:space="preserve">13 days) in rats and monkeys by the clinical SC route. Accumulation with repeated (weekly) </w:t>
      </w:r>
      <w:r w:rsidR="00E47C75">
        <w:t xml:space="preserve">dosing </w:t>
      </w:r>
      <w:r w:rsidRPr="00E47C75">
        <w:t>was consistent with the drug’s long half-</w:t>
      </w:r>
      <w:r w:rsidR="007A6B12">
        <w:t xml:space="preserve">life. </w:t>
      </w:r>
      <w:proofErr w:type="spellStart"/>
      <w:r w:rsidR="007A6B12">
        <w:t>Galcanezumab</w:t>
      </w:r>
      <w:proofErr w:type="spellEnd"/>
      <w:r w:rsidR="007A6B12">
        <w:t xml:space="preserve"> exhibits nonl</w:t>
      </w:r>
      <w:r w:rsidR="007A6B12" w:rsidRPr="00E47C75">
        <w:t>inear</w:t>
      </w:r>
      <w:r w:rsidRPr="00E47C75">
        <w:t xml:space="preserve"> PK in rats and linear PK in monkeys. The volume of distribution was low (consistent </w:t>
      </w:r>
      <w:r w:rsidR="00E47C75">
        <w:t>with limited extravascular 0.14 L (52.2 </w:t>
      </w:r>
      <w:r w:rsidRPr="00E47C75">
        <w:t>mL/kg) and clearance w</w:t>
      </w:r>
      <w:r w:rsidR="00E47C75">
        <w:t>as 0.015 </w:t>
      </w:r>
      <w:r w:rsidRPr="00E47C75">
        <w:t xml:space="preserve">L/day in monkeys </w:t>
      </w:r>
      <w:r w:rsidRPr="00E47C75">
        <w:lastRenderedPageBreak/>
        <w:t xml:space="preserve">following single IV administration in monkeys. Tissue distribution of </w:t>
      </w:r>
      <w:proofErr w:type="spellStart"/>
      <w:r w:rsidRPr="00E47C75">
        <w:t>galcanezumab</w:t>
      </w:r>
      <w:proofErr w:type="spellEnd"/>
      <w:r w:rsidRPr="00E47C75">
        <w:t xml:space="preserve"> was assessed in the plasma, CSF, various structures of the CNS and limited peripheral tissues (dura mater, spleen, and trigeminal ganglia)</w:t>
      </w:r>
      <w:r w:rsidR="003D675C">
        <w:t xml:space="preserve"> of rats</w:t>
      </w:r>
      <w:r w:rsidRPr="00E47C75">
        <w:t xml:space="preserve">. </w:t>
      </w:r>
      <w:proofErr w:type="spellStart"/>
      <w:r w:rsidRPr="00E47C75">
        <w:t>Galcanezumab</w:t>
      </w:r>
      <w:proofErr w:type="spellEnd"/>
      <w:r w:rsidRPr="00E47C75">
        <w:t xml:space="preserve"> was detected in </w:t>
      </w:r>
      <w:r w:rsidR="003D675C">
        <w:t xml:space="preserve">rat </w:t>
      </w:r>
      <w:r w:rsidRPr="00E47C75">
        <w:t>plasma and tissues for ≥</w:t>
      </w:r>
      <w:r w:rsidR="00E47C75">
        <w:t> 7 </w:t>
      </w:r>
      <w:r w:rsidRPr="00E47C75">
        <w:t xml:space="preserve">days. Tissue distribution of </w:t>
      </w:r>
      <w:proofErr w:type="spellStart"/>
      <w:r w:rsidRPr="00E47C75">
        <w:t>galcanezumab</w:t>
      </w:r>
      <w:proofErr w:type="spellEnd"/>
      <w:r w:rsidRPr="00E47C75">
        <w:t xml:space="preserve"> across was dura mater &gt; spleen &gt; trigeminal ganglia &gt; hypothalamus = spinal cord &gt; prefrontal cortex = cerebellum &gt; CSF</w:t>
      </w:r>
      <w:r w:rsidR="000071C8" w:rsidRPr="00E47C75">
        <w:t>.</w:t>
      </w:r>
    </w:p>
    <w:p w14:paraId="1CB6A0E5" w14:textId="378C705E" w:rsidR="000071C8" w:rsidRDefault="007A6B12" w:rsidP="009C06C5">
      <w:pPr>
        <w:pStyle w:val="ListBullet"/>
      </w:pPr>
      <w:r>
        <w:t xml:space="preserve">Repeat </w:t>
      </w:r>
      <w:r w:rsidR="00AC1D61">
        <w:t>d</w:t>
      </w:r>
      <w:r w:rsidR="00E47C75">
        <w:t>ose toxicity studies of up to 6 </w:t>
      </w:r>
      <w:proofErr w:type="gramStart"/>
      <w:r w:rsidR="00AC1D61">
        <w:t>months</w:t>
      </w:r>
      <w:proofErr w:type="gramEnd"/>
      <w:r w:rsidR="00AC1D61">
        <w:t xml:space="preserve"> duration were conducted in rats and </w:t>
      </w:r>
      <w:proofErr w:type="spellStart"/>
      <w:r w:rsidR="00AC1D61">
        <w:t>cynomolgus</w:t>
      </w:r>
      <w:proofErr w:type="spellEnd"/>
      <w:r w:rsidR="00AC1D61">
        <w:t xml:space="preserve"> monkeys. These species are appropriate models for the investigation of </w:t>
      </w:r>
      <w:proofErr w:type="spellStart"/>
      <w:r w:rsidR="00AC1D61">
        <w:t>galcanezumab</w:t>
      </w:r>
      <w:proofErr w:type="spellEnd"/>
      <w:r w:rsidR="00AC1D61">
        <w:t xml:space="preserve"> toxicity on </w:t>
      </w:r>
      <w:proofErr w:type="spellStart"/>
      <w:r w:rsidR="00AC1D61">
        <w:t>pharmacodynamic</w:t>
      </w:r>
      <w:proofErr w:type="spellEnd"/>
      <w:r w:rsidR="00AC1D61">
        <w:t xml:space="preserve"> </w:t>
      </w:r>
      <w:r w:rsidR="008A5465">
        <w:t xml:space="preserve">(PD) </w:t>
      </w:r>
      <w:r w:rsidR="00AC1D61">
        <w:t xml:space="preserve">and </w:t>
      </w:r>
      <w:r w:rsidR="008A5465">
        <w:t>PK</w:t>
      </w:r>
      <w:r w:rsidR="00AC1D61">
        <w:t xml:space="preserve"> grounds and the immunogenicity of </w:t>
      </w:r>
      <w:proofErr w:type="spellStart"/>
      <w:r w:rsidR="00AC1D61">
        <w:t>galcanezumab</w:t>
      </w:r>
      <w:proofErr w:type="spellEnd"/>
      <w:r w:rsidR="00AC1D61">
        <w:t xml:space="preserve"> in these species was minimal. Weekly SC administration of </w:t>
      </w:r>
      <w:proofErr w:type="spellStart"/>
      <w:r w:rsidR="00AC1D61">
        <w:t>galcanezumab</w:t>
      </w:r>
      <w:proofErr w:type="spellEnd"/>
      <w:r w:rsidR="00AC1D61">
        <w:t xml:space="preserve"> at doses producing high to very high multiples of the clinical systemic exposure was well tolerated, with no target organs for toxicity identified. The only effect observed was decreased body weight gain in rats and monkeys at the m</w:t>
      </w:r>
      <w:r w:rsidR="00E47C75">
        <w:t>aximum doses tested (</w:t>
      </w:r>
      <w:r w:rsidR="0073184B">
        <w:t>18</w:t>
      </w:r>
      <w:r w:rsidR="003D675C">
        <w:t xml:space="preserve"> </w:t>
      </w:r>
      <w:r w:rsidR="00E47C75">
        <w:t xml:space="preserve">and </w:t>
      </w:r>
      <w:r w:rsidR="0073184B">
        <w:t>146</w:t>
      </w:r>
      <w:r w:rsidR="00DC6C8D">
        <w:t xml:space="preserve"> </w:t>
      </w:r>
      <w:r w:rsidR="00AC1D61">
        <w:t xml:space="preserve">times the exposure in patients, respectively). </w:t>
      </w:r>
      <w:r>
        <w:t xml:space="preserve">Other mild to minimal treatment </w:t>
      </w:r>
      <w:r w:rsidR="00AC1D61">
        <w:t>related effects were injection site reactions</w:t>
      </w:r>
      <w:r w:rsidR="000071C8">
        <w:t>.</w:t>
      </w:r>
    </w:p>
    <w:p w14:paraId="2547233F" w14:textId="77777777" w:rsidR="000071C8" w:rsidRDefault="00AC1D61" w:rsidP="00572B43">
      <w:pPr>
        <w:pStyle w:val="ListBullet"/>
      </w:pPr>
      <w:proofErr w:type="spellStart"/>
      <w:r>
        <w:t>Genotoxicity</w:t>
      </w:r>
      <w:proofErr w:type="spellEnd"/>
      <w:r>
        <w:t xml:space="preserve"> or carcinogenicity studies were not conducted, which is</w:t>
      </w:r>
      <w:r w:rsidR="007A6B12">
        <w:t xml:space="preserve"> acceptable for a biotechnology </w:t>
      </w:r>
      <w:r>
        <w:t xml:space="preserve">derived pharmaceutical. Based on an assessment of the published literature, the mechanism of action of </w:t>
      </w:r>
      <w:proofErr w:type="spellStart"/>
      <w:r>
        <w:t>galcanezumab</w:t>
      </w:r>
      <w:proofErr w:type="spellEnd"/>
      <w:r>
        <w:t xml:space="preserve"> suggests no carcinogenic potential</w:t>
      </w:r>
      <w:r w:rsidR="000071C8">
        <w:t>.</w:t>
      </w:r>
    </w:p>
    <w:p w14:paraId="351FE840" w14:textId="77777777" w:rsidR="000071C8" w:rsidRDefault="00AC1D61" w:rsidP="00572B43">
      <w:pPr>
        <w:pStyle w:val="ListBullet"/>
      </w:pPr>
      <w:proofErr w:type="spellStart"/>
      <w:r>
        <w:t>Galcanezumab</w:t>
      </w:r>
      <w:proofErr w:type="spellEnd"/>
      <w:r>
        <w:t xml:space="preserve"> had no effects on male or female fertility in treated rats (8 to 38 times the exposure in patients </w:t>
      </w:r>
      <w:r w:rsidR="002F2AC8">
        <w:t>(</w:t>
      </w:r>
      <w:r>
        <w:t>based on female AUC</w:t>
      </w:r>
      <w:r w:rsidR="002F2AC8">
        <w:t>)</w:t>
      </w:r>
      <w:r w:rsidR="007A6B12">
        <w:t xml:space="preserve">). No adverse </w:t>
      </w:r>
      <w:proofErr w:type="spellStart"/>
      <w:r w:rsidR="007A6B12">
        <w:t>embryofetal</w:t>
      </w:r>
      <w:proofErr w:type="spellEnd"/>
      <w:r w:rsidR="007A6B12">
        <w:t>, pre</w:t>
      </w:r>
      <w:r>
        <w:t xml:space="preserve">/postnatal effects were evident in rats and rabbits (up to 38 </w:t>
      </w:r>
      <w:r w:rsidR="001B3F55">
        <w:t>and</w:t>
      </w:r>
      <w:r>
        <w:t xml:space="preserve"> 64 times the exposure in patients, respectively). </w:t>
      </w:r>
      <w:proofErr w:type="spellStart"/>
      <w:r>
        <w:t>Galcanezumab</w:t>
      </w:r>
      <w:proofErr w:type="spellEnd"/>
      <w:r>
        <w:t xml:space="preserve"> crosses the placenta and is expected to be excreted into milk</w:t>
      </w:r>
      <w:r w:rsidR="000071C8">
        <w:t>.</w:t>
      </w:r>
    </w:p>
    <w:p w14:paraId="241DBA37" w14:textId="3ECB7580" w:rsidR="00AC1D61" w:rsidRDefault="00AC1D61" w:rsidP="00572B43">
      <w:pPr>
        <w:pStyle w:val="ListBullet"/>
      </w:pPr>
      <w:r>
        <w:t>No adverse findings were observed in the juvenile devel</w:t>
      </w:r>
      <w:r w:rsidR="00DB0AED">
        <w:t>opment study in rats (up to 2</w:t>
      </w:r>
      <w:r w:rsidR="0073184B">
        <w:t>50</w:t>
      </w:r>
      <w:r w:rsidR="00DB0AED">
        <w:t> </w:t>
      </w:r>
      <w:r>
        <w:t xml:space="preserve">mg/kg/week), corresponding to </w:t>
      </w:r>
      <w:r w:rsidR="008A5465">
        <w:t xml:space="preserve">relative exposure </w:t>
      </w:r>
      <w:r w:rsidR="00CF1BBC">
        <w:t xml:space="preserve">ratios </w:t>
      </w:r>
      <w:r w:rsidR="008A5465">
        <w:t xml:space="preserve">of </w:t>
      </w:r>
      <w:r w:rsidR="0073184B">
        <w:t>73</w:t>
      </w:r>
      <w:r w:rsidR="00CF1BBC">
        <w:t xml:space="preserve"> </w:t>
      </w:r>
      <w:r w:rsidR="008A5465">
        <w:t xml:space="preserve">(male) and </w:t>
      </w:r>
      <w:r w:rsidR="0073184B">
        <w:t>104</w:t>
      </w:r>
      <w:r w:rsidR="00FF2F71">
        <w:t xml:space="preserve"> (</w:t>
      </w:r>
      <w:r>
        <w:t xml:space="preserve">female). </w:t>
      </w:r>
      <w:proofErr w:type="spellStart"/>
      <w:r>
        <w:t>Galcanezumab</w:t>
      </w:r>
      <w:proofErr w:type="spellEnd"/>
      <w:r>
        <w:t xml:space="preserve"> is only indicated in adults.</w:t>
      </w:r>
    </w:p>
    <w:p w14:paraId="237D9717" w14:textId="77777777" w:rsidR="00AC1D61" w:rsidRDefault="00AC1D61" w:rsidP="00AC1D61">
      <w:pPr>
        <w:pStyle w:val="Heading4"/>
      </w:pPr>
      <w:r>
        <w:t>Conclusions and recommendations</w:t>
      </w:r>
    </w:p>
    <w:p w14:paraId="241A0F4B" w14:textId="77777777" w:rsidR="000071C8" w:rsidRDefault="00AC1D61" w:rsidP="00572B43">
      <w:pPr>
        <w:pStyle w:val="ListBullet"/>
      </w:pPr>
      <w:r>
        <w:t xml:space="preserve">The submitted </w:t>
      </w:r>
      <w:r w:rsidR="00DB0AED">
        <w:t>nonclinical dossier was</w:t>
      </w:r>
      <w:r>
        <w:t xml:space="preserve"> in general ac</w:t>
      </w:r>
      <w:r w:rsidR="00DB0AED">
        <w:t>cordance with relevant guidelines</w:t>
      </w:r>
      <w:r w:rsidR="00DB0AED" w:rsidRPr="00DB0AED">
        <w:t xml:space="preserve"> </w:t>
      </w:r>
      <w:r w:rsidR="00DB0AED">
        <w:t xml:space="preserve">on the nonclinical </w:t>
      </w:r>
      <w:r w:rsidR="007A6B12">
        <w:t xml:space="preserve">evaluation of the biotechnology </w:t>
      </w:r>
      <w:r w:rsidR="00DB0AED">
        <w:t>derived pharmaceuticals.</w:t>
      </w:r>
      <w:r w:rsidR="00FD3BDB">
        <w:fldChar w:fldCharType="begin"/>
      </w:r>
      <w:r w:rsidR="00FD3BDB">
        <w:instrText xml:space="preserve"> NOTEREF _Ref12351989 \f \h </w:instrText>
      </w:r>
      <w:r w:rsidR="00FD3BDB">
        <w:fldChar w:fldCharType="separate"/>
      </w:r>
      <w:r w:rsidR="00FD3BDB" w:rsidRPr="00FD3BDB">
        <w:rPr>
          <w:rStyle w:val="FootnoteReference"/>
        </w:rPr>
        <w:t>1</w:t>
      </w:r>
      <w:r w:rsidR="00FD3BDB">
        <w:fldChar w:fldCharType="end"/>
      </w:r>
      <w:r w:rsidR="007A6B12">
        <w:t xml:space="preserve"> All pivotal repeat </w:t>
      </w:r>
      <w:r>
        <w:t>dose toxicity and reprodu</w:t>
      </w:r>
      <w:r w:rsidR="007A6B12">
        <w:t xml:space="preserve">ctive toxicity studies were GLP </w:t>
      </w:r>
      <w:r>
        <w:t>compliant</w:t>
      </w:r>
      <w:r w:rsidR="000071C8">
        <w:t>.</w:t>
      </w:r>
    </w:p>
    <w:p w14:paraId="16C98418" w14:textId="77777777" w:rsidR="000071C8" w:rsidRDefault="00AC1D61" w:rsidP="00572B43">
      <w:pPr>
        <w:pStyle w:val="ListBullet"/>
      </w:pPr>
      <w:r>
        <w:t xml:space="preserve">Primary pharmacology studies provided sufficient evidence of </w:t>
      </w:r>
      <w:proofErr w:type="spellStart"/>
      <w:r>
        <w:t>galcanezumab</w:t>
      </w:r>
      <w:proofErr w:type="spellEnd"/>
      <w:r>
        <w:t xml:space="preserve"> affinity and selectivity for human, monkey and rat CGRP</w:t>
      </w:r>
      <w:r w:rsidR="000071C8">
        <w:t>.</w:t>
      </w:r>
    </w:p>
    <w:p w14:paraId="4BDD4A02" w14:textId="77777777" w:rsidR="000071C8" w:rsidRDefault="00AC1D61" w:rsidP="00572B43">
      <w:pPr>
        <w:pStyle w:val="ListBullet"/>
      </w:pPr>
      <w:r>
        <w:t xml:space="preserve">While </w:t>
      </w:r>
      <w:proofErr w:type="spellStart"/>
      <w:r>
        <w:t>galcanezumab</w:t>
      </w:r>
      <w:proofErr w:type="spellEnd"/>
      <w:r w:rsidR="007A6B12">
        <w:t xml:space="preserve"> was shown to inhibit capsaicin </w:t>
      </w:r>
      <w:r>
        <w:t xml:space="preserve">induced increases in dermal blood flow in rats and </w:t>
      </w:r>
      <w:proofErr w:type="spellStart"/>
      <w:r>
        <w:t>cynomolgus</w:t>
      </w:r>
      <w:proofErr w:type="spellEnd"/>
      <w:r>
        <w:t xml:space="preserve"> monkeys, no comment can be made from a nonclinical perspective regarding efficacy for the proposed indication, as there is no validated animal model for migraine</w:t>
      </w:r>
      <w:r w:rsidR="000071C8">
        <w:t>.</w:t>
      </w:r>
    </w:p>
    <w:p w14:paraId="036D1EE6" w14:textId="77777777" w:rsidR="000071C8" w:rsidRDefault="007A6B12" w:rsidP="00572B43">
      <w:pPr>
        <w:pStyle w:val="ListBullet"/>
      </w:pPr>
      <w:r>
        <w:t xml:space="preserve">Treatment </w:t>
      </w:r>
      <w:r w:rsidR="00AC1D61">
        <w:t>related effects associated with weekly injection were minimal and limited to injection site reactions</w:t>
      </w:r>
      <w:r w:rsidR="000071C8">
        <w:t>.</w:t>
      </w:r>
    </w:p>
    <w:p w14:paraId="0C470DD0" w14:textId="2AFD0744" w:rsidR="000071C8" w:rsidRDefault="00AC1D61" w:rsidP="00572B43">
      <w:pPr>
        <w:pStyle w:val="ListBullet"/>
      </w:pPr>
      <w:r w:rsidRPr="00AC1D61">
        <w:rPr>
          <w:bCs/>
        </w:rPr>
        <w:t>Pregnancy Category B1</w:t>
      </w:r>
      <w:r>
        <w:rPr>
          <w:b/>
          <w:bCs/>
        </w:rPr>
        <w:t xml:space="preserve"> </w:t>
      </w:r>
      <w:r>
        <w:t>is considered appropriate</w:t>
      </w:r>
      <w:r w:rsidR="000071C8">
        <w:t>.</w:t>
      </w:r>
      <w:r w:rsidR="008A5465">
        <w:fldChar w:fldCharType="begin"/>
      </w:r>
      <w:r w:rsidR="008A5465">
        <w:instrText xml:space="preserve"> NOTEREF _Ref12365394 \f \h </w:instrText>
      </w:r>
      <w:r w:rsidR="008A5465">
        <w:fldChar w:fldCharType="separate"/>
      </w:r>
      <w:r w:rsidR="008A5465" w:rsidRPr="008A5465">
        <w:rPr>
          <w:rStyle w:val="FootnoteReference"/>
        </w:rPr>
        <w:t>5</w:t>
      </w:r>
      <w:r w:rsidR="008A5465">
        <w:fldChar w:fldCharType="end"/>
      </w:r>
    </w:p>
    <w:p w14:paraId="1CE99724" w14:textId="77777777" w:rsidR="00AC1D61" w:rsidRDefault="00AC1D61" w:rsidP="00572B43">
      <w:pPr>
        <w:pStyle w:val="ListBullet"/>
      </w:pPr>
      <w:r>
        <w:t xml:space="preserve">Overall, there are no nonclinical objections to the registration of </w:t>
      </w:r>
      <w:proofErr w:type="spellStart"/>
      <w:r>
        <w:t>galcanezumab</w:t>
      </w:r>
      <w:proofErr w:type="spellEnd"/>
      <w:r>
        <w:t xml:space="preserve"> (</w:t>
      </w:r>
      <w:proofErr w:type="spellStart"/>
      <w:r>
        <w:t>Emgality</w:t>
      </w:r>
      <w:proofErr w:type="spellEnd"/>
      <w:r>
        <w:t>).</w:t>
      </w:r>
    </w:p>
    <w:p w14:paraId="48580ADB" w14:textId="77777777" w:rsidR="00AC1D61" w:rsidRPr="00AC1D61" w:rsidRDefault="00AC1D61" w:rsidP="009C06C5">
      <w:r>
        <w:t xml:space="preserve">The </w:t>
      </w:r>
      <w:r w:rsidR="0074165D">
        <w:t xml:space="preserve">nonclinical evaluator also made recommendations for amendment to the PI however these are beyond the scope of the </w:t>
      </w:r>
      <w:proofErr w:type="spellStart"/>
      <w:r w:rsidR="0074165D">
        <w:t>AusPAR</w:t>
      </w:r>
      <w:proofErr w:type="spellEnd"/>
      <w:r w:rsidR="0074165D">
        <w:t>.</w:t>
      </w:r>
    </w:p>
    <w:p w14:paraId="74A55809" w14:textId="77777777" w:rsidR="008E7846" w:rsidRPr="00254787" w:rsidRDefault="008E7846" w:rsidP="008E7846">
      <w:pPr>
        <w:pStyle w:val="Heading2"/>
      </w:pPr>
      <w:bookmarkStart w:id="61" w:name="_Toc196046462"/>
      <w:bookmarkStart w:id="62" w:name="_Toc247691516"/>
      <w:bookmarkStart w:id="63" w:name="_Toc314842500"/>
      <w:bookmarkStart w:id="64" w:name="_Toc163441353"/>
      <w:bookmarkStart w:id="65" w:name="_Toc163441348"/>
      <w:bookmarkStart w:id="66" w:name="_Toc20822171"/>
      <w:r>
        <w:lastRenderedPageBreak/>
        <w:t xml:space="preserve">V. </w:t>
      </w:r>
      <w:r w:rsidRPr="00254787">
        <w:t>Clinical</w:t>
      </w:r>
      <w:bookmarkEnd w:id="61"/>
      <w:r>
        <w:t xml:space="preserve"> </w:t>
      </w:r>
      <w:r w:rsidR="003A7F6C">
        <w:t>f</w:t>
      </w:r>
      <w:r>
        <w:t>indings</w:t>
      </w:r>
      <w:bookmarkEnd w:id="62"/>
      <w:bookmarkEnd w:id="63"/>
      <w:bookmarkEnd w:id="66"/>
    </w:p>
    <w:p w14:paraId="062F415E" w14:textId="77777777" w:rsidR="00C80137" w:rsidRDefault="00C80137" w:rsidP="00D425BB">
      <w:bookmarkStart w:id="67" w:name="_Toc196046463"/>
      <w:r>
        <w:t xml:space="preserve">A summary of the </w:t>
      </w:r>
      <w:r w:rsidRPr="00FD70B8">
        <w:t>clinical findings is presented in this section.</w:t>
      </w:r>
    </w:p>
    <w:p w14:paraId="5DEB5C6F" w14:textId="77777777" w:rsidR="008E7846" w:rsidRDefault="008E7846" w:rsidP="009C06C5">
      <w:pPr>
        <w:pStyle w:val="Heading3"/>
      </w:pPr>
      <w:bookmarkStart w:id="68" w:name="_Toc247691517"/>
      <w:bookmarkStart w:id="69" w:name="_Toc314842501"/>
      <w:bookmarkStart w:id="70" w:name="_Toc20822172"/>
      <w:r w:rsidRPr="00254787">
        <w:t>Introduction</w:t>
      </w:r>
      <w:bookmarkEnd w:id="67"/>
      <w:bookmarkEnd w:id="68"/>
      <w:bookmarkEnd w:id="69"/>
      <w:bookmarkEnd w:id="70"/>
    </w:p>
    <w:p w14:paraId="2945EB63" w14:textId="77777777" w:rsidR="00960170" w:rsidRPr="00960170" w:rsidRDefault="00960170" w:rsidP="009C06C5">
      <w:pPr>
        <w:pStyle w:val="Heading4"/>
      </w:pPr>
      <w:bookmarkStart w:id="71" w:name="_Toc196046464"/>
      <w:bookmarkStart w:id="72" w:name="_Toc247691518"/>
      <w:bookmarkStart w:id="73" w:name="_Toc314842502"/>
      <w:r w:rsidRPr="00960170">
        <w:t>Information on the condition being treated</w:t>
      </w:r>
    </w:p>
    <w:p w14:paraId="7A63FF5E" w14:textId="0B89AB80" w:rsidR="00960170" w:rsidRDefault="00960170" w:rsidP="009C06C5">
      <w:pPr>
        <w:rPr>
          <w:lang w:eastAsia="ja-JP"/>
        </w:rPr>
      </w:pPr>
      <w:r>
        <w:rPr>
          <w:lang w:eastAsia="ja-JP"/>
        </w:rPr>
        <w:t xml:space="preserve">Migraine is a common condition, usually manifesting as severe headache, and often accompanied by visual changes, photophobia, </w:t>
      </w:r>
      <w:proofErr w:type="spellStart"/>
      <w:r>
        <w:rPr>
          <w:lang w:eastAsia="ja-JP"/>
        </w:rPr>
        <w:t>phonophobia</w:t>
      </w:r>
      <w:proofErr w:type="spellEnd"/>
      <w:r>
        <w:rPr>
          <w:lang w:eastAsia="ja-JP"/>
        </w:rPr>
        <w:t>, nausea, and lethargy. It is sometimes associated with focal neurological deficits such as weakness or numbness, speech disturbance, or vertigo. Typically, migraines cause asymmetrical or unilateral throbbing headaches, with attacks lasting from hours to days. Many patients can identify food or environmental triggers for their migraines and, in some cases, migraines are associated with menstrual cycles, but in many other cases the triggers for individual migraines are obscure. Many people suffer infrequent migraines, with only a few attacks per year, but some subjects experience multiple attacks per month. By convention, using definitions formalised by the International Headache Society</w:t>
      </w:r>
      <w:r w:rsidR="00713B7C">
        <w:rPr>
          <w:lang w:eastAsia="ja-JP"/>
        </w:rPr>
        <w:t xml:space="preserve"> (IHS)</w:t>
      </w:r>
      <w:r w:rsidR="005A0C80">
        <w:rPr>
          <w:lang w:eastAsia="ja-JP"/>
        </w:rPr>
        <w:t>;</w:t>
      </w:r>
      <w:bookmarkStart w:id="74" w:name="_Ref17415614"/>
      <w:r w:rsidR="005A0C80">
        <w:rPr>
          <w:rStyle w:val="FootnoteReference"/>
          <w:lang w:eastAsia="ja-JP"/>
        </w:rPr>
        <w:footnoteReference w:id="9"/>
      </w:r>
      <w:bookmarkEnd w:id="74"/>
      <w:r>
        <w:rPr>
          <w:lang w:eastAsia="ja-JP"/>
        </w:rPr>
        <w:t xml:space="preserve"> a rate of ≥ 15 headache days </w:t>
      </w:r>
      <w:r w:rsidR="007441D9">
        <w:rPr>
          <w:lang w:eastAsia="ja-JP"/>
        </w:rPr>
        <w:t xml:space="preserve">at least 8 of which are migraine </w:t>
      </w:r>
      <w:r>
        <w:rPr>
          <w:lang w:eastAsia="ja-JP"/>
        </w:rPr>
        <w:t>per month is used to identify subjects with ‘chronic’ migraine, in contrast to those with ‘episodic’ migraine who suffer &lt;</w:t>
      </w:r>
      <w:r w:rsidR="00DB0AED">
        <w:rPr>
          <w:lang w:eastAsia="ja-JP"/>
        </w:rPr>
        <w:t xml:space="preserve"> </w:t>
      </w:r>
      <w:r>
        <w:rPr>
          <w:lang w:eastAsia="ja-JP"/>
        </w:rPr>
        <w:t xml:space="preserve">15 </w:t>
      </w:r>
      <w:r w:rsidR="000B3DEC">
        <w:rPr>
          <w:lang w:eastAsia="ja-JP"/>
        </w:rPr>
        <w:t>migraine headache days (</w:t>
      </w:r>
      <w:r w:rsidR="00713B7C">
        <w:rPr>
          <w:lang w:eastAsia="ja-JP"/>
        </w:rPr>
        <w:t>MHD</w:t>
      </w:r>
      <w:r w:rsidR="000B3DEC">
        <w:rPr>
          <w:lang w:eastAsia="ja-JP"/>
        </w:rPr>
        <w:t>)</w:t>
      </w:r>
      <w:r w:rsidR="00EC7347">
        <w:rPr>
          <w:lang w:eastAsia="ja-JP"/>
        </w:rPr>
        <w:t xml:space="preserve"> per month.</w:t>
      </w:r>
    </w:p>
    <w:p w14:paraId="6948A126" w14:textId="77777777" w:rsidR="00960170" w:rsidRPr="00BD18FC" w:rsidRDefault="00960170" w:rsidP="009C06C5">
      <w:pPr>
        <w:rPr>
          <w:lang w:eastAsia="ja-JP"/>
        </w:rPr>
      </w:pPr>
      <w:r>
        <w:rPr>
          <w:lang w:eastAsia="ja-JP"/>
        </w:rPr>
        <w:t xml:space="preserve">Migraines can have major impacts on quality of life and mood, especially if they occur frequently. Migraine is also a major </w:t>
      </w:r>
      <w:r w:rsidR="00EC7347">
        <w:rPr>
          <w:lang w:eastAsia="ja-JP"/>
        </w:rPr>
        <w:t>cause of absenteeism from work.</w:t>
      </w:r>
    </w:p>
    <w:p w14:paraId="225B0D24" w14:textId="77777777" w:rsidR="00960170" w:rsidRDefault="00960170" w:rsidP="00960170">
      <w:pPr>
        <w:pStyle w:val="Heading4"/>
      </w:pPr>
      <w:r>
        <w:t>Current treatment options</w:t>
      </w:r>
    </w:p>
    <w:p w14:paraId="1A13EBDB" w14:textId="77777777" w:rsidR="00960170" w:rsidRDefault="00960170" w:rsidP="00EC7347">
      <w:pPr>
        <w:rPr>
          <w:lang w:eastAsia="ja-JP"/>
        </w:rPr>
      </w:pPr>
      <w:r>
        <w:rPr>
          <w:lang w:eastAsia="ja-JP"/>
        </w:rPr>
        <w:t>When migraines are infrequent or mild, the usual approach is to treat individual attack</w:t>
      </w:r>
      <w:r w:rsidR="00DF6167">
        <w:rPr>
          <w:lang w:eastAsia="ja-JP"/>
        </w:rPr>
        <w:t>s with non-pharmacological</w:t>
      </w:r>
      <w:r>
        <w:rPr>
          <w:lang w:eastAsia="ja-JP"/>
        </w:rPr>
        <w:t xml:space="preserve"> measures (lying in a dar</w:t>
      </w:r>
      <w:r w:rsidR="00DF6167">
        <w:rPr>
          <w:lang w:eastAsia="ja-JP"/>
        </w:rPr>
        <w:t xml:space="preserve">kened room) or with simple over the </w:t>
      </w:r>
      <w:r>
        <w:rPr>
          <w:lang w:eastAsia="ja-JP"/>
        </w:rPr>
        <w:t>counter analgesics. More severe attacks ma</w:t>
      </w:r>
      <w:r w:rsidR="00DF6167">
        <w:rPr>
          <w:lang w:eastAsia="ja-JP"/>
        </w:rPr>
        <w:t xml:space="preserve">y be treated with specific </w:t>
      </w:r>
      <w:r w:rsidR="003C76F3">
        <w:rPr>
          <w:lang w:eastAsia="ja-JP"/>
        </w:rPr>
        <w:t>anti-migraine</w:t>
      </w:r>
      <w:r>
        <w:rPr>
          <w:lang w:eastAsia="ja-JP"/>
        </w:rPr>
        <w:t xml:space="preserve"> drugs, often from the </w:t>
      </w:r>
      <w:proofErr w:type="spellStart"/>
      <w:r>
        <w:rPr>
          <w:lang w:eastAsia="ja-JP"/>
        </w:rPr>
        <w:t>triptan</w:t>
      </w:r>
      <w:proofErr w:type="spellEnd"/>
      <w:r>
        <w:rPr>
          <w:lang w:eastAsia="ja-JP"/>
        </w:rPr>
        <w:t xml:space="preserve"> family (</w:t>
      </w:r>
      <w:proofErr w:type="spellStart"/>
      <w:r>
        <w:rPr>
          <w:lang w:eastAsia="ja-JP"/>
        </w:rPr>
        <w:t>sumatriptan</w:t>
      </w:r>
      <w:proofErr w:type="spellEnd"/>
      <w:r>
        <w:rPr>
          <w:lang w:eastAsia="ja-JP"/>
        </w:rPr>
        <w:t xml:space="preserve">, </w:t>
      </w:r>
      <w:proofErr w:type="spellStart"/>
      <w:r>
        <w:rPr>
          <w:lang w:eastAsia="ja-JP"/>
        </w:rPr>
        <w:t>zolmitriptan</w:t>
      </w:r>
      <w:proofErr w:type="spellEnd"/>
      <w:r>
        <w:rPr>
          <w:lang w:eastAsia="ja-JP"/>
        </w:rPr>
        <w:t xml:space="preserve">, and others). These are often effective if taken early in the attack, but many patients respond only partially to </w:t>
      </w:r>
      <w:proofErr w:type="spellStart"/>
      <w:r>
        <w:rPr>
          <w:lang w:eastAsia="ja-JP"/>
        </w:rPr>
        <w:t>triptans</w:t>
      </w:r>
      <w:proofErr w:type="spellEnd"/>
      <w:r>
        <w:rPr>
          <w:lang w:eastAsia="ja-JP"/>
        </w:rPr>
        <w:t>, and still require bed rest and analgesics. Some subjects may need antiemetic medication, as well. Resistant cases may sometimes require treatment with stronger analgesics, including narcotics.</w:t>
      </w:r>
    </w:p>
    <w:p w14:paraId="094BF8DE" w14:textId="064ACFFF" w:rsidR="00960170" w:rsidRDefault="00960170" w:rsidP="009C06C5">
      <w:pPr>
        <w:rPr>
          <w:lang w:eastAsia="ja-JP"/>
        </w:rPr>
      </w:pPr>
      <w:r>
        <w:rPr>
          <w:lang w:eastAsia="ja-JP"/>
        </w:rPr>
        <w:t>When migraines are more frequent (such as 4 or more attacks per month), or when the effects of individual migraines are</w:t>
      </w:r>
      <w:r w:rsidR="00DF6167">
        <w:rPr>
          <w:lang w:eastAsia="ja-JP"/>
        </w:rPr>
        <w:t xml:space="preserve"> very severe, prophylactic </w:t>
      </w:r>
      <w:r w:rsidR="003C76F3">
        <w:rPr>
          <w:lang w:eastAsia="ja-JP"/>
        </w:rPr>
        <w:t>anti-migraine</w:t>
      </w:r>
      <w:r>
        <w:rPr>
          <w:lang w:eastAsia="ja-JP"/>
        </w:rPr>
        <w:t xml:space="preserve"> agents are </w:t>
      </w:r>
      <w:r w:rsidR="00DF6167">
        <w:rPr>
          <w:lang w:eastAsia="ja-JP"/>
        </w:rPr>
        <w:t xml:space="preserve">usually indicated, such as beta </w:t>
      </w:r>
      <w:r>
        <w:rPr>
          <w:lang w:eastAsia="ja-JP"/>
        </w:rPr>
        <w:t xml:space="preserve">blockers (especially </w:t>
      </w:r>
      <w:proofErr w:type="spellStart"/>
      <w:r>
        <w:rPr>
          <w:lang w:eastAsia="ja-JP"/>
        </w:rPr>
        <w:t>propanolol</w:t>
      </w:r>
      <w:proofErr w:type="spellEnd"/>
      <w:r>
        <w:rPr>
          <w:lang w:eastAsia="ja-JP"/>
        </w:rPr>
        <w:t>), calcium channel blockers (verapamil), some anticonvulsants (</w:t>
      </w:r>
      <w:proofErr w:type="spellStart"/>
      <w:r>
        <w:rPr>
          <w:lang w:eastAsia="ja-JP"/>
        </w:rPr>
        <w:t>topiramate</w:t>
      </w:r>
      <w:proofErr w:type="spellEnd"/>
      <w:r>
        <w:rPr>
          <w:lang w:eastAsia="ja-JP"/>
        </w:rPr>
        <w:t xml:space="preserve">, valproate), and </w:t>
      </w:r>
      <w:proofErr w:type="spellStart"/>
      <w:r>
        <w:rPr>
          <w:lang w:eastAsia="ja-JP"/>
        </w:rPr>
        <w:t>pi</w:t>
      </w:r>
      <w:r w:rsidR="00824AF1">
        <w:rPr>
          <w:lang w:eastAsia="ja-JP"/>
        </w:rPr>
        <w:t>z</w:t>
      </w:r>
      <w:r>
        <w:rPr>
          <w:lang w:eastAsia="ja-JP"/>
        </w:rPr>
        <w:t>otifen</w:t>
      </w:r>
      <w:proofErr w:type="spellEnd"/>
      <w:r>
        <w:rPr>
          <w:lang w:eastAsia="ja-JP"/>
        </w:rPr>
        <w:t xml:space="preserve">. None of these drugs is highly effective, and all of them are associated with significant tolerability issues. </w:t>
      </w:r>
      <w:proofErr w:type="spellStart"/>
      <w:r>
        <w:rPr>
          <w:lang w:eastAsia="ja-JP"/>
        </w:rPr>
        <w:t>Propanolol</w:t>
      </w:r>
      <w:proofErr w:type="spellEnd"/>
      <w:r>
        <w:rPr>
          <w:lang w:eastAsia="ja-JP"/>
        </w:rPr>
        <w:t xml:space="preserve"> may cause lethargy, hypotension, bradycardia, vivid dreams or insomnia, impotence, an exacerbation of asthma, blunting of the haemodynamic response to exercise, and other side effects. Calcium channel blockers may cause hypotension, bradycardia and constipation. Anticonvulsants commonly cause sedation and cognitive side effects, and valproate causes a large number of additional side effects including weight gain, abnormal liver function, tremor, and </w:t>
      </w:r>
      <w:proofErr w:type="spellStart"/>
      <w:r>
        <w:rPr>
          <w:lang w:eastAsia="ja-JP"/>
        </w:rPr>
        <w:t>teratogenesis</w:t>
      </w:r>
      <w:proofErr w:type="spellEnd"/>
      <w:r>
        <w:rPr>
          <w:lang w:eastAsia="ja-JP"/>
        </w:rPr>
        <w:t xml:space="preserve">. </w:t>
      </w:r>
      <w:proofErr w:type="spellStart"/>
      <w:r>
        <w:rPr>
          <w:lang w:eastAsia="ja-JP"/>
        </w:rPr>
        <w:t>Topiramate</w:t>
      </w:r>
      <w:proofErr w:type="spellEnd"/>
      <w:r>
        <w:rPr>
          <w:lang w:eastAsia="ja-JP"/>
        </w:rPr>
        <w:t xml:space="preserve"> may cause anorexia, cognitive dysfunction, mood changes, and renal calculi. </w:t>
      </w:r>
      <w:proofErr w:type="spellStart"/>
      <w:r w:rsidR="00824AF1">
        <w:rPr>
          <w:lang w:eastAsia="ja-JP"/>
        </w:rPr>
        <w:t>Pizotifen</w:t>
      </w:r>
      <w:proofErr w:type="spellEnd"/>
      <w:r w:rsidR="00824AF1">
        <w:rPr>
          <w:lang w:eastAsia="ja-JP"/>
        </w:rPr>
        <w:t xml:space="preserve"> </w:t>
      </w:r>
      <w:r>
        <w:rPr>
          <w:lang w:eastAsia="ja-JP"/>
        </w:rPr>
        <w:t>causes lethargy and weight gain. Higher doses of these agents tend to be more effective at reducing migraine frequency and severity, but mo</w:t>
      </w:r>
      <w:r w:rsidR="00DF6167">
        <w:rPr>
          <w:lang w:eastAsia="ja-JP"/>
        </w:rPr>
        <w:t xml:space="preserve">st tolerability issues are dose </w:t>
      </w:r>
      <w:r>
        <w:rPr>
          <w:lang w:eastAsia="ja-JP"/>
        </w:rPr>
        <w:t xml:space="preserve">dependent. Many </w:t>
      </w:r>
      <w:r>
        <w:rPr>
          <w:lang w:eastAsia="ja-JP"/>
        </w:rPr>
        <w:lastRenderedPageBreak/>
        <w:t>patients are unable to tolerate the doses necessary to reduce their migraine frequency, and must settle for a compromise between ongoi</w:t>
      </w:r>
      <w:r w:rsidR="00EC7347">
        <w:rPr>
          <w:lang w:eastAsia="ja-JP"/>
        </w:rPr>
        <w:t>ng migraines and side effects.</w:t>
      </w:r>
    </w:p>
    <w:p w14:paraId="42971AFD" w14:textId="77777777" w:rsidR="00960170" w:rsidRDefault="00960170" w:rsidP="00EC7347">
      <w:pPr>
        <w:rPr>
          <w:lang w:eastAsia="ja-JP"/>
        </w:rPr>
      </w:pPr>
      <w:r>
        <w:rPr>
          <w:lang w:eastAsia="ja-JP"/>
        </w:rPr>
        <w:t>Typically, even when prophylactic agents are used, patients experience breakthrough migraines and still require acute medication</w:t>
      </w:r>
      <w:r w:rsidR="00EC7347">
        <w:rPr>
          <w:lang w:eastAsia="ja-JP"/>
        </w:rPr>
        <w:t xml:space="preserve"> to treat individual attacks.</w:t>
      </w:r>
    </w:p>
    <w:p w14:paraId="39F33A8C" w14:textId="77777777" w:rsidR="00960170" w:rsidRPr="00960170" w:rsidRDefault="00960170" w:rsidP="00EC7347">
      <w:pPr>
        <w:rPr>
          <w:lang w:eastAsia="ja-JP"/>
        </w:rPr>
      </w:pPr>
      <w:r>
        <w:rPr>
          <w:lang w:eastAsia="ja-JP"/>
        </w:rPr>
        <w:t>Because existing prophylactic agents are often only partially effective, and cause significant side effects, there is a clear unmet need for additional pro</w:t>
      </w:r>
      <w:r w:rsidR="00DF6167">
        <w:rPr>
          <w:lang w:eastAsia="ja-JP"/>
        </w:rPr>
        <w:t xml:space="preserve">phylactic </w:t>
      </w:r>
      <w:r w:rsidR="003C76F3">
        <w:rPr>
          <w:lang w:eastAsia="ja-JP"/>
        </w:rPr>
        <w:t>anti-migraine</w:t>
      </w:r>
      <w:r w:rsidR="00EC7347">
        <w:rPr>
          <w:lang w:eastAsia="ja-JP"/>
        </w:rPr>
        <w:t xml:space="preserve"> agents.</w:t>
      </w:r>
    </w:p>
    <w:p w14:paraId="4319D025" w14:textId="77777777" w:rsidR="00605AD4" w:rsidRDefault="00605AD4" w:rsidP="00605AD4">
      <w:pPr>
        <w:pStyle w:val="Heading4"/>
      </w:pPr>
      <w:r w:rsidRPr="00605AD4">
        <w:t xml:space="preserve">Clinical </w:t>
      </w:r>
      <w:r w:rsidR="00EF59DC">
        <w:t>r</w:t>
      </w:r>
      <w:r w:rsidRPr="00605AD4">
        <w:t>ationale</w:t>
      </w:r>
    </w:p>
    <w:p w14:paraId="5052F9A0" w14:textId="77777777" w:rsidR="00960170" w:rsidRDefault="002C5C5F" w:rsidP="00EC7347">
      <w:pPr>
        <w:rPr>
          <w:lang w:eastAsia="ja-JP"/>
        </w:rPr>
      </w:pPr>
      <w:r>
        <w:rPr>
          <w:lang w:eastAsia="ja-JP"/>
        </w:rPr>
        <w:t xml:space="preserve">CGRP </w:t>
      </w:r>
      <w:r w:rsidR="00960170">
        <w:rPr>
          <w:lang w:eastAsia="ja-JP"/>
        </w:rPr>
        <w:t xml:space="preserve">is a neurotransmitter produced in central and peripheral neurons. It is </w:t>
      </w:r>
      <w:r w:rsidR="00960170" w:rsidRPr="00862C82">
        <w:rPr>
          <w:lang w:eastAsia="ja-JP"/>
        </w:rPr>
        <w:t>a member of the calcitonin family of peptides, which i</w:t>
      </w:r>
      <w:r w:rsidR="00DF6167">
        <w:rPr>
          <w:lang w:eastAsia="ja-JP"/>
        </w:rPr>
        <w:t>n humans exists in two forms, α</w:t>
      </w:r>
      <w:r w:rsidR="00960170" w:rsidRPr="00862C82">
        <w:rPr>
          <w:lang w:eastAsia="ja-JP"/>
        </w:rPr>
        <w:t>CGR</w:t>
      </w:r>
      <w:r w:rsidR="00DF6167">
        <w:rPr>
          <w:lang w:eastAsia="ja-JP"/>
        </w:rPr>
        <w:t>P and β</w:t>
      </w:r>
      <w:r w:rsidR="00960170">
        <w:rPr>
          <w:lang w:eastAsia="ja-JP"/>
        </w:rPr>
        <w:t>CGRP. In humans,</w:t>
      </w:r>
      <w:r w:rsidR="00DF6167">
        <w:rPr>
          <w:lang w:eastAsia="ja-JP"/>
        </w:rPr>
        <w:t xml:space="preserve"> α</w:t>
      </w:r>
      <w:r w:rsidR="00960170" w:rsidRPr="00862C82">
        <w:rPr>
          <w:lang w:eastAsia="ja-JP"/>
        </w:rPr>
        <w:t>CGR</w:t>
      </w:r>
      <w:r>
        <w:rPr>
          <w:lang w:eastAsia="ja-JP"/>
        </w:rPr>
        <w:t xml:space="preserve">P is a 37 </w:t>
      </w:r>
      <w:r w:rsidR="00960170" w:rsidRPr="00862C82">
        <w:rPr>
          <w:lang w:eastAsia="ja-JP"/>
        </w:rPr>
        <w:t xml:space="preserve">amino acid peptide and is formed </w:t>
      </w:r>
      <w:r>
        <w:rPr>
          <w:lang w:eastAsia="ja-JP"/>
        </w:rPr>
        <w:t>from the alternative splicing</w:t>
      </w:r>
      <w:r w:rsidR="00960170" w:rsidRPr="00862C82">
        <w:rPr>
          <w:lang w:eastAsia="ja-JP"/>
        </w:rPr>
        <w:t xml:space="preserve"> of the calcitonin/CGRP gene</w:t>
      </w:r>
      <w:r w:rsidR="00960170">
        <w:rPr>
          <w:lang w:eastAsia="ja-JP"/>
        </w:rPr>
        <w:t xml:space="preserve">; </w:t>
      </w:r>
      <w:r w:rsidR="00DF6167">
        <w:rPr>
          <w:lang w:eastAsia="ja-JP"/>
        </w:rPr>
        <w:t>β</w:t>
      </w:r>
      <w:r w:rsidR="00960170" w:rsidRPr="00862C82">
        <w:rPr>
          <w:lang w:eastAsia="ja-JP"/>
        </w:rPr>
        <w:t>CGRP differs in three amino acids</w:t>
      </w:r>
      <w:r w:rsidR="00960170">
        <w:rPr>
          <w:lang w:eastAsia="ja-JP"/>
        </w:rPr>
        <w:t xml:space="preserve">, </w:t>
      </w:r>
      <w:r w:rsidR="00960170" w:rsidRPr="00862C82">
        <w:rPr>
          <w:lang w:eastAsia="ja-JP"/>
        </w:rPr>
        <w:t>and is encoded in a separate gene in the same vicinity</w:t>
      </w:r>
      <w:r w:rsidR="00EC7347">
        <w:rPr>
          <w:lang w:eastAsia="ja-JP"/>
        </w:rPr>
        <w:t>.</w:t>
      </w:r>
    </w:p>
    <w:p w14:paraId="1A3F5554" w14:textId="03761655" w:rsidR="00960170" w:rsidRPr="00D3145E" w:rsidRDefault="00960170" w:rsidP="00EC7347">
      <w:pPr>
        <w:rPr>
          <w:lang w:eastAsia="ja-JP"/>
        </w:rPr>
      </w:pPr>
      <w:r w:rsidRPr="00D3145E">
        <w:rPr>
          <w:lang w:eastAsia="ja-JP"/>
        </w:rPr>
        <w:t>The precise physiological function of CGRP is not well defined, but it appears to play a role in cardiovascular homeostasis and nociception, and several lines of evidence suggest that it contributes to the pathogenesis of migraine. CGRP is expressed in anatomical locations that are activated during migraine attacks, including t</w:t>
      </w:r>
      <w:r w:rsidR="002C5C5F">
        <w:rPr>
          <w:lang w:eastAsia="ja-JP"/>
        </w:rPr>
        <w:t xml:space="preserve">he trigeminal ganglion neurons </w:t>
      </w:r>
      <w:r w:rsidR="002C5C5F">
        <w:rPr>
          <w:rStyle w:val="FootnoteReference"/>
          <w:lang w:eastAsia="ja-JP"/>
        </w:rPr>
        <w:footnoteReference w:id="10"/>
      </w:r>
      <w:r w:rsidRPr="00D3145E">
        <w:rPr>
          <w:lang w:eastAsia="ja-JP"/>
        </w:rPr>
        <w:t xml:space="preserve"> and peripheral projections of the trigeminal nerve, and the dura mater.</w:t>
      </w:r>
      <w:r w:rsidR="00EB1138">
        <w:rPr>
          <w:rStyle w:val="FootnoteReference"/>
          <w:lang w:eastAsia="ja-JP"/>
        </w:rPr>
        <w:footnoteReference w:id="11"/>
      </w:r>
      <w:r w:rsidRPr="00D3145E">
        <w:rPr>
          <w:lang w:eastAsia="ja-JP"/>
        </w:rPr>
        <w:t xml:space="preserve"> It is known to be a potent vasodilator</w:t>
      </w:r>
      <w:r w:rsidR="005A0C80">
        <w:rPr>
          <w:lang w:eastAsia="ja-JP"/>
        </w:rPr>
        <w:t>;</w:t>
      </w:r>
      <w:r w:rsidR="003F0D0E">
        <w:rPr>
          <w:rStyle w:val="FootnoteReference"/>
          <w:lang w:eastAsia="ja-JP"/>
        </w:rPr>
        <w:footnoteReference w:id="12"/>
      </w:r>
      <w:r w:rsidRPr="00D3145E">
        <w:rPr>
          <w:lang w:eastAsia="ja-JP"/>
        </w:rPr>
        <w:t xml:space="preserve"> and it promotes neurogenic inflammation and nociception.</w:t>
      </w:r>
      <w:r w:rsidR="00905D8F">
        <w:rPr>
          <w:rStyle w:val="FootnoteReference"/>
          <w:lang w:eastAsia="ja-JP"/>
        </w:rPr>
        <w:footnoteReference w:id="13"/>
      </w:r>
      <w:r w:rsidRPr="00D3145E">
        <w:rPr>
          <w:lang w:eastAsia="ja-JP"/>
        </w:rPr>
        <w:t xml:space="preserve"> It fa</w:t>
      </w:r>
      <w:r w:rsidR="00DF6167">
        <w:rPr>
          <w:lang w:eastAsia="ja-JP"/>
        </w:rPr>
        <w:t xml:space="preserve">cilitates the production of pro </w:t>
      </w:r>
      <w:r w:rsidRPr="00D3145E">
        <w:rPr>
          <w:lang w:eastAsia="ja-JP"/>
        </w:rPr>
        <w:t>inflammatory mediators, leading to hyperaemia, oedema, and pain in inflamed tissues.</w:t>
      </w:r>
      <w:r w:rsidR="00905D8F">
        <w:rPr>
          <w:rStyle w:val="FootnoteReference"/>
          <w:lang w:eastAsia="ja-JP"/>
        </w:rPr>
        <w:footnoteReference w:id="14"/>
      </w:r>
      <w:r w:rsidRPr="00D3145E">
        <w:rPr>
          <w:lang w:eastAsia="ja-JP"/>
        </w:rPr>
        <w:t xml:space="preserve"> The peptide can have direct excitatory effects on nociceptive neurons, and it can facilitate the effects of other pain transmitters inclu</w:t>
      </w:r>
      <w:r w:rsidR="00905D8F">
        <w:rPr>
          <w:lang w:eastAsia="ja-JP"/>
        </w:rPr>
        <w:t>ding glutamate and substance P</w:t>
      </w:r>
      <w:r w:rsidRPr="00D3145E">
        <w:rPr>
          <w:lang w:eastAsia="ja-JP"/>
        </w:rPr>
        <w:t>.</w:t>
      </w:r>
      <w:r w:rsidR="00905D8F">
        <w:rPr>
          <w:rStyle w:val="FootnoteReference"/>
          <w:lang w:eastAsia="ja-JP"/>
        </w:rPr>
        <w:footnoteReference w:id="15"/>
      </w:r>
      <w:r w:rsidRPr="00D3145E">
        <w:rPr>
          <w:lang w:eastAsia="ja-JP"/>
        </w:rPr>
        <w:t xml:space="preserve"> It has shown excitatory effects in animal and cultured neuron models</w:t>
      </w:r>
      <w:r w:rsidR="005A0C80">
        <w:rPr>
          <w:lang w:eastAsia="ja-JP"/>
        </w:rPr>
        <w:t>.</w:t>
      </w:r>
      <w:r w:rsidR="005A0C80">
        <w:rPr>
          <w:rStyle w:val="FootnoteReference"/>
          <w:lang w:eastAsia="ja-JP"/>
        </w:rPr>
        <w:footnoteReference w:id="16"/>
      </w:r>
      <w:r w:rsidR="005A0C80" w:rsidRPr="00DC6C8D">
        <w:rPr>
          <w:vertAlign w:val="superscript"/>
          <w:lang w:eastAsia="ja-JP"/>
        </w:rPr>
        <w:t>,</w:t>
      </w:r>
      <w:r w:rsidR="00114D46">
        <w:rPr>
          <w:rStyle w:val="FootnoteReference"/>
          <w:lang w:eastAsia="ja-JP"/>
        </w:rPr>
        <w:footnoteReference w:id="17"/>
      </w:r>
    </w:p>
    <w:p w14:paraId="0AB94811" w14:textId="77777777" w:rsidR="00960170" w:rsidRPr="00D3145E" w:rsidRDefault="00960170" w:rsidP="00EC7347">
      <w:pPr>
        <w:rPr>
          <w:lang w:eastAsia="ja-JP"/>
        </w:rPr>
      </w:pPr>
      <w:r w:rsidRPr="00D3145E">
        <w:rPr>
          <w:lang w:eastAsia="ja-JP"/>
        </w:rPr>
        <w:t>Intravenous administration of CGRP to humans has been shown to</w:t>
      </w:r>
      <w:r w:rsidR="00DF6167">
        <w:rPr>
          <w:lang w:eastAsia="ja-JP"/>
        </w:rPr>
        <w:t xml:space="preserve"> cause migraine </w:t>
      </w:r>
      <w:r w:rsidR="00EC7347">
        <w:rPr>
          <w:lang w:eastAsia="ja-JP"/>
        </w:rPr>
        <w:t>like headaches.</w:t>
      </w:r>
    </w:p>
    <w:p w14:paraId="010E71C5" w14:textId="006805AE" w:rsidR="00500337" w:rsidRPr="00500337" w:rsidRDefault="00960170" w:rsidP="00500337">
      <w:pPr>
        <w:rPr>
          <w:lang w:eastAsia="ja-JP"/>
        </w:rPr>
      </w:pPr>
      <w:r w:rsidRPr="00D3145E">
        <w:rPr>
          <w:lang w:eastAsia="ja-JP"/>
        </w:rPr>
        <w:t xml:space="preserve">Recently, several positive clinical studies have been performed in migraine sufferers, </w:t>
      </w:r>
      <w:r>
        <w:rPr>
          <w:lang w:eastAsia="ja-JP"/>
        </w:rPr>
        <w:t>using</w:t>
      </w:r>
      <w:r w:rsidRPr="00D3145E">
        <w:rPr>
          <w:lang w:eastAsia="ja-JP"/>
        </w:rPr>
        <w:t xml:space="preserve"> </w:t>
      </w:r>
      <w:proofErr w:type="spellStart"/>
      <w:r w:rsidR="00B6138F">
        <w:rPr>
          <w:lang w:eastAsia="ja-JP"/>
        </w:rPr>
        <w:t>mAbs</w:t>
      </w:r>
      <w:proofErr w:type="spellEnd"/>
      <w:r w:rsidRPr="00D3145E">
        <w:rPr>
          <w:lang w:eastAsia="ja-JP"/>
        </w:rPr>
        <w:t xml:space="preserve"> to CGRP or </w:t>
      </w:r>
      <w:r>
        <w:rPr>
          <w:lang w:eastAsia="ja-JP"/>
        </w:rPr>
        <w:t>to its receptor, or</w:t>
      </w:r>
      <w:r w:rsidRPr="00D3145E">
        <w:rPr>
          <w:lang w:eastAsia="ja-JP"/>
        </w:rPr>
        <w:t xml:space="preserve"> oral receptor antagonists to CGRP</w:t>
      </w:r>
      <w:r>
        <w:rPr>
          <w:lang w:eastAsia="ja-JP"/>
        </w:rPr>
        <w:t xml:space="preserve">. These studies suggest that </w:t>
      </w:r>
      <w:r w:rsidRPr="00D3145E">
        <w:rPr>
          <w:lang w:eastAsia="ja-JP"/>
        </w:rPr>
        <w:t>CGRP mechanisms are a valid therapeutic target for migraine</w:t>
      </w:r>
      <w:r w:rsidR="005A0C80" w:rsidRPr="00D3145E">
        <w:rPr>
          <w:lang w:eastAsia="ja-JP"/>
        </w:rPr>
        <w:t>.</w:t>
      </w:r>
      <w:r w:rsidR="005A0C80" w:rsidRPr="005A0C80">
        <w:rPr>
          <w:rStyle w:val="FootnoteReference"/>
          <w:lang w:eastAsia="ja-JP"/>
        </w:rPr>
        <w:footnoteReference w:id="18"/>
      </w:r>
      <w:r w:rsidR="005A0C80" w:rsidRPr="00DC6C8D">
        <w:rPr>
          <w:vertAlign w:val="superscript"/>
          <w:lang w:eastAsia="ja-JP"/>
        </w:rPr>
        <w:t>,</w:t>
      </w:r>
      <w:r w:rsidR="005A0C80" w:rsidRPr="005A0C80">
        <w:rPr>
          <w:rStyle w:val="FootnoteReference"/>
          <w:lang w:eastAsia="ja-JP"/>
        </w:rPr>
        <w:footnoteReference w:id="19"/>
      </w:r>
      <w:r w:rsidR="005A0C80" w:rsidRPr="00DC6C8D">
        <w:rPr>
          <w:vertAlign w:val="superscript"/>
          <w:lang w:eastAsia="ja-JP"/>
        </w:rPr>
        <w:t>,</w:t>
      </w:r>
      <w:r w:rsidR="005A0C80" w:rsidRPr="005A0C80">
        <w:rPr>
          <w:rStyle w:val="FootnoteReference"/>
          <w:lang w:eastAsia="ja-JP"/>
        </w:rPr>
        <w:footnoteReference w:id="20"/>
      </w:r>
      <w:r w:rsidR="005A0C80" w:rsidRPr="00DC6C8D">
        <w:rPr>
          <w:vertAlign w:val="superscript"/>
          <w:lang w:eastAsia="ja-JP"/>
        </w:rPr>
        <w:t>,</w:t>
      </w:r>
      <w:r w:rsidR="003F0C17" w:rsidRPr="005A0C80">
        <w:rPr>
          <w:rStyle w:val="FootnoteReference"/>
          <w:lang w:eastAsia="ja-JP"/>
        </w:rPr>
        <w:footnoteReference w:id="21"/>
      </w:r>
      <w:r w:rsidR="003F0C17" w:rsidRPr="005A0C80">
        <w:rPr>
          <w:lang w:eastAsia="ja-JP"/>
        </w:rPr>
        <w:t xml:space="preserve"> </w:t>
      </w:r>
      <w:proofErr w:type="spellStart"/>
      <w:r w:rsidRPr="00D3145E">
        <w:rPr>
          <w:lang w:eastAsia="ja-JP"/>
        </w:rPr>
        <w:lastRenderedPageBreak/>
        <w:t>Erenumab</w:t>
      </w:r>
      <w:proofErr w:type="spellEnd"/>
      <w:r w:rsidRPr="00D3145E">
        <w:rPr>
          <w:lang w:eastAsia="ja-JP"/>
        </w:rPr>
        <w:t xml:space="preserve">, a </w:t>
      </w:r>
      <w:proofErr w:type="spellStart"/>
      <w:r w:rsidR="00B6138F">
        <w:rPr>
          <w:lang w:eastAsia="ja-JP"/>
        </w:rPr>
        <w:t>mAb</w:t>
      </w:r>
      <w:proofErr w:type="spellEnd"/>
      <w:r w:rsidRPr="00D3145E">
        <w:rPr>
          <w:lang w:eastAsia="ja-JP"/>
        </w:rPr>
        <w:t xml:space="preserve"> directed against the CGRP receptor, has recently been approved in Australia for the same indication as proposed for </w:t>
      </w:r>
      <w:proofErr w:type="spellStart"/>
      <w:r w:rsidRPr="00D3145E">
        <w:rPr>
          <w:lang w:eastAsia="ja-JP"/>
        </w:rPr>
        <w:t>galcanezumab</w:t>
      </w:r>
      <w:proofErr w:type="spellEnd"/>
      <w:r>
        <w:rPr>
          <w:lang w:eastAsia="ja-JP"/>
        </w:rPr>
        <w:t>, on the basis of studies broadly similar to those in the current submission</w:t>
      </w:r>
      <w:r w:rsidR="00EC7347">
        <w:rPr>
          <w:lang w:eastAsia="ja-JP"/>
        </w:rPr>
        <w:t>.</w:t>
      </w:r>
    </w:p>
    <w:p w14:paraId="222F51E2" w14:textId="77777777" w:rsidR="00605AD4" w:rsidRDefault="00605AD4" w:rsidP="009C06C5">
      <w:pPr>
        <w:pStyle w:val="Heading4"/>
      </w:pPr>
      <w:r w:rsidRPr="00605AD4">
        <w:t>Guidance</w:t>
      </w:r>
    </w:p>
    <w:p w14:paraId="0C65113D" w14:textId="77777777" w:rsidR="00960170" w:rsidRDefault="00404F61" w:rsidP="00EC7347">
      <w:pPr>
        <w:rPr>
          <w:lang w:eastAsia="ja-JP"/>
        </w:rPr>
      </w:pPr>
      <w:r>
        <w:rPr>
          <w:lang w:eastAsia="ja-JP"/>
        </w:rPr>
        <w:t>The sponsor</w:t>
      </w:r>
      <w:r w:rsidR="00960170">
        <w:rPr>
          <w:lang w:eastAsia="ja-JP"/>
        </w:rPr>
        <w:t>’s submission makes reference to th</w:t>
      </w:r>
      <w:r w:rsidR="00EC7347">
        <w:rPr>
          <w:lang w:eastAsia="ja-JP"/>
        </w:rPr>
        <w:t>e following guidance documents:</w:t>
      </w:r>
    </w:p>
    <w:p w14:paraId="1C5310BD" w14:textId="77777777" w:rsidR="000212B9" w:rsidRDefault="00AA076D" w:rsidP="00572B43">
      <w:pPr>
        <w:pStyle w:val="ListBullet"/>
        <w:rPr>
          <w:lang w:eastAsia="ja-JP"/>
        </w:rPr>
      </w:pPr>
      <w:r>
        <w:rPr>
          <w:lang w:eastAsia="ja-JP"/>
        </w:rPr>
        <w:t>The European Medicines Agency (</w:t>
      </w:r>
      <w:r w:rsidR="00AE6F04">
        <w:rPr>
          <w:lang w:eastAsia="ja-JP"/>
        </w:rPr>
        <w:t>EMA</w:t>
      </w:r>
      <w:r>
        <w:rPr>
          <w:lang w:eastAsia="ja-JP"/>
        </w:rPr>
        <w:t>)</w:t>
      </w:r>
      <w:r w:rsidR="00AE6F04">
        <w:rPr>
          <w:lang w:eastAsia="ja-JP"/>
        </w:rPr>
        <w:t xml:space="preserve"> </w:t>
      </w:r>
      <w:r w:rsidR="00960170">
        <w:rPr>
          <w:lang w:eastAsia="ja-JP"/>
        </w:rPr>
        <w:t>Guideline on Clinical Investigation of Medicinal Products for the Treatment of Migraine</w:t>
      </w:r>
      <w:r w:rsidR="00AE6F04">
        <w:rPr>
          <w:lang w:eastAsia="ja-JP"/>
        </w:rPr>
        <w:t>.</w:t>
      </w:r>
      <w:bookmarkStart w:id="75" w:name="_Ref12453797"/>
      <w:r w:rsidR="00AE6F04">
        <w:rPr>
          <w:rStyle w:val="FootnoteReference"/>
          <w:lang w:eastAsia="ja-JP"/>
        </w:rPr>
        <w:footnoteReference w:id="22"/>
      </w:r>
      <w:bookmarkEnd w:id="75"/>
    </w:p>
    <w:p w14:paraId="39B5EE00" w14:textId="77777777" w:rsidR="00960170" w:rsidRDefault="00AE6F04" w:rsidP="00572B43">
      <w:pPr>
        <w:pStyle w:val="ListBullet"/>
        <w:rPr>
          <w:lang w:eastAsia="ja-JP"/>
        </w:rPr>
      </w:pPr>
      <w:r>
        <w:rPr>
          <w:lang w:eastAsia="ja-JP"/>
        </w:rPr>
        <w:t xml:space="preserve">EMA Guideline on </w:t>
      </w:r>
      <w:r w:rsidR="00960170">
        <w:rPr>
          <w:lang w:eastAsia="ja-JP"/>
        </w:rPr>
        <w:t xml:space="preserve">The Extent of Population Exposure to Assess Clinical Safety for Drugs Intended for Long-Term Treatment of </w:t>
      </w:r>
      <w:r>
        <w:rPr>
          <w:lang w:eastAsia="ja-JP"/>
        </w:rPr>
        <w:t>Non-Life-Threatening Conditions</w:t>
      </w:r>
      <w:r w:rsidR="00960170">
        <w:rPr>
          <w:lang w:eastAsia="ja-JP"/>
        </w:rPr>
        <w:t>.</w:t>
      </w:r>
      <w:bookmarkStart w:id="76" w:name="_Ref12459783"/>
      <w:r w:rsidR="00515B5E">
        <w:rPr>
          <w:rStyle w:val="FootnoteReference"/>
          <w:lang w:eastAsia="ja-JP"/>
        </w:rPr>
        <w:footnoteReference w:id="23"/>
      </w:r>
      <w:bookmarkEnd w:id="76"/>
    </w:p>
    <w:p w14:paraId="13785533" w14:textId="77777777" w:rsidR="000212B9" w:rsidRDefault="00AA076D" w:rsidP="00572B43">
      <w:pPr>
        <w:pStyle w:val="ListBullet"/>
        <w:rPr>
          <w:lang w:eastAsia="ja-JP"/>
        </w:rPr>
      </w:pPr>
      <w:r>
        <w:rPr>
          <w:lang w:eastAsia="ja-JP"/>
        </w:rPr>
        <w:t xml:space="preserve">EMA </w:t>
      </w:r>
      <w:r w:rsidR="00960170">
        <w:rPr>
          <w:lang w:eastAsia="ja-JP"/>
        </w:rPr>
        <w:t xml:space="preserve">Guideline on Immunogenicity assessment of </w:t>
      </w:r>
      <w:r>
        <w:rPr>
          <w:lang w:eastAsia="ja-JP"/>
        </w:rPr>
        <w:t>therapeutic proteins.</w:t>
      </w:r>
      <w:r>
        <w:rPr>
          <w:rStyle w:val="FootnoteReference"/>
          <w:lang w:eastAsia="ja-JP"/>
        </w:rPr>
        <w:footnoteReference w:id="24"/>
      </w:r>
    </w:p>
    <w:p w14:paraId="0A694392" w14:textId="73EC92D6" w:rsidR="00960170" w:rsidRDefault="00C423FB" w:rsidP="00572B43">
      <w:pPr>
        <w:pStyle w:val="ListBullet"/>
        <w:rPr>
          <w:lang w:eastAsia="ja-JP"/>
        </w:rPr>
      </w:pPr>
      <w:r>
        <w:rPr>
          <w:lang w:eastAsia="ja-JP"/>
        </w:rPr>
        <w:t>Industry guidance from the</w:t>
      </w:r>
      <w:r w:rsidR="00960170">
        <w:rPr>
          <w:lang w:eastAsia="ja-JP"/>
        </w:rPr>
        <w:t xml:space="preserve"> Food and Drug Administration’s </w:t>
      </w:r>
      <w:r w:rsidR="00AA076D">
        <w:rPr>
          <w:lang w:eastAsia="ja-JP"/>
        </w:rPr>
        <w:t xml:space="preserve">(FDA) </w:t>
      </w:r>
      <w:r>
        <w:rPr>
          <w:lang w:eastAsia="ja-JP"/>
        </w:rPr>
        <w:t>on</w:t>
      </w:r>
      <w:r w:rsidR="00960170">
        <w:rPr>
          <w:lang w:eastAsia="ja-JP"/>
        </w:rPr>
        <w:t xml:space="preserve"> Assay Development for Immunogenicity Testi</w:t>
      </w:r>
      <w:r w:rsidR="00C75F57">
        <w:rPr>
          <w:lang w:eastAsia="ja-JP"/>
        </w:rPr>
        <w:t>ng of Therapeutic Proteins</w:t>
      </w:r>
      <w:r w:rsidR="005A0C80">
        <w:rPr>
          <w:lang w:eastAsia="ja-JP"/>
        </w:rPr>
        <w:t>;</w:t>
      </w:r>
      <w:r>
        <w:rPr>
          <w:rStyle w:val="FootnoteReference"/>
          <w:lang w:eastAsia="ja-JP"/>
        </w:rPr>
        <w:footnoteReference w:id="25"/>
      </w:r>
      <w:r w:rsidR="00960170">
        <w:rPr>
          <w:lang w:eastAsia="ja-JP"/>
        </w:rPr>
        <w:t xml:space="preserve"> and Recommendations for the Validation of Immunoassays Used for Detection of Host Antibodies </w:t>
      </w:r>
      <w:r w:rsidR="00C75F57">
        <w:rPr>
          <w:lang w:eastAsia="ja-JP"/>
        </w:rPr>
        <w:t>Against Biotechnology Products.</w:t>
      </w:r>
      <w:r w:rsidR="00C75F57">
        <w:rPr>
          <w:rStyle w:val="FootnoteReference"/>
          <w:lang w:eastAsia="ja-JP"/>
        </w:rPr>
        <w:footnoteReference w:id="26"/>
      </w:r>
    </w:p>
    <w:p w14:paraId="0351FACE" w14:textId="77777777" w:rsidR="000212B9" w:rsidRDefault="00C423FB" w:rsidP="00572B43">
      <w:pPr>
        <w:pStyle w:val="ListBullet"/>
        <w:rPr>
          <w:lang w:eastAsia="ja-JP"/>
        </w:rPr>
      </w:pPr>
      <w:r>
        <w:rPr>
          <w:lang w:eastAsia="ja-JP"/>
        </w:rPr>
        <w:t xml:space="preserve">EMA Guideline on </w:t>
      </w:r>
      <w:r w:rsidR="00960170">
        <w:rPr>
          <w:lang w:eastAsia="ja-JP"/>
        </w:rPr>
        <w:t>the clinical evaluation of QT/</w:t>
      </w:r>
      <w:proofErr w:type="spellStart"/>
      <w:r w:rsidR="00960170">
        <w:rPr>
          <w:lang w:eastAsia="ja-JP"/>
        </w:rPr>
        <w:t>QTc</w:t>
      </w:r>
      <w:proofErr w:type="spellEnd"/>
      <w:r w:rsidR="00960170">
        <w:rPr>
          <w:lang w:eastAsia="ja-JP"/>
        </w:rPr>
        <w:t xml:space="preserve"> interval prolongation and pro</w:t>
      </w:r>
      <w:r w:rsidR="00713B7C">
        <w:rPr>
          <w:lang w:eastAsia="ja-JP"/>
        </w:rPr>
        <w:noBreakHyphen/>
      </w:r>
      <w:r w:rsidR="00960170">
        <w:rPr>
          <w:lang w:eastAsia="ja-JP"/>
        </w:rPr>
        <w:t>arrhythmic potential for non-antiarrhythmic drugs</w:t>
      </w:r>
      <w:r w:rsidR="000212B9">
        <w:rPr>
          <w:lang w:eastAsia="ja-JP"/>
        </w:rPr>
        <w:t>.</w:t>
      </w:r>
      <w:r>
        <w:rPr>
          <w:rStyle w:val="FootnoteReference"/>
          <w:lang w:eastAsia="ja-JP"/>
        </w:rPr>
        <w:footnoteReference w:id="27"/>
      </w:r>
    </w:p>
    <w:p w14:paraId="7B0F5E3D" w14:textId="77777777" w:rsidR="00960170" w:rsidRDefault="00960170" w:rsidP="009C06C5">
      <w:pPr>
        <w:rPr>
          <w:lang w:eastAsia="ja-JP"/>
        </w:rPr>
      </w:pPr>
      <w:r>
        <w:rPr>
          <w:lang w:eastAsia="ja-JP"/>
        </w:rPr>
        <w:t xml:space="preserve">Of these, the most important is the </w:t>
      </w:r>
      <w:r w:rsidR="00AA076D">
        <w:rPr>
          <w:lang w:eastAsia="ja-JP"/>
        </w:rPr>
        <w:t>EMA</w:t>
      </w:r>
      <w:r>
        <w:rPr>
          <w:lang w:eastAsia="ja-JP"/>
        </w:rPr>
        <w:t xml:space="preserve"> guideline for studies in migraine.</w:t>
      </w:r>
      <w:r w:rsidR="00AA076D">
        <w:rPr>
          <w:lang w:eastAsia="ja-JP"/>
        </w:rPr>
        <w:fldChar w:fldCharType="begin"/>
      </w:r>
      <w:r w:rsidR="00AA076D">
        <w:rPr>
          <w:lang w:eastAsia="ja-JP"/>
        </w:rPr>
        <w:instrText xml:space="preserve"> NOTEREF _Ref12453797 \f \h </w:instrText>
      </w:r>
      <w:r w:rsidR="00AA076D">
        <w:rPr>
          <w:lang w:eastAsia="ja-JP"/>
        </w:rPr>
      </w:r>
      <w:r w:rsidR="00AA076D">
        <w:rPr>
          <w:lang w:eastAsia="ja-JP"/>
        </w:rPr>
        <w:fldChar w:fldCharType="separate"/>
      </w:r>
      <w:r w:rsidR="00AA076D" w:rsidRPr="00AA076D">
        <w:rPr>
          <w:rStyle w:val="FootnoteReference"/>
        </w:rPr>
        <w:t>18</w:t>
      </w:r>
      <w:r w:rsidR="00AA076D">
        <w:rPr>
          <w:lang w:eastAsia="ja-JP"/>
        </w:rPr>
        <w:fldChar w:fldCharType="end"/>
      </w:r>
      <w:r>
        <w:rPr>
          <w:lang w:eastAsia="ja-JP"/>
        </w:rPr>
        <w:t xml:space="preserve"> The key recommendations are:</w:t>
      </w:r>
    </w:p>
    <w:p w14:paraId="179F4D37" w14:textId="77777777" w:rsidR="00960170" w:rsidRDefault="00960170" w:rsidP="00572B43">
      <w:pPr>
        <w:pStyle w:val="ListBullet"/>
        <w:rPr>
          <w:lang w:eastAsia="ja-JP"/>
        </w:rPr>
      </w:pPr>
      <w:r>
        <w:rPr>
          <w:lang w:eastAsia="ja-JP"/>
        </w:rPr>
        <w:t xml:space="preserve">Patient selection should be based on diagnostic criteria formulated by the </w:t>
      </w:r>
      <w:r w:rsidR="00713B7C">
        <w:rPr>
          <w:lang w:eastAsia="ja-JP"/>
        </w:rPr>
        <w:t>IHS</w:t>
      </w:r>
      <w:r>
        <w:rPr>
          <w:lang w:eastAsia="ja-JP"/>
        </w:rPr>
        <w:t>.</w:t>
      </w:r>
    </w:p>
    <w:p w14:paraId="5561F58B" w14:textId="77777777" w:rsidR="000212B9" w:rsidRDefault="00960170" w:rsidP="00572B43">
      <w:pPr>
        <w:pStyle w:val="ListBullet"/>
        <w:rPr>
          <w:lang w:eastAsia="ja-JP"/>
        </w:rPr>
      </w:pPr>
      <w:r>
        <w:rPr>
          <w:lang w:eastAsia="ja-JP"/>
        </w:rPr>
        <w:t>Patients included should generally h</w:t>
      </w:r>
      <w:r w:rsidR="00F43A80">
        <w:rPr>
          <w:lang w:eastAsia="ja-JP"/>
        </w:rPr>
        <w:t>ave had migraine for at least 1 </w:t>
      </w:r>
      <w:r>
        <w:rPr>
          <w:lang w:eastAsia="ja-JP"/>
        </w:rPr>
        <w:t>year and there should b</w:t>
      </w:r>
      <w:r w:rsidR="00AA076D">
        <w:rPr>
          <w:lang w:eastAsia="ja-JP"/>
        </w:rPr>
        <w:t>e a 3</w:t>
      </w:r>
      <w:r w:rsidR="00F43A80">
        <w:rPr>
          <w:lang w:eastAsia="ja-JP"/>
        </w:rPr>
        <w:t> </w:t>
      </w:r>
      <w:r w:rsidR="00DF6167">
        <w:rPr>
          <w:lang w:eastAsia="ja-JP"/>
        </w:rPr>
        <w:t xml:space="preserve">months well </w:t>
      </w:r>
      <w:r>
        <w:rPr>
          <w:lang w:eastAsia="ja-JP"/>
        </w:rPr>
        <w:t>documented retrospective history</w:t>
      </w:r>
      <w:r w:rsidR="000212B9">
        <w:rPr>
          <w:lang w:eastAsia="ja-JP"/>
        </w:rPr>
        <w:t>.</w:t>
      </w:r>
    </w:p>
    <w:p w14:paraId="2A15C90A" w14:textId="77777777" w:rsidR="00960170" w:rsidRDefault="00960170" w:rsidP="00572B43">
      <w:pPr>
        <w:pStyle w:val="ListBullet"/>
        <w:rPr>
          <w:lang w:eastAsia="ja-JP"/>
        </w:rPr>
      </w:pPr>
      <w:r>
        <w:rPr>
          <w:lang w:eastAsia="ja-JP"/>
        </w:rPr>
        <w:t xml:space="preserve">Age at onset of </w:t>
      </w:r>
      <w:r w:rsidR="00F43A80">
        <w:rPr>
          <w:lang w:eastAsia="ja-JP"/>
        </w:rPr>
        <w:t>migraine should be less than 50 </w:t>
      </w:r>
      <w:r>
        <w:rPr>
          <w:lang w:eastAsia="ja-JP"/>
        </w:rPr>
        <w:t>years.</w:t>
      </w:r>
    </w:p>
    <w:p w14:paraId="20CE3B8F" w14:textId="77777777" w:rsidR="00960170" w:rsidRDefault="00960170" w:rsidP="00572B43">
      <w:pPr>
        <w:pStyle w:val="ListBullet"/>
        <w:rPr>
          <w:lang w:eastAsia="ja-JP"/>
        </w:rPr>
      </w:pPr>
      <w:r>
        <w:rPr>
          <w:lang w:eastAsia="ja-JP"/>
        </w:rPr>
        <w:t>In order to justify migraine prophylaxis, attacks should occur at lea</w:t>
      </w:r>
      <w:r w:rsidR="00AA076D">
        <w:rPr>
          <w:lang w:eastAsia="ja-JP"/>
        </w:rPr>
        <w:t xml:space="preserve">st 2 times per month, usually 2 to </w:t>
      </w:r>
      <w:r>
        <w:rPr>
          <w:lang w:eastAsia="ja-JP"/>
        </w:rPr>
        <w:t>6 times per mon</w:t>
      </w:r>
      <w:r w:rsidR="00F43A80">
        <w:rPr>
          <w:lang w:eastAsia="ja-JP"/>
        </w:rPr>
        <w:t>th. There should be at least 48 </w:t>
      </w:r>
      <w:r>
        <w:rPr>
          <w:lang w:eastAsia="ja-JP"/>
        </w:rPr>
        <w:t>hours of freedom from headache between attacks of migraine.</w:t>
      </w:r>
    </w:p>
    <w:p w14:paraId="22CF95E6" w14:textId="77777777" w:rsidR="00960170" w:rsidRDefault="00960170" w:rsidP="00572B43">
      <w:pPr>
        <w:pStyle w:val="ListBullet"/>
        <w:rPr>
          <w:lang w:eastAsia="ja-JP"/>
        </w:rPr>
      </w:pPr>
      <w:r>
        <w:rPr>
          <w:lang w:eastAsia="ja-JP"/>
        </w:rPr>
        <w:t>A continuous registration of the patients' migraine pattern during baseline and study period should be available.</w:t>
      </w:r>
    </w:p>
    <w:p w14:paraId="10B64DD5" w14:textId="77777777" w:rsidR="00960170" w:rsidRDefault="00960170" w:rsidP="00572B43">
      <w:pPr>
        <w:pStyle w:val="ListBullet"/>
        <w:rPr>
          <w:lang w:eastAsia="ja-JP"/>
        </w:rPr>
      </w:pPr>
      <w:r>
        <w:rPr>
          <w:lang w:eastAsia="ja-JP"/>
        </w:rPr>
        <w:lastRenderedPageBreak/>
        <w:t>The recommended primary endpoint is the fr</w:t>
      </w:r>
      <w:r w:rsidR="00DF6167">
        <w:rPr>
          <w:lang w:eastAsia="ja-JP"/>
        </w:rPr>
        <w:t xml:space="preserve">equency of attacks within a pre </w:t>
      </w:r>
      <w:r>
        <w:rPr>
          <w:lang w:eastAsia="ja-JP"/>
        </w:rPr>
        <w:t>specified period.</w:t>
      </w:r>
    </w:p>
    <w:p w14:paraId="3CD49D7A" w14:textId="77777777" w:rsidR="00960170" w:rsidRDefault="00960170" w:rsidP="00572B43">
      <w:pPr>
        <w:pStyle w:val="ListBullet"/>
        <w:rPr>
          <w:lang w:eastAsia="ja-JP"/>
        </w:rPr>
      </w:pPr>
      <w:r>
        <w:rPr>
          <w:lang w:eastAsia="ja-JP"/>
        </w:rPr>
        <w:t>Secondary endpoints might be:</w:t>
      </w:r>
    </w:p>
    <w:p w14:paraId="43AA1488" w14:textId="31F10F1D" w:rsidR="00960170" w:rsidRDefault="00960170" w:rsidP="00EC7347">
      <w:pPr>
        <w:pStyle w:val="ListBullet2"/>
        <w:rPr>
          <w:lang w:eastAsia="ja-JP"/>
        </w:rPr>
      </w:pPr>
      <w:r>
        <w:rPr>
          <w:lang w:eastAsia="ja-JP"/>
        </w:rPr>
        <w:t xml:space="preserve">Responder rate where a </w:t>
      </w:r>
      <w:r w:rsidR="008F78F8">
        <w:rPr>
          <w:lang w:eastAsia="ja-JP"/>
        </w:rPr>
        <w:t>‘</w:t>
      </w:r>
      <w:r>
        <w:rPr>
          <w:lang w:eastAsia="ja-JP"/>
        </w:rPr>
        <w:t>responder</w:t>
      </w:r>
      <w:r w:rsidR="008F78F8">
        <w:rPr>
          <w:lang w:eastAsia="ja-JP"/>
        </w:rPr>
        <w:t>’</w:t>
      </w:r>
      <w:r>
        <w:rPr>
          <w:lang w:eastAsia="ja-JP"/>
        </w:rPr>
        <w:t xml:space="preserve"> is defined as a patient with a 50% or greater reduction in attack frequency during treatment compared to baseline.</w:t>
      </w:r>
    </w:p>
    <w:p w14:paraId="6EE27C9F" w14:textId="77777777" w:rsidR="00960170" w:rsidRDefault="00960170" w:rsidP="009C06C5">
      <w:pPr>
        <w:pStyle w:val="ListBullet2"/>
        <w:rPr>
          <w:lang w:eastAsia="ja-JP"/>
        </w:rPr>
      </w:pPr>
      <w:r>
        <w:rPr>
          <w:lang w:eastAsia="ja-JP"/>
        </w:rPr>
        <w:t>Number of days with migraine per 4 weeks.</w:t>
      </w:r>
    </w:p>
    <w:p w14:paraId="01D3CA17" w14:textId="77777777" w:rsidR="00960170" w:rsidRDefault="00960170" w:rsidP="00EC7347">
      <w:pPr>
        <w:pStyle w:val="ListBullet2"/>
        <w:rPr>
          <w:lang w:eastAsia="ja-JP"/>
        </w:rPr>
      </w:pPr>
      <w:r>
        <w:rPr>
          <w:lang w:eastAsia="ja-JP"/>
        </w:rPr>
        <w:t>Intensity of headache averaged over attacks within an evaluation period.</w:t>
      </w:r>
    </w:p>
    <w:p w14:paraId="34FC7E3E" w14:textId="77777777" w:rsidR="00960170" w:rsidRDefault="00960170" w:rsidP="00EC7347">
      <w:pPr>
        <w:pStyle w:val="ListBullet2"/>
        <w:rPr>
          <w:lang w:eastAsia="ja-JP"/>
        </w:rPr>
      </w:pPr>
      <w:r>
        <w:rPr>
          <w:lang w:eastAsia="ja-JP"/>
        </w:rPr>
        <w:t>Speed of effect (active agents may be distinguished from each other or from placebo by how quickly reduction in attack frequency is achieved; thus, attack frequencies may be compared in the first 4 weeks or second 4 weeks of treatment).</w:t>
      </w:r>
    </w:p>
    <w:p w14:paraId="5583D89B" w14:textId="77777777" w:rsidR="00960170" w:rsidRDefault="00960170" w:rsidP="008C7731">
      <w:pPr>
        <w:pStyle w:val="ListBullet2"/>
        <w:rPr>
          <w:lang w:eastAsia="ja-JP"/>
        </w:rPr>
      </w:pPr>
      <w:r>
        <w:rPr>
          <w:lang w:eastAsia="ja-JP"/>
        </w:rPr>
        <w:t>Drug consumption for acute treatment tota</w:t>
      </w:r>
      <w:r w:rsidR="008C7731">
        <w:rPr>
          <w:lang w:eastAsia="ja-JP"/>
        </w:rPr>
        <w:t>lled over an evaluation period.</w:t>
      </w:r>
    </w:p>
    <w:p w14:paraId="3E19991C" w14:textId="77777777" w:rsidR="00960170" w:rsidRDefault="00960170" w:rsidP="00EC7347">
      <w:pPr>
        <w:rPr>
          <w:lang w:eastAsia="ja-JP"/>
        </w:rPr>
      </w:pPr>
      <w:r>
        <w:rPr>
          <w:lang w:eastAsia="ja-JP"/>
        </w:rPr>
        <w:t xml:space="preserve">With respect to study design, the </w:t>
      </w:r>
      <w:r w:rsidR="00DD3D1D">
        <w:rPr>
          <w:lang w:eastAsia="ja-JP"/>
        </w:rPr>
        <w:t>C</w:t>
      </w:r>
      <w:r w:rsidR="00DD3D1D" w:rsidRPr="00DD3D1D">
        <w:rPr>
          <w:lang w:eastAsia="ja-JP"/>
        </w:rPr>
        <w:t xml:space="preserve">ommittee for Medicinal Products for Human Use </w:t>
      </w:r>
      <w:r w:rsidR="00DD3D1D">
        <w:rPr>
          <w:lang w:eastAsia="ja-JP"/>
        </w:rPr>
        <w:t>(</w:t>
      </w:r>
      <w:r>
        <w:rPr>
          <w:lang w:eastAsia="ja-JP"/>
        </w:rPr>
        <w:t>CHMP</w:t>
      </w:r>
      <w:r w:rsidR="00DD3D1D">
        <w:rPr>
          <w:lang w:eastAsia="ja-JP"/>
        </w:rPr>
        <w:t>)</w:t>
      </w:r>
      <w:r>
        <w:rPr>
          <w:lang w:eastAsia="ja-JP"/>
        </w:rPr>
        <w:t xml:space="preserve"> guidance document recommends:</w:t>
      </w:r>
    </w:p>
    <w:p w14:paraId="7713A91A" w14:textId="77777777" w:rsidR="00960170" w:rsidRDefault="00960170" w:rsidP="00572B43">
      <w:pPr>
        <w:pStyle w:val="ListBullet"/>
        <w:rPr>
          <w:lang w:eastAsia="ja-JP"/>
        </w:rPr>
      </w:pPr>
      <w:r>
        <w:rPr>
          <w:lang w:eastAsia="ja-JP"/>
        </w:rPr>
        <w:t xml:space="preserve">A prospective baseline </w:t>
      </w:r>
      <w:r w:rsidR="00DF6167">
        <w:rPr>
          <w:lang w:eastAsia="ja-JP"/>
        </w:rPr>
        <w:t xml:space="preserve">(run </w:t>
      </w:r>
      <w:r w:rsidR="008C7731">
        <w:rPr>
          <w:lang w:eastAsia="ja-JP"/>
        </w:rPr>
        <w:t>in period) of at least one month and a 3 </w:t>
      </w:r>
      <w:r w:rsidR="00DF6167">
        <w:rPr>
          <w:lang w:eastAsia="ja-JP"/>
        </w:rPr>
        <w:t>month well </w:t>
      </w:r>
      <w:r>
        <w:rPr>
          <w:lang w:eastAsia="ja-JP"/>
        </w:rPr>
        <w:t>documented retrospective history is recommended in order to determine the characteristics and the frequency of attacks per month. Randomisa</w:t>
      </w:r>
      <w:r w:rsidR="00DF6167">
        <w:rPr>
          <w:lang w:eastAsia="ja-JP"/>
        </w:rPr>
        <w:t xml:space="preserve">tion should occur after the run </w:t>
      </w:r>
      <w:r>
        <w:rPr>
          <w:lang w:eastAsia="ja-JP"/>
        </w:rPr>
        <w:t>in (baseline) period.</w:t>
      </w:r>
    </w:p>
    <w:p w14:paraId="484B33CB" w14:textId="77777777" w:rsidR="000212B9" w:rsidRDefault="00960170" w:rsidP="00572B43">
      <w:pPr>
        <w:pStyle w:val="ListBullet"/>
        <w:rPr>
          <w:lang w:eastAsia="ja-JP"/>
        </w:rPr>
      </w:pPr>
      <w:r>
        <w:rPr>
          <w:lang w:eastAsia="ja-JP"/>
        </w:rPr>
        <w:t>Treatme</w:t>
      </w:r>
      <w:r w:rsidR="008C7731">
        <w:rPr>
          <w:lang w:eastAsia="ja-JP"/>
        </w:rPr>
        <w:t>nt periods should be at least 3 </w:t>
      </w:r>
      <w:r>
        <w:rPr>
          <w:lang w:eastAsia="ja-JP"/>
        </w:rPr>
        <w:t>months after the titration period (if any)</w:t>
      </w:r>
      <w:r w:rsidR="000212B9">
        <w:rPr>
          <w:lang w:eastAsia="ja-JP"/>
        </w:rPr>
        <w:t>.</w:t>
      </w:r>
    </w:p>
    <w:p w14:paraId="080EDB93" w14:textId="77777777" w:rsidR="00500337" w:rsidRPr="00500337" w:rsidRDefault="00960170" w:rsidP="00572B43">
      <w:pPr>
        <w:pStyle w:val="ListBullet"/>
        <w:rPr>
          <w:lang w:eastAsia="ja-JP"/>
        </w:rPr>
      </w:pPr>
      <w:r>
        <w:rPr>
          <w:lang w:eastAsia="ja-JP"/>
        </w:rPr>
        <w:t>Patients sh</w:t>
      </w:r>
      <w:r w:rsidR="008C7731">
        <w:rPr>
          <w:lang w:eastAsia="ja-JP"/>
        </w:rPr>
        <w:t>ould be followed for at least 4 </w:t>
      </w:r>
      <w:r>
        <w:rPr>
          <w:lang w:eastAsia="ja-JP"/>
        </w:rPr>
        <w:t xml:space="preserve">weeks after termination of the treatment period to detect possible </w:t>
      </w:r>
      <w:r w:rsidR="00EC7347">
        <w:rPr>
          <w:lang w:eastAsia="ja-JP"/>
        </w:rPr>
        <w:t>rebound phenomena.</w:t>
      </w:r>
    </w:p>
    <w:p w14:paraId="3D0A4E4D" w14:textId="77777777" w:rsidR="003C76F3" w:rsidRDefault="00605AD4" w:rsidP="003C76F3">
      <w:pPr>
        <w:pStyle w:val="Heading4"/>
      </w:pPr>
      <w:r w:rsidRPr="00605AD4">
        <w:t>Contents of the clinical dossier</w:t>
      </w:r>
    </w:p>
    <w:p w14:paraId="4F6AA6C7" w14:textId="6ECEF6FA" w:rsidR="003C76F3" w:rsidRDefault="003C76F3" w:rsidP="00EC7347">
      <w:pPr>
        <w:rPr>
          <w:lang w:eastAsia="ja-JP"/>
        </w:rPr>
      </w:pPr>
      <w:r>
        <w:rPr>
          <w:lang w:eastAsia="ja-JP"/>
        </w:rPr>
        <w:t xml:space="preserve">As outlined in </w:t>
      </w:r>
      <w:r w:rsidR="007F1E71">
        <w:rPr>
          <w:lang w:eastAsia="ja-JP"/>
        </w:rPr>
        <w:fldChar w:fldCharType="begin"/>
      </w:r>
      <w:r w:rsidR="007F1E71">
        <w:rPr>
          <w:lang w:eastAsia="ja-JP"/>
        </w:rPr>
        <w:instrText xml:space="preserve"> REF _Ref19012694 \h </w:instrText>
      </w:r>
      <w:r w:rsidR="007F1E71">
        <w:rPr>
          <w:lang w:eastAsia="ja-JP"/>
        </w:rPr>
      </w:r>
      <w:r w:rsidR="007F1E71">
        <w:rPr>
          <w:lang w:eastAsia="ja-JP"/>
        </w:rPr>
        <w:fldChar w:fldCharType="separate"/>
      </w:r>
      <w:r w:rsidR="007F1E71">
        <w:t xml:space="preserve">Table </w:t>
      </w:r>
      <w:r w:rsidR="007F1E71">
        <w:rPr>
          <w:noProof/>
        </w:rPr>
        <w:t>6</w:t>
      </w:r>
      <w:r w:rsidR="007F1E71">
        <w:rPr>
          <w:lang w:eastAsia="ja-JP"/>
        </w:rPr>
        <w:fldChar w:fldCharType="end"/>
      </w:r>
      <w:r w:rsidR="007F1E71">
        <w:rPr>
          <w:lang w:eastAsia="ja-JP"/>
        </w:rPr>
        <w:t xml:space="preserve"> </w:t>
      </w:r>
      <w:r>
        <w:rPr>
          <w:lang w:eastAsia="ja-JP"/>
        </w:rPr>
        <w:t>t</w:t>
      </w:r>
      <w:r w:rsidR="00960170">
        <w:rPr>
          <w:lang w:eastAsia="ja-JP"/>
        </w:rPr>
        <w:t xml:space="preserve">he </w:t>
      </w:r>
      <w:r w:rsidR="00F0343F">
        <w:rPr>
          <w:lang w:eastAsia="ja-JP"/>
        </w:rPr>
        <w:t>dossier contains</w:t>
      </w:r>
      <w:r>
        <w:rPr>
          <w:lang w:eastAsia="ja-JP"/>
        </w:rPr>
        <w:t>:</w:t>
      </w:r>
    </w:p>
    <w:p w14:paraId="498D1315" w14:textId="77777777" w:rsidR="003C76F3" w:rsidRDefault="003C76F3" w:rsidP="00572B43">
      <w:pPr>
        <w:pStyle w:val="ListBullet"/>
        <w:rPr>
          <w:lang w:eastAsia="ja-JP"/>
        </w:rPr>
      </w:pPr>
      <w:r>
        <w:rPr>
          <w:lang w:eastAsia="ja-JP"/>
        </w:rPr>
        <w:t>T</w:t>
      </w:r>
      <w:r w:rsidR="00F0343F">
        <w:rPr>
          <w:lang w:eastAsia="ja-JP"/>
        </w:rPr>
        <w:t xml:space="preserve">hree pivotal </w:t>
      </w:r>
      <w:r>
        <w:rPr>
          <w:lang w:eastAsia="ja-JP"/>
        </w:rPr>
        <w:t>s</w:t>
      </w:r>
      <w:r w:rsidR="00960170">
        <w:rPr>
          <w:lang w:eastAsia="ja-JP"/>
        </w:rPr>
        <w:t>tudies</w:t>
      </w:r>
    </w:p>
    <w:p w14:paraId="4421F0F5" w14:textId="77777777" w:rsidR="003C76F3" w:rsidRPr="003C76F3" w:rsidRDefault="003C76F3" w:rsidP="003C76F3">
      <w:pPr>
        <w:pStyle w:val="ListBullet2"/>
      </w:pPr>
      <w:r>
        <w:t xml:space="preserve">Phase III Study </w:t>
      </w:r>
      <w:r w:rsidR="006D357A">
        <w:t xml:space="preserve">I5Q-MC-CGAG </w:t>
      </w:r>
      <w:r w:rsidR="006D357A" w:rsidRPr="00190AE6">
        <w:t>(</w:t>
      </w:r>
      <w:r w:rsidRPr="003C76F3">
        <w:t>CGAG</w:t>
      </w:r>
      <w:r w:rsidR="006D357A">
        <w:t>)</w:t>
      </w:r>
      <w:r>
        <w:t xml:space="preserve"> in episodic migraine</w:t>
      </w:r>
    </w:p>
    <w:p w14:paraId="6525C928" w14:textId="77777777" w:rsidR="003C76F3" w:rsidRPr="003C76F3" w:rsidRDefault="003C76F3" w:rsidP="003C76F3">
      <w:pPr>
        <w:pStyle w:val="ListBullet2"/>
      </w:pPr>
      <w:r>
        <w:t xml:space="preserve">Phase III Study </w:t>
      </w:r>
      <w:r w:rsidR="006D357A">
        <w:t>I5Q-MC-CGAH (</w:t>
      </w:r>
      <w:r w:rsidRPr="003C76F3">
        <w:t>CGAH</w:t>
      </w:r>
      <w:r w:rsidR="006D357A">
        <w:t>)</w:t>
      </w:r>
      <w:r w:rsidRPr="003C76F3">
        <w:t xml:space="preserve"> in e</w:t>
      </w:r>
      <w:r>
        <w:t>pisodic migraine</w:t>
      </w:r>
    </w:p>
    <w:p w14:paraId="75A301C8" w14:textId="478F6E2B" w:rsidR="003C76F3" w:rsidRPr="003C76F3" w:rsidRDefault="003C76F3" w:rsidP="003C76F3">
      <w:pPr>
        <w:pStyle w:val="ListBullet2"/>
      </w:pPr>
      <w:r>
        <w:t xml:space="preserve">Phase III Study </w:t>
      </w:r>
      <w:r w:rsidR="006D357A">
        <w:t>I5Q-MC-CGA</w:t>
      </w:r>
      <w:r w:rsidR="00120BAC">
        <w:t>I</w:t>
      </w:r>
      <w:r w:rsidR="006D357A">
        <w:t xml:space="preserve"> (</w:t>
      </w:r>
      <w:r>
        <w:t>CGAI</w:t>
      </w:r>
      <w:r w:rsidR="00120BAC">
        <w:t>)</w:t>
      </w:r>
      <w:r>
        <w:t xml:space="preserve"> in chronic migraine</w:t>
      </w:r>
    </w:p>
    <w:p w14:paraId="09885856" w14:textId="7A77C8BE" w:rsidR="003C76F3" w:rsidRDefault="00120BAC" w:rsidP="00572B43">
      <w:pPr>
        <w:pStyle w:val="ListBullet"/>
        <w:rPr>
          <w:lang w:eastAsia="ja-JP"/>
        </w:rPr>
      </w:pPr>
      <w:r>
        <w:rPr>
          <w:lang w:eastAsia="ja-JP"/>
        </w:rPr>
        <w:t xml:space="preserve">Two </w:t>
      </w:r>
      <w:r w:rsidR="003C76F3">
        <w:rPr>
          <w:lang w:eastAsia="ja-JP"/>
        </w:rPr>
        <w:t>supportive efficacy s</w:t>
      </w:r>
      <w:r w:rsidR="00960170">
        <w:rPr>
          <w:lang w:eastAsia="ja-JP"/>
        </w:rPr>
        <w:t>tudies</w:t>
      </w:r>
    </w:p>
    <w:p w14:paraId="4EB18653" w14:textId="77777777" w:rsidR="003C76F3" w:rsidRDefault="003C76F3" w:rsidP="003C76F3">
      <w:pPr>
        <w:pStyle w:val="ListBullet2"/>
        <w:rPr>
          <w:lang w:eastAsia="ja-JP"/>
        </w:rPr>
      </w:pPr>
      <w:r>
        <w:rPr>
          <w:lang w:eastAsia="ja-JP"/>
        </w:rPr>
        <w:t>Phase II Study ART-01</w:t>
      </w:r>
    </w:p>
    <w:p w14:paraId="0B7B0901" w14:textId="45C40869" w:rsidR="003C76F3" w:rsidRDefault="003C76F3" w:rsidP="003C76F3">
      <w:pPr>
        <w:pStyle w:val="ListBullet2"/>
        <w:rPr>
          <w:lang w:eastAsia="ja-JP"/>
        </w:rPr>
      </w:pPr>
      <w:r>
        <w:rPr>
          <w:lang w:eastAsia="ja-JP"/>
        </w:rPr>
        <w:t>Phase II Study CGAB</w:t>
      </w:r>
    </w:p>
    <w:p w14:paraId="0C837D16" w14:textId="45C808DE" w:rsidR="00120BAC" w:rsidRDefault="00120BAC" w:rsidP="00572B43">
      <w:pPr>
        <w:pStyle w:val="ListBullet"/>
        <w:rPr>
          <w:lang w:eastAsia="ja-JP"/>
        </w:rPr>
      </w:pPr>
      <w:r>
        <w:rPr>
          <w:lang w:eastAsia="ja-JP"/>
        </w:rPr>
        <w:t>One long term safety study</w:t>
      </w:r>
    </w:p>
    <w:p w14:paraId="0A151F98" w14:textId="1FE5E89E" w:rsidR="003C76F3" w:rsidRDefault="003C76F3" w:rsidP="003C76F3">
      <w:pPr>
        <w:pStyle w:val="ListBullet2"/>
        <w:rPr>
          <w:lang w:eastAsia="ja-JP"/>
        </w:rPr>
      </w:pPr>
      <w:r>
        <w:rPr>
          <w:lang w:eastAsia="ja-JP"/>
        </w:rPr>
        <w:t xml:space="preserve">Phase III Study </w:t>
      </w:r>
      <w:r w:rsidR="006D357A">
        <w:t>I5Q-MC-</w:t>
      </w:r>
      <w:r w:rsidR="00120BAC">
        <w:t xml:space="preserve">CGAJ </w:t>
      </w:r>
      <w:r w:rsidR="006D357A">
        <w:t>(</w:t>
      </w:r>
      <w:r>
        <w:rPr>
          <w:lang w:eastAsia="ja-JP"/>
        </w:rPr>
        <w:t>CGAJ</w:t>
      </w:r>
      <w:r w:rsidR="006D357A">
        <w:rPr>
          <w:lang w:eastAsia="ja-JP"/>
        </w:rPr>
        <w:t>)</w:t>
      </w:r>
    </w:p>
    <w:p w14:paraId="6769AE7B" w14:textId="0AE84AAB" w:rsidR="00960170" w:rsidRDefault="00960170" w:rsidP="003C76F3">
      <w:pPr>
        <w:rPr>
          <w:lang w:eastAsia="ja-JP"/>
        </w:rPr>
      </w:pPr>
      <w:r>
        <w:rPr>
          <w:lang w:eastAsia="ja-JP"/>
        </w:rPr>
        <w:t xml:space="preserve">The major efficacy studies also contributed to </w:t>
      </w:r>
      <w:r w:rsidR="00713B7C">
        <w:rPr>
          <w:lang w:eastAsia="ja-JP"/>
        </w:rPr>
        <w:t>PK</w:t>
      </w:r>
      <w:r w:rsidR="008C7731">
        <w:rPr>
          <w:lang w:eastAsia="ja-JP"/>
        </w:rPr>
        <w:t xml:space="preserve"> and </w:t>
      </w:r>
      <w:r w:rsidR="00713B7C">
        <w:rPr>
          <w:lang w:eastAsia="ja-JP"/>
        </w:rPr>
        <w:t>PD</w:t>
      </w:r>
      <w:r w:rsidR="008C7731">
        <w:rPr>
          <w:lang w:eastAsia="ja-JP"/>
        </w:rPr>
        <w:t xml:space="preserve"> </w:t>
      </w:r>
      <w:r>
        <w:rPr>
          <w:lang w:eastAsia="ja-JP"/>
        </w:rPr>
        <w:t xml:space="preserve">analyses. </w:t>
      </w:r>
      <w:r w:rsidR="00404F61">
        <w:rPr>
          <w:lang w:eastAsia="ja-JP"/>
        </w:rPr>
        <w:t>The sponsor</w:t>
      </w:r>
      <w:r w:rsidR="00F0343F">
        <w:rPr>
          <w:lang w:eastAsia="ja-JP"/>
        </w:rPr>
        <w:t xml:space="preserve"> also submitted two Phase I </w:t>
      </w:r>
      <w:r w:rsidR="008F78F8">
        <w:rPr>
          <w:lang w:eastAsia="ja-JP"/>
        </w:rPr>
        <w:t xml:space="preserve">studies </w:t>
      </w:r>
      <w:r>
        <w:rPr>
          <w:lang w:eastAsia="ja-JP"/>
        </w:rPr>
        <w:t>(</w:t>
      </w:r>
      <w:r w:rsidR="008F78F8">
        <w:rPr>
          <w:lang w:eastAsia="ja-JP"/>
        </w:rPr>
        <w:t xml:space="preserve">Studies </w:t>
      </w:r>
      <w:r>
        <w:rPr>
          <w:lang w:eastAsia="ja-JP"/>
        </w:rPr>
        <w:t>CGAA and CGAE) with a major emphasis on PK and PD, and two bioequiv</w:t>
      </w:r>
      <w:r w:rsidR="00F0343F">
        <w:rPr>
          <w:lang w:eastAsia="ja-JP"/>
        </w:rPr>
        <w:t xml:space="preserve">alence </w:t>
      </w:r>
      <w:r w:rsidR="008F78F8">
        <w:rPr>
          <w:lang w:eastAsia="ja-JP"/>
        </w:rPr>
        <w:t xml:space="preserve">studies </w:t>
      </w:r>
      <w:r w:rsidR="00EC7347">
        <w:rPr>
          <w:lang w:eastAsia="ja-JP"/>
        </w:rPr>
        <w:t>(</w:t>
      </w:r>
      <w:r w:rsidR="008F78F8">
        <w:rPr>
          <w:lang w:eastAsia="ja-JP"/>
        </w:rPr>
        <w:t xml:space="preserve">Studies </w:t>
      </w:r>
      <w:r w:rsidR="00EC7347">
        <w:rPr>
          <w:lang w:eastAsia="ja-JP"/>
        </w:rPr>
        <w:t>CGAO and CGAQ).</w:t>
      </w:r>
    </w:p>
    <w:p w14:paraId="5C57A196" w14:textId="3C96B3AD" w:rsidR="00960170" w:rsidRDefault="00960170" w:rsidP="00EC7347">
      <w:pPr>
        <w:rPr>
          <w:lang w:eastAsia="ja-JP"/>
        </w:rPr>
      </w:pPr>
      <w:r>
        <w:rPr>
          <w:lang w:eastAsia="ja-JP"/>
        </w:rPr>
        <w:t>The dossier also contains a proposed PI and Consumer Medicines Information</w:t>
      </w:r>
      <w:r w:rsidR="008C7731">
        <w:rPr>
          <w:lang w:eastAsia="ja-JP"/>
        </w:rPr>
        <w:t xml:space="preserve"> (CMI)</w:t>
      </w:r>
      <w:r>
        <w:rPr>
          <w:lang w:eastAsia="ja-JP"/>
        </w:rPr>
        <w:t>, Risk Management Pla</w:t>
      </w:r>
      <w:r w:rsidR="008C7731">
        <w:rPr>
          <w:lang w:eastAsia="ja-JP"/>
        </w:rPr>
        <w:t xml:space="preserve">n </w:t>
      </w:r>
      <w:r w:rsidR="00DD3D1D">
        <w:rPr>
          <w:lang w:eastAsia="ja-JP"/>
        </w:rPr>
        <w:t xml:space="preserve">(RMP) </w:t>
      </w:r>
      <w:r w:rsidR="008C7731">
        <w:rPr>
          <w:lang w:eastAsia="ja-JP"/>
        </w:rPr>
        <w:t>and</w:t>
      </w:r>
      <w:r w:rsidR="008F78F8">
        <w:rPr>
          <w:lang w:eastAsia="ja-JP"/>
        </w:rPr>
        <w:t xml:space="preserve"> Australian-specific Annex (</w:t>
      </w:r>
      <w:r w:rsidR="00DD3D1D">
        <w:rPr>
          <w:lang w:eastAsia="ja-JP"/>
        </w:rPr>
        <w:t>ASA</w:t>
      </w:r>
      <w:r w:rsidR="008F78F8">
        <w:rPr>
          <w:lang w:eastAsia="ja-JP"/>
        </w:rPr>
        <w:t>)</w:t>
      </w:r>
      <w:r w:rsidR="00DD3D1D">
        <w:rPr>
          <w:lang w:eastAsia="ja-JP"/>
        </w:rPr>
        <w:t>, a clinical overview, a summary of clinical pharmacology, a s</w:t>
      </w:r>
      <w:r>
        <w:rPr>
          <w:lang w:eastAsia="ja-JP"/>
        </w:rPr>
        <w:t>ummary of</w:t>
      </w:r>
      <w:r w:rsidR="00DD3D1D">
        <w:rPr>
          <w:lang w:eastAsia="ja-JP"/>
        </w:rPr>
        <w:t xml:space="preserve"> clinical efficacy, and a summary of clinical s</w:t>
      </w:r>
      <w:r>
        <w:rPr>
          <w:lang w:eastAsia="ja-JP"/>
        </w:rPr>
        <w:t xml:space="preserve">afety, along with </w:t>
      </w:r>
      <w:r w:rsidR="00EC7347">
        <w:rPr>
          <w:lang w:eastAsia="ja-JP"/>
        </w:rPr>
        <w:t>relevant literature references.</w:t>
      </w:r>
    </w:p>
    <w:p w14:paraId="28DEEFD4" w14:textId="43BCECAB" w:rsidR="00960170" w:rsidRDefault="007F1E71" w:rsidP="007F1E71">
      <w:pPr>
        <w:pStyle w:val="TableTitle"/>
        <w:rPr>
          <w:lang w:eastAsia="ja-JP"/>
        </w:rPr>
      </w:pPr>
      <w:bookmarkStart w:id="77" w:name="_Ref19012694"/>
      <w:bookmarkStart w:id="78" w:name="_Toc536533248"/>
      <w:r>
        <w:lastRenderedPageBreak/>
        <w:t xml:space="preserve">Table </w:t>
      </w:r>
      <w:fldSimple w:instr=" SEQ Table \* ARABIC ">
        <w:r>
          <w:rPr>
            <w:noProof/>
          </w:rPr>
          <w:t>6</w:t>
        </w:r>
      </w:fldSimple>
      <w:bookmarkEnd w:id="77"/>
      <w:r w:rsidR="008C7731">
        <w:t>:</w:t>
      </w:r>
      <w:r w:rsidR="00713B7C">
        <w:t xml:space="preserve"> Overview of major s</w:t>
      </w:r>
      <w:r w:rsidR="00960170">
        <w:t xml:space="preserve">tudies in the </w:t>
      </w:r>
      <w:r w:rsidR="00713B7C">
        <w:t>c</w:t>
      </w:r>
      <w:r w:rsidR="008C7731">
        <w:t xml:space="preserve">linical </w:t>
      </w:r>
      <w:r w:rsidR="00713B7C">
        <w:t>d</w:t>
      </w:r>
      <w:r w:rsidR="00960170">
        <w:t>ossier</w:t>
      </w:r>
      <w:bookmarkEnd w:id="78"/>
    </w:p>
    <w:p w14:paraId="0BA366EB" w14:textId="77777777" w:rsidR="00500337" w:rsidRPr="00500337" w:rsidRDefault="00960170" w:rsidP="00500337">
      <w:pPr>
        <w:rPr>
          <w:lang w:eastAsia="ja-JP"/>
        </w:rPr>
      </w:pPr>
      <w:r>
        <w:rPr>
          <w:b/>
          <w:i/>
          <w:noProof/>
          <w:lang w:eastAsia="en-AU"/>
        </w:rPr>
        <w:drawing>
          <wp:inline distT="0" distB="0" distL="0" distR="0" wp14:anchorId="3C3DAB01" wp14:editId="24D60714">
            <wp:extent cx="5391150" cy="2978139"/>
            <wp:effectExtent l="0" t="0" r="0" b="0"/>
            <wp:docPr id="1" name="Picture 1" descr="Overview of major studies in the clinical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2978139"/>
                    </a:xfrm>
                    <a:prstGeom prst="rect">
                      <a:avLst/>
                    </a:prstGeom>
                    <a:noFill/>
                    <a:ln>
                      <a:noFill/>
                    </a:ln>
                  </pic:spPr>
                </pic:pic>
              </a:graphicData>
            </a:graphic>
          </wp:inline>
        </w:drawing>
      </w:r>
    </w:p>
    <w:p w14:paraId="16B0031D" w14:textId="77777777" w:rsidR="00605AD4" w:rsidRDefault="00605AD4" w:rsidP="00605AD4">
      <w:pPr>
        <w:pStyle w:val="Heading4"/>
      </w:pPr>
      <w:r w:rsidRPr="00605AD4">
        <w:t>Paediatric data</w:t>
      </w:r>
    </w:p>
    <w:p w14:paraId="79743CC8" w14:textId="77777777" w:rsidR="00500337" w:rsidRPr="00500337" w:rsidRDefault="00960170" w:rsidP="00EC7347">
      <w:pPr>
        <w:rPr>
          <w:lang w:eastAsia="ja-JP"/>
        </w:rPr>
      </w:pPr>
      <w:r>
        <w:rPr>
          <w:lang w:eastAsia="ja-JP"/>
        </w:rPr>
        <w:t>The submission contains no paediatric data. The proposed indication explicitly refers to use in adults.</w:t>
      </w:r>
    </w:p>
    <w:p w14:paraId="7B4CCF45" w14:textId="77777777" w:rsidR="00605AD4" w:rsidRDefault="00605AD4" w:rsidP="00605AD4">
      <w:pPr>
        <w:pStyle w:val="Heading4"/>
      </w:pPr>
      <w:r w:rsidRPr="00605AD4">
        <w:t>Good clinical practice</w:t>
      </w:r>
    </w:p>
    <w:p w14:paraId="4CB88BC4" w14:textId="77777777" w:rsidR="00500337" w:rsidRPr="00500337" w:rsidRDefault="00960170" w:rsidP="00EC7347">
      <w:pPr>
        <w:rPr>
          <w:lang w:eastAsia="ja-JP"/>
        </w:rPr>
      </w:pPr>
      <w:r>
        <w:rPr>
          <w:lang w:eastAsia="ja-JP"/>
        </w:rPr>
        <w:t>The submitted studies were conducted in accordance with the principles of Good Clinical Practice (GCP).</w:t>
      </w:r>
    </w:p>
    <w:p w14:paraId="5ED6C83A" w14:textId="77777777" w:rsidR="008E7846" w:rsidRDefault="008E7846" w:rsidP="00605AD4">
      <w:pPr>
        <w:pStyle w:val="Heading3"/>
      </w:pPr>
      <w:bookmarkStart w:id="79" w:name="_Toc20822173"/>
      <w:r w:rsidRPr="00254787">
        <w:t>Pharmacokinetics</w:t>
      </w:r>
      <w:bookmarkEnd w:id="64"/>
      <w:bookmarkEnd w:id="71"/>
      <w:bookmarkEnd w:id="72"/>
      <w:bookmarkEnd w:id="73"/>
      <w:bookmarkEnd w:id="79"/>
    </w:p>
    <w:p w14:paraId="70CC33BB" w14:textId="77777777" w:rsidR="00605AD4" w:rsidRDefault="00605AD4" w:rsidP="00605AD4">
      <w:pPr>
        <w:pStyle w:val="Heading4"/>
      </w:pPr>
      <w:r>
        <w:t>Studies</w:t>
      </w:r>
      <w:r w:rsidR="00500337">
        <w:t xml:space="preserve"> providing pharmacokinetic data</w:t>
      </w:r>
    </w:p>
    <w:p w14:paraId="64E984E4" w14:textId="28949F5F" w:rsidR="00960170" w:rsidRDefault="00404F61" w:rsidP="00EC7347">
      <w:pPr>
        <w:rPr>
          <w:lang w:eastAsia="ja-JP"/>
        </w:rPr>
      </w:pPr>
      <w:r>
        <w:rPr>
          <w:lang w:eastAsia="ja-JP"/>
        </w:rPr>
        <w:t>The sponsor</w:t>
      </w:r>
      <w:r w:rsidR="00960170">
        <w:rPr>
          <w:lang w:eastAsia="ja-JP"/>
        </w:rPr>
        <w:t xml:space="preserve"> listed seven studies that provided </w:t>
      </w:r>
      <w:r w:rsidR="008C7731">
        <w:rPr>
          <w:lang w:eastAsia="ja-JP"/>
        </w:rPr>
        <w:t>PK and PD</w:t>
      </w:r>
      <w:r w:rsidR="00960170">
        <w:rPr>
          <w:lang w:eastAsia="ja-JP"/>
        </w:rPr>
        <w:t xml:space="preserve"> data, inc</w:t>
      </w:r>
      <w:r w:rsidR="00F0343F">
        <w:rPr>
          <w:lang w:eastAsia="ja-JP"/>
        </w:rPr>
        <w:t xml:space="preserve">luding </w:t>
      </w:r>
      <w:r w:rsidR="00120BAC">
        <w:rPr>
          <w:lang w:eastAsia="ja-JP"/>
        </w:rPr>
        <w:t xml:space="preserve">three </w:t>
      </w:r>
      <w:r w:rsidR="00F0343F">
        <w:rPr>
          <w:lang w:eastAsia="ja-JP"/>
        </w:rPr>
        <w:t>Phase</w:t>
      </w:r>
      <w:r w:rsidR="008F78F8">
        <w:rPr>
          <w:lang w:eastAsia="ja-JP"/>
        </w:rPr>
        <w:t> </w:t>
      </w:r>
      <w:r w:rsidR="00F0343F">
        <w:rPr>
          <w:lang w:eastAsia="ja-JP"/>
        </w:rPr>
        <w:t xml:space="preserve">III efficacy </w:t>
      </w:r>
      <w:r w:rsidR="008F78F8">
        <w:rPr>
          <w:lang w:eastAsia="ja-JP"/>
        </w:rPr>
        <w:t xml:space="preserve">studies </w:t>
      </w:r>
      <w:r w:rsidR="00960170">
        <w:rPr>
          <w:lang w:eastAsia="ja-JP"/>
        </w:rPr>
        <w:t>(</w:t>
      </w:r>
      <w:r w:rsidR="008F78F8">
        <w:rPr>
          <w:lang w:eastAsia="ja-JP"/>
        </w:rPr>
        <w:t xml:space="preserve">Studies </w:t>
      </w:r>
      <w:r w:rsidR="00960170">
        <w:rPr>
          <w:lang w:eastAsia="ja-JP"/>
        </w:rPr>
        <w:t>CGAG, CGAH</w:t>
      </w:r>
      <w:r w:rsidR="008F78F8">
        <w:rPr>
          <w:lang w:eastAsia="ja-JP"/>
        </w:rPr>
        <w:t xml:space="preserve"> and</w:t>
      </w:r>
      <w:r w:rsidR="00960170">
        <w:rPr>
          <w:lang w:eastAsia="ja-JP"/>
        </w:rPr>
        <w:t xml:space="preserve"> CGAI</w:t>
      </w:r>
      <w:r w:rsidR="00120BAC">
        <w:rPr>
          <w:lang w:eastAsia="ja-JP"/>
        </w:rPr>
        <w:t>) and one long term safety study (</w:t>
      </w:r>
      <w:r w:rsidR="008F78F8">
        <w:rPr>
          <w:lang w:eastAsia="ja-JP"/>
        </w:rPr>
        <w:t xml:space="preserve">Study </w:t>
      </w:r>
      <w:r w:rsidR="00960170">
        <w:rPr>
          <w:lang w:eastAsia="ja-JP"/>
        </w:rPr>
        <w:t>C</w:t>
      </w:r>
      <w:r w:rsidR="00F0343F">
        <w:rPr>
          <w:lang w:eastAsia="ja-JP"/>
        </w:rPr>
        <w:t xml:space="preserve">GAJ) and one Phase II efficacy </w:t>
      </w:r>
      <w:r w:rsidR="008F78F8">
        <w:rPr>
          <w:lang w:eastAsia="ja-JP"/>
        </w:rPr>
        <w:t xml:space="preserve">study </w:t>
      </w:r>
      <w:r w:rsidR="00960170">
        <w:rPr>
          <w:lang w:eastAsia="ja-JP"/>
        </w:rPr>
        <w:t>(</w:t>
      </w:r>
      <w:r w:rsidR="008F78F8">
        <w:rPr>
          <w:lang w:eastAsia="ja-JP"/>
        </w:rPr>
        <w:t xml:space="preserve">Study </w:t>
      </w:r>
      <w:r w:rsidR="00960170">
        <w:rPr>
          <w:lang w:eastAsia="ja-JP"/>
        </w:rPr>
        <w:t>CGAB), which are descr</w:t>
      </w:r>
      <w:r w:rsidR="00713B7C">
        <w:rPr>
          <w:lang w:eastAsia="ja-JP"/>
        </w:rPr>
        <w:t>ibed in the Efficacy s</w:t>
      </w:r>
      <w:r w:rsidR="00960170">
        <w:rPr>
          <w:lang w:eastAsia="ja-JP"/>
        </w:rPr>
        <w:t xml:space="preserve">ection of this </w:t>
      </w:r>
      <w:r w:rsidR="00713B7C">
        <w:rPr>
          <w:lang w:eastAsia="ja-JP"/>
        </w:rPr>
        <w:t>document</w:t>
      </w:r>
      <w:r w:rsidR="00F0343F">
        <w:rPr>
          <w:lang w:eastAsia="ja-JP"/>
        </w:rPr>
        <w:t xml:space="preserve">. Additionally, two Phase I </w:t>
      </w:r>
      <w:r w:rsidR="008F78F8">
        <w:rPr>
          <w:lang w:eastAsia="ja-JP"/>
        </w:rPr>
        <w:t xml:space="preserve">studies </w:t>
      </w:r>
      <w:r w:rsidR="00960170">
        <w:rPr>
          <w:lang w:eastAsia="ja-JP"/>
        </w:rPr>
        <w:t>(</w:t>
      </w:r>
      <w:r w:rsidR="008F78F8">
        <w:rPr>
          <w:lang w:eastAsia="ja-JP"/>
        </w:rPr>
        <w:t xml:space="preserve">Studies </w:t>
      </w:r>
      <w:r w:rsidR="00960170">
        <w:rPr>
          <w:lang w:eastAsia="ja-JP"/>
        </w:rPr>
        <w:t>CGAA and CGAE) with a major emphasis on PK and PD</w:t>
      </w:r>
      <w:r w:rsidR="00713B7C">
        <w:rPr>
          <w:lang w:eastAsia="ja-JP"/>
        </w:rPr>
        <w:t xml:space="preserve"> were submitted</w:t>
      </w:r>
      <w:r w:rsidR="00960170">
        <w:rPr>
          <w:lang w:eastAsia="ja-JP"/>
        </w:rPr>
        <w:t>, which al</w:t>
      </w:r>
      <w:r w:rsidR="00F0343F">
        <w:rPr>
          <w:lang w:eastAsia="ja-JP"/>
        </w:rPr>
        <w:t xml:space="preserve">so included two </w:t>
      </w:r>
      <w:r w:rsidR="00120BAC">
        <w:rPr>
          <w:lang w:eastAsia="ja-JP"/>
        </w:rPr>
        <w:t>relative bioav</w:t>
      </w:r>
      <w:r w:rsidR="00A769B1">
        <w:rPr>
          <w:lang w:eastAsia="ja-JP"/>
        </w:rPr>
        <w:t xml:space="preserve">ailability </w:t>
      </w:r>
      <w:r w:rsidR="008F78F8">
        <w:rPr>
          <w:lang w:eastAsia="ja-JP"/>
        </w:rPr>
        <w:t xml:space="preserve">studies </w:t>
      </w:r>
      <w:r w:rsidR="00960170">
        <w:rPr>
          <w:lang w:eastAsia="ja-JP"/>
        </w:rPr>
        <w:t>(</w:t>
      </w:r>
      <w:r w:rsidR="008F78F8">
        <w:rPr>
          <w:lang w:eastAsia="ja-JP"/>
        </w:rPr>
        <w:t>Studies </w:t>
      </w:r>
      <w:r w:rsidR="00960170">
        <w:rPr>
          <w:lang w:eastAsia="ja-JP"/>
        </w:rPr>
        <w:t>CGAO and CGAQ).</w:t>
      </w:r>
    </w:p>
    <w:p w14:paraId="6D9C17AF" w14:textId="25005F74" w:rsidR="00960170" w:rsidRDefault="007F1E71" w:rsidP="007F1E71">
      <w:pPr>
        <w:pStyle w:val="TableTitle"/>
        <w:rPr>
          <w:lang w:eastAsia="ja-JP"/>
        </w:rPr>
      </w:pPr>
      <w:bookmarkStart w:id="80" w:name="_Ref19012755"/>
      <w:bookmarkStart w:id="81" w:name="_Ref520882214"/>
      <w:bookmarkStart w:id="82" w:name="_Toc536533254"/>
      <w:r>
        <w:lastRenderedPageBreak/>
        <w:t xml:space="preserve">Table </w:t>
      </w:r>
      <w:fldSimple w:instr=" SEQ Table \* ARABIC ">
        <w:r>
          <w:rPr>
            <w:noProof/>
          </w:rPr>
          <w:t>7</w:t>
        </w:r>
      </w:fldSimple>
      <w:bookmarkEnd w:id="80"/>
      <w:r w:rsidR="00710D82">
        <w:t>:</w:t>
      </w:r>
      <w:r w:rsidR="00713B7C">
        <w:t xml:space="preserve"> Studies p</w:t>
      </w:r>
      <w:r w:rsidR="00960170">
        <w:t>rovidi</w:t>
      </w:r>
      <w:r w:rsidR="00713B7C">
        <w:t>ng PK and PD d</w:t>
      </w:r>
      <w:r w:rsidR="00960170">
        <w:t>ata</w:t>
      </w:r>
      <w:bookmarkEnd w:id="81"/>
      <w:bookmarkEnd w:id="82"/>
    </w:p>
    <w:p w14:paraId="18459441" w14:textId="77777777" w:rsidR="00960170" w:rsidRDefault="00960170" w:rsidP="00960170">
      <w:pPr>
        <w:rPr>
          <w:lang w:eastAsia="ja-JP"/>
        </w:rPr>
      </w:pPr>
      <w:r>
        <w:rPr>
          <w:noProof/>
          <w:lang w:eastAsia="en-AU"/>
        </w:rPr>
        <w:drawing>
          <wp:inline distT="0" distB="0" distL="0" distR="0" wp14:anchorId="41DA4935" wp14:editId="6E373FE8">
            <wp:extent cx="5419725" cy="3898241"/>
            <wp:effectExtent l="0" t="0" r="0" b="7620"/>
            <wp:docPr id="2" name="Picture 2" descr="Studies Providing Pharmacokinetic and Pharmacodynam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3898241"/>
                    </a:xfrm>
                    <a:prstGeom prst="rect">
                      <a:avLst/>
                    </a:prstGeom>
                    <a:noFill/>
                    <a:ln>
                      <a:noFill/>
                    </a:ln>
                  </pic:spPr>
                </pic:pic>
              </a:graphicData>
            </a:graphic>
          </wp:inline>
        </w:drawing>
      </w:r>
    </w:p>
    <w:p w14:paraId="405548DF" w14:textId="616BC94E" w:rsidR="00960170" w:rsidRPr="00EC7347" w:rsidRDefault="008F78F8" w:rsidP="009C06C5">
      <w:pPr>
        <w:pStyle w:val="FigureDescription"/>
        <w:rPr>
          <w:lang w:eastAsia="ja-JP"/>
        </w:rPr>
      </w:pPr>
      <w:r>
        <w:rPr>
          <w:lang w:eastAsia="ja-JP"/>
        </w:rPr>
        <w:t xml:space="preserve">Note: </w:t>
      </w:r>
      <w:r w:rsidR="00A769B1">
        <w:rPr>
          <w:lang w:eastAsia="ja-JP"/>
        </w:rPr>
        <w:t>Relative bioavailability</w:t>
      </w:r>
      <w:r w:rsidR="00F0343F">
        <w:rPr>
          <w:lang w:eastAsia="ja-JP"/>
        </w:rPr>
        <w:t xml:space="preserve"> S</w:t>
      </w:r>
      <w:r w:rsidR="00960170" w:rsidRPr="006B440B">
        <w:rPr>
          <w:lang w:eastAsia="ja-JP"/>
        </w:rPr>
        <w:t xml:space="preserve">tudies CGAO and CGAQ </w:t>
      </w:r>
      <w:r>
        <w:rPr>
          <w:lang w:eastAsia="ja-JP"/>
        </w:rPr>
        <w:t xml:space="preserve">are </w:t>
      </w:r>
      <w:r w:rsidR="00960170" w:rsidRPr="006B440B">
        <w:rPr>
          <w:lang w:eastAsia="ja-JP"/>
        </w:rPr>
        <w:t>not included</w:t>
      </w:r>
      <w:r>
        <w:rPr>
          <w:lang w:eastAsia="ja-JP"/>
        </w:rPr>
        <w:t xml:space="preserve"> in the table above</w:t>
      </w:r>
      <w:r w:rsidR="00960170" w:rsidRPr="006B440B">
        <w:rPr>
          <w:lang w:eastAsia="ja-JP"/>
        </w:rPr>
        <w:t>.</w:t>
      </w:r>
    </w:p>
    <w:p w14:paraId="22D962E3" w14:textId="29F60CF5" w:rsidR="00960170" w:rsidRDefault="00404F61" w:rsidP="00EC7347">
      <w:pPr>
        <w:rPr>
          <w:lang w:eastAsia="ja-JP"/>
        </w:rPr>
      </w:pPr>
      <w:r w:rsidRPr="008C7731">
        <w:rPr>
          <w:lang w:eastAsia="ja-JP"/>
        </w:rPr>
        <w:t>The sponsor</w:t>
      </w:r>
      <w:r w:rsidR="00960170" w:rsidRPr="008C7731">
        <w:rPr>
          <w:lang w:eastAsia="ja-JP"/>
        </w:rPr>
        <w:t xml:space="preserve"> also performed a population-PK analysis, </w:t>
      </w:r>
      <w:r w:rsidR="00EF16A8">
        <w:rPr>
          <w:lang w:eastAsia="ja-JP"/>
        </w:rPr>
        <w:t xml:space="preserve">based on data from two Phase I </w:t>
      </w:r>
      <w:r w:rsidR="008F78F8">
        <w:rPr>
          <w:lang w:eastAsia="ja-JP"/>
        </w:rPr>
        <w:t>s</w:t>
      </w:r>
      <w:r w:rsidR="008F78F8" w:rsidRPr="008C7731">
        <w:rPr>
          <w:lang w:eastAsia="ja-JP"/>
        </w:rPr>
        <w:t>tudi</w:t>
      </w:r>
      <w:r w:rsidR="008F78F8">
        <w:rPr>
          <w:lang w:eastAsia="ja-JP"/>
        </w:rPr>
        <w:t xml:space="preserve">es </w:t>
      </w:r>
      <w:r w:rsidR="00EF16A8">
        <w:rPr>
          <w:lang w:eastAsia="ja-JP"/>
        </w:rPr>
        <w:t>(</w:t>
      </w:r>
      <w:r w:rsidR="008F78F8">
        <w:rPr>
          <w:lang w:eastAsia="ja-JP"/>
        </w:rPr>
        <w:t xml:space="preserve">Studies </w:t>
      </w:r>
      <w:r w:rsidR="00EF16A8">
        <w:rPr>
          <w:lang w:eastAsia="ja-JP"/>
        </w:rPr>
        <w:t xml:space="preserve">CGAE and CGAO), a Phase II </w:t>
      </w:r>
      <w:r w:rsidR="008F78F8">
        <w:rPr>
          <w:lang w:eastAsia="ja-JP"/>
        </w:rPr>
        <w:t>s</w:t>
      </w:r>
      <w:r w:rsidR="008F78F8" w:rsidRPr="008C7731">
        <w:rPr>
          <w:lang w:eastAsia="ja-JP"/>
        </w:rPr>
        <w:t xml:space="preserve">tudy </w:t>
      </w:r>
      <w:r w:rsidR="00960170" w:rsidRPr="008C7731">
        <w:rPr>
          <w:lang w:eastAsia="ja-JP"/>
        </w:rPr>
        <w:t>in patients with episodic migraine (</w:t>
      </w:r>
      <w:r w:rsidR="008F78F8">
        <w:rPr>
          <w:lang w:eastAsia="ja-JP"/>
        </w:rPr>
        <w:t xml:space="preserve">Study </w:t>
      </w:r>
      <w:r w:rsidR="00960170" w:rsidRPr="008C7731">
        <w:rPr>
          <w:lang w:eastAsia="ja-JP"/>
        </w:rPr>
        <w:t>CGAB), and the pivotal Phase III stu</w:t>
      </w:r>
      <w:r w:rsidR="00DF6167">
        <w:rPr>
          <w:lang w:eastAsia="ja-JP"/>
        </w:rPr>
        <w:t xml:space="preserve">dies. The open </w:t>
      </w:r>
      <w:r w:rsidR="00EF16A8">
        <w:rPr>
          <w:lang w:eastAsia="ja-JP"/>
        </w:rPr>
        <w:t>label Phase III S</w:t>
      </w:r>
      <w:r w:rsidR="00960170" w:rsidRPr="008C7731">
        <w:rPr>
          <w:lang w:eastAsia="ja-JP"/>
        </w:rPr>
        <w:t>tudy</w:t>
      </w:r>
      <w:r w:rsidR="008F78F8">
        <w:rPr>
          <w:lang w:eastAsia="ja-JP"/>
        </w:rPr>
        <w:t> </w:t>
      </w:r>
      <w:r w:rsidR="00960170" w:rsidRPr="008C7731">
        <w:rPr>
          <w:lang w:eastAsia="ja-JP"/>
        </w:rPr>
        <w:t xml:space="preserve">CGAJ, in patients with episodic and chronic migraine, was used to </w:t>
      </w:r>
      <w:r w:rsidR="00EC7347" w:rsidRPr="008C7731">
        <w:rPr>
          <w:lang w:eastAsia="ja-JP"/>
        </w:rPr>
        <w:t>test the model.</w:t>
      </w:r>
    </w:p>
    <w:p w14:paraId="08B36A12" w14:textId="77777777" w:rsidR="00025E01" w:rsidRDefault="003C76F3" w:rsidP="003C76F3">
      <w:pPr>
        <w:pStyle w:val="Heading4"/>
        <w:rPr>
          <w:lang w:eastAsia="ja-JP"/>
        </w:rPr>
      </w:pPr>
      <w:r>
        <w:rPr>
          <w:lang w:eastAsia="ja-JP"/>
        </w:rPr>
        <w:t>Anti</w:t>
      </w:r>
      <w:r>
        <w:rPr>
          <w:rStyle w:val="CommentReference"/>
        </w:rPr>
        <w:t>-</w:t>
      </w:r>
      <w:r>
        <w:rPr>
          <w:lang w:eastAsia="ja-JP"/>
        </w:rPr>
        <w:t>drug antibodies</w:t>
      </w:r>
    </w:p>
    <w:p w14:paraId="65F8F294" w14:textId="456C05B7" w:rsidR="003C76F3" w:rsidRDefault="008F78F8" w:rsidP="00B916AE">
      <w:r>
        <w:t>Anti-drug antibodies (</w:t>
      </w:r>
      <w:r w:rsidR="003C76F3">
        <w:t>ADA</w:t>
      </w:r>
      <w:r>
        <w:t>)</w:t>
      </w:r>
      <w:r w:rsidR="003C76F3">
        <w:t xml:space="preserve"> are a potential problem with all </w:t>
      </w:r>
      <w:proofErr w:type="spellStart"/>
      <w:r w:rsidR="003C76F3">
        <w:t>mAb</w:t>
      </w:r>
      <w:proofErr w:type="spellEnd"/>
      <w:r w:rsidR="003C76F3">
        <w:t xml:space="preserve"> therapies; they are antibodies that are formed endogenously and that bind with the exogenous, therapeutic monoclonal antibody. Usually, ADA are stimulated by treatment (</w:t>
      </w:r>
      <w:r>
        <w:t>treatment-emergent anti-drug antibodies (</w:t>
      </w:r>
      <w:r w:rsidR="00B916AE">
        <w:t>TE</w:t>
      </w:r>
      <w:r w:rsidR="003C76F3">
        <w:t xml:space="preserve"> ADA</w:t>
      </w:r>
      <w:r>
        <w:t>)</w:t>
      </w:r>
      <w:r w:rsidR="003C76F3">
        <w:t xml:space="preserve">), and in this setting represent an immune response to the exogenous protein, but ADA may also be present prior to exposure, because the subject’s endogenous baseline repertoire of antibodies happens to include some antibodies with an antigen-binding site that matches some feature present on the </w:t>
      </w:r>
      <w:proofErr w:type="spellStart"/>
      <w:r w:rsidR="003C76F3">
        <w:t>mAb</w:t>
      </w:r>
      <w:proofErr w:type="spellEnd"/>
      <w:r w:rsidR="003C76F3">
        <w:t xml:space="preserve">. By binding with the therapeutic monoclonal antibody and by potentially interfering with the binding of the </w:t>
      </w:r>
      <w:proofErr w:type="spellStart"/>
      <w:r w:rsidR="003C76F3">
        <w:t>mAb</w:t>
      </w:r>
      <w:proofErr w:type="spellEnd"/>
      <w:r w:rsidR="003C76F3">
        <w:t xml:space="preserve"> to its intended target, and potentially stimulating an immune response to therapy, ADA may have impacts on the PK, PD, efficacy and safety of a </w:t>
      </w:r>
      <w:proofErr w:type="spellStart"/>
      <w:r w:rsidR="003C76F3">
        <w:t>mAb</w:t>
      </w:r>
      <w:proofErr w:type="spellEnd"/>
      <w:r w:rsidR="003C76F3">
        <w:t>.</w:t>
      </w:r>
    </w:p>
    <w:p w14:paraId="1A7F00E5" w14:textId="70539C4A" w:rsidR="003C76F3" w:rsidRDefault="003C76F3" w:rsidP="00B916AE">
      <w:r>
        <w:t xml:space="preserve">In the case of </w:t>
      </w:r>
      <w:proofErr w:type="spellStart"/>
      <w:r>
        <w:t>galcanezumab</w:t>
      </w:r>
      <w:proofErr w:type="spellEnd"/>
      <w:r>
        <w:t xml:space="preserve">, ADA were present </w:t>
      </w:r>
      <w:r w:rsidRPr="003C76F3">
        <w:t>at baseline</w:t>
      </w:r>
      <w:r>
        <w:t xml:space="preserve"> in a small proportion of subjects during the pivotal studies (~ 8%), and in more than half of these subjects (~</w:t>
      </w:r>
      <w:r w:rsidR="00B916AE">
        <w:t xml:space="preserve"> </w:t>
      </w:r>
      <w:r>
        <w:t>5% of all subjects), the antibodies were neutralising antibodies (</w:t>
      </w:r>
      <w:proofErr w:type="spellStart"/>
      <w:r>
        <w:t>NAb</w:t>
      </w:r>
      <w:proofErr w:type="spellEnd"/>
      <w:r>
        <w:t xml:space="preserve">), which prevented the </w:t>
      </w:r>
      <w:proofErr w:type="spellStart"/>
      <w:r>
        <w:t>galcanezumab</w:t>
      </w:r>
      <w:proofErr w:type="spellEnd"/>
      <w:r>
        <w:t xml:space="preserve">-ADA complex from binding CGRP </w:t>
      </w:r>
      <w:r w:rsidRPr="005E3E0A">
        <w:rPr>
          <w:i/>
        </w:rPr>
        <w:t>in vitro</w:t>
      </w:r>
      <w:r>
        <w:t xml:space="preserve">. </w:t>
      </w:r>
      <w:r w:rsidR="007F1E71">
        <w:fldChar w:fldCharType="begin"/>
      </w:r>
      <w:r w:rsidR="007F1E71">
        <w:instrText xml:space="preserve"> REF _Ref19012739 \h </w:instrText>
      </w:r>
      <w:r w:rsidR="007F1E71">
        <w:fldChar w:fldCharType="separate"/>
      </w:r>
      <w:r w:rsidR="007F1E71">
        <w:t xml:space="preserve">Table </w:t>
      </w:r>
      <w:r w:rsidR="007F1E71">
        <w:rPr>
          <w:noProof/>
        </w:rPr>
        <w:t>8</w:t>
      </w:r>
      <w:r w:rsidR="007F1E71">
        <w:fldChar w:fldCharType="end"/>
      </w:r>
      <w:r>
        <w:t xml:space="preserve"> shows the baseline prevalence of ADA and </w:t>
      </w:r>
      <w:proofErr w:type="spellStart"/>
      <w:r>
        <w:t>NAb</w:t>
      </w:r>
      <w:proofErr w:type="spellEnd"/>
      <w:r>
        <w:t xml:space="preserve"> for the</w:t>
      </w:r>
      <w:r w:rsidR="00077F43">
        <w:t xml:space="preserve"> two pivotal episodic migraine </w:t>
      </w:r>
      <w:r w:rsidR="008F78F8">
        <w:t xml:space="preserve">studies </w:t>
      </w:r>
      <w:r>
        <w:t>(</w:t>
      </w:r>
      <w:r w:rsidR="008F78F8">
        <w:t>Studies </w:t>
      </w:r>
      <w:r>
        <w:t>CGAG and CGAH, pooled), the pi</w:t>
      </w:r>
      <w:r w:rsidR="00077F43">
        <w:t xml:space="preserve">votal chronic migraine </w:t>
      </w:r>
      <w:r w:rsidR="008F78F8">
        <w:t xml:space="preserve">study </w:t>
      </w:r>
      <w:r>
        <w:t>(</w:t>
      </w:r>
      <w:r w:rsidR="008F78F8">
        <w:t xml:space="preserve">Study </w:t>
      </w:r>
      <w:r>
        <w:t>CGAI) and the ope</w:t>
      </w:r>
      <w:r w:rsidR="00077F43">
        <w:t xml:space="preserve">n-label Phase III </w:t>
      </w:r>
      <w:r w:rsidR="008F78F8">
        <w:t xml:space="preserve">study </w:t>
      </w:r>
      <w:r w:rsidR="00B916AE">
        <w:t>(</w:t>
      </w:r>
      <w:r w:rsidR="008F78F8">
        <w:t xml:space="preserve">Study </w:t>
      </w:r>
      <w:r w:rsidR="00B916AE">
        <w:t>CGAJ).</w:t>
      </w:r>
    </w:p>
    <w:p w14:paraId="1551FE9A" w14:textId="59D50E6D" w:rsidR="003C76F3" w:rsidRDefault="007F1E71" w:rsidP="007F1E71">
      <w:pPr>
        <w:pStyle w:val="TableTitle"/>
      </w:pPr>
      <w:bookmarkStart w:id="83" w:name="_Ref19012739"/>
      <w:bookmarkStart w:id="84" w:name="_Toc536533249"/>
      <w:r>
        <w:lastRenderedPageBreak/>
        <w:t xml:space="preserve">Table </w:t>
      </w:r>
      <w:fldSimple w:instr=" SEQ Table \* ARABIC ">
        <w:r>
          <w:rPr>
            <w:noProof/>
          </w:rPr>
          <w:t>8</w:t>
        </w:r>
      </w:fldSimple>
      <w:bookmarkEnd w:id="83"/>
      <w:r w:rsidR="002F2AC8">
        <w:t>:</w:t>
      </w:r>
      <w:r w:rsidR="003C76F3">
        <w:t xml:space="preserve"> Patients from Studies CGAG, CGAH, CGAI and CGAJ with </w:t>
      </w:r>
      <w:r w:rsidR="008F78F8">
        <w:t>anti</w:t>
      </w:r>
      <w:r w:rsidR="003C76F3">
        <w:t xml:space="preserve">-drug </w:t>
      </w:r>
      <w:r w:rsidR="008F78F8">
        <w:t xml:space="preserve">antibodies </w:t>
      </w:r>
      <w:r w:rsidR="003C76F3">
        <w:t xml:space="preserve">and </w:t>
      </w:r>
      <w:r w:rsidR="008F78F8">
        <w:t xml:space="preserve">neutralising antibodies present </w:t>
      </w:r>
      <w:r w:rsidR="003C76F3">
        <w:t>at Baseline</w:t>
      </w:r>
      <w:bookmarkEnd w:id="84"/>
    </w:p>
    <w:p w14:paraId="05A11046" w14:textId="77777777" w:rsidR="003C76F3" w:rsidRDefault="003C76F3" w:rsidP="003C76F3">
      <w:r>
        <w:rPr>
          <w:noProof/>
          <w:lang w:eastAsia="en-AU"/>
        </w:rPr>
        <w:drawing>
          <wp:inline distT="0" distB="0" distL="0" distR="0" wp14:anchorId="589B9653" wp14:editId="63E2CF7B">
            <wp:extent cx="5347411" cy="2464614"/>
            <wp:effectExtent l="0" t="0" r="5715" b="0"/>
            <wp:docPr id="36" name="Picture 36" descr="Patients from Studies CGAG, CGAH, CGAI, and CGAJ with Anti-drug Antibodies and Neutralizing Antibodies Presen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4353" cy="2463204"/>
                    </a:xfrm>
                    <a:prstGeom prst="rect">
                      <a:avLst/>
                    </a:prstGeom>
                    <a:noFill/>
                    <a:ln>
                      <a:noFill/>
                    </a:ln>
                  </pic:spPr>
                </pic:pic>
              </a:graphicData>
            </a:graphic>
          </wp:inline>
        </w:drawing>
      </w:r>
    </w:p>
    <w:p w14:paraId="0EF9F4FF" w14:textId="77777777" w:rsidR="003C76F3" w:rsidRDefault="003C76F3" w:rsidP="00B916AE">
      <w:r>
        <w:t xml:space="preserve">With exposure to 12 months in the open-label Phase III study, CGAJ, the overall incidence of </w:t>
      </w:r>
      <w:r w:rsidR="00B916AE">
        <w:t>TE ADA</w:t>
      </w:r>
      <w:r>
        <w:t xml:space="preserve"> was ~</w:t>
      </w:r>
      <w:r w:rsidR="00B916AE">
        <w:t xml:space="preserve"> </w:t>
      </w:r>
      <w:r>
        <w:t>9.5% (12.5% in the 120mg dose group,</w:t>
      </w:r>
      <w:r w:rsidR="00B916AE">
        <w:t xml:space="preserve"> 6.6% in the 240 mg dose group)</w:t>
      </w:r>
      <w:r>
        <w:t>. With briefer exposures, the incidence of TE ADA was less</w:t>
      </w:r>
      <w:r w:rsidR="00B916AE">
        <w:t>.</w:t>
      </w:r>
    </w:p>
    <w:p w14:paraId="26388A85" w14:textId="77777777" w:rsidR="003C76F3" w:rsidRDefault="003C76F3" w:rsidP="00B916AE">
      <w:r>
        <w:t xml:space="preserve">The effects of ADA are likely to depend strongly on the titre of ADA present. For most subjects in the Phase III </w:t>
      </w:r>
      <w:proofErr w:type="spellStart"/>
      <w:r>
        <w:t>galcanezumab</w:t>
      </w:r>
      <w:proofErr w:type="spellEnd"/>
      <w:r>
        <w:t xml:space="preserve"> study program, baseline and post-baseline ADA titres were low, and &lt;</w:t>
      </w:r>
      <w:r w:rsidR="00B916AE">
        <w:t xml:space="preserve"> </w:t>
      </w:r>
      <w:r>
        <w:t>2% of all evaluable patients developed TE ADA with a titre ≥</w:t>
      </w:r>
      <w:r w:rsidR="00B916AE">
        <w:t xml:space="preserve"> </w:t>
      </w:r>
      <w:r>
        <w:t>1:320</w:t>
      </w:r>
      <w:r w:rsidR="00B916AE">
        <w:t>.</w:t>
      </w:r>
    </w:p>
    <w:p w14:paraId="6226C66A" w14:textId="77777777" w:rsidR="003C76F3" w:rsidRDefault="003C76F3" w:rsidP="00B916AE">
      <w:r>
        <w:t xml:space="preserve">ADA did not appear to have any substantial impact on the PK, PD or efficacy of </w:t>
      </w:r>
      <w:proofErr w:type="spellStart"/>
      <w:r>
        <w:t>galcanezumab</w:t>
      </w:r>
      <w:proofErr w:type="spellEnd"/>
      <w:r>
        <w:t>. There was no definite effect on safety, either, but some weak trends were observed suggesting that TE ADA might be associated with an increased risk of hypersensitivity reactions. (Even if this association were confirmed, this would not necessarily establish a causal relationship, because the development of ADA and the development of hypersensitivity could both arise from an underlying tendency for such patients to exhi</w:t>
      </w:r>
      <w:r w:rsidR="00B916AE">
        <w:t>bit vigorous immune responses).</w:t>
      </w:r>
    </w:p>
    <w:p w14:paraId="0496AFE5" w14:textId="77777777" w:rsidR="00605AD4" w:rsidRDefault="00605AD4" w:rsidP="00605AD4">
      <w:pPr>
        <w:pStyle w:val="Heading4"/>
      </w:pPr>
      <w:r>
        <w:t>Evaluator’s conclusions on pharmacokinetics</w:t>
      </w:r>
    </w:p>
    <w:p w14:paraId="23E6A070" w14:textId="721F39B7" w:rsidR="00500337" w:rsidRPr="00500337" w:rsidRDefault="00960170" w:rsidP="00830182">
      <w:r>
        <w:t xml:space="preserve">The PK of </w:t>
      </w:r>
      <w:proofErr w:type="spellStart"/>
      <w:r>
        <w:t>galcanezumab</w:t>
      </w:r>
      <w:proofErr w:type="spellEnd"/>
      <w:r>
        <w:t xml:space="preserve"> have been adequately characterised by </w:t>
      </w:r>
      <w:r w:rsidR="00B22E42">
        <w:t>the sponsor</w:t>
      </w:r>
      <w:r>
        <w:t xml:space="preserve"> and closely resemble the PK of other IgG </w:t>
      </w:r>
      <w:proofErr w:type="spellStart"/>
      <w:r w:rsidR="00234774">
        <w:t>mAbs</w:t>
      </w:r>
      <w:proofErr w:type="spellEnd"/>
      <w:r>
        <w:t xml:space="preserve">. </w:t>
      </w:r>
      <w:r>
        <w:rPr>
          <w:lang w:eastAsia="ja-JP"/>
        </w:rPr>
        <w:t xml:space="preserve">Following subcutaneous administration, the PK of </w:t>
      </w:r>
      <w:proofErr w:type="spellStart"/>
      <w:r>
        <w:rPr>
          <w:lang w:eastAsia="ja-JP"/>
        </w:rPr>
        <w:t>galcanezumab</w:t>
      </w:r>
      <w:proofErr w:type="spellEnd"/>
      <w:r>
        <w:rPr>
          <w:lang w:eastAsia="ja-JP"/>
        </w:rPr>
        <w:t xml:space="preserve"> are characterised by slow absorption, limited distribution, low clearance, and a long terminal elimination</w:t>
      </w:r>
      <w:r w:rsidR="00234774">
        <w:rPr>
          <w:lang w:eastAsia="ja-JP"/>
        </w:rPr>
        <w:t xml:space="preserve"> </w:t>
      </w:r>
      <w:proofErr w:type="spellStart"/>
      <w:r w:rsidR="00234774">
        <w:rPr>
          <w:lang w:eastAsia="ja-JP"/>
        </w:rPr>
        <w:t>half life</w:t>
      </w:r>
      <w:proofErr w:type="spellEnd"/>
      <w:r>
        <w:rPr>
          <w:lang w:eastAsia="ja-JP"/>
        </w:rPr>
        <w:t xml:space="preserve"> </w:t>
      </w:r>
      <w:r w:rsidR="00234774">
        <w:rPr>
          <w:lang w:eastAsia="ja-JP"/>
        </w:rPr>
        <w:t>(</w:t>
      </w:r>
      <w:r w:rsidRPr="008C7731">
        <w:t>t</w:t>
      </w:r>
      <w:r w:rsidRPr="008C7731">
        <w:rPr>
          <w:vertAlign w:val="subscript"/>
        </w:rPr>
        <w:t>1/2</w:t>
      </w:r>
      <w:r w:rsidR="00234774">
        <w:t>).</w:t>
      </w:r>
      <w:r>
        <w:rPr>
          <w:lang w:eastAsia="ja-JP"/>
        </w:rPr>
        <w:t xml:space="preserve"> </w:t>
      </w:r>
      <w:r>
        <w:t xml:space="preserve">The description of </w:t>
      </w:r>
      <w:proofErr w:type="spellStart"/>
      <w:r>
        <w:t>galcanezumab</w:t>
      </w:r>
      <w:proofErr w:type="spellEnd"/>
      <w:r>
        <w:t xml:space="preserve"> PK in the proposed PI is consiste</w:t>
      </w:r>
      <w:r w:rsidR="00830182">
        <w:t>nt with the submitted studies.</w:t>
      </w:r>
    </w:p>
    <w:p w14:paraId="61A59DA9" w14:textId="77777777" w:rsidR="008E7846" w:rsidRDefault="008E7846" w:rsidP="008E7846">
      <w:pPr>
        <w:pStyle w:val="Heading3"/>
      </w:pPr>
      <w:bookmarkStart w:id="85" w:name="_Toc196046481"/>
      <w:bookmarkStart w:id="86" w:name="_Toc247691520"/>
      <w:bookmarkStart w:id="87" w:name="_Toc314842503"/>
      <w:bookmarkStart w:id="88" w:name="_Toc20822174"/>
      <w:r w:rsidRPr="00254787">
        <w:t>Pharmacodynamics</w:t>
      </w:r>
      <w:bookmarkEnd w:id="65"/>
      <w:bookmarkEnd w:id="85"/>
      <w:bookmarkEnd w:id="86"/>
      <w:bookmarkEnd w:id="87"/>
      <w:bookmarkEnd w:id="88"/>
    </w:p>
    <w:p w14:paraId="299E4658" w14:textId="77777777" w:rsidR="00605AD4" w:rsidRDefault="00605AD4" w:rsidP="00605AD4">
      <w:pPr>
        <w:pStyle w:val="Heading4"/>
      </w:pPr>
      <w:r>
        <w:t xml:space="preserve">Studies providing </w:t>
      </w:r>
      <w:proofErr w:type="spellStart"/>
      <w:r>
        <w:t>pharmacodynamic</w:t>
      </w:r>
      <w:proofErr w:type="spellEnd"/>
      <w:r>
        <w:t xml:space="preserve"> data</w:t>
      </w:r>
    </w:p>
    <w:p w14:paraId="37FD71AA" w14:textId="5D569EAF" w:rsidR="000212B9" w:rsidRDefault="002710B3" w:rsidP="00830182">
      <w:r>
        <w:t>The studies that provided PK data, also provided some PD data,</w:t>
      </w:r>
      <w:r w:rsidR="007F1E71">
        <w:t xml:space="preserve"> (</w:t>
      </w:r>
      <w:r w:rsidR="007F1E71">
        <w:fldChar w:fldCharType="begin"/>
      </w:r>
      <w:r w:rsidR="007F1E71">
        <w:instrText xml:space="preserve"> REF _Ref19012755 \h </w:instrText>
      </w:r>
      <w:r w:rsidR="007F1E71">
        <w:fldChar w:fldCharType="separate"/>
      </w:r>
      <w:r w:rsidR="007F1E71">
        <w:t xml:space="preserve">Table </w:t>
      </w:r>
      <w:r w:rsidR="007F1E71">
        <w:rPr>
          <w:noProof/>
        </w:rPr>
        <w:t>7</w:t>
      </w:r>
      <w:r w:rsidR="007F1E71">
        <w:fldChar w:fldCharType="end"/>
      </w:r>
      <w:r w:rsidR="00025E01">
        <w:t>)</w:t>
      </w:r>
      <w:r>
        <w:t xml:space="preserve"> primarily in the form of CGRP levels. A couple of Phase I</w:t>
      </w:r>
      <w:r w:rsidR="00DF6167">
        <w:t xml:space="preserve"> studies also studied capsaicin </w:t>
      </w:r>
      <w:r>
        <w:t xml:space="preserve">induced dermal blood flow, an effect mediated in part by CGRP. No studies had a primary focus on the actual cerebral mechanisms of migraine, and the basic mechanisms underlying the pharmacological action of </w:t>
      </w:r>
      <w:proofErr w:type="spellStart"/>
      <w:r>
        <w:t>galcanezumab</w:t>
      </w:r>
      <w:proofErr w:type="spellEnd"/>
      <w:r>
        <w:t xml:space="preserve"> in preventing migraine remain unclear</w:t>
      </w:r>
      <w:r w:rsidR="000212B9">
        <w:t>.</w:t>
      </w:r>
    </w:p>
    <w:p w14:paraId="10FE5C7B" w14:textId="77777777" w:rsidR="00605AD4" w:rsidRDefault="00605AD4" w:rsidP="00605AD4">
      <w:pPr>
        <w:pStyle w:val="Heading4"/>
      </w:pPr>
      <w:r>
        <w:lastRenderedPageBreak/>
        <w:t>Evaluator’s conclusions on pharmacodynamics</w:t>
      </w:r>
    </w:p>
    <w:p w14:paraId="092E865F" w14:textId="77777777" w:rsidR="006F6704" w:rsidRDefault="006F6704" w:rsidP="00830182">
      <w:r>
        <w:t xml:space="preserve">No direct studies of migraine pathogenesis were submitted, but some indirect measures of </w:t>
      </w:r>
      <w:proofErr w:type="spellStart"/>
      <w:r>
        <w:t>galcanezumab</w:t>
      </w:r>
      <w:proofErr w:type="spellEnd"/>
      <w:r>
        <w:t xml:space="preserve"> PD were assessed in dedicated PK/PD studies, as well as in pivotal efficacy studies.</w:t>
      </w:r>
    </w:p>
    <w:p w14:paraId="58E59A04" w14:textId="77777777" w:rsidR="00500337" w:rsidRPr="00500337" w:rsidRDefault="006F6704" w:rsidP="00830182">
      <w:r>
        <w:t xml:space="preserve">The administration of </w:t>
      </w:r>
      <w:proofErr w:type="spellStart"/>
      <w:r>
        <w:t>ga</w:t>
      </w:r>
      <w:r w:rsidR="00DF6167">
        <w:t>lcanezumab</w:t>
      </w:r>
      <w:proofErr w:type="spellEnd"/>
      <w:r w:rsidR="00DF6167">
        <w:t xml:space="preserve"> attenuates capsaicin induced dermal blood </w:t>
      </w:r>
      <w:r>
        <w:t>flow, which provides an estimate of its</w:t>
      </w:r>
      <w:r w:rsidR="00DF6167">
        <w:t xml:space="preserve"> ability to interfere with CGRP </w:t>
      </w:r>
      <w:r>
        <w:t xml:space="preserve">mediated processes. This effect appears within days of administration and persists for months. </w:t>
      </w:r>
      <w:proofErr w:type="spellStart"/>
      <w:r>
        <w:t>Galcanezumab</w:t>
      </w:r>
      <w:proofErr w:type="spellEnd"/>
      <w:r>
        <w:t xml:space="preserve"> administration also increases total CGRP levels, reflecting the fact that bound CGRP adopts the PK of the antibody to which it is bound.</w:t>
      </w:r>
    </w:p>
    <w:p w14:paraId="7B526B6F" w14:textId="77777777" w:rsidR="008E7846" w:rsidRDefault="00605AD4" w:rsidP="00605AD4">
      <w:pPr>
        <w:pStyle w:val="Heading3"/>
      </w:pPr>
      <w:bookmarkStart w:id="89" w:name="_Toc20822175"/>
      <w:r>
        <w:t>Dosage selection for the pivotal studies</w:t>
      </w:r>
      <w:bookmarkEnd w:id="89"/>
    </w:p>
    <w:p w14:paraId="23F07551" w14:textId="77777777" w:rsidR="006F6704" w:rsidRDefault="006F6704" w:rsidP="00830182">
      <w:pPr>
        <w:rPr>
          <w:lang w:eastAsia="ja-JP"/>
        </w:rPr>
      </w:pPr>
      <w:r>
        <w:rPr>
          <w:lang w:eastAsia="ja-JP"/>
        </w:rPr>
        <w:t>The doses selected for the pivotal studies were chosen on the basis of th</w:t>
      </w:r>
      <w:r w:rsidR="00DF6167">
        <w:rPr>
          <w:lang w:eastAsia="ja-JP"/>
        </w:rPr>
        <w:t xml:space="preserve">e Study CGAB (the Phase II dose </w:t>
      </w:r>
      <w:r>
        <w:rPr>
          <w:lang w:eastAsia="ja-JP"/>
        </w:rPr>
        <w:t xml:space="preserve">ranging efficacy study that assessed </w:t>
      </w:r>
      <w:proofErr w:type="spellStart"/>
      <w:r>
        <w:rPr>
          <w:lang w:eastAsia="ja-JP"/>
        </w:rPr>
        <w:t>galcanezumab</w:t>
      </w:r>
      <w:proofErr w:type="spellEnd"/>
      <w:r>
        <w:rPr>
          <w:lang w:eastAsia="ja-JP"/>
        </w:rPr>
        <w:t xml:space="preserve"> at doses of 5, </w:t>
      </w:r>
      <w:r w:rsidR="008C7731">
        <w:rPr>
          <w:lang w:eastAsia="ja-JP"/>
        </w:rPr>
        <w:t>50, 120, and 300 mg every 4 </w:t>
      </w:r>
      <w:r>
        <w:rPr>
          <w:lang w:eastAsia="ja-JP"/>
        </w:rPr>
        <w:t>we</w:t>
      </w:r>
      <w:r w:rsidR="00057FDB">
        <w:rPr>
          <w:lang w:eastAsia="ja-JP"/>
        </w:rPr>
        <w:t>eks) and Study ART-01 (a Phase II</w:t>
      </w:r>
      <w:r>
        <w:rPr>
          <w:lang w:eastAsia="ja-JP"/>
        </w:rPr>
        <w:t xml:space="preserve"> study</w:t>
      </w:r>
      <w:r w:rsidR="00057FDB">
        <w:rPr>
          <w:lang w:eastAsia="ja-JP"/>
        </w:rPr>
        <w:t xml:space="preserve"> that assessed </w:t>
      </w:r>
      <w:proofErr w:type="spellStart"/>
      <w:r w:rsidR="00057FDB">
        <w:rPr>
          <w:lang w:eastAsia="ja-JP"/>
        </w:rPr>
        <w:t>galcanezumab</w:t>
      </w:r>
      <w:proofErr w:type="spellEnd"/>
      <w:r w:rsidR="00057FDB">
        <w:rPr>
          <w:lang w:eastAsia="ja-JP"/>
        </w:rPr>
        <w:t xml:space="preserve"> 150 mg every 2 </w:t>
      </w:r>
      <w:r>
        <w:rPr>
          <w:lang w:eastAsia="ja-JP"/>
        </w:rPr>
        <w:t>weeks). Positive results, relative to</w:t>
      </w:r>
      <w:r w:rsidR="00057FDB">
        <w:rPr>
          <w:lang w:eastAsia="ja-JP"/>
        </w:rPr>
        <w:t xml:space="preserve"> placebo, were obtained for 120 </w:t>
      </w:r>
      <w:r>
        <w:rPr>
          <w:lang w:eastAsia="ja-JP"/>
        </w:rPr>
        <w:t>mg/m</w:t>
      </w:r>
      <w:r w:rsidR="00057FDB">
        <w:rPr>
          <w:lang w:eastAsia="ja-JP"/>
        </w:rPr>
        <w:t>onth in Study CGAB, and for 300 </w:t>
      </w:r>
      <w:r>
        <w:rPr>
          <w:lang w:eastAsia="ja-JP"/>
        </w:rPr>
        <w:t>mg/month in Study ART-01 (in two divided fortnigh</w:t>
      </w:r>
      <w:r w:rsidR="00057FDB">
        <w:rPr>
          <w:lang w:eastAsia="ja-JP"/>
        </w:rPr>
        <w:t xml:space="preserve">tly doses), suggesting that 120 to </w:t>
      </w:r>
      <w:r>
        <w:rPr>
          <w:lang w:eastAsia="ja-JP"/>
        </w:rPr>
        <w:t>300</w:t>
      </w:r>
      <w:r w:rsidR="00057FDB">
        <w:rPr>
          <w:lang w:eastAsia="ja-JP"/>
        </w:rPr>
        <w:t> </w:t>
      </w:r>
      <w:r>
        <w:rPr>
          <w:lang w:eastAsia="ja-JP"/>
        </w:rPr>
        <w:t>mg/month was an appropriate dose range for further investigation</w:t>
      </w:r>
      <w:r w:rsidR="00830182">
        <w:rPr>
          <w:lang w:eastAsia="ja-JP"/>
        </w:rPr>
        <w:t>.</w:t>
      </w:r>
    </w:p>
    <w:p w14:paraId="5AD15ECB" w14:textId="30140AB9" w:rsidR="006F6704" w:rsidRDefault="006F6704" w:rsidP="00830182">
      <w:pPr>
        <w:rPr>
          <w:lang w:eastAsia="ja-JP"/>
        </w:rPr>
      </w:pPr>
      <w:r>
        <w:rPr>
          <w:lang w:eastAsia="ja-JP"/>
        </w:rPr>
        <w:t xml:space="preserve">The primary hypothesis of Study CGAB was that at least one dose of </w:t>
      </w:r>
      <w:proofErr w:type="spellStart"/>
      <w:r>
        <w:rPr>
          <w:lang w:eastAsia="ja-JP"/>
        </w:rPr>
        <w:t>g</w:t>
      </w:r>
      <w:r w:rsidR="00057FDB">
        <w:rPr>
          <w:lang w:eastAsia="ja-JP"/>
        </w:rPr>
        <w:t>alcanezumab</w:t>
      </w:r>
      <w:proofErr w:type="spellEnd"/>
      <w:r w:rsidR="00057FDB">
        <w:rPr>
          <w:lang w:eastAsia="ja-JP"/>
        </w:rPr>
        <w:t xml:space="preserve"> (5, 50, 120, or 300 mg every 4 </w:t>
      </w:r>
      <w:r>
        <w:rPr>
          <w:lang w:eastAsia="ja-JP"/>
        </w:rPr>
        <w:t>weeks) would be superior to placebo in the prevention of migraine in patients with episodic migraine. Superiority was defined as a posterior probability of ≥</w:t>
      </w:r>
      <w:r w:rsidR="00057FDB">
        <w:rPr>
          <w:lang w:eastAsia="ja-JP"/>
        </w:rPr>
        <w:t> </w:t>
      </w:r>
      <w:r>
        <w:rPr>
          <w:lang w:eastAsia="ja-JP"/>
        </w:rPr>
        <w:t xml:space="preserve">95% of </w:t>
      </w:r>
      <w:proofErr w:type="spellStart"/>
      <w:r>
        <w:rPr>
          <w:lang w:eastAsia="ja-JP"/>
        </w:rPr>
        <w:t>galcanezumab</w:t>
      </w:r>
      <w:proofErr w:type="spellEnd"/>
      <w:r>
        <w:rPr>
          <w:lang w:eastAsia="ja-JP"/>
        </w:rPr>
        <w:t xml:space="preserve"> producing a greater improvement than placebo in the mean change </w:t>
      </w:r>
      <w:r w:rsidR="00D80561">
        <w:rPr>
          <w:lang w:eastAsia="ja-JP"/>
        </w:rPr>
        <w:t>from Baseline</w:t>
      </w:r>
      <w:r>
        <w:rPr>
          <w:lang w:eastAsia="ja-JP"/>
        </w:rPr>
        <w:t xml:space="preserve"> in the number of MHD</w:t>
      </w:r>
      <w:r w:rsidR="00057FDB">
        <w:rPr>
          <w:lang w:eastAsia="ja-JP"/>
        </w:rPr>
        <w:t xml:space="preserve"> in the last </w:t>
      </w:r>
      <w:proofErr w:type="gramStart"/>
      <w:r w:rsidR="00057FDB">
        <w:rPr>
          <w:lang w:eastAsia="ja-JP"/>
        </w:rPr>
        <w:t>28 day</w:t>
      </w:r>
      <w:proofErr w:type="gramEnd"/>
      <w:r w:rsidR="00057FDB">
        <w:rPr>
          <w:lang w:eastAsia="ja-JP"/>
        </w:rPr>
        <w:t xml:space="preserve"> period (Month 3) of the 12 </w:t>
      </w:r>
      <w:r>
        <w:rPr>
          <w:lang w:eastAsia="ja-JP"/>
        </w:rPr>
        <w:t>week treatment phase. By this prospec</w:t>
      </w:r>
      <w:r w:rsidR="00057FDB">
        <w:rPr>
          <w:lang w:eastAsia="ja-JP"/>
        </w:rPr>
        <w:t>tive primary endpoint, only 120 </w:t>
      </w:r>
      <w:r>
        <w:rPr>
          <w:lang w:eastAsia="ja-JP"/>
        </w:rPr>
        <w:t xml:space="preserve">mg proved to </w:t>
      </w:r>
      <w:r w:rsidR="00057FDB">
        <w:rPr>
          <w:lang w:eastAsia="ja-JP"/>
        </w:rPr>
        <w:t>be superior to placebo at Month 3, but 300 </w:t>
      </w:r>
      <w:r>
        <w:rPr>
          <w:lang w:eastAsia="ja-JP"/>
        </w:rPr>
        <w:t>mg was statistically superior to placebo at Months 1 and 2, and also overall (across Months 1 to 3).</w:t>
      </w:r>
      <w:r w:rsidR="00057FDB">
        <w:rPr>
          <w:lang w:eastAsia="ja-JP"/>
        </w:rPr>
        <w:t xml:space="preserve"> The 120 </w:t>
      </w:r>
      <w:r>
        <w:rPr>
          <w:lang w:eastAsia="ja-JP"/>
        </w:rPr>
        <w:t>mg dose group showed statistically significant s</w:t>
      </w:r>
      <w:r w:rsidR="00057FDB">
        <w:rPr>
          <w:lang w:eastAsia="ja-JP"/>
        </w:rPr>
        <w:t>eparation from placebo at Month 3 and overall, but not at Month 1 or Month </w:t>
      </w:r>
      <w:r>
        <w:rPr>
          <w:lang w:eastAsia="ja-JP"/>
        </w:rPr>
        <w:t>2. This study therefore suggested that doses of</w:t>
      </w:r>
      <w:r w:rsidR="00057FDB">
        <w:rPr>
          <w:lang w:eastAsia="ja-JP"/>
        </w:rPr>
        <w:t xml:space="preserve"> 120 to </w:t>
      </w:r>
      <w:r w:rsidR="00830182">
        <w:rPr>
          <w:lang w:eastAsia="ja-JP"/>
        </w:rPr>
        <w:t>300</w:t>
      </w:r>
      <w:r w:rsidR="00057FDB">
        <w:rPr>
          <w:lang w:eastAsia="ja-JP"/>
        </w:rPr>
        <w:t> </w:t>
      </w:r>
      <w:r w:rsidR="00830182">
        <w:rPr>
          <w:lang w:eastAsia="ja-JP"/>
        </w:rPr>
        <w:t>mg were worth pursuing.</w:t>
      </w:r>
    </w:p>
    <w:p w14:paraId="2D2E7EB1" w14:textId="77777777" w:rsidR="000212B9" w:rsidRDefault="006F6704" w:rsidP="00830182">
      <w:pPr>
        <w:rPr>
          <w:lang w:eastAsia="ja-JP"/>
        </w:rPr>
      </w:pPr>
      <w:r>
        <w:rPr>
          <w:lang w:eastAsia="ja-JP"/>
        </w:rPr>
        <w:t>In</w:t>
      </w:r>
      <w:r w:rsidR="00057FDB">
        <w:rPr>
          <w:lang w:eastAsia="ja-JP"/>
        </w:rPr>
        <w:t xml:space="preserve"> Study ART-01, </w:t>
      </w:r>
      <w:proofErr w:type="spellStart"/>
      <w:r w:rsidR="00057FDB">
        <w:rPr>
          <w:lang w:eastAsia="ja-JP"/>
        </w:rPr>
        <w:t>galcanezumab</w:t>
      </w:r>
      <w:proofErr w:type="spellEnd"/>
      <w:r w:rsidR="00057FDB">
        <w:rPr>
          <w:lang w:eastAsia="ja-JP"/>
        </w:rPr>
        <w:t xml:space="preserve"> 150 mg every 2 weeks</w:t>
      </w:r>
      <w:r>
        <w:rPr>
          <w:lang w:eastAsia="ja-JP"/>
        </w:rPr>
        <w:t xml:space="preserve"> demonstrated statistically significant separation from placebo at Months 1, 2, and 3</w:t>
      </w:r>
      <w:r w:rsidR="000212B9">
        <w:rPr>
          <w:lang w:eastAsia="ja-JP"/>
        </w:rPr>
        <w:t>.</w:t>
      </w:r>
    </w:p>
    <w:p w14:paraId="6BBF2A2F" w14:textId="33B4E391" w:rsidR="006F6704" w:rsidRDefault="00404F61" w:rsidP="00830182">
      <w:pPr>
        <w:rPr>
          <w:lang w:eastAsia="ja-JP"/>
        </w:rPr>
      </w:pPr>
      <w:r>
        <w:rPr>
          <w:lang w:eastAsia="ja-JP"/>
        </w:rPr>
        <w:t>The sponsor</w:t>
      </w:r>
      <w:r w:rsidR="00DF6167">
        <w:rPr>
          <w:lang w:eastAsia="ja-JP"/>
        </w:rPr>
        <w:t xml:space="preserve"> also assessed the dose </w:t>
      </w:r>
      <w:r w:rsidR="006F6704">
        <w:rPr>
          <w:lang w:eastAsia="ja-JP"/>
        </w:rPr>
        <w:t xml:space="preserve">response relationship using data from Study CGAB. Increases in concentrations of </w:t>
      </w:r>
      <w:proofErr w:type="spellStart"/>
      <w:r w:rsidR="006F6704">
        <w:rPr>
          <w:lang w:eastAsia="ja-JP"/>
        </w:rPr>
        <w:t>galcanezumab</w:t>
      </w:r>
      <w:proofErr w:type="spellEnd"/>
      <w:r w:rsidR="006F6704">
        <w:rPr>
          <w:lang w:eastAsia="ja-JP"/>
        </w:rPr>
        <w:t xml:space="preserve"> were associated with a reduction in MHD </w:t>
      </w:r>
      <w:r w:rsidR="006F6704" w:rsidRPr="00917936">
        <w:rPr>
          <w:lang w:eastAsia="ja-JP"/>
        </w:rPr>
        <w:t>(</w:t>
      </w:r>
      <w:r w:rsidR="00234774">
        <w:rPr>
          <w:lang w:eastAsia="ja-JP"/>
        </w:rPr>
        <w:t>see </w:t>
      </w:r>
      <w:r w:rsidR="007F1E71">
        <w:rPr>
          <w:lang w:eastAsia="ja-JP"/>
        </w:rPr>
        <w:fldChar w:fldCharType="begin"/>
      </w:r>
      <w:r w:rsidR="007F1E71">
        <w:rPr>
          <w:lang w:eastAsia="ja-JP"/>
        </w:rPr>
        <w:instrText xml:space="preserve"> REF _Ref19013541 \h </w:instrText>
      </w:r>
      <w:r w:rsidR="007F1E71">
        <w:rPr>
          <w:lang w:eastAsia="ja-JP"/>
        </w:rPr>
      </w:r>
      <w:r w:rsidR="007F1E71">
        <w:rPr>
          <w:lang w:eastAsia="ja-JP"/>
        </w:rPr>
        <w:fldChar w:fldCharType="separate"/>
      </w:r>
      <w:r w:rsidR="007F1E71">
        <w:t xml:space="preserve">Figure </w:t>
      </w:r>
      <w:r w:rsidR="007F1E71">
        <w:rPr>
          <w:noProof/>
        </w:rPr>
        <w:t>2</w:t>
      </w:r>
      <w:r w:rsidR="007F1E71">
        <w:rPr>
          <w:lang w:eastAsia="ja-JP"/>
        </w:rPr>
        <w:fldChar w:fldCharType="end"/>
      </w:r>
      <w:r w:rsidR="00234774">
        <w:rPr>
          <w:lang w:eastAsia="ja-JP"/>
        </w:rPr>
        <w:t>, below</w:t>
      </w:r>
      <w:r w:rsidR="006F6704" w:rsidRPr="00917936">
        <w:rPr>
          <w:lang w:eastAsia="ja-JP"/>
        </w:rPr>
        <w:t>),</w:t>
      </w:r>
      <w:r w:rsidR="006F6704">
        <w:rPr>
          <w:lang w:eastAsia="ja-JP"/>
        </w:rPr>
        <w:t xml:space="preserve"> and the highest </w:t>
      </w:r>
      <w:proofErr w:type="spellStart"/>
      <w:r w:rsidR="006F6704">
        <w:rPr>
          <w:lang w:eastAsia="ja-JP"/>
        </w:rPr>
        <w:t>galcanezumab</w:t>
      </w:r>
      <w:proofErr w:type="spellEnd"/>
      <w:r w:rsidR="006F6704">
        <w:rPr>
          <w:lang w:eastAsia="ja-JP"/>
        </w:rPr>
        <w:t xml:space="preserve"> concentrat</w:t>
      </w:r>
      <w:r w:rsidR="006F1789">
        <w:rPr>
          <w:lang w:eastAsia="ja-JP"/>
        </w:rPr>
        <w:t xml:space="preserve">ion quartile (116 </w:t>
      </w:r>
      <w:proofErr w:type="spellStart"/>
      <w:r w:rsidR="006F1789">
        <w:rPr>
          <w:lang w:eastAsia="ja-JP"/>
        </w:rPr>
        <w:t>nmol</w:t>
      </w:r>
      <w:proofErr w:type="spellEnd"/>
      <w:r w:rsidR="006F1789">
        <w:rPr>
          <w:lang w:eastAsia="ja-JP"/>
        </w:rPr>
        <w:t>/L to 877 </w:t>
      </w:r>
      <w:proofErr w:type="spellStart"/>
      <w:r w:rsidR="006F6704">
        <w:rPr>
          <w:lang w:eastAsia="ja-JP"/>
        </w:rPr>
        <w:t>nmol</w:t>
      </w:r>
      <w:proofErr w:type="spellEnd"/>
      <w:r w:rsidR="006F6704">
        <w:rPr>
          <w:lang w:eastAsia="ja-JP"/>
        </w:rPr>
        <w:t>/L) showed the highest reduction in MHD. This concentration range broadly corresponds to drug concentrations achieved following doses of 120 mg a</w:t>
      </w:r>
      <w:r w:rsidR="00830182">
        <w:rPr>
          <w:lang w:eastAsia="ja-JP"/>
        </w:rPr>
        <w:t>nd 300 mg given every 4 weeks.</w:t>
      </w:r>
    </w:p>
    <w:p w14:paraId="1FC23DC5" w14:textId="3E29BD32" w:rsidR="006F6704" w:rsidRPr="006E48AF" w:rsidRDefault="007F1E71" w:rsidP="007F1E71">
      <w:pPr>
        <w:pStyle w:val="FigureTitle"/>
      </w:pPr>
      <w:bookmarkStart w:id="90" w:name="_Ref19013541"/>
      <w:bookmarkStart w:id="91" w:name="_Toc536533358"/>
      <w:r>
        <w:lastRenderedPageBreak/>
        <w:t xml:space="preserve">Figure </w:t>
      </w:r>
      <w:fldSimple w:instr=" SEQ Figure \* ARABIC ">
        <w:r>
          <w:rPr>
            <w:noProof/>
          </w:rPr>
          <w:t>2</w:t>
        </w:r>
      </w:fldSimple>
      <w:bookmarkEnd w:id="90"/>
      <w:r w:rsidR="00057FDB">
        <w:t>:</w:t>
      </w:r>
      <w:r w:rsidR="006F6704">
        <w:t xml:space="preserve"> Relationship of median change from </w:t>
      </w:r>
      <w:r w:rsidR="00234774">
        <w:t xml:space="preserve">Baseline </w:t>
      </w:r>
      <w:r w:rsidR="00057FDB">
        <w:t xml:space="preserve">in </w:t>
      </w:r>
      <w:r w:rsidR="00713B7C">
        <w:t>MHD</w:t>
      </w:r>
      <w:r w:rsidR="00057FDB">
        <w:t xml:space="preserve"> and </w:t>
      </w:r>
      <w:proofErr w:type="spellStart"/>
      <w:r w:rsidR="00057FDB">
        <w:t>galcanezumab</w:t>
      </w:r>
      <w:proofErr w:type="spellEnd"/>
      <w:r w:rsidR="006F6704">
        <w:t xml:space="preserve"> concentration in Study CGAB</w:t>
      </w:r>
      <w:bookmarkEnd w:id="91"/>
    </w:p>
    <w:p w14:paraId="79C8693B" w14:textId="77777777" w:rsidR="006F6704" w:rsidRDefault="006F6704" w:rsidP="006F6704">
      <w:pPr>
        <w:jc w:val="center"/>
        <w:rPr>
          <w:lang w:eastAsia="ja-JP"/>
        </w:rPr>
      </w:pPr>
      <w:r>
        <w:rPr>
          <w:noProof/>
          <w:lang w:eastAsia="en-AU"/>
        </w:rPr>
        <w:drawing>
          <wp:inline distT="0" distB="0" distL="0" distR="0" wp14:anchorId="0F3EA004" wp14:editId="708D765E">
            <wp:extent cx="4467225" cy="3133725"/>
            <wp:effectExtent l="0" t="0" r="9525" b="9525"/>
            <wp:docPr id="7" name="Picture 7" descr="Relationship of median change from baseline in migraine headache days and galcanezumab concentration in Study CG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7225" cy="3133725"/>
                    </a:xfrm>
                    <a:prstGeom prst="rect">
                      <a:avLst/>
                    </a:prstGeom>
                    <a:noFill/>
                    <a:ln>
                      <a:noFill/>
                    </a:ln>
                  </pic:spPr>
                </pic:pic>
              </a:graphicData>
            </a:graphic>
          </wp:inline>
        </w:drawing>
      </w:r>
    </w:p>
    <w:p w14:paraId="187A0541" w14:textId="77777777" w:rsidR="00057FDB" w:rsidRDefault="00057FDB" w:rsidP="009C06C5">
      <w:pPr>
        <w:pStyle w:val="TableDescription"/>
        <w:rPr>
          <w:lang w:eastAsia="ja-JP"/>
        </w:rPr>
      </w:pPr>
      <w:r>
        <w:rPr>
          <w:lang w:eastAsia="ja-JP"/>
        </w:rPr>
        <w:t xml:space="preserve">LY2951742 = </w:t>
      </w:r>
      <w:proofErr w:type="spellStart"/>
      <w:r>
        <w:rPr>
          <w:lang w:eastAsia="ja-JP"/>
        </w:rPr>
        <w:t>galcanezumab</w:t>
      </w:r>
      <w:proofErr w:type="spellEnd"/>
    </w:p>
    <w:p w14:paraId="1C285C2B" w14:textId="0F28897C" w:rsidR="006F6704" w:rsidRDefault="006F6704" w:rsidP="006F6704">
      <w:pPr>
        <w:rPr>
          <w:lang w:eastAsia="ja-JP"/>
        </w:rPr>
      </w:pPr>
      <w:r>
        <w:rPr>
          <w:lang w:eastAsia="ja-JP"/>
        </w:rPr>
        <w:t xml:space="preserve">A </w:t>
      </w:r>
      <w:proofErr w:type="spellStart"/>
      <w:r>
        <w:rPr>
          <w:lang w:eastAsia="ja-JP"/>
        </w:rPr>
        <w:t>pharmacodynamic</w:t>
      </w:r>
      <w:proofErr w:type="spellEnd"/>
      <w:r>
        <w:rPr>
          <w:lang w:eastAsia="ja-JP"/>
        </w:rPr>
        <w:t xml:space="preserve"> model relating </w:t>
      </w:r>
      <w:proofErr w:type="spellStart"/>
      <w:r>
        <w:rPr>
          <w:lang w:eastAsia="ja-JP"/>
        </w:rPr>
        <w:t>galcanezumab</w:t>
      </w:r>
      <w:proofErr w:type="spellEnd"/>
      <w:r>
        <w:rPr>
          <w:lang w:eastAsia="ja-JP"/>
        </w:rPr>
        <w:t xml:space="preserve"> conc</w:t>
      </w:r>
      <w:r w:rsidR="006F1789">
        <w:rPr>
          <w:lang w:eastAsia="ja-JP"/>
        </w:rPr>
        <w:t>entrations to reductions in MHD</w:t>
      </w:r>
      <w:r>
        <w:rPr>
          <w:lang w:eastAsia="ja-JP"/>
        </w:rPr>
        <w:t xml:space="preserve"> was developed, and si</w:t>
      </w:r>
      <w:r w:rsidR="00DF6167">
        <w:rPr>
          <w:lang w:eastAsia="ja-JP"/>
        </w:rPr>
        <w:t xml:space="preserve">mulations of the predicted dose </w:t>
      </w:r>
      <w:r>
        <w:rPr>
          <w:lang w:eastAsia="ja-JP"/>
        </w:rPr>
        <w:t xml:space="preserve">effect relationship of </w:t>
      </w:r>
      <w:proofErr w:type="spellStart"/>
      <w:r>
        <w:rPr>
          <w:lang w:eastAsia="ja-JP"/>
        </w:rPr>
        <w:t>galcanezumab</w:t>
      </w:r>
      <w:proofErr w:type="spellEnd"/>
      <w:r>
        <w:rPr>
          <w:lang w:eastAsia="ja-JP"/>
        </w:rPr>
        <w:t xml:space="preserve"> across various dose regimens support</w:t>
      </w:r>
      <w:r w:rsidR="00057FDB">
        <w:rPr>
          <w:lang w:eastAsia="ja-JP"/>
        </w:rPr>
        <w:t>ed further investigation of 120 mg/month and 240 </w:t>
      </w:r>
      <w:r>
        <w:rPr>
          <w:lang w:eastAsia="ja-JP"/>
        </w:rPr>
        <w:t>mg/</w:t>
      </w:r>
      <w:r w:rsidRPr="00917936">
        <w:rPr>
          <w:lang w:eastAsia="ja-JP"/>
        </w:rPr>
        <w:t>month (</w:t>
      </w:r>
      <w:r w:rsidR="00234774">
        <w:rPr>
          <w:lang w:eastAsia="ja-JP"/>
        </w:rPr>
        <w:t xml:space="preserve">see </w:t>
      </w:r>
      <w:r w:rsidR="007F1E71">
        <w:rPr>
          <w:lang w:eastAsia="ja-JP"/>
        </w:rPr>
        <w:fldChar w:fldCharType="begin"/>
      </w:r>
      <w:r w:rsidR="007F1E71">
        <w:rPr>
          <w:lang w:eastAsia="ja-JP"/>
        </w:rPr>
        <w:instrText xml:space="preserve"> REF _Ref19013565 \h </w:instrText>
      </w:r>
      <w:r w:rsidR="007F1E71">
        <w:rPr>
          <w:lang w:eastAsia="ja-JP"/>
        </w:rPr>
      </w:r>
      <w:r w:rsidR="007F1E71">
        <w:rPr>
          <w:lang w:eastAsia="ja-JP"/>
        </w:rPr>
        <w:fldChar w:fldCharType="separate"/>
      </w:r>
      <w:r w:rsidR="007F1E71">
        <w:t xml:space="preserve">Figure </w:t>
      </w:r>
      <w:r w:rsidR="007F1E71">
        <w:rPr>
          <w:noProof/>
        </w:rPr>
        <w:t>3</w:t>
      </w:r>
      <w:r w:rsidR="007F1E71">
        <w:rPr>
          <w:lang w:eastAsia="ja-JP"/>
        </w:rPr>
        <w:fldChar w:fldCharType="end"/>
      </w:r>
      <w:r w:rsidR="00234774">
        <w:rPr>
          <w:lang w:eastAsia="ja-JP"/>
        </w:rPr>
        <w:t>, below</w:t>
      </w:r>
      <w:r w:rsidRPr="00917936">
        <w:rPr>
          <w:lang w:eastAsia="ja-JP"/>
        </w:rPr>
        <w:t xml:space="preserve">). </w:t>
      </w:r>
      <w:r w:rsidR="00404F61" w:rsidRPr="00917936">
        <w:rPr>
          <w:lang w:eastAsia="ja-JP"/>
        </w:rPr>
        <w:t>The</w:t>
      </w:r>
      <w:r w:rsidR="00404F61">
        <w:rPr>
          <w:lang w:eastAsia="ja-JP"/>
        </w:rPr>
        <w:t xml:space="preserve"> sponsor</w:t>
      </w:r>
      <w:r>
        <w:rPr>
          <w:lang w:eastAsia="ja-JP"/>
        </w:rPr>
        <w:t>’s simulations suggested that lower doses, such</w:t>
      </w:r>
      <w:r w:rsidR="00057FDB">
        <w:rPr>
          <w:lang w:eastAsia="ja-JP"/>
        </w:rPr>
        <w:t xml:space="preserve"> as 50 </w:t>
      </w:r>
      <w:r>
        <w:rPr>
          <w:lang w:eastAsia="ja-JP"/>
        </w:rPr>
        <w:t>mg/month, would have inadequate efficacy</w:t>
      </w:r>
      <w:r w:rsidR="00057FDB">
        <w:rPr>
          <w:lang w:eastAsia="ja-JP"/>
        </w:rPr>
        <w:t>, and higher doses, such as 300 </w:t>
      </w:r>
      <w:r>
        <w:rPr>
          <w:lang w:eastAsia="ja-JP"/>
        </w:rPr>
        <w:t>mg/month, would not provide greater effica</w:t>
      </w:r>
      <w:r w:rsidR="00057FDB">
        <w:rPr>
          <w:lang w:eastAsia="ja-JP"/>
        </w:rPr>
        <w:t>cy than intermediate doses (120 mg/month or 240 </w:t>
      </w:r>
      <w:r>
        <w:rPr>
          <w:lang w:eastAsia="ja-JP"/>
        </w:rPr>
        <w:t xml:space="preserve">mg/month). The long half-life of </w:t>
      </w:r>
      <w:proofErr w:type="spellStart"/>
      <w:r>
        <w:rPr>
          <w:lang w:eastAsia="ja-JP"/>
        </w:rPr>
        <w:t>galcanezumab</w:t>
      </w:r>
      <w:proofErr w:type="spellEnd"/>
      <w:r>
        <w:rPr>
          <w:lang w:eastAsia="ja-JP"/>
        </w:rPr>
        <w:t>, similar to the proposed dose interval, m</w:t>
      </w:r>
      <w:r w:rsidR="00057FDB">
        <w:rPr>
          <w:lang w:eastAsia="ja-JP"/>
        </w:rPr>
        <w:t>eans that a loading dose of 240 </w:t>
      </w:r>
      <w:r>
        <w:rPr>
          <w:lang w:eastAsia="ja-JP"/>
        </w:rPr>
        <w:t>mg f</w:t>
      </w:r>
      <w:r w:rsidR="00057FDB">
        <w:rPr>
          <w:lang w:eastAsia="ja-JP"/>
        </w:rPr>
        <w:t>ollowed by monthly doses of 120 </w:t>
      </w:r>
      <w:r>
        <w:rPr>
          <w:lang w:eastAsia="ja-JP"/>
        </w:rPr>
        <w:t>mg essentially achieves steady state during the first dose interval, so t</w:t>
      </w:r>
      <w:r w:rsidR="00057FDB">
        <w:rPr>
          <w:lang w:eastAsia="ja-JP"/>
        </w:rPr>
        <w:t>his regimen was compared to 240 </w:t>
      </w:r>
      <w:r>
        <w:rPr>
          <w:lang w:eastAsia="ja-JP"/>
        </w:rPr>
        <w:t>mg/month in all three of the pivotal studies.</w:t>
      </w:r>
    </w:p>
    <w:p w14:paraId="53649105" w14:textId="3E42E42E" w:rsidR="006F6704" w:rsidRDefault="007F1E71" w:rsidP="007F1E71">
      <w:pPr>
        <w:pStyle w:val="FigureTitle"/>
        <w:rPr>
          <w:lang w:eastAsia="ja-JP"/>
        </w:rPr>
      </w:pPr>
      <w:bookmarkStart w:id="92" w:name="_Ref19013565"/>
      <w:bookmarkStart w:id="93" w:name="_Toc536533359"/>
      <w:r>
        <w:t xml:space="preserve">Figure </w:t>
      </w:r>
      <w:fldSimple w:instr=" SEQ Figure \* ARABIC ">
        <w:r>
          <w:rPr>
            <w:noProof/>
          </w:rPr>
          <w:t>3</w:t>
        </w:r>
      </w:fldSimple>
      <w:bookmarkEnd w:id="92"/>
      <w:r w:rsidR="00057FDB">
        <w:t>:</w:t>
      </w:r>
      <w:r w:rsidR="006F6704">
        <w:t xml:space="preserve"> Model-based prediction of the effect of </w:t>
      </w:r>
      <w:proofErr w:type="spellStart"/>
      <w:r w:rsidR="006F6704">
        <w:t>galcanezumab</w:t>
      </w:r>
      <w:proofErr w:type="spellEnd"/>
      <w:r w:rsidR="006F6704">
        <w:t xml:space="preserve"> on reduction of MHD</w:t>
      </w:r>
      <w:bookmarkEnd w:id="93"/>
    </w:p>
    <w:p w14:paraId="541C5DE2" w14:textId="77777777" w:rsidR="006F6704" w:rsidRDefault="006F6704" w:rsidP="00830182">
      <w:pPr>
        <w:jc w:val="center"/>
        <w:rPr>
          <w:lang w:eastAsia="ja-JP"/>
        </w:rPr>
      </w:pPr>
      <w:r>
        <w:rPr>
          <w:noProof/>
          <w:lang w:eastAsia="en-AU"/>
        </w:rPr>
        <w:drawing>
          <wp:inline distT="0" distB="0" distL="0" distR="0" wp14:anchorId="7E02E7D6" wp14:editId="5084E7F7">
            <wp:extent cx="4048125" cy="3124200"/>
            <wp:effectExtent l="0" t="0" r="9525" b="0"/>
            <wp:docPr id="8" name="Picture 8" descr="Model-based prediction of the effect of galcanezumab on reduction of MH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125" cy="3124200"/>
                    </a:xfrm>
                    <a:prstGeom prst="rect">
                      <a:avLst/>
                    </a:prstGeom>
                    <a:noFill/>
                    <a:ln>
                      <a:noFill/>
                    </a:ln>
                  </pic:spPr>
                </pic:pic>
              </a:graphicData>
            </a:graphic>
          </wp:inline>
        </w:drawing>
      </w:r>
    </w:p>
    <w:p w14:paraId="5F4A849C" w14:textId="77777777" w:rsidR="006F6704" w:rsidRDefault="006F6704" w:rsidP="00830182">
      <w:pPr>
        <w:rPr>
          <w:lang w:eastAsia="ja-JP"/>
        </w:rPr>
      </w:pPr>
      <w:r>
        <w:rPr>
          <w:lang w:eastAsia="ja-JP"/>
        </w:rPr>
        <w:lastRenderedPageBreak/>
        <w:t xml:space="preserve">Overall, the Phase II data supported </w:t>
      </w:r>
      <w:r w:rsidR="00B22E42">
        <w:rPr>
          <w:lang w:eastAsia="ja-JP"/>
        </w:rPr>
        <w:t>the sponsor</w:t>
      </w:r>
      <w:r>
        <w:rPr>
          <w:lang w:eastAsia="ja-JP"/>
        </w:rPr>
        <w:t>’s choice of doses for the pivotal studies,</w:t>
      </w:r>
      <w:r w:rsidR="00057FDB">
        <w:rPr>
          <w:lang w:eastAsia="ja-JP"/>
        </w:rPr>
        <w:t xml:space="preserve"> and suggested that doses of 50 </w:t>
      </w:r>
      <w:r>
        <w:rPr>
          <w:lang w:eastAsia="ja-JP"/>
        </w:rPr>
        <w:t>mg/month or less would be inadequate, and that doses of 30</w:t>
      </w:r>
      <w:r w:rsidR="00057FDB">
        <w:rPr>
          <w:lang w:eastAsia="ja-JP"/>
        </w:rPr>
        <w:t>0 </w:t>
      </w:r>
      <w:r>
        <w:rPr>
          <w:lang w:eastAsia="ja-JP"/>
        </w:rPr>
        <w:t>mg/month or more offered n</w:t>
      </w:r>
      <w:r w:rsidR="00057FDB">
        <w:rPr>
          <w:lang w:eastAsia="ja-JP"/>
        </w:rPr>
        <w:t>o substantial benefits over 240 </w:t>
      </w:r>
      <w:r>
        <w:rPr>
          <w:lang w:eastAsia="ja-JP"/>
        </w:rPr>
        <w:t>mg/month. As discussed below, the subsequent results of the Phase III study program</w:t>
      </w:r>
      <w:r w:rsidR="00057FDB">
        <w:rPr>
          <w:lang w:eastAsia="ja-JP"/>
        </w:rPr>
        <w:t xml:space="preserve"> confirmed that efficacy at 120 mg/month is very similar to 240 </w:t>
      </w:r>
      <w:r>
        <w:rPr>
          <w:lang w:eastAsia="ja-JP"/>
        </w:rPr>
        <w:t>mg/month</w:t>
      </w:r>
      <w:r w:rsidR="00057FDB">
        <w:rPr>
          <w:lang w:eastAsia="ja-JP"/>
        </w:rPr>
        <w:t>, so that doses higher than 120 </w:t>
      </w:r>
      <w:r>
        <w:rPr>
          <w:lang w:eastAsia="ja-JP"/>
        </w:rPr>
        <w:t>mg/month are not likely to offer increased benefits.</w:t>
      </w:r>
    </w:p>
    <w:p w14:paraId="48CE48E3" w14:textId="77777777" w:rsidR="008E7846" w:rsidRPr="00254787" w:rsidRDefault="008E7846" w:rsidP="008E7846">
      <w:pPr>
        <w:pStyle w:val="Heading3"/>
      </w:pPr>
      <w:bookmarkStart w:id="94" w:name="_Toc163441372"/>
      <w:bookmarkStart w:id="95" w:name="_Toc196046485"/>
      <w:bookmarkStart w:id="96" w:name="_Toc247691521"/>
      <w:bookmarkStart w:id="97" w:name="_Toc314842504"/>
      <w:bookmarkStart w:id="98" w:name="_Toc20822176"/>
      <w:r w:rsidRPr="00254787">
        <w:t>Efficacy</w:t>
      </w:r>
      <w:bookmarkEnd w:id="94"/>
      <w:bookmarkEnd w:id="95"/>
      <w:bookmarkEnd w:id="96"/>
      <w:bookmarkEnd w:id="97"/>
      <w:bookmarkEnd w:id="98"/>
    </w:p>
    <w:p w14:paraId="2CCEFBBE" w14:textId="77777777" w:rsidR="00605AD4" w:rsidRDefault="00605AD4" w:rsidP="00605AD4">
      <w:pPr>
        <w:pStyle w:val="Heading4"/>
      </w:pPr>
      <w:bookmarkStart w:id="99" w:name="_Toc184439992"/>
      <w:bookmarkStart w:id="100" w:name="_Toc184440279"/>
      <w:bookmarkStart w:id="101" w:name="_Toc184444657"/>
      <w:bookmarkStart w:id="102" w:name="_Toc196046487"/>
      <w:r>
        <w:t>Studies providing efficacy data</w:t>
      </w:r>
    </w:p>
    <w:p w14:paraId="1B9C623F" w14:textId="55AADD29" w:rsidR="006F6704" w:rsidRDefault="006F6704" w:rsidP="00830182">
      <w:pPr>
        <w:rPr>
          <w:lang w:eastAsia="ja-JP"/>
        </w:rPr>
      </w:pPr>
      <w:r>
        <w:rPr>
          <w:lang w:eastAsia="ja-JP"/>
        </w:rPr>
        <w:t xml:space="preserve">The 6 studies providing efficacy data are summarised </w:t>
      </w:r>
      <w:r w:rsidR="007F1E71">
        <w:rPr>
          <w:lang w:eastAsia="ja-JP"/>
        </w:rPr>
        <w:t xml:space="preserve">in </w:t>
      </w:r>
      <w:r w:rsidR="007F1E71">
        <w:rPr>
          <w:lang w:eastAsia="ja-JP"/>
        </w:rPr>
        <w:fldChar w:fldCharType="begin"/>
      </w:r>
      <w:r w:rsidR="007F1E71">
        <w:rPr>
          <w:lang w:eastAsia="ja-JP"/>
        </w:rPr>
        <w:instrText xml:space="preserve"> REF _Ref19012694 \h </w:instrText>
      </w:r>
      <w:r w:rsidR="007F1E71">
        <w:rPr>
          <w:lang w:eastAsia="ja-JP"/>
        </w:rPr>
      </w:r>
      <w:r w:rsidR="007F1E71">
        <w:rPr>
          <w:lang w:eastAsia="ja-JP"/>
        </w:rPr>
        <w:fldChar w:fldCharType="separate"/>
      </w:r>
      <w:r w:rsidR="007F1E71">
        <w:t xml:space="preserve">Table </w:t>
      </w:r>
      <w:r w:rsidR="007F1E71">
        <w:rPr>
          <w:noProof/>
        </w:rPr>
        <w:t>6</w:t>
      </w:r>
      <w:r w:rsidR="007F1E71">
        <w:rPr>
          <w:lang w:eastAsia="ja-JP"/>
        </w:rPr>
        <w:fldChar w:fldCharType="end"/>
      </w:r>
      <w:r w:rsidR="00025E01">
        <w:rPr>
          <w:lang w:eastAsia="ja-JP"/>
        </w:rPr>
        <w:t xml:space="preserve"> above</w:t>
      </w:r>
      <w:r>
        <w:rPr>
          <w:lang w:eastAsia="ja-JP"/>
        </w:rPr>
        <w:t xml:space="preserve">. Three of the </w:t>
      </w:r>
      <w:r w:rsidR="00DF6167">
        <w:rPr>
          <w:lang w:eastAsia="ja-JP"/>
        </w:rPr>
        <w:t xml:space="preserve">studies were randomised, double blind, placebo </w:t>
      </w:r>
      <w:r>
        <w:rPr>
          <w:lang w:eastAsia="ja-JP"/>
        </w:rPr>
        <w:t xml:space="preserve">controlled Phase III studies employing the proposed dose and were designated as pivotal: Studies CGAG and CGAH assessing </w:t>
      </w:r>
      <w:r w:rsidR="00234774">
        <w:rPr>
          <w:lang w:eastAsia="ja-JP"/>
        </w:rPr>
        <w:t>’</w:t>
      </w:r>
      <w:r>
        <w:rPr>
          <w:lang w:eastAsia="ja-JP"/>
        </w:rPr>
        <w:t>episodic</w:t>
      </w:r>
      <w:r w:rsidR="00234774">
        <w:rPr>
          <w:lang w:eastAsia="ja-JP"/>
        </w:rPr>
        <w:t xml:space="preserve">‘ </w:t>
      </w:r>
      <w:r>
        <w:rPr>
          <w:lang w:eastAsia="ja-JP"/>
        </w:rPr>
        <w:t xml:space="preserve">migraine (characterised by </w:t>
      </w:r>
      <w:r w:rsidR="001070B0">
        <w:rPr>
          <w:lang w:eastAsia="ja-JP"/>
        </w:rPr>
        <w:t>&lt;</w:t>
      </w:r>
      <w:r>
        <w:rPr>
          <w:lang w:eastAsia="ja-JP"/>
        </w:rPr>
        <w:t xml:space="preserve"> 1</w:t>
      </w:r>
      <w:r w:rsidR="002B694B">
        <w:rPr>
          <w:lang w:eastAsia="ja-JP"/>
        </w:rPr>
        <w:t>5</w:t>
      </w:r>
      <w:r>
        <w:rPr>
          <w:lang w:eastAsia="ja-JP"/>
        </w:rPr>
        <w:t xml:space="preserve"> </w:t>
      </w:r>
      <w:r w:rsidR="00713B7C">
        <w:rPr>
          <w:lang w:eastAsia="ja-JP"/>
        </w:rPr>
        <w:t>MHD</w:t>
      </w:r>
      <w:r>
        <w:rPr>
          <w:lang w:eastAsia="ja-JP"/>
        </w:rPr>
        <w:t xml:space="preserve"> per month), and Study CGAI assessing </w:t>
      </w:r>
      <w:r w:rsidR="00234774">
        <w:rPr>
          <w:lang w:eastAsia="ja-JP"/>
        </w:rPr>
        <w:t>’</w:t>
      </w:r>
      <w:r>
        <w:rPr>
          <w:lang w:eastAsia="ja-JP"/>
        </w:rPr>
        <w:t>chronic</w:t>
      </w:r>
      <w:r w:rsidR="00234774">
        <w:rPr>
          <w:lang w:eastAsia="ja-JP"/>
        </w:rPr>
        <w:t xml:space="preserve">‘ </w:t>
      </w:r>
      <w:r>
        <w:rPr>
          <w:lang w:eastAsia="ja-JP"/>
        </w:rPr>
        <w:t xml:space="preserve">migraine (characterised by </w:t>
      </w:r>
      <w:r w:rsidR="002B694B" w:rsidRPr="00EC065F">
        <w:t>≥</w:t>
      </w:r>
      <w:r w:rsidR="00A769B1">
        <w:t>15 headaches per month at least 8 of which are migraine</w:t>
      </w:r>
      <w:r w:rsidR="00057FDB">
        <w:rPr>
          <w:lang w:eastAsia="ja-JP"/>
        </w:rPr>
        <w:t>).</w:t>
      </w:r>
      <w:r w:rsidR="00234774" w:rsidRPr="000A502C">
        <w:rPr>
          <w:vertAlign w:val="superscript"/>
          <w:lang w:eastAsia="ja-JP"/>
        </w:rPr>
        <w:fldChar w:fldCharType="begin"/>
      </w:r>
      <w:r w:rsidR="00234774" w:rsidRPr="000A502C">
        <w:rPr>
          <w:vertAlign w:val="superscript"/>
          <w:lang w:eastAsia="ja-JP"/>
        </w:rPr>
        <w:instrText xml:space="preserve"> NOTEREF _Ref17415614 \h </w:instrText>
      </w:r>
      <w:r w:rsidR="00234774">
        <w:rPr>
          <w:vertAlign w:val="superscript"/>
          <w:lang w:eastAsia="ja-JP"/>
        </w:rPr>
        <w:instrText xml:space="preserve"> \* MERGEFORMAT </w:instrText>
      </w:r>
      <w:r w:rsidR="00234774" w:rsidRPr="000A502C">
        <w:rPr>
          <w:vertAlign w:val="superscript"/>
          <w:lang w:eastAsia="ja-JP"/>
        </w:rPr>
      </w:r>
      <w:r w:rsidR="00234774" w:rsidRPr="000A502C">
        <w:rPr>
          <w:vertAlign w:val="superscript"/>
          <w:lang w:eastAsia="ja-JP"/>
        </w:rPr>
        <w:fldChar w:fldCharType="separate"/>
      </w:r>
      <w:r w:rsidR="00234774" w:rsidRPr="000A502C">
        <w:rPr>
          <w:vertAlign w:val="superscript"/>
          <w:lang w:eastAsia="ja-JP"/>
        </w:rPr>
        <w:t>8</w:t>
      </w:r>
      <w:r w:rsidR="00234774" w:rsidRPr="000A502C">
        <w:rPr>
          <w:vertAlign w:val="superscript"/>
          <w:lang w:eastAsia="ja-JP"/>
        </w:rPr>
        <w:fldChar w:fldCharType="end"/>
      </w:r>
      <w:r w:rsidR="00057FDB">
        <w:rPr>
          <w:lang w:eastAsia="ja-JP"/>
        </w:rPr>
        <w:t xml:space="preserve"> </w:t>
      </w:r>
      <w:r>
        <w:rPr>
          <w:lang w:eastAsia="ja-JP"/>
        </w:rPr>
        <w:t xml:space="preserve">Note that, in the usual sense of the word </w:t>
      </w:r>
      <w:r w:rsidR="000A502C">
        <w:rPr>
          <w:lang w:eastAsia="ja-JP"/>
        </w:rPr>
        <w:t>‘</w:t>
      </w:r>
      <w:r>
        <w:rPr>
          <w:lang w:eastAsia="ja-JP"/>
        </w:rPr>
        <w:t>chronic</w:t>
      </w:r>
      <w:r w:rsidR="000A502C">
        <w:rPr>
          <w:lang w:eastAsia="ja-JP"/>
        </w:rPr>
        <w:t>’</w:t>
      </w:r>
      <w:r w:rsidR="00234774">
        <w:rPr>
          <w:lang w:eastAsia="ja-JP"/>
        </w:rPr>
        <w:t xml:space="preserve">, </w:t>
      </w:r>
      <w:r>
        <w:rPr>
          <w:lang w:eastAsia="ja-JP"/>
        </w:rPr>
        <w:t>virtually all subjects with episodic migraine had a chronic problem with migraine.</w:t>
      </w:r>
    </w:p>
    <w:p w14:paraId="5971C388" w14:textId="73A2F982" w:rsidR="006F6704" w:rsidRDefault="006F6704" w:rsidP="006F6704">
      <w:pPr>
        <w:rPr>
          <w:lang w:eastAsia="ja-JP"/>
        </w:rPr>
      </w:pPr>
      <w:r>
        <w:rPr>
          <w:lang w:eastAsia="ja-JP"/>
        </w:rPr>
        <w:t>The other three efficacy studies sh</w:t>
      </w:r>
      <w:r w:rsidR="00057FDB">
        <w:rPr>
          <w:lang w:eastAsia="ja-JP"/>
        </w:rPr>
        <w:t xml:space="preserve">ould be considered supportive: </w:t>
      </w:r>
      <w:r>
        <w:rPr>
          <w:lang w:eastAsia="ja-JP"/>
        </w:rPr>
        <w:t>Study ART-01 and Study</w:t>
      </w:r>
      <w:r w:rsidR="00234774">
        <w:rPr>
          <w:lang w:eastAsia="ja-JP"/>
        </w:rPr>
        <w:t> </w:t>
      </w:r>
      <w:r>
        <w:rPr>
          <w:lang w:eastAsia="ja-JP"/>
        </w:rPr>
        <w:t xml:space="preserve">CGAB were Phase II studies, and </w:t>
      </w:r>
      <w:r w:rsidR="00DF6167">
        <w:rPr>
          <w:lang w:eastAsia="ja-JP"/>
        </w:rPr>
        <w:t xml:space="preserve">Study CGAJ was a Phase III open </w:t>
      </w:r>
      <w:r>
        <w:rPr>
          <w:lang w:eastAsia="ja-JP"/>
        </w:rPr>
        <w:t>label study.</w:t>
      </w:r>
    </w:p>
    <w:p w14:paraId="7C671E88" w14:textId="77777777" w:rsidR="008E7846" w:rsidRDefault="00605AD4" w:rsidP="00605AD4">
      <w:pPr>
        <w:pStyle w:val="Heading4"/>
      </w:pPr>
      <w:r>
        <w:t>Evaluator’s conclusions on efficacy</w:t>
      </w:r>
    </w:p>
    <w:p w14:paraId="1B0B375A" w14:textId="7EC66A24" w:rsidR="006F6704" w:rsidRDefault="00404F61" w:rsidP="00830182">
      <w:pPr>
        <w:rPr>
          <w:lang w:eastAsia="ja-JP"/>
        </w:rPr>
      </w:pPr>
      <w:r>
        <w:rPr>
          <w:lang w:eastAsia="ja-JP"/>
        </w:rPr>
        <w:t>The sponsor</w:t>
      </w:r>
      <w:r w:rsidR="006F6704">
        <w:rPr>
          <w:lang w:eastAsia="ja-JP"/>
        </w:rPr>
        <w:t xml:space="preserve"> has performed three pivotal studies, with two performed</w:t>
      </w:r>
      <w:r w:rsidR="006F1789">
        <w:rPr>
          <w:lang w:eastAsia="ja-JP"/>
        </w:rPr>
        <w:t xml:space="preserve"> in episodic migraine (</w:t>
      </w:r>
      <w:r w:rsidR="001070B0">
        <w:rPr>
          <w:lang w:eastAsia="ja-JP"/>
        </w:rPr>
        <w:t>&lt;</w:t>
      </w:r>
      <w:r w:rsidR="00547175">
        <w:rPr>
          <w:lang w:eastAsia="ja-JP"/>
        </w:rPr>
        <w:t xml:space="preserve"> </w:t>
      </w:r>
      <w:r w:rsidR="006F1789">
        <w:rPr>
          <w:lang w:eastAsia="ja-JP"/>
        </w:rPr>
        <w:t>1</w:t>
      </w:r>
      <w:r w:rsidR="001070B0">
        <w:rPr>
          <w:lang w:eastAsia="ja-JP"/>
        </w:rPr>
        <w:t>5</w:t>
      </w:r>
      <w:r w:rsidR="006F1789">
        <w:rPr>
          <w:lang w:eastAsia="ja-JP"/>
        </w:rPr>
        <w:t xml:space="preserve"> MHD</w:t>
      </w:r>
      <w:r w:rsidR="006F6704">
        <w:rPr>
          <w:lang w:eastAsia="ja-JP"/>
        </w:rPr>
        <w:t xml:space="preserve"> per month </w:t>
      </w:r>
      <w:r w:rsidR="00D80561">
        <w:rPr>
          <w:lang w:eastAsia="ja-JP"/>
        </w:rPr>
        <w:t>at Baseline</w:t>
      </w:r>
      <w:r w:rsidR="006F6704">
        <w:rPr>
          <w:lang w:eastAsia="ja-JP"/>
        </w:rPr>
        <w:t xml:space="preserve">) and one performed in </w:t>
      </w:r>
      <w:r w:rsidR="000A502C">
        <w:rPr>
          <w:lang w:eastAsia="ja-JP"/>
        </w:rPr>
        <w:t>‘</w:t>
      </w:r>
      <w:r w:rsidR="006F6704">
        <w:rPr>
          <w:lang w:eastAsia="ja-JP"/>
        </w:rPr>
        <w:t>chronic</w:t>
      </w:r>
      <w:r w:rsidR="000A502C">
        <w:rPr>
          <w:lang w:eastAsia="ja-JP"/>
        </w:rPr>
        <w:t>’</w:t>
      </w:r>
      <w:r w:rsidR="00234774">
        <w:rPr>
          <w:lang w:eastAsia="ja-JP"/>
        </w:rPr>
        <w:t xml:space="preserve"> </w:t>
      </w:r>
      <w:r w:rsidR="006F6704">
        <w:rPr>
          <w:lang w:eastAsia="ja-JP"/>
        </w:rPr>
        <w:t xml:space="preserve">migraine </w:t>
      </w:r>
      <w:r w:rsidR="001070B0">
        <w:rPr>
          <w:lang w:eastAsia="ja-JP"/>
        </w:rPr>
        <w:t>(≥</w:t>
      </w:r>
      <w:r w:rsidR="00547175">
        <w:rPr>
          <w:lang w:eastAsia="ja-JP"/>
        </w:rPr>
        <w:t> </w:t>
      </w:r>
      <w:r w:rsidR="00A769B1">
        <w:t>15 headaches per month at least 8 of which are migraine</w:t>
      </w:r>
      <w:r w:rsidR="001070B0">
        <w:t xml:space="preserve"> </w:t>
      </w:r>
      <w:r w:rsidR="00D80561">
        <w:rPr>
          <w:lang w:eastAsia="ja-JP"/>
        </w:rPr>
        <w:t>at Baseline</w:t>
      </w:r>
      <w:r w:rsidR="006F6704">
        <w:rPr>
          <w:lang w:eastAsia="ja-JP"/>
        </w:rPr>
        <w:t>). All three st</w:t>
      </w:r>
      <w:r w:rsidR="00057FDB">
        <w:rPr>
          <w:lang w:eastAsia="ja-JP"/>
        </w:rPr>
        <w:t xml:space="preserve">udies compared </w:t>
      </w:r>
      <w:proofErr w:type="spellStart"/>
      <w:r w:rsidR="00057FDB">
        <w:rPr>
          <w:lang w:eastAsia="ja-JP"/>
        </w:rPr>
        <w:t>galcanezumab</w:t>
      </w:r>
      <w:proofErr w:type="spellEnd"/>
      <w:r w:rsidR="00057FDB">
        <w:rPr>
          <w:lang w:eastAsia="ja-JP"/>
        </w:rPr>
        <w:t xml:space="preserve"> 120 mg/month (with a 240 </w:t>
      </w:r>
      <w:r w:rsidR="006F6704">
        <w:rPr>
          <w:lang w:eastAsia="ja-JP"/>
        </w:rPr>
        <w:t>mg lo</w:t>
      </w:r>
      <w:r w:rsidR="00057FDB">
        <w:rPr>
          <w:lang w:eastAsia="ja-JP"/>
        </w:rPr>
        <w:t>ading dose) and 240 </w:t>
      </w:r>
      <w:r w:rsidR="006F6704">
        <w:rPr>
          <w:lang w:eastAsia="ja-JP"/>
        </w:rPr>
        <w:t>mg/month with placebo, and all three studies demonstrated a</w:t>
      </w:r>
      <w:r w:rsidR="006F1789">
        <w:rPr>
          <w:lang w:eastAsia="ja-JP"/>
        </w:rPr>
        <w:t>n attributable reduction in MHD</w:t>
      </w:r>
      <w:r w:rsidR="006F6704">
        <w:rPr>
          <w:lang w:eastAsia="ja-JP"/>
        </w:rPr>
        <w:t xml:space="preserve"> of about 2 days. The results appeared robust, with positive and consistent findings across a range of secondary endpoints, including response rates and quality of life measures.</w:t>
      </w:r>
    </w:p>
    <w:p w14:paraId="1857398F" w14:textId="77777777" w:rsidR="00500337" w:rsidRPr="00500337" w:rsidRDefault="006F6704" w:rsidP="00830182">
      <w:pPr>
        <w:rPr>
          <w:lang w:eastAsia="ja-JP"/>
        </w:rPr>
      </w:pPr>
      <w:r>
        <w:rPr>
          <w:lang w:eastAsia="ja-JP"/>
        </w:rPr>
        <w:t>The Phase II stud</w:t>
      </w:r>
      <w:r w:rsidR="00DF6167">
        <w:rPr>
          <w:lang w:eastAsia="ja-JP"/>
        </w:rPr>
        <w:t>y program was limited, but dose ranging S</w:t>
      </w:r>
      <w:r>
        <w:rPr>
          <w:lang w:eastAsia="ja-JP"/>
        </w:rPr>
        <w:t xml:space="preserve">tudy </w:t>
      </w:r>
      <w:r w:rsidR="00057FDB">
        <w:rPr>
          <w:lang w:eastAsia="ja-JP"/>
        </w:rPr>
        <w:t>CGAB suggested that doses of 50 </w:t>
      </w:r>
      <w:r>
        <w:rPr>
          <w:lang w:eastAsia="ja-JP"/>
        </w:rPr>
        <w:t>mg/month or less wer</w:t>
      </w:r>
      <w:r w:rsidR="00057FDB">
        <w:rPr>
          <w:lang w:eastAsia="ja-JP"/>
        </w:rPr>
        <w:t>e inadequate, and a dose of 300 </w:t>
      </w:r>
      <w:r>
        <w:rPr>
          <w:lang w:eastAsia="ja-JP"/>
        </w:rPr>
        <w:t>mg/month</w:t>
      </w:r>
      <w:r w:rsidR="00057FDB">
        <w:rPr>
          <w:lang w:eastAsia="ja-JP"/>
        </w:rPr>
        <w:t xml:space="preserve"> was no more effective than 120 </w:t>
      </w:r>
      <w:r>
        <w:rPr>
          <w:lang w:eastAsia="ja-JP"/>
        </w:rPr>
        <w:t>mg/month. Study ART-01 showed effic</w:t>
      </w:r>
      <w:r w:rsidR="00057FDB">
        <w:rPr>
          <w:lang w:eastAsia="ja-JP"/>
        </w:rPr>
        <w:t>acy at 300 mg month (150 </w:t>
      </w:r>
      <w:r>
        <w:rPr>
          <w:lang w:eastAsia="ja-JP"/>
        </w:rPr>
        <w:t xml:space="preserve">mg </w:t>
      </w:r>
      <w:r w:rsidR="00057FDB">
        <w:rPr>
          <w:lang w:eastAsia="ja-JP"/>
        </w:rPr>
        <w:t>every two weeks</w:t>
      </w:r>
      <w:r>
        <w:rPr>
          <w:lang w:eastAsia="ja-JP"/>
        </w:rPr>
        <w:t>).</w:t>
      </w:r>
    </w:p>
    <w:p w14:paraId="6547EFD3" w14:textId="77777777" w:rsidR="008E7846" w:rsidRPr="002E238E" w:rsidRDefault="008E7846" w:rsidP="008E7846">
      <w:pPr>
        <w:pStyle w:val="Heading3"/>
      </w:pPr>
      <w:bookmarkStart w:id="103" w:name="_Toc163441378"/>
      <w:bookmarkStart w:id="104" w:name="_Toc196046495"/>
      <w:bookmarkStart w:id="105" w:name="_Toc247691522"/>
      <w:bookmarkStart w:id="106" w:name="_Toc314842505"/>
      <w:bookmarkStart w:id="107" w:name="_Toc20822177"/>
      <w:bookmarkEnd w:id="99"/>
      <w:bookmarkEnd w:id="100"/>
      <w:bookmarkEnd w:id="101"/>
      <w:bookmarkEnd w:id="102"/>
      <w:r w:rsidRPr="002E238E">
        <w:t>Safety</w:t>
      </w:r>
      <w:bookmarkEnd w:id="103"/>
      <w:bookmarkEnd w:id="104"/>
      <w:bookmarkEnd w:id="105"/>
      <w:bookmarkEnd w:id="106"/>
      <w:bookmarkEnd w:id="107"/>
    </w:p>
    <w:p w14:paraId="13C8596E" w14:textId="77777777" w:rsidR="00E54019" w:rsidRDefault="00E54019" w:rsidP="00E54019">
      <w:pPr>
        <w:pStyle w:val="Heading4"/>
      </w:pPr>
      <w:bookmarkStart w:id="108" w:name="_Toc536533190"/>
      <w:bookmarkStart w:id="109" w:name="_Toc247691524"/>
      <w:bookmarkStart w:id="110" w:name="_Toc314842508"/>
      <w:bookmarkStart w:id="111" w:name="_Toc196046504"/>
      <w:bookmarkStart w:id="112" w:name="_Toc163441390"/>
      <w:r>
        <w:t xml:space="preserve">Known safety issues with </w:t>
      </w:r>
      <w:proofErr w:type="spellStart"/>
      <w:r>
        <w:t>galcanezumab</w:t>
      </w:r>
      <w:proofErr w:type="spellEnd"/>
      <w:r>
        <w:t xml:space="preserve"> and other agents affecting CGRP</w:t>
      </w:r>
      <w:bookmarkEnd w:id="108"/>
    </w:p>
    <w:p w14:paraId="081B9A65" w14:textId="77777777" w:rsidR="00E54019" w:rsidRDefault="00E54019" w:rsidP="00E54019">
      <w:pPr>
        <w:rPr>
          <w:lang w:eastAsia="ja-JP"/>
        </w:rPr>
      </w:pPr>
      <w:r>
        <w:rPr>
          <w:lang w:eastAsia="ja-JP"/>
        </w:rPr>
        <w:t xml:space="preserve">As a new chemical entity, </w:t>
      </w:r>
      <w:proofErr w:type="spellStart"/>
      <w:r>
        <w:rPr>
          <w:lang w:eastAsia="ja-JP"/>
        </w:rPr>
        <w:t>galcanezumab</w:t>
      </w:r>
      <w:proofErr w:type="spellEnd"/>
      <w:r>
        <w:rPr>
          <w:lang w:eastAsia="ja-JP"/>
        </w:rPr>
        <w:t xml:space="preserve"> is not known to be associated with any substantial safety issues.</w:t>
      </w:r>
    </w:p>
    <w:p w14:paraId="25FEC878" w14:textId="77777777" w:rsidR="00E54019" w:rsidRDefault="00E54019" w:rsidP="00E54019">
      <w:pPr>
        <w:rPr>
          <w:lang w:eastAsia="ja-JP"/>
        </w:rPr>
      </w:pPr>
      <w:r>
        <w:rPr>
          <w:lang w:eastAsia="ja-JP"/>
        </w:rPr>
        <w:t>The recently registered an</w:t>
      </w:r>
      <w:r w:rsidR="00DF6167">
        <w:rPr>
          <w:lang w:eastAsia="ja-JP"/>
        </w:rPr>
        <w:t xml:space="preserve">ti </w:t>
      </w:r>
      <w:r>
        <w:rPr>
          <w:lang w:eastAsia="ja-JP"/>
        </w:rPr>
        <w:t xml:space="preserve">CGRP agent, </w:t>
      </w:r>
      <w:proofErr w:type="spellStart"/>
      <w:r>
        <w:rPr>
          <w:lang w:eastAsia="ja-JP"/>
        </w:rPr>
        <w:t>erenumab</w:t>
      </w:r>
      <w:proofErr w:type="spellEnd"/>
      <w:r>
        <w:rPr>
          <w:lang w:eastAsia="ja-JP"/>
        </w:rPr>
        <w:t xml:space="preserve">, has a safety profile that appears to be broadly acceptable, with no major safety warnings, although the safety of </w:t>
      </w:r>
      <w:proofErr w:type="spellStart"/>
      <w:r>
        <w:rPr>
          <w:lang w:eastAsia="ja-JP"/>
        </w:rPr>
        <w:t>erenumab</w:t>
      </w:r>
      <w:proofErr w:type="spellEnd"/>
      <w:r>
        <w:rPr>
          <w:lang w:eastAsia="ja-JP"/>
        </w:rPr>
        <w:t xml:space="preserve"> (like </w:t>
      </w:r>
      <w:proofErr w:type="spellStart"/>
      <w:r>
        <w:rPr>
          <w:lang w:eastAsia="ja-JP"/>
        </w:rPr>
        <w:t>galcanezumab</w:t>
      </w:r>
      <w:proofErr w:type="spellEnd"/>
      <w:r>
        <w:rPr>
          <w:lang w:eastAsia="ja-JP"/>
        </w:rPr>
        <w:t>) has not been assessed in the setting of pregnancy, lactation, or advanced age.</w:t>
      </w:r>
    </w:p>
    <w:p w14:paraId="3A5D6AC7" w14:textId="77777777" w:rsidR="002F2AC8" w:rsidRDefault="00DF6167" w:rsidP="00E54019">
      <w:pPr>
        <w:rPr>
          <w:lang w:eastAsia="ja-JP"/>
        </w:rPr>
      </w:pPr>
      <w:r>
        <w:rPr>
          <w:lang w:eastAsia="ja-JP"/>
        </w:rPr>
        <w:t xml:space="preserve">Small </w:t>
      </w:r>
      <w:r w:rsidR="00E54019">
        <w:rPr>
          <w:lang w:eastAsia="ja-JP"/>
        </w:rPr>
        <w:t>molecule agents affecting the CGRP receptor have had some safety issues, but it is unclear whether these were due to blockade of CGRP effects</w:t>
      </w:r>
      <w:r w:rsidR="002F2AC8">
        <w:rPr>
          <w:lang w:eastAsia="ja-JP"/>
        </w:rPr>
        <w:t>.</w:t>
      </w:r>
    </w:p>
    <w:p w14:paraId="2CD61D33" w14:textId="5172871A" w:rsidR="00E54019" w:rsidRPr="006F1789" w:rsidRDefault="00234774" w:rsidP="006F1789">
      <w:pPr>
        <w:ind w:left="720"/>
        <w:rPr>
          <w:lang w:eastAsia="ja-JP"/>
        </w:rPr>
      </w:pPr>
      <w:r>
        <w:rPr>
          <w:lang w:eastAsia="ja-JP"/>
        </w:rPr>
        <w:lastRenderedPageBreak/>
        <w:t>’</w:t>
      </w:r>
      <w:r w:rsidR="00E54019" w:rsidRPr="006F1789">
        <w:rPr>
          <w:lang w:eastAsia="ja-JP"/>
        </w:rPr>
        <w:t xml:space="preserve">Among the first CGRP receptor antagonists under trial, intravenous </w:t>
      </w:r>
      <w:proofErr w:type="spellStart"/>
      <w:r w:rsidR="00E54019" w:rsidRPr="006F1789">
        <w:rPr>
          <w:lang w:eastAsia="ja-JP"/>
        </w:rPr>
        <w:t>olcegepant</w:t>
      </w:r>
      <w:proofErr w:type="spellEnd"/>
      <w:r w:rsidR="00E54019" w:rsidRPr="006F1789">
        <w:rPr>
          <w:lang w:eastAsia="ja-JP"/>
        </w:rPr>
        <w:t xml:space="preserve"> caused mild to moderate adverse events such as </w:t>
      </w:r>
      <w:proofErr w:type="spellStart"/>
      <w:r w:rsidR="00E54019" w:rsidRPr="006F1789">
        <w:rPr>
          <w:lang w:eastAsia="ja-JP"/>
        </w:rPr>
        <w:t>paresthesia</w:t>
      </w:r>
      <w:proofErr w:type="spellEnd"/>
      <w:r w:rsidR="00E54019" w:rsidRPr="006F1789">
        <w:rPr>
          <w:lang w:eastAsia="ja-JP"/>
        </w:rPr>
        <w:t>, nausea, headache, dry mouth and unspecific vision disturbances in a minority of patients.</w:t>
      </w:r>
      <w:r w:rsidR="00341719">
        <w:rPr>
          <w:rStyle w:val="FootnoteReference"/>
          <w:lang w:eastAsia="ja-JP"/>
        </w:rPr>
        <w:footnoteReference w:id="28"/>
      </w:r>
      <w:r w:rsidR="00E54019" w:rsidRPr="006F1789">
        <w:rPr>
          <w:lang w:eastAsia="ja-JP"/>
        </w:rPr>
        <w:t xml:space="preserve"> However, more serious adverse events were reported with </w:t>
      </w:r>
      <w:proofErr w:type="spellStart"/>
      <w:r w:rsidR="00E54019" w:rsidRPr="006F1789">
        <w:rPr>
          <w:lang w:eastAsia="ja-JP"/>
        </w:rPr>
        <w:t>telcagepant</w:t>
      </w:r>
      <w:proofErr w:type="spellEnd"/>
      <w:r w:rsidR="00E54019" w:rsidRPr="006F1789">
        <w:rPr>
          <w:lang w:eastAsia="ja-JP"/>
        </w:rPr>
        <w:t xml:space="preserve"> and MK-3207, which caused liver toxicity with transient increase of transaminases in a small group of included subjects (n = 13 for </w:t>
      </w:r>
      <w:proofErr w:type="spellStart"/>
      <w:r w:rsidR="00E54019" w:rsidRPr="006F1789">
        <w:rPr>
          <w:lang w:eastAsia="ja-JP"/>
        </w:rPr>
        <w:t>telcagepant</w:t>
      </w:r>
      <w:proofErr w:type="spellEnd"/>
      <w:r w:rsidR="00E54019" w:rsidRPr="006F1789">
        <w:rPr>
          <w:lang w:eastAsia="ja-JP"/>
        </w:rPr>
        <w:t>) upon repeated doses. This lead to discontinuation of the trial program</w:t>
      </w:r>
      <w:r w:rsidR="006F1789">
        <w:rPr>
          <w:lang w:eastAsia="ja-JP"/>
        </w:rPr>
        <w:t xml:space="preserve"> for these molecules. Other non-</w:t>
      </w:r>
      <w:r w:rsidR="006F1789" w:rsidRPr="006F1789">
        <w:rPr>
          <w:lang w:eastAsia="ja-JP"/>
        </w:rPr>
        <w:t>peptide</w:t>
      </w:r>
      <w:r w:rsidR="00E54019" w:rsidRPr="006F1789">
        <w:rPr>
          <w:lang w:eastAsia="ja-JP"/>
        </w:rPr>
        <w:t xml:space="preserve"> CGRP receptor antagonists such as BI44370TA, BMS</w:t>
      </w:r>
      <w:r w:rsidR="006F1789">
        <w:rPr>
          <w:lang w:eastAsia="ja-JP"/>
        </w:rPr>
        <w:t>-927711, and, most recently, MK</w:t>
      </w:r>
      <w:r w:rsidR="006F1789">
        <w:rPr>
          <w:lang w:eastAsia="ja-JP"/>
        </w:rPr>
        <w:noBreakHyphen/>
      </w:r>
      <w:r w:rsidR="00E54019" w:rsidRPr="006F1789">
        <w:rPr>
          <w:lang w:eastAsia="ja-JP"/>
        </w:rPr>
        <w:t xml:space="preserve">1602 have also been tested. For all three molecules adverse events were mild to moderate and the incidence was low and similar to the placebo group. No liver toxicity was reported for these drugs, and the </w:t>
      </w:r>
      <w:proofErr w:type="spellStart"/>
      <w:r w:rsidR="00E54019" w:rsidRPr="006F1789">
        <w:rPr>
          <w:lang w:eastAsia="ja-JP"/>
        </w:rPr>
        <w:t>gepant</w:t>
      </w:r>
      <w:proofErr w:type="spellEnd"/>
      <w:r w:rsidR="00E54019" w:rsidRPr="006F1789">
        <w:rPr>
          <w:lang w:eastAsia="ja-JP"/>
        </w:rPr>
        <w:t xml:space="preserve"> program is thus still ongoing.</w:t>
      </w:r>
      <w:r>
        <w:rPr>
          <w:lang w:eastAsia="ja-JP"/>
        </w:rPr>
        <w:t>’</w:t>
      </w:r>
      <w:bookmarkStart w:id="113" w:name="_Ref13559489"/>
      <w:r w:rsidR="00CC57A7">
        <w:rPr>
          <w:rStyle w:val="FootnoteReference"/>
          <w:lang w:eastAsia="ja-JP"/>
        </w:rPr>
        <w:footnoteReference w:id="29"/>
      </w:r>
      <w:bookmarkEnd w:id="113"/>
    </w:p>
    <w:p w14:paraId="2D2AFD41" w14:textId="77777777" w:rsidR="00E54019" w:rsidRDefault="00CC57A7" w:rsidP="00E54019">
      <w:pPr>
        <w:rPr>
          <w:lang w:eastAsia="ja-JP"/>
        </w:rPr>
      </w:pPr>
      <w:r>
        <w:rPr>
          <w:lang w:eastAsia="ja-JP"/>
        </w:rPr>
        <w:t>E</w:t>
      </w:r>
      <w:r w:rsidR="00E54019">
        <w:rPr>
          <w:lang w:eastAsia="ja-JP"/>
        </w:rPr>
        <w:t>xpression of CGRP receptors are widespread in the body, which suggests modification of CGRP function could have effects on systems unrelated to migraine.</w:t>
      </w:r>
      <w:r w:rsidRPr="00077F43">
        <w:rPr>
          <w:vertAlign w:val="superscript"/>
          <w:lang w:eastAsia="ja-JP"/>
        </w:rPr>
        <w:fldChar w:fldCharType="begin"/>
      </w:r>
      <w:r w:rsidRPr="00077F43">
        <w:rPr>
          <w:vertAlign w:val="superscript"/>
          <w:lang w:eastAsia="ja-JP"/>
        </w:rPr>
        <w:instrText xml:space="preserve"> NOTEREF _Ref13559489 \h  \* MERGEFORMAT </w:instrText>
      </w:r>
      <w:r w:rsidRPr="00077F43">
        <w:rPr>
          <w:vertAlign w:val="superscript"/>
          <w:lang w:eastAsia="ja-JP"/>
        </w:rPr>
      </w:r>
      <w:r w:rsidRPr="00077F43">
        <w:rPr>
          <w:vertAlign w:val="superscript"/>
          <w:lang w:eastAsia="ja-JP"/>
        </w:rPr>
        <w:fldChar w:fldCharType="separate"/>
      </w:r>
      <w:r w:rsidR="004236AD">
        <w:rPr>
          <w:vertAlign w:val="superscript"/>
          <w:lang w:eastAsia="ja-JP"/>
        </w:rPr>
        <w:t>27</w:t>
      </w:r>
      <w:r w:rsidRPr="00077F43">
        <w:rPr>
          <w:vertAlign w:val="superscript"/>
          <w:lang w:eastAsia="ja-JP"/>
        </w:rPr>
        <w:fldChar w:fldCharType="end"/>
      </w:r>
    </w:p>
    <w:p w14:paraId="65426447" w14:textId="77777777" w:rsidR="002F2AC8" w:rsidRDefault="00E54019" w:rsidP="00CC57A7">
      <w:pPr>
        <w:rPr>
          <w:lang w:eastAsia="ja-JP"/>
        </w:rPr>
      </w:pPr>
      <w:r>
        <w:rPr>
          <w:lang w:eastAsia="ja-JP"/>
        </w:rPr>
        <w:t xml:space="preserve">According to the sponsor, preclinical studies of </w:t>
      </w:r>
      <w:proofErr w:type="spellStart"/>
      <w:r>
        <w:rPr>
          <w:lang w:eastAsia="ja-JP"/>
        </w:rPr>
        <w:t>galcanezumab</w:t>
      </w:r>
      <w:proofErr w:type="spellEnd"/>
      <w:r>
        <w:rPr>
          <w:lang w:eastAsia="ja-JP"/>
        </w:rPr>
        <w:t xml:space="preserve"> raise</w:t>
      </w:r>
      <w:r w:rsidR="00DF6167">
        <w:rPr>
          <w:lang w:eastAsia="ja-JP"/>
        </w:rPr>
        <w:t>d no specific concerns</w:t>
      </w:r>
      <w:r w:rsidR="002F2AC8">
        <w:rPr>
          <w:lang w:eastAsia="ja-JP"/>
        </w:rPr>
        <w:t>.</w:t>
      </w:r>
    </w:p>
    <w:p w14:paraId="3F0DE470" w14:textId="77777777" w:rsidR="00605AD4" w:rsidRDefault="00605AD4" w:rsidP="00605AD4">
      <w:pPr>
        <w:pStyle w:val="Heading4"/>
      </w:pPr>
      <w:r w:rsidRPr="00605AD4">
        <w:t>Studies providing safety data</w:t>
      </w:r>
    </w:p>
    <w:p w14:paraId="13018511" w14:textId="77777777" w:rsidR="006F6704" w:rsidRDefault="00404F61" w:rsidP="00057FDB">
      <w:pPr>
        <w:rPr>
          <w:lang w:eastAsia="ja-JP"/>
        </w:rPr>
      </w:pPr>
      <w:r>
        <w:rPr>
          <w:lang w:eastAsia="ja-JP"/>
        </w:rPr>
        <w:t>The sponsor</w:t>
      </w:r>
      <w:r w:rsidR="006F6704">
        <w:rPr>
          <w:lang w:eastAsia="ja-JP"/>
        </w:rPr>
        <w:t>’s submission is primarily based on six clinical mi</w:t>
      </w:r>
      <w:r w:rsidR="009D45EB">
        <w:rPr>
          <w:lang w:eastAsia="ja-JP"/>
        </w:rPr>
        <w:t>graine studies (four Phase III studies and two Phase II studies) and four Phase I s</w:t>
      </w:r>
      <w:r w:rsidR="006F6704">
        <w:rPr>
          <w:lang w:eastAsia="ja-JP"/>
        </w:rPr>
        <w:t>tudies in healthy volunteers.</w:t>
      </w:r>
    </w:p>
    <w:p w14:paraId="3C5A91A0" w14:textId="77777777" w:rsidR="006F6704" w:rsidRDefault="00DF6167" w:rsidP="00057FDB">
      <w:pPr>
        <w:rPr>
          <w:lang w:eastAsia="ja-JP"/>
        </w:rPr>
      </w:pPr>
      <w:r>
        <w:rPr>
          <w:lang w:eastAsia="ja-JP"/>
        </w:rPr>
        <w:t xml:space="preserve">The post </w:t>
      </w:r>
      <w:r w:rsidR="006F6704">
        <w:rPr>
          <w:lang w:eastAsia="ja-JP"/>
        </w:rPr>
        <w:t>treatment monitoring phases (washout) of all four Phase III studies were ongoing at the time</w:t>
      </w:r>
      <w:r>
        <w:rPr>
          <w:lang w:eastAsia="ja-JP"/>
        </w:rPr>
        <w:t xml:space="preserve"> of submission, as was the open </w:t>
      </w:r>
      <w:r w:rsidR="006F6704">
        <w:rPr>
          <w:lang w:eastAsia="ja-JP"/>
        </w:rPr>
        <w:t xml:space="preserve">label </w:t>
      </w:r>
      <w:r w:rsidR="009D45EB">
        <w:rPr>
          <w:lang w:eastAsia="ja-JP"/>
        </w:rPr>
        <w:t>phase of the pivotal Phase III S</w:t>
      </w:r>
      <w:r w:rsidR="006F6704">
        <w:rPr>
          <w:lang w:eastAsia="ja-JP"/>
        </w:rPr>
        <w:t>tudy, CGAI, but the blinded phase of treatment was</w:t>
      </w:r>
      <w:r w:rsidR="009D45EB">
        <w:rPr>
          <w:lang w:eastAsia="ja-JP"/>
        </w:rPr>
        <w:t xml:space="preserve"> complete for all six migraine s</w:t>
      </w:r>
      <w:r w:rsidR="006F6704">
        <w:rPr>
          <w:lang w:eastAsia="ja-JP"/>
        </w:rPr>
        <w:t xml:space="preserve">tudies, allowing comparison of </w:t>
      </w:r>
      <w:proofErr w:type="spellStart"/>
      <w:r w:rsidR="006F6704">
        <w:rPr>
          <w:lang w:eastAsia="ja-JP"/>
        </w:rPr>
        <w:t>galcanezumab</w:t>
      </w:r>
      <w:proofErr w:type="spellEnd"/>
      <w:r w:rsidR="006F6704">
        <w:rPr>
          <w:lang w:eastAsia="ja-JP"/>
        </w:rPr>
        <w:t xml:space="preserve"> with placebo.</w:t>
      </w:r>
    </w:p>
    <w:p w14:paraId="799186A8" w14:textId="77777777" w:rsidR="00077F43" w:rsidRDefault="00404F61" w:rsidP="00057FDB">
      <w:pPr>
        <w:rPr>
          <w:lang w:eastAsia="ja-JP"/>
        </w:rPr>
      </w:pPr>
      <w:r>
        <w:rPr>
          <w:lang w:eastAsia="ja-JP"/>
        </w:rPr>
        <w:t>The sponsor</w:t>
      </w:r>
      <w:r w:rsidR="006F6704">
        <w:rPr>
          <w:lang w:eastAsia="ja-JP"/>
        </w:rPr>
        <w:t xml:space="preserve">’s safety database did not include data from a number of ongoing, blinded </w:t>
      </w:r>
      <w:proofErr w:type="spellStart"/>
      <w:r w:rsidR="006F6704">
        <w:rPr>
          <w:lang w:eastAsia="ja-JP"/>
        </w:rPr>
        <w:t>galcanezumab</w:t>
      </w:r>
      <w:proofErr w:type="spellEnd"/>
      <w:r w:rsidR="006F6704">
        <w:rPr>
          <w:lang w:eastAsia="ja-JP"/>
        </w:rPr>
        <w:t xml:space="preserve"> studies, including</w:t>
      </w:r>
      <w:r w:rsidR="00077F43">
        <w:rPr>
          <w:lang w:eastAsia="ja-JP"/>
        </w:rPr>
        <w:t>:</w:t>
      </w:r>
    </w:p>
    <w:p w14:paraId="5EE7CB92" w14:textId="77777777" w:rsidR="00077F43" w:rsidRDefault="00077F43" w:rsidP="00572B43">
      <w:pPr>
        <w:pStyle w:val="ListBullet"/>
        <w:rPr>
          <w:lang w:eastAsia="ja-JP"/>
        </w:rPr>
      </w:pPr>
      <w:r>
        <w:rPr>
          <w:lang w:eastAsia="ja-JP"/>
        </w:rPr>
        <w:t>Three cluster headache studies</w:t>
      </w:r>
    </w:p>
    <w:p w14:paraId="7D7999A5" w14:textId="77777777" w:rsidR="00077F43" w:rsidRDefault="00077F43" w:rsidP="00077F43">
      <w:pPr>
        <w:pStyle w:val="ListBullet2"/>
        <w:rPr>
          <w:lang w:eastAsia="ja-JP"/>
        </w:rPr>
      </w:pPr>
      <w:r>
        <w:rPr>
          <w:lang w:eastAsia="ja-JP"/>
        </w:rPr>
        <w:t>Study</w:t>
      </w:r>
      <w:r w:rsidR="006F6704">
        <w:rPr>
          <w:lang w:eastAsia="ja-JP"/>
        </w:rPr>
        <w:t xml:space="preserve"> I5Q-MC-CGAL</w:t>
      </w:r>
      <w:r>
        <w:rPr>
          <w:lang w:eastAsia="ja-JP"/>
        </w:rPr>
        <w:t xml:space="preserve"> (CGAL)</w:t>
      </w:r>
    </w:p>
    <w:p w14:paraId="3D084794" w14:textId="77777777" w:rsidR="00077F43" w:rsidRDefault="00077F43" w:rsidP="00077F43">
      <w:pPr>
        <w:pStyle w:val="ListBullet2"/>
        <w:rPr>
          <w:lang w:eastAsia="ja-JP"/>
        </w:rPr>
      </w:pPr>
      <w:r>
        <w:rPr>
          <w:lang w:eastAsia="ja-JP"/>
        </w:rPr>
        <w:t>Study I5Q-MC-CGAM (CGAM)</w:t>
      </w:r>
    </w:p>
    <w:p w14:paraId="01AEBD54" w14:textId="77777777" w:rsidR="00077F43" w:rsidRDefault="00077F43" w:rsidP="00077F43">
      <w:pPr>
        <w:pStyle w:val="ListBullet2"/>
        <w:rPr>
          <w:lang w:eastAsia="ja-JP"/>
        </w:rPr>
      </w:pPr>
      <w:r>
        <w:rPr>
          <w:lang w:eastAsia="ja-JP"/>
        </w:rPr>
        <w:t xml:space="preserve">Study </w:t>
      </w:r>
      <w:r w:rsidR="006F6704">
        <w:rPr>
          <w:lang w:eastAsia="ja-JP"/>
        </w:rPr>
        <w:t>I5Q-MC</w:t>
      </w:r>
      <w:r>
        <w:rPr>
          <w:lang w:eastAsia="ja-JP"/>
        </w:rPr>
        <w:t>-CGAR (CGAR)</w:t>
      </w:r>
    </w:p>
    <w:p w14:paraId="27A1FAB6" w14:textId="77777777" w:rsidR="00077F43" w:rsidRDefault="00077F43" w:rsidP="00572B43">
      <w:pPr>
        <w:pStyle w:val="ListBullet"/>
        <w:rPr>
          <w:lang w:eastAsia="ja-JP"/>
        </w:rPr>
      </w:pPr>
      <w:r>
        <w:rPr>
          <w:lang w:eastAsia="ja-JP"/>
        </w:rPr>
        <w:t>T</w:t>
      </w:r>
      <w:r w:rsidR="006F6704">
        <w:rPr>
          <w:lang w:eastAsia="ja-JP"/>
        </w:rPr>
        <w:t>wo on</w:t>
      </w:r>
      <w:r>
        <w:rPr>
          <w:lang w:eastAsia="ja-JP"/>
        </w:rPr>
        <w:t>going migraine studies in Japan</w:t>
      </w:r>
    </w:p>
    <w:p w14:paraId="0C1BDEA1" w14:textId="77777777" w:rsidR="00077F43" w:rsidRDefault="00077F43" w:rsidP="00077F43">
      <w:pPr>
        <w:pStyle w:val="ListBullet2"/>
        <w:rPr>
          <w:lang w:eastAsia="ja-JP"/>
        </w:rPr>
      </w:pPr>
      <w:r>
        <w:rPr>
          <w:lang w:eastAsia="ja-JP"/>
        </w:rPr>
        <w:t>Study I5Q-JE-CGAN (CGAN)</w:t>
      </w:r>
    </w:p>
    <w:p w14:paraId="24388E0C" w14:textId="77777777" w:rsidR="00077F43" w:rsidRDefault="00077F43" w:rsidP="00077F43">
      <w:pPr>
        <w:pStyle w:val="ListBullet2"/>
        <w:rPr>
          <w:lang w:eastAsia="ja-JP"/>
        </w:rPr>
      </w:pPr>
      <w:r>
        <w:rPr>
          <w:lang w:eastAsia="ja-JP"/>
        </w:rPr>
        <w:t>Study I5Q-JE-CGAP (CGAP)</w:t>
      </w:r>
    </w:p>
    <w:p w14:paraId="28AE27BF" w14:textId="188B7DE8" w:rsidR="006F6704" w:rsidRDefault="006F6704" w:rsidP="00057FDB">
      <w:pPr>
        <w:rPr>
          <w:lang w:eastAsia="ja-JP"/>
        </w:rPr>
      </w:pPr>
      <w:r>
        <w:rPr>
          <w:lang w:eastAsia="ja-JP"/>
        </w:rPr>
        <w:t xml:space="preserve">For these studies, </w:t>
      </w:r>
      <w:r w:rsidR="00B22E42">
        <w:rPr>
          <w:lang w:eastAsia="ja-JP"/>
        </w:rPr>
        <w:t>the sponsor</w:t>
      </w:r>
      <w:r>
        <w:rPr>
          <w:lang w:eastAsia="ja-JP"/>
        </w:rPr>
        <w:t xml:space="preserve"> provided </w:t>
      </w:r>
      <w:r w:rsidRPr="009D45EB">
        <w:rPr>
          <w:lang w:eastAsia="ja-JP"/>
        </w:rPr>
        <w:t>blinded listings</w:t>
      </w:r>
      <w:r>
        <w:rPr>
          <w:lang w:eastAsia="ja-JP"/>
        </w:rPr>
        <w:t xml:space="preserve"> of deaths, serious adverse events (SAE), and discontinuations due to adverse events (AE), potentially signi</w:t>
      </w:r>
      <w:r w:rsidR="009D45EB">
        <w:rPr>
          <w:lang w:eastAsia="ja-JP"/>
        </w:rPr>
        <w:t xml:space="preserve">ficant cardiovascular treatment </w:t>
      </w:r>
      <w:r>
        <w:rPr>
          <w:lang w:eastAsia="ja-JP"/>
        </w:rPr>
        <w:t>emergent adverse events (TEAE), hepatic TEAEs, and cases of alanine aminotransferase/aspartate aminotransferase (ALT/AST) levels reaching ≥</w:t>
      </w:r>
      <w:r w:rsidR="00234774">
        <w:rPr>
          <w:lang w:eastAsia="ja-JP"/>
        </w:rPr>
        <w:t> </w:t>
      </w:r>
      <w:r w:rsidR="009D45EB">
        <w:rPr>
          <w:lang w:eastAsia="ja-JP"/>
        </w:rPr>
        <w:t>3</w:t>
      </w:r>
      <w:r w:rsidR="00234774">
        <w:rPr>
          <w:lang w:eastAsia="ja-JP"/>
        </w:rPr>
        <w:t> </w:t>
      </w:r>
      <w:r w:rsidR="009D45EB">
        <w:rPr>
          <w:lang w:eastAsia="ja-JP"/>
        </w:rPr>
        <w:t>times</w:t>
      </w:r>
      <w:r>
        <w:rPr>
          <w:lang w:eastAsia="ja-JP"/>
        </w:rPr>
        <w:t xml:space="preserve"> the upper limit of normal (ULN). Because of the blinded nature of this data, it is of very limited utility, but it raised no significant concerns. </w:t>
      </w:r>
      <w:r w:rsidR="00404F61">
        <w:rPr>
          <w:lang w:eastAsia="ja-JP"/>
        </w:rPr>
        <w:t>The sponsor</w:t>
      </w:r>
      <w:r>
        <w:rPr>
          <w:lang w:eastAsia="ja-JP"/>
        </w:rPr>
        <w:t xml:space="preserve">’s submission also includes a study of </w:t>
      </w:r>
      <w:proofErr w:type="spellStart"/>
      <w:r>
        <w:rPr>
          <w:lang w:eastAsia="ja-JP"/>
        </w:rPr>
        <w:t>galcanezumab</w:t>
      </w:r>
      <w:proofErr w:type="spellEnd"/>
      <w:r>
        <w:rPr>
          <w:lang w:eastAsia="ja-JP"/>
        </w:rPr>
        <w:t xml:space="preserve"> in osteoarthritic knee pain (</w:t>
      </w:r>
      <w:r w:rsidR="00234774">
        <w:rPr>
          <w:lang w:eastAsia="ja-JP"/>
        </w:rPr>
        <w:t xml:space="preserve">Study </w:t>
      </w:r>
      <w:r>
        <w:rPr>
          <w:lang w:eastAsia="ja-JP"/>
        </w:rPr>
        <w:t xml:space="preserve">I5Q-MC-CGAF </w:t>
      </w:r>
      <w:r w:rsidR="002F2AC8">
        <w:rPr>
          <w:lang w:eastAsia="ja-JP"/>
        </w:rPr>
        <w:t>(</w:t>
      </w:r>
      <w:r>
        <w:rPr>
          <w:lang w:eastAsia="ja-JP"/>
        </w:rPr>
        <w:t>CGAF</w:t>
      </w:r>
      <w:r w:rsidR="002F2AC8">
        <w:rPr>
          <w:lang w:eastAsia="ja-JP"/>
        </w:rPr>
        <w:t>)</w:t>
      </w:r>
      <w:r w:rsidR="009D45EB">
        <w:rPr>
          <w:lang w:eastAsia="ja-JP"/>
        </w:rPr>
        <w:t>)</w:t>
      </w:r>
      <w:r>
        <w:rPr>
          <w:lang w:eastAsia="ja-JP"/>
        </w:rPr>
        <w:t xml:space="preserve">, which was stopped because of perceived futility. For Study CGAF, </w:t>
      </w:r>
      <w:r w:rsidR="00B22E42">
        <w:rPr>
          <w:lang w:eastAsia="ja-JP"/>
        </w:rPr>
        <w:t>the sponsor</w:t>
      </w:r>
      <w:r>
        <w:rPr>
          <w:lang w:eastAsia="ja-JP"/>
        </w:rPr>
        <w:t xml:space="preserve"> provided narratives for deaths, SAEs, and discontinuations due to AEs. These narratives raised no substantial concerns.</w:t>
      </w:r>
    </w:p>
    <w:p w14:paraId="3C378581" w14:textId="11CF145A" w:rsidR="006F6704" w:rsidRDefault="006F6704" w:rsidP="009C06C5">
      <w:pPr>
        <w:rPr>
          <w:lang w:eastAsia="ja-JP"/>
        </w:rPr>
      </w:pPr>
      <w:r>
        <w:rPr>
          <w:lang w:eastAsia="ja-JP"/>
        </w:rPr>
        <w:lastRenderedPageBreak/>
        <w:t xml:space="preserve">To assess the safety of </w:t>
      </w:r>
      <w:proofErr w:type="spellStart"/>
      <w:r>
        <w:rPr>
          <w:lang w:eastAsia="ja-JP"/>
        </w:rPr>
        <w:t>galcanezumab</w:t>
      </w:r>
      <w:proofErr w:type="spellEnd"/>
      <w:r>
        <w:rPr>
          <w:lang w:eastAsia="ja-JP"/>
        </w:rPr>
        <w:t xml:space="preserve">, </w:t>
      </w:r>
      <w:r w:rsidR="00B22E42">
        <w:rPr>
          <w:lang w:eastAsia="ja-JP"/>
        </w:rPr>
        <w:t>the sponsor</w:t>
      </w:r>
      <w:r>
        <w:rPr>
          <w:lang w:eastAsia="ja-JP"/>
        </w:rPr>
        <w:t xml:space="preserve"> constructed five main analysis sets and three supplementary analysis sets from their database, but the main analysis set of interest is the </w:t>
      </w:r>
      <w:r w:rsidRPr="002B2413">
        <w:rPr>
          <w:lang w:eastAsia="ja-JP"/>
        </w:rPr>
        <w:t>Integrated Analysis Set A</w:t>
      </w:r>
      <w:r>
        <w:rPr>
          <w:lang w:eastAsia="ja-JP"/>
        </w:rPr>
        <w:t xml:space="preserve"> (</w:t>
      </w:r>
      <w:r w:rsidR="00956668">
        <w:rPr>
          <w:lang w:eastAsia="ja-JP"/>
        </w:rPr>
        <w:t>primary p</w:t>
      </w:r>
      <w:r w:rsidR="00DF6167">
        <w:rPr>
          <w:lang w:eastAsia="ja-JP"/>
        </w:rPr>
        <w:t xml:space="preserve">lacebo </w:t>
      </w:r>
      <w:r w:rsidR="00956668">
        <w:rPr>
          <w:lang w:eastAsia="ja-JP"/>
        </w:rPr>
        <w:t>c</w:t>
      </w:r>
      <w:r w:rsidRPr="002B2413">
        <w:rPr>
          <w:lang w:eastAsia="ja-JP"/>
        </w:rPr>
        <w:t>ontrolled</w:t>
      </w:r>
      <w:r w:rsidR="00956668">
        <w:rPr>
          <w:lang w:eastAsia="ja-JP"/>
        </w:rPr>
        <w:t xml:space="preserve"> analysis s</w:t>
      </w:r>
      <w:r>
        <w:rPr>
          <w:lang w:eastAsia="ja-JP"/>
        </w:rPr>
        <w:t xml:space="preserve">et, derived from the blinded phase of the three pivotal studies). Results in this analysis set were very similar to those in </w:t>
      </w:r>
      <w:r w:rsidRPr="002B2413">
        <w:rPr>
          <w:lang w:eastAsia="ja-JP"/>
        </w:rPr>
        <w:t>Integrated Analysis Set B</w:t>
      </w:r>
      <w:r>
        <w:rPr>
          <w:lang w:eastAsia="ja-JP"/>
        </w:rPr>
        <w:t xml:space="preserve"> (</w:t>
      </w:r>
      <w:r w:rsidR="00956668">
        <w:rPr>
          <w:lang w:eastAsia="ja-JP"/>
        </w:rPr>
        <w:t>p</w:t>
      </w:r>
      <w:r w:rsidR="00DF6167">
        <w:rPr>
          <w:lang w:eastAsia="ja-JP"/>
        </w:rPr>
        <w:t xml:space="preserve">lacebo </w:t>
      </w:r>
      <w:r w:rsidR="00956668">
        <w:rPr>
          <w:lang w:eastAsia="ja-JP"/>
        </w:rPr>
        <w:t>c</w:t>
      </w:r>
      <w:r w:rsidRPr="002B2413">
        <w:rPr>
          <w:lang w:eastAsia="ja-JP"/>
        </w:rPr>
        <w:t xml:space="preserve">ontrolled </w:t>
      </w:r>
      <w:r>
        <w:rPr>
          <w:lang w:eastAsia="ja-JP"/>
        </w:rPr>
        <w:t>Phase II</w:t>
      </w:r>
      <w:r w:rsidRPr="002B2413">
        <w:rPr>
          <w:lang w:eastAsia="ja-JP"/>
        </w:rPr>
        <w:t xml:space="preserve"> and </w:t>
      </w:r>
      <w:r w:rsidR="00956668">
        <w:rPr>
          <w:lang w:eastAsia="ja-JP"/>
        </w:rPr>
        <w:t>Phase III analysis s</w:t>
      </w:r>
      <w:r>
        <w:rPr>
          <w:lang w:eastAsia="ja-JP"/>
        </w:rPr>
        <w:t>et, derived from all six clinical migraine studies). Only the Integrated Analysis Set</w:t>
      </w:r>
      <w:r w:rsidR="00234774">
        <w:rPr>
          <w:lang w:eastAsia="ja-JP"/>
        </w:rPr>
        <w:t> </w:t>
      </w:r>
      <w:r>
        <w:rPr>
          <w:lang w:eastAsia="ja-JP"/>
        </w:rPr>
        <w:t xml:space="preserve">A assessed </w:t>
      </w:r>
      <w:proofErr w:type="spellStart"/>
      <w:r>
        <w:rPr>
          <w:lang w:eastAsia="ja-JP"/>
        </w:rPr>
        <w:t>galcanezumab</w:t>
      </w:r>
      <w:proofErr w:type="spellEnd"/>
      <w:r>
        <w:rPr>
          <w:lang w:eastAsia="ja-JP"/>
        </w:rPr>
        <w:t xml:space="preserve"> at the proposed dose, and had an appropriate control to provide context to event rates, and so results in </w:t>
      </w:r>
      <w:r w:rsidR="00956668">
        <w:rPr>
          <w:lang w:eastAsia="ja-JP"/>
        </w:rPr>
        <w:t>this analysis s</w:t>
      </w:r>
      <w:r>
        <w:rPr>
          <w:lang w:eastAsia="ja-JP"/>
        </w:rPr>
        <w:t xml:space="preserve">et represent the main focus of the </w:t>
      </w:r>
      <w:r w:rsidR="009D45EB">
        <w:rPr>
          <w:lang w:eastAsia="ja-JP"/>
        </w:rPr>
        <w:t>safety assessment in the clinical dossier</w:t>
      </w:r>
      <w:r>
        <w:rPr>
          <w:lang w:eastAsia="ja-JP"/>
        </w:rPr>
        <w:t xml:space="preserve">. Where relevant, </w:t>
      </w:r>
      <w:r w:rsidR="009D45EB">
        <w:rPr>
          <w:lang w:eastAsia="ja-JP"/>
        </w:rPr>
        <w:t xml:space="preserve">the clinical dossier </w:t>
      </w:r>
      <w:r>
        <w:rPr>
          <w:lang w:eastAsia="ja-JP"/>
        </w:rPr>
        <w:t>will also discuss data from Analysis Set E, which incl</w:t>
      </w:r>
      <w:r w:rsidR="00DF6167">
        <w:rPr>
          <w:lang w:eastAsia="ja-JP"/>
        </w:rPr>
        <w:t xml:space="preserve">uded data from all </w:t>
      </w:r>
      <w:proofErr w:type="spellStart"/>
      <w:r w:rsidR="00DF6167">
        <w:rPr>
          <w:lang w:eastAsia="ja-JP"/>
        </w:rPr>
        <w:t>galcanezumab</w:t>
      </w:r>
      <w:proofErr w:type="spellEnd"/>
      <w:r w:rsidR="00DF6167">
        <w:rPr>
          <w:lang w:eastAsia="ja-JP"/>
        </w:rPr>
        <w:t xml:space="preserve"> </w:t>
      </w:r>
      <w:r>
        <w:rPr>
          <w:lang w:eastAsia="ja-JP"/>
        </w:rPr>
        <w:t>treated patients (placebo data were not included), regardless of dose, from all Phase II and Phase</w:t>
      </w:r>
      <w:r w:rsidR="00234774">
        <w:rPr>
          <w:lang w:eastAsia="ja-JP"/>
        </w:rPr>
        <w:t> </w:t>
      </w:r>
      <w:r>
        <w:rPr>
          <w:lang w:eastAsia="ja-JP"/>
        </w:rPr>
        <w:t xml:space="preserve">III migraine prevention studies (Studies ART-01, CGAB, CGAG, CGAH, CGAI, and CGAJ). Safety in the four studies in healthy volunteers is discussed in the individual study synopses, and </w:t>
      </w:r>
      <w:r w:rsidR="00830182">
        <w:rPr>
          <w:lang w:eastAsia="ja-JP"/>
        </w:rPr>
        <w:t>raised no significant concerns.</w:t>
      </w:r>
    </w:p>
    <w:p w14:paraId="39098BC4" w14:textId="0D77D94C" w:rsidR="006F6704" w:rsidRDefault="007F1E71" w:rsidP="007F1E71">
      <w:pPr>
        <w:pStyle w:val="TableTitle"/>
        <w:rPr>
          <w:lang w:eastAsia="ja-JP"/>
        </w:rPr>
      </w:pPr>
      <w:bookmarkStart w:id="114" w:name="_Toc536533299"/>
      <w:r>
        <w:t xml:space="preserve">Table </w:t>
      </w:r>
      <w:fldSimple w:instr=" SEQ Table \* ARABIC ">
        <w:r>
          <w:rPr>
            <w:noProof/>
          </w:rPr>
          <w:t>9</w:t>
        </w:r>
      </w:fldSimple>
      <w:r w:rsidR="003106AE">
        <w:t>:</w:t>
      </w:r>
      <w:r w:rsidR="006F6704">
        <w:t xml:space="preserve"> Clinical migraine studies contributing safety data</w:t>
      </w:r>
      <w:bookmarkEnd w:id="114"/>
    </w:p>
    <w:p w14:paraId="3E43B93E" w14:textId="77777777" w:rsidR="00500337" w:rsidRPr="00500337" w:rsidRDefault="006F6704" w:rsidP="00500337">
      <w:pPr>
        <w:rPr>
          <w:lang w:eastAsia="ja-JP"/>
        </w:rPr>
      </w:pPr>
      <w:r>
        <w:rPr>
          <w:noProof/>
          <w:lang w:eastAsia="en-AU"/>
        </w:rPr>
        <w:drawing>
          <wp:inline distT="0" distB="0" distL="0" distR="0" wp14:anchorId="15C3C5E0" wp14:editId="128ADF5F">
            <wp:extent cx="5394898" cy="4676775"/>
            <wp:effectExtent l="0" t="0" r="0" b="0"/>
            <wp:docPr id="10" name="Picture 10" descr="Clinical migraine studies contributing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898" cy="4676775"/>
                    </a:xfrm>
                    <a:prstGeom prst="rect">
                      <a:avLst/>
                    </a:prstGeom>
                    <a:noFill/>
                    <a:ln>
                      <a:noFill/>
                    </a:ln>
                  </pic:spPr>
                </pic:pic>
              </a:graphicData>
            </a:graphic>
          </wp:inline>
        </w:drawing>
      </w:r>
    </w:p>
    <w:p w14:paraId="47264D99" w14:textId="77777777" w:rsidR="00605AD4" w:rsidRDefault="00605AD4" w:rsidP="00605AD4">
      <w:pPr>
        <w:pStyle w:val="Heading4"/>
      </w:pPr>
      <w:r w:rsidRPr="00605AD4">
        <w:t>Patient exposure</w:t>
      </w:r>
    </w:p>
    <w:p w14:paraId="237BCAC3" w14:textId="66CF9A3B" w:rsidR="006F6704" w:rsidRDefault="006F6704" w:rsidP="006F6704">
      <w:pPr>
        <w:rPr>
          <w:lang w:eastAsia="ja-JP"/>
        </w:rPr>
      </w:pPr>
      <w:r>
        <w:rPr>
          <w:lang w:eastAsia="ja-JP"/>
        </w:rPr>
        <w:t xml:space="preserve">Patient exposure to </w:t>
      </w:r>
      <w:proofErr w:type="spellStart"/>
      <w:r>
        <w:rPr>
          <w:lang w:eastAsia="ja-JP"/>
        </w:rPr>
        <w:t>galcanezumab</w:t>
      </w:r>
      <w:proofErr w:type="spellEnd"/>
      <w:r>
        <w:rPr>
          <w:lang w:eastAsia="ja-JP"/>
        </w:rPr>
        <w:t xml:space="preserve"> within the six clinical migraine studies is summarised in the tables below. A total of 3,156 patients were exposed to </w:t>
      </w:r>
      <w:proofErr w:type="spellStart"/>
      <w:r>
        <w:rPr>
          <w:lang w:eastAsia="ja-JP"/>
        </w:rPr>
        <w:t>galcanezumab</w:t>
      </w:r>
      <w:proofErr w:type="spellEnd"/>
      <w:r>
        <w:rPr>
          <w:lang w:eastAsia="ja-JP"/>
        </w:rPr>
        <w:t xml:space="preserve"> at any dose across the entire </w:t>
      </w:r>
      <w:proofErr w:type="spellStart"/>
      <w:r>
        <w:rPr>
          <w:lang w:eastAsia="ja-JP"/>
        </w:rPr>
        <w:t>galcanezumab</w:t>
      </w:r>
      <w:proofErr w:type="spellEnd"/>
      <w:r>
        <w:rPr>
          <w:lang w:eastAsia="ja-JP"/>
        </w:rPr>
        <w:t xml:space="preserve"> development program, and 801 subjects were exposed to placebo. Within the pr</w:t>
      </w:r>
      <w:r w:rsidR="009D45EB">
        <w:rPr>
          <w:lang w:eastAsia="ja-JP"/>
        </w:rPr>
        <w:t>oposed dose range of 120 to 240 </w:t>
      </w:r>
      <w:r>
        <w:rPr>
          <w:lang w:eastAsia="ja-JP"/>
        </w:rPr>
        <w:t xml:space="preserve">mg, a total of 1,647 patients were exposed to </w:t>
      </w:r>
      <w:proofErr w:type="spellStart"/>
      <w:r>
        <w:rPr>
          <w:lang w:eastAsia="ja-JP"/>
        </w:rPr>
        <w:t>galcanezumab</w:t>
      </w:r>
      <w:proofErr w:type="spellEnd"/>
      <w:r>
        <w:rPr>
          <w:lang w:eastAsia="ja-JP"/>
        </w:rPr>
        <w:t xml:space="preserve"> for </w:t>
      </w:r>
      <w:r w:rsidR="001070B0">
        <w:rPr>
          <w:lang w:eastAsia="ja-JP"/>
        </w:rPr>
        <w:t>≥</w:t>
      </w:r>
      <w:r w:rsidR="009D45EB">
        <w:rPr>
          <w:lang w:eastAsia="ja-JP"/>
        </w:rPr>
        <w:t> 6 </w:t>
      </w:r>
      <w:r>
        <w:rPr>
          <w:lang w:eastAsia="ja-JP"/>
        </w:rPr>
        <w:t>months (</w:t>
      </w:r>
      <w:r w:rsidR="001070B0">
        <w:rPr>
          <w:lang w:eastAsia="ja-JP"/>
        </w:rPr>
        <w:t>≥</w:t>
      </w:r>
      <w:r w:rsidR="009D45EB">
        <w:rPr>
          <w:lang w:eastAsia="ja-JP"/>
        </w:rPr>
        <w:t> 6 </w:t>
      </w:r>
      <w:r w:rsidR="00EF16A8">
        <w:rPr>
          <w:lang w:eastAsia="ja-JP"/>
        </w:rPr>
        <w:t>monthly doses), and 279 </w:t>
      </w:r>
      <w:r>
        <w:rPr>
          <w:lang w:eastAsia="ja-JP"/>
        </w:rPr>
        <w:t>patients wer</w:t>
      </w:r>
      <w:r w:rsidR="009D45EB">
        <w:rPr>
          <w:lang w:eastAsia="ja-JP"/>
        </w:rPr>
        <w:t xml:space="preserve">e exposed to </w:t>
      </w:r>
      <w:proofErr w:type="spellStart"/>
      <w:r w:rsidR="009D45EB">
        <w:rPr>
          <w:lang w:eastAsia="ja-JP"/>
        </w:rPr>
        <w:t>galcanezumab</w:t>
      </w:r>
      <w:proofErr w:type="spellEnd"/>
      <w:r w:rsidR="009D45EB">
        <w:rPr>
          <w:lang w:eastAsia="ja-JP"/>
        </w:rPr>
        <w:t xml:space="preserve"> for 1 year (12 </w:t>
      </w:r>
      <w:r>
        <w:rPr>
          <w:lang w:eastAsia="ja-JP"/>
        </w:rPr>
        <w:t xml:space="preserve">monthly doses). This exposure satisfies </w:t>
      </w:r>
      <w:r w:rsidR="009D45EB">
        <w:rPr>
          <w:lang w:eastAsia="ja-JP"/>
        </w:rPr>
        <w:t>relevant guidance.</w:t>
      </w:r>
      <w:r w:rsidR="009D45EB">
        <w:rPr>
          <w:lang w:eastAsia="ja-JP"/>
        </w:rPr>
        <w:fldChar w:fldCharType="begin"/>
      </w:r>
      <w:r w:rsidR="009D45EB">
        <w:rPr>
          <w:lang w:eastAsia="ja-JP"/>
        </w:rPr>
        <w:instrText xml:space="preserve"> NOTEREF _Ref12459783 \f \h </w:instrText>
      </w:r>
      <w:r w:rsidR="009D45EB">
        <w:rPr>
          <w:lang w:eastAsia="ja-JP"/>
        </w:rPr>
      </w:r>
      <w:r w:rsidR="009D45EB">
        <w:rPr>
          <w:lang w:eastAsia="ja-JP"/>
        </w:rPr>
        <w:fldChar w:fldCharType="separate"/>
      </w:r>
      <w:r w:rsidR="008F655A" w:rsidRPr="00547175">
        <w:rPr>
          <w:rStyle w:val="FootnoteReference"/>
        </w:rPr>
        <w:t>21</w:t>
      </w:r>
      <w:r w:rsidR="009D45EB">
        <w:rPr>
          <w:lang w:eastAsia="ja-JP"/>
        </w:rPr>
        <w:fldChar w:fldCharType="end"/>
      </w:r>
    </w:p>
    <w:p w14:paraId="5F1E6F0F" w14:textId="09DBFE73" w:rsidR="006F6704" w:rsidRPr="00B507AE" w:rsidRDefault="007F1E71" w:rsidP="007F1E71">
      <w:pPr>
        <w:pStyle w:val="TableTitle"/>
      </w:pPr>
      <w:bookmarkStart w:id="115" w:name="_Toc536533300"/>
      <w:r>
        <w:lastRenderedPageBreak/>
        <w:t xml:space="preserve">Table </w:t>
      </w:r>
      <w:fldSimple w:instr=" SEQ Table \* ARABIC ">
        <w:r>
          <w:rPr>
            <w:noProof/>
          </w:rPr>
          <w:t>10</w:t>
        </w:r>
      </w:fldSimple>
      <w:r w:rsidR="009D45EB">
        <w:t>:</w:t>
      </w:r>
      <w:r w:rsidR="006F6704">
        <w:t xml:space="preserve"> </w:t>
      </w:r>
      <w:r w:rsidR="009D45EB">
        <w:t xml:space="preserve">Total exposure to </w:t>
      </w:r>
      <w:proofErr w:type="spellStart"/>
      <w:r w:rsidR="009D45EB">
        <w:t>g</w:t>
      </w:r>
      <w:r w:rsidR="006F6704" w:rsidRPr="00B507AE">
        <w:t>alcanezumab</w:t>
      </w:r>
      <w:bookmarkEnd w:id="115"/>
      <w:proofErr w:type="spellEnd"/>
    </w:p>
    <w:p w14:paraId="2D977295" w14:textId="77777777" w:rsidR="006F6704" w:rsidRDefault="006F6704" w:rsidP="006F6704">
      <w:pPr>
        <w:rPr>
          <w:lang w:eastAsia="ja-JP"/>
        </w:rPr>
      </w:pPr>
      <w:r>
        <w:rPr>
          <w:noProof/>
          <w:lang w:eastAsia="en-AU"/>
        </w:rPr>
        <w:drawing>
          <wp:inline distT="0" distB="0" distL="0" distR="0" wp14:anchorId="74A7ED71" wp14:editId="57CBC596">
            <wp:extent cx="5419725" cy="3841602"/>
            <wp:effectExtent l="0" t="0" r="0" b="6985"/>
            <wp:docPr id="14" name="Picture 14" descr="Total exposure to galcane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9725" cy="3841602"/>
                    </a:xfrm>
                    <a:prstGeom prst="rect">
                      <a:avLst/>
                    </a:prstGeom>
                    <a:noFill/>
                    <a:ln>
                      <a:noFill/>
                    </a:ln>
                  </pic:spPr>
                </pic:pic>
              </a:graphicData>
            </a:graphic>
          </wp:inline>
        </w:drawing>
      </w:r>
    </w:p>
    <w:p w14:paraId="261399B1" w14:textId="3B0FEC5F" w:rsidR="006F6704" w:rsidRDefault="00DF6167" w:rsidP="00830182">
      <w:pPr>
        <w:rPr>
          <w:lang w:eastAsia="ja-JP"/>
        </w:rPr>
      </w:pPr>
      <w:r>
        <w:rPr>
          <w:lang w:eastAsia="ja-JP"/>
        </w:rPr>
        <w:t xml:space="preserve">Double blind placebo </w:t>
      </w:r>
      <w:r w:rsidR="006F6704">
        <w:rPr>
          <w:lang w:eastAsia="ja-JP"/>
        </w:rPr>
        <w:t xml:space="preserve">controlled exposure within pivotal studies is summarised </w:t>
      </w:r>
      <w:r w:rsidR="00917936">
        <w:rPr>
          <w:lang w:eastAsia="ja-JP"/>
        </w:rPr>
        <w:t>in</w:t>
      </w:r>
      <w:r w:rsidR="007F1E71">
        <w:rPr>
          <w:lang w:eastAsia="ja-JP"/>
        </w:rPr>
        <w:t xml:space="preserve"> </w:t>
      </w:r>
      <w:r w:rsidR="007F1E71">
        <w:rPr>
          <w:lang w:eastAsia="ja-JP"/>
        </w:rPr>
        <w:fldChar w:fldCharType="begin"/>
      </w:r>
      <w:r w:rsidR="007F1E71">
        <w:rPr>
          <w:lang w:eastAsia="ja-JP"/>
        </w:rPr>
        <w:instrText xml:space="preserve"> REF _Ref19012826 \h </w:instrText>
      </w:r>
      <w:r w:rsidR="007F1E71">
        <w:rPr>
          <w:lang w:eastAsia="ja-JP"/>
        </w:rPr>
      </w:r>
      <w:r w:rsidR="007F1E71">
        <w:rPr>
          <w:lang w:eastAsia="ja-JP"/>
        </w:rPr>
        <w:fldChar w:fldCharType="separate"/>
      </w:r>
      <w:r w:rsidR="007F1E71">
        <w:t xml:space="preserve">Table </w:t>
      </w:r>
      <w:r w:rsidR="007F1E71">
        <w:rPr>
          <w:noProof/>
        </w:rPr>
        <w:t>11</w:t>
      </w:r>
      <w:r w:rsidR="007F1E71">
        <w:rPr>
          <w:lang w:eastAsia="ja-JP"/>
        </w:rPr>
        <w:fldChar w:fldCharType="end"/>
      </w:r>
      <w:r w:rsidR="006F6704">
        <w:rPr>
          <w:lang w:eastAsia="ja-JP"/>
        </w:rPr>
        <w:t>. A total of 1,435 subj</w:t>
      </w:r>
      <w:r w:rsidR="00935110">
        <w:rPr>
          <w:lang w:eastAsia="ja-JP"/>
        </w:rPr>
        <w:t xml:space="preserve">ects received </w:t>
      </w:r>
      <w:proofErr w:type="spellStart"/>
      <w:r w:rsidR="00935110">
        <w:rPr>
          <w:lang w:eastAsia="ja-JP"/>
        </w:rPr>
        <w:t>galcanezumab</w:t>
      </w:r>
      <w:proofErr w:type="spellEnd"/>
      <w:r w:rsidR="00935110">
        <w:rPr>
          <w:lang w:eastAsia="ja-JP"/>
        </w:rPr>
        <w:t xml:space="preserve"> (120 </w:t>
      </w:r>
      <w:r w:rsidR="006F6704">
        <w:rPr>
          <w:lang w:eastAsia="ja-JP"/>
        </w:rPr>
        <w:t>mg, n</w:t>
      </w:r>
      <w:r w:rsidR="00935110">
        <w:rPr>
          <w:lang w:eastAsia="ja-JP"/>
        </w:rPr>
        <w:t xml:space="preserve"> </w:t>
      </w:r>
      <w:r w:rsidR="006F6704">
        <w:rPr>
          <w:lang w:eastAsia="ja-JP"/>
        </w:rPr>
        <w:t>=</w:t>
      </w:r>
      <w:r w:rsidR="00935110">
        <w:rPr>
          <w:lang w:eastAsia="ja-JP"/>
        </w:rPr>
        <w:t xml:space="preserve"> </w:t>
      </w:r>
      <w:r w:rsidR="006F6704">
        <w:rPr>
          <w:lang w:eastAsia="ja-JP"/>
        </w:rPr>
        <w:t>70</w:t>
      </w:r>
      <w:r w:rsidR="009C43B0">
        <w:rPr>
          <w:lang w:eastAsia="ja-JP"/>
        </w:rPr>
        <w:t>5</w:t>
      </w:r>
      <w:r w:rsidR="006F6704">
        <w:rPr>
          <w:lang w:eastAsia="ja-JP"/>
        </w:rPr>
        <w:t>, 240</w:t>
      </w:r>
      <w:r w:rsidR="00935110">
        <w:rPr>
          <w:lang w:eastAsia="ja-JP"/>
        </w:rPr>
        <w:t> </w:t>
      </w:r>
      <w:r w:rsidR="006F6704">
        <w:rPr>
          <w:lang w:eastAsia="ja-JP"/>
        </w:rPr>
        <w:t>mg, n</w:t>
      </w:r>
      <w:r w:rsidR="00234774">
        <w:rPr>
          <w:lang w:eastAsia="ja-JP"/>
        </w:rPr>
        <w:t> </w:t>
      </w:r>
      <w:r w:rsidR="006F6704">
        <w:rPr>
          <w:lang w:eastAsia="ja-JP"/>
        </w:rPr>
        <w:t>=</w:t>
      </w:r>
      <w:r w:rsidR="00234774">
        <w:rPr>
          <w:lang w:eastAsia="ja-JP"/>
        </w:rPr>
        <w:t> </w:t>
      </w:r>
      <w:r w:rsidR="006F6704">
        <w:rPr>
          <w:lang w:eastAsia="ja-JP"/>
        </w:rPr>
        <w:t>730), and 1,451 subjects received placeb</w:t>
      </w:r>
      <w:r w:rsidR="00935110">
        <w:rPr>
          <w:lang w:eastAsia="ja-JP"/>
        </w:rPr>
        <w:t>o, with median exposures of 169 </w:t>
      </w:r>
      <w:r w:rsidR="006F6704">
        <w:rPr>
          <w:lang w:eastAsia="ja-JP"/>
        </w:rPr>
        <w:t>days and &gt;</w:t>
      </w:r>
      <w:r w:rsidR="00234774">
        <w:rPr>
          <w:lang w:eastAsia="ja-JP"/>
        </w:rPr>
        <w:t> </w:t>
      </w:r>
      <w:r w:rsidR="00935110">
        <w:rPr>
          <w:lang w:eastAsia="ja-JP"/>
        </w:rPr>
        <w:t>530 </w:t>
      </w:r>
      <w:r>
        <w:rPr>
          <w:lang w:eastAsia="ja-JP"/>
        </w:rPr>
        <w:t xml:space="preserve">patient </w:t>
      </w:r>
      <w:r w:rsidR="006F6704">
        <w:rPr>
          <w:lang w:eastAsia="ja-JP"/>
        </w:rPr>
        <w:t xml:space="preserve">years in both the pooled active group and the placebo group. The demographics of this core safety population in Integrated Analysis Set A are summarised </w:t>
      </w:r>
      <w:r w:rsidR="00234774">
        <w:rPr>
          <w:lang w:eastAsia="ja-JP"/>
        </w:rPr>
        <w:t>in</w:t>
      </w:r>
      <w:r w:rsidR="007F1E71">
        <w:rPr>
          <w:lang w:eastAsia="ja-JP"/>
        </w:rPr>
        <w:t xml:space="preserve"> </w:t>
      </w:r>
      <w:r w:rsidR="007F1E71">
        <w:rPr>
          <w:lang w:eastAsia="ja-JP"/>
        </w:rPr>
        <w:fldChar w:fldCharType="begin"/>
      </w:r>
      <w:r w:rsidR="007F1E71">
        <w:rPr>
          <w:lang w:eastAsia="ja-JP"/>
        </w:rPr>
        <w:instrText xml:space="preserve"> REF _Ref19012869 \h </w:instrText>
      </w:r>
      <w:r w:rsidR="007F1E71">
        <w:rPr>
          <w:lang w:eastAsia="ja-JP"/>
        </w:rPr>
      </w:r>
      <w:r w:rsidR="007F1E71">
        <w:rPr>
          <w:lang w:eastAsia="ja-JP"/>
        </w:rPr>
        <w:fldChar w:fldCharType="separate"/>
      </w:r>
      <w:r w:rsidR="007F1E71">
        <w:t xml:space="preserve">Table </w:t>
      </w:r>
      <w:r w:rsidR="007F1E71">
        <w:rPr>
          <w:noProof/>
        </w:rPr>
        <w:t>12</w:t>
      </w:r>
      <w:r w:rsidR="007F1E71">
        <w:rPr>
          <w:lang w:eastAsia="ja-JP"/>
        </w:rPr>
        <w:fldChar w:fldCharType="end"/>
      </w:r>
      <w:r w:rsidR="00917936">
        <w:rPr>
          <w:lang w:eastAsia="ja-JP"/>
        </w:rPr>
        <w:t>,</w:t>
      </w:r>
      <w:r w:rsidR="006F6704">
        <w:rPr>
          <w:lang w:eastAsia="ja-JP"/>
        </w:rPr>
        <w:t xml:space="preserve"> and total exposure including uncontrolled exposure is summarised </w:t>
      </w:r>
      <w:r w:rsidR="00917936">
        <w:rPr>
          <w:lang w:eastAsia="ja-JP"/>
        </w:rPr>
        <w:t>in</w:t>
      </w:r>
      <w:r w:rsidR="007F1E71">
        <w:rPr>
          <w:lang w:eastAsia="ja-JP"/>
        </w:rPr>
        <w:t xml:space="preserve"> </w:t>
      </w:r>
      <w:r w:rsidR="007F1E71">
        <w:rPr>
          <w:lang w:eastAsia="ja-JP"/>
        </w:rPr>
        <w:fldChar w:fldCharType="begin"/>
      </w:r>
      <w:r w:rsidR="007F1E71">
        <w:rPr>
          <w:lang w:eastAsia="ja-JP"/>
        </w:rPr>
        <w:instrText xml:space="preserve"> REF _Ref19012880 \h </w:instrText>
      </w:r>
      <w:r w:rsidR="007F1E71">
        <w:rPr>
          <w:lang w:eastAsia="ja-JP"/>
        </w:rPr>
      </w:r>
      <w:r w:rsidR="007F1E71">
        <w:rPr>
          <w:lang w:eastAsia="ja-JP"/>
        </w:rPr>
        <w:fldChar w:fldCharType="separate"/>
      </w:r>
      <w:r w:rsidR="007F1E71">
        <w:t xml:space="preserve">Table </w:t>
      </w:r>
      <w:r w:rsidR="007F1E71">
        <w:rPr>
          <w:noProof/>
        </w:rPr>
        <w:t>13</w:t>
      </w:r>
      <w:r w:rsidR="007F1E71">
        <w:rPr>
          <w:lang w:eastAsia="ja-JP"/>
        </w:rPr>
        <w:fldChar w:fldCharType="end"/>
      </w:r>
      <w:r w:rsidR="006F6704">
        <w:rPr>
          <w:lang w:eastAsia="ja-JP"/>
        </w:rPr>
        <w:t>.</w:t>
      </w:r>
    </w:p>
    <w:p w14:paraId="58FBF3CA" w14:textId="368B33F9" w:rsidR="006F6704" w:rsidRDefault="007F1E71" w:rsidP="007F1E71">
      <w:pPr>
        <w:pStyle w:val="TableTitle"/>
        <w:rPr>
          <w:lang w:eastAsia="ja-JP"/>
        </w:rPr>
      </w:pPr>
      <w:bookmarkStart w:id="116" w:name="_Ref19012826"/>
      <w:bookmarkStart w:id="117" w:name="_Toc536533301"/>
      <w:r>
        <w:t xml:space="preserve">Table </w:t>
      </w:r>
      <w:fldSimple w:instr=" SEQ Table \* ARABIC ">
        <w:r>
          <w:rPr>
            <w:noProof/>
          </w:rPr>
          <w:t>11</w:t>
        </w:r>
      </w:fldSimple>
      <w:bookmarkEnd w:id="116"/>
      <w:r w:rsidR="009D45EB">
        <w:t>:</w:t>
      </w:r>
      <w:r w:rsidR="006F6704">
        <w:t xml:space="preserve"> Blin</w:t>
      </w:r>
      <w:r w:rsidR="00DF6167">
        <w:t xml:space="preserve">ded exposure in pivotal placebo </w:t>
      </w:r>
      <w:r w:rsidR="006F6704">
        <w:t>controlled studies</w:t>
      </w:r>
      <w:bookmarkEnd w:id="117"/>
    </w:p>
    <w:p w14:paraId="54C47A14" w14:textId="77777777" w:rsidR="006F6704" w:rsidRDefault="006F6704" w:rsidP="006F6704">
      <w:pPr>
        <w:rPr>
          <w:lang w:eastAsia="ja-JP"/>
        </w:rPr>
      </w:pPr>
      <w:r>
        <w:rPr>
          <w:noProof/>
          <w:lang w:eastAsia="en-AU"/>
        </w:rPr>
        <w:drawing>
          <wp:inline distT="0" distB="0" distL="0" distR="0" wp14:anchorId="477F829C" wp14:editId="01C2738A">
            <wp:extent cx="5362575" cy="1264926"/>
            <wp:effectExtent l="0" t="0" r="0" b="0"/>
            <wp:docPr id="13" name="Picture 13" descr="Blinded exposure in pivotal placebo-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575" cy="1264926"/>
                    </a:xfrm>
                    <a:prstGeom prst="rect">
                      <a:avLst/>
                    </a:prstGeom>
                    <a:noFill/>
                    <a:ln>
                      <a:noFill/>
                    </a:ln>
                  </pic:spPr>
                </pic:pic>
              </a:graphicData>
            </a:graphic>
          </wp:inline>
        </w:drawing>
      </w:r>
    </w:p>
    <w:p w14:paraId="108C281C" w14:textId="06BC236C" w:rsidR="006F6704" w:rsidRDefault="007F1E71" w:rsidP="007F1E71">
      <w:pPr>
        <w:pStyle w:val="TableTitle"/>
        <w:rPr>
          <w:lang w:eastAsia="ja-JP"/>
        </w:rPr>
      </w:pPr>
      <w:bookmarkStart w:id="118" w:name="_Ref19012869"/>
      <w:bookmarkStart w:id="119" w:name="_Toc536533302"/>
      <w:r>
        <w:lastRenderedPageBreak/>
        <w:t xml:space="preserve">Table </w:t>
      </w:r>
      <w:fldSimple w:instr=" SEQ Table \* ARABIC ">
        <w:r>
          <w:rPr>
            <w:noProof/>
          </w:rPr>
          <w:t>12</w:t>
        </w:r>
      </w:fldSimple>
      <w:bookmarkEnd w:id="118"/>
      <w:r w:rsidR="00935110">
        <w:t>:</w:t>
      </w:r>
      <w:r w:rsidR="00956668">
        <w:t xml:space="preserve"> Baseline patient d</w:t>
      </w:r>
      <w:r w:rsidR="006F6704">
        <w:t>emographics, Analysis Set A (Studies CGAG, CGAH</w:t>
      </w:r>
      <w:r w:rsidR="00234774">
        <w:t xml:space="preserve"> and</w:t>
      </w:r>
      <w:r>
        <w:t xml:space="preserve"> </w:t>
      </w:r>
      <w:r w:rsidR="006F6704">
        <w:t>CGAI)</w:t>
      </w:r>
      <w:bookmarkEnd w:id="119"/>
    </w:p>
    <w:p w14:paraId="6BEB81A7" w14:textId="77777777" w:rsidR="006F6704" w:rsidRDefault="006F6704" w:rsidP="006F6704">
      <w:pPr>
        <w:rPr>
          <w:lang w:eastAsia="ja-JP"/>
        </w:rPr>
      </w:pPr>
      <w:r>
        <w:rPr>
          <w:noProof/>
          <w:lang w:eastAsia="en-AU"/>
        </w:rPr>
        <w:drawing>
          <wp:inline distT="0" distB="0" distL="0" distR="0" wp14:anchorId="1BD738F2" wp14:editId="2AB05E28">
            <wp:extent cx="5438775" cy="5122041"/>
            <wp:effectExtent l="0" t="0" r="0" b="2540"/>
            <wp:docPr id="12" name="Picture 12" descr="Baseline Patient Demographics, Analysis Set A (Studies CGAG, CGAH, C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775" cy="5122041"/>
                    </a:xfrm>
                    <a:prstGeom prst="rect">
                      <a:avLst/>
                    </a:prstGeom>
                    <a:noFill/>
                    <a:ln>
                      <a:noFill/>
                    </a:ln>
                  </pic:spPr>
                </pic:pic>
              </a:graphicData>
            </a:graphic>
          </wp:inline>
        </w:drawing>
      </w:r>
    </w:p>
    <w:p w14:paraId="44D9C872" w14:textId="5CFC3F54" w:rsidR="006F6704" w:rsidRDefault="007F1E71" w:rsidP="007F1E71">
      <w:pPr>
        <w:pStyle w:val="TableTitle"/>
        <w:rPr>
          <w:lang w:eastAsia="ja-JP"/>
        </w:rPr>
      </w:pPr>
      <w:bookmarkStart w:id="120" w:name="_Ref19012880"/>
      <w:bookmarkStart w:id="121" w:name="_Toc536533303"/>
      <w:r>
        <w:t xml:space="preserve">Table </w:t>
      </w:r>
      <w:fldSimple w:instr=" SEQ Table \* ARABIC ">
        <w:r>
          <w:rPr>
            <w:noProof/>
          </w:rPr>
          <w:t>13</w:t>
        </w:r>
      </w:fldSimple>
      <w:bookmarkEnd w:id="120"/>
      <w:r w:rsidR="00935110">
        <w:t>:</w:t>
      </w:r>
      <w:r w:rsidR="006F6704">
        <w:t xml:space="preserve"> Total exposure to </w:t>
      </w:r>
      <w:proofErr w:type="spellStart"/>
      <w:r w:rsidR="006F6704">
        <w:t>galcanezumab</w:t>
      </w:r>
      <w:proofErr w:type="spellEnd"/>
      <w:r w:rsidR="006F6704">
        <w:t xml:space="preserve"> by dose and duration of exposure</w:t>
      </w:r>
      <w:bookmarkEnd w:id="121"/>
    </w:p>
    <w:p w14:paraId="71EBA317" w14:textId="77777777" w:rsidR="00500337" w:rsidRPr="00500337" w:rsidRDefault="006F6704" w:rsidP="00500337">
      <w:pPr>
        <w:rPr>
          <w:lang w:eastAsia="ja-JP"/>
        </w:rPr>
      </w:pPr>
      <w:r>
        <w:rPr>
          <w:noProof/>
          <w:lang w:eastAsia="en-AU"/>
        </w:rPr>
        <w:drawing>
          <wp:inline distT="0" distB="0" distL="0" distR="0" wp14:anchorId="4B18DE87" wp14:editId="2E2DBE2B">
            <wp:extent cx="5438775" cy="2253336"/>
            <wp:effectExtent l="0" t="0" r="0" b="0"/>
            <wp:docPr id="11" name="Picture 11" descr="Total exposure to galcanezumab by dose and duration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8775" cy="2253336"/>
                    </a:xfrm>
                    <a:prstGeom prst="rect">
                      <a:avLst/>
                    </a:prstGeom>
                    <a:noFill/>
                    <a:ln>
                      <a:noFill/>
                    </a:ln>
                  </pic:spPr>
                </pic:pic>
              </a:graphicData>
            </a:graphic>
          </wp:inline>
        </w:drawing>
      </w:r>
    </w:p>
    <w:p w14:paraId="77DC95D9" w14:textId="77777777" w:rsidR="00605AD4" w:rsidRPr="00EF16A8" w:rsidRDefault="00605AD4" w:rsidP="00605AD4">
      <w:pPr>
        <w:pStyle w:val="Heading4"/>
      </w:pPr>
      <w:r w:rsidRPr="00EF16A8">
        <w:lastRenderedPageBreak/>
        <w:t>Safety issues with the potential for major regulatory impact</w:t>
      </w:r>
    </w:p>
    <w:p w14:paraId="646DA6A2" w14:textId="77777777" w:rsidR="00830182" w:rsidRPr="00EF16A8" w:rsidRDefault="00830182" w:rsidP="00830182">
      <w:pPr>
        <w:pStyle w:val="Heading5"/>
      </w:pPr>
      <w:bookmarkStart w:id="122" w:name="_Toc272414669"/>
      <w:bookmarkStart w:id="123" w:name="_Toc290888533"/>
      <w:bookmarkStart w:id="124" w:name="_Toc416353749"/>
      <w:bookmarkStart w:id="125" w:name="_Toc421005292"/>
      <w:bookmarkStart w:id="126" w:name="_Toc432079169"/>
      <w:bookmarkStart w:id="127" w:name="_Toc432080742"/>
      <w:bookmarkStart w:id="128" w:name="_Ref523735912"/>
      <w:bookmarkStart w:id="129" w:name="_Ref523735916"/>
      <w:r w:rsidRPr="00EF16A8">
        <w:t>Liver function</w:t>
      </w:r>
      <w:bookmarkEnd w:id="122"/>
      <w:bookmarkEnd w:id="123"/>
      <w:bookmarkEnd w:id="124"/>
      <w:bookmarkEnd w:id="125"/>
      <w:r w:rsidRPr="00EF16A8">
        <w:t xml:space="preserve"> and liver toxicity</w:t>
      </w:r>
      <w:bookmarkEnd w:id="126"/>
      <w:bookmarkEnd w:id="127"/>
      <w:bookmarkEnd w:id="128"/>
      <w:bookmarkEnd w:id="129"/>
    </w:p>
    <w:p w14:paraId="5D9E77FB" w14:textId="21F5721F" w:rsidR="006F6704" w:rsidRDefault="00404F61" w:rsidP="00830182">
      <w:pPr>
        <w:rPr>
          <w:lang w:eastAsia="ja-JP"/>
        </w:rPr>
      </w:pPr>
      <w:r w:rsidRPr="00EF16A8">
        <w:rPr>
          <w:lang w:eastAsia="ja-JP"/>
        </w:rPr>
        <w:t>The sponsor</w:t>
      </w:r>
      <w:r w:rsidR="006F6704" w:rsidRPr="00EF16A8">
        <w:rPr>
          <w:lang w:eastAsia="ja-JP"/>
        </w:rPr>
        <w:t xml:space="preserve"> used a variety of approaches to assess the safety data for potential evidence of liver toxicity. In the pooled safety analysis set from the pivotal studies (Analysis Set A), the number of patients with elevated ALT, AST or bilirubin at various threshold levels above normal was compared for each treatment group, and very few differences were found. There was, however, an excess number of </w:t>
      </w:r>
      <w:proofErr w:type="spellStart"/>
      <w:r w:rsidR="006F6704" w:rsidRPr="00EF16A8">
        <w:rPr>
          <w:lang w:eastAsia="ja-JP"/>
        </w:rPr>
        <w:t>galca</w:t>
      </w:r>
      <w:r w:rsidR="009B6FC6">
        <w:rPr>
          <w:lang w:eastAsia="ja-JP"/>
        </w:rPr>
        <w:t>nezumab</w:t>
      </w:r>
      <w:proofErr w:type="spellEnd"/>
      <w:r w:rsidR="009B6FC6">
        <w:rPr>
          <w:lang w:eastAsia="ja-JP"/>
        </w:rPr>
        <w:t xml:space="preserve"> recipients with ALT ≥ 5 times</w:t>
      </w:r>
      <w:r w:rsidR="006F6704" w:rsidRPr="00EF16A8">
        <w:rPr>
          <w:lang w:eastAsia="ja-JP"/>
        </w:rPr>
        <w:t xml:space="preserve"> the </w:t>
      </w:r>
      <w:r w:rsidR="00956668">
        <w:rPr>
          <w:lang w:eastAsia="ja-JP"/>
        </w:rPr>
        <w:t>ULN</w:t>
      </w:r>
      <w:r w:rsidR="006F6704" w:rsidRPr="00EF16A8">
        <w:rPr>
          <w:lang w:eastAsia="ja-JP"/>
        </w:rPr>
        <w:t xml:space="preserve">, and this was statistically significant (without correction for multiplicity of comparisons). There were four such subjects, compared to no placebo recipients. In two of these cases, abnormal liver function tests had also been present </w:t>
      </w:r>
      <w:r w:rsidR="00D80561">
        <w:rPr>
          <w:lang w:eastAsia="ja-JP"/>
        </w:rPr>
        <w:t>at Baseline</w:t>
      </w:r>
      <w:r w:rsidR="006F6704" w:rsidRPr="00EF16A8">
        <w:rPr>
          <w:lang w:eastAsia="ja-JP"/>
        </w:rPr>
        <w:t xml:space="preserve"> (</w:t>
      </w:r>
      <w:r w:rsidR="009B6FC6">
        <w:rPr>
          <w:lang w:eastAsia="ja-JP"/>
        </w:rPr>
        <w:t>see</w:t>
      </w:r>
      <w:r w:rsidR="007F1E71">
        <w:rPr>
          <w:lang w:eastAsia="ja-JP"/>
        </w:rPr>
        <w:t xml:space="preserve"> </w:t>
      </w:r>
      <w:r w:rsidR="007F1E71">
        <w:rPr>
          <w:lang w:eastAsia="ja-JP"/>
        </w:rPr>
        <w:fldChar w:fldCharType="begin"/>
      </w:r>
      <w:r w:rsidR="007F1E71">
        <w:rPr>
          <w:lang w:eastAsia="ja-JP"/>
        </w:rPr>
        <w:instrText xml:space="preserve"> REF _Ref19012906 \h </w:instrText>
      </w:r>
      <w:r w:rsidR="007F1E71">
        <w:rPr>
          <w:lang w:eastAsia="ja-JP"/>
        </w:rPr>
      </w:r>
      <w:r w:rsidR="007F1E71">
        <w:rPr>
          <w:lang w:eastAsia="ja-JP"/>
        </w:rPr>
        <w:fldChar w:fldCharType="separate"/>
      </w:r>
      <w:r w:rsidR="007F1E71">
        <w:t xml:space="preserve">Table </w:t>
      </w:r>
      <w:r w:rsidR="007F1E71">
        <w:rPr>
          <w:noProof/>
        </w:rPr>
        <w:t>14</w:t>
      </w:r>
      <w:r w:rsidR="007F1E71">
        <w:rPr>
          <w:lang w:eastAsia="ja-JP"/>
        </w:rPr>
        <w:fldChar w:fldCharType="end"/>
      </w:r>
      <w:r w:rsidR="006F6704" w:rsidRPr="00EF16A8">
        <w:rPr>
          <w:lang w:eastAsia="ja-JP"/>
        </w:rPr>
        <w:t>). In all four cases, the abnormal LFTs either resolved, or nearly resolved: in one case, eight days after the high ALT level, ALT was still abnor</w:t>
      </w:r>
      <w:r w:rsidR="009B6FC6">
        <w:rPr>
          <w:lang w:eastAsia="ja-JP"/>
        </w:rPr>
        <w:t>mal, but it was between 1 to 2 times</w:t>
      </w:r>
      <w:r w:rsidR="006F6704" w:rsidRPr="00EF16A8">
        <w:rPr>
          <w:lang w:eastAsia="ja-JP"/>
        </w:rPr>
        <w:t xml:space="preserve"> ULN and AST was in the normal range; in the other three cases, ALT returned to normal. In one of the cases, the abnormal LFTs led to discontinuation.</w:t>
      </w:r>
    </w:p>
    <w:p w14:paraId="236DBDF0" w14:textId="77777777" w:rsidR="006F6704" w:rsidRDefault="006F6704" w:rsidP="00830182">
      <w:pPr>
        <w:rPr>
          <w:lang w:eastAsia="ja-JP"/>
        </w:rPr>
      </w:pPr>
      <w:r>
        <w:rPr>
          <w:lang w:eastAsia="ja-JP"/>
        </w:rPr>
        <w:t>For other comparisons, based on AST, bilirubin, or other threshold changes</w:t>
      </w:r>
      <w:r w:rsidR="009B6FC6">
        <w:rPr>
          <w:lang w:eastAsia="ja-JP"/>
        </w:rPr>
        <w:t xml:space="preserve"> in ALT, no significant between </w:t>
      </w:r>
      <w:r>
        <w:rPr>
          <w:lang w:eastAsia="ja-JP"/>
        </w:rPr>
        <w:t>gro</w:t>
      </w:r>
      <w:r w:rsidR="00830182">
        <w:rPr>
          <w:lang w:eastAsia="ja-JP"/>
        </w:rPr>
        <w:t>up differences were identified.</w:t>
      </w:r>
    </w:p>
    <w:p w14:paraId="441C6D4A" w14:textId="4E5C3218" w:rsidR="006F6704" w:rsidRDefault="007F1E71" w:rsidP="007F1E71">
      <w:pPr>
        <w:pStyle w:val="TableTitle"/>
        <w:rPr>
          <w:lang w:eastAsia="ja-JP"/>
        </w:rPr>
      </w:pPr>
      <w:bookmarkStart w:id="130" w:name="_Ref19012906"/>
      <w:bookmarkStart w:id="131" w:name="_Toc536533314"/>
      <w:r>
        <w:t xml:space="preserve">Table </w:t>
      </w:r>
      <w:fldSimple w:instr=" SEQ Table \* ARABIC ">
        <w:r>
          <w:rPr>
            <w:noProof/>
          </w:rPr>
          <w:t>14</w:t>
        </w:r>
      </w:fldSimple>
      <w:bookmarkEnd w:id="130"/>
      <w:r w:rsidR="009B6FC6">
        <w:t>:</w:t>
      </w:r>
      <w:r w:rsidR="006F6704">
        <w:t xml:space="preserve"> Patients with ALT</w:t>
      </w:r>
      <w:r w:rsidR="009B6FC6">
        <w:t xml:space="preserve"> </w:t>
      </w:r>
      <w:r w:rsidR="006F6704">
        <w:t>≥</w:t>
      </w:r>
      <w:r w:rsidR="009B6FC6">
        <w:t xml:space="preserve"> 3 times </w:t>
      </w:r>
      <w:r w:rsidR="006F6704">
        <w:t>ULN and AST</w:t>
      </w:r>
      <w:r w:rsidR="009B6FC6">
        <w:t xml:space="preserve"> </w:t>
      </w:r>
      <w:r w:rsidR="006F6704">
        <w:t>≥</w:t>
      </w:r>
      <w:r w:rsidR="009B6FC6">
        <w:t xml:space="preserve"> 3 times </w:t>
      </w:r>
      <w:r w:rsidR="00FC6ADC">
        <w:t>ULN by treatment g</w:t>
      </w:r>
      <w:r w:rsidR="006F6704">
        <w:t>roup, Analysis Set A (Studies CGAG, CGAH and CGAI)</w:t>
      </w:r>
      <w:bookmarkEnd w:id="131"/>
    </w:p>
    <w:p w14:paraId="11998634" w14:textId="77777777" w:rsidR="006F6704" w:rsidRDefault="00077F43" w:rsidP="006F6704">
      <w:pPr>
        <w:rPr>
          <w:lang w:eastAsia="ja-JP"/>
        </w:rPr>
      </w:pPr>
      <w:r>
        <w:rPr>
          <w:noProof/>
          <w:lang w:eastAsia="en-AU"/>
        </w:rPr>
        <mc:AlternateContent>
          <mc:Choice Requires="wps">
            <w:drawing>
              <wp:anchor distT="0" distB="0" distL="114300" distR="114300" simplePos="0" relativeHeight="251658240" behindDoc="0" locked="0" layoutInCell="1" allowOverlap="1" wp14:anchorId="513B9CEE" wp14:editId="77004547">
                <wp:simplePos x="0" y="0"/>
                <wp:positionH relativeFrom="column">
                  <wp:posOffset>2515</wp:posOffset>
                </wp:positionH>
                <wp:positionV relativeFrom="paragraph">
                  <wp:posOffset>318541</wp:posOffset>
                </wp:positionV>
                <wp:extent cx="950976" cy="2794407"/>
                <wp:effectExtent l="0" t="0" r="1905"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94407"/>
                        </a:xfrm>
                        <a:prstGeom prst="rect">
                          <a:avLst/>
                        </a:prstGeom>
                        <a:solidFill>
                          <a:srgbClr val="FFFFFF"/>
                        </a:solidFill>
                        <a:ln w="9525">
                          <a:noFill/>
                          <a:miter lim="800000"/>
                          <a:headEnd/>
                          <a:tailEnd/>
                        </a:ln>
                      </wps:spPr>
                      <wps:txbx>
                        <w:txbxContent>
                          <w:p w14:paraId="5FA52887" w14:textId="77777777" w:rsidR="009C06C5" w:rsidRDefault="009C06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3B9CEE" id="_x0000_t202" coordsize="21600,21600" o:spt="202" path="m,l,21600r21600,l21600,xe">
                <v:stroke joinstyle="miter"/>
                <v:path gradientshapeok="t" o:connecttype="rect"/>
              </v:shapetype>
              <v:shape id="Text Box 2" o:spid="_x0000_s1026" type="#_x0000_t202" style="position:absolute;margin-left:.2pt;margin-top:25.1pt;width:74.9pt;height:22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" stroked="f">
                <v:textbox>
                  <w:txbxContent>
                    <w:p w14:paraId="5FA52887" w14:textId="77777777" w:rsidR="009C06C5" w:rsidRDefault="009C06C5"/>
                  </w:txbxContent>
                </v:textbox>
              </v:shape>
            </w:pict>
          </mc:Fallback>
        </mc:AlternateContent>
      </w:r>
      <w:r w:rsidRPr="00077F43">
        <w:rPr>
          <w:noProof/>
          <w:lang w:eastAsia="en-AU"/>
        </w:rPr>
        <w:t xml:space="preserve"> </w:t>
      </w:r>
      <w:r>
        <w:rPr>
          <w:noProof/>
          <w:lang w:eastAsia="en-AU"/>
        </w:rPr>
        <w:drawing>
          <wp:inline distT="0" distB="0" distL="0" distR="0" wp14:anchorId="606EA76E" wp14:editId="101A23DF">
            <wp:extent cx="5025542" cy="3862579"/>
            <wp:effectExtent l="0" t="0" r="3810" b="5080"/>
            <wp:docPr id="37" name="Picture 37" descr="Patients with ALT ≥ 3 times ULN and AST ≥ 3 times ULN by treatment group, Analysis Set A (Studies CGAG, CGAH, and CG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26867" cy="3863597"/>
                    </a:xfrm>
                    <a:prstGeom prst="rect">
                      <a:avLst/>
                    </a:prstGeom>
                  </pic:spPr>
                </pic:pic>
              </a:graphicData>
            </a:graphic>
          </wp:inline>
        </w:drawing>
      </w:r>
    </w:p>
    <w:p w14:paraId="2128D345" w14:textId="0D3C48DE" w:rsidR="006F6704" w:rsidRDefault="007F1E71" w:rsidP="007F1E71">
      <w:pPr>
        <w:pStyle w:val="TableTitle"/>
        <w:rPr>
          <w:lang w:eastAsia="ja-JP"/>
        </w:rPr>
      </w:pPr>
      <w:bookmarkStart w:id="132" w:name="_Ref19012946"/>
      <w:bookmarkStart w:id="133" w:name="_Toc536533315"/>
      <w:r>
        <w:lastRenderedPageBreak/>
        <w:t xml:space="preserve">Table </w:t>
      </w:r>
      <w:fldSimple w:instr=" SEQ Table \* ARABIC ">
        <w:r>
          <w:rPr>
            <w:noProof/>
          </w:rPr>
          <w:t>15</w:t>
        </w:r>
      </w:fldSimple>
      <w:bookmarkEnd w:id="132"/>
      <w:r w:rsidR="009B6FC6">
        <w:t>:</w:t>
      </w:r>
      <w:r w:rsidR="00DF6167">
        <w:t xml:space="preserve"> </w:t>
      </w:r>
      <w:r w:rsidR="00FC6ADC">
        <w:t>TEAEs related to hepatic s</w:t>
      </w:r>
      <w:r w:rsidR="006F6704">
        <w:t>afety Analysis Set A (Studies CGAG, CGAH and CGAI)</w:t>
      </w:r>
      <w:bookmarkEnd w:id="133"/>
    </w:p>
    <w:p w14:paraId="363DBAAF" w14:textId="77777777" w:rsidR="006F6704" w:rsidRDefault="002533FF" w:rsidP="006F6704">
      <w:pPr>
        <w:rPr>
          <w:lang w:eastAsia="ja-JP"/>
        </w:rPr>
      </w:pPr>
      <w:r>
        <w:rPr>
          <w:noProof/>
          <w:lang w:eastAsia="en-AU"/>
        </w:rPr>
        <w:drawing>
          <wp:inline distT="0" distB="0" distL="0" distR="0" wp14:anchorId="55DECD9E" wp14:editId="107C57E2">
            <wp:extent cx="5279277" cy="3130905"/>
            <wp:effectExtent l="0" t="0" r="0" b="0"/>
            <wp:docPr id="40" name="Picture 40" descr="TEAEs related to hepatic safety Analysis Set A (Studies CGAG, CGAH and C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80669" cy="3131730"/>
                    </a:xfrm>
                    <a:prstGeom prst="rect">
                      <a:avLst/>
                    </a:prstGeom>
                  </pic:spPr>
                </pic:pic>
              </a:graphicData>
            </a:graphic>
          </wp:inline>
        </w:drawing>
      </w:r>
    </w:p>
    <w:p w14:paraId="792FA363" w14:textId="6CEC1E09" w:rsidR="006F6704" w:rsidRDefault="006F6704" w:rsidP="00830182">
      <w:pPr>
        <w:rPr>
          <w:lang w:eastAsia="ja-JP"/>
        </w:rPr>
      </w:pPr>
      <w:r>
        <w:rPr>
          <w:lang w:eastAsia="ja-JP"/>
        </w:rPr>
        <w:t xml:space="preserve">In the pooled </w:t>
      </w:r>
      <w:proofErr w:type="spellStart"/>
      <w:r>
        <w:rPr>
          <w:lang w:eastAsia="ja-JP"/>
        </w:rPr>
        <w:t>galcanezumab</w:t>
      </w:r>
      <w:proofErr w:type="spellEnd"/>
      <w:r>
        <w:rPr>
          <w:lang w:eastAsia="ja-JP"/>
        </w:rPr>
        <w:t xml:space="preserve"> group, compared to the placebo group, there was a mild excess of TEAEs related to hepatic enzymes or potentially related to liver dysfunction, as shown in </w:t>
      </w:r>
      <w:r w:rsidR="007F1E71">
        <w:rPr>
          <w:lang w:eastAsia="ja-JP"/>
        </w:rPr>
        <w:fldChar w:fldCharType="begin"/>
      </w:r>
      <w:r w:rsidR="007F1E71">
        <w:rPr>
          <w:lang w:eastAsia="ja-JP"/>
        </w:rPr>
        <w:instrText xml:space="preserve"> REF _Ref19012946 \h </w:instrText>
      </w:r>
      <w:r w:rsidR="007F1E71">
        <w:rPr>
          <w:lang w:eastAsia="ja-JP"/>
        </w:rPr>
      </w:r>
      <w:r w:rsidR="007F1E71">
        <w:rPr>
          <w:lang w:eastAsia="ja-JP"/>
        </w:rPr>
        <w:fldChar w:fldCharType="separate"/>
      </w:r>
      <w:r w:rsidR="007F1E71">
        <w:t xml:space="preserve">Table </w:t>
      </w:r>
      <w:r w:rsidR="007F1E71">
        <w:rPr>
          <w:noProof/>
        </w:rPr>
        <w:t>15</w:t>
      </w:r>
      <w:r w:rsidR="007F1E71">
        <w:rPr>
          <w:lang w:eastAsia="ja-JP"/>
        </w:rPr>
        <w:fldChar w:fldCharType="end"/>
      </w:r>
      <w:r w:rsidR="007F1E71">
        <w:rPr>
          <w:lang w:eastAsia="ja-JP"/>
        </w:rPr>
        <w:t xml:space="preserve"> </w:t>
      </w:r>
      <w:r>
        <w:rPr>
          <w:lang w:eastAsia="ja-JP"/>
        </w:rPr>
        <w:t>(</w:t>
      </w:r>
      <w:proofErr w:type="spellStart"/>
      <w:r>
        <w:rPr>
          <w:lang w:eastAsia="ja-JP"/>
        </w:rPr>
        <w:t>galcanezumab</w:t>
      </w:r>
      <w:proofErr w:type="spellEnd"/>
      <w:r>
        <w:rPr>
          <w:lang w:eastAsia="ja-JP"/>
        </w:rPr>
        <w:t xml:space="preserve"> 10 subjects, placebo 6 subjects). Across th</w:t>
      </w:r>
      <w:r w:rsidR="00DF6167">
        <w:rPr>
          <w:lang w:eastAsia="ja-JP"/>
        </w:rPr>
        <w:t>e entire dataset, including non-placebo</w:t>
      </w:r>
      <w:r>
        <w:rPr>
          <w:lang w:eastAsia="ja-JP"/>
        </w:rPr>
        <w:t>-controlled exposure, there we</w:t>
      </w:r>
      <w:r w:rsidR="00BE161F">
        <w:rPr>
          <w:lang w:eastAsia="ja-JP"/>
        </w:rPr>
        <w:t xml:space="preserve">re another 16 more </w:t>
      </w:r>
      <w:proofErr w:type="spellStart"/>
      <w:r w:rsidR="00BE161F">
        <w:rPr>
          <w:lang w:eastAsia="ja-JP"/>
        </w:rPr>
        <w:t>galcanezumab</w:t>
      </w:r>
      <w:proofErr w:type="spellEnd"/>
      <w:r w:rsidR="00BE161F">
        <w:rPr>
          <w:lang w:eastAsia="ja-JP"/>
        </w:rPr>
        <w:t xml:space="preserve"> </w:t>
      </w:r>
      <w:r>
        <w:rPr>
          <w:lang w:eastAsia="ja-JP"/>
        </w:rPr>
        <w:t xml:space="preserve">treated patients who had TEAEs related to hepatic lab values while on </w:t>
      </w:r>
      <w:proofErr w:type="spellStart"/>
      <w:r>
        <w:rPr>
          <w:lang w:eastAsia="ja-JP"/>
        </w:rPr>
        <w:t>galcanezumab</w:t>
      </w:r>
      <w:proofErr w:type="spellEnd"/>
      <w:r>
        <w:rPr>
          <w:lang w:eastAsia="ja-JP"/>
        </w:rPr>
        <w:t xml:space="preserve"> treatment, and another 3 who had hepatic</w:t>
      </w:r>
      <w:r w:rsidR="00BE161F">
        <w:rPr>
          <w:lang w:eastAsia="ja-JP"/>
        </w:rPr>
        <w:t xml:space="preserve"> TEAEs during post </w:t>
      </w:r>
      <w:r>
        <w:rPr>
          <w:lang w:eastAsia="ja-JP"/>
        </w:rPr>
        <w:t xml:space="preserve">treatment washout. A review of the patient narratives raised no specific concerns, and in most cases alternative potential explanations </w:t>
      </w:r>
      <w:r w:rsidR="00830182">
        <w:rPr>
          <w:lang w:eastAsia="ja-JP"/>
        </w:rPr>
        <w:t>for abnormal LFTs were present.</w:t>
      </w:r>
    </w:p>
    <w:p w14:paraId="339C08AC" w14:textId="77777777" w:rsidR="006F6704" w:rsidRDefault="00BE161F" w:rsidP="00830182">
      <w:pPr>
        <w:rPr>
          <w:lang w:eastAsia="ja-JP"/>
        </w:rPr>
      </w:pPr>
      <w:r>
        <w:rPr>
          <w:lang w:eastAsia="ja-JP"/>
        </w:rPr>
        <w:t xml:space="preserve">Most hepatic </w:t>
      </w:r>
      <w:r w:rsidR="006F6704">
        <w:rPr>
          <w:lang w:eastAsia="ja-JP"/>
        </w:rPr>
        <w:t>related AEs were mild in severity, and no hepatic SAEs were identified by systematic searches of the safety database. One patient</w:t>
      </w:r>
      <w:r w:rsidR="009B6FC6">
        <w:rPr>
          <w:lang w:eastAsia="ja-JP"/>
        </w:rPr>
        <w:t xml:space="preserve">, who received </w:t>
      </w:r>
      <w:proofErr w:type="spellStart"/>
      <w:r w:rsidR="009B6FC6">
        <w:rPr>
          <w:lang w:eastAsia="ja-JP"/>
        </w:rPr>
        <w:t>galcanezumab</w:t>
      </w:r>
      <w:proofErr w:type="spellEnd"/>
      <w:r w:rsidR="009B6FC6">
        <w:rPr>
          <w:lang w:eastAsia="ja-JP"/>
        </w:rPr>
        <w:t xml:space="preserve"> 240 </w:t>
      </w:r>
      <w:r w:rsidR="006F6704">
        <w:rPr>
          <w:lang w:eastAsia="ja-JP"/>
        </w:rPr>
        <w:t>mg, had ascites and hepatic cysts as symptoms of the SAE of acute pancreatitis, but no patient had an SAE related to hepatic laboratory values or hepat</w:t>
      </w:r>
      <w:r>
        <w:rPr>
          <w:lang w:eastAsia="ja-JP"/>
        </w:rPr>
        <w:t xml:space="preserve">ic safety during the double </w:t>
      </w:r>
      <w:r w:rsidR="006F6704">
        <w:rPr>
          <w:lang w:eastAsia="ja-JP"/>
        </w:rPr>
        <w:t>blind treatment phase of Studies CGAG, CGAH, and CGAI.</w:t>
      </w:r>
    </w:p>
    <w:p w14:paraId="04058422" w14:textId="77777777" w:rsidR="006F6704" w:rsidRDefault="006F6704" w:rsidP="00830182">
      <w:pPr>
        <w:rPr>
          <w:lang w:eastAsia="ja-JP"/>
        </w:rPr>
      </w:pPr>
      <w:r>
        <w:rPr>
          <w:lang w:eastAsia="ja-JP"/>
        </w:rPr>
        <w:t>Two patients, both of</w:t>
      </w:r>
      <w:r w:rsidR="009B6FC6">
        <w:rPr>
          <w:lang w:eastAsia="ja-JP"/>
        </w:rPr>
        <w:t xml:space="preserve"> whom received </w:t>
      </w:r>
      <w:proofErr w:type="spellStart"/>
      <w:r w:rsidR="009B6FC6">
        <w:rPr>
          <w:lang w:eastAsia="ja-JP"/>
        </w:rPr>
        <w:t>galcanezumab</w:t>
      </w:r>
      <w:proofErr w:type="spellEnd"/>
      <w:r w:rsidR="009B6FC6">
        <w:rPr>
          <w:lang w:eastAsia="ja-JP"/>
        </w:rPr>
        <w:t xml:space="preserve"> 240 </w:t>
      </w:r>
      <w:r>
        <w:rPr>
          <w:lang w:eastAsia="ja-JP"/>
        </w:rPr>
        <w:t>mg, discontinued becau</w:t>
      </w:r>
      <w:r w:rsidR="00830182">
        <w:rPr>
          <w:lang w:eastAsia="ja-JP"/>
        </w:rPr>
        <w:t>se of elevated hepatic enzymes.</w:t>
      </w:r>
    </w:p>
    <w:p w14:paraId="62AAB111" w14:textId="628BDC00" w:rsidR="006F6704" w:rsidRDefault="006F6704" w:rsidP="006F6704">
      <w:pPr>
        <w:rPr>
          <w:lang w:eastAsia="ja-JP"/>
        </w:rPr>
      </w:pPr>
      <w:r>
        <w:rPr>
          <w:lang w:eastAsia="ja-JP"/>
        </w:rPr>
        <w:t>At no stage did any subjects across the entire migraine st</w:t>
      </w:r>
      <w:r w:rsidR="009B6FC6">
        <w:rPr>
          <w:lang w:eastAsia="ja-JP"/>
        </w:rPr>
        <w:t xml:space="preserve">udy population satisfy </w:t>
      </w:r>
      <w:proofErr w:type="spellStart"/>
      <w:r w:rsidR="009B6FC6">
        <w:rPr>
          <w:lang w:eastAsia="ja-JP"/>
        </w:rPr>
        <w:t>Hy’s</w:t>
      </w:r>
      <w:proofErr w:type="spellEnd"/>
      <w:r w:rsidR="009B6FC6">
        <w:rPr>
          <w:lang w:eastAsia="ja-JP"/>
        </w:rPr>
        <w:t xml:space="preserve"> law</w:t>
      </w:r>
      <w:r>
        <w:rPr>
          <w:lang w:eastAsia="ja-JP"/>
        </w:rPr>
        <w:t>.</w:t>
      </w:r>
      <w:r w:rsidR="009B6FC6">
        <w:rPr>
          <w:rStyle w:val="FootnoteReference"/>
          <w:lang w:eastAsia="ja-JP"/>
        </w:rPr>
        <w:footnoteReference w:id="30"/>
      </w:r>
      <w:r>
        <w:rPr>
          <w:lang w:eastAsia="ja-JP"/>
        </w:rPr>
        <w:t xml:space="preserve"> The distribution of maximum bilirubin values and maximum ALT values was similar for recipients of </w:t>
      </w:r>
      <w:proofErr w:type="spellStart"/>
      <w:r>
        <w:rPr>
          <w:lang w:eastAsia="ja-JP"/>
        </w:rPr>
        <w:t>galcanezumab</w:t>
      </w:r>
      <w:proofErr w:type="spellEnd"/>
      <w:r>
        <w:rPr>
          <w:lang w:eastAsia="ja-JP"/>
        </w:rPr>
        <w:t xml:space="preserve"> and </w:t>
      </w:r>
      <w:r w:rsidR="00830182">
        <w:rPr>
          <w:lang w:eastAsia="ja-JP"/>
        </w:rPr>
        <w:t>placebo (</w:t>
      </w:r>
      <w:r w:rsidR="007F1E71">
        <w:rPr>
          <w:lang w:eastAsia="ja-JP"/>
        </w:rPr>
        <w:fldChar w:fldCharType="begin"/>
      </w:r>
      <w:r w:rsidR="007F1E71">
        <w:rPr>
          <w:lang w:eastAsia="ja-JP"/>
        </w:rPr>
        <w:instrText xml:space="preserve"> REF _Ref19013587 \h </w:instrText>
      </w:r>
      <w:r w:rsidR="007F1E71">
        <w:rPr>
          <w:lang w:eastAsia="ja-JP"/>
        </w:rPr>
      </w:r>
      <w:r w:rsidR="007F1E71">
        <w:rPr>
          <w:lang w:eastAsia="ja-JP"/>
        </w:rPr>
        <w:fldChar w:fldCharType="separate"/>
      </w:r>
      <w:r w:rsidR="007F1E71">
        <w:t xml:space="preserve">Figure </w:t>
      </w:r>
      <w:r w:rsidR="007F1E71">
        <w:rPr>
          <w:noProof/>
        </w:rPr>
        <w:t>4</w:t>
      </w:r>
      <w:r w:rsidR="007F1E71">
        <w:rPr>
          <w:lang w:eastAsia="ja-JP"/>
        </w:rPr>
        <w:fldChar w:fldCharType="end"/>
      </w:r>
      <w:r w:rsidR="00830182">
        <w:rPr>
          <w:lang w:eastAsia="ja-JP"/>
        </w:rPr>
        <w:t>).</w:t>
      </w:r>
    </w:p>
    <w:p w14:paraId="4957B32A" w14:textId="41C5624F" w:rsidR="006F6704" w:rsidRDefault="007F1E71" w:rsidP="007F1E71">
      <w:pPr>
        <w:pStyle w:val="FigureTitle"/>
        <w:rPr>
          <w:lang w:eastAsia="ja-JP"/>
        </w:rPr>
      </w:pPr>
      <w:bookmarkStart w:id="134" w:name="_Ref19013587"/>
      <w:bookmarkStart w:id="135" w:name="_Toc536533380"/>
      <w:r>
        <w:lastRenderedPageBreak/>
        <w:t xml:space="preserve">Figure </w:t>
      </w:r>
      <w:fldSimple w:instr=" SEQ Figure \* ARABIC ">
        <w:r>
          <w:rPr>
            <w:noProof/>
          </w:rPr>
          <w:t>4</w:t>
        </w:r>
      </w:fldSimple>
      <w:bookmarkEnd w:id="134"/>
      <w:r w:rsidR="009B6FC6">
        <w:t>:</w:t>
      </w:r>
      <w:r w:rsidR="006F6704">
        <w:t xml:space="preserve"> </w:t>
      </w:r>
      <w:proofErr w:type="spellStart"/>
      <w:r w:rsidR="000579DD">
        <w:t>e</w:t>
      </w:r>
      <w:r w:rsidR="006F6704">
        <w:t>DISH</w:t>
      </w:r>
      <w:proofErr w:type="spellEnd"/>
      <w:r w:rsidR="006F6704">
        <w:t xml:space="preserve"> (Evaluation of </w:t>
      </w:r>
      <w:r w:rsidR="000579DD">
        <w:t>drug</w:t>
      </w:r>
      <w:r w:rsidR="006F6704">
        <w:t>-</w:t>
      </w:r>
      <w:r w:rsidR="000579DD">
        <w:t>induced serious hepatotoxicity</w:t>
      </w:r>
      <w:r w:rsidR="006F6704">
        <w:t xml:space="preserve">)-like </w:t>
      </w:r>
      <w:r w:rsidR="00FC6ADC">
        <w:t>plot maximum total b</w:t>
      </w:r>
      <w:r w:rsidR="00A76EA2">
        <w:t>ilirubin versus</w:t>
      </w:r>
      <w:r w:rsidR="00FC6ADC">
        <w:t xml:space="preserve"> maximum ALT</w:t>
      </w:r>
      <w:r w:rsidR="000579DD">
        <w:t>;</w:t>
      </w:r>
      <w:r w:rsidR="00FC6ADC">
        <w:t xml:space="preserve"> safety population </w:t>
      </w:r>
      <w:r w:rsidR="000579DD">
        <w:t>from S</w:t>
      </w:r>
      <w:r w:rsidR="006F6704">
        <w:t>tudies ART-01, CGA</w:t>
      </w:r>
      <w:r w:rsidR="00FC6ADC">
        <w:t>B, CGAG, CGAH, CGAI and CGAJ, all study p</w:t>
      </w:r>
      <w:r w:rsidR="006F6704">
        <w:t>hases</w:t>
      </w:r>
      <w:bookmarkEnd w:id="135"/>
    </w:p>
    <w:p w14:paraId="448131DE" w14:textId="77777777" w:rsidR="006F6704" w:rsidRDefault="006F6704" w:rsidP="006F6704">
      <w:pPr>
        <w:rPr>
          <w:lang w:eastAsia="ja-JP"/>
        </w:rPr>
      </w:pPr>
      <w:r>
        <w:rPr>
          <w:noProof/>
          <w:lang w:eastAsia="en-AU"/>
        </w:rPr>
        <w:drawing>
          <wp:inline distT="0" distB="0" distL="0" distR="0" wp14:anchorId="43C90680" wp14:editId="120B29C1">
            <wp:extent cx="4828032" cy="3317535"/>
            <wp:effectExtent l="0" t="0" r="0" b="0"/>
            <wp:docPr id="25" name="Picture 25" descr="E-DISH (Evaluation of Drug-Induced Serious Hepatotoxicity)-like Plot Maximum Total Bilirubin versus Maximum ALT Safety Population Studies ART-01, CGAB, CGAG, CGAH, CGAI, and CGAJ, All Study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9543" cy="3318573"/>
                    </a:xfrm>
                    <a:prstGeom prst="rect">
                      <a:avLst/>
                    </a:prstGeom>
                    <a:noFill/>
                    <a:ln>
                      <a:noFill/>
                    </a:ln>
                  </pic:spPr>
                </pic:pic>
              </a:graphicData>
            </a:graphic>
          </wp:inline>
        </w:drawing>
      </w:r>
    </w:p>
    <w:p w14:paraId="2B62E2CC" w14:textId="77777777" w:rsidR="006F6704" w:rsidRDefault="006F6704" w:rsidP="009C06C5">
      <w:pPr>
        <w:rPr>
          <w:lang w:eastAsia="ja-JP"/>
        </w:rPr>
      </w:pPr>
      <w:r>
        <w:rPr>
          <w:lang w:eastAsia="ja-JP"/>
        </w:rPr>
        <w:t>Overall, considering all of the submitted evidence, there is no clear signal of potential h</w:t>
      </w:r>
      <w:r w:rsidR="00830182">
        <w:rPr>
          <w:lang w:eastAsia="ja-JP"/>
        </w:rPr>
        <w:t xml:space="preserve">epatotoxicity for </w:t>
      </w:r>
      <w:proofErr w:type="spellStart"/>
      <w:r w:rsidR="00830182">
        <w:rPr>
          <w:lang w:eastAsia="ja-JP"/>
        </w:rPr>
        <w:t>galcanezumab</w:t>
      </w:r>
      <w:proofErr w:type="spellEnd"/>
      <w:r w:rsidR="00830182">
        <w:rPr>
          <w:lang w:eastAsia="ja-JP"/>
        </w:rPr>
        <w:t>.</w:t>
      </w:r>
    </w:p>
    <w:p w14:paraId="0BA37B16" w14:textId="77777777" w:rsidR="006F6704" w:rsidRPr="00545B14" w:rsidRDefault="006F6704" w:rsidP="00830182">
      <w:pPr>
        <w:pStyle w:val="Heading5"/>
      </w:pPr>
      <w:r>
        <w:t xml:space="preserve">Renal </w:t>
      </w:r>
      <w:r w:rsidRPr="00545B14">
        <w:t>function</w:t>
      </w:r>
      <w:r>
        <w:t xml:space="preserve"> and renal toxicity</w:t>
      </w:r>
    </w:p>
    <w:p w14:paraId="19B5BFB4" w14:textId="77777777" w:rsidR="006F6704" w:rsidRDefault="006F6704" w:rsidP="00A76EA2">
      <w:pPr>
        <w:rPr>
          <w:lang w:eastAsia="ja-JP"/>
        </w:rPr>
      </w:pPr>
      <w:bookmarkStart w:id="136" w:name="_Toc272414671"/>
      <w:bookmarkStart w:id="137" w:name="_Toc290888535"/>
      <w:bookmarkStart w:id="138" w:name="_Toc416353751"/>
      <w:bookmarkStart w:id="139" w:name="_Toc421005294"/>
      <w:bookmarkStart w:id="140" w:name="_Toc432079171"/>
      <w:bookmarkStart w:id="141" w:name="_Toc432080744"/>
      <w:r>
        <w:rPr>
          <w:lang w:eastAsia="ja-JP"/>
        </w:rPr>
        <w:t>Laboratory monitoring of urea and creatinine and urinalysis showed no concerning safety signals. There were significantly more p</w:t>
      </w:r>
      <w:r w:rsidR="00A76EA2">
        <w:rPr>
          <w:lang w:eastAsia="ja-JP"/>
        </w:rPr>
        <w:t xml:space="preserve">atients in the </w:t>
      </w:r>
      <w:proofErr w:type="spellStart"/>
      <w:r w:rsidR="00A76EA2">
        <w:rPr>
          <w:lang w:eastAsia="ja-JP"/>
        </w:rPr>
        <w:t>galcanezumab</w:t>
      </w:r>
      <w:proofErr w:type="spellEnd"/>
      <w:r w:rsidR="00A76EA2">
        <w:rPr>
          <w:lang w:eastAsia="ja-JP"/>
        </w:rPr>
        <w:t xml:space="preserve"> 120 </w:t>
      </w:r>
      <w:r>
        <w:rPr>
          <w:lang w:eastAsia="ja-JP"/>
        </w:rPr>
        <w:t>mg dose</w:t>
      </w:r>
      <w:r w:rsidR="00BE161F">
        <w:rPr>
          <w:lang w:eastAsia="ja-JP"/>
        </w:rPr>
        <w:t xml:space="preserve"> group (0.3%) who had treatment </w:t>
      </w:r>
      <w:r>
        <w:rPr>
          <w:lang w:eastAsia="ja-JP"/>
        </w:rPr>
        <w:t xml:space="preserve">emergent </w:t>
      </w:r>
      <w:r w:rsidRPr="00A76EA2">
        <w:rPr>
          <w:lang w:eastAsia="ja-JP"/>
        </w:rPr>
        <w:t xml:space="preserve">low </w:t>
      </w:r>
      <w:r w:rsidR="00A76EA2">
        <w:rPr>
          <w:lang w:eastAsia="ja-JP"/>
        </w:rPr>
        <w:t>blood urea nitrogen (BUN)</w:t>
      </w:r>
      <w:r>
        <w:rPr>
          <w:lang w:eastAsia="ja-JP"/>
        </w:rPr>
        <w:t xml:space="preserve"> values compared to placebo (0.0%, p</w:t>
      </w:r>
      <w:r w:rsidR="00A76EA2">
        <w:rPr>
          <w:lang w:eastAsia="ja-JP"/>
        </w:rPr>
        <w:t xml:space="preserve"> = </w:t>
      </w:r>
      <w:r>
        <w:rPr>
          <w:lang w:eastAsia="ja-JP"/>
        </w:rPr>
        <w:t>045), but there were no significant differe</w:t>
      </w:r>
      <w:r w:rsidR="00BE161F">
        <w:rPr>
          <w:lang w:eastAsia="ja-JP"/>
        </w:rPr>
        <w:t xml:space="preserve">nces in patients with treatment </w:t>
      </w:r>
      <w:r>
        <w:rPr>
          <w:lang w:eastAsia="ja-JP"/>
        </w:rPr>
        <w:t xml:space="preserve">emergent </w:t>
      </w:r>
      <w:r w:rsidRPr="00A76EA2">
        <w:rPr>
          <w:lang w:eastAsia="ja-JP"/>
        </w:rPr>
        <w:t xml:space="preserve">high </w:t>
      </w:r>
      <w:r>
        <w:rPr>
          <w:lang w:eastAsia="ja-JP"/>
        </w:rPr>
        <w:t>BUN values</w:t>
      </w:r>
      <w:r w:rsidR="00A76EA2">
        <w:rPr>
          <w:lang w:eastAsia="ja-JP"/>
        </w:rPr>
        <w:t>.</w:t>
      </w:r>
    </w:p>
    <w:p w14:paraId="6C882585" w14:textId="21037BCE" w:rsidR="006F6704" w:rsidRDefault="006F6704" w:rsidP="00A76EA2">
      <w:pPr>
        <w:rPr>
          <w:lang w:eastAsia="ja-JP"/>
        </w:rPr>
      </w:pPr>
      <w:r>
        <w:rPr>
          <w:lang w:eastAsia="ja-JP"/>
        </w:rPr>
        <w:t xml:space="preserve">In the pooled pivotal studies, TEAEs coded under the </w:t>
      </w:r>
      <w:r w:rsidR="000579DD">
        <w:rPr>
          <w:lang w:eastAsia="ja-JP"/>
        </w:rPr>
        <w:t>System O</w:t>
      </w:r>
      <w:r>
        <w:rPr>
          <w:lang w:eastAsia="ja-JP"/>
        </w:rPr>
        <w:t xml:space="preserve">rgan </w:t>
      </w:r>
      <w:r w:rsidR="000579DD">
        <w:rPr>
          <w:lang w:eastAsia="ja-JP"/>
        </w:rPr>
        <w:t>Class (SOC) as ’</w:t>
      </w:r>
      <w:r w:rsidRPr="00C20635">
        <w:rPr>
          <w:lang w:eastAsia="ja-JP"/>
        </w:rPr>
        <w:t>Renal and urinary disorders</w:t>
      </w:r>
      <w:r>
        <w:rPr>
          <w:lang w:eastAsia="ja-JP"/>
        </w:rPr>
        <w:t xml:space="preserve">” occurred in a similar proportion of </w:t>
      </w:r>
      <w:proofErr w:type="spellStart"/>
      <w:r>
        <w:rPr>
          <w:lang w:eastAsia="ja-JP"/>
        </w:rPr>
        <w:t>galcanezumab</w:t>
      </w:r>
      <w:proofErr w:type="spellEnd"/>
      <w:r>
        <w:rPr>
          <w:lang w:eastAsia="ja-JP"/>
        </w:rPr>
        <w:t xml:space="preserve"> recipients and placebo recipients: placebo </w:t>
      </w:r>
      <w:r w:rsidRPr="00C20635">
        <w:rPr>
          <w:lang w:eastAsia="ja-JP"/>
        </w:rPr>
        <w:t>20</w:t>
      </w:r>
      <w:r w:rsidR="00A76EA2">
        <w:rPr>
          <w:lang w:eastAsia="ja-JP"/>
        </w:rPr>
        <w:t xml:space="preserve"> out of </w:t>
      </w:r>
      <w:r>
        <w:rPr>
          <w:lang w:eastAsia="ja-JP"/>
        </w:rPr>
        <w:t>1451</w:t>
      </w:r>
      <w:r w:rsidRPr="00C20635">
        <w:rPr>
          <w:lang w:eastAsia="ja-JP"/>
        </w:rPr>
        <w:t xml:space="preserve"> (1.38</w:t>
      </w:r>
      <w:r>
        <w:rPr>
          <w:lang w:eastAsia="ja-JP"/>
        </w:rPr>
        <w:t>%</w:t>
      </w:r>
      <w:r w:rsidRPr="00C20635">
        <w:rPr>
          <w:lang w:eastAsia="ja-JP"/>
        </w:rPr>
        <w:t>)</w:t>
      </w:r>
      <w:r w:rsidR="00A76EA2">
        <w:rPr>
          <w:lang w:eastAsia="ja-JP"/>
        </w:rPr>
        <w:t xml:space="preserve">, </w:t>
      </w:r>
      <w:proofErr w:type="spellStart"/>
      <w:r w:rsidR="00A76EA2">
        <w:rPr>
          <w:lang w:eastAsia="ja-JP"/>
        </w:rPr>
        <w:t>galcanezumab</w:t>
      </w:r>
      <w:proofErr w:type="spellEnd"/>
      <w:r w:rsidR="00A76EA2">
        <w:rPr>
          <w:lang w:eastAsia="ja-JP"/>
        </w:rPr>
        <w:t xml:space="preserve"> 120 </w:t>
      </w:r>
      <w:r>
        <w:rPr>
          <w:lang w:eastAsia="ja-JP"/>
        </w:rPr>
        <w:t>mg</w:t>
      </w:r>
      <w:r w:rsidRPr="00C20635">
        <w:rPr>
          <w:lang w:eastAsia="ja-JP"/>
        </w:rPr>
        <w:t xml:space="preserve"> 10</w:t>
      </w:r>
      <w:r w:rsidR="00A76EA2">
        <w:rPr>
          <w:lang w:eastAsia="ja-JP"/>
        </w:rPr>
        <w:t xml:space="preserve"> out of </w:t>
      </w:r>
      <w:r>
        <w:rPr>
          <w:lang w:eastAsia="ja-JP"/>
        </w:rPr>
        <w:t>705</w:t>
      </w:r>
      <w:r w:rsidRPr="00C20635">
        <w:rPr>
          <w:lang w:eastAsia="ja-JP"/>
        </w:rPr>
        <w:t xml:space="preserve"> (1.42</w:t>
      </w:r>
      <w:r>
        <w:rPr>
          <w:lang w:eastAsia="ja-JP"/>
        </w:rPr>
        <w:t>%</w:t>
      </w:r>
      <w:r w:rsidRPr="00C20635">
        <w:rPr>
          <w:lang w:eastAsia="ja-JP"/>
        </w:rPr>
        <w:t>)</w:t>
      </w:r>
      <w:r w:rsidR="00A76EA2">
        <w:rPr>
          <w:lang w:eastAsia="ja-JP"/>
        </w:rPr>
        <w:t xml:space="preserve">, </w:t>
      </w:r>
      <w:proofErr w:type="spellStart"/>
      <w:r w:rsidR="00A76EA2">
        <w:rPr>
          <w:lang w:eastAsia="ja-JP"/>
        </w:rPr>
        <w:t>galcanezumab</w:t>
      </w:r>
      <w:proofErr w:type="spellEnd"/>
      <w:r w:rsidR="00A76EA2">
        <w:rPr>
          <w:lang w:eastAsia="ja-JP"/>
        </w:rPr>
        <w:t xml:space="preserve"> 240 </w:t>
      </w:r>
      <w:r>
        <w:rPr>
          <w:lang w:eastAsia="ja-JP"/>
        </w:rPr>
        <w:t>mg</w:t>
      </w:r>
      <w:r w:rsidRPr="00C20635">
        <w:rPr>
          <w:lang w:eastAsia="ja-JP"/>
        </w:rPr>
        <w:t xml:space="preserve"> 10</w:t>
      </w:r>
      <w:r w:rsidR="00A76EA2">
        <w:rPr>
          <w:lang w:eastAsia="ja-JP"/>
        </w:rPr>
        <w:t xml:space="preserve"> out of </w:t>
      </w:r>
      <w:r>
        <w:rPr>
          <w:lang w:eastAsia="ja-JP"/>
        </w:rPr>
        <w:t>735</w:t>
      </w:r>
      <w:r w:rsidRPr="00C20635">
        <w:rPr>
          <w:lang w:eastAsia="ja-JP"/>
        </w:rPr>
        <w:t xml:space="preserve"> (1.37</w:t>
      </w:r>
      <w:r>
        <w:rPr>
          <w:lang w:eastAsia="ja-JP"/>
        </w:rPr>
        <w:t>%</w:t>
      </w:r>
      <w:r w:rsidRPr="00C20635">
        <w:rPr>
          <w:lang w:eastAsia="ja-JP"/>
        </w:rPr>
        <w:t>)</w:t>
      </w:r>
      <w:r>
        <w:rPr>
          <w:lang w:eastAsia="ja-JP"/>
        </w:rPr>
        <w:t xml:space="preserve">, pooled </w:t>
      </w:r>
      <w:proofErr w:type="spellStart"/>
      <w:r>
        <w:rPr>
          <w:lang w:eastAsia="ja-JP"/>
        </w:rPr>
        <w:t>galcanezumab</w:t>
      </w:r>
      <w:proofErr w:type="spellEnd"/>
      <w:r w:rsidRPr="00C20635">
        <w:rPr>
          <w:lang w:eastAsia="ja-JP"/>
        </w:rPr>
        <w:t xml:space="preserve"> 20</w:t>
      </w:r>
      <w:r w:rsidR="00A76EA2">
        <w:rPr>
          <w:lang w:eastAsia="ja-JP"/>
        </w:rPr>
        <w:t xml:space="preserve"> out of </w:t>
      </w:r>
      <w:r>
        <w:rPr>
          <w:lang w:eastAsia="ja-JP"/>
        </w:rPr>
        <w:t>1435</w:t>
      </w:r>
      <w:r w:rsidRPr="00C20635">
        <w:rPr>
          <w:lang w:eastAsia="ja-JP"/>
        </w:rPr>
        <w:t xml:space="preserve"> (1.39</w:t>
      </w:r>
      <w:r>
        <w:rPr>
          <w:lang w:eastAsia="ja-JP"/>
        </w:rPr>
        <w:t>%</w:t>
      </w:r>
      <w:r w:rsidRPr="00C20635">
        <w:rPr>
          <w:lang w:eastAsia="ja-JP"/>
        </w:rPr>
        <w:t>)</w:t>
      </w:r>
      <w:r>
        <w:rPr>
          <w:lang w:eastAsia="ja-JP"/>
        </w:rPr>
        <w:t>.</w:t>
      </w:r>
    </w:p>
    <w:p w14:paraId="3E1443F2" w14:textId="77777777" w:rsidR="006F6704" w:rsidRDefault="006F6704" w:rsidP="00A76EA2">
      <w:pPr>
        <w:rPr>
          <w:lang w:eastAsia="ja-JP"/>
        </w:rPr>
      </w:pPr>
      <w:r>
        <w:rPr>
          <w:lang w:eastAsia="ja-JP"/>
        </w:rPr>
        <w:t xml:space="preserve">Overall, there is no evidence that </w:t>
      </w:r>
      <w:proofErr w:type="spellStart"/>
      <w:r>
        <w:rPr>
          <w:lang w:eastAsia="ja-JP"/>
        </w:rPr>
        <w:t>galcan</w:t>
      </w:r>
      <w:r w:rsidR="00830182">
        <w:rPr>
          <w:lang w:eastAsia="ja-JP"/>
        </w:rPr>
        <w:t>ezumab</w:t>
      </w:r>
      <w:proofErr w:type="spellEnd"/>
      <w:r w:rsidR="00830182">
        <w:rPr>
          <w:lang w:eastAsia="ja-JP"/>
        </w:rPr>
        <w:t xml:space="preserve"> produces renal toxicity.</w:t>
      </w:r>
    </w:p>
    <w:p w14:paraId="2A7F72A8" w14:textId="77777777" w:rsidR="006F6704" w:rsidRDefault="006F6704" w:rsidP="00830182">
      <w:pPr>
        <w:pStyle w:val="Heading5"/>
      </w:pPr>
      <w:r w:rsidRPr="00545B14">
        <w:t>Other clinical chemistry</w:t>
      </w:r>
      <w:bookmarkEnd w:id="136"/>
      <w:bookmarkEnd w:id="137"/>
      <w:bookmarkEnd w:id="138"/>
      <w:bookmarkEnd w:id="139"/>
      <w:bookmarkEnd w:id="140"/>
      <w:bookmarkEnd w:id="141"/>
    </w:p>
    <w:p w14:paraId="765E6567" w14:textId="77777777" w:rsidR="006F6704" w:rsidRDefault="006F6704" w:rsidP="006F6704">
      <w:pPr>
        <w:rPr>
          <w:lang w:eastAsia="ja-JP"/>
        </w:rPr>
      </w:pPr>
      <w:bookmarkStart w:id="142" w:name="_Toc272414672"/>
      <w:bookmarkStart w:id="143" w:name="_Toc290888536"/>
      <w:bookmarkStart w:id="144" w:name="_Toc416353752"/>
      <w:bookmarkStart w:id="145" w:name="_Toc421005295"/>
      <w:bookmarkStart w:id="146" w:name="_Toc432079172"/>
      <w:bookmarkStart w:id="147" w:name="_Toc432080745"/>
      <w:r>
        <w:rPr>
          <w:lang w:eastAsia="ja-JP"/>
        </w:rPr>
        <w:t>As noted above, laboratory monitoring did not raise any other substantial concerns related to clinical chemistry.</w:t>
      </w:r>
    </w:p>
    <w:p w14:paraId="1E652079" w14:textId="77777777" w:rsidR="006F6704" w:rsidRPr="00545B14" w:rsidRDefault="006F6704" w:rsidP="00830182">
      <w:pPr>
        <w:pStyle w:val="Heading5"/>
      </w:pPr>
      <w:r w:rsidRPr="00545B14">
        <w:t>Haematology</w:t>
      </w:r>
      <w:bookmarkEnd w:id="142"/>
      <w:bookmarkEnd w:id="143"/>
      <w:bookmarkEnd w:id="144"/>
      <w:bookmarkEnd w:id="145"/>
      <w:r>
        <w:t xml:space="preserve"> and haematological toxicity</w:t>
      </w:r>
      <w:bookmarkEnd w:id="146"/>
      <w:bookmarkEnd w:id="147"/>
    </w:p>
    <w:p w14:paraId="289B85C5" w14:textId="77777777" w:rsidR="006F6704" w:rsidRDefault="006F6704" w:rsidP="006F6704">
      <w:pPr>
        <w:rPr>
          <w:lang w:eastAsia="ja-JP"/>
        </w:rPr>
      </w:pPr>
      <w:bookmarkStart w:id="148" w:name="_Toc272414674"/>
      <w:bookmarkStart w:id="149" w:name="_Toc290888538"/>
      <w:bookmarkStart w:id="150" w:name="_Toc416353753"/>
      <w:bookmarkStart w:id="151" w:name="_Toc421005296"/>
      <w:bookmarkStart w:id="152" w:name="_Toc432079173"/>
      <w:bookmarkStart w:id="153" w:name="_Toc432080746"/>
      <w:r>
        <w:rPr>
          <w:lang w:eastAsia="ja-JP"/>
        </w:rPr>
        <w:t>There was no evidence in the submitted data of clinically significant shifts in mean haematological indices, or in an excess number of shifts to abnormal in individual laboratory parameters. TEAEs related to haematological parameters were rare, and appeared to be randomly dis</w:t>
      </w:r>
      <w:r w:rsidR="00A76EA2">
        <w:rPr>
          <w:lang w:eastAsia="ja-JP"/>
        </w:rPr>
        <w:t>tributed among treatment groups.</w:t>
      </w:r>
    </w:p>
    <w:p w14:paraId="716798CD" w14:textId="77777777" w:rsidR="006F6704" w:rsidRPr="00545B14" w:rsidRDefault="006F6704" w:rsidP="00830182">
      <w:pPr>
        <w:pStyle w:val="Heading5"/>
      </w:pPr>
      <w:r w:rsidRPr="00545B14">
        <w:t>Other laboratory test</w:t>
      </w:r>
      <w:bookmarkEnd w:id="148"/>
      <w:bookmarkEnd w:id="149"/>
      <w:bookmarkEnd w:id="150"/>
      <w:bookmarkEnd w:id="151"/>
      <w:bookmarkEnd w:id="152"/>
      <w:bookmarkEnd w:id="153"/>
      <w:r>
        <w:t>s</w:t>
      </w:r>
    </w:p>
    <w:p w14:paraId="2E5DE031" w14:textId="77777777" w:rsidR="006F6704" w:rsidRDefault="006F6704" w:rsidP="006F6704">
      <w:pPr>
        <w:rPr>
          <w:lang w:eastAsia="ja-JP"/>
        </w:rPr>
      </w:pPr>
      <w:bookmarkStart w:id="154" w:name="_Toc272414675"/>
      <w:bookmarkStart w:id="155" w:name="_Toc290888539"/>
      <w:bookmarkStart w:id="156" w:name="_Toc416353754"/>
      <w:bookmarkStart w:id="157" w:name="_Toc421005297"/>
      <w:bookmarkStart w:id="158" w:name="_Toc432079174"/>
      <w:bookmarkStart w:id="159" w:name="_Toc432080747"/>
      <w:r>
        <w:rPr>
          <w:lang w:eastAsia="ja-JP"/>
        </w:rPr>
        <w:t>No additional concerns were ra</w:t>
      </w:r>
      <w:r w:rsidR="00A76EA2">
        <w:rPr>
          <w:lang w:eastAsia="ja-JP"/>
        </w:rPr>
        <w:t>ised by other laboratory tests.</w:t>
      </w:r>
    </w:p>
    <w:p w14:paraId="626E8B0B" w14:textId="77777777" w:rsidR="006F6704" w:rsidRPr="00545B14" w:rsidRDefault="006F6704" w:rsidP="00830182">
      <w:pPr>
        <w:pStyle w:val="Heading5"/>
      </w:pPr>
      <w:r w:rsidRPr="00545B14">
        <w:lastRenderedPageBreak/>
        <w:t>Electrocardiograph</w:t>
      </w:r>
      <w:bookmarkEnd w:id="154"/>
      <w:bookmarkEnd w:id="155"/>
      <w:bookmarkEnd w:id="156"/>
      <w:bookmarkEnd w:id="157"/>
      <w:r>
        <w:t xml:space="preserve"> findings and cardiovascular safety</w:t>
      </w:r>
      <w:bookmarkEnd w:id="158"/>
      <w:bookmarkEnd w:id="159"/>
    </w:p>
    <w:p w14:paraId="45D91DA1" w14:textId="4C78425C" w:rsidR="006F6704" w:rsidRDefault="006F6704" w:rsidP="00830182">
      <w:pPr>
        <w:rPr>
          <w:lang w:eastAsia="ja-JP"/>
        </w:rPr>
      </w:pPr>
      <w:bookmarkStart w:id="160" w:name="_Toc272414676"/>
      <w:bookmarkStart w:id="161" w:name="_Toc290888540"/>
      <w:bookmarkStart w:id="162" w:name="_Toc416353755"/>
      <w:bookmarkStart w:id="163" w:name="_Toc421005298"/>
      <w:bookmarkStart w:id="164" w:name="_Toc432079175"/>
      <w:bookmarkStart w:id="165" w:name="_Toc432080748"/>
      <w:r>
        <w:rPr>
          <w:lang w:eastAsia="ja-JP"/>
        </w:rPr>
        <w:t>In theory, agents affecting CGRP could have cardiovascular side effects. CGRP is a microvascular vasodilator and it is hypothesized to play a protective role in cardiovascu</w:t>
      </w:r>
      <w:r w:rsidR="00A76EA2">
        <w:rPr>
          <w:lang w:eastAsia="ja-JP"/>
        </w:rPr>
        <w:t>lar health</w:t>
      </w:r>
      <w:r>
        <w:rPr>
          <w:lang w:eastAsia="ja-JP"/>
        </w:rPr>
        <w:t>,</w:t>
      </w:r>
      <w:r w:rsidR="00A76EA2">
        <w:rPr>
          <w:lang w:eastAsia="ja-JP"/>
        </w:rPr>
        <w:fldChar w:fldCharType="begin"/>
      </w:r>
      <w:r w:rsidR="00A76EA2">
        <w:rPr>
          <w:lang w:eastAsia="ja-JP"/>
        </w:rPr>
        <w:instrText xml:space="preserve"> NOTEREF _Ref12517079 \f \h </w:instrText>
      </w:r>
      <w:r w:rsidR="00A76EA2">
        <w:rPr>
          <w:lang w:eastAsia="ja-JP"/>
        </w:rPr>
      </w:r>
      <w:r w:rsidR="00A76EA2">
        <w:rPr>
          <w:lang w:eastAsia="ja-JP"/>
        </w:rPr>
        <w:fldChar w:fldCharType="separate"/>
      </w:r>
      <w:r w:rsidR="008467B4" w:rsidRPr="00E27356">
        <w:rPr>
          <w:rStyle w:val="FootnoteReference"/>
        </w:rPr>
        <w:t>4</w:t>
      </w:r>
      <w:r w:rsidR="00A76EA2">
        <w:rPr>
          <w:lang w:eastAsia="ja-JP"/>
        </w:rPr>
        <w:fldChar w:fldCharType="end"/>
      </w:r>
      <w:r>
        <w:rPr>
          <w:lang w:eastAsia="ja-JP"/>
        </w:rPr>
        <w:t xml:space="preserve"> so interfering with CGRP could have haemodynamic consequences. Also, </w:t>
      </w:r>
      <w:r>
        <w:rPr>
          <w:rFonts w:cs="Cambria"/>
          <w:lang w:eastAsia="ja-JP"/>
        </w:rPr>
        <w:t xml:space="preserve">cardiovascular events including cerebrovascular and coronary events </w:t>
      </w:r>
      <w:r>
        <w:rPr>
          <w:lang w:eastAsia="ja-JP"/>
        </w:rPr>
        <w:t>have been reported to be increased in the migraine population, though it is unclear whether CGRP plays any role in this increased risk</w:t>
      </w:r>
      <w:r w:rsidR="00830182">
        <w:rPr>
          <w:lang w:eastAsia="ja-JP"/>
        </w:rPr>
        <w:t>.</w:t>
      </w:r>
      <w:r w:rsidR="00A76EA2">
        <w:rPr>
          <w:rStyle w:val="FootnoteReference"/>
          <w:lang w:eastAsia="ja-JP"/>
        </w:rPr>
        <w:footnoteReference w:id="31"/>
      </w:r>
      <w:r w:rsidR="00D72D0D" w:rsidRPr="00D72D0D">
        <w:rPr>
          <w:vertAlign w:val="superscript"/>
          <w:lang w:eastAsia="ja-JP"/>
        </w:rPr>
        <w:t>,</w:t>
      </w:r>
      <w:r w:rsidR="0005474C">
        <w:rPr>
          <w:rStyle w:val="FootnoteReference"/>
          <w:lang w:eastAsia="ja-JP"/>
        </w:rPr>
        <w:footnoteReference w:id="32"/>
      </w:r>
      <w:r w:rsidR="00D72D0D" w:rsidRPr="00D72D0D">
        <w:rPr>
          <w:vertAlign w:val="superscript"/>
          <w:lang w:eastAsia="ja-JP"/>
        </w:rPr>
        <w:t>,</w:t>
      </w:r>
      <w:r w:rsidR="00A66A69">
        <w:rPr>
          <w:rStyle w:val="FootnoteReference"/>
          <w:lang w:eastAsia="ja-JP"/>
        </w:rPr>
        <w:footnoteReference w:id="33"/>
      </w:r>
      <w:r w:rsidR="00D72D0D" w:rsidRPr="00D72D0D">
        <w:rPr>
          <w:vertAlign w:val="superscript"/>
          <w:lang w:eastAsia="ja-JP"/>
        </w:rPr>
        <w:t>,</w:t>
      </w:r>
      <w:r w:rsidR="00A66A69">
        <w:rPr>
          <w:rStyle w:val="FootnoteReference"/>
          <w:lang w:eastAsia="ja-JP"/>
        </w:rPr>
        <w:footnoteReference w:id="34"/>
      </w:r>
    </w:p>
    <w:p w14:paraId="586424BE" w14:textId="77777777" w:rsidR="000579DD" w:rsidRDefault="006F6704" w:rsidP="00830182">
      <w:pPr>
        <w:rPr>
          <w:lang w:eastAsia="ja-JP"/>
        </w:rPr>
      </w:pPr>
      <w:r>
        <w:t>Th</w:t>
      </w:r>
      <w:r>
        <w:rPr>
          <w:lang w:eastAsia="ja-JP"/>
        </w:rPr>
        <w:t xml:space="preserve">ese points are acknowledged in </w:t>
      </w:r>
      <w:r w:rsidR="00B22E42">
        <w:rPr>
          <w:lang w:eastAsia="ja-JP"/>
        </w:rPr>
        <w:t>the sponsor</w:t>
      </w:r>
      <w:r>
        <w:rPr>
          <w:lang w:eastAsia="ja-JP"/>
        </w:rPr>
        <w:t>’s Risk Management Plan</w:t>
      </w:r>
      <w:r w:rsidR="00A66A69">
        <w:rPr>
          <w:lang w:eastAsia="ja-JP"/>
        </w:rPr>
        <w:t xml:space="preserve"> (RMP)</w:t>
      </w:r>
      <w:r>
        <w:rPr>
          <w:lang w:eastAsia="ja-JP"/>
        </w:rPr>
        <w:t>:</w:t>
      </w:r>
    </w:p>
    <w:p w14:paraId="35529443" w14:textId="1A49215C" w:rsidR="006F6704" w:rsidRDefault="000579DD" w:rsidP="00E27356">
      <w:pPr>
        <w:ind w:left="720"/>
        <w:rPr>
          <w:lang w:eastAsia="ja-JP"/>
        </w:rPr>
      </w:pPr>
      <w:r>
        <w:rPr>
          <w:i/>
          <w:lang w:eastAsia="ja-JP"/>
        </w:rPr>
        <w:t>‘[</w:t>
      </w:r>
      <w:r w:rsidR="006F6704" w:rsidRPr="000B0541">
        <w:rPr>
          <w:i/>
          <w:lang w:eastAsia="ja-JP"/>
        </w:rPr>
        <w:t>…</w:t>
      </w:r>
      <w:r>
        <w:rPr>
          <w:i/>
          <w:lang w:eastAsia="ja-JP"/>
        </w:rPr>
        <w:t>]</w:t>
      </w:r>
      <w:r w:rsidR="006F6704" w:rsidRPr="000B0541">
        <w:rPr>
          <w:i/>
          <w:lang w:eastAsia="ja-JP"/>
        </w:rPr>
        <w:t xml:space="preserve"> nonclinical studies suggest that CGRP plays an important role in facilitating vasodilatation to various stimuli including acute </w:t>
      </w:r>
      <w:proofErr w:type="spellStart"/>
      <w:r w:rsidR="006F6704" w:rsidRPr="000B0541">
        <w:rPr>
          <w:i/>
          <w:lang w:eastAsia="ja-JP"/>
        </w:rPr>
        <w:t>ischaemia</w:t>
      </w:r>
      <w:proofErr w:type="spellEnd"/>
      <w:r w:rsidR="006F6704" w:rsidRPr="000B0541">
        <w:rPr>
          <w:i/>
          <w:lang w:eastAsia="ja-JP"/>
        </w:rPr>
        <w:t xml:space="preserve"> </w:t>
      </w:r>
      <w:r w:rsidR="00A76EA2">
        <w:rPr>
          <w:i/>
          <w:lang w:eastAsia="ja-JP"/>
        </w:rPr>
        <w:fldChar w:fldCharType="begin"/>
      </w:r>
      <w:r w:rsidR="00A76EA2">
        <w:rPr>
          <w:i/>
          <w:lang w:eastAsia="ja-JP"/>
        </w:rPr>
        <w:instrText xml:space="preserve"> NOTEREF _Ref12517079 \f \h </w:instrText>
      </w:r>
      <w:r w:rsidR="00A76EA2">
        <w:rPr>
          <w:i/>
          <w:lang w:eastAsia="ja-JP"/>
        </w:rPr>
      </w:r>
      <w:r w:rsidR="00A76EA2">
        <w:rPr>
          <w:i/>
          <w:lang w:eastAsia="ja-JP"/>
        </w:rPr>
        <w:fldChar w:fldCharType="separate"/>
      </w:r>
      <w:r w:rsidR="008467B4" w:rsidRPr="00E27356">
        <w:rPr>
          <w:rStyle w:val="FootnoteReference"/>
        </w:rPr>
        <w:t>4</w:t>
      </w:r>
      <w:r w:rsidR="00A76EA2">
        <w:rPr>
          <w:i/>
          <w:lang w:eastAsia="ja-JP"/>
        </w:rPr>
        <w:fldChar w:fldCharType="end"/>
      </w:r>
      <w:r w:rsidR="006F6704" w:rsidRPr="000B0541">
        <w:rPr>
          <w:i/>
          <w:lang w:eastAsia="ja-JP"/>
        </w:rPr>
        <w:t xml:space="preserve"> and the target population is at higher risk of ischaemic cardiovascular outcomes.</w:t>
      </w:r>
      <w:r>
        <w:rPr>
          <w:i/>
          <w:lang w:eastAsia="ja-JP"/>
        </w:rPr>
        <w:t>’</w:t>
      </w:r>
    </w:p>
    <w:p w14:paraId="3C0EA1F6" w14:textId="77777777" w:rsidR="006F6704" w:rsidRDefault="006F6704" w:rsidP="00830182">
      <w:pPr>
        <w:rPr>
          <w:lang w:eastAsia="ja-JP"/>
        </w:rPr>
      </w:pPr>
      <w:r>
        <w:rPr>
          <w:lang w:eastAsia="ja-JP"/>
        </w:rPr>
        <w:t>The pivotal studies excluded</w:t>
      </w:r>
      <w:r w:rsidRPr="000B0541">
        <w:rPr>
          <w:lang w:eastAsia="ja-JP"/>
        </w:rPr>
        <w:t xml:space="preserve"> subjects with recent cardiovascular events</w:t>
      </w:r>
      <w:r>
        <w:rPr>
          <w:lang w:eastAsia="ja-JP"/>
        </w:rPr>
        <w:t xml:space="preserve">, so it remains unclear whether such subjects would respond to </w:t>
      </w:r>
      <w:proofErr w:type="spellStart"/>
      <w:r>
        <w:rPr>
          <w:lang w:eastAsia="ja-JP"/>
        </w:rPr>
        <w:t>galcanezumab</w:t>
      </w:r>
      <w:proofErr w:type="spellEnd"/>
      <w:r>
        <w:rPr>
          <w:lang w:eastAsia="ja-JP"/>
        </w:rPr>
        <w:t xml:space="preserve"> with an increased incidence of ischaemic events. Given that cardiovascular disease may take years to become manifest and to progress, the relatively short duration of exposure in</w:t>
      </w:r>
      <w:r w:rsidR="00A66A69">
        <w:rPr>
          <w:lang w:eastAsia="ja-JP"/>
        </w:rPr>
        <w:t xml:space="preserve"> the clinical studies (up to 12 </w:t>
      </w:r>
      <w:r w:rsidR="00BE161F">
        <w:rPr>
          <w:lang w:eastAsia="ja-JP"/>
        </w:rPr>
        <w:t xml:space="preserve">months) means that the long </w:t>
      </w:r>
      <w:r>
        <w:rPr>
          <w:lang w:eastAsia="ja-JP"/>
        </w:rPr>
        <w:t xml:space="preserve">term cardiovascular risks of </w:t>
      </w:r>
      <w:proofErr w:type="spellStart"/>
      <w:r>
        <w:rPr>
          <w:lang w:eastAsia="ja-JP"/>
        </w:rPr>
        <w:t>galcanezumab</w:t>
      </w:r>
      <w:proofErr w:type="spellEnd"/>
      <w:r>
        <w:rPr>
          <w:lang w:eastAsia="ja-JP"/>
        </w:rPr>
        <w:t xml:space="preserve"> have not been adequately characterised.</w:t>
      </w:r>
    </w:p>
    <w:p w14:paraId="1868291F" w14:textId="77777777" w:rsidR="006F6704" w:rsidRDefault="006F6704" w:rsidP="00830182">
      <w:pPr>
        <w:rPr>
          <w:lang w:eastAsia="ja-JP"/>
        </w:rPr>
      </w:pPr>
      <w:r>
        <w:rPr>
          <w:lang w:eastAsia="ja-JP"/>
        </w:rPr>
        <w:t xml:space="preserve">Despite these concerns, there is no signal from the available safety data showing an increased cardiovascular risk in </w:t>
      </w:r>
      <w:proofErr w:type="spellStart"/>
      <w:r>
        <w:rPr>
          <w:lang w:eastAsia="ja-JP"/>
        </w:rPr>
        <w:t>gal</w:t>
      </w:r>
      <w:r w:rsidR="00830182">
        <w:rPr>
          <w:lang w:eastAsia="ja-JP"/>
        </w:rPr>
        <w:t>canezumab</w:t>
      </w:r>
      <w:proofErr w:type="spellEnd"/>
      <w:r w:rsidR="00830182">
        <w:rPr>
          <w:lang w:eastAsia="ja-JP"/>
        </w:rPr>
        <w:t>, compared to placebo.</w:t>
      </w:r>
    </w:p>
    <w:p w14:paraId="6EFE3A10" w14:textId="77777777" w:rsidR="006F6704" w:rsidRDefault="006F6704" w:rsidP="00830182">
      <w:pPr>
        <w:rPr>
          <w:lang w:eastAsia="ja-JP"/>
        </w:rPr>
      </w:pPr>
      <w:r>
        <w:rPr>
          <w:lang w:eastAsia="ja-JP"/>
        </w:rPr>
        <w:t xml:space="preserve">Considering TEAEs coded to the cardiovascular organ class, </w:t>
      </w:r>
      <w:r w:rsidR="00B22E42">
        <w:rPr>
          <w:lang w:eastAsia="ja-JP"/>
        </w:rPr>
        <w:t>the sponsor</w:t>
      </w:r>
      <w:r>
        <w:rPr>
          <w:lang w:eastAsia="ja-JP"/>
        </w:rPr>
        <w:t xml:space="preserve"> searched the database for AEs potentially related to any of the following 9 categories:</w:t>
      </w:r>
    </w:p>
    <w:p w14:paraId="2A0673AC" w14:textId="77777777" w:rsidR="006F6704" w:rsidRDefault="006F6704" w:rsidP="00572B43">
      <w:pPr>
        <w:pStyle w:val="ListBullet"/>
        <w:rPr>
          <w:lang w:eastAsia="ja-JP"/>
        </w:rPr>
      </w:pPr>
      <w:r>
        <w:rPr>
          <w:lang w:eastAsia="ja-JP"/>
        </w:rPr>
        <w:t>C</w:t>
      </w:r>
      <w:r w:rsidRPr="00D72D0D">
        <w:t>ar</w:t>
      </w:r>
      <w:r>
        <w:rPr>
          <w:lang w:eastAsia="ja-JP"/>
        </w:rPr>
        <w:t>diac arrhythmias</w:t>
      </w:r>
    </w:p>
    <w:p w14:paraId="54904AB3" w14:textId="77777777" w:rsidR="0057105C" w:rsidRDefault="006F6704" w:rsidP="00572B43">
      <w:pPr>
        <w:pStyle w:val="ListBullet"/>
        <w:rPr>
          <w:lang w:eastAsia="ja-JP"/>
        </w:rPr>
      </w:pPr>
      <w:r>
        <w:rPr>
          <w:lang w:eastAsia="ja-JP"/>
        </w:rPr>
        <w:t>Cardiac failure</w:t>
      </w:r>
    </w:p>
    <w:p w14:paraId="3E8E9E3A" w14:textId="77777777" w:rsidR="0057105C" w:rsidRDefault="006F6704" w:rsidP="00572B43">
      <w:pPr>
        <w:pStyle w:val="ListBullet"/>
        <w:rPr>
          <w:lang w:eastAsia="ja-JP"/>
        </w:rPr>
      </w:pPr>
      <w:r>
        <w:rPr>
          <w:lang w:eastAsia="ja-JP"/>
        </w:rPr>
        <w:t>Cardiomyopathy</w:t>
      </w:r>
    </w:p>
    <w:p w14:paraId="0058F1D0" w14:textId="77777777" w:rsidR="0057105C" w:rsidRDefault="00732E97" w:rsidP="00572B43">
      <w:pPr>
        <w:pStyle w:val="ListBullet"/>
        <w:rPr>
          <w:lang w:eastAsia="ja-JP"/>
        </w:rPr>
      </w:pPr>
      <w:r>
        <w:rPr>
          <w:lang w:eastAsia="ja-JP"/>
        </w:rPr>
        <w:t>CNS</w:t>
      </w:r>
      <w:r w:rsidR="006F6704">
        <w:rPr>
          <w:lang w:eastAsia="ja-JP"/>
        </w:rPr>
        <w:t xml:space="preserve"> vascular disorders</w:t>
      </w:r>
    </w:p>
    <w:p w14:paraId="6F416AC3" w14:textId="77777777" w:rsidR="0057105C" w:rsidRDefault="006F6704" w:rsidP="00572B43">
      <w:pPr>
        <w:pStyle w:val="ListBullet"/>
        <w:rPr>
          <w:lang w:eastAsia="ja-JP"/>
        </w:rPr>
      </w:pPr>
      <w:r>
        <w:rPr>
          <w:lang w:eastAsia="ja-JP"/>
        </w:rPr>
        <w:t>Embolic and thrombotic events</w:t>
      </w:r>
    </w:p>
    <w:p w14:paraId="3BA9AF81" w14:textId="77777777" w:rsidR="0057105C" w:rsidRDefault="006F6704" w:rsidP="00572B43">
      <w:pPr>
        <w:pStyle w:val="ListBullet"/>
        <w:rPr>
          <w:lang w:eastAsia="ja-JP"/>
        </w:rPr>
      </w:pPr>
      <w:r>
        <w:rPr>
          <w:lang w:eastAsia="ja-JP"/>
        </w:rPr>
        <w:t>Hypertension</w:t>
      </w:r>
    </w:p>
    <w:p w14:paraId="77BEC90B" w14:textId="77777777" w:rsidR="0057105C" w:rsidRDefault="006F6704" w:rsidP="00572B43">
      <w:pPr>
        <w:pStyle w:val="ListBullet"/>
        <w:rPr>
          <w:lang w:eastAsia="ja-JP"/>
        </w:rPr>
      </w:pPr>
      <w:r>
        <w:rPr>
          <w:lang w:eastAsia="ja-JP"/>
        </w:rPr>
        <w:t>Ischaemic heart disease</w:t>
      </w:r>
    </w:p>
    <w:p w14:paraId="6D339B63" w14:textId="77777777" w:rsidR="0057105C" w:rsidRDefault="006F6704" w:rsidP="00572B43">
      <w:pPr>
        <w:pStyle w:val="ListBullet"/>
        <w:rPr>
          <w:lang w:eastAsia="ja-JP"/>
        </w:rPr>
      </w:pPr>
      <w:r>
        <w:rPr>
          <w:lang w:eastAsia="ja-JP"/>
        </w:rPr>
        <w:t>Pulmonary hypertension</w:t>
      </w:r>
    </w:p>
    <w:p w14:paraId="6FDD107C" w14:textId="77777777" w:rsidR="0057105C" w:rsidRDefault="006F6704" w:rsidP="00572B43">
      <w:pPr>
        <w:pStyle w:val="ListBullet"/>
        <w:rPr>
          <w:lang w:eastAsia="ja-JP"/>
        </w:rPr>
      </w:pPr>
      <w:r>
        <w:rPr>
          <w:lang w:eastAsia="ja-JP"/>
        </w:rPr>
        <w:t>Torsade de pointes/QT</w:t>
      </w:r>
      <w:r w:rsidR="00830182">
        <w:rPr>
          <w:lang w:eastAsia="ja-JP"/>
        </w:rPr>
        <w:t xml:space="preserve"> prolongation</w:t>
      </w:r>
    </w:p>
    <w:p w14:paraId="0ECE5811" w14:textId="77777777" w:rsidR="006F6704" w:rsidRDefault="00404F61" w:rsidP="00D72D0D">
      <w:pPr>
        <w:rPr>
          <w:lang w:eastAsia="ja-JP"/>
        </w:rPr>
      </w:pPr>
      <w:r>
        <w:rPr>
          <w:lang w:eastAsia="ja-JP"/>
        </w:rPr>
        <w:t>The sponsor</w:t>
      </w:r>
      <w:r w:rsidR="006F6704">
        <w:rPr>
          <w:lang w:eastAsia="ja-JP"/>
        </w:rPr>
        <w:t xml:space="preserve"> searched the safety database using </w:t>
      </w:r>
      <w:r w:rsidR="006F6704" w:rsidRPr="00FD474D">
        <w:rPr>
          <w:lang w:eastAsia="ja-JP"/>
        </w:rPr>
        <w:t>Standardised Medical Dictionary fo</w:t>
      </w:r>
      <w:r w:rsidR="006F6704">
        <w:t>r Regulatory Activities</w:t>
      </w:r>
      <w:r w:rsidR="006F6704" w:rsidRPr="00FD474D">
        <w:rPr>
          <w:lang w:eastAsia="ja-JP"/>
        </w:rPr>
        <w:t xml:space="preserve"> Queries (SMQs).</w:t>
      </w:r>
      <w:r w:rsidR="006F6704">
        <w:rPr>
          <w:lang w:eastAsia="ja-JP"/>
        </w:rPr>
        <w:t xml:space="preserve"> Searches were conducted with both narrow and broad search terms related to the conditions of interest. No significant differences were observed between </w:t>
      </w:r>
      <w:proofErr w:type="spellStart"/>
      <w:r w:rsidR="006F6704">
        <w:rPr>
          <w:lang w:eastAsia="ja-JP"/>
        </w:rPr>
        <w:t>galcanezumab</w:t>
      </w:r>
      <w:proofErr w:type="spellEnd"/>
      <w:r w:rsidR="006F6704">
        <w:rPr>
          <w:lang w:eastAsia="ja-JP"/>
        </w:rPr>
        <w:t xml:space="preserve"> and placebo recipients for 8 of these 9 disease categories. For terms </w:t>
      </w:r>
      <w:r w:rsidR="006F6704" w:rsidRPr="00A66A69">
        <w:rPr>
          <w:lang w:eastAsia="ja-JP"/>
        </w:rPr>
        <w:t>broadly</w:t>
      </w:r>
      <w:r w:rsidR="006F6704">
        <w:rPr>
          <w:lang w:eastAsia="ja-JP"/>
        </w:rPr>
        <w:t xml:space="preserve"> related to pulmonary hypertension, however, 2 p</w:t>
      </w:r>
      <w:r w:rsidR="00EF4784">
        <w:rPr>
          <w:lang w:eastAsia="ja-JP"/>
        </w:rPr>
        <w:t xml:space="preserve">atients in the </w:t>
      </w:r>
      <w:proofErr w:type="spellStart"/>
      <w:r w:rsidR="00EF4784">
        <w:rPr>
          <w:lang w:eastAsia="ja-JP"/>
        </w:rPr>
        <w:t>galcanezumab</w:t>
      </w:r>
      <w:proofErr w:type="spellEnd"/>
      <w:r w:rsidR="00EF4784">
        <w:rPr>
          <w:lang w:eastAsia="ja-JP"/>
        </w:rPr>
        <w:t xml:space="preserve"> 120 </w:t>
      </w:r>
      <w:r w:rsidR="006F6704">
        <w:rPr>
          <w:lang w:eastAsia="ja-JP"/>
        </w:rPr>
        <w:t>mg dose group reported terms potentially indicative of pulmonary hypertension (both reported dyspnoea), compared to none in placebo, leading to a nominally significant difference for that dose group (p</w:t>
      </w:r>
      <w:r w:rsidR="00EF4784">
        <w:rPr>
          <w:lang w:eastAsia="ja-JP"/>
        </w:rPr>
        <w:t xml:space="preserve"> </w:t>
      </w:r>
      <w:r w:rsidR="006F6704">
        <w:rPr>
          <w:lang w:eastAsia="ja-JP"/>
        </w:rPr>
        <w:t>=</w:t>
      </w:r>
      <w:r w:rsidR="00EF4784">
        <w:rPr>
          <w:lang w:eastAsia="ja-JP"/>
        </w:rPr>
        <w:t xml:space="preserve"> </w:t>
      </w:r>
      <w:r w:rsidR="006F6704">
        <w:rPr>
          <w:lang w:eastAsia="ja-JP"/>
        </w:rPr>
        <w:t xml:space="preserve">0.042). One </w:t>
      </w:r>
      <w:r w:rsidR="00EF4784">
        <w:rPr>
          <w:lang w:eastAsia="ja-JP"/>
        </w:rPr>
        <w:t xml:space="preserve">patient in the </w:t>
      </w:r>
      <w:proofErr w:type="spellStart"/>
      <w:r w:rsidR="00EF4784">
        <w:rPr>
          <w:lang w:eastAsia="ja-JP"/>
        </w:rPr>
        <w:t>galcanezumab</w:t>
      </w:r>
      <w:proofErr w:type="spellEnd"/>
      <w:r w:rsidR="00EF4784">
        <w:rPr>
          <w:lang w:eastAsia="ja-JP"/>
        </w:rPr>
        <w:t xml:space="preserve"> 240 </w:t>
      </w:r>
      <w:r w:rsidR="006F6704">
        <w:rPr>
          <w:lang w:eastAsia="ja-JP"/>
        </w:rPr>
        <w:t>mg dose group also reported e</w:t>
      </w:r>
      <w:r w:rsidR="00EF4784">
        <w:rPr>
          <w:lang w:eastAsia="ja-JP"/>
        </w:rPr>
        <w:t>xertional dyspnoea, but the 240 </w:t>
      </w:r>
      <w:r w:rsidR="006F6704">
        <w:rPr>
          <w:lang w:eastAsia="ja-JP"/>
        </w:rPr>
        <w:t xml:space="preserve">mg dose </w:t>
      </w:r>
      <w:r w:rsidR="006F6704">
        <w:rPr>
          <w:lang w:eastAsia="ja-JP"/>
        </w:rPr>
        <w:lastRenderedPageBreak/>
        <w:t xml:space="preserve">group was not significantly different from placebo, and neither was the pooled </w:t>
      </w:r>
      <w:proofErr w:type="spellStart"/>
      <w:r w:rsidR="006F6704">
        <w:rPr>
          <w:lang w:eastAsia="ja-JP"/>
        </w:rPr>
        <w:t>galcanezumab</w:t>
      </w:r>
      <w:proofErr w:type="spellEnd"/>
      <w:r w:rsidR="006F6704">
        <w:rPr>
          <w:lang w:eastAsia="ja-JP"/>
        </w:rPr>
        <w:t xml:space="preserve"> group. A review of the patient narratives showed that the dyspnoea was transient, or had altern</w:t>
      </w:r>
      <w:r w:rsidR="00BE161F">
        <w:rPr>
          <w:lang w:eastAsia="ja-JP"/>
        </w:rPr>
        <w:t>ative explanations, such as pre-existing</w:t>
      </w:r>
      <w:r w:rsidR="006F6704">
        <w:rPr>
          <w:lang w:eastAsia="ja-JP"/>
        </w:rPr>
        <w:t xml:space="preserve"> asthm</w:t>
      </w:r>
      <w:r w:rsidR="00BE161F">
        <w:rPr>
          <w:lang w:eastAsia="ja-JP"/>
        </w:rPr>
        <w:t>a. Given that dyspnoea is a non-specific</w:t>
      </w:r>
      <w:r w:rsidR="006F6704">
        <w:rPr>
          <w:lang w:eastAsia="ja-JP"/>
        </w:rPr>
        <w:t xml:space="preserve"> symptom, only three patients reported it, no patients were actually diagnosed with pulmonary hypertension, and no dose trend was observed, this is unlikely to be of clinical significance.</w:t>
      </w:r>
    </w:p>
    <w:p w14:paraId="1D1530C3" w14:textId="77777777" w:rsidR="006F6704" w:rsidRDefault="006F6704" w:rsidP="00830182">
      <w:pPr>
        <w:rPr>
          <w:lang w:eastAsia="ja-JP"/>
        </w:rPr>
      </w:pPr>
      <w:r>
        <w:rPr>
          <w:lang w:eastAsia="ja-JP"/>
        </w:rPr>
        <w:t xml:space="preserve">For TEAEs directly coded to the cardiac category, there was no increase in event rates in </w:t>
      </w:r>
      <w:proofErr w:type="spellStart"/>
      <w:r>
        <w:rPr>
          <w:lang w:eastAsia="ja-JP"/>
        </w:rPr>
        <w:t>galcanezumab</w:t>
      </w:r>
      <w:proofErr w:type="spellEnd"/>
      <w:r>
        <w:rPr>
          <w:lang w:eastAsia="ja-JP"/>
        </w:rPr>
        <w:t xml:space="preserve"> recipients: cardiac TEAEs occurred in </w:t>
      </w:r>
      <w:r w:rsidRPr="00A94E91">
        <w:rPr>
          <w:lang w:eastAsia="ja-JP"/>
        </w:rPr>
        <w:t>11</w:t>
      </w:r>
      <w:r w:rsidR="00EF4784">
        <w:rPr>
          <w:lang w:eastAsia="ja-JP"/>
        </w:rPr>
        <w:t xml:space="preserve"> out of </w:t>
      </w:r>
      <w:r>
        <w:rPr>
          <w:lang w:eastAsia="ja-JP"/>
        </w:rPr>
        <w:t>1451 placebo recipients</w:t>
      </w:r>
      <w:r w:rsidRPr="00A94E91">
        <w:rPr>
          <w:lang w:eastAsia="ja-JP"/>
        </w:rPr>
        <w:t xml:space="preserve"> (0.76</w:t>
      </w:r>
      <w:r>
        <w:rPr>
          <w:lang w:eastAsia="ja-JP"/>
        </w:rPr>
        <w:t>%</w:t>
      </w:r>
      <w:r w:rsidRPr="00A94E91">
        <w:rPr>
          <w:lang w:eastAsia="ja-JP"/>
        </w:rPr>
        <w:t>) 2</w:t>
      </w:r>
      <w:r w:rsidR="00EF4784">
        <w:rPr>
          <w:lang w:eastAsia="ja-JP"/>
        </w:rPr>
        <w:t xml:space="preserve"> out of </w:t>
      </w:r>
      <w:r>
        <w:rPr>
          <w:lang w:eastAsia="ja-JP"/>
        </w:rPr>
        <w:t>705</w:t>
      </w:r>
      <w:r w:rsidRPr="00A94E91">
        <w:rPr>
          <w:lang w:eastAsia="ja-JP"/>
        </w:rPr>
        <w:t xml:space="preserve"> </w:t>
      </w:r>
      <w:r>
        <w:rPr>
          <w:lang w:eastAsia="ja-JP"/>
        </w:rPr>
        <w:t>subj</w:t>
      </w:r>
      <w:r w:rsidR="00EF4784">
        <w:rPr>
          <w:lang w:eastAsia="ja-JP"/>
        </w:rPr>
        <w:t xml:space="preserve">ects receiving </w:t>
      </w:r>
      <w:proofErr w:type="spellStart"/>
      <w:r w:rsidR="00EF4784">
        <w:rPr>
          <w:lang w:eastAsia="ja-JP"/>
        </w:rPr>
        <w:t>galcanezumab</w:t>
      </w:r>
      <w:proofErr w:type="spellEnd"/>
      <w:r w:rsidR="00EF4784">
        <w:rPr>
          <w:lang w:eastAsia="ja-JP"/>
        </w:rPr>
        <w:t xml:space="preserve"> 120 </w:t>
      </w:r>
      <w:r>
        <w:rPr>
          <w:lang w:eastAsia="ja-JP"/>
        </w:rPr>
        <w:t xml:space="preserve">mg </w:t>
      </w:r>
      <w:r w:rsidRPr="00A94E91">
        <w:rPr>
          <w:lang w:eastAsia="ja-JP"/>
        </w:rPr>
        <w:t>(0.28</w:t>
      </w:r>
      <w:r>
        <w:rPr>
          <w:lang w:eastAsia="ja-JP"/>
        </w:rPr>
        <w:t>%</w:t>
      </w:r>
      <w:r w:rsidRPr="00A94E91">
        <w:rPr>
          <w:lang w:eastAsia="ja-JP"/>
        </w:rPr>
        <w:t>)</w:t>
      </w:r>
      <w:r>
        <w:rPr>
          <w:lang w:eastAsia="ja-JP"/>
        </w:rPr>
        <w:t>,</w:t>
      </w:r>
      <w:r w:rsidRPr="00A94E91">
        <w:rPr>
          <w:lang w:eastAsia="ja-JP"/>
        </w:rPr>
        <w:t xml:space="preserve"> 9</w:t>
      </w:r>
      <w:r w:rsidR="00EF4784">
        <w:rPr>
          <w:lang w:eastAsia="ja-JP"/>
        </w:rPr>
        <w:t xml:space="preserve"> out of </w:t>
      </w:r>
      <w:r>
        <w:rPr>
          <w:lang w:eastAsia="ja-JP"/>
        </w:rPr>
        <w:t>735</w:t>
      </w:r>
      <w:r w:rsidRPr="00A94E91">
        <w:rPr>
          <w:lang w:eastAsia="ja-JP"/>
        </w:rPr>
        <w:t xml:space="preserve"> </w:t>
      </w:r>
      <w:r>
        <w:rPr>
          <w:lang w:eastAsia="ja-JP"/>
        </w:rPr>
        <w:t>subjects receivin</w:t>
      </w:r>
      <w:r w:rsidR="00EF4784">
        <w:rPr>
          <w:lang w:eastAsia="ja-JP"/>
        </w:rPr>
        <w:t>g 240 </w:t>
      </w:r>
      <w:r>
        <w:rPr>
          <w:lang w:eastAsia="ja-JP"/>
        </w:rPr>
        <w:t>mg</w:t>
      </w:r>
      <w:r w:rsidR="00EF4784">
        <w:rPr>
          <w:lang w:eastAsia="ja-JP"/>
        </w:rPr>
        <w:t xml:space="preserve"> </w:t>
      </w:r>
      <w:r>
        <w:rPr>
          <w:lang w:eastAsia="ja-JP"/>
        </w:rPr>
        <w:t>(1.23%), and</w:t>
      </w:r>
      <w:r w:rsidRPr="00A94E91">
        <w:rPr>
          <w:lang w:eastAsia="ja-JP"/>
        </w:rPr>
        <w:t xml:space="preserve"> 11</w:t>
      </w:r>
      <w:r w:rsidR="00EF4784">
        <w:rPr>
          <w:lang w:eastAsia="ja-JP"/>
        </w:rPr>
        <w:t xml:space="preserve"> out of </w:t>
      </w:r>
      <w:r>
        <w:rPr>
          <w:lang w:eastAsia="ja-JP"/>
        </w:rPr>
        <w:t>1435</w:t>
      </w:r>
      <w:r w:rsidRPr="00A94E91">
        <w:rPr>
          <w:lang w:eastAsia="ja-JP"/>
        </w:rPr>
        <w:t xml:space="preserve"> </w:t>
      </w:r>
      <w:r>
        <w:rPr>
          <w:lang w:eastAsia="ja-JP"/>
        </w:rPr>
        <w:t xml:space="preserve">subjects receiving either dose of </w:t>
      </w:r>
      <w:proofErr w:type="spellStart"/>
      <w:r>
        <w:rPr>
          <w:lang w:eastAsia="ja-JP"/>
        </w:rPr>
        <w:t>galcanezumab</w:t>
      </w:r>
      <w:proofErr w:type="spellEnd"/>
      <w:r>
        <w:rPr>
          <w:lang w:eastAsia="ja-JP"/>
        </w:rPr>
        <w:t xml:space="preserve"> </w:t>
      </w:r>
      <w:r w:rsidRPr="00A94E91">
        <w:rPr>
          <w:lang w:eastAsia="ja-JP"/>
        </w:rPr>
        <w:t>(0.77</w:t>
      </w:r>
      <w:r>
        <w:rPr>
          <w:lang w:eastAsia="ja-JP"/>
        </w:rPr>
        <w:t>%</w:t>
      </w:r>
      <w:r w:rsidRPr="00A94E91">
        <w:rPr>
          <w:lang w:eastAsia="ja-JP"/>
        </w:rPr>
        <w:t>)</w:t>
      </w:r>
      <w:r>
        <w:rPr>
          <w:lang w:eastAsia="ja-JP"/>
        </w:rPr>
        <w:t>.</w:t>
      </w:r>
    </w:p>
    <w:p w14:paraId="50FC5F3D" w14:textId="6B12055F" w:rsidR="006F6704" w:rsidRDefault="006F6704" w:rsidP="00830182">
      <w:pPr>
        <w:rPr>
          <w:lang w:eastAsia="ja-JP"/>
        </w:rPr>
      </w:pPr>
      <w:r>
        <w:rPr>
          <w:lang w:eastAsia="ja-JP"/>
        </w:rPr>
        <w:t>For SAEs that were cardiac in nature, the o</w:t>
      </w:r>
      <w:r w:rsidR="00BE161F">
        <w:rPr>
          <w:lang w:eastAsia="ja-JP"/>
        </w:rPr>
        <w:t xml:space="preserve">verall incidence during placebo </w:t>
      </w:r>
      <w:r>
        <w:rPr>
          <w:lang w:eastAsia="ja-JP"/>
        </w:rPr>
        <w:t>controlled treatment was the same in recipients</w:t>
      </w:r>
      <w:r w:rsidR="00EF4784">
        <w:rPr>
          <w:lang w:eastAsia="ja-JP"/>
        </w:rPr>
        <w:t xml:space="preserve"> of placebo a</w:t>
      </w:r>
      <w:r w:rsidR="00341719">
        <w:rPr>
          <w:lang w:eastAsia="ja-JP"/>
        </w:rPr>
        <w:t xml:space="preserve">nd </w:t>
      </w:r>
      <w:proofErr w:type="spellStart"/>
      <w:r w:rsidR="00341719">
        <w:rPr>
          <w:lang w:eastAsia="ja-JP"/>
        </w:rPr>
        <w:t>galcanezumab</w:t>
      </w:r>
      <w:proofErr w:type="spellEnd"/>
      <w:r w:rsidR="00341719">
        <w:rPr>
          <w:lang w:eastAsia="ja-JP"/>
        </w:rPr>
        <w:t xml:space="preserve"> (3 out of 1451 </w:t>
      </w:r>
      <w:r w:rsidR="002F2AC8">
        <w:rPr>
          <w:lang w:eastAsia="ja-JP"/>
        </w:rPr>
        <w:t>(</w:t>
      </w:r>
      <w:r w:rsidR="00EF4784">
        <w:rPr>
          <w:lang w:eastAsia="ja-JP"/>
        </w:rPr>
        <w:t>0.21%</w:t>
      </w:r>
      <w:r w:rsidR="002F2AC8">
        <w:rPr>
          <w:lang w:eastAsia="ja-JP"/>
        </w:rPr>
        <w:t>)</w:t>
      </w:r>
      <w:r w:rsidR="00EF4784">
        <w:rPr>
          <w:lang w:eastAsia="ja-JP"/>
        </w:rPr>
        <w:t xml:space="preserve"> versus 3 out of </w:t>
      </w:r>
      <w:r w:rsidR="00341719">
        <w:rPr>
          <w:lang w:eastAsia="ja-JP"/>
        </w:rPr>
        <w:t xml:space="preserve">1435 </w:t>
      </w:r>
      <w:r w:rsidR="002F2AC8">
        <w:rPr>
          <w:lang w:eastAsia="ja-JP"/>
        </w:rPr>
        <w:t>(</w:t>
      </w:r>
      <w:r>
        <w:rPr>
          <w:lang w:eastAsia="ja-JP"/>
        </w:rPr>
        <w:t>0.21%</w:t>
      </w:r>
      <w:r w:rsidR="002F2AC8">
        <w:rPr>
          <w:lang w:eastAsia="ja-JP"/>
        </w:rPr>
        <w:t>)</w:t>
      </w:r>
      <w:r>
        <w:rPr>
          <w:lang w:eastAsia="ja-JP"/>
        </w:rPr>
        <w:t>, respectively</w:t>
      </w:r>
      <w:r w:rsidR="00830182">
        <w:rPr>
          <w:lang w:eastAsia="ja-JP"/>
        </w:rPr>
        <w:t xml:space="preserve">), as shown in </w:t>
      </w:r>
      <w:r w:rsidR="007F1E71">
        <w:rPr>
          <w:lang w:eastAsia="ja-JP"/>
        </w:rPr>
        <w:fldChar w:fldCharType="begin"/>
      </w:r>
      <w:r w:rsidR="007F1E71">
        <w:rPr>
          <w:lang w:eastAsia="ja-JP"/>
        </w:rPr>
        <w:instrText xml:space="preserve"> REF _Ref19012972 \h </w:instrText>
      </w:r>
      <w:r w:rsidR="007F1E71">
        <w:rPr>
          <w:lang w:eastAsia="ja-JP"/>
        </w:rPr>
      </w:r>
      <w:r w:rsidR="007F1E71">
        <w:rPr>
          <w:lang w:eastAsia="ja-JP"/>
        </w:rPr>
        <w:fldChar w:fldCharType="separate"/>
      </w:r>
      <w:r w:rsidR="007F1E71">
        <w:t xml:space="preserve">Table </w:t>
      </w:r>
      <w:r w:rsidR="007F1E71">
        <w:rPr>
          <w:noProof/>
        </w:rPr>
        <w:t>16</w:t>
      </w:r>
      <w:r w:rsidR="007F1E71">
        <w:rPr>
          <w:lang w:eastAsia="ja-JP"/>
        </w:rPr>
        <w:fldChar w:fldCharType="end"/>
      </w:r>
      <w:r w:rsidR="007F1E71">
        <w:rPr>
          <w:lang w:eastAsia="ja-JP"/>
        </w:rPr>
        <w:t>.</w:t>
      </w:r>
    </w:p>
    <w:p w14:paraId="7CDE7C0D" w14:textId="006E66C1" w:rsidR="006F6704" w:rsidRDefault="007F1E71" w:rsidP="007F1E71">
      <w:pPr>
        <w:pStyle w:val="TableTitle"/>
        <w:rPr>
          <w:lang w:eastAsia="ja-JP"/>
        </w:rPr>
      </w:pPr>
      <w:bookmarkStart w:id="166" w:name="_Ref19012972"/>
      <w:bookmarkStart w:id="167" w:name="_Toc536533316"/>
      <w:r>
        <w:t xml:space="preserve">Table </w:t>
      </w:r>
      <w:fldSimple w:instr=" SEQ Table \* ARABIC ">
        <w:r>
          <w:rPr>
            <w:noProof/>
          </w:rPr>
          <w:t>16</w:t>
        </w:r>
      </w:fldSimple>
      <w:bookmarkEnd w:id="166"/>
      <w:r w:rsidR="00EF4784">
        <w:t>:</w:t>
      </w:r>
      <w:r w:rsidR="006F6704">
        <w:t xml:space="preserve"> </w:t>
      </w:r>
      <w:r w:rsidR="00EF4784">
        <w:t xml:space="preserve">Serious adverse events likely cardiovascular in nature, by decreasing percentage in </w:t>
      </w:r>
      <w:proofErr w:type="spellStart"/>
      <w:r w:rsidR="00EF4784">
        <w:t>galcanezumab</w:t>
      </w:r>
      <w:proofErr w:type="spellEnd"/>
      <w:r w:rsidR="00EF4784">
        <w:t xml:space="preserve"> pooled group, safety population, Analysis Set A (Studie</w:t>
      </w:r>
      <w:r w:rsidR="00BE161F">
        <w:t xml:space="preserve">s CGAG CGAH, and CGAI), double </w:t>
      </w:r>
      <w:r w:rsidR="00EF4784">
        <w:t>blind treatment phase</w:t>
      </w:r>
      <w:bookmarkEnd w:id="167"/>
    </w:p>
    <w:p w14:paraId="7E49F734" w14:textId="77777777" w:rsidR="006F6704" w:rsidRDefault="006F6704" w:rsidP="006F6704">
      <w:pPr>
        <w:rPr>
          <w:lang w:eastAsia="ja-JP"/>
        </w:rPr>
      </w:pPr>
      <w:r>
        <w:rPr>
          <w:noProof/>
          <w:lang w:eastAsia="en-AU"/>
        </w:rPr>
        <w:drawing>
          <wp:inline distT="0" distB="0" distL="0" distR="0" wp14:anchorId="514D8F01" wp14:editId="2773F48E">
            <wp:extent cx="5398617" cy="1248599"/>
            <wp:effectExtent l="0" t="0" r="0" b="8890"/>
            <wp:docPr id="24" name="Picture 24" descr="Serious adverse events likely cardiovascular in nature, by decreasing percentage in galcanezumab pooled group, safety population, Analysis Set A (Studies CGAG, CGAH, and CGAI), double-blind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8307" cy="1248527"/>
                    </a:xfrm>
                    <a:prstGeom prst="rect">
                      <a:avLst/>
                    </a:prstGeom>
                    <a:noFill/>
                    <a:ln>
                      <a:noFill/>
                    </a:ln>
                  </pic:spPr>
                </pic:pic>
              </a:graphicData>
            </a:graphic>
          </wp:inline>
        </w:drawing>
      </w:r>
    </w:p>
    <w:p w14:paraId="769D8916" w14:textId="77777777" w:rsidR="00EF4784" w:rsidRDefault="00EF4784" w:rsidP="00EF4784">
      <w:pPr>
        <w:pStyle w:val="TableDescription"/>
        <w:rPr>
          <w:lang w:eastAsia="ja-JP"/>
        </w:rPr>
      </w:pPr>
      <w:r>
        <w:rPr>
          <w:lang w:eastAsia="ja-JP"/>
        </w:rPr>
        <w:t xml:space="preserve">GMB = </w:t>
      </w:r>
      <w:proofErr w:type="spellStart"/>
      <w:r>
        <w:rPr>
          <w:lang w:eastAsia="ja-JP"/>
        </w:rPr>
        <w:t>galcanezumab</w:t>
      </w:r>
      <w:proofErr w:type="spellEnd"/>
    </w:p>
    <w:p w14:paraId="14A1134C" w14:textId="77777777" w:rsidR="006F6704" w:rsidRDefault="006F6704" w:rsidP="006F6704">
      <w:pPr>
        <w:rPr>
          <w:lang w:eastAsia="ja-JP"/>
        </w:rPr>
      </w:pPr>
      <w:r>
        <w:rPr>
          <w:lang w:eastAsia="ja-JP"/>
        </w:rPr>
        <w:t xml:space="preserve">When the analysis was extended to include all </w:t>
      </w:r>
      <w:proofErr w:type="spellStart"/>
      <w:r>
        <w:rPr>
          <w:lang w:eastAsia="ja-JP"/>
        </w:rPr>
        <w:t>galcanezumab</w:t>
      </w:r>
      <w:proofErr w:type="spellEnd"/>
      <w:r>
        <w:rPr>
          <w:lang w:eastAsia="ja-JP"/>
        </w:rPr>
        <w:t xml:space="preserve"> treatment, including minor studies, two additional SAEs of a cardiac nature were identified, but the overall incidence across all doses (0.19%) was similar to what had been observed in the main analysis set (0.21%). All of</w:t>
      </w:r>
      <w:r w:rsidR="00EF4784">
        <w:rPr>
          <w:lang w:eastAsia="ja-JP"/>
        </w:rPr>
        <w:t xml:space="preserve"> the SAEs occurred with the 240 </w:t>
      </w:r>
      <w:r>
        <w:rPr>
          <w:lang w:eastAsia="ja-JP"/>
        </w:rPr>
        <w:t>mg dose group, which was the dose group with the most number of patients. Overall, there was no dose trend for cardiac SAEs, and a review of patient narratives did not raise specific concerns.</w:t>
      </w:r>
    </w:p>
    <w:p w14:paraId="026DF94B" w14:textId="464EFF75" w:rsidR="006F6704" w:rsidRDefault="007F1E71" w:rsidP="007F1E71">
      <w:pPr>
        <w:pStyle w:val="TableTitle"/>
        <w:rPr>
          <w:lang w:eastAsia="ja-JP"/>
        </w:rPr>
      </w:pPr>
      <w:bookmarkStart w:id="168" w:name="_Toc536533317"/>
      <w:r>
        <w:t xml:space="preserve">Table </w:t>
      </w:r>
      <w:fldSimple w:instr=" SEQ Table \* ARABIC ">
        <w:r>
          <w:rPr>
            <w:noProof/>
          </w:rPr>
          <w:t>17</w:t>
        </w:r>
      </w:fldSimple>
      <w:r w:rsidR="00EF4784">
        <w:t>:</w:t>
      </w:r>
      <w:r w:rsidR="006F6704">
        <w:t xml:space="preserve"> </w:t>
      </w:r>
      <w:r w:rsidR="00EF4784">
        <w:t>Serious adverse events likely cardiovascular in nature by decreasing percenta</w:t>
      </w:r>
      <w:r w:rsidR="00BE161F">
        <w:t xml:space="preserve">ge in the complete </w:t>
      </w:r>
      <w:proofErr w:type="spellStart"/>
      <w:r w:rsidR="00BE161F">
        <w:t>galcanezumab</w:t>
      </w:r>
      <w:proofErr w:type="spellEnd"/>
      <w:r w:rsidR="00BE161F">
        <w:t xml:space="preserve"> </w:t>
      </w:r>
      <w:r w:rsidR="00EF4784">
        <w:t>treated population, Analysis Set E (Studies ART-01, CGAB, CGAG, CGAH</w:t>
      </w:r>
      <w:r w:rsidR="00BE161F">
        <w:t xml:space="preserve">, CGAI and CGAJ), </w:t>
      </w:r>
      <w:proofErr w:type="spellStart"/>
      <w:r w:rsidR="00BE161F">
        <w:t>galcanezumab</w:t>
      </w:r>
      <w:proofErr w:type="spellEnd"/>
      <w:r w:rsidR="00BE161F">
        <w:t xml:space="preserve"> treated time and post </w:t>
      </w:r>
      <w:r w:rsidR="00EF4784">
        <w:t>treatment phase</w:t>
      </w:r>
      <w:bookmarkEnd w:id="168"/>
    </w:p>
    <w:p w14:paraId="50016BF1" w14:textId="77777777" w:rsidR="006F6704" w:rsidRDefault="006F6704" w:rsidP="006F6704">
      <w:pPr>
        <w:rPr>
          <w:lang w:eastAsia="ja-JP"/>
        </w:rPr>
      </w:pPr>
      <w:r>
        <w:rPr>
          <w:noProof/>
          <w:lang w:eastAsia="en-AU"/>
        </w:rPr>
        <w:drawing>
          <wp:inline distT="0" distB="0" distL="0" distR="0" wp14:anchorId="2679A13D" wp14:editId="232B56BC">
            <wp:extent cx="5457139" cy="1162253"/>
            <wp:effectExtent l="0" t="0" r="0" b="0"/>
            <wp:docPr id="23" name="Picture 23" descr="Serious adverse events likely cardiovascular in nature by decreasing percentage in the complete galcanezumab-treated population, Analysis Set E (Studies ART-01, CGAB, CGAG, CGAH, CGAI, and CGAJ), galcanezumab-treated time and post-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4018" cy="1161588"/>
                    </a:xfrm>
                    <a:prstGeom prst="rect">
                      <a:avLst/>
                    </a:prstGeom>
                    <a:noFill/>
                    <a:ln>
                      <a:noFill/>
                    </a:ln>
                  </pic:spPr>
                </pic:pic>
              </a:graphicData>
            </a:graphic>
          </wp:inline>
        </w:drawing>
      </w:r>
    </w:p>
    <w:p w14:paraId="6196D125" w14:textId="77777777" w:rsidR="00EF4784" w:rsidRDefault="00EF4784" w:rsidP="00EF4784">
      <w:pPr>
        <w:pStyle w:val="TableDescription"/>
        <w:rPr>
          <w:lang w:eastAsia="ja-JP"/>
        </w:rPr>
      </w:pPr>
      <w:r>
        <w:rPr>
          <w:lang w:eastAsia="ja-JP"/>
        </w:rPr>
        <w:t xml:space="preserve">GMB = </w:t>
      </w:r>
      <w:proofErr w:type="spellStart"/>
      <w:r>
        <w:rPr>
          <w:lang w:eastAsia="ja-JP"/>
        </w:rPr>
        <w:t>galcanezumab</w:t>
      </w:r>
      <w:proofErr w:type="spellEnd"/>
    </w:p>
    <w:p w14:paraId="71E26C0E" w14:textId="56870798" w:rsidR="006F6704" w:rsidRDefault="00404F61" w:rsidP="006F6704">
      <w:pPr>
        <w:rPr>
          <w:lang w:eastAsia="ja-JP"/>
        </w:rPr>
      </w:pPr>
      <w:r>
        <w:rPr>
          <w:lang w:eastAsia="ja-JP"/>
        </w:rPr>
        <w:t>The sponsor</w:t>
      </w:r>
      <w:r w:rsidR="006F6704">
        <w:rPr>
          <w:lang w:eastAsia="ja-JP"/>
        </w:rPr>
        <w:t xml:space="preserve"> performed extensive analyses of electrocardiographic (ECG) parameters, including heart rate, PR interval, QRS intervals, and QT interval (including QT co</w:t>
      </w:r>
      <w:r w:rsidR="00341719">
        <w:rPr>
          <w:lang w:eastAsia="ja-JP"/>
        </w:rPr>
        <w:t xml:space="preserve">rrected by </w:t>
      </w:r>
      <w:proofErr w:type="spellStart"/>
      <w:r w:rsidR="00341719">
        <w:rPr>
          <w:lang w:eastAsia="ja-JP"/>
        </w:rPr>
        <w:t>Fridericia’s</w:t>
      </w:r>
      <w:proofErr w:type="spellEnd"/>
      <w:r w:rsidR="00341719">
        <w:rPr>
          <w:lang w:eastAsia="ja-JP"/>
        </w:rPr>
        <w:t xml:space="preserve"> method </w:t>
      </w:r>
      <w:r w:rsidR="002F2AC8">
        <w:rPr>
          <w:lang w:eastAsia="ja-JP"/>
        </w:rPr>
        <w:t>(</w:t>
      </w:r>
      <w:proofErr w:type="spellStart"/>
      <w:r w:rsidR="006F6704">
        <w:rPr>
          <w:lang w:eastAsia="ja-JP"/>
        </w:rPr>
        <w:t>QT</w:t>
      </w:r>
      <w:r w:rsidR="00EF4784">
        <w:rPr>
          <w:lang w:eastAsia="ja-JP"/>
        </w:rPr>
        <w:t>cF</w:t>
      </w:r>
      <w:proofErr w:type="spellEnd"/>
      <w:r w:rsidR="002F2AC8">
        <w:rPr>
          <w:lang w:eastAsia="ja-JP"/>
        </w:rPr>
        <w:t>)</w:t>
      </w:r>
      <w:r w:rsidR="006F6704">
        <w:rPr>
          <w:lang w:eastAsia="ja-JP"/>
        </w:rPr>
        <w:t xml:space="preserve">). </w:t>
      </w:r>
      <w:r>
        <w:rPr>
          <w:lang w:eastAsia="ja-JP"/>
        </w:rPr>
        <w:t>The sponsor</w:t>
      </w:r>
      <w:r w:rsidR="006F6704">
        <w:rPr>
          <w:lang w:eastAsia="ja-JP"/>
        </w:rPr>
        <w:t xml:space="preserve"> assessed several analy</w:t>
      </w:r>
      <w:r w:rsidR="00BE161F">
        <w:rPr>
          <w:lang w:eastAsia="ja-JP"/>
        </w:rPr>
        <w:t xml:space="preserve">sis sets, including the placebo </w:t>
      </w:r>
      <w:r w:rsidR="006F6704">
        <w:rPr>
          <w:lang w:eastAsia="ja-JP"/>
        </w:rPr>
        <w:t xml:space="preserve">controlled data from the pivotal studies, as well as the overall safety database. The ECG parameters were assessed in terms of changes from </w:t>
      </w:r>
      <w:r w:rsidR="000579DD">
        <w:rPr>
          <w:lang w:eastAsia="ja-JP"/>
        </w:rPr>
        <w:t xml:space="preserve">Baseline </w:t>
      </w:r>
      <w:r w:rsidR="006F6704">
        <w:rPr>
          <w:lang w:eastAsia="ja-JP"/>
        </w:rPr>
        <w:t xml:space="preserve">in the means for each </w:t>
      </w:r>
      <w:r w:rsidR="006F6704">
        <w:rPr>
          <w:lang w:eastAsia="ja-JP"/>
        </w:rPr>
        <w:lastRenderedPageBreak/>
        <w:t>treatment group, and the incidence of potentially clinically significant individual abnormalities. No concer</w:t>
      </w:r>
      <w:r w:rsidR="00830182">
        <w:rPr>
          <w:lang w:eastAsia="ja-JP"/>
        </w:rPr>
        <w:t>ning safety signals were noted.</w:t>
      </w:r>
    </w:p>
    <w:p w14:paraId="16583958" w14:textId="6E8B8844" w:rsidR="006F6704" w:rsidRDefault="006F6704" w:rsidP="006F6704">
      <w:pPr>
        <w:rPr>
          <w:lang w:eastAsia="ja-JP"/>
        </w:rPr>
      </w:pPr>
      <w:r>
        <w:rPr>
          <w:lang w:eastAsia="ja-JP"/>
        </w:rPr>
        <w:t xml:space="preserve">In the pooled pivotal studies, a similar proportion of </w:t>
      </w:r>
      <w:proofErr w:type="spellStart"/>
      <w:r>
        <w:rPr>
          <w:lang w:eastAsia="ja-JP"/>
        </w:rPr>
        <w:t>galcanezumab</w:t>
      </w:r>
      <w:proofErr w:type="spellEnd"/>
      <w:r>
        <w:rPr>
          <w:lang w:eastAsia="ja-JP"/>
        </w:rPr>
        <w:t xml:space="preserve"> recipients and p</w:t>
      </w:r>
      <w:r w:rsidR="00BE161F">
        <w:rPr>
          <w:lang w:eastAsia="ja-JP"/>
        </w:rPr>
        <w:t xml:space="preserve">lacebo recipients had treatment </w:t>
      </w:r>
      <w:r>
        <w:rPr>
          <w:lang w:eastAsia="ja-JP"/>
        </w:rPr>
        <w:t>emergent changes in heart rate, PR interv</w:t>
      </w:r>
      <w:r w:rsidR="00BA717D">
        <w:rPr>
          <w:lang w:eastAsia="ja-JP"/>
        </w:rPr>
        <w:t xml:space="preserve">al, and corrected QT interval. </w:t>
      </w:r>
      <w:r>
        <w:rPr>
          <w:lang w:eastAsia="ja-JP"/>
        </w:rPr>
        <w:t xml:space="preserve">No patients met criteria for shortened QRS interval; however, there were significantly more </w:t>
      </w:r>
      <w:proofErr w:type="spellStart"/>
      <w:r>
        <w:rPr>
          <w:lang w:eastAsia="ja-JP"/>
        </w:rPr>
        <w:t>galcanezumab</w:t>
      </w:r>
      <w:proofErr w:type="spellEnd"/>
      <w:r>
        <w:rPr>
          <w:lang w:eastAsia="ja-JP"/>
        </w:rPr>
        <w:t xml:space="preserve"> recipients (n</w:t>
      </w:r>
      <w:r w:rsidR="00BA717D">
        <w:rPr>
          <w:lang w:eastAsia="ja-JP"/>
        </w:rPr>
        <w:t xml:space="preserve"> </w:t>
      </w:r>
      <w:r>
        <w:rPr>
          <w:lang w:eastAsia="ja-JP"/>
        </w:rPr>
        <w:t>=</w:t>
      </w:r>
      <w:r w:rsidR="00BA717D">
        <w:rPr>
          <w:lang w:eastAsia="ja-JP"/>
        </w:rPr>
        <w:t xml:space="preserve"> </w:t>
      </w:r>
      <w:r>
        <w:rPr>
          <w:lang w:eastAsia="ja-JP"/>
        </w:rPr>
        <w:t>8; 0.6%) who met the criteria for prolonged QRS (≥</w:t>
      </w:r>
      <w:r w:rsidR="00FD0DFE">
        <w:rPr>
          <w:lang w:eastAsia="ja-JP"/>
        </w:rPr>
        <w:t xml:space="preserve"> </w:t>
      </w:r>
      <w:r>
        <w:rPr>
          <w:lang w:eastAsia="ja-JP"/>
        </w:rPr>
        <w:t xml:space="preserve">120 </w:t>
      </w:r>
      <w:proofErr w:type="spellStart"/>
      <w:r w:rsidR="003C76F3">
        <w:rPr>
          <w:lang w:eastAsia="ja-JP"/>
        </w:rPr>
        <w:t>ms</w:t>
      </w:r>
      <w:proofErr w:type="spellEnd"/>
      <w:r>
        <w:rPr>
          <w:lang w:eastAsia="ja-JP"/>
        </w:rPr>
        <w:t>), compared to placebo (n</w:t>
      </w:r>
      <w:r w:rsidR="00FD0DFE">
        <w:rPr>
          <w:lang w:eastAsia="ja-JP"/>
        </w:rPr>
        <w:t xml:space="preserve"> </w:t>
      </w:r>
      <w:r>
        <w:rPr>
          <w:lang w:eastAsia="ja-JP"/>
        </w:rPr>
        <w:t>=</w:t>
      </w:r>
      <w:r w:rsidR="00FD0DFE">
        <w:rPr>
          <w:lang w:eastAsia="ja-JP"/>
        </w:rPr>
        <w:t xml:space="preserve"> </w:t>
      </w:r>
      <w:r>
        <w:rPr>
          <w:lang w:eastAsia="ja-JP"/>
        </w:rPr>
        <w:t xml:space="preserve">1, 0.18%). </w:t>
      </w:r>
      <w:r w:rsidR="00BE161F">
        <w:rPr>
          <w:rFonts w:cs="Cambria"/>
          <w:lang w:eastAsia="ja-JP"/>
        </w:rPr>
        <w:t>Six of these 8</w:t>
      </w:r>
      <w:r w:rsidR="000579DD">
        <w:rPr>
          <w:rFonts w:cs="Cambria"/>
          <w:lang w:eastAsia="ja-JP"/>
        </w:rPr>
        <w:t> </w:t>
      </w:r>
      <w:proofErr w:type="spellStart"/>
      <w:r w:rsidR="00BE161F">
        <w:rPr>
          <w:rFonts w:cs="Cambria"/>
          <w:lang w:eastAsia="ja-JP"/>
        </w:rPr>
        <w:t>galcanezumab</w:t>
      </w:r>
      <w:proofErr w:type="spellEnd"/>
      <w:r w:rsidR="00BE161F">
        <w:rPr>
          <w:rFonts w:cs="Cambria"/>
          <w:lang w:eastAsia="ja-JP"/>
        </w:rPr>
        <w:t xml:space="preserve"> </w:t>
      </w:r>
      <w:r>
        <w:rPr>
          <w:rFonts w:cs="Cambria"/>
          <w:lang w:eastAsia="ja-JP"/>
        </w:rPr>
        <w:t xml:space="preserve">treated patients had a pre-existing condition of a complete or </w:t>
      </w:r>
      <w:r>
        <w:rPr>
          <w:lang w:eastAsia="ja-JP"/>
        </w:rPr>
        <w:t>incomplete bundle branch block at study entry, and 5 of them already had a QRS ≥</w:t>
      </w:r>
      <w:r w:rsidR="00373400">
        <w:rPr>
          <w:lang w:eastAsia="ja-JP"/>
        </w:rPr>
        <w:t xml:space="preserve"> </w:t>
      </w:r>
      <w:r w:rsidR="00B6138F">
        <w:rPr>
          <w:lang w:eastAsia="ja-JP"/>
        </w:rPr>
        <w:t>120 </w:t>
      </w:r>
      <w:proofErr w:type="spellStart"/>
      <w:r w:rsidR="003C76F3">
        <w:rPr>
          <w:lang w:eastAsia="ja-JP"/>
        </w:rPr>
        <w:t>ms</w:t>
      </w:r>
      <w:proofErr w:type="spellEnd"/>
      <w:r>
        <w:rPr>
          <w:lang w:eastAsia="ja-JP"/>
        </w:rPr>
        <w:t xml:space="preserve"> pr</w:t>
      </w:r>
      <w:r w:rsidR="00830182">
        <w:rPr>
          <w:lang w:eastAsia="ja-JP"/>
        </w:rPr>
        <w:t>ior to dosing.</w:t>
      </w:r>
    </w:p>
    <w:p w14:paraId="519C99F1" w14:textId="77777777" w:rsidR="006F6704" w:rsidRDefault="006F6704" w:rsidP="006F6704">
      <w:pPr>
        <w:rPr>
          <w:lang w:eastAsia="ja-JP"/>
        </w:rPr>
      </w:pPr>
      <w:r>
        <w:rPr>
          <w:lang w:eastAsia="ja-JP"/>
        </w:rPr>
        <w:t xml:space="preserve">A review of </w:t>
      </w:r>
      <w:proofErr w:type="spellStart"/>
      <w:r w:rsidR="00BA717D">
        <w:rPr>
          <w:lang w:eastAsia="ja-JP"/>
        </w:rPr>
        <w:t>QTcF</w:t>
      </w:r>
      <w:proofErr w:type="spellEnd"/>
      <w:r w:rsidR="00701599">
        <w:rPr>
          <w:lang w:eastAsia="ja-JP"/>
        </w:rPr>
        <w:t xml:space="preserve"> </w:t>
      </w:r>
      <w:r>
        <w:rPr>
          <w:lang w:eastAsia="ja-JP"/>
        </w:rPr>
        <w:t xml:space="preserve">values in the pooled pivotal studies showed that a higher proportion of placebo recipients had </w:t>
      </w:r>
      <w:proofErr w:type="spellStart"/>
      <w:r w:rsidR="00BA717D">
        <w:rPr>
          <w:lang w:eastAsia="ja-JP"/>
        </w:rPr>
        <w:t>QTcF</w:t>
      </w:r>
      <w:proofErr w:type="spellEnd"/>
      <w:r>
        <w:rPr>
          <w:lang w:eastAsia="ja-JP"/>
        </w:rPr>
        <w:t xml:space="preserve"> values &gt;</w:t>
      </w:r>
      <w:r w:rsidR="00B6138F">
        <w:rPr>
          <w:lang w:eastAsia="ja-JP"/>
        </w:rPr>
        <w:t xml:space="preserve"> </w:t>
      </w:r>
      <w:r>
        <w:rPr>
          <w:lang w:eastAsia="ja-JP"/>
        </w:rPr>
        <w:t xml:space="preserve">450 </w:t>
      </w:r>
      <w:proofErr w:type="spellStart"/>
      <w:r w:rsidR="003C76F3">
        <w:rPr>
          <w:lang w:eastAsia="ja-JP"/>
        </w:rPr>
        <w:t>ms</w:t>
      </w:r>
      <w:proofErr w:type="spellEnd"/>
      <w:r>
        <w:rPr>
          <w:lang w:eastAsia="ja-JP"/>
        </w:rPr>
        <w:t xml:space="preserve">, compared to </w:t>
      </w:r>
      <w:proofErr w:type="spellStart"/>
      <w:r>
        <w:rPr>
          <w:lang w:eastAsia="ja-JP"/>
        </w:rPr>
        <w:t>galcanezumab</w:t>
      </w:r>
      <w:proofErr w:type="spellEnd"/>
      <w:r>
        <w:rPr>
          <w:lang w:eastAsia="ja-JP"/>
        </w:rPr>
        <w:t xml:space="preserve"> recipients. One placebo recipient but no </w:t>
      </w:r>
      <w:proofErr w:type="spellStart"/>
      <w:r>
        <w:rPr>
          <w:lang w:eastAsia="ja-JP"/>
        </w:rPr>
        <w:t>galcanezumab</w:t>
      </w:r>
      <w:proofErr w:type="spellEnd"/>
      <w:r>
        <w:rPr>
          <w:lang w:eastAsia="ja-JP"/>
        </w:rPr>
        <w:t xml:space="preserve"> recipients had a </w:t>
      </w:r>
      <w:proofErr w:type="spellStart"/>
      <w:r w:rsidR="00BA717D">
        <w:rPr>
          <w:lang w:eastAsia="ja-JP"/>
        </w:rPr>
        <w:t>QTcF</w:t>
      </w:r>
      <w:proofErr w:type="spellEnd"/>
      <w:r>
        <w:rPr>
          <w:lang w:eastAsia="ja-JP"/>
        </w:rPr>
        <w:t xml:space="preserve"> value of &gt;</w:t>
      </w:r>
      <w:r w:rsidR="00B6138F">
        <w:rPr>
          <w:lang w:eastAsia="ja-JP"/>
        </w:rPr>
        <w:t xml:space="preserve"> </w:t>
      </w:r>
      <w:r>
        <w:rPr>
          <w:lang w:eastAsia="ja-JP"/>
        </w:rPr>
        <w:t xml:space="preserve">480 </w:t>
      </w:r>
      <w:proofErr w:type="spellStart"/>
      <w:r w:rsidR="003C76F3">
        <w:rPr>
          <w:lang w:eastAsia="ja-JP"/>
        </w:rPr>
        <w:t>ms</w:t>
      </w:r>
      <w:proofErr w:type="spellEnd"/>
      <w:r>
        <w:rPr>
          <w:lang w:eastAsia="ja-JP"/>
        </w:rPr>
        <w:t>, and</w:t>
      </w:r>
      <w:r w:rsidR="00830182">
        <w:rPr>
          <w:lang w:eastAsia="ja-JP"/>
        </w:rPr>
        <w:t xml:space="preserve"> no patient had </w:t>
      </w:r>
      <w:proofErr w:type="spellStart"/>
      <w:r w:rsidR="00BA717D">
        <w:rPr>
          <w:lang w:eastAsia="ja-JP"/>
        </w:rPr>
        <w:t>QTcF</w:t>
      </w:r>
      <w:proofErr w:type="spellEnd"/>
      <w:r w:rsidR="00830182">
        <w:rPr>
          <w:lang w:eastAsia="ja-JP"/>
        </w:rPr>
        <w:t xml:space="preserve"> &gt;</w:t>
      </w:r>
      <w:r w:rsidR="00B6138F">
        <w:rPr>
          <w:lang w:eastAsia="ja-JP"/>
        </w:rPr>
        <w:t xml:space="preserve"> </w:t>
      </w:r>
      <w:r w:rsidR="00830182">
        <w:rPr>
          <w:lang w:eastAsia="ja-JP"/>
        </w:rPr>
        <w:t xml:space="preserve">500 </w:t>
      </w:r>
      <w:proofErr w:type="spellStart"/>
      <w:r w:rsidR="003C76F3">
        <w:rPr>
          <w:lang w:eastAsia="ja-JP"/>
        </w:rPr>
        <w:t>ms</w:t>
      </w:r>
      <w:proofErr w:type="spellEnd"/>
      <w:r w:rsidR="00830182">
        <w:rPr>
          <w:lang w:eastAsia="ja-JP"/>
        </w:rPr>
        <w:t>.</w:t>
      </w:r>
    </w:p>
    <w:p w14:paraId="7FCA9C7F" w14:textId="77777777" w:rsidR="006F6704" w:rsidRDefault="006F6704" w:rsidP="006F6704">
      <w:pPr>
        <w:rPr>
          <w:lang w:eastAsia="ja-JP"/>
        </w:rPr>
      </w:pPr>
      <w:r>
        <w:rPr>
          <w:lang w:eastAsia="ja-JP"/>
        </w:rPr>
        <w:t xml:space="preserve">In the complete database of all </w:t>
      </w:r>
      <w:proofErr w:type="spellStart"/>
      <w:r>
        <w:rPr>
          <w:lang w:eastAsia="ja-JP"/>
        </w:rPr>
        <w:t>galcanezumab</w:t>
      </w:r>
      <w:proofErr w:type="spellEnd"/>
      <w:r>
        <w:rPr>
          <w:lang w:eastAsia="ja-JP"/>
        </w:rPr>
        <w:t xml:space="preserve"> recipients, including those outside pivotal studies, a few more cases of abnormal ECG results were identified, but no consistent pattern or concerning safety s</w:t>
      </w:r>
      <w:r w:rsidR="00830182">
        <w:rPr>
          <w:lang w:eastAsia="ja-JP"/>
        </w:rPr>
        <w:t>ignals emerged.</w:t>
      </w:r>
    </w:p>
    <w:p w14:paraId="1AE2AE33" w14:textId="77777777" w:rsidR="006F6704" w:rsidRDefault="006F6704" w:rsidP="006F6704">
      <w:pPr>
        <w:rPr>
          <w:lang w:eastAsia="ja-JP"/>
        </w:rPr>
      </w:pPr>
      <w:r>
        <w:rPr>
          <w:lang w:eastAsia="ja-JP"/>
        </w:rPr>
        <w:t xml:space="preserve">In conclusion, there is no evidence in </w:t>
      </w:r>
      <w:r w:rsidR="00B22E42">
        <w:rPr>
          <w:lang w:eastAsia="ja-JP"/>
        </w:rPr>
        <w:t>the sponsor</w:t>
      </w:r>
      <w:r>
        <w:rPr>
          <w:lang w:eastAsia="ja-JP"/>
        </w:rPr>
        <w:t xml:space="preserve">’s submission that </w:t>
      </w:r>
      <w:proofErr w:type="spellStart"/>
      <w:r>
        <w:rPr>
          <w:lang w:eastAsia="ja-JP"/>
        </w:rPr>
        <w:t>galcanezumab</w:t>
      </w:r>
      <w:proofErr w:type="spellEnd"/>
      <w:r>
        <w:rPr>
          <w:lang w:eastAsia="ja-JP"/>
        </w:rPr>
        <w:t xml:space="preserve"> is associated with significant cardiovascular toxicity, but this represents a risk that is not yet fully characterised, p</w:t>
      </w:r>
      <w:r w:rsidR="00BE161F">
        <w:rPr>
          <w:lang w:eastAsia="ja-JP"/>
        </w:rPr>
        <w:t xml:space="preserve">articularly with regard to long </w:t>
      </w:r>
      <w:r>
        <w:rPr>
          <w:lang w:eastAsia="ja-JP"/>
        </w:rPr>
        <w:t>term use and use in the elderly.</w:t>
      </w:r>
    </w:p>
    <w:p w14:paraId="054189F6" w14:textId="77777777" w:rsidR="006F6704" w:rsidRPr="00545B14" w:rsidRDefault="006F6704" w:rsidP="00830182">
      <w:pPr>
        <w:pStyle w:val="Heading5"/>
      </w:pPr>
      <w:r w:rsidRPr="00545B14">
        <w:t>Vital signs</w:t>
      </w:r>
      <w:bookmarkEnd w:id="160"/>
      <w:bookmarkEnd w:id="161"/>
      <w:bookmarkEnd w:id="162"/>
      <w:bookmarkEnd w:id="163"/>
      <w:r>
        <w:t xml:space="preserve"> and clinical examination findings</w:t>
      </w:r>
      <w:bookmarkEnd w:id="164"/>
      <w:bookmarkEnd w:id="165"/>
    </w:p>
    <w:p w14:paraId="3E565505" w14:textId="77777777" w:rsidR="006F6704" w:rsidRDefault="00404F61" w:rsidP="006F6704">
      <w:pPr>
        <w:rPr>
          <w:lang w:eastAsia="ja-JP"/>
        </w:rPr>
      </w:pPr>
      <w:bookmarkStart w:id="169" w:name="_Toc432079176"/>
      <w:bookmarkStart w:id="170" w:name="_Toc432080749"/>
      <w:r>
        <w:rPr>
          <w:lang w:eastAsia="ja-JP"/>
        </w:rPr>
        <w:t>The sponsor</w:t>
      </w:r>
      <w:r w:rsidR="006F6704">
        <w:rPr>
          <w:lang w:eastAsia="ja-JP"/>
        </w:rPr>
        <w:t xml:space="preserve"> performed a comparison of </w:t>
      </w:r>
      <w:proofErr w:type="spellStart"/>
      <w:r w:rsidR="006F6704">
        <w:rPr>
          <w:lang w:eastAsia="ja-JP"/>
        </w:rPr>
        <w:t>galcanezumab</w:t>
      </w:r>
      <w:proofErr w:type="spellEnd"/>
      <w:r w:rsidR="006F6704">
        <w:rPr>
          <w:lang w:eastAsia="ja-JP"/>
        </w:rPr>
        <w:t xml:space="preserve"> and placebo recipients for changes in the mean values of vital signs, and the incidence of individual shifts to abnormal. No concerning safety signals were detected, and there was no evidence that </w:t>
      </w:r>
      <w:proofErr w:type="spellStart"/>
      <w:r w:rsidR="006F6704">
        <w:rPr>
          <w:lang w:eastAsia="ja-JP"/>
        </w:rPr>
        <w:t>galcanezumab</w:t>
      </w:r>
      <w:proofErr w:type="spellEnd"/>
      <w:r w:rsidR="006F6704">
        <w:rPr>
          <w:lang w:eastAsia="ja-JP"/>
        </w:rPr>
        <w:t xml:space="preserve"> was associated with any consistent haemodynamic effects.</w:t>
      </w:r>
    </w:p>
    <w:p w14:paraId="11087291" w14:textId="77777777" w:rsidR="006F6704" w:rsidRDefault="006F6704" w:rsidP="00830182">
      <w:pPr>
        <w:pStyle w:val="Heading5"/>
      </w:pPr>
      <w:r>
        <w:t>Immunogenicity and immunological events</w:t>
      </w:r>
      <w:bookmarkEnd w:id="169"/>
      <w:bookmarkEnd w:id="170"/>
    </w:p>
    <w:p w14:paraId="0C1FDEAC" w14:textId="77777777" w:rsidR="006F6704" w:rsidRDefault="006F6704" w:rsidP="006F6704">
      <w:pPr>
        <w:rPr>
          <w:lang w:eastAsia="ja-JP"/>
        </w:rPr>
      </w:pPr>
      <w:bookmarkStart w:id="171" w:name="_Toc432079177"/>
      <w:bookmarkStart w:id="172" w:name="_Toc432080750"/>
      <w:r>
        <w:rPr>
          <w:lang w:eastAsia="ja-JP"/>
        </w:rPr>
        <w:t xml:space="preserve">Exogenous therapeutic proteins, including </w:t>
      </w:r>
      <w:proofErr w:type="spellStart"/>
      <w:r w:rsidR="00B6138F">
        <w:rPr>
          <w:lang w:eastAsia="ja-JP"/>
        </w:rPr>
        <w:t>mAbs</w:t>
      </w:r>
      <w:proofErr w:type="spellEnd"/>
      <w:r>
        <w:rPr>
          <w:lang w:eastAsia="ja-JP"/>
        </w:rPr>
        <w:t xml:space="preserve">, have been associated with hypersensitivity reactions, and for some </w:t>
      </w:r>
      <w:proofErr w:type="spellStart"/>
      <w:r>
        <w:rPr>
          <w:lang w:eastAsia="ja-JP"/>
        </w:rPr>
        <w:t>mAbs</w:t>
      </w:r>
      <w:proofErr w:type="spellEnd"/>
      <w:r>
        <w:rPr>
          <w:lang w:eastAsia="ja-JP"/>
        </w:rPr>
        <w:t xml:space="preserve"> the reactions have been severe and have included cases of anaphylaxis. Potentially, </w:t>
      </w:r>
      <w:proofErr w:type="spellStart"/>
      <w:r>
        <w:rPr>
          <w:lang w:eastAsia="ja-JP"/>
        </w:rPr>
        <w:t>galcanezumab</w:t>
      </w:r>
      <w:proofErr w:type="spellEnd"/>
      <w:r>
        <w:rPr>
          <w:lang w:eastAsia="ja-JP"/>
        </w:rPr>
        <w:t xml:space="preserve"> could also increase the risk of anaphylaxis, though this was not observed in the study program and hypersen</w:t>
      </w:r>
      <w:r w:rsidR="00B6138F">
        <w:rPr>
          <w:lang w:eastAsia="ja-JP"/>
        </w:rPr>
        <w:t>si</w:t>
      </w:r>
      <w:r>
        <w:rPr>
          <w:lang w:eastAsia="ja-JP"/>
        </w:rPr>
        <w:t>tivity events appeared to be infrequent.</w:t>
      </w:r>
    </w:p>
    <w:p w14:paraId="3DAE3697" w14:textId="77777777" w:rsidR="006F6704" w:rsidRDefault="00404F61" w:rsidP="006F6704">
      <w:pPr>
        <w:rPr>
          <w:lang w:eastAsia="ja-JP"/>
        </w:rPr>
      </w:pPr>
      <w:r>
        <w:rPr>
          <w:lang w:eastAsia="ja-JP"/>
        </w:rPr>
        <w:t>The sponsor</w:t>
      </w:r>
      <w:r w:rsidR="00BE161F">
        <w:rPr>
          <w:lang w:eastAsia="ja-JP"/>
        </w:rPr>
        <w:t>’s summary of clinical s</w:t>
      </w:r>
      <w:r w:rsidR="006F6704">
        <w:rPr>
          <w:lang w:eastAsia="ja-JP"/>
        </w:rPr>
        <w:t>afety makes the following comments about hypersensitivity:</w:t>
      </w:r>
    </w:p>
    <w:p w14:paraId="5F710AFB" w14:textId="22B23D00" w:rsidR="006F6704" w:rsidRPr="00341719" w:rsidRDefault="00D72D0D" w:rsidP="00341719">
      <w:pPr>
        <w:ind w:left="720"/>
        <w:rPr>
          <w:lang w:eastAsia="ja-JP"/>
        </w:rPr>
      </w:pPr>
      <w:r>
        <w:rPr>
          <w:lang w:eastAsia="ja-JP"/>
        </w:rPr>
        <w:t>‘</w:t>
      </w:r>
      <w:r w:rsidR="006F6704" w:rsidRPr="00341719">
        <w:rPr>
          <w:lang w:eastAsia="ja-JP"/>
        </w:rPr>
        <w:t xml:space="preserve">Hypersensitivity events occurred more frequently in patients treated with </w:t>
      </w:r>
      <w:proofErr w:type="spellStart"/>
      <w:r w:rsidR="006F6704" w:rsidRPr="00341719">
        <w:rPr>
          <w:lang w:eastAsia="ja-JP"/>
        </w:rPr>
        <w:t>galcanezumab</w:t>
      </w:r>
      <w:proofErr w:type="spellEnd"/>
      <w:r w:rsidR="006F6704" w:rsidRPr="00341719">
        <w:rPr>
          <w:lang w:eastAsia="ja-JP"/>
        </w:rPr>
        <w:t xml:space="preserve"> than with placebo. Wh</w:t>
      </w:r>
      <w:r w:rsidR="00341719">
        <w:rPr>
          <w:lang w:eastAsia="ja-JP"/>
        </w:rPr>
        <w:t xml:space="preserve">en considering all </w:t>
      </w:r>
      <w:proofErr w:type="spellStart"/>
      <w:r w:rsidR="00341719">
        <w:rPr>
          <w:lang w:eastAsia="ja-JP"/>
        </w:rPr>
        <w:t>galcanezumab</w:t>
      </w:r>
      <w:proofErr w:type="spellEnd"/>
      <w:r w:rsidR="00341719">
        <w:rPr>
          <w:lang w:eastAsia="ja-JP"/>
        </w:rPr>
        <w:t xml:space="preserve"> </w:t>
      </w:r>
      <w:r w:rsidR="006F6704" w:rsidRPr="00341719">
        <w:rPr>
          <w:lang w:eastAsia="ja-JP"/>
        </w:rPr>
        <w:t>treated patients during all treatment phases, the frequency of hypersensitivity events was comparable to the frequencies observed during the double</w:t>
      </w:r>
      <w:r w:rsidR="00341719">
        <w:rPr>
          <w:lang w:eastAsia="ja-JP"/>
        </w:rPr>
        <w:t xml:space="preserve"> </w:t>
      </w:r>
      <w:r w:rsidR="006F6704" w:rsidRPr="00341719">
        <w:rPr>
          <w:lang w:eastAsia="ja-JP"/>
        </w:rPr>
        <w:t>blind treatm</w:t>
      </w:r>
      <w:r w:rsidR="00341719">
        <w:rPr>
          <w:lang w:eastAsia="ja-JP"/>
        </w:rPr>
        <w:t xml:space="preserve">ent phase. Most events were non </w:t>
      </w:r>
      <w:r w:rsidR="006F6704" w:rsidRPr="00341719">
        <w:rPr>
          <w:lang w:eastAsia="ja-JP"/>
        </w:rPr>
        <w:t xml:space="preserve">serious, mild or moderate in severity, and did not lead to discontinuation of </w:t>
      </w:r>
      <w:proofErr w:type="spellStart"/>
      <w:r w:rsidR="006F6704" w:rsidRPr="00341719">
        <w:rPr>
          <w:lang w:eastAsia="ja-JP"/>
        </w:rPr>
        <w:t>galcanezumab</w:t>
      </w:r>
      <w:proofErr w:type="spellEnd"/>
      <w:r w:rsidR="006F6704" w:rsidRPr="00341719">
        <w:rPr>
          <w:lang w:eastAsia="ja-JP"/>
        </w:rPr>
        <w:t xml:space="preserve">. There were no confirmed cases of anaphylaxis associated with the administration of </w:t>
      </w:r>
      <w:proofErr w:type="spellStart"/>
      <w:r w:rsidR="006F6704" w:rsidRPr="00341719">
        <w:rPr>
          <w:lang w:eastAsia="ja-JP"/>
        </w:rPr>
        <w:t>galcanezumab</w:t>
      </w:r>
      <w:proofErr w:type="spellEnd"/>
      <w:r w:rsidR="006F6704" w:rsidRPr="00341719">
        <w:rPr>
          <w:lang w:eastAsia="ja-JP"/>
        </w:rPr>
        <w:t xml:space="preserve">. Although </w:t>
      </w:r>
      <w:proofErr w:type="spellStart"/>
      <w:r w:rsidR="006F6704" w:rsidRPr="00341719">
        <w:rPr>
          <w:lang w:eastAsia="ja-JP"/>
        </w:rPr>
        <w:t>urticaria</w:t>
      </w:r>
      <w:proofErr w:type="spellEnd"/>
      <w:r w:rsidR="006F6704" w:rsidRPr="00341719">
        <w:rPr>
          <w:lang w:eastAsia="ja-JP"/>
        </w:rPr>
        <w:t xml:space="preserve"> was uncommonly reported, 2 serious cases of </w:t>
      </w:r>
      <w:proofErr w:type="spellStart"/>
      <w:r w:rsidR="006F6704" w:rsidRPr="00341719">
        <w:rPr>
          <w:lang w:eastAsia="ja-JP"/>
        </w:rPr>
        <w:t>urticaria</w:t>
      </w:r>
      <w:proofErr w:type="spellEnd"/>
      <w:r w:rsidR="006F6704" w:rsidRPr="00341719">
        <w:rPr>
          <w:lang w:eastAsia="ja-JP"/>
        </w:rPr>
        <w:t xml:space="preserve"> hav</w:t>
      </w:r>
      <w:r w:rsidR="00341719">
        <w:rPr>
          <w:lang w:eastAsia="ja-JP"/>
        </w:rPr>
        <w:t xml:space="preserve">e been reported in </w:t>
      </w:r>
      <w:proofErr w:type="spellStart"/>
      <w:r w:rsidR="00341719">
        <w:rPr>
          <w:lang w:eastAsia="ja-JP"/>
        </w:rPr>
        <w:t>galcanezumab</w:t>
      </w:r>
      <w:proofErr w:type="spellEnd"/>
      <w:r w:rsidR="00341719">
        <w:rPr>
          <w:lang w:eastAsia="ja-JP"/>
        </w:rPr>
        <w:t xml:space="preserve"> </w:t>
      </w:r>
      <w:r w:rsidR="006F6704" w:rsidRPr="00341719">
        <w:rPr>
          <w:lang w:eastAsia="ja-JP"/>
        </w:rPr>
        <w:t>treated pa</w:t>
      </w:r>
      <w:r w:rsidR="00341719">
        <w:rPr>
          <w:lang w:eastAsia="ja-JP"/>
        </w:rPr>
        <w:t xml:space="preserve">tients, and an additional 2 non </w:t>
      </w:r>
      <w:r w:rsidR="006F6704" w:rsidRPr="00341719">
        <w:rPr>
          <w:lang w:eastAsia="ja-JP"/>
        </w:rPr>
        <w:t>serious cases occurred on the same day o</w:t>
      </w:r>
      <w:r w:rsidR="00830182" w:rsidRPr="00341719">
        <w:rPr>
          <w:lang w:eastAsia="ja-JP"/>
        </w:rPr>
        <w:t xml:space="preserve">f </w:t>
      </w:r>
      <w:proofErr w:type="spellStart"/>
      <w:r w:rsidR="00830182" w:rsidRPr="00341719">
        <w:rPr>
          <w:lang w:eastAsia="ja-JP"/>
        </w:rPr>
        <w:t>galcanezumab</w:t>
      </w:r>
      <w:proofErr w:type="spellEnd"/>
      <w:r w:rsidR="00830182" w:rsidRPr="00341719">
        <w:rPr>
          <w:lang w:eastAsia="ja-JP"/>
        </w:rPr>
        <w:t xml:space="preserve"> administration.</w:t>
      </w:r>
      <w:r w:rsidR="000579DD">
        <w:rPr>
          <w:lang w:eastAsia="ja-JP"/>
        </w:rPr>
        <w:t>’</w:t>
      </w:r>
    </w:p>
    <w:p w14:paraId="0EBF2E02" w14:textId="536AFCA1" w:rsidR="006F6704" w:rsidRDefault="006F6704" w:rsidP="00D72D0D">
      <w:pPr>
        <w:rPr>
          <w:lang w:eastAsia="ja-JP"/>
        </w:rPr>
      </w:pPr>
      <w:r>
        <w:rPr>
          <w:lang w:eastAsia="ja-JP"/>
        </w:rPr>
        <w:t xml:space="preserve">To assess the risk of hypersensitivity reactions with </w:t>
      </w:r>
      <w:proofErr w:type="spellStart"/>
      <w:r>
        <w:rPr>
          <w:lang w:eastAsia="ja-JP"/>
        </w:rPr>
        <w:t>galcanezumab</w:t>
      </w:r>
      <w:proofErr w:type="spellEnd"/>
      <w:r>
        <w:rPr>
          <w:lang w:eastAsia="ja-JP"/>
        </w:rPr>
        <w:t xml:space="preserve">, </w:t>
      </w:r>
      <w:r w:rsidR="00B22E42">
        <w:rPr>
          <w:lang w:eastAsia="ja-JP"/>
        </w:rPr>
        <w:t>the sponsor</w:t>
      </w:r>
      <w:r>
        <w:rPr>
          <w:lang w:eastAsia="ja-JP"/>
        </w:rPr>
        <w:t xml:space="preserve"> searched the safety database for all TEAEs that potentially reflected hypersensitivity. The evaluation of hypersensitivity included 3 SMQs: Anaphylactic Reactions</w:t>
      </w:r>
      <w:r w:rsidR="000579DD">
        <w:rPr>
          <w:lang w:eastAsia="ja-JP"/>
        </w:rPr>
        <w:t>;</w:t>
      </w:r>
      <w:r>
        <w:rPr>
          <w:lang w:eastAsia="ja-JP"/>
        </w:rPr>
        <w:t xml:space="preserve"> Angioedema</w:t>
      </w:r>
      <w:r w:rsidR="000579DD">
        <w:rPr>
          <w:lang w:eastAsia="ja-JP"/>
        </w:rPr>
        <w:t>;</w:t>
      </w:r>
      <w:r>
        <w:rPr>
          <w:lang w:eastAsia="ja-JP"/>
        </w:rPr>
        <w:t xml:space="preserve"> and Hypersensitivity, using both narrow and broad search terms. The results are shown in </w:t>
      </w:r>
      <w:r w:rsidR="007F1E71">
        <w:rPr>
          <w:lang w:eastAsia="ja-JP"/>
        </w:rPr>
        <w:fldChar w:fldCharType="begin"/>
      </w:r>
      <w:r w:rsidR="007F1E71">
        <w:rPr>
          <w:lang w:eastAsia="ja-JP"/>
        </w:rPr>
        <w:instrText xml:space="preserve"> REF _Ref19013021 \h </w:instrText>
      </w:r>
      <w:r w:rsidR="007F1E71">
        <w:rPr>
          <w:lang w:eastAsia="ja-JP"/>
        </w:rPr>
      </w:r>
      <w:r w:rsidR="007F1E71">
        <w:rPr>
          <w:lang w:eastAsia="ja-JP"/>
        </w:rPr>
        <w:fldChar w:fldCharType="separate"/>
      </w:r>
      <w:r w:rsidR="007F1E71">
        <w:t xml:space="preserve">Table </w:t>
      </w:r>
      <w:r w:rsidR="007F1E71">
        <w:rPr>
          <w:noProof/>
        </w:rPr>
        <w:t>18</w:t>
      </w:r>
      <w:r w:rsidR="007F1E71">
        <w:rPr>
          <w:lang w:eastAsia="ja-JP"/>
        </w:rPr>
        <w:fldChar w:fldCharType="end"/>
      </w:r>
      <w:r w:rsidR="00BE161F">
        <w:rPr>
          <w:lang w:eastAsia="ja-JP"/>
        </w:rPr>
        <w:t xml:space="preserve">, for the primary, placebo </w:t>
      </w:r>
      <w:r>
        <w:rPr>
          <w:lang w:eastAsia="ja-JP"/>
        </w:rPr>
        <w:t xml:space="preserve">controlled </w:t>
      </w:r>
      <w:r w:rsidR="00830182">
        <w:rPr>
          <w:lang w:eastAsia="ja-JP"/>
        </w:rPr>
        <w:t>studies (Analysis Set A).</w:t>
      </w:r>
    </w:p>
    <w:p w14:paraId="5754A8A4" w14:textId="71D0275E" w:rsidR="006F6704" w:rsidRDefault="007F1E71" w:rsidP="007F1E71">
      <w:pPr>
        <w:pStyle w:val="TableTitle"/>
        <w:rPr>
          <w:lang w:eastAsia="ja-JP"/>
        </w:rPr>
      </w:pPr>
      <w:bookmarkStart w:id="173" w:name="_Ref19013021"/>
      <w:bookmarkStart w:id="174" w:name="_Toc536533318"/>
      <w:r>
        <w:lastRenderedPageBreak/>
        <w:t xml:space="preserve">Table </w:t>
      </w:r>
      <w:fldSimple w:instr=" SEQ Table \* ARABIC ">
        <w:r>
          <w:rPr>
            <w:noProof/>
          </w:rPr>
          <w:t>18</w:t>
        </w:r>
      </w:fldSimple>
      <w:bookmarkEnd w:id="173"/>
      <w:r w:rsidR="00B6138F">
        <w:t>: Pote</w:t>
      </w:r>
      <w:r w:rsidR="00341719">
        <w:t xml:space="preserve">ntial hypersensitivity events: </w:t>
      </w:r>
      <w:r w:rsidR="00B6138F">
        <w:t>all events before medical review</w:t>
      </w:r>
      <w:r w:rsidR="006F6704">
        <w:t xml:space="preserve">, Analysis Set A (Studies CGAG, CGAH, and CGAI), </w:t>
      </w:r>
      <w:r w:rsidR="00BE161F">
        <w:t xml:space="preserve">double </w:t>
      </w:r>
      <w:r w:rsidR="00B6138F">
        <w:t>blind treatment phase</w:t>
      </w:r>
      <w:bookmarkEnd w:id="174"/>
    </w:p>
    <w:p w14:paraId="65D671F8" w14:textId="77777777" w:rsidR="006F6704" w:rsidRDefault="006F6704" w:rsidP="006F6704">
      <w:pPr>
        <w:rPr>
          <w:lang w:eastAsia="ja-JP"/>
        </w:rPr>
      </w:pPr>
      <w:r>
        <w:rPr>
          <w:noProof/>
          <w:lang w:eastAsia="en-AU"/>
        </w:rPr>
        <w:drawing>
          <wp:inline distT="0" distB="0" distL="0" distR="0" wp14:anchorId="50AB3F44" wp14:editId="54A6ECCB">
            <wp:extent cx="5362041" cy="4505542"/>
            <wp:effectExtent l="0" t="0" r="0" b="9525"/>
            <wp:docPr id="20" name="Picture 20" descr="Potential hypersensitivity events – all events before medical review, Analysis Set A (Studies CGAG, CGAH, and CGAI), double-blind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8974" cy="4502965"/>
                    </a:xfrm>
                    <a:prstGeom prst="rect">
                      <a:avLst/>
                    </a:prstGeom>
                    <a:noFill/>
                    <a:ln>
                      <a:noFill/>
                    </a:ln>
                  </pic:spPr>
                </pic:pic>
              </a:graphicData>
            </a:graphic>
          </wp:inline>
        </w:drawing>
      </w:r>
    </w:p>
    <w:p w14:paraId="6EDF217D" w14:textId="433B1568" w:rsidR="006F6704" w:rsidRDefault="006F6704" w:rsidP="006F6704">
      <w:pPr>
        <w:rPr>
          <w:lang w:eastAsia="ja-JP"/>
        </w:rPr>
      </w:pPr>
      <w:r>
        <w:rPr>
          <w:lang w:eastAsia="ja-JP"/>
        </w:rPr>
        <w:t>As shown in</w:t>
      </w:r>
      <w:r w:rsidR="007F1E71">
        <w:rPr>
          <w:lang w:eastAsia="ja-JP"/>
        </w:rPr>
        <w:t xml:space="preserve"> </w:t>
      </w:r>
      <w:r w:rsidR="007F1E71">
        <w:rPr>
          <w:lang w:eastAsia="ja-JP"/>
        </w:rPr>
        <w:fldChar w:fldCharType="begin"/>
      </w:r>
      <w:r w:rsidR="007F1E71">
        <w:rPr>
          <w:lang w:eastAsia="ja-JP"/>
        </w:rPr>
        <w:instrText xml:space="preserve"> REF _Ref19013021 \h </w:instrText>
      </w:r>
      <w:r w:rsidR="007F1E71">
        <w:rPr>
          <w:lang w:eastAsia="ja-JP"/>
        </w:rPr>
      </w:r>
      <w:r w:rsidR="007F1E71">
        <w:rPr>
          <w:lang w:eastAsia="ja-JP"/>
        </w:rPr>
        <w:fldChar w:fldCharType="separate"/>
      </w:r>
      <w:r w:rsidR="007F1E71">
        <w:t xml:space="preserve">Table </w:t>
      </w:r>
      <w:r w:rsidR="007F1E71">
        <w:rPr>
          <w:noProof/>
        </w:rPr>
        <w:t>18</w:t>
      </w:r>
      <w:r w:rsidR="007F1E71">
        <w:rPr>
          <w:lang w:eastAsia="ja-JP"/>
        </w:rPr>
        <w:fldChar w:fldCharType="end"/>
      </w:r>
      <w:r>
        <w:rPr>
          <w:lang w:eastAsia="ja-JP"/>
        </w:rPr>
        <w:t xml:space="preserve">, the SMQ for Hypersensitivity on the day of administration showed a higher incidence in </w:t>
      </w:r>
      <w:proofErr w:type="spellStart"/>
      <w:r>
        <w:rPr>
          <w:lang w:eastAsia="ja-JP"/>
        </w:rPr>
        <w:t>galcanezumab</w:t>
      </w:r>
      <w:proofErr w:type="spellEnd"/>
      <w:r>
        <w:rPr>
          <w:lang w:eastAsia="ja-JP"/>
        </w:rPr>
        <w:t xml:space="preserve"> recipients (1.05%) than placebo recipients (0.41%), and the difference was statistically significant (p</w:t>
      </w:r>
      <w:r w:rsidR="00B6138F">
        <w:rPr>
          <w:lang w:eastAsia="ja-JP"/>
        </w:rPr>
        <w:t xml:space="preserve"> </w:t>
      </w:r>
      <w:r>
        <w:rPr>
          <w:lang w:eastAsia="ja-JP"/>
        </w:rPr>
        <w:t>&lt;</w:t>
      </w:r>
      <w:r w:rsidR="00B6138F">
        <w:rPr>
          <w:lang w:eastAsia="ja-JP"/>
        </w:rPr>
        <w:t xml:space="preserve"> </w:t>
      </w:r>
      <w:r>
        <w:rPr>
          <w:lang w:eastAsia="ja-JP"/>
        </w:rPr>
        <w:t>0.05). The difference in th</w:t>
      </w:r>
      <w:r w:rsidR="00BE161F">
        <w:rPr>
          <w:lang w:eastAsia="ja-JP"/>
        </w:rPr>
        <w:t xml:space="preserve">e incidence of Hypersensitivity </w:t>
      </w:r>
      <w:r>
        <w:rPr>
          <w:lang w:eastAsia="ja-JP"/>
        </w:rPr>
        <w:t>related TEAE</w:t>
      </w:r>
      <w:r w:rsidR="00BE161F">
        <w:rPr>
          <w:lang w:eastAsia="ja-JP"/>
        </w:rPr>
        <w:t xml:space="preserve">s was also significant when non </w:t>
      </w:r>
      <w:r>
        <w:rPr>
          <w:lang w:eastAsia="ja-JP"/>
        </w:rPr>
        <w:t xml:space="preserve">immediate events were included and/or broad search terms were used. For the other two SMQs (Anaphylactic reaction and Angioedema), no statistically significant differences were noted between treatments, but there was an overall excess of events with </w:t>
      </w:r>
      <w:proofErr w:type="spellStart"/>
      <w:r>
        <w:rPr>
          <w:lang w:eastAsia="ja-JP"/>
        </w:rPr>
        <w:t>galcanezumab</w:t>
      </w:r>
      <w:proofErr w:type="spellEnd"/>
      <w:r>
        <w:rPr>
          <w:lang w:eastAsia="ja-JP"/>
        </w:rPr>
        <w:t xml:space="preserve"> for all three SMQs on the day of administration</w:t>
      </w:r>
      <w:r w:rsidR="00830182">
        <w:rPr>
          <w:lang w:eastAsia="ja-JP"/>
        </w:rPr>
        <w:t>.</w:t>
      </w:r>
    </w:p>
    <w:p w14:paraId="0114B5EB" w14:textId="0A201A51" w:rsidR="006F6704" w:rsidRDefault="00825F77" w:rsidP="006F6704">
      <w:pPr>
        <w:rPr>
          <w:lang w:eastAsia="ja-JP"/>
        </w:rPr>
      </w:pPr>
      <w:r>
        <w:rPr>
          <w:lang w:eastAsia="ja-JP"/>
        </w:rPr>
        <w:t>No cases of a</w:t>
      </w:r>
      <w:r w:rsidR="006F6704">
        <w:rPr>
          <w:lang w:eastAsia="ja-JP"/>
        </w:rPr>
        <w:t xml:space="preserve">naphylactic reaction were identified using narrow search terms. The most frequent TEAE in the narrow Hypersensitivity SMQ analysis was </w:t>
      </w:r>
      <w:r w:rsidR="000579DD">
        <w:rPr>
          <w:lang w:eastAsia="ja-JP"/>
        </w:rPr>
        <w:t>‘</w:t>
      </w:r>
      <w:r w:rsidR="006F6704">
        <w:rPr>
          <w:lang w:eastAsia="ja-JP"/>
        </w:rPr>
        <w:t>injection site rash</w:t>
      </w:r>
      <w:r w:rsidR="000579DD">
        <w:rPr>
          <w:lang w:eastAsia="ja-JP"/>
        </w:rPr>
        <w:t>’</w:t>
      </w:r>
      <w:r w:rsidR="006F6704">
        <w:rPr>
          <w:lang w:eastAsia="ja-JP"/>
        </w:rPr>
        <w:t xml:space="preserve">, and the only individual TEAE in this SMQ showing a statistically significant difference compared to placebo was </w:t>
      </w:r>
      <w:r w:rsidR="000579DD">
        <w:rPr>
          <w:lang w:eastAsia="ja-JP"/>
        </w:rPr>
        <w:t>‘</w:t>
      </w:r>
      <w:proofErr w:type="spellStart"/>
      <w:r w:rsidR="006F6704">
        <w:rPr>
          <w:lang w:eastAsia="ja-JP"/>
        </w:rPr>
        <w:t>urticaria</w:t>
      </w:r>
      <w:proofErr w:type="spellEnd"/>
      <w:r w:rsidR="000579DD">
        <w:rPr>
          <w:lang w:eastAsia="ja-JP"/>
        </w:rPr>
        <w:t>’</w:t>
      </w:r>
      <w:r w:rsidR="006F6704">
        <w:rPr>
          <w:lang w:eastAsia="ja-JP"/>
        </w:rPr>
        <w:t xml:space="preserve">, in two patients reporting hives (the same two cases were also flagged in the narrow Angioedema SMQ, and occurred on the day of injection). Both patient narratives associated with hives showed that the patients had a recurrent tendency to develop hives at the time of injections, strongly implying a causal relationship. For one of the patients, the hives resolved even though the patient continued to receive treatment; the other patient discontinued. Both were rated as </w:t>
      </w:r>
      <w:r w:rsidR="00E27356">
        <w:rPr>
          <w:lang w:eastAsia="ja-JP"/>
        </w:rPr>
        <w:t>‘</w:t>
      </w:r>
      <w:r>
        <w:rPr>
          <w:lang w:eastAsia="ja-JP"/>
        </w:rPr>
        <w:t>non-</w:t>
      </w:r>
      <w:r w:rsidR="006F6704" w:rsidRPr="005124AC">
        <w:rPr>
          <w:lang w:eastAsia="ja-JP"/>
        </w:rPr>
        <w:t>serious</w:t>
      </w:r>
      <w:r w:rsidR="000579DD">
        <w:rPr>
          <w:lang w:eastAsia="ja-JP"/>
        </w:rPr>
        <w:t>’</w:t>
      </w:r>
      <w:r w:rsidR="006F6704">
        <w:rPr>
          <w:lang w:eastAsia="ja-JP"/>
        </w:rPr>
        <w:t xml:space="preserve">, but two cases of </w:t>
      </w:r>
      <w:proofErr w:type="spellStart"/>
      <w:r w:rsidR="006F6704">
        <w:rPr>
          <w:lang w:eastAsia="ja-JP"/>
        </w:rPr>
        <w:t>urticaria</w:t>
      </w:r>
      <w:proofErr w:type="spellEnd"/>
      <w:r w:rsidR="006F6704">
        <w:rPr>
          <w:lang w:eastAsia="ja-JP"/>
        </w:rPr>
        <w:t xml:space="preserve"> that occurred outs</w:t>
      </w:r>
      <w:r w:rsidR="00BE161F">
        <w:rPr>
          <w:lang w:eastAsia="ja-JP"/>
        </w:rPr>
        <w:t xml:space="preserve">ide Analysis Set A, during open </w:t>
      </w:r>
      <w:r w:rsidR="006F6704">
        <w:rPr>
          <w:lang w:eastAsia="ja-JP"/>
        </w:rPr>
        <w:t xml:space="preserve">label treatment, </w:t>
      </w:r>
      <w:r w:rsidR="00830182">
        <w:rPr>
          <w:lang w:eastAsia="ja-JP"/>
        </w:rPr>
        <w:t xml:space="preserve">were rated as </w:t>
      </w:r>
      <w:r w:rsidR="000579DD">
        <w:rPr>
          <w:lang w:eastAsia="ja-JP"/>
        </w:rPr>
        <w:t>‘</w:t>
      </w:r>
      <w:r w:rsidR="00830182">
        <w:rPr>
          <w:lang w:eastAsia="ja-JP"/>
        </w:rPr>
        <w:t>serious</w:t>
      </w:r>
      <w:r w:rsidR="000579DD">
        <w:rPr>
          <w:lang w:eastAsia="ja-JP"/>
        </w:rPr>
        <w:t>’</w:t>
      </w:r>
      <w:r w:rsidR="00830182">
        <w:rPr>
          <w:lang w:eastAsia="ja-JP"/>
        </w:rPr>
        <w:t>.</w:t>
      </w:r>
    </w:p>
    <w:p w14:paraId="1293B571" w14:textId="77777777" w:rsidR="006F6704" w:rsidRDefault="006F6704" w:rsidP="006F6704">
      <w:pPr>
        <w:rPr>
          <w:lang w:eastAsia="ja-JP"/>
        </w:rPr>
      </w:pPr>
      <w:r>
        <w:rPr>
          <w:lang w:eastAsia="ja-JP"/>
        </w:rPr>
        <w:t xml:space="preserve">Overall, this analysis suggested that </w:t>
      </w:r>
      <w:proofErr w:type="spellStart"/>
      <w:r>
        <w:rPr>
          <w:lang w:eastAsia="ja-JP"/>
        </w:rPr>
        <w:t>galcanezumab</w:t>
      </w:r>
      <w:proofErr w:type="spellEnd"/>
      <w:r>
        <w:rPr>
          <w:lang w:eastAsia="ja-JP"/>
        </w:rPr>
        <w:t xml:space="preserve"> cause</w:t>
      </w:r>
      <w:r w:rsidR="00825F77">
        <w:rPr>
          <w:lang w:eastAsia="ja-JP"/>
        </w:rPr>
        <w:t>s</w:t>
      </w:r>
      <w:r>
        <w:rPr>
          <w:lang w:eastAsia="ja-JP"/>
        </w:rPr>
        <w:t xml:space="preserve"> occasional hypersensitivity reactions, though the frequency and severity of such reactions both appeared to be </w:t>
      </w:r>
      <w:r w:rsidR="00BE161F">
        <w:rPr>
          <w:lang w:eastAsia="ja-JP"/>
        </w:rPr>
        <w:t xml:space="preserve">low. Among the 197 </w:t>
      </w:r>
      <w:proofErr w:type="spellStart"/>
      <w:r w:rsidR="00BE161F">
        <w:rPr>
          <w:lang w:eastAsia="ja-JP"/>
        </w:rPr>
        <w:t>galcanezumab</w:t>
      </w:r>
      <w:proofErr w:type="spellEnd"/>
      <w:r w:rsidR="00BE161F">
        <w:rPr>
          <w:lang w:eastAsia="ja-JP"/>
        </w:rPr>
        <w:t xml:space="preserve"> </w:t>
      </w:r>
      <w:r>
        <w:rPr>
          <w:lang w:eastAsia="ja-JP"/>
        </w:rPr>
        <w:t>treated patients with migraine who reported hypersensitivity events, 96.9% of these report</w:t>
      </w:r>
      <w:r w:rsidR="00B6138F">
        <w:rPr>
          <w:lang w:eastAsia="ja-JP"/>
        </w:rPr>
        <w:t xml:space="preserve">ed mild or moderate events (191 out of </w:t>
      </w:r>
      <w:r>
        <w:rPr>
          <w:lang w:eastAsia="ja-JP"/>
        </w:rPr>
        <w:lastRenderedPageBreak/>
        <w:t xml:space="preserve">197), and the remaining 6 patients reported a severe hypersensitivity event (pruritus, rash, hypersensitivity, and </w:t>
      </w:r>
      <w:proofErr w:type="spellStart"/>
      <w:r>
        <w:rPr>
          <w:lang w:eastAsia="ja-JP"/>
        </w:rPr>
        <w:t>urticaria</w:t>
      </w:r>
      <w:proofErr w:type="spellEnd"/>
      <w:r>
        <w:rPr>
          <w:lang w:eastAsia="ja-JP"/>
        </w:rPr>
        <w:t xml:space="preserve">). </w:t>
      </w:r>
      <w:r w:rsidR="00404F61">
        <w:rPr>
          <w:lang w:eastAsia="ja-JP"/>
        </w:rPr>
        <w:t>The sponsor</w:t>
      </w:r>
      <w:r>
        <w:rPr>
          <w:lang w:eastAsia="ja-JP"/>
        </w:rPr>
        <w:t xml:space="preserve"> esti</w:t>
      </w:r>
      <w:r w:rsidR="00BE161F">
        <w:rPr>
          <w:lang w:eastAsia="ja-JP"/>
        </w:rPr>
        <w:t xml:space="preserve">mated that </w:t>
      </w:r>
      <w:proofErr w:type="spellStart"/>
      <w:r w:rsidR="00BE161F">
        <w:rPr>
          <w:lang w:eastAsia="ja-JP"/>
        </w:rPr>
        <w:t>galcanezumab</w:t>
      </w:r>
      <w:proofErr w:type="spellEnd"/>
      <w:r w:rsidR="00BE161F">
        <w:rPr>
          <w:lang w:eastAsia="ja-JP"/>
        </w:rPr>
        <w:t xml:space="preserve"> </w:t>
      </w:r>
      <w:r>
        <w:rPr>
          <w:lang w:eastAsia="ja-JP"/>
        </w:rPr>
        <w:t xml:space="preserve">treated patients experienced </w:t>
      </w:r>
      <w:r w:rsidRPr="00B6138F">
        <w:rPr>
          <w:lang w:eastAsia="ja-JP"/>
        </w:rPr>
        <w:t xml:space="preserve">severe </w:t>
      </w:r>
      <w:r>
        <w:rPr>
          <w:lang w:eastAsia="ja-JP"/>
        </w:rPr>
        <w:t xml:space="preserve">hypersensitivity reactions at an incidence of 0.2%, and the incidence </w:t>
      </w:r>
      <w:r w:rsidRPr="00B6138F">
        <w:rPr>
          <w:lang w:eastAsia="ja-JP"/>
        </w:rPr>
        <w:t>of serious</w:t>
      </w:r>
      <w:r>
        <w:rPr>
          <w:lang w:eastAsia="ja-JP"/>
        </w:rPr>
        <w:t xml:space="preserve"> hypersensitivity events was 0.08% (2 cases of </w:t>
      </w:r>
      <w:proofErr w:type="spellStart"/>
      <w:r>
        <w:rPr>
          <w:lang w:eastAsia="ja-JP"/>
        </w:rPr>
        <w:t>urticaria</w:t>
      </w:r>
      <w:proofErr w:type="spellEnd"/>
      <w:r>
        <w:rPr>
          <w:lang w:eastAsia="ja-JP"/>
        </w:rPr>
        <w:t xml:space="preserve">). The relatively limited exposure to </w:t>
      </w:r>
      <w:proofErr w:type="spellStart"/>
      <w:r>
        <w:rPr>
          <w:lang w:eastAsia="ja-JP"/>
        </w:rPr>
        <w:t>galcanezumab</w:t>
      </w:r>
      <w:proofErr w:type="spellEnd"/>
      <w:r>
        <w:rPr>
          <w:lang w:eastAsia="ja-JP"/>
        </w:rPr>
        <w:t xml:space="preserve"> so far means that infrequent but more severe reactions to </w:t>
      </w:r>
      <w:proofErr w:type="spellStart"/>
      <w:r>
        <w:rPr>
          <w:lang w:eastAsia="ja-JP"/>
        </w:rPr>
        <w:t>galcanezumab</w:t>
      </w:r>
      <w:proofErr w:type="spellEnd"/>
      <w:r>
        <w:rPr>
          <w:lang w:eastAsia="ja-JP"/>
        </w:rPr>
        <w:t xml:space="preserve"> (such as anaphylaxis) might not have been observed in the study program, despite there being an ongoing risk of such reactions in a larger population of exposed subjects. Also, the fact that patients with a history of hypersensitivity to </w:t>
      </w:r>
      <w:proofErr w:type="spellStart"/>
      <w:r w:rsidR="00B6138F">
        <w:rPr>
          <w:lang w:eastAsia="ja-JP"/>
        </w:rPr>
        <w:t>mAbs</w:t>
      </w:r>
      <w:proofErr w:type="spellEnd"/>
      <w:r>
        <w:rPr>
          <w:lang w:eastAsia="ja-JP"/>
        </w:rPr>
        <w:t xml:space="preserve"> or therapeutic proteins were excluded from the clinical development program could have led </w:t>
      </w:r>
      <w:r w:rsidR="00B22E42">
        <w:rPr>
          <w:lang w:eastAsia="ja-JP"/>
        </w:rPr>
        <w:t>the sponsor</w:t>
      </w:r>
      <w:r>
        <w:rPr>
          <w:lang w:eastAsia="ja-JP"/>
        </w:rPr>
        <w:t>’s safety analys</w:t>
      </w:r>
      <w:r w:rsidR="00830182">
        <w:rPr>
          <w:lang w:eastAsia="ja-JP"/>
        </w:rPr>
        <w:t>is to underestimate this risk.</w:t>
      </w:r>
    </w:p>
    <w:p w14:paraId="47A464F4" w14:textId="77777777" w:rsidR="006F6704" w:rsidRDefault="006F6704" w:rsidP="006F6704">
      <w:pPr>
        <w:rPr>
          <w:lang w:eastAsia="ja-JP"/>
        </w:rPr>
      </w:pPr>
      <w:r w:rsidRPr="00444B2E">
        <w:rPr>
          <w:lang w:eastAsia="ja-JP"/>
        </w:rPr>
        <w:t xml:space="preserve">Subjects with previous anaphylactic reactions to </w:t>
      </w:r>
      <w:proofErr w:type="spellStart"/>
      <w:r w:rsidR="00B6138F" w:rsidRPr="00444B2E">
        <w:rPr>
          <w:lang w:eastAsia="ja-JP"/>
        </w:rPr>
        <w:t>mAbs</w:t>
      </w:r>
      <w:proofErr w:type="spellEnd"/>
      <w:r w:rsidRPr="00444B2E">
        <w:rPr>
          <w:lang w:eastAsia="ja-JP"/>
        </w:rPr>
        <w:t xml:space="preserve"> should avoid </w:t>
      </w:r>
      <w:proofErr w:type="spellStart"/>
      <w:r w:rsidRPr="00444B2E">
        <w:rPr>
          <w:lang w:eastAsia="ja-JP"/>
        </w:rPr>
        <w:t>galcanezumab</w:t>
      </w:r>
      <w:proofErr w:type="spellEnd"/>
      <w:r w:rsidRPr="00444B2E">
        <w:rPr>
          <w:lang w:eastAsia="ja-JP"/>
        </w:rPr>
        <w:t xml:space="preserve">, or they should at least have their first dose of </w:t>
      </w:r>
      <w:proofErr w:type="spellStart"/>
      <w:r w:rsidRPr="00444B2E">
        <w:rPr>
          <w:lang w:eastAsia="ja-JP"/>
        </w:rPr>
        <w:t>galcanezumab</w:t>
      </w:r>
      <w:proofErr w:type="spellEnd"/>
      <w:r w:rsidRPr="00444B2E">
        <w:rPr>
          <w:lang w:eastAsia="ja-JP"/>
        </w:rPr>
        <w:t xml:space="preserve"> under medical supervision.</w:t>
      </w:r>
    </w:p>
    <w:p w14:paraId="08C1ACC3" w14:textId="77777777" w:rsidR="006F6704" w:rsidRDefault="006F6704" w:rsidP="006F6704">
      <w:pPr>
        <w:rPr>
          <w:lang w:eastAsia="ja-JP"/>
        </w:rPr>
      </w:pPr>
      <w:r>
        <w:rPr>
          <w:lang w:eastAsia="ja-JP"/>
        </w:rPr>
        <w:t xml:space="preserve">To clarify the potential role of </w:t>
      </w:r>
      <w:r w:rsidR="003C76F3">
        <w:rPr>
          <w:lang w:eastAsia="ja-JP"/>
        </w:rPr>
        <w:t>ADA</w:t>
      </w:r>
      <w:r w:rsidR="00825F77">
        <w:rPr>
          <w:lang w:eastAsia="ja-JP"/>
        </w:rPr>
        <w:t xml:space="preserve"> in the development of hyper </w:t>
      </w:r>
      <w:r>
        <w:rPr>
          <w:lang w:eastAsia="ja-JP"/>
        </w:rPr>
        <w:t xml:space="preserve">sensitivity reactions, </w:t>
      </w:r>
      <w:r w:rsidR="00B22E42">
        <w:rPr>
          <w:lang w:eastAsia="ja-JP"/>
        </w:rPr>
        <w:t>the sponsor</w:t>
      </w:r>
      <w:r w:rsidR="00BE161F">
        <w:rPr>
          <w:lang w:eastAsia="ja-JP"/>
        </w:rPr>
        <w:t xml:space="preserve"> also grouped hypersensitivity </w:t>
      </w:r>
      <w:r>
        <w:rPr>
          <w:lang w:eastAsia="ja-JP"/>
        </w:rPr>
        <w:t>related TEAEs according to whether subjects had treatment</w:t>
      </w:r>
      <w:r w:rsidR="00BE161F">
        <w:rPr>
          <w:lang w:eastAsia="ja-JP"/>
        </w:rPr>
        <w:t xml:space="preserve"> </w:t>
      </w:r>
      <w:r>
        <w:rPr>
          <w:lang w:eastAsia="ja-JP"/>
        </w:rPr>
        <w:t xml:space="preserve">emergent ADA (TE ADA) or not, based on all subjects who received </w:t>
      </w:r>
      <w:proofErr w:type="spellStart"/>
      <w:r>
        <w:rPr>
          <w:lang w:eastAsia="ja-JP"/>
        </w:rPr>
        <w:t>galcanezumab</w:t>
      </w:r>
      <w:proofErr w:type="spellEnd"/>
      <w:r>
        <w:rPr>
          <w:lang w:eastAsia="ja-JP"/>
        </w:rPr>
        <w:t xml:space="preserve"> at any dose in a Phase III study, and excluding subjects on placebo.</w:t>
      </w:r>
    </w:p>
    <w:p w14:paraId="090D74FB" w14:textId="77777777" w:rsidR="006F6704" w:rsidRDefault="006F6704" w:rsidP="006F6704">
      <w:pPr>
        <w:rPr>
          <w:lang w:eastAsia="ja-JP"/>
        </w:rPr>
      </w:pPr>
      <w:r>
        <w:rPr>
          <w:lang w:eastAsia="ja-JP"/>
        </w:rPr>
        <w:t xml:space="preserve">According to SMQ searches conducted with </w:t>
      </w:r>
      <w:r w:rsidRPr="00444B2E">
        <w:rPr>
          <w:lang w:eastAsia="ja-JP"/>
        </w:rPr>
        <w:t>narrow</w:t>
      </w:r>
      <w:r>
        <w:rPr>
          <w:lang w:eastAsia="ja-JP"/>
        </w:rPr>
        <w:t xml:space="preserve"> search terms, no subjects had an anaphylactic reaction, 13 subjects had TEAEs consistent with angioedema, and 128 subjects had TEAEs consistent with hypersensitivity. The presence of TE ADA did not appear to modify the risk substantially, with all of the potential angioedema cases occurring in </w:t>
      </w:r>
      <w:r w:rsidR="00444B2E">
        <w:rPr>
          <w:lang w:eastAsia="ja-JP"/>
        </w:rPr>
        <w:t xml:space="preserve">ADA </w:t>
      </w:r>
      <w:r>
        <w:rPr>
          <w:lang w:eastAsia="ja-JP"/>
        </w:rPr>
        <w:t>negative subjects, and a similar incidence of potential hy</w:t>
      </w:r>
      <w:r w:rsidR="00444B2E">
        <w:rPr>
          <w:lang w:eastAsia="ja-JP"/>
        </w:rPr>
        <w:t>persensitivity reactions in ADA positive and ADA negative</w:t>
      </w:r>
      <w:r>
        <w:rPr>
          <w:lang w:eastAsia="ja-JP"/>
        </w:rPr>
        <w:t xml:space="preserve"> subjects</w:t>
      </w:r>
      <w:r w:rsidR="00830182">
        <w:rPr>
          <w:lang w:eastAsia="ja-JP"/>
        </w:rPr>
        <w:t>.</w:t>
      </w:r>
    </w:p>
    <w:p w14:paraId="644D873D" w14:textId="017905E3" w:rsidR="006F6704" w:rsidRDefault="006F6704" w:rsidP="006F6704">
      <w:pPr>
        <w:rPr>
          <w:lang w:eastAsia="ja-JP"/>
        </w:rPr>
      </w:pPr>
      <w:r>
        <w:rPr>
          <w:lang w:eastAsia="ja-JP"/>
        </w:rPr>
        <w:t xml:space="preserve">When </w:t>
      </w:r>
      <w:r w:rsidRPr="00444B2E">
        <w:rPr>
          <w:lang w:eastAsia="ja-JP"/>
        </w:rPr>
        <w:t>broad</w:t>
      </w:r>
      <w:r>
        <w:rPr>
          <w:lang w:eastAsia="ja-JP"/>
        </w:rPr>
        <w:t xml:space="preserve"> search terms were included, the number of potentially relevant TEAEs increased, and the presence of TE ADA was associated with a weak trend (p</w:t>
      </w:r>
      <w:r w:rsidR="00444B2E">
        <w:rPr>
          <w:lang w:eastAsia="ja-JP"/>
        </w:rPr>
        <w:t xml:space="preserve"> </w:t>
      </w:r>
      <w:r>
        <w:rPr>
          <w:lang w:eastAsia="ja-JP"/>
        </w:rPr>
        <w:t>=</w:t>
      </w:r>
      <w:r w:rsidR="00444B2E">
        <w:rPr>
          <w:lang w:eastAsia="ja-JP"/>
        </w:rPr>
        <w:t xml:space="preserve"> </w:t>
      </w:r>
      <w:r>
        <w:rPr>
          <w:lang w:eastAsia="ja-JP"/>
        </w:rPr>
        <w:t>0.066) sh</w:t>
      </w:r>
      <w:r w:rsidR="00444B2E">
        <w:rPr>
          <w:lang w:eastAsia="ja-JP"/>
        </w:rPr>
        <w:t>owing a greater risk, in TE ADA positive</w:t>
      </w:r>
      <w:r>
        <w:rPr>
          <w:lang w:eastAsia="ja-JP"/>
        </w:rPr>
        <w:t xml:space="preserve"> subjects, of events potentially suggestive of an anaphylactic reaction (</w:t>
      </w:r>
      <w:r w:rsidR="001C480B">
        <w:rPr>
          <w:lang w:eastAsia="ja-JP"/>
        </w:rPr>
        <w:t>see</w:t>
      </w:r>
      <w:r w:rsidR="007F1E71">
        <w:rPr>
          <w:lang w:eastAsia="ja-JP"/>
        </w:rPr>
        <w:t xml:space="preserve"> </w:t>
      </w:r>
      <w:r w:rsidR="007F1E71">
        <w:rPr>
          <w:lang w:eastAsia="ja-JP"/>
        </w:rPr>
        <w:fldChar w:fldCharType="begin"/>
      </w:r>
      <w:r w:rsidR="007F1E71">
        <w:rPr>
          <w:lang w:eastAsia="ja-JP"/>
        </w:rPr>
        <w:instrText xml:space="preserve"> REF _Ref19013069 \h </w:instrText>
      </w:r>
      <w:r w:rsidR="007F1E71">
        <w:rPr>
          <w:lang w:eastAsia="ja-JP"/>
        </w:rPr>
      </w:r>
      <w:r w:rsidR="007F1E71">
        <w:rPr>
          <w:lang w:eastAsia="ja-JP"/>
        </w:rPr>
        <w:fldChar w:fldCharType="separate"/>
      </w:r>
      <w:r w:rsidR="007F1E71">
        <w:t xml:space="preserve">Table </w:t>
      </w:r>
      <w:r w:rsidR="007F1E71">
        <w:rPr>
          <w:noProof/>
        </w:rPr>
        <w:t>19</w:t>
      </w:r>
      <w:r w:rsidR="007F1E71">
        <w:rPr>
          <w:lang w:eastAsia="ja-JP"/>
        </w:rPr>
        <w:fldChar w:fldCharType="end"/>
      </w:r>
      <w:r>
        <w:rPr>
          <w:lang w:eastAsia="ja-JP"/>
        </w:rPr>
        <w:t xml:space="preserve">). This difference became </w:t>
      </w:r>
      <w:r w:rsidR="00BE161F">
        <w:rPr>
          <w:lang w:eastAsia="ja-JP"/>
        </w:rPr>
        <w:t xml:space="preserve">nominally significant when post </w:t>
      </w:r>
      <w:r>
        <w:rPr>
          <w:lang w:eastAsia="ja-JP"/>
        </w:rPr>
        <w:t>treatment events were included in the analysis (</w:t>
      </w:r>
      <w:r w:rsidR="001C480B">
        <w:rPr>
          <w:lang w:eastAsia="ja-JP"/>
        </w:rPr>
        <w:t>see</w:t>
      </w:r>
      <w:r w:rsidR="007F1E71">
        <w:rPr>
          <w:lang w:eastAsia="ja-JP"/>
        </w:rPr>
        <w:t xml:space="preserve"> </w:t>
      </w:r>
      <w:r w:rsidR="007F1E71">
        <w:rPr>
          <w:lang w:eastAsia="ja-JP"/>
        </w:rPr>
        <w:fldChar w:fldCharType="begin"/>
      </w:r>
      <w:r w:rsidR="007F1E71">
        <w:rPr>
          <w:lang w:eastAsia="ja-JP"/>
        </w:rPr>
        <w:instrText xml:space="preserve"> REF _Ref19013101 \h </w:instrText>
      </w:r>
      <w:r w:rsidR="007F1E71">
        <w:rPr>
          <w:lang w:eastAsia="ja-JP"/>
        </w:rPr>
      </w:r>
      <w:r w:rsidR="007F1E71">
        <w:rPr>
          <w:lang w:eastAsia="ja-JP"/>
        </w:rPr>
        <w:fldChar w:fldCharType="separate"/>
      </w:r>
      <w:r w:rsidR="007F1E71">
        <w:t xml:space="preserve">Table </w:t>
      </w:r>
      <w:r w:rsidR="007F1E71">
        <w:rPr>
          <w:noProof/>
        </w:rPr>
        <w:t>20</w:t>
      </w:r>
      <w:r w:rsidR="007F1E71">
        <w:rPr>
          <w:lang w:eastAsia="ja-JP"/>
        </w:rPr>
        <w:fldChar w:fldCharType="end"/>
      </w:r>
      <w:r>
        <w:rPr>
          <w:lang w:eastAsia="ja-JP"/>
        </w:rPr>
        <w:t>), albeit without correction for multiplicity of comparisons. Underlying this nominally significant result, the only individual term that was increased in the search for potential anaphylactic reactions was asthma, which was reported in 2 treatment em</w:t>
      </w:r>
      <w:r w:rsidR="00444B2E">
        <w:rPr>
          <w:lang w:eastAsia="ja-JP"/>
        </w:rPr>
        <w:t>ergent TE ADA positive</w:t>
      </w:r>
      <w:r>
        <w:rPr>
          <w:lang w:eastAsia="ja-JP"/>
        </w:rPr>
        <w:t xml:space="preserve"> patients (one of whom had a documented pre-existing history of asthma) and in 4 patients without TE ADA.</w:t>
      </w:r>
    </w:p>
    <w:p w14:paraId="0D4A28FF" w14:textId="77777777" w:rsidR="006F6704" w:rsidRDefault="006F6704" w:rsidP="006F6704">
      <w:pPr>
        <w:rPr>
          <w:lang w:eastAsia="ja-JP"/>
        </w:rPr>
      </w:pPr>
      <w:r>
        <w:rPr>
          <w:lang w:eastAsia="ja-JP"/>
        </w:rPr>
        <w:t>Overall, these results do not strongly suggest that the presence of TE ADA increases the risk of anaphylactic reactions or angioedema, but the increased incidence of hy</w:t>
      </w:r>
      <w:r w:rsidR="00444B2E">
        <w:rPr>
          <w:lang w:eastAsia="ja-JP"/>
        </w:rPr>
        <w:t xml:space="preserve">persensitivity events in TE ADA </w:t>
      </w:r>
      <w:r>
        <w:rPr>
          <w:lang w:eastAsia="ja-JP"/>
        </w:rPr>
        <w:t>posit</w:t>
      </w:r>
      <w:r w:rsidR="00444B2E">
        <w:rPr>
          <w:lang w:eastAsia="ja-JP"/>
        </w:rPr>
        <w:t xml:space="preserve">ive patients compared to TE ADA </w:t>
      </w:r>
      <w:r>
        <w:rPr>
          <w:lang w:eastAsia="ja-JP"/>
        </w:rPr>
        <w:t>negative patients is sufficient to warrant further monitoring. Even if an association between TE ADA and hypersensitivity were established, it should be noted that this does not necessarily imply a causal relationship: underlying immune factors in the subject could increase their propensity for both ADA and hypersensitivity, given that these are both related to inappropriate immune activation.</w:t>
      </w:r>
    </w:p>
    <w:p w14:paraId="71137F72" w14:textId="77777777" w:rsidR="000212B9" w:rsidRDefault="00BE161F" w:rsidP="006F6704">
      <w:pPr>
        <w:rPr>
          <w:lang w:eastAsia="ja-JP"/>
        </w:rPr>
      </w:pPr>
      <w:r>
        <w:rPr>
          <w:lang w:eastAsia="ja-JP"/>
        </w:rPr>
        <w:t xml:space="preserve">No treatment </w:t>
      </w:r>
      <w:r w:rsidR="006F6704">
        <w:rPr>
          <w:lang w:eastAsia="ja-JP"/>
        </w:rPr>
        <w:t>e</w:t>
      </w:r>
      <w:r w:rsidR="00444B2E">
        <w:rPr>
          <w:lang w:eastAsia="ja-JP"/>
        </w:rPr>
        <w:t>mergent ADA positive</w:t>
      </w:r>
      <w:r w:rsidR="006F6704">
        <w:rPr>
          <w:lang w:eastAsia="ja-JP"/>
        </w:rPr>
        <w:t xml:space="preserve"> patient in Studies CGAG, CGAH, CGAI, or CGAJ had an SAE related </w:t>
      </w:r>
      <w:r w:rsidR="00830182">
        <w:rPr>
          <w:lang w:eastAsia="ja-JP"/>
        </w:rPr>
        <w:t>to hypersensitivity</w:t>
      </w:r>
      <w:r w:rsidR="000212B9">
        <w:rPr>
          <w:lang w:eastAsia="ja-JP"/>
        </w:rPr>
        <w:t>.</w:t>
      </w:r>
    </w:p>
    <w:p w14:paraId="140D3D31" w14:textId="040846C3" w:rsidR="006F6704" w:rsidRDefault="00404F61" w:rsidP="006F6704">
      <w:pPr>
        <w:rPr>
          <w:lang w:eastAsia="ja-JP"/>
        </w:rPr>
      </w:pPr>
      <w:r>
        <w:rPr>
          <w:lang w:eastAsia="ja-JP"/>
        </w:rPr>
        <w:t>The sponsor</w:t>
      </w:r>
      <w:r w:rsidR="00BE161F">
        <w:rPr>
          <w:lang w:eastAsia="ja-JP"/>
        </w:rPr>
        <w:t>’s summary of clinical s</w:t>
      </w:r>
      <w:r w:rsidR="006F6704">
        <w:rPr>
          <w:lang w:eastAsia="ja-JP"/>
        </w:rPr>
        <w:t xml:space="preserve">afety acknowledges that hypersensitivity is a potential issue with </w:t>
      </w:r>
      <w:proofErr w:type="spellStart"/>
      <w:r w:rsidR="006F6704">
        <w:rPr>
          <w:lang w:eastAsia="ja-JP"/>
        </w:rPr>
        <w:t>galcanezumab</w:t>
      </w:r>
      <w:proofErr w:type="spellEnd"/>
      <w:r w:rsidR="006F6704">
        <w:rPr>
          <w:lang w:eastAsia="ja-JP"/>
        </w:rPr>
        <w:t xml:space="preserve">, even though the frequency and severity of hypersensitivity events was generally low. The proposed </w:t>
      </w:r>
      <w:r w:rsidR="00825F77">
        <w:rPr>
          <w:lang w:eastAsia="ja-JP"/>
        </w:rPr>
        <w:t>PI</w:t>
      </w:r>
      <w:r w:rsidR="006F6704">
        <w:rPr>
          <w:lang w:eastAsia="ja-JP"/>
        </w:rPr>
        <w:t xml:space="preserve"> sheet includes the following warning under </w:t>
      </w:r>
      <w:r w:rsidR="001C480B">
        <w:rPr>
          <w:lang w:eastAsia="ja-JP"/>
        </w:rPr>
        <w:t>‘</w:t>
      </w:r>
      <w:r w:rsidR="00444B2E" w:rsidRPr="001D2ABC">
        <w:rPr>
          <w:lang w:eastAsia="ja-JP"/>
        </w:rPr>
        <w:t xml:space="preserve">Special Warnings </w:t>
      </w:r>
      <w:proofErr w:type="gramStart"/>
      <w:r w:rsidR="00444B2E" w:rsidRPr="001D2ABC">
        <w:rPr>
          <w:lang w:eastAsia="ja-JP"/>
        </w:rPr>
        <w:t>And</w:t>
      </w:r>
      <w:proofErr w:type="gramEnd"/>
      <w:r w:rsidR="00444B2E" w:rsidRPr="001D2ABC">
        <w:rPr>
          <w:lang w:eastAsia="ja-JP"/>
        </w:rPr>
        <w:t xml:space="preserve"> Precautions For Use</w:t>
      </w:r>
      <w:r w:rsidR="001C480B">
        <w:rPr>
          <w:lang w:eastAsia="ja-JP"/>
        </w:rPr>
        <w:t>’</w:t>
      </w:r>
      <w:r w:rsidR="006F6704">
        <w:rPr>
          <w:lang w:eastAsia="ja-JP"/>
        </w:rPr>
        <w:t>:</w:t>
      </w:r>
    </w:p>
    <w:p w14:paraId="5AF12F2E" w14:textId="73B1B5FD" w:rsidR="006F6704" w:rsidRPr="00444B2E" w:rsidRDefault="00D72D0D" w:rsidP="00444B2E">
      <w:pPr>
        <w:ind w:left="720"/>
        <w:rPr>
          <w:b/>
        </w:rPr>
      </w:pPr>
      <w:r>
        <w:rPr>
          <w:b/>
        </w:rPr>
        <w:t>Serious h</w:t>
      </w:r>
      <w:r w:rsidR="006F6704" w:rsidRPr="00444B2E">
        <w:rPr>
          <w:b/>
        </w:rPr>
        <w:t>ypersensitivity</w:t>
      </w:r>
    </w:p>
    <w:p w14:paraId="71ABE242" w14:textId="77777777" w:rsidR="006F6704" w:rsidRPr="00444B2E" w:rsidRDefault="006F6704" w:rsidP="00444B2E">
      <w:pPr>
        <w:ind w:left="720"/>
      </w:pPr>
      <w:r w:rsidRPr="00444B2E">
        <w:t xml:space="preserve">Serious cases of </w:t>
      </w:r>
      <w:proofErr w:type="spellStart"/>
      <w:r w:rsidRPr="00444B2E">
        <w:t>urticaria</w:t>
      </w:r>
      <w:proofErr w:type="spellEnd"/>
      <w:r w:rsidRPr="00444B2E">
        <w:t xml:space="preserve"> have been reported in </w:t>
      </w:r>
      <w:proofErr w:type="spellStart"/>
      <w:r w:rsidR="00444B2E" w:rsidRPr="00444B2E">
        <w:t>Emgality</w:t>
      </w:r>
      <w:proofErr w:type="spellEnd"/>
      <w:r w:rsidRPr="00444B2E">
        <w:t xml:space="preserve"> clinical studies. If a serious hypersensitivity reaction occurs, discontinue </w:t>
      </w:r>
      <w:proofErr w:type="spellStart"/>
      <w:r w:rsidR="00444B2E" w:rsidRPr="00444B2E">
        <w:t>Emgality</w:t>
      </w:r>
      <w:proofErr w:type="spellEnd"/>
      <w:r w:rsidRPr="00444B2E">
        <w:t xml:space="preserve"> immediately and </w:t>
      </w:r>
      <w:r w:rsidRPr="00444B2E">
        <w:lastRenderedPageBreak/>
        <w:t>initiate appropriate therapy. Serious hypersensitivity reactions could occur days after administration and may be prolonged.</w:t>
      </w:r>
    </w:p>
    <w:p w14:paraId="6A13E30D" w14:textId="77777777" w:rsidR="006F6704" w:rsidRDefault="006F6704" w:rsidP="006F6704">
      <w:pPr>
        <w:rPr>
          <w:lang w:eastAsia="ja-JP"/>
        </w:rPr>
      </w:pPr>
      <w:r>
        <w:rPr>
          <w:lang w:eastAsia="ja-JP"/>
        </w:rPr>
        <w:t xml:space="preserve">This warning seems broadly appropriate, but additional comments should be added in relation to subjects who have previously had anaphylactic reactions to </w:t>
      </w:r>
      <w:proofErr w:type="spellStart"/>
      <w:r w:rsidR="00B6138F">
        <w:rPr>
          <w:lang w:eastAsia="ja-JP"/>
        </w:rPr>
        <w:t>mAbs</w:t>
      </w:r>
      <w:proofErr w:type="spellEnd"/>
      <w:r>
        <w:rPr>
          <w:lang w:eastAsia="ja-JP"/>
        </w:rPr>
        <w:t xml:space="preserve">. The PI also lists </w:t>
      </w:r>
      <w:proofErr w:type="spellStart"/>
      <w:r>
        <w:rPr>
          <w:lang w:eastAsia="ja-JP"/>
        </w:rPr>
        <w:t>urticaria</w:t>
      </w:r>
      <w:proofErr w:type="spellEnd"/>
      <w:r>
        <w:rPr>
          <w:lang w:eastAsia="ja-JP"/>
        </w:rPr>
        <w:t xml:space="preserve"> and pruritus as drug reactions, which is also appropriate.</w:t>
      </w:r>
    </w:p>
    <w:p w14:paraId="17FA6B47" w14:textId="6525B3DF" w:rsidR="006F6704" w:rsidRDefault="007F1E71" w:rsidP="007F1E71">
      <w:pPr>
        <w:pStyle w:val="TableTitle"/>
        <w:rPr>
          <w:lang w:eastAsia="ja-JP"/>
        </w:rPr>
      </w:pPr>
      <w:bookmarkStart w:id="175" w:name="_Ref19013069"/>
      <w:bookmarkStart w:id="176" w:name="_Toc536533319"/>
      <w:r>
        <w:t xml:space="preserve">Table </w:t>
      </w:r>
      <w:fldSimple w:instr=" SEQ Table \* ARABIC ">
        <w:r>
          <w:rPr>
            <w:noProof/>
          </w:rPr>
          <w:t>19</w:t>
        </w:r>
      </w:fldSimple>
      <w:bookmarkEnd w:id="175"/>
      <w:r w:rsidR="00444B2E">
        <w:t>:</w:t>
      </w:r>
      <w:r w:rsidR="006F6704">
        <w:t xml:space="preserve"> </w:t>
      </w:r>
      <w:r w:rsidR="00BE161F">
        <w:t xml:space="preserve">Treatment </w:t>
      </w:r>
      <w:r w:rsidR="00444B2E">
        <w:t>emergent likely hyper</w:t>
      </w:r>
      <w:r w:rsidR="00BE161F">
        <w:t xml:space="preserve">sensitivity events by </w:t>
      </w:r>
      <w:r w:rsidR="00ED1074">
        <w:t>TE</w:t>
      </w:r>
      <w:r w:rsidR="00444B2E">
        <w:t xml:space="preserve"> </w:t>
      </w:r>
      <w:r w:rsidR="00ED1074">
        <w:t>ADA</w:t>
      </w:r>
      <w:r w:rsidR="00BE161F">
        <w:t xml:space="preserve"> status using </w:t>
      </w:r>
      <w:r w:rsidR="00ED1074">
        <w:t>TE</w:t>
      </w:r>
      <w:r w:rsidR="00BE161F">
        <w:t xml:space="preserve"> </w:t>
      </w:r>
      <w:r w:rsidR="00ED1074">
        <w:t>ADA</w:t>
      </w:r>
      <w:r w:rsidR="00BE161F">
        <w:t xml:space="preserve"> status, </w:t>
      </w:r>
      <w:proofErr w:type="spellStart"/>
      <w:r w:rsidR="00BE161F">
        <w:t>galcanezumab</w:t>
      </w:r>
      <w:proofErr w:type="spellEnd"/>
      <w:r w:rsidR="00BE161F">
        <w:t xml:space="preserve"> </w:t>
      </w:r>
      <w:r w:rsidR="00444B2E">
        <w:t>treated population</w:t>
      </w:r>
      <w:r w:rsidR="006F6704">
        <w:t xml:space="preserve">, Studies CGAG, CGAH, CGAI and CGAJ, </w:t>
      </w:r>
      <w:proofErr w:type="spellStart"/>
      <w:r w:rsidR="00444B2E">
        <w:t>ga</w:t>
      </w:r>
      <w:r w:rsidR="00BE161F">
        <w:t>lcanezumab</w:t>
      </w:r>
      <w:proofErr w:type="spellEnd"/>
      <w:r w:rsidR="00BE161F">
        <w:t xml:space="preserve"> </w:t>
      </w:r>
      <w:r w:rsidR="00444B2E">
        <w:t>treated time</w:t>
      </w:r>
      <w:bookmarkEnd w:id="176"/>
    </w:p>
    <w:p w14:paraId="7CF23870" w14:textId="77777777" w:rsidR="006F6704" w:rsidRDefault="006F6704" w:rsidP="006F6704">
      <w:pPr>
        <w:rPr>
          <w:lang w:eastAsia="ja-JP"/>
        </w:rPr>
      </w:pPr>
      <w:r>
        <w:rPr>
          <w:noProof/>
          <w:lang w:eastAsia="en-AU"/>
        </w:rPr>
        <w:drawing>
          <wp:inline distT="0" distB="0" distL="0" distR="0" wp14:anchorId="22D70077" wp14:editId="2D398B1B">
            <wp:extent cx="4676775" cy="4067175"/>
            <wp:effectExtent l="0" t="0" r="9525" b="9525"/>
            <wp:docPr id="19" name="Picture 19" descr="Treatment emergent likely hypersensitivity events by TE ADA status using TE ADA status, galcanezumab treated population, Studies CGAG, CGAH, CGAI, and CGAJ, galcanezumab treate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6775" cy="4067175"/>
                    </a:xfrm>
                    <a:prstGeom prst="rect">
                      <a:avLst/>
                    </a:prstGeom>
                    <a:noFill/>
                    <a:ln>
                      <a:noFill/>
                    </a:ln>
                  </pic:spPr>
                </pic:pic>
              </a:graphicData>
            </a:graphic>
          </wp:inline>
        </w:drawing>
      </w:r>
    </w:p>
    <w:p w14:paraId="736C22FC" w14:textId="32B287F7" w:rsidR="006F6704" w:rsidRDefault="007F1E71" w:rsidP="007F1E71">
      <w:pPr>
        <w:pStyle w:val="TableTitle"/>
        <w:rPr>
          <w:lang w:eastAsia="ja-JP"/>
        </w:rPr>
      </w:pPr>
      <w:bookmarkStart w:id="177" w:name="_Ref19013101"/>
      <w:bookmarkStart w:id="178" w:name="_Toc536533320"/>
      <w:r>
        <w:lastRenderedPageBreak/>
        <w:t xml:space="preserve">Table </w:t>
      </w:r>
      <w:fldSimple w:instr=" SEQ Table \* ARABIC ">
        <w:r>
          <w:rPr>
            <w:noProof/>
          </w:rPr>
          <w:t>20</w:t>
        </w:r>
      </w:fldSimple>
      <w:bookmarkEnd w:id="177"/>
      <w:r w:rsidR="00444B2E">
        <w:t>:</w:t>
      </w:r>
      <w:r w:rsidR="006F6704">
        <w:t xml:space="preserve"> </w:t>
      </w:r>
      <w:r w:rsidR="00BE161F">
        <w:t xml:space="preserve">Treatment </w:t>
      </w:r>
      <w:r w:rsidR="00444B2E">
        <w:t>emergent likely hyper</w:t>
      </w:r>
      <w:r w:rsidR="00BE161F">
        <w:t xml:space="preserve">sensitivity events by </w:t>
      </w:r>
      <w:r w:rsidR="00ED1074">
        <w:t>TE ADA</w:t>
      </w:r>
      <w:r w:rsidR="00444B2E">
        <w:t xml:space="preserve"> status</w:t>
      </w:r>
      <w:r w:rsidR="006F6704">
        <w:t xml:space="preserve">, </w:t>
      </w:r>
      <w:proofErr w:type="spellStart"/>
      <w:r w:rsidR="00BE161F">
        <w:t>galcanezumab</w:t>
      </w:r>
      <w:proofErr w:type="spellEnd"/>
      <w:r w:rsidR="00BE161F">
        <w:t xml:space="preserve"> </w:t>
      </w:r>
      <w:r w:rsidR="00444B2E">
        <w:t>treated population</w:t>
      </w:r>
      <w:r w:rsidR="006F6704">
        <w:t xml:space="preserve">, Studies CGAG, CGAH, CGAI and CGAJ, </w:t>
      </w:r>
      <w:proofErr w:type="spellStart"/>
      <w:r w:rsidR="00BE161F">
        <w:t>galcanezumab</w:t>
      </w:r>
      <w:proofErr w:type="spellEnd"/>
      <w:r w:rsidR="00BE161F">
        <w:t xml:space="preserve"> treated time and post </w:t>
      </w:r>
      <w:r w:rsidR="00444B2E">
        <w:t>treatment phase</w:t>
      </w:r>
      <w:bookmarkEnd w:id="178"/>
    </w:p>
    <w:p w14:paraId="168718F5" w14:textId="77777777" w:rsidR="006F6704" w:rsidRDefault="006F6704" w:rsidP="006F6704">
      <w:pPr>
        <w:rPr>
          <w:lang w:eastAsia="ja-JP"/>
        </w:rPr>
      </w:pPr>
      <w:r>
        <w:rPr>
          <w:noProof/>
          <w:lang w:eastAsia="en-AU"/>
        </w:rPr>
        <w:drawing>
          <wp:inline distT="0" distB="0" distL="0" distR="0" wp14:anchorId="139A554A" wp14:editId="22C6C07E">
            <wp:extent cx="5164531" cy="3113444"/>
            <wp:effectExtent l="0" t="0" r="0" b="0"/>
            <wp:docPr id="18" name="Picture 18" descr="Treatment emergent likely hypersensitivity events by TE ADA status, galcanezumab treated population, Studies CGAG, CGAH, CGAI, and CGAJ, galcanezumab treated time and post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0120" cy="3116814"/>
                    </a:xfrm>
                    <a:prstGeom prst="rect">
                      <a:avLst/>
                    </a:prstGeom>
                    <a:noFill/>
                    <a:ln>
                      <a:noFill/>
                    </a:ln>
                  </pic:spPr>
                </pic:pic>
              </a:graphicData>
            </a:graphic>
          </wp:inline>
        </w:drawing>
      </w:r>
    </w:p>
    <w:p w14:paraId="57D528C6" w14:textId="77777777" w:rsidR="006F6704" w:rsidRPr="00E7113A" w:rsidRDefault="006F6704" w:rsidP="00830182">
      <w:pPr>
        <w:pStyle w:val="Heading5"/>
      </w:pPr>
      <w:r w:rsidRPr="00E7113A">
        <w:t>Serious skin reactions</w:t>
      </w:r>
      <w:bookmarkEnd w:id="171"/>
      <w:bookmarkEnd w:id="172"/>
    </w:p>
    <w:p w14:paraId="278A0F7E" w14:textId="7E876FED" w:rsidR="006F6704" w:rsidRDefault="006F6704" w:rsidP="00830182">
      <w:pPr>
        <w:rPr>
          <w:lang w:eastAsia="ja-JP"/>
        </w:rPr>
      </w:pPr>
      <w:bookmarkStart w:id="179" w:name="_Toc272414678"/>
      <w:bookmarkStart w:id="180" w:name="_Toc290888542"/>
      <w:bookmarkStart w:id="181" w:name="_Toc416353757"/>
      <w:bookmarkStart w:id="182" w:name="_Toc421005300"/>
      <w:bookmarkStart w:id="183" w:name="_Toc432079178"/>
      <w:bookmarkStart w:id="184" w:name="_Toc432080751"/>
      <w:r>
        <w:rPr>
          <w:lang w:eastAsia="ja-JP"/>
        </w:rPr>
        <w:t xml:space="preserve">In the pivotal studies, pruritus and </w:t>
      </w:r>
      <w:proofErr w:type="spellStart"/>
      <w:r>
        <w:rPr>
          <w:lang w:eastAsia="ja-JP"/>
        </w:rPr>
        <w:t>urticaria</w:t>
      </w:r>
      <w:proofErr w:type="spellEnd"/>
      <w:r>
        <w:rPr>
          <w:lang w:eastAsia="ja-JP"/>
        </w:rPr>
        <w:t xml:space="preserve"> were observed more frequently with </w:t>
      </w:r>
      <w:proofErr w:type="spellStart"/>
      <w:r>
        <w:rPr>
          <w:lang w:eastAsia="ja-JP"/>
        </w:rPr>
        <w:t>galcanezumab</w:t>
      </w:r>
      <w:proofErr w:type="spellEnd"/>
      <w:r>
        <w:rPr>
          <w:lang w:eastAsia="ja-JP"/>
        </w:rPr>
        <w:t xml:space="preserve"> than with p</w:t>
      </w:r>
      <w:r w:rsidR="003E44EE">
        <w:rPr>
          <w:lang w:eastAsia="ja-JP"/>
        </w:rPr>
        <w:t>lacebo, as previously discussed.</w:t>
      </w:r>
      <w:r>
        <w:rPr>
          <w:lang w:eastAsia="ja-JP"/>
        </w:rPr>
        <w:t xml:space="preserve"> TEAEs related to the </w:t>
      </w:r>
      <w:r w:rsidR="001C480B">
        <w:t>‘</w:t>
      </w:r>
      <w:r w:rsidRPr="00D03BC7">
        <w:t>Skin and subcutaneous tissue disorders</w:t>
      </w:r>
      <w:r w:rsidR="001C480B">
        <w:t>’</w:t>
      </w:r>
      <w:r>
        <w:rPr>
          <w:lang w:eastAsia="ja-JP"/>
        </w:rPr>
        <w:t xml:space="preserve"> SOC </w:t>
      </w:r>
      <w:r>
        <w:rPr>
          <w:rFonts w:cs="Cambria"/>
          <w:lang w:eastAsia="ja-JP"/>
        </w:rPr>
        <w:t xml:space="preserve">were reported significantly more commonly in the </w:t>
      </w:r>
      <w:proofErr w:type="spellStart"/>
      <w:r>
        <w:rPr>
          <w:rFonts w:cs="Cambria"/>
          <w:lang w:eastAsia="ja-JP"/>
        </w:rPr>
        <w:t>galcanezumab</w:t>
      </w:r>
      <w:proofErr w:type="spellEnd"/>
      <w:r>
        <w:rPr>
          <w:rFonts w:cs="Cambria"/>
          <w:lang w:eastAsia="ja-JP"/>
        </w:rPr>
        <w:t xml:space="preserve"> pooled group (5.6%) than in the placebo group</w:t>
      </w:r>
      <w:r>
        <w:rPr>
          <w:lang w:eastAsia="ja-JP"/>
        </w:rPr>
        <w:t xml:space="preserve"> (4.1%). The most frequent TEAEs in this SOC were rash and pruritus. Within this SOC, the TEAEs that showed a significantly higher frequency in any dose group compared to placebo were </w:t>
      </w:r>
      <w:r w:rsidR="00E27356">
        <w:rPr>
          <w:lang w:eastAsia="ja-JP"/>
        </w:rPr>
        <w:t>‘</w:t>
      </w:r>
      <w:r>
        <w:rPr>
          <w:lang w:eastAsia="ja-JP"/>
        </w:rPr>
        <w:t>pruritus</w:t>
      </w:r>
      <w:r w:rsidR="001C480B">
        <w:rPr>
          <w:lang w:eastAsia="ja-JP"/>
        </w:rPr>
        <w:t>’</w:t>
      </w:r>
      <w:r>
        <w:rPr>
          <w:lang w:eastAsia="ja-JP"/>
        </w:rPr>
        <w:t xml:space="preserve">, </w:t>
      </w:r>
      <w:r w:rsidR="001C480B">
        <w:rPr>
          <w:lang w:eastAsia="ja-JP"/>
        </w:rPr>
        <w:t>‘</w:t>
      </w:r>
      <w:r>
        <w:rPr>
          <w:lang w:eastAsia="ja-JP"/>
        </w:rPr>
        <w:t>dermatitis allergic</w:t>
      </w:r>
      <w:r w:rsidR="001C480B">
        <w:rPr>
          <w:lang w:eastAsia="ja-JP"/>
        </w:rPr>
        <w:t>’</w:t>
      </w:r>
      <w:r>
        <w:rPr>
          <w:lang w:eastAsia="ja-JP"/>
        </w:rPr>
        <w:t xml:space="preserve">, </w:t>
      </w:r>
      <w:r w:rsidR="001C480B">
        <w:rPr>
          <w:lang w:eastAsia="ja-JP"/>
        </w:rPr>
        <w:t>‘</w:t>
      </w:r>
      <w:r>
        <w:rPr>
          <w:lang w:eastAsia="ja-JP"/>
        </w:rPr>
        <w:t>pruritus generalized</w:t>
      </w:r>
      <w:r w:rsidR="001C480B">
        <w:rPr>
          <w:lang w:eastAsia="ja-JP"/>
        </w:rPr>
        <w:t>’</w:t>
      </w:r>
      <w:r>
        <w:rPr>
          <w:lang w:eastAsia="ja-JP"/>
        </w:rPr>
        <w:t xml:space="preserve"> and </w:t>
      </w:r>
      <w:r w:rsidR="001C480B">
        <w:rPr>
          <w:lang w:eastAsia="ja-JP"/>
        </w:rPr>
        <w:t>‘</w:t>
      </w:r>
      <w:r>
        <w:rPr>
          <w:lang w:eastAsia="ja-JP"/>
        </w:rPr>
        <w:t>rash pruritic</w:t>
      </w:r>
      <w:r w:rsidR="001C480B">
        <w:rPr>
          <w:lang w:eastAsia="ja-JP"/>
        </w:rPr>
        <w:t>’</w:t>
      </w:r>
      <w:r>
        <w:rPr>
          <w:lang w:eastAsia="ja-JP"/>
        </w:rPr>
        <w:t>.</w:t>
      </w:r>
      <w:bookmarkEnd w:id="179"/>
      <w:bookmarkEnd w:id="180"/>
      <w:bookmarkEnd w:id="181"/>
      <w:bookmarkEnd w:id="182"/>
      <w:bookmarkEnd w:id="183"/>
      <w:bookmarkEnd w:id="184"/>
    </w:p>
    <w:p w14:paraId="76812D43" w14:textId="55BAEDE9" w:rsidR="006F6704" w:rsidRDefault="006F6704" w:rsidP="00830182">
      <w:pPr>
        <w:rPr>
          <w:lang w:eastAsia="ja-JP"/>
        </w:rPr>
      </w:pPr>
      <w:proofErr w:type="spellStart"/>
      <w:r>
        <w:t>Galcanezumab</w:t>
      </w:r>
      <w:proofErr w:type="spellEnd"/>
      <w:r>
        <w:t xml:space="preserve"> was also associated with a </w:t>
      </w:r>
      <w:r w:rsidR="00BE161F">
        <w:t xml:space="preserve">clear excess of local injection </w:t>
      </w:r>
      <w:r>
        <w:t xml:space="preserve">site reactions, which were not included in the </w:t>
      </w:r>
      <w:r w:rsidR="001C480B">
        <w:t>‘</w:t>
      </w:r>
      <w:r w:rsidRPr="00D03BC7">
        <w:t>Skin and subcutaneous tissue disorders</w:t>
      </w:r>
      <w:r w:rsidR="001C480B">
        <w:t>’</w:t>
      </w:r>
      <w:r w:rsidR="00830182">
        <w:rPr>
          <w:lang w:eastAsia="ja-JP"/>
        </w:rPr>
        <w:t xml:space="preserve"> SOC.</w:t>
      </w:r>
    </w:p>
    <w:p w14:paraId="54B25109" w14:textId="77777777" w:rsidR="00500337" w:rsidRPr="00500337" w:rsidRDefault="006F6704" w:rsidP="00830182">
      <w:r>
        <w:rPr>
          <w:lang w:eastAsia="ja-JP"/>
        </w:rPr>
        <w:t xml:space="preserve">In a couple of cases, </w:t>
      </w:r>
      <w:proofErr w:type="spellStart"/>
      <w:r>
        <w:rPr>
          <w:lang w:eastAsia="ja-JP"/>
        </w:rPr>
        <w:t>urticaria</w:t>
      </w:r>
      <w:proofErr w:type="spellEnd"/>
      <w:r>
        <w:rPr>
          <w:lang w:eastAsia="ja-JP"/>
        </w:rPr>
        <w:t xml:space="preserve"> (hives) was rated as serious, but no SAEs were reported in relation to skin reactions. The PI carries appropriate warnings about the potential for skin reactions, listing </w:t>
      </w:r>
      <w:proofErr w:type="spellStart"/>
      <w:r>
        <w:rPr>
          <w:lang w:eastAsia="ja-JP"/>
        </w:rPr>
        <w:t>urticaria</w:t>
      </w:r>
      <w:proofErr w:type="spellEnd"/>
      <w:r>
        <w:rPr>
          <w:lang w:eastAsia="ja-JP"/>
        </w:rPr>
        <w:t xml:space="preserve"> and pruritus as drug reactions.</w:t>
      </w:r>
    </w:p>
    <w:p w14:paraId="57DB9D1C" w14:textId="77777777" w:rsidR="00605AD4" w:rsidRDefault="00605AD4" w:rsidP="00605AD4">
      <w:pPr>
        <w:pStyle w:val="Heading4"/>
      </w:pPr>
      <w:r w:rsidRPr="00605AD4">
        <w:t>Post</w:t>
      </w:r>
      <w:r w:rsidR="00825F77">
        <w:t xml:space="preserve"> </w:t>
      </w:r>
      <w:r w:rsidRPr="00605AD4">
        <w:t>marketing data</w:t>
      </w:r>
    </w:p>
    <w:p w14:paraId="1F272905" w14:textId="77777777" w:rsidR="00500337" w:rsidRPr="00500337" w:rsidRDefault="006F6704" w:rsidP="00500337">
      <w:pPr>
        <w:rPr>
          <w:lang w:eastAsia="ja-JP"/>
        </w:rPr>
      </w:pPr>
      <w:proofErr w:type="spellStart"/>
      <w:r>
        <w:rPr>
          <w:lang w:eastAsia="ja-JP"/>
        </w:rPr>
        <w:t>Galcanezumab</w:t>
      </w:r>
      <w:proofErr w:type="spellEnd"/>
      <w:r>
        <w:rPr>
          <w:lang w:eastAsia="ja-JP"/>
        </w:rPr>
        <w:t xml:space="preserve"> is a new agent, so the subm</w:t>
      </w:r>
      <w:r w:rsidR="00BE161F">
        <w:rPr>
          <w:lang w:eastAsia="ja-JP"/>
        </w:rPr>
        <w:t xml:space="preserve">ission did not include any post </w:t>
      </w:r>
      <w:r>
        <w:rPr>
          <w:lang w:eastAsia="ja-JP"/>
        </w:rPr>
        <w:t>marketing surveillance data.</w:t>
      </w:r>
    </w:p>
    <w:p w14:paraId="3C5D633B" w14:textId="77777777" w:rsidR="00605AD4" w:rsidRPr="00605AD4" w:rsidRDefault="00605AD4" w:rsidP="00605AD4">
      <w:pPr>
        <w:pStyle w:val="Heading4"/>
      </w:pPr>
      <w:r w:rsidRPr="00605AD4">
        <w:t>Evaluator’s conclusions on safety</w:t>
      </w:r>
    </w:p>
    <w:p w14:paraId="65B4B409" w14:textId="77777777" w:rsidR="006F6704" w:rsidRDefault="006F6704" w:rsidP="006F6704">
      <w:pPr>
        <w:rPr>
          <w:lang w:eastAsia="ja-JP"/>
        </w:rPr>
      </w:pPr>
      <w:r>
        <w:rPr>
          <w:lang w:eastAsia="ja-JP"/>
        </w:rPr>
        <w:t xml:space="preserve">The safety of </w:t>
      </w:r>
      <w:proofErr w:type="spellStart"/>
      <w:r>
        <w:rPr>
          <w:lang w:eastAsia="ja-JP"/>
        </w:rPr>
        <w:t>galcanezumab</w:t>
      </w:r>
      <w:proofErr w:type="spellEnd"/>
      <w:r>
        <w:rPr>
          <w:lang w:eastAsia="ja-JP"/>
        </w:rPr>
        <w:t xml:space="preserve">, as characterised in </w:t>
      </w:r>
      <w:r w:rsidR="00B22E42">
        <w:rPr>
          <w:lang w:eastAsia="ja-JP"/>
        </w:rPr>
        <w:t>the sponsor</w:t>
      </w:r>
      <w:r>
        <w:rPr>
          <w:lang w:eastAsia="ja-JP"/>
        </w:rPr>
        <w:t xml:space="preserve">’s study program, appears acceptable. </w:t>
      </w:r>
      <w:proofErr w:type="spellStart"/>
      <w:r>
        <w:rPr>
          <w:lang w:eastAsia="ja-JP"/>
        </w:rPr>
        <w:t>Galcanezumab</w:t>
      </w:r>
      <w:proofErr w:type="spellEnd"/>
      <w:r>
        <w:rPr>
          <w:lang w:eastAsia="ja-JP"/>
        </w:rPr>
        <w:t xml:space="preserve"> has a number of tolerabil</w:t>
      </w:r>
      <w:r w:rsidR="00BE161F">
        <w:rPr>
          <w:lang w:eastAsia="ja-JP"/>
        </w:rPr>
        <w:t xml:space="preserve">ity issues, including injection </w:t>
      </w:r>
      <w:r>
        <w:rPr>
          <w:lang w:eastAsia="ja-JP"/>
        </w:rPr>
        <w:t xml:space="preserve">site reactions, vertigo, and constipation, but these symptoms may be acceptable for patients who find the drug reduces the number of days of migraine. </w:t>
      </w:r>
      <w:proofErr w:type="spellStart"/>
      <w:r>
        <w:rPr>
          <w:lang w:eastAsia="ja-JP"/>
        </w:rPr>
        <w:t>Galcanezumab</w:t>
      </w:r>
      <w:proofErr w:type="spellEnd"/>
      <w:r>
        <w:rPr>
          <w:lang w:eastAsia="ja-JP"/>
        </w:rPr>
        <w:t xml:space="preserve"> is also associated with an increased risk of hypersensitivity reactions, including </w:t>
      </w:r>
      <w:proofErr w:type="spellStart"/>
      <w:r>
        <w:rPr>
          <w:lang w:eastAsia="ja-JP"/>
        </w:rPr>
        <w:t>urticaria</w:t>
      </w:r>
      <w:proofErr w:type="spellEnd"/>
      <w:r>
        <w:rPr>
          <w:lang w:eastAsia="ja-JP"/>
        </w:rPr>
        <w:t xml:space="preserve"> and pruritus, though the known cases of hypersensitivity, so far, have</w:t>
      </w:r>
      <w:r w:rsidR="00830182">
        <w:rPr>
          <w:lang w:eastAsia="ja-JP"/>
        </w:rPr>
        <w:t xml:space="preserve"> been without serious sequelae.</w:t>
      </w:r>
    </w:p>
    <w:p w14:paraId="606BA2CC" w14:textId="1AC5B793" w:rsidR="000212B9" w:rsidRDefault="006F6704" w:rsidP="006F6704">
      <w:pPr>
        <w:rPr>
          <w:lang w:eastAsia="ja-JP"/>
        </w:rPr>
      </w:pPr>
      <w:proofErr w:type="spellStart"/>
      <w:r>
        <w:rPr>
          <w:lang w:eastAsia="ja-JP"/>
        </w:rPr>
        <w:t>Galcanezumab</w:t>
      </w:r>
      <w:proofErr w:type="spellEnd"/>
      <w:r>
        <w:rPr>
          <w:lang w:eastAsia="ja-JP"/>
        </w:rPr>
        <w:t xml:space="preserve"> is not known to pose any major safety risks, but its safety has not yet been fully characterised. As noted by </w:t>
      </w:r>
      <w:r w:rsidR="00B22E42">
        <w:rPr>
          <w:lang w:eastAsia="ja-JP"/>
        </w:rPr>
        <w:t>the sponsor</w:t>
      </w:r>
      <w:r>
        <w:rPr>
          <w:lang w:eastAsia="ja-JP"/>
        </w:rPr>
        <w:t xml:space="preserve"> in the RMP, infrequent advers</w:t>
      </w:r>
      <w:r w:rsidR="00830182">
        <w:rPr>
          <w:lang w:eastAsia="ja-JP"/>
        </w:rPr>
        <w:t xml:space="preserve">e events could </w:t>
      </w:r>
      <w:r w:rsidR="00830182">
        <w:rPr>
          <w:lang w:eastAsia="ja-JP"/>
        </w:rPr>
        <w:lastRenderedPageBreak/>
        <w:t>have been missed</w:t>
      </w:r>
      <w:r>
        <w:rPr>
          <w:lang w:eastAsia="ja-JP"/>
        </w:rPr>
        <w:t xml:space="preserve"> in the study program: </w:t>
      </w:r>
      <w:r w:rsidR="001C480B">
        <w:rPr>
          <w:i/>
          <w:lang w:eastAsia="ja-JP"/>
        </w:rPr>
        <w:t>‘</w:t>
      </w:r>
      <w:r w:rsidR="00825F77">
        <w:rPr>
          <w:i/>
          <w:lang w:eastAsia="ja-JP"/>
        </w:rPr>
        <w:t xml:space="preserve">The size of the </w:t>
      </w:r>
      <w:proofErr w:type="spellStart"/>
      <w:r w:rsidR="00825F77">
        <w:rPr>
          <w:i/>
          <w:lang w:eastAsia="ja-JP"/>
        </w:rPr>
        <w:t>galcanezumab</w:t>
      </w:r>
      <w:proofErr w:type="spellEnd"/>
      <w:r w:rsidR="00825F77">
        <w:rPr>
          <w:i/>
          <w:lang w:eastAsia="ja-JP"/>
        </w:rPr>
        <w:t xml:space="preserve"> </w:t>
      </w:r>
      <w:r w:rsidRPr="004F582B">
        <w:rPr>
          <w:i/>
          <w:lang w:eastAsia="ja-JP"/>
        </w:rPr>
        <w:t>exposed patient populations in migraine clinical trials (n</w:t>
      </w:r>
      <w:r w:rsidR="003E44EE">
        <w:rPr>
          <w:i/>
          <w:lang w:eastAsia="ja-JP"/>
        </w:rPr>
        <w:t xml:space="preserve"> </w:t>
      </w:r>
      <w:r w:rsidRPr="004F582B">
        <w:rPr>
          <w:i/>
          <w:lang w:eastAsia="ja-JP"/>
        </w:rPr>
        <w:t>=</w:t>
      </w:r>
      <w:r w:rsidR="003E44EE">
        <w:rPr>
          <w:i/>
          <w:lang w:eastAsia="ja-JP"/>
        </w:rPr>
        <w:t xml:space="preserve"> </w:t>
      </w:r>
      <w:r w:rsidRPr="004F582B">
        <w:rPr>
          <w:i/>
          <w:lang w:eastAsia="ja-JP"/>
        </w:rPr>
        <w:t>2586) means that detection of adverse events with a 95% level of certainty is limited to those which occur at a frequency of greater than 1 in 862 patients (0.12%).</w:t>
      </w:r>
      <w:r w:rsidR="001C480B">
        <w:rPr>
          <w:i/>
          <w:lang w:eastAsia="ja-JP"/>
        </w:rPr>
        <w:t>’</w:t>
      </w:r>
      <w:r>
        <w:rPr>
          <w:i/>
          <w:lang w:eastAsia="ja-JP"/>
        </w:rPr>
        <w:t xml:space="preserve"> </w:t>
      </w:r>
      <w:r w:rsidRPr="005A7F3A">
        <w:rPr>
          <w:lang w:eastAsia="ja-JP"/>
        </w:rPr>
        <w:t xml:space="preserve">Similarly, </w:t>
      </w:r>
      <w:r w:rsidR="00BE161F">
        <w:rPr>
          <w:lang w:eastAsia="ja-JP"/>
        </w:rPr>
        <w:t xml:space="preserve">the long </w:t>
      </w:r>
      <w:r w:rsidR="003E44EE">
        <w:rPr>
          <w:lang w:eastAsia="ja-JP"/>
        </w:rPr>
        <w:t>term safety (beyond 12 </w:t>
      </w:r>
      <w:r>
        <w:rPr>
          <w:lang w:eastAsia="ja-JP"/>
        </w:rPr>
        <w:t xml:space="preserve">months) of </w:t>
      </w:r>
      <w:proofErr w:type="spellStart"/>
      <w:r>
        <w:rPr>
          <w:lang w:eastAsia="ja-JP"/>
        </w:rPr>
        <w:t>galcanezumab</w:t>
      </w:r>
      <w:proofErr w:type="spellEnd"/>
      <w:r>
        <w:rPr>
          <w:lang w:eastAsia="ja-JP"/>
        </w:rPr>
        <w:t xml:space="preserve"> has not been characterised. The safety of </w:t>
      </w:r>
      <w:proofErr w:type="spellStart"/>
      <w:r>
        <w:rPr>
          <w:lang w:eastAsia="ja-JP"/>
        </w:rPr>
        <w:t>galcanezumab</w:t>
      </w:r>
      <w:proofErr w:type="spellEnd"/>
      <w:r>
        <w:rPr>
          <w:lang w:eastAsia="ja-JP"/>
        </w:rPr>
        <w:t xml:space="preserve"> in s</w:t>
      </w:r>
      <w:r w:rsidR="00E35D2F">
        <w:rPr>
          <w:lang w:eastAsia="ja-JP"/>
        </w:rPr>
        <w:t>ubjects &lt;</w:t>
      </w:r>
      <w:r w:rsidR="003E44EE">
        <w:rPr>
          <w:lang w:eastAsia="ja-JP"/>
        </w:rPr>
        <w:t> 18 </w:t>
      </w:r>
      <w:r w:rsidR="00E35D2F">
        <w:rPr>
          <w:lang w:eastAsia="ja-JP"/>
        </w:rPr>
        <w:t>years or &gt;</w:t>
      </w:r>
      <w:r w:rsidR="003E44EE">
        <w:rPr>
          <w:lang w:eastAsia="ja-JP"/>
        </w:rPr>
        <w:t> 65 </w:t>
      </w:r>
      <w:r w:rsidR="00E35D2F">
        <w:rPr>
          <w:lang w:eastAsia="ja-JP"/>
        </w:rPr>
        <w:t>years,</w:t>
      </w:r>
      <w:r>
        <w:rPr>
          <w:lang w:eastAsia="ja-JP"/>
        </w:rPr>
        <w:t xml:space="preserve"> and in pregnancy and lacta</w:t>
      </w:r>
      <w:r w:rsidR="00830182">
        <w:rPr>
          <w:lang w:eastAsia="ja-JP"/>
        </w:rPr>
        <w:t>tion has not been characterised</w:t>
      </w:r>
      <w:r w:rsidR="000212B9">
        <w:rPr>
          <w:lang w:eastAsia="ja-JP"/>
        </w:rPr>
        <w:t>.</w:t>
      </w:r>
    </w:p>
    <w:p w14:paraId="1C514AAC" w14:textId="77777777" w:rsidR="006F6704" w:rsidRDefault="006F6704" w:rsidP="006F6704">
      <w:pPr>
        <w:rPr>
          <w:lang w:eastAsia="ja-JP"/>
        </w:rPr>
      </w:pPr>
      <w:r>
        <w:rPr>
          <w:lang w:eastAsia="ja-JP"/>
        </w:rPr>
        <w:t xml:space="preserve">Potentially, like other </w:t>
      </w:r>
      <w:proofErr w:type="spellStart"/>
      <w:r w:rsidR="00B6138F">
        <w:rPr>
          <w:lang w:eastAsia="ja-JP"/>
        </w:rPr>
        <w:t>mAbs</w:t>
      </w:r>
      <w:proofErr w:type="spellEnd"/>
      <w:r>
        <w:rPr>
          <w:lang w:eastAsia="ja-JP"/>
        </w:rPr>
        <w:t xml:space="preserve">, </w:t>
      </w:r>
      <w:proofErr w:type="spellStart"/>
      <w:r>
        <w:rPr>
          <w:lang w:eastAsia="ja-JP"/>
        </w:rPr>
        <w:t>galcanezumab</w:t>
      </w:r>
      <w:proofErr w:type="spellEnd"/>
      <w:r>
        <w:rPr>
          <w:lang w:eastAsia="ja-JP"/>
        </w:rPr>
        <w:t xml:space="preserve"> could cause anaphylaxis in some individuals</w:t>
      </w:r>
      <w:r w:rsidR="00830182">
        <w:rPr>
          <w:lang w:eastAsia="ja-JP"/>
        </w:rPr>
        <w:t>.</w:t>
      </w:r>
    </w:p>
    <w:p w14:paraId="75AA64CC" w14:textId="77777777" w:rsidR="006F6704" w:rsidRDefault="006F6704" w:rsidP="006F6704">
      <w:pPr>
        <w:rPr>
          <w:lang w:eastAsia="ja-JP"/>
        </w:rPr>
      </w:pPr>
      <w:r>
        <w:rPr>
          <w:lang w:eastAsia="ja-JP"/>
        </w:rPr>
        <w:t xml:space="preserve">There are theoretical concerns suggesting that interfering with CGRP could modify processes relevant to protection against </w:t>
      </w:r>
      <w:proofErr w:type="spellStart"/>
      <w:r>
        <w:rPr>
          <w:lang w:eastAsia="ja-JP"/>
        </w:rPr>
        <w:t>ischaemia</w:t>
      </w:r>
      <w:proofErr w:type="spellEnd"/>
      <w:r>
        <w:rPr>
          <w:lang w:eastAsia="ja-JP"/>
        </w:rPr>
        <w:t>, increasing the risk of cardiovascular events. No evidence of this emerged in the submitted studies, but subjects with a strong history of cardiovascular events were exclu</w:t>
      </w:r>
      <w:r w:rsidR="00830182">
        <w:rPr>
          <w:lang w:eastAsia="ja-JP"/>
        </w:rPr>
        <w:t>ded.</w:t>
      </w:r>
    </w:p>
    <w:p w14:paraId="24E9EEC8" w14:textId="77777777" w:rsidR="006F6704" w:rsidRPr="00830182" w:rsidRDefault="006F6704" w:rsidP="006F6704">
      <w:pPr>
        <w:rPr>
          <w:lang w:eastAsia="ja-JP"/>
        </w:rPr>
      </w:pPr>
      <w:proofErr w:type="spellStart"/>
      <w:r>
        <w:rPr>
          <w:lang w:eastAsia="ja-JP"/>
        </w:rPr>
        <w:t>Galcanezumab</w:t>
      </w:r>
      <w:proofErr w:type="spellEnd"/>
      <w:r>
        <w:rPr>
          <w:lang w:eastAsia="ja-JP"/>
        </w:rPr>
        <w:t xml:space="preserve"> use is associated with the development of </w:t>
      </w:r>
      <w:r w:rsidR="003C76F3">
        <w:rPr>
          <w:lang w:eastAsia="ja-JP"/>
        </w:rPr>
        <w:t>ADA</w:t>
      </w:r>
      <w:r>
        <w:rPr>
          <w:lang w:eastAsia="ja-JP"/>
        </w:rPr>
        <w:t xml:space="preserve">. At the time of submission, there is no clear evidence that these are clinically relevant to the safety of </w:t>
      </w:r>
      <w:proofErr w:type="spellStart"/>
      <w:r>
        <w:rPr>
          <w:lang w:eastAsia="ja-JP"/>
        </w:rPr>
        <w:t>galcanezumab</w:t>
      </w:r>
      <w:proofErr w:type="spellEnd"/>
      <w:r>
        <w:rPr>
          <w:lang w:eastAsia="ja-JP"/>
        </w:rPr>
        <w:t>, but the issue is worthy of further monitoring.</w:t>
      </w:r>
    </w:p>
    <w:p w14:paraId="3D7A2E1F" w14:textId="77777777" w:rsidR="00605AD4" w:rsidRPr="00605AD4" w:rsidRDefault="006F6704" w:rsidP="00605AD4">
      <w:r w:rsidRPr="00CD5F85">
        <w:t xml:space="preserve">The safety of </w:t>
      </w:r>
      <w:proofErr w:type="spellStart"/>
      <w:r w:rsidRPr="00CD5F85">
        <w:t>galcanezumab</w:t>
      </w:r>
      <w:proofErr w:type="spellEnd"/>
      <w:r w:rsidRPr="00CD5F85">
        <w:t xml:space="preserve"> in combination with other agents affe</w:t>
      </w:r>
      <w:r w:rsidR="00830182">
        <w:t>cting CGRP is uncharacterised.</w:t>
      </w:r>
    </w:p>
    <w:p w14:paraId="13482F56" w14:textId="6083BE15" w:rsidR="00605AD4" w:rsidRPr="00605AD4" w:rsidRDefault="00D72D0D" w:rsidP="00D72D0D">
      <w:pPr>
        <w:pStyle w:val="Heading3"/>
        <w:spacing w:before="360"/>
        <w:rPr>
          <w:rFonts w:eastAsia="Cambria"/>
        </w:rPr>
      </w:pPr>
      <w:bookmarkStart w:id="185" w:name="_Toc20822178"/>
      <w:r>
        <w:rPr>
          <w:rFonts w:eastAsia="Cambria"/>
        </w:rPr>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Pr>
          <w:rFonts w:eastAsia="Cambria"/>
        </w:rPr>
        <w:t>a</w:t>
      </w:r>
      <w:r w:rsidR="00605AD4" w:rsidRPr="00605AD4">
        <w:rPr>
          <w:rFonts w:eastAsia="Cambria"/>
        </w:rPr>
        <w:t>ssessment</w:t>
      </w:r>
      <w:bookmarkEnd w:id="185"/>
    </w:p>
    <w:p w14:paraId="534CA213" w14:textId="77777777" w:rsidR="00605AD4" w:rsidRDefault="00605AD4" w:rsidP="00605AD4">
      <w:pPr>
        <w:pStyle w:val="Heading4"/>
      </w:pPr>
      <w:r w:rsidRPr="00605AD4">
        <w:t>First round assessment of benefits</w:t>
      </w:r>
    </w:p>
    <w:p w14:paraId="5F5683A8" w14:textId="428641D5" w:rsidR="001C480B" w:rsidRPr="001C480B" w:rsidRDefault="007F1E71" w:rsidP="00E27356">
      <w:r>
        <w:fldChar w:fldCharType="begin"/>
      </w:r>
      <w:r>
        <w:instrText xml:space="preserve"> REF _Ref19013127 \h </w:instrText>
      </w:r>
      <w:r>
        <w:fldChar w:fldCharType="separate"/>
      </w:r>
      <w:r>
        <w:t xml:space="preserve">Table </w:t>
      </w:r>
      <w:r>
        <w:rPr>
          <w:noProof/>
        </w:rPr>
        <w:t>21</w:t>
      </w:r>
      <w:r>
        <w:fldChar w:fldCharType="end"/>
      </w:r>
      <w:r w:rsidR="001C480B">
        <w:t xml:space="preserve"> summarises the assessment of benefits of </w:t>
      </w:r>
      <w:proofErr w:type="spellStart"/>
      <w:r w:rsidR="001C480B">
        <w:t>Emgality</w:t>
      </w:r>
      <w:proofErr w:type="spellEnd"/>
      <w:r w:rsidR="001C480B">
        <w:t xml:space="preserve"> </w:t>
      </w:r>
      <w:proofErr w:type="spellStart"/>
      <w:r w:rsidR="001C480B">
        <w:t>galcanezumab</w:t>
      </w:r>
      <w:proofErr w:type="spellEnd"/>
      <w:r w:rsidR="001C480B">
        <w:t xml:space="preserve"> for the proposed indication at the first round of evaluation.</w:t>
      </w:r>
    </w:p>
    <w:p w14:paraId="3DF296B5" w14:textId="0E5359AA" w:rsidR="003E44EE" w:rsidRPr="003E44EE" w:rsidRDefault="007F1E71" w:rsidP="007F1E71">
      <w:pPr>
        <w:pStyle w:val="TableTitle"/>
      </w:pPr>
      <w:bookmarkStart w:id="186" w:name="_Ref19013127"/>
      <w:r>
        <w:t xml:space="preserve">Table </w:t>
      </w:r>
      <w:fldSimple w:instr=" SEQ Table \* ARABIC ">
        <w:r>
          <w:rPr>
            <w:noProof/>
          </w:rPr>
          <w:t>21</w:t>
        </w:r>
      </w:fldSimple>
      <w:bookmarkEnd w:id="186"/>
      <w:r w:rsidR="003E44EE">
        <w:t xml:space="preserve">: </w:t>
      </w:r>
      <w:r w:rsidR="003E44EE" w:rsidRPr="00605AD4">
        <w:t>First round assessment of benefits</w:t>
      </w:r>
    </w:p>
    <w:tbl>
      <w:tblPr>
        <w:tblStyle w:val="TableTGAblue"/>
        <w:tblW w:w="0" w:type="auto"/>
        <w:tblLook w:val="00A0" w:firstRow="1" w:lastRow="0" w:firstColumn="1" w:lastColumn="0" w:noHBand="0" w:noVBand="0"/>
      </w:tblPr>
      <w:tblGrid>
        <w:gridCol w:w="3271"/>
        <w:gridCol w:w="5426"/>
      </w:tblGrid>
      <w:tr w:rsidR="00CC57A7" w:rsidRPr="00CC57A7" w14:paraId="291E1648" w14:textId="77777777" w:rsidTr="00CC57A7">
        <w:trPr>
          <w:cnfStyle w:val="100000000000" w:firstRow="1" w:lastRow="0" w:firstColumn="0" w:lastColumn="0" w:oddVBand="0" w:evenVBand="0" w:oddHBand="0" w:evenHBand="0" w:firstRowFirstColumn="0" w:firstRowLastColumn="0" w:lastRowFirstColumn="0" w:lastRowLastColumn="0"/>
          <w:trHeight w:val="436"/>
        </w:trPr>
        <w:tc>
          <w:tcPr>
            <w:tcW w:w="3271" w:type="dxa"/>
          </w:tcPr>
          <w:p w14:paraId="1E8C757F" w14:textId="77777777" w:rsidR="006F6704" w:rsidRPr="002533FF" w:rsidRDefault="006F6704" w:rsidP="003E44EE">
            <w:pPr>
              <w:ind w:left="0" w:right="0"/>
              <w:rPr>
                <w:sz w:val="20"/>
                <w:szCs w:val="20"/>
              </w:rPr>
            </w:pPr>
            <w:r w:rsidRPr="00CC57A7">
              <w:rPr>
                <w:sz w:val="20"/>
                <w:szCs w:val="20"/>
              </w:rPr>
              <w:t>Benefits</w:t>
            </w:r>
          </w:p>
        </w:tc>
        <w:tc>
          <w:tcPr>
            <w:tcW w:w="5426" w:type="dxa"/>
          </w:tcPr>
          <w:p w14:paraId="0D845784" w14:textId="77777777" w:rsidR="006F6704" w:rsidRPr="002533FF" w:rsidRDefault="006F6704" w:rsidP="003E44EE">
            <w:pPr>
              <w:ind w:left="0" w:right="0"/>
              <w:rPr>
                <w:sz w:val="20"/>
                <w:szCs w:val="20"/>
              </w:rPr>
            </w:pPr>
            <w:r w:rsidRPr="00CC57A7">
              <w:rPr>
                <w:sz w:val="20"/>
                <w:szCs w:val="20"/>
              </w:rPr>
              <w:t>Strengths and Uncertainties</w:t>
            </w:r>
          </w:p>
        </w:tc>
      </w:tr>
      <w:tr w:rsidR="006F6704" w:rsidRPr="00F04D66" w14:paraId="0D4A2A4B" w14:textId="77777777" w:rsidTr="002533FF">
        <w:trPr>
          <w:trHeight w:val="5507"/>
        </w:trPr>
        <w:tc>
          <w:tcPr>
            <w:tcW w:w="3271" w:type="dxa"/>
          </w:tcPr>
          <w:p w14:paraId="02498BE5" w14:textId="6DDBFDC7" w:rsidR="006F6704" w:rsidRPr="00F04D66" w:rsidRDefault="006F6704" w:rsidP="00572B43">
            <w:pPr>
              <w:pStyle w:val="ListBullet"/>
            </w:pPr>
            <w:proofErr w:type="spellStart"/>
            <w:r w:rsidRPr="00F04D66">
              <w:t>Galcanezumab</w:t>
            </w:r>
            <w:proofErr w:type="spellEnd"/>
            <w:r w:rsidRPr="00F04D66">
              <w:t>, administered at the recommended dose, is associated with an attributable reduction of ~</w:t>
            </w:r>
            <w:r w:rsidR="003E44EE" w:rsidRPr="00F04D66">
              <w:t xml:space="preserve"> </w:t>
            </w:r>
            <w:r w:rsidRPr="00F04D66">
              <w:t>2</w:t>
            </w:r>
            <w:r w:rsidR="001C480B">
              <w:t> </w:t>
            </w:r>
            <w:r w:rsidR="006F1789">
              <w:t>MHD</w:t>
            </w:r>
            <w:r w:rsidRPr="00F04D66">
              <w:t xml:space="preserve"> per month, relative to placebo, for at least six months.</w:t>
            </w:r>
          </w:p>
        </w:tc>
        <w:tc>
          <w:tcPr>
            <w:tcW w:w="5426" w:type="dxa"/>
          </w:tcPr>
          <w:p w14:paraId="5A888B75" w14:textId="77777777" w:rsidR="006F6704" w:rsidRPr="00F04D66" w:rsidRDefault="006F6704" w:rsidP="003E44EE">
            <w:pPr>
              <w:ind w:left="0" w:right="0"/>
              <w:rPr>
                <w:b/>
                <w:sz w:val="20"/>
                <w:szCs w:val="20"/>
              </w:rPr>
            </w:pPr>
            <w:r w:rsidRPr="00F04D66">
              <w:rPr>
                <w:b/>
                <w:sz w:val="20"/>
                <w:szCs w:val="20"/>
              </w:rPr>
              <w:t>Strengths</w:t>
            </w:r>
          </w:p>
          <w:p w14:paraId="435AFB58" w14:textId="77777777" w:rsidR="006F6704" w:rsidRPr="00F04D66" w:rsidRDefault="006F6704" w:rsidP="00572B43">
            <w:pPr>
              <w:pStyle w:val="ListBullet"/>
            </w:pPr>
            <w:r w:rsidRPr="00F04D66">
              <w:t>A strength of the efficacy data is that a consistent ef</w:t>
            </w:r>
            <w:r w:rsidR="00BE161F">
              <w:t xml:space="preserve">fect was observed in three well </w:t>
            </w:r>
            <w:r w:rsidRPr="00F04D66">
              <w:t xml:space="preserve">designed and adequately controlled pivotal studies, with robust and highly significant results that were broadly consistent across all three studies. Also, key secondary endpoints and several additional secondary endpoints supported the primary </w:t>
            </w:r>
            <w:r w:rsidR="003E44EE" w:rsidRPr="00F04D66">
              <w:t>endpoint.</w:t>
            </w:r>
          </w:p>
          <w:p w14:paraId="146948C5" w14:textId="7158999C" w:rsidR="006F6704" w:rsidRPr="00F04D66" w:rsidRDefault="006F6704" w:rsidP="00572B43">
            <w:pPr>
              <w:pStyle w:val="ListBullet"/>
            </w:pPr>
            <w:r w:rsidRPr="00F04D66">
              <w:t>Another strength of the efficacy data is that a benefit was seen in subjects who had failed previous prophylactic therapy</w:t>
            </w:r>
            <w:r w:rsidR="003E44EE" w:rsidRPr="00F04D66">
              <w:t>.</w:t>
            </w:r>
          </w:p>
          <w:p w14:paraId="26197354" w14:textId="77777777" w:rsidR="006F6704" w:rsidRPr="00F04D66" w:rsidRDefault="006F6704" w:rsidP="003E44EE">
            <w:pPr>
              <w:ind w:left="0" w:right="0"/>
              <w:rPr>
                <w:b/>
                <w:sz w:val="20"/>
                <w:szCs w:val="20"/>
              </w:rPr>
            </w:pPr>
            <w:r w:rsidRPr="00F04D66">
              <w:rPr>
                <w:b/>
                <w:sz w:val="20"/>
                <w:szCs w:val="20"/>
              </w:rPr>
              <w:t>Weaknesses</w:t>
            </w:r>
          </w:p>
          <w:p w14:paraId="75607819" w14:textId="53389441" w:rsidR="00247800" w:rsidRDefault="00247800" w:rsidP="00572B43">
            <w:pPr>
              <w:pStyle w:val="ListBullet"/>
            </w:pPr>
            <w:r>
              <w:t>A weakness of the efficacy data is that the size of the clinical effect was modest, with the attributable reduction of ~ 2 MHD being smaller than the placebo response, and representing only a small proportion of the baseline number of MHD.</w:t>
            </w:r>
          </w:p>
          <w:p w14:paraId="35B8CAD5" w14:textId="77777777" w:rsidR="006F6704" w:rsidRPr="00F04D66" w:rsidRDefault="006F6704" w:rsidP="00572B43">
            <w:pPr>
              <w:pStyle w:val="ListBullet"/>
            </w:pPr>
            <w:r w:rsidRPr="00F04D66">
              <w:t>Another weakness is that the submission contained no efficacy data in comparison to an active control therapy.</w:t>
            </w:r>
          </w:p>
        </w:tc>
      </w:tr>
    </w:tbl>
    <w:p w14:paraId="0810A55D" w14:textId="77777777" w:rsidR="00605AD4" w:rsidRDefault="00605AD4" w:rsidP="00D72D0D">
      <w:pPr>
        <w:pStyle w:val="Heading4"/>
      </w:pPr>
      <w:r w:rsidRPr="00605AD4">
        <w:lastRenderedPageBreak/>
        <w:t>First round assessment of risks</w:t>
      </w:r>
    </w:p>
    <w:p w14:paraId="06FFA97D" w14:textId="383B1AB9" w:rsidR="001C480B" w:rsidRPr="001C480B" w:rsidRDefault="007F1E71" w:rsidP="00E27356">
      <w:r>
        <w:fldChar w:fldCharType="begin"/>
      </w:r>
      <w:r>
        <w:instrText xml:space="preserve"> REF _Ref19013150 \h </w:instrText>
      </w:r>
      <w:r>
        <w:fldChar w:fldCharType="separate"/>
      </w:r>
      <w:r>
        <w:t xml:space="preserve">Table </w:t>
      </w:r>
      <w:r>
        <w:rPr>
          <w:noProof/>
        </w:rPr>
        <w:t>22</w:t>
      </w:r>
      <w:r>
        <w:fldChar w:fldCharType="end"/>
      </w:r>
      <w:r w:rsidR="001C480B">
        <w:t xml:space="preserve"> summarises the assessment of risks of </w:t>
      </w:r>
      <w:proofErr w:type="spellStart"/>
      <w:r w:rsidR="001C480B">
        <w:t>Emgality</w:t>
      </w:r>
      <w:proofErr w:type="spellEnd"/>
      <w:r w:rsidR="001C480B">
        <w:t xml:space="preserve"> </w:t>
      </w:r>
      <w:proofErr w:type="spellStart"/>
      <w:r w:rsidR="001C480B">
        <w:t>galcanezumab</w:t>
      </w:r>
      <w:proofErr w:type="spellEnd"/>
      <w:r w:rsidR="001C480B">
        <w:t xml:space="preserve"> for the proposed indication at the first round of evaluation.</w:t>
      </w:r>
    </w:p>
    <w:p w14:paraId="01A49829" w14:textId="73E4644D" w:rsidR="003E44EE" w:rsidRPr="003E44EE" w:rsidRDefault="007F1E71" w:rsidP="007F1E71">
      <w:pPr>
        <w:pStyle w:val="TableTitle"/>
      </w:pPr>
      <w:bookmarkStart w:id="187" w:name="_Ref19013150"/>
      <w:r>
        <w:t xml:space="preserve">Table </w:t>
      </w:r>
      <w:fldSimple w:instr=" SEQ Table \* ARABIC ">
        <w:r>
          <w:rPr>
            <w:noProof/>
          </w:rPr>
          <w:t>22</w:t>
        </w:r>
      </w:fldSimple>
      <w:bookmarkEnd w:id="187"/>
      <w:r w:rsidR="003E44EE">
        <w:t xml:space="preserve">: </w:t>
      </w:r>
      <w:r w:rsidR="003E44EE" w:rsidRPr="00605AD4">
        <w:t>First round assessment of risks</w:t>
      </w:r>
    </w:p>
    <w:tbl>
      <w:tblPr>
        <w:tblStyle w:val="TableTGAblue"/>
        <w:tblW w:w="0" w:type="auto"/>
        <w:tblLook w:val="00A0" w:firstRow="1" w:lastRow="0" w:firstColumn="1" w:lastColumn="0" w:noHBand="0" w:noVBand="0"/>
      </w:tblPr>
      <w:tblGrid>
        <w:gridCol w:w="3652"/>
        <w:gridCol w:w="5068"/>
      </w:tblGrid>
      <w:tr w:rsidR="00EC7347" w:rsidRPr="00A75D43" w14:paraId="74F1CEF4" w14:textId="77777777" w:rsidTr="00A75D43">
        <w:trPr>
          <w:cnfStyle w:val="100000000000" w:firstRow="1" w:lastRow="0" w:firstColumn="0" w:lastColumn="0" w:oddVBand="0" w:evenVBand="0" w:oddHBand="0" w:evenHBand="0" w:firstRowFirstColumn="0" w:firstRowLastColumn="0" w:lastRowFirstColumn="0" w:lastRowLastColumn="0"/>
        </w:trPr>
        <w:tc>
          <w:tcPr>
            <w:tcW w:w="3652" w:type="dxa"/>
          </w:tcPr>
          <w:p w14:paraId="226E194A" w14:textId="77777777" w:rsidR="00EC7347" w:rsidRPr="00A75D43" w:rsidRDefault="00EC7347" w:rsidP="00A75D43">
            <w:pPr>
              <w:ind w:left="0" w:right="0"/>
              <w:rPr>
                <w:color w:val="FFFFFF"/>
                <w:sz w:val="20"/>
                <w:szCs w:val="20"/>
              </w:rPr>
            </w:pPr>
            <w:r w:rsidRPr="00A75D43">
              <w:rPr>
                <w:color w:val="FFFFFF"/>
                <w:sz w:val="20"/>
                <w:szCs w:val="20"/>
              </w:rPr>
              <w:t>Risks</w:t>
            </w:r>
          </w:p>
        </w:tc>
        <w:tc>
          <w:tcPr>
            <w:tcW w:w="5068" w:type="dxa"/>
          </w:tcPr>
          <w:p w14:paraId="74CCEECB" w14:textId="77777777" w:rsidR="00EC7347" w:rsidRPr="00A75D43" w:rsidRDefault="00EC7347" w:rsidP="00A75D43">
            <w:pPr>
              <w:ind w:left="0" w:right="0"/>
              <w:rPr>
                <w:color w:val="FFFFFF"/>
                <w:sz w:val="20"/>
                <w:szCs w:val="20"/>
              </w:rPr>
            </w:pPr>
            <w:r w:rsidRPr="00A75D43">
              <w:rPr>
                <w:color w:val="FFFFFF"/>
                <w:sz w:val="20"/>
                <w:szCs w:val="20"/>
              </w:rPr>
              <w:t>Strengths and Uncertainties</w:t>
            </w:r>
          </w:p>
        </w:tc>
      </w:tr>
      <w:tr w:rsidR="00EC7347" w:rsidRPr="00A75D43" w14:paraId="214E7ADC" w14:textId="77777777" w:rsidTr="00A75D43">
        <w:tc>
          <w:tcPr>
            <w:tcW w:w="3652" w:type="dxa"/>
          </w:tcPr>
          <w:p w14:paraId="7B9D49C4" w14:textId="77777777" w:rsidR="00EC7347" w:rsidRPr="00F04D66" w:rsidRDefault="00EC7347" w:rsidP="00572B43">
            <w:pPr>
              <w:pStyle w:val="ListBullet"/>
            </w:pPr>
            <w:proofErr w:type="spellStart"/>
            <w:r w:rsidRPr="00F04D66">
              <w:t>Galcanezumab</w:t>
            </w:r>
            <w:proofErr w:type="spellEnd"/>
            <w:r w:rsidRPr="00F04D66">
              <w:t xml:space="preserve"> is com</w:t>
            </w:r>
            <w:r w:rsidR="00BE161F">
              <w:t xml:space="preserve">monly associated with injection </w:t>
            </w:r>
            <w:r w:rsidRPr="00F04D66">
              <w:t>site reactions.</w:t>
            </w:r>
          </w:p>
          <w:p w14:paraId="5C23F064" w14:textId="77777777" w:rsidR="00EC7347" w:rsidRPr="00F04D66" w:rsidRDefault="00EC7347" w:rsidP="00572B43">
            <w:pPr>
              <w:pStyle w:val="ListBullet"/>
            </w:pPr>
            <w:proofErr w:type="spellStart"/>
            <w:r w:rsidRPr="00F04D66">
              <w:t>Galcanezumab</w:t>
            </w:r>
            <w:proofErr w:type="spellEnd"/>
            <w:r w:rsidRPr="00F04D66">
              <w:t xml:space="preserve"> is associated with an increased risk of hypersensitivity reactions, including </w:t>
            </w:r>
            <w:proofErr w:type="spellStart"/>
            <w:r w:rsidRPr="00F04D66">
              <w:t>urticaria</w:t>
            </w:r>
            <w:proofErr w:type="spellEnd"/>
            <w:r w:rsidRPr="00F04D66">
              <w:t xml:space="preserve"> and pruritus, as well as a t</w:t>
            </w:r>
            <w:r w:rsidR="00A75D43" w:rsidRPr="00F04D66">
              <w:t>heoretical risk of anaphylaxis.</w:t>
            </w:r>
          </w:p>
          <w:p w14:paraId="69CA26D5" w14:textId="77777777" w:rsidR="00EC7347" w:rsidRPr="00F04D66" w:rsidRDefault="00EC7347" w:rsidP="00572B43">
            <w:pPr>
              <w:pStyle w:val="ListBullet"/>
            </w:pPr>
            <w:proofErr w:type="spellStart"/>
            <w:r w:rsidRPr="00F04D66">
              <w:t>Galcanezumab</w:t>
            </w:r>
            <w:proofErr w:type="spellEnd"/>
            <w:r w:rsidRPr="00F04D66">
              <w:t xml:space="preserve"> may cause vertigo.</w:t>
            </w:r>
          </w:p>
          <w:p w14:paraId="0B40B8E9" w14:textId="77777777" w:rsidR="00EC7347" w:rsidRPr="00F04D66" w:rsidRDefault="00EC7347" w:rsidP="00572B43">
            <w:pPr>
              <w:pStyle w:val="ListBullet"/>
            </w:pPr>
            <w:proofErr w:type="spellStart"/>
            <w:r w:rsidRPr="00F04D66">
              <w:t>Galcanezumab</w:t>
            </w:r>
            <w:proofErr w:type="spellEnd"/>
            <w:r w:rsidRPr="00F04D66">
              <w:t xml:space="preserve"> is associated with an increased incidence of constipation.</w:t>
            </w:r>
          </w:p>
          <w:p w14:paraId="4D027BF7" w14:textId="77777777" w:rsidR="00EC7347" w:rsidRPr="00F04D66" w:rsidRDefault="00EC7347" w:rsidP="00572B43">
            <w:pPr>
              <w:pStyle w:val="ListBullet"/>
            </w:pPr>
            <w:proofErr w:type="spellStart"/>
            <w:r w:rsidRPr="00F04D66">
              <w:t>Galcanezumab</w:t>
            </w:r>
            <w:proofErr w:type="spellEnd"/>
            <w:r w:rsidRPr="00F04D66">
              <w:t xml:space="preserve"> use is associated with the development of </w:t>
            </w:r>
            <w:r w:rsidR="003C76F3">
              <w:t>ADA</w:t>
            </w:r>
            <w:r w:rsidRPr="00F04D66">
              <w:t xml:space="preserve"> (though there is no clear evidence that these are clinically relevant.)</w:t>
            </w:r>
          </w:p>
          <w:p w14:paraId="735A8AD8" w14:textId="77777777" w:rsidR="00EC7347" w:rsidRPr="00F04D66" w:rsidRDefault="00EC7347" w:rsidP="00572B43">
            <w:pPr>
              <w:pStyle w:val="ListBullet"/>
            </w:pPr>
            <w:r w:rsidRPr="00F04D66">
              <w:t xml:space="preserve">The safety of </w:t>
            </w:r>
            <w:proofErr w:type="spellStart"/>
            <w:r w:rsidRPr="00F04D66">
              <w:t>galcanezumab</w:t>
            </w:r>
            <w:proofErr w:type="spellEnd"/>
            <w:r w:rsidRPr="00F04D66">
              <w:t xml:space="preserve"> in pregnancy and lactation has not been characterised.</w:t>
            </w:r>
          </w:p>
          <w:p w14:paraId="738D71AF" w14:textId="77777777" w:rsidR="000212B9" w:rsidRPr="00F04D66" w:rsidRDefault="00BE161F" w:rsidP="00572B43">
            <w:pPr>
              <w:pStyle w:val="ListBullet"/>
            </w:pPr>
            <w:r>
              <w:t xml:space="preserve">The long </w:t>
            </w:r>
            <w:r w:rsidR="00A75D43" w:rsidRPr="00F04D66">
              <w:t>term safety (beyond 12 </w:t>
            </w:r>
            <w:r w:rsidR="00EC7347" w:rsidRPr="00F04D66">
              <w:t xml:space="preserve">months) of </w:t>
            </w:r>
            <w:proofErr w:type="spellStart"/>
            <w:r w:rsidR="00EC7347" w:rsidRPr="00F04D66">
              <w:t>galcanezumab</w:t>
            </w:r>
            <w:proofErr w:type="spellEnd"/>
            <w:r w:rsidR="00EC7347" w:rsidRPr="00F04D66">
              <w:t xml:space="preserve"> has not been characterised</w:t>
            </w:r>
            <w:r w:rsidR="000212B9" w:rsidRPr="00F04D66">
              <w:t>.</w:t>
            </w:r>
          </w:p>
          <w:p w14:paraId="144F3219" w14:textId="77777777" w:rsidR="00EC7347" w:rsidRPr="00F04D66" w:rsidRDefault="00EC7347" w:rsidP="00572B43">
            <w:pPr>
              <w:pStyle w:val="ListBullet"/>
            </w:pPr>
            <w:r w:rsidRPr="00F04D66">
              <w:t xml:space="preserve">The role of CGRP in cardiovascular health is unclear, and </w:t>
            </w:r>
            <w:proofErr w:type="spellStart"/>
            <w:r w:rsidRPr="00F04D66">
              <w:t>galcanezumab</w:t>
            </w:r>
            <w:proofErr w:type="spellEnd"/>
            <w:r w:rsidRPr="00F04D66">
              <w:t xml:space="preserve"> could in theory increase the risk of cardiovascular events, though no evidence of this emerged in the submitted studies.</w:t>
            </w:r>
          </w:p>
          <w:p w14:paraId="3D41B5BC" w14:textId="77777777" w:rsidR="00EC7347" w:rsidRPr="00F04D66" w:rsidRDefault="00EC7347" w:rsidP="00572B43">
            <w:pPr>
              <w:pStyle w:val="ListBullet"/>
            </w:pPr>
            <w:r w:rsidRPr="00F04D66">
              <w:t xml:space="preserve">The safety of </w:t>
            </w:r>
            <w:proofErr w:type="spellStart"/>
            <w:r w:rsidRPr="00F04D66">
              <w:t>galcanezumab</w:t>
            </w:r>
            <w:proofErr w:type="spellEnd"/>
            <w:r w:rsidRPr="00F04D66">
              <w:t xml:space="preserve"> in subjects &lt;</w:t>
            </w:r>
            <w:r w:rsidR="00A75D43" w:rsidRPr="00F04D66">
              <w:t> 18 </w:t>
            </w:r>
            <w:r w:rsidRPr="00F04D66">
              <w:t>years or &gt;</w:t>
            </w:r>
            <w:r w:rsidR="00A75D43" w:rsidRPr="00F04D66">
              <w:t> </w:t>
            </w:r>
            <w:r w:rsidRPr="00F04D66">
              <w:t>65</w:t>
            </w:r>
            <w:r w:rsidR="00A75D43" w:rsidRPr="00F04D66">
              <w:t> </w:t>
            </w:r>
            <w:r w:rsidRPr="00F04D66">
              <w:t xml:space="preserve">years has not been assessed. </w:t>
            </w:r>
          </w:p>
        </w:tc>
        <w:tc>
          <w:tcPr>
            <w:tcW w:w="5068" w:type="dxa"/>
          </w:tcPr>
          <w:p w14:paraId="1CE5C02C" w14:textId="77777777" w:rsidR="00EC7347" w:rsidRPr="00A75D43" w:rsidRDefault="00EC7347" w:rsidP="00A75D43">
            <w:pPr>
              <w:ind w:left="0" w:right="0"/>
              <w:rPr>
                <w:b/>
                <w:sz w:val="20"/>
                <w:szCs w:val="20"/>
              </w:rPr>
            </w:pPr>
            <w:r w:rsidRPr="00A75D43">
              <w:rPr>
                <w:b/>
                <w:sz w:val="20"/>
                <w:szCs w:val="20"/>
              </w:rPr>
              <w:t>Strengths</w:t>
            </w:r>
          </w:p>
          <w:p w14:paraId="350A076A" w14:textId="77777777" w:rsidR="00EC7347" w:rsidRPr="00F04D66" w:rsidRDefault="00EC7347" w:rsidP="00572B43">
            <w:pPr>
              <w:pStyle w:val="ListBullet"/>
            </w:pPr>
            <w:r w:rsidRPr="00F04D66">
              <w:t>The safety data from pivotal studies, in comparison to placebo, suggests t</w:t>
            </w:r>
            <w:r w:rsidR="00BE161F">
              <w:t xml:space="preserve">hat </w:t>
            </w:r>
            <w:proofErr w:type="spellStart"/>
            <w:r w:rsidR="00BE161F">
              <w:t>galcanezumab</w:t>
            </w:r>
            <w:proofErr w:type="spellEnd"/>
            <w:r w:rsidR="00BE161F">
              <w:t xml:space="preserve"> is mostly well </w:t>
            </w:r>
            <w:r w:rsidRPr="00F04D66">
              <w:t xml:space="preserve">tolerated, with only a mild excess of adverse events in the </w:t>
            </w:r>
            <w:proofErr w:type="spellStart"/>
            <w:r w:rsidRPr="00F04D66">
              <w:t>galcanez</w:t>
            </w:r>
            <w:r w:rsidR="00A75D43" w:rsidRPr="00F04D66">
              <w:t>umab</w:t>
            </w:r>
            <w:proofErr w:type="spellEnd"/>
            <w:r w:rsidR="00A75D43" w:rsidRPr="00F04D66">
              <w:t xml:space="preserve"> group relative to placebo.</w:t>
            </w:r>
          </w:p>
          <w:p w14:paraId="5CCB4685" w14:textId="77777777" w:rsidR="00EC7347" w:rsidRPr="00F04D66" w:rsidRDefault="00404F61" w:rsidP="00572B43">
            <w:pPr>
              <w:pStyle w:val="ListBullet"/>
            </w:pPr>
            <w:r w:rsidRPr="00F04D66">
              <w:t>The sponsor</w:t>
            </w:r>
            <w:r w:rsidR="00EC7347" w:rsidRPr="00F04D66">
              <w:t xml:space="preserve"> appears to have searched the safety database conscientiously to characterise the risks of hypersensitivity reactions and cardiovascular events; no concerning sign</w:t>
            </w:r>
            <w:r w:rsidR="00A75D43" w:rsidRPr="00F04D66">
              <w:t>als emerged from this analysis.</w:t>
            </w:r>
          </w:p>
          <w:p w14:paraId="7D5D546C" w14:textId="77777777" w:rsidR="00EC7347" w:rsidRPr="00A75D43" w:rsidRDefault="00EC7347" w:rsidP="00A75D43">
            <w:pPr>
              <w:ind w:left="0" w:right="0"/>
              <w:rPr>
                <w:b/>
                <w:sz w:val="20"/>
                <w:szCs w:val="20"/>
              </w:rPr>
            </w:pPr>
            <w:r w:rsidRPr="00A75D43">
              <w:rPr>
                <w:b/>
                <w:sz w:val="20"/>
                <w:szCs w:val="20"/>
              </w:rPr>
              <w:t>Weaknesses</w:t>
            </w:r>
          </w:p>
          <w:p w14:paraId="007CB9F6" w14:textId="77777777" w:rsidR="00EC7347" w:rsidRPr="00F04D66" w:rsidRDefault="00EC7347" w:rsidP="00572B43">
            <w:pPr>
              <w:pStyle w:val="ListBullet"/>
            </w:pPr>
            <w:r w:rsidRPr="00F04D66">
              <w:t>The biological role of CGRP is not well understood, so the long term consequences of</w:t>
            </w:r>
            <w:r w:rsidR="00A75D43" w:rsidRPr="00F04D66">
              <w:t xml:space="preserve"> modifying CGRP remain unclear.</w:t>
            </w:r>
          </w:p>
          <w:p w14:paraId="52BADC0A" w14:textId="26989D24" w:rsidR="00EC7347" w:rsidRPr="00E27356" w:rsidRDefault="00EC7347" w:rsidP="00572B43">
            <w:pPr>
              <w:pStyle w:val="ListBullet"/>
            </w:pPr>
            <w:r w:rsidRPr="00F04D66">
              <w:t>The safety database lacks informatio</w:t>
            </w:r>
            <w:r w:rsidR="00A75D43" w:rsidRPr="00F04D66">
              <w:t xml:space="preserve">n about subjects outside the 18 to </w:t>
            </w:r>
            <w:proofErr w:type="gramStart"/>
            <w:r w:rsidR="00F04D66">
              <w:t>65 </w:t>
            </w:r>
            <w:r w:rsidRPr="00F04D66">
              <w:t>year</w:t>
            </w:r>
            <w:proofErr w:type="gramEnd"/>
            <w:r w:rsidRPr="00F04D66">
              <w:t xml:space="preserve"> age group, and subjects with recent cardiovascular events were excluded from the major studies, so safety in the most vulnerable population remains</w:t>
            </w:r>
            <w:r w:rsidR="00A75D43" w:rsidRPr="00F04D66">
              <w:t xml:space="preserve"> uncharacterised.</w:t>
            </w:r>
          </w:p>
          <w:p w14:paraId="559E71C6" w14:textId="04A71B29" w:rsidR="00247800" w:rsidRPr="00247800" w:rsidRDefault="00247800" w:rsidP="00572B43">
            <w:pPr>
              <w:pStyle w:val="ListBullet"/>
            </w:pPr>
            <w:r>
              <w:t xml:space="preserve">The safety of </w:t>
            </w:r>
            <w:proofErr w:type="spellStart"/>
            <w:r>
              <w:t>galcanezumab</w:t>
            </w:r>
            <w:proofErr w:type="spellEnd"/>
            <w:r>
              <w:t xml:space="preserve"> in combination with other agents affecting CGRP is uncharacterised.</w:t>
            </w:r>
          </w:p>
          <w:p w14:paraId="65985DAC" w14:textId="77777777" w:rsidR="00EC7347" w:rsidRPr="00A75D43" w:rsidRDefault="00EC7347" w:rsidP="00572B43">
            <w:pPr>
              <w:pStyle w:val="ListBullet"/>
            </w:pPr>
            <w:r w:rsidRPr="00F04D66">
              <w:t>The proposed PI contains only modest warnings against use in pregnancy and lactation. Gi</w:t>
            </w:r>
            <w:r w:rsidR="00BE161F">
              <w:t xml:space="preserve">ven that migraine is not a life </w:t>
            </w:r>
            <w:r w:rsidRPr="00F04D66">
              <w:t xml:space="preserve">threatening condition, and that the efficacy benefits of </w:t>
            </w:r>
            <w:proofErr w:type="spellStart"/>
            <w:r w:rsidRPr="00F04D66">
              <w:t>galcanezumab</w:t>
            </w:r>
            <w:proofErr w:type="spellEnd"/>
            <w:r w:rsidRPr="00F04D66">
              <w:t xml:space="preserve"> were modest, stronger warnings could be appropriate.</w:t>
            </w:r>
          </w:p>
        </w:tc>
      </w:tr>
    </w:tbl>
    <w:p w14:paraId="5ACC0890" w14:textId="77777777" w:rsidR="00605AD4" w:rsidRPr="00605AD4" w:rsidRDefault="00605AD4" w:rsidP="002C7590">
      <w:pPr>
        <w:pStyle w:val="Heading4"/>
      </w:pPr>
      <w:r w:rsidRPr="00605AD4">
        <w:t>First round assessment of benefit-risk balance</w:t>
      </w:r>
    </w:p>
    <w:p w14:paraId="60715075" w14:textId="77777777" w:rsidR="00EC7347" w:rsidRDefault="00EC7347" w:rsidP="00E35D2F">
      <w:pPr>
        <w:rPr>
          <w:lang w:eastAsia="ja-JP"/>
        </w:rPr>
      </w:pPr>
      <w:r>
        <w:rPr>
          <w:lang w:eastAsia="ja-JP"/>
        </w:rPr>
        <w:t xml:space="preserve">The benefit-risk balance of </w:t>
      </w:r>
      <w:proofErr w:type="spellStart"/>
      <w:r>
        <w:rPr>
          <w:lang w:eastAsia="ja-JP"/>
        </w:rPr>
        <w:t>galcanezumab</w:t>
      </w:r>
      <w:proofErr w:type="spellEnd"/>
      <w:r>
        <w:rPr>
          <w:lang w:eastAsia="ja-JP"/>
        </w:rPr>
        <w:t xml:space="preserve">, in the proposed usage, is likely to be positive in the majority of subjects with significant and troubling migraine. Although the size of the </w:t>
      </w:r>
      <w:r>
        <w:rPr>
          <w:lang w:eastAsia="ja-JP"/>
        </w:rPr>
        <w:lastRenderedPageBreak/>
        <w:t xml:space="preserve">clinical effect was modest, many patients could </w:t>
      </w:r>
      <w:r w:rsidR="00825F77">
        <w:rPr>
          <w:lang w:eastAsia="ja-JP"/>
        </w:rPr>
        <w:t xml:space="preserve">regard the gain of two migraine </w:t>
      </w:r>
      <w:r>
        <w:rPr>
          <w:lang w:eastAsia="ja-JP"/>
        </w:rPr>
        <w:t xml:space="preserve">free days per </w:t>
      </w:r>
      <w:r w:rsidR="00BE161F">
        <w:rPr>
          <w:lang w:eastAsia="ja-JP"/>
        </w:rPr>
        <w:t xml:space="preserve">month as a worthwhile benefit. </w:t>
      </w:r>
      <w:r>
        <w:rPr>
          <w:lang w:eastAsia="ja-JP"/>
        </w:rPr>
        <w:t>Furthermore</w:t>
      </w:r>
      <w:r w:rsidR="006F1789">
        <w:rPr>
          <w:lang w:eastAsia="ja-JP"/>
        </w:rPr>
        <w:t>, the mean improvement of 2 MHD</w:t>
      </w:r>
      <w:r>
        <w:rPr>
          <w:lang w:eastAsia="ja-JP"/>
        </w:rPr>
        <w:t xml:space="preserve"> is not necessarily spread uniformly; some subjects might be expected to experience even greater benefit, and these are the subjects mos</w:t>
      </w:r>
      <w:r w:rsidR="00BE161F">
        <w:rPr>
          <w:lang w:eastAsia="ja-JP"/>
        </w:rPr>
        <w:t>t likely to continue treatment.</w:t>
      </w:r>
    </w:p>
    <w:p w14:paraId="762871AA" w14:textId="77777777" w:rsidR="00605AD4" w:rsidRPr="00605AD4" w:rsidRDefault="00EC7347" w:rsidP="00E35D2F">
      <w:pPr>
        <w:rPr>
          <w:lang w:eastAsia="ja-JP"/>
        </w:rPr>
      </w:pPr>
      <w:r>
        <w:rPr>
          <w:lang w:eastAsia="ja-JP"/>
        </w:rPr>
        <w:t xml:space="preserve">The risks are potentially greater in older subjects and in those with previous hypersensitivity reactions to </w:t>
      </w:r>
      <w:proofErr w:type="spellStart"/>
      <w:r w:rsidR="00B6138F">
        <w:rPr>
          <w:lang w:eastAsia="ja-JP"/>
        </w:rPr>
        <w:t>mAbs</w:t>
      </w:r>
      <w:proofErr w:type="spellEnd"/>
      <w:r>
        <w:rPr>
          <w:lang w:eastAsia="ja-JP"/>
        </w:rPr>
        <w:t xml:space="preserve">. The risks are poorly characterised in subjects with underlying cardiovascular disease, but there are currently no concerning safety signals suggesting an increased number of cardiovascular adverse events or increased risk in subjects with concurrent cardiovascular disease. The risks are poorly characterised for use in pregnancy, and </w:t>
      </w:r>
      <w:proofErr w:type="spellStart"/>
      <w:r>
        <w:rPr>
          <w:lang w:eastAsia="ja-JP"/>
        </w:rPr>
        <w:t>galcanezumab</w:t>
      </w:r>
      <w:proofErr w:type="spellEnd"/>
      <w:r>
        <w:rPr>
          <w:lang w:eastAsia="ja-JP"/>
        </w:rPr>
        <w:t xml:space="preserve"> should be avoided in this setting. The risks are also poorly </w:t>
      </w:r>
      <w:r w:rsidR="00E35D2F">
        <w:rPr>
          <w:lang w:eastAsia="ja-JP"/>
        </w:rPr>
        <w:t>characterised during lactation.</w:t>
      </w:r>
    </w:p>
    <w:p w14:paraId="089D8CCF" w14:textId="7E38E3B1" w:rsidR="00605AD4" w:rsidRPr="00605AD4" w:rsidRDefault="002C7590" w:rsidP="00605AD4">
      <w:pPr>
        <w:pStyle w:val="Heading3"/>
        <w:rPr>
          <w:rFonts w:eastAsia="Cambria"/>
        </w:rPr>
      </w:pPr>
      <w:bookmarkStart w:id="188" w:name="_Toc20822179"/>
      <w:r>
        <w:rPr>
          <w:rFonts w:eastAsia="Cambria"/>
        </w:rPr>
        <w:t>First r</w:t>
      </w:r>
      <w:r w:rsidR="00605AD4" w:rsidRPr="00605AD4">
        <w:rPr>
          <w:rFonts w:eastAsia="Cambria"/>
        </w:rPr>
        <w:t xml:space="preserve">ound </w:t>
      </w:r>
      <w:r>
        <w:rPr>
          <w:rFonts w:eastAsia="Cambria"/>
        </w:rPr>
        <w:t>r</w:t>
      </w:r>
      <w:r w:rsidR="00605AD4" w:rsidRPr="00605AD4">
        <w:rPr>
          <w:rFonts w:eastAsia="Cambria"/>
        </w:rPr>
        <w:t xml:space="preserve">ecommendation </w:t>
      </w:r>
      <w:r>
        <w:rPr>
          <w:rFonts w:eastAsia="Cambria"/>
        </w:rPr>
        <w:t>r</w:t>
      </w:r>
      <w:r w:rsidR="00605AD4" w:rsidRPr="00605AD4">
        <w:rPr>
          <w:rFonts w:eastAsia="Cambria"/>
        </w:rPr>
        <w:t xml:space="preserve">egarding </w:t>
      </w:r>
      <w:r>
        <w:rPr>
          <w:rFonts w:eastAsia="Cambria"/>
        </w:rPr>
        <w:t>a</w:t>
      </w:r>
      <w:r w:rsidR="00605AD4" w:rsidRPr="00605AD4">
        <w:rPr>
          <w:rFonts w:eastAsia="Cambria"/>
        </w:rPr>
        <w:t>uthorisation</w:t>
      </w:r>
      <w:bookmarkEnd w:id="188"/>
    </w:p>
    <w:p w14:paraId="1F2F9307" w14:textId="77777777" w:rsidR="00EC7347" w:rsidRDefault="00EC7347" w:rsidP="00E35D2F">
      <w:pPr>
        <w:rPr>
          <w:lang w:eastAsia="ja-JP"/>
        </w:rPr>
      </w:pPr>
      <w:proofErr w:type="spellStart"/>
      <w:r>
        <w:rPr>
          <w:lang w:eastAsia="ja-JP"/>
        </w:rPr>
        <w:t>Galcanezumab</w:t>
      </w:r>
      <w:proofErr w:type="spellEnd"/>
      <w:r>
        <w:rPr>
          <w:lang w:eastAsia="ja-JP"/>
        </w:rPr>
        <w:t xml:space="preserve"> should be approved for the proposed indication.</w:t>
      </w:r>
    </w:p>
    <w:p w14:paraId="7F28455C" w14:textId="77777777" w:rsidR="00EC7347" w:rsidRDefault="00EC7347" w:rsidP="00E35D2F">
      <w:pPr>
        <w:rPr>
          <w:lang w:eastAsia="ja-JP"/>
        </w:rPr>
      </w:pPr>
      <w:r>
        <w:rPr>
          <w:lang w:eastAsia="ja-JP"/>
        </w:rPr>
        <w:t>The proposed PI should be edited along the line</w:t>
      </w:r>
      <w:r w:rsidR="00E35D2F">
        <w:rPr>
          <w:lang w:eastAsia="ja-JP"/>
        </w:rPr>
        <w:t>s suggested within this report.</w:t>
      </w:r>
    </w:p>
    <w:p w14:paraId="46F9E81C" w14:textId="77777777" w:rsidR="00605AD4" w:rsidRDefault="00EC7347" w:rsidP="00E35D2F">
      <w:pPr>
        <w:rPr>
          <w:lang w:eastAsia="ja-JP"/>
        </w:rPr>
      </w:pPr>
      <w:r>
        <w:rPr>
          <w:lang w:eastAsia="ja-JP"/>
        </w:rPr>
        <w:t>Ongoing pharmacovigilance activities should focus on clarifying: the risks of hypersensitivity reactions; safety during pregnancy; s</w:t>
      </w:r>
      <w:r w:rsidR="00BE161F">
        <w:rPr>
          <w:lang w:eastAsia="ja-JP"/>
        </w:rPr>
        <w:t xml:space="preserve">afety during long </w:t>
      </w:r>
      <w:r>
        <w:rPr>
          <w:lang w:eastAsia="ja-JP"/>
        </w:rPr>
        <w:t>term use; the risk of cardiovascular effects; and the influence</w:t>
      </w:r>
      <w:r w:rsidR="00E35D2F">
        <w:rPr>
          <w:lang w:eastAsia="ja-JP"/>
        </w:rPr>
        <w:t xml:space="preserve"> of </w:t>
      </w:r>
      <w:r w:rsidR="003C76F3">
        <w:rPr>
          <w:lang w:eastAsia="ja-JP"/>
        </w:rPr>
        <w:t>ADA</w:t>
      </w:r>
      <w:r w:rsidR="00E35D2F">
        <w:rPr>
          <w:lang w:eastAsia="ja-JP"/>
        </w:rPr>
        <w:t>.</w:t>
      </w:r>
    </w:p>
    <w:p w14:paraId="7C4A6697" w14:textId="27B4D007" w:rsidR="00605AD4" w:rsidRPr="00354876" w:rsidRDefault="002C7590" w:rsidP="00605AD4">
      <w:pPr>
        <w:pStyle w:val="Heading3"/>
        <w:rPr>
          <w:rFonts w:eastAsia="Cambria"/>
        </w:rPr>
      </w:pPr>
      <w:bookmarkStart w:id="189" w:name="_Toc20822180"/>
      <w:r>
        <w:t>Clinical q</w:t>
      </w:r>
      <w:r w:rsidR="002F5122" w:rsidRPr="00354876">
        <w:t>uestions</w:t>
      </w:r>
      <w:r w:rsidR="006A58A8" w:rsidRPr="00354876">
        <w:t xml:space="preserve"> and </w:t>
      </w:r>
      <w:r>
        <w:t>s</w:t>
      </w:r>
      <w:r w:rsidR="00605AD4" w:rsidRPr="00354876">
        <w:rPr>
          <w:rFonts w:eastAsia="Cambria"/>
        </w:rPr>
        <w:t xml:space="preserve">econd </w:t>
      </w:r>
      <w:r>
        <w:rPr>
          <w:rFonts w:eastAsia="Cambria"/>
        </w:rPr>
        <w:t>r</w:t>
      </w:r>
      <w:r w:rsidR="00605AD4" w:rsidRPr="00354876">
        <w:rPr>
          <w:rFonts w:eastAsia="Cambria"/>
        </w:rPr>
        <w:t xml:space="preserve">ound </w:t>
      </w:r>
      <w:r>
        <w:rPr>
          <w:rFonts w:eastAsia="Cambria"/>
        </w:rPr>
        <w:t>e</w:t>
      </w:r>
      <w:r w:rsidR="00605AD4" w:rsidRPr="00354876">
        <w:rPr>
          <w:rFonts w:eastAsia="Cambria"/>
        </w:rPr>
        <w:t>valuation</w:t>
      </w:r>
      <w:bookmarkEnd w:id="189"/>
    </w:p>
    <w:p w14:paraId="4D4EA8B0" w14:textId="77777777" w:rsidR="00EC7347" w:rsidRPr="00354876" w:rsidRDefault="00EC7347" w:rsidP="002C7590">
      <w:pPr>
        <w:rPr>
          <w:lang w:eastAsia="ja-JP"/>
        </w:rPr>
      </w:pPr>
      <w:r w:rsidRPr="00354876">
        <w:rPr>
          <w:lang w:eastAsia="ja-JP"/>
        </w:rPr>
        <w:t xml:space="preserve">The </w:t>
      </w:r>
      <w:r w:rsidR="00825F77" w:rsidRPr="00354876">
        <w:rPr>
          <w:lang w:eastAsia="ja-JP"/>
        </w:rPr>
        <w:t xml:space="preserve">second round clinical evaluation report </w:t>
      </w:r>
      <w:r w:rsidRPr="00354876">
        <w:rPr>
          <w:lang w:eastAsia="ja-JP"/>
        </w:rPr>
        <w:t xml:space="preserve">includes </w:t>
      </w:r>
      <w:r w:rsidR="00B22E42" w:rsidRPr="00354876">
        <w:rPr>
          <w:lang w:eastAsia="ja-JP"/>
        </w:rPr>
        <w:t>the sponsor</w:t>
      </w:r>
      <w:r w:rsidR="00F04D66" w:rsidRPr="00354876">
        <w:rPr>
          <w:lang w:eastAsia="ja-JP"/>
        </w:rPr>
        <w:t>’s responses to clinical q</w:t>
      </w:r>
      <w:r w:rsidRPr="00354876">
        <w:rPr>
          <w:lang w:eastAsia="ja-JP"/>
        </w:rPr>
        <w:t xml:space="preserve">uestions posed in </w:t>
      </w:r>
      <w:r w:rsidR="00E4169D" w:rsidRPr="00354876">
        <w:rPr>
          <w:lang w:eastAsia="ja-JP"/>
        </w:rPr>
        <w:t xml:space="preserve">the </w:t>
      </w:r>
      <w:r w:rsidR="00825F77" w:rsidRPr="00354876">
        <w:rPr>
          <w:lang w:eastAsia="ja-JP"/>
        </w:rPr>
        <w:t>first round evaluation, the e</w:t>
      </w:r>
      <w:r w:rsidRPr="00354876">
        <w:rPr>
          <w:lang w:eastAsia="ja-JP"/>
        </w:rPr>
        <w:t>valuator’s assessment of those respon</w:t>
      </w:r>
      <w:r w:rsidR="00E4169D" w:rsidRPr="00354876">
        <w:rPr>
          <w:lang w:eastAsia="ja-JP"/>
        </w:rPr>
        <w:t xml:space="preserve">ses, and the above erratum for </w:t>
      </w:r>
      <w:r w:rsidR="00825F77" w:rsidRPr="00354876">
        <w:rPr>
          <w:lang w:eastAsia="ja-JP"/>
        </w:rPr>
        <w:t xml:space="preserve">the first round evaluation. </w:t>
      </w:r>
      <w:r w:rsidRPr="00354876">
        <w:rPr>
          <w:lang w:eastAsia="ja-JP"/>
        </w:rPr>
        <w:t xml:space="preserve">It also includes a brief reassessment of the benefit-risk balance for </w:t>
      </w:r>
      <w:proofErr w:type="spellStart"/>
      <w:r w:rsidRPr="00354876">
        <w:rPr>
          <w:lang w:eastAsia="ja-JP"/>
        </w:rPr>
        <w:t>g</w:t>
      </w:r>
      <w:r w:rsidR="00F04D66" w:rsidRPr="00354876">
        <w:rPr>
          <w:lang w:eastAsia="ja-JP"/>
        </w:rPr>
        <w:t>alcanezumab</w:t>
      </w:r>
      <w:proofErr w:type="spellEnd"/>
      <w:r w:rsidR="00F04D66" w:rsidRPr="00354876">
        <w:rPr>
          <w:lang w:eastAsia="ja-JP"/>
        </w:rPr>
        <w:t>, and revised e</w:t>
      </w:r>
      <w:r w:rsidRPr="00354876">
        <w:rPr>
          <w:lang w:eastAsia="ja-JP"/>
        </w:rPr>
        <w:t>valuator comments</w:t>
      </w:r>
      <w:r w:rsidR="00E35D2F" w:rsidRPr="00354876">
        <w:rPr>
          <w:lang w:eastAsia="ja-JP"/>
        </w:rPr>
        <w:t xml:space="preserve"> on the product documentation.</w:t>
      </w:r>
    </w:p>
    <w:p w14:paraId="5DAA4F43" w14:textId="77777777" w:rsidR="000212B9" w:rsidRDefault="00EC7347" w:rsidP="00EC7347">
      <w:pPr>
        <w:rPr>
          <w:lang w:eastAsia="ja-JP"/>
        </w:rPr>
      </w:pPr>
      <w:r w:rsidRPr="00354876">
        <w:rPr>
          <w:lang w:eastAsia="ja-JP"/>
        </w:rPr>
        <w:t xml:space="preserve">The main conclusions and recommendations of </w:t>
      </w:r>
      <w:r w:rsidR="00464E9D" w:rsidRPr="00354876">
        <w:rPr>
          <w:lang w:eastAsia="ja-JP"/>
        </w:rPr>
        <w:t xml:space="preserve">second round clinical evaluation report </w:t>
      </w:r>
      <w:r w:rsidRPr="00354876">
        <w:rPr>
          <w:lang w:eastAsia="ja-JP"/>
        </w:rPr>
        <w:t xml:space="preserve">do not differ substantially from those in </w:t>
      </w:r>
      <w:r w:rsidR="00464E9D" w:rsidRPr="00354876">
        <w:rPr>
          <w:lang w:eastAsia="ja-JP"/>
        </w:rPr>
        <w:t>first round evaluation report</w:t>
      </w:r>
      <w:r w:rsidR="000212B9" w:rsidRPr="00354876">
        <w:rPr>
          <w:lang w:eastAsia="ja-JP"/>
        </w:rPr>
        <w:t>.</w:t>
      </w:r>
    </w:p>
    <w:p w14:paraId="69AFA9AF" w14:textId="77777777" w:rsidR="00EC7347" w:rsidRPr="00E35D2F" w:rsidRDefault="00EC7347" w:rsidP="00464E9D">
      <w:pPr>
        <w:pStyle w:val="Heading4"/>
        <w:rPr>
          <w:lang w:eastAsia="ja-JP"/>
        </w:rPr>
      </w:pPr>
      <w:bookmarkStart w:id="190" w:name="_Toc536533229"/>
      <w:r w:rsidRPr="00E35D2F">
        <w:rPr>
          <w:lang w:eastAsia="ja-JP"/>
        </w:rPr>
        <w:t>Question 1</w:t>
      </w:r>
      <w:bookmarkEnd w:id="190"/>
    </w:p>
    <w:p w14:paraId="130D9171" w14:textId="77777777" w:rsidR="002F2AC8" w:rsidRDefault="00EC7347" w:rsidP="00EC7347">
      <w:pPr>
        <w:rPr>
          <w:b/>
          <w:i/>
          <w:lang w:eastAsia="ja-JP"/>
        </w:rPr>
      </w:pPr>
      <w:r w:rsidRPr="002533FF">
        <w:rPr>
          <w:b/>
          <w:i/>
          <w:lang w:eastAsia="ja-JP"/>
        </w:rPr>
        <w:t xml:space="preserve">At the time of submission to the TGA, applications to register </w:t>
      </w:r>
      <w:proofErr w:type="spellStart"/>
      <w:r w:rsidRPr="002533FF">
        <w:rPr>
          <w:b/>
          <w:i/>
          <w:lang w:eastAsia="ja-JP"/>
        </w:rPr>
        <w:t>galcanezumab</w:t>
      </w:r>
      <w:proofErr w:type="spellEnd"/>
      <w:r w:rsidRPr="002533FF">
        <w:rPr>
          <w:b/>
          <w:i/>
          <w:lang w:eastAsia="ja-JP"/>
        </w:rPr>
        <w:t xml:space="preserve"> were under evaluation in the EU, USA, Singapore and Switzerland. Please provide a summary of any significant efficacy or safety issues identified during those evaluations, and indicate whether the drug has been accepted or rejected by any of those regulatory bodies while the Australian evaluation process has been underway</w:t>
      </w:r>
      <w:r w:rsidR="002F2AC8">
        <w:rPr>
          <w:b/>
          <w:i/>
          <w:lang w:eastAsia="ja-JP"/>
        </w:rPr>
        <w:t>.</w:t>
      </w:r>
    </w:p>
    <w:p w14:paraId="0A9160FD" w14:textId="77777777" w:rsidR="00EC7347" w:rsidRDefault="00464E9D" w:rsidP="00464E9D">
      <w:pPr>
        <w:pStyle w:val="Heading5"/>
      </w:pPr>
      <w:r>
        <w:t>Sponsor’s r</w:t>
      </w:r>
      <w:r w:rsidR="00EC7347" w:rsidRPr="003E1672">
        <w:t>esponse</w:t>
      </w:r>
    </w:p>
    <w:p w14:paraId="06428196" w14:textId="05C5F6E5" w:rsidR="00AF6080" w:rsidRPr="00AF6080" w:rsidRDefault="00AF6080" w:rsidP="002533FF">
      <w:r>
        <w:rPr>
          <w:lang w:eastAsia="ja-JP"/>
        </w:rPr>
        <w:t xml:space="preserve">(Please </w:t>
      </w:r>
      <w:r w:rsidR="001C480B">
        <w:rPr>
          <w:lang w:eastAsia="ja-JP"/>
        </w:rPr>
        <w:t xml:space="preserve">also </w:t>
      </w:r>
      <w:r>
        <w:rPr>
          <w:lang w:eastAsia="ja-JP"/>
        </w:rPr>
        <w:t xml:space="preserve">see </w:t>
      </w:r>
      <w:r w:rsidR="001C480B">
        <w:rPr>
          <w:lang w:eastAsia="ja-JP"/>
        </w:rPr>
        <w:t>‘</w:t>
      </w:r>
      <w:r>
        <w:rPr>
          <w:lang w:eastAsia="ja-JP"/>
        </w:rPr>
        <w:t>Regulatory Status</w:t>
      </w:r>
      <w:r w:rsidR="001C480B">
        <w:rPr>
          <w:lang w:eastAsia="ja-JP"/>
        </w:rPr>
        <w:t>’</w:t>
      </w:r>
      <w:r>
        <w:rPr>
          <w:lang w:eastAsia="ja-JP"/>
        </w:rPr>
        <w:t xml:space="preserve"> above in </w:t>
      </w:r>
      <w:r w:rsidR="001C480B">
        <w:rPr>
          <w:lang w:eastAsia="ja-JP"/>
        </w:rPr>
        <w:t xml:space="preserve">Section </w:t>
      </w:r>
      <w:r>
        <w:rPr>
          <w:lang w:eastAsia="ja-JP"/>
        </w:rPr>
        <w:t>I)</w:t>
      </w:r>
    </w:p>
    <w:p w14:paraId="40720965" w14:textId="77777777" w:rsidR="00EC7347" w:rsidRDefault="00404F61" w:rsidP="00EC7347">
      <w:r>
        <w:t>The sponsor</w:t>
      </w:r>
      <w:r w:rsidR="00EC7347">
        <w:t xml:space="preserve"> notes that the </w:t>
      </w:r>
      <w:r w:rsidR="007565B6">
        <w:t>FDA</w:t>
      </w:r>
      <w:r w:rsidR="00EC7347">
        <w:t xml:space="preserve"> approved </w:t>
      </w:r>
      <w:proofErr w:type="spellStart"/>
      <w:r w:rsidR="00EC7347">
        <w:t>galcanezumab</w:t>
      </w:r>
      <w:proofErr w:type="spellEnd"/>
      <w:r w:rsidR="00EC7347">
        <w:t xml:space="preserve"> without identifying any substantial efficacy or safety issues. According to </w:t>
      </w:r>
      <w:r w:rsidR="00B22E42">
        <w:t>the sponsor</w:t>
      </w:r>
      <w:r w:rsidR="00EC7347">
        <w:t xml:space="preserve">, the FDA considered the theoretical risk of impaired vasodilator responses in </w:t>
      </w:r>
      <w:proofErr w:type="spellStart"/>
      <w:r w:rsidR="00EC7347">
        <w:t>galcanezumab</w:t>
      </w:r>
      <w:proofErr w:type="spellEnd"/>
      <w:r w:rsidR="00EC7347">
        <w:t xml:space="preserve"> recipients, with subsequent increased risk of </w:t>
      </w:r>
      <w:proofErr w:type="spellStart"/>
      <w:r w:rsidR="00EC7347">
        <w:t>ischaemia</w:t>
      </w:r>
      <w:proofErr w:type="spellEnd"/>
      <w:r w:rsidR="00EC7347">
        <w:t xml:space="preserve">, but the FDA approved </w:t>
      </w:r>
      <w:proofErr w:type="spellStart"/>
      <w:r w:rsidR="00EC7347">
        <w:t>galcanezumab</w:t>
      </w:r>
      <w:proofErr w:type="spellEnd"/>
      <w:r w:rsidR="00EC7347">
        <w:t xml:space="preserve"> without special labelling and </w:t>
      </w:r>
      <w:r w:rsidR="00BE161F">
        <w:t xml:space="preserve">without mandating specific post </w:t>
      </w:r>
      <w:r w:rsidR="00EC7347">
        <w:t>marketing</w:t>
      </w:r>
      <w:r w:rsidR="00E35D2F">
        <w:t xml:space="preserve"> studies.</w:t>
      </w:r>
    </w:p>
    <w:p w14:paraId="71DF407B" w14:textId="77777777" w:rsidR="00EC7347" w:rsidRPr="00464E9D" w:rsidRDefault="00EC7347" w:rsidP="002533FF">
      <w:r>
        <w:t xml:space="preserve">The European </w:t>
      </w:r>
      <w:r w:rsidRPr="006A2E23">
        <w:t xml:space="preserve">Committee for Medicinal Products for Human Use </w:t>
      </w:r>
      <w:r>
        <w:t xml:space="preserve">(CHMP) raised two major objections during the registration process, but subsequently approved </w:t>
      </w:r>
      <w:proofErr w:type="spellStart"/>
      <w:r>
        <w:t>galcanezumab</w:t>
      </w:r>
      <w:proofErr w:type="spellEnd"/>
      <w:r>
        <w:t xml:space="preserve">. </w:t>
      </w:r>
      <w:r w:rsidR="002F2AC8">
        <w:t>(</w:t>
      </w:r>
      <w:r w:rsidR="00CC57A7">
        <w:t>Information redacted</w:t>
      </w:r>
      <w:r w:rsidR="002F2AC8">
        <w:t>)</w:t>
      </w:r>
    </w:p>
    <w:p w14:paraId="1CB991E4" w14:textId="77777777" w:rsidR="00EC7347" w:rsidRPr="005F28EB" w:rsidRDefault="00464E9D" w:rsidP="002C7590">
      <w:pPr>
        <w:pStyle w:val="Heading5"/>
      </w:pPr>
      <w:r>
        <w:lastRenderedPageBreak/>
        <w:t>Evaluation of response</w:t>
      </w:r>
    </w:p>
    <w:p w14:paraId="161E9E30" w14:textId="77777777" w:rsidR="00EC7347" w:rsidRDefault="00EC7347" w:rsidP="00EC7347">
      <w:r>
        <w:t xml:space="preserve">This is an adequate response to the question. The interactions between </w:t>
      </w:r>
      <w:r w:rsidR="00B22E42">
        <w:t>the sponsor</w:t>
      </w:r>
      <w:r>
        <w:t>, the FDA and the CHMP touch on three issues:</w:t>
      </w:r>
    </w:p>
    <w:p w14:paraId="2FA7606B" w14:textId="77777777" w:rsidR="00EC7347" w:rsidRDefault="00EC7347" w:rsidP="00EC7347">
      <w:pPr>
        <w:numPr>
          <w:ilvl w:val="0"/>
          <w:numId w:val="34"/>
        </w:numPr>
      </w:pPr>
      <w:r>
        <w:t xml:space="preserve">Efficacy of </w:t>
      </w:r>
      <w:proofErr w:type="spellStart"/>
      <w:r>
        <w:t>galcanezumab</w:t>
      </w:r>
      <w:proofErr w:type="spellEnd"/>
      <w:r>
        <w:t xml:space="preserve"> in subjects with &lt;</w:t>
      </w:r>
      <w:r w:rsidR="0013769C">
        <w:t xml:space="preserve"> </w:t>
      </w:r>
      <w:r>
        <w:t>4 migraines per month</w:t>
      </w:r>
      <w:r w:rsidR="0013769C">
        <w:t>.</w:t>
      </w:r>
    </w:p>
    <w:p w14:paraId="432ABF90" w14:textId="77777777" w:rsidR="00EC7347" w:rsidRDefault="00EC7347" w:rsidP="00EC7347">
      <w:pPr>
        <w:numPr>
          <w:ilvl w:val="0"/>
          <w:numId w:val="34"/>
        </w:numPr>
      </w:pPr>
      <w:r>
        <w:t xml:space="preserve">Efficacy of </w:t>
      </w:r>
      <w:proofErr w:type="spellStart"/>
      <w:r>
        <w:t>galcanezumab</w:t>
      </w:r>
      <w:proofErr w:type="spellEnd"/>
      <w:r>
        <w:t xml:space="preserve"> in subjects &gt;</w:t>
      </w:r>
      <w:r w:rsidR="0013769C">
        <w:t xml:space="preserve"> </w:t>
      </w:r>
      <w:r>
        <w:t>65 years</w:t>
      </w:r>
      <w:r w:rsidR="0013769C">
        <w:t>.</w:t>
      </w:r>
    </w:p>
    <w:p w14:paraId="5A03D738" w14:textId="77777777" w:rsidR="00EC7347" w:rsidRDefault="00EC7347" w:rsidP="00EC7347">
      <w:pPr>
        <w:numPr>
          <w:ilvl w:val="0"/>
          <w:numId w:val="34"/>
        </w:numPr>
      </w:pPr>
      <w:r>
        <w:t>The theoretical potential for aggravation of ischaemic events.</w:t>
      </w:r>
    </w:p>
    <w:p w14:paraId="60646C5D" w14:textId="77777777" w:rsidR="00EC7347" w:rsidRDefault="0013769C" w:rsidP="00EC7347">
      <w:r>
        <w:t>The clinical e</w:t>
      </w:r>
      <w:r w:rsidR="00EC7347">
        <w:t xml:space="preserve">valuator agrees with the CHMP that </w:t>
      </w:r>
      <w:proofErr w:type="spellStart"/>
      <w:r w:rsidR="00EC7347">
        <w:t>galcanezumab</w:t>
      </w:r>
      <w:proofErr w:type="spellEnd"/>
      <w:r w:rsidR="00EC7347">
        <w:t xml:space="preserve"> should not be used in subjects with a baseline migraine frequency of &lt;</w:t>
      </w:r>
      <w:r>
        <w:t xml:space="preserve"> </w:t>
      </w:r>
      <w:r w:rsidR="00EC7347">
        <w:t xml:space="preserve">4 migraines per month, because efficacy has not been directly demonstrated in this population, and the potential benefit is low. As noted in </w:t>
      </w:r>
      <w:r w:rsidR="00B22E42">
        <w:t>the sponsor</w:t>
      </w:r>
      <w:r w:rsidR="00EC7347">
        <w:t xml:space="preserve">’s response, summarised above, the </w:t>
      </w:r>
      <w:r w:rsidR="00EC7347" w:rsidRPr="0013769C">
        <w:t>percent change</w:t>
      </w:r>
      <w:r w:rsidR="00EC7347">
        <w:t xml:space="preserve"> in migraine frequency achieved with </w:t>
      </w:r>
      <w:proofErr w:type="spellStart"/>
      <w:r w:rsidR="00EC7347">
        <w:t>galcanezumab</w:t>
      </w:r>
      <w:proofErr w:type="spellEnd"/>
      <w:r w:rsidR="00EC7347">
        <w:t xml:space="preserve"> is similar across the range of baseline migraine frequencies, so the total number of migraine days prevented in subjects with a low baseline migraine frequency is also expected to be low. Furthermore, the mechanisms of migraine may be different in subjects with infrequent migraine, so it is unknown whether </w:t>
      </w:r>
      <w:proofErr w:type="spellStart"/>
      <w:r w:rsidR="00EC7347">
        <w:t>galcanezumab</w:t>
      </w:r>
      <w:proofErr w:type="spellEnd"/>
      <w:r w:rsidR="00EC7347">
        <w:t xml:space="preserve"> would have substantial efficacy in subjects wi</w:t>
      </w:r>
      <w:r>
        <w:t xml:space="preserve">th 1 to </w:t>
      </w:r>
      <w:r w:rsidR="00E35D2F">
        <w:t>3 migraine days per month.</w:t>
      </w:r>
    </w:p>
    <w:p w14:paraId="079E10A4" w14:textId="3A44FAE0" w:rsidR="00EC7347" w:rsidRDefault="00EC7347" w:rsidP="00EC7347">
      <w:r>
        <w:t>The E</w:t>
      </w:r>
      <w:r w:rsidR="0013769C">
        <w:t>U</w:t>
      </w:r>
      <w:r>
        <w:t xml:space="preserve"> </w:t>
      </w:r>
      <w:r w:rsidR="001C480B" w:rsidRPr="0013769C">
        <w:t>Summ</w:t>
      </w:r>
      <w:r w:rsidR="001C480B">
        <w:t>ary of Product Characteristics (</w:t>
      </w:r>
      <w:proofErr w:type="spellStart"/>
      <w:r>
        <w:t>SmPC</w:t>
      </w:r>
      <w:proofErr w:type="spellEnd"/>
      <w:r w:rsidR="001C480B">
        <w:t>)</w:t>
      </w:r>
      <w:r>
        <w:t xml:space="preserve"> covers this issue by describing the indication as follows:</w:t>
      </w:r>
    </w:p>
    <w:p w14:paraId="55F129C9" w14:textId="290D3C8D" w:rsidR="00EC7347" w:rsidRPr="00E35D2F" w:rsidRDefault="001C480B" w:rsidP="00732E97">
      <w:pPr>
        <w:ind w:left="720"/>
        <w:rPr>
          <w:i/>
        </w:rPr>
      </w:pPr>
      <w:r>
        <w:rPr>
          <w:i/>
        </w:rPr>
        <w:t>‘</w:t>
      </w:r>
      <w:proofErr w:type="spellStart"/>
      <w:r w:rsidR="00EC7347" w:rsidRPr="00B134BE">
        <w:rPr>
          <w:i/>
        </w:rPr>
        <w:t>Emgality</w:t>
      </w:r>
      <w:proofErr w:type="spellEnd"/>
      <w:r w:rsidR="00EC7347" w:rsidRPr="00B134BE">
        <w:rPr>
          <w:i/>
        </w:rPr>
        <w:t xml:space="preserve"> is indicated for the prophylaxis of migraine in adults who have at le</w:t>
      </w:r>
      <w:r w:rsidR="00E35D2F">
        <w:rPr>
          <w:i/>
        </w:rPr>
        <w:t>ast 4</w:t>
      </w:r>
      <w:r>
        <w:rPr>
          <w:i/>
        </w:rPr>
        <w:t> </w:t>
      </w:r>
      <w:r w:rsidR="00E35D2F">
        <w:rPr>
          <w:i/>
        </w:rPr>
        <w:t>migraine days per month.</w:t>
      </w:r>
      <w:r>
        <w:rPr>
          <w:i/>
        </w:rPr>
        <w:t>’</w:t>
      </w:r>
    </w:p>
    <w:p w14:paraId="1FDCE56E" w14:textId="77777777" w:rsidR="0013769C" w:rsidRDefault="00EC7347" w:rsidP="00EC7347">
      <w:r>
        <w:t xml:space="preserve">One question to consider is whether the inappropriateness of using </w:t>
      </w:r>
      <w:proofErr w:type="spellStart"/>
      <w:r>
        <w:t>galcanezumab</w:t>
      </w:r>
      <w:proofErr w:type="spellEnd"/>
      <w:r>
        <w:t xml:space="preserve"> in subjects with infrequent migraine (&lt;</w:t>
      </w:r>
      <w:r w:rsidR="0013769C">
        <w:t xml:space="preserve"> </w:t>
      </w:r>
      <w:r>
        <w:t xml:space="preserve">4 </w:t>
      </w:r>
      <w:r w:rsidR="00713B7C">
        <w:t>MHD</w:t>
      </w:r>
      <w:r>
        <w:t xml:space="preserve"> per month) needs to be made explicit in the indication for </w:t>
      </w:r>
      <w:proofErr w:type="spellStart"/>
      <w:r>
        <w:t>galcanezumab</w:t>
      </w:r>
      <w:proofErr w:type="spellEnd"/>
      <w:r>
        <w:t>. Three main factors suggest that it is neither necessary nor appropriate to modify the PI to ment</w:t>
      </w:r>
      <w:r w:rsidR="0013769C">
        <w:t>ion this restriction explicitly:</w:t>
      </w:r>
    </w:p>
    <w:p w14:paraId="785A6587" w14:textId="77777777" w:rsidR="0013769C" w:rsidRDefault="00EC7347" w:rsidP="002C7590">
      <w:pPr>
        <w:pStyle w:val="Numberbullet0"/>
      </w:pPr>
      <w:r>
        <w:t xml:space="preserve">In general, migraine prophylaxis is not recommended in this population anyway, and most neurologists reserve migraine prophylaxis for subjects with </w:t>
      </w:r>
      <w:r w:rsidR="0013769C">
        <w:t>at least 4 migraines per month.</w:t>
      </w:r>
    </w:p>
    <w:p w14:paraId="3EF5F191" w14:textId="77777777" w:rsidR="0013769C" w:rsidRDefault="00EC7347" w:rsidP="00572B43">
      <w:pPr>
        <w:pStyle w:val="Numberbullet0"/>
      </w:pPr>
      <w:r>
        <w:t>Other agents in this class have been approved without such a restriction and, for consist</w:t>
      </w:r>
      <w:r w:rsidR="00354876">
        <w:t>ency</w:t>
      </w:r>
      <w:r>
        <w:t xml:space="preserve"> the indication for </w:t>
      </w:r>
      <w:proofErr w:type="spellStart"/>
      <w:r>
        <w:t>galcanezumab</w:t>
      </w:r>
      <w:proofErr w:type="spellEnd"/>
      <w:r>
        <w:t xml:space="preserve"> should be the same </w:t>
      </w:r>
      <w:r w:rsidR="00732E97">
        <w:t xml:space="preserve">as for agents such as </w:t>
      </w:r>
      <w:proofErr w:type="spellStart"/>
      <w:r w:rsidR="00732E97">
        <w:t>erenumab</w:t>
      </w:r>
      <w:proofErr w:type="spellEnd"/>
      <w:r w:rsidR="00732E97">
        <w:t>.</w:t>
      </w:r>
    </w:p>
    <w:p w14:paraId="7C411586" w14:textId="77777777" w:rsidR="0013769C" w:rsidRDefault="00EC7347" w:rsidP="00572B43">
      <w:pPr>
        <w:pStyle w:val="Numberbullet0"/>
      </w:pPr>
      <w:r>
        <w:t>The description of the pivotal studies in the PI clearly indicates that efficacy was assessed in subjects with at least 4 migraines per month, strongly implying that this is the target population.</w:t>
      </w:r>
    </w:p>
    <w:p w14:paraId="67E3AB51" w14:textId="77777777" w:rsidR="00EC7347" w:rsidRPr="00AF6080" w:rsidRDefault="0013769C" w:rsidP="002533FF">
      <w:r w:rsidRPr="00AF6080">
        <w:t>On balance, the e</w:t>
      </w:r>
      <w:r w:rsidR="00EC7347" w:rsidRPr="00AF6080">
        <w:t xml:space="preserve">valuator would have preferred that all agents in this class had an indication similar to the </w:t>
      </w:r>
      <w:r w:rsidRPr="00AF6080">
        <w:t>EU</w:t>
      </w:r>
      <w:r w:rsidR="00EC7347" w:rsidRPr="00AF6080">
        <w:t xml:space="preserve"> </w:t>
      </w:r>
      <w:proofErr w:type="spellStart"/>
      <w:r w:rsidR="00EC7347" w:rsidRPr="00AF6080">
        <w:t>SmPC</w:t>
      </w:r>
      <w:proofErr w:type="spellEnd"/>
      <w:r w:rsidR="00EC7347" w:rsidRPr="00AF6080">
        <w:t xml:space="preserve">, limiting use to subjects with at least 4 migraine days per month, but now that other agents have been approved without such a restriction, it is not appropriate to modify the PI for </w:t>
      </w:r>
      <w:proofErr w:type="spellStart"/>
      <w:r w:rsidR="00EC7347" w:rsidRPr="00AF6080">
        <w:t>galcanezumab</w:t>
      </w:r>
      <w:proofErr w:type="spellEnd"/>
      <w:r w:rsidR="00EC7347" w:rsidRPr="00AF6080">
        <w:t xml:space="preserve"> alone.</w:t>
      </w:r>
    </w:p>
    <w:p w14:paraId="24302329" w14:textId="77777777" w:rsidR="00EC7347" w:rsidRDefault="0013769C" w:rsidP="00EC7347">
      <w:r>
        <w:t>The e</w:t>
      </w:r>
      <w:r w:rsidR="00EC7347">
        <w:t>valuator accepts that efficacy in subjects over 65 years of age is likely to be acceptable, provided that the dia</w:t>
      </w:r>
      <w:r>
        <w:t>gnosis of migraine is correct (o</w:t>
      </w:r>
      <w:r w:rsidR="00EC7347">
        <w:t>ther causes of headache are more prevalent in older</w:t>
      </w:r>
      <w:r w:rsidR="00732E97">
        <w:t xml:space="preserve"> subjects). Like the CHMP, the e</w:t>
      </w:r>
      <w:r w:rsidR="00EC7347">
        <w:t>valuator does not propose any absolute</w:t>
      </w:r>
      <w:r w:rsidR="00E35D2F">
        <w:t xml:space="preserve"> restriction in this age group.</w:t>
      </w:r>
    </w:p>
    <w:p w14:paraId="65C1A27A" w14:textId="77777777" w:rsidR="00EC7347" w:rsidRPr="003E1672" w:rsidRDefault="00EC7347" w:rsidP="00EC7347">
      <w:r>
        <w:t>Like the FDA and CH</w:t>
      </w:r>
      <w:r w:rsidR="00732E97">
        <w:t>MP, the e</w:t>
      </w:r>
      <w:r w:rsidR="00BE161F">
        <w:t>valuator has ongoing</w:t>
      </w:r>
      <w:r>
        <w:t xml:space="preserve"> concerns that agents targeting CGRP or its receptor might increase the risk of ischaemic events. This theoretical risk should be mentioned in the PI, and it should be a focus of post</w:t>
      </w:r>
      <w:r w:rsidR="00BE161F">
        <w:t xml:space="preserve"> </w:t>
      </w:r>
      <w:r>
        <w:t>marketing risk management. The results of the PASS study should be submitted when these are available. The currently proposed version of the PI does not include a suitable warning about this potential risk; the PI should be modified to include a warning, using similar or identical wording to the E</w:t>
      </w:r>
      <w:r w:rsidR="00732E97">
        <w:t xml:space="preserve">U </w:t>
      </w:r>
      <w:proofErr w:type="spellStart"/>
      <w:r w:rsidR="00732E97">
        <w:t>SmPC</w:t>
      </w:r>
      <w:proofErr w:type="spellEnd"/>
      <w:r w:rsidR="00732E97">
        <w:t>.</w:t>
      </w:r>
    </w:p>
    <w:p w14:paraId="50830034" w14:textId="77777777" w:rsidR="00EC7347" w:rsidRPr="00E35D2F" w:rsidRDefault="00EC7347" w:rsidP="00464E9D">
      <w:pPr>
        <w:pStyle w:val="Heading4"/>
        <w:rPr>
          <w:lang w:eastAsia="ja-JP"/>
        </w:rPr>
      </w:pPr>
      <w:bookmarkStart w:id="191" w:name="_Toc536533230"/>
      <w:r w:rsidRPr="00E35D2F">
        <w:rPr>
          <w:lang w:eastAsia="ja-JP"/>
        </w:rPr>
        <w:lastRenderedPageBreak/>
        <w:t>Question 2</w:t>
      </w:r>
      <w:bookmarkEnd w:id="191"/>
    </w:p>
    <w:p w14:paraId="4CABBB95" w14:textId="77777777" w:rsidR="00EC7347" w:rsidRPr="002533FF" w:rsidRDefault="00EC7347" w:rsidP="00EC7347">
      <w:pPr>
        <w:rPr>
          <w:b/>
          <w:i/>
        </w:rPr>
      </w:pPr>
      <w:r w:rsidRPr="002533FF">
        <w:rPr>
          <w:b/>
          <w:i/>
        </w:rPr>
        <w:t xml:space="preserve">Apart from the indirect evidence provided by the efficacy studies themselves, is there any evidence confirming that </w:t>
      </w:r>
      <w:proofErr w:type="spellStart"/>
      <w:r w:rsidRPr="002533FF">
        <w:rPr>
          <w:b/>
          <w:i/>
        </w:rPr>
        <w:t>galcanezumab</w:t>
      </w:r>
      <w:proofErr w:type="spellEnd"/>
      <w:r w:rsidRPr="002533FF">
        <w:rPr>
          <w:b/>
          <w:i/>
        </w:rPr>
        <w:t xml:space="preserve"> reaches significant concentrations in the brain, or at sites relevant to the pathogenesis of migraine?</w:t>
      </w:r>
    </w:p>
    <w:p w14:paraId="73482429" w14:textId="77777777" w:rsidR="00EC7347" w:rsidRDefault="00464E9D" w:rsidP="00464E9D">
      <w:pPr>
        <w:pStyle w:val="Heading5"/>
      </w:pPr>
      <w:r>
        <w:t>Sponsor’s r</w:t>
      </w:r>
      <w:r w:rsidR="00EC7347" w:rsidRPr="003E1672">
        <w:t>esponse</w:t>
      </w:r>
    </w:p>
    <w:p w14:paraId="31A01B5A" w14:textId="77777777" w:rsidR="00EC7347" w:rsidRPr="00732E97" w:rsidRDefault="00732E97" w:rsidP="00732E97">
      <w:r>
        <w:t>The sponsor</w:t>
      </w:r>
      <w:r w:rsidR="00EC7347" w:rsidRPr="00732E97">
        <w:t xml:space="preserve"> has not generated any data in humans regarding the distribution of </w:t>
      </w:r>
      <w:proofErr w:type="spellStart"/>
      <w:r w:rsidR="00EC7347" w:rsidRPr="00732E97">
        <w:t>galcanezumab</w:t>
      </w:r>
      <w:proofErr w:type="spellEnd"/>
      <w:r w:rsidR="00EC7347" w:rsidRPr="00732E97">
        <w:t xml:space="preserve"> in brain, or at sites relevant to the pathogenesis of migraine. However, in rats we have quantified the concentrations of </w:t>
      </w:r>
      <w:proofErr w:type="spellStart"/>
      <w:r w:rsidR="00EC7347" w:rsidRPr="00732E97">
        <w:t>galcanezumab</w:t>
      </w:r>
      <w:proofErr w:type="spellEnd"/>
      <w:r w:rsidR="00EC7347" w:rsidRPr="00732E97">
        <w:t xml:space="preserve"> in brain and in sites outside the blood-brain barrier with possible relevance to the pathogenesis of migraine, including the dura mater and trigeminal ganglion. Concentrations of </w:t>
      </w:r>
      <w:proofErr w:type="spellStart"/>
      <w:r w:rsidR="00EC7347" w:rsidRPr="00732E97">
        <w:t>galcanezumab</w:t>
      </w:r>
      <w:proofErr w:type="spellEnd"/>
      <w:r w:rsidR="00EC7347" w:rsidRPr="00732E97">
        <w:t xml:space="preserve"> in the dura mater and trigeminal ganglia were approximately 11% and 5% of plasma concentrations, respectively. Concentrations of </w:t>
      </w:r>
      <w:proofErr w:type="spellStart"/>
      <w:r w:rsidR="00EC7347" w:rsidRPr="00732E97">
        <w:t>galcanezumab</w:t>
      </w:r>
      <w:proofErr w:type="spellEnd"/>
      <w:r w:rsidR="00EC7347" w:rsidRPr="00732E97">
        <w:t xml:space="preserve"> in brain and </w:t>
      </w:r>
      <w:r>
        <w:t>CNS</w:t>
      </w:r>
      <w:r w:rsidR="00EC7347" w:rsidRPr="00732E97">
        <w:t xml:space="preserve">, including hypothalamus, prefrontal cortex, cerebellum, spinal cord, and cerebrospinal fluid were 0.1% to 0.3% of plasma concentrations. Although concentrations of </w:t>
      </w:r>
      <w:proofErr w:type="spellStart"/>
      <w:r w:rsidR="00EC7347" w:rsidRPr="00732E97">
        <w:t>galcanezumab</w:t>
      </w:r>
      <w:proofErr w:type="spellEnd"/>
      <w:r w:rsidR="00EC7347" w:rsidRPr="00732E97">
        <w:t xml:space="preserve"> in brain and CNS are low relative to plasma, a central site</w:t>
      </w:r>
      <w:r>
        <w:t xml:space="preserve"> of action cannot be ruled out.</w:t>
      </w:r>
    </w:p>
    <w:p w14:paraId="6646193E" w14:textId="77777777" w:rsidR="00EC7347" w:rsidRPr="005F28EB" w:rsidRDefault="00464E9D" w:rsidP="00464E9D">
      <w:pPr>
        <w:pStyle w:val="Heading5"/>
      </w:pPr>
      <w:r>
        <w:t>Evaluation of response</w:t>
      </w:r>
    </w:p>
    <w:p w14:paraId="2A435FA7" w14:textId="77777777" w:rsidR="00EC7347" w:rsidRPr="003E1672" w:rsidRDefault="00EC7347" w:rsidP="00EC7347">
      <w:r>
        <w:t xml:space="preserve">This is an adequate response. It remains unclear whether </w:t>
      </w:r>
      <w:proofErr w:type="spellStart"/>
      <w:r>
        <w:t>galcanezumab</w:t>
      </w:r>
      <w:proofErr w:type="spellEnd"/>
      <w:r>
        <w:t xml:space="preserve"> achieves significant concentrations at migraine effector sites, and its precise mechanism of action remains uncertain, but this is also true of other agents in this class. The efficacy studies demonstrate that, despite probable poor penetration into the CNS, </w:t>
      </w:r>
      <w:proofErr w:type="spellStart"/>
      <w:r>
        <w:t>galcanezumab</w:t>
      </w:r>
      <w:proofErr w:type="spellEnd"/>
      <w:r>
        <w:t xml:space="preserve"> nonetheless produces a modest anti-migraine effect.</w:t>
      </w:r>
    </w:p>
    <w:p w14:paraId="75B9545E" w14:textId="77777777" w:rsidR="00EC7347" w:rsidRPr="00E35D2F" w:rsidRDefault="00EC7347" w:rsidP="00464E9D">
      <w:pPr>
        <w:pStyle w:val="Heading4"/>
        <w:rPr>
          <w:lang w:eastAsia="ja-JP"/>
        </w:rPr>
      </w:pPr>
      <w:bookmarkStart w:id="192" w:name="_Toc536533231"/>
      <w:r w:rsidRPr="00E35D2F">
        <w:rPr>
          <w:lang w:eastAsia="ja-JP"/>
        </w:rPr>
        <w:t>Question 3</w:t>
      </w:r>
      <w:bookmarkEnd w:id="192"/>
    </w:p>
    <w:p w14:paraId="61E69E05" w14:textId="77777777" w:rsidR="00EC7347" w:rsidRPr="002533FF" w:rsidRDefault="00BE161F" w:rsidP="00732E97">
      <w:pPr>
        <w:rPr>
          <w:b/>
          <w:i/>
        </w:rPr>
      </w:pPr>
      <w:r w:rsidRPr="002533FF">
        <w:rPr>
          <w:b/>
          <w:i/>
        </w:rPr>
        <w:t xml:space="preserve">What is the extent of intra </w:t>
      </w:r>
      <w:r w:rsidR="00EC7347" w:rsidRPr="002533FF">
        <w:rPr>
          <w:b/>
          <w:i/>
        </w:rPr>
        <w:t xml:space="preserve">individual variability in the </w:t>
      </w:r>
      <w:r w:rsidR="007004FC" w:rsidRPr="002533FF">
        <w:rPr>
          <w:b/>
          <w:i/>
        </w:rPr>
        <w:t>PK</w:t>
      </w:r>
      <w:r w:rsidR="00EC7347" w:rsidRPr="002533FF">
        <w:rPr>
          <w:b/>
          <w:i/>
        </w:rPr>
        <w:t xml:space="preserve"> of </w:t>
      </w:r>
      <w:proofErr w:type="spellStart"/>
      <w:r w:rsidR="00EC7347" w:rsidRPr="002533FF">
        <w:rPr>
          <w:b/>
          <w:i/>
        </w:rPr>
        <w:t>galcanezumab</w:t>
      </w:r>
      <w:proofErr w:type="spellEnd"/>
      <w:r w:rsidR="00EC7347" w:rsidRPr="002533FF">
        <w:rPr>
          <w:b/>
          <w:i/>
        </w:rPr>
        <w:t>?</w:t>
      </w:r>
    </w:p>
    <w:p w14:paraId="67491A07" w14:textId="77777777" w:rsidR="00EC7347" w:rsidRPr="00732E97" w:rsidRDefault="00464E9D" w:rsidP="00464E9D">
      <w:pPr>
        <w:pStyle w:val="Heading5"/>
      </w:pPr>
      <w:r>
        <w:t>Sponsor’s r</w:t>
      </w:r>
      <w:r w:rsidR="00EC7347" w:rsidRPr="00732E97">
        <w:t>esponse</w:t>
      </w:r>
    </w:p>
    <w:p w14:paraId="7A78742D" w14:textId="77777777" w:rsidR="00EC7347" w:rsidRPr="00732E97" w:rsidRDefault="00BE161F" w:rsidP="00732E97">
      <w:r>
        <w:t xml:space="preserve">Intra </w:t>
      </w:r>
      <w:r w:rsidR="00EC7347" w:rsidRPr="00732E97">
        <w:t xml:space="preserve">individual variability was not specifically estimated in the population </w:t>
      </w:r>
      <w:r w:rsidR="00732E97">
        <w:t>PK</w:t>
      </w:r>
      <w:r w:rsidR="00EC7347" w:rsidRPr="00732E97">
        <w:t xml:space="preserve"> analysis. However residual variability, which inclu</w:t>
      </w:r>
      <w:r>
        <w:t xml:space="preserve">des but is not limited to intra </w:t>
      </w:r>
      <w:r w:rsidR="00EC7347" w:rsidRPr="00732E97">
        <w:t>subject variability, was estimated. The residual variability was moderately lo</w:t>
      </w:r>
      <w:r>
        <w:t>w at 22%, suggesting that intra </w:t>
      </w:r>
      <w:r w:rsidR="00EC7347" w:rsidRPr="00732E97">
        <w:t>individual variability is likely to be low to moderate.</w:t>
      </w:r>
    </w:p>
    <w:p w14:paraId="7A0DE94A" w14:textId="77777777" w:rsidR="00EC7347" w:rsidRPr="00732E97" w:rsidRDefault="00EC7347" w:rsidP="00732E97">
      <w:r w:rsidRPr="00732E97">
        <w:t>In addition, to evalua</w:t>
      </w:r>
      <w:r w:rsidR="00BE161F">
        <w:t xml:space="preserve">te sufficiently intra </w:t>
      </w:r>
      <w:r w:rsidRPr="00732E97">
        <w:t>individual variability in the PK model and to differentiate it from residual error, multiple PK blood draws per patient at each visit across multiple visits are required. This sampling design appr</w:t>
      </w:r>
      <w:r w:rsidR="00732E97">
        <w:t>oach was not employed in Phase II and Phase III</w:t>
      </w:r>
      <w:r w:rsidRPr="00732E97">
        <w:t xml:space="preserve"> studies, because additional patient and site burden would have been incurred with a more complex P</w:t>
      </w:r>
      <w:r w:rsidR="00732E97">
        <w:t>K sampling design.</w:t>
      </w:r>
    </w:p>
    <w:p w14:paraId="02BBC156" w14:textId="77777777" w:rsidR="00EC7347" w:rsidRPr="005F28EB" w:rsidRDefault="00464E9D" w:rsidP="00464E9D">
      <w:pPr>
        <w:pStyle w:val="Heading5"/>
      </w:pPr>
      <w:r>
        <w:t>Evaluation of response</w:t>
      </w:r>
    </w:p>
    <w:p w14:paraId="77F4A0AF" w14:textId="77777777" w:rsidR="00EC7347" w:rsidRPr="003E1672" w:rsidRDefault="00EC7347" w:rsidP="00EC7347">
      <w:r>
        <w:t xml:space="preserve">This is an adequate response. </w:t>
      </w:r>
      <w:r w:rsidR="00404F61">
        <w:t>The sponsor</w:t>
      </w:r>
      <w:r>
        <w:t>’s conclu</w:t>
      </w:r>
      <w:r w:rsidR="00BE161F">
        <w:t>sions about the extent of intra </w:t>
      </w:r>
      <w:r>
        <w:t>individual vari</w:t>
      </w:r>
      <w:r w:rsidR="00732E97">
        <w:t>ability do not differ from the e</w:t>
      </w:r>
      <w:r>
        <w:t xml:space="preserve">valuators. </w:t>
      </w:r>
      <w:r w:rsidR="00404F61">
        <w:t>The sponsor</w:t>
      </w:r>
      <w:r>
        <w:t xml:space="preserve">’s comments have been incorporated into the </w:t>
      </w:r>
      <w:r w:rsidR="007004FC">
        <w:t>PK</w:t>
      </w:r>
      <w:r>
        <w:t xml:space="preserve"> section of </w:t>
      </w:r>
      <w:r w:rsidR="00BE161F">
        <w:t>the second round clinical evaluation r</w:t>
      </w:r>
      <w:r w:rsidR="00732E97">
        <w:t>eport</w:t>
      </w:r>
      <w:r>
        <w:t>.</w:t>
      </w:r>
    </w:p>
    <w:p w14:paraId="7EC54C5D" w14:textId="77777777" w:rsidR="00EC7347" w:rsidRPr="00E35D2F" w:rsidRDefault="00EC7347" w:rsidP="00464E9D">
      <w:pPr>
        <w:pStyle w:val="Heading4"/>
        <w:rPr>
          <w:lang w:eastAsia="ja-JP"/>
        </w:rPr>
      </w:pPr>
      <w:bookmarkStart w:id="193" w:name="_Toc536533232"/>
      <w:r w:rsidRPr="00E35D2F">
        <w:rPr>
          <w:lang w:eastAsia="ja-JP"/>
        </w:rPr>
        <w:t>Question 4</w:t>
      </w:r>
      <w:bookmarkEnd w:id="193"/>
    </w:p>
    <w:p w14:paraId="720F8730" w14:textId="77777777" w:rsidR="00EC7347" w:rsidRPr="002533FF" w:rsidRDefault="00EC7347" w:rsidP="00732E97">
      <w:pPr>
        <w:rPr>
          <w:b/>
          <w:i/>
        </w:rPr>
      </w:pPr>
      <w:r w:rsidRPr="002533FF">
        <w:rPr>
          <w:b/>
          <w:i/>
        </w:rPr>
        <w:t>Please provide a list of AEs or TEAEs thought by investigators to be potentially causally related to treatment.</w:t>
      </w:r>
    </w:p>
    <w:p w14:paraId="58C242EF" w14:textId="77777777" w:rsidR="00EC7347" w:rsidRPr="00732E97" w:rsidRDefault="00464E9D" w:rsidP="00464E9D">
      <w:pPr>
        <w:pStyle w:val="Heading5"/>
      </w:pPr>
      <w:r>
        <w:t>Sponsor’s r</w:t>
      </w:r>
      <w:r w:rsidR="00EC7347" w:rsidRPr="00732E97">
        <w:t>esponse</w:t>
      </w:r>
    </w:p>
    <w:p w14:paraId="2F8EA676" w14:textId="28A09800" w:rsidR="000212B9" w:rsidRPr="00732E97" w:rsidRDefault="00404F61" w:rsidP="00732E97">
      <w:r w:rsidRPr="00732E97">
        <w:t>The sponsor</w:t>
      </w:r>
      <w:r w:rsidR="007004FC">
        <w:t xml:space="preserve"> has provided</w:t>
      </w:r>
      <w:r w:rsidR="007F1E71">
        <w:t xml:space="preserve"> </w:t>
      </w:r>
      <w:r w:rsidR="007F1E71">
        <w:fldChar w:fldCharType="begin"/>
      </w:r>
      <w:r w:rsidR="007F1E71">
        <w:instrText xml:space="preserve"> REF _Ref19013179 \h </w:instrText>
      </w:r>
      <w:r w:rsidR="007F1E71">
        <w:fldChar w:fldCharType="separate"/>
      </w:r>
      <w:r w:rsidR="007F1E71">
        <w:t xml:space="preserve">Table </w:t>
      </w:r>
      <w:r w:rsidR="007F1E71">
        <w:rPr>
          <w:noProof/>
        </w:rPr>
        <w:t>23</w:t>
      </w:r>
      <w:r w:rsidR="007F1E71">
        <w:fldChar w:fldCharType="end"/>
      </w:r>
      <w:r w:rsidR="00EC7347" w:rsidRPr="00732E97">
        <w:t>, which has also been incorporated into the Safety section o</w:t>
      </w:r>
      <w:r w:rsidR="00732E97">
        <w:t>f the clinical dossier</w:t>
      </w:r>
      <w:r w:rsidR="00EC7347" w:rsidRPr="00732E97">
        <w:t xml:space="preserve">. </w:t>
      </w:r>
      <w:r w:rsidRPr="00732E97">
        <w:t>The sponsor</w:t>
      </w:r>
      <w:r w:rsidR="00EC7347" w:rsidRPr="00732E97">
        <w:t xml:space="preserve"> also commented</w:t>
      </w:r>
      <w:r w:rsidR="007004FC">
        <w:t xml:space="preserve"> as follows.</w:t>
      </w:r>
    </w:p>
    <w:p w14:paraId="0E94DC54" w14:textId="77777777" w:rsidR="00EC7347" w:rsidRPr="00732E97" w:rsidRDefault="00EC7347" w:rsidP="00732E97">
      <w:r w:rsidRPr="00732E97">
        <w:lastRenderedPageBreak/>
        <w:t xml:space="preserve">Overall, the frequency of these 18 TEAEs that occurred at </w:t>
      </w:r>
      <w:r w:rsidR="007C1D3A">
        <w:t xml:space="preserve">≥ </w:t>
      </w:r>
      <w:r w:rsidRPr="00732E97">
        <w:t>2% in</w:t>
      </w:r>
      <w:r w:rsidR="00BE161F">
        <w:t xml:space="preserve"> </w:t>
      </w:r>
      <w:proofErr w:type="spellStart"/>
      <w:r w:rsidR="00BE161F">
        <w:t>galcanezumab</w:t>
      </w:r>
      <w:proofErr w:type="spellEnd"/>
      <w:r w:rsidR="00BE161F">
        <w:t xml:space="preserve"> </w:t>
      </w:r>
      <w:r w:rsidRPr="00732E97">
        <w:t xml:space="preserve">treated patients attributed to study treatment were balanced between patients receiving placebo and </w:t>
      </w:r>
      <w:proofErr w:type="spellStart"/>
      <w:r w:rsidRPr="00732E97">
        <w:t>galcanezumab</w:t>
      </w:r>
      <w:proofErr w:type="spellEnd"/>
      <w:r w:rsidRPr="00732E97">
        <w:t xml:space="preserve">. For the majority of TEAEs identified, the percentage of patients with events attributed to study drug by investigators is substantially lower than the overall percentage of patients that reported the event. The 4 event terms (highlighted in </w:t>
      </w:r>
      <w:r w:rsidR="007C1D3A" w:rsidRPr="00732E97">
        <w:t>grey</w:t>
      </w:r>
      <w:r w:rsidRPr="00732E97">
        <w:t xml:space="preserve"> shading in </w:t>
      </w:r>
      <w:r w:rsidR="007004FC">
        <w:t>Table 23</w:t>
      </w:r>
      <w:r w:rsidRPr="00732E97">
        <w:t xml:space="preserve">) that capture AEs related to injection sites are the primary exception, with study investigators consistently attributing AEs to treatment for these terms and in at a higher percentage in the </w:t>
      </w:r>
      <w:proofErr w:type="spellStart"/>
      <w:r w:rsidRPr="00732E97">
        <w:t>galcanezumab</w:t>
      </w:r>
      <w:proofErr w:type="spellEnd"/>
      <w:r w:rsidRPr="00732E97">
        <w:t xml:space="preserve"> pooled dose group compared to placebo. Of note, these AEs related to injection sites have already been identi</w:t>
      </w:r>
      <w:r w:rsidR="007C1D3A">
        <w:t>fied as adverse drug reactions.</w:t>
      </w:r>
    </w:p>
    <w:p w14:paraId="7FD545B9" w14:textId="7267F54A" w:rsidR="00EC7347" w:rsidRPr="00732E97" w:rsidRDefault="007F1E71" w:rsidP="007F1E71">
      <w:pPr>
        <w:pStyle w:val="TableTitle"/>
      </w:pPr>
      <w:bookmarkStart w:id="194" w:name="_Ref19013179"/>
      <w:bookmarkStart w:id="195" w:name="_Toc536533323"/>
      <w:r>
        <w:t xml:space="preserve">Table </w:t>
      </w:r>
      <w:fldSimple w:instr=" SEQ Table \* ARABIC ">
        <w:r>
          <w:rPr>
            <w:noProof/>
          </w:rPr>
          <w:t>23</w:t>
        </w:r>
      </w:fldSimple>
      <w:bookmarkEnd w:id="194"/>
      <w:r w:rsidR="007C1D3A">
        <w:t>:</w:t>
      </w:r>
      <w:r w:rsidR="00EC7347" w:rsidRPr="00732E97">
        <w:t xml:space="preserve"> </w:t>
      </w:r>
      <w:r w:rsidR="007C1D3A">
        <w:t>C</w:t>
      </w:r>
      <w:r w:rsidR="007C1D3A" w:rsidRPr="00732E97">
        <w:t>ommon trea</w:t>
      </w:r>
      <w:r w:rsidR="00BE161F">
        <w:t xml:space="preserve">tment </w:t>
      </w:r>
      <w:r w:rsidR="007C1D3A" w:rsidRPr="00732E97">
        <w:t>emergent adverse events reported ≥</w:t>
      </w:r>
      <w:r w:rsidR="007C1D3A">
        <w:t xml:space="preserve"> </w:t>
      </w:r>
      <w:r w:rsidR="007C1D3A" w:rsidRPr="00732E97">
        <w:t>2% among</w:t>
      </w:r>
      <w:r w:rsidR="00BE161F">
        <w:t xml:space="preserve"> </w:t>
      </w:r>
      <w:proofErr w:type="spellStart"/>
      <w:r w:rsidR="00BE161F">
        <w:t>galcanezumab</w:t>
      </w:r>
      <w:proofErr w:type="spellEnd"/>
      <w:r w:rsidR="00BE161F">
        <w:t xml:space="preserve"> </w:t>
      </w:r>
      <w:r w:rsidR="007C1D3A">
        <w:t>treated patients</w:t>
      </w:r>
      <w:r w:rsidR="00B271C9">
        <w:t>,</w:t>
      </w:r>
      <w:r w:rsidR="007C1D3A">
        <w:t xml:space="preserve"> Analysis S</w:t>
      </w:r>
      <w:r w:rsidR="007C1D3A" w:rsidRPr="00732E97">
        <w:t xml:space="preserve">et </w:t>
      </w:r>
      <w:bookmarkEnd w:id="195"/>
      <w:r w:rsidR="007C1D3A">
        <w:t>A</w:t>
      </w:r>
    </w:p>
    <w:p w14:paraId="33E0C7CA" w14:textId="77777777" w:rsidR="00EC7347" w:rsidRDefault="00EC7347" w:rsidP="00EC7347">
      <w:r>
        <w:rPr>
          <w:noProof/>
          <w:lang w:eastAsia="en-AU"/>
        </w:rPr>
        <w:drawing>
          <wp:inline distT="0" distB="0" distL="0" distR="0" wp14:anchorId="3DD355A0" wp14:editId="6F88A946">
            <wp:extent cx="5405932" cy="3906280"/>
            <wp:effectExtent l="0" t="0" r="4445" b="0"/>
            <wp:docPr id="26" name="Picture 26" descr="Common treatment-emergent adverse events reported ≥ 2% among galcanezumab-treated patients Analysis Se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4927" cy="3905554"/>
                    </a:xfrm>
                    <a:prstGeom prst="rect">
                      <a:avLst/>
                    </a:prstGeom>
                    <a:noFill/>
                    <a:ln>
                      <a:noFill/>
                    </a:ln>
                  </pic:spPr>
                </pic:pic>
              </a:graphicData>
            </a:graphic>
          </wp:inline>
        </w:drawing>
      </w:r>
    </w:p>
    <w:p w14:paraId="515D5458" w14:textId="77777777" w:rsidR="00EC7347" w:rsidRPr="005F28EB" w:rsidRDefault="00464E9D" w:rsidP="00464E9D">
      <w:pPr>
        <w:pStyle w:val="Heading5"/>
      </w:pPr>
      <w:r>
        <w:t>Evaluation of response</w:t>
      </w:r>
    </w:p>
    <w:p w14:paraId="04798425" w14:textId="77777777" w:rsidR="00EC7347" w:rsidRPr="003E1672" w:rsidRDefault="00EC7347" w:rsidP="00EC7347">
      <w:r>
        <w:t xml:space="preserve">This is an adequate response. Most of the common events indicated as having a possible causal relation to treatment occurred with a similar frequency in recipients of </w:t>
      </w:r>
      <w:proofErr w:type="spellStart"/>
      <w:r>
        <w:t>galcanezumab</w:t>
      </w:r>
      <w:proofErr w:type="spellEnd"/>
      <w:r>
        <w:t xml:space="preserve"> and placebo. The four exceptions, highlighted in grey above, were already identified by </w:t>
      </w:r>
      <w:r w:rsidR="00B22E42">
        <w:t>the sponsor</w:t>
      </w:r>
      <w:r>
        <w:t xml:space="preserve"> as adverse drug reactions, and all relate to the injection site. This extra data raises no new safety concerns.</w:t>
      </w:r>
    </w:p>
    <w:p w14:paraId="44CF408E" w14:textId="77777777" w:rsidR="00EC7347" w:rsidRPr="007C1D3A" w:rsidRDefault="00EC7347" w:rsidP="00464E9D">
      <w:pPr>
        <w:pStyle w:val="Heading4"/>
      </w:pPr>
      <w:bookmarkStart w:id="196" w:name="_Toc536533233"/>
      <w:r w:rsidRPr="007C1D3A">
        <w:t>Question 5</w:t>
      </w:r>
      <w:bookmarkEnd w:id="196"/>
    </w:p>
    <w:p w14:paraId="5DEC5B81" w14:textId="77777777" w:rsidR="00EC7347" w:rsidRPr="002533FF" w:rsidRDefault="00EC7347" w:rsidP="007C1D3A">
      <w:pPr>
        <w:rPr>
          <w:b/>
          <w:i/>
        </w:rPr>
      </w:pPr>
      <w:r w:rsidRPr="002533FF">
        <w:rPr>
          <w:b/>
          <w:i/>
        </w:rPr>
        <w:t xml:space="preserve">Please discuss the likely safety of combination therapy with </w:t>
      </w:r>
      <w:proofErr w:type="spellStart"/>
      <w:r w:rsidRPr="002533FF">
        <w:rPr>
          <w:b/>
          <w:i/>
        </w:rPr>
        <w:t>galcanezumab</w:t>
      </w:r>
      <w:proofErr w:type="spellEnd"/>
      <w:r w:rsidRPr="002533FF">
        <w:rPr>
          <w:b/>
          <w:i/>
        </w:rPr>
        <w:t xml:space="preserve"> and other agents affecting CGRP, such as </w:t>
      </w:r>
      <w:proofErr w:type="spellStart"/>
      <w:r w:rsidRPr="002533FF">
        <w:rPr>
          <w:b/>
          <w:i/>
        </w:rPr>
        <w:t>erenumab</w:t>
      </w:r>
      <w:proofErr w:type="spellEnd"/>
      <w:r w:rsidRPr="002533FF">
        <w:rPr>
          <w:b/>
          <w:i/>
        </w:rPr>
        <w:t>.</w:t>
      </w:r>
    </w:p>
    <w:p w14:paraId="4F7F4E7C" w14:textId="77777777" w:rsidR="00EC7347" w:rsidRPr="007C1D3A" w:rsidRDefault="00464E9D" w:rsidP="00464E9D">
      <w:pPr>
        <w:pStyle w:val="Heading5"/>
      </w:pPr>
      <w:r>
        <w:t>Sponsor’s r</w:t>
      </w:r>
      <w:r w:rsidR="00EC7347" w:rsidRPr="007C1D3A">
        <w:t>esponse</w:t>
      </w:r>
    </w:p>
    <w:p w14:paraId="31A4E3C4" w14:textId="77777777" w:rsidR="00B271C9" w:rsidRDefault="00404F61" w:rsidP="007C1D3A">
      <w:r w:rsidRPr="007C1D3A">
        <w:t>The sponsor</w:t>
      </w:r>
      <w:r w:rsidR="00EC7347" w:rsidRPr="007C1D3A">
        <w:t xml:space="preserve"> begins the response with the following comments:</w:t>
      </w:r>
    </w:p>
    <w:p w14:paraId="61F2D717" w14:textId="66E3A284" w:rsidR="00EC7347" w:rsidRPr="007C1D3A" w:rsidRDefault="00B271C9" w:rsidP="00E27356">
      <w:pPr>
        <w:ind w:left="720" w:firstLine="45"/>
      </w:pPr>
      <w:r>
        <w:t>‘</w:t>
      </w:r>
      <w:r w:rsidR="00EC7347" w:rsidRPr="007C1D3A">
        <w:t xml:space="preserve">There are no clinical studies at present which combine </w:t>
      </w:r>
      <w:proofErr w:type="spellStart"/>
      <w:r w:rsidR="00EC7347" w:rsidRPr="007C1D3A">
        <w:t>galcanezumab</w:t>
      </w:r>
      <w:proofErr w:type="spellEnd"/>
      <w:r w:rsidR="00EC7347" w:rsidRPr="007C1D3A">
        <w:t xml:space="preserve"> and other agents targeting CGRP, such as </w:t>
      </w:r>
      <w:proofErr w:type="spellStart"/>
      <w:r w:rsidR="00EC7347" w:rsidRPr="007C1D3A">
        <w:t>erenumab</w:t>
      </w:r>
      <w:proofErr w:type="spellEnd"/>
      <w:r w:rsidR="00EC7347" w:rsidRPr="007C1D3A">
        <w:t xml:space="preserve">. Therefore, any discussion regarding the safety of combining these agents in the absence of direct data is speculative. </w:t>
      </w:r>
      <w:r w:rsidR="00EC7347" w:rsidRPr="007C1D3A">
        <w:lastRenderedPageBreak/>
        <w:t xml:space="preserve">However as discussed below, it would not be expected that the safety of the combination would lead to a safety profile different from the individual </w:t>
      </w:r>
      <w:proofErr w:type="spellStart"/>
      <w:r w:rsidR="007C1D3A">
        <w:t>mAb</w:t>
      </w:r>
      <w:proofErr w:type="spellEnd"/>
      <w:r w:rsidR="00EC7347" w:rsidRPr="007C1D3A">
        <w:t xml:space="preserve"> established profile.</w:t>
      </w:r>
      <w:r>
        <w:t>’</w:t>
      </w:r>
    </w:p>
    <w:p w14:paraId="3C328AB6" w14:textId="77777777" w:rsidR="00EC7347" w:rsidRPr="007C1D3A" w:rsidRDefault="00404F61" w:rsidP="007C1D3A">
      <w:r w:rsidRPr="007C1D3A">
        <w:t>The sponsor</w:t>
      </w:r>
      <w:r w:rsidR="00EC7347" w:rsidRPr="007C1D3A">
        <w:t xml:space="preserve"> then explains why it is unlikely that such agents would have any PK interactions</w:t>
      </w:r>
      <w:r w:rsidR="00E35D2F" w:rsidRPr="007C1D3A">
        <w:t>; these arguments are accepted.</w:t>
      </w:r>
    </w:p>
    <w:p w14:paraId="7A003D88" w14:textId="77777777" w:rsidR="00EC7347" w:rsidRPr="007C1D3A" w:rsidRDefault="00404F61" w:rsidP="007C1D3A">
      <w:r w:rsidRPr="007C1D3A">
        <w:t>The sponsor</w:t>
      </w:r>
      <w:r w:rsidR="00EC7347" w:rsidRPr="007C1D3A">
        <w:t xml:space="preserve"> also argues that it is unlikely that such agents would be subject to PD interactions, focussing on the combination of </w:t>
      </w:r>
      <w:proofErr w:type="spellStart"/>
      <w:r w:rsidR="00EC7347" w:rsidRPr="007C1D3A">
        <w:t>galcanezumab</w:t>
      </w:r>
      <w:proofErr w:type="spellEnd"/>
      <w:r w:rsidR="00EC7347" w:rsidRPr="007C1D3A">
        <w:t xml:space="preserve"> and </w:t>
      </w:r>
      <w:proofErr w:type="spellStart"/>
      <w:r w:rsidR="00EC7347" w:rsidRPr="007C1D3A">
        <w:t>erenumab</w:t>
      </w:r>
      <w:proofErr w:type="spellEnd"/>
      <w:r w:rsidR="00EC7347" w:rsidRPr="007C1D3A">
        <w:t xml:space="preserve">. Basically, </w:t>
      </w:r>
      <w:r w:rsidR="00B22E42" w:rsidRPr="007C1D3A">
        <w:t>the sponsor</w:t>
      </w:r>
      <w:r w:rsidR="00EC7347" w:rsidRPr="007C1D3A">
        <w:t xml:space="preserve"> proposes that, in the presence of </w:t>
      </w:r>
      <w:proofErr w:type="spellStart"/>
      <w:r w:rsidR="00EC7347" w:rsidRPr="007C1D3A">
        <w:t>galcanezumab</w:t>
      </w:r>
      <w:proofErr w:type="spellEnd"/>
      <w:r w:rsidR="00EC7347" w:rsidRPr="007C1D3A">
        <w:t xml:space="preserve">, so little free, unbound CGRP exists that blockade of CGRP receptors by </w:t>
      </w:r>
      <w:proofErr w:type="spellStart"/>
      <w:r w:rsidR="00EC7347" w:rsidRPr="007C1D3A">
        <w:t>erenumab</w:t>
      </w:r>
      <w:proofErr w:type="spellEnd"/>
      <w:r w:rsidR="00EC7347" w:rsidRPr="007C1D3A">
        <w:t xml:space="preserve"> would be unlikely to produce any further effect. “Overall, given that a majority of CGRP is expected to be bound by </w:t>
      </w:r>
      <w:proofErr w:type="spellStart"/>
      <w:r w:rsidR="00EC7347" w:rsidRPr="007C1D3A">
        <w:t>galcanezumab</w:t>
      </w:r>
      <w:proofErr w:type="spellEnd"/>
      <w:r w:rsidR="00EC7347" w:rsidRPr="007C1D3A">
        <w:t xml:space="preserve"> and </w:t>
      </w:r>
      <w:proofErr w:type="spellStart"/>
      <w:r w:rsidR="00EC7347" w:rsidRPr="007C1D3A">
        <w:t>erenumab</w:t>
      </w:r>
      <w:proofErr w:type="spellEnd"/>
      <w:r w:rsidR="00EC7347" w:rsidRPr="007C1D3A">
        <w:t xml:space="preserve"> data suggests saturable CGRP receptor blockade, the degree to which CGRP can be affected by co</w:t>
      </w:r>
      <w:r w:rsidR="007C1D3A">
        <w:t>-</w:t>
      </w:r>
      <w:r w:rsidR="00EC7347" w:rsidRPr="007C1D3A">
        <w:t xml:space="preserve">administration appears minimal. However, the relationship between CGRP biological activity and safety is currently unknown.” This argument appears theoretically plausible, but the safety and efficacy of such combinations are unknown, so it would be prudent to avoid such combinations. Furthermore, if the agents are not expected to produce any </w:t>
      </w:r>
      <w:proofErr w:type="spellStart"/>
      <w:r w:rsidR="00EC7347" w:rsidRPr="007C1D3A">
        <w:t>pharmacodynamic</w:t>
      </w:r>
      <w:proofErr w:type="spellEnd"/>
      <w:r w:rsidR="00EC7347" w:rsidRPr="007C1D3A">
        <w:t xml:space="preserve"> synergism, then combining them is also unlikely to produce additional benefit over use of a single agent.</w:t>
      </w:r>
    </w:p>
    <w:p w14:paraId="76458D4E" w14:textId="77777777" w:rsidR="00EC7347" w:rsidRPr="007C1D3A" w:rsidRDefault="00EC7347" w:rsidP="007C1D3A">
      <w:r w:rsidRPr="007C1D3A">
        <w:t xml:space="preserve">Finally, </w:t>
      </w:r>
      <w:r w:rsidR="00B22E42" w:rsidRPr="007C1D3A">
        <w:t>the sponsor</w:t>
      </w:r>
      <w:r w:rsidRPr="007C1D3A">
        <w:t xml:space="preserve"> argues that </w:t>
      </w:r>
      <w:r w:rsidR="003C76F3">
        <w:t>ADA</w:t>
      </w:r>
      <w:r w:rsidRPr="007C1D3A">
        <w:t xml:space="preserve"> generated in response to one agent are unlikely to cross react with another agent in t</w:t>
      </w:r>
      <w:r w:rsidR="0013769C" w:rsidRPr="007C1D3A">
        <w:t>h</w:t>
      </w:r>
      <w:r w:rsidRPr="007C1D3A">
        <w:t>is class; these arguments are accepted.</w:t>
      </w:r>
    </w:p>
    <w:p w14:paraId="654ACFC3" w14:textId="77777777" w:rsidR="00EC7347" w:rsidRPr="005F28EB" w:rsidRDefault="00464E9D" w:rsidP="00464E9D">
      <w:pPr>
        <w:pStyle w:val="Heading5"/>
      </w:pPr>
      <w:r>
        <w:t>Evaluation of response</w:t>
      </w:r>
    </w:p>
    <w:p w14:paraId="0211515F" w14:textId="77777777" w:rsidR="006136D7" w:rsidRPr="00605AD4" w:rsidRDefault="00404F61" w:rsidP="00E35D2F">
      <w:pPr>
        <w:rPr>
          <w:lang w:eastAsia="ja-JP"/>
        </w:rPr>
      </w:pPr>
      <w:r>
        <w:rPr>
          <w:lang w:eastAsia="ja-JP"/>
        </w:rPr>
        <w:t>The sponsor</w:t>
      </w:r>
      <w:r w:rsidR="007C1D3A">
        <w:rPr>
          <w:lang w:eastAsia="ja-JP"/>
        </w:rPr>
        <w:t>’s response is adequate. The clinical e</w:t>
      </w:r>
      <w:r w:rsidR="00EC7347">
        <w:rPr>
          <w:lang w:eastAsia="ja-JP"/>
        </w:rPr>
        <w:t xml:space="preserve">valuator nonetheless recommends that the PI specifically advises against combining agents from this therapeutic class. There is a low but undefined risk of the combination producing </w:t>
      </w:r>
      <w:r w:rsidR="00E35D2F">
        <w:rPr>
          <w:lang w:eastAsia="ja-JP"/>
        </w:rPr>
        <w:t>unforeseen</w:t>
      </w:r>
      <w:r w:rsidR="00EC7347">
        <w:rPr>
          <w:lang w:eastAsia="ja-JP"/>
        </w:rPr>
        <w:t xml:space="preserve"> synergism compromising safety. From </w:t>
      </w:r>
      <w:r w:rsidR="00B22E42">
        <w:rPr>
          <w:lang w:eastAsia="ja-JP"/>
        </w:rPr>
        <w:t>the sponsor</w:t>
      </w:r>
      <w:r w:rsidR="00EC7347">
        <w:rPr>
          <w:lang w:eastAsia="ja-JP"/>
        </w:rPr>
        <w:t>’s own comments, and from first principles, there is a very high chance that the combination will fail to produce any useful therapeutic synergism.</w:t>
      </w:r>
    </w:p>
    <w:p w14:paraId="6D6B61B5" w14:textId="6D42E96F" w:rsidR="00605AD4" w:rsidRPr="00605AD4" w:rsidRDefault="00605AD4" w:rsidP="00546154">
      <w:pPr>
        <w:pStyle w:val="Heading3"/>
        <w:rPr>
          <w:rFonts w:eastAsia="Cambria"/>
        </w:rPr>
      </w:pPr>
      <w:bookmarkStart w:id="197" w:name="_Toc20822181"/>
      <w:r w:rsidRPr="00605AD4">
        <w:rPr>
          <w:rFonts w:eastAsia="Cambria"/>
        </w:rPr>
        <w:t xml:space="preserve">Second </w:t>
      </w:r>
      <w:r w:rsidR="002C7590">
        <w:rPr>
          <w:rFonts w:eastAsia="Cambria"/>
        </w:rPr>
        <w:t>r</w:t>
      </w:r>
      <w:r w:rsidRPr="00605AD4">
        <w:rPr>
          <w:rFonts w:eastAsia="Cambria"/>
        </w:rPr>
        <w:t xml:space="preserve">ound </w:t>
      </w:r>
      <w:r w:rsidR="002C7590">
        <w:rPr>
          <w:rFonts w:eastAsia="Cambria"/>
        </w:rPr>
        <w:t>be</w:t>
      </w:r>
      <w:r w:rsidRPr="00605AD4">
        <w:rPr>
          <w:rFonts w:eastAsia="Cambria"/>
        </w:rPr>
        <w:t>nefit-</w:t>
      </w:r>
      <w:r w:rsidR="002C7590">
        <w:rPr>
          <w:rFonts w:eastAsia="Cambria"/>
        </w:rPr>
        <w:t>r</w:t>
      </w:r>
      <w:r w:rsidRPr="00605AD4">
        <w:rPr>
          <w:rFonts w:eastAsia="Cambria"/>
        </w:rPr>
        <w:t xml:space="preserve">isk </w:t>
      </w:r>
      <w:r w:rsidR="002C7590">
        <w:rPr>
          <w:rFonts w:eastAsia="Cambria"/>
        </w:rPr>
        <w:t>a</w:t>
      </w:r>
      <w:r w:rsidRPr="00605AD4">
        <w:rPr>
          <w:rFonts w:eastAsia="Cambria"/>
        </w:rPr>
        <w:t>ssessment</w:t>
      </w:r>
      <w:bookmarkEnd w:id="197"/>
    </w:p>
    <w:p w14:paraId="4B903F70" w14:textId="6534DDBF" w:rsidR="00605AD4" w:rsidRPr="00605AD4" w:rsidRDefault="00EC7347" w:rsidP="00E35D2F">
      <w:pPr>
        <w:rPr>
          <w:lang w:eastAsia="ja-JP"/>
        </w:rPr>
      </w:pPr>
      <w:r>
        <w:rPr>
          <w:lang w:eastAsia="ja-JP"/>
        </w:rPr>
        <w:t xml:space="preserve">The benefit-risk assessment is unchanged after an evaluation of </w:t>
      </w:r>
      <w:r w:rsidR="00B22E42">
        <w:rPr>
          <w:lang w:eastAsia="ja-JP"/>
        </w:rPr>
        <w:t>the sponsor</w:t>
      </w:r>
      <w:r>
        <w:rPr>
          <w:lang w:eastAsia="ja-JP"/>
        </w:rPr>
        <w:t xml:space="preserve">’s response to the </w:t>
      </w:r>
      <w:r w:rsidR="00B271C9">
        <w:rPr>
          <w:lang w:eastAsia="ja-JP"/>
        </w:rPr>
        <w:t>first round clinical evaluation report</w:t>
      </w:r>
      <w:r w:rsidR="00E35D2F">
        <w:rPr>
          <w:lang w:eastAsia="ja-JP"/>
        </w:rPr>
        <w:t>.</w:t>
      </w:r>
    </w:p>
    <w:p w14:paraId="77DE7EA1" w14:textId="77777777" w:rsidR="008E7846" w:rsidRPr="00E41208" w:rsidRDefault="008E7846" w:rsidP="005C14B9">
      <w:pPr>
        <w:pStyle w:val="Heading2"/>
      </w:pPr>
      <w:bookmarkStart w:id="198" w:name="_Toc20822182"/>
      <w:r w:rsidRPr="00E41208">
        <w:t>V</w:t>
      </w:r>
      <w:r w:rsidR="00500337">
        <w:t>I</w:t>
      </w:r>
      <w:r w:rsidRPr="00E41208">
        <w:t xml:space="preserve">. Pharmacovigilance </w:t>
      </w:r>
      <w:r>
        <w:t>f</w:t>
      </w:r>
      <w:r w:rsidRPr="00E41208">
        <w:t>indings</w:t>
      </w:r>
      <w:bookmarkEnd w:id="109"/>
      <w:bookmarkEnd w:id="110"/>
      <w:bookmarkEnd w:id="198"/>
    </w:p>
    <w:p w14:paraId="2DACE99D" w14:textId="77777777" w:rsidR="008E7846" w:rsidRDefault="00386150" w:rsidP="008E7846">
      <w:pPr>
        <w:pStyle w:val="Heading3"/>
        <w:rPr>
          <w:lang w:eastAsia="en-AU"/>
        </w:rPr>
      </w:pPr>
      <w:bookmarkStart w:id="199" w:name="_Toc247691526"/>
      <w:bookmarkStart w:id="200" w:name="_Toc314842509"/>
      <w:bookmarkStart w:id="201" w:name="_Toc20822183"/>
      <w:r>
        <w:rPr>
          <w:lang w:eastAsia="en-AU"/>
        </w:rPr>
        <w:t>Risk m</w:t>
      </w:r>
      <w:r w:rsidR="008E7846">
        <w:rPr>
          <w:lang w:eastAsia="en-AU"/>
        </w:rPr>
        <w:t xml:space="preserve">anagement </w:t>
      </w:r>
      <w:r>
        <w:rPr>
          <w:lang w:eastAsia="en-AU"/>
        </w:rPr>
        <w:t>p</w:t>
      </w:r>
      <w:r w:rsidR="008E7846">
        <w:rPr>
          <w:lang w:eastAsia="en-AU"/>
        </w:rPr>
        <w:t>lan</w:t>
      </w:r>
      <w:bookmarkEnd w:id="199"/>
      <w:bookmarkEnd w:id="200"/>
      <w:bookmarkEnd w:id="201"/>
    </w:p>
    <w:p w14:paraId="5D8B0114" w14:textId="77777777" w:rsidR="00456765" w:rsidRDefault="00456765" w:rsidP="00456765">
      <w:pPr>
        <w:pStyle w:val="Heading4"/>
        <w:rPr>
          <w:lang w:eastAsia="en-AU"/>
        </w:rPr>
      </w:pPr>
      <w:bookmarkStart w:id="202" w:name="_Toc247691527"/>
      <w:bookmarkStart w:id="203" w:name="_Toc314842510"/>
      <w:r>
        <w:rPr>
          <w:lang w:eastAsia="en-AU"/>
        </w:rPr>
        <w:t>Summary of RMP evaluation</w:t>
      </w:r>
      <w:r>
        <w:rPr>
          <w:rStyle w:val="FootnoteReference"/>
          <w:lang w:eastAsia="en-AU"/>
        </w:rPr>
        <w:footnoteReference w:id="35"/>
      </w:r>
    </w:p>
    <w:p w14:paraId="38B53C53" w14:textId="4C4A71D1" w:rsidR="0007206D" w:rsidRDefault="005630A4" w:rsidP="00572B43">
      <w:pPr>
        <w:pStyle w:val="ListBullet"/>
      </w:pPr>
      <w:r>
        <w:t xml:space="preserve">In support of the application, </w:t>
      </w:r>
      <w:r w:rsidR="007C1D3A">
        <w:t>the sponsor</w:t>
      </w:r>
      <w:r>
        <w:t xml:space="preserve"> has submitted EU-RMP version 0.1 </w:t>
      </w:r>
      <w:r w:rsidRPr="009A331E">
        <w:t>dated 23</w:t>
      </w:r>
      <w:r w:rsidR="00B271C9">
        <w:t> </w:t>
      </w:r>
      <w:r w:rsidRPr="009A331E">
        <w:t>October 2017</w:t>
      </w:r>
      <w:r>
        <w:t xml:space="preserve"> (</w:t>
      </w:r>
      <w:r w:rsidR="0013769C">
        <w:t xml:space="preserve">data lock point </w:t>
      </w:r>
      <w:r w:rsidR="002F2AC8">
        <w:t>(</w:t>
      </w:r>
      <w:r w:rsidRPr="009A331E">
        <w:t>DLP</w:t>
      </w:r>
      <w:r w:rsidR="002F2AC8">
        <w:t>)</w:t>
      </w:r>
      <w:r w:rsidRPr="009A331E">
        <w:t xml:space="preserve"> 12 May 2017</w:t>
      </w:r>
      <w:r>
        <w:t xml:space="preserve">) and ASA version 0.1 </w:t>
      </w:r>
      <w:r w:rsidRPr="009A331E">
        <w:t xml:space="preserve">dated 24 </w:t>
      </w:r>
      <w:r w:rsidRPr="009A331E">
        <w:lastRenderedPageBreak/>
        <w:t>April 2018</w:t>
      </w:r>
      <w:r>
        <w:t xml:space="preserve">. An updated EU-RMP version 1.0; dated 11 September 2018; DLP 12 May 2017 with ASA version 2.0; dated 4 December 2018, have been submitted with the </w:t>
      </w:r>
      <w:r w:rsidR="00046238">
        <w:t>response to the TGA request for information</w:t>
      </w:r>
      <w:r w:rsidR="0007206D">
        <w:t>.</w:t>
      </w:r>
    </w:p>
    <w:p w14:paraId="1BD810C0" w14:textId="4CECADCC" w:rsidR="005630A4" w:rsidRDefault="005630A4" w:rsidP="00572B43">
      <w:pPr>
        <w:pStyle w:val="ListBullet"/>
      </w:pPr>
      <w:r w:rsidRPr="00355156">
        <w:t xml:space="preserve">The proposed summary of safety concerns and their associated risk monitoring and mitigation </w:t>
      </w:r>
      <w:r w:rsidR="007004FC">
        <w:t>str</w:t>
      </w:r>
      <w:r w:rsidR="007F1E71">
        <w:t xml:space="preserve">ategies are summarised in </w:t>
      </w:r>
      <w:r w:rsidR="007F1E71">
        <w:fldChar w:fldCharType="begin"/>
      </w:r>
      <w:r w:rsidR="007F1E71">
        <w:instrText xml:space="preserve"> REF _Ref19013212 \h </w:instrText>
      </w:r>
      <w:r w:rsidR="007F1E71">
        <w:fldChar w:fldCharType="separate"/>
      </w:r>
      <w:r w:rsidR="007F1E71">
        <w:t xml:space="preserve">Table </w:t>
      </w:r>
      <w:r w:rsidR="007F1E71">
        <w:rPr>
          <w:noProof/>
        </w:rPr>
        <w:t>24</w:t>
      </w:r>
      <w:r w:rsidR="007F1E71">
        <w:fldChar w:fldCharType="end"/>
      </w:r>
      <w:r w:rsidR="007004FC">
        <w:t>.</w:t>
      </w:r>
    </w:p>
    <w:p w14:paraId="4B074BFF" w14:textId="49DA6E06" w:rsidR="007004FC" w:rsidRPr="00355156" w:rsidRDefault="007F1E71" w:rsidP="007F1E71">
      <w:pPr>
        <w:pStyle w:val="TableTitle"/>
      </w:pPr>
      <w:bookmarkStart w:id="204" w:name="_Ref19013212"/>
      <w:r>
        <w:t xml:space="preserve">Table </w:t>
      </w:r>
      <w:fldSimple w:instr=" SEQ Table \* ARABIC ">
        <w:r>
          <w:rPr>
            <w:noProof/>
          </w:rPr>
          <w:t>24</w:t>
        </w:r>
      </w:fldSimple>
      <w:bookmarkEnd w:id="204"/>
      <w:r w:rsidR="007004FC">
        <w:t>: Summary of safety concerns with associated pharmacovigilance and risk minimisation strategies</w:t>
      </w:r>
    </w:p>
    <w:tbl>
      <w:tblPr>
        <w:tblStyle w:val="TableTGAblue"/>
        <w:tblW w:w="8613" w:type="dxa"/>
        <w:tblLayout w:type="fixed"/>
        <w:tblLook w:val="04A0" w:firstRow="1" w:lastRow="0" w:firstColumn="1" w:lastColumn="0" w:noHBand="0" w:noVBand="1"/>
      </w:tblPr>
      <w:tblGrid>
        <w:gridCol w:w="1384"/>
        <w:gridCol w:w="2552"/>
        <w:gridCol w:w="1134"/>
        <w:gridCol w:w="1275"/>
        <w:gridCol w:w="993"/>
        <w:gridCol w:w="1275"/>
      </w:tblGrid>
      <w:tr w:rsidR="005630A4" w:rsidRPr="007C1D3A" w14:paraId="79424D71" w14:textId="77777777" w:rsidTr="00302FE3">
        <w:trPr>
          <w:cnfStyle w:val="100000000000" w:firstRow="1" w:lastRow="0" w:firstColumn="0" w:lastColumn="0" w:oddVBand="0" w:evenVBand="0" w:oddHBand="0" w:evenHBand="0" w:firstRowFirstColumn="0" w:firstRowLastColumn="0" w:lastRowFirstColumn="0" w:lastRowLastColumn="0"/>
          <w:trHeight w:val="130"/>
        </w:trPr>
        <w:tc>
          <w:tcPr>
            <w:tcW w:w="3936" w:type="dxa"/>
            <w:gridSpan w:val="2"/>
            <w:vMerge w:val="restart"/>
          </w:tcPr>
          <w:p w14:paraId="71FB62F4" w14:textId="77777777" w:rsidR="005630A4" w:rsidRPr="005C14B9" w:rsidRDefault="005630A4" w:rsidP="007C1D3A">
            <w:pPr>
              <w:ind w:left="0" w:right="0"/>
              <w:rPr>
                <w:b w:val="0"/>
                <w:sz w:val="20"/>
                <w:szCs w:val="20"/>
              </w:rPr>
            </w:pPr>
            <w:r w:rsidRPr="005C14B9">
              <w:rPr>
                <w:sz w:val="20"/>
                <w:szCs w:val="20"/>
              </w:rPr>
              <w:t>Summary of safety concerns</w:t>
            </w:r>
          </w:p>
        </w:tc>
        <w:tc>
          <w:tcPr>
            <w:tcW w:w="2409" w:type="dxa"/>
            <w:gridSpan w:val="2"/>
          </w:tcPr>
          <w:p w14:paraId="54102B5E" w14:textId="77777777" w:rsidR="005630A4" w:rsidRPr="005C14B9" w:rsidRDefault="005630A4" w:rsidP="007C1D3A">
            <w:pPr>
              <w:ind w:left="0" w:right="0"/>
              <w:rPr>
                <w:b w:val="0"/>
                <w:sz w:val="20"/>
                <w:szCs w:val="20"/>
              </w:rPr>
            </w:pPr>
            <w:r w:rsidRPr="005C14B9">
              <w:rPr>
                <w:sz w:val="20"/>
                <w:szCs w:val="20"/>
              </w:rPr>
              <w:t>Pharmacovigilance</w:t>
            </w:r>
          </w:p>
        </w:tc>
        <w:tc>
          <w:tcPr>
            <w:tcW w:w="2268" w:type="dxa"/>
            <w:gridSpan w:val="2"/>
          </w:tcPr>
          <w:p w14:paraId="0B5C9164" w14:textId="77777777" w:rsidR="005630A4" w:rsidRPr="005C14B9" w:rsidRDefault="005630A4" w:rsidP="007C1D3A">
            <w:pPr>
              <w:ind w:left="0" w:right="0"/>
              <w:rPr>
                <w:b w:val="0"/>
                <w:sz w:val="20"/>
                <w:szCs w:val="20"/>
              </w:rPr>
            </w:pPr>
            <w:r w:rsidRPr="005C14B9">
              <w:rPr>
                <w:sz w:val="20"/>
                <w:szCs w:val="20"/>
              </w:rPr>
              <w:t>Risk Minimisation</w:t>
            </w:r>
          </w:p>
        </w:tc>
      </w:tr>
      <w:tr w:rsidR="005630A4" w:rsidRPr="007C1D3A" w14:paraId="36512A2A" w14:textId="77777777" w:rsidTr="005C14B9">
        <w:trPr>
          <w:trHeight w:val="149"/>
        </w:trPr>
        <w:tc>
          <w:tcPr>
            <w:tcW w:w="3936" w:type="dxa"/>
            <w:gridSpan w:val="2"/>
            <w:vMerge/>
            <w:shd w:val="clear" w:color="auto" w:fill="006DA7"/>
          </w:tcPr>
          <w:p w14:paraId="7FA1D704" w14:textId="77777777" w:rsidR="005630A4" w:rsidRPr="005C14B9" w:rsidRDefault="005630A4" w:rsidP="007C1D3A">
            <w:pPr>
              <w:ind w:left="0" w:right="0"/>
              <w:rPr>
                <w:sz w:val="20"/>
                <w:szCs w:val="20"/>
              </w:rPr>
            </w:pPr>
          </w:p>
        </w:tc>
        <w:tc>
          <w:tcPr>
            <w:tcW w:w="1134" w:type="dxa"/>
            <w:shd w:val="clear" w:color="auto" w:fill="006DA7"/>
          </w:tcPr>
          <w:p w14:paraId="7EC2B51A" w14:textId="77777777" w:rsidR="005630A4" w:rsidRPr="005C14B9" w:rsidRDefault="005630A4" w:rsidP="007C1D3A">
            <w:pPr>
              <w:ind w:left="0" w:right="0"/>
              <w:rPr>
                <w:b/>
                <w:color w:val="FFFFFF" w:themeColor="background1"/>
                <w:sz w:val="20"/>
                <w:szCs w:val="20"/>
              </w:rPr>
            </w:pPr>
            <w:r w:rsidRPr="005C14B9">
              <w:rPr>
                <w:b/>
                <w:color w:val="FFFFFF" w:themeColor="background1"/>
                <w:sz w:val="20"/>
                <w:szCs w:val="20"/>
              </w:rPr>
              <w:t>Routine</w:t>
            </w:r>
          </w:p>
        </w:tc>
        <w:tc>
          <w:tcPr>
            <w:tcW w:w="1275" w:type="dxa"/>
            <w:shd w:val="clear" w:color="auto" w:fill="006DA7"/>
          </w:tcPr>
          <w:p w14:paraId="0EAAA201" w14:textId="77777777" w:rsidR="005630A4" w:rsidRPr="005C14B9" w:rsidRDefault="005630A4" w:rsidP="007C1D3A">
            <w:pPr>
              <w:ind w:left="0" w:right="0"/>
              <w:rPr>
                <w:b/>
                <w:color w:val="FFFFFF" w:themeColor="background1"/>
                <w:sz w:val="20"/>
                <w:szCs w:val="20"/>
              </w:rPr>
            </w:pPr>
            <w:r w:rsidRPr="005C14B9">
              <w:rPr>
                <w:b/>
                <w:color w:val="FFFFFF" w:themeColor="background1"/>
                <w:sz w:val="20"/>
                <w:szCs w:val="20"/>
              </w:rPr>
              <w:t>Additional</w:t>
            </w:r>
          </w:p>
        </w:tc>
        <w:tc>
          <w:tcPr>
            <w:tcW w:w="993" w:type="dxa"/>
            <w:shd w:val="clear" w:color="auto" w:fill="006DA7"/>
          </w:tcPr>
          <w:p w14:paraId="4315C812" w14:textId="77777777" w:rsidR="005630A4" w:rsidRPr="005C14B9" w:rsidRDefault="005630A4" w:rsidP="007C1D3A">
            <w:pPr>
              <w:ind w:left="0" w:right="0"/>
              <w:rPr>
                <w:b/>
                <w:color w:val="FFFFFF" w:themeColor="background1"/>
                <w:sz w:val="20"/>
                <w:szCs w:val="20"/>
              </w:rPr>
            </w:pPr>
            <w:r w:rsidRPr="005C14B9">
              <w:rPr>
                <w:b/>
                <w:color w:val="FFFFFF" w:themeColor="background1"/>
                <w:sz w:val="20"/>
                <w:szCs w:val="20"/>
              </w:rPr>
              <w:t>Routine</w:t>
            </w:r>
          </w:p>
        </w:tc>
        <w:tc>
          <w:tcPr>
            <w:tcW w:w="1275" w:type="dxa"/>
            <w:shd w:val="clear" w:color="auto" w:fill="006DA7"/>
          </w:tcPr>
          <w:p w14:paraId="35A92DDC" w14:textId="77777777" w:rsidR="005630A4" w:rsidRPr="005C14B9" w:rsidRDefault="005630A4" w:rsidP="007C1D3A">
            <w:pPr>
              <w:ind w:left="0" w:right="0"/>
              <w:rPr>
                <w:b/>
                <w:color w:val="FFFFFF" w:themeColor="background1"/>
                <w:sz w:val="20"/>
                <w:szCs w:val="20"/>
              </w:rPr>
            </w:pPr>
            <w:r w:rsidRPr="005C14B9">
              <w:rPr>
                <w:b/>
                <w:color w:val="FFFFFF" w:themeColor="background1"/>
                <w:sz w:val="20"/>
                <w:szCs w:val="20"/>
              </w:rPr>
              <w:t>Additional</w:t>
            </w:r>
          </w:p>
        </w:tc>
      </w:tr>
      <w:tr w:rsidR="005630A4" w:rsidRPr="007C1D3A" w14:paraId="1ED334C3" w14:textId="77777777" w:rsidTr="007C1D3A">
        <w:trPr>
          <w:trHeight w:val="136"/>
        </w:trPr>
        <w:tc>
          <w:tcPr>
            <w:tcW w:w="1384" w:type="dxa"/>
          </w:tcPr>
          <w:p w14:paraId="62CB4D8B" w14:textId="77777777" w:rsidR="005630A4" w:rsidRPr="007C1D3A" w:rsidRDefault="005630A4" w:rsidP="007C1D3A">
            <w:pPr>
              <w:ind w:left="0" w:right="0"/>
              <w:rPr>
                <w:sz w:val="20"/>
                <w:szCs w:val="20"/>
              </w:rPr>
            </w:pPr>
            <w:r w:rsidRPr="007C1D3A">
              <w:rPr>
                <w:sz w:val="20"/>
                <w:szCs w:val="20"/>
              </w:rPr>
              <w:t>Important identified risks</w:t>
            </w:r>
          </w:p>
        </w:tc>
        <w:tc>
          <w:tcPr>
            <w:tcW w:w="2552" w:type="dxa"/>
          </w:tcPr>
          <w:p w14:paraId="2C6AC7DB" w14:textId="77777777" w:rsidR="005630A4" w:rsidRPr="007C1D3A" w:rsidRDefault="005630A4" w:rsidP="007C1D3A">
            <w:pPr>
              <w:ind w:left="0" w:right="0"/>
              <w:rPr>
                <w:sz w:val="20"/>
                <w:szCs w:val="20"/>
              </w:rPr>
            </w:pPr>
            <w:r w:rsidRPr="007C1D3A">
              <w:rPr>
                <w:sz w:val="20"/>
                <w:szCs w:val="20"/>
              </w:rPr>
              <w:t>None</w:t>
            </w:r>
          </w:p>
        </w:tc>
        <w:tc>
          <w:tcPr>
            <w:tcW w:w="1134" w:type="dxa"/>
          </w:tcPr>
          <w:p w14:paraId="1781E7CA" w14:textId="77777777" w:rsidR="005630A4" w:rsidRPr="007C1D3A" w:rsidRDefault="005630A4" w:rsidP="007C1D3A">
            <w:pPr>
              <w:ind w:left="0" w:right="0"/>
              <w:rPr>
                <w:sz w:val="20"/>
                <w:szCs w:val="20"/>
              </w:rPr>
            </w:pPr>
            <w:r w:rsidRPr="007C1D3A">
              <w:rPr>
                <w:sz w:val="20"/>
                <w:szCs w:val="20"/>
              </w:rPr>
              <w:t>–</w:t>
            </w:r>
          </w:p>
        </w:tc>
        <w:tc>
          <w:tcPr>
            <w:tcW w:w="1275" w:type="dxa"/>
          </w:tcPr>
          <w:p w14:paraId="6DA5F1F1" w14:textId="77777777" w:rsidR="005630A4" w:rsidRPr="007C1D3A" w:rsidRDefault="005630A4" w:rsidP="007C1D3A">
            <w:pPr>
              <w:ind w:left="0" w:right="0"/>
              <w:rPr>
                <w:sz w:val="20"/>
                <w:szCs w:val="20"/>
              </w:rPr>
            </w:pPr>
            <w:r w:rsidRPr="007C1D3A">
              <w:rPr>
                <w:sz w:val="20"/>
                <w:szCs w:val="20"/>
              </w:rPr>
              <w:t>–</w:t>
            </w:r>
          </w:p>
        </w:tc>
        <w:tc>
          <w:tcPr>
            <w:tcW w:w="993" w:type="dxa"/>
          </w:tcPr>
          <w:p w14:paraId="123FA849" w14:textId="77777777" w:rsidR="005630A4" w:rsidRPr="007C1D3A" w:rsidRDefault="005630A4" w:rsidP="007C1D3A">
            <w:pPr>
              <w:ind w:left="0" w:right="0"/>
              <w:rPr>
                <w:sz w:val="20"/>
                <w:szCs w:val="20"/>
              </w:rPr>
            </w:pPr>
            <w:r w:rsidRPr="007C1D3A">
              <w:rPr>
                <w:sz w:val="20"/>
                <w:szCs w:val="20"/>
              </w:rPr>
              <w:t>–</w:t>
            </w:r>
          </w:p>
        </w:tc>
        <w:tc>
          <w:tcPr>
            <w:tcW w:w="1275" w:type="dxa"/>
          </w:tcPr>
          <w:p w14:paraId="2F27A434" w14:textId="77777777" w:rsidR="005630A4" w:rsidRPr="007C1D3A" w:rsidRDefault="005630A4" w:rsidP="007C1D3A">
            <w:pPr>
              <w:ind w:left="0" w:right="0"/>
              <w:rPr>
                <w:sz w:val="20"/>
                <w:szCs w:val="20"/>
              </w:rPr>
            </w:pPr>
            <w:r w:rsidRPr="007C1D3A">
              <w:rPr>
                <w:sz w:val="20"/>
                <w:szCs w:val="20"/>
              </w:rPr>
              <w:t>–</w:t>
            </w:r>
          </w:p>
        </w:tc>
      </w:tr>
      <w:tr w:rsidR="005630A4" w:rsidRPr="007C1D3A" w14:paraId="5606BCD2" w14:textId="77777777" w:rsidTr="007C1D3A">
        <w:trPr>
          <w:trHeight w:val="157"/>
        </w:trPr>
        <w:tc>
          <w:tcPr>
            <w:tcW w:w="1384" w:type="dxa"/>
            <w:vMerge w:val="restart"/>
          </w:tcPr>
          <w:p w14:paraId="279BD676" w14:textId="77777777" w:rsidR="005630A4" w:rsidRPr="007C1D3A" w:rsidRDefault="005630A4" w:rsidP="007C1D3A">
            <w:pPr>
              <w:ind w:left="0" w:right="0"/>
              <w:rPr>
                <w:sz w:val="20"/>
                <w:szCs w:val="20"/>
              </w:rPr>
            </w:pPr>
            <w:r w:rsidRPr="007C1D3A">
              <w:rPr>
                <w:sz w:val="20"/>
                <w:szCs w:val="20"/>
              </w:rPr>
              <w:t>Important potential risks</w:t>
            </w:r>
          </w:p>
        </w:tc>
        <w:tc>
          <w:tcPr>
            <w:tcW w:w="2552" w:type="dxa"/>
          </w:tcPr>
          <w:p w14:paraId="207F3A7F" w14:textId="77777777" w:rsidR="005630A4" w:rsidRPr="007C1D3A" w:rsidRDefault="005630A4" w:rsidP="007C1D3A">
            <w:pPr>
              <w:ind w:left="0" w:right="0"/>
              <w:rPr>
                <w:sz w:val="20"/>
                <w:szCs w:val="20"/>
              </w:rPr>
            </w:pPr>
            <w:r w:rsidRPr="007C1D3A">
              <w:rPr>
                <w:sz w:val="20"/>
                <w:szCs w:val="20"/>
              </w:rPr>
              <w:t>Serious hypersensitivity</w:t>
            </w:r>
          </w:p>
        </w:tc>
        <w:tc>
          <w:tcPr>
            <w:tcW w:w="1134" w:type="dxa"/>
          </w:tcPr>
          <w:p w14:paraId="4BF3D481" w14:textId="77777777" w:rsidR="005630A4" w:rsidRPr="007C1D3A" w:rsidRDefault="005630A4" w:rsidP="007C1D3A">
            <w:pPr>
              <w:ind w:left="0" w:right="0"/>
              <w:rPr>
                <w:sz w:val="20"/>
                <w:szCs w:val="20"/>
                <w:vertAlign w:val="superscript"/>
              </w:rPr>
            </w:pPr>
            <w:r w:rsidRPr="007C1D3A">
              <w:rPr>
                <w:sz w:val="20"/>
                <w:szCs w:val="20"/>
              </w:rPr>
              <w:sym w:font="Wingdings" w:char="F0FC"/>
            </w:r>
            <w:r w:rsidRPr="007C1D3A">
              <w:rPr>
                <w:sz w:val="20"/>
                <w:szCs w:val="20"/>
                <w:vertAlign w:val="superscript"/>
              </w:rPr>
              <w:t>2</w:t>
            </w:r>
          </w:p>
        </w:tc>
        <w:tc>
          <w:tcPr>
            <w:tcW w:w="1275" w:type="dxa"/>
          </w:tcPr>
          <w:p w14:paraId="642C45CF" w14:textId="77777777" w:rsidR="005630A4" w:rsidRPr="007C1D3A" w:rsidRDefault="005630A4" w:rsidP="007C1D3A">
            <w:pPr>
              <w:ind w:left="0" w:right="0"/>
              <w:rPr>
                <w:sz w:val="20"/>
                <w:szCs w:val="20"/>
                <w:vertAlign w:val="superscript"/>
              </w:rPr>
            </w:pPr>
            <w:r w:rsidRPr="007C1D3A">
              <w:rPr>
                <w:sz w:val="20"/>
                <w:szCs w:val="20"/>
              </w:rPr>
              <w:sym w:font="Wingdings" w:char="F0FC"/>
            </w:r>
            <w:r w:rsidRPr="007C1D3A">
              <w:rPr>
                <w:sz w:val="20"/>
                <w:szCs w:val="20"/>
                <w:vertAlign w:val="superscript"/>
              </w:rPr>
              <w:t>3</w:t>
            </w:r>
          </w:p>
        </w:tc>
        <w:tc>
          <w:tcPr>
            <w:tcW w:w="993" w:type="dxa"/>
          </w:tcPr>
          <w:p w14:paraId="117EF416" w14:textId="77777777" w:rsidR="005630A4" w:rsidRPr="007C1D3A" w:rsidRDefault="005630A4" w:rsidP="007C1D3A">
            <w:pPr>
              <w:ind w:left="0" w:right="0"/>
              <w:rPr>
                <w:sz w:val="20"/>
                <w:szCs w:val="20"/>
              </w:rPr>
            </w:pPr>
            <w:r w:rsidRPr="007C1D3A">
              <w:rPr>
                <w:sz w:val="20"/>
                <w:szCs w:val="20"/>
              </w:rPr>
              <w:sym w:font="Wingdings" w:char="F0FC"/>
            </w:r>
          </w:p>
        </w:tc>
        <w:tc>
          <w:tcPr>
            <w:tcW w:w="1275" w:type="dxa"/>
          </w:tcPr>
          <w:p w14:paraId="4E66BA52" w14:textId="77777777" w:rsidR="005630A4" w:rsidRPr="007C1D3A" w:rsidRDefault="005630A4" w:rsidP="007C1D3A">
            <w:pPr>
              <w:ind w:left="0" w:right="0"/>
              <w:rPr>
                <w:sz w:val="20"/>
                <w:szCs w:val="20"/>
              </w:rPr>
            </w:pPr>
            <w:r w:rsidRPr="007C1D3A">
              <w:rPr>
                <w:sz w:val="20"/>
                <w:szCs w:val="20"/>
              </w:rPr>
              <w:t>–</w:t>
            </w:r>
          </w:p>
        </w:tc>
      </w:tr>
      <w:tr w:rsidR="005630A4" w:rsidRPr="007C1D3A" w14:paraId="39EA9B3B" w14:textId="77777777" w:rsidTr="007C1D3A">
        <w:trPr>
          <w:trHeight w:val="111"/>
        </w:trPr>
        <w:tc>
          <w:tcPr>
            <w:tcW w:w="1384" w:type="dxa"/>
            <w:vMerge/>
          </w:tcPr>
          <w:p w14:paraId="5B86A6BE" w14:textId="77777777" w:rsidR="005630A4" w:rsidRPr="007C1D3A" w:rsidRDefault="005630A4" w:rsidP="007C1D3A">
            <w:pPr>
              <w:ind w:left="0" w:right="0"/>
              <w:rPr>
                <w:sz w:val="20"/>
                <w:szCs w:val="20"/>
              </w:rPr>
            </w:pPr>
          </w:p>
        </w:tc>
        <w:tc>
          <w:tcPr>
            <w:tcW w:w="2552" w:type="dxa"/>
          </w:tcPr>
          <w:p w14:paraId="57B7BAC9" w14:textId="77777777" w:rsidR="005630A4" w:rsidRPr="007C1D3A" w:rsidRDefault="005630A4" w:rsidP="007C1D3A">
            <w:pPr>
              <w:ind w:left="0" w:right="0"/>
              <w:rPr>
                <w:sz w:val="20"/>
                <w:szCs w:val="20"/>
                <w:vertAlign w:val="superscript"/>
              </w:rPr>
            </w:pPr>
            <w:r w:rsidRPr="007C1D3A">
              <w:rPr>
                <w:sz w:val="20"/>
                <w:szCs w:val="20"/>
              </w:rPr>
              <w:t xml:space="preserve">Serious cardiovascular outcomes in patients at high risk of cardiovascular and cerebrovascular events, including in patients </w:t>
            </w:r>
            <w:r w:rsidR="007C1D3A" w:rsidRPr="007C1D3A">
              <w:rPr>
                <w:sz w:val="20"/>
                <w:szCs w:val="20"/>
              </w:rPr>
              <w:t>≥ 65 </w:t>
            </w:r>
            <w:r w:rsidRPr="007C1D3A">
              <w:rPr>
                <w:sz w:val="20"/>
                <w:szCs w:val="20"/>
              </w:rPr>
              <w:t>years</w:t>
            </w:r>
            <w:r w:rsidRPr="007C1D3A">
              <w:rPr>
                <w:sz w:val="20"/>
                <w:szCs w:val="20"/>
                <w:vertAlign w:val="superscript"/>
              </w:rPr>
              <w:t>1</w:t>
            </w:r>
          </w:p>
        </w:tc>
        <w:tc>
          <w:tcPr>
            <w:tcW w:w="1134" w:type="dxa"/>
          </w:tcPr>
          <w:p w14:paraId="3E85A336" w14:textId="77777777" w:rsidR="005630A4" w:rsidRPr="007C1D3A" w:rsidRDefault="005630A4" w:rsidP="007C1D3A">
            <w:pPr>
              <w:ind w:left="0" w:right="0"/>
              <w:rPr>
                <w:sz w:val="20"/>
                <w:szCs w:val="20"/>
                <w:vertAlign w:val="superscript"/>
              </w:rPr>
            </w:pPr>
            <w:r w:rsidRPr="007C1D3A">
              <w:rPr>
                <w:sz w:val="20"/>
                <w:szCs w:val="20"/>
              </w:rPr>
              <w:sym w:font="Wingdings" w:char="F0FC"/>
            </w:r>
            <w:r w:rsidRPr="007C1D3A">
              <w:rPr>
                <w:sz w:val="20"/>
                <w:szCs w:val="20"/>
                <w:vertAlign w:val="superscript"/>
              </w:rPr>
              <w:t>2</w:t>
            </w:r>
          </w:p>
        </w:tc>
        <w:tc>
          <w:tcPr>
            <w:tcW w:w="1275" w:type="dxa"/>
          </w:tcPr>
          <w:p w14:paraId="27D32191" w14:textId="77777777" w:rsidR="005630A4" w:rsidRPr="007C1D3A" w:rsidRDefault="005630A4" w:rsidP="007C1D3A">
            <w:pPr>
              <w:ind w:left="0" w:right="0"/>
              <w:rPr>
                <w:sz w:val="20"/>
                <w:szCs w:val="20"/>
                <w:vertAlign w:val="superscript"/>
              </w:rPr>
            </w:pPr>
            <w:r w:rsidRPr="007C1D3A">
              <w:rPr>
                <w:sz w:val="20"/>
                <w:szCs w:val="20"/>
              </w:rPr>
              <w:sym w:font="Wingdings" w:char="F0FC"/>
            </w:r>
            <w:r w:rsidRPr="007C1D3A">
              <w:rPr>
                <w:sz w:val="20"/>
                <w:szCs w:val="20"/>
                <w:vertAlign w:val="superscript"/>
              </w:rPr>
              <w:t>3</w:t>
            </w:r>
          </w:p>
        </w:tc>
        <w:tc>
          <w:tcPr>
            <w:tcW w:w="993" w:type="dxa"/>
          </w:tcPr>
          <w:p w14:paraId="69BB6E12" w14:textId="77777777" w:rsidR="005630A4" w:rsidRPr="007C1D3A" w:rsidRDefault="005630A4" w:rsidP="007C1D3A">
            <w:pPr>
              <w:ind w:left="0" w:right="0"/>
              <w:rPr>
                <w:sz w:val="20"/>
                <w:szCs w:val="20"/>
              </w:rPr>
            </w:pPr>
            <w:r w:rsidRPr="007C1D3A">
              <w:rPr>
                <w:sz w:val="20"/>
                <w:szCs w:val="20"/>
              </w:rPr>
              <w:sym w:font="Wingdings" w:char="F0FC"/>
            </w:r>
          </w:p>
        </w:tc>
        <w:tc>
          <w:tcPr>
            <w:tcW w:w="1275" w:type="dxa"/>
          </w:tcPr>
          <w:p w14:paraId="567AA3CC" w14:textId="77777777" w:rsidR="005630A4" w:rsidRPr="007C1D3A" w:rsidRDefault="005630A4" w:rsidP="007C1D3A">
            <w:pPr>
              <w:ind w:left="0" w:right="0"/>
              <w:rPr>
                <w:sz w:val="20"/>
                <w:szCs w:val="20"/>
              </w:rPr>
            </w:pPr>
            <w:r w:rsidRPr="007C1D3A">
              <w:rPr>
                <w:sz w:val="20"/>
                <w:szCs w:val="20"/>
              </w:rPr>
              <w:t>–</w:t>
            </w:r>
          </w:p>
        </w:tc>
      </w:tr>
      <w:tr w:rsidR="005630A4" w:rsidRPr="007C1D3A" w14:paraId="4437F447" w14:textId="77777777" w:rsidTr="007C1D3A">
        <w:trPr>
          <w:trHeight w:val="111"/>
        </w:trPr>
        <w:tc>
          <w:tcPr>
            <w:tcW w:w="1384" w:type="dxa"/>
            <w:vMerge/>
          </w:tcPr>
          <w:p w14:paraId="78520344" w14:textId="77777777" w:rsidR="005630A4" w:rsidRPr="007C1D3A" w:rsidRDefault="005630A4" w:rsidP="007C1D3A">
            <w:pPr>
              <w:ind w:left="0" w:right="0"/>
              <w:rPr>
                <w:sz w:val="20"/>
                <w:szCs w:val="20"/>
              </w:rPr>
            </w:pPr>
          </w:p>
        </w:tc>
        <w:tc>
          <w:tcPr>
            <w:tcW w:w="2552" w:type="dxa"/>
          </w:tcPr>
          <w:p w14:paraId="7D5449ED" w14:textId="377D5C5F" w:rsidR="005630A4" w:rsidRPr="007C1D3A" w:rsidRDefault="005630A4" w:rsidP="007C1D3A">
            <w:pPr>
              <w:ind w:left="0" w:right="0"/>
              <w:rPr>
                <w:sz w:val="20"/>
                <w:szCs w:val="20"/>
              </w:rPr>
            </w:pPr>
            <w:r w:rsidRPr="007C1D3A">
              <w:rPr>
                <w:sz w:val="20"/>
                <w:szCs w:val="20"/>
              </w:rPr>
              <w:t>Hypertension during pregnancy and pre</w:t>
            </w:r>
            <w:r w:rsidR="00B271C9">
              <w:rPr>
                <w:sz w:val="20"/>
                <w:szCs w:val="20"/>
              </w:rPr>
              <w:noBreakHyphen/>
            </w:r>
            <w:r w:rsidRPr="007C1D3A">
              <w:rPr>
                <w:sz w:val="20"/>
                <w:szCs w:val="20"/>
              </w:rPr>
              <w:t xml:space="preserve">eclampsia </w:t>
            </w:r>
          </w:p>
        </w:tc>
        <w:tc>
          <w:tcPr>
            <w:tcW w:w="1134" w:type="dxa"/>
          </w:tcPr>
          <w:p w14:paraId="25A4FD9D" w14:textId="77777777" w:rsidR="005630A4" w:rsidRPr="007C1D3A" w:rsidRDefault="005630A4" w:rsidP="007C1D3A">
            <w:pPr>
              <w:ind w:left="0" w:right="0"/>
              <w:rPr>
                <w:sz w:val="20"/>
                <w:szCs w:val="20"/>
                <w:vertAlign w:val="superscript"/>
              </w:rPr>
            </w:pPr>
            <w:r w:rsidRPr="007C1D3A">
              <w:rPr>
                <w:sz w:val="20"/>
                <w:szCs w:val="20"/>
              </w:rPr>
              <w:sym w:font="Wingdings" w:char="F0FC"/>
            </w:r>
            <w:r w:rsidRPr="007C1D3A">
              <w:rPr>
                <w:sz w:val="20"/>
                <w:szCs w:val="20"/>
                <w:vertAlign w:val="superscript"/>
              </w:rPr>
              <w:t>2</w:t>
            </w:r>
          </w:p>
        </w:tc>
        <w:tc>
          <w:tcPr>
            <w:tcW w:w="1275" w:type="dxa"/>
          </w:tcPr>
          <w:p w14:paraId="45A234E5" w14:textId="77777777" w:rsidR="005630A4" w:rsidRPr="007C1D3A" w:rsidRDefault="005630A4" w:rsidP="007C1D3A">
            <w:pPr>
              <w:ind w:left="0" w:right="0"/>
              <w:rPr>
                <w:sz w:val="20"/>
                <w:szCs w:val="20"/>
                <w:vertAlign w:val="superscript"/>
              </w:rPr>
            </w:pPr>
            <w:r w:rsidRPr="007C1D3A">
              <w:rPr>
                <w:sz w:val="20"/>
                <w:szCs w:val="20"/>
              </w:rPr>
              <w:sym w:font="Wingdings" w:char="F0FC"/>
            </w:r>
            <w:r w:rsidRPr="007C1D3A">
              <w:rPr>
                <w:sz w:val="20"/>
                <w:szCs w:val="20"/>
                <w:vertAlign w:val="superscript"/>
              </w:rPr>
              <w:t>3</w:t>
            </w:r>
          </w:p>
        </w:tc>
        <w:tc>
          <w:tcPr>
            <w:tcW w:w="993" w:type="dxa"/>
          </w:tcPr>
          <w:p w14:paraId="7AD40C41" w14:textId="77777777" w:rsidR="005630A4" w:rsidRPr="007C1D3A" w:rsidRDefault="005630A4" w:rsidP="007C1D3A">
            <w:pPr>
              <w:ind w:left="0" w:right="0"/>
              <w:rPr>
                <w:sz w:val="20"/>
                <w:szCs w:val="20"/>
              </w:rPr>
            </w:pPr>
            <w:r w:rsidRPr="007C1D3A">
              <w:rPr>
                <w:sz w:val="20"/>
                <w:szCs w:val="20"/>
              </w:rPr>
              <w:sym w:font="Wingdings" w:char="F0FC"/>
            </w:r>
          </w:p>
        </w:tc>
        <w:tc>
          <w:tcPr>
            <w:tcW w:w="1275" w:type="dxa"/>
          </w:tcPr>
          <w:p w14:paraId="33E71C5D" w14:textId="77777777" w:rsidR="005630A4" w:rsidRPr="007C1D3A" w:rsidRDefault="005630A4" w:rsidP="007C1D3A">
            <w:pPr>
              <w:ind w:left="0" w:right="0"/>
              <w:rPr>
                <w:sz w:val="20"/>
                <w:szCs w:val="20"/>
              </w:rPr>
            </w:pPr>
          </w:p>
        </w:tc>
      </w:tr>
      <w:tr w:rsidR="005630A4" w:rsidRPr="007C1D3A" w14:paraId="60398AEA" w14:textId="77777777" w:rsidTr="007C1D3A">
        <w:trPr>
          <w:trHeight w:val="176"/>
        </w:trPr>
        <w:tc>
          <w:tcPr>
            <w:tcW w:w="1384" w:type="dxa"/>
            <w:vMerge w:val="restart"/>
          </w:tcPr>
          <w:p w14:paraId="31A30F20" w14:textId="77777777" w:rsidR="005630A4" w:rsidRPr="007C1D3A" w:rsidRDefault="005630A4" w:rsidP="007C1D3A">
            <w:pPr>
              <w:ind w:left="0" w:right="0"/>
              <w:rPr>
                <w:sz w:val="20"/>
                <w:szCs w:val="20"/>
              </w:rPr>
            </w:pPr>
            <w:r w:rsidRPr="007C1D3A">
              <w:rPr>
                <w:sz w:val="20"/>
                <w:szCs w:val="20"/>
              </w:rPr>
              <w:t>Missing information</w:t>
            </w:r>
          </w:p>
        </w:tc>
        <w:tc>
          <w:tcPr>
            <w:tcW w:w="2552" w:type="dxa"/>
          </w:tcPr>
          <w:p w14:paraId="57881577" w14:textId="77777777" w:rsidR="005630A4" w:rsidRPr="007C1D3A" w:rsidRDefault="005630A4" w:rsidP="007C1D3A">
            <w:pPr>
              <w:ind w:left="0" w:right="0"/>
              <w:rPr>
                <w:sz w:val="20"/>
                <w:szCs w:val="20"/>
              </w:rPr>
            </w:pPr>
            <w:r w:rsidRPr="007C1D3A">
              <w:rPr>
                <w:sz w:val="20"/>
                <w:szCs w:val="20"/>
              </w:rPr>
              <w:t xml:space="preserve">Use in pregnancy </w:t>
            </w:r>
          </w:p>
        </w:tc>
        <w:tc>
          <w:tcPr>
            <w:tcW w:w="1134" w:type="dxa"/>
          </w:tcPr>
          <w:p w14:paraId="1AAC6414" w14:textId="77777777" w:rsidR="005630A4" w:rsidRPr="007C1D3A" w:rsidRDefault="005630A4" w:rsidP="007C1D3A">
            <w:pPr>
              <w:ind w:left="0" w:right="0"/>
              <w:rPr>
                <w:sz w:val="20"/>
                <w:szCs w:val="20"/>
                <w:vertAlign w:val="superscript"/>
              </w:rPr>
            </w:pPr>
            <w:r w:rsidRPr="007C1D3A">
              <w:rPr>
                <w:sz w:val="20"/>
                <w:szCs w:val="20"/>
              </w:rPr>
              <w:sym w:font="Wingdings" w:char="F0FC"/>
            </w:r>
            <w:r w:rsidRPr="007C1D3A">
              <w:rPr>
                <w:sz w:val="20"/>
                <w:szCs w:val="20"/>
                <w:vertAlign w:val="superscript"/>
              </w:rPr>
              <w:t>2</w:t>
            </w:r>
          </w:p>
        </w:tc>
        <w:tc>
          <w:tcPr>
            <w:tcW w:w="1275" w:type="dxa"/>
          </w:tcPr>
          <w:p w14:paraId="628811AE" w14:textId="77777777" w:rsidR="005630A4" w:rsidRPr="007C1D3A" w:rsidRDefault="005630A4" w:rsidP="007C1D3A">
            <w:pPr>
              <w:ind w:left="0" w:right="0"/>
              <w:rPr>
                <w:sz w:val="20"/>
                <w:szCs w:val="20"/>
                <w:vertAlign w:val="superscript"/>
              </w:rPr>
            </w:pPr>
            <w:r w:rsidRPr="007C1D3A">
              <w:rPr>
                <w:sz w:val="20"/>
                <w:szCs w:val="20"/>
              </w:rPr>
              <w:sym w:font="Wingdings" w:char="F0FC"/>
            </w:r>
            <w:r w:rsidRPr="007C1D3A">
              <w:rPr>
                <w:sz w:val="20"/>
                <w:szCs w:val="20"/>
                <w:vertAlign w:val="superscript"/>
              </w:rPr>
              <w:t>3</w:t>
            </w:r>
          </w:p>
        </w:tc>
        <w:tc>
          <w:tcPr>
            <w:tcW w:w="993" w:type="dxa"/>
          </w:tcPr>
          <w:p w14:paraId="191B25D1" w14:textId="77777777" w:rsidR="005630A4" w:rsidRPr="007C1D3A" w:rsidRDefault="005630A4" w:rsidP="007C1D3A">
            <w:pPr>
              <w:ind w:left="0" w:right="0"/>
              <w:rPr>
                <w:sz w:val="20"/>
                <w:szCs w:val="20"/>
              </w:rPr>
            </w:pPr>
            <w:r w:rsidRPr="007C1D3A">
              <w:rPr>
                <w:sz w:val="20"/>
                <w:szCs w:val="20"/>
              </w:rPr>
              <w:sym w:font="Wingdings" w:char="F0FC"/>
            </w:r>
          </w:p>
        </w:tc>
        <w:tc>
          <w:tcPr>
            <w:tcW w:w="1275" w:type="dxa"/>
          </w:tcPr>
          <w:p w14:paraId="41868217" w14:textId="77777777" w:rsidR="005630A4" w:rsidRPr="007C1D3A" w:rsidRDefault="005630A4" w:rsidP="007C1D3A">
            <w:pPr>
              <w:ind w:left="0" w:right="0"/>
              <w:rPr>
                <w:sz w:val="20"/>
                <w:szCs w:val="20"/>
              </w:rPr>
            </w:pPr>
            <w:r w:rsidRPr="007C1D3A">
              <w:rPr>
                <w:sz w:val="20"/>
                <w:szCs w:val="20"/>
              </w:rPr>
              <w:t>–</w:t>
            </w:r>
          </w:p>
        </w:tc>
      </w:tr>
      <w:tr w:rsidR="005630A4" w:rsidRPr="007C1D3A" w14:paraId="6F79FF71" w14:textId="77777777" w:rsidTr="007C1D3A">
        <w:trPr>
          <w:trHeight w:val="139"/>
        </w:trPr>
        <w:tc>
          <w:tcPr>
            <w:tcW w:w="1384" w:type="dxa"/>
            <w:vMerge/>
          </w:tcPr>
          <w:p w14:paraId="1A9315B1" w14:textId="77777777" w:rsidR="005630A4" w:rsidRPr="007C1D3A" w:rsidRDefault="005630A4" w:rsidP="007C1D3A">
            <w:pPr>
              <w:ind w:left="0" w:right="0"/>
              <w:rPr>
                <w:sz w:val="20"/>
                <w:szCs w:val="20"/>
              </w:rPr>
            </w:pPr>
          </w:p>
        </w:tc>
        <w:tc>
          <w:tcPr>
            <w:tcW w:w="2552" w:type="dxa"/>
          </w:tcPr>
          <w:p w14:paraId="17B3E33F" w14:textId="4A8902F1" w:rsidR="005630A4" w:rsidRPr="007C1D3A" w:rsidRDefault="00BE161F" w:rsidP="007C1D3A">
            <w:pPr>
              <w:ind w:left="0" w:right="0"/>
              <w:rPr>
                <w:sz w:val="20"/>
                <w:szCs w:val="20"/>
              </w:rPr>
            </w:pPr>
            <w:r>
              <w:rPr>
                <w:sz w:val="20"/>
                <w:szCs w:val="20"/>
              </w:rPr>
              <w:t xml:space="preserve">Long </w:t>
            </w:r>
            <w:r w:rsidR="005630A4" w:rsidRPr="007C1D3A">
              <w:rPr>
                <w:sz w:val="20"/>
                <w:szCs w:val="20"/>
              </w:rPr>
              <w:t>ter</w:t>
            </w:r>
            <w:r w:rsidR="005C14B9">
              <w:rPr>
                <w:sz w:val="20"/>
                <w:szCs w:val="20"/>
              </w:rPr>
              <w:t>m safety including malignancies</w:t>
            </w:r>
          </w:p>
        </w:tc>
        <w:tc>
          <w:tcPr>
            <w:tcW w:w="1134" w:type="dxa"/>
          </w:tcPr>
          <w:p w14:paraId="6B21A759" w14:textId="77777777" w:rsidR="005630A4" w:rsidRPr="007C1D3A" w:rsidRDefault="005630A4" w:rsidP="007C1D3A">
            <w:pPr>
              <w:ind w:left="0" w:right="0"/>
              <w:rPr>
                <w:sz w:val="20"/>
                <w:szCs w:val="20"/>
              </w:rPr>
            </w:pPr>
            <w:r w:rsidRPr="007C1D3A">
              <w:rPr>
                <w:sz w:val="20"/>
                <w:szCs w:val="20"/>
              </w:rPr>
              <w:sym w:font="Wingdings" w:char="F0FC"/>
            </w:r>
          </w:p>
        </w:tc>
        <w:tc>
          <w:tcPr>
            <w:tcW w:w="1275" w:type="dxa"/>
          </w:tcPr>
          <w:p w14:paraId="051DFBC5" w14:textId="77777777" w:rsidR="005630A4" w:rsidRPr="007C1D3A" w:rsidRDefault="005630A4" w:rsidP="007C1D3A">
            <w:pPr>
              <w:ind w:left="0" w:right="0"/>
              <w:rPr>
                <w:sz w:val="20"/>
                <w:szCs w:val="20"/>
                <w:vertAlign w:val="superscript"/>
              </w:rPr>
            </w:pPr>
            <w:r w:rsidRPr="007C1D3A">
              <w:rPr>
                <w:sz w:val="20"/>
                <w:szCs w:val="20"/>
              </w:rPr>
              <w:sym w:font="Wingdings" w:char="F0FC"/>
            </w:r>
            <w:r w:rsidRPr="007C1D3A">
              <w:rPr>
                <w:sz w:val="20"/>
                <w:szCs w:val="20"/>
                <w:vertAlign w:val="superscript"/>
              </w:rPr>
              <w:t>3</w:t>
            </w:r>
          </w:p>
        </w:tc>
        <w:tc>
          <w:tcPr>
            <w:tcW w:w="993" w:type="dxa"/>
          </w:tcPr>
          <w:p w14:paraId="6A50608C" w14:textId="77777777" w:rsidR="005630A4" w:rsidRPr="007C1D3A" w:rsidRDefault="005630A4" w:rsidP="007C1D3A">
            <w:pPr>
              <w:ind w:left="0" w:right="0"/>
              <w:rPr>
                <w:sz w:val="20"/>
                <w:szCs w:val="20"/>
              </w:rPr>
            </w:pPr>
            <w:r w:rsidRPr="007C1D3A">
              <w:rPr>
                <w:sz w:val="20"/>
                <w:szCs w:val="20"/>
              </w:rPr>
              <w:sym w:font="Wingdings" w:char="F0FC"/>
            </w:r>
          </w:p>
        </w:tc>
        <w:tc>
          <w:tcPr>
            <w:tcW w:w="1275" w:type="dxa"/>
          </w:tcPr>
          <w:p w14:paraId="2894CC9A" w14:textId="77777777" w:rsidR="005630A4" w:rsidRPr="007C1D3A" w:rsidRDefault="005630A4" w:rsidP="007C1D3A">
            <w:pPr>
              <w:ind w:left="0" w:right="0"/>
              <w:rPr>
                <w:sz w:val="20"/>
                <w:szCs w:val="20"/>
              </w:rPr>
            </w:pPr>
            <w:r w:rsidRPr="007C1D3A">
              <w:rPr>
                <w:sz w:val="20"/>
                <w:szCs w:val="20"/>
              </w:rPr>
              <w:t>–</w:t>
            </w:r>
          </w:p>
        </w:tc>
      </w:tr>
    </w:tbl>
    <w:p w14:paraId="3649878A" w14:textId="36D37A01" w:rsidR="0057105C" w:rsidRDefault="00B271C9" w:rsidP="007C1D3A">
      <w:pPr>
        <w:pStyle w:val="TableDescription"/>
      </w:pPr>
      <w:r>
        <w:t>1) S</w:t>
      </w:r>
      <w:r w:rsidR="00BE161F">
        <w:t xml:space="preserve">afety concern in Australian </w:t>
      </w:r>
      <w:r w:rsidR="005630A4">
        <w:t xml:space="preserve">specific annex includes reference to patients </w:t>
      </w:r>
      <w:r w:rsidR="005630A4" w:rsidRPr="0009538C">
        <w:t>≥ 65 years</w:t>
      </w:r>
      <w:r>
        <w:t>;</w:t>
      </w:r>
      <w:r w:rsidR="00AF6080">
        <w:rPr>
          <w:vertAlign w:val="superscript"/>
        </w:rPr>
        <w:t xml:space="preserve"> </w:t>
      </w:r>
      <w:r w:rsidR="005630A4" w:rsidRPr="00E27356">
        <w:t>2</w:t>
      </w:r>
      <w:r>
        <w:t>)</w:t>
      </w:r>
      <w:r w:rsidR="005630A4" w:rsidRPr="00BE164A">
        <w:t xml:space="preserve"> </w:t>
      </w:r>
      <w:r>
        <w:t>s</w:t>
      </w:r>
      <w:r w:rsidR="005630A4" w:rsidRPr="00A740C5">
        <w:t>pecific adverse reaction follow-up questionnaires</w:t>
      </w:r>
      <w:r>
        <w:t>; 3)</w:t>
      </w:r>
      <w:r w:rsidR="00AF6080">
        <w:rPr>
          <w:vertAlign w:val="superscript"/>
        </w:rPr>
        <w:t xml:space="preserve"> </w:t>
      </w:r>
      <w:r>
        <w:t>c</w:t>
      </w:r>
      <w:r w:rsidR="005630A4" w:rsidRPr="00A740C5">
        <w:t>ohort study using electronic health record data</w:t>
      </w:r>
      <w:r>
        <w:t>.</w:t>
      </w:r>
    </w:p>
    <w:p w14:paraId="3DE18BC7" w14:textId="77777777" w:rsidR="005630A4" w:rsidRPr="005630A4" w:rsidRDefault="005630A4" w:rsidP="005C14B9">
      <w:pPr>
        <w:pStyle w:val="ListBullet"/>
      </w:pPr>
      <w:r w:rsidRPr="005630A4">
        <w:t>In response to the RMP evaluator’s request the sponsor has in</w:t>
      </w:r>
      <w:r w:rsidR="00922427">
        <w:t>cluded reference to patients 65 </w:t>
      </w:r>
      <w:r w:rsidRPr="005630A4">
        <w:t xml:space="preserve">years and over in the safety concern regarding serious cardiovascular outcomes, to reflect that the increased risk of ischemia is a safety concern with clinical significance for elderly patients, who also have an increased risk of </w:t>
      </w:r>
      <w:proofErr w:type="spellStart"/>
      <w:r w:rsidRPr="005630A4">
        <w:t>ischaemia</w:t>
      </w:r>
      <w:proofErr w:type="spellEnd"/>
      <w:r w:rsidRPr="005630A4">
        <w:t>.</w:t>
      </w:r>
    </w:p>
    <w:p w14:paraId="10BC388C" w14:textId="77777777" w:rsidR="005630A4" w:rsidRPr="005630A4" w:rsidRDefault="005630A4" w:rsidP="00572B43">
      <w:pPr>
        <w:pStyle w:val="ListBullet"/>
      </w:pPr>
      <w:r w:rsidRPr="005630A4">
        <w:t>Routine and additional pharmacovigilance activities in the form of overseas studies have been proposed for all the safety concerns. The sponsor has added the US FDA required studies in the ASA as recommended.</w:t>
      </w:r>
    </w:p>
    <w:p w14:paraId="1FD211E0" w14:textId="77777777" w:rsidR="00456765" w:rsidRPr="005630A4" w:rsidRDefault="005630A4" w:rsidP="00572B43">
      <w:pPr>
        <w:pStyle w:val="ListBullet"/>
      </w:pPr>
      <w:r w:rsidRPr="005630A4">
        <w:t>Routine risk minimisation has been proposed for all the risks of serious hypersensitivity and use in pregnancy. The sponsor has agreed to include the CMI in the package insert as recommended.</w:t>
      </w:r>
    </w:p>
    <w:p w14:paraId="59048EFF" w14:textId="77777777" w:rsidR="00456765" w:rsidRDefault="00456765" w:rsidP="005C14B9">
      <w:pPr>
        <w:pStyle w:val="Heading4"/>
      </w:pPr>
      <w:bookmarkStart w:id="205" w:name="_Toc477354123"/>
      <w:r>
        <w:t>New and outstanding recommendations from second round evaluation</w:t>
      </w:r>
      <w:bookmarkEnd w:id="205"/>
    </w:p>
    <w:p w14:paraId="1EEEB790" w14:textId="77777777" w:rsidR="005630A4" w:rsidRPr="00E330F7" w:rsidRDefault="005630A4" w:rsidP="005630A4">
      <w:r w:rsidRPr="00E330F7">
        <w:t xml:space="preserve">The recommendations made in the </w:t>
      </w:r>
      <w:r w:rsidR="007004FC">
        <w:t>first round</w:t>
      </w:r>
      <w:r w:rsidRPr="00E330F7">
        <w:t xml:space="preserve"> evaluation, along with </w:t>
      </w:r>
      <w:r>
        <w:t xml:space="preserve">the RMP evaluator’s </w:t>
      </w:r>
      <w:r w:rsidRPr="00E330F7">
        <w:t xml:space="preserve">consideration of the sponsor response, </w:t>
      </w:r>
      <w:r w:rsidR="00922427">
        <w:t>are documented in the RMP evaluation report</w:t>
      </w:r>
      <w:r>
        <w:t>.</w:t>
      </w:r>
    </w:p>
    <w:p w14:paraId="4704CA81" w14:textId="77777777" w:rsidR="00456765" w:rsidRPr="005630A4" w:rsidRDefault="005630A4" w:rsidP="005630A4">
      <w:pPr>
        <w:rPr>
          <w:color w:val="1B3315" w:themeColor="accent6" w:themeShade="BF"/>
        </w:rPr>
      </w:pPr>
      <w:r w:rsidRPr="00473B5F">
        <w:t>There are no outstanding recommendations for this submission.</w:t>
      </w:r>
    </w:p>
    <w:p w14:paraId="1DD9A3BD" w14:textId="77777777" w:rsidR="00456765" w:rsidRPr="00BB4B51" w:rsidRDefault="00456765" w:rsidP="00456765">
      <w:pPr>
        <w:pStyle w:val="Heading4"/>
      </w:pPr>
      <w:bookmarkStart w:id="206" w:name="_Toc477354124"/>
      <w:r>
        <w:lastRenderedPageBreak/>
        <w:t>Proposed wording for conditions of registration</w:t>
      </w:r>
      <w:bookmarkEnd w:id="206"/>
    </w:p>
    <w:p w14:paraId="416B3A37" w14:textId="77777777" w:rsidR="0007206D" w:rsidRDefault="005630A4" w:rsidP="005630A4">
      <w:r w:rsidRPr="00CB6544">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07206D">
        <w:t>.</w:t>
      </w:r>
    </w:p>
    <w:p w14:paraId="49A51E6E" w14:textId="77777777" w:rsidR="0007206D" w:rsidRDefault="005630A4" w:rsidP="005630A4">
      <w:r w:rsidRPr="00CB6544">
        <w:t>The suggested wording is</w:t>
      </w:r>
      <w:r w:rsidR="0007206D">
        <w:t>:</w:t>
      </w:r>
    </w:p>
    <w:p w14:paraId="5E8D429E" w14:textId="77777777" w:rsidR="005630A4" w:rsidRPr="007004FC" w:rsidRDefault="005630A4" w:rsidP="007004FC">
      <w:pPr>
        <w:ind w:left="720"/>
        <w:rPr>
          <w:iCs/>
        </w:rPr>
      </w:pPr>
      <w:r w:rsidRPr="007004FC">
        <w:rPr>
          <w:iCs/>
        </w:rPr>
        <w:t xml:space="preserve">The </w:t>
      </w:r>
      <w:proofErr w:type="spellStart"/>
      <w:r w:rsidRPr="007004FC">
        <w:rPr>
          <w:iCs/>
        </w:rPr>
        <w:t>galcanezumab</w:t>
      </w:r>
      <w:proofErr w:type="spellEnd"/>
      <w:r w:rsidRPr="007004FC">
        <w:rPr>
          <w:iCs/>
        </w:rPr>
        <w:t xml:space="preserve"> EU-Risk Management Plan (RMP) (version 1.0, dated 11 September 2018, data lock point 12 May 2017), with Australian Specific Annex (version 2.0, dated 4 December 2018), included with submission PM-2018-00780-1-1, and any subsequent revisions, as agreed with the TGA will be implemented in Australia.</w:t>
      </w:r>
    </w:p>
    <w:p w14:paraId="6C418D60" w14:textId="77777777" w:rsidR="005630A4" w:rsidRPr="00CB6544" w:rsidRDefault="005630A4" w:rsidP="005630A4">
      <w:r w:rsidRPr="00CB6544">
        <w:t xml:space="preserve">The following wording is recommended for the </w:t>
      </w:r>
      <w:r w:rsidR="001F316B" w:rsidRPr="001F316B">
        <w:t xml:space="preserve">periodic safety update reports </w:t>
      </w:r>
      <w:r w:rsidR="001F316B">
        <w:t>(</w:t>
      </w:r>
      <w:r w:rsidRPr="00CB6544">
        <w:t>PSUR</w:t>
      </w:r>
      <w:r w:rsidR="001F316B">
        <w:t>)</w:t>
      </w:r>
      <w:r w:rsidRPr="00CB6544">
        <w:t xml:space="preserve"> requirement:</w:t>
      </w:r>
    </w:p>
    <w:p w14:paraId="29D97DE2" w14:textId="77777777" w:rsidR="0007206D" w:rsidRPr="0013024E" w:rsidRDefault="005630A4" w:rsidP="0013024E">
      <w:pPr>
        <w:ind w:left="720"/>
        <w:rPr>
          <w:iCs/>
        </w:rPr>
      </w:pPr>
      <w:r w:rsidRPr="0013024E">
        <w:rPr>
          <w:iCs/>
        </w:rPr>
        <w:t>An obligatory component of risk management plans is routine pharmacovigilance. Routine pharmacovigilance includes the submission of periodic safety update reports (PSURs)</w:t>
      </w:r>
      <w:r w:rsidR="0007206D" w:rsidRPr="0013024E">
        <w:rPr>
          <w:iCs/>
        </w:rPr>
        <w:t>.</w:t>
      </w:r>
    </w:p>
    <w:p w14:paraId="17BF110F" w14:textId="77777777" w:rsidR="0007206D" w:rsidRPr="0013024E" w:rsidRDefault="005630A4" w:rsidP="0013024E">
      <w:pPr>
        <w:ind w:left="720"/>
        <w:rPr>
          <w:iCs/>
        </w:rPr>
      </w:pPr>
      <w:r w:rsidRPr="0013024E">
        <w:rPr>
          <w:iCs/>
        </w:rPr>
        <w:t>Reports are to be provided in line with the current published list of EU reference dates and frequency of submission of PSURs until the period covered by such reports is not less than three years from the date of this approval letter</w:t>
      </w:r>
      <w:r w:rsidR="0007206D" w:rsidRPr="0013024E">
        <w:rPr>
          <w:iCs/>
        </w:rPr>
        <w:t>.</w:t>
      </w:r>
    </w:p>
    <w:p w14:paraId="17FE2AA4" w14:textId="77777777" w:rsidR="0007206D" w:rsidRPr="0013024E" w:rsidRDefault="005630A4" w:rsidP="0013024E">
      <w:pPr>
        <w:ind w:left="720"/>
        <w:rPr>
          <w:iCs/>
        </w:rPr>
      </w:pPr>
      <w:r w:rsidRPr="0013024E">
        <w:rPr>
          <w:iCs/>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r w:rsidR="0007206D" w:rsidRPr="0013024E">
        <w:rPr>
          <w:iCs/>
        </w:rPr>
        <w:t>.</w:t>
      </w:r>
    </w:p>
    <w:p w14:paraId="0CB6A648" w14:textId="77777777" w:rsidR="005630A4" w:rsidRDefault="005630A4" w:rsidP="005630A4">
      <w:pPr>
        <w:rPr>
          <w:iCs/>
        </w:rPr>
      </w:pPr>
      <w:r>
        <w:rPr>
          <w:iCs/>
        </w:rPr>
        <w:t xml:space="preserve">As the sponsor has agreed to include the </w:t>
      </w:r>
      <w:r w:rsidR="008C7731">
        <w:rPr>
          <w:iCs/>
        </w:rPr>
        <w:t>CMI</w:t>
      </w:r>
      <w:r>
        <w:rPr>
          <w:iCs/>
        </w:rPr>
        <w:t xml:space="preserve"> in the pack, the following wording is recommended for a condition of registration:</w:t>
      </w:r>
    </w:p>
    <w:p w14:paraId="5615BD52" w14:textId="77777777" w:rsidR="0007206D" w:rsidRPr="0013024E" w:rsidRDefault="0013024E" w:rsidP="0013024E">
      <w:pPr>
        <w:ind w:left="720"/>
        <w:rPr>
          <w:iCs/>
        </w:rPr>
      </w:pPr>
      <w:r w:rsidRPr="0013024E">
        <w:t xml:space="preserve">The </w:t>
      </w:r>
      <w:proofErr w:type="spellStart"/>
      <w:r w:rsidRPr="0013024E">
        <w:t>Emgality</w:t>
      </w:r>
      <w:proofErr w:type="spellEnd"/>
      <w:r w:rsidRPr="0013024E">
        <w:t xml:space="preserve"> Consumer Medicine Information must be included in the package</w:t>
      </w:r>
      <w:r>
        <w:rPr>
          <w:iCs/>
        </w:rPr>
        <w:t>.</w:t>
      </w:r>
    </w:p>
    <w:p w14:paraId="1B0CD03A" w14:textId="77777777" w:rsidR="0007206D" w:rsidRDefault="005630A4" w:rsidP="005630A4">
      <w:r>
        <w:rPr>
          <w:iCs/>
        </w:rPr>
        <w:t xml:space="preserve">As </w:t>
      </w:r>
      <w:proofErr w:type="spellStart"/>
      <w:r>
        <w:rPr>
          <w:iCs/>
        </w:rPr>
        <w:t>Emgality</w:t>
      </w:r>
      <w:proofErr w:type="spellEnd"/>
      <w:r>
        <w:rPr>
          <w:iCs/>
        </w:rPr>
        <w:t xml:space="preserve"> </w:t>
      </w:r>
      <w:r w:rsidRPr="00CB6544">
        <w:rPr>
          <w:iCs/>
        </w:rPr>
        <w:t>is a new</w:t>
      </w:r>
      <w:r>
        <w:rPr>
          <w:iCs/>
        </w:rPr>
        <w:t xml:space="preserve"> </w:t>
      </w:r>
      <w:r w:rsidRPr="00CB6544">
        <w:rPr>
          <w:iCs/>
        </w:rPr>
        <w:t xml:space="preserve">biological entity it should be included in the Black Triangle Scheme as a condition of registration. </w:t>
      </w:r>
      <w:r w:rsidRPr="00CB6544">
        <w:t>The following wording is recommended for the condition of registration</w:t>
      </w:r>
      <w:r w:rsidR="0007206D">
        <w:t>:</w:t>
      </w:r>
    </w:p>
    <w:p w14:paraId="559D07F4" w14:textId="365EFE69" w:rsidR="00456765" w:rsidRPr="0013024E" w:rsidRDefault="005630A4" w:rsidP="0013024E">
      <w:pPr>
        <w:ind w:left="720"/>
      </w:pPr>
      <w:proofErr w:type="spellStart"/>
      <w:r w:rsidRPr="0013024E">
        <w:t>Emgality</w:t>
      </w:r>
      <w:proofErr w:type="spellEnd"/>
      <w:r w:rsidRPr="0013024E">
        <w:t xml:space="preserve"> (</w:t>
      </w:r>
      <w:proofErr w:type="spellStart"/>
      <w:r w:rsidRPr="0013024E">
        <w:t>galcanezumab</w:t>
      </w:r>
      <w:proofErr w:type="spellEnd"/>
      <w:r w:rsidRPr="0013024E">
        <w:t xml:space="preserve">) is to be included in the Black Triangle Scheme. The PI and CMI for </w:t>
      </w:r>
      <w:proofErr w:type="spellStart"/>
      <w:r w:rsidRPr="0013024E">
        <w:t>Emgality</w:t>
      </w:r>
      <w:proofErr w:type="spellEnd"/>
      <w:r w:rsidRPr="0013024E">
        <w:t xml:space="preserve"> must include the black triangle symbol and mandatory accompanying text for five years, which starts from the date that the sponsor notifies the TGA of supply of the product.</w:t>
      </w:r>
    </w:p>
    <w:p w14:paraId="0446EF0A" w14:textId="77777777" w:rsidR="008E7846" w:rsidRPr="00792A32" w:rsidRDefault="008E7846" w:rsidP="008E7846">
      <w:pPr>
        <w:pStyle w:val="Heading2"/>
      </w:pPr>
      <w:bookmarkStart w:id="207" w:name="_Toc20822184"/>
      <w:r>
        <w:t>V</w:t>
      </w:r>
      <w:r w:rsidR="00456765">
        <w:t>I</w:t>
      </w:r>
      <w:r>
        <w:t>I</w:t>
      </w:r>
      <w:r w:rsidRPr="00BE161F">
        <w:t>. Overall conclusion and risk/benefit assessment</w:t>
      </w:r>
      <w:bookmarkEnd w:id="111"/>
      <w:bookmarkEnd w:id="202"/>
      <w:bookmarkEnd w:id="203"/>
      <w:bookmarkEnd w:id="207"/>
    </w:p>
    <w:p w14:paraId="304D0C7B" w14:textId="77777777" w:rsidR="008E7846" w:rsidRDefault="008E7846" w:rsidP="005C14B9">
      <w:bookmarkStart w:id="208" w:name="_Toc247691528"/>
      <w:r>
        <w:t xml:space="preserve">The submission was summarised in the following </w:t>
      </w:r>
      <w:r w:rsidRPr="00EF5C48">
        <w:t xml:space="preserve">Delegate’s </w:t>
      </w:r>
      <w:r>
        <w:t>overview</w:t>
      </w:r>
      <w:r w:rsidRPr="00EF5C48">
        <w:t xml:space="preserve"> and recommendation</w:t>
      </w:r>
      <w:r w:rsidR="0013024E">
        <w:t>s.</w:t>
      </w:r>
    </w:p>
    <w:p w14:paraId="16E486DB" w14:textId="77777777" w:rsidR="0013024E" w:rsidRPr="0013024E" w:rsidRDefault="0013024E" w:rsidP="005C14B9">
      <w:pPr>
        <w:pStyle w:val="Heading3"/>
      </w:pPr>
      <w:bookmarkStart w:id="209" w:name="_Toc2587215"/>
      <w:bookmarkStart w:id="210" w:name="_Toc20822185"/>
      <w:r w:rsidRPr="0013024E">
        <w:t>Background</w:t>
      </w:r>
      <w:bookmarkEnd w:id="209"/>
      <w:bookmarkEnd w:id="210"/>
    </w:p>
    <w:p w14:paraId="58162D90" w14:textId="77777777" w:rsidR="0013024E" w:rsidRPr="00A02D8B" w:rsidRDefault="0013024E" w:rsidP="0013024E">
      <w:pPr>
        <w:spacing w:before="0" w:after="0" w:line="240" w:lineRule="auto"/>
        <w:rPr>
          <w:rFonts w:asciiTheme="minorHAnsi" w:hAnsiTheme="minorHAnsi"/>
          <w:sz w:val="2"/>
          <w:szCs w:val="2"/>
        </w:rPr>
      </w:pPr>
    </w:p>
    <w:p w14:paraId="65DEDB61" w14:textId="77777777" w:rsidR="0013024E" w:rsidRPr="0013024E" w:rsidRDefault="0013024E" w:rsidP="0013024E">
      <w:r>
        <w:t>The sponsor</w:t>
      </w:r>
      <w:r w:rsidRPr="0013024E">
        <w:t xml:space="preserve"> has applied to register a new chemical entity, </w:t>
      </w:r>
      <w:proofErr w:type="spellStart"/>
      <w:r>
        <w:t>g</w:t>
      </w:r>
      <w:r w:rsidRPr="0013024E">
        <w:t>alcanezumab</w:t>
      </w:r>
      <w:proofErr w:type="spellEnd"/>
      <w:r w:rsidRPr="0013024E">
        <w:t xml:space="preserve"> (</w:t>
      </w:r>
      <w:proofErr w:type="spellStart"/>
      <w:r w:rsidRPr="0013024E">
        <w:t>E</w:t>
      </w:r>
      <w:r>
        <w:t>mgality</w:t>
      </w:r>
      <w:proofErr w:type="spellEnd"/>
      <w:r w:rsidRPr="0013024E">
        <w:t xml:space="preserve">). </w:t>
      </w:r>
      <w:proofErr w:type="spellStart"/>
      <w:r w:rsidRPr="0013024E">
        <w:t>E</w:t>
      </w:r>
      <w:r>
        <w:t>mgality</w:t>
      </w:r>
      <w:proofErr w:type="spellEnd"/>
      <w:r w:rsidRPr="0013024E">
        <w:t xml:space="preserve"> is proposed to be used for the prophylaxis of migraine in adults.</w:t>
      </w:r>
    </w:p>
    <w:p w14:paraId="319311EC" w14:textId="247EDE10" w:rsidR="0013024E" w:rsidRPr="0013024E" w:rsidRDefault="0013024E" w:rsidP="0013024E">
      <w:proofErr w:type="spellStart"/>
      <w:r w:rsidRPr="0013024E">
        <w:t>Galcanezumab</w:t>
      </w:r>
      <w:proofErr w:type="spellEnd"/>
      <w:r w:rsidRPr="0013024E">
        <w:t xml:space="preserve"> is a </w:t>
      </w:r>
      <w:r w:rsidR="00B271C9" w:rsidRPr="0013024E">
        <w:t>humani</w:t>
      </w:r>
      <w:r w:rsidR="00B271C9">
        <w:t>s</w:t>
      </w:r>
      <w:r w:rsidR="00B271C9" w:rsidRPr="0013024E">
        <w:t xml:space="preserve">ed </w:t>
      </w:r>
      <w:r w:rsidRPr="0013024E">
        <w:t xml:space="preserve">monoclonal antibody </w:t>
      </w:r>
      <w:r w:rsidR="00B271C9">
        <w:t>(</w:t>
      </w:r>
      <w:proofErr w:type="spellStart"/>
      <w:r w:rsidR="00B271C9">
        <w:t>mAb</w:t>
      </w:r>
      <w:proofErr w:type="spellEnd"/>
      <w:r w:rsidR="00B271C9">
        <w:t xml:space="preserve">) </w:t>
      </w:r>
      <w:r w:rsidRPr="0013024E">
        <w:t xml:space="preserve">that binds to the </w:t>
      </w:r>
      <w:r>
        <w:t>CGRP</w:t>
      </w:r>
      <w:r w:rsidRPr="0013024E">
        <w:t xml:space="preserve"> ligand, preventing binding to its receptor. During a migraine attack, CGRP levels increase, causing </w:t>
      </w:r>
      <w:r w:rsidRPr="0013024E">
        <w:lastRenderedPageBreak/>
        <w:t>vasodilation and nociceptive signalling and it is hypothesi</w:t>
      </w:r>
      <w:r w:rsidR="00485E95">
        <w:t>s</w:t>
      </w:r>
      <w:r w:rsidRPr="0013024E">
        <w:t xml:space="preserve">ed that inhibiting the binding of CGRP to its </w:t>
      </w:r>
      <w:r>
        <w:t>receptor will prevent migraine.</w:t>
      </w:r>
    </w:p>
    <w:p w14:paraId="722363F9" w14:textId="4541EF3B" w:rsidR="0013024E" w:rsidRPr="00BD18FC" w:rsidRDefault="0013024E" w:rsidP="005C14B9">
      <w:pPr>
        <w:rPr>
          <w:lang w:eastAsia="ja-JP"/>
        </w:rPr>
      </w:pPr>
      <w:r w:rsidRPr="00EC065F">
        <w:t xml:space="preserve">Migraine is a common </w:t>
      </w:r>
      <w:r>
        <w:t xml:space="preserve">neurological </w:t>
      </w:r>
      <w:r w:rsidRPr="00EC065F">
        <w:t xml:space="preserve">condition, usually manifesting as severe headache, and often accompanied by visual changes, photophobia, </w:t>
      </w:r>
      <w:proofErr w:type="spellStart"/>
      <w:r w:rsidRPr="00EC065F">
        <w:t>phonophobia</w:t>
      </w:r>
      <w:proofErr w:type="spellEnd"/>
      <w:r w:rsidRPr="00EC065F">
        <w:t xml:space="preserve">, nausea, and lethargy. It is sometimes associated with focal neurological deficits such as weakness or numbness, speech disturbance, or vertigo. Typically, migraines cause asymmetrical or unilateral throbbing headaches, with attacks lasting from hours to days. Many patients can identify food or environmental triggers for their migraines and, in some cases, migraines are associated with menstrual cycles, but in many other cases the triggers for individual migraines are obscure. Many people suffer infrequent migraines, with only a few attacks per year, but some subjects experience multiple attacks per month. By convention, using definitions formalised by the International Headache Society, a rate of ≥ 15 headache days </w:t>
      </w:r>
      <w:r w:rsidR="009C43B0">
        <w:t xml:space="preserve">at least 8 of which are migraine </w:t>
      </w:r>
      <w:r w:rsidRPr="00EC065F">
        <w:t>per month is used to identify subjects with ‘chronic’ migraine, in contrast to those with ‘episodic’ migraine who suffer &lt;</w:t>
      </w:r>
      <w:r>
        <w:t xml:space="preserve"> </w:t>
      </w:r>
      <w:r w:rsidRPr="00EC065F">
        <w:t>15 migraine headache days per month.</w:t>
      </w:r>
      <w:r>
        <w:t xml:space="preserve"> </w:t>
      </w:r>
      <w:r>
        <w:rPr>
          <w:lang w:eastAsia="ja-JP"/>
        </w:rPr>
        <w:t>Migraines can have major impacts on quality of life and mood, especially if they occur frequently. Migraine is also a major cause of absenteeism from work.</w:t>
      </w:r>
    </w:p>
    <w:p w14:paraId="52BF2E1C" w14:textId="1B9F6EAC" w:rsidR="0013024E" w:rsidRDefault="0013024E" w:rsidP="0013024E">
      <w:pPr>
        <w:rPr>
          <w:rFonts w:asciiTheme="minorHAnsi" w:eastAsiaTheme="minorHAnsi" w:hAnsiTheme="minorHAnsi"/>
        </w:rPr>
      </w:pPr>
      <w:r>
        <w:rPr>
          <w:rFonts w:asciiTheme="minorHAnsi" w:eastAsiaTheme="minorHAnsi" w:hAnsiTheme="minorHAnsi"/>
        </w:rPr>
        <w:t xml:space="preserve">There are several TGA </w:t>
      </w:r>
      <w:r w:rsidRPr="009E4D53">
        <w:rPr>
          <w:rFonts w:asciiTheme="minorHAnsi" w:eastAsiaTheme="minorHAnsi" w:hAnsiTheme="minorHAnsi"/>
        </w:rPr>
        <w:t>approved drugs</w:t>
      </w:r>
      <w:r>
        <w:rPr>
          <w:rFonts w:asciiTheme="minorHAnsi" w:eastAsiaTheme="minorHAnsi" w:hAnsiTheme="minorHAnsi"/>
        </w:rPr>
        <w:t xml:space="preserve"> (</w:t>
      </w:r>
      <w:r>
        <w:rPr>
          <w:lang w:eastAsia="ja-JP"/>
        </w:rPr>
        <w:t xml:space="preserve">beta-blockers, calcium channel blockers, some anticonvulsants and </w:t>
      </w:r>
      <w:proofErr w:type="spellStart"/>
      <w:r>
        <w:rPr>
          <w:lang w:eastAsia="ja-JP"/>
        </w:rPr>
        <w:t>pi</w:t>
      </w:r>
      <w:r w:rsidR="001C6D48">
        <w:rPr>
          <w:lang w:eastAsia="ja-JP"/>
        </w:rPr>
        <w:t>z</w:t>
      </w:r>
      <w:r>
        <w:rPr>
          <w:lang w:eastAsia="ja-JP"/>
        </w:rPr>
        <w:t>otifen</w:t>
      </w:r>
      <w:proofErr w:type="spellEnd"/>
      <w:r>
        <w:rPr>
          <w:rFonts w:asciiTheme="minorHAnsi" w:eastAsiaTheme="minorHAnsi" w:hAnsiTheme="minorHAnsi"/>
        </w:rPr>
        <w:t>)</w:t>
      </w:r>
      <w:r w:rsidRPr="009E4D53">
        <w:rPr>
          <w:rFonts w:asciiTheme="minorHAnsi" w:eastAsiaTheme="minorHAnsi" w:hAnsiTheme="minorHAnsi"/>
        </w:rPr>
        <w:t xml:space="preserve"> for the prophylaxis of migraine</w:t>
      </w:r>
      <w:r>
        <w:rPr>
          <w:rFonts w:asciiTheme="minorHAnsi" w:eastAsiaTheme="minorHAnsi" w:hAnsiTheme="minorHAnsi"/>
        </w:rPr>
        <w:t xml:space="preserve">. </w:t>
      </w:r>
      <w:r>
        <w:rPr>
          <w:lang w:eastAsia="ja-JP"/>
        </w:rPr>
        <w:t>All of them are associated with significant tolerability issues.</w:t>
      </w:r>
    </w:p>
    <w:p w14:paraId="0B58BC52" w14:textId="77777777" w:rsidR="0013024E" w:rsidRPr="0013024E" w:rsidRDefault="0013024E" w:rsidP="0013024E">
      <w:pPr>
        <w:rPr>
          <w:rFonts w:asciiTheme="minorHAnsi" w:hAnsiTheme="minorHAnsi"/>
        </w:rPr>
      </w:pPr>
      <w:r w:rsidRPr="0013024E">
        <w:rPr>
          <w:rFonts w:asciiTheme="minorHAnsi" w:eastAsiaTheme="minorHAnsi" w:hAnsiTheme="minorHAnsi"/>
        </w:rPr>
        <w:t xml:space="preserve">One drug in this class (monoclonal antibody) was approved last year for the preventive treatment of migraine: </w:t>
      </w:r>
      <w:proofErr w:type="spellStart"/>
      <w:r w:rsidRPr="0013024E">
        <w:rPr>
          <w:rFonts w:asciiTheme="minorHAnsi" w:eastAsiaTheme="minorHAnsi" w:hAnsiTheme="minorHAnsi"/>
        </w:rPr>
        <w:t>erenumab</w:t>
      </w:r>
      <w:proofErr w:type="spellEnd"/>
      <w:r w:rsidRPr="0013024E">
        <w:rPr>
          <w:rFonts w:asciiTheme="minorHAnsi" w:eastAsiaTheme="minorHAnsi" w:hAnsiTheme="minorHAnsi"/>
        </w:rPr>
        <w:t xml:space="preserve">. </w:t>
      </w:r>
      <w:proofErr w:type="spellStart"/>
      <w:r w:rsidRPr="0013024E">
        <w:rPr>
          <w:rFonts w:asciiTheme="minorHAnsi" w:eastAsiaTheme="minorHAnsi" w:hAnsiTheme="minorHAnsi"/>
        </w:rPr>
        <w:t>Galcanezumab</w:t>
      </w:r>
      <w:proofErr w:type="spellEnd"/>
      <w:r w:rsidRPr="0013024E">
        <w:rPr>
          <w:rFonts w:asciiTheme="minorHAnsi" w:eastAsiaTheme="minorHAnsi" w:hAnsiTheme="minorHAnsi"/>
        </w:rPr>
        <w:t xml:space="preserve"> binds to the CGRP ligand, whereas </w:t>
      </w:r>
      <w:proofErr w:type="spellStart"/>
      <w:r w:rsidRPr="0013024E">
        <w:rPr>
          <w:rFonts w:asciiTheme="minorHAnsi" w:eastAsiaTheme="minorHAnsi" w:hAnsiTheme="minorHAnsi"/>
        </w:rPr>
        <w:t>erenumab</w:t>
      </w:r>
      <w:proofErr w:type="spellEnd"/>
      <w:r w:rsidRPr="0013024E">
        <w:rPr>
          <w:rFonts w:asciiTheme="minorHAnsi" w:eastAsiaTheme="minorHAnsi" w:hAnsiTheme="minorHAnsi"/>
        </w:rPr>
        <w:t xml:space="preserve"> binds to the CGRP receptor.</w:t>
      </w:r>
    </w:p>
    <w:p w14:paraId="663D4897" w14:textId="5D357FB9" w:rsidR="0013024E" w:rsidRDefault="00CF6016" w:rsidP="008E7846">
      <w:r>
        <w:rPr>
          <w:lang w:val="en-US"/>
        </w:rPr>
        <w:t>The most important guideline used in the evaluation of this submission is the EMA document: Guideline</w:t>
      </w:r>
      <w:r w:rsidRPr="00FF4394">
        <w:rPr>
          <w:i/>
          <w:lang w:val="en-US"/>
        </w:rPr>
        <w:t xml:space="preserve"> on Clinical Investigation of Medicinal Products for the Treatment of Migraine</w:t>
      </w:r>
      <w:r w:rsidR="00B271C9">
        <w:rPr>
          <w:lang w:val="en-US"/>
        </w:rPr>
        <w:t xml:space="preserve">; dated </w:t>
      </w:r>
      <w:r w:rsidRPr="00FF4394">
        <w:rPr>
          <w:lang w:val="en-US"/>
        </w:rPr>
        <w:t>January 2007.</w:t>
      </w:r>
      <w:r w:rsidR="00E822EB">
        <w:rPr>
          <w:lang w:val="en-US"/>
        </w:rPr>
        <w:fldChar w:fldCharType="begin"/>
      </w:r>
      <w:r w:rsidR="00E822EB">
        <w:rPr>
          <w:lang w:val="en-US"/>
        </w:rPr>
        <w:instrText xml:space="preserve"> NOTEREF _Ref12453797 \f \h </w:instrText>
      </w:r>
      <w:r w:rsidR="00E822EB">
        <w:rPr>
          <w:lang w:val="en-US"/>
        </w:rPr>
      </w:r>
      <w:r w:rsidR="00E822EB">
        <w:rPr>
          <w:lang w:val="en-US"/>
        </w:rPr>
        <w:fldChar w:fldCharType="separate"/>
      </w:r>
      <w:r w:rsidR="00E822EB" w:rsidRPr="00E822EB">
        <w:rPr>
          <w:rStyle w:val="FootnoteReference"/>
        </w:rPr>
        <w:t>19</w:t>
      </w:r>
      <w:r w:rsidR="00E822EB">
        <w:rPr>
          <w:lang w:val="en-US"/>
        </w:rPr>
        <w:fldChar w:fldCharType="end"/>
      </w:r>
    </w:p>
    <w:p w14:paraId="5816A88A" w14:textId="77777777" w:rsidR="008E7846" w:rsidRDefault="008E7846" w:rsidP="008E7846">
      <w:pPr>
        <w:pStyle w:val="Heading3"/>
      </w:pPr>
      <w:bookmarkStart w:id="211" w:name="_Toc314842511"/>
      <w:bookmarkStart w:id="212" w:name="_Toc20822186"/>
      <w:r>
        <w:t>Quality</w:t>
      </w:r>
      <w:bookmarkEnd w:id="208"/>
      <w:bookmarkEnd w:id="211"/>
      <w:bookmarkEnd w:id="212"/>
    </w:p>
    <w:p w14:paraId="784C8E3F" w14:textId="77777777" w:rsidR="0007206D" w:rsidRDefault="005630A4" w:rsidP="005630A4">
      <w:bookmarkStart w:id="213" w:name="_Toc314842512"/>
      <w:r>
        <w:t>There are no objections on the qual</w:t>
      </w:r>
      <w:r w:rsidR="001F316B">
        <w:t xml:space="preserve">ity grounds to the approval of </w:t>
      </w:r>
      <w:proofErr w:type="spellStart"/>
      <w:r w:rsidR="001F316B">
        <w:t>g</w:t>
      </w:r>
      <w:r>
        <w:t>alcanezumab</w:t>
      </w:r>
      <w:proofErr w:type="spellEnd"/>
      <w:r>
        <w:t xml:space="preserve"> (</w:t>
      </w:r>
      <w:proofErr w:type="spellStart"/>
      <w:r w:rsidR="00444B2E">
        <w:t>Emgality</w:t>
      </w:r>
      <w:proofErr w:type="spellEnd"/>
      <w:r>
        <w:t>)</w:t>
      </w:r>
      <w:r w:rsidR="0007206D">
        <w:t>.</w:t>
      </w:r>
    </w:p>
    <w:p w14:paraId="2BF9F81B" w14:textId="77777777" w:rsidR="005630A4" w:rsidRDefault="005630A4" w:rsidP="005630A4">
      <w:r>
        <w:t xml:space="preserve">Batch Release Testing </w:t>
      </w:r>
      <w:r w:rsidR="001B3F55">
        <w:t>and</w:t>
      </w:r>
      <w:r>
        <w:t xml:space="preserve"> Compliance with Certified Product Details (CPD)</w:t>
      </w:r>
    </w:p>
    <w:p w14:paraId="2FAFE8F8" w14:textId="77777777" w:rsidR="005630A4" w:rsidRDefault="005630A4" w:rsidP="005C14B9">
      <w:pPr>
        <w:pStyle w:val="Numberbullet0"/>
        <w:numPr>
          <w:ilvl w:val="0"/>
          <w:numId w:val="44"/>
        </w:numPr>
      </w:pPr>
      <w:r>
        <w:t>It is a condition of reg</w:t>
      </w:r>
      <w:r w:rsidR="001F316B">
        <w:t xml:space="preserve">istration that all batches of </w:t>
      </w:r>
      <w:proofErr w:type="spellStart"/>
      <w:r w:rsidR="00444B2E">
        <w:t>Emgality</w:t>
      </w:r>
      <w:proofErr w:type="spellEnd"/>
      <w:r>
        <w:t xml:space="preserve"> (</w:t>
      </w:r>
      <w:proofErr w:type="spellStart"/>
      <w:r>
        <w:t>Galcanezumab</w:t>
      </w:r>
      <w:proofErr w:type="spellEnd"/>
      <w:r>
        <w:t>) imported into/manufactured in Australia must comply with the product details and specifications approved during evaluation and detailed in the Certified Product Details (CPD).</w:t>
      </w:r>
    </w:p>
    <w:p w14:paraId="0A893EAD" w14:textId="410BE555" w:rsidR="005630A4" w:rsidRDefault="005630A4" w:rsidP="00572B43">
      <w:pPr>
        <w:pStyle w:val="Numberbullet0"/>
      </w:pPr>
      <w:r>
        <w:t xml:space="preserve">It is a condition of registration that each batch of </w:t>
      </w:r>
      <w:proofErr w:type="spellStart"/>
      <w:r w:rsidR="00444B2E">
        <w:t>Emgality</w:t>
      </w:r>
      <w:proofErr w:type="spellEnd"/>
      <w:r>
        <w:t xml:space="preserve"> (</w:t>
      </w:r>
      <w:proofErr w:type="spellStart"/>
      <w:r>
        <w:t>Galcanezumab</w:t>
      </w:r>
      <w:proofErr w:type="spellEnd"/>
      <w:r>
        <w:t xml:space="preserve">) imported into/manufactured in Australia is not released for sale until samples and/or the manufacturer’s release data have been assessed and endorsed for release by the TGA Laboratories Branch. Outcomes of laboratory testing are published biannually in the </w:t>
      </w:r>
      <w:hyperlink r:id="rId39" w:history="1">
        <w:r w:rsidRPr="005C14B9">
          <w:rPr>
            <w:rStyle w:val="Hyperlink"/>
          </w:rPr>
          <w:t>TGA Database of Laboratory Testing Results</w:t>
        </w:r>
      </w:hyperlink>
      <w:r>
        <w:t>.</w:t>
      </w:r>
    </w:p>
    <w:p w14:paraId="4E361863" w14:textId="3BE0C651" w:rsidR="005630A4" w:rsidRDefault="005630A4" w:rsidP="00572B43">
      <w:pPr>
        <w:pStyle w:val="Numberbullet0"/>
      </w:pPr>
      <w:r>
        <w:t>The sponsor should be prepared to provide product samples, reference materials and documentary evidence as defined by the TGA Laboratories branch. The sponsor must contact Biochemistry.</w:t>
      </w:r>
      <w:hyperlink r:id="rId40" w:history="1">
        <w:r w:rsidRPr="005C14B9">
          <w:rPr>
            <w:rStyle w:val="Hyperlink"/>
          </w:rPr>
          <w:t>Testing@health.gov.au</w:t>
        </w:r>
      </w:hyperlink>
      <w:r>
        <w:t xml:space="preserve"> for specific material requirements related to the batch release testing/assessment of the product. More information </w:t>
      </w:r>
      <w:r w:rsidR="005C14B9">
        <w:t>at</w:t>
      </w:r>
      <w:r>
        <w:t xml:space="preserve"> </w:t>
      </w:r>
      <w:hyperlink r:id="rId41" w:history="1">
        <w:r w:rsidRPr="005C14B9">
          <w:rPr>
            <w:rStyle w:val="Hyperlink"/>
          </w:rPr>
          <w:t>TGA testing of biological medicines</w:t>
        </w:r>
      </w:hyperlink>
      <w:r>
        <w:t>.</w:t>
      </w:r>
    </w:p>
    <w:p w14:paraId="0C5267E2" w14:textId="349482BC" w:rsidR="005630A4" w:rsidRDefault="005630A4" w:rsidP="005630A4">
      <w:pPr>
        <w:rPr>
          <w:rFonts w:asciiTheme="minorHAnsi" w:hAnsiTheme="minorHAnsi"/>
        </w:rPr>
      </w:pPr>
      <w:r w:rsidRPr="00976994">
        <w:rPr>
          <w:rFonts w:asciiTheme="minorHAnsi" w:hAnsiTheme="minorHAnsi"/>
        </w:rPr>
        <w:t xml:space="preserve">There are </w:t>
      </w:r>
      <w:r w:rsidRPr="001F316B">
        <w:rPr>
          <w:rFonts w:asciiTheme="minorHAnsi" w:hAnsiTheme="minorHAnsi"/>
        </w:rPr>
        <w:t>minor GMP issues</w:t>
      </w:r>
      <w:r w:rsidRPr="00976994">
        <w:rPr>
          <w:rFonts w:asciiTheme="minorHAnsi" w:hAnsiTheme="minorHAnsi"/>
        </w:rPr>
        <w:t xml:space="preserve"> that must be addressed before this application can be approved. The TGA GMP clearances for the </w:t>
      </w:r>
      <w:r>
        <w:rPr>
          <w:rFonts w:asciiTheme="minorHAnsi" w:hAnsiTheme="minorHAnsi"/>
        </w:rPr>
        <w:t>some</w:t>
      </w:r>
      <w:r w:rsidRPr="00976994">
        <w:rPr>
          <w:rFonts w:asciiTheme="minorHAnsi" w:hAnsiTheme="minorHAnsi"/>
        </w:rPr>
        <w:t xml:space="preserve"> manufacturers should be renewed/approved p</w:t>
      </w:r>
      <w:r w:rsidR="008845A0">
        <w:rPr>
          <w:rFonts w:asciiTheme="minorHAnsi" w:hAnsiTheme="minorHAnsi"/>
        </w:rPr>
        <w:t>rior to approval of the product.</w:t>
      </w:r>
      <w:r w:rsidR="008845A0">
        <w:rPr>
          <w:rFonts w:asciiTheme="minorHAnsi" w:hAnsiTheme="minorHAnsi"/>
        </w:rPr>
        <w:fldChar w:fldCharType="begin"/>
      </w:r>
      <w:r w:rsidR="008845A0">
        <w:rPr>
          <w:rFonts w:asciiTheme="minorHAnsi" w:hAnsiTheme="minorHAnsi"/>
        </w:rPr>
        <w:instrText xml:space="preserve"> NOTEREF _Ref12530487 \f \h </w:instrText>
      </w:r>
      <w:r w:rsidR="008845A0">
        <w:rPr>
          <w:rFonts w:asciiTheme="minorHAnsi" w:hAnsiTheme="minorHAnsi"/>
        </w:rPr>
      </w:r>
      <w:r w:rsidR="008845A0">
        <w:rPr>
          <w:rFonts w:asciiTheme="minorHAnsi" w:hAnsiTheme="minorHAnsi"/>
        </w:rPr>
        <w:fldChar w:fldCharType="separate"/>
      </w:r>
      <w:r w:rsidR="00485E95" w:rsidRPr="00E27356">
        <w:rPr>
          <w:rStyle w:val="FootnoteReference"/>
        </w:rPr>
        <w:t>2</w:t>
      </w:r>
      <w:r w:rsidR="008845A0">
        <w:rPr>
          <w:rFonts w:asciiTheme="minorHAnsi" w:hAnsiTheme="minorHAnsi"/>
        </w:rPr>
        <w:fldChar w:fldCharType="end"/>
      </w:r>
    </w:p>
    <w:p w14:paraId="5067FB61" w14:textId="77777777" w:rsidR="008E7846" w:rsidRDefault="008E7846" w:rsidP="008E7846">
      <w:pPr>
        <w:pStyle w:val="Heading3"/>
      </w:pPr>
      <w:bookmarkStart w:id="214" w:name="_Toc20822187"/>
      <w:r>
        <w:lastRenderedPageBreak/>
        <w:t>Nonclinical</w:t>
      </w:r>
      <w:bookmarkEnd w:id="213"/>
      <w:bookmarkEnd w:id="214"/>
    </w:p>
    <w:p w14:paraId="40238D82" w14:textId="77777777" w:rsidR="0007206D" w:rsidRDefault="008845A0" w:rsidP="00572B43">
      <w:pPr>
        <w:pStyle w:val="ListBullet"/>
      </w:pPr>
      <w:bookmarkStart w:id="215" w:name="_Toc247691530"/>
      <w:bookmarkStart w:id="216" w:name="_Toc314842513"/>
      <w:r>
        <w:t>The submitted nonclinical</w:t>
      </w:r>
      <w:r w:rsidR="005630A4">
        <w:t xml:space="preserve"> data </w:t>
      </w:r>
      <w:r w:rsidR="0013024E">
        <w:t>was</w:t>
      </w:r>
      <w:r w:rsidR="005630A4">
        <w:t xml:space="preserve"> in general accordance with the ICH guideline on the nonclinical evaluation of the biotechnology-derived pharmaceuticals.</w:t>
      </w:r>
      <w:r>
        <w:fldChar w:fldCharType="begin"/>
      </w:r>
      <w:r>
        <w:instrText xml:space="preserve"> NOTEREF _Ref12351989 \f \h </w:instrText>
      </w:r>
      <w:r>
        <w:fldChar w:fldCharType="separate"/>
      </w:r>
      <w:r w:rsidRPr="008845A0">
        <w:rPr>
          <w:rStyle w:val="FootnoteReference"/>
        </w:rPr>
        <w:t>2</w:t>
      </w:r>
      <w:r>
        <w:fldChar w:fldCharType="end"/>
      </w:r>
      <w:r w:rsidR="0013024E">
        <w:t xml:space="preserve"> All pivotal repeat </w:t>
      </w:r>
      <w:r w:rsidR="005630A4">
        <w:t>dose toxicity and reprodu</w:t>
      </w:r>
      <w:r w:rsidR="0013024E">
        <w:t xml:space="preserve">ctive toxicity studies were GLP </w:t>
      </w:r>
      <w:r w:rsidR="005630A4">
        <w:t>compliant</w:t>
      </w:r>
      <w:r w:rsidR="0007206D">
        <w:t>.</w:t>
      </w:r>
    </w:p>
    <w:p w14:paraId="2EF882D4" w14:textId="77777777" w:rsidR="0007206D" w:rsidRDefault="005630A4" w:rsidP="00572B43">
      <w:pPr>
        <w:pStyle w:val="ListBullet"/>
      </w:pPr>
      <w:r>
        <w:t xml:space="preserve">Primary pharmacology studies provided sufficient evidence of </w:t>
      </w:r>
      <w:proofErr w:type="spellStart"/>
      <w:r>
        <w:t>galcanezumab</w:t>
      </w:r>
      <w:proofErr w:type="spellEnd"/>
      <w:r>
        <w:t xml:space="preserve"> affinity and selectivity for human, monkey and rat CGRP</w:t>
      </w:r>
      <w:r w:rsidR="0007206D">
        <w:t>.</w:t>
      </w:r>
    </w:p>
    <w:p w14:paraId="0EBFC740" w14:textId="77777777" w:rsidR="0007206D" w:rsidRDefault="005630A4" w:rsidP="00572B43">
      <w:pPr>
        <w:pStyle w:val="ListBullet"/>
      </w:pPr>
      <w:r>
        <w:t xml:space="preserve">While </w:t>
      </w:r>
      <w:proofErr w:type="spellStart"/>
      <w:r>
        <w:t>galcanezumab</w:t>
      </w:r>
      <w:proofErr w:type="spellEnd"/>
      <w:r>
        <w:t xml:space="preserve"> was shown to inhibit capsaicin-induced increases in dermal blood flow in rats and </w:t>
      </w:r>
      <w:proofErr w:type="spellStart"/>
      <w:r>
        <w:t>cynomolgus</w:t>
      </w:r>
      <w:proofErr w:type="spellEnd"/>
      <w:r>
        <w:t xml:space="preserve"> monkeys, no comment can be made from a nonclinical perspective regarding efficacy for the proposed indication, as there is no validated animal model for migraine</w:t>
      </w:r>
      <w:r w:rsidR="0007206D">
        <w:t>.</w:t>
      </w:r>
    </w:p>
    <w:p w14:paraId="6E4B999F" w14:textId="77777777" w:rsidR="0007206D" w:rsidRDefault="005630A4" w:rsidP="00572B43">
      <w:pPr>
        <w:pStyle w:val="ListBullet"/>
      </w:pPr>
      <w:r>
        <w:t>Treatment-related effects associated with weekly injection were minimal and limited to injection site reactions</w:t>
      </w:r>
      <w:r w:rsidR="0007206D">
        <w:t>.</w:t>
      </w:r>
    </w:p>
    <w:p w14:paraId="65514B84" w14:textId="30F25A54" w:rsidR="002F2AC8" w:rsidRDefault="005630A4" w:rsidP="00572B43">
      <w:pPr>
        <w:pStyle w:val="ListBullet"/>
      </w:pPr>
      <w:r w:rsidRPr="008845A0">
        <w:t>Pregnancy Category B1</w:t>
      </w:r>
      <w:r w:rsidR="007B26CF">
        <w:fldChar w:fldCharType="begin"/>
      </w:r>
      <w:r w:rsidR="007B26CF">
        <w:instrText xml:space="preserve"> NOTEREF _Ref12365394 \f \h </w:instrText>
      </w:r>
      <w:r w:rsidR="007B26CF">
        <w:fldChar w:fldCharType="separate"/>
      </w:r>
      <w:r w:rsidR="00485E95" w:rsidRPr="00E27356">
        <w:rPr>
          <w:rStyle w:val="FootnoteReference"/>
        </w:rPr>
        <w:t>6</w:t>
      </w:r>
      <w:r w:rsidR="007B26CF">
        <w:fldChar w:fldCharType="end"/>
      </w:r>
      <w:r>
        <w:rPr>
          <w:b/>
        </w:rPr>
        <w:t xml:space="preserve"> </w:t>
      </w:r>
      <w:r>
        <w:t>is considered appropriate</w:t>
      </w:r>
      <w:r w:rsidR="002F2AC8">
        <w:t>.</w:t>
      </w:r>
    </w:p>
    <w:p w14:paraId="7ACAF060" w14:textId="77777777" w:rsidR="0007206D" w:rsidRDefault="005630A4" w:rsidP="00572B43">
      <w:pPr>
        <w:pStyle w:val="ListBullet"/>
      </w:pPr>
      <w:r>
        <w:t xml:space="preserve">Overall, there are no nonclinical objections to the registration of </w:t>
      </w:r>
      <w:proofErr w:type="spellStart"/>
      <w:r>
        <w:t>galcanezumab</w:t>
      </w:r>
      <w:proofErr w:type="spellEnd"/>
      <w:r>
        <w:t xml:space="preserve"> (</w:t>
      </w:r>
      <w:proofErr w:type="spellStart"/>
      <w:r w:rsidR="008845A0">
        <w:t>Emgality</w:t>
      </w:r>
      <w:proofErr w:type="spellEnd"/>
      <w:r>
        <w:t>)</w:t>
      </w:r>
      <w:r w:rsidR="0007206D">
        <w:t>.</w:t>
      </w:r>
    </w:p>
    <w:p w14:paraId="56748284" w14:textId="77777777" w:rsidR="0007206D" w:rsidRDefault="005630A4" w:rsidP="00572B43">
      <w:pPr>
        <w:pStyle w:val="ListBullet"/>
      </w:pPr>
      <w:r>
        <w:t xml:space="preserve">The draft </w:t>
      </w:r>
      <w:r w:rsidR="008845A0">
        <w:t>PI</w:t>
      </w:r>
      <w:r>
        <w:t xml:space="preserve"> should be amended as directed</w:t>
      </w:r>
      <w:r w:rsidR="0007206D">
        <w:t>.</w:t>
      </w:r>
    </w:p>
    <w:p w14:paraId="4EBFF4AB" w14:textId="77777777" w:rsidR="008E7846" w:rsidRDefault="008E7846" w:rsidP="008E7846">
      <w:pPr>
        <w:pStyle w:val="Heading3"/>
      </w:pPr>
      <w:bookmarkStart w:id="217" w:name="_Toc20822188"/>
      <w:r w:rsidRPr="00046238">
        <w:t>Clinical</w:t>
      </w:r>
      <w:bookmarkEnd w:id="215"/>
      <w:bookmarkEnd w:id="216"/>
      <w:bookmarkEnd w:id="217"/>
    </w:p>
    <w:p w14:paraId="351A217C" w14:textId="77777777" w:rsidR="005630A4" w:rsidRPr="00AA53F4" w:rsidRDefault="005630A4" w:rsidP="005630A4">
      <w:pPr>
        <w:pStyle w:val="Heading4"/>
      </w:pPr>
      <w:bookmarkStart w:id="218" w:name="_Toc314842514"/>
      <w:r w:rsidRPr="00AA53F4">
        <w:t>Pharmacology</w:t>
      </w:r>
    </w:p>
    <w:p w14:paraId="468351F6" w14:textId="77777777" w:rsidR="005630A4" w:rsidRDefault="005630A4" w:rsidP="005630A4">
      <w:pPr>
        <w:pStyle w:val="Heading5"/>
      </w:pPr>
      <w:r w:rsidRPr="00AA53F4">
        <w:t>Pharmacokinetics (PK)</w:t>
      </w:r>
    </w:p>
    <w:p w14:paraId="36EC21E2" w14:textId="77777777" w:rsidR="005630A4" w:rsidRDefault="005630A4" w:rsidP="00046238">
      <w:r>
        <w:t>F</w:t>
      </w:r>
      <w:r w:rsidRPr="00447268">
        <w:t xml:space="preserve">ollowing subcutaneous administration, </w:t>
      </w:r>
      <w:proofErr w:type="spellStart"/>
      <w:r w:rsidRPr="00447268">
        <w:t>galcanezumab</w:t>
      </w:r>
      <w:proofErr w:type="spellEnd"/>
      <w:r w:rsidRPr="00447268">
        <w:t xml:space="preserve"> PK properties are characterised by slow absorption, limited distribution, low clearance, and a long terminal elimination t</w:t>
      </w:r>
      <w:r w:rsidRPr="00046238">
        <w:rPr>
          <w:vertAlign w:val="subscript"/>
        </w:rPr>
        <w:t xml:space="preserve">1/2 </w:t>
      </w:r>
      <w:r>
        <w:t xml:space="preserve">similar to other </w:t>
      </w:r>
      <w:proofErr w:type="spellStart"/>
      <w:r w:rsidR="00B6138F">
        <w:t>mAbs</w:t>
      </w:r>
      <w:proofErr w:type="spellEnd"/>
      <w:r w:rsidRPr="00447268">
        <w:t>.</w:t>
      </w:r>
      <w:r>
        <w:t xml:space="preserve"> Potential sites of injection include the </w:t>
      </w:r>
      <w:r w:rsidRPr="005D004F">
        <w:t>abdomen, arm, thigh, and buttocks</w:t>
      </w:r>
      <w:r>
        <w:t xml:space="preserve">. </w:t>
      </w:r>
      <w:r w:rsidRPr="001C73AC">
        <w:t>Absorption from these sites was fo</w:t>
      </w:r>
      <w:r w:rsidR="00046238">
        <w:t xml:space="preserve">und to be similar. In </w:t>
      </w:r>
      <w:r w:rsidR="007B26CF">
        <w:t>Study CGAQ,</w:t>
      </w:r>
      <w:r w:rsidR="008845A0">
        <w:t xml:space="preserve"> </w:t>
      </w:r>
      <w:r w:rsidR="00046238">
        <w:t>m</w:t>
      </w:r>
      <w:r>
        <w:t xml:space="preserve">aximum concentrations of </w:t>
      </w:r>
      <w:proofErr w:type="spellStart"/>
      <w:r>
        <w:t>g</w:t>
      </w:r>
      <w:r w:rsidR="00046238">
        <w:t>alcanezumab</w:t>
      </w:r>
      <w:proofErr w:type="spellEnd"/>
      <w:r w:rsidR="00046238">
        <w:t xml:space="preserve"> are reached after 1 to </w:t>
      </w:r>
      <w:r>
        <w:t>2 week</w:t>
      </w:r>
      <w:r w:rsidR="008A5465">
        <w:t xml:space="preserve">s: in the Phase I study and </w:t>
      </w:r>
      <w:proofErr w:type="spellStart"/>
      <w:r w:rsidR="008A5465">
        <w:t>T</w:t>
      </w:r>
      <w:r w:rsidRPr="008845A0">
        <w:rPr>
          <w:vertAlign w:val="subscript"/>
        </w:rPr>
        <w:t>max</w:t>
      </w:r>
      <w:proofErr w:type="spellEnd"/>
      <w:r w:rsidRPr="00651A28">
        <w:t xml:space="preserve"> was between 7 and 14 days in the 1 to 60</w:t>
      </w:r>
      <w:r w:rsidR="00046238">
        <w:t>0 </w:t>
      </w:r>
      <w:r w:rsidRPr="00651A28">
        <w:t>mg dose range</w:t>
      </w:r>
      <w:r>
        <w:t xml:space="preserve">. </w:t>
      </w:r>
      <w:r w:rsidRPr="00BB3C32">
        <w:t xml:space="preserve">The </w:t>
      </w:r>
      <w:r w:rsidR="007543B4">
        <w:t>Delegate</w:t>
      </w:r>
      <w:r w:rsidRPr="00BB3C32">
        <w:t xml:space="preserve"> agrees with the clinical evaluator that as the </w:t>
      </w:r>
      <w:r w:rsidRPr="00BB3C32">
        <w:rPr>
          <w:lang w:eastAsia="ja-JP"/>
        </w:rPr>
        <w:t>efficacy studies showed similar efficacy f</w:t>
      </w:r>
      <w:r w:rsidR="00046238">
        <w:rPr>
          <w:lang w:eastAsia="ja-JP"/>
        </w:rPr>
        <w:t xml:space="preserve">or </w:t>
      </w:r>
      <w:proofErr w:type="spellStart"/>
      <w:r w:rsidR="00046238">
        <w:rPr>
          <w:lang w:eastAsia="ja-JP"/>
        </w:rPr>
        <w:t>galcanezumab</w:t>
      </w:r>
      <w:proofErr w:type="spellEnd"/>
      <w:r w:rsidR="00046238">
        <w:rPr>
          <w:lang w:eastAsia="ja-JP"/>
        </w:rPr>
        <w:t xml:space="preserve"> at doses of 120 mg or 240 </w:t>
      </w:r>
      <w:r w:rsidRPr="00BB3C32">
        <w:rPr>
          <w:lang w:eastAsia="ja-JP"/>
        </w:rPr>
        <w:t xml:space="preserve">mg per month, and that renal and hepatic insufficiency and drug interactions are not expected to play a significant role in determining the PK of </w:t>
      </w:r>
      <w:proofErr w:type="spellStart"/>
      <w:r w:rsidRPr="00BB3C32">
        <w:rPr>
          <w:lang w:eastAsia="ja-JP"/>
        </w:rPr>
        <w:t>galcanezumab</w:t>
      </w:r>
      <w:proofErr w:type="spellEnd"/>
      <w:r w:rsidRPr="00BB3C32">
        <w:rPr>
          <w:lang w:eastAsia="ja-JP"/>
        </w:rPr>
        <w:t>, the uncertainty in the subcutaneous bioavailability does not appear to be clinically important.</w:t>
      </w:r>
    </w:p>
    <w:p w14:paraId="1BDCBAF0" w14:textId="5944A54C" w:rsidR="0007206D" w:rsidRDefault="00046238" w:rsidP="00046238">
      <w:pPr>
        <w:rPr>
          <w:rFonts w:asciiTheme="minorHAnsi" w:hAnsiTheme="minorHAnsi"/>
        </w:rPr>
      </w:pPr>
      <w:r>
        <w:rPr>
          <w:lang w:eastAsia="ja-JP"/>
        </w:rPr>
        <w:t xml:space="preserve">The PK of multi </w:t>
      </w:r>
      <w:r w:rsidR="005630A4">
        <w:rPr>
          <w:lang w:eastAsia="ja-JP"/>
        </w:rPr>
        <w:t xml:space="preserve">dose </w:t>
      </w:r>
      <w:proofErr w:type="spellStart"/>
      <w:r w:rsidR="005630A4">
        <w:rPr>
          <w:lang w:eastAsia="ja-JP"/>
        </w:rPr>
        <w:t>galcan</w:t>
      </w:r>
      <w:r>
        <w:rPr>
          <w:lang w:eastAsia="ja-JP"/>
        </w:rPr>
        <w:t>ezumab</w:t>
      </w:r>
      <w:proofErr w:type="spellEnd"/>
      <w:r>
        <w:rPr>
          <w:lang w:eastAsia="ja-JP"/>
        </w:rPr>
        <w:t xml:space="preserve"> inferred from population </w:t>
      </w:r>
      <w:r w:rsidR="005630A4">
        <w:rPr>
          <w:lang w:eastAsia="ja-JP"/>
        </w:rPr>
        <w:t>PK modelling appears to be consisten</w:t>
      </w:r>
      <w:r>
        <w:rPr>
          <w:lang w:eastAsia="ja-JP"/>
        </w:rPr>
        <w:t xml:space="preserve">t with its single dose PK. </w:t>
      </w:r>
      <w:r w:rsidR="005630A4">
        <w:t xml:space="preserve">The apparent volume of distribution of </w:t>
      </w:r>
      <w:proofErr w:type="spellStart"/>
      <w:r w:rsidR="005630A4">
        <w:t>galcanezumab</w:t>
      </w:r>
      <w:proofErr w:type="spellEnd"/>
      <w:r w:rsidR="005630A4">
        <w:t xml:space="preserve"> was 7.3 L (34% inter indivi</w:t>
      </w:r>
      <w:r>
        <w:t xml:space="preserve">dual variability), based on population </w:t>
      </w:r>
      <w:r w:rsidR="00E27356">
        <w:t>PK analyses.</w:t>
      </w:r>
    </w:p>
    <w:p w14:paraId="7DFC48E0" w14:textId="77777777" w:rsidR="005630A4" w:rsidRDefault="005630A4" w:rsidP="00046238">
      <w:proofErr w:type="spellStart"/>
      <w:r>
        <w:t>Galcanezumab</w:t>
      </w:r>
      <w:proofErr w:type="spellEnd"/>
      <w:r>
        <w:t xml:space="preserve">, being a </w:t>
      </w:r>
      <w:proofErr w:type="spellStart"/>
      <w:r w:rsidR="00B6138F">
        <w:t>mAb</w:t>
      </w:r>
      <w:proofErr w:type="spellEnd"/>
      <w:r w:rsidR="00046238">
        <w:t>,</w:t>
      </w:r>
      <w:r>
        <w:t xml:space="preserve"> is expected to be eliminated by degradation into small peptides and amino acids via catabolic pathways. Based on a population PK analysis, the apparent clearance of </w:t>
      </w:r>
      <w:proofErr w:type="spellStart"/>
      <w:r>
        <w:t>galcane</w:t>
      </w:r>
      <w:r w:rsidR="00046238">
        <w:t>zumab</w:t>
      </w:r>
      <w:proofErr w:type="spellEnd"/>
      <w:r w:rsidR="00046238">
        <w:t xml:space="preserve"> was approximately 0.00785 </w:t>
      </w:r>
      <w:r>
        <w:t>L/</w:t>
      </w:r>
      <w:r w:rsidR="00046238">
        <w:t>hour</w:t>
      </w:r>
      <w:r>
        <w:t xml:space="preserve"> and the half-life of </w:t>
      </w:r>
      <w:proofErr w:type="spellStart"/>
      <w:r>
        <w:t>galcanezumab</w:t>
      </w:r>
      <w:proofErr w:type="spellEnd"/>
      <w:r>
        <w:t xml:space="preserve"> was about 27 days.</w:t>
      </w:r>
    </w:p>
    <w:p w14:paraId="5284A259" w14:textId="23317495" w:rsidR="005630A4" w:rsidRDefault="005630A4" w:rsidP="00046238">
      <w:r>
        <w:t>A lyophilised formulation was developed first and was used in the Phase I and Pha</w:t>
      </w:r>
      <w:r w:rsidR="00046238">
        <w:t xml:space="preserve">se II studies, including a knee pain </w:t>
      </w:r>
      <w:r w:rsidR="00B271C9">
        <w:t xml:space="preserve">study </w:t>
      </w:r>
      <w:r>
        <w:t>(</w:t>
      </w:r>
      <w:r w:rsidR="00B271C9">
        <w:t xml:space="preserve">Study </w:t>
      </w:r>
      <w:r>
        <w:t xml:space="preserve">CGAF) and </w:t>
      </w:r>
      <w:r w:rsidR="00046238">
        <w:t xml:space="preserve">two Phase III cluster headache </w:t>
      </w:r>
      <w:r w:rsidR="00B271C9">
        <w:t xml:space="preserve">studies </w:t>
      </w:r>
      <w:r>
        <w:t>(</w:t>
      </w:r>
      <w:r w:rsidR="00B271C9">
        <w:t xml:space="preserve">Studies </w:t>
      </w:r>
      <w:r>
        <w:t>CGAL and CGAM). The final commercial solution formulation was used in the Phase III migraine studies (includ</w:t>
      </w:r>
      <w:r w:rsidR="00046238">
        <w:t xml:space="preserve">ing the 3 pivotal </w:t>
      </w:r>
      <w:r w:rsidR="00B271C9">
        <w:t>studies</w:t>
      </w:r>
      <w:r>
        <w:t xml:space="preserve">, </w:t>
      </w:r>
      <w:r w:rsidR="00B271C9">
        <w:t xml:space="preserve">Studies </w:t>
      </w:r>
      <w:r>
        <w:t>CGAG, CGAH and CHAI), a cluster headach</w:t>
      </w:r>
      <w:r w:rsidR="00BE161F">
        <w:t xml:space="preserve">e </w:t>
      </w:r>
      <w:r w:rsidR="00B271C9">
        <w:t xml:space="preserve">study </w:t>
      </w:r>
      <w:r>
        <w:t>(</w:t>
      </w:r>
      <w:r w:rsidR="00B271C9">
        <w:t>Study </w:t>
      </w:r>
      <w:r>
        <w:t>CGAR) and th</w:t>
      </w:r>
      <w:r w:rsidR="00BE161F">
        <w:t xml:space="preserve">e two relative bioavailability </w:t>
      </w:r>
      <w:r w:rsidR="00B271C9">
        <w:t xml:space="preserve">studies </w:t>
      </w:r>
      <w:r>
        <w:t>(</w:t>
      </w:r>
      <w:r w:rsidR="00B271C9">
        <w:t xml:space="preserve">Studies </w:t>
      </w:r>
      <w:r>
        <w:t>CGAO and CGAQ). The prefilled syringe was used in all pivotal Phase III studies, and the aut</w:t>
      </w:r>
      <w:r w:rsidR="00046238">
        <w:t xml:space="preserve">o injector was used in the open </w:t>
      </w:r>
      <w:r w:rsidR="00BE161F">
        <w:t>label Phase III S</w:t>
      </w:r>
      <w:r>
        <w:t xml:space="preserve">tudy CGAJ. The tolerability, PK, </w:t>
      </w:r>
      <w:r>
        <w:lastRenderedPageBreak/>
        <w:t xml:space="preserve">and PD of the original </w:t>
      </w:r>
      <w:r w:rsidR="00B271C9">
        <w:t xml:space="preserve">lyophilised </w:t>
      </w:r>
      <w:r>
        <w:t>formulation were demonstrated to be very similar to th</w:t>
      </w:r>
      <w:r w:rsidR="00046238">
        <w:t>ose of the solution formulation.</w:t>
      </w:r>
    </w:p>
    <w:p w14:paraId="45551C9A" w14:textId="04D7A4E9" w:rsidR="005630A4" w:rsidRDefault="005630A4" w:rsidP="00046238">
      <w:pPr>
        <w:pStyle w:val="Heading6"/>
      </w:pPr>
      <w:r w:rsidRPr="000E47CA">
        <w:t xml:space="preserve">Special </w:t>
      </w:r>
      <w:r w:rsidR="00A83026">
        <w:t>p</w:t>
      </w:r>
      <w:r w:rsidRPr="000E47CA">
        <w:t>opulations</w:t>
      </w:r>
    </w:p>
    <w:p w14:paraId="6D372BD7" w14:textId="77777777" w:rsidR="005630A4" w:rsidRDefault="005630A4" w:rsidP="00046238">
      <w:r>
        <w:t xml:space="preserve">Based on a population PK analysis, bilirubin concentration or creatinine clearance did not significantly influence the </w:t>
      </w:r>
      <w:r w:rsidR="007630C7">
        <w:t>apparent clearance</w:t>
      </w:r>
      <w:r>
        <w:t xml:space="preserve"> of </w:t>
      </w:r>
      <w:proofErr w:type="spellStart"/>
      <w:r>
        <w:t>galcanezumab</w:t>
      </w:r>
      <w:proofErr w:type="spellEnd"/>
      <w:r>
        <w:t>. Similarly, age did not emerge as a signific</w:t>
      </w:r>
      <w:r w:rsidR="00046238">
        <w:t xml:space="preserve">ant covariate in the population </w:t>
      </w:r>
      <w:r>
        <w:t xml:space="preserve">PK analysis, across a range of </w:t>
      </w:r>
      <w:r w:rsidRPr="005D7F3E">
        <w:t>18 to 65 years</w:t>
      </w:r>
      <w:r>
        <w:t>.</w:t>
      </w:r>
    </w:p>
    <w:p w14:paraId="7899C685" w14:textId="5A9CC045" w:rsidR="005630A4" w:rsidRPr="004849EE" w:rsidRDefault="005630A4" w:rsidP="00046238">
      <w:r>
        <w:t xml:space="preserve">Overall, PK of </w:t>
      </w:r>
      <w:proofErr w:type="spellStart"/>
      <w:r>
        <w:t>galcanezumab</w:t>
      </w:r>
      <w:proofErr w:type="spellEnd"/>
      <w:r>
        <w:t xml:space="preserve"> have been adequately characterised by </w:t>
      </w:r>
      <w:r w:rsidR="00B22E42">
        <w:t>the sponsor</w:t>
      </w:r>
      <w:r>
        <w:t xml:space="preserve"> and closely resemble the PK of other IgG </w:t>
      </w:r>
      <w:proofErr w:type="spellStart"/>
      <w:r w:rsidR="00B271C9">
        <w:t>mAbs</w:t>
      </w:r>
      <w:proofErr w:type="spellEnd"/>
      <w:r>
        <w:t>.</w:t>
      </w:r>
    </w:p>
    <w:p w14:paraId="3E61E06A" w14:textId="77777777" w:rsidR="005630A4" w:rsidRDefault="005630A4" w:rsidP="005630A4">
      <w:pPr>
        <w:pStyle w:val="Heading5"/>
      </w:pPr>
      <w:r w:rsidRPr="00AA53F4">
        <w:t>Pharmacodynamics (PD)</w:t>
      </w:r>
      <w:bookmarkStart w:id="219" w:name="_Ref271037274"/>
      <w:bookmarkStart w:id="220" w:name="_Toc272414652"/>
      <w:bookmarkStart w:id="221" w:name="_Toc290846274"/>
      <w:bookmarkStart w:id="222" w:name="_Toc515480564"/>
    </w:p>
    <w:p w14:paraId="4BEB2556" w14:textId="77777777" w:rsidR="005630A4" w:rsidRPr="00DF735D" w:rsidRDefault="005630A4" w:rsidP="00046238">
      <w:r>
        <w:t xml:space="preserve">The drug clearly targets the neuropeptide CGRP, but the precise role of this peptide remains somewhat unclear, both under normal physiological conditions and during migraine. </w:t>
      </w:r>
      <w:r w:rsidR="00404F61">
        <w:t>The sponsor</w:t>
      </w:r>
      <w:r w:rsidRPr="001D4A12">
        <w:t xml:space="preserve">’s PD study of </w:t>
      </w:r>
      <w:proofErr w:type="spellStart"/>
      <w:r w:rsidRPr="001D4A12">
        <w:t>galcanezumab</w:t>
      </w:r>
      <w:proofErr w:type="spellEnd"/>
      <w:r w:rsidRPr="001D4A12">
        <w:t xml:space="preserve"> has largely been</w:t>
      </w:r>
      <w:r w:rsidR="007630C7">
        <w:t xml:space="preserve"> limited to assessing capsaicin </w:t>
      </w:r>
      <w:r w:rsidRPr="001D4A12">
        <w:t xml:space="preserve">induced dermal blood flow, and monitoring the elevation of plasma CGRP. To the extent that the chronic delayed clearance of CGRP from plasma reflects the overall binding of </w:t>
      </w:r>
      <w:proofErr w:type="spellStart"/>
      <w:r w:rsidRPr="001D4A12">
        <w:t>galcanezumab</w:t>
      </w:r>
      <w:proofErr w:type="spellEnd"/>
      <w:r w:rsidRPr="001D4A12">
        <w:t xml:space="preserve"> to its target, elevated plasma CGRP levels provide an indirect, surrogate </w:t>
      </w:r>
      <w:r w:rsidR="00BE161F">
        <w:t xml:space="preserve">marker for the proposed mopping </w:t>
      </w:r>
      <w:r w:rsidRPr="001D4A12">
        <w:t>up effect in the brain.</w:t>
      </w:r>
    </w:p>
    <w:p w14:paraId="1704447D" w14:textId="03554FCF" w:rsidR="005630A4" w:rsidRDefault="005630A4" w:rsidP="005630A4">
      <w:pPr>
        <w:pStyle w:val="Heading5"/>
      </w:pPr>
      <w:r w:rsidRPr="00382555">
        <w:t xml:space="preserve">Dose </w:t>
      </w:r>
      <w:r w:rsidR="00A83026">
        <w:t>s</w:t>
      </w:r>
      <w:r w:rsidRPr="00382555">
        <w:t>election</w:t>
      </w:r>
    </w:p>
    <w:p w14:paraId="19C426A3" w14:textId="77777777" w:rsidR="005630A4" w:rsidRPr="000333C5" w:rsidRDefault="005630A4" w:rsidP="00046238">
      <w:r w:rsidRPr="000333C5">
        <w:t xml:space="preserve">Overall, the Phase II data supported </w:t>
      </w:r>
      <w:r w:rsidR="00B22E42">
        <w:t>the sponsor</w:t>
      </w:r>
      <w:r w:rsidRPr="000333C5">
        <w:t>’s choice of doses for the pivotal studies,</w:t>
      </w:r>
      <w:r w:rsidR="007630C7">
        <w:t xml:space="preserve"> and suggested that doses of 50 </w:t>
      </w:r>
      <w:r w:rsidRPr="000333C5">
        <w:t>mg/month or less would be in</w:t>
      </w:r>
      <w:r w:rsidR="007630C7">
        <w:t>adequate, and that doses of 300 </w:t>
      </w:r>
      <w:r w:rsidRPr="000333C5">
        <w:t>mg/month or more offered n</w:t>
      </w:r>
      <w:r w:rsidR="007630C7">
        <w:t>o substantial benefits over 240 </w:t>
      </w:r>
      <w:r w:rsidRPr="000333C5">
        <w:t>mg/month. As discussed below, the subsequent results of the Phase III study program</w:t>
      </w:r>
      <w:r w:rsidR="007630C7">
        <w:t xml:space="preserve"> confirmed that efficacy at 120 mg/month is very similar to 240 </w:t>
      </w:r>
      <w:r w:rsidRPr="000333C5">
        <w:t>mg/month</w:t>
      </w:r>
      <w:r w:rsidR="007630C7">
        <w:t>, so that doses higher than 120 </w:t>
      </w:r>
      <w:r w:rsidRPr="000333C5">
        <w:t>mg/month are not likely to offer increased benefits.</w:t>
      </w:r>
    </w:p>
    <w:p w14:paraId="150AE9AC" w14:textId="77777777" w:rsidR="005630A4" w:rsidRDefault="005630A4" w:rsidP="006D357A">
      <w:pPr>
        <w:pStyle w:val="Heading4"/>
      </w:pPr>
      <w:bookmarkStart w:id="223" w:name="_Toc2587219"/>
      <w:r w:rsidRPr="002F410D">
        <w:t>Efficacy</w:t>
      </w:r>
      <w:bookmarkEnd w:id="223"/>
    </w:p>
    <w:p w14:paraId="5EB336A3" w14:textId="77777777" w:rsidR="005630A4" w:rsidRDefault="005630A4" w:rsidP="006D357A">
      <w:pPr>
        <w:pStyle w:val="Heading5"/>
      </w:pPr>
      <w:r>
        <w:t xml:space="preserve">Overview </w:t>
      </w:r>
      <w:r w:rsidR="00C40E94">
        <w:t>of efficacy studies</w:t>
      </w:r>
    </w:p>
    <w:p w14:paraId="1C43EC2D" w14:textId="2121F492" w:rsidR="0007206D" w:rsidRDefault="005630A4" w:rsidP="007630C7">
      <w:r>
        <w:t xml:space="preserve">The sponsor conducted three pivotal placebo controlled efficacy trials as depicted </w:t>
      </w:r>
      <w:r w:rsidR="00B271C9">
        <w:t xml:space="preserve">above </w:t>
      </w:r>
      <w:r w:rsidR="007630C7">
        <w:t>in</w:t>
      </w:r>
      <w:r w:rsidR="007F1E71">
        <w:t xml:space="preserve"> </w:t>
      </w:r>
      <w:r w:rsidR="007F1E71">
        <w:fldChar w:fldCharType="begin"/>
      </w:r>
      <w:r w:rsidR="007F1E71">
        <w:instrText xml:space="preserve"> REF _Ref19012694 \h </w:instrText>
      </w:r>
      <w:r w:rsidR="007F1E71">
        <w:fldChar w:fldCharType="separate"/>
      </w:r>
      <w:r w:rsidR="007F1E71">
        <w:t xml:space="preserve">Table </w:t>
      </w:r>
      <w:r w:rsidR="007F1E71">
        <w:rPr>
          <w:noProof/>
        </w:rPr>
        <w:t>6</w:t>
      </w:r>
      <w:r w:rsidR="007F1E71">
        <w:fldChar w:fldCharType="end"/>
      </w:r>
      <w:r w:rsidR="0007206D">
        <w:t>.</w:t>
      </w:r>
    </w:p>
    <w:p w14:paraId="74C82F78" w14:textId="77777777" w:rsidR="0057105C" w:rsidRDefault="005630A4" w:rsidP="00572B43">
      <w:pPr>
        <w:pStyle w:val="ListBullet"/>
      </w:pPr>
      <w:r>
        <w:t xml:space="preserve">Two </w:t>
      </w:r>
      <w:r w:rsidR="007630C7">
        <w:t xml:space="preserve">trials in episodic migraine: Study </w:t>
      </w:r>
      <w:r w:rsidR="006D357A">
        <w:t>CGAG</w:t>
      </w:r>
      <w:r>
        <w:t xml:space="preserve"> and Study</w:t>
      </w:r>
      <w:r w:rsidR="006D357A">
        <w:t> CGAH</w:t>
      </w:r>
      <w:r w:rsidR="007630C7">
        <w:t>.</w:t>
      </w:r>
    </w:p>
    <w:p w14:paraId="3ED2067B" w14:textId="77777777" w:rsidR="005630A4" w:rsidRDefault="005630A4" w:rsidP="00572B43">
      <w:pPr>
        <w:pStyle w:val="ListBullet"/>
      </w:pPr>
      <w:r>
        <w:t>On</w:t>
      </w:r>
      <w:r w:rsidR="007630C7">
        <w:t xml:space="preserve">e trial in chronic migraine: </w:t>
      </w:r>
      <w:r w:rsidR="006D357A">
        <w:t>Study CGAI</w:t>
      </w:r>
      <w:r w:rsidR="007630C7">
        <w:t>.</w:t>
      </w:r>
    </w:p>
    <w:p w14:paraId="1A4F6824" w14:textId="51D951C3" w:rsidR="005630A4" w:rsidRDefault="005630A4" w:rsidP="007630C7">
      <w:r>
        <w:t xml:space="preserve">The primary endpoint for the three pivotal efficacy trials was the mean change </w:t>
      </w:r>
      <w:r w:rsidR="00D80561">
        <w:t>from Baseline</w:t>
      </w:r>
      <w:r>
        <w:t xml:space="preserve"> in the monthly average number of </w:t>
      </w:r>
      <w:r w:rsidR="00713B7C">
        <w:t>MHD</w:t>
      </w:r>
      <w:r>
        <w:t>. The primary endpoints, as well as the key secondary endpoints were identical for all three studies, but the timing of evaluation of endpoints was</w:t>
      </w:r>
      <w:r w:rsidR="007630C7">
        <w:t xml:space="preserve"> different (6 </w:t>
      </w:r>
      <w:proofErr w:type="gramStart"/>
      <w:r>
        <w:t>month</w:t>
      </w:r>
      <w:proofErr w:type="gramEnd"/>
      <w:r>
        <w:t xml:space="preserve"> in </w:t>
      </w:r>
      <w:r w:rsidR="007630C7">
        <w:t>episodic migraine trials and 3 </w:t>
      </w:r>
      <w:r>
        <w:t xml:space="preserve">month in </w:t>
      </w:r>
      <w:r w:rsidR="007630C7">
        <w:t xml:space="preserve">chronic migraine </w:t>
      </w:r>
      <w:r>
        <w:t>trial).</w:t>
      </w:r>
    </w:p>
    <w:p w14:paraId="735ADD2E" w14:textId="77777777" w:rsidR="0057105C" w:rsidRDefault="005630A4" w:rsidP="00381BAF">
      <w:pPr>
        <w:pStyle w:val="Heading5"/>
      </w:pPr>
      <w:r>
        <w:t xml:space="preserve">Episodic </w:t>
      </w:r>
      <w:r w:rsidR="00C40E94">
        <w:t xml:space="preserve">migraine </w:t>
      </w:r>
      <w:r w:rsidR="006C5960">
        <w:t>(Studies CGAG and CGAH)</w:t>
      </w:r>
    </w:p>
    <w:p w14:paraId="7FE41F13" w14:textId="77777777" w:rsidR="005630A4" w:rsidRPr="007630C7" w:rsidRDefault="006C5960" w:rsidP="007630C7">
      <w:r>
        <w:t>Studies CGAG and CGAH</w:t>
      </w:r>
      <w:r w:rsidRPr="007630C7">
        <w:t xml:space="preserve"> </w:t>
      </w:r>
      <w:r w:rsidR="005630A4" w:rsidRPr="007630C7">
        <w:t xml:space="preserve">were </w:t>
      </w:r>
      <w:r w:rsidR="007630C7">
        <w:t xml:space="preserve">randomised, double blind, placebo </w:t>
      </w:r>
      <w:r w:rsidR="005630A4" w:rsidRPr="007630C7">
        <w:t>controlled trials in patients with episodic migraine, and both had the same design. Subjects eligible for enrolme</w:t>
      </w:r>
      <w:r w:rsidR="007630C7">
        <w:t>nt were adults 18 to 65 </w:t>
      </w:r>
      <w:r w:rsidR="005630A4" w:rsidRPr="007630C7">
        <w:t>years of age with a history of migr</w:t>
      </w:r>
      <w:r w:rsidR="007630C7">
        <w:t>aine with or without aura for ≥ 12 </w:t>
      </w:r>
      <w:r w:rsidR="005630A4" w:rsidRPr="007630C7">
        <w:t xml:space="preserve">months, and who experienced </w:t>
      </w:r>
      <w:r w:rsidR="007630C7">
        <w:t>≥ 4 to &lt; </w:t>
      </w:r>
      <w:r w:rsidR="005630A4" w:rsidRPr="007630C7">
        <w:t>1</w:t>
      </w:r>
      <w:r w:rsidR="007630C7">
        <w:t xml:space="preserve">5 </w:t>
      </w:r>
      <w:r w:rsidR="00713B7C">
        <w:t>MHD</w:t>
      </w:r>
      <w:r w:rsidR="007630C7">
        <w:t xml:space="preserve"> per </w:t>
      </w:r>
      <w:r w:rsidR="005630A4" w:rsidRPr="007630C7">
        <w:t>month. Subjects on other preventive treatments for migrai</w:t>
      </w:r>
      <w:r w:rsidR="007630C7">
        <w:t xml:space="preserve">ne and subjects with medication </w:t>
      </w:r>
      <w:r w:rsidR="005630A4" w:rsidRPr="007630C7">
        <w:t>overuse headache (d</w:t>
      </w:r>
      <w:r w:rsidR="007630C7">
        <w:t>efined as headaches occurring ≥ </w:t>
      </w:r>
      <w:r w:rsidR="005630A4" w:rsidRPr="007630C7">
        <w:t xml:space="preserve">15 days per month associated with regular use of acute headache medications) were excluded. Subjects were also excluded if they had ECGs showing abnormalities compatible with acute cardiovascular events, a serious cardiovascular risk, or had a history of myocardial infarction, unstable angina, percutaneous coronary intervention, coronary artery bypass grafting, stroke, deep vein </w:t>
      </w:r>
      <w:r w:rsidR="005630A4" w:rsidRPr="007630C7">
        <w:lastRenderedPageBreak/>
        <w:t>thrombosis,</w:t>
      </w:r>
      <w:r w:rsidR="007630C7">
        <w:t xml:space="preserve"> or pulmonary embolism within 6 </w:t>
      </w:r>
      <w:r w:rsidR="005630A4" w:rsidRPr="007630C7">
        <w:t>months of screening. Patients were also excluded if they had a planned cardiovascular surgery or percutaneous coronary angioplasty.</w:t>
      </w:r>
    </w:p>
    <w:p w14:paraId="6D89155C" w14:textId="77777777" w:rsidR="005630A4" w:rsidRPr="007630C7" w:rsidRDefault="007630C7" w:rsidP="007630C7">
      <w:r>
        <w:t xml:space="preserve">After a </w:t>
      </w:r>
      <w:proofErr w:type="gramStart"/>
      <w:r>
        <w:t>one </w:t>
      </w:r>
      <w:r w:rsidR="005630A4" w:rsidRPr="007630C7">
        <w:t>month</w:t>
      </w:r>
      <w:proofErr w:type="gramEnd"/>
      <w:r w:rsidR="005630A4" w:rsidRPr="007630C7">
        <w:t xml:space="preserve"> baseline period, eligible patients were randomized in a 2:1:1 ratio t</w:t>
      </w:r>
      <w:r>
        <w:t xml:space="preserve">o receive placebo, </w:t>
      </w:r>
      <w:proofErr w:type="spellStart"/>
      <w:r>
        <w:t>galcanezumab</w:t>
      </w:r>
      <w:proofErr w:type="spellEnd"/>
      <w:r>
        <w:t> 120 mg SC monthly with a 240 </w:t>
      </w:r>
      <w:r w:rsidR="005630A4" w:rsidRPr="007630C7">
        <w:t xml:space="preserve">mg initial loading dose, or </w:t>
      </w:r>
      <w:proofErr w:type="spellStart"/>
      <w:r w:rsidR="005630A4" w:rsidRPr="007630C7">
        <w:t>galcanezumab</w:t>
      </w:r>
      <w:proofErr w:type="spellEnd"/>
      <w:r w:rsidR="005630A4" w:rsidRPr="007630C7">
        <w:t xml:space="preserve"> 240</w:t>
      </w:r>
      <w:r>
        <w:t> mg SC monthly for 6 </w:t>
      </w:r>
      <w:r w:rsidR="005630A4" w:rsidRPr="007630C7">
        <w:t>months. Af</w:t>
      </w:r>
      <w:r>
        <w:t xml:space="preserve">ter participation in the double </w:t>
      </w:r>
      <w:r w:rsidR="005630A4" w:rsidRPr="007630C7">
        <w:t xml:space="preserve">blind portion of the trial, patients were offered enrolment into either a </w:t>
      </w:r>
      <w:proofErr w:type="gramStart"/>
      <w:r>
        <w:t>12 </w:t>
      </w:r>
      <w:r w:rsidR="00CA7644">
        <w:t>month</w:t>
      </w:r>
      <w:proofErr w:type="gramEnd"/>
      <w:r w:rsidR="00CA7644">
        <w:t xml:space="preserve"> open </w:t>
      </w:r>
      <w:r w:rsidR="005630A4" w:rsidRPr="007630C7">
        <w:t xml:space="preserve">label (fixed dose) safety study, or a </w:t>
      </w:r>
      <w:r>
        <w:t>4 </w:t>
      </w:r>
      <w:r w:rsidR="00CA7644">
        <w:t xml:space="preserve">month safety follow </w:t>
      </w:r>
      <w:r w:rsidR="005630A4" w:rsidRPr="007630C7">
        <w:t>up period.</w:t>
      </w:r>
    </w:p>
    <w:p w14:paraId="3F055532" w14:textId="77777777" w:rsidR="00C40E94" w:rsidRDefault="00C40E94" w:rsidP="00381BAF">
      <w:pPr>
        <w:pStyle w:val="Heading6"/>
        <w:rPr>
          <w:rFonts w:eastAsiaTheme="minorHAnsi"/>
        </w:rPr>
      </w:pPr>
      <w:r>
        <w:rPr>
          <w:rFonts w:eastAsiaTheme="minorHAnsi"/>
        </w:rPr>
        <w:t>Study endpoints</w:t>
      </w:r>
    </w:p>
    <w:p w14:paraId="4AA232DC" w14:textId="0EC6C6F5" w:rsidR="005630A4" w:rsidRPr="00277D35" w:rsidRDefault="00F0343F" w:rsidP="007630C7">
      <w:pPr>
        <w:rPr>
          <w:rFonts w:asciiTheme="minorHAnsi" w:eastAsiaTheme="minorHAnsi" w:hAnsiTheme="minorHAnsi"/>
        </w:rPr>
      </w:pPr>
      <w:r>
        <w:rPr>
          <w:rFonts w:asciiTheme="minorHAnsi" w:eastAsiaTheme="minorHAnsi" w:hAnsiTheme="minorHAnsi"/>
        </w:rPr>
        <w:t>The primary endpoint for S</w:t>
      </w:r>
      <w:r w:rsidR="005630A4" w:rsidRPr="007630C7">
        <w:rPr>
          <w:rFonts w:asciiTheme="minorHAnsi" w:eastAsiaTheme="minorHAnsi" w:hAnsiTheme="minorHAnsi"/>
        </w:rPr>
        <w:t xml:space="preserve">tudies CGAG and CGAH was the mean change </w:t>
      </w:r>
      <w:r w:rsidR="00D80561">
        <w:rPr>
          <w:rFonts w:asciiTheme="minorHAnsi" w:eastAsiaTheme="minorHAnsi" w:hAnsiTheme="minorHAnsi"/>
        </w:rPr>
        <w:t>from Baseline</w:t>
      </w:r>
      <w:r w:rsidR="005630A4" w:rsidRPr="007630C7">
        <w:rPr>
          <w:rFonts w:asciiTheme="minorHAnsi" w:eastAsiaTheme="minorHAnsi" w:hAnsiTheme="minorHAnsi"/>
        </w:rPr>
        <w:t xml:space="preserve"> in the monthly average number of </w:t>
      </w:r>
      <w:r w:rsidR="00CA7644">
        <w:rPr>
          <w:rFonts w:asciiTheme="minorHAnsi" w:eastAsiaTheme="minorHAnsi" w:hAnsiTheme="minorHAnsi"/>
        </w:rPr>
        <w:t>MHD</w:t>
      </w:r>
      <w:r w:rsidR="007630C7">
        <w:rPr>
          <w:rFonts w:asciiTheme="minorHAnsi" w:eastAsiaTheme="minorHAnsi" w:hAnsiTheme="minorHAnsi"/>
        </w:rPr>
        <w:t>.</w:t>
      </w:r>
    </w:p>
    <w:p w14:paraId="4B85F7A4" w14:textId="77777777" w:rsidR="0007206D" w:rsidRPr="007630C7" w:rsidRDefault="00F0343F" w:rsidP="007630C7">
      <w:pPr>
        <w:rPr>
          <w:rFonts w:asciiTheme="minorHAnsi" w:eastAsiaTheme="minorHAnsi" w:hAnsiTheme="minorHAnsi"/>
        </w:rPr>
      </w:pPr>
      <w:r>
        <w:rPr>
          <w:rFonts w:asciiTheme="minorHAnsi" w:eastAsiaTheme="minorHAnsi" w:hAnsiTheme="minorHAnsi"/>
        </w:rPr>
        <w:t>Key secondary endpoints in S</w:t>
      </w:r>
      <w:r w:rsidR="005630A4" w:rsidRPr="007630C7">
        <w:rPr>
          <w:rFonts w:asciiTheme="minorHAnsi" w:eastAsiaTheme="minorHAnsi" w:hAnsiTheme="minorHAnsi"/>
        </w:rPr>
        <w:t>tudies CGAG and CGAH were</w:t>
      </w:r>
      <w:r w:rsidR="0007206D" w:rsidRPr="007630C7">
        <w:rPr>
          <w:rFonts w:asciiTheme="minorHAnsi" w:eastAsiaTheme="minorHAnsi" w:hAnsiTheme="minorHAnsi"/>
        </w:rPr>
        <w:t>:</w:t>
      </w:r>
    </w:p>
    <w:p w14:paraId="6D7A209F" w14:textId="5A4A04EA" w:rsidR="0057105C" w:rsidRDefault="005630A4" w:rsidP="00572B43">
      <w:pPr>
        <w:pStyle w:val="Numberbullet0"/>
        <w:numPr>
          <w:ilvl w:val="0"/>
          <w:numId w:val="45"/>
        </w:numPr>
      </w:pPr>
      <w:r w:rsidRPr="00277D35">
        <w:t xml:space="preserve">Change from </w:t>
      </w:r>
      <w:r w:rsidR="00B271C9">
        <w:t xml:space="preserve">Baseline </w:t>
      </w:r>
      <w:r w:rsidR="00CA7644">
        <w:t>in monthly average MHD.</w:t>
      </w:r>
    </w:p>
    <w:p w14:paraId="01426FFF" w14:textId="43F9B3DB" w:rsidR="0057105C" w:rsidRDefault="005630A4" w:rsidP="00572B43">
      <w:pPr>
        <w:pStyle w:val="Numberbullet0"/>
      </w:pPr>
      <w:r w:rsidRPr="00277D35">
        <w:t>Proportion of patients with ≥</w:t>
      </w:r>
      <w:r w:rsidR="00CA7644">
        <w:t xml:space="preserve"> </w:t>
      </w:r>
      <w:r w:rsidRPr="00277D35">
        <w:t>50% reducti</w:t>
      </w:r>
      <w:r w:rsidR="00CA7644">
        <w:t xml:space="preserve">on from </w:t>
      </w:r>
      <w:r w:rsidR="00B271C9">
        <w:t xml:space="preserve">Baseline </w:t>
      </w:r>
      <w:r w:rsidR="00CA7644">
        <w:t>in monthly MHD.</w:t>
      </w:r>
    </w:p>
    <w:p w14:paraId="6CCF4367" w14:textId="154B311B" w:rsidR="0057105C" w:rsidRDefault="005630A4" w:rsidP="00572B43">
      <w:pPr>
        <w:pStyle w:val="Numberbullet0"/>
      </w:pPr>
      <w:r w:rsidRPr="00277D35">
        <w:t>Proportion of patients with ≥</w:t>
      </w:r>
      <w:r w:rsidR="00CA7644">
        <w:t xml:space="preserve"> </w:t>
      </w:r>
      <w:r w:rsidRPr="00277D35">
        <w:t xml:space="preserve">75% reduction </w:t>
      </w:r>
      <w:r w:rsidR="00CA7644">
        <w:t xml:space="preserve">from </w:t>
      </w:r>
      <w:r w:rsidR="00B271C9">
        <w:t xml:space="preserve">Baseline </w:t>
      </w:r>
      <w:r w:rsidR="00CA7644">
        <w:t>in monthly MHD.</w:t>
      </w:r>
    </w:p>
    <w:p w14:paraId="6659C858" w14:textId="6BEAAA6A" w:rsidR="0057105C" w:rsidRDefault="005630A4" w:rsidP="00572B43">
      <w:pPr>
        <w:pStyle w:val="Numberbullet0"/>
      </w:pPr>
      <w:r>
        <w:t>M</w:t>
      </w:r>
      <w:r w:rsidRPr="00277D35">
        <w:t xml:space="preserve">ean change from </w:t>
      </w:r>
      <w:r w:rsidR="00B271C9">
        <w:t>B</w:t>
      </w:r>
      <w:r w:rsidR="00B271C9" w:rsidRPr="00277D35">
        <w:t xml:space="preserve">aseline </w:t>
      </w:r>
      <w:r w:rsidRPr="00277D35">
        <w:t xml:space="preserve">in monthly </w:t>
      </w:r>
      <w:r w:rsidR="00713B7C">
        <w:t>MHD</w:t>
      </w:r>
      <w:r w:rsidRPr="00277D35">
        <w:t xml:space="preserve"> with </w:t>
      </w:r>
      <w:r w:rsidR="00CA7644">
        <w:t>acute migraine medication taken.</w:t>
      </w:r>
    </w:p>
    <w:p w14:paraId="1D67BC00" w14:textId="634EF7BE" w:rsidR="0057105C" w:rsidRDefault="005630A4" w:rsidP="00572B43">
      <w:pPr>
        <w:pStyle w:val="Numberbullet0"/>
      </w:pPr>
      <w:r>
        <w:t>C</w:t>
      </w:r>
      <w:r w:rsidRPr="00277D35">
        <w:t>hange from</w:t>
      </w:r>
      <w:r w:rsidR="00BE161F">
        <w:t xml:space="preserve"> </w:t>
      </w:r>
      <w:r w:rsidR="00B271C9">
        <w:t xml:space="preserve">Baseline </w:t>
      </w:r>
      <w:r w:rsidR="00BE161F">
        <w:t>in the Role Function-</w:t>
      </w:r>
      <w:r w:rsidRPr="00277D35">
        <w:t>Restr</w:t>
      </w:r>
      <w:r w:rsidR="00CA7644">
        <w:t>ictive domain scores of the MSQ.</w:t>
      </w:r>
    </w:p>
    <w:p w14:paraId="2FA41249" w14:textId="2474636A" w:rsidR="0057105C" w:rsidRDefault="005630A4" w:rsidP="00572B43">
      <w:pPr>
        <w:pStyle w:val="Numberbullet0"/>
      </w:pPr>
      <w:r w:rsidRPr="00277D35">
        <w:t xml:space="preserve">Proportion of patients with 100% reduction from </w:t>
      </w:r>
      <w:r w:rsidR="00B271C9">
        <w:t>B</w:t>
      </w:r>
      <w:r w:rsidR="00B271C9" w:rsidRPr="00277D35">
        <w:t xml:space="preserve">aseline </w:t>
      </w:r>
      <w:r w:rsidRPr="00277D35">
        <w:t>in monthly MHD</w:t>
      </w:r>
      <w:r w:rsidR="00CA7644">
        <w:t>.</w:t>
      </w:r>
    </w:p>
    <w:p w14:paraId="445E3C88" w14:textId="06093E3B" w:rsidR="005630A4" w:rsidRDefault="005630A4" w:rsidP="00572B43">
      <w:pPr>
        <w:pStyle w:val="Numberbullet0"/>
      </w:pPr>
      <w:r w:rsidRPr="00277D35">
        <w:t xml:space="preserve">Mean change from </w:t>
      </w:r>
      <w:r w:rsidR="00B271C9">
        <w:t>B</w:t>
      </w:r>
      <w:r w:rsidR="00B271C9" w:rsidRPr="00277D35">
        <w:t xml:space="preserve">aseline </w:t>
      </w:r>
      <w:r w:rsidRPr="00277D35">
        <w:t>in the Patient Global Impression-Improvement (PGI-S) score.</w:t>
      </w:r>
    </w:p>
    <w:p w14:paraId="6E450838" w14:textId="4FD8EE6F" w:rsidR="0057105C" w:rsidRDefault="007F1E71" w:rsidP="007F1E71">
      <w:pPr>
        <w:pStyle w:val="TableTitle"/>
      </w:pPr>
      <w:bookmarkStart w:id="224" w:name="_Ref19013262"/>
      <w:r>
        <w:t xml:space="preserve">Table </w:t>
      </w:r>
      <w:fldSimple w:instr=" SEQ Table \* ARABIC ">
        <w:r>
          <w:rPr>
            <w:noProof/>
          </w:rPr>
          <w:t>25</w:t>
        </w:r>
      </w:fldSimple>
      <w:bookmarkEnd w:id="224"/>
      <w:r w:rsidR="00CA7644">
        <w:t>:</w:t>
      </w:r>
      <w:r w:rsidR="005630A4" w:rsidRPr="00B91A5D">
        <w:t xml:space="preserve"> Demographics and </w:t>
      </w:r>
      <w:r w:rsidR="00CA7644">
        <w:t>disease characteristics, intention to treat</w:t>
      </w:r>
      <w:r w:rsidR="00CA7644" w:rsidRPr="00B91A5D">
        <w:t xml:space="preserve"> population</w:t>
      </w:r>
      <w:r w:rsidR="005630A4" w:rsidRPr="00B91A5D">
        <w:t>, Studies CGAG, CGAH and CGAI</w:t>
      </w:r>
    </w:p>
    <w:p w14:paraId="69592BE0" w14:textId="77777777" w:rsidR="005630A4" w:rsidRDefault="005630A4" w:rsidP="00CA7644">
      <w:pPr>
        <w:autoSpaceDE w:val="0"/>
        <w:autoSpaceDN w:val="0"/>
        <w:adjustRightInd w:val="0"/>
        <w:spacing w:before="0" w:after="0" w:line="240" w:lineRule="auto"/>
        <w:jc w:val="center"/>
      </w:pPr>
      <w:r>
        <w:rPr>
          <w:noProof/>
          <w:lang w:eastAsia="en-AU"/>
        </w:rPr>
        <w:drawing>
          <wp:inline distT="0" distB="0" distL="0" distR="0" wp14:anchorId="68D2CD93" wp14:editId="25BBCAB6">
            <wp:extent cx="3504519" cy="4121627"/>
            <wp:effectExtent l="0" t="0" r="1270" b="0"/>
            <wp:docPr id="34" name="Picture 34" descr="Table 25: Demographics and disease characteristics, intention to treat population, Studies CGAG, CGAH and C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2283" cy="4142519"/>
                    </a:xfrm>
                    <a:prstGeom prst="rect">
                      <a:avLst/>
                    </a:prstGeom>
                    <a:noFill/>
                    <a:ln>
                      <a:noFill/>
                    </a:ln>
                  </pic:spPr>
                </pic:pic>
              </a:graphicData>
            </a:graphic>
          </wp:inline>
        </w:drawing>
      </w:r>
    </w:p>
    <w:p w14:paraId="1CF520FF" w14:textId="74AFB501" w:rsidR="005630A4" w:rsidRDefault="005630A4" w:rsidP="00CA7644">
      <w:r>
        <w:lastRenderedPageBreak/>
        <w:t>Baseline demographic and disease characteristics (</w:t>
      </w:r>
      <w:r w:rsidR="00B271C9">
        <w:t>see</w:t>
      </w:r>
      <w:r w:rsidR="007F1E71">
        <w:t xml:space="preserve"> </w:t>
      </w:r>
      <w:r w:rsidR="007F1E71">
        <w:fldChar w:fldCharType="begin"/>
      </w:r>
      <w:r w:rsidR="007F1E71">
        <w:instrText xml:space="preserve"> REF _Ref19013262 \h </w:instrText>
      </w:r>
      <w:r w:rsidR="007F1E71">
        <w:fldChar w:fldCharType="separate"/>
      </w:r>
      <w:r w:rsidR="007F1E71">
        <w:t xml:space="preserve">Table </w:t>
      </w:r>
      <w:r w:rsidR="007F1E71">
        <w:rPr>
          <w:noProof/>
        </w:rPr>
        <w:t>25</w:t>
      </w:r>
      <w:r w:rsidR="007F1E71">
        <w:fldChar w:fldCharType="end"/>
      </w:r>
      <w:r>
        <w:t>) were broadly similar across all the treatment groups. Both studies assessed a population with relatively severe migraine problems which most likely will be the user of this medication</w:t>
      </w:r>
      <w:r w:rsidR="0007206D">
        <w:t>.</w:t>
      </w:r>
    </w:p>
    <w:p w14:paraId="02FF8A57" w14:textId="77777777" w:rsidR="005630A4" w:rsidRDefault="00663C5B" w:rsidP="00077ED6">
      <w:r>
        <w:t>Completion rates for the double blind</w:t>
      </w:r>
      <w:r w:rsidR="005630A4">
        <w:t xml:space="preserve"> treatment phase across both episodic migraine studies ranged from </w:t>
      </w:r>
      <w:r w:rsidR="005630A4" w:rsidRPr="00CA7644">
        <w:t>81 to 88%</w:t>
      </w:r>
      <w:r w:rsidR="005630A4">
        <w:t xml:space="preserve"> which seems reasonable for migraine studies. Studies were not associated with withdrawal bias as withdrawals were broadly balanced betwe</w:t>
      </w:r>
      <w:r w:rsidR="00A83732">
        <w:t xml:space="preserve">en the three treatment groups. </w:t>
      </w:r>
      <w:r w:rsidR="005630A4">
        <w:t>Overall, the numbers of protocol deviations were acceptable.</w:t>
      </w:r>
    </w:p>
    <w:p w14:paraId="206AEBD2" w14:textId="77777777" w:rsidR="005630A4" w:rsidRDefault="005630A4" w:rsidP="00381BAF">
      <w:pPr>
        <w:pStyle w:val="Heading6"/>
      </w:pPr>
      <w:r w:rsidRPr="005A3657">
        <w:t>Results</w:t>
      </w:r>
    </w:p>
    <w:p w14:paraId="40E5A451" w14:textId="70519BA1" w:rsidR="005630A4" w:rsidRDefault="005630A4" w:rsidP="00077ED6">
      <w:r>
        <w:t xml:space="preserve">Both studies were positive for their </w:t>
      </w:r>
      <w:r w:rsidR="006F1789">
        <w:t>primary endpoint, change in MHD</w:t>
      </w:r>
      <w:r>
        <w:t xml:space="preserve">. After adjustments for multiplicity, </w:t>
      </w:r>
      <w:r w:rsidR="00077ED6">
        <w:t xml:space="preserve">both doses of </w:t>
      </w:r>
      <w:proofErr w:type="spellStart"/>
      <w:r w:rsidR="00077ED6">
        <w:t>galcanezumab</w:t>
      </w:r>
      <w:proofErr w:type="spellEnd"/>
      <w:r w:rsidR="00077ED6">
        <w:t xml:space="preserve"> (120 mg/month and 240 </w:t>
      </w:r>
      <w:r>
        <w:t xml:space="preserve">mg/month) were significantly superior to placebo in both studies, </w:t>
      </w:r>
      <w:r w:rsidR="006F1789">
        <w:t>with a greater reduction in MHD</w:t>
      </w:r>
      <w:r>
        <w:t xml:space="preserve"> seen with either active treatment than with placebo</w:t>
      </w:r>
      <w:r w:rsidR="007F1E71">
        <w:t xml:space="preserve"> (</w:t>
      </w:r>
      <w:r w:rsidR="007F1E71">
        <w:fldChar w:fldCharType="begin"/>
      </w:r>
      <w:r w:rsidR="007F1E71">
        <w:instrText xml:space="preserve"> REF _Ref19013611 \h </w:instrText>
      </w:r>
      <w:r w:rsidR="007F1E71">
        <w:fldChar w:fldCharType="separate"/>
      </w:r>
      <w:r w:rsidR="007F1E71">
        <w:t xml:space="preserve">Figure </w:t>
      </w:r>
      <w:r w:rsidR="007F1E71">
        <w:rPr>
          <w:noProof/>
        </w:rPr>
        <w:t>5</w:t>
      </w:r>
      <w:r w:rsidR="007F1E71">
        <w:fldChar w:fldCharType="end"/>
      </w:r>
      <w:r w:rsidR="003106AE">
        <w:t>)</w:t>
      </w:r>
      <w:r w:rsidR="00077ED6">
        <w:t>.</w:t>
      </w:r>
    </w:p>
    <w:p w14:paraId="44DD9DC7" w14:textId="29910381" w:rsidR="005630A4" w:rsidRDefault="007F1E71" w:rsidP="007F1E71">
      <w:pPr>
        <w:pStyle w:val="FigureTitle"/>
      </w:pPr>
      <w:bookmarkStart w:id="225" w:name="_Ref19013611"/>
      <w:bookmarkStart w:id="226" w:name="_Toc536533363"/>
      <w:r>
        <w:t xml:space="preserve">Figure </w:t>
      </w:r>
      <w:fldSimple w:instr=" SEQ Figure \* ARABIC ">
        <w:r>
          <w:rPr>
            <w:noProof/>
          </w:rPr>
          <w:t>5</w:t>
        </w:r>
      </w:fldSimple>
      <w:bookmarkEnd w:id="225"/>
      <w:r w:rsidR="00077ED6">
        <w:t>:</w:t>
      </w:r>
      <w:r w:rsidR="005630A4">
        <w:t xml:space="preserve"> Mean change from </w:t>
      </w:r>
      <w:r w:rsidR="00B271C9">
        <w:t xml:space="preserve">Baseline </w:t>
      </w:r>
      <w:r w:rsidR="005630A4">
        <w:t xml:space="preserve">in the number of </w:t>
      </w:r>
      <w:r w:rsidR="00713B7C">
        <w:t>MHD</w:t>
      </w:r>
      <w:r w:rsidR="005630A4">
        <w:t xml:space="preserve"> by month for the double</w:t>
      </w:r>
      <w:r w:rsidR="00BE161F">
        <w:t xml:space="preserve"> </w:t>
      </w:r>
      <w:r w:rsidR="00033602">
        <w:t>blind treatment period of Studies</w:t>
      </w:r>
      <w:r w:rsidR="005630A4">
        <w:t xml:space="preserve"> CGAG</w:t>
      </w:r>
      <w:bookmarkEnd w:id="226"/>
      <w:r w:rsidR="00033602">
        <w:t xml:space="preserve"> (left) and </w:t>
      </w:r>
      <w:r w:rsidR="005630A4">
        <w:t>CGAH</w:t>
      </w:r>
      <w:r w:rsidR="00033602">
        <w:t xml:space="preserve"> (right)</w:t>
      </w:r>
    </w:p>
    <w:p w14:paraId="04FAB9C8" w14:textId="77777777" w:rsidR="005630A4" w:rsidRPr="00077ED6" w:rsidRDefault="00077ED6" w:rsidP="005630A4">
      <w:pPr>
        <w:autoSpaceDE w:val="0"/>
        <w:autoSpaceDN w:val="0"/>
        <w:adjustRightInd w:val="0"/>
        <w:spacing w:before="0" w:after="0" w:line="240" w:lineRule="auto"/>
        <w:jc w:val="both"/>
        <w:rPr>
          <w:rFonts w:asciiTheme="minorHAnsi" w:hAnsiTheme="minorHAnsi"/>
        </w:rPr>
      </w:pPr>
      <w:r>
        <w:rPr>
          <w:noProof/>
          <w:lang w:eastAsia="en-AU"/>
        </w:rPr>
        <w:drawing>
          <wp:inline distT="0" distB="0" distL="0" distR="0" wp14:anchorId="0A539C8A" wp14:editId="44A903B8">
            <wp:extent cx="5400040" cy="1856552"/>
            <wp:effectExtent l="0" t="0" r="0" b="0"/>
            <wp:docPr id="3" name="Picture 3" descr="Mean change from baseline in the number of migraine headache days by month for the double-blind treatment period of Studies CGAG (left) and CGAH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1856552"/>
                    </a:xfrm>
                    <a:prstGeom prst="rect">
                      <a:avLst/>
                    </a:prstGeom>
                  </pic:spPr>
                </pic:pic>
              </a:graphicData>
            </a:graphic>
          </wp:inline>
        </w:drawing>
      </w:r>
    </w:p>
    <w:p w14:paraId="21B5E302" w14:textId="77777777" w:rsidR="005630A4" w:rsidRDefault="005630A4" w:rsidP="00077ED6">
      <w:r>
        <w:t>There doesn’t seem to be any major dos</w:t>
      </w:r>
      <w:r w:rsidR="00033602">
        <w:t xml:space="preserve">e trend in both studies, as low </w:t>
      </w:r>
      <w:r>
        <w:t>dose group only showing minor nume</w:t>
      </w:r>
      <w:r w:rsidR="00033602">
        <w:t xml:space="preserve">rical superiority over the high </w:t>
      </w:r>
      <w:r>
        <w:t>dose group for most time points.</w:t>
      </w:r>
    </w:p>
    <w:p w14:paraId="59D283CA" w14:textId="77777777" w:rsidR="0007206D" w:rsidRDefault="00033602" w:rsidP="00077ED6">
      <w:pPr>
        <w:rPr>
          <w:rFonts w:asciiTheme="minorHAnsi" w:hAnsiTheme="minorHAnsi"/>
        </w:rPr>
      </w:pPr>
      <w:r>
        <w:rPr>
          <w:rFonts w:asciiTheme="minorHAnsi" w:hAnsiTheme="minorHAnsi"/>
        </w:rPr>
        <w:t>The Delegate is uncertain about</w:t>
      </w:r>
      <w:r w:rsidR="005630A4">
        <w:rPr>
          <w:rFonts w:asciiTheme="minorHAnsi" w:hAnsiTheme="minorHAnsi"/>
        </w:rPr>
        <w:t xml:space="preserve"> the argument on the placebo response been influenced by </w:t>
      </w:r>
      <w:r w:rsidR="005630A4" w:rsidRPr="0099565F">
        <w:rPr>
          <w:rFonts w:asciiTheme="minorHAnsi" w:hAnsiTheme="minorHAnsi"/>
        </w:rPr>
        <w:t xml:space="preserve">psychological response </w:t>
      </w:r>
      <w:r w:rsidR="005630A4">
        <w:rPr>
          <w:rFonts w:asciiTheme="minorHAnsi" w:hAnsiTheme="minorHAnsi"/>
        </w:rPr>
        <w:t xml:space="preserve">and </w:t>
      </w:r>
      <w:r w:rsidR="005630A4" w:rsidRPr="0099565F">
        <w:rPr>
          <w:rFonts w:asciiTheme="minorHAnsi" w:hAnsiTheme="minorHAnsi"/>
        </w:rPr>
        <w:t>natural fluctuations in migraine frequency and severity</w:t>
      </w:r>
      <w:r w:rsidR="005630A4">
        <w:rPr>
          <w:rFonts w:asciiTheme="minorHAnsi" w:hAnsiTheme="minorHAnsi"/>
        </w:rPr>
        <w:t>. If that is true it should impact all the arms as it is un</w:t>
      </w:r>
      <w:r w:rsidR="00F0343F">
        <w:rPr>
          <w:rFonts w:asciiTheme="minorHAnsi" w:hAnsiTheme="minorHAnsi"/>
        </w:rPr>
        <w:t>-</w:t>
      </w:r>
      <w:r w:rsidR="005630A4">
        <w:rPr>
          <w:rFonts w:asciiTheme="minorHAnsi" w:hAnsiTheme="minorHAnsi"/>
        </w:rPr>
        <w:t xml:space="preserve">blinded study. </w:t>
      </w:r>
      <w:r>
        <w:rPr>
          <w:rFonts w:asciiTheme="minorHAnsi" w:hAnsiTheme="minorHAnsi"/>
        </w:rPr>
        <w:t>However, the Delegate</w:t>
      </w:r>
      <w:r w:rsidR="005630A4">
        <w:rPr>
          <w:rFonts w:asciiTheme="minorHAnsi" w:hAnsiTheme="minorHAnsi"/>
        </w:rPr>
        <w:t xml:space="preserve"> agree</w:t>
      </w:r>
      <w:r>
        <w:rPr>
          <w:rFonts w:asciiTheme="minorHAnsi" w:hAnsiTheme="minorHAnsi"/>
        </w:rPr>
        <w:t>s the</w:t>
      </w:r>
      <w:r w:rsidR="005630A4">
        <w:rPr>
          <w:rFonts w:asciiTheme="minorHAnsi" w:hAnsiTheme="minorHAnsi"/>
        </w:rPr>
        <w:t xml:space="preserve"> change of two days might make a </w:t>
      </w:r>
      <w:r>
        <w:rPr>
          <w:rFonts w:asciiTheme="minorHAnsi" w:hAnsiTheme="minorHAnsi"/>
        </w:rPr>
        <w:t xml:space="preserve">difference in patients with 4 to </w:t>
      </w:r>
      <w:r w:rsidR="006F1789">
        <w:rPr>
          <w:rFonts w:asciiTheme="minorHAnsi" w:hAnsiTheme="minorHAnsi"/>
        </w:rPr>
        <w:t>14 MHD</w:t>
      </w:r>
      <w:r w:rsidR="005630A4">
        <w:rPr>
          <w:rFonts w:asciiTheme="minorHAnsi" w:hAnsiTheme="minorHAnsi"/>
        </w:rPr>
        <w:t xml:space="preserve"> per month (halving to one seventh reduction)</w:t>
      </w:r>
      <w:r w:rsidR="0007206D">
        <w:rPr>
          <w:rFonts w:asciiTheme="minorHAnsi" w:hAnsiTheme="minorHAnsi"/>
        </w:rPr>
        <w:t>.</w:t>
      </w:r>
    </w:p>
    <w:p w14:paraId="7C16C1D5" w14:textId="77777777" w:rsidR="0007206D" w:rsidRDefault="005630A4" w:rsidP="00077ED6">
      <w:r>
        <w:t xml:space="preserve">Secondary endpoints showed similar trend of superiority of </w:t>
      </w:r>
      <w:proofErr w:type="spellStart"/>
      <w:r>
        <w:t>galcanezumab</w:t>
      </w:r>
      <w:proofErr w:type="spellEnd"/>
      <w:r>
        <w:t xml:space="preserve"> over placebo in both pivotal episodic migraine studies, including response rates, patient global impressions, and </w:t>
      </w:r>
      <w:r w:rsidR="00033602">
        <w:t>quality of life</w:t>
      </w:r>
      <w:r>
        <w:t xml:space="preserve"> instruments</w:t>
      </w:r>
      <w:r w:rsidR="0007206D">
        <w:t>.</w:t>
      </w:r>
    </w:p>
    <w:p w14:paraId="10170656" w14:textId="77777777" w:rsidR="005630A4" w:rsidRPr="00033602" w:rsidRDefault="005630A4" w:rsidP="00033602">
      <w:r w:rsidRPr="00033602">
        <w:t xml:space="preserve">The first of the key secondary endpoints, 50% response rate, was achieved by </w:t>
      </w:r>
      <w:r w:rsidR="00033602">
        <w:t xml:space="preserve">36 to </w:t>
      </w:r>
      <w:r w:rsidRPr="00033602">
        <w:t xml:space="preserve">39% of placebo recipients, across the two studies, compared to </w:t>
      </w:r>
      <w:r w:rsidR="00033602">
        <w:t xml:space="preserve">57 to </w:t>
      </w:r>
      <w:r w:rsidRPr="00033602">
        <w:t xml:space="preserve">61% of </w:t>
      </w:r>
      <w:proofErr w:type="spellStart"/>
      <w:r w:rsidRPr="00033602">
        <w:t>galcanezumab</w:t>
      </w:r>
      <w:proofErr w:type="spellEnd"/>
      <w:r w:rsidRPr="00033602">
        <w:t xml:space="preserve"> recipients (including both dose groups of each study). Results were broadly consistent across the two studies and across doses, with no consistent dose trend. The significance of the comparison with placebo </w:t>
      </w:r>
      <w:r w:rsidR="00033602">
        <w:t xml:space="preserve">was associated with a nominal p </w:t>
      </w:r>
      <w:r w:rsidRPr="00033602">
        <w:t>value of &lt;</w:t>
      </w:r>
      <w:r w:rsidR="00033602">
        <w:t xml:space="preserve"> </w:t>
      </w:r>
      <w:r w:rsidRPr="00033602">
        <w:t xml:space="preserve">0.001 for each of the four active groups, but these values have not been directly adjusted for multiplicity (instead, the significance threshold was lowered to 0.025). It would be expected that, of about 4 or 5 patients treated with </w:t>
      </w:r>
      <w:proofErr w:type="spellStart"/>
      <w:r w:rsidRPr="00033602">
        <w:t>galcanezumab</w:t>
      </w:r>
      <w:proofErr w:type="spellEnd"/>
      <w:r w:rsidRPr="00033602">
        <w:t>, one wo</w:t>
      </w:r>
      <w:r w:rsidR="006F1789">
        <w:t>uld have a 50% reduction in MHD</w:t>
      </w:r>
      <w:r w:rsidRPr="00033602">
        <w:t xml:space="preserve"> that was attributable to active treatment (derived through attrib</w:t>
      </w:r>
      <w:r w:rsidR="00077ED6" w:rsidRPr="00033602">
        <w:t>utable response rate analysis).</w:t>
      </w:r>
    </w:p>
    <w:p w14:paraId="5E5AD1C1" w14:textId="6791F5A5" w:rsidR="005630A4" w:rsidRDefault="007F1E71" w:rsidP="007F1E71">
      <w:pPr>
        <w:pStyle w:val="FigureTitle"/>
      </w:pPr>
      <w:r>
        <w:lastRenderedPageBreak/>
        <w:t xml:space="preserve">Figure </w:t>
      </w:r>
      <w:fldSimple w:instr=" SEQ Figure \* ARABIC ">
        <w:r>
          <w:rPr>
            <w:noProof/>
          </w:rPr>
          <w:t>6</w:t>
        </w:r>
      </w:fldSimple>
      <w:r w:rsidR="00033602">
        <w:t>:</w:t>
      </w:r>
      <w:r w:rsidR="005630A4">
        <w:t xml:space="preserve"> 50% response rate (percentage of patients with ≥</w:t>
      </w:r>
      <w:r w:rsidR="00033602">
        <w:t xml:space="preserve"> </w:t>
      </w:r>
      <w:r w:rsidR="005630A4">
        <w:t xml:space="preserve">50% reduction from </w:t>
      </w:r>
      <w:r w:rsidR="00B271C9">
        <w:t xml:space="preserve">Baseline </w:t>
      </w:r>
      <w:r w:rsidR="005630A4">
        <w:t xml:space="preserve">in </w:t>
      </w:r>
      <w:r w:rsidR="00713B7C">
        <w:t>MHD</w:t>
      </w:r>
      <w:r w:rsidR="005630A4">
        <w:t>) b</w:t>
      </w:r>
      <w:r w:rsidR="00033602">
        <w:t xml:space="preserve">y month for Studies CGAG (left) and </w:t>
      </w:r>
      <w:r w:rsidR="005630A4">
        <w:t>CGAH (right)</w:t>
      </w:r>
    </w:p>
    <w:p w14:paraId="5D2DC203" w14:textId="77777777" w:rsidR="005630A4" w:rsidRDefault="00033602" w:rsidP="005630A4">
      <w:pPr>
        <w:autoSpaceDE w:val="0"/>
        <w:autoSpaceDN w:val="0"/>
        <w:adjustRightInd w:val="0"/>
        <w:spacing w:before="0" w:after="0" w:line="240" w:lineRule="auto"/>
        <w:jc w:val="both"/>
        <w:rPr>
          <w:rFonts w:asciiTheme="minorHAnsi" w:hAnsiTheme="minorHAnsi"/>
        </w:rPr>
      </w:pPr>
      <w:r>
        <w:rPr>
          <w:noProof/>
          <w:lang w:eastAsia="en-AU"/>
        </w:rPr>
        <w:drawing>
          <wp:inline distT="0" distB="0" distL="0" distR="0" wp14:anchorId="23007C6B" wp14:editId="64B1CECA">
            <wp:extent cx="5398617" cy="2479853"/>
            <wp:effectExtent l="0" t="0" r="0" b="0"/>
            <wp:docPr id="4" name="Picture 4" descr="50% response rate (percentage of patients with ≥ 50% reduction from baseline in migraine headache days) by month for Studies CGAG (left) and CGAH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2480507"/>
                    </a:xfrm>
                    <a:prstGeom prst="rect">
                      <a:avLst/>
                    </a:prstGeom>
                  </pic:spPr>
                </pic:pic>
              </a:graphicData>
            </a:graphic>
          </wp:inline>
        </w:drawing>
      </w:r>
    </w:p>
    <w:p w14:paraId="3F78D251" w14:textId="77777777" w:rsidR="0007206D" w:rsidRPr="00033602" w:rsidRDefault="005630A4" w:rsidP="00033602">
      <w:r w:rsidRPr="00033602">
        <w:t>Response rates for</w:t>
      </w:r>
      <w:r w:rsidR="006F1789">
        <w:t xml:space="preserve"> 75% and 100% reductions in MHD</w:t>
      </w:r>
      <w:r w:rsidRPr="00033602">
        <w:t xml:space="preserve"> were lower than the 50% </w:t>
      </w:r>
      <w:r w:rsidR="00033602">
        <w:t>response rate</w:t>
      </w:r>
      <w:r w:rsidRPr="00033602">
        <w:t xml:space="preserve"> in all groups, as expected, but still demonstrated superiority of active treatment, with broadly similar odds ratios as observed with the 50% response rate. Across all active groups, 12 to 16% of subjects a</w:t>
      </w:r>
      <w:r w:rsidR="006F1789">
        <w:t>chieved a 100% reduction in MHD</w:t>
      </w:r>
      <w:r w:rsidRPr="00033602">
        <w:t>, whereas this was only observed in 6% of placebo recipients</w:t>
      </w:r>
      <w:r w:rsidR="0007206D" w:rsidRPr="00033602">
        <w:t>.</w:t>
      </w:r>
    </w:p>
    <w:p w14:paraId="1929567A" w14:textId="77777777" w:rsidR="005630A4" w:rsidRPr="00033602" w:rsidRDefault="006F1789" w:rsidP="00033602">
      <w:r>
        <w:t>The number of MHD</w:t>
      </w:r>
      <w:r w:rsidR="005630A4" w:rsidRPr="00033602">
        <w:t xml:space="preserve"> with acute medication use was also significantly reduced with active treatment. The difference compared to placebo was 1.61 to 1.82 days across the four active dose groups, and all comparisons with placebo were significant (p</w:t>
      </w:r>
      <w:r w:rsidR="00033602">
        <w:t> </w:t>
      </w:r>
      <w:r w:rsidR="005630A4" w:rsidRPr="00033602">
        <w:t>&lt;</w:t>
      </w:r>
      <w:r w:rsidR="00033602">
        <w:t> </w:t>
      </w:r>
      <w:r w:rsidR="005630A4" w:rsidRPr="00033602">
        <w:t>0.001).</w:t>
      </w:r>
    </w:p>
    <w:p w14:paraId="61E7531F" w14:textId="457CCB53" w:rsidR="005630A4" w:rsidRDefault="007F1E71" w:rsidP="007F1E71">
      <w:pPr>
        <w:pStyle w:val="TableTitle"/>
      </w:pPr>
      <w:r>
        <w:t xml:space="preserve">Table </w:t>
      </w:r>
      <w:fldSimple w:instr=" SEQ Table \* ARABIC ">
        <w:r>
          <w:rPr>
            <w:noProof/>
          </w:rPr>
          <w:t>26</w:t>
        </w:r>
      </w:fldSimple>
      <w:r w:rsidR="00033602">
        <w:t xml:space="preserve">: </w:t>
      </w:r>
      <w:r w:rsidR="00B5345D">
        <w:t>M</w:t>
      </w:r>
      <w:r w:rsidR="00AC7C67">
        <w:t xml:space="preserve">ean change </w:t>
      </w:r>
      <w:r w:rsidR="00D80561">
        <w:t>from Baseline</w:t>
      </w:r>
      <w:r w:rsidR="00B5345D">
        <w:t xml:space="preserve"> in monthly MHD with acute medication use during double blind treatment period </w:t>
      </w:r>
      <w:r w:rsidR="00AC7C67">
        <w:t>(Studies CGAG and CGAH)</w:t>
      </w:r>
    </w:p>
    <w:tbl>
      <w:tblPr>
        <w:tblStyle w:val="TableTGAblue"/>
        <w:tblW w:w="0" w:type="auto"/>
        <w:tblLook w:val="04A0" w:firstRow="1" w:lastRow="0" w:firstColumn="1" w:lastColumn="0" w:noHBand="0" w:noVBand="1"/>
      </w:tblPr>
      <w:tblGrid>
        <w:gridCol w:w="2740"/>
        <w:gridCol w:w="2741"/>
        <w:gridCol w:w="2741"/>
      </w:tblGrid>
      <w:tr w:rsidR="00AC7C67" w:rsidRPr="00AC7C67" w14:paraId="72BEA11E" w14:textId="77777777" w:rsidTr="00302FE3">
        <w:trPr>
          <w:cnfStyle w:val="100000000000" w:firstRow="1" w:lastRow="0" w:firstColumn="0" w:lastColumn="0" w:oddVBand="0" w:evenVBand="0" w:oddHBand="0" w:evenHBand="0" w:firstRowFirstColumn="0" w:firstRowLastColumn="0" w:lastRowFirstColumn="0" w:lastRowLastColumn="0"/>
          <w:trHeight w:val="245"/>
        </w:trPr>
        <w:tc>
          <w:tcPr>
            <w:tcW w:w="2740" w:type="dxa"/>
            <w:vMerge w:val="restart"/>
            <w:vAlign w:val="center"/>
          </w:tcPr>
          <w:p w14:paraId="026CAD13" w14:textId="77777777" w:rsidR="00AC7C67" w:rsidRPr="00AC7C67" w:rsidRDefault="00AC7C67" w:rsidP="00880C40">
            <w:pPr>
              <w:autoSpaceDE w:val="0"/>
              <w:autoSpaceDN w:val="0"/>
              <w:adjustRightInd w:val="0"/>
              <w:spacing w:before="0" w:after="0" w:line="240" w:lineRule="auto"/>
              <w:ind w:left="0" w:right="0"/>
              <w:jc w:val="center"/>
              <w:rPr>
                <w:sz w:val="20"/>
                <w:szCs w:val="20"/>
              </w:rPr>
            </w:pPr>
            <w:r w:rsidRPr="00AC7C67">
              <w:rPr>
                <w:sz w:val="20"/>
                <w:szCs w:val="20"/>
              </w:rPr>
              <w:t>Treatment arms</w:t>
            </w:r>
          </w:p>
        </w:tc>
        <w:tc>
          <w:tcPr>
            <w:tcW w:w="5482" w:type="dxa"/>
            <w:gridSpan w:val="2"/>
          </w:tcPr>
          <w:p w14:paraId="1E385918" w14:textId="77777777" w:rsidR="00AC7C67" w:rsidRPr="00AC7C67" w:rsidRDefault="00AC7C67" w:rsidP="00AC7C67">
            <w:pPr>
              <w:autoSpaceDE w:val="0"/>
              <w:autoSpaceDN w:val="0"/>
              <w:adjustRightInd w:val="0"/>
              <w:spacing w:before="0" w:after="0" w:line="240" w:lineRule="auto"/>
              <w:jc w:val="center"/>
              <w:rPr>
                <w:sz w:val="20"/>
                <w:szCs w:val="20"/>
              </w:rPr>
            </w:pPr>
            <w:r w:rsidRPr="00AC7C67">
              <w:rPr>
                <w:sz w:val="20"/>
                <w:szCs w:val="20"/>
              </w:rPr>
              <w:t>LS Mean Chan</w:t>
            </w:r>
            <w:r w:rsidR="006F1789">
              <w:rPr>
                <w:sz w:val="20"/>
                <w:szCs w:val="20"/>
              </w:rPr>
              <w:t>ge from Baseline in Monthly MHD</w:t>
            </w:r>
          </w:p>
        </w:tc>
      </w:tr>
      <w:tr w:rsidR="00AC7C67" w:rsidRPr="00AC7C67" w14:paraId="0E8095E8" w14:textId="77777777" w:rsidTr="00A83026">
        <w:trPr>
          <w:trHeight w:val="245"/>
        </w:trPr>
        <w:tc>
          <w:tcPr>
            <w:tcW w:w="2740" w:type="dxa"/>
            <w:vMerge/>
          </w:tcPr>
          <w:p w14:paraId="163803F9" w14:textId="77777777" w:rsidR="00AC7C67" w:rsidRPr="00AC7C67" w:rsidRDefault="00AC7C67" w:rsidP="00AC7C67">
            <w:pPr>
              <w:autoSpaceDE w:val="0"/>
              <w:autoSpaceDN w:val="0"/>
              <w:adjustRightInd w:val="0"/>
              <w:spacing w:before="0" w:after="0" w:line="240" w:lineRule="auto"/>
              <w:jc w:val="center"/>
              <w:rPr>
                <w:sz w:val="20"/>
                <w:szCs w:val="20"/>
              </w:rPr>
            </w:pPr>
          </w:p>
        </w:tc>
        <w:tc>
          <w:tcPr>
            <w:tcW w:w="2741" w:type="dxa"/>
            <w:shd w:val="clear" w:color="auto" w:fill="006DA7"/>
          </w:tcPr>
          <w:p w14:paraId="7DFD1589" w14:textId="77777777" w:rsidR="00AC7C67" w:rsidRPr="00A83026" w:rsidRDefault="00AC7C67" w:rsidP="00AC7C67">
            <w:pPr>
              <w:autoSpaceDE w:val="0"/>
              <w:autoSpaceDN w:val="0"/>
              <w:adjustRightInd w:val="0"/>
              <w:spacing w:before="0" w:after="0" w:line="240" w:lineRule="auto"/>
              <w:jc w:val="center"/>
              <w:rPr>
                <w:b/>
                <w:color w:val="FFFFFF" w:themeColor="background1"/>
                <w:sz w:val="20"/>
                <w:szCs w:val="20"/>
              </w:rPr>
            </w:pPr>
            <w:r w:rsidRPr="00A83026">
              <w:rPr>
                <w:b/>
                <w:color w:val="FFFFFF" w:themeColor="background1"/>
                <w:sz w:val="20"/>
                <w:szCs w:val="20"/>
              </w:rPr>
              <w:t>Study CGAG</w:t>
            </w:r>
          </w:p>
          <w:p w14:paraId="71301DCE" w14:textId="77777777" w:rsidR="00B5345D" w:rsidRPr="00A83026" w:rsidRDefault="00B5345D" w:rsidP="00AC7C67">
            <w:pPr>
              <w:autoSpaceDE w:val="0"/>
              <w:autoSpaceDN w:val="0"/>
              <w:adjustRightInd w:val="0"/>
              <w:spacing w:before="0" w:after="0" w:line="240" w:lineRule="auto"/>
              <w:jc w:val="center"/>
              <w:rPr>
                <w:b/>
                <w:color w:val="FFFFFF" w:themeColor="background1"/>
                <w:sz w:val="20"/>
                <w:szCs w:val="20"/>
              </w:rPr>
            </w:pPr>
            <w:r w:rsidRPr="00A83026">
              <w:rPr>
                <w:b/>
                <w:color w:val="FFFFFF" w:themeColor="background1"/>
                <w:sz w:val="20"/>
                <w:szCs w:val="20"/>
              </w:rPr>
              <w:t>Months 1 to 6</w:t>
            </w:r>
          </w:p>
        </w:tc>
        <w:tc>
          <w:tcPr>
            <w:tcW w:w="2741" w:type="dxa"/>
            <w:shd w:val="clear" w:color="auto" w:fill="006DA7"/>
          </w:tcPr>
          <w:p w14:paraId="5DF45D8C" w14:textId="77777777" w:rsidR="00AC7C67" w:rsidRPr="00A83026" w:rsidRDefault="00AC7C67" w:rsidP="00AC7C67">
            <w:pPr>
              <w:autoSpaceDE w:val="0"/>
              <w:autoSpaceDN w:val="0"/>
              <w:adjustRightInd w:val="0"/>
              <w:spacing w:before="0" w:after="0" w:line="240" w:lineRule="auto"/>
              <w:jc w:val="center"/>
              <w:rPr>
                <w:b/>
                <w:color w:val="FFFFFF" w:themeColor="background1"/>
                <w:sz w:val="20"/>
                <w:szCs w:val="20"/>
              </w:rPr>
            </w:pPr>
            <w:r w:rsidRPr="00A83026">
              <w:rPr>
                <w:b/>
                <w:color w:val="FFFFFF" w:themeColor="background1"/>
                <w:sz w:val="20"/>
                <w:szCs w:val="20"/>
              </w:rPr>
              <w:t>Study CGAH</w:t>
            </w:r>
          </w:p>
          <w:p w14:paraId="02B5AB7D" w14:textId="77777777" w:rsidR="00B5345D" w:rsidRPr="00A83026" w:rsidRDefault="00B5345D" w:rsidP="00AC7C67">
            <w:pPr>
              <w:autoSpaceDE w:val="0"/>
              <w:autoSpaceDN w:val="0"/>
              <w:adjustRightInd w:val="0"/>
              <w:spacing w:before="0" w:after="0" w:line="240" w:lineRule="auto"/>
              <w:jc w:val="center"/>
              <w:rPr>
                <w:b/>
                <w:color w:val="FFFFFF" w:themeColor="background1"/>
                <w:sz w:val="20"/>
                <w:szCs w:val="20"/>
              </w:rPr>
            </w:pPr>
            <w:r w:rsidRPr="00A83026">
              <w:rPr>
                <w:b/>
                <w:color w:val="FFFFFF" w:themeColor="background1"/>
                <w:sz w:val="20"/>
                <w:szCs w:val="20"/>
              </w:rPr>
              <w:t>Months 1 to 6</w:t>
            </w:r>
          </w:p>
        </w:tc>
      </w:tr>
      <w:tr w:rsidR="005630A4" w:rsidRPr="00AC7C67" w14:paraId="29EC5ACF" w14:textId="77777777" w:rsidTr="00AC7C67">
        <w:trPr>
          <w:trHeight w:val="253"/>
        </w:trPr>
        <w:tc>
          <w:tcPr>
            <w:tcW w:w="2740" w:type="dxa"/>
          </w:tcPr>
          <w:p w14:paraId="7603A14C" w14:textId="77777777" w:rsidR="005630A4" w:rsidRPr="00AC7C67" w:rsidRDefault="005630A4" w:rsidP="00AC7C67">
            <w:pPr>
              <w:autoSpaceDE w:val="0"/>
              <w:autoSpaceDN w:val="0"/>
              <w:adjustRightInd w:val="0"/>
              <w:spacing w:before="0" w:after="0" w:line="240" w:lineRule="auto"/>
              <w:jc w:val="center"/>
              <w:rPr>
                <w:sz w:val="20"/>
                <w:szCs w:val="20"/>
              </w:rPr>
            </w:pPr>
            <w:r w:rsidRPr="00AC7C67">
              <w:rPr>
                <w:sz w:val="20"/>
                <w:szCs w:val="20"/>
              </w:rPr>
              <w:t>Placebo</w:t>
            </w:r>
          </w:p>
        </w:tc>
        <w:tc>
          <w:tcPr>
            <w:tcW w:w="2741" w:type="dxa"/>
          </w:tcPr>
          <w:p w14:paraId="044FE46A" w14:textId="77777777" w:rsidR="005630A4" w:rsidRPr="00AC7C67" w:rsidRDefault="005630A4" w:rsidP="00AC7C67">
            <w:pPr>
              <w:autoSpaceDE w:val="0"/>
              <w:autoSpaceDN w:val="0"/>
              <w:adjustRightInd w:val="0"/>
              <w:spacing w:before="0" w:after="0" w:line="240" w:lineRule="auto"/>
              <w:jc w:val="center"/>
              <w:rPr>
                <w:sz w:val="20"/>
                <w:szCs w:val="20"/>
              </w:rPr>
            </w:pPr>
            <w:r w:rsidRPr="00AC7C67">
              <w:rPr>
                <w:sz w:val="20"/>
                <w:szCs w:val="20"/>
              </w:rPr>
              <w:t>-2.15</w:t>
            </w:r>
          </w:p>
        </w:tc>
        <w:tc>
          <w:tcPr>
            <w:tcW w:w="2741" w:type="dxa"/>
          </w:tcPr>
          <w:p w14:paraId="07FA571B" w14:textId="77777777" w:rsidR="005630A4" w:rsidRPr="00AC7C67" w:rsidRDefault="005630A4" w:rsidP="00AC7C67">
            <w:pPr>
              <w:autoSpaceDE w:val="0"/>
              <w:autoSpaceDN w:val="0"/>
              <w:adjustRightInd w:val="0"/>
              <w:spacing w:before="0" w:after="0" w:line="240" w:lineRule="auto"/>
              <w:jc w:val="center"/>
              <w:rPr>
                <w:sz w:val="20"/>
                <w:szCs w:val="20"/>
              </w:rPr>
            </w:pPr>
            <w:r w:rsidRPr="00AC7C67">
              <w:rPr>
                <w:sz w:val="20"/>
                <w:szCs w:val="20"/>
              </w:rPr>
              <w:t>-1.85</w:t>
            </w:r>
          </w:p>
        </w:tc>
      </w:tr>
      <w:tr w:rsidR="005630A4" w:rsidRPr="00AC7C67" w14:paraId="66A346E0" w14:textId="77777777" w:rsidTr="00AC7C67">
        <w:trPr>
          <w:trHeight w:val="245"/>
        </w:trPr>
        <w:tc>
          <w:tcPr>
            <w:tcW w:w="2740" w:type="dxa"/>
          </w:tcPr>
          <w:p w14:paraId="6B649349" w14:textId="77777777" w:rsidR="005630A4" w:rsidRPr="00AC7C67" w:rsidRDefault="005630A4" w:rsidP="00AC7C67">
            <w:pPr>
              <w:autoSpaceDE w:val="0"/>
              <w:autoSpaceDN w:val="0"/>
              <w:adjustRightInd w:val="0"/>
              <w:spacing w:before="0" w:after="0" w:line="240" w:lineRule="auto"/>
              <w:jc w:val="center"/>
              <w:rPr>
                <w:sz w:val="20"/>
                <w:szCs w:val="20"/>
              </w:rPr>
            </w:pPr>
            <w:r w:rsidRPr="00AC7C67">
              <w:rPr>
                <w:sz w:val="20"/>
                <w:szCs w:val="20"/>
              </w:rPr>
              <w:t xml:space="preserve">120 mg </w:t>
            </w:r>
            <w:proofErr w:type="spellStart"/>
            <w:r w:rsidR="00AC7C67" w:rsidRPr="00AC7C67">
              <w:rPr>
                <w:sz w:val="20"/>
                <w:szCs w:val="20"/>
              </w:rPr>
              <w:t>galcanezumab</w:t>
            </w:r>
            <w:proofErr w:type="spellEnd"/>
          </w:p>
        </w:tc>
        <w:tc>
          <w:tcPr>
            <w:tcW w:w="2741" w:type="dxa"/>
          </w:tcPr>
          <w:p w14:paraId="0C733A6E" w14:textId="77777777" w:rsidR="005630A4" w:rsidRPr="00AC7C67" w:rsidRDefault="005630A4" w:rsidP="00AC7C67">
            <w:pPr>
              <w:autoSpaceDE w:val="0"/>
              <w:autoSpaceDN w:val="0"/>
              <w:adjustRightInd w:val="0"/>
              <w:spacing w:before="0" w:after="0" w:line="240" w:lineRule="auto"/>
              <w:jc w:val="center"/>
              <w:rPr>
                <w:sz w:val="20"/>
                <w:szCs w:val="20"/>
              </w:rPr>
            </w:pPr>
            <w:r w:rsidRPr="00AC7C67">
              <w:rPr>
                <w:sz w:val="20"/>
                <w:szCs w:val="20"/>
              </w:rPr>
              <w:t>-3.96</w:t>
            </w:r>
            <w:r w:rsidR="00AC7C67" w:rsidRPr="00AC7C67">
              <w:rPr>
                <w:sz w:val="20"/>
                <w:szCs w:val="20"/>
              </w:rPr>
              <w:t>***</w:t>
            </w:r>
          </w:p>
        </w:tc>
        <w:tc>
          <w:tcPr>
            <w:tcW w:w="2741" w:type="dxa"/>
          </w:tcPr>
          <w:p w14:paraId="3B953872" w14:textId="77777777" w:rsidR="005630A4" w:rsidRPr="00AC7C67" w:rsidRDefault="005630A4" w:rsidP="00AC7C67">
            <w:pPr>
              <w:autoSpaceDE w:val="0"/>
              <w:autoSpaceDN w:val="0"/>
              <w:adjustRightInd w:val="0"/>
              <w:spacing w:before="0" w:after="0" w:line="240" w:lineRule="auto"/>
              <w:jc w:val="center"/>
              <w:rPr>
                <w:sz w:val="20"/>
                <w:szCs w:val="20"/>
              </w:rPr>
            </w:pPr>
            <w:r w:rsidRPr="00AC7C67">
              <w:rPr>
                <w:sz w:val="20"/>
                <w:szCs w:val="20"/>
              </w:rPr>
              <w:t>-3.67</w:t>
            </w:r>
            <w:r w:rsidR="00AC7C67" w:rsidRPr="00AC7C67">
              <w:rPr>
                <w:sz w:val="20"/>
                <w:szCs w:val="20"/>
              </w:rPr>
              <w:t>***</w:t>
            </w:r>
          </w:p>
        </w:tc>
      </w:tr>
      <w:tr w:rsidR="005630A4" w:rsidRPr="00AC7C67" w14:paraId="1CC86CEC" w14:textId="77777777" w:rsidTr="00AC7C67">
        <w:trPr>
          <w:trHeight w:val="253"/>
        </w:trPr>
        <w:tc>
          <w:tcPr>
            <w:tcW w:w="2740" w:type="dxa"/>
          </w:tcPr>
          <w:p w14:paraId="20E2FAEF" w14:textId="77777777" w:rsidR="005630A4" w:rsidRPr="00AC7C67" w:rsidRDefault="00AC7C67" w:rsidP="00AC7C67">
            <w:pPr>
              <w:autoSpaceDE w:val="0"/>
              <w:autoSpaceDN w:val="0"/>
              <w:adjustRightInd w:val="0"/>
              <w:spacing w:before="0" w:after="0" w:line="240" w:lineRule="auto"/>
              <w:jc w:val="center"/>
              <w:rPr>
                <w:sz w:val="20"/>
                <w:szCs w:val="20"/>
              </w:rPr>
            </w:pPr>
            <w:r w:rsidRPr="00AC7C67">
              <w:rPr>
                <w:sz w:val="20"/>
                <w:szCs w:val="20"/>
              </w:rPr>
              <w:t xml:space="preserve">240 mg </w:t>
            </w:r>
            <w:proofErr w:type="spellStart"/>
            <w:r w:rsidRPr="00AC7C67">
              <w:rPr>
                <w:sz w:val="20"/>
                <w:szCs w:val="20"/>
              </w:rPr>
              <w:t>galcanezumab</w:t>
            </w:r>
            <w:proofErr w:type="spellEnd"/>
          </w:p>
        </w:tc>
        <w:tc>
          <w:tcPr>
            <w:tcW w:w="2741" w:type="dxa"/>
          </w:tcPr>
          <w:p w14:paraId="3EC16A75" w14:textId="77777777" w:rsidR="005630A4" w:rsidRPr="00AC7C67" w:rsidRDefault="005630A4" w:rsidP="00AC7C67">
            <w:pPr>
              <w:autoSpaceDE w:val="0"/>
              <w:autoSpaceDN w:val="0"/>
              <w:adjustRightInd w:val="0"/>
              <w:spacing w:before="0" w:after="0" w:line="240" w:lineRule="auto"/>
              <w:jc w:val="center"/>
              <w:rPr>
                <w:sz w:val="20"/>
                <w:szCs w:val="20"/>
              </w:rPr>
            </w:pPr>
            <w:r w:rsidRPr="00AC7C67">
              <w:rPr>
                <w:sz w:val="20"/>
                <w:szCs w:val="20"/>
              </w:rPr>
              <w:t>-3.76</w:t>
            </w:r>
            <w:r w:rsidR="00AC7C67" w:rsidRPr="00AC7C67">
              <w:rPr>
                <w:sz w:val="20"/>
                <w:szCs w:val="20"/>
              </w:rPr>
              <w:t>***</w:t>
            </w:r>
          </w:p>
        </w:tc>
        <w:tc>
          <w:tcPr>
            <w:tcW w:w="2741" w:type="dxa"/>
          </w:tcPr>
          <w:p w14:paraId="1D1DD6DC" w14:textId="77777777" w:rsidR="005630A4" w:rsidRPr="00AC7C67" w:rsidRDefault="005630A4" w:rsidP="00AC7C67">
            <w:pPr>
              <w:autoSpaceDE w:val="0"/>
              <w:autoSpaceDN w:val="0"/>
              <w:adjustRightInd w:val="0"/>
              <w:spacing w:before="0" w:after="0" w:line="240" w:lineRule="auto"/>
              <w:jc w:val="center"/>
              <w:rPr>
                <w:sz w:val="20"/>
                <w:szCs w:val="20"/>
              </w:rPr>
            </w:pPr>
            <w:r w:rsidRPr="00AC7C67">
              <w:rPr>
                <w:sz w:val="20"/>
                <w:szCs w:val="20"/>
              </w:rPr>
              <w:t>-3.63</w:t>
            </w:r>
            <w:r w:rsidR="00AC7C67" w:rsidRPr="00AC7C67">
              <w:rPr>
                <w:sz w:val="20"/>
                <w:szCs w:val="20"/>
              </w:rPr>
              <w:t>***</w:t>
            </w:r>
          </w:p>
        </w:tc>
      </w:tr>
    </w:tbl>
    <w:p w14:paraId="500759A6" w14:textId="77777777" w:rsidR="005630A4" w:rsidRDefault="00AC7C67" w:rsidP="00AC7C67">
      <w:pPr>
        <w:pStyle w:val="TableDescription"/>
      </w:pPr>
      <w:r>
        <w:t>***p &lt; 0.001 compared to placebo</w:t>
      </w:r>
    </w:p>
    <w:p w14:paraId="45070CD2" w14:textId="59F06223" w:rsidR="005630A4" w:rsidRPr="00663C5B" w:rsidRDefault="005630A4" w:rsidP="00663C5B">
      <w:r w:rsidRPr="00663C5B">
        <w:t xml:space="preserve">The change </w:t>
      </w:r>
      <w:r w:rsidR="00D80561">
        <w:t>from Baseline</w:t>
      </w:r>
      <w:r w:rsidRPr="00663C5B">
        <w:t xml:space="preserve"> in MSQ Role Function-Restrictive (assessed over the final 3</w:t>
      </w:r>
      <w:r w:rsidR="00B271C9">
        <w:t> </w:t>
      </w:r>
      <w:r w:rsidRPr="00663C5B">
        <w:t>months) was positive in all treatment groups across the two studies, including placebo groups, but the improvement was greater in all active groups, with no apparent dose trend</w:t>
      </w:r>
      <w:r w:rsidR="0007206D" w:rsidRPr="00663C5B">
        <w:t>.</w:t>
      </w:r>
    </w:p>
    <w:p w14:paraId="3A83B41F" w14:textId="77777777" w:rsidR="005630A4" w:rsidRDefault="005630A4" w:rsidP="00663C5B">
      <w:pPr>
        <w:pStyle w:val="Heading5"/>
      </w:pPr>
      <w:r>
        <w:t>Pooled analysis of Studies CGAG and CGAH</w:t>
      </w:r>
    </w:p>
    <w:p w14:paraId="69A1EF50" w14:textId="77777777" w:rsidR="0007206D" w:rsidRPr="00663C5B" w:rsidRDefault="005630A4" w:rsidP="005630A4">
      <w:r w:rsidRPr="00663C5B">
        <w:t>Pooling of the two studies increased the statistical power of the comparisons with placebo, and provided an overall estimate of the treatment effect averaged across the two studies, but did not change conclusions drawn from considering each study individually</w:t>
      </w:r>
      <w:r w:rsidR="0007206D" w:rsidRPr="00663C5B">
        <w:t>.</w:t>
      </w:r>
    </w:p>
    <w:p w14:paraId="0466B90A" w14:textId="614F9C51" w:rsidR="005630A4" w:rsidRDefault="007F1E71" w:rsidP="007F1E71">
      <w:pPr>
        <w:pStyle w:val="FigureTitle"/>
      </w:pPr>
      <w:bookmarkStart w:id="227" w:name="_Toc536533367"/>
      <w:r>
        <w:lastRenderedPageBreak/>
        <w:t xml:space="preserve">Figure </w:t>
      </w:r>
      <w:fldSimple w:instr=" SEQ Figure \* ARABIC ">
        <w:r>
          <w:rPr>
            <w:noProof/>
          </w:rPr>
          <w:t>7</w:t>
        </w:r>
      </w:fldSimple>
      <w:r w:rsidR="00663C5B">
        <w:t>:</w:t>
      </w:r>
      <w:r w:rsidR="005630A4">
        <w:t xml:space="preserve"> Change from </w:t>
      </w:r>
      <w:r w:rsidR="00B271C9">
        <w:t xml:space="preserve">Baseline </w:t>
      </w:r>
      <w:r w:rsidR="005630A4">
        <w:t xml:space="preserve">in the number of </w:t>
      </w:r>
      <w:r w:rsidR="00713B7C">
        <w:t>MHD</w:t>
      </w:r>
      <w:r w:rsidR="00663C5B">
        <w:t xml:space="preserve"> by month for the double </w:t>
      </w:r>
      <w:r w:rsidR="005630A4">
        <w:t>blind treatment periods of Studies CGAG and CGAH (Episodic Integrated Analysis Set)</w:t>
      </w:r>
      <w:bookmarkEnd w:id="227"/>
    </w:p>
    <w:p w14:paraId="73D57A77" w14:textId="77777777" w:rsidR="005630A4" w:rsidRPr="0022742E" w:rsidRDefault="005630A4" w:rsidP="005630A4">
      <w:pPr>
        <w:rPr>
          <w:lang w:eastAsia="ja-JP"/>
        </w:rPr>
      </w:pPr>
      <w:r>
        <w:rPr>
          <w:noProof/>
          <w:lang w:eastAsia="en-AU"/>
        </w:rPr>
        <w:drawing>
          <wp:inline distT="0" distB="0" distL="0" distR="0" wp14:anchorId="145704E3" wp14:editId="69632259">
            <wp:extent cx="5265336" cy="2549193"/>
            <wp:effectExtent l="0" t="0" r="0" b="3810"/>
            <wp:docPr id="39" name="Picture 39" descr="Change from baseline in the number of migraine headache days by month for the double blind treatment periods of Studies CGAG and CGAH (Episodic Integrat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8461" cy="2550706"/>
                    </a:xfrm>
                    <a:prstGeom prst="rect">
                      <a:avLst/>
                    </a:prstGeom>
                    <a:noFill/>
                    <a:ln>
                      <a:noFill/>
                    </a:ln>
                  </pic:spPr>
                </pic:pic>
              </a:graphicData>
            </a:graphic>
          </wp:inline>
        </w:drawing>
      </w:r>
    </w:p>
    <w:p w14:paraId="5FC80C28" w14:textId="77777777" w:rsidR="005630A4" w:rsidRPr="00663C5B" w:rsidRDefault="005630A4" w:rsidP="00663C5B">
      <w:r w:rsidRPr="00663C5B">
        <w:t>Pooled dataset was also used to compare efficacy in pre-defined subgroups but did not raise any substantial concerns about poor efficacy in any identifiable subgroup.</w:t>
      </w:r>
    </w:p>
    <w:p w14:paraId="18874E26" w14:textId="3C7CD9DC" w:rsidR="005630A4" w:rsidRDefault="005630A4" w:rsidP="00381BAF">
      <w:pPr>
        <w:pStyle w:val="Heading5"/>
      </w:pPr>
      <w:r>
        <w:t xml:space="preserve">Chronic </w:t>
      </w:r>
      <w:r w:rsidR="00BB02D9">
        <w:t>m</w:t>
      </w:r>
      <w:r>
        <w:t>igraine (Study CGAI)</w:t>
      </w:r>
    </w:p>
    <w:p w14:paraId="19CDC5B3" w14:textId="77777777" w:rsidR="005630A4" w:rsidRPr="00663C5B" w:rsidRDefault="005630A4" w:rsidP="00663C5B">
      <w:r w:rsidRPr="00663C5B">
        <w:t xml:space="preserve">Study CGAI was a </w:t>
      </w:r>
      <w:r w:rsidR="00663C5B">
        <w:t xml:space="preserve">multicentre, randomised, double blind, placebo </w:t>
      </w:r>
      <w:r w:rsidRPr="00663C5B">
        <w:t xml:space="preserve">controlled design to compare the efficacy of </w:t>
      </w:r>
      <w:proofErr w:type="spellStart"/>
      <w:r w:rsidRPr="00663C5B">
        <w:t>galcanezu</w:t>
      </w:r>
      <w:r w:rsidR="00663C5B">
        <w:t>mab</w:t>
      </w:r>
      <w:proofErr w:type="spellEnd"/>
      <w:r w:rsidR="00663C5B">
        <w:t xml:space="preserve"> at two different doses (120 mg/month with a 240 mg loading dose, or 240 </w:t>
      </w:r>
      <w:r w:rsidRPr="00663C5B">
        <w:t>mg/month) with placebo, in the prevention of chronic migraine. The study was conducted in 12 countries: Argentina, Canada, Czech Republic, Germany, Israel, Italy, Mexico, Netherlands, Spain, Taiwan, UK, and US.</w:t>
      </w:r>
    </w:p>
    <w:p w14:paraId="062618DB" w14:textId="77777777" w:rsidR="005630A4" w:rsidRPr="00663C5B" w:rsidRDefault="005630A4" w:rsidP="00663C5B">
      <w:r w:rsidRPr="00663C5B">
        <w:t xml:space="preserve">It shared many design features with the two pivotal studies in episodic migraine, including the main efficacy variables, the primary and secondary endpoints, and the statistical approach. The primary efficacy variable was the change in the number of </w:t>
      </w:r>
      <w:r w:rsidR="00663C5B">
        <w:t>MHD</w:t>
      </w:r>
      <w:r w:rsidRPr="00663C5B">
        <w:t xml:space="preserve"> per month similar to </w:t>
      </w:r>
      <w:r w:rsidR="00663C5B">
        <w:t>episodic migraine</w:t>
      </w:r>
      <w:r w:rsidRPr="00663C5B">
        <w:t xml:space="preserve"> studies, over the entire </w:t>
      </w:r>
      <w:r w:rsidR="00663C5B">
        <w:t>double blind</w:t>
      </w:r>
      <w:r w:rsidRPr="00663C5B">
        <w:t xml:space="preserve"> treatment period, compared to a pr</w:t>
      </w:r>
      <w:r w:rsidR="00663C5B">
        <w:t xml:space="preserve">ospective baseline period of 30 to </w:t>
      </w:r>
      <w:r w:rsidRPr="00663C5B">
        <w:t>40 days.</w:t>
      </w:r>
    </w:p>
    <w:p w14:paraId="7E943F34" w14:textId="3C9BA2A2" w:rsidR="005630A4" w:rsidRPr="00663C5B" w:rsidRDefault="005630A4" w:rsidP="00663C5B">
      <w:r w:rsidRPr="00663C5B">
        <w:t>Study CGAI differed from the episodic migraine studies in its duration</w:t>
      </w:r>
      <w:r w:rsidR="00663C5B">
        <w:t xml:space="preserve">, with only 3 months of double </w:t>
      </w:r>
      <w:r w:rsidRPr="00663C5B">
        <w:t>blind treatment, and in its entry criteria, in that s</w:t>
      </w:r>
      <w:r w:rsidR="006F1789">
        <w:t>ubjects required 15 or more MHD</w:t>
      </w:r>
      <w:r w:rsidRPr="00663C5B">
        <w:t xml:space="preserve"> per month </w:t>
      </w:r>
      <w:r w:rsidR="00D80561">
        <w:t>at Baseline</w:t>
      </w:r>
      <w:r w:rsidRPr="00663C5B">
        <w:t xml:space="preserve"> to be eligible (consistent with a diagnosis of chronic rather than</w:t>
      </w:r>
      <w:r w:rsidR="00663C5B">
        <w:t xml:space="preserve"> episodic migraine). The double </w:t>
      </w:r>
      <w:r w:rsidRPr="00663C5B">
        <w:t>blind trea</w:t>
      </w:r>
      <w:r w:rsidR="00663C5B">
        <w:t xml:space="preserve">tment phase was followed by a </w:t>
      </w:r>
      <w:proofErr w:type="gramStart"/>
      <w:r w:rsidR="00663C5B">
        <w:t>9</w:t>
      </w:r>
      <w:r w:rsidR="007C2EFE">
        <w:t> </w:t>
      </w:r>
      <w:r w:rsidR="00663C5B">
        <w:t>month</w:t>
      </w:r>
      <w:proofErr w:type="gramEnd"/>
      <w:r w:rsidR="00663C5B">
        <w:t xml:space="preserve"> open </w:t>
      </w:r>
      <w:r w:rsidRPr="00663C5B">
        <w:t xml:space="preserve">label phase, during which former placebo recipients and all previous </w:t>
      </w:r>
      <w:proofErr w:type="spellStart"/>
      <w:r w:rsidRPr="00663C5B">
        <w:t>galcanezumab</w:t>
      </w:r>
      <w:proofErr w:type="spellEnd"/>
      <w:r w:rsidRPr="00663C5B">
        <w:t xml:space="preserve"> recipients received monthly </w:t>
      </w:r>
      <w:proofErr w:type="spellStart"/>
      <w:r w:rsidRPr="00663C5B">
        <w:t>galcanezumab</w:t>
      </w:r>
      <w:proofErr w:type="spellEnd"/>
      <w:r w:rsidRPr="00663C5B">
        <w:t xml:space="preserve"> at variable doses (240</w:t>
      </w:r>
      <w:r w:rsidR="00663C5B">
        <w:t> mg for the first dose, 120 </w:t>
      </w:r>
      <w:r w:rsidRPr="00663C5B">
        <w:t>mg for the second dose, and either dose for subsequent cycles). This</w:t>
      </w:r>
      <w:r w:rsidR="007C2EFE">
        <w:t xml:space="preserve"> phase produced additional long </w:t>
      </w:r>
      <w:r w:rsidRPr="00663C5B">
        <w:t xml:space="preserve">term safety data, but it provides only weak supportive evidence for efficacy, given its </w:t>
      </w:r>
      <w:r w:rsidR="007C2EFE">
        <w:t xml:space="preserve">open </w:t>
      </w:r>
      <w:r w:rsidRPr="00663C5B">
        <w:t>label nature and the lack of a control group.</w:t>
      </w:r>
    </w:p>
    <w:p w14:paraId="1849B032" w14:textId="63FDE33A" w:rsidR="0007206D" w:rsidRDefault="007C2EFE" w:rsidP="00663C5B">
      <w:r>
        <w:t xml:space="preserve">After a </w:t>
      </w:r>
      <w:proofErr w:type="gramStart"/>
      <w:r>
        <w:t>one </w:t>
      </w:r>
      <w:r w:rsidR="005630A4" w:rsidRPr="00663C5B">
        <w:t>month</w:t>
      </w:r>
      <w:proofErr w:type="gramEnd"/>
      <w:r w:rsidR="005630A4" w:rsidRPr="00663C5B">
        <w:t xml:space="preserve"> baseline period, eligible subjects were randomized in a 1:1:1 rat</w:t>
      </w:r>
      <w:r>
        <w:t xml:space="preserve">io to placebo, </w:t>
      </w:r>
      <w:proofErr w:type="spellStart"/>
      <w:r>
        <w:t>galcanezumab</w:t>
      </w:r>
      <w:proofErr w:type="spellEnd"/>
      <w:r>
        <w:t xml:space="preserve"> 120 </w:t>
      </w:r>
      <w:r w:rsidR="005630A4" w:rsidRPr="00663C5B">
        <w:t>mg</w:t>
      </w:r>
      <w:r>
        <w:t xml:space="preserve"> SC monthly with an initial 240 </w:t>
      </w:r>
      <w:r w:rsidR="005630A4" w:rsidRPr="00663C5B">
        <w:t>m</w:t>
      </w:r>
      <w:r>
        <w:t xml:space="preserve">g bolus, or </w:t>
      </w:r>
      <w:proofErr w:type="spellStart"/>
      <w:r>
        <w:t>galcanezumab</w:t>
      </w:r>
      <w:proofErr w:type="spellEnd"/>
      <w:r>
        <w:t xml:space="preserve"> 240 mg SC once </w:t>
      </w:r>
      <w:r w:rsidR="005630A4" w:rsidRPr="00663C5B">
        <w:t>monthly. Af</w:t>
      </w:r>
      <w:r>
        <w:t xml:space="preserve">ter participation in the double </w:t>
      </w:r>
      <w:r w:rsidR="005630A4" w:rsidRPr="00663C5B">
        <w:t>blind portion of the trial, patient</w:t>
      </w:r>
      <w:r>
        <w:t xml:space="preserve">s were offered enrolment in a </w:t>
      </w:r>
      <w:proofErr w:type="gramStart"/>
      <w:r>
        <w:t>9 month</w:t>
      </w:r>
      <w:proofErr w:type="gramEnd"/>
      <w:r>
        <w:t xml:space="preserve"> open label (flexible </w:t>
      </w:r>
      <w:r w:rsidR="005630A4" w:rsidRPr="00663C5B">
        <w:t xml:space="preserve">dose) safety </w:t>
      </w:r>
      <w:r>
        <w:t>study (</w:t>
      </w:r>
      <w:r w:rsidR="00B271C9">
        <w:t xml:space="preserve">Study </w:t>
      </w:r>
      <w:r>
        <w:t xml:space="preserve">CGAJ) or a 4 month safety follow </w:t>
      </w:r>
      <w:r w:rsidR="005630A4" w:rsidRPr="00663C5B">
        <w:t>up period (off study medication). During the flexible</w:t>
      </w:r>
      <w:r>
        <w:t xml:space="preserve"> dose portion of the open </w:t>
      </w:r>
      <w:r w:rsidR="005630A4" w:rsidRPr="00663C5B">
        <w:t>label safety study, investigators cou</w:t>
      </w:r>
      <w:r>
        <w:t>ld select a monthly dose of 120 mg or 240 </w:t>
      </w:r>
      <w:r w:rsidR="005630A4" w:rsidRPr="00663C5B">
        <w:t>mg at their discretion, bu</w:t>
      </w:r>
      <w:r>
        <w:t xml:space="preserve">t all patients received the 240 </w:t>
      </w:r>
      <w:r w:rsidR="005630A4" w:rsidRPr="00663C5B">
        <w:t>mg bolus as the initial dose</w:t>
      </w:r>
      <w:r w:rsidR="0007206D" w:rsidRPr="00663C5B">
        <w:t>.</w:t>
      </w:r>
    </w:p>
    <w:p w14:paraId="5DF91CD8" w14:textId="77777777" w:rsidR="00880C40" w:rsidRPr="00663C5B" w:rsidRDefault="00880C40" w:rsidP="00381BAF">
      <w:pPr>
        <w:pStyle w:val="Heading6"/>
      </w:pPr>
      <w:r>
        <w:lastRenderedPageBreak/>
        <w:t>Study endpoints</w:t>
      </w:r>
    </w:p>
    <w:p w14:paraId="38D46A87" w14:textId="77777777" w:rsidR="0007206D" w:rsidRDefault="005630A4" w:rsidP="00663C5B">
      <w:r>
        <w:t xml:space="preserve">The primary endpoint and key secondary endpoints were identical to those in the episodic migraine trials, except that evaluations for </w:t>
      </w:r>
      <w:r w:rsidR="007C2EFE">
        <w:t xml:space="preserve">this trial were done over the </w:t>
      </w:r>
      <w:proofErr w:type="gramStart"/>
      <w:r w:rsidR="007C2EFE">
        <w:t>3 month</w:t>
      </w:r>
      <w:proofErr w:type="gramEnd"/>
      <w:r w:rsidR="007C2EFE">
        <w:t xml:space="preserve"> double </w:t>
      </w:r>
      <w:r>
        <w:t>blind treatment</w:t>
      </w:r>
      <w:r w:rsidR="007C2EFE">
        <w:t xml:space="preserve"> period, rather than over the 6 month double </w:t>
      </w:r>
      <w:r>
        <w:t>blind treatment period of the episodic migraine trials</w:t>
      </w:r>
      <w:r w:rsidR="0007206D">
        <w:t>.</w:t>
      </w:r>
    </w:p>
    <w:p w14:paraId="480791A3" w14:textId="77777777" w:rsidR="0007206D" w:rsidRDefault="005630A4" w:rsidP="00663C5B">
      <w:r>
        <w:t>Key endpoints in the chronic migraine trial were as follows</w:t>
      </w:r>
      <w:r w:rsidR="0007206D">
        <w:t>:</w:t>
      </w:r>
    </w:p>
    <w:p w14:paraId="656AF6D3" w14:textId="25EAFD41" w:rsidR="0057105C" w:rsidRPr="00663C5B" w:rsidRDefault="00663C5B" w:rsidP="00572B43">
      <w:pPr>
        <w:pStyle w:val="Numberbullet0"/>
        <w:numPr>
          <w:ilvl w:val="0"/>
          <w:numId w:val="46"/>
        </w:numPr>
      </w:pPr>
      <w:r w:rsidRPr="00663C5B">
        <w:t>Change</w:t>
      </w:r>
      <w:r w:rsidR="005630A4" w:rsidRPr="00663C5B">
        <w:t xml:space="preserve"> from </w:t>
      </w:r>
      <w:r w:rsidR="00B271C9">
        <w:t xml:space="preserve">Baseline </w:t>
      </w:r>
      <w:r>
        <w:t>in monthly average MHD.</w:t>
      </w:r>
    </w:p>
    <w:p w14:paraId="538BE9F9" w14:textId="08D37321" w:rsidR="0057105C" w:rsidRPr="00663C5B" w:rsidRDefault="00663C5B" w:rsidP="00572B43">
      <w:pPr>
        <w:pStyle w:val="Numberbullet0"/>
        <w:numPr>
          <w:ilvl w:val="0"/>
          <w:numId w:val="46"/>
        </w:numPr>
      </w:pPr>
      <w:r w:rsidRPr="00663C5B">
        <w:t>The</w:t>
      </w:r>
      <w:r w:rsidR="005630A4" w:rsidRPr="00663C5B">
        <w:t xml:space="preserve"> proportion of patients with ≥</w:t>
      </w:r>
      <w:r>
        <w:t xml:space="preserve"> </w:t>
      </w:r>
      <w:r w:rsidR="005630A4" w:rsidRPr="00663C5B">
        <w:t>50% reducti</w:t>
      </w:r>
      <w:r>
        <w:t xml:space="preserve">on from </w:t>
      </w:r>
      <w:r w:rsidR="00B271C9">
        <w:t xml:space="preserve">Baseline </w:t>
      </w:r>
      <w:r>
        <w:t>in monthly MHD.</w:t>
      </w:r>
    </w:p>
    <w:p w14:paraId="399BCFD2" w14:textId="68897EF2" w:rsidR="0057105C" w:rsidRPr="00663C5B" w:rsidRDefault="00663C5B" w:rsidP="00572B43">
      <w:pPr>
        <w:pStyle w:val="Numberbullet0"/>
        <w:numPr>
          <w:ilvl w:val="0"/>
          <w:numId w:val="46"/>
        </w:numPr>
      </w:pPr>
      <w:r w:rsidRPr="00663C5B">
        <w:t>The</w:t>
      </w:r>
      <w:r w:rsidR="005630A4" w:rsidRPr="00663C5B">
        <w:t xml:space="preserve"> proportion of patients with ≥</w:t>
      </w:r>
      <w:r>
        <w:t xml:space="preserve"> </w:t>
      </w:r>
      <w:r w:rsidR="005630A4" w:rsidRPr="00663C5B">
        <w:t xml:space="preserve">75% reduction from </w:t>
      </w:r>
      <w:r w:rsidR="00B271C9">
        <w:t>B</w:t>
      </w:r>
      <w:r w:rsidR="00B271C9" w:rsidRPr="00663C5B">
        <w:t>aseli</w:t>
      </w:r>
      <w:r w:rsidR="00B271C9">
        <w:t xml:space="preserve">ne </w:t>
      </w:r>
      <w:r>
        <w:t>in monthly MHD.</w:t>
      </w:r>
    </w:p>
    <w:p w14:paraId="29808761" w14:textId="62AC1961" w:rsidR="0057105C" w:rsidRPr="00663C5B" w:rsidRDefault="00663C5B" w:rsidP="00572B43">
      <w:pPr>
        <w:pStyle w:val="Numberbullet0"/>
        <w:numPr>
          <w:ilvl w:val="0"/>
          <w:numId w:val="46"/>
        </w:numPr>
      </w:pPr>
      <w:r w:rsidRPr="00663C5B">
        <w:t>The</w:t>
      </w:r>
      <w:r w:rsidR="005630A4" w:rsidRPr="00663C5B">
        <w:t xml:space="preserve"> mean change from </w:t>
      </w:r>
      <w:r w:rsidR="00B271C9">
        <w:t>B</w:t>
      </w:r>
      <w:r w:rsidR="00B271C9" w:rsidRPr="00663C5B">
        <w:t xml:space="preserve">aseline </w:t>
      </w:r>
      <w:r w:rsidR="005630A4" w:rsidRPr="00663C5B">
        <w:t xml:space="preserve">in monthly </w:t>
      </w:r>
      <w:r w:rsidR="00713B7C">
        <w:t>MHD</w:t>
      </w:r>
      <w:r w:rsidR="005630A4" w:rsidRPr="00663C5B">
        <w:t xml:space="preserve"> with </w:t>
      </w:r>
      <w:r>
        <w:t>acute migraine medication taken.</w:t>
      </w:r>
    </w:p>
    <w:p w14:paraId="42D650C8" w14:textId="19878509" w:rsidR="0057105C" w:rsidRPr="00663C5B" w:rsidRDefault="00663C5B" w:rsidP="00572B43">
      <w:pPr>
        <w:pStyle w:val="Numberbullet0"/>
        <w:numPr>
          <w:ilvl w:val="0"/>
          <w:numId w:val="46"/>
        </w:numPr>
      </w:pPr>
      <w:r w:rsidRPr="00663C5B">
        <w:t>The</w:t>
      </w:r>
      <w:r w:rsidR="005630A4" w:rsidRPr="00663C5B">
        <w:t xml:space="preserve"> mean change from </w:t>
      </w:r>
      <w:r w:rsidR="00B271C9">
        <w:t>B</w:t>
      </w:r>
      <w:r w:rsidR="00B271C9" w:rsidRPr="00663C5B">
        <w:t xml:space="preserve">aseline </w:t>
      </w:r>
      <w:r w:rsidR="005630A4" w:rsidRPr="00663C5B">
        <w:t>in the Role Function-Restr</w:t>
      </w:r>
      <w:r>
        <w:t>ictive domain scores of the MSQ.</w:t>
      </w:r>
    </w:p>
    <w:p w14:paraId="32E5D981" w14:textId="77FE18BC" w:rsidR="0057105C" w:rsidRPr="00663C5B" w:rsidRDefault="00663C5B" w:rsidP="00572B43">
      <w:pPr>
        <w:pStyle w:val="Numberbullet0"/>
        <w:numPr>
          <w:ilvl w:val="0"/>
          <w:numId w:val="46"/>
        </w:numPr>
      </w:pPr>
      <w:r>
        <w:t>T</w:t>
      </w:r>
      <w:r w:rsidR="005630A4" w:rsidRPr="00663C5B">
        <w:t xml:space="preserve">he mean change from </w:t>
      </w:r>
      <w:r w:rsidR="00B271C9">
        <w:t>B</w:t>
      </w:r>
      <w:r w:rsidR="00B271C9" w:rsidRPr="00663C5B">
        <w:t xml:space="preserve">aseline </w:t>
      </w:r>
      <w:r w:rsidR="005630A4" w:rsidRPr="00663C5B">
        <w:t>in the PGI-S sco</w:t>
      </w:r>
      <w:r>
        <w:t>re.</w:t>
      </w:r>
    </w:p>
    <w:p w14:paraId="36D60354" w14:textId="366CB3C1" w:rsidR="005630A4" w:rsidRPr="00663C5B" w:rsidRDefault="00663C5B" w:rsidP="00572B43">
      <w:pPr>
        <w:pStyle w:val="Numberbullet0"/>
        <w:numPr>
          <w:ilvl w:val="0"/>
          <w:numId w:val="46"/>
        </w:numPr>
      </w:pPr>
      <w:r>
        <w:t>T</w:t>
      </w:r>
      <w:r w:rsidR="005630A4" w:rsidRPr="00663C5B">
        <w:t xml:space="preserve">he proportion of patients with 100% reduction from </w:t>
      </w:r>
      <w:r w:rsidR="00B271C9">
        <w:t>B</w:t>
      </w:r>
      <w:r w:rsidR="00B271C9" w:rsidRPr="00663C5B">
        <w:t xml:space="preserve">aseline </w:t>
      </w:r>
      <w:r w:rsidR="005630A4" w:rsidRPr="00663C5B">
        <w:t>in monthly MHD.</w:t>
      </w:r>
    </w:p>
    <w:p w14:paraId="4B4A82B5" w14:textId="77777777" w:rsidR="005630A4" w:rsidRPr="007C2EFE" w:rsidRDefault="005630A4" w:rsidP="007C2EFE">
      <w:r w:rsidRPr="007C2EFE">
        <w:t xml:space="preserve">The </w:t>
      </w:r>
      <w:r w:rsidR="007C2EFE">
        <w:t xml:space="preserve">pre </w:t>
      </w:r>
      <w:r w:rsidRPr="007C2EFE">
        <w:t>specified multiple testing procedure</w:t>
      </w:r>
      <w:r w:rsidR="007C2EFE">
        <w:t xml:space="preserve"> for controlling type </w:t>
      </w:r>
      <w:r w:rsidRPr="007C2EFE">
        <w:t>1 error was slightly different in the chronic migraine study than in the episodic migraine studies.</w:t>
      </w:r>
    </w:p>
    <w:p w14:paraId="048547C1" w14:textId="7E03AF02" w:rsidR="005630A4" w:rsidRPr="007C2EFE" w:rsidRDefault="005630A4" w:rsidP="007C2EFE">
      <w:r w:rsidRPr="007C2EFE">
        <w:t>A total of 1</w:t>
      </w:r>
      <w:r w:rsidR="00D25495">
        <w:t>,</w:t>
      </w:r>
      <w:r w:rsidRPr="007C2EFE">
        <w:t xml:space="preserve">113 randomised patients received at least one dose of study drug and were included in the </w:t>
      </w:r>
      <w:r w:rsidR="007C2EFE">
        <w:t>intention to treat</w:t>
      </w:r>
      <w:r w:rsidRPr="007C2EFE">
        <w:t xml:space="preserve"> population, including 558 patients who received placebo, 278 patient</w:t>
      </w:r>
      <w:r w:rsidR="007C2EFE">
        <w:t xml:space="preserve">s who received </w:t>
      </w:r>
      <w:proofErr w:type="spellStart"/>
      <w:r w:rsidR="007C2EFE">
        <w:t>galcanezumab</w:t>
      </w:r>
      <w:proofErr w:type="spellEnd"/>
      <w:r w:rsidR="007C2EFE">
        <w:t xml:space="preserve"> 120 </w:t>
      </w:r>
      <w:r w:rsidRPr="007C2EFE">
        <w:t>mg, and 277 patient</w:t>
      </w:r>
      <w:r w:rsidR="007C2EFE">
        <w:t xml:space="preserve">s who received </w:t>
      </w:r>
      <w:proofErr w:type="spellStart"/>
      <w:r w:rsidR="007C2EFE">
        <w:t>galcanezumab</w:t>
      </w:r>
      <w:proofErr w:type="spellEnd"/>
      <w:r w:rsidR="007C2EFE">
        <w:t xml:space="preserve"> 240 </w:t>
      </w:r>
      <w:r w:rsidRPr="007C2EFE">
        <w:t xml:space="preserve">mg. There was no excess of adverse events in the active groups; combined with the overall high completion rate, this makes it relatively unlikely that the study suffered from withdrawal bias as rightly pointed out by clinical evaluator. Overall, 18.2% of subjects had a violation </w:t>
      </w:r>
      <w:r w:rsidR="00B22E42" w:rsidRPr="007C2EFE">
        <w:t>the sponsor</w:t>
      </w:r>
      <w:r w:rsidRPr="007C2EFE">
        <w:t xml:space="preserve"> classified as </w:t>
      </w:r>
      <w:r w:rsidR="00B271C9">
        <w:t>‘</w:t>
      </w:r>
      <w:r w:rsidRPr="007C2EFE">
        <w:t>important</w:t>
      </w:r>
      <w:r w:rsidR="00B271C9">
        <w:t>’</w:t>
      </w:r>
      <w:r w:rsidRPr="007C2EFE">
        <w:t>, but only in 7 cases did this lea</w:t>
      </w:r>
      <w:r w:rsidR="007C2EFE">
        <w:t xml:space="preserve">d to withdrawal from the double </w:t>
      </w:r>
      <w:r w:rsidRPr="007C2EFE">
        <w:t>blind treatment phase.</w:t>
      </w:r>
    </w:p>
    <w:p w14:paraId="081E5D1B" w14:textId="540B6CFD" w:rsidR="0007206D" w:rsidRPr="007C2EFE" w:rsidRDefault="005630A4" w:rsidP="007C2EFE">
      <w:r w:rsidRPr="007C2EFE">
        <w:t xml:space="preserve">Similar to </w:t>
      </w:r>
      <w:r w:rsidR="007C2EFE">
        <w:t>episodic migraine</w:t>
      </w:r>
      <w:r w:rsidRPr="007C2EFE">
        <w:t xml:space="preserve"> studies, baseline demographics and disease characteristics were broadly matching between the treatment groups with a s</w:t>
      </w:r>
      <w:r w:rsidR="006F1789">
        <w:t>imilar number of MHD</w:t>
      </w:r>
      <w:r w:rsidR="007C2EFE">
        <w:t xml:space="preserve">, headache </w:t>
      </w:r>
      <w:r w:rsidRPr="007C2EFE">
        <w:t xml:space="preserve">days and migraine attacks at </w:t>
      </w:r>
      <w:r w:rsidR="00D80561">
        <w:t>B</w:t>
      </w:r>
      <w:r w:rsidR="00D80561" w:rsidRPr="007C2EFE">
        <w:t>aseline</w:t>
      </w:r>
      <w:r w:rsidRPr="007C2EFE">
        <w:t>, and a similar proportion of patients using c</w:t>
      </w:r>
      <w:r w:rsidR="007C2EFE">
        <w:t>oncurrent migraine prophylaxis.</w:t>
      </w:r>
      <w:r w:rsidRPr="007C2EFE">
        <w:t xml:space="preserve"> None of differences seems to have likely biased the study in favour of active treatment</w:t>
      </w:r>
      <w:r w:rsidR="0007206D" w:rsidRPr="007C2EFE">
        <w:t>.</w:t>
      </w:r>
    </w:p>
    <w:p w14:paraId="0FE68BCF" w14:textId="77777777" w:rsidR="005630A4" w:rsidRDefault="005630A4" w:rsidP="00381BAF">
      <w:pPr>
        <w:pStyle w:val="Heading6"/>
      </w:pPr>
      <w:r w:rsidRPr="002D36B5">
        <w:t>Results</w:t>
      </w:r>
    </w:p>
    <w:p w14:paraId="1A8E441E" w14:textId="77777777" w:rsidR="0007206D" w:rsidRDefault="005630A4" w:rsidP="007C2EFE">
      <w:r>
        <w:t>Study CGAI was a positive study, achieving a statistically significant treatment effect for its primary efficacy endpoint for both active doses, relative to placebo. The mean reductions in MHD</w:t>
      </w:r>
      <w:r w:rsidR="007C2EFE">
        <w:t xml:space="preserve"> across the 3 months of double </w:t>
      </w:r>
      <w:r>
        <w:t>blind treatment were -2.74 for plac</w:t>
      </w:r>
      <w:r w:rsidR="007C2EFE">
        <w:t xml:space="preserve">ebo, -4.83 for </w:t>
      </w:r>
      <w:proofErr w:type="spellStart"/>
      <w:r w:rsidR="007C2EFE">
        <w:t>galcanezumab</w:t>
      </w:r>
      <w:proofErr w:type="spellEnd"/>
      <w:r w:rsidR="007C2EFE">
        <w:t xml:space="preserve"> 120 </w:t>
      </w:r>
      <w:r>
        <w:t>mg</w:t>
      </w:r>
      <w:r w:rsidR="007C2EFE">
        <w:t xml:space="preserve"> and -4.62 for </w:t>
      </w:r>
      <w:proofErr w:type="spellStart"/>
      <w:r w:rsidR="007C2EFE">
        <w:t>galcanezumab</w:t>
      </w:r>
      <w:proofErr w:type="spellEnd"/>
      <w:r w:rsidR="007C2EFE">
        <w:t xml:space="preserve"> 240 mg. The Delegate </w:t>
      </w:r>
      <w:r>
        <w:t>agree</w:t>
      </w:r>
      <w:r w:rsidR="007C2EFE">
        <w:t>s</w:t>
      </w:r>
      <w:r>
        <w:t xml:space="preserve"> with clinical evaluator that the clinical value of two </w:t>
      </w:r>
      <w:proofErr w:type="gramStart"/>
      <w:r>
        <w:t>days</w:t>
      </w:r>
      <w:proofErr w:type="gramEnd"/>
      <w:r>
        <w:t xml:space="preserve"> improvement could be debated, </w:t>
      </w:r>
      <w:r w:rsidR="006F1789">
        <w:t>as it is (at best) only two MHD</w:t>
      </w:r>
      <w:r>
        <w:t xml:space="preserve"> fro</w:t>
      </w:r>
      <w:r w:rsidR="006F1789">
        <w:t>m a baseline of at least 15 MHD, leaving 13 MHD</w:t>
      </w:r>
      <w:r>
        <w:t xml:space="preserve"> per month, </w:t>
      </w:r>
      <w:r w:rsidRPr="007C2EFE">
        <w:t>though some patients could consider this worthwhile</w:t>
      </w:r>
      <w:r>
        <w:t xml:space="preserve">. For </w:t>
      </w:r>
      <w:r w:rsidR="007C2EFE">
        <w:t xml:space="preserve">patients with very few migraine </w:t>
      </w:r>
      <w:r>
        <w:t>free days per month, two extra days without headache could be considered very worthwhile, as these might be days on which the subject could enga</w:t>
      </w:r>
      <w:r w:rsidR="007C2EFE">
        <w:t xml:space="preserve">ge with activities. </w:t>
      </w:r>
      <w:r>
        <w:t xml:space="preserve">Similar to </w:t>
      </w:r>
      <w:r w:rsidR="007C2EFE">
        <w:t>episodic migraine</w:t>
      </w:r>
      <w:r>
        <w:t xml:space="preserve"> trials, there was no apparent dose trend between two active doses. Effect size was consistent throughout the treatment period evident by individual monthly comparisons with placebo</w:t>
      </w:r>
      <w:r w:rsidR="0007206D">
        <w:t>.</w:t>
      </w:r>
    </w:p>
    <w:p w14:paraId="5ED7E40D" w14:textId="5B3C59CC" w:rsidR="0007206D" w:rsidRDefault="007F1E71" w:rsidP="007F1E71">
      <w:pPr>
        <w:pStyle w:val="FigureTitle"/>
      </w:pPr>
      <w:r>
        <w:lastRenderedPageBreak/>
        <w:t xml:space="preserve">Figure </w:t>
      </w:r>
      <w:fldSimple w:instr=" SEQ Figure \* ARABIC ">
        <w:r>
          <w:rPr>
            <w:noProof/>
          </w:rPr>
          <w:t>8</w:t>
        </w:r>
      </w:fldSimple>
      <w:r w:rsidR="005630A4">
        <w:t xml:space="preserve">: Change from </w:t>
      </w:r>
      <w:r w:rsidR="00B54493">
        <w:t>B</w:t>
      </w:r>
      <w:r w:rsidR="005630A4">
        <w:t xml:space="preserve">aseline in the number of </w:t>
      </w:r>
      <w:r w:rsidR="00713B7C">
        <w:t>MHD</w:t>
      </w:r>
      <w:r w:rsidR="00BE161F">
        <w:t xml:space="preserve"> by month for the double </w:t>
      </w:r>
      <w:r w:rsidR="005630A4">
        <w:t>blind treatment period of Study CGAI</w:t>
      </w:r>
    </w:p>
    <w:p w14:paraId="1B54A68F" w14:textId="77777777" w:rsidR="00922E06" w:rsidRDefault="00922E06" w:rsidP="00922E06">
      <w:pPr>
        <w:rPr>
          <w:noProof/>
          <w:lang w:eastAsia="en-AU"/>
        </w:rPr>
      </w:pPr>
      <w:r>
        <w:rPr>
          <w:noProof/>
          <w:lang w:eastAsia="en-AU"/>
        </w:rPr>
        <w:drawing>
          <wp:inline distT="0" distB="0" distL="0" distR="0" wp14:anchorId="1B299EC7" wp14:editId="26BD0818">
            <wp:extent cx="3446059" cy="2471884"/>
            <wp:effectExtent l="0" t="0" r="2540" b="5080"/>
            <wp:docPr id="5" name="Picture 5" descr="Change from baseline in the number of migraine headache days by month for the double blind treatment period of Study C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47561" cy="2472961"/>
                    </a:xfrm>
                    <a:prstGeom prst="rect">
                      <a:avLst/>
                    </a:prstGeom>
                  </pic:spPr>
                </pic:pic>
              </a:graphicData>
            </a:graphic>
          </wp:inline>
        </w:drawing>
      </w:r>
    </w:p>
    <w:p w14:paraId="19867BA4" w14:textId="77777777" w:rsidR="005630A4" w:rsidRDefault="005630A4" w:rsidP="006C5960">
      <w:r>
        <w:t>A predefined exploratory analysis suggested onset of action to be by Week 1.</w:t>
      </w:r>
    </w:p>
    <w:p w14:paraId="57420530" w14:textId="2770D35A" w:rsidR="005630A4" w:rsidRPr="002D36B5" w:rsidRDefault="005630A4" w:rsidP="00381BAF">
      <w:pPr>
        <w:pStyle w:val="Heading6"/>
      </w:pPr>
      <w:r w:rsidRPr="002D36B5">
        <w:t xml:space="preserve">Other </w:t>
      </w:r>
      <w:r w:rsidR="00BB02D9">
        <w:t>e</w:t>
      </w:r>
      <w:r w:rsidRPr="002D36B5">
        <w:t>fficacy outcomes</w:t>
      </w:r>
    </w:p>
    <w:p w14:paraId="1ACDEEA3" w14:textId="461FD2C3" w:rsidR="0030325A" w:rsidRDefault="007F1E71" w:rsidP="007F1E71">
      <w:pPr>
        <w:pStyle w:val="FigureTitle"/>
      </w:pPr>
      <w:r>
        <w:t xml:space="preserve">Figure </w:t>
      </w:r>
      <w:fldSimple w:instr=" SEQ Figure \* ARABIC ">
        <w:r>
          <w:rPr>
            <w:noProof/>
          </w:rPr>
          <w:t>9</w:t>
        </w:r>
      </w:fldSimple>
      <w:r w:rsidR="0030325A">
        <w:t>: 50% (left) and 75% (right) response rate by month for Study CGAI</w:t>
      </w:r>
    </w:p>
    <w:p w14:paraId="6948A1C7" w14:textId="77777777" w:rsidR="005630A4" w:rsidRDefault="0030325A" w:rsidP="005630A4">
      <w:r>
        <w:rPr>
          <w:noProof/>
          <w:lang w:eastAsia="en-AU"/>
        </w:rPr>
        <w:drawing>
          <wp:inline distT="0" distB="0" distL="0" distR="0" wp14:anchorId="3CEC455B" wp14:editId="4F2D7638">
            <wp:extent cx="5400040" cy="2315209"/>
            <wp:effectExtent l="0" t="0" r="0" b="9525"/>
            <wp:docPr id="6" name="Picture 6" descr="50% (left) and 75% (right) response rate by month for Study C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040" cy="2315209"/>
                    </a:xfrm>
                    <a:prstGeom prst="rect">
                      <a:avLst/>
                    </a:prstGeom>
                  </pic:spPr>
                </pic:pic>
              </a:graphicData>
            </a:graphic>
          </wp:inline>
        </w:drawing>
      </w:r>
    </w:p>
    <w:p w14:paraId="227342D6" w14:textId="2FBFC9D6" w:rsidR="005630A4" w:rsidRPr="0030325A" w:rsidRDefault="0030325A" w:rsidP="0030325A">
      <w:r>
        <w:t>For the 240 </w:t>
      </w:r>
      <w:r w:rsidR="005630A4" w:rsidRPr="0030325A">
        <w:t>mg dose, several key secondary endpoints remained significant after multiplicity adjustment</w:t>
      </w:r>
      <w:r w:rsidR="006F1789">
        <w:t>, including: mean change in MHD</w:t>
      </w:r>
      <w:r w:rsidR="005630A4" w:rsidRPr="0030325A">
        <w:t xml:space="preserve"> requiring acute medication use, mean change in </w:t>
      </w:r>
      <w:r>
        <w:rPr>
          <w:rFonts w:eastAsiaTheme="minorHAnsi"/>
        </w:rPr>
        <w:t xml:space="preserve">Role Function </w:t>
      </w:r>
      <w:r w:rsidRPr="00277D35">
        <w:rPr>
          <w:rFonts w:eastAsiaTheme="minorHAnsi"/>
        </w:rPr>
        <w:t>Restr</w:t>
      </w:r>
      <w:r>
        <w:rPr>
          <w:rFonts w:eastAsiaTheme="minorHAnsi"/>
        </w:rPr>
        <w:t>ictive domain scores of the MSQ</w:t>
      </w:r>
      <w:r w:rsidRPr="0030325A">
        <w:t xml:space="preserve"> </w:t>
      </w:r>
      <w:r w:rsidR="00D80561">
        <w:t>from Baseline</w:t>
      </w:r>
      <w:r w:rsidR="005630A4" w:rsidRPr="0030325A">
        <w:t xml:space="preserve"> t</w:t>
      </w:r>
      <w:r>
        <w:t>o Month </w:t>
      </w:r>
      <w:r w:rsidR="005630A4" w:rsidRPr="0030325A">
        <w:t>3, mean change in P</w:t>
      </w:r>
      <w:r>
        <w:t xml:space="preserve">GI-S </w:t>
      </w:r>
      <w:r w:rsidR="00D80561">
        <w:t>from Baseline</w:t>
      </w:r>
      <w:r>
        <w:t xml:space="preserve"> to Month 3. </w:t>
      </w:r>
      <w:r w:rsidR="005630A4" w:rsidRPr="0030325A">
        <w:t xml:space="preserve">Because of the </w:t>
      </w:r>
      <w:proofErr w:type="spellStart"/>
      <w:r w:rsidR="005630A4" w:rsidRPr="0030325A">
        <w:t>prespecified</w:t>
      </w:r>
      <w:proofErr w:type="spellEnd"/>
      <w:r w:rsidR="005630A4" w:rsidRPr="0030325A">
        <w:t xml:space="preserve"> hierarchy of endpoints, and the negative result for th</w:t>
      </w:r>
      <w:r>
        <w:t>e 75% response rate for the 120 </w:t>
      </w:r>
      <w:r w:rsidR="005630A4" w:rsidRPr="0030325A">
        <w:t>mg group, the remaining key secondary endpoints could not be considered significant</w:t>
      </w:r>
      <w:r>
        <w:t xml:space="preserve"> for the 120 </w:t>
      </w:r>
      <w:r w:rsidR="005630A4" w:rsidRPr="0030325A">
        <w:t>mg dose, though many a</w:t>
      </w:r>
      <w:r>
        <w:t xml:space="preserve">chieved nominally significant p </w:t>
      </w:r>
      <w:r w:rsidR="005630A4" w:rsidRPr="0030325A">
        <w:t>values.</w:t>
      </w:r>
    </w:p>
    <w:p w14:paraId="3AD7C2AA" w14:textId="77777777" w:rsidR="0007206D" w:rsidRPr="0030325A" w:rsidRDefault="005630A4" w:rsidP="0030325A">
      <w:r w:rsidRPr="0030325A">
        <w:t xml:space="preserve">Overall subgroup analyses did not raise any concerns about the efficacy of </w:t>
      </w:r>
      <w:proofErr w:type="spellStart"/>
      <w:r w:rsidRPr="0030325A">
        <w:t>galcanezumab</w:t>
      </w:r>
      <w:proofErr w:type="spellEnd"/>
      <w:r w:rsidRPr="0030325A">
        <w:t xml:space="preserve"> and no strong conclusions can be drawn because the study was not specifically powered to allow subgroup comparisons</w:t>
      </w:r>
      <w:r w:rsidR="0007206D" w:rsidRPr="0030325A">
        <w:t>.</w:t>
      </w:r>
    </w:p>
    <w:p w14:paraId="0253D312" w14:textId="432B7A45" w:rsidR="005630A4" w:rsidRDefault="007C2EA0" w:rsidP="005630A4">
      <w:pPr>
        <w:pStyle w:val="Heading5"/>
      </w:pPr>
      <w:r>
        <w:t xml:space="preserve">Chronic </w:t>
      </w:r>
      <w:r w:rsidR="00B54493">
        <w:t xml:space="preserve">migraine </w:t>
      </w:r>
      <w:r>
        <w:t xml:space="preserve">(Study CGAI); </w:t>
      </w:r>
      <w:r w:rsidR="00B54493">
        <w:t>open label extension</w:t>
      </w:r>
    </w:p>
    <w:p w14:paraId="64D50ED0" w14:textId="77777777" w:rsidR="0007206D" w:rsidRPr="003D0694" w:rsidRDefault="005630A4" w:rsidP="0030325A">
      <w:r w:rsidRPr="0030325A">
        <w:t>Of the 1037 pa</w:t>
      </w:r>
      <w:r w:rsidR="0030325A">
        <w:t xml:space="preserve">tients who completed the double </w:t>
      </w:r>
      <w:r w:rsidRPr="0030325A">
        <w:t>blind treatment phase, 1021 patients (9</w:t>
      </w:r>
      <w:r w:rsidR="0030325A">
        <w:t xml:space="preserve">8.5%) entered the optional open </w:t>
      </w:r>
      <w:r w:rsidRPr="0030325A">
        <w:t>label treatment phase, which was ongo</w:t>
      </w:r>
      <w:r w:rsidR="0030325A">
        <w:t xml:space="preserve">ing at the time of submission. </w:t>
      </w:r>
      <w:r w:rsidRPr="0030325A">
        <w:t>Of these, 811 subjects (79.4%) were still in the study at the time of submission, 125 (12.2%) had discontinued, and 8</w:t>
      </w:r>
      <w:r w:rsidR="00BF1FE5">
        <w:t xml:space="preserve">5 (8.3%) had completed the open </w:t>
      </w:r>
      <w:r w:rsidRPr="0030325A">
        <w:t>label phase. Of the 447 patients with ≥</w:t>
      </w:r>
      <w:r w:rsidR="00BF1FE5">
        <w:t> 6 </w:t>
      </w:r>
      <w:r w:rsidRPr="0030325A">
        <w:t xml:space="preserve">months </w:t>
      </w:r>
      <w:r w:rsidR="00BF1FE5">
        <w:t xml:space="preserve">of total data (including double </w:t>
      </w:r>
      <w:r w:rsidRPr="0030325A">
        <w:t xml:space="preserve">blind </w:t>
      </w:r>
      <w:r w:rsidRPr="003D0694">
        <w:lastRenderedPageBreak/>
        <w:t>treatment)</w:t>
      </w:r>
      <w:r w:rsidR="00BF1FE5" w:rsidRPr="003D0694">
        <w:t>, the majority had received 240 </w:t>
      </w:r>
      <w:r w:rsidRPr="003D0694">
        <w:t>mg a</w:t>
      </w:r>
      <w:r w:rsidR="00BF1FE5" w:rsidRPr="003D0694">
        <w:t xml:space="preserve">t the flexible </w:t>
      </w:r>
      <w:r w:rsidRPr="003D0694">
        <w:t xml:space="preserve">dose visits (64% at Month 5, 71% at Months 6 to 11). </w:t>
      </w:r>
      <w:r w:rsidR="00BF1FE5" w:rsidRPr="003D0694">
        <w:t xml:space="preserve">The efficacy data from the open </w:t>
      </w:r>
      <w:r w:rsidRPr="003D0694">
        <w:t>label extension is not yet complete, but preliminary assessments broadly suggest that efficacy is maintained over time</w:t>
      </w:r>
      <w:r w:rsidR="0007206D" w:rsidRPr="003D0694">
        <w:t>.</w:t>
      </w:r>
    </w:p>
    <w:p w14:paraId="5CA62106" w14:textId="37D4E51F" w:rsidR="005630A4" w:rsidRPr="0030325A" w:rsidRDefault="007F1E71" w:rsidP="007F1E71">
      <w:pPr>
        <w:pStyle w:val="FigureTitle"/>
      </w:pPr>
      <w:r>
        <w:t xml:space="preserve">Figure </w:t>
      </w:r>
      <w:fldSimple w:instr=" SEQ Figure \* ARABIC ">
        <w:r>
          <w:rPr>
            <w:noProof/>
          </w:rPr>
          <w:t>10</w:t>
        </w:r>
      </w:fldSimple>
      <w:r w:rsidR="005630A4" w:rsidRPr="0030325A">
        <w:t xml:space="preserve">: Change from </w:t>
      </w:r>
      <w:r w:rsidR="00B54493">
        <w:t>B</w:t>
      </w:r>
      <w:r w:rsidR="00B54493" w:rsidRPr="0030325A">
        <w:t xml:space="preserve">aseline </w:t>
      </w:r>
      <w:r w:rsidR="005630A4" w:rsidRPr="0030325A">
        <w:t xml:space="preserve">in the number of </w:t>
      </w:r>
      <w:r w:rsidR="00713B7C">
        <w:t>MHD</w:t>
      </w:r>
      <w:r w:rsidR="005630A4" w:rsidRPr="0030325A">
        <w:t xml:space="preserve"> inclu</w:t>
      </w:r>
      <w:r w:rsidR="00BF1FE5">
        <w:t xml:space="preserve">ding data from the ongoing open </w:t>
      </w:r>
      <w:r w:rsidR="005630A4" w:rsidRPr="0030325A">
        <w:t xml:space="preserve">label phase (up to Month 9), Study CGAI, </w:t>
      </w:r>
      <w:r w:rsidR="00BF1FE5">
        <w:t>mixed model repeated measures</w:t>
      </w:r>
      <w:r w:rsidR="005630A4" w:rsidRPr="0030325A">
        <w:t xml:space="preserve"> analysis</w:t>
      </w:r>
    </w:p>
    <w:p w14:paraId="6C4DBD64" w14:textId="77777777" w:rsidR="005630A4" w:rsidRDefault="005630A4" w:rsidP="005630A4">
      <w:pPr>
        <w:jc w:val="both"/>
      </w:pPr>
      <w:r>
        <w:rPr>
          <w:noProof/>
          <w:lang w:eastAsia="en-AU"/>
        </w:rPr>
        <w:drawing>
          <wp:inline distT="0" distB="0" distL="0" distR="0" wp14:anchorId="1E1D2B19" wp14:editId="600B0F02">
            <wp:extent cx="5400040" cy="3019996"/>
            <wp:effectExtent l="0" t="0" r="0" b="9525"/>
            <wp:docPr id="44" name="Picture 44" descr="Change from baseline in the number of migraine headache days including data from the ongoing open label phase (up to Month 9), Study CGAI, mixed model repeated measure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3019996"/>
                    </a:xfrm>
                    <a:prstGeom prst="rect">
                      <a:avLst/>
                    </a:prstGeom>
                    <a:noFill/>
                    <a:ln>
                      <a:noFill/>
                    </a:ln>
                  </pic:spPr>
                </pic:pic>
              </a:graphicData>
            </a:graphic>
          </wp:inline>
        </w:drawing>
      </w:r>
    </w:p>
    <w:p w14:paraId="7D6799D7" w14:textId="77777777" w:rsidR="005630A4" w:rsidRDefault="005630A4" w:rsidP="003D0694">
      <w:pPr>
        <w:rPr>
          <w:lang w:eastAsia="ja-JP"/>
        </w:rPr>
      </w:pPr>
      <w:r>
        <w:rPr>
          <w:lang w:eastAsia="ja-JP"/>
        </w:rPr>
        <w:t>Other efficacy endpoints showed broadly similar trends, with initial placebo recipients showing an improvement on switching, and stable efficacy results in all three</w:t>
      </w:r>
      <w:r w:rsidR="00BE161F">
        <w:rPr>
          <w:lang w:eastAsia="ja-JP"/>
        </w:rPr>
        <w:t xml:space="preserve"> treatment groups over the open </w:t>
      </w:r>
      <w:r>
        <w:rPr>
          <w:lang w:eastAsia="ja-JP"/>
        </w:rPr>
        <w:t>label phase.</w:t>
      </w:r>
    </w:p>
    <w:p w14:paraId="0A85B855" w14:textId="77777777" w:rsidR="005630A4" w:rsidRDefault="005630A4" w:rsidP="00381BAF">
      <w:pPr>
        <w:pStyle w:val="Heading5"/>
      </w:pPr>
      <w:r>
        <w:t>Study ART-01</w:t>
      </w:r>
    </w:p>
    <w:p w14:paraId="46FD45A8" w14:textId="77777777" w:rsidR="005630A4" w:rsidRDefault="00BF1FE5" w:rsidP="003D0694">
      <w:pPr>
        <w:rPr>
          <w:lang w:eastAsia="ja-JP"/>
        </w:rPr>
      </w:pPr>
      <w:r>
        <w:t xml:space="preserve">This Phase II proof of </w:t>
      </w:r>
      <w:r w:rsidR="005630A4">
        <w:t>concept study assessed t</w:t>
      </w:r>
      <w:r>
        <w:t xml:space="preserve">he efficacy of </w:t>
      </w:r>
      <w:proofErr w:type="spellStart"/>
      <w:r>
        <w:t>galcanezumab</w:t>
      </w:r>
      <w:proofErr w:type="spellEnd"/>
      <w:r>
        <w:t xml:space="preserve"> 150 </w:t>
      </w:r>
      <w:r w:rsidR="005630A4">
        <w:t xml:space="preserve">mg </w:t>
      </w:r>
      <w:r w:rsidR="00057FDB">
        <w:t>every two weeks</w:t>
      </w:r>
      <w:r w:rsidR="005630A4">
        <w:t xml:space="preserve"> in adult subjects with frequent migraines. </w:t>
      </w:r>
      <w:r w:rsidR="005630A4">
        <w:rPr>
          <w:lang w:eastAsia="ja-JP"/>
        </w:rPr>
        <w:t>Although the study did not use the dose proposed for registration, it provides support for the pivotal studies and enhances their external validity</w:t>
      </w:r>
      <w:r>
        <w:rPr>
          <w:lang w:eastAsia="ja-JP"/>
        </w:rPr>
        <w:t>.</w:t>
      </w:r>
    </w:p>
    <w:p w14:paraId="7D662162" w14:textId="77777777" w:rsidR="005630A4" w:rsidRDefault="005630A4" w:rsidP="00381BAF">
      <w:pPr>
        <w:pStyle w:val="Heading5"/>
      </w:pPr>
      <w:r>
        <w:t>Study CGAB</w:t>
      </w:r>
    </w:p>
    <w:p w14:paraId="521BA742" w14:textId="77777777" w:rsidR="005630A4" w:rsidRDefault="00BF1FE5" w:rsidP="005630A4">
      <w:r>
        <w:t xml:space="preserve">This </w:t>
      </w:r>
      <w:proofErr w:type="gramStart"/>
      <w:r>
        <w:t>3 month</w:t>
      </w:r>
      <w:proofErr w:type="gramEnd"/>
      <w:r>
        <w:t xml:space="preserve"> dose </w:t>
      </w:r>
      <w:r w:rsidR="005630A4">
        <w:t xml:space="preserve">ranging study showed that monthly subcutaneous </w:t>
      </w:r>
      <w:proofErr w:type="spellStart"/>
      <w:r w:rsidR="005630A4">
        <w:t>galcanezumab</w:t>
      </w:r>
      <w:proofErr w:type="spellEnd"/>
      <w:r w:rsidR="005630A4">
        <w:t xml:space="preserve"> </w:t>
      </w:r>
      <w:r>
        <w:rPr>
          <w:lang w:eastAsia="ja-JP"/>
        </w:rPr>
        <w:t>120 </w:t>
      </w:r>
      <w:r w:rsidR="005630A4">
        <w:rPr>
          <w:lang w:eastAsia="ja-JP"/>
        </w:rPr>
        <w:t xml:space="preserve">mg </w:t>
      </w:r>
      <w:r w:rsidR="005630A4">
        <w:t xml:space="preserve">provided support for the efficacy of </w:t>
      </w:r>
      <w:proofErr w:type="spellStart"/>
      <w:r w:rsidR="005630A4">
        <w:t>galcanezumab</w:t>
      </w:r>
      <w:proofErr w:type="spellEnd"/>
      <w:r w:rsidR="005630A4">
        <w:t xml:space="preserve"> in preventing migraine, and justifies furt</w:t>
      </w:r>
      <w:r>
        <w:t>her exploration of doses of 120 </w:t>
      </w:r>
      <w:r w:rsidR="005630A4">
        <w:t>mg/month and higher.</w:t>
      </w:r>
    </w:p>
    <w:p w14:paraId="09EC7628" w14:textId="77777777" w:rsidR="005630A4" w:rsidRDefault="005630A4" w:rsidP="00381BAF">
      <w:pPr>
        <w:pStyle w:val="Heading5"/>
      </w:pPr>
      <w:r>
        <w:t>Study CGAJ</w:t>
      </w:r>
    </w:p>
    <w:p w14:paraId="4F7D9494" w14:textId="77777777" w:rsidR="0007206D" w:rsidRDefault="005630A4" w:rsidP="005630A4">
      <w:pPr>
        <w:rPr>
          <w:lang w:eastAsia="ja-JP"/>
        </w:rPr>
      </w:pPr>
      <w:r>
        <w:rPr>
          <w:lang w:eastAsia="ja-JP"/>
        </w:rPr>
        <w:t>Study CGAJ (n</w:t>
      </w:r>
      <w:r w:rsidR="00BF1FE5">
        <w:rPr>
          <w:lang w:eastAsia="ja-JP"/>
        </w:rPr>
        <w:t xml:space="preserve"> </w:t>
      </w:r>
      <w:r>
        <w:rPr>
          <w:lang w:eastAsia="ja-JP"/>
        </w:rPr>
        <w:t>=</w:t>
      </w:r>
      <w:r w:rsidR="00BF1FE5">
        <w:rPr>
          <w:lang w:eastAsia="ja-JP"/>
        </w:rPr>
        <w:t xml:space="preserve"> 270) was an open </w:t>
      </w:r>
      <w:r>
        <w:rPr>
          <w:lang w:eastAsia="ja-JP"/>
        </w:rPr>
        <w:t>label study with a focus on safety and tolerability. It was a randomised study that compared two dos</w:t>
      </w:r>
      <w:r w:rsidR="00BF1FE5">
        <w:rPr>
          <w:lang w:eastAsia="ja-JP"/>
        </w:rPr>
        <w:t xml:space="preserve">es of </w:t>
      </w:r>
      <w:proofErr w:type="spellStart"/>
      <w:r w:rsidR="00BF1FE5">
        <w:rPr>
          <w:lang w:eastAsia="ja-JP"/>
        </w:rPr>
        <w:t>galcanezumab</w:t>
      </w:r>
      <w:proofErr w:type="spellEnd"/>
      <w:r w:rsidR="00BF1FE5">
        <w:rPr>
          <w:lang w:eastAsia="ja-JP"/>
        </w:rPr>
        <w:t>: 120 mg/month (with a 240 </w:t>
      </w:r>
      <w:r>
        <w:rPr>
          <w:lang w:eastAsia="ja-JP"/>
        </w:rPr>
        <w:t>mg loading dose, n</w:t>
      </w:r>
      <w:r w:rsidR="00BF1FE5">
        <w:rPr>
          <w:lang w:eastAsia="ja-JP"/>
        </w:rPr>
        <w:t xml:space="preserve"> </w:t>
      </w:r>
      <w:r>
        <w:rPr>
          <w:lang w:eastAsia="ja-JP"/>
        </w:rPr>
        <w:t>=</w:t>
      </w:r>
      <w:r w:rsidR="00BF1FE5">
        <w:rPr>
          <w:lang w:eastAsia="ja-JP"/>
        </w:rPr>
        <w:t xml:space="preserve"> 135) and 240 </w:t>
      </w:r>
      <w:r>
        <w:rPr>
          <w:lang w:eastAsia="ja-JP"/>
        </w:rPr>
        <w:t>mg/month (n</w:t>
      </w:r>
      <w:r w:rsidR="00BF1FE5">
        <w:rPr>
          <w:lang w:eastAsia="ja-JP"/>
        </w:rPr>
        <w:t xml:space="preserve"> </w:t>
      </w:r>
      <w:r>
        <w:rPr>
          <w:lang w:eastAsia="ja-JP"/>
        </w:rPr>
        <w:t>=</w:t>
      </w:r>
      <w:r w:rsidR="00BF1FE5">
        <w:rPr>
          <w:lang w:eastAsia="ja-JP"/>
        </w:rPr>
        <w:t xml:space="preserve"> 135), continued for 12 </w:t>
      </w:r>
      <w:r>
        <w:rPr>
          <w:lang w:eastAsia="ja-JP"/>
        </w:rPr>
        <w:t>months in adult patients with episodic or chronic migraine</w:t>
      </w:r>
      <w:r w:rsidR="0007206D">
        <w:rPr>
          <w:lang w:eastAsia="ja-JP"/>
        </w:rPr>
        <w:t>.</w:t>
      </w:r>
    </w:p>
    <w:p w14:paraId="1FB9C683" w14:textId="3996C2C8" w:rsidR="00BF1FE5" w:rsidRDefault="007F1E71" w:rsidP="007F1E71">
      <w:pPr>
        <w:pStyle w:val="FigureTitle"/>
      </w:pPr>
      <w:r>
        <w:lastRenderedPageBreak/>
        <w:t xml:space="preserve">Figure </w:t>
      </w:r>
      <w:fldSimple w:instr=" SEQ Figure \* ARABIC ">
        <w:r>
          <w:rPr>
            <w:noProof/>
          </w:rPr>
          <w:t>11</w:t>
        </w:r>
      </w:fldSimple>
      <w:r w:rsidR="00BF1FE5">
        <w:t xml:space="preserve">: Mean change from </w:t>
      </w:r>
      <w:r w:rsidR="00B54493">
        <w:t xml:space="preserve">Baseline </w:t>
      </w:r>
      <w:r w:rsidR="006F1789">
        <w:t>in number of monthly MHD</w:t>
      </w:r>
      <w:r w:rsidR="00BF1FE5">
        <w:t>, intention to treat</w:t>
      </w:r>
      <w:r w:rsidR="00B54493">
        <w:t xml:space="preserve"> population</w:t>
      </w:r>
      <w:r w:rsidR="00BF1FE5">
        <w:t>, Study CGAJ</w:t>
      </w:r>
    </w:p>
    <w:p w14:paraId="350153C7" w14:textId="77777777" w:rsidR="005630A4" w:rsidRDefault="005630A4" w:rsidP="005630A4">
      <w:r>
        <w:rPr>
          <w:noProof/>
          <w:lang w:eastAsia="en-AU"/>
        </w:rPr>
        <w:drawing>
          <wp:inline distT="0" distB="0" distL="0" distR="0" wp14:anchorId="234BB105" wp14:editId="29D2D8DF">
            <wp:extent cx="5099685" cy="3114675"/>
            <wp:effectExtent l="0" t="0" r="5715" b="9525"/>
            <wp:docPr id="45" name="Picture 45" descr="Mean change from baseline in number of monthly MHDs, intention to treat, Study CG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9685" cy="3114675"/>
                    </a:xfrm>
                    <a:prstGeom prst="rect">
                      <a:avLst/>
                    </a:prstGeom>
                    <a:noFill/>
                    <a:ln>
                      <a:noFill/>
                    </a:ln>
                  </pic:spPr>
                </pic:pic>
              </a:graphicData>
            </a:graphic>
          </wp:inline>
        </w:drawing>
      </w:r>
    </w:p>
    <w:p w14:paraId="0EF7B803" w14:textId="77777777" w:rsidR="0007206D" w:rsidRDefault="005630A4" w:rsidP="00BF1FE5">
      <w:pPr>
        <w:rPr>
          <w:lang w:eastAsia="ja-JP"/>
        </w:rPr>
      </w:pPr>
      <w:r>
        <w:rPr>
          <w:lang w:eastAsia="ja-JP"/>
        </w:rPr>
        <w:t>No firm efficacy conclusi</w:t>
      </w:r>
      <w:r w:rsidR="00BE161F">
        <w:rPr>
          <w:lang w:eastAsia="ja-JP"/>
        </w:rPr>
        <w:t xml:space="preserve">ons can be drawn from this open </w:t>
      </w:r>
      <w:r>
        <w:rPr>
          <w:lang w:eastAsia="ja-JP"/>
        </w:rPr>
        <w:t>label study as</w:t>
      </w:r>
      <w:r w:rsidRPr="00C82A73">
        <w:rPr>
          <w:lang w:eastAsia="ja-JP"/>
        </w:rPr>
        <w:t xml:space="preserve"> </w:t>
      </w:r>
      <w:r w:rsidR="005B23E1">
        <w:rPr>
          <w:lang w:eastAsia="ja-JP"/>
        </w:rPr>
        <w:t>it lacked a non </w:t>
      </w:r>
      <w:proofErr w:type="spellStart"/>
      <w:r>
        <w:rPr>
          <w:lang w:eastAsia="ja-JP"/>
        </w:rPr>
        <w:t>galcanezumab</w:t>
      </w:r>
      <w:proofErr w:type="spellEnd"/>
      <w:r>
        <w:rPr>
          <w:lang w:eastAsia="ja-JP"/>
        </w:rPr>
        <w:t xml:space="preserve"> control group. But assuming that some of </w:t>
      </w:r>
      <w:r w:rsidR="006F1789">
        <w:rPr>
          <w:lang w:eastAsia="ja-JP"/>
        </w:rPr>
        <w:t>the apparent improvement in MHD</w:t>
      </w:r>
      <w:r>
        <w:rPr>
          <w:lang w:eastAsia="ja-JP"/>
        </w:rPr>
        <w:t xml:space="preserve"> relative to baseline constituted a treatment effect, there was no obvious waning of efficacy with contin</w:t>
      </w:r>
      <w:r w:rsidR="005B23E1">
        <w:rPr>
          <w:lang w:eastAsia="ja-JP"/>
        </w:rPr>
        <w:t xml:space="preserve">ued use of </w:t>
      </w:r>
      <w:proofErr w:type="spellStart"/>
      <w:r w:rsidR="005B23E1">
        <w:rPr>
          <w:lang w:eastAsia="ja-JP"/>
        </w:rPr>
        <w:t>galcanezumab</w:t>
      </w:r>
      <w:proofErr w:type="spellEnd"/>
      <w:r w:rsidR="005B23E1">
        <w:rPr>
          <w:lang w:eastAsia="ja-JP"/>
        </w:rPr>
        <w:t xml:space="preserve"> over 12 </w:t>
      </w:r>
      <w:r>
        <w:rPr>
          <w:lang w:eastAsia="ja-JP"/>
        </w:rPr>
        <w:t>months</w:t>
      </w:r>
      <w:r w:rsidR="0007206D">
        <w:rPr>
          <w:lang w:eastAsia="ja-JP"/>
        </w:rPr>
        <w:t>.</w:t>
      </w:r>
    </w:p>
    <w:p w14:paraId="505AFFD7" w14:textId="77777777" w:rsidR="005630A4" w:rsidRDefault="005630A4" w:rsidP="00381BAF">
      <w:pPr>
        <w:pStyle w:val="Heading4"/>
      </w:pPr>
      <w:bookmarkStart w:id="228" w:name="_Toc2587220"/>
      <w:bookmarkEnd w:id="219"/>
      <w:bookmarkEnd w:id="220"/>
      <w:bookmarkEnd w:id="221"/>
      <w:bookmarkEnd w:id="222"/>
      <w:r w:rsidRPr="00C834F7">
        <w:t>Safety</w:t>
      </w:r>
      <w:bookmarkEnd w:id="228"/>
    </w:p>
    <w:p w14:paraId="4E15B026" w14:textId="1CBE3F80" w:rsidR="005630A4" w:rsidRPr="005B23E1" w:rsidRDefault="005630A4" w:rsidP="005B23E1">
      <w:pPr>
        <w:rPr>
          <w:lang w:eastAsia="ja-JP"/>
        </w:rPr>
      </w:pPr>
      <w:r w:rsidRPr="005B23E1">
        <w:rPr>
          <w:lang w:eastAsia="ja-JP"/>
        </w:rPr>
        <w:t xml:space="preserve">The overall exposure to </w:t>
      </w:r>
      <w:proofErr w:type="spellStart"/>
      <w:r w:rsidRPr="005B23E1">
        <w:rPr>
          <w:lang w:eastAsia="ja-JP"/>
        </w:rPr>
        <w:t>galcanezumab</w:t>
      </w:r>
      <w:proofErr w:type="spellEnd"/>
      <w:r w:rsidRPr="005B23E1">
        <w:rPr>
          <w:lang w:eastAsia="ja-JP"/>
        </w:rPr>
        <w:t xml:space="preserve"> exceeds the minimum numbers of patients recommended by the </w:t>
      </w:r>
      <w:r w:rsidR="005B23E1">
        <w:rPr>
          <w:lang w:eastAsia="ja-JP"/>
        </w:rPr>
        <w:t>relevant g</w:t>
      </w:r>
      <w:r w:rsidRPr="005B23E1">
        <w:rPr>
          <w:lang w:eastAsia="ja-JP"/>
        </w:rPr>
        <w:t>uideline for chronically administered medications.</w:t>
      </w:r>
      <w:r w:rsidR="005B23E1">
        <w:rPr>
          <w:lang w:eastAsia="ja-JP"/>
        </w:rPr>
        <w:fldChar w:fldCharType="begin"/>
      </w:r>
      <w:r w:rsidR="005B23E1">
        <w:rPr>
          <w:lang w:eastAsia="ja-JP"/>
        </w:rPr>
        <w:instrText xml:space="preserve"> NOTEREF _Ref12459783 \f \h </w:instrText>
      </w:r>
      <w:r w:rsidR="005B23E1">
        <w:rPr>
          <w:lang w:eastAsia="ja-JP"/>
        </w:rPr>
      </w:r>
      <w:r w:rsidR="005B23E1">
        <w:rPr>
          <w:lang w:eastAsia="ja-JP"/>
        </w:rPr>
        <w:fldChar w:fldCharType="separate"/>
      </w:r>
      <w:r w:rsidR="00247800" w:rsidRPr="00E27356">
        <w:rPr>
          <w:rStyle w:val="FootnoteReference"/>
        </w:rPr>
        <w:t>21</w:t>
      </w:r>
      <w:r w:rsidR="005B23E1">
        <w:rPr>
          <w:lang w:eastAsia="ja-JP"/>
        </w:rPr>
        <w:fldChar w:fldCharType="end"/>
      </w:r>
      <w:r w:rsidRPr="005B23E1">
        <w:rPr>
          <w:lang w:eastAsia="ja-JP"/>
        </w:rPr>
        <w:t xml:space="preserve"> However, the size and duration of exposure in the database are insufficient for evaluation of rare events such as cardiovascular, pa</w:t>
      </w:r>
      <w:r w:rsidR="005B23E1">
        <w:rPr>
          <w:lang w:eastAsia="ja-JP"/>
        </w:rPr>
        <w:t>rticularly in patients with pre-existing</w:t>
      </w:r>
      <w:r w:rsidRPr="005B23E1">
        <w:rPr>
          <w:lang w:eastAsia="ja-JP"/>
        </w:rPr>
        <w:t xml:space="preserve"> cardiovascular morbidity, which is the potential concern with CGRP inhibition. A total of </w:t>
      </w:r>
      <w:r w:rsidR="005B23E1">
        <w:rPr>
          <w:lang w:eastAsia="ja-JP"/>
        </w:rPr>
        <w:t>3</w:t>
      </w:r>
      <w:r w:rsidRPr="005B23E1">
        <w:rPr>
          <w:lang w:eastAsia="ja-JP"/>
        </w:rPr>
        <w:t xml:space="preserve">156 patients were exposed to </w:t>
      </w:r>
      <w:proofErr w:type="spellStart"/>
      <w:r w:rsidRPr="005B23E1">
        <w:rPr>
          <w:lang w:eastAsia="ja-JP"/>
        </w:rPr>
        <w:t>galcanezumab</w:t>
      </w:r>
      <w:proofErr w:type="spellEnd"/>
      <w:r w:rsidRPr="005B23E1">
        <w:rPr>
          <w:lang w:eastAsia="ja-JP"/>
        </w:rPr>
        <w:t xml:space="preserve"> at any dose across the entire </w:t>
      </w:r>
      <w:proofErr w:type="spellStart"/>
      <w:r w:rsidRPr="005B23E1">
        <w:rPr>
          <w:lang w:eastAsia="ja-JP"/>
        </w:rPr>
        <w:t>galcanezumab</w:t>
      </w:r>
      <w:proofErr w:type="spellEnd"/>
      <w:r w:rsidRPr="005B23E1">
        <w:rPr>
          <w:lang w:eastAsia="ja-JP"/>
        </w:rPr>
        <w:t xml:space="preserve"> development program. Within the proposed </w:t>
      </w:r>
      <w:r w:rsidR="005B23E1">
        <w:rPr>
          <w:lang w:eastAsia="ja-JP"/>
        </w:rPr>
        <w:t>dose range of 120 to 240 </w:t>
      </w:r>
      <w:r w:rsidRPr="005B23E1">
        <w:rPr>
          <w:lang w:eastAsia="ja-JP"/>
        </w:rPr>
        <w:t xml:space="preserve">mg, a total of </w:t>
      </w:r>
      <w:r w:rsidR="005B23E1">
        <w:rPr>
          <w:lang w:eastAsia="ja-JP"/>
        </w:rPr>
        <w:t>1</w:t>
      </w:r>
      <w:r w:rsidRPr="005B23E1">
        <w:rPr>
          <w:lang w:eastAsia="ja-JP"/>
        </w:rPr>
        <w:t xml:space="preserve">647 patients were exposed to </w:t>
      </w:r>
      <w:proofErr w:type="spellStart"/>
      <w:r w:rsidRPr="005B23E1">
        <w:rPr>
          <w:lang w:eastAsia="ja-JP"/>
        </w:rPr>
        <w:t>galcanezumab</w:t>
      </w:r>
      <w:proofErr w:type="spellEnd"/>
      <w:r w:rsidRPr="005B23E1">
        <w:rPr>
          <w:lang w:eastAsia="ja-JP"/>
        </w:rPr>
        <w:t xml:space="preserve"> for </w:t>
      </w:r>
      <w:r w:rsidR="00F23B8E">
        <w:rPr>
          <w:lang w:eastAsia="ja-JP"/>
        </w:rPr>
        <w:t>≥</w:t>
      </w:r>
      <w:r w:rsidR="005B23E1">
        <w:rPr>
          <w:lang w:eastAsia="ja-JP"/>
        </w:rPr>
        <w:t> 6 </w:t>
      </w:r>
      <w:r w:rsidRPr="005B23E1">
        <w:rPr>
          <w:lang w:eastAsia="ja-JP"/>
        </w:rPr>
        <w:t>months (</w:t>
      </w:r>
      <w:r w:rsidR="00F23B8E">
        <w:rPr>
          <w:lang w:eastAsia="ja-JP"/>
        </w:rPr>
        <w:t>≥</w:t>
      </w:r>
      <w:r w:rsidR="005B23E1">
        <w:rPr>
          <w:lang w:eastAsia="ja-JP"/>
        </w:rPr>
        <w:t> 6 </w:t>
      </w:r>
      <w:r w:rsidRPr="005B23E1">
        <w:rPr>
          <w:lang w:eastAsia="ja-JP"/>
        </w:rPr>
        <w:t>monthly doses), and 279 patients wer</w:t>
      </w:r>
      <w:r w:rsidR="005B23E1">
        <w:rPr>
          <w:lang w:eastAsia="ja-JP"/>
        </w:rPr>
        <w:t xml:space="preserve">e exposed to </w:t>
      </w:r>
      <w:proofErr w:type="spellStart"/>
      <w:r w:rsidR="005B23E1">
        <w:rPr>
          <w:lang w:eastAsia="ja-JP"/>
        </w:rPr>
        <w:t>galcanezumab</w:t>
      </w:r>
      <w:proofErr w:type="spellEnd"/>
      <w:r w:rsidR="005B23E1">
        <w:rPr>
          <w:lang w:eastAsia="ja-JP"/>
        </w:rPr>
        <w:t xml:space="preserve"> for 1 year (12 </w:t>
      </w:r>
      <w:r w:rsidRPr="005B23E1">
        <w:rPr>
          <w:lang w:eastAsia="ja-JP"/>
        </w:rPr>
        <w:t>monthly</w:t>
      </w:r>
      <w:r w:rsidR="005B23E1">
        <w:rPr>
          <w:lang w:eastAsia="ja-JP"/>
        </w:rPr>
        <w:t xml:space="preserve"> doses). No patients received &gt; </w:t>
      </w:r>
      <w:r w:rsidRPr="005B23E1">
        <w:rPr>
          <w:lang w:eastAsia="ja-JP"/>
        </w:rPr>
        <w:t xml:space="preserve">12 doses of </w:t>
      </w:r>
      <w:proofErr w:type="spellStart"/>
      <w:r w:rsidRPr="005B23E1">
        <w:rPr>
          <w:lang w:eastAsia="ja-JP"/>
        </w:rPr>
        <w:t>galcanezumab</w:t>
      </w:r>
      <w:proofErr w:type="spellEnd"/>
      <w:r w:rsidRPr="005B23E1">
        <w:rPr>
          <w:lang w:eastAsia="ja-JP"/>
        </w:rPr>
        <w:t xml:space="preserve"> in this development program.</w:t>
      </w:r>
    </w:p>
    <w:p w14:paraId="311381DD" w14:textId="77777777" w:rsidR="0007206D" w:rsidRDefault="005630A4" w:rsidP="005B23E1">
      <w:pPr>
        <w:rPr>
          <w:lang w:eastAsia="ja-JP"/>
        </w:rPr>
      </w:pPr>
      <w:r w:rsidRPr="005B23E1">
        <w:rPr>
          <w:lang w:eastAsia="ja-JP"/>
        </w:rPr>
        <w:t xml:space="preserve">There was a small but statistically significant excess of TEAEs in both active dose groups, compared to placebo, with an absolute excess of 6.6% in the pooled </w:t>
      </w:r>
      <w:proofErr w:type="spellStart"/>
      <w:r w:rsidRPr="005B23E1">
        <w:rPr>
          <w:lang w:eastAsia="ja-JP"/>
        </w:rPr>
        <w:t>galcanezu</w:t>
      </w:r>
      <w:r w:rsidR="005B23E1">
        <w:rPr>
          <w:lang w:eastAsia="ja-JP"/>
        </w:rPr>
        <w:t>mab</w:t>
      </w:r>
      <w:proofErr w:type="spellEnd"/>
      <w:r w:rsidR="005B23E1">
        <w:rPr>
          <w:lang w:eastAsia="ja-JP"/>
        </w:rPr>
        <w:t xml:space="preserve"> group (</w:t>
      </w:r>
      <w:proofErr w:type="spellStart"/>
      <w:r w:rsidR="005B23E1">
        <w:rPr>
          <w:lang w:eastAsia="ja-JP"/>
        </w:rPr>
        <w:t>galcanezumab</w:t>
      </w:r>
      <w:proofErr w:type="spellEnd"/>
      <w:r w:rsidR="005B23E1">
        <w:rPr>
          <w:lang w:eastAsia="ja-JP"/>
        </w:rPr>
        <w:t xml:space="preserve"> 63.6% versus</w:t>
      </w:r>
      <w:r w:rsidRPr="005B23E1">
        <w:rPr>
          <w:lang w:eastAsia="ja-JP"/>
        </w:rPr>
        <w:t xml:space="preserve"> placebo 57%)</w:t>
      </w:r>
      <w:r w:rsidR="0007206D" w:rsidRPr="005B23E1">
        <w:rPr>
          <w:lang w:eastAsia="ja-JP"/>
        </w:rPr>
        <w:t>.</w:t>
      </w:r>
    </w:p>
    <w:p w14:paraId="5469CFE1" w14:textId="5DA79143" w:rsidR="003D2663" w:rsidRPr="005B23E1" w:rsidRDefault="007F1E71" w:rsidP="007F1E71">
      <w:pPr>
        <w:pStyle w:val="TableTitle"/>
        <w:rPr>
          <w:lang w:eastAsia="ja-JP"/>
        </w:rPr>
      </w:pPr>
      <w:r>
        <w:lastRenderedPageBreak/>
        <w:t xml:space="preserve">Table </w:t>
      </w:r>
      <w:fldSimple w:instr=" SEQ Table \* ARABIC ">
        <w:r>
          <w:rPr>
            <w:noProof/>
          </w:rPr>
          <w:t>27</w:t>
        </w:r>
      </w:fldSimple>
      <w:r w:rsidR="003D2663">
        <w:rPr>
          <w:lang w:eastAsia="ja-JP"/>
        </w:rPr>
        <w:t>: Overview of adverse events</w:t>
      </w:r>
      <w:r w:rsidR="00B54493">
        <w:rPr>
          <w:lang w:eastAsia="ja-JP"/>
        </w:rPr>
        <w:t>,</w:t>
      </w:r>
      <w:r w:rsidR="003D2663">
        <w:rPr>
          <w:lang w:eastAsia="ja-JP"/>
        </w:rPr>
        <w:t xml:space="preserve"> safety population</w:t>
      </w:r>
      <w:r w:rsidR="00B54493">
        <w:rPr>
          <w:lang w:eastAsia="ja-JP"/>
        </w:rPr>
        <w:t>,</w:t>
      </w:r>
      <w:r w:rsidR="003D2663">
        <w:rPr>
          <w:lang w:eastAsia="ja-JP"/>
        </w:rPr>
        <w:t xml:space="preserve"> Analysis Set A (Studi</w:t>
      </w:r>
      <w:r w:rsidR="00BE161F">
        <w:rPr>
          <w:lang w:eastAsia="ja-JP"/>
        </w:rPr>
        <w:t>es</w:t>
      </w:r>
      <w:r w:rsidR="00B54493">
        <w:rPr>
          <w:lang w:eastAsia="ja-JP"/>
        </w:rPr>
        <w:t> </w:t>
      </w:r>
      <w:r w:rsidR="00BE161F">
        <w:rPr>
          <w:lang w:eastAsia="ja-JP"/>
        </w:rPr>
        <w:t xml:space="preserve">CGAG, CGAH, and CGAI) double </w:t>
      </w:r>
      <w:r w:rsidR="003D2663">
        <w:rPr>
          <w:lang w:eastAsia="ja-JP"/>
        </w:rPr>
        <w:t>blind treatment phase</w:t>
      </w:r>
    </w:p>
    <w:p w14:paraId="7A58C759" w14:textId="77777777" w:rsidR="005630A4" w:rsidRDefault="005630A4" w:rsidP="005630A4">
      <w:pPr>
        <w:jc w:val="both"/>
        <w:rPr>
          <w:lang w:eastAsia="ja-JP"/>
        </w:rPr>
      </w:pPr>
      <w:r>
        <w:rPr>
          <w:noProof/>
          <w:lang w:eastAsia="en-AU"/>
        </w:rPr>
        <w:drawing>
          <wp:inline distT="0" distB="0" distL="0" distR="0" wp14:anchorId="18D6A480" wp14:editId="7D7192E5">
            <wp:extent cx="5400040" cy="2076247"/>
            <wp:effectExtent l="0" t="0" r="0" b="635"/>
            <wp:docPr id="46" name="Picture 46" descr="Overview of adverse events safety population Analysis Set A (Studies CGAG, CGAH, and CGAI) double-blind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2076247"/>
                    </a:xfrm>
                    <a:prstGeom prst="rect">
                      <a:avLst/>
                    </a:prstGeom>
                    <a:noFill/>
                    <a:ln>
                      <a:noFill/>
                    </a:ln>
                  </pic:spPr>
                </pic:pic>
              </a:graphicData>
            </a:graphic>
          </wp:inline>
        </w:drawing>
      </w:r>
    </w:p>
    <w:p w14:paraId="3AE48EA7" w14:textId="77777777" w:rsidR="005630A4" w:rsidRPr="007552DB" w:rsidRDefault="007552DB" w:rsidP="008C7731">
      <w:pPr>
        <w:rPr>
          <w:lang w:eastAsia="ja-JP"/>
        </w:rPr>
      </w:pPr>
      <w:r>
        <w:rPr>
          <w:lang w:eastAsia="ja-JP"/>
        </w:rPr>
        <w:t>The difference between the 240 mg and 120 </w:t>
      </w:r>
      <w:r w:rsidR="005630A4" w:rsidRPr="007552DB">
        <w:rPr>
          <w:lang w:eastAsia="ja-JP"/>
        </w:rPr>
        <w:t>mg dose groups was significant for both injection site reaction and constipation, with a higher in</w:t>
      </w:r>
      <w:r>
        <w:rPr>
          <w:lang w:eastAsia="ja-JP"/>
        </w:rPr>
        <w:t xml:space="preserve">cidence in the </w:t>
      </w:r>
      <w:proofErr w:type="spellStart"/>
      <w:r>
        <w:rPr>
          <w:lang w:eastAsia="ja-JP"/>
        </w:rPr>
        <w:t>galcanezumab</w:t>
      </w:r>
      <w:proofErr w:type="spellEnd"/>
      <w:r>
        <w:rPr>
          <w:lang w:eastAsia="ja-JP"/>
        </w:rPr>
        <w:t xml:space="preserve"> 240 </w:t>
      </w:r>
      <w:r w:rsidR="005630A4" w:rsidRPr="007552DB">
        <w:rPr>
          <w:lang w:eastAsia="ja-JP"/>
        </w:rPr>
        <w:t>mg dose group (6.2% and 1.5%, respectively) c</w:t>
      </w:r>
      <w:r>
        <w:rPr>
          <w:lang w:eastAsia="ja-JP"/>
        </w:rPr>
        <w:t xml:space="preserve">ompared to the </w:t>
      </w:r>
      <w:proofErr w:type="spellStart"/>
      <w:r>
        <w:rPr>
          <w:lang w:eastAsia="ja-JP"/>
        </w:rPr>
        <w:t>galcanezumab</w:t>
      </w:r>
      <w:proofErr w:type="spellEnd"/>
      <w:r>
        <w:rPr>
          <w:lang w:eastAsia="ja-JP"/>
        </w:rPr>
        <w:t xml:space="preserve"> 120 </w:t>
      </w:r>
      <w:r w:rsidR="005630A4" w:rsidRPr="007552DB">
        <w:rPr>
          <w:lang w:eastAsia="ja-JP"/>
        </w:rPr>
        <w:t>mg dose group (3.1% and 1.0%, respectively).</w:t>
      </w:r>
    </w:p>
    <w:p w14:paraId="6D41771B" w14:textId="77777777" w:rsidR="005630A4" w:rsidRDefault="007552DB" w:rsidP="008C7731">
      <w:pPr>
        <w:rPr>
          <w:lang w:eastAsia="ja-JP"/>
        </w:rPr>
      </w:pPr>
      <w:r>
        <w:rPr>
          <w:lang w:eastAsia="ja-JP"/>
        </w:rPr>
        <w:t>SAEs</w:t>
      </w:r>
      <w:r w:rsidR="005630A4">
        <w:rPr>
          <w:lang w:eastAsia="ja-JP"/>
        </w:rPr>
        <w:t xml:space="preserve"> were uncommon, highly variable with no overall pattern of excess in any organ category. Only one SAE occurred in more than a single </w:t>
      </w:r>
      <w:proofErr w:type="spellStart"/>
      <w:r w:rsidR="005630A4">
        <w:rPr>
          <w:lang w:eastAsia="ja-JP"/>
        </w:rPr>
        <w:t>galcanezumab</w:t>
      </w:r>
      <w:proofErr w:type="spellEnd"/>
      <w:r w:rsidR="005630A4">
        <w:rPr>
          <w:lang w:eastAsia="ja-JP"/>
        </w:rPr>
        <w:t xml:space="preserve"> recipient: there were two patients with acute pancreatitis.</w:t>
      </w:r>
    </w:p>
    <w:p w14:paraId="038329DE" w14:textId="36505C8C" w:rsidR="0007206D" w:rsidRPr="007552DB" w:rsidRDefault="005630A4" w:rsidP="008C7731">
      <w:r w:rsidRPr="007552DB">
        <w:t xml:space="preserve">No deaths were reported in any of the six migraine studies, but two deaths were reported across the entire </w:t>
      </w:r>
      <w:proofErr w:type="spellStart"/>
      <w:r w:rsidRPr="007552DB">
        <w:t>galcanezumab</w:t>
      </w:r>
      <w:proofErr w:type="spellEnd"/>
      <w:r w:rsidRPr="007552DB">
        <w:t xml:space="preserve"> development program: o</w:t>
      </w:r>
      <w:r w:rsidR="007552DB">
        <w:t xml:space="preserve">ne death in a cluster headache </w:t>
      </w:r>
      <w:r w:rsidR="00B54493">
        <w:t>s</w:t>
      </w:r>
      <w:r w:rsidR="00B54493" w:rsidRPr="007552DB">
        <w:t xml:space="preserve">tudy </w:t>
      </w:r>
      <w:r w:rsidRPr="007552DB">
        <w:t>(</w:t>
      </w:r>
      <w:r w:rsidR="00B54493">
        <w:t xml:space="preserve">Study </w:t>
      </w:r>
      <w:r w:rsidRPr="007552DB">
        <w:t xml:space="preserve">CGAM), and </w:t>
      </w:r>
      <w:r w:rsidR="007552DB">
        <w:t xml:space="preserve">one in a clinical pharmacology </w:t>
      </w:r>
      <w:r w:rsidR="00B54493">
        <w:t>s</w:t>
      </w:r>
      <w:r w:rsidRPr="007552DB">
        <w:t>tudy (</w:t>
      </w:r>
      <w:r w:rsidR="00B54493">
        <w:t xml:space="preserve">Study </w:t>
      </w:r>
      <w:r w:rsidRPr="007552DB">
        <w:t xml:space="preserve">CGAQ). </w:t>
      </w:r>
      <w:r w:rsidRPr="007552DB">
        <w:rPr>
          <w:rFonts w:cs="Cambria"/>
        </w:rPr>
        <w:t>The event in Study CGAQ (accident</w:t>
      </w:r>
      <w:r w:rsidRPr="007552DB">
        <w:t xml:space="preserve">al drowning) was reported per police autopsy report in a study subject who received a single dose of </w:t>
      </w:r>
      <w:proofErr w:type="spellStart"/>
      <w:r w:rsidRPr="007552DB">
        <w:t>galcanezumab</w:t>
      </w:r>
      <w:proofErr w:type="spellEnd"/>
      <w:r w:rsidRPr="007552DB">
        <w:t xml:space="preserve"> (15 days prior to the death); the subject had reported no AEs during the study. But the </w:t>
      </w:r>
      <w:r w:rsidR="007543B4">
        <w:t>Delegate</w:t>
      </w:r>
      <w:r w:rsidRPr="007552DB">
        <w:t xml:space="preserve"> also notes that FDA reviewer has questioned causality and deemed the cause of the death as undetermined and the relationship to study drug is unknown</w:t>
      </w:r>
      <w:r w:rsidR="0007206D" w:rsidRPr="007552DB">
        <w:t>.</w:t>
      </w:r>
    </w:p>
    <w:p w14:paraId="59E9E238" w14:textId="77777777" w:rsidR="005630A4" w:rsidRDefault="005630A4" w:rsidP="008C7731">
      <w:pPr>
        <w:rPr>
          <w:lang w:eastAsia="ja-JP"/>
        </w:rPr>
      </w:pPr>
      <w:r>
        <w:t>Disco</w:t>
      </w:r>
      <w:r w:rsidR="007552DB">
        <w:t>ntinuations due to AEs</w:t>
      </w:r>
      <w:r>
        <w:t xml:space="preserve"> were slightly more common in </w:t>
      </w:r>
      <w:proofErr w:type="spellStart"/>
      <w:r>
        <w:t>galcanezumab</w:t>
      </w:r>
      <w:proofErr w:type="spellEnd"/>
      <w:r>
        <w:t xml:space="preserve"> recipients (≤</w:t>
      </w:r>
      <w:r w:rsidR="007552DB">
        <w:t> </w:t>
      </w:r>
      <w:r>
        <w:t>3.0%) than placebo recipients (&lt;</w:t>
      </w:r>
      <w:r w:rsidR="007552DB">
        <w:t> </w:t>
      </w:r>
      <w:r>
        <w:t xml:space="preserve">2.0%). The most common AEs leading to discontinuation among </w:t>
      </w:r>
      <w:proofErr w:type="spellStart"/>
      <w:r>
        <w:t>galcanezumab</w:t>
      </w:r>
      <w:proofErr w:type="spellEnd"/>
      <w:r>
        <w:t xml:space="preserve"> patients were injection site reactions and hepatic enzyme increase. </w:t>
      </w:r>
      <w:r w:rsidR="003D0694">
        <w:t>There was n</w:t>
      </w:r>
      <w:r>
        <w:t>o</w:t>
      </w:r>
      <w:r>
        <w:rPr>
          <w:lang w:eastAsia="ja-JP"/>
        </w:rPr>
        <w:t xml:space="preserve"> clear signal of potential hepatotoxicity for </w:t>
      </w:r>
      <w:proofErr w:type="spellStart"/>
      <w:r>
        <w:rPr>
          <w:lang w:eastAsia="ja-JP"/>
        </w:rPr>
        <w:t>galcanezumab</w:t>
      </w:r>
      <w:proofErr w:type="spellEnd"/>
      <w:r>
        <w:rPr>
          <w:lang w:eastAsia="ja-JP"/>
        </w:rPr>
        <w:t>.</w:t>
      </w:r>
    </w:p>
    <w:p w14:paraId="7C985D80" w14:textId="2F24EA6D" w:rsidR="0007206D" w:rsidRDefault="005630A4" w:rsidP="008C7731">
      <w:pPr>
        <w:rPr>
          <w:lang w:eastAsia="ja-JP"/>
        </w:rPr>
      </w:pPr>
      <w:r>
        <w:rPr>
          <w:lang w:eastAsia="ja-JP"/>
        </w:rPr>
        <w:t xml:space="preserve">No clinically meaningful differences or consistent trends between </w:t>
      </w:r>
      <w:proofErr w:type="spellStart"/>
      <w:r>
        <w:rPr>
          <w:lang w:eastAsia="ja-JP"/>
        </w:rPr>
        <w:t>galcanezumab</w:t>
      </w:r>
      <w:proofErr w:type="spellEnd"/>
      <w:r>
        <w:rPr>
          <w:lang w:eastAsia="ja-JP"/>
        </w:rPr>
        <w:t xml:space="preserve"> and placebo in changes </w:t>
      </w:r>
      <w:r w:rsidR="00D80561">
        <w:rPr>
          <w:lang w:eastAsia="ja-JP"/>
        </w:rPr>
        <w:t>from Baseline</w:t>
      </w:r>
      <w:r>
        <w:rPr>
          <w:lang w:eastAsia="ja-JP"/>
        </w:rPr>
        <w:t xml:space="preserve"> in chemistry, </w:t>
      </w:r>
      <w:r w:rsidR="007552DB">
        <w:rPr>
          <w:lang w:eastAsia="ja-JP"/>
        </w:rPr>
        <w:t>haematology</w:t>
      </w:r>
      <w:r>
        <w:rPr>
          <w:lang w:eastAsia="ja-JP"/>
        </w:rPr>
        <w:t>, coagulation, urinalysis laboratory parameters, vital signs or ECG changes</w:t>
      </w:r>
      <w:r w:rsidR="0007206D">
        <w:rPr>
          <w:lang w:eastAsia="ja-JP"/>
        </w:rPr>
        <w:t>.</w:t>
      </w:r>
    </w:p>
    <w:p w14:paraId="7C47EB90" w14:textId="77777777" w:rsidR="005630A4" w:rsidRDefault="005630A4" w:rsidP="008C7731">
      <w:pPr>
        <w:rPr>
          <w:lang w:eastAsia="ja-JP"/>
        </w:rPr>
      </w:pPr>
      <w:r>
        <w:rPr>
          <w:lang w:eastAsia="ja-JP"/>
        </w:rPr>
        <w:t xml:space="preserve">Similar to other </w:t>
      </w:r>
      <w:proofErr w:type="spellStart"/>
      <w:r w:rsidR="00B6138F">
        <w:rPr>
          <w:lang w:eastAsia="ja-JP"/>
        </w:rPr>
        <w:t>mAbs</w:t>
      </w:r>
      <w:proofErr w:type="spellEnd"/>
      <w:r>
        <w:rPr>
          <w:lang w:eastAsia="ja-JP"/>
        </w:rPr>
        <w:t xml:space="preserve">, </w:t>
      </w:r>
      <w:proofErr w:type="spellStart"/>
      <w:r>
        <w:rPr>
          <w:lang w:eastAsia="ja-JP"/>
        </w:rPr>
        <w:t>galcanezumab</w:t>
      </w:r>
      <w:proofErr w:type="spellEnd"/>
      <w:r>
        <w:rPr>
          <w:lang w:eastAsia="ja-JP"/>
        </w:rPr>
        <w:t xml:space="preserve"> could potentially increase the risk of anaphylaxis, though this was not observed in the study program and hypersensitivity events appeared to be infrequent. </w:t>
      </w:r>
      <w:r w:rsidR="007552DB">
        <w:rPr>
          <w:lang w:eastAsia="ja-JP"/>
        </w:rPr>
        <w:t xml:space="preserve">The </w:t>
      </w:r>
      <w:r>
        <w:rPr>
          <w:lang w:eastAsia="ja-JP"/>
        </w:rPr>
        <w:t xml:space="preserve">Delegate agrees with the clinical evaluator that this risk is appropriately documented in </w:t>
      </w:r>
      <w:r w:rsidR="007552DB">
        <w:rPr>
          <w:lang w:eastAsia="ja-JP"/>
        </w:rPr>
        <w:t>the PI</w:t>
      </w:r>
      <w:r>
        <w:rPr>
          <w:lang w:eastAsia="ja-JP"/>
        </w:rPr>
        <w:t xml:space="preserve">. The PI also carries appropriate warnings about the potential for skin reactions, listing </w:t>
      </w:r>
      <w:proofErr w:type="spellStart"/>
      <w:r>
        <w:rPr>
          <w:lang w:eastAsia="ja-JP"/>
        </w:rPr>
        <w:t>urticaria</w:t>
      </w:r>
      <w:proofErr w:type="spellEnd"/>
      <w:r>
        <w:rPr>
          <w:lang w:eastAsia="ja-JP"/>
        </w:rPr>
        <w:t xml:space="preserve"> and pruritus as drug reactions.</w:t>
      </w:r>
    </w:p>
    <w:p w14:paraId="6E24DB16" w14:textId="77777777" w:rsidR="00456765" w:rsidRPr="00456765" w:rsidRDefault="007552DB" w:rsidP="008C7731">
      <w:pPr>
        <w:rPr>
          <w:lang w:eastAsia="ja-JP"/>
        </w:rPr>
      </w:pPr>
      <w:r>
        <w:rPr>
          <w:lang w:eastAsia="ja-JP"/>
        </w:rPr>
        <w:t xml:space="preserve">The </w:t>
      </w:r>
      <w:r w:rsidR="005630A4">
        <w:rPr>
          <w:lang w:eastAsia="ja-JP"/>
        </w:rPr>
        <w:t xml:space="preserve">Delegate noted that there was discrepancy in the strength of warning with regards to pregnancy and lactation between </w:t>
      </w:r>
      <w:r w:rsidR="008C7731">
        <w:rPr>
          <w:lang w:eastAsia="ja-JP"/>
        </w:rPr>
        <w:t>PI</w:t>
      </w:r>
      <w:r w:rsidR="005630A4">
        <w:rPr>
          <w:lang w:eastAsia="ja-JP"/>
        </w:rPr>
        <w:t xml:space="preserve"> and </w:t>
      </w:r>
      <w:r w:rsidR="008C7731">
        <w:rPr>
          <w:lang w:eastAsia="ja-JP"/>
        </w:rPr>
        <w:t>CMI</w:t>
      </w:r>
      <w:r w:rsidR="005630A4">
        <w:rPr>
          <w:lang w:eastAsia="ja-JP"/>
        </w:rPr>
        <w:t xml:space="preserve">. CMI was appropriately worded but PI still carried ambiguity over the risk. It has been resolved in subsequent interaction between RMP, sponsor and clinical evaluator to maintain the consistency with the similar class of drug such as recently approved </w:t>
      </w:r>
      <w:proofErr w:type="spellStart"/>
      <w:r>
        <w:rPr>
          <w:lang w:eastAsia="ja-JP"/>
        </w:rPr>
        <w:t>Aimovig</w:t>
      </w:r>
      <w:proofErr w:type="spellEnd"/>
      <w:r w:rsidR="005630A4">
        <w:rPr>
          <w:lang w:eastAsia="ja-JP"/>
        </w:rPr>
        <w:t>.</w:t>
      </w:r>
    </w:p>
    <w:p w14:paraId="16F5CADD" w14:textId="77777777" w:rsidR="008E7846" w:rsidRDefault="00386150" w:rsidP="007B6132">
      <w:pPr>
        <w:pStyle w:val="Heading3"/>
        <w:rPr>
          <w:lang w:eastAsia="en-AU"/>
        </w:rPr>
      </w:pPr>
      <w:bookmarkStart w:id="229" w:name="_Toc20822189"/>
      <w:r>
        <w:rPr>
          <w:lang w:eastAsia="en-AU"/>
        </w:rPr>
        <w:lastRenderedPageBreak/>
        <w:t>Risk m</w:t>
      </w:r>
      <w:r w:rsidR="008E7846">
        <w:rPr>
          <w:lang w:eastAsia="en-AU"/>
        </w:rPr>
        <w:t xml:space="preserve">anagement </w:t>
      </w:r>
      <w:r>
        <w:rPr>
          <w:lang w:eastAsia="en-AU"/>
        </w:rPr>
        <w:t>p</w:t>
      </w:r>
      <w:r w:rsidR="008E7846">
        <w:rPr>
          <w:lang w:eastAsia="en-AU"/>
        </w:rPr>
        <w:t>lan</w:t>
      </w:r>
      <w:bookmarkEnd w:id="218"/>
      <w:bookmarkEnd w:id="229"/>
    </w:p>
    <w:p w14:paraId="6E743B1A" w14:textId="51163390" w:rsidR="005630A4" w:rsidRDefault="005630A4" w:rsidP="00572B43">
      <w:pPr>
        <w:pStyle w:val="ListBullet"/>
      </w:pPr>
      <w:r w:rsidRPr="00355156">
        <w:t xml:space="preserve">The proposed summary of safety concerns and their associated risk monitoring and mitigation strategies are summarised </w:t>
      </w:r>
      <w:r w:rsidR="002F2AC8">
        <w:t>in</w:t>
      </w:r>
      <w:r w:rsidR="007F1E71">
        <w:t xml:space="preserve"> </w:t>
      </w:r>
      <w:r w:rsidR="007F1E71">
        <w:fldChar w:fldCharType="begin"/>
      </w:r>
      <w:r w:rsidR="007F1E71">
        <w:instrText xml:space="preserve"> REF _Ref19013329 \h </w:instrText>
      </w:r>
      <w:r w:rsidR="007F1E71">
        <w:fldChar w:fldCharType="separate"/>
      </w:r>
      <w:r w:rsidR="007F1E71">
        <w:t xml:space="preserve">Table </w:t>
      </w:r>
      <w:r w:rsidR="007F1E71">
        <w:rPr>
          <w:noProof/>
        </w:rPr>
        <w:t>28</w:t>
      </w:r>
      <w:r w:rsidR="007F1E71">
        <w:fldChar w:fldCharType="end"/>
      </w:r>
      <w:r w:rsidR="007552DB">
        <w:t>.</w:t>
      </w:r>
    </w:p>
    <w:p w14:paraId="7C0C44D6" w14:textId="1168067A" w:rsidR="00F0221F" w:rsidRPr="00355156" w:rsidRDefault="007F1E71" w:rsidP="007F1E71">
      <w:pPr>
        <w:pStyle w:val="TableTitle"/>
      </w:pPr>
      <w:bookmarkStart w:id="230" w:name="_Ref19013329"/>
      <w:r>
        <w:t xml:space="preserve">Table </w:t>
      </w:r>
      <w:fldSimple w:instr=" SEQ Table \* ARABIC ">
        <w:r>
          <w:rPr>
            <w:noProof/>
          </w:rPr>
          <w:t>28</w:t>
        </w:r>
      </w:fldSimple>
      <w:bookmarkEnd w:id="230"/>
      <w:r w:rsidR="00F0221F">
        <w:t>: Summary of safety concerns</w:t>
      </w:r>
    </w:p>
    <w:tbl>
      <w:tblPr>
        <w:tblStyle w:val="TableTGAblue"/>
        <w:tblW w:w="8649" w:type="dxa"/>
        <w:tblLayout w:type="fixed"/>
        <w:tblLook w:val="04A0" w:firstRow="1" w:lastRow="0" w:firstColumn="1" w:lastColumn="0" w:noHBand="0" w:noVBand="1"/>
      </w:tblPr>
      <w:tblGrid>
        <w:gridCol w:w="1668"/>
        <w:gridCol w:w="2409"/>
        <w:gridCol w:w="993"/>
        <w:gridCol w:w="1275"/>
        <w:gridCol w:w="993"/>
        <w:gridCol w:w="1311"/>
      </w:tblGrid>
      <w:tr w:rsidR="005630A4" w:rsidRPr="00922427" w14:paraId="4BEBFB20" w14:textId="77777777" w:rsidTr="00302FE3">
        <w:trPr>
          <w:cnfStyle w:val="100000000000" w:firstRow="1" w:lastRow="0" w:firstColumn="0" w:lastColumn="0" w:oddVBand="0" w:evenVBand="0" w:oddHBand="0" w:evenHBand="0" w:firstRowFirstColumn="0" w:firstRowLastColumn="0" w:lastRowFirstColumn="0" w:lastRowLastColumn="0"/>
          <w:trHeight w:val="92"/>
        </w:trPr>
        <w:tc>
          <w:tcPr>
            <w:tcW w:w="4077" w:type="dxa"/>
            <w:gridSpan w:val="2"/>
            <w:vMerge w:val="restart"/>
          </w:tcPr>
          <w:p w14:paraId="7DB9B143" w14:textId="77777777" w:rsidR="005630A4" w:rsidRPr="00BB02D9" w:rsidRDefault="005630A4" w:rsidP="00A24AD4">
            <w:pPr>
              <w:pStyle w:val="Tabletext"/>
              <w:ind w:left="0" w:right="0"/>
              <w:rPr>
                <w:b w:val="0"/>
                <w:sz w:val="20"/>
                <w:szCs w:val="20"/>
              </w:rPr>
            </w:pPr>
            <w:r w:rsidRPr="00BB02D9">
              <w:rPr>
                <w:sz w:val="20"/>
                <w:szCs w:val="20"/>
              </w:rPr>
              <w:t>Summary of safety concerns</w:t>
            </w:r>
          </w:p>
        </w:tc>
        <w:tc>
          <w:tcPr>
            <w:tcW w:w="2268" w:type="dxa"/>
            <w:gridSpan w:val="2"/>
          </w:tcPr>
          <w:p w14:paraId="57D24A5B" w14:textId="77777777" w:rsidR="005630A4" w:rsidRPr="00BB02D9" w:rsidRDefault="005630A4" w:rsidP="00A24AD4">
            <w:pPr>
              <w:pStyle w:val="Tabletext"/>
              <w:ind w:left="0" w:right="0"/>
              <w:rPr>
                <w:b w:val="0"/>
                <w:sz w:val="20"/>
                <w:szCs w:val="20"/>
              </w:rPr>
            </w:pPr>
            <w:r w:rsidRPr="00BB02D9">
              <w:rPr>
                <w:sz w:val="20"/>
                <w:szCs w:val="20"/>
              </w:rPr>
              <w:t>Pharmacovigilance</w:t>
            </w:r>
          </w:p>
        </w:tc>
        <w:tc>
          <w:tcPr>
            <w:tcW w:w="2304" w:type="dxa"/>
            <w:gridSpan w:val="2"/>
          </w:tcPr>
          <w:p w14:paraId="397B5801" w14:textId="77777777" w:rsidR="005630A4" w:rsidRPr="00BB02D9" w:rsidRDefault="005630A4" w:rsidP="00A24AD4">
            <w:pPr>
              <w:pStyle w:val="Tabletext"/>
              <w:ind w:left="0" w:right="0"/>
              <w:rPr>
                <w:b w:val="0"/>
                <w:sz w:val="20"/>
                <w:szCs w:val="20"/>
              </w:rPr>
            </w:pPr>
            <w:r w:rsidRPr="00BB02D9">
              <w:rPr>
                <w:sz w:val="20"/>
                <w:szCs w:val="20"/>
              </w:rPr>
              <w:t>Risk Minimisation</w:t>
            </w:r>
          </w:p>
        </w:tc>
      </w:tr>
      <w:tr w:rsidR="005630A4" w:rsidRPr="00922427" w14:paraId="72B5CB58" w14:textId="77777777" w:rsidTr="00BB02D9">
        <w:trPr>
          <w:trHeight w:val="107"/>
        </w:trPr>
        <w:tc>
          <w:tcPr>
            <w:tcW w:w="4077" w:type="dxa"/>
            <w:gridSpan w:val="2"/>
            <w:vMerge/>
            <w:shd w:val="clear" w:color="auto" w:fill="006DA7"/>
          </w:tcPr>
          <w:p w14:paraId="370DCF85" w14:textId="77777777" w:rsidR="005630A4" w:rsidRPr="00BB02D9" w:rsidRDefault="005630A4" w:rsidP="00A24AD4">
            <w:pPr>
              <w:pStyle w:val="Tabletext"/>
              <w:ind w:left="0" w:right="0"/>
              <w:rPr>
                <w:b/>
                <w:sz w:val="20"/>
                <w:szCs w:val="20"/>
              </w:rPr>
            </w:pPr>
          </w:p>
        </w:tc>
        <w:tc>
          <w:tcPr>
            <w:tcW w:w="993" w:type="dxa"/>
            <w:shd w:val="clear" w:color="auto" w:fill="006DA7"/>
          </w:tcPr>
          <w:p w14:paraId="27DEF371" w14:textId="77777777" w:rsidR="005630A4" w:rsidRPr="00BB02D9" w:rsidRDefault="005630A4" w:rsidP="00A24AD4">
            <w:pPr>
              <w:pStyle w:val="Tabletext"/>
              <w:ind w:left="0" w:right="0"/>
              <w:rPr>
                <w:b/>
                <w:color w:val="FFFFFF" w:themeColor="background1"/>
                <w:sz w:val="20"/>
                <w:szCs w:val="20"/>
              </w:rPr>
            </w:pPr>
            <w:r w:rsidRPr="00BB02D9">
              <w:rPr>
                <w:b/>
                <w:color w:val="FFFFFF" w:themeColor="background1"/>
                <w:sz w:val="20"/>
                <w:szCs w:val="20"/>
              </w:rPr>
              <w:t>Routine</w:t>
            </w:r>
          </w:p>
        </w:tc>
        <w:tc>
          <w:tcPr>
            <w:tcW w:w="1275" w:type="dxa"/>
            <w:shd w:val="clear" w:color="auto" w:fill="006DA7"/>
          </w:tcPr>
          <w:p w14:paraId="2F2DEC86" w14:textId="77777777" w:rsidR="005630A4" w:rsidRPr="00BB02D9" w:rsidRDefault="005630A4" w:rsidP="00A24AD4">
            <w:pPr>
              <w:pStyle w:val="Tabletext"/>
              <w:ind w:left="0" w:right="0"/>
              <w:rPr>
                <w:b/>
                <w:color w:val="FFFFFF" w:themeColor="background1"/>
                <w:sz w:val="20"/>
                <w:szCs w:val="20"/>
              </w:rPr>
            </w:pPr>
            <w:r w:rsidRPr="00BB02D9">
              <w:rPr>
                <w:b/>
                <w:color w:val="FFFFFF" w:themeColor="background1"/>
                <w:sz w:val="20"/>
                <w:szCs w:val="20"/>
              </w:rPr>
              <w:t>Additional</w:t>
            </w:r>
          </w:p>
        </w:tc>
        <w:tc>
          <w:tcPr>
            <w:tcW w:w="993" w:type="dxa"/>
            <w:shd w:val="clear" w:color="auto" w:fill="006DA7"/>
          </w:tcPr>
          <w:p w14:paraId="0FD7AC8C" w14:textId="77777777" w:rsidR="005630A4" w:rsidRPr="00BB02D9" w:rsidRDefault="005630A4" w:rsidP="00A24AD4">
            <w:pPr>
              <w:pStyle w:val="Tabletext"/>
              <w:ind w:left="0" w:right="0"/>
              <w:rPr>
                <w:b/>
                <w:color w:val="FFFFFF" w:themeColor="background1"/>
                <w:sz w:val="20"/>
                <w:szCs w:val="20"/>
              </w:rPr>
            </w:pPr>
            <w:r w:rsidRPr="00BB02D9">
              <w:rPr>
                <w:b/>
                <w:color w:val="FFFFFF" w:themeColor="background1"/>
                <w:sz w:val="20"/>
                <w:szCs w:val="20"/>
              </w:rPr>
              <w:t>Routine</w:t>
            </w:r>
          </w:p>
        </w:tc>
        <w:tc>
          <w:tcPr>
            <w:tcW w:w="1311" w:type="dxa"/>
            <w:shd w:val="clear" w:color="auto" w:fill="006DA7"/>
          </w:tcPr>
          <w:p w14:paraId="60031E7F" w14:textId="77777777" w:rsidR="005630A4" w:rsidRPr="00BB02D9" w:rsidRDefault="005630A4" w:rsidP="00A24AD4">
            <w:pPr>
              <w:pStyle w:val="Tabletext"/>
              <w:ind w:left="0" w:right="0"/>
              <w:rPr>
                <w:b/>
                <w:color w:val="FFFFFF" w:themeColor="background1"/>
                <w:sz w:val="20"/>
                <w:szCs w:val="20"/>
              </w:rPr>
            </w:pPr>
            <w:r w:rsidRPr="00BB02D9">
              <w:rPr>
                <w:b/>
                <w:color w:val="FFFFFF" w:themeColor="background1"/>
                <w:sz w:val="20"/>
                <w:szCs w:val="20"/>
              </w:rPr>
              <w:t>Additional</w:t>
            </w:r>
          </w:p>
        </w:tc>
      </w:tr>
      <w:tr w:rsidR="005630A4" w:rsidRPr="00922427" w14:paraId="5CB7635C" w14:textId="77777777" w:rsidTr="007552DB">
        <w:trPr>
          <w:trHeight w:val="96"/>
        </w:trPr>
        <w:tc>
          <w:tcPr>
            <w:tcW w:w="1668" w:type="dxa"/>
          </w:tcPr>
          <w:p w14:paraId="4346EDAC" w14:textId="77777777" w:rsidR="005630A4" w:rsidRPr="007552DB" w:rsidRDefault="005630A4" w:rsidP="00A24AD4">
            <w:pPr>
              <w:ind w:left="0" w:right="0"/>
              <w:jc w:val="center"/>
              <w:rPr>
                <w:b/>
                <w:sz w:val="20"/>
                <w:szCs w:val="20"/>
              </w:rPr>
            </w:pPr>
            <w:r w:rsidRPr="007552DB">
              <w:rPr>
                <w:b/>
                <w:sz w:val="20"/>
                <w:szCs w:val="20"/>
              </w:rPr>
              <w:t>Important identified risks</w:t>
            </w:r>
          </w:p>
        </w:tc>
        <w:tc>
          <w:tcPr>
            <w:tcW w:w="2409" w:type="dxa"/>
          </w:tcPr>
          <w:p w14:paraId="1318BF52" w14:textId="77777777" w:rsidR="005630A4" w:rsidRPr="00922427" w:rsidRDefault="005630A4" w:rsidP="00A24AD4">
            <w:pPr>
              <w:ind w:left="0" w:right="0"/>
              <w:rPr>
                <w:sz w:val="20"/>
                <w:szCs w:val="20"/>
              </w:rPr>
            </w:pPr>
            <w:r w:rsidRPr="00922427">
              <w:rPr>
                <w:sz w:val="20"/>
                <w:szCs w:val="20"/>
              </w:rPr>
              <w:t>None</w:t>
            </w:r>
          </w:p>
        </w:tc>
        <w:tc>
          <w:tcPr>
            <w:tcW w:w="993" w:type="dxa"/>
          </w:tcPr>
          <w:p w14:paraId="37706C7B" w14:textId="77777777" w:rsidR="005630A4" w:rsidRPr="00922427" w:rsidRDefault="005630A4" w:rsidP="00A24AD4">
            <w:pPr>
              <w:pStyle w:val="Tabletext"/>
              <w:ind w:left="0" w:right="0"/>
              <w:jc w:val="center"/>
              <w:rPr>
                <w:sz w:val="20"/>
                <w:szCs w:val="20"/>
              </w:rPr>
            </w:pPr>
            <w:r w:rsidRPr="00922427">
              <w:rPr>
                <w:sz w:val="20"/>
                <w:szCs w:val="20"/>
              </w:rPr>
              <w:t>–</w:t>
            </w:r>
          </w:p>
        </w:tc>
        <w:tc>
          <w:tcPr>
            <w:tcW w:w="1275" w:type="dxa"/>
          </w:tcPr>
          <w:p w14:paraId="6EFE6D4B" w14:textId="77777777" w:rsidR="005630A4" w:rsidRPr="00922427" w:rsidRDefault="005630A4" w:rsidP="00A24AD4">
            <w:pPr>
              <w:pStyle w:val="Tabletext"/>
              <w:ind w:left="0" w:right="0"/>
              <w:jc w:val="center"/>
              <w:rPr>
                <w:sz w:val="20"/>
                <w:szCs w:val="20"/>
              </w:rPr>
            </w:pPr>
            <w:r w:rsidRPr="00922427">
              <w:rPr>
                <w:sz w:val="20"/>
                <w:szCs w:val="20"/>
              </w:rPr>
              <w:t>–</w:t>
            </w:r>
          </w:p>
        </w:tc>
        <w:tc>
          <w:tcPr>
            <w:tcW w:w="993" w:type="dxa"/>
          </w:tcPr>
          <w:p w14:paraId="31B3C272" w14:textId="77777777" w:rsidR="005630A4" w:rsidRPr="00922427" w:rsidRDefault="005630A4" w:rsidP="00A24AD4">
            <w:pPr>
              <w:pStyle w:val="Tabletext"/>
              <w:ind w:left="0" w:right="0"/>
              <w:jc w:val="center"/>
              <w:rPr>
                <w:sz w:val="20"/>
                <w:szCs w:val="20"/>
              </w:rPr>
            </w:pPr>
            <w:r w:rsidRPr="00922427">
              <w:rPr>
                <w:sz w:val="20"/>
                <w:szCs w:val="20"/>
              </w:rPr>
              <w:t>–</w:t>
            </w:r>
          </w:p>
        </w:tc>
        <w:tc>
          <w:tcPr>
            <w:tcW w:w="1311" w:type="dxa"/>
          </w:tcPr>
          <w:p w14:paraId="58374DFA" w14:textId="77777777" w:rsidR="005630A4" w:rsidRPr="00922427" w:rsidRDefault="005630A4" w:rsidP="00A24AD4">
            <w:pPr>
              <w:pStyle w:val="Tabletext"/>
              <w:ind w:left="0" w:right="0"/>
              <w:jc w:val="center"/>
              <w:rPr>
                <w:sz w:val="20"/>
                <w:szCs w:val="20"/>
              </w:rPr>
            </w:pPr>
            <w:r w:rsidRPr="00922427">
              <w:rPr>
                <w:sz w:val="20"/>
                <w:szCs w:val="20"/>
              </w:rPr>
              <w:t>–</w:t>
            </w:r>
          </w:p>
        </w:tc>
      </w:tr>
      <w:tr w:rsidR="005630A4" w:rsidRPr="00922427" w14:paraId="70B93E24" w14:textId="77777777" w:rsidTr="007552DB">
        <w:trPr>
          <w:trHeight w:val="112"/>
        </w:trPr>
        <w:tc>
          <w:tcPr>
            <w:tcW w:w="1668" w:type="dxa"/>
            <w:vMerge w:val="restart"/>
          </w:tcPr>
          <w:p w14:paraId="026B9DB6" w14:textId="77777777" w:rsidR="005630A4" w:rsidRPr="007552DB" w:rsidRDefault="005630A4" w:rsidP="00A24AD4">
            <w:pPr>
              <w:ind w:left="0" w:right="0"/>
              <w:jc w:val="center"/>
              <w:rPr>
                <w:b/>
                <w:sz w:val="20"/>
                <w:szCs w:val="20"/>
              </w:rPr>
            </w:pPr>
            <w:r w:rsidRPr="007552DB">
              <w:rPr>
                <w:b/>
                <w:sz w:val="20"/>
                <w:szCs w:val="20"/>
              </w:rPr>
              <w:t>Important potential risks</w:t>
            </w:r>
          </w:p>
        </w:tc>
        <w:tc>
          <w:tcPr>
            <w:tcW w:w="2409" w:type="dxa"/>
          </w:tcPr>
          <w:p w14:paraId="758E080F" w14:textId="77777777" w:rsidR="005630A4" w:rsidRPr="00922427" w:rsidRDefault="005630A4" w:rsidP="00A24AD4">
            <w:pPr>
              <w:ind w:left="0" w:right="0"/>
              <w:rPr>
                <w:sz w:val="20"/>
                <w:szCs w:val="20"/>
              </w:rPr>
            </w:pPr>
            <w:r w:rsidRPr="00922427">
              <w:rPr>
                <w:sz w:val="20"/>
                <w:szCs w:val="20"/>
              </w:rPr>
              <w:t>Serious hypersensitivity</w:t>
            </w:r>
          </w:p>
        </w:tc>
        <w:tc>
          <w:tcPr>
            <w:tcW w:w="993" w:type="dxa"/>
          </w:tcPr>
          <w:p w14:paraId="64D82973" w14:textId="77777777" w:rsidR="005630A4" w:rsidRPr="00922427" w:rsidRDefault="005630A4" w:rsidP="00A24AD4">
            <w:pPr>
              <w:pStyle w:val="Tabletext"/>
              <w:ind w:left="0" w:right="0"/>
              <w:jc w:val="center"/>
              <w:rPr>
                <w:sz w:val="20"/>
                <w:szCs w:val="20"/>
                <w:vertAlign w:val="superscript"/>
              </w:rPr>
            </w:pPr>
            <w:r w:rsidRPr="00922427">
              <w:rPr>
                <w:sz w:val="20"/>
                <w:szCs w:val="20"/>
              </w:rPr>
              <w:sym w:font="Wingdings" w:char="F0FC"/>
            </w:r>
            <w:r w:rsidRPr="00922427">
              <w:rPr>
                <w:sz w:val="20"/>
                <w:szCs w:val="20"/>
                <w:vertAlign w:val="superscript"/>
              </w:rPr>
              <w:t>2</w:t>
            </w:r>
          </w:p>
        </w:tc>
        <w:tc>
          <w:tcPr>
            <w:tcW w:w="1275" w:type="dxa"/>
          </w:tcPr>
          <w:p w14:paraId="53BB173D" w14:textId="77777777" w:rsidR="005630A4" w:rsidRPr="00922427" w:rsidRDefault="005630A4" w:rsidP="00A24AD4">
            <w:pPr>
              <w:pStyle w:val="Tabletext"/>
              <w:ind w:left="0" w:right="0"/>
              <w:jc w:val="center"/>
              <w:rPr>
                <w:sz w:val="20"/>
                <w:szCs w:val="20"/>
                <w:vertAlign w:val="superscript"/>
              </w:rPr>
            </w:pPr>
            <w:r w:rsidRPr="00922427">
              <w:rPr>
                <w:sz w:val="20"/>
                <w:szCs w:val="20"/>
              </w:rPr>
              <w:sym w:font="Wingdings" w:char="F0FC"/>
            </w:r>
            <w:r w:rsidRPr="00922427">
              <w:rPr>
                <w:sz w:val="20"/>
                <w:szCs w:val="20"/>
                <w:vertAlign w:val="superscript"/>
              </w:rPr>
              <w:t>3</w:t>
            </w:r>
          </w:p>
        </w:tc>
        <w:tc>
          <w:tcPr>
            <w:tcW w:w="993" w:type="dxa"/>
          </w:tcPr>
          <w:p w14:paraId="4B775FAB" w14:textId="77777777" w:rsidR="005630A4" w:rsidRPr="00922427" w:rsidRDefault="005630A4" w:rsidP="00A24AD4">
            <w:pPr>
              <w:pStyle w:val="Tabletext"/>
              <w:ind w:left="0" w:right="0"/>
              <w:jc w:val="center"/>
              <w:rPr>
                <w:sz w:val="20"/>
                <w:szCs w:val="20"/>
              </w:rPr>
            </w:pPr>
            <w:r w:rsidRPr="00922427">
              <w:rPr>
                <w:sz w:val="20"/>
                <w:szCs w:val="20"/>
              </w:rPr>
              <w:sym w:font="Wingdings" w:char="F0FC"/>
            </w:r>
          </w:p>
        </w:tc>
        <w:tc>
          <w:tcPr>
            <w:tcW w:w="1311" w:type="dxa"/>
          </w:tcPr>
          <w:p w14:paraId="3D9DFB2A" w14:textId="77777777" w:rsidR="005630A4" w:rsidRPr="00922427" w:rsidRDefault="005630A4" w:rsidP="00A24AD4">
            <w:pPr>
              <w:pStyle w:val="Tabletext"/>
              <w:ind w:left="0" w:right="0"/>
              <w:jc w:val="center"/>
              <w:rPr>
                <w:sz w:val="20"/>
                <w:szCs w:val="20"/>
              </w:rPr>
            </w:pPr>
            <w:r w:rsidRPr="00922427">
              <w:rPr>
                <w:sz w:val="20"/>
                <w:szCs w:val="20"/>
              </w:rPr>
              <w:t>–</w:t>
            </w:r>
          </w:p>
        </w:tc>
      </w:tr>
      <w:tr w:rsidR="005630A4" w:rsidRPr="00922427" w14:paraId="3712E2B6" w14:textId="77777777" w:rsidTr="007552DB">
        <w:trPr>
          <w:trHeight w:val="77"/>
        </w:trPr>
        <w:tc>
          <w:tcPr>
            <w:tcW w:w="1668" w:type="dxa"/>
            <w:vMerge/>
          </w:tcPr>
          <w:p w14:paraId="0D91DAA6" w14:textId="77777777" w:rsidR="005630A4" w:rsidRPr="007552DB" w:rsidRDefault="005630A4" w:rsidP="00A24AD4">
            <w:pPr>
              <w:ind w:left="0" w:right="0"/>
              <w:jc w:val="center"/>
              <w:rPr>
                <w:b/>
                <w:sz w:val="20"/>
                <w:szCs w:val="20"/>
              </w:rPr>
            </w:pPr>
          </w:p>
        </w:tc>
        <w:tc>
          <w:tcPr>
            <w:tcW w:w="2409" w:type="dxa"/>
          </w:tcPr>
          <w:p w14:paraId="2F7DD79D" w14:textId="77777777" w:rsidR="005630A4" w:rsidRPr="00922427" w:rsidRDefault="005630A4" w:rsidP="00A24AD4">
            <w:pPr>
              <w:ind w:left="0" w:right="0"/>
              <w:rPr>
                <w:sz w:val="20"/>
                <w:szCs w:val="20"/>
              </w:rPr>
            </w:pPr>
            <w:r w:rsidRPr="00922427">
              <w:rPr>
                <w:sz w:val="20"/>
                <w:szCs w:val="20"/>
              </w:rPr>
              <w:t>Serious cardiovascular outcomes in patients at high risk of cardiovascular and cerebrovascular events, including in patients ≥ 65 years</w:t>
            </w:r>
            <w:r w:rsidRPr="007552DB">
              <w:rPr>
                <w:sz w:val="20"/>
                <w:szCs w:val="20"/>
                <w:vertAlign w:val="superscript"/>
              </w:rPr>
              <w:t>1</w:t>
            </w:r>
          </w:p>
        </w:tc>
        <w:tc>
          <w:tcPr>
            <w:tcW w:w="993" w:type="dxa"/>
          </w:tcPr>
          <w:p w14:paraId="09C57C8D" w14:textId="77777777" w:rsidR="005630A4" w:rsidRPr="00922427" w:rsidRDefault="005630A4" w:rsidP="00A24AD4">
            <w:pPr>
              <w:pStyle w:val="Tabletext"/>
              <w:ind w:left="0" w:right="0"/>
              <w:jc w:val="center"/>
              <w:rPr>
                <w:sz w:val="20"/>
                <w:szCs w:val="20"/>
                <w:vertAlign w:val="superscript"/>
              </w:rPr>
            </w:pPr>
            <w:r w:rsidRPr="00922427">
              <w:rPr>
                <w:sz w:val="20"/>
                <w:szCs w:val="20"/>
              </w:rPr>
              <w:sym w:font="Wingdings" w:char="F0FC"/>
            </w:r>
            <w:r w:rsidRPr="00922427">
              <w:rPr>
                <w:sz w:val="20"/>
                <w:szCs w:val="20"/>
                <w:vertAlign w:val="superscript"/>
              </w:rPr>
              <w:t>2</w:t>
            </w:r>
          </w:p>
        </w:tc>
        <w:tc>
          <w:tcPr>
            <w:tcW w:w="1275" w:type="dxa"/>
          </w:tcPr>
          <w:p w14:paraId="7847F0E1" w14:textId="77777777" w:rsidR="005630A4" w:rsidRPr="00922427" w:rsidRDefault="005630A4" w:rsidP="00A24AD4">
            <w:pPr>
              <w:pStyle w:val="Tabletext"/>
              <w:ind w:left="0" w:right="0"/>
              <w:jc w:val="center"/>
              <w:rPr>
                <w:sz w:val="20"/>
                <w:szCs w:val="20"/>
                <w:vertAlign w:val="superscript"/>
              </w:rPr>
            </w:pPr>
            <w:r w:rsidRPr="00922427">
              <w:rPr>
                <w:sz w:val="20"/>
                <w:szCs w:val="20"/>
              </w:rPr>
              <w:sym w:font="Wingdings" w:char="F0FC"/>
            </w:r>
            <w:r w:rsidRPr="00922427">
              <w:rPr>
                <w:sz w:val="20"/>
                <w:szCs w:val="20"/>
                <w:vertAlign w:val="superscript"/>
              </w:rPr>
              <w:t>3</w:t>
            </w:r>
          </w:p>
        </w:tc>
        <w:tc>
          <w:tcPr>
            <w:tcW w:w="993" w:type="dxa"/>
          </w:tcPr>
          <w:p w14:paraId="7AF0E8C3" w14:textId="77777777" w:rsidR="005630A4" w:rsidRPr="00922427" w:rsidRDefault="005630A4" w:rsidP="00A24AD4">
            <w:pPr>
              <w:pStyle w:val="Tabletext"/>
              <w:ind w:left="0" w:right="0"/>
              <w:jc w:val="center"/>
              <w:rPr>
                <w:sz w:val="20"/>
                <w:szCs w:val="20"/>
              </w:rPr>
            </w:pPr>
            <w:r w:rsidRPr="00922427">
              <w:rPr>
                <w:sz w:val="20"/>
                <w:szCs w:val="20"/>
              </w:rPr>
              <w:sym w:font="Wingdings" w:char="F0FC"/>
            </w:r>
          </w:p>
        </w:tc>
        <w:tc>
          <w:tcPr>
            <w:tcW w:w="1311" w:type="dxa"/>
          </w:tcPr>
          <w:p w14:paraId="071E78F4" w14:textId="77777777" w:rsidR="005630A4" w:rsidRPr="00922427" w:rsidRDefault="005630A4" w:rsidP="00A24AD4">
            <w:pPr>
              <w:pStyle w:val="Tabletext"/>
              <w:ind w:left="0" w:right="0"/>
              <w:jc w:val="center"/>
              <w:rPr>
                <w:sz w:val="20"/>
                <w:szCs w:val="20"/>
              </w:rPr>
            </w:pPr>
            <w:r w:rsidRPr="00922427">
              <w:rPr>
                <w:sz w:val="20"/>
                <w:szCs w:val="20"/>
              </w:rPr>
              <w:t>–</w:t>
            </w:r>
          </w:p>
        </w:tc>
      </w:tr>
      <w:tr w:rsidR="005630A4" w:rsidRPr="00922427" w14:paraId="5ACCEF19" w14:textId="77777777" w:rsidTr="007552DB">
        <w:trPr>
          <w:trHeight w:val="77"/>
        </w:trPr>
        <w:tc>
          <w:tcPr>
            <w:tcW w:w="1668" w:type="dxa"/>
            <w:vMerge/>
          </w:tcPr>
          <w:p w14:paraId="6A903130" w14:textId="77777777" w:rsidR="005630A4" w:rsidRPr="007552DB" w:rsidRDefault="005630A4" w:rsidP="00A24AD4">
            <w:pPr>
              <w:ind w:left="0" w:right="0"/>
              <w:jc w:val="center"/>
              <w:rPr>
                <w:b/>
                <w:sz w:val="20"/>
                <w:szCs w:val="20"/>
              </w:rPr>
            </w:pPr>
          </w:p>
        </w:tc>
        <w:tc>
          <w:tcPr>
            <w:tcW w:w="2409" w:type="dxa"/>
          </w:tcPr>
          <w:p w14:paraId="38BBECCF" w14:textId="77777777" w:rsidR="005630A4" w:rsidRPr="00922427" w:rsidRDefault="005630A4" w:rsidP="00A24AD4">
            <w:pPr>
              <w:ind w:left="0" w:right="0"/>
              <w:rPr>
                <w:sz w:val="20"/>
                <w:szCs w:val="20"/>
              </w:rPr>
            </w:pPr>
            <w:r w:rsidRPr="00922427">
              <w:rPr>
                <w:sz w:val="20"/>
                <w:szCs w:val="20"/>
              </w:rPr>
              <w:t xml:space="preserve">Hypertension during pregnancy and pre-eclampsia </w:t>
            </w:r>
          </w:p>
        </w:tc>
        <w:tc>
          <w:tcPr>
            <w:tcW w:w="993" w:type="dxa"/>
          </w:tcPr>
          <w:p w14:paraId="1C788A08" w14:textId="77777777" w:rsidR="005630A4" w:rsidRPr="00922427" w:rsidRDefault="005630A4" w:rsidP="00A24AD4">
            <w:pPr>
              <w:pStyle w:val="Tabletext"/>
              <w:ind w:left="0" w:right="0"/>
              <w:jc w:val="center"/>
              <w:rPr>
                <w:sz w:val="20"/>
                <w:szCs w:val="20"/>
                <w:vertAlign w:val="superscript"/>
              </w:rPr>
            </w:pPr>
            <w:r w:rsidRPr="00922427">
              <w:rPr>
                <w:sz w:val="20"/>
                <w:szCs w:val="20"/>
              </w:rPr>
              <w:sym w:font="Wingdings" w:char="F0FC"/>
            </w:r>
            <w:r w:rsidRPr="00922427">
              <w:rPr>
                <w:sz w:val="20"/>
                <w:szCs w:val="20"/>
                <w:vertAlign w:val="superscript"/>
              </w:rPr>
              <w:t>2</w:t>
            </w:r>
          </w:p>
        </w:tc>
        <w:tc>
          <w:tcPr>
            <w:tcW w:w="1275" w:type="dxa"/>
          </w:tcPr>
          <w:p w14:paraId="57541DA9" w14:textId="77777777" w:rsidR="005630A4" w:rsidRPr="00922427" w:rsidRDefault="005630A4" w:rsidP="00A24AD4">
            <w:pPr>
              <w:pStyle w:val="Tabletext"/>
              <w:ind w:left="0" w:right="0"/>
              <w:jc w:val="center"/>
              <w:rPr>
                <w:sz w:val="20"/>
                <w:szCs w:val="20"/>
                <w:vertAlign w:val="superscript"/>
              </w:rPr>
            </w:pPr>
            <w:r w:rsidRPr="00922427">
              <w:rPr>
                <w:sz w:val="20"/>
                <w:szCs w:val="20"/>
              </w:rPr>
              <w:sym w:font="Wingdings" w:char="F0FC"/>
            </w:r>
            <w:r w:rsidRPr="00922427">
              <w:rPr>
                <w:sz w:val="20"/>
                <w:szCs w:val="20"/>
                <w:vertAlign w:val="superscript"/>
              </w:rPr>
              <w:t>3</w:t>
            </w:r>
          </w:p>
        </w:tc>
        <w:tc>
          <w:tcPr>
            <w:tcW w:w="993" w:type="dxa"/>
          </w:tcPr>
          <w:p w14:paraId="5102C48B" w14:textId="77777777" w:rsidR="005630A4" w:rsidRPr="00922427" w:rsidRDefault="005630A4" w:rsidP="00A24AD4">
            <w:pPr>
              <w:pStyle w:val="Tabletext"/>
              <w:ind w:left="0" w:right="0"/>
              <w:jc w:val="center"/>
              <w:rPr>
                <w:sz w:val="20"/>
                <w:szCs w:val="20"/>
              </w:rPr>
            </w:pPr>
            <w:r w:rsidRPr="00922427">
              <w:rPr>
                <w:sz w:val="20"/>
                <w:szCs w:val="20"/>
              </w:rPr>
              <w:sym w:font="Wingdings" w:char="F0FC"/>
            </w:r>
          </w:p>
        </w:tc>
        <w:tc>
          <w:tcPr>
            <w:tcW w:w="1311" w:type="dxa"/>
          </w:tcPr>
          <w:p w14:paraId="723AF4C4" w14:textId="77777777" w:rsidR="005630A4" w:rsidRPr="00922427" w:rsidRDefault="005630A4" w:rsidP="00A24AD4">
            <w:pPr>
              <w:pStyle w:val="Tabletext"/>
              <w:ind w:left="0" w:right="0"/>
              <w:jc w:val="center"/>
              <w:rPr>
                <w:sz w:val="20"/>
                <w:szCs w:val="20"/>
              </w:rPr>
            </w:pPr>
          </w:p>
        </w:tc>
      </w:tr>
      <w:tr w:rsidR="005630A4" w:rsidRPr="00922427" w14:paraId="5A0116EA" w14:textId="77777777" w:rsidTr="007552DB">
        <w:trPr>
          <w:trHeight w:val="125"/>
        </w:trPr>
        <w:tc>
          <w:tcPr>
            <w:tcW w:w="1668" w:type="dxa"/>
            <w:vMerge w:val="restart"/>
          </w:tcPr>
          <w:p w14:paraId="02FD8181" w14:textId="77777777" w:rsidR="005630A4" w:rsidRPr="007552DB" w:rsidRDefault="005630A4" w:rsidP="00A24AD4">
            <w:pPr>
              <w:ind w:left="0" w:right="0"/>
              <w:jc w:val="center"/>
              <w:rPr>
                <w:b/>
                <w:sz w:val="20"/>
                <w:szCs w:val="20"/>
              </w:rPr>
            </w:pPr>
            <w:r w:rsidRPr="007552DB">
              <w:rPr>
                <w:b/>
                <w:sz w:val="20"/>
                <w:szCs w:val="20"/>
              </w:rPr>
              <w:t>Missing information</w:t>
            </w:r>
          </w:p>
        </w:tc>
        <w:tc>
          <w:tcPr>
            <w:tcW w:w="2409" w:type="dxa"/>
          </w:tcPr>
          <w:p w14:paraId="525DE929" w14:textId="77777777" w:rsidR="005630A4" w:rsidRPr="00922427" w:rsidRDefault="005630A4" w:rsidP="00A24AD4">
            <w:pPr>
              <w:ind w:left="0" w:right="0"/>
              <w:rPr>
                <w:sz w:val="20"/>
                <w:szCs w:val="20"/>
              </w:rPr>
            </w:pPr>
            <w:r w:rsidRPr="00922427">
              <w:rPr>
                <w:sz w:val="20"/>
                <w:szCs w:val="20"/>
              </w:rPr>
              <w:t xml:space="preserve">Use in pregnancy </w:t>
            </w:r>
          </w:p>
        </w:tc>
        <w:tc>
          <w:tcPr>
            <w:tcW w:w="993" w:type="dxa"/>
          </w:tcPr>
          <w:p w14:paraId="77C6A5AE" w14:textId="77777777" w:rsidR="005630A4" w:rsidRPr="00922427" w:rsidRDefault="005630A4" w:rsidP="00A24AD4">
            <w:pPr>
              <w:pStyle w:val="Tabletext"/>
              <w:ind w:left="0" w:right="0"/>
              <w:jc w:val="center"/>
              <w:rPr>
                <w:sz w:val="20"/>
                <w:szCs w:val="20"/>
                <w:vertAlign w:val="superscript"/>
              </w:rPr>
            </w:pPr>
            <w:r w:rsidRPr="00922427">
              <w:rPr>
                <w:sz w:val="20"/>
                <w:szCs w:val="20"/>
              </w:rPr>
              <w:sym w:font="Wingdings" w:char="F0FC"/>
            </w:r>
            <w:r w:rsidRPr="00922427">
              <w:rPr>
                <w:sz w:val="20"/>
                <w:szCs w:val="20"/>
                <w:vertAlign w:val="superscript"/>
              </w:rPr>
              <w:t>2</w:t>
            </w:r>
          </w:p>
        </w:tc>
        <w:tc>
          <w:tcPr>
            <w:tcW w:w="1275" w:type="dxa"/>
          </w:tcPr>
          <w:p w14:paraId="1ACF089D" w14:textId="77777777" w:rsidR="005630A4" w:rsidRPr="00922427" w:rsidRDefault="005630A4" w:rsidP="00A24AD4">
            <w:pPr>
              <w:pStyle w:val="Tabletext"/>
              <w:ind w:left="0" w:right="0"/>
              <w:jc w:val="center"/>
              <w:rPr>
                <w:sz w:val="20"/>
                <w:szCs w:val="20"/>
                <w:vertAlign w:val="superscript"/>
              </w:rPr>
            </w:pPr>
            <w:r w:rsidRPr="00922427">
              <w:rPr>
                <w:sz w:val="20"/>
                <w:szCs w:val="20"/>
              </w:rPr>
              <w:sym w:font="Wingdings" w:char="F0FC"/>
            </w:r>
            <w:r w:rsidRPr="00922427">
              <w:rPr>
                <w:sz w:val="20"/>
                <w:szCs w:val="20"/>
                <w:vertAlign w:val="superscript"/>
              </w:rPr>
              <w:t>3</w:t>
            </w:r>
          </w:p>
        </w:tc>
        <w:tc>
          <w:tcPr>
            <w:tcW w:w="993" w:type="dxa"/>
          </w:tcPr>
          <w:p w14:paraId="138A2104" w14:textId="77777777" w:rsidR="005630A4" w:rsidRPr="00922427" w:rsidRDefault="005630A4" w:rsidP="00A24AD4">
            <w:pPr>
              <w:pStyle w:val="Tabletext"/>
              <w:ind w:left="0" w:right="0"/>
              <w:jc w:val="center"/>
              <w:rPr>
                <w:sz w:val="20"/>
                <w:szCs w:val="20"/>
              </w:rPr>
            </w:pPr>
            <w:r w:rsidRPr="00922427">
              <w:rPr>
                <w:sz w:val="20"/>
                <w:szCs w:val="20"/>
              </w:rPr>
              <w:sym w:font="Wingdings" w:char="F0FC"/>
            </w:r>
          </w:p>
        </w:tc>
        <w:tc>
          <w:tcPr>
            <w:tcW w:w="1311" w:type="dxa"/>
          </w:tcPr>
          <w:p w14:paraId="35214FD9" w14:textId="77777777" w:rsidR="005630A4" w:rsidRPr="00922427" w:rsidRDefault="005630A4" w:rsidP="00A24AD4">
            <w:pPr>
              <w:pStyle w:val="Tabletext"/>
              <w:ind w:left="0" w:right="0"/>
              <w:jc w:val="center"/>
              <w:rPr>
                <w:sz w:val="20"/>
                <w:szCs w:val="20"/>
              </w:rPr>
            </w:pPr>
            <w:r w:rsidRPr="00922427">
              <w:rPr>
                <w:sz w:val="20"/>
                <w:szCs w:val="20"/>
              </w:rPr>
              <w:t>–</w:t>
            </w:r>
          </w:p>
        </w:tc>
      </w:tr>
      <w:tr w:rsidR="005630A4" w:rsidRPr="00922427" w14:paraId="70F78E98" w14:textId="77777777" w:rsidTr="007552DB">
        <w:trPr>
          <w:trHeight w:val="99"/>
        </w:trPr>
        <w:tc>
          <w:tcPr>
            <w:tcW w:w="1668" w:type="dxa"/>
            <w:vMerge/>
          </w:tcPr>
          <w:p w14:paraId="76D8FC1A" w14:textId="77777777" w:rsidR="005630A4" w:rsidRPr="00922427" w:rsidRDefault="005630A4" w:rsidP="00A24AD4">
            <w:pPr>
              <w:pStyle w:val="Tabletext"/>
              <w:ind w:left="0" w:right="0"/>
              <w:rPr>
                <w:sz w:val="20"/>
                <w:szCs w:val="20"/>
              </w:rPr>
            </w:pPr>
          </w:p>
        </w:tc>
        <w:tc>
          <w:tcPr>
            <w:tcW w:w="2409" w:type="dxa"/>
          </w:tcPr>
          <w:p w14:paraId="7D4C5D44" w14:textId="77777777" w:rsidR="005630A4" w:rsidRPr="00922427" w:rsidRDefault="00BE161F" w:rsidP="00A24AD4">
            <w:pPr>
              <w:ind w:left="0" w:right="0"/>
              <w:rPr>
                <w:sz w:val="20"/>
                <w:szCs w:val="20"/>
              </w:rPr>
            </w:pPr>
            <w:r>
              <w:rPr>
                <w:sz w:val="20"/>
                <w:szCs w:val="20"/>
              </w:rPr>
              <w:t xml:space="preserve">Long </w:t>
            </w:r>
            <w:r w:rsidR="005630A4" w:rsidRPr="00922427">
              <w:rPr>
                <w:sz w:val="20"/>
                <w:szCs w:val="20"/>
              </w:rPr>
              <w:t xml:space="preserve">term safety including malignancies </w:t>
            </w:r>
          </w:p>
        </w:tc>
        <w:tc>
          <w:tcPr>
            <w:tcW w:w="993" w:type="dxa"/>
          </w:tcPr>
          <w:p w14:paraId="75A2E23A" w14:textId="77777777" w:rsidR="005630A4" w:rsidRPr="00922427" w:rsidRDefault="005630A4" w:rsidP="00A24AD4">
            <w:pPr>
              <w:pStyle w:val="Tabletext"/>
              <w:ind w:left="0" w:right="0"/>
              <w:jc w:val="center"/>
              <w:rPr>
                <w:sz w:val="20"/>
                <w:szCs w:val="20"/>
              </w:rPr>
            </w:pPr>
            <w:r w:rsidRPr="00922427">
              <w:rPr>
                <w:sz w:val="20"/>
                <w:szCs w:val="20"/>
              </w:rPr>
              <w:sym w:font="Wingdings" w:char="F0FC"/>
            </w:r>
          </w:p>
        </w:tc>
        <w:tc>
          <w:tcPr>
            <w:tcW w:w="1275" w:type="dxa"/>
          </w:tcPr>
          <w:p w14:paraId="04CDB3E6" w14:textId="77777777" w:rsidR="005630A4" w:rsidRPr="00922427" w:rsidRDefault="005630A4" w:rsidP="00A24AD4">
            <w:pPr>
              <w:pStyle w:val="Tabletext"/>
              <w:ind w:left="0" w:right="0"/>
              <w:jc w:val="center"/>
              <w:rPr>
                <w:sz w:val="20"/>
                <w:szCs w:val="20"/>
                <w:vertAlign w:val="superscript"/>
              </w:rPr>
            </w:pPr>
            <w:r w:rsidRPr="00922427">
              <w:rPr>
                <w:sz w:val="20"/>
                <w:szCs w:val="20"/>
              </w:rPr>
              <w:sym w:font="Wingdings" w:char="F0FC"/>
            </w:r>
            <w:r w:rsidRPr="00922427">
              <w:rPr>
                <w:sz w:val="20"/>
                <w:szCs w:val="20"/>
                <w:vertAlign w:val="superscript"/>
              </w:rPr>
              <w:t>3</w:t>
            </w:r>
          </w:p>
        </w:tc>
        <w:tc>
          <w:tcPr>
            <w:tcW w:w="993" w:type="dxa"/>
          </w:tcPr>
          <w:p w14:paraId="627B3686" w14:textId="77777777" w:rsidR="005630A4" w:rsidRPr="00922427" w:rsidRDefault="005630A4" w:rsidP="00A24AD4">
            <w:pPr>
              <w:pStyle w:val="Tabletext"/>
              <w:ind w:left="0" w:right="0"/>
              <w:jc w:val="center"/>
              <w:rPr>
                <w:sz w:val="20"/>
                <w:szCs w:val="20"/>
              </w:rPr>
            </w:pPr>
            <w:r w:rsidRPr="00922427">
              <w:rPr>
                <w:sz w:val="20"/>
                <w:szCs w:val="20"/>
              </w:rPr>
              <w:sym w:font="Wingdings" w:char="F0FC"/>
            </w:r>
          </w:p>
        </w:tc>
        <w:tc>
          <w:tcPr>
            <w:tcW w:w="1311" w:type="dxa"/>
          </w:tcPr>
          <w:p w14:paraId="2BE7A6D2" w14:textId="77777777" w:rsidR="005630A4" w:rsidRPr="00922427" w:rsidRDefault="005630A4" w:rsidP="00A24AD4">
            <w:pPr>
              <w:pStyle w:val="Tabletext"/>
              <w:ind w:left="0" w:right="0"/>
              <w:jc w:val="center"/>
              <w:rPr>
                <w:sz w:val="20"/>
                <w:szCs w:val="20"/>
              </w:rPr>
            </w:pPr>
            <w:r w:rsidRPr="00922427">
              <w:rPr>
                <w:sz w:val="20"/>
                <w:szCs w:val="20"/>
              </w:rPr>
              <w:t>–</w:t>
            </w:r>
          </w:p>
        </w:tc>
      </w:tr>
    </w:tbl>
    <w:p w14:paraId="642641EC" w14:textId="18805616" w:rsidR="0057105C" w:rsidRDefault="005630A4" w:rsidP="00F0221F">
      <w:pPr>
        <w:pStyle w:val="TableDescription"/>
      </w:pPr>
      <w:r w:rsidRPr="00E27356">
        <w:t>1</w:t>
      </w:r>
      <w:r w:rsidR="00B54493">
        <w:t xml:space="preserve">) </w:t>
      </w:r>
      <w:r w:rsidRPr="00123FA6">
        <w:t xml:space="preserve">Safety concern in </w:t>
      </w:r>
      <w:r w:rsidR="007552DB">
        <w:t>ASA</w:t>
      </w:r>
      <w:r w:rsidRPr="00123FA6">
        <w:t xml:space="preserve"> includes reference to patients ≥ 65 years</w:t>
      </w:r>
      <w:r w:rsidR="00B54493">
        <w:t>;</w:t>
      </w:r>
      <w:r w:rsidR="004400E7">
        <w:t xml:space="preserve"> </w:t>
      </w:r>
      <w:r w:rsidR="00B54493">
        <w:t>2) s</w:t>
      </w:r>
      <w:r w:rsidR="007552DB">
        <w:t xml:space="preserve">pecific adverse reaction follow </w:t>
      </w:r>
      <w:r w:rsidRPr="00123FA6">
        <w:t>up questionnaire</w:t>
      </w:r>
      <w:r w:rsidR="00B54493">
        <w:t>s 3) c</w:t>
      </w:r>
      <w:r w:rsidRPr="00123FA6">
        <w:t>ohort study using electronic health record data</w:t>
      </w:r>
    </w:p>
    <w:p w14:paraId="2ABBD95F" w14:textId="77777777" w:rsidR="005630A4" w:rsidRDefault="005630A4" w:rsidP="00572B43">
      <w:pPr>
        <w:pStyle w:val="ListBullet"/>
      </w:pPr>
      <w:r>
        <w:t xml:space="preserve">In response to the RMP evaluator’s request the sponsor has included reference to patients 65 years and over in the safety concern regarding serious cardiovascular outcomes, to reflect that the increased risk of ischemia is a safety concern with clinical significance for elderly patients, who also have an increased risk of </w:t>
      </w:r>
      <w:proofErr w:type="spellStart"/>
      <w:r>
        <w:t>ischaemia</w:t>
      </w:r>
      <w:proofErr w:type="spellEnd"/>
      <w:r>
        <w:t>.</w:t>
      </w:r>
    </w:p>
    <w:p w14:paraId="038ED4CD" w14:textId="77777777" w:rsidR="0007206D" w:rsidRDefault="005630A4" w:rsidP="00572B43">
      <w:pPr>
        <w:pStyle w:val="ListBullet"/>
      </w:pPr>
      <w:r w:rsidRPr="00B8689C">
        <w:t>Routine and additional pharmacovigilance activities in the form of overseas studies have been proposed for all the saf</w:t>
      </w:r>
      <w:r>
        <w:t>ety concerns. The sponsor has added the US FDA required studies in the ASA as recommended</w:t>
      </w:r>
      <w:r w:rsidR="0007206D">
        <w:t>.</w:t>
      </w:r>
    </w:p>
    <w:p w14:paraId="1986744C" w14:textId="77777777" w:rsidR="0007206D" w:rsidRDefault="005630A4" w:rsidP="00572B43">
      <w:pPr>
        <w:pStyle w:val="ListBullet"/>
      </w:pPr>
      <w:r>
        <w:t>Routine risk minimisation has been proposed for all the risks of serious hypersensitivity and use in pregnancy. The sponsor has agreed to include the CMI in the package insert as recommended</w:t>
      </w:r>
      <w:r w:rsidR="0007206D">
        <w:t>.</w:t>
      </w:r>
    </w:p>
    <w:p w14:paraId="56284772" w14:textId="77777777" w:rsidR="008E7846" w:rsidRDefault="00AA0ED0" w:rsidP="008E7846">
      <w:pPr>
        <w:pStyle w:val="Heading3"/>
      </w:pPr>
      <w:bookmarkStart w:id="231" w:name="_Toc247691531"/>
      <w:bookmarkStart w:id="232" w:name="_Toc314842515"/>
      <w:bookmarkStart w:id="233" w:name="_Toc196046505"/>
      <w:bookmarkStart w:id="234" w:name="_Toc196046949"/>
      <w:bookmarkStart w:id="235" w:name="_Toc20822190"/>
      <w:r>
        <w:t>Risk-benefit a</w:t>
      </w:r>
      <w:r w:rsidR="008E7846">
        <w:t>nalysis</w:t>
      </w:r>
      <w:bookmarkEnd w:id="231"/>
      <w:bookmarkEnd w:id="232"/>
      <w:bookmarkEnd w:id="235"/>
    </w:p>
    <w:p w14:paraId="6249D753" w14:textId="77777777" w:rsidR="0057105C" w:rsidRDefault="00D23139" w:rsidP="00D23139">
      <w:pPr>
        <w:pStyle w:val="Heading4"/>
      </w:pPr>
      <w:r w:rsidRPr="00D23139">
        <w:t>Delegate’s considerations</w:t>
      </w:r>
    </w:p>
    <w:p w14:paraId="45D66F1B" w14:textId="77777777" w:rsidR="007C2EA0" w:rsidRDefault="007C2EA0" w:rsidP="00905797">
      <w:pPr>
        <w:pStyle w:val="Heading5"/>
      </w:pPr>
      <w:r>
        <w:t>Discussion</w:t>
      </w:r>
    </w:p>
    <w:p w14:paraId="4E71447C" w14:textId="5947B314" w:rsidR="00905797" w:rsidRDefault="00905797" w:rsidP="00905797">
      <w:r>
        <w:t xml:space="preserve">Overall, PK of </w:t>
      </w:r>
      <w:proofErr w:type="spellStart"/>
      <w:r>
        <w:t>galcanezumab</w:t>
      </w:r>
      <w:proofErr w:type="spellEnd"/>
      <w:r>
        <w:t xml:space="preserve"> have been adequately characterised by the sponsor and closely resemble the PK of other IgG </w:t>
      </w:r>
      <w:proofErr w:type="spellStart"/>
      <w:r w:rsidR="00B54493">
        <w:t>mAbs</w:t>
      </w:r>
      <w:proofErr w:type="spellEnd"/>
      <w:r>
        <w:t xml:space="preserve">. </w:t>
      </w:r>
      <w:r>
        <w:rPr>
          <w:lang w:eastAsia="ja-JP"/>
        </w:rPr>
        <w:t xml:space="preserve">Following subcutaneous administration, the PK of </w:t>
      </w:r>
      <w:proofErr w:type="spellStart"/>
      <w:r>
        <w:rPr>
          <w:lang w:eastAsia="ja-JP"/>
        </w:rPr>
        <w:t>galcanezumab</w:t>
      </w:r>
      <w:proofErr w:type="spellEnd"/>
      <w:r>
        <w:rPr>
          <w:lang w:eastAsia="ja-JP"/>
        </w:rPr>
        <w:t xml:space="preserve"> are characterised by slow absorption, limited distribution, low clearance, </w:t>
      </w:r>
      <w:r>
        <w:rPr>
          <w:lang w:eastAsia="ja-JP"/>
        </w:rPr>
        <w:lastRenderedPageBreak/>
        <w:t>and a long terminal elimination t</w:t>
      </w:r>
      <w:r w:rsidRPr="005D004F">
        <w:rPr>
          <w:vertAlign w:val="subscript"/>
          <w:lang w:eastAsia="ja-JP"/>
        </w:rPr>
        <w:t>1/2</w:t>
      </w:r>
      <w:r>
        <w:rPr>
          <w:lang w:eastAsia="ja-JP"/>
        </w:rPr>
        <w:t xml:space="preserve">. However, </w:t>
      </w:r>
      <w:proofErr w:type="spellStart"/>
      <w:r>
        <w:rPr>
          <w:lang w:eastAsia="ja-JP"/>
        </w:rPr>
        <w:t>pharmacometrics</w:t>
      </w:r>
      <w:proofErr w:type="spellEnd"/>
      <w:r>
        <w:rPr>
          <w:lang w:eastAsia="ja-JP"/>
        </w:rPr>
        <w:t xml:space="preserve"> working group had some suggestion over the inclusion of tolerance and delay in onset of effect by 2 to 4 weeks</w:t>
      </w:r>
      <w:r w:rsidR="00B058FA">
        <w:rPr>
          <w:lang w:eastAsia="ja-JP"/>
        </w:rPr>
        <w:t xml:space="preserve"> which needs to be addressed by the sponsor.</w:t>
      </w:r>
      <w:r w:rsidR="00B058FA">
        <w:rPr>
          <w:rStyle w:val="FootnoteReference"/>
          <w:lang w:eastAsia="ja-JP"/>
        </w:rPr>
        <w:footnoteReference w:id="36"/>
      </w:r>
    </w:p>
    <w:p w14:paraId="6A5D358A" w14:textId="77777777" w:rsidR="00905797" w:rsidRDefault="00905797" w:rsidP="00905797">
      <w:r>
        <w:t xml:space="preserve">Similar efficacy and safety were demonstrated for both 120 mg and 240 mg once monthly regimens of </w:t>
      </w:r>
      <w:proofErr w:type="spellStart"/>
      <w:r>
        <w:t>galcanezumab</w:t>
      </w:r>
      <w:proofErr w:type="spellEnd"/>
      <w:r>
        <w:t xml:space="preserve"> in episodic and chronic migraine patients. Injections sites in the clinical trials included the abdomen, thigh, back of the upper arm, and buttocks. Site of injection was not found to be a significant covariate in the population PK analysis.</w:t>
      </w:r>
    </w:p>
    <w:p w14:paraId="14DBEFF0" w14:textId="3AFC5923" w:rsidR="00905797" w:rsidRDefault="00905797" w:rsidP="00905797">
      <w:r>
        <w:t>W</w:t>
      </w:r>
      <w:r w:rsidRPr="00B93FA5">
        <w:t>ith treatment</w:t>
      </w:r>
      <w:r>
        <w:t xml:space="preserve"> </w:t>
      </w:r>
      <w:r w:rsidRPr="00B93FA5">
        <w:t>periods up to 12 months</w:t>
      </w:r>
      <w:r>
        <w:t>, t</w:t>
      </w:r>
      <w:r w:rsidRPr="00B93FA5">
        <w:t xml:space="preserve">he overall incidence </w:t>
      </w:r>
      <w:r>
        <w:t>ADA</w:t>
      </w:r>
      <w:r w:rsidRPr="00B93FA5">
        <w:t xml:space="preserve"> was about 12.5%; </w:t>
      </w:r>
      <w:r>
        <w:t>most of which were of low titre</w:t>
      </w:r>
      <w:r w:rsidRPr="00B93FA5">
        <w:t xml:space="preserve"> </w:t>
      </w:r>
      <w:r>
        <w:t>and were tested positive for</w:t>
      </w:r>
      <w:r w:rsidRPr="00B93FA5">
        <w:t xml:space="preserve"> </w:t>
      </w:r>
      <w:r w:rsidR="00B54493" w:rsidRPr="00B93FA5">
        <w:t>neutrali</w:t>
      </w:r>
      <w:r w:rsidR="00B54493">
        <w:t>s</w:t>
      </w:r>
      <w:r w:rsidR="00B54493" w:rsidRPr="00B93FA5">
        <w:t xml:space="preserve">ing </w:t>
      </w:r>
      <w:r>
        <w:t>ADA</w:t>
      </w:r>
      <w:r w:rsidRPr="00B93FA5">
        <w:t>. The presence of</w:t>
      </w:r>
      <w:r>
        <w:t xml:space="preserve"> </w:t>
      </w:r>
      <w:r w:rsidRPr="00B93FA5">
        <w:t xml:space="preserve">ADA, irrespective of titre and </w:t>
      </w:r>
      <w:r>
        <w:t>neutralising activity</w:t>
      </w:r>
      <w:r w:rsidRPr="00B93FA5">
        <w:t>, did not seem to affect the PK, efficacy, or safety of</w:t>
      </w:r>
      <w:r>
        <w:t xml:space="preserve"> </w:t>
      </w:r>
      <w:proofErr w:type="spellStart"/>
      <w:r>
        <w:t>galcanezumab</w:t>
      </w:r>
      <w:proofErr w:type="spellEnd"/>
      <w:r w:rsidRPr="00B93FA5">
        <w:t>.</w:t>
      </w:r>
    </w:p>
    <w:p w14:paraId="549086E1" w14:textId="1A054EF5" w:rsidR="00905797" w:rsidRDefault="00905797" w:rsidP="00905797">
      <w:pPr>
        <w:rPr>
          <w:lang w:eastAsia="ja-JP"/>
        </w:rPr>
      </w:pPr>
      <w:r>
        <w:rPr>
          <w:lang w:eastAsia="ja-JP"/>
        </w:rPr>
        <w:t xml:space="preserve">All the three pivotal studies were well designed, with two performed in episodic migraine </w:t>
      </w:r>
      <w:r w:rsidRPr="00062723">
        <w:rPr>
          <w:lang w:eastAsia="ja-JP"/>
        </w:rPr>
        <w:t>(</w:t>
      </w:r>
      <w:r>
        <w:t>≥ 4 to &lt; 15 MHD</w:t>
      </w:r>
      <w:r w:rsidRPr="00062723">
        <w:t>/month</w:t>
      </w:r>
      <w:r>
        <w:rPr>
          <w:lang w:eastAsia="ja-JP"/>
        </w:rPr>
        <w:t xml:space="preserve"> at baseline) and one performed in </w:t>
      </w:r>
      <w:r w:rsidR="00B54493">
        <w:rPr>
          <w:lang w:eastAsia="ja-JP"/>
        </w:rPr>
        <w:t>‘</w:t>
      </w:r>
      <w:r>
        <w:rPr>
          <w:lang w:eastAsia="ja-JP"/>
        </w:rPr>
        <w:t>chronic</w:t>
      </w:r>
      <w:r w:rsidR="00B54493">
        <w:rPr>
          <w:lang w:eastAsia="ja-JP"/>
        </w:rPr>
        <w:t>’</w:t>
      </w:r>
      <w:r>
        <w:rPr>
          <w:lang w:eastAsia="ja-JP"/>
        </w:rPr>
        <w:t xml:space="preserve"> migraine (</w:t>
      </w:r>
      <w:r w:rsidRPr="00062723">
        <w:t>≥</w:t>
      </w:r>
      <w:r>
        <w:t> </w:t>
      </w:r>
      <w:r w:rsidR="00A24BC5" w:rsidRPr="00EC065F">
        <w:t xml:space="preserve">15 headache days </w:t>
      </w:r>
      <w:r w:rsidR="00A24BC5">
        <w:t xml:space="preserve">at least 8 of which are migraine </w:t>
      </w:r>
      <w:r>
        <w:rPr>
          <w:lang w:eastAsia="ja-JP"/>
        </w:rPr>
        <w:t xml:space="preserve">per month at </w:t>
      </w:r>
      <w:r w:rsidR="00B54493">
        <w:rPr>
          <w:lang w:eastAsia="ja-JP"/>
        </w:rPr>
        <w:t>Baseline</w:t>
      </w:r>
      <w:r>
        <w:rPr>
          <w:lang w:eastAsia="ja-JP"/>
        </w:rPr>
        <w:t xml:space="preserve">). </w:t>
      </w:r>
      <w:r>
        <w:t xml:space="preserve">In the pivotal studies dosing regimen and administration instructions was the same as that in the proposed PI and CMI. </w:t>
      </w:r>
      <w:r>
        <w:rPr>
          <w:lang w:eastAsia="ja-JP"/>
        </w:rPr>
        <w:t xml:space="preserve">All three studies compared </w:t>
      </w:r>
      <w:proofErr w:type="spellStart"/>
      <w:r>
        <w:rPr>
          <w:lang w:eastAsia="ja-JP"/>
        </w:rPr>
        <w:t>galcanezumab</w:t>
      </w:r>
      <w:proofErr w:type="spellEnd"/>
      <w:r>
        <w:rPr>
          <w:lang w:eastAsia="ja-JP"/>
        </w:rPr>
        <w:t xml:space="preserve"> 120 mg/month (with a 240 mg loading dose) and 240 mg/month with placebo, and all three studies demonstrated a reduction in MHD of about 2 days which is clinically modest. The results were consistent across a range of secondary endpoints, including response rates and quality of life measures.</w:t>
      </w:r>
    </w:p>
    <w:p w14:paraId="47934486" w14:textId="3E447332" w:rsidR="00905797" w:rsidRPr="00B93FA5" w:rsidRDefault="00B54493" w:rsidP="00905797">
      <w:r>
        <w:rPr>
          <w:rFonts w:asciiTheme="minorHAnsi" w:hAnsiTheme="minorHAnsi"/>
        </w:rPr>
        <w:t xml:space="preserve">The </w:t>
      </w:r>
      <w:r w:rsidR="00905797">
        <w:rPr>
          <w:rFonts w:asciiTheme="minorHAnsi" w:hAnsiTheme="minorHAnsi"/>
        </w:rPr>
        <w:t xml:space="preserve">Delegate agrees with the clinical evaluator views on </w:t>
      </w:r>
      <w:r w:rsidR="00905797">
        <w:t xml:space="preserve">using </w:t>
      </w:r>
      <w:proofErr w:type="spellStart"/>
      <w:r w:rsidR="00905797">
        <w:t>galcanezumab</w:t>
      </w:r>
      <w:proofErr w:type="spellEnd"/>
      <w:r w:rsidR="00905797">
        <w:t xml:space="preserve"> in subjects with infrequent migraine (&lt; 4 migraine headache days per month) as outlined in the clinical evaluation report. All the three factors discussed in the clinical evaluation report on balance supports</w:t>
      </w:r>
      <w:r w:rsidR="00905797" w:rsidRPr="003755C6">
        <w:t xml:space="preserve"> to </w:t>
      </w:r>
      <w:r w:rsidR="00905797">
        <w:t>align</w:t>
      </w:r>
      <w:r w:rsidR="00905797" w:rsidRPr="003755C6">
        <w:t xml:space="preserve"> the PI for </w:t>
      </w:r>
      <w:proofErr w:type="spellStart"/>
      <w:r w:rsidR="00905797" w:rsidRPr="003755C6">
        <w:t>galcanezumab</w:t>
      </w:r>
      <w:proofErr w:type="spellEnd"/>
      <w:r w:rsidR="00905797" w:rsidRPr="003755C6">
        <w:t xml:space="preserve"> </w:t>
      </w:r>
      <w:r w:rsidR="00905797">
        <w:t>with already approved ag</w:t>
      </w:r>
      <w:r w:rsidR="00905797" w:rsidRPr="003755C6">
        <w:t>ent</w:t>
      </w:r>
      <w:r w:rsidR="00905797">
        <w:t xml:space="preserve"> (</w:t>
      </w:r>
      <w:proofErr w:type="spellStart"/>
      <w:r w:rsidR="00905797">
        <w:t>erenumab</w:t>
      </w:r>
      <w:proofErr w:type="spellEnd"/>
      <w:r w:rsidR="00905797">
        <w:t>) with the similar indication</w:t>
      </w:r>
      <w:r w:rsidR="00905797" w:rsidRPr="003755C6">
        <w:t>.</w:t>
      </w:r>
    </w:p>
    <w:p w14:paraId="77B899E6" w14:textId="77777777" w:rsidR="00905797" w:rsidRPr="00905797" w:rsidRDefault="00905797" w:rsidP="00905797">
      <w:pPr>
        <w:rPr>
          <w:lang w:eastAsia="ja-JP"/>
        </w:rPr>
      </w:pPr>
      <w:r>
        <w:rPr>
          <w:lang w:eastAsia="ja-JP"/>
        </w:rPr>
        <w:t xml:space="preserve">As a new chemical entity, </w:t>
      </w:r>
      <w:proofErr w:type="spellStart"/>
      <w:r>
        <w:rPr>
          <w:lang w:eastAsia="ja-JP"/>
        </w:rPr>
        <w:t>galcanezumab</w:t>
      </w:r>
      <w:proofErr w:type="spellEnd"/>
      <w:r>
        <w:rPr>
          <w:lang w:eastAsia="ja-JP"/>
        </w:rPr>
        <w:t xml:space="preserve"> is not known to be associated with any substantial safety issues so far, but its safety has not yet been fully characterised </w:t>
      </w:r>
      <w:r w:rsidRPr="00D33B3F">
        <w:rPr>
          <w:lang w:eastAsia="ja-JP"/>
        </w:rPr>
        <w:t>notably in patients with cardiovascular risk factors and patients aged 65 years and older</w:t>
      </w:r>
      <w:r>
        <w:rPr>
          <w:lang w:eastAsia="ja-JP"/>
        </w:rPr>
        <w:t xml:space="preserve">. </w:t>
      </w:r>
      <w:r w:rsidRPr="005A7F3A">
        <w:rPr>
          <w:lang w:eastAsia="ja-JP"/>
        </w:rPr>
        <w:t xml:space="preserve">Similarly, </w:t>
      </w:r>
      <w:r>
        <w:rPr>
          <w:lang w:eastAsia="ja-JP"/>
        </w:rPr>
        <w:t>the long term safety (beyond 12 months), in subjects &lt; 18 years or &gt; 65 years, and in pregnancy and lactation has not been characterised</w:t>
      </w:r>
      <w:r w:rsidRPr="00905797">
        <w:rPr>
          <w:lang w:eastAsia="ja-JP"/>
        </w:rPr>
        <w:t>.</w:t>
      </w:r>
    </w:p>
    <w:p w14:paraId="7FF508DB" w14:textId="77777777" w:rsidR="00905797" w:rsidRDefault="00905797" w:rsidP="00905797">
      <w:pPr>
        <w:rPr>
          <w:lang w:eastAsia="ja-JP"/>
        </w:rPr>
      </w:pPr>
      <w:proofErr w:type="spellStart"/>
      <w:r>
        <w:rPr>
          <w:lang w:eastAsia="ja-JP"/>
        </w:rPr>
        <w:t>Galcanezumab</w:t>
      </w:r>
      <w:proofErr w:type="spellEnd"/>
      <w:r>
        <w:rPr>
          <w:lang w:eastAsia="ja-JP"/>
        </w:rPr>
        <w:t xml:space="preserve"> has a number of tolerability issues, including injection site reactions, vertigo, and constipation, but these symptoms may be acceptable for patients who benefit by reduction in their MHD. </w:t>
      </w:r>
      <w:proofErr w:type="spellStart"/>
      <w:r>
        <w:rPr>
          <w:lang w:eastAsia="ja-JP"/>
        </w:rPr>
        <w:t>Galcanezumab</w:t>
      </w:r>
      <w:proofErr w:type="spellEnd"/>
      <w:r>
        <w:rPr>
          <w:lang w:eastAsia="ja-JP"/>
        </w:rPr>
        <w:t xml:space="preserve"> is also associated with an increased risk of hypersensitivity reactions, including </w:t>
      </w:r>
      <w:proofErr w:type="spellStart"/>
      <w:r>
        <w:rPr>
          <w:lang w:eastAsia="ja-JP"/>
        </w:rPr>
        <w:t>urticaria</w:t>
      </w:r>
      <w:proofErr w:type="spellEnd"/>
      <w:r>
        <w:rPr>
          <w:lang w:eastAsia="ja-JP"/>
        </w:rPr>
        <w:t xml:space="preserve"> and pruritus, though the known cases of hypersensitivity, so far, have been without serious sequelae.</w:t>
      </w:r>
    </w:p>
    <w:p w14:paraId="7661C6F2" w14:textId="77777777" w:rsidR="00905797" w:rsidRDefault="00905797" w:rsidP="00905797">
      <w:pPr>
        <w:rPr>
          <w:lang w:eastAsia="ja-JP"/>
        </w:rPr>
      </w:pPr>
      <w:r>
        <w:rPr>
          <w:lang w:eastAsia="ja-JP"/>
        </w:rPr>
        <w:t xml:space="preserve">There are theoretical concerns suggesting that interfering with CGRP could modify processes relevant to protection against </w:t>
      </w:r>
      <w:proofErr w:type="spellStart"/>
      <w:r>
        <w:rPr>
          <w:lang w:eastAsia="ja-JP"/>
        </w:rPr>
        <w:t>ischaemia</w:t>
      </w:r>
      <w:proofErr w:type="spellEnd"/>
      <w:r>
        <w:rPr>
          <w:lang w:eastAsia="ja-JP"/>
        </w:rPr>
        <w:t xml:space="preserve">, increasing the risk of cardiovascular events. No evidence of this emerged in the submitted studies; </w:t>
      </w:r>
      <w:proofErr w:type="gramStart"/>
      <w:r>
        <w:rPr>
          <w:lang w:eastAsia="ja-JP"/>
        </w:rPr>
        <w:t>nevertheless</w:t>
      </w:r>
      <w:proofErr w:type="gramEnd"/>
      <w:r>
        <w:rPr>
          <w:lang w:eastAsia="ja-JP"/>
        </w:rPr>
        <w:t xml:space="preserve"> subjects with a strong history of cardiovascular events were excluded.</w:t>
      </w:r>
    </w:p>
    <w:p w14:paraId="201A28D4" w14:textId="77777777" w:rsidR="00905797" w:rsidRPr="00C342A7" w:rsidRDefault="00905797" w:rsidP="00905797">
      <w:pPr>
        <w:rPr>
          <w:u w:val="single"/>
        </w:rPr>
      </w:pPr>
      <w:r w:rsidRPr="00C342A7">
        <w:t xml:space="preserve">The safety of </w:t>
      </w:r>
      <w:proofErr w:type="spellStart"/>
      <w:r w:rsidRPr="00C342A7">
        <w:t>galcanezumab</w:t>
      </w:r>
      <w:proofErr w:type="spellEnd"/>
      <w:r w:rsidRPr="00C342A7">
        <w:t xml:space="preserve"> in combination with other agents affecting CGRP is uncharacterised</w:t>
      </w:r>
      <w:r>
        <w:t xml:space="preserve"> as pointed out by clinical evaluator. </w:t>
      </w:r>
      <w:r w:rsidRPr="00EF1E06">
        <w:t>There is also no data on combin</w:t>
      </w:r>
      <w:r>
        <w:t xml:space="preserve">ation of botulinum toxin A or B with </w:t>
      </w:r>
      <w:proofErr w:type="spellStart"/>
      <w:r>
        <w:t>g</w:t>
      </w:r>
      <w:r w:rsidRPr="00EF1E06">
        <w:t>alcanezumab</w:t>
      </w:r>
      <w:proofErr w:type="spellEnd"/>
      <w:r>
        <w:t>.</w:t>
      </w:r>
    </w:p>
    <w:p w14:paraId="269D0AAF" w14:textId="77777777" w:rsidR="00905797" w:rsidRPr="00905797" w:rsidRDefault="00905797" w:rsidP="00905797">
      <w:pPr>
        <w:rPr>
          <w:lang w:eastAsia="ja-JP"/>
        </w:rPr>
      </w:pPr>
      <w:r>
        <w:rPr>
          <w:lang w:eastAsia="ja-JP"/>
        </w:rPr>
        <w:t xml:space="preserve">The recently </w:t>
      </w:r>
      <w:r w:rsidRPr="00905797">
        <w:rPr>
          <w:lang w:eastAsia="ja-JP"/>
        </w:rPr>
        <w:t xml:space="preserve">registered </w:t>
      </w:r>
      <w:r>
        <w:rPr>
          <w:lang w:eastAsia="ja-JP"/>
        </w:rPr>
        <w:t xml:space="preserve">anti </w:t>
      </w:r>
      <w:r w:rsidRPr="00905797">
        <w:rPr>
          <w:lang w:eastAsia="ja-JP"/>
        </w:rPr>
        <w:t xml:space="preserve">CGRP agent, </w:t>
      </w:r>
      <w:proofErr w:type="spellStart"/>
      <w:r w:rsidRPr="00905797">
        <w:rPr>
          <w:lang w:eastAsia="ja-JP"/>
        </w:rPr>
        <w:t>erenumab</w:t>
      </w:r>
      <w:proofErr w:type="spellEnd"/>
      <w:r w:rsidRPr="00905797">
        <w:rPr>
          <w:lang w:eastAsia="ja-JP"/>
        </w:rPr>
        <w:t>,</w:t>
      </w:r>
      <w:r>
        <w:rPr>
          <w:lang w:eastAsia="ja-JP"/>
        </w:rPr>
        <w:t xml:space="preserve"> has a safety profile that appears to be broadly acceptable, with no major safety warnings, although the safety of </w:t>
      </w:r>
      <w:proofErr w:type="spellStart"/>
      <w:r>
        <w:rPr>
          <w:lang w:eastAsia="ja-JP"/>
        </w:rPr>
        <w:t>erenumab</w:t>
      </w:r>
      <w:proofErr w:type="spellEnd"/>
      <w:r>
        <w:rPr>
          <w:lang w:eastAsia="ja-JP"/>
        </w:rPr>
        <w:t xml:space="preserve"> (like </w:t>
      </w:r>
      <w:proofErr w:type="spellStart"/>
      <w:r>
        <w:rPr>
          <w:lang w:eastAsia="ja-JP"/>
        </w:rPr>
        <w:t>galcanezumab</w:t>
      </w:r>
      <w:proofErr w:type="spellEnd"/>
      <w:r>
        <w:rPr>
          <w:lang w:eastAsia="ja-JP"/>
        </w:rPr>
        <w:t xml:space="preserve">) </w:t>
      </w:r>
      <w:r w:rsidRPr="00905797">
        <w:rPr>
          <w:lang w:eastAsia="ja-JP"/>
        </w:rPr>
        <w:t>has not been assessed in the setting of pregnancy, lactation, or advanced age.</w:t>
      </w:r>
    </w:p>
    <w:p w14:paraId="71AFA1DB" w14:textId="77777777" w:rsidR="00905797" w:rsidRPr="00B63794" w:rsidRDefault="00905797" w:rsidP="00905797">
      <w:pPr>
        <w:rPr>
          <w:rFonts w:asciiTheme="minorHAnsi" w:hAnsiTheme="minorHAnsi"/>
        </w:rPr>
      </w:pPr>
      <w:r>
        <w:lastRenderedPageBreak/>
        <w:t>G</w:t>
      </w:r>
      <w:r>
        <w:rPr>
          <w:rFonts w:asciiTheme="minorHAnsi" w:hAnsiTheme="minorHAnsi"/>
        </w:rPr>
        <w:t xml:space="preserve">iven the benefits from treatment are highly variable in a condition which also varies in severity over time without therapeutic intervention, it is reasonable that patients with chronic migraine should not continue with </w:t>
      </w:r>
      <w:proofErr w:type="spellStart"/>
      <w:r>
        <w:rPr>
          <w:rFonts w:asciiTheme="minorHAnsi" w:hAnsiTheme="minorHAnsi"/>
        </w:rPr>
        <w:t>galcanezumab</w:t>
      </w:r>
      <w:proofErr w:type="spellEnd"/>
      <w:r>
        <w:rPr>
          <w:rFonts w:asciiTheme="minorHAnsi" w:hAnsiTheme="minorHAnsi"/>
        </w:rPr>
        <w:t xml:space="preserve"> if they do not have a least a reduction of 2 days in their monthly migraine day frequency after a trial. Current Australian guidelines for treatment trials for migraine prophylaxis treatment recommend a trial of 8 to 12 weeks. This should also apply to </w:t>
      </w:r>
      <w:proofErr w:type="spellStart"/>
      <w:r>
        <w:rPr>
          <w:rFonts w:asciiTheme="minorHAnsi" w:hAnsiTheme="minorHAnsi"/>
        </w:rPr>
        <w:t>galcanezumab</w:t>
      </w:r>
      <w:proofErr w:type="spellEnd"/>
      <w:r>
        <w:rPr>
          <w:rFonts w:asciiTheme="minorHAnsi" w:hAnsiTheme="minorHAnsi"/>
        </w:rPr>
        <w:t>. The delegate also notes that no</w:t>
      </w:r>
      <w:r w:rsidRPr="00B63794">
        <w:rPr>
          <w:rFonts w:asciiTheme="minorHAnsi" w:hAnsiTheme="minorHAnsi"/>
        </w:rPr>
        <w:t xml:space="preserve"> patient has been re-exposed after </w:t>
      </w:r>
      <w:proofErr w:type="spellStart"/>
      <w:r>
        <w:rPr>
          <w:rFonts w:asciiTheme="minorHAnsi" w:hAnsiTheme="minorHAnsi"/>
        </w:rPr>
        <w:t>galcanezumab</w:t>
      </w:r>
      <w:proofErr w:type="spellEnd"/>
      <w:r w:rsidRPr="00B63794">
        <w:rPr>
          <w:rFonts w:asciiTheme="minorHAnsi" w:hAnsiTheme="minorHAnsi"/>
        </w:rPr>
        <w:t xml:space="preserve"> t</w:t>
      </w:r>
      <w:r>
        <w:rPr>
          <w:rFonts w:asciiTheme="minorHAnsi" w:hAnsiTheme="minorHAnsi"/>
        </w:rPr>
        <w:t>reatment in any migraine or non</w:t>
      </w:r>
      <w:r>
        <w:rPr>
          <w:rFonts w:asciiTheme="minorHAnsi" w:hAnsiTheme="minorHAnsi"/>
        </w:rPr>
        <w:noBreakHyphen/>
      </w:r>
      <w:r w:rsidRPr="00B63794">
        <w:rPr>
          <w:rFonts w:asciiTheme="minorHAnsi" w:hAnsiTheme="minorHAnsi"/>
        </w:rPr>
        <w:t>migraine</w:t>
      </w:r>
      <w:r>
        <w:rPr>
          <w:rFonts w:asciiTheme="minorHAnsi" w:hAnsiTheme="minorHAnsi"/>
        </w:rPr>
        <w:t xml:space="preserve"> </w:t>
      </w:r>
      <w:r w:rsidRPr="00B63794">
        <w:rPr>
          <w:rFonts w:asciiTheme="minorHAnsi" w:hAnsiTheme="minorHAnsi"/>
        </w:rPr>
        <w:t>study. This is an important potential safety issue, if a patient were to stop GMB and re-start</w:t>
      </w:r>
      <w:r>
        <w:rPr>
          <w:rFonts w:asciiTheme="minorHAnsi" w:hAnsiTheme="minorHAnsi"/>
        </w:rPr>
        <w:t xml:space="preserve"> </w:t>
      </w:r>
      <w:r w:rsidRPr="00B63794">
        <w:rPr>
          <w:rFonts w:asciiTheme="minorHAnsi" w:hAnsiTheme="minorHAnsi"/>
        </w:rPr>
        <w:t>treatment.</w:t>
      </w:r>
    </w:p>
    <w:p w14:paraId="79E136EE" w14:textId="77777777" w:rsidR="00905797" w:rsidRDefault="00905797" w:rsidP="006D6F0D">
      <w:pPr>
        <w:pStyle w:val="Heading6"/>
      </w:pPr>
      <w:r>
        <w:t>Deficiencies of the data</w:t>
      </w:r>
    </w:p>
    <w:p w14:paraId="500549B6" w14:textId="77777777" w:rsidR="00905797" w:rsidRDefault="00905797" w:rsidP="00572B43">
      <w:pPr>
        <w:pStyle w:val="ListBullet"/>
      </w:pPr>
      <w:r>
        <w:rPr>
          <w:lang w:eastAsia="ja-JP"/>
        </w:rPr>
        <w:t>No head to head comparison with other active comparators.</w:t>
      </w:r>
    </w:p>
    <w:p w14:paraId="75E9B1B1" w14:textId="1DB37804" w:rsidR="00905797" w:rsidRDefault="00905797" w:rsidP="00572B43">
      <w:pPr>
        <w:pStyle w:val="ListBullet"/>
      </w:pPr>
      <w:r>
        <w:t>No data on efficacy in subjects with a baseline frequency of &lt; 4 migraines per month.</w:t>
      </w:r>
    </w:p>
    <w:p w14:paraId="2152C6B1" w14:textId="77777777" w:rsidR="00905797" w:rsidRDefault="00905797" w:rsidP="00572B43">
      <w:pPr>
        <w:pStyle w:val="ListBullet"/>
        <w:rPr>
          <w:lang w:eastAsia="ja-JP"/>
        </w:rPr>
      </w:pPr>
      <w:r>
        <w:rPr>
          <w:lang w:eastAsia="ja-JP"/>
        </w:rPr>
        <w:t>Long-term safety (beyond 12 months).</w:t>
      </w:r>
    </w:p>
    <w:p w14:paraId="7F9D43A5" w14:textId="77777777" w:rsidR="00905797" w:rsidRDefault="00905797" w:rsidP="00572B43">
      <w:pPr>
        <w:pStyle w:val="ListBullet"/>
        <w:rPr>
          <w:lang w:eastAsia="ja-JP"/>
        </w:rPr>
      </w:pPr>
      <w:r>
        <w:rPr>
          <w:lang w:eastAsia="ja-JP"/>
        </w:rPr>
        <w:t>Safety in subjects &lt; 18 years or &gt; 65 years.</w:t>
      </w:r>
    </w:p>
    <w:p w14:paraId="4F391EDB" w14:textId="77777777" w:rsidR="00905797" w:rsidRDefault="00905797" w:rsidP="00572B43">
      <w:pPr>
        <w:pStyle w:val="ListBullet"/>
        <w:rPr>
          <w:lang w:eastAsia="ja-JP"/>
        </w:rPr>
      </w:pPr>
      <w:r>
        <w:rPr>
          <w:lang w:eastAsia="ja-JP"/>
        </w:rPr>
        <w:t>Safety in pregnancy and lactation.</w:t>
      </w:r>
    </w:p>
    <w:p w14:paraId="5D619298" w14:textId="77777777" w:rsidR="00905797" w:rsidRDefault="00905797" w:rsidP="00572B43">
      <w:pPr>
        <w:pStyle w:val="ListBullet"/>
        <w:rPr>
          <w:lang w:eastAsia="ja-JP"/>
        </w:rPr>
      </w:pPr>
      <w:r>
        <w:t>N</w:t>
      </w:r>
      <w:r w:rsidRPr="005944BE">
        <w:t xml:space="preserve">o patient has been re-exposed after </w:t>
      </w:r>
      <w:proofErr w:type="spellStart"/>
      <w:r>
        <w:t>galcanezumab</w:t>
      </w:r>
      <w:proofErr w:type="spellEnd"/>
      <w:r w:rsidRPr="005944BE">
        <w:t xml:space="preserve"> treatment</w:t>
      </w:r>
      <w:r>
        <w:t xml:space="preserve"> (restarting </w:t>
      </w:r>
      <w:proofErr w:type="spellStart"/>
      <w:r>
        <w:t>galcanezumab</w:t>
      </w:r>
      <w:proofErr w:type="spellEnd"/>
      <w:r>
        <w:t xml:space="preserve"> treatment).</w:t>
      </w:r>
    </w:p>
    <w:p w14:paraId="0341C5A9" w14:textId="77777777" w:rsidR="00905797" w:rsidRPr="00597D66" w:rsidRDefault="00905797" w:rsidP="006D6F0D">
      <w:pPr>
        <w:pStyle w:val="Heading6"/>
      </w:pPr>
      <w:r>
        <w:t>Conditions of registration</w:t>
      </w:r>
    </w:p>
    <w:p w14:paraId="0D48A237" w14:textId="77777777" w:rsidR="002F2AC8" w:rsidRDefault="00905797" w:rsidP="00905797">
      <w:r w:rsidRPr="00CB6544">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2F2AC8">
        <w:t>.</w:t>
      </w:r>
    </w:p>
    <w:p w14:paraId="3683C5D7" w14:textId="77777777" w:rsidR="002F2AC8" w:rsidRDefault="00905797" w:rsidP="00905797">
      <w:r w:rsidRPr="00CB6544">
        <w:t>The suggested wording is</w:t>
      </w:r>
      <w:r w:rsidR="002F2AC8">
        <w:t>:</w:t>
      </w:r>
    </w:p>
    <w:p w14:paraId="784999DE" w14:textId="77777777" w:rsidR="00905797" w:rsidRPr="00905797" w:rsidRDefault="00905797" w:rsidP="00905797">
      <w:pPr>
        <w:ind w:left="720"/>
        <w:rPr>
          <w:iCs/>
        </w:rPr>
      </w:pPr>
      <w:r w:rsidRPr="00905797">
        <w:rPr>
          <w:iCs/>
        </w:rPr>
        <w:t xml:space="preserve">The </w:t>
      </w:r>
      <w:proofErr w:type="spellStart"/>
      <w:r w:rsidRPr="00905797">
        <w:rPr>
          <w:iCs/>
        </w:rPr>
        <w:t>galcanezumab</w:t>
      </w:r>
      <w:proofErr w:type="spellEnd"/>
      <w:r w:rsidRPr="00905797">
        <w:rPr>
          <w:iCs/>
        </w:rPr>
        <w:t xml:space="preserve"> EU-Risk Management Plan (RMP) (version 1.0, dated 11 September 2018, data lock point 12 May 2017), with Australian Specific Annex (version 2.0, dated 4 December 2018), included with submission PM-2018-00780-1-1, and any subsequent revisions, as agreed with the TGA will be implemented in Australia.</w:t>
      </w:r>
    </w:p>
    <w:p w14:paraId="3AA0C339" w14:textId="77777777" w:rsidR="00905797" w:rsidRPr="00CB6544" w:rsidRDefault="00905797" w:rsidP="00905797">
      <w:r w:rsidRPr="00CB6544">
        <w:t>The following wording is recommended for the PSUR requirement:</w:t>
      </w:r>
    </w:p>
    <w:p w14:paraId="446E3900" w14:textId="77777777" w:rsidR="00905797" w:rsidRPr="00905797" w:rsidRDefault="00905797" w:rsidP="00905797">
      <w:pPr>
        <w:ind w:left="720"/>
        <w:rPr>
          <w:iCs/>
          <w:u w:val="single"/>
        </w:rPr>
      </w:pPr>
      <w:r w:rsidRPr="00905797">
        <w:rPr>
          <w:iCs/>
        </w:rPr>
        <w:t>An obligatory component of risk management plans is routine pharmacovigilance. Routine pharmacovigilance includes the submission of periodic</w:t>
      </w:r>
      <w:r>
        <w:rPr>
          <w:iCs/>
        </w:rPr>
        <w:t xml:space="preserve"> safety update reports (PSURs).</w:t>
      </w:r>
    </w:p>
    <w:p w14:paraId="538D7FED" w14:textId="77777777" w:rsidR="002F2AC8" w:rsidRDefault="00905797" w:rsidP="00905797">
      <w:pPr>
        <w:ind w:left="720"/>
        <w:rPr>
          <w:iCs/>
        </w:rPr>
      </w:pPr>
      <w:r w:rsidRPr="00905797">
        <w:rPr>
          <w:iCs/>
        </w:rPr>
        <w:t>Reports are to be provided in line with the current published list of EU reference dates and frequency of submission of PSURs until the period covered by such reports is not less than three years from the date of this approval letter</w:t>
      </w:r>
      <w:r w:rsidR="002F2AC8">
        <w:rPr>
          <w:iCs/>
        </w:rPr>
        <w:t>.</w:t>
      </w:r>
    </w:p>
    <w:p w14:paraId="76719983" w14:textId="77777777" w:rsidR="002F2AC8" w:rsidRDefault="00905797" w:rsidP="00905797">
      <w:pPr>
        <w:ind w:left="720"/>
        <w:rPr>
          <w:iCs/>
        </w:rPr>
      </w:pPr>
      <w:r w:rsidRPr="00905797">
        <w:rPr>
          <w:iCs/>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r w:rsidR="002F2AC8">
        <w:rPr>
          <w:iCs/>
        </w:rPr>
        <w:t>.</w:t>
      </w:r>
    </w:p>
    <w:p w14:paraId="7F1B1E70" w14:textId="77777777" w:rsidR="00905797" w:rsidRDefault="00905797" w:rsidP="00905797">
      <w:pPr>
        <w:rPr>
          <w:iCs/>
        </w:rPr>
      </w:pPr>
      <w:r>
        <w:rPr>
          <w:iCs/>
        </w:rPr>
        <w:t>As the sponsor has agreed to include the Consumer Medicine Information in the pack, the following wording is recommended for a condition of registration:</w:t>
      </w:r>
    </w:p>
    <w:p w14:paraId="4E6BA599" w14:textId="77777777" w:rsidR="002F2AC8" w:rsidRDefault="00905797" w:rsidP="00905797">
      <w:pPr>
        <w:ind w:left="720"/>
      </w:pPr>
      <w:r>
        <w:t xml:space="preserve">The </w:t>
      </w:r>
      <w:proofErr w:type="spellStart"/>
      <w:r>
        <w:t>Emgality</w:t>
      </w:r>
      <w:proofErr w:type="spellEnd"/>
      <w:r>
        <w:t xml:space="preserve"> Consumer Medicine Information must be included in the package</w:t>
      </w:r>
      <w:r w:rsidR="002F2AC8">
        <w:t>.</w:t>
      </w:r>
    </w:p>
    <w:p w14:paraId="12BCC29D" w14:textId="77777777" w:rsidR="002F2AC8" w:rsidRDefault="00905797" w:rsidP="00905797">
      <w:r>
        <w:rPr>
          <w:iCs/>
        </w:rPr>
        <w:t xml:space="preserve">As </w:t>
      </w:r>
      <w:proofErr w:type="spellStart"/>
      <w:r>
        <w:rPr>
          <w:iCs/>
        </w:rPr>
        <w:t>Emgality</w:t>
      </w:r>
      <w:proofErr w:type="spellEnd"/>
      <w:r>
        <w:rPr>
          <w:iCs/>
        </w:rPr>
        <w:t xml:space="preserve"> </w:t>
      </w:r>
      <w:r w:rsidRPr="00CB6544">
        <w:rPr>
          <w:iCs/>
        </w:rPr>
        <w:t>is a new</w:t>
      </w:r>
      <w:r>
        <w:rPr>
          <w:iCs/>
        </w:rPr>
        <w:t xml:space="preserve"> </w:t>
      </w:r>
      <w:r w:rsidRPr="00CB6544">
        <w:rPr>
          <w:iCs/>
        </w:rPr>
        <w:t xml:space="preserve">biological entity it should be included in the </w:t>
      </w:r>
      <w:r w:rsidRPr="00905797">
        <w:rPr>
          <w:iCs/>
        </w:rPr>
        <w:t>Black Triangle Scheme</w:t>
      </w:r>
      <w:r w:rsidRPr="00CB6544">
        <w:rPr>
          <w:iCs/>
        </w:rPr>
        <w:t xml:space="preserve"> as a condition of registration. </w:t>
      </w:r>
      <w:r w:rsidRPr="00CB6544">
        <w:t>The following wording is recommended for the condition of registration</w:t>
      </w:r>
      <w:r w:rsidR="002F2AC8">
        <w:t>:</w:t>
      </w:r>
    </w:p>
    <w:p w14:paraId="6E82C751" w14:textId="77777777" w:rsidR="00905797" w:rsidRPr="00CB6544" w:rsidRDefault="00905797" w:rsidP="00905797">
      <w:pPr>
        <w:ind w:left="720"/>
      </w:pPr>
      <w:proofErr w:type="spellStart"/>
      <w:r>
        <w:lastRenderedPageBreak/>
        <w:t>Emgality</w:t>
      </w:r>
      <w:proofErr w:type="spellEnd"/>
      <w:r w:rsidRPr="00CB6544">
        <w:t xml:space="preserve"> (</w:t>
      </w:r>
      <w:proofErr w:type="spellStart"/>
      <w:r>
        <w:t>galcanezumab</w:t>
      </w:r>
      <w:proofErr w:type="spellEnd"/>
      <w:r w:rsidRPr="00CB6544">
        <w:t>) is to be included in the Black Triangle Scheme</w:t>
      </w:r>
      <w:r>
        <w:t>. The PI and CMI for</w:t>
      </w:r>
      <w:r w:rsidRPr="00CB6544">
        <w:t xml:space="preserve"> </w:t>
      </w:r>
      <w:proofErr w:type="spellStart"/>
      <w:r>
        <w:t>Emgality</w:t>
      </w:r>
      <w:proofErr w:type="spellEnd"/>
      <w:r>
        <w:t xml:space="preserve"> </w:t>
      </w:r>
      <w:r w:rsidRPr="00CB6544">
        <w:t>must include the black triangle symbol and mandatory accompanying text for five years, which starts from the date that the sponsor notifies the TGA of supply of the product.</w:t>
      </w:r>
    </w:p>
    <w:p w14:paraId="2A2556CD" w14:textId="77777777" w:rsidR="00905797" w:rsidRDefault="00905797" w:rsidP="006D6F0D">
      <w:pPr>
        <w:pStyle w:val="Heading6"/>
      </w:pPr>
      <w:r>
        <w:t>Outstanding issues</w:t>
      </w:r>
    </w:p>
    <w:p w14:paraId="757FD15C" w14:textId="77777777" w:rsidR="00905797" w:rsidRDefault="00905797" w:rsidP="00572B43">
      <w:pPr>
        <w:pStyle w:val="ListBullet"/>
      </w:pPr>
      <w:r>
        <w:t>Cardiovascular risk.</w:t>
      </w:r>
    </w:p>
    <w:p w14:paraId="438F9CED" w14:textId="1019C685" w:rsidR="00905797" w:rsidRDefault="00905797" w:rsidP="00572B43">
      <w:pPr>
        <w:pStyle w:val="ListBullet"/>
      </w:pPr>
      <w:r>
        <w:t xml:space="preserve">Re-exposure to </w:t>
      </w:r>
      <w:proofErr w:type="spellStart"/>
      <w:r w:rsidR="00B54493">
        <w:t>galcanezumab</w:t>
      </w:r>
      <w:proofErr w:type="spellEnd"/>
      <w:r>
        <w:t>.</w:t>
      </w:r>
    </w:p>
    <w:p w14:paraId="7783F627" w14:textId="77777777" w:rsidR="00905797" w:rsidRDefault="00905797" w:rsidP="006D6F0D">
      <w:pPr>
        <w:pStyle w:val="Heading6"/>
      </w:pPr>
      <w:r>
        <w:t>C</w:t>
      </w:r>
      <w:r w:rsidRPr="005529C3">
        <w:t>onclusion</w:t>
      </w:r>
    </w:p>
    <w:p w14:paraId="1C873001" w14:textId="77777777" w:rsidR="007C2EA0" w:rsidRDefault="00EA1AAA" w:rsidP="006D6F0D">
      <w:r>
        <w:t xml:space="preserve">Overall </w:t>
      </w:r>
      <w:proofErr w:type="spellStart"/>
      <w:r>
        <w:t>g</w:t>
      </w:r>
      <w:r w:rsidR="00905797">
        <w:t>alcanezumab</w:t>
      </w:r>
      <w:proofErr w:type="spellEnd"/>
      <w:r w:rsidR="00905797">
        <w:t xml:space="preserve"> is approvable as t</w:t>
      </w:r>
      <w:r w:rsidR="00905797" w:rsidRPr="0067238A">
        <w:t>he quality, nonclinical and clinical evaluators</w:t>
      </w:r>
      <w:r w:rsidR="00905797">
        <w:t xml:space="preserve"> (subjected to product information changes)</w:t>
      </w:r>
      <w:r w:rsidR="00905797" w:rsidRPr="0067238A">
        <w:t xml:space="preserve"> have all recommended approval.</w:t>
      </w:r>
      <w:r w:rsidR="00905797">
        <w:t xml:space="preserve"> </w:t>
      </w:r>
      <w:r w:rsidR="00905797" w:rsidRPr="001D69F6">
        <w:t>The delegate considers that sufficient data and ju</w:t>
      </w:r>
      <w:r w:rsidR="00905797">
        <w:t xml:space="preserve">stification have been provided </w:t>
      </w:r>
      <w:r w:rsidR="00905797" w:rsidRPr="001D69F6">
        <w:t xml:space="preserve">to support the registration of </w:t>
      </w:r>
      <w:proofErr w:type="spellStart"/>
      <w:r>
        <w:t>g</w:t>
      </w:r>
      <w:r w:rsidR="00905797">
        <w:t>alcanezumab</w:t>
      </w:r>
      <w:proofErr w:type="spellEnd"/>
      <w:r w:rsidR="00905797" w:rsidRPr="001D69F6">
        <w:t xml:space="preserve"> on quality, safety and efficacy grounds for </w:t>
      </w:r>
      <w:r w:rsidR="00905797" w:rsidRPr="00153066">
        <w:rPr>
          <w:rFonts w:asciiTheme="minorHAnsi" w:eastAsiaTheme="minorHAnsi" w:hAnsiTheme="minorHAnsi" w:cs="TimesNewRoman,Bold"/>
          <w:bCs/>
          <w:szCs w:val="24"/>
        </w:rPr>
        <w:t xml:space="preserve">the </w:t>
      </w:r>
      <w:r w:rsidR="00905797" w:rsidRPr="00D7569F">
        <w:rPr>
          <w:rFonts w:asciiTheme="minorHAnsi" w:eastAsiaTheme="minorHAnsi" w:hAnsiTheme="minorHAnsi" w:cs="TimesNewRoman,Bold"/>
          <w:bCs/>
          <w:szCs w:val="24"/>
        </w:rPr>
        <w:t>prophylaxis of migraine in adults</w:t>
      </w:r>
      <w:r w:rsidR="00905797">
        <w:rPr>
          <w:rFonts w:asciiTheme="minorHAnsi" w:eastAsiaTheme="minorHAnsi" w:hAnsiTheme="minorHAnsi" w:cs="TimesNewRoman,Bold"/>
          <w:bCs/>
          <w:szCs w:val="24"/>
        </w:rPr>
        <w:t>.</w:t>
      </w:r>
    </w:p>
    <w:p w14:paraId="09495754" w14:textId="77777777" w:rsidR="007C2EA0" w:rsidRDefault="007C2EA0" w:rsidP="006D6F0D">
      <w:pPr>
        <w:pStyle w:val="Heading5"/>
      </w:pPr>
      <w:r>
        <w:t>Summary of Issues</w:t>
      </w:r>
    </w:p>
    <w:p w14:paraId="5DA7F77F" w14:textId="7278E446" w:rsidR="007C2EA0" w:rsidRPr="006D6F0D" w:rsidRDefault="007C2EA0" w:rsidP="006D6F0D">
      <w:r w:rsidRPr="006B71C5">
        <w:t xml:space="preserve">The delegate </w:t>
      </w:r>
      <w:r>
        <w:t xml:space="preserve">overall </w:t>
      </w:r>
      <w:r w:rsidRPr="006B71C5">
        <w:t xml:space="preserve">supports the </w:t>
      </w:r>
      <w:r>
        <w:t xml:space="preserve">clinical evaluator in recommending approval of </w:t>
      </w:r>
      <w:proofErr w:type="spellStart"/>
      <w:r w:rsidR="006D6F0D">
        <w:t>g</w:t>
      </w:r>
      <w:r>
        <w:t>alcanezumab</w:t>
      </w:r>
      <w:proofErr w:type="spellEnd"/>
      <w:r>
        <w:t xml:space="preserve"> for </w:t>
      </w:r>
      <w:r w:rsidR="00B54493">
        <w:t>‘</w:t>
      </w:r>
      <w:r w:rsidRPr="003A6C98">
        <w:rPr>
          <w:i/>
          <w:lang w:eastAsia="ja-JP"/>
        </w:rPr>
        <w:t>for the prophylaxis of migraine in adults</w:t>
      </w:r>
      <w:r w:rsidR="00B54493">
        <w:t>’.</w:t>
      </w:r>
    </w:p>
    <w:p w14:paraId="0FCEB601" w14:textId="77777777" w:rsidR="00190AE6" w:rsidRDefault="00190AE6" w:rsidP="006D6F0D">
      <w:pPr>
        <w:pStyle w:val="Heading6"/>
      </w:pPr>
      <w:r>
        <w:t>Key issues:</w:t>
      </w:r>
    </w:p>
    <w:p w14:paraId="0829094D" w14:textId="03E1441C" w:rsidR="0007206D" w:rsidRDefault="00190AE6" w:rsidP="00572B43">
      <w:pPr>
        <w:pStyle w:val="ListBullet"/>
      </w:pPr>
      <w:r>
        <w:t>D</w:t>
      </w:r>
      <w:r w:rsidRPr="00400FE0">
        <w:t xml:space="preserve">ifferences from placebo in the reduction from </w:t>
      </w:r>
      <w:r w:rsidR="00B54493">
        <w:t>B</w:t>
      </w:r>
      <w:r w:rsidR="00B54493" w:rsidRPr="00400FE0">
        <w:t xml:space="preserve">aseline </w:t>
      </w:r>
      <w:r w:rsidRPr="00400FE0">
        <w:t>in the mean number of migraine days per month were consistent across</w:t>
      </w:r>
      <w:r>
        <w:t xml:space="preserve"> the</w:t>
      </w:r>
      <w:r w:rsidRPr="00400FE0">
        <w:t xml:space="preserve"> studies.</w:t>
      </w:r>
      <w:r>
        <w:t xml:space="preserve"> </w:t>
      </w:r>
      <w:r w:rsidRPr="00400FE0">
        <w:t>The a</w:t>
      </w:r>
      <w:r w:rsidR="00A24AD4">
        <w:t>bsolute difference was around 2 </w:t>
      </w:r>
      <w:r w:rsidRPr="00400FE0">
        <w:t>days per month for both episodic and chronic migraine.</w:t>
      </w:r>
      <w:r>
        <w:t xml:space="preserve"> </w:t>
      </w:r>
      <w:r w:rsidRPr="00400FE0">
        <w:t>This extent of benefit is relatively large for patients with episodic migraine but small for patients with chronic migraine</w:t>
      </w:r>
      <w:r w:rsidR="0007206D">
        <w:t>.</w:t>
      </w:r>
    </w:p>
    <w:p w14:paraId="295686A5" w14:textId="77777777" w:rsidR="00190AE6" w:rsidRDefault="00190AE6" w:rsidP="00572B43">
      <w:pPr>
        <w:pStyle w:val="ListBullet"/>
      </w:pPr>
      <w:r>
        <w:t xml:space="preserve">There are theoretical concerns suggesting that interfering with CGRP could modify processes relevant to protection against </w:t>
      </w:r>
      <w:proofErr w:type="spellStart"/>
      <w:r>
        <w:t>ischaemia</w:t>
      </w:r>
      <w:proofErr w:type="spellEnd"/>
      <w:r>
        <w:t>, increasing the risk of cardiovascular events. No evidence of this emerged in the submitted studies; but it is to be noted subjects with a strong history of cardiovascular events were excluded.</w:t>
      </w:r>
    </w:p>
    <w:p w14:paraId="77784034" w14:textId="77777777" w:rsidR="00190AE6" w:rsidRDefault="00190AE6" w:rsidP="00572B43">
      <w:pPr>
        <w:pStyle w:val="ListBullet"/>
      </w:pPr>
      <w:proofErr w:type="spellStart"/>
      <w:r>
        <w:t>Galcanezumab</w:t>
      </w:r>
      <w:proofErr w:type="spellEnd"/>
      <w:r>
        <w:t xml:space="preserve"> has a number of tolerabil</w:t>
      </w:r>
      <w:r w:rsidR="00A24AD4">
        <w:t xml:space="preserve">ity issues, including injection </w:t>
      </w:r>
      <w:r>
        <w:t>site reactions, vertigo, and constipation, but these symptoms may be acceptable for patients who be</w:t>
      </w:r>
      <w:r w:rsidR="006F1789">
        <w:t>nefit by reduction in their MHD</w:t>
      </w:r>
      <w:r>
        <w:t>.</w:t>
      </w:r>
    </w:p>
    <w:p w14:paraId="5B440A0B" w14:textId="77777777" w:rsidR="00190AE6" w:rsidRPr="005944BE" w:rsidRDefault="00190AE6" w:rsidP="00572B43">
      <w:pPr>
        <w:pStyle w:val="ListBullet"/>
        <w:rPr>
          <w:u w:val="single"/>
        </w:rPr>
      </w:pPr>
      <w:r w:rsidRPr="00C342A7">
        <w:t xml:space="preserve">The safety of </w:t>
      </w:r>
      <w:proofErr w:type="spellStart"/>
      <w:r w:rsidRPr="00C342A7">
        <w:t>galcanezumab</w:t>
      </w:r>
      <w:proofErr w:type="spellEnd"/>
      <w:r w:rsidRPr="00C342A7">
        <w:t xml:space="preserve"> in combination with other agents affecting CGRP is uncharacterised</w:t>
      </w:r>
      <w:r>
        <w:t xml:space="preserve"> as pointed out by clinical evaluator. </w:t>
      </w:r>
      <w:r w:rsidRPr="00EF1E06">
        <w:t>There is also no data on combin</w:t>
      </w:r>
      <w:r>
        <w:t>ation of</w:t>
      </w:r>
      <w:r w:rsidR="00A24AD4">
        <w:t xml:space="preserve"> botulinum toxin A or B with </w:t>
      </w:r>
      <w:proofErr w:type="spellStart"/>
      <w:r w:rsidR="00A24AD4">
        <w:t>g</w:t>
      </w:r>
      <w:r w:rsidRPr="00EF1E06">
        <w:t>alcanezumab</w:t>
      </w:r>
      <w:proofErr w:type="spellEnd"/>
      <w:r>
        <w:t>.</w:t>
      </w:r>
    </w:p>
    <w:p w14:paraId="5C422B46" w14:textId="77777777" w:rsidR="00456765" w:rsidRPr="00456765" w:rsidRDefault="00190AE6" w:rsidP="00572B43">
      <w:pPr>
        <w:pStyle w:val="ListBullet"/>
      </w:pPr>
      <w:r>
        <w:t>G</w:t>
      </w:r>
      <w:r w:rsidRPr="005944BE">
        <w:t xml:space="preserve">iven the benefits from treatment are highly variable in a condition which also varies in severity over time without therapeutic intervention, it is reasonable that patients with chronic migraine should not continue with </w:t>
      </w:r>
      <w:proofErr w:type="spellStart"/>
      <w:r w:rsidRPr="005944BE">
        <w:t>galcanezumab</w:t>
      </w:r>
      <w:proofErr w:type="spellEnd"/>
      <w:r w:rsidRPr="005944BE">
        <w:t xml:space="preserve"> if they do not have a least a reduction</w:t>
      </w:r>
      <w:r w:rsidR="00A24AD4">
        <w:t xml:space="preserve"> of 2 </w:t>
      </w:r>
      <w:r w:rsidRPr="005944BE">
        <w:t>days in their monthly migraine day frequency after a trial. Current Australian guidelines for treatment trials for migraine prophylaxis treatment recommend a trial of</w:t>
      </w:r>
      <w:r>
        <w:t xml:space="preserve"> 8 to 12 weeks. </w:t>
      </w:r>
      <w:r w:rsidRPr="005944BE">
        <w:t xml:space="preserve">The </w:t>
      </w:r>
      <w:r w:rsidR="007543B4">
        <w:t>Delegate</w:t>
      </w:r>
      <w:r w:rsidRPr="005944BE">
        <w:t xml:space="preserve"> also notes that no patient has been re-exposed after </w:t>
      </w:r>
      <w:proofErr w:type="spellStart"/>
      <w:r w:rsidR="003D0694">
        <w:t>galcanezumab</w:t>
      </w:r>
      <w:proofErr w:type="spellEnd"/>
      <w:r w:rsidRPr="005944BE">
        <w:t xml:space="preserve"> t</w:t>
      </w:r>
      <w:r w:rsidR="003D0694">
        <w:t>reatment in any migraine or non-</w:t>
      </w:r>
      <w:r w:rsidR="003D0694" w:rsidRPr="005944BE">
        <w:t>migraine</w:t>
      </w:r>
      <w:r w:rsidRPr="005944BE">
        <w:t xml:space="preserve"> study. This is an important potential safety issue, if a patient were to stop </w:t>
      </w:r>
      <w:proofErr w:type="spellStart"/>
      <w:r w:rsidR="00A24AD4">
        <w:t>galcanezumab</w:t>
      </w:r>
      <w:proofErr w:type="spellEnd"/>
      <w:r w:rsidR="00BE161F">
        <w:t xml:space="preserve"> and re</w:t>
      </w:r>
      <w:r w:rsidRPr="005944BE">
        <w:t>start treatment.</w:t>
      </w:r>
    </w:p>
    <w:p w14:paraId="7183101E" w14:textId="77777777" w:rsidR="00D23139" w:rsidRDefault="00D23139" w:rsidP="00D23139">
      <w:pPr>
        <w:pStyle w:val="Heading4"/>
      </w:pPr>
      <w:r w:rsidRPr="00D23139">
        <w:t>Proposed action</w:t>
      </w:r>
    </w:p>
    <w:p w14:paraId="4C0E3A1F" w14:textId="61EF4D23" w:rsidR="007C2EA0" w:rsidRDefault="007C2EA0" w:rsidP="006D6F0D">
      <w:r>
        <w:t>The Delegate had</w:t>
      </w:r>
      <w:r w:rsidRPr="007F38DB">
        <w:t xml:space="preserve"> no reason to say, at </w:t>
      </w:r>
      <w:r w:rsidR="00B54493" w:rsidRPr="007F38DB">
        <w:t>th</w:t>
      </w:r>
      <w:r w:rsidR="00B54493">
        <w:t>e</w:t>
      </w:r>
      <w:r w:rsidR="00B54493" w:rsidRPr="007F38DB">
        <w:t xml:space="preserve"> </w:t>
      </w:r>
      <w:r w:rsidRPr="007F38DB">
        <w:t>time, that the application for</w:t>
      </w:r>
      <w:r>
        <w:t xml:space="preserve"> </w:t>
      </w:r>
      <w:proofErr w:type="spellStart"/>
      <w:r>
        <w:t>Galcanezumab</w:t>
      </w:r>
      <w:proofErr w:type="spellEnd"/>
      <w:r>
        <w:t xml:space="preserve"> should not be </w:t>
      </w:r>
      <w:r w:rsidRPr="007F38DB">
        <w:t>approved for registration.</w:t>
      </w:r>
    </w:p>
    <w:p w14:paraId="58D88E67" w14:textId="77777777" w:rsidR="007C2EA0" w:rsidRPr="007F38DB" w:rsidRDefault="007C2EA0" w:rsidP="006D6F0D">
      <w:r w:rsidRPr="005B1373">
        <w:lastRenderedPageBreak/>
        <w:t xml:space="preserve">Any approval is subject to taking into account all issues arising from the </w:t>
      </w:r>
      <w:r w:rsidR="00EA1AAA">
        <w:t>Advisory Committee on Medicines (</w:t>
      </w:r>
      <w:r w:rsidRPr="005B1373">
        <w:t>ACM</w:t>
      </w:r>
      <w:r w:rsidR="00EA1AAA">
        <w:t>)</w:t>
      </w:r>
      <w:r w:rsidRPr="005B1373">
        <w:t xml:space="preserve"> deliberations and finali</w:t>
      </w:r>
      <w:r>
        <w:t xml:space="preserve">sing matters pertaining to the </w:t>
      </w:r>
      <w:r w:rsidRPr="005B1373">
        <w:t>PI, to the satisfaction of the TGA.</w:t>
      </w:r>
    </w:p>
    <w:p w14:paraId="06DBE8C7" w14:textId="77777777" w:rsidR="00A24AD4" w:rsidRPr="00A24AD4" w:rsidRDefault="00A22D57" w:rsidP="00A24AD4">
      <w:pPr>
        <w:pStyle w:val="Heading4"/>
      </w:pPr>
      <w:r>
        <w:t xml:space="preserve">Request for </w:t>
      </w:r>
      <w:r w:rsidR="00EA1AAA">
        <w:t>ACM</w:t>
      </w:r>
      <w:r w:rsidR="00D23139" w:rsidRPr="00D23139">
        <w:t xml:space="preserve"> advice</w:t>
      </w:r>
    </w:p>
    <w:p w14:paraId="3D7DC839" w14:textId="67FD80FA" w:rsidR="00190AE6" w:rsidRPr="00A24AD4" w:rsidRDefault="00190AE6" w:rsidP="00572B43">
      <w:pPr>
        <w:pStyle w:val="Numberbullet0"/>
        <w:numPr>
          <w:ilvl w:val="0"/>
          <w:numId w:val="47"/>
        </w:numPr>
      </w:pPr>
      <w:r w:rsidRPr="00A24AD4">
        <w:t xml:space="preserve">What are </w:t>
      </w:r>
      <w:r w:rsidR="00B54493">
        <w:t xml:space="preserve">the </w:t>
      </w:r>
      <w:r w:rsidRPr="00A24AD4">
        <w:t xml:space="preserve">ACM’s views on the efficacy and to what extent is there sufficient clinical trial evidence to support the proposed indication for </w:t>
      </w:r>
      <w:proofErr w:type="spellStart"/>
      <w:r w:rsidR="00A24AD4">
        <w:t>g</w:t>
      </w:r>
      <w:r w:rsidRPr="00A24AD4">
        <w:t>alcanezumab</w:t>
      </w:r>
      <w:proofErr w:type="spellEnd"/>
      <w:r w:rsidRPr="00A24AD4">
        <w:t>?</w:t>
      </w:r>
    </w:p>
    <w:p w14:paraId="1D7719D0" w14:textId="77777777" w:rsidR="0057105C" w:rsidRPr="00A24AD4" w:rsidRDefault="00190AE6" w:rsidP="00572B43">
      <w:pPr>
        <w:pStyle w:val="Numberbullet0"/>
      </w:pPr>
      <w:r w:rsidRPr="00A24AD4">
        <w:t xml:space="preserve">Does the ACM consider that the safety of </w:t>
      </w:r>
      <w:proofErr w:type="spellStart"/>
      <w:r w:rsidR="00A24AD4">
        <w:t>g</w:t>
      </w:r>
      <w:r w:rsidRPr="00A24AD4">
        <w:t>alcanezumab</w:t>
      </w:r>
      <w:proofErr w:type="spellEnd"/>
      <w:r w:rsidRPr="00A24AD4">
        <w:t xml:space="preserve"> in the proposed new indication is sufficiently well characterised and communicated in the </w:t>
      </w:r>
      <w:proofErr w:type="gramStart"/>
      <w:r w:rsidRPr="00A24AD4">
        <w:t>PI</w:t>
      </w:r>
      <w:proofErr w:type="gramEnd"/>
    </w:p>
    <w:p w14:paraId="7D25F1A3" w14:textId="77777777" w:rsidR="00190AE6" w:rsidRPr="00A24AD4" w:rsidRDefault="00190AE6" w:rsidP="00A24AD4">
      <w:pPr>
        <w:pStyle w:val="Numberbullet2"/>
      </w:pPr>
      <w:r w:rsidRPr="00A24AD4">
        <w:t>Any specific measures to be taken to highlight possible cardiovascular risk knowing that trial population excluded elderly and patient with cardiovascular risk?</w:t>
      </w:r>
    </w:p>
    <w:p w14:paraId="33B3F972" w14:textId="0349D9BB" w:rsidR="0057105C" w:rsidRPr="00A24AD4" w:rsidRDefault="00190AE6" w:rsidP="00A24AD4">
      <w:pPr>
        <w:pStyle w:val="Numberbullet2"/>
      </w:pPr>
      <w:r w:rsidRPr="00A24AD4">
        <w:t xml:space="preserve">Does </w:t>
      </w:r>
      <w:r w:rsidR="00B54493">
        <w:t xml:space="preserve">the </w:t>
      </w:r>
      <w:r w:rsidRPr="00A24AD4">
        <w:t xml:space="preserve">ACM anticipate frequent re-exposure to </w:t>
      </w:r>
      <w:proofErr w:type="spellStart"/>
      <w:r w:rsidRPr="00A24AD4">
        <w:t>galcanezumab</w:t>
      </w:r>
      <w:proofErr w:type="spellEnd"/>
      <w:r w:rsidRPr="00A24AD4">
        <w:t xml:space="preserve"> in clinical settings as no relevant safety data exist in any migraine or non-migraine study?</w:t>
      </w:r>
    </w:p>
    <w:p w14:paraId="1A754E60" w14:textId="4332856B" w:rsidR="00190AE6" w:rsidRPr="00A24AD4" w:rsidRDefault="00190AE6" w:rsidP="00A24AD4">
      <w:pPr>
        <w:pStyle w:val="Numberbullet2"/>
      </w:pPr>
      <w:r w:rsidRPr="00A24AD4">
        <w:t xml:space="preserve">Does </w:t>
      </w:r>
      <w:r w:rsidR="00B54493">
        <w:t xml:space="preserve">the </w:t>
      </w:r>
      <w:r w:rsidRPr="00A24AD4">
        <w:t xml:space="preserve">ACM foresee combination of </w:t>
      </w:r>
      <w:proofErr w:type="spellStart"/>
      <w:r w:rsidRPr="00A24AD4">
        <w:t>erenumab</w:t>
      </w:r>
      <w:proofErr w:type="spellEnd"/>
      <w:r w:rsidRPr="00A24AD4">
        <w:t xml:space="preserve"> and </w:t>
      </w:r>
      <w:proofErr w:type="spellStart"/>
      <w:r w:rsidR="00A24AD4">
        <w:t>galcanezumab</w:t>
      </w:r>
      <w:proofErr w:type="spellEnd"/>
      <w:r w:rsidRPr="00A24AD4">
        <w:t xml:space="preserve"> used frequently?</w:t>
      </w:r>
    </w:p>
    <w:p w14:paraId="214C890D" w14:textId="77777777" w:rsidR="00190AE6" w:rsidRPr="00A24AD4" w:rsidRDefault="00190AE6" w:rsidP="006D6F0D">
      <w:r w:rsidRPr="00A24AD4">
        <w:t>The Committee is also requested to provide advice on any other issues that it thinks may be relevant to a decision on whether or not to approve this application.</w:t>
      </w:r>
    </w:p>
    <w:p w14:paraId="103278D7" w14:textId="77777777" w:rsidR="00D23139" w:rsidRDefault="00F0343F" w:rsidP="00D23139">
      <w:pPr>
        <w:pStyle w:val="Heading4"/>
      </w:pPr>
      <w:r>
        <w:t>Response from s</w:t>
      </w:r>
      <w:r w:rsidR="00456765">
        <w:t>ponsor</w:t>
      </w:r>
    </w:p>
    <w:p w14:paraId="7B527DA9" w14:textId="22DD1DF5" w:rsidR="00190AE6" w:rsidRPr="00190AE6" w:rsidRDefault="00190AE6" w:rsidP="00717374">
      <w:pPr>
        <w:pStyle w:val="Heading5"/>
      </w:pPr>
      <w:r w:rsidRPr="00190AE6">
        <w:t>Pharmacokinetic/</w:t>
      </w:r>
      <w:proofErr w:type="spellStart"/>
      <w:r w:rsidR="00B54493">
        <w:t>p</w:t>
      </w:r>
      <w:r w:rsidR="00B54493" w:rsidRPr="00190AE6">
        <w:t>harmacodynamic</w:t>
      </w:r>
      <w:proofErr w:type="spellEnd"/>
      <w:r w:rsidR="00B54493" w:rsidRPr="00190AE6">
        <w:t xml:space="preserve"> </w:t>
      </w:r>
      <w:r w:rsidR="00B54493">
        <w:t>m</w:t>
      </w:r>
      <w:r w:rsidR="00B54493" w:rsidRPr="00190AE6">
        <w:t>odelling</w:t>
      </w:r>
    </w:p>
    <w:p w14:paraId="26ABA705" w14:textId="77777777" w:rsidR="00190AE6" w:rsidRPr="00190AE6" w:rsidRDefault="00DF2A39" w:rsidP="00190AE6">
      <w:r>
        <w:t>The sponsor</w:t>
      </w:r>
      <w:r w:rsidR="00190AE6" w:rsidRPr="00190AE6">
        <w:t xml:space="preserve"> has acknowledged the comment by the </w:t>
      </w:r>
      <w:proofErr w:type="spellStart"/>
      <w:r w:rsidR="00190AE6" w:rsidRPr="00190AE6">
        <w:t>pharmacometrics</w:t>
      </w:r>
      <w:proofErr w:type="spellEnd"/>
      <w:r w:rsidR="00190AE6" w:rsidRPr="00190AE6">
        <w:t xml:space="preserve"> working</w:t>
      </w:r>
      <w:r w:rsidR="00190AE6">
        <w:t xml:space="preserve"> </w:t>
      </w:r>
      <w:r w:rsidR="00190AE6" w:rsidRPr="00190AE6">
        <w:t>group regarding the lack of a disease modifying function in the</w:t>
      </w:r>
      <w:r w:rsidR="00190AE6">
        <w:t xml:space="preserve"> </w:t>
      </w:r>
      <w:r w:rsidR="00A24AD4">
        <w:t>PK/PD</w:t>
      </w:r>
      <w:r w:rsidR="00190AE6" w:rsidRPr="00190AE6">
        <w:t xml:space="preserve"> model, and the recommendation to add to the</w:t>
      </w:r>
      <w:r w:rsidR="00190AE6">
        <w:t xml:space="preserve"> </w:t>
      </w:r>
      <w:r w:rsidR="00A24AD4">
        <w:t>PI</w:t>
      </w:r>
      <w:r w:rsidR="00190AE6" w:rsidRPr="00190AE6">
        <w:t xml:space="preserve"> the possibility to develop tolerance and a delay in onset of effect by</w:t>
      </w:r>
      <w:r w:rsidR="00190AE6">
        <w:t xml:space="preserve"> </w:t>
      </w:r>
      <w:r w:rsidR="00190AE6" w:rsidRPr="00190AE6">
        <w:t xml:space="preserve">2 to 4 weeks. </w:t>
      </w:r>
      <w:r>
        <w:t>The sponsor’</w:t>
      </w:r>
      <w:r w:rsidR="00AA0F3B">
        <w:t>s response is as follows.</w:t>
      </w:r>
    </w:p>
    <w:p w14:paraId="22333094" w14:textId="20CD437F" w:rsidR="00190AE6" w:rsidRPr="00190AE6" w:rsidRDefault="00190AE6" w:rsidP="00717374">
      <w:pPr>
        <w:pStyle w:val="Heading6"/>
      </w:pPr>
      <w:r w:rsidRPr="00190AE6">
        <w:t xml:space="preserve">Lack of </w:t>
      </w:r>
      <w:r w:rsidR="00B54493">
        <w:t>d</w:t>
      </w:r>
      <w:r w:rsidR="00B54493" w:rsidRPr="00190AE6">
        <w:t xml:space="preserve">isease </w:t>
      </w:r>
      <w:r w:rsidR="00B54493">
        <w:t>m</w:t>
      </w:r>
      <w:r w:rsidR="00B54493" w:rsidRPr="00190AE6">
        <w:t xml:space="preserve">odifying </w:t>
      </w:r>
      <w:r w:rsidR="00B54493">
        <w:t>e</w:t>
      </w:r>
      <w:r w:rsidR="00B54493" w:rsidRPr="00190AE6">
        <w:t>ffect</w:t>
      </w:r>
    </w:p>
    <w:p w14:paraId="20DB555D" w14:textId="1E4B0EC0" w:rsidR="00190AE6" w:rsidRDefault="00190AE6" w:rsidP="00190AE6">
      <w:r w:rsidRPr="00190AE6">
        <w:t xml:space="preserve">To date, there is no evidence from clinical data to suggest that </w:t>
      </w:r>
      <w:proofErr w:type="spellStart"/>
      <w:r w:rsidRPr="00190AE6">
        <w:t>galcanezumab</w:t>
      </w:r>
      <w:proofErr w:type="spellEnd"/>
      <w:r w:rsidRPr="00190AE6">
        <w:t xml:space="preserve"> has a disease</w:t>
      </w:r>
      <w:r w:rsidR="00717374">
        <w:t xml:space="preserve"> modifying </w:t>
      </w:r>
      <w:r w:rsidRPr="00190AE6">
        <w:t>effect whereby the underlying progression of mig</w:t>
      </w:r>
      <w:r w:rsidR="00717374">
        <w:t xml:space="preserve">raine is altered after stopping </w:t>
      </w:r>
      <w:r w:rsidRPr="00190AE6">
        <w:t>treatment. However, clinical data do</w:t>
      </w:r>
      <w:r w:rsidR="00A24AD4">
        <w:t>es</w:t>
      </w:r>
      <w:r w:rsidRPr="00190AE6">
        <w:t xml:space="preserve"> demonstrate that </w:t>
      </w:r>
      <w:proofErr w:type="spellStart"/>
      <w:r w:rsidRPr="00190AE6">
        <w:t>galcan</w:t>
      </w:r>
      <w:r w:rsidR="00717374">
        <w:t>ezumab</w:t>
      </w:r>
      <w:proofErr w:type="spellEnd"/>
      <w:r w:rsidR="00717374">
        <w:t xml:space="preserve"> has a symptomatic effect </w:t>
      </w:r>
      <w:r w:rsidRPr="00190AE6">
        <w:t>on migraine headaches as shown by a gradual reduction in ef</w:t>
      </w:r>
      <w:r w:rsidR="00717374">
        <w:t xml:space="preserve">ficacy upon stopping treatment. </w:t>
      </w:r>
      <w:r w:rsidR="00A24AD4">
        <w:t xml:space="preserve">During the </w:t>
      </w:r>
      <w:proofErr w:type="gramStart"/>
      <w:r w:rsidR="00A24AD4">
        <w:t>4 month</w:t>
      </w:r>
      <w:proofErr w:type="gramEnd"/>
      <w:r w:rsidR="00A24AD4">
        <w:t xml:space="preserve"> post </w:t>
      </w:r>
      <w:r w:rsidRPr="00190AE6">
        <w:t xml:space="preserve">treatment (washout) phase of </w:t>
      </w:r>
      <w:r w:rsidR="00A24AD4">
        <w:t>the Phase III</w:t>
      </w:r>
      <w:r w:rsidR="00717374">
        <w:t xml:space="preserve"> Studies</w:t>
      </w:r>
      <w:r w:rsidR="00B54493">
        <w:t> </w:t>
      </w:r>
      <w:r w:rsidR="00381BAF">
        <w:t>CGAG</w:t>
      </w:r>
      <w:r w:rsidRPr="00190AE6">
        <w:t xml:space="preserve">, </w:t>
      </w:r>
      <w:r w:rsidR="00381BAF">
        <w:t>CGAH</w:t>
      </w:r>
      <w:r w:rsidRPr="00190AE6">
        <w:t>, CG</w:t>
      </w:r>
      <w:r w:rsidR="00381BAF">
        <w:t>AI</w:t>
      </w:r>
      <w:r w:rsidR="00717374">
        <w:t xml:space="preserve"> and </w:t>
      </w:r>
      <w:r w:rsidR="00381BAF">
        <w:t>CGAJ</w:t>
      </w:r>
      <w:r w:rsidR="00717374">
        <w:t xml:space="preserve">, the </w:t>
      </w:r>
      <w:r w:rsidRPr="00190AE6">
        <w:t xml:space="preserve">number of </w:t>
      </w:r>
      <w:r w:rsidR="00A24AD4">
        <w:t>MHD</w:t>
      </w:r>
      <w:r w:rsidRPr="00190AE6">
        <w:t xml:space="preserve"> gradually increased in th</w:t>
      </w:r>
      <w:r w:rsidR="00717374">
        <w:t xml:space="preserve">e patients who received </w:t>
      </w:r>
      <w:proofErr w:type="spellStart"/>
      <w:r w:rsidRPr="00190AE6">
        <w:t>galcanezumab</w:t>
      </w:r>
      <w:proofErr w:type="spellEnd"/>
      <w:r w:rsidRPr="00190AE6">
        <w:t xml:space="preserve"> </w:t>
      </w:r>
      <w:r w:rsidR="007F1E71">
        <w:t xml:space="preserve">in the treatment phase. </w:t>
      </w:r>
      <w:r w:rsidR="007F1E71">
        <w:fldChar w:fldCharType="begin"/>
      </w:r>
      <w:r w:rsidR="007F1E71">
        <w:instrText xml:space="preserve"> REF _Ref19013744 \h </w:instrText>
      </w:r>
      <w:r w:rsidR="007F1E71">
        <w:fldChar w:fldCharType="separate"/>
      </w:r>
      <w:r w:rsidR="007F1E71">
        <w:t xml:space="preserve">Figure </w:t>
      </w:r>
      <w:r w:rsidR="007F1E71">
        <w:rPr>
          <w:noProof/>
        </w:rPr>
        <w:t>12</w:t>
      </w:r>
      <w:r w:rsidR="007F1E71">
        <w:fldChar w:fldCharType="end"/>
      </w:r>
      <w:r w:rsidRPr="00190AE6">
        <w:t xml:space="preserve"> shows the t</w:t>
      </w:r>
      <w:r w:rsidR="00A24AD4">
        <w:t xml:space="preserve">ime </w:t>
      </w:r>
      <w:r w:rsidR="00717374">
        <w:t xml:space="preserve">course of effect from Study </w:t>
      </w:r>
      <w:r w:rsidRPr="00190AE6">
        <w:t>CGAH as a representative illustration. This gradual decrease</w:t>
      </w:r>
      <w:r w:rsidR="00717374">
        <w:t xml:space="preserve"> in effect was accompanied by a </w:t>
      </w:r>
      <w:r w:rsidRPr="00190AE6">
        <w:t xml:space="preserve">97% decrease in </w:t>
      </w:r>
      <w:proofErr w:type="spellStart"/>
      <w:r w:rsidRPr="00190AE6">
        <w:t>galcanezumab</w:t>
      </w:r>
      <w:proofErr w:type="spellEnd"/>
      <w:r w:rsidRPr="00190AE6">
        <w:t xml:space="preserve"> concentrations from the last dos</w:t>
      </w:r>
      <w:r w:rsidR="00717374">
        <w:t xml:space="preserve">e administered in the treatment </w:t>
      </w:r>
      <w:r w:rsidRPr="00190AE6">
        <w:t>phase (Month 5) to the end of the washout phase (Month 10) ba</w:t>
      </w:r>
      <w:r w:rsidR="00717374">
        <w:t xml:space="preserve">sed on a </w:t>
      </w:r>
      <w:proofErr w:type="spellStart"/>
      <w:r w:rsidR="00717374">
        <w:t>galcanezumab</w:t>
      </w:r>
      <w:proofErr w:type="spellEnd"/>
      <w:r w:rsidR="00717374">
        <w:t xml:space="preserve"> half-life </w:t>
      </w:r>
      <w:r w:rsidRPr="00190AE6">
        <w:t xml:space="preserve">of approximately 1 month. As such, </w:t>
      </w:r>
      <w:r w:rsidR="00BE161F">
        <w:t>t</w:t>
      </w:r>
      <w:r w:rsidR="00DF2A39">
        <w:t>he sponsor</w:t>
      </w:r>
      <w:r w:rsidRPr="00190AE6">
        <w:t xml:space="preserve"> did not see the need</w:t>
      </w:r>
      <w:r w:rsidR="00717374">
        <w:t xml:space="preserve"> to develop a disease modifying </w:t>
      </w:r>
      <w:r w:rsidRPr="00190AE6">
        <w:t xml:space="preserve">PK/PD model to describe </w:t>
      </w:r>
      <w:proofErr w:type="spellStart"/>
      <w:r w:rsidRPr="00190AE6">
        <w:t>galcanezumab</w:t>
      </w:r>
      <w:proofErr w:type="spellEnd"/>
      <w:r w:rsidRPr="00190AE6">
        <w:t xml:space="preserve"> pharmacology.</w:t>
      </w:r>
    </w:p>
    <w:p w14:paraId="1966A216" w14:textId="7A000F34" w:rsidR="00A24AD4" w:rsidRDefault="007F1E71" w:rsidP="007F1E71">
      <w:pPr>
        <w:pStyle w:val="FigureTitle"/>
      </w:pPr>
      <w:bookmarkStart w:id="236" w:name="_Ref19013744"/>
      <w:r>
        <w:lastRenderedPageBreak/>
        <w:t xml:space="preserve">Figure </w:t>
      </w:r>
      <w:fldSimple w:instr=" SEQ Figure \* ARABIC ">
        <w:r>
          <w:rPr>
            <w:noProof/>
          </w:rPr>
          <w:t>12</w:t>
        </w:r>
      </w:fldSimple>
      <w:bookmarkEnd w:id="236"/>
      <w:r w:rsidR="00A24AD4">
        <w:t xml:space="preserve">: Study CGAH change from </w:t>
      </w:r>
      <w:r w:rsidR="00B54493">
        <w:t>B</w:t>
      </w:r>
      <w:r w:rsidR="00A24AD4">
        <w:t>aseline in the number of MHD</w:t>
      </w:r>
    </w:p>
    <w:p w14:paraId="1164DC8B" w14:textId="77777777" w:rsidR="00717374" w:rsidRDefault="00717374" w:rsidP="00190AE6">
      <w:r>
        <w:rPr>
          <w:noProof/>
          <w:lang w:eastAsia="en-AU"/>
        </w:rPr>
        <w:drawing>
          <wp:inline distT="0" distB="0" distL="0" distR="0" wp14:anchorId="091D5793" wp14:editId="45B569F5">
            <wp:extent cx="5084064" cy="2151273"/>
            <wp:effectExtent l="0" t="0" r="2540" b="1905"/>
            <wp:docPr id="47" name="Picture 47" descr="Study CGAH change from baseline in the number of M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1" r="18022" b="37525"/>
                    <a:stretch/>
                  </pic:blipFill>
                  <pic:spPr bwMode="auto">
                    <a:xfrm>
                      <a:off x="0" y="0"/>
                      <a:ext cx="5085405" cy="2151840"/>
                    </a:xfrm>
                    <a:prstGeom prst="rect">
                      <a:avLst/>
                    </a:prstGeom>
                    <a:ln>
                      <a:noFill/>
                    </a:ln>
                    <a:extLst>
                      <a:ext uri="{53640926-AAD7-44D8-BBD7-CCE9431645EC}">
                        <a14:shadowObscured xmlns:a14="http://schemas.microsoft.com/office/drawing/2010/main"/>
                      </a:ext>
                    </a:extLst>
                  </pic:spPr>
                </pic:pic>
              </a:graphicData>
            </a:graphic>
          </wp:inline>
        </w:drawing>
      </w:r>
    </w:p>
    <w:p w14:paraId="345FD99C" w14:textId="1F31AFA7" w:rsidR="00AA0F3B" w:rsidRDefault="00AA0F3B" w:rsidP="002F2AC8">
      <w:pPr>
        <w:pStyle w:val="TableDescription"/>
      </w:pPr>
      <w:r>
        <w:t>Abbreviations: LS = least squares; LY = LY2951742/</w:t>
      </w:r>
      <w:proofErr w:type="spellStart"/>
      <w:r>
        <w:t>galcanezumab</w:t>
      </w:r>
      <w:proofErr w:type="spellEnd"/>
      <w:r>
        <w:t>; SE = standard error.</w:t>
      </w:r>
      <w:r w:rsidR="00B54493">
        <w:t xml:space="preserve"> </w:t>
      </w:r>
      <w:r>
        <w:t xml:space="preserve">Note: Consistent results were observed in Study </w:t>
      </w:r>
      <w:r w:rsidRPr="003106AE">
        <w:t>CGAG</w:t>
      </w:r>
      <w:r w:rsidR="00D86773" w:rsidRPr="003106AE">
        <w:t xml:space="preserve"> (</w:t>
      </w:r>
      <w:r w:rsidR="007F1E71">
        <w:fldChar w:fldCharType="begin"/>
      </w:r>
      <w:r w:rsidR="007F1E71">
        <w:instrText xml:space="preserve"> REF _Ref19013769 \h </w:instrText>
      </w:r>
      <w:r w:rsidR="007F1E71">
        <w:fldChar w:fldCharType="separate"/>
      </w:r>
      <w:r w:rsidR="007F1E71">
        <w:t xml:space="preserve">Figure </w:t>
      </w:r>
      <w:r w:rsidR="007F1E71">
        <w:rPr>
          <w:noProof/>
        </w:rPr>
        <w:t>13</w:t>
      </w:r>
      <w:r w:rsidR="007F1E71">
        <w:fldChar w:fldCharType="end"/>
      </w:r>
      <w:r w:rsidR="00D86773" w:rsidRPr="003106AE">
        <w:t>)</w:t>
      </w:r>
      <w:r w:rsidRPr="003106AE">
        <w:t>, Study CGAI</w:t>
      </w:r>
      <w:r w:rsidR="00D86773" w:rsidRPr="003106AE">
        <w:t xml:space="preserve"> (</w:t>
      </w:r>
      <w:r w:rsidR="007F1E71">
        <w:fldChar w:fldCharType="begin"/>
      </w:r>
      <w:r w:rsidR="007F1E71">
        <w:instrText xml:space="preserve"> REF _Ref19013794 \h </w:instrText>
      </w:r>
      <w:r w:rsidR="007F1E71">
        <w:fldChar w:fldCharType="separate"/>
      </w:r>
      <w:r w:rsidR="007F1E71">
        <w:t xml:space="preserve">Figure </w:t>
      </w:r>
      <w:r w:rsidR="007F1E71">
        <w:rPr>
          <w:noProof/>
        </w:rPr>
        <w:t>14</w:t>
      </w:r>
      <w:r w:rsidR="007F1E71">
        <w:fldChar w:fldCharType="end"/>
      </w:r>
      <w:r w:rsidR="00D86773" w:rsidRPr="003106AE">
        <w:t>)</w:t>
      </w:r>
      <w:r w:rsidRPr="003106AE">
        <w:t xml:space="preserve"> and Study</w:t>
      </w:r>
      <w:r w:rsidR="00B54493">
        <w:t> </w:t>
      </w:r>
      <w:r w:rsidRPr="003106AE">
        <w:t>CGAJ</w:t>
      </w:r>
      <w:r w:rsidR="00D86773" w:rsidRPr="003106AE">
        <w:t xml:space="preserve"> (</w:t>
      </w:r>
      <w:r w:rsidR="007F1E71">
        <w:fldChar w:fldCharType="begin"/>
      </w:r>
      <w:r w:rsidR="007F1E71">
        <w:instrText xml:space="preserve"> REF _Ref19013819 \h </w:instrText>
      </w:r>
      <w:r w:rsidR="007F1E71">
        <w:fldChar w:fldCharType="separate"/>
      </w:r>
      <w:r w:rsidR="007F1E71">
        <w:t xml:space="preserve">Figure </w:t>
      </w:r>
      <w:r w:rsidR="007F1E71">
        <w:rPr>
          <w:noProof/>
        </w:rPr>
        <w:t>15</w:t>
      </w:r>
      <w:r w:rsidR="007F1E71">
        <w:fldChar w:fldCharType="end"/>
      </w:r>
      <w:r w:rsidR="00D86773" w:rsidRPr="003106AE">
        <w:t>)</w:t>
      </w:r>
      <w:r>
        <w:t>.</w:t>
      </w:r>
    </w:p>
    <w:p w14:paraId="5C2C1342" w14:textId="3F29BFD0" w:rsidR="00D86773" w:rsidRDefault="007F1E71" w:rsidP="007F1E71">
      <w:pPr>
        <w:pStyle w:val="FigureTitle"/>
      </w:pPr>
      <w:bookmarkStart w:id="237" w:name="_Ref19013769"/>
      <w:r>
        <w:t xml:space="preserve">Figure </w:t>
      </w:r>
      <w:fldSimple w:instr=" SEQ Figure \* ARABIC ">
        <w:r>
          <w:rPr>
            <w:noProof/>
          </w:rPr>
          <w:t>13</w:t>
        </w:r>
      </w:fldSimple>
      <w:bookmarkEnd w:id="237"/>
      <w:r w:rsidR="00D86773">
        <w:t xml:space="preserve">: Study CGAG change from </w:t>
      </w:r>
      <w:r w:rsidR="00B54493">
        <w:t xml:space="preserve">Baseline </w:t>
      </w:r>
      <w:r w:rsidR="00D86773">
        <w:t>in the number of MHD</w:t>
      </w:r>
    </w:p>
    <w:p w14:paraId="21EB9FCC" w14:textId="77777777" w:rsidR="00D86773" w:rsidRDefault="00D86773" w:rsidP="00D86773">
      <w:r>
        <w:rPr>
          <w:noProof/>
          <w:lang w:eastAsia="en-AU"/>
        </w:rPr>
        <w:drawing>
          <wp:inline distT="0" distB="0" distL="0" distR="0" wp14:anchorId="5BAEC7C0" wp14:editId="5B31F23B">
            <wp:extent cx="4798771" cy="2591644"/>
            <wp:effectExtent l="0" t="0" r="1905" b="0"/>
            <wp:docPr id="30" name="Picture 30" descr="Study CGAG change from baseline in the number of M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00036" cy="2592327"/>
                    </a:xfrm>
                    <a:prstGeom prst="rect">
                      <a:avLst/>
                    </a:prstGeom>
                  </pic:spPr>
                </pic:pic>
              </a:graphicData>
            </a:graphic>
          </wp:inline>
        </w:drawing>
      </w:r>
    </w:p>
    <w:p w14:paraId="675E2043" w14:textId="585DBF45" w:rsidR="00DD3D1D" w:rsidRDefault="007F1E71" w:rsidP="007F1E71">
      <w:pPr>
        <w:pStyle w:val="FigureTitle"/>
      </w:pPr>
      <w:bookmarkStart w:id="238" w:name="_Ref19013794"/>
      <w:r>
        <w:lastRenderedPageBreak/>
        <w:t xml:space="preserve">Figure </w:t>
      </w:r>
      <w:fldSimple w:instr=" SEQ Figure \* ARABIC ">
        <w:r>
          <w:rPr>
            <w:noProof/>
          </w:rPr>
          <w:t>14</w:t>
        </w:r>
      </w:fldSimple>
      <w:bookmarkEnd w:id="238"/>
      <w:r w:rsidR="00DD3D1D">
        <w:t xml:space="preserve">: Study CGAI change from </w:t>
      </w:r>
      <w:r w:rsidR="00B54493">
        <w:t xml:space="preserve">Baseline </w:t>
      </w:r>
      <w:r w:rsidR="00DD3D1D">
        <w:t>in the number of MHD</w:t>
      </w:r>
    </w:p>
    <w:p w14:paraId="21088B4D" w14:textId="77777777" w:rsidR="00DD3D1D" w:rsidRDefault="00DD3D1D" w:rsidP="00D86773">
      <w:r>
        <w:rPr>
          <w:noProof/>
          <w:lang w:eastAsia="en-AU"/>
        </w:rPr>
        <w:drawing>
          <wp:inline distT="0" distB="0" distL="0" distR="0" wp14:anchorId="2626A757" wp14:editId="33EE6948">
            <wp:extent cx="4798771" cy="3236606"/>
            <wp:effectExtent l="0" t="0" r="1905" b="1905"/>
            <wp:docPr id="31" name="Picture 31" descr="Study CGAI change from baseline in the number of M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00036" cy="3237459"/>
                    </a:xfrm>
                    <a:prstGeom prst="rect">
                      <a:avLst/>
                    </a:prstGeom>
                  </pic:spPr>
                </pic:pic>
              </a:graphicData>
            </a:graphic>
          </wp:inline>
        </w:drawing>
      </w:r>
    </w:p>
    <w:p w14:paraId="5FD4BE18" w14:textId="41920BC2" w:rsidR="00DD3D1D" w:rsidRDefault="007F1E71" w:rsidP="007F1E71">
      <w:pPr>
        <w:pStyle w:val="FigureTitle"/>
      </w:pPr>
      <w:bookmarkStart w:id="239" w:name="_Ref19013819"/>
      <w:r>
        <w:t xml:space="preserve">Figure </w:t>
      </w:r>
      <w:fldSimple w:instr=" SEQ Figure \* ARABIC ">
        <w:r>
          <w:rPr>
            <w:noProof/>
          </w:rPr>
          <w:t>15</w:t>
        </w:r>
      </w:fldSimple>
      <w:bookmarkEnd w:id="239"/>
      <w:r w:rsidR="00DD3D1D">
        <w:t xml:space="preserve">: Study CGAJ change from </w:t>
      </w:r>
      <w:r w:rsidR="00B54493">
        <w:t xml:space="preserve">Baseline </w:t>
      </w:r>
      <w:r w:rsidR="00DD3D1D">
        <w:t>in the number of MHD</w:t>
      </w:r>
    </w:p>
    <w:p w14:paraId="7F8D969A" w14:textId="77777777" w:rsidR="00DD3D1D" w:rsidRDefault="00DD3D1D" w:rsidP="00D86773">
      <w:r>
        <w:rPr>
          <w:noProof/>
          <w:lang w:eastAsia="en-AU"/>
        </w:rPr>
        <w:drawing>
          <wp:inline distT="0" distB="0" distL="0" distR="0" wp14:anchorId="5C49BD3B" wp14:editId="13ED649E">
            <wp:extent cx="5091379" cy="2847582"/>
            <wp:effectExtent l="0" t="0" r="0" b="0"/>
            <wp:docPr id="32" name="Picture 32" descr="Study CGAJ change from baseline in the number of M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92721" cy="2848333"/>
                    </a:xfrm>
                    <a:prstGeom prst="rect">
                      <a:avLst/>
                    </a:prstGeom>
                  </pic:spPr>
                </pic:pic>
              </a:graphicData>
            </a:graphic>
          </wp:inline>
        </w:drawing>
      </w:r>
    </w:p>
    <w:p w14:paraId="75D783C2" w14:textId="518484C7" w:rsidR="00717374" w:rsidRPr="00717374" w:rsidRDefault="00717374" w:rsidP="00FE6A57">
      <w:pPr>
        <w:pStyle w:val="Heading6"/>
        <w:rPr>
          <w:rFonts w:eastAsia="Arial,Bold"/>
        </w:rPr>
      </w:pPr>
      <w:r w:rsidRPr="00717374">
        <w:rPr>
          <w:rFonts w:eastAsia="Arial,Bold"/>
        </w:rPr>
        <w:t xml:space="preserve">Lack of </w:t>
      </w:r>
      <w:r w:rsidR="00B54493">
        <w:rPr>
          <w:rFonts w:eastAsia="Arial,Bold"/>
        </w:rPr>
        <w:t>d</w:t>
      </w:r>
      <w:r w:rsidR="00B54493" w:rsidRPr="00717374">
        <w:rPr>
          <w:rFonts w:eastAsia="Arial,Bold"/>
        </w:rPr>
        <w:t xml:space="preserve">rug </w:t>
      </w:r>
      <w:r w:rsidR="00B54493">
        <w:rPr>
          <w:rFonts w:eastAsia="Arial,Bold"/>
        </w:rPr>
        <w:t>t</w:t>
      </w:r>
      <w:r w:rsidR="00B54493" w:rsidRPr="00717374">
        <w:rPr>
          <w:rFonts w:eastAsia="Arial,Bold"/>
        </w:rPr>
        <w:t>olerance</w:t>
      </w:r>
    </w:p>
    <w:p w14:paraId="67E6A661" w14:textId="77777777" w:rsidR="00717374" w:rsidRPr="00717374" w:rsidRDefault="00717374" w:rsidP="00717374">
      <w:r w:rsidRPr="00717374">
        <w:t xml:space="preserve">To date, there is no clinical data to suggest that tolerance develops from </w:t>
      </w:r>
      <w:proofErr w:type="spellStart"/>
      <w:r w:rsidRPr="00717374">
        <w:t>galcanezumab</w:t>
      </w:r>
      <w:proofErr w:type="spellEnd"/>
      <w:r w:rsidRPr="00717374">
        <w:t xml:space="preserve"> treatment.</w:t>
      </w:r>
      <w:r>
        <w:t xml:space="preserve"> </w:t>
      </w:r>
      <w:r w:rsidRPr="00717374">
        <w:t xml:space="preserve">A recent analysis of the persistence of effect in patients treated with </w:t>
      </w:r>
      <w:proofErr w:type="spellStart"/>
      <w:r w:rsidRPr="00717374">
        <w:t>galcanezumab</w:t>
      </w:r>
      <w:proofErr w:type="spellEnd"/>
      <w:r w:rsidRPr="00717374">
        <w:t xml:space="preserve"> in the</w:t>
      </w:r>
      <w:r>
        <w:t xml:space="preserve"> </w:t>
      </w:r>
      <w:proofErr w:type="gramStart"/>
      <w:r w:rsidR="00AA0F3B">
        <w:t>6 month</w:t>
      </w:r>
      <w:proofErr w:type="gramEnd"/>
      <w:r w:rsidR="00AA0F3B">
        <w:t xml:space="preserve"> placebo </w:t>
      </w:r>
      <w:r w:rsidRPr="00717374">
        <w:t>controlled episodic migraine Studies CGAG and CGAH demonstrated no</w:t>
      </w:r>
      <w:r>
        <w:t xml:space="preserve"> </w:t>
      </w:r>
      <w:r w:rsidRPr="00717374">
        <w:t>evidence of drug tolerance. Speci</w:t>
      </w:r>
      <w:r w:rsidR="00AA0F3B">
        <w:t xml:space="preserve">fically, among the </w:t>
      </w:r>
      <w:proofErr w:type="spellStart"/>
      <w:r w:rsidR="00AA0F3B">
        <w:t>galcanezumab</w:t>
      </w:r>
      <w:proofErr w:type="spellEnd"/>
      <w:r w:rsidR="00AA0F3B">
        <w:t xml:space="preserve"> </w:t>
      </w:r>
      <w:r w:rsidRPr="00717374">
        <w:t>treated patients who had a</w:t>
      </w:r>
      <w:r>
        <w:t xml:space="preserve"> </w:t>
      </w:r>
      <w:r w:rsidRPr="00717374">
        <w:rPr>
          <w:rFonts w:hint="eastAsia"/>
        </w:rPr>
        <w:t>≥</w:t>
      </w:r>
      <w:r w:rsidR="00AA0F3B">
        <w:t xml:space="preserve"> </w:t>
      </w:r>
      <w:r w:rsidRPr="00717374">
        <w:t xml:space="preserve">50% reduction of MHD in Month 1, an average reduction of MHD of </w:t>
      </w:r>
      <w:r w:rsidRPr="00717374">
        <w:rPr>
          <w:rFonts w:hint="eastAsia"/>
        </w:rPr>
        <w:t>≥</w:t>
      </w:r>
      <w:r w:rsidR="00AA0F3B">
        <w:t> </w:t>
      </w:r>
      <w:r w:rsidRPr="00717374">
        <w:t xml:space="preserve">40% and </w:t>
      </w:r>
      <w:r w:rsidRPr="00717374">
        <w:rPr>
          <w:rFonts w:hint="eastAsia"/>
        </w:rPr>
        <w:t>≥</w:t>
      </w:r>
      <w:r w:rsidR="00AA0F3B">
        <w:t> </w:t>
      </w:r>
      <w:r w:rsidRPr="00717374">
        <w:t>50% was</w:t>
      </w:r>
      <w:r>
        <w:t xml:space="preserve"> </w:t>
      </w:r>
      <w:r w:rsidRPr="00717374">
        <w:t>achieved by 89% and 83% of patients, r</w:t>
      </w:r>
      <w:r w:rsidR="00AA0F3B">
        <w:t>espectively, in the remaining 5 </w:t>
      </w:r>
      <w:r w:rsidRPr="00717374">
        <w:t>months of treatment</w:t>
      </w:r>
      <w:r>
        <w:t xml:space="preserve"> </w:t>
      </w:r>
      <w:r w:rsidRPr="00717374">
        <w:t xml:space="preserve">suggesting maintenance of response in the vast majority </w:t>
      </w:r>
      <w:r w:rsidR="00AA0F3B">
        <w:lastRenderedPageBreak/>
        <w:t>of Month 1 responders</w:t>
      </w:r>
      <w:r w:rsidRPr="00717374">
        <w:t>.</w:t>
      </w:r>
      <w:r w:rsidR="00AA0F3B">
        <w:rPr>
          <w:rStyle w:val="FootnoteReference"/>
        </w:rPr>
        <w:footnoteReference w:id="37"/>
      </w:r>
      <w:r w:rsidRPr="00717374">
        <w:t xml:space="preserve"> As such, it is not considered warranted to include in the PI a statement on the</w:t>
      </w:r>
      <w:r>
        <w:t xml:space="preserve"> </w:t>
      </w:r>
      <w:r w:rsidRPr="00717374">
        <w:t xml:space="preserve">possibility of tolerance development due to </w:t>
      </w:r>
      <w:proofErr w:type="spellStart"/>
      <w:r w:rsidRPr="00717374">
        <w:t>galcanezumab</w:t>
      </w:r>
      <w:proofErr w:type="spellEnd"/>
      <w:r w:rsidRPr="00717374">
        <w:t xml:space="preserve"> treatment since no such information</w:t>
      </w:r>
      <w:r>
        <w:t xml:space="preserve"> </w:t>
      </w:r>
      <w:r w:rsidRPr="00717374">
        <w:t xml:space="preserve">exists from the clinical data. Furthermore, </w:t>
      </w:r>
      <w:r w:rsidR="00AA0F3B">
        <w:t>t</w:t>
      </w:r>
      <w:r w:rsidR="00DF2A39">
        <w:t>he sponsor</w:t>
      </w:r>
      <w:r w:rsidRPr="00717374">
        <w:t xml:space="preserve"> did not develop a tolerance PK/PD model to</w:t>
      </w:r>
      <w:r>
        <w:t xml:space="preserve"> </w:t>
      </w:r>
      <w:r w:rsidRPr="00717374">
        <w:t xml:space="preserve">describe </w:t>
      </w:r>
      <w:proofErr w:type="spellStart"/>
      <w:r w:rsidRPr="00717374">
        <w:t>galcanezumab</w:t>
      </w:r>
      <w:proofErr w:type="spellEnd"/>
      <w:r w:rsidRPr="00717374">
        <w:t xml:space="preserve"> since the clinical data did not warrant such evaluation.</w:t>
      </w:r>
    </w:p>
    <w:p w14:paraId="1689CFA7" w14:textId="667BA9EA" w:rsidR="00717374" w:rsidRPr="00717374" w:rsidRDefault="000830A6" w:rsidP="00FE6A57">
      <w:pPr>
        <w:pStyle w:val="Heading6"/>
        <w:rPr>
          <w:rFonts w:eastAsia="Arial,Bold"/>
        </w:rPr>
      </w:pPr>
      <w:r>
        <w:rPr>
          <w:rFonts w:eastAsia="Arial,Bold"/>
        </w:rPr>
        <w:t>Onset of t</w:t>
      </w:r>
      <w:r w:rsidR="00717374" w:rsidRPr="00717374">
        <w:rPr>
          <w:rFonts w:eastAsia="Arial,Bold"/>
        </w:rPr>
        <w:t xml:space="preserve">reatment </w:t>
      </w:r>
      <w:r>
        <w:rPr>
          <w:rFonts w:eastAsia="Arial,Bold"/>
        </w:rPr>
        <w:t>e</w:t>
      </w:r>
      <w:r w:rsidR="00717374" w:rsidRPr="00717374">
        <w:rPr>
          <w:rFonts w:eastAsia="Arial,Bold"/>
        </w:rPr>
        <w:t>ffect</w:t>
      </w:r>
    </w:p>
    <w:p w14:paraId="3FEFE92C" w14:textId="4D7F73C0" w:rsidR="00717374" w:rsidRPr="00717374" w:rsidRDefault="00717374" w:rsidP="000D3879">
      <w:r w:rsidRPr="00717374">
        <w:t>As expected, clinical data show</w:t>
      </w:r>
      <w:r w:rsidR="00AA0F3B">
        <w:t>s</w:t>
      </w:r>
      <w:r w:rsidRPr="00717374">
        <w:t xml:space="preserve"> a range across patients in the timing of onset of effect of</w:t>
      </w:r>
      <w:r>
        <w:t xml:space="preserve"> </w:t>
      </w:r>
      <w:proofErr w:type="spellStart"/>
      <w:r w:rsidRPr="00717374">
        <w:t>galcanezumab</w:t>
      </w:r>
      <w:proofErr w:type="spellEnd"/>
      <w:r w:rsidRPr="00717374">
        <w:t xml:space="preserve"> that most likely represents inherent</w:t>
      </w:r>
      <w:r>
        <w:t xml:space="preserve"> biological and pharmacological </w:t>
      </w:r>
      <w:r w:rsidRPr="00717374">
        <w:t>variability</w:t>
      </w:r>
      <w:r>
        <w:t xml:space="preserve"> </w:t>
      </w:r>
      <w:r w:rsidRPr="00717374">
        <w:t xml:space="preserve">rather than a </w:t>
      </w:r>
      <w:r w:rsidR="00B54493">
        <w:t>‘</w:t>
      </w:r>
      <w:r w:rsidR="000D3879">
        <w:t>delay</w:t>
      </w:r>
      <w:r w:rsidR="00B54493">
        <w:t>’</w:t>
      </w:r>
      <w:r w:rsidR="000D3879">
        <w:t xml:space="preserve"> </w:t>
      </w:r>
      <w:r w:rsidRPr="00717374">
        <w:t>in ons</w:t>
      </w:r>
      <w:r w:rsidR="000D3879">
        <w:t xml:space="preserve">et of effect. </w:t>
      </w:r>
      <w:proofErr w:type="spellStart"/>
      <w:r w:rsidR="000D3879">
        <w:t>Galcanezumab</w:t>
      </w:r>
      <w:proofErr w:type="spellEnd"/>
      <w:r w:rsidR="000D3879">
        <w:t xml:space="preserve"> (120 mg and 240 </w:t>
      </w:r>
      <w:r w:rsidRPr="00717374">
        <w:t>mg) was statistically</w:t>
      </w:r>
      <w:r>
        <w:t xml:space="preserve"> </w:t>
      </w:r>
      <w:r w:rsidRPr="00717374">
        <w:t xml:space="preserve">superior to placebo in the change </w:t>
      </w:r>
      <w:r w:rsidR="00D80561">
        <w:t>from Baseline</w:t>
      </w:r>
      <w:r w:rsidRPr="00717374">
        <w:t xml:space="preserve"> in number of weekly MHD at Week 1 of the</w:t>
      </w:r>
      <w:r>
        <w:t xml:space="preserve"> </w:t>
      </w:r>
      <w:r w:rsidR="000D3879">
        <w:t xml:space="preserve">double </w:t>
      </w:r>
      <w:r w:rsidRPr="00717374">
        <w:t>blind treatment phase in Studies CGAG, CGAH and CGAI; and superiority versus</w:t>
      </w:r>
      <w:r>
        <w:t xml:space="preserve"> </w:t>
      </w:r>
      <w:r w:rsidRPr="00717374">
        <w:t>placebo was maintained in all subsequent weeks of Month 1, indicating an early and sustained</w:t>
      </w:r>
      <w:r>
        <w:t xml:space="preserve"> </w:t>
      </w:r>
      <w:r w:rsidRPr="00717374">
        <w:t>response to treatment.</w:t>
      </w:r>
    </w:p>
    <w:p w14:paraId="71D11CF7" w14:textId="0727A255" w:rsidR="00717374" w:rsidRPr="00717374" w:rsidRDefault="00717374" w:rsidP="00AA0F3B">
      <w:r w:rsidRPr="00717374">
        <w:t xml:space="preserve">Furthermore, a recently published analysis </w:t>
      </w:r>
      <w:r w:rsidR="000D3879">
        <w:t xml:space="preserve">of patients with an initial non </w:t>
      </w:r>
      <w:r w:rsidRPr="00717374">
        <w:t>response to</w:t>
      </w:r>
      <w:r>
        <w:t xml:space="preserve"> </w:t>
      </w:r>
      <w:proofErr w:type="spellStart"/>
      <w:r w:rsidRPr="00717374">
        <w:t>galcanezumab</w:t>
      </w:r>
      <w:proofErr w:type="spellEnd"/>
      <w:r w:rsidRPr="00717374">
        <w:t xml:space="preserve"> in Month 1 (defined as &lt;</w:t>
      </w:r>
      <w:r w:rsidR="00DF2A39">
        <w:t xml:space="preserve"> </w:t>
      </w:r>
      <w:r w:rsidRPr="00717374">
        <w:t xml:space="preserve">50% reduction in MHD </w:t>
      </w:r>
      <w:r w:rsidR="00D80561">
        <w:t>from Baseline</w:t>
      </w:r>
      <w:r w:rsidRPr="00717374">
        <w:t xml:space="preserve"> for episodic</w:t>
      </w:r>
      <w:r>
        <w:t xml:space="preserve"> </w:t>
      </w:r>
      <w:r w:rsidRPr="00717374">
        <w:t>migraine population; &lt;</w:t>
      </w:r>
      <w:r w:rsidR="00DF2A39">
        <w:t xml:space="preserve"> </w:t>
      </w:r>
      <w:r w:rsidRPr="00717374">
        <w:t xml:space="preserve">30% reduction in MHD </w:t>
      </w:r>
      <w:r w:rsidR="00D80561">
        <w:t>from Baseline</w:t>
      </w:r>
      <w:r w:rsidRPr="00717374">
        <w:t xml:space="preserve"> for chronic migraine population)</w:t>
      </w:r>
      <w:r>
        <w:t xml:space="preserve"> </w:t>
      </w:r>
      <w:r w:rsidRPr="00717374">
        <w:t>further elucidates the onset of effect. A substantial proportion of patients with episodic migraine</w:t>
      </w:r>
      <w:r>
        <w:t xml:space="preserve"> </w:t>
      </w:r>
      <w:r w:rsidRPr="00717374">
        <w:t>(67%) and chronic migraine (5</w:t>
      </w:r>
      <w:r w:rsidR="000D3879">
        <w:t xml:space="preserve">7%) who reported an initial non </w:t>
      </w:r>
      <w:r w:rsidRPr="00717374">
        <w:t>response to treatment after the</w:t>
      </w:r>
      <w:r>
        <w:t xml:space="preserve"> </w:t>
      </w:r>
      <w:r w:rsidRPr="00717374">
        <w:t>first dose admi</w:t>
      </w:r>
      <w:r w:rsidR="00BE161F">
        <w:t xml:space="preserve">nistration reached the protocol </w:t>
      </w:r>
      <w:r w:rsidRPr="00717374">
        <w:t xml:space="preserve">defined response threshold of </w:t>
      </w:r>
      <w:r w:rsidRPr="00717374">
        <w:rPr>
          <w:rFonts w:hint="eastAsia"/>
        </w:rPr>
        <w:t>≥</w:t>
      </w:r>
      <w:r w:rsidR="000D3879">
        <w:t xml:space="preserve"> </w:t>
      </w:r>
      <w:r w:rsidRPr="00717374">
        <w:t>50% reduction in</w:t>
      </w:r>
      <w:r>
        <w:t xml:space="preserve"> </w:t>
      </w:r>
      <w:r w:rsidRPr="00717374">
        <w:t xml:space="preserve">MHD </w:t>
      </w:r>
      <w:r w:rsidR="00D80561">
        <w:t>from Baseline</w:t>
      </w:r>
      <w:r w:rsidRPr="00717374">
        <w:t xml:space="preserve"> for episodic migraine population and </w:t>
      </w:r>
      <w:r w:rsidRPr="00717374">
        <w:rPr>
          <w:rFonts w:hint="eastAsia"/>
        </w:rPr>
        <w:t>≥</w:t>
      </w:r>
      <w:r w:rsidR="000D3879">
        <w:t xml:space="preserve"> </w:t>
      </w:r>
      <w:r w:rsidRPr="00717374">
        <w:t xml:space="preserve">30% reduction in MHD </w:t>
      </w:r>
      <w:r w:rsidR="00D80561">
        <w:t>from Baseline</w:t>
      </w:r>
      <w:r w:rsidRPr="00717374">
        <w:t xml:space="preserve"> for chronic migraine population after 3 monthly doses of </w:t>
      </w:r>
      <w:proofErr w:type="spellStart"/>
      <w:r w:rsidRPr="00717374">
        <w:t>galcanezumab</w:t>
      </w:r>
      <w:proofErr w:type="spellEnd"/>
      <w:r w:rsidRPr="00717374">
        <w:t>.</w:t>
      </w:r>
      <w:r w:rsidR="000D3879">
        <w:rPr>
          <w:rStyle w:val="FootnoteReference"/>
        </w:rPr>
        <w:footnoteReference w:id="38"/>
      </w:r>
      <w:r w:rsidRPr="00717374">
        <w:t xml:space="preserve"> Th</w:t>
      </w:r>
      <w:r w:rsidR="000D3879">
        <w:t>is</w:t>
      </w:r>
      <w:r w:rsidRPr="00717374">
        <w:t xml:space="preserve"> data support</w:t>
      </w:r>
      <w:r w:rsidR="000D3879">
        <w:t>s</w:t>
      </w:r>
      <w:r w:rsidRPr="00717374">
        <w:t xml:space="preserve"> biological variability in onset of effect, and suggest</w:t>
      </w:r>
      <w:r w:rsidR="000D3879">
        <w:t>s</w:t>
      </w:r>
      <w:r w:rsidRPr="00717374">
        <w:t xml:space="preserve"> that for some</w:t>
      </w:r>
      <w:r>
        <w:t xml:space="preserve"> </w:t>
      </w:r>
      <w:r w:rsidRPr="00717374">
        <w:t>patients clinical response can be achieved even in the absence of early signs of efficacy.</w:t>
      </w:r>
    </w:p>
    <w:p w14:paraId="7E5123B7" w14:textId="77777777" w:rsidR="00717374" w:rsidRDefault="00717374" w:rsidP="00AA0F3B">
      <w:r w:rsidRPr="00717374">
        <w:t>Regarding PK/PD model development, an indirect response model was evaluated to capture the</w:t>
      </w:r>
      <w:r>
        <w:t xml:space="preserve"> </w:t>
      </w:r>
      <w:r w:rsidR="000D3879">
        <w:t xml:space="preserve">time </w:t>
      </w:r>
      <w:r w:rsidRPr="00717374">
        <w:t xml:space="preserve">course of reduction in MHD by </w:t>
      </w:r>
      <w:proofErr w:type="spellStart"/>
      <w:r w:rsidRPr="00717374">
        <w:t>galcanezumab</w:t>
      </w:r>
      <w:proofErr w:type="spellEnd"/>
      <w:r w:rsidRPr="00717374">
        <w:t>. This model was used because</w:t>
      </w:r>
      <w:r>
        <w:t xml:space="preserve"> </w:t>
      </w:r>
      <w:proofErr w:type="spellStart"/>
      <w:r w:rsidRPr="00717374">
        <w:t>galcanezumab</w:t>
      </w:r>
      <w:proofErr w:type="spellEnd"/>
      <w:r w:rsidRPr="00717374">
        <w:t xml:space="preserve"> binds to </w:t>
      </w:r>
      <w:r w:rsidR="000D3879">
        <w:t>CGRP</w:t>
      </w:r>
      <w:r w:rsidRPr="00717374">
        <w:t xml:space="preserve"> to block its biological activity,</w:t>
      </w:r>
      <w:r>
        <w:t xml:space="preserve"> </w:t>
      </w:r>
      <w:r w:rsidRPr="00717374">
        <w:t xml:space="preserve">which then prevents migraine headaches; </w:t>
      </w:r>
      <w:proofErr w:type="spellStart"/>
      <w:r w:rsidRPr="00717374">
        <w:t>galcanezumab</w:t>
      </w:r>
      <w:proofErr w:type="spellEnd"/>
      <w:r w:rsidRPr="00717374">
        <w:t xml:space="preserve"> concentrations do not directly influence</w:t>
      </w:r>
      <w:r>
        <w:t xml:space="preserve"> </w:t>
      </w:r>
      <w:r w:rsidRPr="00717374">
        <w:t>migraine headache. In this case, there is a separation of time (hysteresis) between the migraine</w:t>
      </w:r>
      <w:r>
        <w:t xml:space="preserve"> </w:t>
      </w:r>
      <w:r w:rsidRPr="00717374">
        <w:t xml:space="preserve">effect and the action of </w:t>
      </w:r>
      <w:proofErr w:type="spellStart"/>
      <w:r w:rsidRPr="00717374">
        <w:t>galcanezumab</w:t>
      </w:r>
      <w:proofErr w:type="spellEnd"/>
      <w:r w:rsidRPr="00717374">
        <w:t>. By using an indirect response model to describe the</w:t>
      </w:r>
      <w:r>
        <w:t xml:space="preserve"> </w:t>
      </w:r>
      <w:r w:rsidRPr="00717374">
        <w:t>migraine effect, a time delay is incorporated into the formation rate (k</w:t>
      </w:r>
      <w:r w:rsidRPr="000D3879">
        <w:rPr>
          <w:vertAlign w:val="subscript"/>
        </w:rPr>
        <w:t>in</w:t>
      </w:r>
      <w:r w:rsidRPr="00717374">
        <w:t>) and elimination rate</w:t>
      </w:r>
      <w:r>
        <w:t xml:space="preserve"> </w:t>
      </w:r>
      <w:r w:rsidRPr="00717374">
        <w:t>(</w:t>
      </w:r>
      <w:proofErr w:type="spellStart"/>
      <w:r w:rsidRPr="00717374">
        <w:t>k</w:t>
      </w:r>
      <w:r w:rsidRPr="000D3879">
        <w:rPr>
          <w:vertAlign w:val="subscript"/>
        </w:rPr>
        <w:t>out</w:t>
      </w:r>
      <w:proofErr w:type="spellEnd"/>
      <w:r w:rsidRPr="00717374">
        <w:t xml:space="preserve">) of </w:t>
      </w:r>
      <w:r w:rsidR="00713B7C">
        <w:t>MHD</w:t>
      </w:r>
      <w:r w:rsidRPr="00717374">
        <w:t xml:space="preserve"> per month.</w:t>
      </w:r>
    </w:p>
    <w:p w14:paraId="09D42A94" w14:textId="77777777" w:rsidR="00717374" w:rsidRPr="00717374" w:rsidRDefault="00717374" w:rsidP="00AA0F3B">
      <w:r w:rsidRPr="00717374">
        <w:t xml:space="preserve">In summary, </w:t>
      </w:r>
      <w:r w:rsidR="00385660">
        <w:t>t</w:t>
      </w:r>
      <w:r w:rsidR="00DF2A39">
        <w:t>he sponsor</w:t>
      </w:r>
      <w:r w:rsidRPr="00717374">
        <w:t xml:space="preserve"> believes it is not warranted to add to the PI the possibility of tolerance or</w:t>
      </w:r>
      <w:r>
        <w:t xml:space="preserve"> </w:t>
      </w:r>
      <w:r w:rsidRPr="00717374">
        <w:t xml:space="preserve">delay in onset of effect by 2 to 4 weeks given the clinical evidence for </w:t>
      </w:r>
      <w:proofErr w:type="spellStart"/>
      <w:r w:rsidRPr="00717374">
        <w:t>galcanezumab</w:t>
      </w:r>
      <w:proofErr w:type="spellEnd"/>
      <w:r w:rsidRPr="00717374">
        <w:t xml:space="preserve"> to be a</w:t>
      </w:r>
      <w:r>
        <w:t xml:space="preserve"> </w:t>
      </w:r>
      <w:r w:rsidRPr="00717374">
        <w:t>symptomatic treatment with sustained effect, no tolerance development, and an onset of effect</w:t>
      </w:r>
      <w:r>
        <w:t xml:space="preserve"> </w:t>
      </w:r>
      <w:r w:rsidRPr="00717374">
        <w:t>that will vary but occurs early in the majority of patients. In addition, the PK/PD indirect</w:t>
      </w:r>
      <w:r>
        <w:t xml:space="preserve"> </w:t>
      </w:r>
      <w:r w:rsidRPr="00717374">
        <w:t xml:space="preserve">response model captures the time course of </w:t>
      </w:r>
      <w:r w:rsidR="00713B7C">
        <w:t>MHD</w:t>
      </w:r>
      <w:r w:rsidRPr="00717374">
        <w:t xml:space="preserve"> sufficiently and is consistent</w:t>
      </w:r>
      <w:r>
        <w:t xml:space="preserve"> </w:t>
      </w:r>
      <w:r w:rsidRPr="00717374">
        <w:t xml:space="preserve">with </w:t>
      </w:r>
      <w:proofErr w:type="spellStart"/>
      <w:r w:rsidRPr="00717374">
        <w:t>galcanezumab</w:t>
      </w:r>
      <w:proofErr w:type="spellEnd"/>
      <w:r w:rsidRPr="00717374">
        <w:t xml:space="preserve"> mechanism of action.</w:t>
      </w:r>
    </w:p>
    <w:p w14:paraId="2B72366D" w14:textId="79D65DAD" w:rsidR="00717374" w:rsidRPr="00717374" w:rsidRDefault="00717374" w:rsidP="00FE6A57">
      <w:pPr>
        <w:pStyle w:val="Heading5"/>
        <w:rPr>
          <w:rFonts w:eastAsia="Arial,Bold"/>
        </w:rPr>
      </w:pPr>
      <w:r w:rsidRPr="00717374">
        <w:rPr>
          <w:rFonts w:eastAsia="Arial,Bold"/>
        </w:rPr>
        <w:t>Section 4.4 of Product Information: Card</w:t>
      </w:r>
      <w:r w:rsidR="000830A6">
        <w:rPr>
          <w:rFonts w:eastAsia="Arial,Bold"/>
        </w:rPr>
        <w:t>iovascular w</w:t>
      </w:r>
      <w:r w:rsidRPr="00717374">
        <w:rPr>
          <w:rFonts w:eastAsia="Arial,Bold"/>
        </w:rPr>
        <w:t>arning</w:t>
      </w:r>
    </w:p>
    <w:p w14:paraId="579EB216" w14:textId="77777777" w:rsidR="00717374" w:rsidRPr="00717374" w:rsidRDefault="00717374" w:rsidP="00717374">
      <w:r w:rsidRPr="00717374">
        <w:t>In light of the theoretical attenuating effects of CGRP on cardiovascular health, the evaluation of</w:t>
      </w:r>
      <w:r>
        <w:t xml:space="preserve"> </w:t>
      </w:r>
      <w:r w:rsidRPr="00717374">
        <w:t>potential and observed cardiovascular events and cardiovascular safety has been a sustained</w:t>
      </w:r>
      <w:r>
        <w:t xml:space="preserve"> </w:t>
      </w:r>
      <w:r w:rsidRPr="00717374">
        <w:t xml:space="preserve">focus of attention throughout the </w:t>
      </w:r>
      <w:proofErr w:type="spellStart"/>
      <w:r w:rsidRPr="00717374">
        <w:t>galcanezumab</w:t>
      </w:r>
      <w:proofErr w:type="spellEnd"/>
      <w:r w:rsidRPr="00717374">
        <w:t xml:space="preserve"> development program. Of note, there have been</w:t>
      </w:r>
      <w:r>
        <w:t xml:space="preserve"> </w:t>
      </w:r>
      <w:r w:rsidRPr="00717374">
        <w:t xml:space="preserve">no adverse findings related to cardiovascular events indicative of </w:t>
      </w:r>
      <w:r w:rsidRPr="00717374">
        <w:lastRenderedPageBreak/>
        <w:t>a safety signal in neither</w:t>
      </w:r>
      <w:r>
        <w:t xml:space="preserve"> </w:t>
      </w:r>
      <w:r w:rsidRPr="00717374">
        <w:t xml:space="preserve">nonclinical or clinical studies with </w:t>
      </w:r>
      <w:proofErr w:type="spellStart"/>
      <w:r w:rsidRPr="00717374">
        <w:t>galcanezumab</w:t>
      </w:r>
      <w:proofErr w:type="spellEnd"/>
      <w:r w:rsidRPr="00717374">
        <w:t xml:space="preserve"> and other CGRP antagonist therapies. As</w:t>
      </w:r>
      <w:r>
        <w:t xml:space="preserve"> </w:t>
      </w:r>
      <w:r w:rsidRPr="00717374">
        <w:t xml:space="preserve">such, any warning and precaution provided in Section 4.4 of the </w:t>
      </w:r>
      <w:proofErr w:type="spellStart"/>
      <w:r w:rsidRPr="00717374">
        <w:t>galcanezumab</w:t>
      </w:r>
      <w:proofErr w:type="spellEnd"/>
      <w:r w:rsidRPr="00717374">
        <w:t xml:space="preserve"> PI as requested</w:t>
      </w:r>
      <w:r>
        <w:t xml:space="preserve"> </w:t>
      </w:r>
      <w:r w:rsidRPr="00717374">
        <w:t xml:space="preserve">by the </w:t>
      </w:r>
      <w:r w:rsidR="00385660">
        <w:t>ACM</w:t>
      </w:r>
      <w:r w:rsidRPr="00717374">
        <w:t xml:space="preserve"> would be based upon a theoretical</w:t>
      </w:r>
      <w:r>
        <w:t xml:space="preserve"> </w:t>
      </w:r>
      <w:r w:rsidRPr="00717374">
        <w:t>cardiovascular risk rather than any observed cardiovascular safety signal.</w:t>
      </w:r>
    </w:p>
    <w:p w14:paraId="7E22E28F" w14:textId="42738E28" w:rsidR="00717374" w:rsidRPr="00717374" w:rsidRDefault="00717374" w:rsidP="00FE6A57">
      <w:pPr>
        <w:pStyle w:val="Heading6"/>
        <w:rPr>
          <w:rFonts w:eastAsia="Arial,Bold"/>
        </w:rPr>
      </w:pPr>
      <w:r w:rsidRPr="00717374">
        <w:rPr>
          <w:rFonts w:eastAsia="Arial,Bold"/>
        </w:rPr>
        <w:t xml:space="preserve">Global </w:t>
      </w:r>
      <w:r w:rsidR="00B54493" w:rsidRPr="00717374">
        <w:rPr>
          <w:rFonts w:eastAsia="Arial,Bold"/>
        </w:rPr>
        <w:t xml:space="preserve">regulatory interest in </w:t>
      </w:r>
      <w:r w:rsidR="00B54493">
        <w:rPr>
          <w:rFonts w:eastAsia="Arial,Bold"/>
        </w:rPr>
        <w:t xml:space="preserve">the </w:t>
      </w:r>
      <w:r w:rsidR="00B54493" w:rsidRPr="00717374">
        <w:rPr>
          <w:rFonts w:eastAsia="Arial,Bold"/>
        </w:rPr>
        <w:t xml:space="preserve">role </w:t>
      </w:r>
      <w:r w:rsidRPr="00717374">
        <w:rPr>
          <w:rFonts w:eastAsia="Arial,Bold"/>
        </w:rPr>
        <w:t xml:space="preserve">that CGRP </w:t>
      </w:r>
      <w:r w:rsidR="00B54493">
        <w:rPr>
          <w:rFonts w:eastAsia="Arial,Bold"/>
        </w:rPr>
        <w:t>p</w:t>
      </w:r>
      <w:r w:rsidRPr="00717374">
        <w:rPr>
          <w:rFonts w:eastAsia="Arial,Bold"/>
        </w:rPr>
        <w:t xml:space="preserve">lays in </w:t>
      </w:r>
      <w:r w:rsidR="00B54493">
        <w:rPr>
          <w:rFonts w:eastAsia="Arial,Bold"/>
        </w:rPr>
        <w:t>c</w:t>
      </w:r>
      <w:r w:rsidRPr="00717374">
        <w:rPr>
          <w:rFonts w:eastAsia="Arial,Bold"/>
        </w:rPr>
        <w:t xml:space="preserve">ardiovascular </w:t>
      </w:r>
      <w:r w:rsidR="00B54493">
        <w:rPr>
          <w:rFonts w:eastAsia="Arial,Bold"/>
        </w:rPr>
        <w:t>f</w:t>
      </w:r>
      <w:r w:rsidRPr="00717374">
        <w:rPr>
          <w:rFonts w:eastAsia="Arial,Bold"/>
        </w:rPr>
        <w:t>unction</w:t>
      </w:r>
    </w:p>
    <w:p w14:paraId="1B5A8FB9" w14:textId="5E352FFC" w:rsidR="00717374" w:rsidRPr="00717374" w:rsidRDefault="00DF2A39" w:rsidP="00717374">
      <w:r>
        <w:t>The sponsor</w:t>
      </w:r>
      <w:r w:rsidR="00717374" w:rsidRPr="00717374">
        <w:t xml:space="preserve"> acknowledges that the </w:t>
      </w:r>
      <w:r w:rsidR="00385660">
        <w:t xml:space="preserve">EU </w:t>
      </w:r>
      <w:proofErr w:type="spellStart"/>
      <w:r w:rsidR="00385660">
        <w:t>SmPC</w:t>
      </w:r>
      <w:proofErr w:type="spellEnd"/>
      <w:r w:rsidR="00717374">
        <w:t xml:space="preserve"> </w:t>
      </w:r>
      <w:r w:rsidR="00413B00">
        <w:t>does contain a s</w:t>
      </w:r>
      <w:r w:rsidR="00717374" w:rsidRPr="00717374">
        <w:t>pecial warning and precaution which identifies that patients with major</w:t>
      </w:r>
      <w:r w:rsidR="00717374">
        <w:t xml:space="preserve"> </w:t>
      </w:r>
      <w:r w:rsidR="00717374" w:rsidRPr="00717374">
        <w:t>cardiovascular disease</w:t>
      </w:r>
      <w:r w:rsidR="00385660">
        <w:t>s were excluded from the Phase III</w:t>
      </w:r>
      <w:r w:rsidR="00717374" w:rsidRPr="00717374">
        <w:t xml:space="preserve"> registration studies; this was included at</w:t>
      </w:r>
      <w:r w:rsidR="00717374">
        <w:t xml:space="preserve"> </w:t>
      </w:r>
      <w:r w:rsidR="00717374" w:rsidRPr="00717374">
        <w:t xml:space="preserve">the request of the </w:t>
      </w:r>
      <w:r w:rsidR="00413B00">
        <w:t>EMA</w:t>
      </w:r>
      <w:r w:rsidR="00717374" w:rsidRPr="00717374">
        <w:t>. The wording used is, in essence, the wording</w:t>
      </w:r>
      <w:r w:rsidR="00717374">
        <w:t xml:space="preserve"> </w:t>
      </w:r>
      <w:r w:rsidR="00717374" w:rsidRPr="00717374">
        <w:t>that is currently proposed for inclusion in Section 5.1 of the Australian label and does not include</w:t>
      </w:r>
      <w:r w:rsidR="00717374">
        <w:t xml:space="preserve"> </w:t>
      </w:r>
      <w:r w:rsidR="00717374" w:rsidRPr="00717374">
        <w:t xml:space="preserve">a specific warning or precaution to treating clinicians. The </w:t>
      </w:r>
      <w:r w:rsidR="00385660">
        <w:t>FDA</w:t>
      </w:r>
      <w:r w:rsidR="00717374" w:rsidRPr="00717374">
        <w:t xml:space="preserve"> evaluated similar theoretical concerns in regards to CGRP inhibition and</w:t>
      </w:r>
      <w:r w:rsidR="00717374">
        <w:t xml:space="preserve"> </w:t>
      </w:r>
      <w:r w:rsidR="00717374" w:rsidRPr="00717374">
        <w:t xml:space="preserve">cardiovascular risk and did not request the inclusion of a cardiovascular warning in the </w:t>
      </w:r>
      <w:r w:rsidR="00B54493">
        <w:t>US</w:t>
      </w:r>
      <w:r w:rsidR="00717374" w:rsidRPr="00717374">
        <w:t xml:space="preserve"> </w:t>
      </w:r>
      <w:r w:rsidR="00385660">
        <w:t>PI</w:t>
      </w:r>
      <w:r w:rsidR="00717374" w:rsidRPr="00717374">
        <w:t>, reaching the following conclusion:</w:t>
      </w:r>
    </w:p>
    <w:p w14:paraId="7C4864C6" w14:textId="0275E26E" w:rsidR="00717374" w:rsidRPr="00413B00" w:rsidRDefault="007F1E71" w:rsidP="00413B00">
      <w:pPr>
        <w:ind w:left="720"/>
        <w:rPr>
          <w:iCs/>
        </w:rPr>
      </w:pPr>
      <w:r>
        <w:rPr>
          <w:iCs/>
        </w:rPr>
        <w:t>‘</w:t>
      </w:r>
      <w:r w:rsidR="00717374" w:rsidRPr="00413B00">
        <w:rPr>
          <w:iCs/>
        </w:rPr>
        <w:t xml:space="preserve">We conducted an evaluation of available published literature to investigate the potential for CGRP antagonism to induce vasoconstriction or adversely affect coronary vessel size, coronary blood flow, or myocardial infarct size under experimental ischemic conditions. The results of this evaluation suggest that the regulation of vascular tone in healthy patients and those with cardiovascular disease involves multiple factors, of which CGRP is only one, and that there is limited understanding of the role of CGRP in normal hemodynamic processes or in the response to ischemia or infarction. It was concluded, therefore, that there is insufficient information to dismiss the theoretical concerns, but that additional basic science research is needed to understand further the role of CGRP in these processes. Without a better understanding, it is unlikely that nonclinical studies of </w:t>
      </w:r>
      <w:proofErr w:type="spellStart"/>
      <w:r w:rsidR="00717374" w:rsidRPr="00413B00">
        <w:rPr>
          <w:iCs/>
        </w:rPr>
        <w:t>galcanezumab</w:t>
      </w:r>
      <w:proofErr w:type="spellEnd"/>
      <w:r w:rsidR="00717374" w:rsidRPr="00413B00">
        <w:rPr>
          <w:iCs/>
        </w:rPr>
        <w:t xml:space="preserve"> could be designed and conducted that would provide useful information, therefore, no post marketing study will be required to assess the cardiovascular safety of </w:t>
      </w:r>
      <w:proofErr w:type="spellStart"/>
      <w:r w:rsidR="00717374" w:rsidRPr="00413B00">
        <w:rPr>
          <w:iCs/>
        </w:rPr>
        <w:t>galcanezumab</w:t>
      </w:r>
      <w:proofErr w:type="spellEnd"/>
      <w:r w:rsidR="00717374" w:rsidRPr="00413B00">
        <w:rPr>
          <w:iCs/>
        </w:rPr>
        <w:t>.</w:t>
      </w:r>
      <w:r>
        <w:rPr>
          <w:iCs/>
        </w:rPr>
        <w:t>’</w:t>
      </w:r>
    </w:p>
    <w:p w14:paraId="004F0575" w14:textId="77777777" w:rsidR="00717374" w:rsidRPr="00717374" w:rsidRDefault="00DF2A39" w:rsidP="00717374">
      <w:r>
        <w:t>The sponsor</w:t>
      </w:r>
      <w:r w:rsidR="00717374" w:rsidRPr="00717374">
        <w:t xml:space="preserve"> considers that Section 5.1 of the proposed Australian </w:t>
      </w:r>
      <w:proofErr w:type="spellStart"/>
      <w:r w:rsidR="00717374" w:rsidRPr="00717374">
        <w:t>galcanezumab</w:t>
      </w:r>
      <w:proofErr w:type="spellEnd"/>
      <w:r w:rsidR="00717374" w:rsidRPr="00717374">
        <w:t xml:space="preserve"> PI appropriately notes</w:t>
      </w:r>
      <w:r w:rsidR="00717374">
        <w:t xml:space="preserve"> </w:t>
      </w:r>
      <w:r w:rsidR="00717374" w:rsidRPr="00717374">
        <w:t xml:space="preserve">that patients with recent acute cardiovascular events have been excluded from the Phase </w:t>
      </w:r>
      <w:r w:rsidR="00385660">
        <w:t>III</w:t>
      </w:r>
      <w:r w:rsidR="00717374" w:rsidRPr="00385660">
        <w:t xml:space="preserve"> </w:t>
      </w:r>
      <w:r w:rsidR="00717374" w:rsidRPr="00717374">
        <w:t>clinical studies. The placement of this text as a warning and preca</w:t>
      </w:r>
      <w:r w:rsidR="00717374">
        <w:t xml:space="preserve">ution in Section 4.4 carries an </w:t>
      </w:r>
      <w:r w:rsidR="00717374" w:rsidRPr="00717374">
        <w:t>implied message of risk to prescribers which would be based solely on hypothetical concerns</w:t>
      </w:r>
      <w:r w:rsidR="00717374">
        <w:t xml:space="preserve"> </w:t>
      </w:r>
      <w:r w:rsidR="00717374" w:rsidRPr="00717374">
        <w:t xml:space="preserve">rather than evidence observed in the clinical trial data. </w:t>
      </w:r>
      <w:proofErr w:type="spellStart"/>
      <w:r w:rsidR="00717374" w:rsidRPr="00717374">
        <w:t>Aimovig</w:t>
      </w:r>
      <w:proofErr w:type="spellEnd"/>
      <w:r w:rsidR="00717374" w:rsidRPr="00717374">
        <w:t xml:space="preserve"> (</w:t>
      </w:r>
      <w:proofErr w:type="spellStart"/>
      <w:r w:rsidR="00717374" w:rsidRPr="00717374">
        <w:t>erenumab</w:t>
      </w:r>
      <w:proofErr w:type="spellEnd"/>
      <w:r w:rsidR="00717374" w:rsidRPr="00717374">
        <w:t>) has similar wording</w:t>
      </w:r>
      <w:r w:rsidR="00717374">
        <w:t xml:space="preserve"> </w:t>
      </w:r>
      <w:r w:rsidR="00717374" w:rsidRPr="00717374">
        <w:t xml:space="preserve">to </w:t>
      </w:r>
      <w:proofErr w:type="spellStart"/>
      <w:r w:rsidR="00717374" w:rsidRPr="00717374">
        <w:t>Emgality</w:t>
      </w:r>
      <w:proofErr w:type="spellEnd"/>
      <w:r w:rsidR="00717374" w:rsidRPr="00717374">
        <w:t xml:space="preserve"> (</w:t>
      </w:r>
      <w:proofErr w:type="spellStart"/>
      <w:r w:rsidR="00717374" w:rsidRPr="00717374">
        <w:t>galcanezumab</w:t>
      </w:r>
      <w:proofErr w:type="spellEnd"/>
      <w:r w:rsidR="00717374" w:rsidRPr="00717374">
        <w:t xml:space="preserve">) in Section 4.4. of its EU </w:t>
      </w:r>
      <w:proofErr w:type="spellStart"/>
      <w:r w:rsidR="00717374" w:rsidRPr="00717374">
        <w:t>SmPC</w:t>
      </w:r>
      <w:proofErr w:type="spellEnd"/>
      <w:r w:rsidR="00717374" w:rsidRPr="00717374">
        <w:t>, but only has this patient exclusion</w:t>
      </w:r>
      <w:r w:rsidR="00717374">
        <w:t xml:space="preserve"> </w:t>
      </w:r>
      <w:r w:rsidR="00717374" w:rsidRPr="00717374">
        <w:t>noted in Section 5.1 of the Australian approved label, despite a similar data package that also</w:t>
      </w:r>
      <w:r w:rsidR="00717374">
        <w:t xml:space="preserve"> </w:t>
      </w:r>
      <w:r w:rsidR="00717374" w:rsidRPr="00717374">
        <w:t>excluded patients with recent, acute cardiovascular events.</w:t>
      </w:r>
    </w:p>
    <w:p w14:paraId="729100FD" w14:textId="5B2ABC34" w:rsidR="00717374" w:rsidRPr="00717374" w:rsidRDefault="000830A6" w:rsidP="00FE6A57">
      <w:pPr>
        <w:pStyle w:val="Heading6"/>
        <w:rPr>
          <w:rFonts w:eastAsia="Arial,Bold"/>
        </w:rPr>
      </w:pPr>
      <w:r>
        <w:rPr>
          <w:rFonts w:eastAsia="Arial,Bold"/>
        </w:rPr>
        <w:t>Post-h</w:t>
      </w:r>
      <w:r w:rsidR="00717374" w:rsidRPr="00717374">
        <w:rPr>
          <w:rFonts w:eastAsia="Arial,Bold"/>
        </w:rPr>
        <w:t xml:space="preserve">oc </w:t>
      </w:r>
      <w:r w:rsidR="00536B07">
        <w:rPr>
          <w:rFonts w:eastAsia="Arial,Bold"/>
        </w:rPr>
        <w:t>a</w:t>
      </w:r>
      <w:r w:rsidR="00536B07" w:rsidRPr="00717374">
        <w:rPr>
          <w:rFonts w:eastAsia="Arial,Bold"/>
        </w:rPr>
        <w:t xml:space="preserve">nalyses </w:t>
      </w:r>
      <w:r w:rsidR="00717374" w:rsidRPr="00717374">
        <w:rPr>
          <w:rFonts w:eastAsia="Arial,Bold"/>
        </w:rPr>
        <w:t xml:space="preserve">of </w:t>
      </w:r>
      <w:r w:rsidR="00536B07">
        <w:rPr>
          <w:rFonts w:eastAsia="Arial,Bold"/>
        </w:rPr>
        <w:t>c</w:t>
      </w:r>
      <w:r w:rsidR="00536B07" w:rsidRPr="00717374">
        <w:rPr>
          <w:rFonts w:eastAsia="Arial,Bold"/>
        </w:rPr>
        <w:t xml:space="preserve">ardiovascular </w:t>
      </w:r>
      <w:r w:rsidR="00536B07">
        <w:rPr>
          <w:rFonts w:eastAsia="Arial,Bold"/>
        </w:rPr>
        <w:t>o</w:t>
      </w:r>
      <w:r w:rsidR="00536B07" w:rsidRPr="00717374">
        <w:rPr>
          <w:rFonts w:eastAsia="Arial,Bold"/>
        </w:rPr>
        <w:t xml:space="preserve">utcomes </w:t>
      </w:r>
      <w:r w:rsidR="00717374" w:rsidRPr="00717374">
        <w:rPr>
          <w:rFonts w:eastAsia="Arial,Bold"/>
        </w:rPr>
        <w:t xml:space="preserve">in </w:t>
      </w:r>
      <w:r w:rsidR="00536B07">
        <w:rPr>
          <w:rFonts w:eastAsia="Arial,Bold"/>
        </w:rPr>
        <w:t>p</w:t>
      </w:r>
      <w:r w:rsidR="00536B07" w:rsidRPr="00717374">
        <w:rPr>
          <w:rFonts w:eastAsia="Arial,Bold"/>
        </w:rPr>
        <w:t xml:space="preserve">atient </w:t>
      </w:r>
      <w:r w:rsidR="00536B07">
        <w:rPr>
          <w:rFonts w:eastAsia="Arial,Bold"/>
        </w:rPr>
        <w:t>s</w:t>
      </w:r>
      <w:r w:rsidR="00536B07" w:rsidRPr="00717374">
        <w:rPr>
          <w:rFonts w:eastAsia="Arial,Bold"/>
        </w:rPr>
        <w:t xml:space="preserve">ubgroups </w:t>
      </w:r>
      <w:r w:rsidR="00717374" w:rsidRPr="00717374">
        <w:rPr>
          <w:rFonts w:eastAsia="Arial,Bold"/>
        </w:rPr>
        <w:t>with</w:t>
      </w:r>
      <w:r w:rsidR="00FE6A57">
        <w:rPr>
          <w:rFonts w:eastAsia="Arial,Bold"/>
        </w:rPr>
        <w:t xml:space="preserve"> </w:t>
      </w:r>
      <w:r w:rsidR="00536B07">
        <w:rPr>
          <w:rFonts w:eastAsia="Arial,Bold"/>
        </w:rPr>
        <w:t>e</w:t>
      </w:r>
      <w:r w:rsidR="00536B07" w:rsidRPr="00717374">
        <w:rPr>
          <w:rFonts w:eastAsia="Arial,Bold"/>
        </w:rPr>
        <w:t xml:space="preserve">levated </w:t>
      </w:r>
      <w:r w:rsidR="00536B07">
        <w:rPr>
          <w:rFonts w:eastAsia="Arial,Bold"/>
        </w:rPr>
        <w:t>c</w:t>
      </w:r>
      <w:r w:rsidR="00536B07" w:rsidRPr="00717374">
        <w:rPr>
          <w:rFonts w:eastAsia="Arial,Bold"/>
        </w:rPr>
        <w:t xml:space="preserve">ardiovascular </w:t>
      </w:r>
      <w:r w:rsidR="00536B07">
        <w:rPr>
          <w:rFonts w:eastAsia="Arial,Bold"/>
        </w:rPr>
        <w:t>r</w:t>
      </w:r>
      <w:r w:rsidR="00536B07" w:rsidRPr="00717374">
        <w:rPr>
          <w:rFonts w:eastAsia="Arial,Bold"/>
        </w:rPr>
        <w:t>isk</w:t>
      </w:r>
    </w:p>
    <w:p w14:paraId="3FDFDF8D" w14:textId="77777777" w:rsidR="00717374" w:rsidRPr="00717374" w:rsidRDefault="00717374" w:rsidP="00717374">
      <w:r w:rsidRPr="00717374">
        <w:t xml:space="preserve">Supporting the rationale above, </w:t>
      </w:r>
      <w:r w:rsidR="00385660">
        <w:t>t</w:t>
      </w:r>
      <w:r w:rsidR="00DF2A39">
        <w:t>he sponsor</w:t>
      </w:r>
      <w:r w:rsidRPr="00717374">
        <w:t xml:space="preserve"> has conducted additional post-hoc analyses of</w:t>
      </w:r>
      <w:r>
        <w:t xml:space="preserve"> </w:t>
      </w:r>
      <w:r w:rsidRPr="00717374">
        <w:t>cardiovascular outcomes in patient subgroups with known cardiovascular risk: patients treated</w:t>
      </w:r>
      <w:r>
        <w:t xml:space="preserve"> </w:t>
      </w:r>
      <w:r w:rsidRPr="00717374">
        <w:t xml:space="preserve">with </w:t>
      </w:r>
      <w:proofErr w:type="spellStart"/>
      <w:r w:rsidRPr="00717374">
        <w:t>triptans</w:t>
      </w:r>
      <w:proofErr w:type="spellEnd"/>
      <w:r w:rsidRPr="00717374">
        <w:t>, male patients, patients who report migraine with aura, and patients with chronic</w:t>
      </w:r>
      <w:r>
        <w:t xml:space="preserve"> </w:t>
      </w:r>
      <w:r w:rsidRPr="00717374">
        <w:t>migraine.</w:t>
      </w:r>
    </w:p>
    <w:p w14:paraId="0A8FECD5" w14:textId="77777777" w:rsidR="00854DA0" w:rsidRDefault="00717374" w:rsidP="00854DA0">
      <w:pPr>
        <w:pStyle w:val="Heading7"/>
      </w:pPr>
      <w:r w:rsidRPr="00717374">
        <w:t>Changes</w:t>
      </w:r>
      <w:r w:rsidR="00385660">
        <w:t xml:space="preserve"> in categorical blood p</w:t>
      </w:r>
      <w:r w:rsidR="00642AB9">
        <w:t>ressure</w:t>
      </w:r>
    </w:p>
    <w:p w14:paraId="4E7D5B3B" w14:textId="0D01C13A" w:rsidR="00717374" w:rsidRDefault="007F1E71" w:rsidP="00717374">
      <w:r>
        <w:fldChar w:fldCharType="begin"/>
      </w:r>
      <w:r>
        <w:instrText xml:space="preserve"> REF _Ref19013358 \h </w:instrText>
      </w:r>
      <w:r>
        <w:fldChar w:fldCharType="separate"/>
      </w:r>
      <w:r>
        <w:t xml:space="preserve">Table </w:t>
      </w:r>
      <w:r>
        <w:rPr>
          <w:noProof/>
        </w:rPr>
        <w:t>29</w:t>
      </w:r>
      <w:r>
        <w:fldChar w:fldCharType="end"/>
      </w:r>
      <w:r>
        <w:t xml:space="preserve"> </w:t>
      </w:r>
      <w:r w:rsidR="00717374" w:rsidRPr="00717374">
        <w:t>presents categorical blood pressure</w:t>
      </w:r>
      <w:r w:rsidR="00FE6A57">
        <w:t xml:space="preserve"> </w:t>
      </w:r>
      <w:r w:rsidR="00717374" w:rsidRPr="00717374">
        <w:t xml:space="preserve">values by subgroup for patients who used </w:t>
      </w:r>
      <w:proofErr w:type="spellStart"/>
      <w:r w:rsidR="00717374" w:rsidRPr="00717374">
        <w:t>triptans</w:t>
      </w:r>
      <w:proofErr w:type="spellEnd"/>
      <w:r w:rsidR="00717374" w:rsidRPr="00717374">
        <w:t>, by sex, aura, and episodic or chronic</w:t>
      </w:r>
      <w:r w:rsidR="00FE6A57">
        <w:t xml:space="preserve"> </w:t>
      </w:r>
      <w:r w:rsidR="00413B00">
        <w:t>migraine. This</w:t>
      </w:r>
      <w:r w:rsidR="00717374" w:rsidRPr="00717374">
        <w:t xml:space="preserve"> data in patients with a higher cardiovascular risk do</w:t>
      </w:r>
      <w:r w:rsidR="00413B00">
        <w:t>es</w:t>
      </w:r>
      <w:r w:rsidR="00717374" w:rsidRPr="00717374">
        <w:t xml:space="preserve"> not indicate an effect</w:t>
      </w:r>
      <w:r w:rsidR="00FE6A57">
        <w:t xml:space="preserve"> </w:t>
      </w:r>
      <w:r w:rsidR="00717374" w:rsidRPr="00717374">
        <w:t xml:space="preserve">between </w:t>
      </w:r>
      <w:proofErr w:type="spellStart"/>
      <w:r w:rsidR="00717374" w:rsidRPr="00717374">
        <w:t>galcanezumab</w:t>
      </w:r>
      <w:proofErr w:type="spellEnd"/>
      <w:r w:rsidR="00717374" w:rsidRPr="00717374">
        <w:t xml:space="preserve"> treatment and elevated blood pressure for these subgroups. </w:t>
      </w:r>
      <w:proofErr w:type="gramStart"/>
      <w:r w:rsidR="00717374" w:rsidRPr="00717374">
        <w:t>Specifically</w:t>
      </w:r>
      <w:proofErr w:type="gramEnd"/>
      <w:r w:rsidR="00FE6A57">
        <w:t xml:space="preserve"> </w:t>
      </w:r>
      <w:r w:rsidR="00717374" w:rsidRPr="00717374">
        <w:t xml:space="preserve">with regard to the </w:t>
      </w:r>
      <w:proofErr w:type="spellStart"/>
      <w:r w:rsidR="00717374" w:rsidRPr="00717374">
        <w:t>triptan</w:t>
      </w:r>
      <w:proofErr w:type="spellEnd"/>
      <w:r w:rsidR="00717374" w:rsidRPr="00717374">
        <w:t xml:space="preserve"> user subgroup, which includes a population that has increased risk for</w:t>
      </w:r>
      <w:r w:rsidR="00FE6A57">
        <w:t xml:space="preserve"> </w:t>
      </w:r>
      <w:r w:rsidR="00717374" w:rsidRPr="00717374">
        <w:t xml:space="preserve">elevated blood pressure, </w:t>
      </w:r>
      <w:r w:rsidR="00717374" w:rsidRPr="00717374">
        <w:lastRenderedPageBreak/>
        <w:t xml:space="preserve">a lack of a blood pressure effect with </w:t>
      </w:r>
      <w:proofErr w:type="spellStart"/>
      <w:r w:rsidR="00717374" w:rsidRPr="00717374">
        <w:t>galcanezumab</w:t>
      </w:r>
      <w:proofErr w:type="spellEnd"/>
      <w:r w:rsidR="00717374" w:rsidRPr="00717374">
        <w:t xml:space="preserve"> was confirmed.</w:t>
      </w:r>
      <w:r w:rsidR="00FE6A57">
        <w:t xml:space="preserve"> </w:t>
      </w:r>
      <w:r w:rsidR="00717374" w:rsidRPr="00717374">
        <w:t xml:space="preserve">This lack of additive </w:t>
      </w:r>
      <w:proofErr w:type="spellStart"/>
      <w:r w:rsidR="00717374" w:rsidRPr="00717374">
        <w:t>vasoconstrictive</w:t>
      </w:r>
      <w:proofErr w:type="spellEnd"/>
      <w:r w:rsidR="00717374" w:rsidRPr="00717374">
        <w:t xml:space="preserve"> effect between a </w:t>
      </w:r>
      <w:proofErr w:type="spellStart"/>
      <w:r w:rsidR="00717374" w:rsidRPr="00717374">
        <w:t>triptan</w:t>
      </w:r>
      <w:proofErr w:type="spellEnd"/>
      <w:r w:rsidR="00717374" w:rsidRPr="00717374">
        <w:t xml:space="preserve"> and a CGRP inhibitor is consistent</w:t>
      </w:r>
      <w:r w:rsidR="00FE6A57">
        <w:t xml:space="preserve"> </w:t>
      </w:r>
      <w:r w:rsidR="00717374" w:rsidRPr="00717374">
        <w:t xml:space="preserve">with study results reported previously for </w:t>
      </w:r>
      <w:proofErr w:type="spellStart"/>
      <w:r w:rsidR="00717374" w:rsidRPr="00717374">
        <w:t>telcagepant</w:t>
      </w:r>
      <w:proofErr w:type="spellEnd"/>
      <w:r w:rsidR="00536B07">
        <w:t>;</w:t>
      </w:r>
      <w:r w:rsidR="00642AB9">
        <w:rPr>
          <w:rStyle w:val="FootnoteReference"/>
        </w:rPr>
        <w:footnoteReference w:id="39"/>
      </w:r>
      <w:r w:rsidR="00717374" w:rsidRPr="00717374">
        <w:t xml:space="preserve"> and </w:t>
      </w:r>
      <w:proofErr w:type="spellStart"/>
      <w:r w:rsidR="00717374" w:rsidRPr="00717374">
        <w:t>erenumab</w:t>
      </w:r>
      <w:proofErr w:type="spellEnd"/>
      <w:r w:rsidR="00717374" w:rsidRPr="00717374">
        <w:t>.</w:t>
      </w:r>
      <w:r w:rsidR="00642AB9">
        <w:rPr>
          <w:rStyle w:val="FootnoteReference"/>
        </w:rPr>
        <w:footnoteReference w:id="40"/>
      </w:r>
    </w:p>
    <w:p w14:paraId="3A21B496" w14:textId="5E206219" w:rsidR="00385660" w:rsidRPr="00717374" w:rsidRDefault="007F1E71" w:rsidP="007F1E71">
      <w:pPr>
        <w:pStyle w:val="TableTitle"/>
      </w:pPr>
      <w:bookmarkStart w:id="240" w:name="_Ref19013358"/>
      <w:r>
        <w:t xml:space="preserve">Table </w:t>
      </w:r>
      <w:fldSimple w:instr=" SEQ Table \* ARABIC ">
        <w:r>
          <w:rPr>
            <w:noProof/>
          </w:rPr>
          <w:t>29</w:t>
        </w:r>
      </w:fldSimple>
      <w:bookmarkEnd w:id="240"/>
      <w:r w:rsidR="00385660">
        <w:t>: E</w:t>
      </w:r>
      <w:r w:rsidR="00385660" w:rsidRPr="00385660">
        <w:t>xposure adjusted incidence rates for categorical blood pressure values</w:t>
      </w:r>
    </w:p>
    <w:p w14:paraId="3A19A347" w14:textId="77777777" w:rsidR="00057E5E" w:rsidRDefault="00385660" w:rsidP="00057E5E">
      <w:r>
        <w:rPr>
          <w:noProof/>
          <w:lang w:eastAsia="en-AU"/>
        </w:rPr>
        <w:drawing>
          <wp:inline distT="0" distB="0" distL="0" distR="0" wp14:anchorId="1539AF42" wp14:editId="610530BF">
            <wp:extent cx="5332780" cy="3359964"/>
            <wp:effectExtent l="0" t="0" r="1270" b="0"/>
            <wp:docPr id="28" name="Picture 28" descr="Exposure adjusted incidence rates for categorical blood pressure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5309"/>
                    <a:stretch/>
                  </pic:blipFill>
                  <pic:spPr bwMode="auto">
                    <a:xfrm>
                      <a:off x="0" y="0"/>
                      <a:ext cx="5332515" cy="3359797"/>
                    </a:xfrm>
                    <a:prstGeom prst="rect">
                      <a:avLst/>
                    </a:prstGeom>
                    <a:ln>
                      <a:noFill/>
                    </a:ln>
                    <a:extLst>
                      <a:ext uri="{53640926-AAD7-44D8-BBD7-CCE9431645EC}">
                        <a14:shadowObscured xmlns:a14="http://schemas.microsoft.com/office/drawing/2010/main"/>
                      </a:ext>
                    </a:extLst>
                  </pic:spPr>
                </pic:pic>
              </a:graphicData>
            </a:graphic>
          </wp:inline>
        </w:drawing>
      </w:r>
    </w:p>
    <w:p w14:paraId="0499AAE5" w14:textId="77777777" w:rsidR="00717374" w:rsidRPr="00717374" w:rsidRDefault="00642AB9" w:rsidP="00057E5E">
      <w:r>
        <w:t xml:space="preserve">Although higher exposure </w:t>
      </w:r>
      <w:r w:rsidR="00717374" w:rsidRPr="00717374">
        <w:t>adjusted incidence rates (EAIRs) are observed in some of the</w:t>
      </w:r>
      <w:r w:rsidR="00FE6A57">
        <w:t xml:space="preserve"> </w:t>
      </w:r>
      <w:r w:rsidR="00717374" w:rsidRPr="00717374">
        <w:t>subgroups with higher risk (males, migraine with aura, chronic migraine), the higher EAIRs were</w:t>
      </w:r>
      <w:r w:rsidR="00FE6A57">
        <w:t xml:space="preserve"> </w:t>
      </w:r>
      <w:r w:rsidR="00BE161F">
        <w:t xml:space="preserve">observed for both </w:t>
      </w:r>
      <w:proofErr w:type="gramStart"/>
      <w:r w:rsidR="00BE161F">
        <w:t>placebo</w:t>
      </w:r>
      <w:proofErr w:type="gramEnd"/>
      <w:r w:rsidR="00BE161F">
        <w:t xml:space="preserve"> </w:t>
      </w:r>
      <w:r w:rsidR="00717374" w:rsidRPr="00717374">
        <w:t>treated pati</w:t>
      </w:r>
      <w:r>
        <w:t xml:space="preserve">ents as well as </w:t>
      </w:r>
      <w:proofErr w:type="spellStart"/>
      <w:r>
        <w:t>galcanezumab</w:t>
      </w:r>
      <w:proofErr w:type="spellEnd"/>
      <w:r>
        <w:t xml:space="preserve"> </w:t>
      </w:r>
      <w:r w:rsidR="00717374" w:rsidRPr="00717374">
        <w:t>treated patients making a</w:t>
      </w:r>
      <w:r w:rsidR="00FE6A57">
        <w:t xml:space="preserve"> </w:t>
      </w:r>
      <w:r w:rsidR="00717374" w:rsidRPr="00717374">
        <w:t>treatment effect unlikely. Additionally, the analysis of the EAIRs in the overall migraine</w:t>
      </w:r>
      <w:r w:rsidR="00FE6A57">
        <w:t xml:space="preserve"> </w:t>
      </w:r>
      <w:proofErr w:type="spellStart"/>
      <w:r w:rsidR="00717374" w:rsidRPr="00717374">
        <w:t>galcanezumab</w:t>
      </w:r>
      <w:proofErr w:type="spellEnd"/>
      <w:r w:rsidR="00717374" w:rsidRPr="00717374">
        <w:t xml:space="preserve"> exposure dataset (Analysis Set E) also confirms that longer exposure does not</w:t>
      </w:r>
      <w:r w:rsidR="00FE6A57">
        <w:t xml:space="preserve"> </w:t>
      </w:r>
      <w:r w:rsidR="00717374" w:rsidRPr="00717374">
        <w:t>increase the incidence rate of categorical changes in blood pressure in subgroups.</w:t>
      </w:r>
    </w:p>
    <w:p w14:paraId="163DCD57" w14:textId="04EBE51F" w:rsidR="00854DA0" w:rsidRDefault="00854DA0" w:rsidP="00854DA0">
      <w:pPr>
        <w:pStyle w:val="Heading7"/>
      </w:pPr>
      <w:r>
        <w:t xml:space="preserve">Cardiovascular </w:t>
      </w:r>
      <w:r w:rsidR="00536B07">
        <w:t>events</w:t>
      </w:r>
    </w:p>
    <w:p w14:paraId="5BFB3448" w14:textId="77777777" w:rsidR="00717374" w:rsidRPr="00717374" w:rsidRDefault="00854DA0" w:rsidP="00057E5E">
      <w:r>
        <w:t>TEAEs</w:t>
      </w:r>
      <w:r w:rsidR="00717374" w:rsidRPr="00717374">
        <w:t xml:space="preserve"> likely to be cardiovascular in nature</w:t>
      </w:r>
      <w:r w:rsidR="00FE6A57">
        <w:t xml:space="preserve"> </w:t>
      </w:r>
      <w:r w:rsidR="00717374" w:rsidRPr="00717374">
        <w:t xml:space="preserve">were evaluated and identified using 9 </w:t>
      </w:r>
      <w:r>
        <w:t>SMQs</w:t>
      </w:r>
      <w:r w:rsidR="00717374" w:rsidRPr="00717374">
        <w:t>. No clinically important or statistically significant</w:t>
      </w:r>
      <w:r w:rsidR="00FE6A57">
        <w:t xml:space="preserve"> </w:t>
      </w:r>
      <w:r w:rsidR="00717374" w:rsidRPr="00717374">
        <w:t xml:space="preserve">increases in the incidence of </w:t>
      </w:r>
      <w:r>
        <w:t>TEAEs</w:t>
      </w:r>
      <w:r w:rsidR="00717374" w:rsidRPr="00717374">
        <w:t xml:space="preserve"> likely cardiovascular in</w:t>
      </w:r>
      <w:r w:rsidR="00FE6A57">
        <w:t xml:space="preserve"> </w:t>
      </w:r>
      <w:r w:rsidR="00717374" w:rsidRPr="00717374">
        <w:t>nature, including those related to ischemia</w:t>
      </w:r>
      <w:r>
        <w:t xml:space="preserve">, were observed in </w:t>
      </w:r>
      <w:proofErr w:type="spellStart"/>
      <w:r>
        <w:t>galcanezumab</w:t>
      </w:r>
      <w:proofErr w:type="spellEnd"/>
      <w:r>
        <w:t xml:space="preserve"> </w:t>
      </w:r>
      <w:r w:rsidR="00717374" w:rsidRPr="00717374">
        <w:t>treated patients</w:t>
      </w:r>
      <w:r w:rsidR="00FE6A57">
        <w:t xml:space="preserve"> </w:t>
      </w:r>
      <w:r>
        <w:t xml:space="preserve">overall or in </w:t>
      </w:r>
      <w:proofErr w:type="spellStart"/>
      <w:r>
        <w:t>galcanezumab</w:t>
      </w:r>
      <w:proofErr w:type="spellEnd"/>
      <w:r>
        <w:t xml:space="preserve"> </w:t>
      </w:r>
      <w:r w:rsidR="00717374" w:rsidRPr="00717374">
        <w:t>treated patients with comorbid cardiovascular disease in Analysis</w:t>
      </w:r>
      <w:r w:rsidR="00FE6A57">
        <w:t xml:space="preserve"> </w:t>
      </w:r>
      <w:r w:rsidR="00717374" w:rsidRPr="00717374">
        <w:t>Set A.</w:t>
      </w:r>
    </w:p>
    <w:p w14:paraId="4F119867" w14:textId="3E68A1AF" w:rsidR="00717374" w:rsidRDefault="00717374" w:rsidP="00717374">
      <w:r w:rsidRPr="00717374">
        <w:t>Results of post-hoc evaluation of cardiovascular events in subgroups associated with increased</w:t>
      </w:r>
      <w:r w:rsidR="00FE6A57">
        <w:t xml:space="preserve"> </w:t>
      </w:r>
      <w:r w:rsidRPr="00717374">
        <w:t xml:space="preserve">cardiovascular risk are provided in </w:t>
      </w:r>
      <w:r w:rsidR="007F1E71">
        <w:fldChar w:fldCharType="begin"/>
      </w:r>
      <w:r w:rsidR="007F1E71">
        <w:instrText xml:space="preserve"> REF _Ref19013383 \h </w:instrText>
      </w:r>
      <w:r w:rsidR="007F1E71">
        <w:fldChar w:fldCharType="separate"/>
      </w:r>
      <w:r w:rsidR="007F1E71">
        <w:t xml:space="preserve">Table </w:t>
      </w:r>
      <w:r w:rsidR="007F1E71">
        <w:rPr>
          <w:noProof/>
        </w:rPr>
        <w:t>30</w:t>
      </w:r>
      <w:r w:rsidR="007F1E71">
        <w:fldChar w:fldCharType="end"/>
      </w:r>
      <w:r w:rsidRPr="00717374">
        <w:t>. These analyses showed no clinically relevant</w:t>
      </w:r>
      <w:r w:rsidR="00FE6A57">
        <w:t xml:space="preserve"> </w:t>
      </w:r>
      <w:r w:rsidRPr="00717374">
        <w:t>increases in cardio</w:t>
      </w:r>
      <w:r w:rsidR="00854DA0">
        <w:t xml:space="preserve">vascular events in </w:t>
      </w:r>
      <w:proofErr w:type="spellStart"/>
      <w:r w:rsidR="00854DA0">
        <w:t>galcanezumab</w:t>
      </w:r>
      <w:proofErr w:type="spellEnd"/>
      <w:r w:rsidR="00854DA0">
        <w:t xml:space="preserve"> </w:t>
      </w:r>
      <w:r w:rsidRPr="00717374">
        <w:t>treated patients with known cardiovascular</w:t>
      </w:r>
      <w:r w:rsidR="00FE6A57">
        <w:t xml:space="preserve"> </w:t>
      </w:r>
      <w:r w:rsidRPr="00717374">
        <w:t>risk factors.</w:t>
      </w:r>
    </w:p>
    <w:p w14:paraId="711096FC" w14:textId="3582B42A" w:rsidR="00642AB9" w:rsidRDefault="007F1E71" w:rsidP="007F1E71">
      <w:pPr>
        <w:pStyle w:val="TableTitle"/>
      </w:pPr>
      <w:bookmarkStart w:id="241" w:name="_Ref19013383"/>
      <w:r>
        <w:lastRenderedPageBreak/>
        <w:t xml:space="preserve">Table </w:t>
      </w:r>
      <w:fldSimple w:instr=" SEQ Table \* ARABIC ">
        <w:r>
          <w:rPr>
            <w:noProof/>
          </w:rPr>
          <w:t>30</w:t>
        </w:r>
      </w:fldSimple>
      <w:bookmarkEnd w:id="241"/>
      <w:r w:rsidR="00642AB9">
        <w:t>: S</w:t>
      </w:r>
      <w:r w:rsidR="00642AB9" w:rsidRPr="00642AB9">
        <w:t xml:space="preserve">ummary of EAIRS for SMQ narrow search for TEAEs likely </w:t>
      </w:r>
      <w:r w:rsidR="00413B00">
        <w:t>CV</w:t>
      </w:r>
      <w:r w:rsidR="00642AB9" w:rsidRPr="00642AB9">
        <w:t xml:space="preserve"> in nature by subgroup</w:t>
      </w:r>
    </w:p>
    <w:p w14:paraId="247D2D25" w14:textId="77777777" w:rsidR="00642AB9" w:rsidRDefault="00642AB9" w:rsidP="00717374">
      <w:r>
        <w:rPr>
          <w:noProof/>
          <w:lang w:eastAsia="en-AU"/>
        </w:rPr>
        <w:drawing>
          <wp:inline distT="0" distB="0" distL="0" distR="0" wp14:anchorId="1F2BEAF4" wp14:editId="72E144C4">
            <wp:extent cx="5398617" cy="3279292"/>
            <wp:effectExtent l="0" t="0" r="0" b="0"/>
            <wp:docPr id="29" name="Picture 29" descr="Summary of EAIRS for SMQ narrow search for TEAEs likely CV in nature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5680"/>
                    <a:stretch/>
                  </pic:blipFill>
                  <pic:spPr bwMode="auto">
                    <a:xfrm>
                      <a:off x="0" y="0"/>
                      <a:ext cx="5400040" cy="3280156"/>
                    </a:xfrm>
                    <a:prstGeom prst="rect">
                      <a:avLst/>
                    </a:prstGeom>
                    <a:ln>
                      <a:noFill/>
                    </a:ln>
                    <a:extLst>
                      <a:ext uri="{53640926-AAD7-44D8-BBD7-CCE9431645EC}">
                        <a14:shadowObscured xmlns:a14="http://schemas.microsoft.com/office/drawing/2010/main"/>
                      </a:ext>
                    </a:extLst>
                  </pic:spPr>
                </pic:pic>
              </a:graphicData>
            </a:graphic>
          </wp:inline>
        </w:drawing>
      </w:r>
    </w:p>
    <w:p w14:paraId="7139B7FC" w14:textId="77777777" w:rsidR="00FE6A57" w:rsidRPr="00BE161F" w:rsidRDefault="00FE6A57" w:rsidP="00FE6A57">
      <w:pPr>
        <w:pStyle w:val="Heading6"/>
        <w:rPr>
          <w:rFonts w:eastAsia="Arial,Bold"/>
        </w:rPr>
      </w:pPr>
      <w:r w:rsidRPr="00BE161F">
        <w:rPr>
          <w:rFonts w:eastAsia="Arial,Bold"/>
        </w:rPr>
        <w:t>Conclusion</w:t>
      </w:r>
    </w:p>
    <w:p w14:paraId="4E542CB1" w14:textId="77777777" w:rsidR="00FE6A57" w:rsidRPr="00BE161F" w:rsidRDefault="00FE6A57" w:rsidP="00BE161F">
      <w:r w:rsidRPr="00BE161F">
        <w:t xml:space="preserve">Similar to the Australian PI for </w:t>
      </w:r>
      <w:proofErr w:type="spellStart"/>
      <w:r w:rsidRPr="00BE161F">
        <w:t>Aimovig</w:t>
      </w:r>
      <w:proofErr w:type="spellEnd"/>
      <w:r w:rsidRPr="00BE161F">
        <w:t xml:space="preserve">, </w:t>
      </w:r>
      <w:r w:rsidR="00BE161F" w:rsidRPr="00BE161F">
        <w:t>t</w:t>
      </w:r>
      <w:r w:rsidR="00DF2A39" w:rsidRPr="00BE161F">
        <w:t>he sponsor</w:t>
      </w:r>
      <w:r w:rsidRPr="00BE161F">
        <w:t xml:space="preserve"> appropriately notes in Section 5.1 of the proposed </w:t>
      </w:r>
      <w:proofErr w:type="spellStart"/>
      <w:r w:rsidRPr="00BE161F">
        <w:t>galcanezumab</w:t>
      </w:r>
      <w:proofErr w:type="spellEnd"/>
      <w:r w:rsidRPr="00BE161F">
        <w:t xml:space="preserve"> PI that patients with recent acute cardiovascular events and/or at serious cardiovascular risk were excluded from the clinical trial population. Placement of this text in Section 4.4 as a warning and precaution to prescribers implies a risk that is not well understood by the scientific community, not universally recognized by global regulatory authorities, and not substantiated in the available </w:t>
      </w:r>
      <w:proofErr w:type="spellStart"/>
      <w:r w:rsidRPr="00BE161F">
        <w:t>galcanezumab</w:t>
      </w:r>
      <w:proofErr w:type="spellEnd"/>
      <w:r w:rsidRPr="00BE161F">
        <w:t xml:space="preserve"> clinical trial data. Additional post-hoc analyses evaluating cardiovascular health and function in subgroup populations of patients with known increased cardiovascular risk who were treated with </w:t>
      </w:r>
      <w:proofErr w:type="spellStart"/>
      <w:r w:rsidRPr="00BE161F">
        <w:t>galcanezumab</w:t>
      </w:r>
      <w:proofErr w:type="spellEnd"/>
      <w:r w:rsidRPr="00BE161F">
        <w:t xml:space="preserve"> did not identify any cardiovascular safety signal to support inclusion of a cardiovascular warning and precaution in Section 4.4 of the proposed PI. As such, it is </w:t>
      </w:r>
      <w:r w:rsidR="00BE161F">
        <w:t>t</w:t>
      </w:r>
      <w:r w:rsidR="00DF2A39" w:rsidRPr="00BE161F">
        <w:t>he sponsor</w:t>
      </w:r>
      <w:r w:rsidR="00BE161F">
        <w:t>’</w:t>
      </w:r>
      <w:r w:rsidRPr="00BE161F">
        <w:t>s position that a description of the exclusion of patients with acute, recent cardiovascular events from</w:t>
      </w:r>
      <w:r w:rsidR="00BE161F">
        <w:t xml:space="preserve"> the Phase III</w:t>
      </w:r>
      <w:r w:rsidRPr="00BE161F">
        <w:t xml:space="preserve"> clinical studies of </w:t>
      </w:r>
      <w:proofErr w:type="spellStart"/>
      <w:r w:rsidRPr="00BE161F">
        <w:t>galcanezumab</w:t>
      </w:r>
      <w:proofErr w:type="spellEnd"/>
      <w:r w:rsidRPr="00BE161F">
        <w:t xml:space="preserve"> and the accompanying limitation of data in such a population in Section 5.1 of the proposed PI is adequate for alerting prescribers to a limitation of the current clinical data.</w:t>
      </w:r>
    </w:p>
    <w:p w14:paraId="0E435CBE" w14:textId="57AFAF15" w:rsidR="008E7846" w:rsidRDefault="008E7846" w:rsidP="008E7846">
      <w:pPr>
        <w:pStyle w:val="Heading4"/>
      </w:pPr>
      <w:r>
        <w:t>Advisory Committee</w:t>
      </w:r>
      <w:r w:rsidR="000830A6">
        <w:t xml:space="preserve"> c</w:t>
      </w:r>
      <w:r>
        <w:t>onsiderations</w:t>
      </w:r>
      <w:r w:rsidR="00456765">
        <w:rPr>
          <w:rStyle w:val="FootnoteReference"/>
        </w:rPr>
        <w:footnoteReference w:id="41"/>
      </w:r>
    </w:p>
    <w:p w14:paraId="4949A1B7" w14:textId="77777777" w:rsidR="00AD21A4" w:rsidRPr="00AD21A4" w:rsidRDefault="00456765" w:rsidP="00BE161F">
      <w:r w:rsidRPr="00456765">
        <w:t xml:space="preserve">The </w:t>
      </w:r>
      <w:r w:rsidR="00413B00">
        <w:t>ACM</w:t>
      </w:r>
      <w:r w:rsidRPr="00456765">
        <w:t>, having considered the evaluations and the Delegate’s overview, as well as the sponsor’s response to these d</w:t>
      </w:r>
      <w:r w:rsidR="00BE161F">
        <w:t>ocuments, advised the following.</w:t>
      </w:r>
    </w:p>
    <w:p w14:paraId="28CDC844" w14:textId="77777777" w:rsidR="0007206D" w:rsidRDefault="00AD21A4" w:rsidP="00BE161F">
      <w:r>
        <w:lastRenderedPageBreak/>
        <w:t xml:space="preserve">The ACM considered the referral for advice from the Delegate in relation to the application to register </w:t>
      </w:r>
      <w:proofErr w:type="spellStart"/>
      <w:r w:rsidR="00DF2A39">
        <w:t>Emgality</w:t>
      </w:r>
      <w:proofErr w:type="spellEnd"/>
      <w:r>
        <w:t xml:space="preserve">, as a 120 mg/mL solution of </w:t>
      </w:r>
      <w:proofErr w:type="spellStart"/>
      <w:r>
        <w:t>galcanezumab</w:t>
      </w:r>
      <w:proofErr w:type="spellEnd"/>
      <w:r>
        <w:t xml:space="preserve"> for subcutaneous injection (prefilled pen and prefilled syringe). The ACM agreed that </w:t>
      </w:r>
      <w:proofErr w:type="spellStart"/>
      <w:r w:rsidR="00DF2A39">
        <w:t>Emgality</w:t>
      </w:r>
      <w:proofErr w:type="spellEnd"/>
      <w:r>
        <w:t xml:space="preserve"> had an overall positive benefit-risk profile for the proposed indication</w:t>
      </w:r>
      <w:r w:rsidR="0007206D">
        <w:t>:</w:t>
      </w:r>
    </w:p>
    <w:p w14:paraId="7988A9EC" w14:textId="645918D0" w:rsidR="00AD21A4" w:rsidRPr="00917936" w:rsidRDefault="00536B07" w:rsidP="00917936">
      <w:pPr>
        <w:ind w:left="720"/>
        <w:rPr>
          <w:i/>
        </w:rPr>
      </w:pPr>
      <w:r>
        <w:rPr>
          <w:i/>
        </w:rPr>
        <w:t>‘</w:t>
      </w:r>
      <w:proofErr w:type="spellStart"/>
      <w:r w:rsidR="00DF2A39" w:rsidRPr="00917936">
        <w:rPr>
          <w:i/>
        </w:rPr>
        <w:t>Emgality</w:t>
      </w:r>
      <w:proofErr w:type="spellEnd"/>
      <w:r w:rsidR="00DF2A39" w:rsidRPr="00917936">
        <w:rPr>
          <w:i/>
        </w:rPr>
        <w:t xml:space="preserve"> </w:t>
      </w:r>
      <w:r w:rsidR="00AD21A4" w:rsidRPr="00917936">
        <w:rPr>
          <w:i/>
        </w:rPr>
        <w:t>is indicated for the prop</w:t>
      </w:r>
      <w:r w:rsidR="00DF2A39" w:rsidRPr="00917936">
        <w:rPr>
          <w:i/>
        </w:rPr>
        <w:t>hylaxis of migraine in adults.</w:t>
      </w:r>
      <w:r>
        <w:rPr>
          <w:i/>
        </w:rPr>
        <w:t>’</w:t>
      </w:r>
    </w:p>
    <w:p w14:paraId="0AEBBF0B" w14:textId="77777777" w:rsidR="0007206D" w:rsidRDefault="00AD21A4" w:rsidP="00BE161F">
      <w:r>
        <w:t>In providing this advice the ACM</w:t>
      </w:r>
      <w:r w:rsidR="0007206D">
        <w:t>:</w:t>
      </w:r>
    </w:p>
    <w:p w14:paraId="110CC9AA" w14:textId="77777777" w:rsidR="0007206D" w:rsidRDefault="00AD21A4" w:rsidP="00572B43">
      <w:pPr>
        <w:pStyle w:val="ListBullet"/>
      </w:pPr>
      <w:r>
        <w:t xml:space="preserve">Noted that </w:t>
      </w:r>
      <w:proofErr w:type="spellStart"/>
      <w:r>
        <w:t>galcanezumab</w:t>
      </w:r>
      <w:proofErr w:type="spellEnd"/>
      <w:r>
        <w:t xml:space="preserve"> is similar in demographics and safety profile as </w:t>
      </w:r>
      <w:proofErr w:type="spellStart"/>
      <w:r>
        <w:t>erenumab</w:t>
      </w:r>
      <w:proofErr w:type="spellEnd"/>
      <w:r>
        <w:t xml:space="preserve">, another </w:t>
      </w:r>
      <w:proofErr w:type="spellStart"/>
      <w:r w:rsidR="00B6138F">
        <w:t>mAb</w:t>
      </w:r>
      <w:proofErr w:type="spellEnd"/>
      <w:r>
        <w:t xml:space="preserve"> medication indicated for the prophylaxis of migraine in adults</w:t>
      </w:r>
      <w:r w:rsidR="0007206D">
        <w:t>.</w:t>
      </w:r>
    </w:p>
    <w:p w14:paraId="32A128DE" w14:textId="77777777" w:rsidR="0007206D" w:rsidRDefault="00AD21A4" w:rsidP="00572B43">
      <w:pPr>
        <w:pStyle w:val="ListBullet"/>
      </w:pPr>
      <w:r>
        <w:t xml:space="preserve">Noted that </w:t>
      </w:r>
      <w:proofErr w:type="spellStart"/>
      <w:r>
        <w:t>galcanezumab</w:t>
      </w:r>
      <w:proofErr w:type="spellEnd"/>
      <w:r>
        <w:t xml:space="preserve"> has been approved in the EU and USA and is pending approval in Switzerland and Singapore</w:t>
      </w:r>
      <w:r w:rsidR="0007206D">
        <w:t>.</w:t>
      </w:r>
    </w:p>
    <w:p w14:paraId="6BA9A9A2" w14:textId="77777777" w:rsidR="0007206D" w:rsidRDefault="00BE161F" w:rsidP="00572B43">
      <w:pPr>
        <w:pStyle w:val="ListBullet"/>
      </w:pPr>
      <w:r>
        <w:t xml:space="preserve">Noted that there is no long </w:t>
      </w:r>
      <w:r w:rsidR="00AD21A4">
        <w:t xml:space="preserve">term (beyond 12 months) safety data available for </w:t>
      </w:r>
      <w:proofErr w:type="spellStart"/>
      <w:r w:rsidR="00AD21A4">
        <w:t>galcanezumab</w:t>
      </w:r>
      <w:proofErr w:type="spellEnd"/>
      <w:r w:rsidR="0007206D">
        <w:t>.</w:t>
      </w:r>
    </w:p>
    <w:p w14:paraId="66DD95A6" w14:textId="77777777" w:rsidR="0007206D" w:rsidRDefault="00AD21A4" w:rsidP="00572B43">
      <w:pPr>
        <w:pStyle w:val="ListBullet"/>
      </w:pPr>
      <w:r>
        <w:t>Noted the associated tolerability issues, includi</w:t>
      </w:r>
      <w:r w:rsidR="00BE161F">
        <w:t xml:space="preserve">ng injection </w:t>
      </w:r>
      <w:r>
        <w:t>site reactions, vertigo, and constipation</w:t>
      </w:r>
      <w:r w:rsidR="0007206D">
        <w:t>.</w:t>
      </w:r>
    </w:p>
    <w:p w14:paraId="5DC2ED6D" w14:textId="77777777" w:rsidR="00AD21A4" w:rsidRPr="00AD21A4" w:rsidRDefault="00AD21A4" w:rsidP="00572B43">
      <w:pPr>
        <w:pStyle w:val="ListBullet"/>
      </w:pPr>
      <w:r>
        <w:t xml:space="preserve">Was of the view that the risk-benefit balance for </w:t>
      </w:r>
      <w:proofErr w:type="spellStart"/>
      <w:r>
        <w:t>galcanezumab</w:t>
      </w:r>
      <w:proofErr w:type="spellEnd"/>
      <w:r>
        <w:t xml:space="preserve"> is favourable for the dataset submitted based on the demonstrated efficacy and no significant safety signals.</w:t>
      </w:r>
    </w:p>
    <w:p w14:paraId="1A1B4C8F" w14:textId="71B1BFBB" w:rsidR="0057105C" w:rsidRDefault="000830A6" w:rsidP="00AD21A4">
      <w:pPr>
        <w:pStyle w:val="Heading5"/>
      </w:pPr>
      <w:r>
        <w:t>Specific a</w:t>
      </w:r>
      <w:r w:rsidR="00AD21A4">
        <w:t>dvice</w:t>
      </w:r>
    </w:p>
    <w:p w14:paraId="2454DB40" w14:textId="77777777" w:rsidR="0007206D" w:rsidRDefault="00AD21A4" w:rsidP="00BE161F">
      <w:r>
        <w:t>The ACM advised the following in response to the Delegate’s specific request for advice</w:t>
      </w:r>
      <w:r w:rsidR="0007206D">
        <w:t>:</w:t>
      </w:r>
    </w:p>
    <w:p w14:paraId="666BDCCC" w14:textId="40331DDE" w:rsidR="00AD21A4" w:rsidRPr="00EA1AAA" w:rsidRDefault="00AD21A4" w:rsidP="000830A6">
      <w:pPr>
        <w:pStyle w:val="Numberbullet0"/>
        <w:numPr>
          <w:ilvl w:val="0"/>
          <w:numId w:val="43"/>
        </w:numPr>
      </w:pPr>
      <w:r w:rsidRPr="00EA1AAA">
        <w:t xml:space="preserve">What are </w:t>
      </w:r>
      <w:r w:rsidR="00536B07">
        <w:t xml:space="preserve">the </w:t>
      </w:r>
      <w:r w:rsidRPr="00EA1AAA">
        <w:t xml:space="preserve">ACM’s views on the efficacy and to what extent is there sufficient clinical trial evidence to support the proposed indication for </w:t>
      </w:r>
      <w:proofErr w:type="spellStart"/>
      <w:r w:rsidRPr="00EA1AAA">
        <w:t>Galcanezumab</w:t>
      </w:r>
      <w:proofErr w:type="spellEnd"/>
      <w:r w:rsidRPr="00EA1AAA">
        <w:t>?</w:t>
      </w:r>
    </w:p>
    <w:p w14:paraId="530260F0" w14:textId="35B6A9FD" w:rsidR="0007206D" w:rsidRDefault="00AD21A4" w:rsidP="00BE161F">
      <w:r>
        <w:t xml:space="preserve">The ACM noted that the efficacy studies showed a consistent and sustained effect of the active drug over placebo (2 fewer migraine days per month with the active drug). Efficacy studies were conducted in patients with episodic migraines (defined as &gt; 4 but </w:t>
      </w:r>
      <w:r w:rsidR="00536B07">
        <w:t>&lt; </w:t>
      </w:r>
      <w:r>
        <w:t>15</w:t>
      </w:r>
      <w:r w:rsidR="00536B07">
        <w:t> </w:t>
      </w:r>
      <w:r w:rsidR="00713B7C">
        <w:t>MHD</w:t>
      </w:r>
      <w:r>
        <w:t xml:space="preserve">/month) and patients with chronic migraines (defined as ≥ 15 </w:t>
      </w:r>
      <w:r w:rsidR="00713B7C">
        <w:t>MHD</w:t>
      </w:r>
      <w:r w:rsidR="006F1789">
        <w:t>/month for &gt; 3 </w:t>
      </w:r>
      <w:r>
        <w:t>months)</w:t>
      </w:r>
      <w:r w:rsidR="0007206D">
        <w:t>.</w:t>
      </w:r>
    </w:p>
    <w:p w14:paraId="1D4DC76F" w14:textId="33DB1AB8" w:rsidR="00456765" w:rsidRDefault="00536B07" w:rsidP="00BE161F">
      <w:r>
        <w:t xml:space="preserve">Studies </w:t>
      </w:r>
      <w:r w:rsidR="00F0343F">
        <w:t xml:space="preserve">CGAG and CGAH </w:t>
      </w:r>
      <w:r>
        <w:t>(</w:t>
      </w:r>
      <w:r w:rsidR="00F0343F">
        <w:t xml:space="preserve">pivotal 6 month </w:t>
      </w:r>
      <w:r>
        <w:t xml:space="preserve">studies; </w:t>
      </w:r>
      <w:r w:rsidR="00AD21A4">
        <w:t>EVOLVE-1 and 2</w:t>
      </w:r>
      <w:r>
        <w:t xml:space="preserve"> trials</w:t>
      </w:r>
      <w:r w:rsidR="00AD21A4">
        <w:t xml:space="preserve">) were identical in design and compared the efficacy of 120 mg/month and 240 mg/month doses of </w:t>
      </w:r>
      <w:proofErr w:type="spellStart"/>
      <w:r w:rsidR="00AD21A4">
        <w:t>galcanezumab</w:t>
      </w:r>
      <w:proofErr w:type="spellEnd"/>
      <w:r w:rsidR="00AD21A4">
        <w:t xml:space="preserve"> with placebo for episodic migraines. Both doses were significantly superior to placebo in both studies, with a greater reduction in </w:t>
      </w:r>
      <w:r w:rsidR="00713B7C">
        <w:t>MHD</w:t>
      </w:r>
      <w:r w:rsidR="00AD21A4">
        <w:t xml:space="preserve"> (primary efficacy endpoint) seen with either active treatment than with placebo.</w:t>
      </w:r>
    </w:p>
    <w:p w14:paraId="4BE8A48C" w14:textId="64B63F7B" w:rsidR="0007206D" w:rsidRDefault="00536B07" w:rsidP="00BE161F">
      <w:r>
        <w:t xml:space="preserve">Study </w:t>
      </w:r>
      <w:r w:rsidR="00AD21A4">
        <w:t xml:space="preserve">CGAI </w:t>
      </w:r>
      <w:r>
        <w:t>(</w:t>
      </w:r>
      <w:r w:rsidR="00AD21A4">
        <w:t>pivotal study</w:t>
      </w:r>
      <w:r>
        <w:t xml:space="preserve">; </w:t>
      </w:r>
      <w:r w:rsidR="00AD21A4">
        <w:t>REGAIN</w:t>
      </w:r>
      <w:r>
        <w:t xml:space="preserve"> trial</w:t>
      </w:r>
      <w:r w:rsidR="00AD21A4">
        <w:t xml:space="preserve">) was designed to compare the efficacy of 120 mg/month and 240 mg/month doses of </w:t>
      </w:r>
      <w:proofErr w:type="spellStart"/>
      <w:r w:rsidR="00AD21A4">
        <w:t>galcanezumab</w:t>
      </w:r>
      <w:proofErr w:type="spellEnd"/>
      <w:r w:rsidR="00AD21A4">
        <w:t xml:space="preserve"> with placebo in the prevention of chronic migraine, using the same efficacy outcomes as the episodic migraine studies. The treatment period was 3 months with a </w:t>
      </w:r>
      <w:proofErr w:type="gramStart"/>
      <w:r w:rsidR="00AD21A4">
        <w:t>9 month</w:t>
      </w:r>
      <w:proofErr w:type="gramEnd"/>
      <w:r w:rsidR="00AD21A4">
        <w:t xml:space="preserve"> open label extension. The study results were positive with the same effect size and a similar results profile as the other pivotal studies</w:t>
      </w:r>
      <w:r w:rsidR="0007206D">
        <w:t>.</w:t>
      </w:r>
    </w:p>
    <w:p w14:paraId="36FD63AE" w14:textId="77777777" w:rsidR="00AD21A4" w:rsidRDefault="00AD21A4" w:rsidP="00BE161F">
      <w:r>
        <w:t xml:space="preserve">The ACM was of the view that for </w:t>
      </w:r>
      <w:r w:rsidR="00BE161F">
        <w:t xml:space="preserve">patients with very few migraine </w:t>
      </w:r>
      <w:r>
        <w:t xml:space="preserve">free days per month, two extra days without headache could be considered worthwhile. Additionally, the magnitude of effect for </w:t>
      </w:r>
      <w:proofErr w:type="spellStart"/>
      <w:r>
        <w:t>galcanezumab</w:t>
      </w:r>
      <w:proofErr w:type="spellEnd"/>
      <w:r>
        <w:t xml:space="preserve"> was comparable to that of </w:t>
      </w:r>
      <w:proofErr w:type="spellStart"/>
      <w:r>
        <w:t>erenumab</w:t>
      </w:r>
      <w:proofErr w:type="spellEnd"/>
      <w:r>
        <w:t>.</w:t>
      </w:r>
    </w:p>
    <w:p w14:paraId="31E5D55D" w14:textId="77777777" w:rsidR="0057105C" w:rsidRPr="00EA1AAA" w:rsidRDefault="00AD21A4" w:rsidP="00572B43">
      <w:pPr>
        <w:pStyle w:val="Numberbullet0"/>
      </w:pPr>
      <w:r w:rsidRPr="00EA1AAA">
        <w:t xml:space="preserve">Does the ACM consider that the safety of </w:t>
      </w:r>
      <w:proofErr w:type="spellStart"/>
      <w:r w:rsidRPr="00EA1AAA">
        <w:t>Galcanezumab</w:t>
      </w:r>
      <w:proofErr w:type="spellEnd"/>
      <w:r w:rsidRPr="00EA1AAA">
        <w:t xml:space="preserve"> in the proposed new indication is sufficiently well characterised and communicated in the </w:t>
      </w:r>
      <w:proofErr w:type="gramStart"/>
      <w:r w:rsidRPr="00EA1AAA">
        <w:t>PI</w:t>
      </w:r>
      <w:proofErr w:type="gramEnd"/>
    </w:p>
    <w:p w14:paraId="593731BE" w14:textId="77777777" w:rsidR="00AD21A4" w:rsidRPr="00EA1AAA" w:rsidRDefault="00AD21A4" w:rsidP="00AD21A4">
      <w:pPr>
        <w:pStyle w:val="Numberbullet2"/>
        <w:rPr>
          <w:b/>
          <w:i/>
        </w:rPr>
      </w:pPr>
      <w:r w:rsidRPr="00EA1AAA">
        <w:rPr>
          <w:b/>
          <w:i/>
        </w:rPr>
        <w:t>Any specific measures to be taken to highlight possible cardiovascular risk knowing that trial population excluded elderly and patient with cardiovascular risk?</w:t>
      </w:r>
    </w:p>
    <w:p w14:paraId="357C2183" w14:textId="77777777" w:rsidR="0007206D" w:rsidRDefault="00AD21A4" w:rsidP="00BE161F">
      <w:r>
        <w:t>The ACM considered the cardiovascular risk to be a theoretical risk as there was no data to indicate that more specific actions would be required for these population groups</w:t>
      </w:r>
      <w:r w:rsidR="0007206D">
        <w:t>.</w:t>
      </w:r>
    </w:p>
    <w:p w14:paraId="761E701C" w14:textId="77777777" w:rsidR="0007206D" w:rsidRDefault="00AD21A4" w:rsidP="00BE161F">
      <w:r>
        <w:lastRenderedPageBreak/>
        <w:t>The ACM was of the view that while it was desirable to strengthen the PI with respect</w:t>
      </w:r>
      <w:r w:rsidR="00BE161F">
        <w:t xml:space="preserve"> to particular sections on long </w:t>
      </w:r>
      <w:r>
        <w:t xml:space="preserve">term use; intermittent treatment; use in pregnancy and lactation; elevated cardiovascular risk; use in patients aged ≥ 65 years; and risks of hypersensitivity (including anaphylaxis), the precedents of </w:t>
      </w:r>
      <w:proofErr w:type="spellStart"/>
      <w:r>
        <w:t>erenumab</w:t>
      </w:r>
      <w:proofErr w:type="spellEnd"/>
      <w:r>
        <w:t xml:space="preserve"> registration in Australia and the international registration status for </w:t>
      </w:r>
      <w:proofErr w:type="spellStart"/>
      <w:r>
        <w:t>galcanezumab</w:t>
      </w:r>
      <w:proofErr w:type="spellEnd"/>
      <w:r>
        <w:t>, suggest that the PI is adeq</w:t>
      </w:r>
      <w:r w:rsidR="00BE161F">
        <w:t xml:space="preserve">uate, as there are no Australia </w:t>
      </w:r>
      <w:r>
        <w:t>specific factors under consideration</w:t>
      </w:r>
      <w:r w:rsidR="0007206D">
        <w:t>.</w:t>
      </w:r>
    </w:p>
    <w:p w14:paraId="08BFD3FE" w14:textId="77777777" w:rsidR="0007206D" w:rsidRDefault="00AD21A4" w:rsidP="00BE161F">
      <w:r>
        <w:t>The ACM noted that the proposed RMP included additional pharmacovigilance measures to address the risks associated with patients at high risk of cardiovascular and cerebrovascular events, including in patients ≥ 65 years; hypertension during pregna</w:t>
      </w:r>
      <w:r w:rsidR="007543B4">
        <w:t xml:space="preserve">ncy; use in pregnancy; and long </w:t>
      </w:r>
      <w:r>
        <w:t>term safety (including malignancy)</w:t>
      </w:r>
      <w:r w:rsidR="0007206D">
        <w:t>.</w:t>
      </w:r>
    </w:p>
    <w:p w14:paraId="42346774" w14:textId="77777777" w:rsidR="00AD21A4" w:rsidRPr="00EA1AAA" w:rsidRDefault="00AD21A4" w:rsidP="00AD21A4">
      <w:pPr>
        <w:pStyle w:val="Numberbullet2"/>
        <w:rPr>
          <w:b/>
          <w:i/>
        </w:rPr>
      </w:pPr>
      <w:r w:rsidRPr="00EA1AAA">
        <w:rPr>
          <w:b/>
          <w:i/>
        </w:rPr>
        <w:t xml:space="preserve">Does ACM anticipate frequent re-exposure to </w:t>
      </w:r>
      <w:proofErr w:type="spellStart"/>
      <w:r w:rsidRPr="00EA1AAA">
        <w:rPr>
          <w:b/>
          <w:i/>
        </w:rPr>
        <w:t>galcanezumab</w:t>
      </w:r>
      <w:proofErr w:type="spellEnd"/>
      <w:r w:rsidRPr="00EA1AAA">
        <w:rPr>
          <w:b/>
          <w:i/>
        </w:rPr>
        <w:t xml:space="preserve"> in clinical settings as no relevant safety data exist in any migraine or non-migraine study?</w:t>
      </w:r>
    </w:p>
    <w:p w14:paraId="6F719F1C" w14:textId="4B27405C" w:rsidR="0007206D" w:rsidRDefault="00AD21A4" w:rsidP="00AD21A4">
      <w:r>
        <w:t>The ACM noted that there is no data regarding t</w:t>
      </w:r>
      <w:r w:rsidR="007543B4">
        <w:t xml:space="preserve">he impact on efficacy or effect </w:t>
      </w:r>
      <w:r>
        <w:t>modification from re-treatment. Therefore</w:t>
      </w:r>
      <w:r w:rsidR="000830A6">
        <w:t>,</w:t>
      </w:r>
      <w:r>
        <w:t xml:space="preserve"> the effects of re-exposure are unknown</w:t>
      </w:r>
      <w:r w:rsidR="0007206D">
        <w:t>.</w:t>
      </w:r>
    </w:p>
    <w:p w14:paraId="74F1EA6F" w14:textId="77777777" w:rsidR="0007206D" w:rsidRDefault="00AD21A4" w:rsidP="00AD21A4">
      <w:r>
        <w:t xml:space="preserve">The ACM advised that intermittent recurring use of </w:t>
      </w:r>
      <w:proofErr w:type="spellStart"/>
      <w:r>
        <w:t>galcanezumab</w:t>
      </w:r>
      <w:proofErr w:type="spellEnd"/>
      <w:r>
        <w:t xml:space="preserve"> is very likely given the preventative effect it has on migraines and the episodic nature of the condition</w:t>
      </w:r>
      <w:r w:rsidR="0007206D">
        <w:t>.</w:t>
      </w:r>
    </w:p>
    <w:p w14:paraId="7FBB8880" w14:textId="77777777" w:rsidR="0057105C" w:rsidRPr="00EA1AAA" w:rsidRDefault="00AD21A4" w:rsidP="00AD21A4">
      <w:pPr>
        <w:pStyle w:val="Numberbullet2"/>
        <w:rPr>
          <w:b/>
          <w:i/>
        </w:rPr>
      </w:pPr>
      <w:r w:rsidRPr="00EA1AAA">
        <w:rPr>
          <w:b/>
          <w:i/>
        </w:rPr>
        <w:t xml:space="preserve">Does ACM foresee combination of </w:t>
      </w:r>
      <w:proofErr w:type="spellStart"/>
      <w:r w:rsidRPr="00EA1AAA">
        <w:rPr>
          <w:b/>
          <w:i/>
        </w:rPr>
        <w:t>erenumab</w:t>
      </w:r>
      <w:proofErr w:type="spellEnd"/>
      <w:r w:rsidRPr="00EA1AAA">
        <w:rPr>
          <w:b/>
          <w:i/>
        </w:rPr>
        <w:t xml:space="preserve"> and GMB used frequently?</w:t>
      </w:r>
    </w:p>
    <w:p w14:paraId="58709128" w14:textId="77777777" w:rsidR="0007206D" w:rsidRDefault="00AD21A4" w:rsidP="00AD21A4">
      <w:r>
        <w:t xml:space="preserve">The ACM noted that there is no data available, or history of use, regarding the potential drug interactions of </w:t>
      </w:r>
      <w:proofErr w:type="spellStart"/>
      <w:r>
        <w:t>galcanez</w:t>
      </w:r>
      <w:r w:rsidR="007543B4">
        <w:t>umab</w:t>
      </w:r>
      <w:proofErr w:type="spellEnd"/>
      <w:r w:rsidR="007543B4">
        <w:t xml:space="preserve"> with other calcitonin gene </w:t>
      </w:r>
      <w:r>
        <w:t xml:space="preserve">related peptide release (CGRP) blocking agents, such as </w:t>
      </w:r>
      <w:proofErr w:type="spellStart"/>
      <w:r>
        <w:t>erenumab</w:t>
      </w:r>
      <w:proofErr w:type="spellEnd"/>
      <w:r>
        <w:t xml:space="preserve"> or botulinum toxin</w:t>
      </w:r>
      <w:r w:rsidR="0007206D">
        <w:t>.</w:t>
      </w:r>
    </w:p>
    <w:p w14:paraId="717D92B4" w14:textId="77777777" w:rsidR="00AD21A4" w:rsidRDefault="00AD21A4" w:rsidP="00AD21A4">
      <w:r>
        <w:t>The ACM suggested that, based on the understood mechanism of action, adjunctive treatment with other CGRP blocking agents would likely be unrewarding and could potentially cause adverse effects. The ACM advised that clinicians would probably trial another CGRP blocking agent if treatment with one such agent fails. The lack of data on this issue is adequately covered in the PI however.</w:t>
      </w:r>
    </w:p>
    <w:p w14:paraId="79720829" w14:textId="79D73774" w:rsidR="0057105C" w:rsidRDefault="00AD21A4" w:rsidP="00630CEA">
      <w:pPr>
        <w:pStyle w:val="Heading5"/>
      </w:pPr>
      <w:r>
        <w:t xml:space="preserve">General </w:t>
      </w:r>
      <w:r w:rsidR="000830A6">
        <w:t>a</w:t>
      </w:r>
      <w:r>
        <w:t>dvice</w:t>
      </w:r>
    </w:p>
    <w:p w14:paraId="26B00801" w14:textId="77777777" w:rsidR="00AD21A4" w:rsidRPr="00A322B3" w:rsidRDefault="00AD21A4" w:rsidP="00AD21A4">
      <w:r>
        <w:t>The ACM also considered what would be an adequate treatment response period and advised that a trial of 12 weeks should be adequate, given the benefits of treatment are highly variable and the condition varies in severity over time.</w:t>
      </w:r>
    </w:p>
    <w:p w14:paraId="4A2FD29F" w14:textId="77777777" w:rsidR="008E7846" w:rsidRPr="002E238E" w:rsidRDefault="008E7846" w:rsidP="008E7846">
      <w:pPr>
        <w:pStyle w:val="Heading3"/>
      </w:pPr>
      <w:bookmarkStart w:id="242" w:name="_Toc247691532"/>
      <w:bookmarkStart w:id="243" w:name="_Toc314842516"/>
      <w:bookmarkStart w:id="244" w:name="_Toc20822191"/>
      <w:bookmarkEnd w:id="112"/>
      <w:bookmarkEnd w:id="233"/>
      <w:bookmarkEnd w:id="234"/>
      <w:r>
        <w:t>Outcome</w:t>
      </w:r>
      <w:bookmarkEnd w:id="242"/>
      <w:bookmarkEnd w:id="243"/>
      <w:bookmarkEnd w:id="244"/>
    </w:p>
    <w:p w14:paraId="27B009CF" w14:textId="77777777" w:rsidR="00D23139" w:rsidRPr="00630CEA" w:rsidRDefault="00D23139" w:rsidP="00630CEA">
      <w:pPr>
        <w:rPr>
          <w:rFonts w:eastAsiaTheme="minorHAnsi" w:cs="Cambria"/>
        </w:rPr>
      </w:pPr>
      <w:bookmarkStart w:id="245" w:name="_Toc247691533"/>
      <w:bookmarkStart w:id="246" w:name="_Toc314842517"/>
      <w:r w:rsidRPr="00D23139">
        <w:t xml:space="preserve">Based on a review of quality, safety and efficacy, TGA approved the registration of </w:t>
      </w:r>
      <w:proofErr w:type="spellStart"/>
      <w:r w:rsidR="00630CEA">
        <w:t>Emgality</w:t>
      </w:r>
      <w:proofErr w:type="spellEnd"/>
      <w:r w:rsidR="00630CEA">
        <w:t xml:space="preserve"> (</w:t>
      </w:r>
      <w:proofErr w:type="spellStart"/>
      <w:r w:rsidR="00630CEA">
        <w:t>galcanezumab</w:t>
      </w:r>
      <w:proofErr w:type="spellEnd"/>
      <w:r w:rsidR="00630CEA">
        <w:t>) 120 mg/mL prefilled syringe and pen</w:t>
      </w:r>
      <w:r w:rsidRPr="00D23139">
        <w:t xml:space="preserve"> </w:t>
      </w:r>
      <w:r w:rsidR="00481AD9">
        <w:rPr>
          <w:rFonts w:eastAsiaTheme="minorHAnsi" w:cs="Cambria"/>
        </w:rPr>
        <w:t>for subcutaneous injection for</w:t>
      </w:r>
      <w:r w:rsidR="00E822EB">
        <w:rPr>
          <w:rFonts w:eastAsiaTheme="minorHAnsi" w:cs="Cambria"/>
        </w:rPr>
        <w:t xml:space="preserve"> the following indication</w:t>
      </w:r>
      <w:r w:rsidRPr="00D23139">
        <w:t>:</w:t>
      </w:r>
    </w:p>
    <w:p w14:paraId="27752131" w14:textId="77777777" w:rsidR="00D23139" w:rsidRPr="00630CEA" w:rsidRDefault="00630CEA" w:rsidP="00630CEA">
      <w:pPr>
        <w:ind w:left="720"/>
        <w:rPr>
          <w:i/>
        </w:rPr>
      </w:pPr>
      <w:proofErr w:type="spellStart"/>
      <w:r w:rsidRPr="00630CEA">
        <w:rPr>
          <w:i/>
        </w:rPr>
        <w:t>Emgality</w:t>
      </w:r>
      <w:proofErr w:type="spellEnd"/>
      <w:r w:rsidRPr="00630CEA">
        <w:rPr>
          <w:i/>
        </w:rPr>
        <w:t xml:space="preserve"> is indicated for the pro</w:t>
      </w:r>
      <w:r w:rsidR="00E822EB">
        <w:rPr>
          <w:i/>
        </w:rPr>
        <w:t>phylaxis of migraine in adults.</w:t>
      </w:r>
    </w:p>
    <w:p w14:paraId="53872A38" w14:textId="77777777" w:rsidR="00D23139" w:rsidRDefault="00D23139" w:rsidP="00D23139">
      <w:pPr>
        <w:pStyle w:val="Heading4"/>
      </w:pPr>
      <w:r w:rsidRPr="00D23139">
        <w:t>Specific conditions of registration applying to these goods</w:t>
      </w:r>
    </w:p>
    <w:p w14:paraId="036B82E2" w14:textId="77777777" w:rsidR="00C8296D" w:rsidRDefault="00C8296D" w:rsidP="00572B43">
      <w:pPr>
        <w:pStyle w:val="ListBullet"/>
      </w:pPr>
      <w:proofErr w:type="spellStart"/>
      <w:r>
        <w:t>Emgality</w:t>
      </w:r>
      <w:proofErr w:type="spellEnd"/>
      <w:r>
        <w:t xml:space="preserve"> (</w:t>
      </w:r>
      <w:proofErr w:type="spellStart"/>
      <w:r>
        <w:t>galcanezumab</w:t>
      </w:r>
      <w:proofErr w:type="spellEnd"/>
      <w:r>
        <w:t xml:space="preserve">) is to be included in the Black Triangle Scheme. The PI and CMI for </w:t>
      </w:r>
      <w:proofErr w:type="spellStart"/>
      <w:r>
        <w:t>Emgality</w:t>
      </w:r>
      <w:proofErr w:type="spellEnd"/>
      <w:r>
        <w:t xml:space="preserve"> must include the black triangle symbol and mandatory accompanying text for five years, which starts from the date that the sponsor notifies the TGA of supply of the product.</w:t>
      </w:r>
    </w:p>
    <w:p w14:paraId="4E88D817" w14:textId="77777777" w:rsidR="00C8296D" w:rsidRDefault="00C8296D" w:rsidP="00572B43">
      <w:pPr>
        <w:pStyle w:val="ListBullet"/>
      </w:pPr>
      <w:r>
        <w:t xml:space="preserve">The </w:t>
      </w:r>
      <w:proofErr w:type="spellStart"/>
      <w:r>
        <w:t>galcanezumab</w:t>
      </w:r>
      <w:proofErr w:type="spellEnd"/>
      <w:r>
        <w:t xml:space="preserve"> EU-Risk Management Plan (RMP) (version 1.0, dated 11 September 2018, </w:t>
      </w:r>
      <w:r w:rsidR="0013769C">
        <w:t>DLP</w:t>
      </w:r>
      <w:r>
        <w:t xml:space="preserve"> 12 May 2017), with </w:t>
      </w:r>
      <w:r w:rsidR="0013769C">
        <w:t>ASA</w:t>
      </w:r>
      <w:r>
        <w:t xml:space="preserve"> (version 2.0, dated 4 December 2018), included with submission PM-2018-00780-1-1, and any subsequent revisions, as agreed with the TGA will be implemented in Australia.</w:t>
      </w:r>
    </w:p>
    <w:p w14:paraId="72D6C8D6" w14:textId="77777777" w:rsidR="00E822EB" w:rsidRPr="00E822EB" w:rsidRDefault="00E822EB" w:rsidP="002F2AC8">
      <w:pPr>
        <w:pStyle w:val="Heading5"/>
        <w:rPr>
          <w:rFonts w:eastAsiaTheme="minorHAnsi"/>
          <w:color w:val="auto"/>
        </w:rPr>
      </w:pPr>
      <w:r w:rsidRPr="00E822EB">
        <w:rPr>
          <w:rFonts w:eastAsiaTheme="minorHAnsi"/>
        </w:rPr>
        <w:lastRenderedPageBreak/>
        <w:t>Batch release testing &amp; compliance with Certified Product Details (CPD)</w:t>
      </w:r>
    </w:p>
    <w:p w14:paraId="34E3BBD2" w14:textId="77777777" w:rsidR="00E822EB" w:rsidRDefault="00E822EB" w:rsidP="00572B43">
      <w:pPr>
        <w:pStyle w:val="ListBullet"/>
      </w:pPr>
      <w:r>
        <w:t xml:space="preserve">It is a condition of registration that all batches of </w:t>
      </w:r>
      <w:proofErr w:type="spellStart"/>
      <w:r w:rsidR="006D357A">
        <w:t>Emgality</w:t>
      </w:r>
      <w:proofErr w:type="spellEnd"/>
      <w:r>
        <w:t xml:space="preserve"> (</w:t>
      </w:r>
      <w:proofErr w:type="spellStart"/>
      <w:r>
        <w:t>galcanezumab</w:t>
      </w:r>
      <w:proofErr w:type="spellEnd"/>
      <w:r>
        <w:t>) imported into/manufactured in Australia must comply with the product details and</w:t>
      </w:r>
      <w:r w:rsidR="006D357A">
        <w:t xml:space="preserve"> </w:t>
      </w:r>
      <w:r>
        <w:t>specifications approved during evaluation and detailed in the Certified Product Details</w:t>
      </w:r>
      <w:r w:rsidR="00EA1AAA">
        <w:t xml:space="preserve"> </w:t>
      </w:r>
      <w:r>
        <w:t>(CPD).</w:t>
      </w:r>
    </w:p>
    <w:p w14:paraId="1FA9275B" w14:textId="62241FA6" w:rsidR="00E822EB" w:rsidRDefault="00E822EB" w:rsidP="00572B43">
      <w:pPr>
        <w:pStyle w:val="ListBullet"/>
      </w:pPr>
      <w:r>
        <w:t xml:space="preserve">It is a condition of registration that each batch of </w:t>
      </w:r>
      <w:proofErr w:type="spellStart"/>
      <w:r w:rsidR="006D357A">
        <w:t>Emgality</w:t>
      </w:r>
      <w:proofErr w:type="spellEnd"/>
      <w:r>
        <w:t xml:space="preserve"> (</w:t>
      </w:r>
      <w:proofErr w:type="spellStart"/>
      <w:r>
        <w:t>galcanezumab</w:t>
      </w:r>
      <w:proofErr w:type="spellEnd"/>
      <w:r>
        <w:t xml:space="preserve">) imported into/manufactured in Australia is not released for sale until samples and/or the manufacturer’s release data have been assessed and endorsed for release by the TGA Laboratories Branch. Outcomes of laboratory testing are published biannually in the </w:t>
      </w:r>
      <w:hyperlink r:id="rId57" w:history="1">
        <w:r w:rsidRPr="000830A6">
          <w:rPr>
            <w:rStyle w:val="Hyperlink"/>
          </w:rPr>
          <w:t>TGA Database of Laboratory Testing Results</w:t>
        </w:r>
      </w:hyperlink>
      <w:r>
        <w:t>.</w:t>
      </w:r>
    </w:p>
    <w:p w14:paraId="37578D26" w14:textId="201C97B1" w:rsidR="00CF6016" w:rsidRPr="00E822EB" w:rsidRDefault="00E822EB" w:rsidP="00572B43">
      <w:pPr>
        <w:pStyle w:val="ListBullet"/>
      </w:pPr>
      <w:r>
        <w:t>The sponsor should be prepared to provide product samples, reference materials and documentary evidence as defined by the TGA Laboratories branch. The sponsor must contact Biochemistry.</w:t>
      </w:r>
      <w:hyperlink r:id="rId58" w:history="1">
        <w:r w:rsidRPr="000830A6">
          <w:rPr>
            <w:rStyle w:val="Hyperlink"/>
          </w:rPr>
          <w:t>Testing@health.gov.au</w:t>
        </w:r>
      </w:hyperlink>
      <w:r>
        <w:t xml:space="preserve"> for specific material requirements related to the batch release testing/assessment of the product. More information </w:t>
      </w:r>
      <w:r w:rsidR="000830A6">
        <w:t>at</w:t>
      </w:r>
      <w:r>
        <w:t xml:space="preserve"> </w:t>
      </w:r>
      <w:hyperlink r:id="rId59" w:history="1">
        <w:r w:rsidRPr="000830A6">
          <w:rPr>
            <w:rStyle w:val="Hyperlink"/>
          </w:rPr>
          <w:t>TGA testing of biol</w:t>
        </w:r>
        <w:r w:rsidR="000830A6" w:rsidRPr="000830A6">
          <w:rPr>
            <w:rStyle w:val="Hyperlink"/>
          </w:rPr>
          <w:t>ogical medicines</w:t>
        </w:r>
      </w:hyperlink>
      <w:r>
        <w:t>.</w:t>
      </w:r>
    </w:p>
    <w:p w14:paraId="34CEC266" w14:textId="77777777" w:rsidR="00E822EB" w:rsidRPr="00E822EB" w:rsidRDefault="00E822EB" w:rsidP="00572B43">
      <w:pPr>
        <w:pStyle w:val="ListBullet"/>
      </w:pPr>
      <w:r>
        <w:t xml:space="preserve">This batch release condition will be reviewed and may be modified on the basis of actual batch quality and consistency. This condition remains in place until </w:t>
      </w:r>
      <w:r w:rsidR="006D357A">
        <w:t>the sponsor</w:t>
      </w:r>
      <w:r>
        <w:t xml:space="preserve"> </w:t>
      </w:r>
      <w:r w:rsidR="006D357A">
        <w:t xml:space="preserve">is </w:t>
      </w:r>
      <w:r>
        <w:t>notified in writing of any variation.</w:t>
      </w:r>
    </w:p>
    <w:p w14:paraId="7B04837D" w14:textId="076A7482" w:rsidR="00E822EB" w:rsidRPr="00E822EB" w:rsidRDefault="00E822EB" w:rsidP="00572B43">
      <w:pPr>
        <w:pStyle w:val="ListBullet"/>
      </w:pPr>
      <w:r>
        <w:t xml:space="preserve">The </w:t>
      </w:r>
      <w:r w:rsidR="006D357A">
        <w:t>CPD</w:t>
      </w:r>
      <w:r>
        <w:t xml:space="preserve">, as described in </w:t>
      </w:r>
      <w:hyperlink r:id="rId60" w:history="1">
        <w:r w:rsidRPr="000830A6">
          <w:rPr>
            <w:rStyle w:val="Hyperlink"/>
          </w:rPr>
          <w:t>Guidance 7: Certified Product Details of the Australian Regulatory Guidelines for Prescription Medicines (ARGPM)</w:t>
        </w:r>
      </w:hyperlink>
      <w:r w:rsidRPr="00E822EB">
        <w:t>,</w:t>
      </w:r>
      <w:r>
        <w:t xml:space="preserve">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77355AB4" w14:textId="77777777" w:rsidR="008E7846" w:rsidRDefault="00A80B5B" w:rsidP="00D23139">
      <w:pPr>
        <w:pStyle w:val="Heading2"/>
      </w:pPr>
      <w:bookmarkStart w:id="247" w:name="_Toc20822192"/>
      <w:r>
        <w:t xml:space="preserve">Attachment 1. </w:t>
      </w:r>
      <w:r w:rsidR="008E7846">
        <w:t xml:space="preserve">Product </w:t>
      </w:r>
      <w:r w:rsidR="00AA0ED0">
        <w:t>I</w:t>
      </w:r>
      <w:r w:rsidR="008E7846">
        <w:t>nformation</w:t>
      </w:r>
      <w:bookmarkEnd w:id="245"/>
      <w:bookmarkEnd w:id="246"/>
      <w:bookmarkEnd w:id="247"/>
    </w:p>
    <w:p w14:paraId="068ADF49" w14:textId="7159042E" w:rsidR="00B41C85" w:rsidRPr="00302FE3" w:rsidRDefault="006136D7" w:rsidP="00302FE3">
      <w:pPr>
        <w:rPr>
          <w:color w:val="000000"/>
          <w:lang w:eastAsia="en-AU"/>
        </w:rPr>
      </w:pPr>
      <w:r w:rsidRPr="002B3624">
        <w:t xml:space="preserve">The </w:t>
      </w:r>
      <w:r>
        <w:t>PI</w:t>
      </w:r>
      <w:r w:rsidRPr="002B3624">
        <w:t xml:space="preserve"> for </w:t>
      </w:r>
      <w:proofErr w:type="spellStart"/>
      <w:r w:rsidR="0007206D">
        <w:t>Emgality</w:t>
      </w:r>
      <w:proofErr w:type="spellEnd"/>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61" w:history="1">
        <w:r w:rsidR="007C6B9B" w:rsidRPr="007C6B9B">
          <w:rPr>
            <w:rStyle w:val="Hyperlink"/>
          </w:rPr>
          <w:t>https://www.tga.gov.au/product-information-pi</w:t>
        </w:r>
      </w:hyperlink>
      <w:r w:rsidR="003C76F3">
        <w:t>&gt;.</w:t>
      </w:r>
    </w:p>
    <w:p w14:paraId="18A4A054" w14:textId="77777777" w:rsidR="00291957" w:rsidRDefault="00291957" w:rsidP="00291957">
      <w:pPr>
        <w:rPr>
          <w:lang w:eastAsia="ja-JP"/>
        </w:rPr>
      </w:pPr>
    </w:p>
    <w:p w14:paraId="7EA781D1" w14:textId="77777777" w:rsidR="00C80137" w:rsidRPr="001D043B" w:rsidRDefault="00C80137" w:rsidP="003A7F6C">
      <w:pPr>
        <w:pStyle w:val="TableTitle"/>
        <w:sectPr w:rsidR="00C80137" w:rsidRPr="001D043B" w:rsidSect="00B452CE">
          <w:headerReference w:type="even" r:id="rId62"/>
          <w:headerReference w:type="default" r:id="rId63"/>
          <w:headerReference w:type="first" r:id="rId64"/>
          <w:footerReference w:type="first" r:id="rId6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680D488" w14:textId="77777777" w:rsidTr="00A05FA4">
        <w:trPr>
          <w:trHeight w:hRule="exact" w:val="704"/>
        </w:trPr>
        <w:tc>
          <w:tcPr>
            <w:tcW w:w="9175" w:type="dxa"/>
          </w:tcPr>
          <w:p w14:paraId="7B2C1DD1" w14:textId="77777777" w:rsidR="001C32CD" w:rsidRPr="00487162" w:rsidRDefault="001C32CD" w:rsidP="00A05FA4">
            <w:pPr>
              <w:pStyle w:val="TGASignoff"/>
            </w:pPr>
            <w:r w:rsidRPr="00487162">
              <w:lastRenderedPageBreak/>
              <w:t>Therapeutic Goods Administration</w:t>
            </w:r>
          </w:p>
        </w:tc>
      </w:tr>
      <w:tr w:rsidR="001C32CD" w:rsidRPr="004C239D" w14:paraId="7059831C" w14:textId="77777777" w:rsidTr="00A05FA4">
        <w:trPr>
          <w:trHeight w:val="1221"/>
        </w:trPr>
        <w:tc>
          <w:tcPr>
            <w:tcW w:w="9175" w:type="dxa"/>
            <w:tcMar>
              <w:top w:w="28" w:type="dxa"/>
            </w:tcMar>
          </w:tcPr>
          <w:p w14:paraId="77665E1D" w14:textId="77777777" w:rsidR="001C32CD" w:rsidRPr="00487162" w:rsidRDefault="001C32CD" w:rsidP="00A05FA4">
            <w:pPr>
              <w:pStyle w:val="Address"/>
            </w:pPr>
            <w:r w:rsidRPr="00487162">
              <w:t>PO Box 100 Woden ACT 2606 Australia</w:t>
            </w:r>
          </w:p>
          <w:p w14:paraId="2D357047" w14:textId="77777777" w:rsidR="001C32CD" w:rsidRPr="00487162" w:rsidRDefault="001C32CD" w:rsidP="00A05FA4">
            <w:pPr>
              <w:pStyle w:val="Address"/>
            </w:pPr>
            <w:r w:rsidRPr="00487162">
              <w:t xml:space="preserve">Email: </w:t>
            </w:r>
            <w:hyperlink r:id="rId66" w:history="1">
              <w:r w:rsidRPr="004C239D">
                <w:rPr>
                  <w:rStyle w:val="Hyperlink"/>
                </w:rPr>
                <w:t>info@tga.gov.au</w:t>
              </w:r>
            </w:hyperlink>
            <w:r w:rsidRPr="00487162">
              <w:t xml:space="preserve">  Phone: 1800 020 653  Fax: 02 6232 8605</w:t>
            </w:r>
          </w:p>
          <w:p w14:paraId="76212370" w14:textId="77777777" w:rsidR="001C32CD" w:rsidRPr="004C239D" w:rsidRDefault="009C06C5" w:rsidP="00A05FA4">
            <w:pPr>
              <w:pStyle w:val="Address"/>
              <w:spacing w:line="260" w:lineRule="atLeast"/>
              <w:rPr>
                <w:b/>
                <w:color w:val="0000FF"/>
                <w:u w:val="single"/>
              </w:rPr>
            </w:pPr>
            <w:hyperlink r:id="rId67" w:history="1">
              <w:r w:rsidR="007C6B9B" w:rsidRPr="007C6B9B">
                <w:rPr>
                  <w:rStyle w:val="Hyperlink"/>
                  <w:b/>
                </w:rPr>
                <w:t>https://www.tga.gov.au</w:t>
              </w:r>
            </w:hyperlink>
          </w:p>
        </w:tc>
      </w:tr>
    </w:tbl>
    <w:p w14:paraId="3507BA17" w14:textId="77777777" w:rsidR="00774E1D" w:rsidRPr="008A5E0B" w:rsidRDefault="00774E1D" w:rsidP="004C239D"/>
    <w:sectPr w:rsidR="00774E1D" w:rsidRPr="008A5E0B" w:rsidSect="001C32CD">
      <w:headerReference w:type="even" r:id="rId68"/>
      <w:headerReference w:type="default" r:id="rId69"/>
      <w:footerReference w:type="default" r:id="rId70"/>
      <w:headerReference w:type="first" r:id="rId71"/>
      <w:footerReference w:type="first" r:id="rId7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61F4C" w14:textId="77777777" w:rsidR="009C06C5" w:rsidRDefault="009C06C5" w:rsidP="00C40A36">
      <w:pPr>
        <w:spacing w:after="0"/>
      </w:pPr>
      <w:r>
        <w:separator/>
      </w:r>
    </w:p>
  </w:endnote>
  <w:endnote w:type="continuationSeparator" w:id="0">
    <w:p w14:paraId="270BD3EB" w14:textId="77777777" w:rsidR="009C06C5" w:rsidRDefault="009C06C5" w:rsidP="00C40A36">
      <w:pPr>
        <w:spacing w:after="0"/>
      </w:pPr>
      <w:r>
        <w:continuationSeparator/>
      </w:r>
    </w:p>
  </w:endnote>
  <w:endnote w:type="continuationNotice" w:id="1">
    <w:p w14:paraId="6A71EBB5" w14:textId="77777777" w:rsidR="009C06C5" w:rsidRDefault="009C06C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NewRoman,Bold">
    <w:altName w:val="MS Mincho"/>
    <w:panose1 w:val="00000000000000000000"/>
    <w:charset w:val="00"/>
    <w:family w:val="auto"/>
    <w:notTrueType/>
    <w:pitch w:val="default"/>
    <w:sig w:usb0="00000003" w:usb1="00000000" w:usb2="00000000" w:usb3="00000000" w:csb0="00000001" w:csb1="00000000"/>
  </w:font>
  <w:font w:name="Arial,Bold">
    <w:altName w:val="Yu Gothic UI"/>
    <w:panose1 w:val="00000000000000000000"/>
    <w:charset w:val="80"/>
    <w:family w:val="auto"/>
    <w:notTrueType/>
    <w:pitch w:val="default"/>
    <w:sig w:usb0="00000001" w:usb1="08070000" w:usb2="00000010" w:usb3="00000000" w:csb0="0002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C06C5" w:rsidRPr="00487162" w14:paraId="654DC95B" w14:textId="77777777" w:rsidTr="00DB750B">
      <w:trPr>
        <w:trHeight w:val="269"/>
      </w:trPr>
      <w:tc>
        <w:tcPr>
          <w:tcW w:w="7371" w:type="dxa"/>
          <w:tcMar>
            <w:top w:w="142" w:type="dxa"/>
            <w:bottom w:w="0" w:type="dxa"/>
          </w:tcMar>
        </w:tcPr>
        <w:p w14:paraId="7ACC8F17" w14:textId="77777777" w:rsidR="009C06C5" w:rsidRDefault="009C06C5" w:rsidP="00DB750B">
          <w:pPr>
            <w:pStyle w:val="Footer"/>
          </w:pPr>
          <w:proofErr w:type="spellStart"/>
          <w:r w:rsidRPr="00487162">
            <w:t>AusPA</w:t>
          </w:r>
          <w:r>
            <w:t>R</w:t>
          </w:r>
          <w:proofErr w:type="spellEnd"/>
          <w:r>
            <w:t xml:space="preserve"> - </w:t>
          </w:r>
          <w:proofErr w:type="spellStart"/>
          <w:r w:rsidRPr="00E360C9">
            <w:t>Emgality</w:t>
          </w:r>
          <w:proofErr w:type="spellEnd"/>
          <w:r w:rsidRPr="00E360C9">
            <w:t xml:space="preserve"> - </w:t>
          </w:r>
          <w:proofErr w:type="spellStart"/>
          <w:r w:rsidRPr="00E360C9">
            <w:t>Galcanezumab</w:t>
          </w:r>
          <w:proofErr w:type="spellEnd"/>
          <w:r w:rsidRPr="00E360C9">
            <w:t xml:space="preserve"> - Eli Lil</w:t>
          </w:r>
          <w:r>
            <w:t>l</w:t>
          </w:r>
          <w:r w:rsidRPr="00E360C9">
            <w:t>y Australia Pty Ltd - PM-2018-00780-1-1</w:t>
          </w:r>
        </w:p>
        <w:p w14:paraId="149A6988" w14:textId="675D3088" w:rsidR="009C06C5" w:rsidRPr="00487162" w:rsidRDefault="009C06C5" w:rsidP="00F82956">
          <w:pPr>
            <w:pStyle w:val="Footer"/>
          </w:pPr>
          <w:r>
            <w:t>FINAL 10 September 2019</w:t>
          </w:r>
        </w:p>
      </w:tc>
      <w:tc>
        <w:tcPr>
          <w:tcW w:w="1490" w:type="dxa"/>
          <w:tcMar>
            <w:top w:w="142" w:type="dxa"/>
            <w:bottom w:w="0" w:type="dxa"/>
          </w:tcMar>
        </w:tcPr>
        <w:p w14:paraId="02CF49C5" w14:textId="2D7F4A15" w:rsidR="009C06C5" w:rsidRPr="00487162" w:rsidRDefault="009C06C5" w:rsidP="00DB750B">
          <w:pPr>
            <w:pStyle w:val="Footer"/>
            <w:jc w:val="right"/>
          </w:pPr>
          <w:r w:rsidRPr="00487162">
            <w:t xml:space="preserve">Page </w:t>
          </w:r>
          <w:r>
            <w:fldChar w:fldCharType="begin"/>
          </w:r>
          <w:r>
            <w:instrText xml:space="preserve"> PAGE  \* Arabic </w:instrText>
          </w:r>
          <w:r>
            <w:fldChar w:fldCharType="separate"/>
          </w:r>
          <w:r w:rsidR="00134B8F">
            <w:rPr>
              <w:noProof/>
            </w:rPr>
            <w:t>21</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134B8F">
            <w:rPr>
              <w:noProof/>
            </w:rPr>
            <w:t>82</w:t>
          </w:r>
          <w:r>
            <w:rPr>
              <w:noProof/>
            </w:rPr>
            <w:fldChar w:fldCharType="end"/>
          </w:r>
        </w:p>
      </w:tc>
    </w:tr>
  </w:tbl>
  <w:p w14:paraId="74328A24" w14:textId="77777777" w:rsidR="009C06C5" w:rsidRDefault="009C06C5"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C06C5" w:rsidRPr="00487162" w14:paraId="27714E2A" w14:textId="77777777" w:rsidTr="00E45619">
      <w:trPr>
        <w:trHeight w:val="269"/>
      </w:trPr>
      <w:tc>
        <w:tcPr>
          <w:tcW w:w="4519" w:type="dxa"/>
          <w:tcBorders>
            <w:top w:val="single" w:sz="4" w:space="0" w:color="auto"/>
          </w:tcBorders>
          <w:tcMar>
            <w:top w:w="142" w:type="dxa"/>
            <w:bottom w:w="0" w:type="dxa"/>
          </w:tcMar>
        </w:tcPr>
        <w:p w14:paraId="65DD45DA" w14:textId="77777777" w:rsidR="009C06C5" w:rsidRPr="00487162" w:rsidRDefault="009C06C5" w:rsidP="00FE1DEE">
          <w:pPr>
            <w:pStyle w:val="Footer"/>
          </w:pPr>
          <w:r w:rsidRPr="00487162">
            <w:t>Document title, Part #, Section # - Section title</w:t>
          </w:r>
        </w:p>
        <w:p w14:paraId="74CDA71D" w14:textId="77777777" w:rsidR="009C06C5" w:rsidRPr="00487162" w:rsidRDefault="009C06C5" w:rsidP="00FE1DEE">
          <w:pPr>
            <w:pStyle w:val="Footer"/>
          </w:pPr>
          <w:r w:rsidRPr="00487162">
            <w:t>V1.0 October 2010</w:t>
          </w:r>
        </w:p>
      </w:tc>
      <w:tc>
        <w:tcPr>
          <w:tcW w:w="4342" w:type="dxa"/>
          <w:tcBorders>
            <w:top w:val="single" w:sz="4" w:space="0" w:color="auto"/>
          </w:tcBorders>
          <w:tcMar>
            <w:top w:w="142" w:type="dxa"/>
            <w:bottom w:w="0" w:type="dxa"/>
          </w:tcMar>
        </w:tcPr>
        <w:p w14:paraId="10910B75" w14:textId="77777777" w:rsidR="009C06C5" w:rsidRPr="00487162" w:rsidRDefault="009C06C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3</w:t>
          </w:r>
          <w:r>
            <w:rPr>
              <w:noProof/>
            </w:rPr>
            <w:fldChar w:fldCharType="end"/>
          </w:r>
        </w:p>
      </w:tc>
    </w:tr>
  </w:tbl>
  <w:p w14:paraId="40D05FC0" w14:textId="77777777" w:rsidR="009C06C5" w:rsidRDefault="009C06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A654F" w14:textId="77777777" w:rsidR="009C06C5" w:rsidRPr="001C32CD" w:rsidRDefault="009C06C5"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C06C5" w14:paraId="3EC99910" w14:textId="77777777" w:rsidTr="0010601F">
      <w:trPr>
        <w:trHeight w:val="108"/>
      </w:trPr>
      <w:tc>
        <w:tcPr>
          <w:tcW w:w="8875" w:type="dxa"/>
          <w:gridSpan w:val="2"/>
          <w:tcBorders>
            <w:bottom w:val="single" w:sz="4" w:space="0" w:color="auto"/>
          </w:tcBorders>
          <w:tcMar>
            <w:right w:w="284" w:type="dxa"/>
          </w:tcMar>
        </w:tcPr>
        <w:p w14:paraId="7487B828" w14:textId="77777777" w:rsidR="009C06C5" w:rsidRDefault="009C06C5" w:rsidP="006E08B3">
          <w:pPr>
            <w:pStyle w:val="Heading3"/>
          </w:pPr>
          <w:r>
            <w:t>Copyright</w:t>
          </w:r>
        </w:p>
        <w:p w14:paraId="15B0DF0E" w14:textId="77777777" w:rsidR="009C06C5" w:rsidRDefault="009C06C5" w:rsidP="006E08B3">
          <w:r>
            <w:rPr>
              <w:rFonts w:cs="Arial"/>
            </w:rPr>
            <w:t>©</w:t>
          </w:r>
          <w:r>
            <w:t xml:space="preserve"> Commonwealth of Australia (add year)</w:t>
          </w:r>
        </w:p>
        <w:p w14:paraId="3D69CDC4" w14:textId="77777777" w:rsidR="009C06C5" w:rsidRDefault="009C06C5" w:rsidP="006E08B3"/>
        <w:p w14:paraId="1F079C17" w14:textId="77777777" w:rsidR="009C06C5" w:rsidRDefault="009C06C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01FBE791" w14:textId="77777777" w:rsidR="009C06C5" w:rsidRDefault="009C06C5" w:rsidP="006E08B3"/>
        <w:p w14:paraId="37EF448C" w14:textId="77777777" w:rsidR="009C06C5" w:rsidRDefault="009C06C5" w:rsidP="006E08B3">
          <w:pPr>
            <w:pStyle w:val="Heading3"/>
          </w:pPr>
          <w:r>
            <w:t>Confidentiality</w:t>
          </w:r>
        </w:p>
        <w:p w14:paraId="71258267" w14:textId="77777777" w:rsidR="009C06C5" w:rsidRDefault="009C06C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708AE91" w14:textId="77777777" w:rsidR="009C06C5" w:rsidRDefault="009C06C5" w:rsidP="006E08B3"/>
        <w:p w14:paraId="331DC1F9" w14:textId="77777777" w:rsidR="009C06C5" w:rsidRDefault="009C06C5" w:rsidP="006E08B3">
          <w:r>
            <w:t>For submission made by individuals, all personal details, other than your name, will be removed from your submission before it is published on the TGA’s Internet site.</w:t>
          </w:r>
        </w:p>
        <w:p w14:paraId="17A74A5F" w14:textId="77777777" w:rsidR="009C06C5" w:rsidRDefault="009C06C5" w:rsidP="006E08B3"/>
        <w:p w14:paraId="07DCDAFC" w14:textId="77777777" w:rsidR="009C06C5" w:rsidRDefault="009C06C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C06C5" w14:paraId="35E58513" w14:textId="77777777" w:rsidTr="0010601F">
      <w:trPr>
        <w:trHeight w:val="417"/>
      </w:trPr>
      <w:tc>
        <w:tcPr>
          <w:tcW w:w="4519" w:type="dxa"/>
          <w:tcBorders>
            <w:top w:val="single" w:sz="4" w:space="0" w:color="auto"/>
          </w:tcBorders>
          <w:tcMar>
            <w:top w:w="142" w:type="dxa"/>
            <w:bottom w:w="0" w:type="dxa"/>
          </w:tcMar>
        </w:tcPr>
        <w:p w14:paraId="5701D866" w14:textId="77777777" w:rsidR="009C06C5" w:rsidRDefault="009C06C5" w:rsidP="006E08B3">
          <w:r>
            <w:t>Document title, Part #, Section # - Section title</w:t>
          </w:r>
        </w:p>
        <w:p w14:paraId="7CD795DF" w14:textId="77777777" w:rsidR="009C06C5" w:rsidRDefault="009C06C5" w:rsidP="006E08B3">
          <w:r>
            <w:t>V1.0 October 2010</w:t>
          </w:r>
        </w:p>
      </w:tc>
      <w:tc>
        <w:tcPr>
          <w:tcW w:w="4356" w:type="dxa"/>
          <w:tcBorders>
            <w:top w:val="single" w:sz="4" w:space="0" w:color="auto"/>
          </w:tcBorders>
          <w:tcMar>
            <w:top w:w="142" w:type="dxa"/>
            <w:bottom w:w="0" w:type="dxa"/>
          </w:tcMar>
        </w:tcPr>
        <w:p w14:paraId="759D7D86" w14:textId="77777777" w:rsidR="009C06C5" w:rsidRDefault="009C06C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3</w:t>
          </w:r>
          <w:r>
            <w:rPr>
              <w:noProof/>
            </w:rPr>
            <w:fldChar w:fldCharType="end"/>
          </w:r>
          <w:r>
            <w:t xml:space="preserve">  </w:t>
          </w:r>
        </w:p>
      </w:tc>
    </w:tr>
  </w:tbl>
  <w:p w14:paraId="412F0C6F" w14:textId="77777777" w:rsidR="009C06C5" w:rsidRDefault="009C06C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515C5" w14:textId="77777777" w:rsidR="009C06C5" w:rsidRDefault="009C06C5" w:rsidP="00C40A36">
      <w:pPr>
        <w:spacing w:after="0"/>
      </w:pPr>
      <w:r>
        <w:separator/>
      </w:r>
    </w:p>
  </w:footnote>
  <w:footnote w:type="continuationSeparator" w:id="0">
    <w:p w14:paraId="40883489" w14:textId="77777777" w:rsidR="009C06C5" w:rsidRDefault="009C06C5" w:rsidP="00C40A36">
      <w:pPr>
        <w:spacing w:after="0"/>
      </w:pPr>
      <w:r>
        <w:continuationSeparator/>
      </w:r>
    </w:p>
  </w:footnote>
  <w:footnote w:type="continuationNotice" w:id="1">
    <w:p w14:paraId="6DC33D14" w14:textId="77777777" w:rsidR="009C06C5" w:rsidRDefault="009C06C5">
      <w:pPr>
        <w:spacing w:before="0" w:after="0" w:line="240" w:lineRule="auto"/>
      </w:pPr>
    </w:p>
  </w:footnote>
  <w:footnote w:id="2">
    <w:p w14:paraId="50EC9C94" w14:textId="45DE3BB8" w:rsidR="009C06C5" w:rsidRDefault="009C06C5">
      <w:pPr>
        <w:pStyle w:val="FootnoteText"/>
      </w:pPr>
      <w:r>
        <w:rPr>
          <w:rStyle w:val="FootnoteReference"/>
        </w:rPr>
        <w:footnoteRef/>
      </w:r>
      <w:r>
        <w:t xml:space="preserve"> The submission was subsequently approved in Switzerland on 29 March 2019.</w:t>
      </w:r>
    </w:p>
  </w:footnote>
  <w:footnote w:id="3">
    <w:p w14:paraId="050D7913" w14:textId="77777777" w:rsidR="009C06C5" w:rsidRDefault="009C06C5">
      <w:pPr>
        <w:pStyle w:val="FootnoteText"/>
      </w:pPr>
      <w:r>
        <w:rPr>
          <w:rStyle w:val="FootnoteReference"/>
        </w:rPr>
        <w:footnoteRef/>
      </w:r>
      <w:r>
        <w:t xml:space="preserve"> These GMP clearances have since been approved/renewed prior to registration.</w:t>
      </w:r>
    </w:p>
  </w:footnote>
  <w:footnote w:id="4">
    <w:p w14:paraId="70EA8F76" w14:textId="77777777" w:rsidR="009C06C5" w:rsidRDefault="009C06C5">
      <w:pPr>
        <w:pStyle w:val="FootnoteText"/>
      </w:pPr>
      <w:r>
        <w:rPr>
          <w:rStyle w:val="FootnoteReference"/>
        </w:rPr>
        <w:footnoteRef/>
      </w:r>
      <w:r>
        <w:t xml:space="preserve"> European Medicines Agency (</w:t>
      </w:r>
      <w:r>
        <w:rPr>
          <w:lang w:eastAsia="ja-JP"/>
        </w:rPr>
        <w:t xml:space="preserve">EMA), Committee for Medicinal Products for Human use (CHMP), 30 September 1997. </w:t>
      </w:r>
      <w:r>
        <w:t xml:space="preserve">ICH S6(R1) </w:t>
      </w:r>
      <w:r>
        <w:rPr>
          <w:lang w:eastAsia="ja-JP"/>
        </w:rPr>
        <w:t>Guideline on p</w:t>
      </w:r>
      <w:r w:rsidRPr="00416F6A">
        <w:rPr>
          <w:lang w:eastAsia="ja-JP"/>
        </w:rPr>
        <w:t>reclinical safety evaluation of biotechnology-derived pharmaceuticals</w:t>
      </w:r>
      <w:r>
        <w:rPr>
          <w:lang w:eastAsia="ja-JP"/>
        </w:rPr>
        <w:t>. EMA/</w:t>
      </w:r>
      <w:r w:rsidRPr="00416F6A">
        <w:rPr>
          <w:lang w:eastAsia="ja-JP"/>
        </w:rPr>
        <w:t>CHMP/ICH/731268/1998</w:t>
      </w:r>
    </w:p>
  </w:footnote>
  <w:footnote w:id="5">
    <w:p w14:paraId="718E9F98" w14:textId="77777777" w:rsidR="009C06C5" w:rsidRPr="0096187D" w:rsidRDefault="009C06C5" w:rsidP="0096187D">
      <w:pPr>
        <w:pStyle w:val="FootnoteText"/>
        <w:rPr>
          <w:bCs/>
        </w:rPr>
      </w:pPr>
      <w:r>
        <w:rPr>
          <w:rStyle w:val="FootnoteReference"/>
        </w:rPr>
        <w:footnoteRef/>
      </w:r>
      <w:r>
        <w:t xml:space="preserve"> </w:t>
      </w:r>
      <w:proofErr w:type="spellStart"/>
      <w:proofErr w:type="gramStart"/>
      <w:r>
        <w:t>Russell,F.A</w:t>
      </w:r>
      <w:proofErr w:type="spellEnd"/>
      <w:r>
        <w:t>.</w:t>
      </w:r>
      <w:proofErr w:type="gramEnd"/>
      <w:r>
        <w:t xml:space="preserve"> et al. (2014) </w:t>
      </w:r>
      <w:r>
        <w:rPr>
          <w:bCs/>
        </w:rPr>
        <w:t>C</w:t>
      </w:r>
      <w:r w:rsidRPr="0096187D">
        <w:rPr>
          <w:bCs/>
        </w:rPr>
        <w:t>alcitonin gene-related peptide:</w:t>
      </w:r>
      <w:r>
        <w:rPr>
          <w:bCs/>
        </w:rPr>
        <w:t xml:space="preserve"> p</w:t>
      </w:r>
      <w:r w:rsidRPr="0096187D">
        <w:rPr>
          <w:bCs/>
        </w:rPr>
        <w:t>hysiology and pathophysiology</w:t>
      </w:r>
      <w:r w:rsidRPr="0096187D">
        <w:rPr>
          <w:bCs/>
          <w:i/>
        </w:rPr>
        <w:t xml:space="preserve">, </w:t>
      </w:r>
      <w:proofErr w:type="spellStart"/>
      <w:r w:rsidRPr="0096187D">
        <w:rPr>
          <w:bCs/>
          <w:i/>
        </w:rPr>
        <w:t>Physiol</w:t>
      </w:r>
      <w:proofErr w:type="spellEnd"/>
      <w:r w:rsidRPr="0096187D">
        <w:rPr>
          <w:bCs/>
          <w:i/>
        </w:rPr>
        <w:t xml:space="preserve"> Rev</w:t>
      </w:r>
      <w:r>
        <w:rPr>
          <w:bCs/>
        </w:rPr>
        <w:t>, 2014; 94: 1099-1142.</w:t>
      </w:r>
    </w:p>
  </w:footnote>
  <w:footnote w:id="6">
    <w:p w14:paraId="078D82A2" w14:textId="77777777" w:rsidR="009C06C5" w:rsidRPr="00FF0F5C" w:rsidRDefault="009C06C5">
      <w:pPr>
        <w:pStyle w:val="FootnoteText"/>
        <w:rPr>
          <w:bCs/>
        </w:rPr>
      </w:pPr>
      <w:r>
        <w:rPr>
          <w:rStyle w:val="FootnoteReference"/>
        </w:rPr>
        <w:footnoteRef/>
      </w:r>
      <w:r>
        <w:t xml:space="preserve"> </w:t>
      </w:r>
      <w:proofErr w:type="spellStart"/>
      <w:proofErr w:type="gramStart"/>
      <w:r>
        <w:t>Schinke,T</w:t>
      </w:r>
      <w:proofErr w:type="spellEnd"/>
      <w:r>
        <w:t>.</w:t>
      </w:r>
      <w:proofErr w:type="gramEnd"/>
      <w:r>
        <w:t xml:space="preserve"> et al. (2004) </w:t>
      </w:r>
      <w:r w:rsidRPr="00FF0F5C">
        <w:rPr>
          <w:bCs/>
        </w:rPr>
        <w:t>Decreased bone formation and osteopenia in mice lacking alpha-calcitonin gene-related peptide</w:t>
      </w:r>
      <w:r>
        <w:rPr>
          <w:bCs/>
        </w:rPr>
        <w:t xml:space="preserve">, </w:t>
      </w:r>
      <w:r w:rsidRPr="009C277B">
        <w:rPr>
          <w:bCs/>
          <w:i/>
        </w:rPr>
        <w:t>J Bone Miner Res</w:t>
      </w:r>
      <w:r>
        <w:rPr>
          <w:bCs/>
        </w:rPr>
        <w:t>, 2004; 19.</w:t>
      </w:r>
    </w:p>
  </w:footnote>
  <w:footnote w:id="7">
    <w:p w14:paraId="5AD9306E" w14:textId="77777777" w:rsidR="009C06C5" w:rsidRDefault="009C06C5">
      <w:pPr>
        <w:pStyle w:val="FootnoteText"/>
      </w:pPr>
      <w:r>
        <w:rPr>
          <w:rStyle w:val="FootnoteReference"/>
        </w:rPr>
        <w:footnoteRef/>
      </w:r>
      <w:r>
        <w:t xml:space="preserve"> Pregnancy category B1: </w:t>
      </w:r>
      <w:r w:rsidRPr="00404F61">
        <w:t xml:space="preserve">Drugs which have been taken by only a limited number of pregnant women and women of childbearing age, without an increase in the frequency of malformation or other direct or indirect harmful effects on the human </w:t>
      </w:r>
      <w:proofErr w:type="spellStart"/>
      <w:r w:rsidRPr="00404F61">
        <w:t>fetus</w:t>
      </w:r>
      <w:proofErr w:type="spellEnd"/>
      <w:r w:rsidRPr="00404F61">
        <w:t xml:space="preserve"> having been observed.</w:t>
      </w:r>
      <w:r>
        <w:t xml:space="preserve"> </w:t>
      </w:r>
      <w:r w:rsidRPr="00404F61">
        <w:t xml:space="preserve">Studies in animals have not shown evidence of an increased occurrence of </w:t>
      </w:r>
      <w:proofErr w:type="spellStart"/>
      <w:r w:rsidRPr="00404F61">
        <w:t>fetal</w:t>
      </w:r>
      <w:proofErr w:type="spellEnd"/>
      <w:r w:rsidRPr="00404F61">
        <w:t xml:space="preserve"> damage.</w:t>
      </w:r>
    </w:p>
  </w:footnote>
  <w:footnote w:id="8">
    <w:p w14:paraId="5923D2E9" w14:textId="77777777" w:rsidR="009C06C5" w:rsidRDefault="009C06C5">
      <w:pPr>
        <w:pStyle w:val="FootnoteText"/>
      </w:pPr>
      <w:r>
        <w:rPr>
          <w:rStyle w:val="FootnoteReference"/>
        </w:rPr>
        <w:footnoteRef/>
      </w:r>
      <w:r>
        <w:t xml:space="preserve"> European Medicines Agency (</w:t>
      </w:r>
      <w:r>
        <w:rPr>
          <w:lang w:eastAsia="ja-JP"/>
        </w:rPr>
        <w:t xml:space="preserve">EMA), Committee for Medicinal Products for Human use (CHMP), 31 January 2014. </w:t>
      </w:r>
      <w:r w:rsidRPr="00E47C75">
        <w:rPr>
          <w:lang w:eastAsia="ja-JP"/>
        </w:rPr>
        <w:t xml:space="preserve">ICH S10 </w:t>
      </w:r>
      <w:r>
        <w:rPr>
          <w:lang w:eastAsia="ja-JP"/>
        </w:rPr>
        <w:t xml:space="preserve">Guidelines on </w:t>
      </w:r>
      <w:proofErr w:type="spellStart"/>
      <w:r w:rsidRPr="00E47C75">
        <w:rPr>
          <w:lang w:eastAsia="ja-JP"/>
        </w:rPr>
        <w:t>Photosafety</w:t>
      </w:r>
      <w:proofErr w:type="spellEnd"/>
      <w:r w:rsidRPr="00E47C75">
        <w:rPr>
          <w:lang w:eastAsia="ja-JP"/>
        </w:rPr>
        <w:t xml:space="preserve"> evaluation of pharmaceuticals</w:t>
      </w:r>
      <w:r>
        <w:rPr>
          <w:lang w:eastAsia="ja-JP"/>
        </w:rPr>
        <w:t xml:space="preserve">. </w:t>
      </w:r>
      <w:r w:rsidRPr="00E47C75">
        <w:rPr>
          <w:lang w:eastAsia="ja-JP"/>
        </w:rPr>
        <w:t>CHMP/ICH/752211/2012</w:t>
      </w:r>
    </w:p>
  </w:footnote>
  <w:footnote w:id="9">
    <w:p w14:paraId="748874BD" w14:textId="06A61F47" w:rsidR="009C06C5" w:rsidRPr="005A0C80" w:rsidRDefault="009C06C5" w:rsidP="005A0C80">
      <w:pPr>
        <w:pStyle w:val="FootnoteText"/>
      </w:pPr>
      <w:r>
        <w:rPr>
          <w:rStyle w:val="FootnoteReference"/>
        </w:rPr>
        <w:footnoteRef/>
      </w:r>
      <w:r>
        <w:t xml:space="preserve"> Headache Classification Committee of the International Headache Society. The International Classification of Headache Disorders. </w:t>
      </w:r>
      <w:proofErr w:type="spellStart"/>
      <w:r>
        <w:t>Cephalalgia</w:t>
      </w:r>
      <w:proofErr w:type="spellEnd"/>
      <w:r>
        <w:t>. 2018; 38 (3rd edition): 1-211</w:t>
      </w:r>
    </w:p>
  </w:footnote>
  <w:footnote w:id="10">
    <w:p w14:paraId="4E5F2483" w14:textId="77777777" w:rsidR="009C06C5" w:rsidRPr="004307CA" w:rsidRDefault="009C06C5" w:rsidP="004307CA">
      <w:pPr>
        <w:pStyle w:val="FootnoteText"/>
        <w:rPr>
          <w:bCs/>
        </w:rPr>
      </w:pPr>
      <w:r>
        <w:rPr>
          <w:rStyle w:val="FootnoteReference"/>
        </w:rPr>
        <w:footnoteRef/>
      </w:r>
      <w:r>
        <w:t xml:space="preserve"> </w:t>
      </w:r>
      <w:proofErr w:type="spellStart"/>
      <w:r w:rsidRPr="002C5C5F">
        <w:t>Eftekhari</w:t>
      </w:r>
      <w:proofErr w:type="spellEnd"/>
      <w:r>
        <w:t>, S.</w:t>
      </w:r>
      <w:r w:rsidRPr="002C5C5F">
        <w:t xml:space="preserve"> et al. </w:t>
      </w:r>
      <w:r>
        <w:t>(</w:t>
      </w:r>
      <w:r w:rsidRPr="002C5C5F">
        <w:t>2010</w:t>
      </w:r>
      <w:r>
        <w:t xml:space="preserve">) </w:t>
      </w:r>
      <w:r>
        <w:rPr>
          <w:bCs/>
        </w:rPr>
        <w:t>D</w:t>
      </w:r>
      <w:r w:rsidRPr="004307CA">
        <w:rPr>
          <w:bCs/>
        </w:rPr>
        <w:t>ifferential distribution of calcitonin gene-related</w:t>
      </w:r>
      <w:r>
        <w:rPr>
          <w:bCs/>
        </w:rPr>
        <w:t xml:space="preserve"> </w:t>
      </w:r>
      <w:r w:rsidRPr="004307CA">
        <w:rPr>
          <w:bCs/>
        </w:rPr>
        <w:t>Peptide and its receptor components in the human</w:t>
      </w:r>
      <w:r>
        <w:rPr>
          <w:bCs/>
        </w:rPr>
        <w:t xml:space="preserve"> </w:t>
      </w:r>
      <w:r w:rsidRPr="004307CA">
        <w:rPr>
          <w:bCs/>
        </w:rPr>
        <w:t>Trigeminal ganglion</w:t>
      </w:r>
      <w:r>
        <w:rPr>
          <w:bCs/>
        </w:rPr>
        <w:t xml:space="preserve">, </w:t>
      </w:r>
      <w:r w:rsidRPr="00EB1138">
        <w:rPr>
          <w:bCs/>
          <w:i/>
        </w:rPr>
        <w:t>Neuroscience</w:t>
      </w:r>
      <w:r>
        <w:rPr>
          <w:bCs/>
        </w:rPr>
        <w:t>, 2010; 169: 683-696.</w:t>
      </w:r>
    </w:p>
  </w:footnote>
  <w:footnote w:id="11">
    <w:p w14:paraId="330896B3" w14:textId="77777777" w:rsidR="009C06C5" w:rsidRDefault="009C06C5" w:rsidP="00EB1138">
      <w:pPr>
        <w:pStyle w:val="FootnoteText"/>
      </w:pPr>
      <w:r>
        <w:rPr>
          <w:rStyle w:val="FootnoteReference"/>
        </w:rPr>
        <w:footnoteRef/>
      </w:r>
      <w:r w:rsidRPr="00120BAC">
        <w:t xml:space="preserve"> Rice, F.L. et al. </w:t>
      </w:r>
      <w:r>
        <w:t xml:space="preserve">(2016) Anatomy and immunochemical </w:t>
      </w:r>
      <w:r w:rsidRPr="00EB1138">
        <w:t>chara</w:t>
      </w:r>
      <w:r>
        <w:t xml:space="preserve">cterization of the non-arterial </w:t>
      </w:r>
      <w:proofErr w:type="spellStart"/>
      <w:r w:rsidRPr="00EB1138">
        <w:t>peptid</w:t>
      </w:r>
      <w:r>
        <w:t>ergic</w:t>
      </w:r>
      <w:proofErr w:type="spellEnd"/>
      <w:r>
        <w:t xml:space="preserve"> diffuse </w:t>
      </w:r>
      <w:proofErr w:type="spellStart"/>
      <w:r>
        <w:t>dural</w:t>
      </w:r>
      <w:proofErr w:type="spellEnd"/>
      <w:r>
        <w:t xml:space="preserve"> innervation of the rat and Rhesus monkey: </w:t>
      </w:r>
      <w:r w:rsidRPr="00EB1138">
        <w:t>Implica</w:t>
      </w:r>
      <w:r>
        <w:t xml:space="preserve">tions for functional regulation </w:t>
      </w:r>
      <w:r w:rsidRPr="00EB1138">
        <w:t>and treatment in migraine</w:t>
      </w:r>
      <w:r w:rsidRPr="00EB1138">
        <w:rPr>
          <w:i/>
        </w:rPr>
        <w:t xml:space="preserve">, </w:t>
      </w:r>
      <w:proofErr w:type="spellStart"/>
      <w:r w:rsidRPr="00EB1138">
        <w:rPr>
          <w:i/>
        </w:rPr>
        <w:t>Cephalalgia</w:t>
      </w:r>
      <w:proofErr w:type="spellEnd"/>
      <w:r>
        <w:t>, 2010; 0; 1-23.</w:t>
      </w:r>
    </w:p>
  </w:footnote>
  <w:footnote w:id="12">
    <w:p w14:paraId="6B8A1416" w14:textId="77777777" w:rsidR="009C06C5" w:rsidRDefault="009C06C5">
      <w:pPr>
        <w:pStyle w:val="FootnoteText"/>
      </w:pPr>
      <w:r>
        <w:rPr>
          <w:rStyle w:val="FootnoteReference"/>
        </w:rPr>
        <w:footnoteRef/>
      </w:r>
      <w:r w:rsidRPr="00120BAC">
        <w:t xml:space="preserve"> Brain, S.D. et al. </w:t>
      </w:r>
      <w:r>
        <w:t xml:space="preserve">(1985) Calcitonin gene-related peptide is a potent vasodilator, </w:t>
      </w:r>
      <w:r w:rsidRPr="003F0D0E">
        <w:rPr>
          <w:i/>
        </w:rPr>
        <w:t>Nature</w:t>
      </w:r>
      <w:r>
        <w:t>, 1985; 313, 54-56.</w:t>
      </w:r>
    </w:p>
  </w:footnote>
  <w:footnote w:id="13">
    <w:p w14:paraId="2B317FA3" w14:textId="77777777" w:rsidR="009C06C5" w:rsidRDefault="009C06C5" w:rsidP="00905D8F">
      <w:pPr>
        <w:pStyle w:val="FootnoteText"/>
      </w:pPr>
      <w:r>
        <w:rPr>
          <w:rStyle w:val="FootnoteReference"/>
        </w:rPr>
        <w:footnoteRef/>
      </w:r>
      <w:r>
        <w:t xml:space="preserve"> Hirsch, S. et al. (2013) </w:t>
      </w:r>
      <w:r w:rsidRPr="00905D8F">
        <w:t>The CGRP receptor antagonist BIBN4096BS perip</w:t>
      </w:r>
      <w:r>
        <w:t xml:space="preserve">herally alleviates inflammatory </w:t>
      </w:r>
      <w:r w:rsidRPr="00905D8F">
        <w:t>pain in rats</w:t>
      </w:r>
      <w:r>
        <w:t xml:space="preserve">, </w:t>
      </w:r>
      <w:r w:rsidRPr="00905D8F">
        <w:rPr>
          <w:i/>
        </w:rPr>
        <w:t>PAIN</w:t>
      </w:r>
      <w:r>
        <w:t>, 2013; 154, 700-707.</w:t>
      </w:r>
    </w:p>
  </w:footnote>
  <w:footnote w:id="14">
    <w:p w14:paraId="24FA5C92" w14:textId="77777777" w:rsidR="009C06C5" w:rsidRDefault="009C06C5" w:rsidP="00905D8F">
      <w:pPr>
        <w:pStyle w:val="FootnoteText"/>
      </w:pPr>
      <w:r>
        <w:rPr>
          <w:rStyle w:val="FootnoteReference"/>
        </w:rPr>
        <w:footnoteRef/>
      </w:r>
      <w:r w:rsidRPr="00120BAC">
        <w:t xml:space="preserve"> Cady, R.J. et al. </w:t>
      </w:r>
      <w:r>
        <w:t xml:space="preserve">(2011) </w:t>
      </w:r>
      <w:r w:rsidRPr="00905D8F">
        <w:t>Calcitoni</w:t>
      </w:r>
      <w:r>
        <w:t xml:space="preserve">n Gene-Related Peptide Promotes </w:t>
      </w:r>
      <w:r w:rsidRPr="00905D8F">
        <w:t>Cellular Changes</w:t>
      </w:r>
      <w:r>
        <w:t xml:space="preserve"> in Trigeminal Neurons and Glia </w:t>
      </w:r>
      <w:r w:rsidRPr="00905D8F">
        <w:t>Implicated in Peripheral and Central Sensitization</w:t>
      </w:r>
      <w:r>
        <w:t xml:space="preserve">, </w:t>
      </w:r>
      <w:r w:rsidRPr="00905D8F">
        <w:rPr>
          <w:i/>
        </w:rPr>
        <w:t>Molecular Pain</w:t>
      </w:r>
      <w:r>
        <w:t>, 2011; 7</w:t>
      </w:r>
    </w:p>
  </w:footnote>
  <w:footnote w:id="15">
    <w:p w14:paraId="33BE040A" w14:textId="77777777" w:rsidR="009C06C5" w:rsidRDefault="009C06C5">
      <w:pPr>
        <w:pStyle w:val="FootnoteText"/>
      </w:pPr>
      <w:r>
        <w:rPr>
          <w:rStyle w:val="FootnoteReference"/>
        </w:rPr>
        <w:footnoteRef/>
      </w:r>
      <w:r>
        <w:t xml:space="preserve"> Ma, W. et al. (2010) The Calcitonin Gene-related Peptide Family: Form, Function and Future Perspectives, Chapter 10: CGRP and </w:t>
      </w:r>
      <w:proofErr w:type="spellStart"/>
      <w:r>
        <w:t>Adrenomedullin</w:t>
      </w:r>
      <w:proofErr w:type="spellEnd"/>
      <w:r>
        <w:t xml:space="preserve"> as Pain-Related Peptides, </w:t>
      </w:r>
      <w:r w:rsidRPr="00D97C92">
        <w:rPr>
          <w:i/>
        </w:rPr>
        <w:t>Springer Science and Business Media</w:t>
      </w:r>
      <w:r>
        <w:t>, 2010.</w:t>
      </w:r>
    </w:p>
  </w:footnote>
  <w:footnote w:id="16">
    <w:p w14:paraId="5B5DD4D1" w14:textId="77777777" w:rsidR="009C06C5" w:rsidRDefault="009C06C5" w:rsidP="00114D46">
      <w:pPr>
        <w:pStyle w:val="FootnoteText"/>
      </w:pPr>
      <w:r>
        <w:rPr>
          <w:rStyle w:val="FootnoteReference"/>
        </w:rPr>
        <w:footnoteRef/>
      </w:r>
      <w:r>
        <w:t xml:space="preserve"> Natura, G. et al. (2005) </w:t>
      </w:r>
      <w:r w:rsidRPr="00114D46">
        <w:t>Calcitonin gene-related peptide enhance</w:t>
      </w:r>
      <w:r>
        <w:t xml:space="preserve">s TTX-resistant sodium currents </w:t>
      </w:r>
      <w:r w:rsidRPr="00114D46">
        <w:t>in cultured dorsal root ganglion neurons from adult rats</w:t>
      </w:r>
      <w:r>
        <w:t xml:space="preserve">, </w:t>
      </w:r>
      <w:r w:rsidRPr="00114D46">
        <w:rPr>
          <w:i/>
        </w:rPr>
        <w:t>PAIN</w:t>
      </w:r>
      <w:r>
        <w:t>, 2005; 116, 194-204.</w:t>
      </w:r>
    </w:p>
  </w:footnote>
  <w:footnote w:id="17">
    <w:p w14:paraId="71CDD95F" w14:textId="77777777" w:rsidR="009C06C5" w:rsidRDefault="009C06C5" w:rsidP="00114D46">
      <w:pPr>
        <w:pStyle w:val="FootnoteText"/>
      </w:pPr>
      <w:r>
        <w:rPr>
          <w:rStyle w:val="FootnoteReference"/>
        </w:rPr>
        <w:footnoteRef/>
      </w:r>
      <w:r>
        <w:t xml:space="preserve"> Yu, Y. et al. (2002) </w:t>
      </w:r>
      <w:r w:rsidRPr="00114D46">
        <w:t>Role of calcitonin gene-related peptide a</w:t>
      </w:r>
      <w:r>
        <w:t xml:space="preserve">nd its antagonist on the evoked </w:t>
      </w:r>
      <w:r w:rsidRPr="00114D46">
        <w:t>discharge frequency of wide dynamic r</w:t>
      </w:r>
      <w:r>
        <w:t xml:space="preserve">ange neurons in the dorsal horn </w:t>
      </w:r>
      <w:r w:rsidRPr="00114D46">
        <w:t>of the spinal cord in rats</w:t>
      </w:r>
      <w:r>
        <w:t xml:space="preserve">, </w:t>
      </w:r>
      <w:r w:rsidRPr="00114D46">
        <w:rPr>
          <w:i/>
        </w:rPr>
        <w:t>Regulatory Peptides</w:t>
      </w:r>
      <w:r>
        <w:t>, 2002; 103, 23-27.</w:t>
      </w:r>
    </w:p>
  </w:footnote>
  <w:footnote w:id="18">
    <w:p w14:paraId="07421526" w14:textId="77777777" w:rsidR="009C06C5" w:rsidRDefault="009C06C5" w:rsidP="00942E01">
      <w:pPr>
        <w:pStyle w:val="FootnoteText"/>
      </w:pPr>
      <w:r>
        <w:rPr>
          <w:rStyle w:val="FootnoteReference"/>
        </w:rPr>
        <w:footnoteRef/>
      </w:r>
      <w:r>
        <w:t xml:space="preserve"> </w:t>
      </w:r>
      <w:proofErr w:type="spellStart"/>
      <w:r>
        <w:t>Olesen</w:t>
      </w:r>
      <w:proofErr w:type="spellEnd"/>
      <w:r>
        <w:t xml:space="preserve">, J. (2004) </w:t>
      </w:r>
      <w:r w:rsidRPr="00942E01">
        <w:t>Calcitoni</w:t>
      </w:r>
      <w:r>
        <w:t xml:space="preserve">n Gene–Related Peptide Receptor </w:t>
      </w:r>
      <w:r w:rsidRPr="00942E01">
        <w:t>Antago</w:t>
      </w:r>
      <w:r>
        <w:t xml:space="preserve">nist BIBN 4096 BS for the Acute </w:t>
      </w:r>
      <w:r w:rsidRPr="00942E01">
        <w:t>Treatment of Migraine</w:t>
      </w:r>
      <w:r>
        <w:t xml:space="preserve">, </w:t>
      </w:r>
      <w:r w:rsidRPr="00942E01">
        <w:rPr>
          <w:i/>
        </w:rPr>
        <w:t xml:space="preserve">N </w:t>
      </w:r>
      <w:proofErr w:type="spellStart"/>
      <w:r w:rsidRPr="00942E01">
        <w:rPr>
          <w:i/>
        </w:rPr>
        <w:t>Engl</w:t>
      </w:r>
      <w:proofErr w:type="spellEnd"/>
      <w:r w:rsidRPr="00942E01">
        <w:rPr>
          <w:i/>
        </w:rPr>
        <w:t xml:space="preserve"> J Med</w:t>
      </w:r>
      <w:r>
        <w:t>, 2004; 350, 1104-1110.</w:t>
      </w:r>
    </w:p>
  </w:footnote>
  <w:footnote w:id="19">
    <w:p w14:paraId="0D320516" w14:textId="77777777" w:rsidR="009C06C5" w:rsidRPr="003F0C17" w:rsidRDefault="009C06C5" w:rsidP="003F0C17">
      <w:pPr>
        <w:pStyle w:val="FootnoteText"/>
        <w:rPr>
          <w:bCs/>
        </w:rPr>
      </w:pPr>
      <w:r>
        <w:rPr>
          <w:rStyle w:val="FootnoteReference"/>
        </w:rPr>
        <w:footnoteRef/>
      </w:r>
      <w:r>
        <w:t xml:space="preserve"> </w:t>
      </w:r>
      <w:proofErr w:type="spellStart"/>
      <w:r>
        <w:t>Ho</w:t>
      </w:r>
      <w:proofErr w:type="spellEnd"/>
      <w:r>
        <w:t xml:space="preserve">, T. et al. (2008) </w:t>
      </w:r>
      <w:r w:rsidRPr="003F0C17">
        <w:rPr>
          <w:bCs/>
        </w:rPr>
        <w:t xml:space="preserve">Efficacy and tolerability </w:t>
      </w:r>
      <w:r>
        <w:rPr>
          <w:bCs/>
        </w:rPr>
        <w:t>of MK-0974 (</w:t>
      </w:r>
      <w:proofErr w:type="spellStart"/>
      <w:r>
        <w:rPr>
          <w:bCs/>
        </w:rPr>
        <w:t>telcagepant</w:t>
      </w:r>
      <w:proofErr w:type="spellEnd"/>
      <w:r>
        <w:rPr>
          <w:bCs/>
        </w:rPr>
        <w:t xml:space="preserve">), a new </w:t>
      </w:r>
      <w:r w:rsidRPr="003F0C17">
        <w:rPr>
          <w:bCs/>
        </w:rPr>
        <w:t>oral antagonist of calcitonin</w:t>
      </w:r>
      <w:r>
        <w:rPr>
          <w:bCs/>
        </w:rPr>
        <w:t xml:space="preserve"> gene-related peptide receptor, </w:t>
      </w:r>
      <w:r w:rsidRPr="003F0C17">
        <w:rPr>
          <w:bCs/>
        </w:rPr>
        <w:t xml:space="preserve">compared with </w:t>
      </w:r>
      <w:proofErr w:type="spellStart"/>
      <w:r w:rsidRPr="003F0C17">
        <w:rPr>
          <w:bCs/>
        </w:rPr>
        <w:t>z</w:t>
      </w:r>
      <w:r>
        <w:rPr>
          <w:bCs/>
        </w:rPr>
        <w:t>olmitriptan</w:t>
      </w:r>
      <w:proofErr w:type="spellEnd"/>
      <w:r>
        <w:rPr>
          <w:bCs/>
        </w:rPr>
        <w:t xml:space="preserve"> for acute migraine: </w:t>
      </w:r>
      <w:r w:rsidRPr="003F0C17">
        <w:rPr>
          <w:bCs/>
        </w:rPr>
        <w:t>a randomised, placebo-controlled, parallel-treatment trial</w:t>
      </w:r>
      <w:r>
        <w:rPr>
          <w:bCs/>
        </w:rPr>
        <w:t xml:space="preserve">, </w:t>
      </w:r>
      <w:r w:rsidRPr="003F0C17">
        <w:rPr>
          <w:bCs/>
          <w:i/>
        </w:rPr>
        <w:t>Lancet</w:t>
      </w:r>
      <w:r>
        <w:rPr>
          <w:bCs/>
        </w:rPr>
        <w:t>, 2008; 372, 2115-2123.</w:t>
      </w:r>
    </w:p>
  </w:footnote>
  <w:footnote w:id="20">
    <w:p w14:paraId="52F9CBE5" w14:textId="77777777" w:rsidR="009C06C5" w:rsidRDefault="009C06C5" w:rsidP="003F0C17">
      <w:pPr>
        <w:pStyle w:val="FootnoteText"/>
      </w:pPr>
      <w:r>
        <w:rPr>
          <w:rStyle w:val="FootnoteReference"/>
        </w:rPr>
        <w:footnoteRef/>
      </w:r>
      <w:r w:rsidRPr="00120BAC">
        <w:t xml:space="preserve"> Hewitt, D.J. et al. </w:t>
      </w:r>
      <w:r>
        <w:t xml:space="preserve">(2011) </w:t>
      </w:r>
      <w:r w:rsidRPr="003F0C17">
        <w:t>Ran</w:t>
      </w:r>
      <w:r>
        <w:t xml:space="preserve">domized controlled trial of the </w:t>
      </w:r>
      <w:r w:rsidRPr="003F0C17">
        <w:t>C</w:t>
      </w:r>
      <w:r>
        <w:t xml:space="preserve">GRP receptor antagonist MK-3207 </w:t>
      </w:r>
      <w:r w:rsidRPr="003F0C17">
        <w:t>in the acute treatment of migraine</w:t>
      </w:r>
      <w:r>
        <w:t xml:space="preserve">, </w:t>
      </w:r>
      <w:proofErr w:type="spellStart"/>
      <w:r w:rsidRPr="003F0C17">
        <w:rPr>
          <w:i/>
        </w:rPr>
        <w:t>Cephalalgia</w:t>
      </w:r>
      <w:proofErr w:type="spellEnd"/>
      <w:r>
        <w:t>, 2011; 31: 712-722.</w:t>
      </w:r>
    </w:p>
  </w:footnote>
  <w:footnote w:id="21">
    <w:p w14:paraId="157611C1" w14:textId="77777777" w:rsidR="009C06C5" w:rsidRDefault="009C06C5" w:rsidP="003F0C17">
      <w:pPr>
        <w:pStyle w:val="FootnoteText"/>
      </w:pPr>
      <w:r>
        <w:rPr>
          <w:rStyle w:val="FootnoteReference"/>
        </w:rPr>
        <w:footnoteRef/>
      </w:r>
      <w:r>
        <w:t xml:space="preserve"> Marcus, R. et al. (2014) </w:t>
      </w:r>
      <w:r w:rsidRPr="003F0C17">
        <w:t>BMS-92</w:t>
      </w:r>
      <w:r>
        <w:t xml:space="preserve">7711 for the acute treatment of </w:t>
      </w:r>
      <w:r w:rsidRPr="003F0C17">
        <w:t>migrai</w:t>
      </w:r>
      <w:r>
        <w:t xml:space="preserve">ne: A double-blind, randomized, </w:t>
      </w:r>
      <w:r w:rsidRPr="003F0C17">
        <w:t>placebo controlled, dose-ranging trial</w:t>
      </w:r>
      <w:r>
        <w:t xml:space="preserve">, </w:t>
      </w:r>
      <w:proofErr w:type="spellStart"/>
      <w:r>
        <w:t>Cephalalgia</w:t>
      </w:r>
      <w:proofErr w:type="spellEnd"/>
      <w:r>
        <w:t>, 2014; 34: 114-125.</w:t>
      </w:r>
    </w:p>
  </w:footnote>
  <w:footnote w:id="22">
    <w:p w14:paraId="6D93D02F" w14:textId="77777777" w:rsidR="009C06C5" w:rsidRDefault="009C06C5" w:rsidP="00AE6F04">
      <w:pPr>
        <w:pStyle w:val="FootnoteText"/>
        <w:rPr>
          <w:lang w:eastAsia="ja-JP"/>
        </w:rPr>
      </w:pPr>
      <w:r>
        <w:rPr>
          <w:rStyle w:val="FootnoteReference"/>
        </w:rPr>
        <w:footnoteRef/>
      </w:r>
      <w:r>
        <w:t xml:space="preserve"> European Medicines Agency (</w:t>
      </w:r>
      <w:r>
        <w:rPr>
          <w:lang w:eastAsia="ja-JP"/>
        </w:rPr>
        <w:t xml:space="preserve">EMA), </w:t>
      </w:r>
      <w:r w:rsidRPr="00AE6F04">
        <w:rPr>
          <w:lang w:eastAsia="ja-JP"/>
        </w:rPr>
        <w:t>Committee for Medicinal Products</w:t>
      </w:r>
      <w:r>
        <w:rPr>
          <w:lang w:eastAsia="ja-JP"/>
        </w:rPr>
        <w:t xml:space="preserve"> for Human Use</w:t>
      </w:r>
      <w:r w:rsidRPr="00AE6F04">
        <w:rPr>
          <w:lang w:eastAsia="ja-JP"/>
        </w:rPr>
        <w:t xml:space="preserve"> </w:t>
      </w:r>
      <w:r>
        <w:rPr>
          <w:lang w:eastAsia="ja-JP"/>
        </w:rPr>
        <w:t>(CHMP), 24 January 2007</w:t>
      </w:r>
      <w:r>
        <w:t xml:space="preserve">. </w:t>
      </w:r>
      <w:r>
        <w:rPr>
          <w:lang w:eastAsia="ja-JP"/>
        </w:rPr>
        <w:t>Guideline on c</w:t>
      </w:r>
      <w:r w:rsidRPr="00AE6F04">
        <w:rPr>
          <w:lang w:eastAsia="ja-JP"/>
        </w:rPr>
        <w:t>linical investigation of medicinal products for treatment of migraine</w:t>
      </w:r>
      <w:r>
        <w:rPr>
          <w:lang w:eastAsia="ja-JP"/>
        </w:rPr>
        <w:t xml:space="preserve">. </w:t>
      </w:r>
      <w:r w:rsidRPr="00AE6F04">
        <w:rPr>
          <w:lang w:eastAsia="ja-JP"/>
        </w:rPr>
        <w:t>CPMP/EWP/788/2001 Rev. 1</w:t>
      </w:r>
      <w:r>
        <w:rPr>
          <w:lang w:eastAsia="ja-JP"/>
        </w:rPr>
        <w:t>.</w:t>
      </w:r>
    </w:p>
  </w:footnote>
  <w:footnote w:id="23">
    <w:p w14:paraId="5AA68852" w14:textId="77777777" w:rsidR="009C06C5" w:rsidRDefault="009C06C5">
      <w:pPr>
        <w:pStyle w:val="FootnoteText"/>
      </w:pPr>
      <w:r>
        <w:rPr>
          <w:rStyle w:val="FootnoteReference"/>
        </w:rPr>
        <w:footnoteRef/>
      </w:r>
      <w:r>
        <w:t xml:space="preserve"> European Medicines Agency (</w:t>
      </w:r>
      <w:r>
        <w:rPr>
          <w:lang w:eastAsia="ja-JP"/>
        </w:rPr>
        <w:t xml:space="preserve">EMA), </w:t>
      </w:r>
      <w:r w:rsidRPr="00AE6F04">
        <w:rPr>
          <w:lang w:eastAsia="ja-JP"/>
        </w:rPr>
        <w:t xml:space="preserve">Committee for Proprietary Medicinal Products </w:t>
      </w:r>
      <w:r>
        <w:rPr>
          <w:lang w:eastAsia="ja-JP"/>
        </w:rPr>
        <w:t>(CPMP), 1 June 1995</w:t>
      </w:r>
      <w:r>
        <w:t xml:space="preserve">. </w:t>
      </w:r>
      <w:r w:rsidRPr="00C3253F">
        <w:rPr>
          <w:lang w:eastAsia="ja-JP"/>
        </w:rPr>
        <w:t xml:space="preserve">ICH E1 </w:t>
      </w:r>
      <w:r>
        <w:rPr>
          <w:lang w:eastAsia="ja-JP"/>
        </w:rPr>
        <w:t>Guideline on p</w:t>
      </w:r>
      <w:r w:rsidRPr="00C3253F">
        <w:rPr>
          <w:lang w:eastAsia="ja-JP"/>
        </w:rPr>
        <w:t>opulation exposure: the extent of population exposure to assess clinical safety</w:t>
      </w:r>
      <w:r>
        <w:rPr>
          <w:lang w:eastAsia="ja-JP"/>
        </w:rPr>
        <w:t xml:space="preserve">. </w:t>
      </w:r>
      <w:r w:rsidRPr="00C3253F">
        <w:rPr>
          <w:lang w:eastAsia="ja-JP"/>
        </w:rPr>
        <w:t>CPMP/</w:t>
      </w:r>
      <w:hyperlink r:id="rId1" w:tgtFrame="_blank" w:tooltip="The International Council for Harmonisation of Technical Requirements for Registration of Pharmaceuticals for Human Use (ICH) brings together regulatory authorities and the pharmaceutical industry. It makes recommendations towards achieving greater harmonisati" w:history="1">
        <w:r w:rsidRPr="00C3253F">
          <w:rPr>
            <w:lang w:eastAsia="ja-JP"/>
          </w:rPr>
          <w:t>ICH</w:t>
        </w:r>
      </w:hyperlink>
      <w:r w:rsidRPr="00C3253F">
        <w:rPr>
          <w:lang w:eastAsia="ja-JP"/>
        </w:rPr>
        <w:t>/375/95</w:t>
      </w:r>
      <w:r>
        <w:rPr>
          <w:lang w:eastAsia="ja-JP"/>
        </w:rPr>
        <w:t>.</w:t>
      </w:r>
    </w:p>
  </w:footnote>
  <w:footnote w:id="24">
    <w:p w14:paraId="41C88556" w14:textId="77777777" w:rsidR="009C06C5" w:rsidRDefault="009C06C5">
      <w:pPr>
        <w:pStyle w:val="FootnoteText"/>
      </w:pPr>
      <w:r>
        <w:rPr>
          <w:rStyle w:val="FootnoteReference"/>
        </w:rPr>
        <w:footnoteRef/>
      </w:r>
      <w:r>
        <w:t xml:space="preserve"> European Medicines Agency (</w:t>
      </w:r>
      <w:r>
        <w:rPr>
          <w:lang w:eastAsia="ja-JP"/>
        </w:rPr>
        <w:t xml:space="preserve">EMA), </w:t>
      </w:r>
      <w:r w:rsidRPr="00AE6F04">
        <w:rPr>
          <w:lang w:eastAsia="ja-JP"/>
        </w:rPr>
        <w:t>Committee for Medicinal Products</w:t>
      </w:r>
      <w:r>
        <w:rPr>
          <w:lang w:eastAsia="ja-JP"/>
        </w:rPr>
        <w:t xml:space="preserve"> for Human Use</w:t>
      </w:r>
      <w:r w:rsidRPr="00AE6F04">
        <w:rPr>
          <w:lang w:eastAsia="ja-JP"/>
        </w:rPr>
        <w:t xml:space="preserve"> </w:t>
      </w:r>
      <w:r>
        <w:rPr>
          <w:lang w:eastAsia="ja-JP"/>
        </w:rPr>
        <w:t>(CHMP), 18 May 2017</w:t>
      </w:r>
      <w:r>
        <w:t>. Guideline on Immunogenicity assessment of therapeutic proteins</w:t>
      </w:r>
      <w:r>
        <w:rPr>
          <w:lang w:eastAsia="ja-JP"/>
        </w:rPr>
        <w:t xml:space="preserve">. </w:t>
      </w:r>
      <w:r>
        <w:t>EMEA/CHMP/BMWP/14327/2006 Rev 1</w:t>
      </w:r>
    </w:p>
  </w:footnote>
  <w:footnote w:id="25">
    <w:p w14:paraId="44AFFC06" w14:textId="77777777" w:rsidR="009C06C5" w:rsidRDefault="009C06C5">
      <w:pPr>
        <w:pStyle w:val="FootnoteText"/>
      </w:pPr>
      <w:r>
        <w:rPr>
          <w:rStyle w:val="FootnoteReference"/>
        </w:rPr>
        <w:footnoteRef/>
      </w:r>
      <w:r>
        <w:t xml:space="preserve"> </w:t>
      </w:r>
      <w:r>
        <w:rPr>
          <w:lang w:eastAsia="ja-JP"/>
        </w:rPr>
        <w:t xml:space="preserve">Food and Drug Administrations (FDA), </w:t>
      </w:r>
      <w:proofErr w:type="spellStart"/>
      <w:r w:rsidRPr="00C423FB">
        <w:rPr>
          <w:lang w:eastAsia="ja-JP"/>
        </w:rPr>
        <w:t>Center</w:t>
      </w:r>
      <w:proofErr w:type="spellEnd"/>
      <w:r w:rsidRPr="00C423FB">
        <w:rPr>
          <w:lang w:eastAsia="ja-JP"/>
        </w:rPr>
        <w:t xml:space="preserve"> for Drug Evaluation and Research</w:t>
      </w:r>
      <w:r>
        <w:rPr>
          <w:lang w:eastAsia="ja-JP"/>
        </w:rPr>
        <w:t xml:space="preserve"> and </w:t>
      </w:r>
      <w:proofErr w:type="spellStart"/>
      <w:r w:rsidRPr="00C423FB">
        <w:rPr>
          <w:lang w:eastAsia="ja-JP"/>
        </w:rPr>
        <w:t>Center</w:t>
      </w:r>
      <w:proofErr w:type="spellEnd"/>
      <w:r w:rsidRPr="00C423FB">
        <w:rPr>
          <w:lang w:eastAsia="ja-JP"/>
        </w:rPr>
        <w:t xml:space="preserve"> for Biologics Evaluation and Research</w:t>
      </w:r>
      <w:r>
        <w:rPr>
          <w:lang w:eastAsia="ja-JP"/>
        </w:rPr>
        <w:t>, Industry Guidance on Assay Development for Immunogenicity Testing of Therapeutic Proteins, April 2016.</w:t>
      </w:r>
    </w:p>
  </w:footnote>
  <w:footnote w:id="26">
    <w:p w14:paraId="2E644C78" w14:textId="77777777" w:rsidR="009C06C5" w:rsidRPr="00C423FB" w:rsidRDefault="009C06C5">
      <w:pPr>
        <w:pStyle w:val="FootnoteText"/>
        <w:rPr>
          <w:b/>
          <w:bCs/>
        </w:rPr>
      </w:pPr>
      <w:r>
        <w:rPr>
          <w:rStyle w:val="FootnoteReference"/>
        </w:rPr>
        <w:footnoteRef/>
      </w:r>
      <w:r>
        <w:t xml:space="preserve"> Shankar, G. et al. (2008</w:t>
      </w:r>
      <w:r w:rsidRPr="00C423FB">
        <w:t xml:space="preserve">), </w:t>
      </w:r>
      <w:r w:rsidRPr="00C423FB">
        <w:rPr>
          <w:bCs/>
        </w:rPr>
        <w:t>Recommendations for the validation of immunoassays used for detection of host antibodies against biotechnology products</w:t>
      </w:r>
      <w:r w:rsidRPr="00C423FB">
        <w:rPr>
          <w:bCs/>
          <w:i/>
        </w:rPr>
        <w:t>, J Pharm Biomed Anal</w:t>
      </w:r>
      <w:r>
        <w:rPr>
          <w:bCs/>
        </w:rPr>
        <w:t>, 2008; 48, 1267-1281.</w:t>
      </w:r>
    </w:p>
  </w:footnote>
  <w:footnote w:id="27">
    <w:p w14:paraId="58D66CB6" w14:textId="77777777" w:rsidR="009C06C5" w:rsidRPr="00F43A80" w:rsidRDefault="009C06C5">
      <w:pPr>
        <w:pStyle w:val="FootnoteText"/>
      </w:pPr>
      <w:r>
        <w:rPr>
          <w:rStyle w:val="FootnoteReference"/>
        </w:rPr>
        <w:footnoteRef/>
      </w:r>
      <w:r>
        <w:t xml:space="preserve"> European Medicines Agency (</w:t>
      </w:r>
      <w:r>
        <w:rPr>
          <w:lang w:eastAsia="ja-JP"/>
        </w:rPr>
        <w:t xml:space="preserve">EMA), </w:t>
      </w:r>
      <w:r w:rsidRPr="00AE6F04">
        <w:rPr>
          <w:lang w:eastAsia="ja-JP"/>
        </w:rPr>
        <w:t>Committee for Medicinal Products</w:t>
      </w:r>
      <w:r>
        <w:rPr>
          <w:lang w:eastAsia="ja-JP"/>
        </w:rPr>
        <w:t xml:space="preserve"> for Human Use</w:t>
      </w:r>
      <w:r w:rsidRPr="00AE6F04">
        <w:rPr>
          <w:lang w:eastAsia="ja-JP"/>
        </w:rPr>
        <w:t xml:space="preserve"> </w:t>
      </w:r>
      <w:r>
        <w:rPr>
          <w:lang w:eastAsia="ja-JP"/>
        </w:rPr>
        <w:t>(CHMP), 25 January 2016</w:t>
      </w:r>
      <w:r>
        <w:t>. ICH guideline E14: the clinical evaluation of QT/</w:t>
      </w:r>
      <w:proofErr w:type="spellStart"/>
      <w:r>
        <w:t>QTc</w:t>
      </w:r>
      <w:proofErr w:type="spellEnd"/>
      <w:r>
        <w:t xml:space="preserve"> interval prolongation and </w:t>
      </w:r>
      <w:proofErr w:type="spellStart"/>
      <w:r>
        <w:t>proarrhythmic</w:t>
      </w:r>
      <w:proofErr w:type="spellEnd"/>
      <w:r>
        <w:t xml:space="preserve"> potential for non-antiarrhythmic drugs (R3) - questions and </w:t>
      </w:r>
      <w:r w:rsidRPr="00F43A80">
        <w:t xml:space="preserve">answers. </w:t>
      </w:r>
      <w:r w:rsidRPr="00F43A80">
        <w:rPr>
          <w:lang w:eastAsia="ja-JP"/>
        </w:rPr>
        <w:t>EMA/CHMP/ICH/310133/2008</w:t>
      </w:r>
      <w:r w:rsidRPr="00F43A80">
        <w:t>.</w:t>
      </w:r>
    </w:p>
  </w:footnote>
  <w:footnote w:id="28">
    <w:p w14:paraId="35156925" w14:textId="77777777" w:rsidR="009C06C5" w:rsidRDefault="009C06C5">
      <w:pPr>
        <w:pStyle w:val="FootnoteText"/>
      </w:pPr>
      <w:r>
        <w:rPr>
          <w:rStyle w:val="FootnoteReference"/>
        </w:rPr>
        <w:footnoteRef/>
      </w:r>
      <w:r>
        <w:t xml:space="preserve"> </w:t>
      </w:r>
      <w:proofErr w:type="spellStart"/>
      <w:r>
        <w:t>Olesen</w:t>
      </w:r>
      <w:proofErr w:type="spellEnd"/>
      <w:r>
        <w:t xml:space="preserve">, J. et al. (2004) </w:t>
      </w:r>
      <w:r w:rsidRPr="00341719">
        <w:t xml:space="preserve">Calcitonin gene-related peptide receptor antagonist BIBN 4096 BS for </w:t>
      </w:r>
      <w:r>
        <w:t xml:space="preserve">the acute treatment of migraine, N </w:t>
      </w:r>
      <w:proofErr w:type="spellStart"/>
      <w:r>
        <w:t>Engl</w:t>
      </w:r>
      <w:proofErr w:type="spellEnd"/>
      <w:r>
        <w:t xml:space="preserve"> J Med, 2004; 350: 1104-1110.</w:t>
      </w:r>
    </w:p>
  </w:footnote>
  <w:footnote w:id="29">
    <w:p w14:paraId="116F80EB" w14:textId="77777777" w:rsidR="009C06C5" w:rsidRPr="00E54019" w:rsidRDefault="009C06C5" w:rsidP="00CC57A7">
      <w:pPr>
        <w:pStyle w:val="FootnoteText"/>
        <w:rPr>
          <w:b/>
          <w:bCs/>
        </w:rPr>
      </w:pPr>
      <w:r>
        <w:rPr>
          <w:rStyle w:val="FootnoteReference"/>
        </w:rPr>
        <w:footnoteRef/>
      </w:r>
      <w:r>
        <w:t xml:space="preserve"> </w:t>
      </w:r>
      <w:proofErr w:type="spellStart"/>
      <w:r>
        <w:t>Deen</w:t>
      </w:r>
      <w:proofErr w:type="spellEnd"/>
      <w:r>
        <w:t xml:space="preserve">, M. et al. (2017) </w:t>
      </w:r>
      <w:r w:rsidRPr="00E54019">
        <w:rPr>
          <w:bCs/>
        </w:rPr>
        <w:t>Blocking CGRP in migraine patie</w:t>
      </w:r>
      <w:r>
        <w:rPr>
          <w:bCs/>
        </w:rPr>
        <w:t>nts - a review of pros and cons</w:t>
      </w:r>
      <w:r w:rsidRPr="00E54019">
        <w:rPr>
          <w:bCs/>
          <w:i/>
        </w:rPr>
        <w:t>, J Headache Pain</w:t>
      </w:r>
      <w:r>
        <w:rPr>
          <w:bCs/>
        </w:rPr>
        <w:t>, 2017; 18.</w:t>
      </w:r>
    </w:p>
  </w:footnote>
  <w:footnote w:id="30">
    <w:p w14:paraId="7DB16DFE" w14:textId="77777777" w:rsidR="009C06C5" w:rsidRDefault="009C06C5" w:rsidP="009C06C5">
      <w:pPr>
        <w:pStyle w:val="FootnoteText"/>
      </w:pPr>
      <w:r>
        <w:rPr>
          <w:rStyle w:val="FootnoteReference"/>
        </w:rPr>
        <w:footnoteRef/>
      </w:r>
      <w:r>
        <w:t xml:space="preserve"> </w:t>
      </w:r>
      <w:proofErr w:type="spellStart"/>
      <w:r>
        <w:t>Hy’s</w:t>
      </w:r>
      <w:proofErr w:type="spellEnd"/>
      <w:r>
        <w:t xml:space="preserve"> Law: </w:t>
      </w:r>
      <w:r>
        <w:rPr>
          <w:lang w:eastAsia="ja-JP"/>
        </w:rPr>
        <w:t>the combination of drug related elevation of ALT ≥ 3</w:t>
      </w:r>
      <w:r>
        <w:rPr>
          <w:rFonts w:cs="Cambria"/>
          <w:lang w:eastAsia="ja-JP"/>
        </w:rPr>
        <w:t xml:space="preserve"> times ULN and </w:t>
      </w:r>
      <w:r>
        <w:rPr>
          <w:lang w:eastAsia="ja-JP"/>
        </w:rPr>
        <w:t xml:space="preserve">bilirubin ≥ 2 </w:t>
      </w:r>
      <w:r>
        <w:rPr>
          <w:rFonts w:cs="Cambria"/>
          <w:lang w:eastAsia="ja-JP"/>
        </w:rPr>
        <w:t xml:space="preserve">times ULN, in the absence of significant cholestasis or </w:t>
      </w:r>
      <w:r>
        <w:rPr>
          <w:lang w:eastAsia="ja-JP"/>
        </w:rPr>
        <w:t>other causes of liver injury.</w:t>
      </w:r>
    </w:p>
  </w:footnote>
  <w:footnote w:id="31">
    <w:p w14:paraId="1AD59313" w14:textId="77777777" w:rsidR="009C06C5" w:rsidRDefault="009C06C5">
      <w:pPr>
        <w:pStyle w:val="FootnoteText"/>
      </w:pPr>
      <w:r>
        <w:rPr>
          <w:rStyle w:val="FootnoteReference"/>
        </w:rPr>
        <w:footnoteRef/>
      </w:r>
      <w:r>
        <w:t xml:space="preserve"> </w:t>
      </w:r>
      <w:proofErr w:type="spellStart"/>
      <w:r>
        <w:t>Kurth</w:t>
      </w:r>
      <w:proofErr w:type="spellEnd"/>
      <w:r>
        <w:t xml:space="preserve">, T. et al. (2006) Migraine and Risk and Cardiovascular Disease in Women, </w:t>
      </w:r>
      <w:r w:rsidRPr="00A76EA2">
        <w:rPr>
          <w:i/>
        </w:rPr>
        <w:t>JAMA</w:t>
      </w:r>
      <w:r>
        <w:t>, 2006; 296: 283-291.</w:t>
      </w:r>
    </w:p>
  </w:footnote>
  <w:footnote w:id="32">
    <w:p w14:paraId="0E7805AA" w14:textId="77777777" w:rsidR="009C06C5" w:rsidRDefault="009C06C5">
      <w:pPr>
        <w:pStyle w:val="FootnoteText"/>
      </w:pPr>
      <w:r>
        <w:rPr>
          <w:rStyle w:val="FootnoteReference"/>
        </w:rPr>
        <w:footnoteRef/>
      </w:r>
      <w:r>
        <w:t xml:space="preserve"> Becker, C. et al. (2007) </w:t>
      </w:r>
      <w:r w:rsidRPr="0005474C">
        <w:rPr>
          <w:bCs/>
        </w:rPr>
        <w:t>Migraine and the Risk of Stroke, TIA, or Death in the UK</w:t>
      </w:r>
      <w:r>
        <w:rPr>
          <w:bCs/>
        </w:rPr>
        <w:t xml:space="preserve">, </w:t>
      </w:r>
      <w:r w:rsidRPr="001E4215">
        <w:rPr>
          <w:bCs/>
          <w:i/>
        </w:rPr>
        <w:t>Headache</w:t>
      </w:r>
      <w:r>
        <w:rPr>
          <w:bCs/>
        </w:rPr>
        <w:t>, 2007; 47: 1374-1384.</w:t>
      </w:r>
    </w:p>
  </w:footnote>
  <w:footnote w:id="33">
    <w:p w14:paraId="2D7E025B" w14:textId="77777777" w:rsidR="009C06C5" w:rsidRDefault="009C06C5" w:rsidP="00A66A69">
      <w:pPr>
        <w:pStyle w:val="FootnoteText"/>
      </w:pPr>
      <w:r>
        <w:rPr>
          <w:rStyle w:val="FootnoteReference"/>
        </w:rPr>
        <w:footnoteRef/>
      </w:r>
      <w:r>
        <w:t xml:space="preserve"> Sacco, S. et al. (2015) </w:t>
      </w:r>
      <w:r w:rsidRPr="00A66A69">
        <w:t>Migraine and risk of ischaemic hea</w:t>
      </w:r>
      <w:r>
        <w:t xml:space="preserve">rt disease: a systematic review </w:t>
      </w:r>
      <w:r w:rsidRPr="00A66A69">
        <w:t>and meta-analysis of observational studies</w:t>
      </w:r>
      <w:r>
        <w:t xml:space="preserve">, </w:t>
      </w:r>
      <w:proofErr w:type="spellStart"/>
      <w:r w:rsidRPr="00A66A69">
        <w:rPr>
          <w:i/>
        </w:rPr>
        <w:t>Eur</w:t>
      </w:r>
      <w:proofErr w:type="spellEnd"/>
      <w:r w:rsidRPr="00A66A69">
        <w:rPr>
          <w:i/>
        </w:rPr>
        <w:t xml:space="preserve"> J </w:t>
      </w:r>
      <w:proofErr w:type="spellStart"/>
      <w:r w:rsidRPr="00A66A69">
        <w:rPr>
          <w:i/>
        </w:rPr>
        <w:t>Neurol</w:t>
      </w:r>
      <w:proofErr w:type="spellEnd"/>
      <w:r>
        <w:t>, 2015; 22: 1001-1011.</w:t>
      </w:r>
    </w:p>
  </w:footnote>
  <w:footnote w:id="34">
    <w:p w14:paraId="562D2E5B" w14:textId="77777777" w:rsidR="009C06C5" w:rsidRDefault="009C06C5" w:rsidP="00A66A69">
      <w:pPr>
        <w:pStyle w:val="FootnoteText"/>
      </w:pPr>
      <w:r>
        <w:rPr>
          <w:rStyle w:val="FootnoteReference"/>
        </w:rPr>
        <w:footnoteRef/>
      </w:r>
      <w:r w:rsidRPr="009C43B0">
        <w:t xml:space="preserve"> Peng, K-P. et al. </w:t>
      </w:r>
      <w:r>
        <w:t xml:space="preserve">(2017) </w:t>
      </w:r>
      <w:r w:rsidRPr="00A66A69">
        <w:t>Migraine and incidence of is</w:t>
      </w:r>
      <w:r>
        <w:t xml:space="preserve">chemic stroke: </w:t>
      </w:r>
      <w:r w:rsidRPr="00A66A69">
        <w:t>A nationwide population-based study</w:t>
      </w:r>
      <w:r>
        <w:t xml:space="preserve">, </w:t>
      </w:r>
      <w:proofErr w:type="spellStart"/>
      <w:r>
        <w:t>Cephalalgia</w:t>
      </w:r>
      <w:proofErr w:type="spellEnd"/>
      <w:r>
        <w:t>, 2017; 37: 327-335.</w:t>
      </w:r>
    </w:p>
  </w:footnote>
  <w:footnote w:id="35">
    <w:p w14:paraId="1E5835F9" w14:textId="77777777" w:rsidR="009C06C5" w:rsidRDefault="009C06C5"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391B4DED" w14:textId="77777777" w:rsidR="009C06C5" w:rsidRDefault="009C06C5" w:rsidP="00456765">
      <w:pPr>
        <w:pStyle w:val="FootnoteText"/>
      </w:pPr>
      <w:r w:rsidRPr="00F12492">
        <w:rPr>
          <w:i/>
        </w:rPr>
        <w:t>Routine pharmacovigilance</w:t>
      </w:r>
      <w:r>
        <w:t xml:space="preserve"> practices involve the following activities:</w:t>
      </w:r>
    </w:p>
    <w:p w14:paraId="678946FA" w14:textId="77777777" w:rsidR="009C06C5" w:rsidRDefault="009C06C5" w:rsidP="00456765">
      <w:pPr>
        <w:pStyle w:val="FootnoteText"/>
        <w:numPr>
          <w:ilvl w:val="0"/>
          <w:numId w:val="28"/>
        </w:numPr>
      </w:pPr>
      <w:r>
        <w:t>All suspected adverse reactions that are reported to the personnel of the company are collected and collated in an accessible manner;</w:t>
      </w:r>
    </w:p>
    <w:p w14:paraId="1874C269" w14:textId="77777777" w:rsidR="009C06C5" w:rsidRDefault="009C06C5" w:rsidP="00456765">
      <w:pPr>
        <w:pStyle w:val="FootnoteText"/>
        <w:numPr>
          <w:ilvl w:val="0"/>
          <w:numId w:val="28"/>
        </w:numPr>
      </w:pPr>
      <w:r>
        <w:t>Reporting to regulatory authorities;</w:t>
      </w:r>
    </w:p>
    <w:p w14:paraId="5252E499" w14:textId="77777777" w:rsidR="009C06C5" w:rsidRDefault="009C06C5" w:rsidP="00456765">
      <w:pPr>
        <w:pStyle w:val="FootnoteText"/>
        <w:numPr>
          <w:ilvl w:val="0"/>
          <w:numId w:val="28"/>
        </w:numPr>
      </w:pPr>
      <w:r>
        <w:t>Continuous monitoring of the safety profiles of approved products including signal detection and updating of labelling;</w:t>
      </w:r>
    </w:p>
    <w:p w14:paraId="5118B319" w14:textId="77777777" w:rsidR="009C06C5" w:rsidRDefault="009C06C5" w:rsidP="00456765">
      <w:pPr>
        <w:pStyle w:val="FootnoteText"/>
        <w:numPr>
          <w:ilvl w:val="0"/>
          <w:numId w:val="28"/>
        </w:numPr>
      </w:pPr>
      <w:r>
        <w:t>Submission of PSURs;</w:t>
      </w:r>
    </w:p>
    <w:p w14:paraId="3B9BA70A" w14:textId="77777777" w:rsidR="009C06C5" w:rsidRPr="00F12492" w:rsidRDefault="009C06C5" w:rsidP="00456765">
      <w:pPr>
        <w:pStyle w:val="FootnoteText"/>
        <w:numPr>
          <w:ilvl w:val="0"/>
          <w:numId w:val="28"/>
        </w:numPr>
        <w:rPr>
          <w:lang w:val="en-US"/>
        </w:rPr>
      </w:pPr>
      <w:r>
        <w:t>Meeting other local regulatory agency requirements.</w:t>
      </w:r>
    </w:p>
  </w:footnote>
  <w:footnote w:id="36">
    <w:p w14:paraId="29E0271B" w14:textId="14B7CB92" w:rsidR="009C06C5" w:rsidRDefault="009C06C5">
      <w:pPr>
        <w:pStyle w:val="FootnoteText"/>
      </w:pPr>
      <w:r>
        <w:rPr>
          <w:rStyle w:val="FootnoteReference"/>
        </w:rPr>
        <w:footnoteRef/>
      </w:r>
      <w:r>
        <w:t xml:space="preserve"> This was subsequently addressed by the sponsor.</w:t>
      </w:r>
    </w:p>
  </w:footnote>
  <w:footnote w:id="37">
    <w:p w14:paraId="5D64061E" w14:textId="77777777" w:rsidR="009C06C5" w:rsidRDefault="009C06C5">
      <w:pPr>
        <w:pStyle w:val="FootnoteText"/>
      </w:pPr>
      <w:r>
        <w:rPr>
          <w:rStyle w:val="FootnoteReference"/>
        </w:rPr>
        <w:footnoteRef/>
      </w:r>
      <w:r>
        <w:t xml:space="preserve"> </w:t>
      </w:r>
      <w:proofErr w:type="spellStart"/>
      <w:r w:rsidRPr="00717374">
        <w:t>F</w:t>
      </w:r>
      <w:r w:rsidRPr="00717374">
        <w:rPr>
          <w:rFonts w:hint="eastAsia"/>
        </w:rPr>
        <w:t>ö</w:t>
      </w:r>
      <w:r w:rsidRPr="00717374">
        <w:t>rderreuther</w:t>
      </w:r>
      <w:proofErr w:type="spellEnd"/>
      <w:r>
        <w:t>, S.</w:t>
      </w:r>
      <w:r w:rsidRPr="00717374">
        <w:t xml:space="preserve"> et</w:t>
      </w:r>
      <w:r>
        <w:t xml:space="preserve"> </w:t>
      </w:r>
      <w:r w:rsidRPr="00717374">
        <w:t xml:space="preserve">al. </w:t>
      </w:r>
      <w:r>
        <w:t>(</w:t>
      </w:r>
      <w:r w:rsidRPr="00717374">
        <w:t>2018</w:t>
      </w:r>
      <w:r>
        <w:t xml:space="preserve">) </w:t>
      </w:r>
      <w:r w:rsidRPr="00AA0F3B">
        <w:t xml:space="preserve">Preventive effects of </w:t>
      </w:r>
      <w:proofErr w:type="spellStart"/>
      <w:r w:rsidRPr="00AA0F3B">
        <w:t>galcanezumab</w:t>
      </w:r>
      <w:proofErr w:type="spellEnd"/>
      <w:r w:rsidRPr="00AA0F3B">
        <w:t xml:space="preserve"> in adult patients with episodic or chronic migraine are persistent: data from the phase </w:t>
      </w:r>
      <w:r>
        <w:t>III</w:t>
      </w:r>
      <w:r w:rsidRPr="00AA0F3B">
        <w:t>, randomized, double-blind, placebo-controlled EVOLVE-1, EVOLVE-2, and REGAIN studies</w:t>
      </w:r>
      <w:r>
        <w:t xml:space="preserve">, </w:t>
      </w:r>
      <w:r w:rsidRPr="000D3879">
        <w:rPr>
          <w:i/>
        </w:rPr>
        <w:t>J Headache Pain</w:t>
      </w:r>
      <w:r>
        <w:t>, 2018; 19: 121.</w:t>
      </w:r>
    </w:p>
  </w:footnote>
  <w:footnote w:id="38">
    <w:p w14:paraId="614BA4C8" w14:textId="77777777" w:rsidR="009C06C5" w:rsidRDefault="009C06C5">
      <w:pPr>
        <w:pStyle w:val="FootnoteText"/>
      </w:pPr>
      <w:r>
        <w:rPr>
          <w:rStyle w:val="FootnoteReference"/>
        </w:rPr>
        <w:footnoteRef/>
      </w:r>
      <w:r>
        <w:t xml:space="preserve"> Nichols, R. et al. (2019) </w:t>
      </w:r>
      <w:r w:rsidRPr="000D3879">
        <w:t xml:space="preserve">Analysis of Initial </w:t>
      </w:r>
      <w:proofErr w:type="spellStart"/>
      <w:r w:rsidRPr="000D3879">
        <w:t>Nonresponders</w:t>
      </w:r>
      <w:proofErr w:type="spellEnd"/>
      <w:r w:rsidRPr="000D3879">
        <w:t xml:space="preserve"> to </w:t>
      </w:r>
      <w:proofErr w:type="spellStart"/>
      <w:r w:rsidRPr="000D3879">
        <w:t>Galcanezumab</w:t>
      </w:r>
      <w:proofErr w:type="spellEnd"/>
      <w:r w:rsidRPr="000D3879">
        <w:t xml:space="preserve"> in Patients </w:t>
      </w:r>
      <w:proofErr w:type="gramStart"/>
      <w:r w:rsidRPr="000D3879">
        <w:t>With</w:t>
      </w:r>
      <w:proofErr w:type="gramEnd"/>
      <w:r w:rsidRPr="000D3879">
        <w:t xml:space="preserve"> Episodic or Chronic Migraine: Results From the EVOLVE-1, EVOLVE-2, and REGAIN Randomized, Double-Blind, Placebo-Controlled Studies</w:t>
      </w:r>
      <w:r>
        <w:t xml:space="preserve">, </w:t>
      </w:r>
      <w:r w:rsidRPr="000D3879">
        <w:rPr>
          <w:i/>
        </w:rPr>
        <w:t>Headache</w:t>
      </w:r>
      <w:r>
        <w:t>, 2019; 59: 192-204.</w:t>
      </w:r>
    </w:p>
  </w:footnote>
  <w:footnote w:id="39">
    <w:p w14:paraId="2DFD7E79" w14:textId="77777777" w:rsidR="009C06C5" w:rsidRDefault="009C06C5">
      <w:pPr>
        <w:pStyle w:val="FootnoteText"/>
      </w:pPr>
      <w:r>
        <w:rPr>
          <w:rStyle w:val="FootnoteReference"/>
        </w:rPr>
        <w:footnoteRef/>
      </w:r>
      <w:r>
        <w:t xml:space="preserve"> </w:t>
      </w:r>
      <w:proofErr w:type="spellStart"/>
      <w:r>
        <w:t>Depre</w:t>
      </w:r>
      <w:proofErr w:type="spellEnd"/>
      <w:r>
        <w:t xml:space="preserve">, C. et al. (2013) </w:t>
      </w:r>
      <w:r w:rsidRPr="00642AB9">
        <w:t xml:space="preserve">A Randomized, Double-Blind, Placebo-Controlled Study to Evaluate the Effect of </w:t>
      </w:r>
      <w:proofErr w:type="spellStart"/>
      <w:r w:rsidRPr="00642AB9">
        <w:t>Erenumab</w:t>
      </w:r>
      <w:proofErr w:type="spellEnd"/>
      <w:r w:rsidRPr="00642AB9">
        <w:t xml:space="preserve"> on Exercise Time During a Treadmill Test in Patients </w:t>
      </w:r>
      <w:proofErr w:type="gramStart"/>
      <w:r w:rsidRPr="00642AB9">
        <w:t>With</w:t>
      </w:r>
      <w:proofErr w:type="gramEnd"/>
      <w:r w:rsidRPr="00642AB9">
        <w:t xml:space="preserve"> Stable Angina</w:t>
      </w:r>
      <w:r>
        <w:t xml:space="preserve">, </w:t>
      </w:r>
      <w:r w:rsidRPr="00642AB9">
        <w:rPr>
          <w:i/>
        </w:rPr>
        <w:t>Headache</w:t>
      </w:r>
      <w:r>
        <w:t>, 2018; 58: 715-723.</w:t>
      </w:r>
    </w:p>
  </w:footnote>
  <w:footnote w:id="40">
    <w:p w14:paraId="70E9BE6C" w14:textId="77777777" w:rsidR="009C06C5" w:rsidRDefault="009C06C5">
      <w:pPr>
        <w:pStyle w:val="FootnoteText"/>
      </w:pPr>
      <w:r>
        <w:rPr>
          <w:rStyle w:val="FootnoteReference"/>
        </w:rPr>
        <w:footnoteRef/>
      </w:r>
      <w:r w:rsidRPr="00A24BC5">
        <w:t xml:space="preserve"> de Hoon, J. et al. </w:t>
      </w:r>
      <w:r>
        <w:t xml:space="preserve">(2019) </w:t>
      </w:r>
      <w:r w:rsidRPr="00642AB9">
        <w:t xml:space="preserve">Phase 1, randomized, parallel-group, double-blind, placebo-controlled trial to evaluate the effects of </w:t>
      </w:r>
      <w:proofErr w:type="spellStart"/>
      <w:r w:rsidRPr="00642AB9">
        <w:t>erenumab</w:t>
      </w:r>
      <w:proofErr w:type="spellEnd"/>
      <w:r w:rsidRPr="00642AB9">
        <w:t xml:space="preserve"> (AMG 334) and concomitant </w:t>
      </w:r>
      <w:proofErr w:type="spellStart"/>
      <w:r w:rsidRPr="00642AB9">
        <w:t>sumatriptan</w:t>
      </w:r>
      <w:proofErr w:type="spellEnd"/>
      <w:r w:rsidRPr="00642AB9">
        <w:t xml:space="preserve"> on blood pressure in healthy volunteers</w:t>
      </w:r>
      <w:r>
        <w:t xml:space="preserve">, </w:t>
      </w:r>
      <w:proofErr w:type="spellStart"/>
      <w:r w:rsidRPr="00642AB9">
        <w:rPr>
          <w:i/>
        </w:rPr>
        <w:t>Cephalalgia</w:t>
      </w:r>
      <w:proofErr w:type="spellEnd"/>
      <w:r>
        <w:t>, 2019; 39: 100-110.</w:t>
      </w:r>
    </w:p>
  </w:footnote>
  <w:footnote w:id="41">
    <w:p w14:paraId="523B269A" w14:textId="77777777" w:rsidR="009C06C5" w:rsidRDefault="009C06C5"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4244B50A" w14:textId="77777777" w:rsidR="009C06C5" w:rsidRPr="00456765" w:rsidRDefault="009C06C5"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79C89" w14:textId="77777777" w:rsidR="009C06C5" w:rsidRDefault="009C06C5"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150CE" w14:textId="77777777" w:rsidR="009C06C5" w:rsidRDefault="009C06C5">
    <w:pPr>
      <w:rPr>
        <w:noProof/>
        <w:lang w:eastAsia="en-AU"/>
      </w:rPr>
    </w:pPr>
    <w:r w:rsidRPr="00347824">
      <w:rPr>
        <w:noProof/>
        <w:lang w:eastAsia="en-AU"/>
      </w:rPr>
      <w:drawing>
        <wp:anchor distT="0" distB="0" distL="114300" distR="114300" simplePos="0" relativeHeight="251658240" behindDoc="1" locked="0" layoutInCell="1" allowOverlap="1" wp14:anchorId="533315D5" wp14:editId="69D9659E">
          <wp:simplePos x="0" y="0"/>
          <wp:positionH relativeFrom="column">
            <wp:posOffset>-1089660</wp:posOffset>
          </wp:positionH>
          <wp:positionV relativeFrom="paragraph">
            <wp:posOffset>-585470</wp:posOffset>
          </wp:positionV>
          <wp:extent cx="7572375" cy="10706100"/>
          <wp:effectExtent l="19050" t="0" r="0" b="0"/>
          <wp:wrapNone/>
          <wp:docPr id="38"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275C7B4" w14:textId="77777777" w:rsidR="009C06C5" w:rsidRDefault="009C06C5" w:rsidP="00593AD1">
    <w:pPr>
      <w:pStyle w:val="HeaderNoLine"/>
    </w:pPr>
    <w:r>
      <w:rPr>
        <w:noProof/>
        <w:lang w:eastAsia="en-AU"/>
      </w:rPr>
      <w:drawing>
        <wp:inline distT="0" distB="0" distL="0" distR="0" wp14:anchorId="541C450D" wp14:editId="5B91D7B7">
          <wp:extent cx="5400675" cy="7639050"/>
          <wp:effectExtent l="0" t="0" r="9525" b="0"/>
          <wp:docPr id="41" name="Picture 4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67521" w14:textId="77777777" w:rsidR="009C06C5" w:rsidRDefault="009C06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CF23" w14:textId="77777777" w:rsidR="009C06C5" w:rsidRDefault="009C06C5">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36F23" w14:textId="77777777" w:rsidR="009C06C5" w:rsidRDefault="009C06C5">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8AE69" w14:textId="77777777" w:rsidR="009C06C5" w:rsidRDefault="009C06C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CCB6D" w14:textId="77777777" w:rsidR="009C06C5" w:rsidRDefault="009C06C5"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2A2F1" w14:textId="77777777" w:rsidR="009C06C5" w:rsidRDefault="009C06C5" w:rsidP="006E08B3">
    <w:r>
      <w:t>Therapeutic Goods Administration</w:t>
    </w:r>
  </w:p>
  <w:p w14:paraId="2A71BE5C" w14:textId="77777777" w:rsidR="009C06C5" w:rsidRDefault="009C06C5"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5B8EACD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2C5770E"/>
    <w:multiLevelType w:val="hybridMultilevel"/>
    <w:tmpl w:val="6ABC4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D815E4"/>
    <w:multiLevelType w:val="hybridMultilevel"/>
    <w:tmpl w:val="E9E0F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03738A1"/>
    <w:multiLevelType w:val="hybridMultilevel"/>
    <w:tmpl w:val="9C8E6E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53F3C82"/>
    <w:multiLevelType w:val="hybridMultilevel"/>
    <w:tmpl w:val="04A80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F13E9"/>
    <w:multiLevelType w:val="multilevel"/>
    <w:tmpl w:val="30BA9DA4"/>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260B35CB"/>
    <w:multiLevelType w:val="hybridMultilevel"/>
    <w:tmpl w:val="38D226AC"/>
    <w:lvl w:ilvl="0" w:tplc="BDAE6536">
      <w:numFmt w:val="bullet"/>
      <w:lvlText w:val="•"/>
      <w:lvlJc w:val="left"/>
      <w:pPr>
        <w:ind w:left="360" w:hanging="360"/>
      </w:pPr>
      <w:rPr>
        <w:rFonts w:ascii="Cambria" w:eastAsia="Cambria" w:hAnsi="Cambria" w:cs="Times New Roman" w:hint="default"/>
      </w:rPr>
    </w:lvl>
    <w:lvl w:ilvl="1" w:tplc="0C09000F">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D3F7BA1"/>
    <w:multiLevelType w:val="hybridMultilevel"/>
    <w:tmpl w:val="61E86854"/>
    <w:lvl w:ilvl="0" w:tplc="BDAE6536">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971E7D"/>
    <w:multiLevelType w:val="hybridMultilevel"/>
    <w:tmpl w:val="B29A56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185513"/>
    <w:multiLevelType w:val="hybridMultilevel"/>
    <w:tmpl w:val="CE867CA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F45075"/>
    <w:multiLevelType w:val="hybridMultilevel"/>
    <w:tmpl w:val="C99CF9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B14C09"/>
    <w:multiLevelType w:val="hybridMultilevel"/>
    <w:tmpl w:val="3BB4FBE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3857C21"/>
    <w:multiLevelType w:val="hybridMultilevel"/>
    <w:tmpl w:val="ABFC969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411FD2"/>
    <w:multiLevelType w:val="hybridMultilevel"/>
    <w:tmpl w:val="D0968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0B1B75"/>
    <w:multiLevelType w:val="multilevel"/>
    <w:tmpl w:val="F6E07A32"/>
    <w:lvl w:ilvl="0">
      <w:start w:val="1"/>
      <w:numFmt w:val="decimal"/>
      <w:pStyle w:val="DrugEvalHeading1"/>
      <w:lvlText w:val="%1."/>
      <w:lvlJc w:val="left"/>
      <w:pPr>
        <w:tabs>
          <w:tab w:val="num" w:pos="567"/>
        </w:tabs>
        <w:ind w:left="567" w:hanging="567"/>
      </w:pPr>
      <w:rPr>
        <w:rFonts w:cs="Times New Roman" w:hint="default"/>
      </w:rPr>
    </w:lvl>
    <w:lvl w:ilvl="1">
      <w:start w:val="1"/>
      <w:numFmt w:val="decimal"/>
      <w:lvlText w:val="%1.%2."/>
      <w:lvlJc w:val="left"/>
      <w:pPr>
        <w:tabs>
          <w:tab w:val="num" w:pos="1135"/>
        </w:tabs>
        <w:ind w:left="1135" w:hanging="1022"/>
      </w:pPr>
      <w:rPr>
        <w:rFonts w:cs="Times New Roman" w:hint="default"/>
      </w:rPr>
    </w:lvl>
    <w:lvl w:ilvl="2">
      <w:start w:val="1"/>
      <w:numFmt w:val="decimal"/>
      <w:pStyle w:val="DrugEvalHeading3"/>
      <w:lvlText w:val="%1.%2.%3."/>
      <w:lvlJc w:val="left"/>
      <w:pPr>
        <w:tabs>
          <w:tab w:val="num" w:pos="1134"/>
        </w:tabs>
        <w:ind w:left="1134" w:hanging="964"/>
      </w:pPr>
      <w:rPr>
        <w:rFonts w:cs="Times New Roman" w:hint="default"/>
      </w:rPr>
    </w:lvl>
    <w:lvl w:ilvl="3">
      <w:start w:val="1"/>
      <w:numFmt w:val="decimal"/>
      <w:pStyle w:val="DrugEvalHeading4"/>
      <w:lvlText w:val="%1.%2.%3.%4."/>
      <w:lvlJc w:val="left"/>
      <w:pPr>
        <w:tabs>
          <w:tab w:val="num" w:pos="1418"/>
        </w:tabs>
        <w:ind w:left="1418" w:hanging="1191"/>
      </w:pPr>
      <w:rPr>
        <w:rFonts w:cs="Times New Roman" w:hint="default"/>
      </w:rPr>
    </w:lvl>
    <w:lvl w:ilvl="4">
      <w:start w:val="1"/>
      <w:numFmt w:val="decimal"/>
      <w:lvlText w:val="%1.%2.%3.%4.%5."/>
      <w:lvlJc w:val="left"/>
      <w:pPr>
        <w:tabs>
          <w:tab w:val="num" w:pos="1701"/>
        </w:tabs>
        <w:ind w:left="1701" w:hanging="1417"/>
      </w:pPr>
      <w:rPr>
        <w:rFonts w:cs="Times New Roman" w:hint="default"/>
      </w:rPr>
    </w:lvl>
    <w:lvl w:ilvl="5">
      <w:start w:val="1"/>
      <w:numFmt w:val="decimal"/>
      <w:lvlText w:val="%1.%2.%3.%4.%5.%6."/>
      <w:lvlJc w:val="left"/>
      <w:pPr>
        <w:tabs>
          <w:tab w:val="num" w:pos="1985"/>
        </w:tabs>
        <w:ind w:left="1985" w:hanging="1645"/>
      </w:pPr>
      <w:rPr>
        <w:rFonts w:cs="Times New Roman" w:hint="default"/>
      </w:rPr>
    </w:lvl>
    <w:lvl w:ilvl="6">
      <w:start w:val="1"/>
      <w:numFmt w:val="decimal"/>
      <w:lvlText w:val="%1.%2.%3.%4.%5.%6.%7."/>
      <w:lvlJc w:val="left"/>
      <w:pPr>
        <w:tabs>
          <w:tab w:val="num" w:pos="2268"/>
        </w:tabs>
        <w:ind w:left="2268" w:hanging="1871"/>
      </w:pPr>
      <w:rPr>
        <w:rFonts w:cs="Times New Roman" w:hint="default"/>
      </w:rPr>
    </w:lvl>
    <w:lvl w:ilvl="7">
      <w:start w:val="1"/>
      <w:numFmt w:val="none"/>
      <w:lvlText w:val=""/>
      <w:lvlJc w:val="left"/>
      <w:pPr>
        <w:tabs>
          <w:tab w:val="num" w:pos="510"/>
        </w:tabs>
        <w:ind w:left="0" w:firstLine="510"/>
      </w:pPr>
      <w:rPr>
        <w:rFonts w:cs="Times New Roman" w:hint="default"/>
      </w:rPr>
    </w:lvl>
    <w:lvl w:ilvl="8">
      <w:start w:val="1"/>
      <w:numFmt w:val="none"/>
      <w:lvlText w:val=""/>
      <w:lvlJc w:val="left"/>
      <w:pPr>
        <w:tabs>
          <w:tab w:val="num" w:pos="0"/>
        </w:tabs>
        <w:ind w:left="0" w:firstLine="567"/>
      </w:pPr>
      <w:rPr>
        <w:rFonts w:cs="Times New Roman" w:hint="default"/>
      </w:rPr>
    </w:lvl>
  </w:abstractNum>
  <w:abstractNum w:abstractNumId="2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7"/>
  </w:num>
  <w:num w:numId="17">
    <w:abstractNumId w:val="7"/>
  </w:num>
  <w:num w:numId="18">
    <w:abstractNumId w:val="7"/>
  </w:num>
  <w:num w:numId="19">
    <w:abstractNumId w:val="10"/>
  </w:num>
  <w:num w:numId="20">
    <w:abstractNumId w:val="10"/>
  </w:num>
  <w:num w:numId="21">
    <w:abstractNumId w:val="10"/>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8"/>
  </w:num>
  <w:num w:numId="28">
    <w:abstractNumId w:val="21"/>
  </w:num>
  <w:num w:numId="29">
    <w:abstractNumId w:val="5"/>
  </w:num>
  <w:num w:numId="30">
    <w:abstractNumId w:val="13"/>
  </w:num>
  <w:num w:numId="31">
    <w:abstractNumId w:val="14"/>
  </w:num>
  <w:num w:numId="32">
    <w:abstractNumId w:val="20"/>
  </w:num>
  <w:num w:numId="33">
    <w:abstractNumId w:val="15"/>
  </w:num>
  <w:num w:numId="34">
    <w:abstractNumId w:val="17"/>
  </w:num>
  <w:num w:numId="35">
    <w:abstractNumId w:val="6"/>
  </w:num>
  <w:num w:numId="36">
    <w:abstractNumId w:val="8"/>
  </w:num>
  <w:num w:numId="37">
    <w:abstractNumId w:val="9"/>
  </w:num>
  <w:num w:numId="38">
    <w:abstractNumId w:val="4"/>
  </w:num>
  <w:num w:numId="39">
    <w:abstractNumId w:val="12"/>
  </w:num>
  <w:num w:numId="40">
    <w:abstractNumId w:val="16"/>
  </w:num>
  <w:num w:numId="41">
    <w:abstractNumId w:val="19"/>
  </w:num>
  <w:num w:numId="42">
    <w:abstractNumId w:val="11"/>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7"/>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38E"/>
    <w:rsid w:val="00002031"/>
    <w:rsid w:val="00004734"/>
    <w:rsid w:val="00006B22"/>
    <w:rsid w:val="000071C8"/>
    <w:rsid w:val="0001276A"/>
    <w:rsid w:val="000212B9"/>
    <w:rsid w:val="000219D3"/>
    <w:rsid w:val="00023342"/>
    <w:rsid w:val="00023F95"/>
    <w:rsid w:val="000246AE"/>
    <w:rsid w:val="00025C67"/>
    <w:rsid w:val="00025E01"/>
    <w:rsid w:val="00033602"/>
    <w:rsid w:val="00037BFA"/>
    <w:rsid w:val="00044772"/>
    <w:rsid w:val="0004541C"/>
    <w:rsid w:val="00046238"/>
    <w:rsid w:val="0005474C"/>
    <w:rsid w:val="0005559E"/>
    <w:rsid w:val="000579DD"/>
    <w:rsid w:val="00057E5E"/>
    <w:rsid w:val="00057FDB"/>
    <w:rsid w:val="000604D6"/>
    <w:rsid w:val="00067C51"/>
    <w:rsid w:val="000703D7"/>
    <w:rsid w:val="00070474"/>
    <w:rsid w:val="0007206D"/>
    <w:rsid w:val="000734D8"/>
    <w:rsid w:val="00077775"/>
    <w:rsid w:val="00077DD5"/>
    <w:rsid w:val="00077ED6"/>
    <w:rsid w:val="00077F43"/>
    <w:rsid w:val="000830A6"/>
    <w:rsid w:val="00090471"/>
    <w:rsid w:val="000947AD"/>
    <w:rsid w:val="00094DF6"/>
    <w:rsid w:val="00096AA7"/>
    <w:rsid w:val="000A0DAA"/>
    <w:rsid w:val="000A19B8"/>
    <w:rsid w:val="000A2F15"/>
    <w:rsid w:val="000A3AED"/>
    <w:rsid w:val="000A502C"/>
    <w:rsid w:val="000B3532"/>
    <w:rsid w:val="000B3A75"/>
    <w:rsid w:val="000B3DEC"/>
    <w:rsid w:val="000B5785"/>
    <w:rsid w:val="000C00C2"/>
    <w:rsid w:val="000C690F"/>
    <w:rsid w:val="000D1295"/>
    <w:rsid w:val="000D3879"/>
    <w:rsid w:val="000D391B"/>
    <w:rsid w:val="000D3D6D"/>
    <w:rsid w:val="000D4FC7"/>
    <w:rsid w:val="000E6196"/>
    <w:rsid w:val="000F0703"/>
    <w:rsid w:val="000F4869"/>
    <w:rsid w:val="000F5B42"/>
    <w:rsid w:val="000F6E6F"/>
    <w:rsid w:val="0010601F"/>
    <w:rsid w:val="001070B0"/>
    <w:rsid w:val="0010788A"/>
    <w:rsid w:val="00107A31"/>
    <w:rsid w:val="00110EA5"/>
    <w:rsid w:val="00111126"/>
    <w:rsid w:val="00112F56"/>
    <w:rsid w:val="00114D46"/>
    <w:rsid w:val="00117354"/>
    <w:rsid w:val="00120BAC"/>
    <w:rsid w:val="00124ACD"/>
    <w:rsid w:val="00125318"/>
    <w:rsid w:val="0013024E"/>
    <w:rsid w:val="001305A2"/>
    <w:rsid w:val="00133238"/>
    <w:rsid w:val="00133A1B"/>
    <w:rsid w:val="00134B8F"/>
    <w:rsid w:val="0013769C"/>
    <w:rsid w:val="0014197B"/>
    <w:rsid w:val="001447CD"/>
    <w:rsid w:val="001516B1"/>
    <w:rsid w:val="00154EBB"/>
    <w:rsid w:val="00155170"/>
    <w:rsid w:val="00156316"/>
    <w:rsid w:val="00161181"/>
    <w:rsid w:val="00162D14"/>
    <w:rsid w:val="00163780"/>
    <w:rsid w:val="00164ECE"/>
    <w:rsid w:val="00165389"/>
    <w:rsid w:val="00173B1A"/>
    <w:rsid w:val="00175649"/>
    <w:rsid w:val="00175C3A"/>
    <w:rsid w:val="0017693F"/>
    <w:rsid w:val="0018110E"/>
    <w:rsid w:val="00181684"/>
    <w:rsid w:val="001843C6"/>
    <w:rsid w:val="001850E0"/>
    <w:rsid w:val="00190AE6"/>
    <w:rsid w:val="001A03AF"/>
    <w:rsid w:val="001A2158"/>
    <w:rsid w:val="001A525F"/>
    <w:rsid w:val="001A77B9"/>
    <w:rsid w:val="001B09F9"/>
    <w:rsid w:val="001B3F55"/>
    <w:rsid w:val="001B5498"/>
    <w:rsid w:val="001B5C90"/>
    <w:rsid w:val="001B6448"/>
    <w:rsid w:val="001C15F7"/>
    <w:rsid w:val="001C32CD"/>
    <w:rsid w:val="001C480B"/>
    <w:rsid w:val="001C66FB"/>
    <w:rsid w:val="001C6D48"/>
    <w:rsid w:val="001D2984"/>
    <w:rsid w:val="001E07CF"/>
    <w:rsid w:val="001E4215"/>
    <w:rsid w:val="001E59F1"/>
    <w:rsid w:val="001F2CEE"/>
    <w:rsid w:val="001F316B"/>
    <w:rsid w:val="001F49EB"/>
    <w:rsid w:val="001F6CBA"/>
    <w:rsid w:val="00201D4E"/>
    <w:rsid w:val="00204A99"/>
    <w:rsid w:val="002076C9"/>
    <w:rsid w:val="002149AD"/>
    <w:rsid w:val="002158A2"/>
    <w:rsid w:val="00220B8A"/>
    <w:rsid w:val="0022417C"/>
    <w:rsid w:val="002257F3"/>
    <w:rsid w:val="00232AB7"/>
    <w:rsid w:val="00233456"/>
    <w:rsid w:val="002339A5"/>
    <w:rsid w:val="00234774"/>
    <w:rsid w:val="00247800"/>
    <w:rsid w:val="002533FF"/>
    <w:rsid w:val="00257848"/>
    <w:rsid w:val="0027084A"/>
    <w:rsid w:val="002710B3"/>
    <w:rsid w:val="002770A9"/>
    <w:rsid w:val="00280265"/>
    <w:rsid w:val="002820C3"/>
    <w:rsid w:val="0028405F"/>
    <w:rsid w:val="00286434"/>
    <w:rsid w:val="00286C59"/>
    <w:rsid w:val="0029020F"/>
    <w:rsid w:val="00291957"/>
    <w:rsid w:val="002942D1"/>
    <w:rsid w:val="0029501A"/>
    <w:rsid w:val="002A3721"/>
    <w:rsid w:val="002A55B8"/>
    <w:rsid w:val="002A5E9D"/>
    <w:rsid w:val="002B1638"/>
    <w:rsid w:val="002B3624"/>
    <w:rsid w:val="002B694B"/>
    <w:rsid w:val="002C342C"/>
    <w:rsid w:val="002C5C5F"/>
    <w:rsid w:val="002C724F"/>
    <w:rsid w:val="002C7590"/>
    <w:rsid w:val="002D0952"/>
    <w:rsid w:val="002D316B"/>
    <w:rsid w:val="002D7DE5"/>
    <w:rsid w:val="002E1E97"/>
    <w:rsid w:val="002E269D"/>
    <w:rsid w:val="002E40B3"/>
    <w:rsid w:val="002E4C9A"/>
    <w:rsid w:val="002E5E54"/>
    <w:rsid w:val="002E6FBA"/>
    <w:rsid w:val="002F11F8"/>
    <w:rsid w:val="002F2AC8"/>
    <w:rsid w:val="002F3F56"/>
    <w:rsid w:val="002F44B5"/>
    <w:rsid w:val="002F5122"/>
    <w:rsid w:val="002F65EC"/>
    <w:rsid w:val="00301F97"/>
    <w:rsid w:val="00302FE3"/>
    <w:rsid w:val="0030325A"/>
    <w:rsid w:val="00303C42"/>
    <w:rsid w:val="003068CB"/>
    <w:rsid w:val="003106AE"/>
    <w:rsid w:val="003118C3"/>
    <w:rsid w:val="00311AC0"/>
    <w:rsid w:val="00311AEA"/>
    <w:rsid w:val="00312788"/>
    <w:rsid w:val="003176FC"/>
    <w:rsid w:val="0032583B"/>
    <w:rsid w:val="00327883"/>
    <w:rsid w:val="00335504"/>
    <w:rsid w:val="00340A1D"/>
    <w:rsid w:val="00340C18"/>
    <w:rsid w:val="00341719"/>
    <w:rsid w:val="003442FD"/>
    <w:rsid w:val="00347824"/>
    <w:rsid w:val="00350567"/>
    <w:rsid w:val="003521E8"/>
    <w:rsid w:val="00354876"/>
    <w:rsid w:val="00367754"/>
    <w:rsid w:val="00370CE3"/>
    <w:rsid w:val="003728F3"/>
    <w:rsid w:val="00373400"/>
    <w:rsid w:val="003735BC"/>
    <w:rsid w:val="003745F0"/>
    <w:rsid w:val="0037496E"/>
    <w:rsid w:val="003759FC"/>
    <w:rsid w:val="00381BAF"/>
    <w:rsid w:val="00383221"/>
    <w:rsid w:val="00384E20"/>
    <w:rsid w:val="00385660"/>
    <w:rsid w:val="00386150"/>
    <w:rsid w:val="003874CE"/>
    <w:rsid w:val="00390900"/>
    <w:rsid w:val="00394142"/>
    <w:rsid w:val="003A7F6C"/>
    <w:rsid w:val="003B4D60"/>
    <w:rsid w:val="003B7E39"/>
    <w:rsid w:val="003C308A"/>
    <w:rsid w:val="003C58DC"/>
    <w:rsid w:val="003C6606"/>
    <w:rsid w:val="003C76F3"/>
    <w:rsid w:val="003D0694"/>
    <w:rsid w:val="003D1DF5"/>
    <w:rsid w:val="003D1E62"/>
    <w:rsid w:val="003D2663"/>
    <w:rsid w:val="003D34F2"/>
    <w:rsid w:val="003D675C"/>
    <w:rsid w:val="003E0B99"/>
    <w:rsid w:val="003E2486"/>
    <w:rsid w:val="003E3208"/>
    <w:rsid w:val="003E44EE"/>
    <w:rsid w:val="003F0B04"/>
    <w:rsid w:val="003F0C17"/>
    <w:rsid w:val="003F0D0E"/>
    <w:rsid w:val="003F27D8"/>
    <w:rsid w:val="004005EE"/>
    <w:rsid w:val="0040134E"/>
    <w:rsid w:val="00404F61"/>
    <w:rsid w:val="00410C07"/>
    <w:rsid w:val="00412046"/>
    <w:rsid w:val="00413B00"/>
    <w:rsid w:val="00416F6A"/>
    <w:rsid w:val="004236AD"/>
    <w:rsid w:val="004307CA"/>
    <w:rsid w:val="004334C7"/>
    <w:rsid w:val="00433863"/>
    <w:rsid w:val="004400E7"/>
    <w:rsid w:val="00440A2D"/>
    <w:rsid w:val="00441C3F"/>
    <w:rsid w:val="00444B2E"/>
    <w:rsid w:val="00447F5D"/>
    <w:rsid w:val="0045186A"/>
    <w:rsid w:val="004564A7"/>
    <w:rsid w:val="00456765"/>
    <w:rsid w:val="004617BF"/>
    <w:rsid w:val="00463658"/>
    <w:rsid w:val="004637A0"/>
    <w:rsid w:val="00464E9D"/>
    <w:rsid w:val="004722CC"/>
    <w:rsid w:val="00481AD9"/>
    <w:rsid w:val="00485D7B"/>
    <w:rsid w:val="00485E95"/>
    <w:rsid w:val="004935C3"/>
    <w:rsid w:val="004936E4"/>
    <w:rsid w:val="00494E60"/>
    <w:rsid w:val="00497487"/>
    <w:rsid w:val="004A438E"/>
    <w:rsid w:val="004A6189"/>
    <w:rsid w:val="004A7390"/>
    <w:rsid w:val="004B14F3"/>
    <w:rsid w:val="004B7B76"/>
    <w:rsid w:val="004C239D"/>
    <w:rsid w:val="004C2DCA"/>
    <w:rsid w:val="004C61D2"/>
    <w:rsid w:val="004C7929"/>
    <w:rsid w:val="004D7996"/>
    <w:rsid w:val="004F0C4A"/>
    <w:rsid w:val="004F0F38"/>
    <w:rsid w:val="004F47D6"/>
    <w:rsid w:val="00500337"/>
    <w:rsid w:val="00501921"/>
    <w:rsid w:val="00505DA0"/>
    <w:rsid w:val="00515B5E"/>
    <w:rsid w:val="00521159"/>
    <w:rsid w:val="005211E9"/>
    <w:rsid w:val="00530354"/>
    <w:rsid w:val="00535204"/>
    <w:rsid w:val="0053625B"/>
    <w:rsid w:val="00536B07"/>
    <w:rsid w:val="005434C6"/>
    <w:rsid w:val="005438F2"/>
    <w:rsid w:val="00543B39"/>
    <w:rsid w:val="0054587B"/>
    <w:rsid w:val="00546154"/>
    <w:rsid w:val="00547175"/>
    <w:rsid w:val="00550096"/>
    <w:rsid w:val="00550D61"/>
    <w:rsid w:val="00555280"/>
    <w:rsid w:val="00557FF9"/>
    <w:rsid w:val="00562327"/>
    <w:rsid w:val="00562681"/>
    <w:rsid w:val="005630A4"/>
    <w:rsid w:val="0057105C"/>
    <w:rsid w:val="005711D5"/>
    <w:rsid w:val="00572B43"/>
    <w:rsid w:val="00576378"/>
    <w:rsid w:val="00577130"/>
    <w:rsid w:val="00577945"/>
    <w:rsid w:val="00577E38"/>
    <w:rsid w:val="00585322"/>
    <w:rsid w:val="005857C6"/>
    <w:rsid w:val="00592F6E"/>
    <w:rsid w:val="00593AD1"/>
    <w:rsid w:val="00595EA6"/>
    <w:rsid w:val="005A0C80"/>
    <w:rsid w:val="005A14C3"/>
    <w:rsid w:val="005A68B6"/>
    <w:rsid w:val="005A6F41"/>
    <w:rsid w:val="005B23E1"/>
    <w:rsid w:val="005B4E12"/>
    <w:rsid w:val="005C14B9"/>
    <w:rsid w:val="005C3C86"/>
    <w:rsid w:val="005C5570"/>
    <w:rsid w:val="005C79A4"/>
    <w:rsid w:val="005D5442"/>
    <w:rsid w:val="005E3F94"/>
    <w:rsid w:val="005E549D"/>
    <w:rsid w:val="005F2812"/>
    <w:rsid w:val="00603EFE"/>
    <w:rsid w:val="00603F32"/>
    <w:rsid w:val="00605AD4"/>
    <w:rsid w:val="006136D7"/>
    <w:rsid w:val="006210E3"/>
    <w:rsid w:val="00621B4F"/>
    <w:rsid w:val="00625A6E"/>
    <w:rsid w:val="00630CEA"/>
    <w:rsid w:val="00630E42"/>
    <w:rsid w:val="00632398"/>
    <w:rsid w:val="00640F96"/>
    <w:rsid w:val="00640FC3"/>
    <w:rsid w:val="00641796"/>
    <w:rsid w:val="00642020"/>
    <w:rsid w:val="00642AB9"/>
    <w:rsid w:val="0065337B"/>
    <w:rsid w:val="0065419D"/>
    <w:rsid w:val="006603BC"/>
    <w:rsid w:val="006604D8"/>
    <w:rsid w:val="00663C5B"/>
    <w:rsid w:val="00664A5B"/>
    <w:rsid w:val="0066735C"/>
    <w:rsid w:val="006763D2"/>
    <w:rsid w:val="00680C08"/>
    <w:rsid w:val="00685D92"/>
    <w:rsid w:val="006916A0"/>
    <w:rsid w:val="006931B1"/>
    <w:rsid w:val="006949ED"/>
    <w:rsid w:val="006956F8"/>
    <w:rsid w:val="006A15C0"/>
    <w:rsid w:val="006A421D"/>
    <w:rsid w:val="006A58A8"/>
    <w:rsid w:val="006C3E2A"/>
    <w:rsid w:val="006C5960"/>
    <w:rsid w:val="006C642F"/>
    <w:rsid w:val="006D03E5"/>
    <w:rsid w:val="006D1ED7"/>
    <w:rsid w:val="006D357A"/>
    <w:rsid w:val="006D5D3E"/>
    <w:rsid w:val="006D6F0D"/>
    <w:rsid w:val="006E00DC"/>
    <w:rsid w:val="006E08B3"/>
    <w:rsid w:val="006F1789"/>
    <w:rsid w:val="006F17AC"/>
    <w:rsid w:val="006F17FC"/>
    <w:rsid w:val="006F25B8"/>
    <w:rsid w:val="006F572E"/>
    <w:rsid w:val="006F6704"/>
    <w:rsid w:val="007004FC"/>
    <w:rsid w:val="00701599"/>
    <w:rsid w:val="007046D6"/>
    <w:rsid w:val="00705DB0"/>
    <w:rsid w:val="00710D82"/>
    <w:rsid w:val="00713B7C"/>
    <w:rsid w:val="00717374"/>
    <w:rsid w:val="00722B57"/>
    <w:rsid w:val="00723BCB"/>
    <w:rsid w:val="00730F8A"/>
    <w:rsid w:val="0073184B"/>
    <w:rsid w:val="00732E97"/>
    <w:rsid w:val="00734AD4"/>
    <w:rsid w:val="00735A8C"/>
    <w:rsid w:val="0074165D"/>
    <w:rsid w:val="0074253D"/>
    <w:rsid w:val="007441D9"/>
    <w:rsid w:val="0074429B"/>
    <w:rsid w:val="007449D6"/>
    <w:rsid w:val="00753F31"/>
    <w:rsid w:val="007543B4"/>
    <w:rsid w:val="007552DB"/>
    <w:rsid w:val="007565B6"/>
    <w:rsid w:val="007615BC"/>
    <w:rsid w:val="00762F05"/>
    <w:rsid w:val="007630C7"/>
    <w:rsid w:val="007652FF"/>
    <w:rsid w:val="00770CAC"/>
    <w:rsid w:val="00770EF1"/>
    <w:rsid w:val="00773EF7"/>
    <w:rsid w:val="00774E1D"/>
    <w:rsid w:val="00775D3F"/>
    <w:rsid w:val="007765D8"/>
    <w:rsid w:val="0077675A"/>
    <w:rsid w:val="00776BD6"/>
    <w:rsid w:val="00780355"/>
    <w:rsid w:val="007819FD"/>
    <w:rsid w:val="00782C51"/>
    <w:rsid w:val="00785717"/>
    <w:rsid w:val="00785721"/>
    <w:rsid w:val="00786F65"/>
    <w:rsid w:val="00793A59"/>
    <w:rsid w:val="007A3B98"/>
    <w:rsid w:val="007A46F5"/>
    <w:rsid w:val="007A6505"/>
    <w:rsid w:val="007A6B12"/>
    <w:rsid w:val="007B26CF"/>
    <w:rsid w:val="007B6132"/>
    <w:rsid w:val="007B6E9F"/>
    <w:rsid w:val="007C1216"/>
    <w:rsid w:val="007C1AF7"/>
    <w:rsid w:val="007C1D3A"/>
    <w:rsid w:val="007C2A92"/>
    <w:rsid w:val="007C2EA0"/>
    <w:rsid w:val="007C2EFE"/>
    <w:rsid w:val="007C6B9B"/>
    <w:rsid w:val="007E030E"/>
    <w:rsid w:val="007F1E71"/>
    <w:rsid w:val="00805D27"/>
    <w:rsid w:val="00806DCB"/>
    <w:rsid w:val="00810F5A"/>
    <w:rsid w:val="00821776"/>
    <w:rsid w:val="00824AF1"/>
    <w:rsid w:val="00825F77"/>
    <w:rsid w:val="00830182"/>
    <w:rsid w:val="008321F5"/>
    <w:rsid w:val="00832369"/>
    <w:rsid w:val="00833BBA"/>
    <w:rsid w:val="00834660"/>
    <w:rsid w:val="00836BC2"/>
    <w:rsid w:val="008467B4"/>
    <w:rsid w:val="0085156D"/>
    <w:rsid w:val="00852B28"/>
    <w:rsid w:val="00854DA0"/>
    <w:rsid w:val="0085641B"/>
    <w:rsid w:val="00857136"/>
    <w:rsid w:val="00870572"/>
    <w:rsid w:val="00875A6B"/>
    <w:rsid w:val="00877DDB"/>
    <w:rsid w:val="00880C40"/>
    <w:rsid w:val="008813C0"/>
    <w:rsid w:val="008845A0"/>
    <w:rsid w:val="00885B11"/>
    <w:rsid w:val="00886D15"/>
    <w:rsid w:val="00887DD8"/>
    <w:rsid w:val="00891BA9"/>
    <w:rsid w:val="00893EE1"/>
    <w:rsid w:val="00894068"/>
    <w:rsid w:val="00895DCB"/>
    <w:rsid w:val="00896018"/>
    <w:rsid w:val="008960DD"/>
    <w:rsid w:val="0089635C"/>
    <w:rsid w:val="008A2B9D"/>
    <w:rsid w:val="008A3D9F"/>
    <w:rsid w:val="008A4AFD"/>
    <w:rsid w:val="008A5465"/>
    <w:rsid w:val="008A5E0B"/>
    <w:rsid w:val="008A6D59"/>
    <w:rsid w:val="008B4B03"/>
    <w:rsid w:val="008B596F"/>
    <w:rsid w:val="008C026D"/>
    <w:rsid w:val="008C159F"/>
    <w:rsid w:val="008C1623"/>
    <w:rsid w:val="008C1850"/>
    <w:rsid w:val="008C4AC7"/>
    <w:rsid w:val="008C51A9"/>
    <w:rsid w:val="008C7731"/>
    <w:rsid w:val="008D32B0"/>
    <w:rsid w:val="008D709D"/>
    <w:rsid w:val="008E0E60"/>
    <w:rsid w:val="008E7846"/>
    <w:rsid w:val="008F02E5"/>
    <w:rsid w:val="008F1CCC"/>
    <w:rsid w:val="008F2967"/>
    <w:rsid w:val="008F655A"/>
    <w:rsid w:val="008F6943"/>
    <w:rsid w:val="008F78F8"/>
    <w:rsid w:val="00902A21"/>
    <w:rsid w:val="00905797"/>
    <w:rsid w:val="00905D8F"/>
    <w:rsid w:val="0091523F"/>
    <w:rsid w:val="00917936"/>
    <w:rsid w:val="00920330"/>
    <w:rsid w:val="0092192E"/>
    <w:rsid w:val="009219D7"/>
    <w:rsid w:val="00921A32"/>
    <w:rsid w:val="00922427"/>
    <w:rsid w:val="00922D53"/>
    <w:rsid w:val="00922E06"/>
    <w:rsid w:val="00923B70"/>
    <w:rsid w:val="00924482"/>
    <w:rsid w:val="00925A3E"/>
    <w:rsid w:val="00930237"/>
    <w:rsid w:val="00935110"/>
    <w:rsid w:val="00937C17"/>
    <w:rsid w:val="00940A89"/>
    <w:rsid w:val="00941F77"/>
    <w:rsid w:val="00942E01"/>
    <w:rsid w:val="00946EA5"/>
    <w:rsid w:val="00956668"/>
    <w:rsid w:val="00960170"/>
    <w:rsid w:val="0096187D"/>
    <w:rsid w:val="00963C08"/>
    <w:rsid w:val="00965201"/>
    <w:rsid w:val="00971E6C"/>
    <w:rsid w:val="00972D93"/>
    <w:rsid w:val="009752A5"/>
    <w:rsid w:val="0098585A"/>
    <w:rsid w:val="00986C4D"/>
    <w:rsid w:val="009A327A"/>
    <w:rsid w:val="009A4CED"/>
    <w:rsid w:val="009A690D"/>
    <w:rsid w:val="009B168F"/>
    <w:rsid w:val="009B1D12"/>
    <w:rsid w:val="009B416B"/>
    <w:rsid w:val="009B6FC6"/>
    <w:rsid w:val="009C06C5"/>
    <w:rsid w:val="009C277B"/>
    <w:rsid w:val="009C43B0"/>
    <w:rsid w:val="009C49DC"/>
    <w:rsid w:val="009C4BD5"/>
    <w:rsid w:val="009C6095"/>
    <w:rsid w:val="009D45EB"/>
    <w:rsid w:val="009D5753"/>
    <w:rsid w:val="009D60AC"/>
    <w:rsid w:val="009D7B77"/>
    <w:rsid w:val="009E0BB0"/>
    <w:rsid w:val="009E3FBB"/>
    <w:rsid w:val="009F7353"/>
    <w:rsid w:val="00A04F85"/>
    <w:rsid w:val="00A05FA4"/>
    <w:rsid w:val="00A102E4"/>
    <w:rsid w:val="00A12C42"/>
    <w:rsid w:val="00A14DF7"/>
    <w:rsid w:val="00A17E10"/>
    <w:rsid w:val="00A20DBB"/>
    <w:rsid w:val="00A22D57"/>
    <w:rsid w:val="00A24AD4"/>
    <w:rsid w:val="00A24BC5"/>
    <w:rsid w:val="00A3246D"/>
    <w:rsid w:val="00A3483D"/>
    <w:rsid w:val="00A36FA7"/>
    <w:rsid w:val="00A44DDB"/>
    <w:rsid w:val="00A475B7"/>
    <w:rsid w:val="00A47AF7"/>
    <w:rsid w:val="00A47C3E"/>
    <w:rsid w:val="00A50226"/>
    <w:rsid w:val="00A55444"/>
    <w:rsid w:val="00A60BAD"/>
    <w:rsid w:val="00A66A69"/>
    <w:rsid w:val="00A75D43"/>
    <w:rsid w:val="00A769B1"/>
    <w:rsid w:val="00A76EA2"/>
    <w:rsid w:val="00A77F87"/>
    <w:rsid w:val="00A80B5B"/>
    <w:rsid w:val="00A83026"/>
    <w:rsid w:val="00A83732"/>
    <w:rsid w:val="00A84E36"/>
    <w:rsid w:val="00A964D1"/>
    <w:rsid w:val="00AA076D"/>
    <w:rsid w:val="00AA0ED0"/>
    <w:rsid w:val="00AA0F3B"/>
    <w:rsid w:val="00AA2A76"/>
    <w:rsid w:val="00AA4A67"/>
    <w:rsid w:val="00AC1D61"/>
    <w:rsid w:val="00AC2B40"/>
    <w:rsid w:val="00AC2BB2"/>
    <w:rsid w:val="00AC2C3C"/>
    <w:rsid w:val="00AC512D"/>
    <w:rsid w:val="00AC7C67"/>
    <w:rsid w:val="00AD0083"/>
    <w:rsid w:val="00AD21A4"/>
    <w:rsid w:val="00AD3935"/>
    <w:rsid w:val="00AD4838"/>
    <w:rsid w:val="00AE3FC5"/>
    <w:rsid w:val="00AE6262"/>
    <w:rsid w:val="00AE65EB"/>
    <w:rsid w:val="00AE67A7"/>
    <w:rsid w:val="00AE6F04"/>
    <w:rsid w:val="00AF1D94"/>
    <w:rsid w:val="00AF6080"/>
    <w:rsid w:val="00AF60C5"/>
    <w:rsid w:val="00B009C6"/>
    <w:rsid w:val="00B01548"/>
    <w:rsid w:val="00B04AD1"/>
    <w:rsid w:val="00B058FA"/>
    <w:rsid w:val="00B0758B"/>
    <w:rsid w:val="00B13EBD"/>
    <w:rsid w:val="00B17704"/>
    <w:rsid w:val="00B21D29"/>
    <w:rsid w:val="00B22E42"/>
    <w:rsid w:val="00B25034"/>
    <w:rsid w:val="00B271C9"/>
    <w:rsid w:val="00B33588"/>
    <w:rsid w:val="00B33863"/>
    <w:rsid w:val="00B37D17"/>
    <w:rsid w:val="00B4175E"/>
    <w:rsid w:val="00B41C85"/>
    <w:rsid w:val="00B43416"/>
    <w:rsid w:val="00B452CE"/>
    <w:rsid w:val="00B5345D"/>
    <w:rsid w:val="00B54493"/>
    <w:rsid w:val="00B54C25"/>
    <w:rsid w:val="00B6138F"/>
    <w:rsid w:val="00B76B91"/>
    <w:rsid w:val="00B77EB1"/>
    <w:rsid w:val="00B811C6"/>
    <w:rsid w:val="00B8158C"/>
    <w:rsid w:val="00B855B0"/>
    <w:rsid w:val="00B916AE"/>
    <w:rsid w:val="00B92E08"/>
    <w:rsid w:val="00B96406"/>
    <w:rsid w:val="00BA717D"/>
    <w:rsid w:val="00BB02D9"/>
    <w:rsid w:val="00BC622A"/>
    <w:rsid w:val="00BD4DC6"/>
    <w:rsid w:val="00BE0A78"/>
    <w:rsid w:val="00BE0F79"/>
    <w:rsid w:val="00BE161F"/>
    <w:rsid w:val="00BE79F0"/>
    <w:rsid w:val="00BF046D"/>
    <w:rsid w:val="00BF1190"/>
    <w:rsid w:val="00BF1FE5"/>
    <w:rsid w:val="00BF3774"/>
    <w:rsid w:val="00BF5D04"/>
    <w:rsid w:val="00C009AA"/>
    <w:rsid w:val="00C1164D"/>
    <w:rsid w:val="00C15B46"/>
    <w:rsid w:val="00C16861"/>
    <w:rsid w:val="00C3253F"/>
    <w:rsid w:val="00C346AB"/>
    <w:rsid w:val="00C3570D"/>
    <w:rsid w:val="00C404A6"/>
    <w:rsid w:val="00C40A36"/>
    <w:rsid w:val="00C40E94"/>
    <w:rsid w:val="00C423FB"/>
    <w:rsid w:val="00C44419"/>
    <w:rsid w:val="00C45E7B"/>
    <w:rsid w:val="00C46409"/>
    <w:rsid w:val="00C471B1"/>
    <w:rsid w:val="00C52E24"/>
    <w:rsid w:val="00C61092"/>
    <w:rsid w:val="00C6316B"/>
    <w:rsid w:val="00C634A9"/>
    <w:rsid w:val="00C64586"/>
    <w:rsid w:val="00C70D53"/>
    <w:rsid w:val="00C73D0B"/>
    <w:rsid w:val="00C7411C"/>
    <w:rsid w:val="00C75F57"/>
    <w:rsid w:val="00C76EAD"/>
    <w:rsid w:val="00C772FF"/>
    <w:rsid w:val="00C80137"/>
    <w:rsid w:val="00C801AF"/>
    <w:rsid w:val="00C80256"/>
    <w:rsid w:val="00C8296D"/>
    <w:rsid w:val="00C85182"/>
    <w:rsid w:val="00C94CD4"/>
    <w:rsid w:val="00C9747E"/>
    <w:rsid w:val="00CA7644"/>
    <w:rsid w:val="00CB08AF"/>
    <w:rsid w:val="00CB369F"/>
    <w:rsid w:val="00CB6BC0"/>
    <w:rsid w:val="00CC1B7C"/>
    <w:rsid w:val="00CC445A"/>
    <w:rsid w:val="00CC57A7"/>
    <w:rsid w:val="00CC727F"/>
    <w:rsid w:val="00CD0A73"/>
    <w:rsid w:val="00CD20AF"/>
    <w:rsid w:val="00CE6349"/>
    <w:rsid w:val="00CF15C3"/>
    <w:rsid w:val="00CF1BBC"/>
    <w:rsid w:val="00CF2B6F"/>
    <w:rsid w:val="00CF2F3E"/>
    <w:rsid w:val="00CF58B6"/>
    <w:rsid w:val="00CF6016"/>
    <w:rsid w:val="00D0062D"/>
    <w:rsid w:val="00D017ED"/>
    <w:rsid w:val="00D040D3"/>
    <w:rsid w:val="00D04C65"/>
    <w:rsid w:val="00D153D8"/>
    <w:rsid w:val="00D201D2"/>
    <w:rsid w:val="00D224FE"/>
    <w:rsid w:val="00D23139"/>
    <w:rsid w:val="00D2414F"/>
    <w:rsid w:val="00D25495"/>
    <w:rsid w:val="00D36A72"/>
    <w:rsid w:val="00D425BB"/>
    <w:rsid w:val="00D453FA"/>
    <w:rsid w:val="00D53AC4"/>
    <w:rsid w:val="00D56D5C"/>
    <w:rsid w:val="00D6493E"/>
    <w:rsid w:val="00D7195D"/>
    <w:rsid w:val="00D72581"/>
    <w:rsid w:val="00D72D0D"/>
    <w:rsid w:val="00D7301E"/>
    <w:rsid w:val="00D75571"/>
    <w:rsid w:val="00D75F01"/>
    <w:rsid w:val="00D80561"/>
    <w:rsid w:val="00D83AE1"/>
    <w:rsid w:val="00D83E16"/>
    <w:rsid w:val="00D847F7"/>
    <w:rsid w:val="00D855D4"/>
    <w:rsid w:val="00D86773"/>
    <w:rsid w:val="00D902C9"/>
    <w:rsid w:val="00D927DB"/>
    <w:rsid w:val="00D93466"/>
    <w:rsid w:val="00D97C92"/>
    <w:rsid w:val="00DA1124"/>
    <w:rsid w:val="00DA2510"/>
    <w:rsid w:val="00DB06B8"/>
    <w:rsid w:val="00DB0AED"/>
    <w:rsid w:val="00DB6124"/>
    <w:rsid w:val="00DB750B"/>
    <w:rsid w:val="00DB75B7"/>
    <w:rsid w:val="00DC0A2F"/>
    <w:rsid w:val="00DC50DF"/>
    <w:rsid w:val="00DC6C8D"/>
    <w:rsid w:val="00DC6E02"/>
    <w:rsid w:val="00DD28CD"/>
    <w:rsid w:val="00DD3D1D"/>
    <w:rsid w:val="00DD7636"/>
    <w:rsid w:val="00DE02AE"/>
    <w:rsid w:val="00DE39D1"/>
    <w:rsid w:val="00DE3CDA"/>
    <w:rsid w:val="00DF1D7F"/>
    <w:rsid w:val="00DF2A39"/>
    <w:rsid w:val="00DF4BE4"/>
    <w:rsid w:val="00DF6167"/>
    <w:rsid w:val="00DF71AA"/>
    <w:rsid w:val="00E02382"/>
    <w:rsid w:val="00E02FB4"/>
    <w:rsid w:val="00E0317F"/>
    <w:rsid w:val="00E13FC7"/>
    <w:rsid w:val="00E20571"/>
    <w:rsid w:val="00E235F7"/>
    <w:rsid w:val="00E23659"/>
    <w:rsid w:val="00E239D4"/>
    <w:rsid w:val="00E255D0"/>
    <w:rsid w:val="00E26130"/>
    <w:rsid w:val="00E27356"/>
    <w:rsid w:val="00E307E7"/>
    <w:rsid w:val="00E35D2F"/>
    <w:rsid w:val="00E360C9"/>
    <w:rsid w:val="00E40962"/>
    <w:rsid w:val="00E40B22"/>
    <w:rsid w:val="00E4169D"/>
    <w:rsid w:val="00E44ED1"/>
    <w:rsid w:val="00E45619"/>
    <w:rsid w:val="00E4588F"/>
    <w:rsid w:val="00E46DA3"/>
    <w:rsid w:val="00E47C75"/>
    <w:rsid w:val="00E51BB1"/>
    <w:rsid w:val="00E52B94"/>
    <w:rsid w:val="00E54019"/>
    <w:rsid w:val="00E55CB0"/>
    <w:rsid w:val="00E624A5"/>
    <w:rsid w:val="00E64BA4"/>
    <w:rsid w:val="00E70ADD"/>
    <w:rsid w:val="00E7344E"/>
    <w:rsid w:val="00E822EB"/>
    <w:rsid w:val="00E82665"/>
    <w:rsid w:val="00EA09AA"/>
    <w:rsid w:val="00EA1AAA"/>
    <w:rsid w:val="00EA2B66"/>
    <w:rsid w:val="00EB0798"/>
    <w:rsid w:val="00EB1138"/>
    <w:rsid w:val="00EB40AD"/>
    <w:rsid w:val="00EB586E"/>
    <w:rsid w:val="00EB5FC8"/>
    <w:rsid w:val="00EC433F"/>
    <w:rsid w:val="00EC463D"/>
    <w:rsid w:val="00EC7347"/>
    <w:rsid w:val="00EC7A85"/>
    <w:rsid w:val="00ED1074"/>
    <w:rsid w:val="00ED2922"/>
    <w:rsid w:val="00ED3530"/>
    <w:rsid w:val="00ED3CAD"/>
    <w:rsid w:val="00ED5A41"/>
    <w:rsid w:val="00EE1DE8"/>
    <w:rsid w:val="00EE27C2"/>
    <w:rsid w:val="00EE5BE9"/>
    <w:rsid w:val="00EF16A8"/>
    <w:rsid w:val="00EF2906"/>
    <w:rsid w:val="00EF4061"/>
    <w:rsid w:val="00EF4784"/>
    <w:rsid w:val="00EF4BAD"/>
    <w:rsid w:val="00EF59DC"/>
    <w:rsid w:val="00F0221F"/>
    <w:rsid w:val="00F033EC"/>
    <w:rsid w:val="00F0343F"/>
    <w:rsid w:val="00F04D66"/>
    <w:rsid w:val="00F04F68"/>
    <w:rsid w:val="00F12670"/>
    <w:rsid w:val="00F14B27"/>
    <w:rsid w:val="00F15778"/>
    <w:rsid w:val="00F23B8E"/>
    <w:rsid w:val="00F3148D"/>
    <w:rsid w:val="00F325C5"/>
    <w:rsid w:val="00F32FE0"/>
    <w:rsid w:val="00F35298"/>
    <w:rsid w:val="00F37AFA"/>
    <w:rsid w:val="00F43A80"/>
    <w:rsid w:val="00F4407B"/>
    <w:rsid w:val="00F46CB3"/>
    <w:rsid w:val="00F47333"/>
    <w:rsid w:val="00F47E37"/>
    <w:rsid w:val="00F53C07"/>
    <w:rsid w:val="00F54B65"/>
    <w:rsid w:val="00F640B6"/>
    <w:rsid w:val="00F66DF2"/>
    <w:rsid w:val="00F71A02"/>
    <w:rsid w:val="00F721E1"/>
    <w:rsid w:val="00F757D3"/>
    <w:rsid w:val="00F80E40"/>
    <w:rsid w:val="00F82956"/>
    <w:rsid w:val="00F82AB6"/>
    <w:rsid w:val="00F848D9"/>
    <w:rsid w:val="00FA5069"/>
    <w:rsid w:val="00FA5B82"/>
    <w:rsid w:val="00FA639E"/>
    <w:rsid w:val="00FA7E60"/>
    <w:rsid w:val="00FC1FCA"/>
    <w:rsid w:val="00FC25E4"/>
    <w:rsid w:val="00FC4EF7"/>
    <w:rsid w:val="00FC6ADC"/>
    <w:rsid w:val="00FC7CD1"/>
    <w:rsid w:val="00FD0824"/>
    <w:rsid w:val="00FD0DFE"/>
    <w:rsid w:val="00FD119B"/>
    <w:rsid w:val="00FD1EDC"/>
    <w:rsid w:val="00FD3BDB"/>
    <w:rsid w:val="00FE1DEE"/>
    <w:rsid w:val="00FE6A57"/>
    <w:rsid w:val="00FF0F5C"/>
    <w:rsid w:val="00FF2126"/>
    <w:rsid w:val="00FF2F71"/>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733E20F8"/>
  <w15:docId w15:val="{5065C634-6BC8-4E85-B018-2CAFA20B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572B43"/>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CaptionChar">
    <w:name w:val="Caption Char"/>
    <w:link w:val="Caption"/>
    <w:rsid w:val="00960170"/>
    <w:rPr>
      <w:rFonts w:ascii="Cambria" w:eastAsia="Cambria" w:hAnsi="Cambria" w:cs="Times New Roman"/>
      <w:sz w:val="19"/>
      <w:szCs w:val="18"/>
    </w:rPr>
  </w:style>
  <w:style w:type="paragraph" w:customStyle="1" w:styleId="DrugEvalHeading4">
    <w:name w:val="Drug Eval Heading 4"/>
    <w:basedOn w:val="Heading4"/>
    <w:next w:val="Normal"/>
    <w:rsid w:val="006F6704"/>
    <w:pPr>
      <w:numPr>
        <w:ilvl w:val="3"/>
        <w:numId w:val="32"/>
      </w:numPr>
      <w:tabs>
        <w:tab w:val="num" w:pos="1134"/>
      </w:tabs>
      <w:spacing w:before="0" w:after="120" w:line="240" w:lineRule="auto"/>
      <w:outlineLvl w:val="4"/>
    </w:pPr>
    <w:rPr>
      <w:rFonts w:eastAsia="MS Mincho"/>
      <w:lang w:eastAsia="ja-JP"/>
    </w:rPr>
  </w:style>
  <w:style w:type="paragraph" w:customStyle="1" w:styleId="DrugEvalHeading3">
    <w:name w:val="Drug Eval Heading 3"/>
    <w:basedOn w:val="DrugEvalHeading4"/>
    <w:next w:val="Normal"/>
    <w:autoRedefine/>
    <w:rsid w:val="006F6704"/>
    <w:pPr>
      <w:numPr>
        <w:ilvl w:val="2"/>
      </w:numPr>
      <w:outlineLvl w:val="2"/>
    </w:pPr>
    <w:rPr>
      <w:sz w:val="24"/>
      <w:szCs w:val="24"/>
    </w:rPr>
  </w:style>
  <w:style w:type="paragraph" w:customStyle="1" w:styleId="DrugEvalHeading1">
    <w:name w:val="Drug Eval Heading 1"/>
    <w:basedOn w:val="Heading2"/>
    <w:next w:val="Normal"/>
    <w:rsid w:val="006F6704"/>
    <w:pPr>
      <w:numPr>
        <w:numId w:val="32"/>
      </w:numPr>
      <w:tabs>
        <w:tab w:val="clear" w:pos="567"/>
        <w:tab w:val="num" w:pos="360"/>
      </w:tabs>
      <w:adjustRightInd w:val="0"/>
      <w:snapToGrid w:val="0"/>
      <w:ind w:left="0" w:firstLine="0"/>
    </w:pPr>
    <w:rPr>
      <w:rFonts w:eastAsia="Cambria"/>
      <w:lang w:eastAsia="ja-JP"/>
    </w:rPr>
  </w:style>
  <w:style w:type="paragraph" w:customStyle="1" w:styleId="DrugEvalHeading2">
    <w:name w:val="Drug Eval Heading 2"/>
    <w:basedOn w:val="Heading3"/>
    <w:next w:val="Normal"/>
    <w:rsid w:val="00EC7347"/>
    <w:pPr>
      <w:adjustRightInd w:val="0"/>
      <w:snapToGrid w:val="0"/>
      <w:spacing w:before="400" w:after="120"/>
      <w:ind w:left="720" w:hanging="360"/>
    </w:pPr>
    <w:rPr>
      <w:rFonts w:eastAsia="Cambria"/>
      <w:lang w:eastAsia="ja-JP"/>
    </w:rPr>
  </w:style>
  <w:style w:type="paragraph" w:customStyle="1" w:styleId="TableHeader">
    <w:name w:val="Table Header"/>
    <w:basedOn w:val="Normal"/>
    <w:rsid w:val="00D847F7"/>
    <w:pPr>
      <w:keepNext/>
      <w:keepLines/>
      <w:widowControl w:val="0"/>
      <w:spacing w:before="60" w:after="60" w:line="200" w:lineRule="exact"/>
      <w:jc w:val="center"/>
    </w:pPr>
    <w:rPr>
      <w:rFonts w:eastAsia="MS Mincho" w:cstheme="minorBidi"/>
      <w:b/>
      <w:kern w:val="2"/>
      <w:sz w:val="19"/>
      <w:szCs w:val="19"/>
    </w:rPr>
  </w:style>
  <w:style w:type="paragraph" w:customStyle="1" w:styleId="Tablefootnote">
    <w:name w:val="Table footnote"/>
    <w:basedOn w:val="Normal"/>
    <w:next w:val="Normal"/>
    <w:qFormat/>
    <w:rsid w:val="00D847F7"/>
    <w:pPr>
      <w:spacing w:before="20" w:after="20" w:line="21" w:lineRule="atLeast"/>
    </w:pPr>
    <w:rPr>
      <w:rFonts w:eastAsia="MS Mincho" w:cstheme="minorBidi"/>
      <w:sz w:val="18"/>
      <w:lang w:val="en-GB"/>
    </w:rPr>
  </w:style>
  <w:style w:type="paragraph" w:customStyle="1" w:styleId="Default">
    <w:name w:val="Default"/>
    <w:rsid w:val="00AC1D61"/>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basedOn w:val="Normal"/>
    <w:link w:val="StandardChar"/>
    <w:qFormat/>
    <w:rsid w:val="005630A4"/>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630A4"/>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5630A4"/>
    <w:pPr>
      <w:numPr>
        <w:numId w:val="35"/>
      </w:numPr>
      <w:spacing w:after="180"/>
      <w:ind w:left="426" w:hanging="284"/>
    </w:pPr>
    <w:rPr>
      <w:kern w:val="2"/>
    </w:rPr>
  </w:style>
  <w:style w:type="character" w:customStyle="1" w:styleId="TabletextChar">
    <w:name w:val="Table text Char"/>
    <w:basedOn w:val="StandardChar"/>
    <w:link w:val="Tabletext"/>
    <w:rsid w:val="005630A4"/>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5630A4"/>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rsid w:val="005630A4"/>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5630A4"/>
    <w:rPr>
      <w:rFonts w:ascii="Cambria" w:eastAsia="Times New Roman" w:hAnsi="Cambria" w:cs="Times New Roman"/>
      <w:b/>
      <w:snapToGrid w:val="0"/>
      <w:kern w:val="16"/>
      <w:sz w:val="20"/>
      <w:szCs w:val="24"/>
    </w:rPr>
  </w:style>
  <w:style w:type="paragraph" w:styleId="ListParagraph">
    <w:name w:val="List Paragraph"/>
    <w:basedOn w:val="Normal"/>
    <w:uiPriority w:val="34"/>
    <w:qFormat/>
    <w:rsid w:val="005630A4"/>
    <w:pPr>
      <w:adjustRightInd w:val="0"/>
      <w:snapToGrid w:val="0"/>
      <w:spacing w:before="180" w:after="180"/>
      <w:ind w:left="720"/>
      <w:contextualSpacing/>
    </w:pPr>
    <w:rPr>
      <w:rFonts w:eastAsia="MS Mincho"/>
      <w:szCs w:val="20"/>
      <w:lang w:eastAsia="ja-JP"/>
    </w:rPr>
  </w:style>
  <w:style w:type="paragraph" w:customStyle="1" w:styleId="TableCaption">
    <w:name w:val="Table Caption"/>
    <w:basedOn w:val="Normal"/>
    <w:next w:val="Normal"/>
    <w:link w:val="TableCaptionChar"/>
    <w:rsid w:val="00550D61"/>
    <w:pPr>
      <w:spacing w:before="60" w:after="440" w:line="215" w:lineRule="exact"/>
      <w:ind w:left="170"/>
    </w:pPr>
    <w:rPr>
      <w:rFonts w:eastAsia="Times New Roman"/>
      <w:snapToGrid w:val="0"/>
      <w:kern w:val="16"/>
      <w:sz w:val="18"/>
      <w:szCs w:val="19"/>
    </w:rPr>
  </w:style>
  <w:style w:type="character" w:customStyle="1" w:styleId="TableTitleChar">
    <w:name w:val="Table Title Char"/>
    <w:basedOn w:val="DefaultParagraphFont"/>
    <w:link w:val="TableTitle"/>
    <w:rsid w:val="00550D61"/>
    <w:rPr>
      <w:rFonts w:ascii="Cambria" w:eastAsia="Cambria" w:hAnsi="Cambria" w:cs="Times New Roman"/>
      <w:b/>
    </w:rPr>
  </w:style>
  <w:style w:type="character" w:customStyle="1" w:styleId="TableCaptionChar">
    <w:name w:val="Table Caption Char"/>
    <w:basedOn w:val="DefaultParagraphFont"/>
    <w:link w:val="TableCaption"/>
    <w:rsid w:val="00550D61"/>
    <w:rPr>
      <w:rFonts w:ascii="Cambria" w:eastAsia="Times New Roman" w:hAnsi="Cambria" w:cs="Times New Roman"/>
      <w:snapToGrid w:val="0"/>
      <w:kern w:val="16"/>
      <w:sz w:val="18"/>
      <w:szCs w:val="19"/>
    </w:rPr>
  </w:style>
  <w:style w:type="paragraph" w:styleId="NormalWeb">
    <w:name w:val="Normal (Web)"/>
    <w:basedOn w:val="Normal"/>
    <w:uiPriority w:val="99"/>
    <w:semiHidden/>
    <w:unhideWhenUsed/>
    <w:rsid w:val="00404F6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19955">
      <w:bodyDiv w:val="1"/>
      <w:marLeft w:val="0"/>
      <w:marRight w:val="0"/>
      <w:marTop w:val="0"/>
      <w:marBottom w:val="0"/>
      <w:divBdr>
        <w:top w:val="none" w:sz="0" w:space="0" w:color="auto"/>
        <w:left w:val="none" w:sz="0" w:space="0" w:color="auto"/>
        <w:bottom w:val="none" w:sz="0" w:space="0" w:color="auto"/>
        <w:right w:val="none" w:sz="0" w:space="0" w:color="auto"/>
      </w:divBdr>
    </w:div>
    <w:div w:id="267785655">
      <w:bodyDiv w:val="1"/>
      <w:marLeft w:val="0"/>
      <w:marRight w:val="0"/>
      <w:marTop w:val="0"/>
      <w:marBottom w:val="0"/>
      <w:divBdr>
        <w:top w:val="none" w:sz="0" w:space="0" w:color="auto"/>
        <w:left w:val="none" w:sz="0" w:space="0" w:color="auto"/>
        <w:bottom w:val="none" w:sz="0" w:space="0" w:color="auto"/>
        <w:right w:val="none" w:sz="0" w:space="0" w:color="auto"/>
      </w:divBdr>
    </w:div>
    <w:div w:id="361788769">
      <w:bodyDiv w:val="1"/>
      <w:marLeft w:val="0"/>
      <w:marRight w:val="0"/>
      <w:marTop w:val="0"/>
      <w:marBottom w:val="0"/>
      <w:divBdr>
        <w:top w:val="none" w:sz="0" w:space="0" w:color="auto"/>
        <w:left w:val="none" w:sz="0" w:space="0" w:color="auto"/>
        <w:bottom w:val="none" w:sz="0" w:space="0" w:color="auto"/>
        <w:right w:val="none" w:sz="0" w:space="0" w:color="auto"/>
      </w:divBdr>
    </w:div>
    <w:div w:id="907038289">
      <w:bodyDiv w:val="1"/>
      <w:marLeft w:val="0"/>
      <w:marRight w:val="0"/>
      <w:marTop w:val="0"/>
      <w:marBottom w:val="0"/>
      <w:divBdr>
        <w:top w:val="none" w:sz="0" w:space="0" w:color="auto"/>
        <w:left w:val="none" w:sz="0" w:space="0" w:color="auto"/>
        <w:bottom w:val="none" w:sz="0" w:space="0" w:color="auto"/>
        <w:right w:val="none" w:sz="0" w:space="0" w:color="auto"/>
      </w:divBdr>
    </w:div>
    <w:div w:id="959721878">
      <w:bodyDiv w:val="1"/>
      <w:marLeft w:val="0"/>
      <w:marRight w:val="0"/>
      <w:marTop w:val="0"/>
      <w:marBottom w:val="0"/>
      <w:divBdr>
        <w:top w:val="none" w:sz="0" w:space="0" w:color="auto"/>
        <w:left w:val="none" w:sz="0" w:space="0" w:color="auto"/>
        <w:bottom w:val="none" w:sz="0" w:space="0" w:color="auto"/>
        <w:right w:val="none" w:sz="0" w:space="0" w:color="auto"/>
      </w:divBdr>
    </w:div>
    <w:div w:id="994338033">
      <w:bodyDiv w:val="1"/>
      <w:marLeft w:val="0"/>
      <w:marRight w:val="0"/>
      <w:marTop w:val="0"/>
      <w:marBottom w:val="0"/>
      <w:divBdr>
        <w:top w:val="none" w:sz="0" w:space="0" w:color="auto"/>
        <w:left w:val="none" w:sz="0" w:space="0" w:color="auto"/>
        <w:bottom w:val="none" w:sz="0" w:space="0" w:color="auto"/>
        <w:right w:val="none" w:sz="0" w:space="0" w:color="auto"/>
      </w:divBdr>
    </w:div>
    <w:div w:id="1079600100">
      <w:bodyDiv w:val="1"/>
      <w:marLeft w:val="0"/>
      <w:marRight w:val="0"/>
      <w:marTop w:val="0"/>
      <w:marBottom w:val="0"/>
      <w:divBdr>
        <w:top w:val="none" w:sz="0" w:space="0" w:color="auto"/>
        <w:left w:val="none" w:sz="0" w:space="0" w:color="auto"/>
        <w:bottom w:val="none" w:sz="0" w:space="0" w:color="auto"/>
        <w:right w:val="none" w:sz="0" w:space="0" w:color="auto"/>
      </w:divBdr>
    </w:div>
    <w:div w:id="1114128426">
      <w:bodyDiv w:val="1"/>
      <w:marLeft w:val="0"/>
      <w:marRight w:val="0"/>
      <w:marTop w:val="0"/>
      <w:marBottom w:val="0"/>
      <w:divBdr>
        <w:top w:val="none" w:sz="0" w:space="0" w:color="auto"/>
        <w:left w:val="none" w:sz="0" w:space="0" w:color="auto"/>
        <w:bottom w:val="none" w:sz="0" w:space="0" w:color="auto"/>
        <w:right w:val="none" w:sz="0" w:space="0" w:color="auto"/>
      </w:divBdr>
    </w:div>
    <w:div w:id="1172647608">
      <w:bodyDiv w:val="1"/>
      <w:marLeft w:val="0"/>
      <w:marRight w:val="0"/>
      <w:marTop w:val="0"/>
      <w:marBottom w:val="0"/>
      <w:divBdr>
        <w:top w:val="none" w:sz="0" w:space="0" w:color="auto"/>
        <w:left w:val="none" w:sz="0" w:space="0" w:color="auto"/>
        <w:bottom w:val="none" w:sz="0" w:space="0" w:color="auto"/>
        <w:right w:val="none" w:sz="0" w:space="0" w:color="auto"/>
      </w:divBdr>
    </w:div>
    <w:div w:id="1483154203">
      <w:bodyDiv w:val="1"/>
      <w:marLeft w:val="0"/>
      <w:marRight w:val="0"/>
      <w:marTop w:val="0"/>
      <w:marBottom w:val="0"/>
      <w:divBdr>
        <w:top w:val="none" w:sz="0" w:space="0" w:color="auto"/>
        <w:left w:val="none" w:sz="0" w:space="0" w:color="auto"/>
        <w:bottom w:val="none" w:sz="0" w:space="0" w:color="auto"/>
        <w:right w:val="none" w:sz="0" w:space="0" w:color="auto"/>
      </w:divBdr>
    </w:div>
    <w:div w:id="1708524891">
      <w:bodyDiv w:val="1"/>
      <w:marLeft w:val="0"/>
      <w:marRight w:val="0"/>
      <w:marTop w:val="0"/>
      <w:marBottom w:val="0"/>
      <w:divBdr>
        <w:top w:val="none" w:sz="0" w:space="0" w:color="auto"/>
        <w:left w:val="none" w:sz="0" w:space="0" w:color="auto"/>
        <w:bottom w:val="none" w:sz="0" w:space="0" w:color="auto"/>
        <w:right w:val="none" w:sz="0" w:space="0" w:color="auto"/>
      </w:divBdr>
    </w:div>
    <w:div w:id="1720399844">
      <w:bodyDiv w:val="1"/>
      <w:marLeft w:val="0"/>
      <w:marRight w:val="0"/>
      <w:marTop w:val="0"/>
      <w:marBottom w:val="0"/>
      <w:divBdr>
        <w:top w:val="none" w:sz="0" w:space="0" w:color="auto"/>
        <w:left w:val="none" w:sz="0" w:space="0" w:color="auto"/>
        <w:bottom w:val="none" w:sz="0" w:space="0" w:color="auto"/>
        <w:right w:val="none" w:sz="0" w:space="0" w:color="auto"/>
      </w:divBdr>
    </w:div>
    <w:div w:id="1805930120">
      <w:bodyDiv w:val="1"/>
      <w:marLeft w:val="0"/>
      <w:marRight w:val="0"/>
      <w:marTop w:val="0"/>
      <w:marBottom w:val="0"/>
      <w:divBdr>
        <w:top w:val="none" w:sz="0" w:space="0" w:color="auto"/>
        <w:left w:val="none" w:sz="0" w:space="0" w:color="auto"/>
        <w:bottom w:val="none" w:sz="0" w:space="0" w:color="auto"/>
        <w:right w:val="none" w:sz="0" w:space="0" w:color="auto"/>
      </w:divBdr>
    </w:div>
    <w:div w:id="1826821418">
      <w:bodyDiv w:val="1"/>
      <w:marLeft w:val="0"/>
      <w:marRight w:val="0"/>
      <w:marTop w:val="0"/>
      <w:marBottom w:val="0"/>
      <w:divBdr>
        <w:top w:val="none" w:sz="0" w:space="0" w:color="auto"/>
        <w:left w:val="none" w:sz="0" w:space="0" w:color="auto"/>
        <w:bottom w:val="none" w:sz="0" w:space="0" w:color="auto"/>
        <w:right w:val="none" w:sz="0" w:space="0" w:color="auto"/>
      </w:divBdr>
    </w:div>
    <w:div w:id="1956446791">
      <w:bodyDiv w:val="1"/>
      <w:marLeft w:val="0"/>
      <w:marRight w:val="0"/>
      <w:marTop w:val="0"/>
      <w:marBottom w:val="0"/>
      <w:divBdr>
        <w:top w:val="none" w:sz="0" w:space="0" w:color="auto"/>
        <w:left w:val="none" w:sz="0" w:space="0" w:color="auto"/>
        <w:bottom w:val="none" w:sz="0" w:space="0" w:color="auto"/>
        <w:right w:val="none" w:sz="0" w:space="0" w:color="auto"/>
      </w:divBdr>
    </w:div>
    <w:div w:id="210109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 TargetMode="External"/><Relationship Id="rId18" Type="http://schemas.openxmlformats.org/officeDocument/2006/relationships/hyperlink" Target="https://www.tga.gov.au/product-information-pi" TargetMode="External"/><Relationship Id="rId26" Type="http://schemas.openxmlformats.org/officeDocument/2006/relationships/image" Target="media/image10.png"/><Relationship Id="rId39" Type="http://schemas.openxmlformats.org/officeDocument/2006/relationships/hyperlink" Target="http://www.tga.gov.au/ws-labs-index"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eader" Target="header4.xml"/><Relationship Id="rId68" Type="http://schemas.openxmlformats.org/officeDocument/2006/relationships/header" Target="header6.xml"/><Relationship Id="rId7" Type="http://schemas.openxmlformats.org/officeDocument/2006/relationships/numbering" Target="numbering.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mailto:Testing@health.gov.au" TargetMode="Externa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mailto:Testing@health.gov.au" TargetMode="External"/><Relationship Id="rId66" Type="http://schemas.openxmlformats.org/officeDocument/2006/relationships/hyperlink" Target="mailto:info@tga.gov.au"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hyperlink" Target="http://www.tga.gov.au/ws-labsindex" TargetMode="External"/><Relationship Id="rId61" Type="http://schemas.openxmlformats.org/officeDocument/2006/relationships/hyperlink" Target="https://www.tga.gov.au/product-information-pi" TargetMode="Externa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s://www.tga.gov.au/guidance-7-certified-product-details" TargetMode="External"/><Relationship Id="rId65" Type="http://schemas.openxmlformats.org/officeDocument/2006/relationships/footer" Target="footer2.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tga.copyright@tga.gov.a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eader" Target="header5.xml"/><Relationship Id="rId69" Type="http://schemas.openxmlformats.org/officeDocument/2006/relationships/header" Target="header7.xml"/><Relationship Id="rId8" Type="http://schemas.openxmlformats.org/officeDocument/2006/relationships/styles" Target="styles.xml"/><Relationship Id="rId51" Type="http://schemas.openxmlformats.org/officeDocument/2006/relationships/image" Target="media/image32.png"/><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hyperlink" Target="https://www.tga.gov.au/publication/testing-biological-medicines" TargetMode="External"/><Relationship Id="rId67" Type="http://schemas.openxmlformats.org/officeDocument/2006/relationships/hyperlink" Target="https://www.tga.gov.au" TargetMode="External"/><Relationship Id="rId20" Type="http://schemas.openxmlformats.org/officeDocument/2006/relationships/image" Target="media/image4.png"/><Relationship Id="rId41" Type="http://schemas.openxmlformats.org/officeDocument/2006/relationships/hyperlink" Target="https://www.tga.gov.au/publication/testing-biological-medicines" TargetMode="External"/><Relationship Id="rId54" Type="http://schemas.openxmlformats.org/officeDocument/2006/relationships/image" Target="media/image35.png"/><Relationship Id="rId62" Type="http://schemas.openxmlformats.org/officeDocument/2006/relationships/header" Target="header3.xm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 Type="http://schemas.openxmlformats.org/officeDocument/2006/relationships/hyperlink" Target="https://www.ema.europa.eu/en/glossary/ich"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729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S i m c y p D a t a   x m l n s = " h t t p : / / w w w . s i m c y p . c o m / " >  
     < C h a r t s / >  
     < R e s u l t s T a b l e s / >  
     < I n p u t T a b l e s / >  
 < / S i m c y p D a t a > 
</file>

<file path=customXml/item2.xml><?xml version="1.0" encoding="utf-8"?>
<?mso-contentType ?>
<SharedContentType xmlns="Microsoft.SharePoint.Taxonomy.ContentTypeSync" SourceId="dc7d05db-9a88-43f7-9979-b3027636d983"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EnterpriseDocumentLanguageTaxHTField0 xmlns="33648e8c-5399-4ce0-994e-2f4ddb1c4614">
      <Terms xmlns="http://schemas.microsoft.com/office/infopath/2007/PartnerControls">
        <TermInfo xmlns="http://schemas.microsoft.com/office/infopath/2007/PartnerControls">
          <TermName xmlns="http://schemas.microsoft.com/office/infopath/2007/PartnerControls">eng</TermName>
          <TermId xmlns="http://schemas.microsoft.com/office/infopath/2007/PartnerControls">39540796-0396-4e54-afe9-a602f28bbe8f</TermId>
        </TermInfo>
      </Terms>
    </EnterpriseDocumentLanguageTaxHTField0>
    <Category xmlns="0f6e5442-d308-475e-a0f0-3200f4003621" xsi:nil="true"/>
    <EnterpriseRecordSeriesCodeTaxHTField0 xmlns="33648e8c-5399-4ce0-994e-2f4ddb1c4614">
      <Terms xmlns="http://schemas.microsoft.com/office/infopath/2007/PartnerControls">
        <TermInfo xmlns="http://schemas.microsoft.com/office/infopath/2007/PartnerControls">
          <TermName xmlns="http://schemas.microsoft.com/office/infopath/2007/PartnerControls">ADM130</TermName>
          <TermId xmlns="http://schemas.microsoft.com/office/infopath/2007/PartnerControls">70dc3311-3e76-421c-abfa-d108df48853c</TermId>
        </TermInfo>
      </Terms>
    </EnterpriseRecordSeriesCodeTaxHTField0>
    <Agency xmlns="0f6e5442-d308-475e-a0f0-3200f4003621">Australia TGA</Agency>
    <TaxCatchAll xmlns="33648e8c-5399-4ce0-994e-2f4ddb1c4614">
      <Value>2</Value>
      <Value>1</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7E29D019BD4F54EB1142FD6BE4C0D7F" ma:contentTypeVersion="5" ma:contentTypeDescription="Create a new document." ma:contentTypeScope="" ma:versionID="770771782ce3772502d86e9f81cb3ba5">
  <xsd:schema xmlns:xsd="http://www.w3.org/2001/XMLSchema" xmlns:xs="http://www.w3.org/2001/XMLSchema" xmlns:p="http://schemas.microsoft.com/office/2006/metadata/properties" xmlns:ns2="33648e8c-5399-4ce0-994e-2f4ddb1c4614" xmlns:ns3="0f6e5442-d308-475e-a0f0-3200f4003621" targetNamespace="http://schemas.microsoft.com/office/2006/metadata/properties" ma:root="true" ma:fieldsID="d627b5bb22df3349a2ee2625286ba5ad" ns2:_="" ns3:_="">
    <xsd:import namespace="33648e8c-5399-4ce0-994e-2f4ddb1c4614"/>
    <xsd:import namespace="0f6e5442-d308-475e-a0f0-3200f4003621"/>
    <xsd:element name="properties">
      <xsd:complexType>
        <xsd:sequence>
          <xsd:element name="documentManagement">
            <xsd:complexType>
              <xsd:all>
                <xsd:element ref="ns2:TaxCatchAll" minOccurs="0"/>
                <xsd:element ref="ns2:TaxCatchAllLabel" minOccurs="0"/>
                <xsd:element ref="ns2:EnterpriseDocumentLanguageTaxHTField0" minOccurs="0"/>
                <xsd:element ref="ns2:EnterpriseRecordSeriesCodeTaxHTField0" minOccurs="0"/>
                <xsd:element ref="ns3:Agency"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48e8c-5399-4ce0-994e-2f4ddb1c4614"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0008f557-8e90-44d6-ada7-980dcc49502e}" ma:internalName="TaxCatchAll" ma:showField="CatchAllData" ma:web="be819735-1c71-4e75-99a2-272953aa6714">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0008f557-8e90-44d6-ada7-980dcc49502e}" ma:internalName="TaxCatchAllLabel" ma:readOnly="true" ma:showField="CatchAllDataLabel" ma:web="be819735-1c71-4e75-99a2-272953aa6714">
      <xsd:complexType>
        <xsd:complexContent>
          <xsd:extension base="dms:MultiChoiceLookup">
            <xsd:sequence>
              <xsd:element name="Value" type="dms:Lookup" maxOccurs="unbounded" minOccurs="0" nillable="true"/>
            </xsd:sequence>
          </xsd:extension>
        </xsd:complexContent>
      </xsd:complexType>
    </xsd:element>
    <xsd:element name="EnterpriseDocumentLanguageTaxHTField0" ma:index="9" ma:taxonomy="true" ma:internalName="EnterpriseDocumentLanguageTaxHTField0" ma:taxonomyFieldName="EnterpriseDocumentLanguage" ma:displayName="Lilly Document Language" ma:readOnly="false" ma:default="2;#eng|39540796-0396-4e54-afe9-a602f28bbe8f" ma:fieldId="{93e5a5e9-0ea5-4512-9a61-30e562d954b4}" ma:sspId="dc7d05db-9a88-43f7-9979-b3027636d983" ma:termSetId="29d92dd9-4caf-4659-961a-1591fcb1f2f5" ma:anchorId="00000000-0000-0000-0000-000000000000" ma:open="false" ma:isKeyword="false">
      <xsd:complexType>
        <xsd:sequence>
          <xsd:element ref="pc:Terms" minOccurs="0" maxOccurs="1"/>
        </xsd:sequence>
      </xsd:complexType>
    </xsd:element>
    <xsd:element name="EnterpriseRecordSeriesCodeTaxHTField0" ma:index="11" ma:taxonomy="true" ma:internalName="EnterpriseRecordSeriesCodeTaxHTField0" ma:taxonomyFieldName="EnterpriseRecordSeriesCode" ma:displayName="Lilly Record Series Code" ma:readOnly="false" ma:default="1;#ADM130|70dc3311-3e76-421c-abfa-d108df48853c" ma:fieldId="{23eb9118-512f-4e30-ae67-b759512ccd2b}" ma:sspId="dc7d05db-9a88-43f7-9979-b3027636d983" ma:termSetId="596d0819-e4b3-4e25-8f9b-94317537e49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6e5442-d308-475e-a0f0-3200f4003621" elementFormDefault="qualified">
    <xsd:import namespace="http://schemas.microsoft.com/office/2006/documentManagement/types"/>
    <xsd:import namespace="http://schemas.microsoft.com/office/infopath/2007/PartnerControls"/>
    <xsd:element name="Agency" ma:index="14" nillable="true" ma:displayName="Agency" ma:format="Dropdown" ma:internalName="Agency">
      <xsd:simpleType>
        <xsd:restriction base="dms:Choice">
          <xsd:enumeration value="EMA"/>
          <xsd:enumeration value="FDA"/>
          <xsd:enumeration value="Swiss Medic"/>
          <xsd:enumeration value="Preparation"/>
          <xsd:enumeration value="Australia TGA"/>
          <xsd:enumeration value="Taiwan"/>
          <xsd:enumeration value="Health Canada"/>
          <xsd:enumeration value="Korea"/>
          <xsd:enumeration value="Brazil"/>
          <xsd:enumeration value="Argentina"/>
          <xsd:enumeration value="Turkey"/>
          <xsd:enumeration value="Israel"/>
          <xsd:enumeration value="Colombia"/>
        </xsd:restriction>
      </xsd:simpleType>
    </xsd:element>
    <xsd:element name="Category" ma:index="15" nillable="true" ma:displayName="Category" ma:format="Dropdown" ma:internalName="Category">
      <xsd:simpleType>
        <xsd:restriction base="dms:Choice">
          <xsd:enumeration value="LoQ and Overview"/>
          <xsd:enumeration value="Quality ARs"/>
          <xsd:enumeration value="Nonclinical ARs"/>
          <xsd:enumeration value="Clinical ARs"/>
          <xsd:enumeration value="RMP ARs"/>
          <xsd:enumeration value="Strategy and Planning"/>
          <xsd:enumeration value="CMC"/>
          <xsd:enumeration value="Cardiovascular"/>
          <xsd:enumeration value="Tumors"/>
          <xsd:enumeration value="Mid-cycle review"/>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BF46F-39C1-49C9-984E-5CA51E657710}">
  <ds:schemaRefs>
    <ds:schemaRef ds:uri="http://www.simcyp.com/"/>
  </ds:schemaRefs>
</ds:datastoreItem>
</file>

<file path=customXml/itemProps2.xml><?xml version="1.0" encoding="utf-8"?>
<ds:datastoreItem xmlns:ds="http://schemas.openxmlformats.org/officeDocument/2006/customXml" ds:itemID="{36B0ED04-B6FC-4E45-AE0D-C7062B7EED1D}">
  <ds:schemaRefs>
    <ds:schemaRef ds:uri="Microsoft.SharePoint.Taxonomy.ContentTypeSync"/>
  </ds:schemaRefs>
</ds:datastoreItem>
</file>

<file path=customXml/itemProps3.xml><?xml version="1.0" encoding="utf-8"?>
<ds:datastoreItem xmlns:ds="http://schemas.openxmlformats.org/officeDocument/2006/customXml" ds:itemID="{71CE4354-2C42-4709-A8AF-367C6078092E}">
  <ds:schemaRefs>
    <ds:schemaRef ds:uri="http://schemas.microsoft.com/office/2006/metadata/properties"/>
    <ds:schemaRef ds:uri="http://schemas.microsoft.com/office/infopath/2007/PartnerControls"/>
    <ds:schemaRef ds:uri="33648e8c-5399-4ce0-994e-2f4ddb1c4614"/>
    <ds:schemaRef ds:uri="0f6e5442-d308-475e-a0f0-3200f4003621"/>
  </ds:schemaRefs>
</ds:datastoreItem>
</file>

<file path=customXml/itemProps4.xml><?xml version="1.0" encoding="utf-8"?>
<ds:datastoreItem xmlns:ds="http://schemas.openxmlformats.org/officeDocument/2006/customXml" ds:itemID="{E56BD7DE-38D8-4D35-8C3D-5E2D2D18ABF7}">
  <ds:schemaRefs>
    <ds:schemaRef ds:uri="http://schemas.microsoft.com/sharepoint/v3/contenttype/forms"/>
  </ds:schemaRefs>
</ds:datastoreItem>
</file>

<file path=customXml/itemProps5.xml><?xml version="1.0" encoding="utf-8"?>
<ds:datastoreItem xmlns:ds="http://schemas.openxmlformats.org/officeDocument/2006/customXml" ds:itemID="{75EE80E6-6354-4217-A04E-0B127925E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648e8c-5399-4ce0-994e-2f4ddb1c4614"/>
    <ds:schemaRef ds:uri="0f6e5442-d308-475e-a0f0-3200f40036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6963833-822D-4BA9-AF44-4CD7C21D2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378</TotalTime>
  <Pages>82</Pages>
  <Words>28223</Words>
  <Characters>156079</Characters>
  <Application>Microsoft Office Word</Application>
  <DocSecurity>0</DocSecurity>
  <Lines>5780</Lines>
  <Paragraphs>3921</Paragraphs>
  <ScaleCrop>false</ScaleCrop>
  <HeadingPairs>
    <vt:vector size="2" baseType="variant">
      <vt:variant>
        <vt:lpstr>Title</vt:lpstr>
      </vt:variant>
      <vt:variant>
        <vt:i4>1</vt:i4>
      </vt:variant>
    </vt:vector>
  </HeadingPairs>
  <TitlesOfParts>
    <vt:vector size="1" baseType="lpstr">
      <vt:lpstr>AusPAR - Emgality - Galcanezumab - Eli Lilly Australia Pty Ltd - PM-2018-00780-1-1 - DRAFT V1</vt:lpstr>
    </vt:vector>
  </TitlesOfParts>
  <Company>Department of Health Therapeutic Goods Administration</Company>
  <LinksUpToDate>false</LinksUpToDate>
  <CharactersWithSpaces>180381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Galcanezumab</dc:title>
  <dc:subject>prescription medicine regulation</dc:subject>
  <dc:creator>Therapeutic Goods Administration</dc:creator>
  <cp:keywords>auspar, prescription, medicine, assessment, regulation, australia</cp:keywords>
  <cp:lastPrinted>2015-09-22T23:39:00Z</cp:lastPrinted>
  <dcterms:created xsi:type="dcterms:W3CDTF">2019-09-10T00:46:00Z</dcterms:created>
  <dcterms:modified xsi:type="dcterms:W3CDTF">2019-10-01T04:52:00Z</dcterms:modified>
  <cp:category>external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erpriseDocumentLanguage">
    <vt:lpwstr>2;#eng|39540796-0396-4e54-afe9-a602f28bbe8f</vt:lpwstr>
  </property>
  <property fmtid="{D5CDD505-2E9C-101B-9397-08002B2CF9AE}" pid="3" name="EnterpriseRecordSeriesCode">
    <vt:lpwstr>1;#ADM130|70dc3311-3e76-421c-abfa-d108df48853c</vt:lpwstr>
  </property>
  <property fmtid="{D5CDD505-2E9C-101B-9397-08002B2CF9AE}" pid="4" name="ContentTypeId">
    <vt:lpwstr>0x010100A7E29D019BD4F54EB1142FD6BE4C0D7F</vt:lpwstr>
  </property>
</Properties>
</file>