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75CB7" w14:textId="77777777" w:rsidR="007165EB" w:rsidRPr="007D73EF" w:rsidRDefault="007165EB" w:rsidP="00F20568">
      <w:pPr>
        <w:pStyle w:val="Heading2"/>
        <w:spacing w:before="120" w:after="240" w:line="300" w:lineRule="atLeast"/>
        <w:ind w:right="-35"/>
        <w:jc w:val="both"/>
        <w:rPr>
          <w:rFonts w:ascii="Arial" w:hAnsi="Arial" w:cs="Arial"/>
          <w:b/>
          <w:u w:val="none"/>
          <w:lang w:val="en-GB"/>
        </w:rPr>
      </w:pPr>
      <w:r w:rsidRPr="007D73EF">
        <w:rPr>
          <w:rFonts w:ascii="Arial" w:hAnsi="Arial" w:cs="Arial"/>
          <w:b/>
          <w:u w:val="none"/>
          <w:lang w:val="en-GB"/>
        </w:rPr>
        <w:t>PRODUCT INFORMATION</w:t>
      </w:r>
    </w:p>
    <w:p w14:paraId="68FCB22B" w14:textId="66324886" w:rsidR="007165EB" w:rsidRPr="007D73EF" w:rsidRDefault="007165EB" w:rsidP="00F20568">
      <w:pPr>
        <w:pStyle w:val="Heading2"/>
        <w:spacing w:before="120" w:after="240" w:line="300" w:lineRule="atLeast"/>
        <w:ind w:right="-35"/>
        <w:jc w:val="both"/>
        <w:rPr>
          <w:rFonts w:ascii="Arial" w:hAnsi="Arial" w:cs="Arial"/>
          <w:b/>
          <w:u w:val="none"/>
          <w:lang w:val="en-GB"/>
        </w:rPr>
      </w:pPr>
      <w:r w:rsidRPr="007D73EF">
        <w:rPr>
          <w:rFonts w:ascii="Arial" w:hAnsi="Arial" w:cs="Arial"/>
          <w:b/>
          <w:u w:val="none"/>
          <w:lang w:val="en-GB"/>
        </w:rPr>
        <w:t>GADOVIST</w:t>
      </w:r>
      <w:r w:rsidR="009930ED" w:rsidRPr="007D73EF">
        <w:rPr>
          <w:rFonts w:ascii="Arial" w:hAnsi="Arial" w:cs="Arial"/>
          <w:b/>
          <w:u w:val="none"/>
          <w:vertAlign w:val="superscript"/>
          <w:lang w:val="en-GB"/>
        </w:rPr>
        <w:t>®</w:t>
      </w:r>
      <w:r w:rsidR="00F20568" w:rsidRPr="007D73EF">
        <w:rPr>
          <w:rFonts w:ascii="Arial" w:hAnsi="Arial" w:cs="Arial"/>
          <w:b/>
          <w:u w:val="none"/>
          <w:lang w:val="en-GB"/>
        </w:rPr>
        <w:t xml:space="preserve"> </w:t>
      </w:r>
      <w:r w:rsidR="001D6D95" w:rsidRPr="007D73EF">
        <w:rPr>
          <w:rFonts w:ascii="Arial" w:hAnsi="Arial" w:cs="Arial"/>
          <w:b/>
          <w:u w:val="none"/>
          <w:lang w:val="en-GB"/>
        </w:rPr>
        <w:t xml:space="preserve">1.0 </w:t>
      </w:r>
      <w:r w:rsidR="00F20568" w:rsidRPr="007D73EF">
        <w:rPr>
          <w:rFonts w:ascii="Arial" w:hAnsi="Arial" w:cs="Arial"/>
          <w:b/>
          <w:u w:val="none"/>
          <w:lang w:val="en-GB"/>
        </w:rPr>
        <w:t>(gadobutrol)</w:t>
      </w:r>
    </w:p>
    <w:p w14:paraId="414C05B8" w14:textId="77777777" w:rsidR="007165EB" w:rsidRPr="007D73EF" w:rsidRDefault="00741198" w:rsidP="00F20568">
      <w:pPr>
        <w:pStyle w:val="Heading1"/>
        <w:spacing w:before="240" w:after="240" w:line="300" w:lineRule="atLeast"/>
        <w:ind w:right="-35"/>
        <w:jc w:val="both"/>
        <w:rPr>
          <w:rFonts w:ascii="Arial" w:hAnsi="Arial" w:cs="Arial"/>
          <w:b/>
          <w:caps/>
          <w:kern w:val="28"/>
          <w:sz w:val="28"/>
          <w:lang w:val="en-GB"/>
        </w:rPr>
      </w:pPr>
      <w:r w:rsidRPr="007D73EF">
        <w:rPr>
          <w:rFonts w:ascii="Arial" w:hAnsi="Arial" w:cs="Arial"/>
          <w:b/>
          <w:caps/>
          <w:kern w:val="28"/>
          <w:sz w:val="28"/>
          <w:lang w:val="en-GB"/>
        </w:rPr>
        <w:t>NAME OF THE MEDICINE</w:t>
      </w:r>
    </w:p>
    <w:p w14:paraId="1C84457A" w14:textId="1D2009A5" w:rsidR="00E71AFC" w:rsidRPr="007D73EF" w:rsidRDefault="00E71AFC" w:rsidP="00F20568">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Gadovist injection is a 1.0 mmol/mL solution of 10-(2,3-Dihydroxy-1-hydroxymethylpropyl)-1,4,7,10-tetraazacyclododecane-1,4,7-triacetic acid, Gd-Complex, with a molecular weight of 604.7 and has the following structural formula:</w:t>
      </w:r>
    </w:p>
    <w:p w14:paraId="196A26CD" w14:textId="77777777" w:rsidR="00E71AFC" w:rsidRPr="007D73EF" w:rsidRDefault="00E71AFC" w:rsidP="00F20568">
      <w:pPr>
        <w:ind w:right="-35"/>
        <w:jc w:val="both"/>
        <w:rPr>
          <w:rFonts w:ascii="Arial" w:hAnsi="Arial" w:cs="Arial"/>
          <w:sz w:val="24"/>
          <w:szCs w:val="24"/>
        </w:rPr>
      </w:pPr>
    </w:p>
    <w:p w14:paraId="185F32E8" w14:textId="77777777" w:rsidR="00E71AFC" w:rsidRPr="007D73EF" w:rsidRDefault="00E71AFC" w:rsidP="00F20568">
      <w:pPr>
        <w:ind w:right="-35"/>
        <w:jc w:val="center"/>
        <w:rPr>
          <w:rFonts w:ascii="Arial" w:hAnsi="Arial" w:cs="Arial"/>
          <w:sz w:val="24"/>
          <w:szCs w:val="24"/>
        </w:rPr>
      </w:pPr>
      <w:r w:rsidRPr="007D73EF">
        <w:rPr>
          <w:rFonts w:ascii="Arial" w:hAnsi="Arial" w:cs="Arial"/>
          <w:sz w:val="24"/>
          <w:szCs w:val="24"/>
        </w:rPr>
        <w:object w:dxaOrig="3552" w:dyaOrig="2688" w14:anchorId="234F6E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45pt;height:134pt" o:ole="" fillcolor="window">
            <v:imagedata r:id="rId9" o:title=""/>
          </v:shape>
          <o:OLEObject Type="Embed" ProgID="Word.Picture.8" ShapeID="_x0000_i1025" DrawAspect="Content" ObjectID="_1497963530" r:id="rId10"/>
        </w:object>
      </w:r>
    </w:p>
    <w:p w14:paraId="1730BD1C" w14:textId="77777777" w:rsidR="00E71AFC" w:rsidRPr="007D73EF" w:rsidRDefault="00E71AFC" w:rsidP="00F20568">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CAS Registry No. 138071-82-6</w:t>
      </w:r>
    </w:p>
    <w:p w14:paraId="43D391F2" w14:textId="77777777" w:rsidR="00E71AFC" w:rsidRPr="007D73EF" w:rsidRDefault="00E71AFC" w:rsidP="00F20568">
      <w:pPr>
        <w:ind w:right="-35"/>
        <w:rPr>
          <w:rFonts w:ascii="Arial" w:hAnsi="Arial" w:cs="Arial"/>
          <w:b/>
          <w:sz w:val="24"/>
          <w:szCs w:val="24"/>
        </w:rPr>
      </w:pPr>
    </w:p>
    <w:p w14:paraId="2692C24A" w14:textId="77777777" w:rsidR="00E71AFC" w:rsidRPr="007D73EF" w:rsidRDefault="00E71AFC" w:rsidP="00F20568">
      <w:pPr>
        <w:keepNext/>
        <w:spacing w:before="120" w:after="240" w:line="300" w:lineRule="atLeast"/>
        <w:ind w:left="567" w:right="-35" w:hanging="567"/>
        <w:jc w:val="both"/>
        <w:rPr>
          <w:rFonts w:ascii="Arial" w:hAnsi="Arial" w:cs="Arial"/>
          <w:b/>
          <w:bCs/>
          <w:noProof/>
          <w:sz w:val="24"/>
          <w:szCs w:val="24"/>
          <w:lang w:val="en-GB" w:eastAsia="en-US"/>
        </w:rPr>
      </w:pPr>
      <w:r w:rsidRPr="007D73EF">
        <w:rPr>
          <w:rFonts w:ascii="Arial" w:hAnsi="Arial" w:cs="Arial"/>
          <w:b/>
          <w:bCs/>
          <w:noProof/>
          <w:sz w:val="24"/>
          <w:szCs w:val="24"/>
          <w:lang w:val="en-GB" w:eastAsia="en-US"/>
        </w:rPr>
        <w:t>Physico-chemical properties</w:t>
      </w:r>
    </w:p>
    <w:p w14:paraId="67344E66" w14:textId="740C21B5" w:rsidR="00861283" w:rsidRPr="007D73EF" w:rsidRDefault="00861283" w:rsidP="00861283">
      <w:pPr>
        <w:spacing w:before="120" w:after="120" w:line="300" w:lineRule="atLeast"/>
        <w:ind w:right="-29"/>
        <w:jc w:val="both"/>
        <w:rPr>
          <w:rFonts w:ascii="Arial" w:hAnsi="Arial" w:cs="Arial"/>
          <w:b/>
          <w:sz w:val="22"/>
          <w:szCs w:val="22"/>
        </w:rPr>
      </w:pPr>
      <w:r w:rsidRPr="007D73EF">
        <w:rPr>
          <w:rFonts w:ascii="Arial" w:hAnsi="Arial" w:cs="Arial"/>
          <w:b/>
          <w:sz w:val="22"/>
          <w:szCs w:val="22"/>
        </w:rPr>
        <w:t xml:space="preserve">Table 1: Physico-chemical properties of </w:t>
      </w:r>
      <w:r w:rsidR="00CC6A20" w:rsidRPr="007D73EF">
        <w:rPr>
          <w:rFonts w:ascii="Arial" w:hAnsi="Arial" w:cs="Arial"/>
          <w:b/>
          <w:sz w:val="22"/>
          <w:szCs w:val="22"/>
        </w:rPr>
        <w:t>Gadovist 1.0</w:t>
      </w:r>
    </w:p>
    <w:p w14:paraId="5CB07DC3" w14:textId="77777777" w:rsidR="00E71AFC" w:rsidRPr="007D73EF" w:rsidRDefault="00E71AFC" w:rsidP="00F20568">
      <w:pPr>
        <w:ind w:right="-35"/>
        <w:rPr>
          <w:rFonts w:ascii="Arial" w:hAnsi="Arial" w:cs="Arial"/>
          <w:b/>
          <w:sz w:val="22"/>
          <w:szCs w:val="22"/>
        </w:rPr>
      </w:pPr>
    </w:p>
    <w:tbl>
      <w:tblPr>
        <w:tblW w:w="0" w:type="auto"/>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000" w:firstRow="0" w:lastRow="0" w:firstColumn="0" w:lastColumn="0" w:noHBand="0" w:noVBand="0"/>
      </w:tblPr>
      <w:tblGrid>
        <w:gridCol w:w="3793"/>
        <w:gridCol w:w="1702"/>
      </w:tblGrid>
      <w:tr w:rsidR="00F20568" w:rsidRPr="007D73EF" w14:paraId="257570F0" w14:textId="77777777" w:rsidTr="00AC2EF1">
        <w:tc>
          <w:tcPr>
            <w:tcW w:w="3793" w:type="dxa"/>
          </w:tcPr>
          <w:p w14:paraId="79D59274" w14:textId="77777777" w:rsidR="00F20568" w:rsidRPr="007D73EF" w:rsidRDefault="00F20568" w:rsidP="00F20568">
            <w:pPr>
              <w:ind w:right="-35"/>
              <w:rPr>
                <w:rFonts w:ascii="Arial" w:hAnsi="Arial" w:cs="Arial"/>
                <w:sz w:val="22"/>
                <w:szCs w:val="22"/>
              </w:rPr>
            </w:pPr>
            <w:r w:rsidRPr="007D73EF">
              <w:rPr>
                <w:rFonts w:ascii="Arial" w:hAnsi="Arial" w:cs="Arial"/>
                <w:sz w:val="22"/>
                <w:szCs w:val="22"/>
              </w:rPr>
              <w:t>Contrast Medium Concentration</w:t>
            </w:r>
          </w:p>
          <w:p w14:paraId="11606C92" w14:textId="77777777" w:rsidR="00F20568" w:rsidRPr="007D73EF" w:rsidRDefault="00F20568" w:rsidP="00F20568">
            <w:pPr>
              <w:ind w:right="-35"/>
              <w:rPr>
                <w:rFonts w:ascii="Arial" w:hAnsi="Arial" w:cs="Arial"/>
                <w:sz w:val="22"/>
                <w:szCs w:val="22"/>
              </w:rPr>
            </w:pPr>
            <w:r w:rsidRPr="007D73EF">
              <w:rPr>
                <w:rFonts w:ascii="Arial" w:hAnsi="Arial" w:cs="Arial"/>
                <w:sz w:val="22"/>
                <w:szCs w:val="22"/>
              </w:rPr>
              <w:t>(mg/mL)</w:t>
            </w:r>
          </w:p>
          <w:p w14:paraId="3B31DD67" w14:textId="77777777" w:rsidR="00F20568" w:rsidRPr="007D73EF" w:rsidRDefault="00F20568" w:rsidP="00F20568">
            <w:pPr>
              <w:ind w:right="-35"/>
              <w:rPr>
                <w:rFonts w:ascii="Arial" w:hAnsi="Arial" w:cs="Arial"/>
                <w:sz w:val="22"/>
                <w:szCs w:val="22"/>
              </w:rPr>
            </w:pPr>
            <w:r w:rsidRPr="007D73EF">
              <w:rPr>
                <w:rFonts w:ascii="Arial" w:hAnsi="Arial" w:cs="Arial"/>
                <w:sz w:val="22"/>
                <w:szCs w:val="22"/>
              </w:rPr>
              <w:t>(mmol/mL)</w:t>
            </w:r>
          </w:p>
        </w:tc>
        <w:tc>
          <w:tcPr>
            <w:tcW w:w="1702" w:type="dxa"/>
          </w:tcPr>
          <w:p w14:paraId="03079363" w14:textId="77777777" w:rsidR="00F20568" w:rsidRPr="007D73EF" w:rsidRDefault="00F20568" w:rsidP="00F20568">
            <w:pPr>
              <w:ind w:right="-35"/>
              <w:jc w:val="center"/>
              <w:rPr>
                <w:rFonts w:ascii="Arial" w:hAnsi="Arial" w:cs="Arial"/>
                <w:b/>
                <w:sz w:val="22"/>
                <w:szCs w:val="22"/>
              </w:rPr>
            </w:pPr>
            <w:r w:rsidRPr="007D73EF">
              <w:rPr>
                <w:rFonts w:ascii="Arial" w:hAnsi="Arial" w:cs="Arial"/>
                <w:b/>
                <w:sz w:val="22"/>
                <w:szCs w:val="22"/>
              </w:rPr>
              <w:t>Gadovist 1.0</w:t>
            </w:r>
          </w:p>
          <w:p w14:paraId="54ADDDB5" w14:textId="77777777" w:rsidR="00F20568" w:rsidRPr="007D73EF" w:rsidRDefault="00F20568" w:rsidP="00F20568">
            <w:pPr>
              <w:ind w:right="-35"/>
              <w:jc w:val="center"/>
              <w:rPr>
                <w:rFonts w:ascii="Arial" w:hAnsi="Arial" w:cs="Arial"/>
                <w:sz w:val="22"/>
                <w:szCs w:val="22"/>
              </w:rPr>
            </w:pPr>
            <w:r w:rsidRPr="007D73EF">
              <w:rPr>
                <w:rFonts w:ascii="Arial" w:hAnsi="Arial" w:cs="Arial"/>
                <w:sz w:val="22"/>
                <w:szCs w:val="22"/>
              </w:rPr>
              <w:t>604.72</w:t>
            </w:r>
          </w:p>
          <w:p w14:paraId="2D1F510F" w14:textId="77777777" w:rsidR="00F20568" w:rsidRPr="007D73EF" w:rsidRDefault="00F20568" w:rsidP="00F20568">
            <w:pPr>
              <w:ind w:right="-35"/>
              <w:jc w:val="center"/>
              <w:rPr>
                <w:rFonts w:ascii="Arial" w:hAnsi="Arial" w:cs="Arial"/>
                <w:sz w:val="22"/>
                <w:szCs w:val="22"/>
              </w:rPr>
            </w:pPr>
            <w:r w:rsidRPr="007D73EF">
              <w:rPr>
                <w:rFonts w:ascii="Arial" w:hAnsi="Arial" w:cs="Arial"/>
                <w:sz w:val="22"/>
                <w:szCs w:val="22"/>
              </w:rPr>
              <w:t>1.0</w:t>
            </w:r>
          </w:p>
        </w:tc>
      </w:tr>
      <w:tr w:rsidR="00F20568" w:rsidRPr="007D73EF" w14:paraId="503B232D" w14:textId="77777777" w:rsidTr="00AC2EF1">
        <w:tc>
          <w:tcPr>
            <w:tcW w:w="3793" w:type="dxa"/>
          </w:tcPr>
          <w:p w14:paraId="257A5B6A" w14:textId="77777777" w:rsidR="00F20568" w:rsidRPr="007D73EF" w:rsidRDefault="00F20568" w:rsidP="00F20568">
            <w:pPr>
              <w:ind w:right="-35"/>
              <w:rPr>
                <w:rFonts w:ascii="Arial" w:hAnsi="Arial" w:cs="Arial"/>
                <w:sz w:val="22"/>
                <w:szCs w:val="22"/>
              </w:rPr>
            </w:pPr>
            <w:r w:rsidRPr="007D73EF">
              <w:rPr>
                <w:rFonts w:ascii="Arial" w:hAnsi="Arial" w:cs="Arial"/>
                <w:sz w:val="22"/>
                <w:szCs w:val="22"/>
              </w:rPr>
              <w:t>Osmolarity at 37º C</w:t>
            </w:r>
          </w:p>
          <w:p w14:paraId="6211BC22" w14:textId="77777777" w:rsidR="00F20568" w:rsidRPr="007D73EF" w:rsidRDefault="00F20568" w:rsidP="00F20568">
            <w:pPr>
              <w:ind w:right="-35"/>
              <w:rPr>
                <w:rFonts w:ascii="Arial" w:hAnsi="Arial" w:cs="Arial"/>
                <w:sz w:val="22"/>
                <w:szCs w:val="22"/>
              </w:rPr>
            </w:pPr>
            <w:r w:rsidRPr="007D73EF">
              <w:rPr>
                <w:rFonts w:ascii="Arial" w:hAnsi="Arial" w:cs="Arial"/>
                <w:sz w:val="22"/>
                <w:szCs w:val="22"/>
              </w:rPr>
              <w:t>(mOsm/L solution)</w:t>
            </w:r>
          </w:p>
        </w:tc>
        <w:tc>
          <w:tcPr>
            <w:tcW w:w="1702" w:type="dxa"/>
          </w:tcPr>
          <w:p w14:paraId="5D6B6141" w14:textId="77777777" w:rsidR="00F20568" w:rsidRPr="007D73EF" w:rsidRDefault="00F20568" w:rsidP="00F20568">
            <w:pPr>
              <w:ind w:right="-35"/>
              <w:jc w:val="center"/>
              <w:rPr>
                <w:rFonts w:ascii="Arial" w:hAnsi="Arial" w:cs="Arial"/>
                <w:sz w:val="22"/>
                <w:szCs w:val="22"/>
              </w:rPr>
            </w:pPr>
          </w:p>
          <w:p w14:paraId="7B7EF2F2" w14:textId="77777777" w:rsidR="00F20568" w:rsidRPr="007D73EF" w:rsidRDefault="00F20568" w:rsidP="00F20568">
            <w:pPr>
              <w:ind w:right="-35"/>
              <w:jc w:val="center"/>
              <w:rPr>
                <w:rFonts w:ascii="Arial" w:hAnsi="Arial" w:cs="Arial"/>
                <w:sz w:val="22"/>
                <w:szCs w:val="22"/>
              </w:rPr>
            </w:pPr>
            <w:r w:rsidRPr="007D73EF">
              <w:rPr>
                <w:rFonts w:ascii="Arial" w:hAnsi="Arial" w:cs="Arial"/>
                <w:sz w:val="22"/>
                <w:szCs w:val="22"/>
              </w:rPr>
              <w:t>1117</w:t>
            </w:r>
          </w:p>
        </w:tc>
      </w:tr>
      <w:tr w:rsidR="00F20568" w:rsidRPr="007D73EF" w14:paraId="4CB65DCE" w14:textId="77777777" w:rsidTr="00AC2EF1">
        <w:tc>
          <w:tcPr>
            <w:tcW w:w="3793" w:type="dxa"/>
          </w:tcPr>
          <w:p w14:paraId="07C15988" w14:textId="77777777" w:rsidR="00F20568" w:rsidRPr="007D73EF" w:rsidRDefault="00F20568" w:rsidP="00F20568">
            <w:pPr>
              <w:ind w:right="-35"/>
              <w:rPr>
                <w:rFonts w:ascii="Arial" w:hAnsi="Arial" w:cs="Arial"/>
                <w:sz w:val="22"/>
                <w:szCs w:val="22"/>
              </w:rPr>
            </w:pPr>
            <w:r w:rsidRPr="007D73EF">
              <w:rPr>
                <w:rFonts w:ascii="Arial" w:hAnsi="Arial" w:cs="Arial"/>
                <w:sz w:val="22"/>
                <w:szCs w:val="22"/>
              </w:rPr>
              <w:t>Osmolality at 37º C</w:t>
            </w:r>
          </w:p>
          <w:p w14:paraId="1F946444" w14:textId="77777777" w:rsidR="00F20568" w:rsidRPr="007D73EF" w:rsidRDefault="00F20568" w:rsidP="00F20568">
            <w:pPr>
              <w:ind w:right="-35"/>
              <w:rPr>
                <w:rFonts w:ascii="Arial" w:hAnsi="Arial" w:cs="Arial"/>
                <w:sz w:val="22"/>
                <w:szCs w:val="22"/>
              </w:rPr>
            </w:pPr>
            <w:r w:rsidRPr="007D73EF">
              <w:rPr>
                <w:rFonts w:ascii="Arial" w:hAnsi="Arial" w:cs="Arial"/>
                <w:sz w:val="22"/>
                <w:szCs w:val="22"/>
              </w:rPr>
              <w:t>(mOsm/kg H</w:t>
            </w:r>
            <w:r w:rsidRPr="007D73EF">
              <w:rPr>
                <w:rFonts w:ascii="Arial" w:hAnsi="Arial" w:cs="Arial"/>
                <w:sz w:val="22"/>
                <w:szCs w:val="22"/>
                <w:vertAlign w:val="subscript"/>
              </w:rPr>
              <w:t>2</w:t>
            </w:r>
            <w:r w:rsidRPr="007D73EF">
              <w:rPr>
                <w:rFonts w:ascii="Arial" w:hAnsi="Arial" w:cs="Arial"/>
                <w:sz w:val="22"/>
                <w:szCs w:val="22"/>
              </w:rPr>
              <w:t>O)</w:t>
            </w:r>
          </w:p>
        </w:tc>
        <w:tc>
          <w:tcPr>
            <w:tcW w:w="1702" w:type="dxa"/>
          </w:tcPr>
          <w:p w14:paraId="1AD73E7A" w14:textId="77777777" w:rsidR="00F20568" w:rsidRPr="007D73EF" w:rsidRDefault="00F20568" w:rsidP="00F20568">
            <w:pPr>
              <w:ind w:right="-35"/>
              <w:jc w:val="center"/>
              <w:rPr>
                <w:rFonts w:ascii="Arial" w:hAnsi="Arial" w:cs="Arial"/>
                <w:sz w:val="22"/>
                <w:szCs w:val="22"/>
              </w:rPr>
            </w:pPr>
          </w:p>
          <w:p w14:paraId="4E848385" w14:textId="77777777" w:rsidR="00F20568" w:rsidRPr="007D73EF" w:rsidRDefault="00F20568" w:rsidP="00F20568">
            <w:pPr>
              <w:ind w:right="-35"/>
              <w:jc w:val="center"/>
              <w:rPr>
                <w:rFonts w:ascii="Arial" w:hAnsi="Arial" w:cs="Arial"/>
                <w:sz w:val="22"/>
                <w:szCs w:val="22"/>
              </w:rPr>
            </w:pPr>
            <w:r w:rsidRPr="007D73EF">
              <w:rPr>
                <w:rFonts w:ascii="Arial" w:hAnsi="Arial" w:cs="Arial"/>
                <w:sz w:val="22"/>
                <w:szCs w:val="22"/>
              </w:rPr>
              <w:t>1603</w:t>
            </w:r>
          </w:p>
        </w:tc>
      </w:tr>
      <w:tr w:rsidR="00F20568" w:rsidRPr="007D73EF" w14:paraId="62AEB3BB" w14:textId="77777777" w:rsidTr="00AC2EF1">
        <w:tc>
          <w:tcPr>
            <w:tcW w:w="3793" w:type="dxa"/>
          </w:tcPr>
          <w:p w14:paraId="0B399589" w14:textId="77777777" w:rsidR="00F20568" w:rsidRPr="007D73EF" w:rsidRDefault="00F20568" w:rsidP="00F20568">
            <w:pPr>
              <w:ind w:right="-35"/>
              <w:rPr>
                <w:rFonts w:ascii="Arial" w:hAnsi="Arial" w:cs="Arial"/>
                <w:sz w:val="22"/>
                <w:szCs w:val="22"/>
              </w:rPr>
            </w:pPr>
            <w:r w:rsidRPr="007D73EF">
              <w:rPr>
                <w:rFonts w:ascii="Arial" w:hAnsi="Arial" w:cs="Arial"/>
                <w:sz w:val="22"/>
                <w:szCs w:val="22"/>
              </w:rPr>
              <w:t>Viscosity at 37º C (mPa.s)</w:t>
            </w:r>
          </w:p>
        </w:tc>
        <w:tc>
          <w:tcPr>
            <w:tcW w:w="1702" w:type="dxa"/>
          </w:tcPr>
          <w:p w14:paraId="3B2A5940" w14:textId="77777777" w:rsidR="00F20568" w:rsidRPr="007D73EF" w:rsidRDefault="00F20568" w:rsidP="00F20568">
            <w:pPr>
              <w:ind w:right="-35"/>
              <w:jc w:val="center"/>
              <w:rPr>
                <w:rFonts w:ascii="Arial" w:hAnsi="Arial" w:cs="Arial"/>
                <w:sz w:val="22"/>
                <w:szCs w:val="22"/>
              </w:rPr>
            </w:pPr>
            <w:r w:rsidRPr="007D73EF">
              <w:rPr>
                <w:rFonts w:ascii="Arial" w:hAnsi="Arial" w:cs="Arial"/>
                <w:sz w:val="22"/>
                <w:szCs w:val="22"/>
              </w:rPr>
              <w:t>4.96</w:t>
            </w:r>
          </w:p>
        </w:tc>
      </w:tr>
    </w:tbl>
    <w:p w14:paraId="6331F1B6" w14:textId="77777777" w:rsidR="00E71AFC" w:rsidRPr="007D73EF" w:rsidRDefault="00E71AFC" w:rsidP="00F20568">
      <w:pPr>
        <w:ind w:right="-35"/>
        <w:rPr>
          <w:rStyle w:val="Emphasis"/>
          <w:sz w:val="22"/>
          <w:szCs w:val="22"/>
        </w:rPr>
      </w:pPr>
    </w:p>
    <w:p w14:paraId="0E12B8B9" w14:textId="77777777" w:rsidR="00E71AFC" w:rsidRPr="007D73EF" w:rsidRDefault="00E71AFC" w:rsidP="00F20568">
      <w:pPr>
        <w:ind w:right="-35"/>
        <w:rPr>
          <w:rFonts w:ascii="Arial" w:hAnsi="Arial" w:cs="Arial"/>
          <w:sz w:val="22"/>
          <w:szCs w:val="22"/>
        </w:rPr>
      </w:pPr>
      <w:r w:rsidRPr="007D73EF">
        <w:rPr>
          <w:rFonts w:ascii="Arial" w:hAnsi="Arial" w:cs="Arial"/>
          <w:sz w:val="22"/>
          <w:szCs w:val="22"/>
        </w:rPr>
        <w:t>Gadovist 1.0 solution has a pH of 6.6 to 8.0</w:t>
      </w:r>
    </w:p>
    <w:p w14:paraId="7F45505E" w14:textId="77777777" w:rsidR="007165EB" w:rsidRPr="007D73EF" w:rsidRDefault="007165EB" w:rsidP="00F20568">
      <w:pPr>
        <w:ind w:right="-35"/>
        <w:rPr>
          <w:rFonts w:ascii="Arial" w:hAnsi="Arial" w:cs="Arial"/>
          <w:sz w:val="22"/>
          <w:szCs w:val="22"/>
        </w:rPr>
      </w:pPr>
    </w:p>
    <w:p w14:paraId="21292B13" w14:textId="77777777" w:rsidR="007165EB" w:rsidRPr="007D73EF" w:rsidRDefault="00741198" w:rsidP="00F20568">
      <w:pPr>
        <w:pStyle w:val="Heading1"/>
        <w:spacing w:before="240" w:after="240" w:line="300" w:lineRule="atLeast"/>
        <w:ind w:right="-35"/>
        <w:jc w:val="both"/>
        <w:rPr>
          <w:rFonts w:ascii="Arial" w:hAnsi="Arial" w:cs="Arial"/>
          <w:b/>
          <w:caps/>
          <w:kern w:val="28"/>
          <w:sz w:val="28"/>
          <w:lang w:val="en-GB"/>
        </w:rPr>
      </w:pPr>
      <w:r w:rsidRPr="007D73EF">
        <w:rPr>
          <w:rFonts w:ascii="Arial" w:hAnsi="Arial" w:cs="Arial"/>
          <w:b/>
          <w:caps/>
          <w:kern w:val="28"/>
          <w:sz w:val="28"/>
          <w:lang w:val="en-GB"/>
        </w:rPr>
        <w:t>DESCRIPTION</w:t>
      </w:r>
    </w:p>
    <w:p w14:paraId="4366345F" w14:textId="4A57A894" w:rsidR="00E71AFC" w:rsidRPr="007D73EF" w:rsidRDefault="00E71AFC" w:rsidP="00F20568">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Gadovist </w:t>
      </w:r>
      <w:r w:rsidR="00CC6A20" w:rsidRPr="007D73EF">
        <w:rPr>
          <w:rFonts w:ascii="Arial" w:hAnsi="Arial" w:cs="Arial"/>
          <w:sz w:val="22"/>
          <w:szCs w:val="22"/>
          <w:lang w:val="en-GB" w:eastAsia="en-US"/>
        </w:rPr>
        <w:t xml:space="preserve">1.0 </w:t>
      </w:r>
      <w:r w:rsidRPr="007D73EF">
        <w:rPr>
          <w:rFonts w:ascii="Arial" w:hAnsi="Arial" w:cs="Arial"/>
          <w:sz w:val="22"/>
          <w:szCs w:val="22"/>
          <w:lang w:val="en-GB" w:eastAsia="en-US"/>
        </w:rPr>
        <w:t xml:space="preserve">(gadobutrol) </w:t>
      </w:r>
      <w:r w:rsidR="00E22386" w:rsidRPr="007D73EF">
        <w:rPr>
          <w:rFonts w:ascii="Arial" w:hAnsi="Arial" w:cs="Arial"/>
          <w:sz w:val="22"/>
          <w:szCs w:val="22"/>
          <w:lang w:val="en-GB" w:eastAsia="en-US"/>
        </w:rPr>
        <w:t xml:space="preserve">solution for </w:t>
      </w:r>
      <w:r w:rsidRPr="007D73EF">
        <w:rPr>
          <w:rFonts w:ascii="Arial" w:hAnsi="Arial" w:cs="Arial"/>
          <w:sz w:val="22"/>
          <w:szCs w:val="22"/>
          <w:lang w:val="en-GB" w:eastAsia="en-US"/>
        </w:rPr>
        <w:t>injection is the complex consisting of gadolinium (III) and the macrocyclic dihydroxy-hydroxymethylpropyl-tetraazacyclododecane-triacetic acid (butrol), and is an injectable neutral contrast medium for magnetic resonance imaging (MRI). Gadobutrol is to be administered by intravenous injection.</w:t>
      </w:r>
    </w:p>
    <w:p w14:paraId="42F3EA64" w14:textId="77777777" w:rsidR="00B840EF" w:rsidRPr="007D73EF" w:rsidRDefault="00B840EF" w:rsidP="00F20568">
      <w:pPr>
        <w:spacing w:before="120" w:after="120" w:line="300" w:lineRule="atLeast"/>
        <w:ind w:right="-35"/>
        <w:jc w:val="both"/>
        <w:rPr>
          <w:rFonts w:ascii="Arial" w:hAnsi="Arial" w:cs="Arial"/>
          <w:sz w:val="22"/>
          <w:szCs w:val="22"/>
          <w:lang w:val="en-GB" w:eastAsia="en-US"/>
        </w:rPr>
      </w:pPr>
    </w:p>
    <w:p w14:paraId="2273DBEA" w14:textId="4DABD2EE" w:rsidR="00262914" w:rsidRPr="007D73EF" w:rsidRDefault="00E71AFC" w:rsidP="00F20568">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lastRenderedPageBreak/>
        <w:t>Gadovist</w:t>
      </w:r>
      <w:r w:rsidR="00CC6A20" w:rsidRPr="007D73EF">
        <w:rPr>
          <w:rFonts w:ascii="Arial" w:hAnsi="Arial" w:cs="Arial"/>
          <w:sz w:val="22"/>
          <w:szCs w:val="22"/>
          <w:lang w:val="en-GB" w:eastAsia="en-US"/>
        </w:rPr>
        <w:t xml:space="preserve"> 1.0</w:t>
      </w:r>
      <w:r w:rsidRPr="007D73EF">
        <w:rPr>
          <w:rFonts w:ascii="Arial" w:hAnsi="Arial" w:cs="Arial"/>
          <w:sz w:val="22"/>
          <w:szCs w:val="22"/>
          <w:lang w:val="en-GB" w:eastAsia="en-US"/>
        </w:rPr>
        <w:t xml:space="preserve"> is available as a 1.0 mmol/mL solution </w:t>
      </w:r>
      <w:r w:rsidR="00C16C06" w:rsidRPr="007D73EF">
        <w:rPr>
          <w:rFonts w:ascii="Arial" w:hAnsi="Arial" w:cs="Arial"/>
          <w:sz w:val="22"/>
          <w:szCs w:val="22"/>
          <w:lang w:val="en-GB" w:eastAsia="en-US"/>
        </w:rPr>
        <w:t xml:space="preserve">for injection </w:t>
      </w:r>
      <w:r w:rsidRPr="007D73EF">
        <w:rPr>
          <w:rFonts w:ascii="Arial" w:hAnsi="Arial" w:cs="Arial"/>
          <w:sz w:val="22"/>
          <w:szCs w:val="22"/>
          <w:lang w:val="en-GB" w:eastAsia="en-US"/>
        </w:rPr>
        <w:t xml:space="preserve">and each mL of Gadovist 1.0 contains 604.72 mg </w:t>
      </w:r>
      <w:r w:rsidR="00C16C06" w:rsidRPr="007D73EF">
        <w:rPr>
          <w:rFonts w:ascii="Arial" w:hAnsi="Arial" w:cs="Arial"/>
          <w:sz w:val="22"/>
          <w:szCs w:val="22"/>
          <w:lang w:val="en-GB" w:eastAsia="en-US"/>
        </w:rPr>
        <w:t xml:space="preserve">(1.0 mmol) </w:t>
      </w:r>
      <w:r w:rsidRPr="007D73EF">
        <w:rPr>
          <w:rFonts w:ascii="Arial" w:hAnsi="Arial" w:cs="Arial"/>
          <w:sz w:val="22"/>
          <w:szCs w:val="22"/>
          <w:lang w:val="en-GB" w:eastAsia="en-US"/>
        </w:rPr>
        <w:t xml:space="preserve">gadobutrol, 0.513 mg calcobutrol sodium, 1.211 mg trometamol, hydrochloric acid and water for injections.  </w:t>
      </w:r>
      <w:r w:rsidR="00262914" w:rsidRPr="007D73EF">
        <w:rPr>
          <w:rFonts w:ascii="Arial" w:hAnsi="Arial" w:cs="Arial"/>
          <w:sz w:val="22"/>
          <w:szCs w:val="22"/>
          <w:lang w:val="en-GB" w:eastAsia="en-US"/>
        </w:rPr>
        <w:t>Each m</w:t>
      </w:r>
      <w:r w:rsidR="00CC7DBD" w:rsidRPr="007D73EF">
        <w:rPr>
          <w:rFonts w:ascii="Arial" w:hAnsi="Arial" w:cs="Arial"/>
          <w:sz w:val="22"/>
          <w:szCs w:val="22"/>
          <w:lang w:val="en-GB" w:eastAsia="en-US"/>
        </w:rPr>
        <w:t>L</w:t>
      </w:r>
      <w:r w:rsidR="00262914" w:rsidRPr="007D73EF">
        <w:rPr>
          <w:rFonts w:ascii="Arial" w:hAnsi="Arial" w:cs="Arial"/>
          <w:sz w:val="22"/>
          <w:szCs w:val="22"/>
          <w:lang w:val="en-GB" w:eastAsia="en-US"/>
        </w:rPr>
        <w:t xml:space="preserve"> contains 0.00056 mmol (equivalent to 0.013 mg) of sodium. Based on the average amount given to a 70 kg person this medicinal product contains less than 1 mmol sodium (23 mg) per dose</w:t>
      </w:r>
      <w:r w:rsidR="00C07A2E" w:rsidRPr="007D73EF">
        <w:rPr>
          <w:rFonts w:ascii="Arial" w:hAnsi="Arial" w:cs="Arial"/>
          <w:sz w:val="22"/>
          <w:szCs w:val="22"/>
          <w:lang w:val="en-GB" w:eastAsia="en-US"/>
        </w:rPr>
        <w:t>.</w:t>
      </w:r>
    </w:p>
    <w:p w14:paraId="51C874D3" w14:textId="11260B5B" w:rsidR="00DE19AC" w:rsidRPr="007D73EF" w:rsidRDefault="00E71AFC" w:rsidP="00F20568">
      <w:pPr>
        <w:spacing w:before="120" w:after="120" w:line="300" w:lineRule="atLeast"/>
        <w:ind w:right="-35"/>
        <w:jc w:val="both"/>
        <w:rPr>
          <w:lang w:val="en-AU"/>
        </w:rPr>
      </w:pPr>
      <w:r w:rsidRPr="007D73EF">
        <w:rPr>
          <w:rFonts w:ascii="Arial" w:hAnsi="Arial" w:cs="Arial"/>
          <w:sz w:val="22"/>
          <w:szCs w:val="22"/>
          <w:lang w:val="en-GB" w:eastAsia="en-US"/>
        </w:rPr>
        <w:t>Gadovist</w:t>
      </w:r>
      <w:r w:rsidR="00CC6A20" w:rsidRPr="007D73EF">
        <w:rPr>
          <w:rFonts w:ascii="Arial" w:hAnsi="Arial" w:cs="Arial"/>
          <w:sz w:val="22"/>
          <w:szCs w:val="22"/>
          <w:lang w:val="en-GB" w:eastAsia="en-US"/>
        </w:rPr>
        <w:t xml:space="preserve"> 1.0</w:t>
      </w:r>
      <w:r w:rsidRPr="007D73EF">
        <w:rPr>
          <w:rFonts w:ascii="Arial" w:hAnsi="Arial" w:cs="Arial"/>
          <w:sz w:val="22"/>
          <w:szCs w:val="22"/>
          <w:lang w:val="en-GB" w:eastAsia="en-US"/>
        </w:rPr>
        <w:t xml:space="preserve"> </w:t>
      </w:r>
      <w:r w:rsidR="00E22386" w:rsidRPr="007D73EF">
        <w:rPr>
          <w:rFonts w:ascii="Arial" w:hAnsi="Arial" w:cs="Arial"/>
          <w:sz w:val="22"/>
          <w:szCs w:val="22"/>
          <w:lang w:val="en-GB" w:eastAsia="en-US"/>
        </w:rPr>
        <w:t xml:space="preserve">solution for </w:t>
      </w:r>
      <w:r w:rsidRPr="007D73EF">
        <w:rPr>
          <w:rFonts w:ascii="Arial" w:hAnsi="Arial" w:cs="Arial"/>
          <w:sz w:val="22"/>
          <w:szCs w:val="22"/>
          <w:lang w:val="en-GB" w:eastAsia="en-US"/>
        </w:rPr>
        <w:t>injection contains no antimicrobial preservative</w:t>
      </w:r>
      <w:r w:rsidR="00740235" w:rsidRPr="007D73EF">
        <w:rPr>
          <w:rFonts w:ascii="Arial" w:hAnsi="Arial" w:cs="Arial"/>
          <w:sz w:val="22"/>
          <w:szCs w:val="22"/>
          <w:lang w:val="en-GB" w:eastAsia="en-US"/>
        </w:rPr>
        <w:t xml:space="preserve"> and is a clear, colo</w:t>
      </w:r>
      <w:r w:rsidR="00C254CB" w:rsidRPr="007D73EF">
        <w:rPr>
          <w:rFonts w:ascii="Arial" w:hAnsi="Arial" w:cs="Arial"/>
          <w:sz w:val="22"/>
          <w:szCs w:val="22"/>
          <w:lang w:val="en-GB" w:eastAsia="en-US"/>
        </w:rPr>
        <w:t>u</w:t>
      </w:r>
      <w:r w:rsidR="00740235" w:rsidRPr="007D73EF">
        <w:rPr>
          <w:rFonts w:ascii="Arial" w:hAnsi="Arial" w:cs="Arial"/>
          <w:sz w:val="22"/>
          <w:szCs w:val="22"/>
          <w:lang w:val="en-GB" w:eastAsia="en-US"/>
        </w:rPr>
        <w:t>rless to pale yellow solution.</w:t>
      </w:r>
    </w:p>
    <w:p w14:paraId="1236B42C" w14:textId="77777777" w:rsidR="007165EB" w:rsidRPr="007D73EF" w:rsidRDefault="00741198" w:rsidP="00F20568">
      <w:pPr>
        <w:pStyle w:val="Heading1"/>
        <w:spacing w:before="480" w:after="240" w:line="300" w:lineRule="atLeast"/>
        <w:ind w:right="-35"/>
        <w:jc w:val="both"/>
        <w:rPr>
          <w:rFonts w:ascii="Arial" w:hAnsi="Arial" w:cs="Arial"/>
          <w:b/>
          <w:caps/>
          <w:kern w:val="28"/>
          <w:sz w:val="28"/>
          <w:lang w:val="en-GB"/>
        </w:rPr>
      </w:pPr>
      <w:r w:rsidRPr="007D73EF">
        <w:rPr>
          <w:rFonts w:ascii="Arial" w:hAnsi="Arial" w:cs="Arial"/>
          <w:b/>
          <w:caps/>
          <w:kern w:val="28"/>
          <w:sz w:val="28"/>
          <w:lang w:val="en-GB"/>
        </w:rPr>
        <w:t>PHARMACOLOGY</w:t>
      </w:r>
    </w:p>
    <w:p w14:paraId="57AAB694" w14:textId="77777777" w:rsidR="007165EB" w:rsidRPr="007D73EF" w:rsidRDefault="007165EB" w:rsidP="00F20568">
      <w:pPr>
        <w:keepNext/>
        <w:spacing w:before="120" w:after="240" w:line="300" w:lineRule="atLeast"/>
        <w:ind w:left="567" w:right="-35" w:hanging="567"/>
        <w:jc w:val="both"/>
        <w:rPr>
          <w:rFonts w:ascii="Arial" w:hAnsi="Arial" w:cs="Arial"/>
          <w:b/>
          <w:bCs/>
          <w:noProof/>
          <w:sz w:val="24"/>
          <w:szCs w:val="24"/>
          <w:lang w:val="en-GB" w:eastAsia="en-US"/>
        </w:rPr>
      </w:pPr>
      <w:r w:rsidRPr="007D73EF">
        <w:rPr>
          <w:rFonts w:ascii="Arial" w:hAnsi="Arial" w:cs="Arial"/>
          <w:b/>
          <w:bCs/>
          <w:noProof/>
          <w:sz w:val="24"/>
          <w:szCs w:val="24"/>
          <w:lang w:val="en-GB" w:eastAsia="en-US"/>
        </w:rPr>
        <w:t>Clinical Pharmacology</w:t>
      </w:r>
    </w:p>
    <w:p w14:paraId="4B2B2741" w14:textId="77777777" w:rsidR="00F5349F" w:rsidRPr="007D73EF" w:rsidRDefault="00F5349F" w:rsidP="00F20568">
      <w:pPr>
        <w:spacing w:before="120" w:after="120" w:line="300" w:lineRule="atLeast"/>
        <w:ind w:right="-35"/>
        <w:jc w:val="both"/>
        <w:rPr>
          <w:rFonts w:ascii="Arial" w:hAnsi="Arial" w:cs="Arial"/>
          <w:noProof/>
          <w:sz w:val="22"/>
          <w:szCs w:val="22"/>
          <w:u w:val="single"/>
          <w:lang w:val="en-GB" w:eastAsia="en-US"/>
        </w:rPr>
      </w:pPr>
      <w:r w:rsidRPr="007D73EF">
        <w:rPr>
          <w:rFonts w:ascii="Arial" w:hAnsi="Arial" w:cs="Arial"/>
          <w:noProof/>
          <w:sz w:val="22"/>
          <w:szCs w:val="22"/>
          <w:u w:val="single"/>
          <w:lang w:val="en-GB" w:eastAsia="en-US"/>
        </w:rPr>
        <w:t>Mechanism of action</w:t>
      </w:r>
    </w:p>
    <w:p w14:paraId="518DBA22" w14:textId="2AD4F8C4" w:rsidR="00262914" w:rsidRPr="007D73EF" w:rsidRDefault="007165EB" w:rsidP="00F20568">
      <w:pPr>
        <w:spacing w:before="120" w:after="120" w:line="300" w:lineRule="atLeast"/>
        <w:ind w:right="-35"/>
        <w:jc w:val="both"/>
        <w:rPr>
          <w:rFonts w:ascii="Arial" w:hAnsi="Arial" w:cs="Arial"/>
          <w:noProof/>
          <w:sz w:val="22"/>
          <w:szCs w:val="22"/>
          <w:lang w:val="en-GB" w:eastAsia="en-US"/>
        </w:rPr>
      </w:pPr>
      <w:r w:rsidRPr="007D73EF">
        <w:rPr>
          <w:rFonts w:ascii="Arial" w:hAnsi="Arial" w:cs="Arial"/>
          <w:noProof/>
          <w:sz w:val="22"/>
          <w:szCs w:val="22"/>
          <w:lang w:val="en-GB" w:eastAsia="en-US"/>
        </w:rPr>
        <w:t xml:space="preserve">Gadovist is a paramagnetic contrast agent for magnetic resonance imaging.  The contrast-enhancing effect is mediated by gadobutrol, </w:t>
      </w:r>
      <w:r w:rsidR="00F0509A" w:rsidRPr="007D73EF">
        <w:rPr>
          <w:rFonts w:ascii="Arial" w:hAnsi="Arial" w:cs="Arial"/>
          <w:noProof/>
          <w:sz w:val="22"/>
          <w:szCs w:val="22"/>
          <w:lang w:val="en-GB" w:eastAsia="en-US"/>
        </w:rPr>
        <w:t xml:space="preserve">a </w:t>
      </w:r>
      <w:r w:rsidRPr="007D73EF">
        <w:rPr>
          <w:rFonts w:ascii="Arial" w:hAnsi="Arial" w:cs="Arial"/>
          <w:noProof/>
          <w:sz w:val="22"/>
          <w:szCs w:val="22"/>
          <w:lang w:val="en-GB" w:eastAsia="en-US"/>
        </w:rPr>
        <w:t>neutral</w:t>
      </w:r>
      <w:r w:rsidR="00F0509A" w:rsidRPr="007D73EF">
        <w:rPr>
          <w:rFonts w:ascii="Arial" w:hAnsi="Arial" w:cs="Arial"/>
          <w:noProof/>
          <w:sz w:val="22"/>
          <w:szCs w:val="22"/>
          <w:lang w:val="en-GB" w:eastAsia="en-US"/>
        </w:rPr>
        <w:t xml:space="preserve"> (non-ionic)</w:t>
      </w:r>
      <w:r w:rsidRPr="007D73EF">
        <w:rPr>
          <w:rFonts w:ascii="Arial" w:hAnsi="Arial" w:cs="Arial"/>
          <w:noProof/>
          <w:sz w:val="22"/>
          <w:szCs w:val="22"/>
          <w:lang w:val="en-GB" w:eastAsia="en-US"/>
        </w:rPr>
        <w:t xml:space="preserve"> complex </w:t>
      </w:r>
      <w:r w:rsidR="00F0509A" w:rsidRPr="007D73EF">
        <w:rPr>
          <w:rFonts w:ascii="Arial" w:hAnsi="Arial" w:cs="Arial"/>
          <w:noProof/>
          <w:sz w:val="22"/>
          <w:szCs w:val="22"/>
          <w:lang w:val="en-GB" w:eastAsia="en-US"/>
        </w:rPr>
        <w:t xml:space="preserve">consisting </w:t>
      </w:r>
      <w:r w:rsidRPr="007D73EF">
        <w:rPr>
          <w:rFonts w:ascii="Arial" w:hAnsi="Arial" w:cs="Arial"/>
          <w:noProof/>
          <w:sz w:val="22"/>
          <w:szCs w:val="22"/>
          <w:lang w:val="en-GB" w:eastAsia="en-US"/>
        </w:rPr>
        <w:t xml:space="preserve">of </w:t>
      </w:r>
      <w:r w:rsidR="00F0509A" w:rsidRPr="007D73EF">
        <w:rPr>
          <w:rFonts w:ascii="Arial" w:hAnsi="Arial" w:cs="Arial"/>
          <w:noProof/>
          <w:sz w:val="22"/>
          <w:szCs w:val="22"/>
          <w:lang w:val="en-GB" w:eastAsia="en-US"/>
        </w:rPr>
        <w:t xml:space="preserve">gadolinium (III) and </w:t>
      </w:r>
      <w:r w:rsidRPr="007D73EF">
        <w:rPr>
          <w:rFonts w:ascii="Arial" w:hAnsi="Arial" w:cs="Arial"/>
          <w:noProof/>
          <w:sz w:val="22"/>
          <w:szCs w:val="22"/>
          <w:lang w:val="en-GB" w:eastAsia="en-US"/>
        </w:rPr>
        <w:t xml:space="preserve">the macrocyclic </w:t>
      </w:r>
      <w:r w:rsidR="00F0509A" w:rsidRPr="007D73EF">
        <w:rPr>
          <w:rFonts w:ascii="Arial" w:hAnsi="Arial" w:cs="Arial"/>
          <w:noProof/>
          <w:sz w:val="22"/>
          <w:szCs w:val="22"/>
          <w:lang w:val="en-GB" w:eastAsia="en-US"/>
        </w:rPr>
        <w:t>ligand dihydroxy-hydroxymethylpropyl-tetraazacyclododecane-triacetic acid (</w:t>
      </w:r>
      <w:r w:rsidRPr="007D73EF">
        <w:rPr>
          <w:rFonts w:ascii="Arial" w:hAnsi="Arial" w:cs="Arial"/>
          <w:noProof/>
          <w:sz w:val="22"/>
          <w:szCs w:val="22"/>
          <w:lang w:val="en-GB" w:eastAsia="en-US"/>
        </w:rPr>
        <w:t>butrol</w:t>
      </w:r>
      <w:r w:rsidR="00F0509A" w:rsidRPr="007D73EF">
        <w:rPr>
          <w:rFonts w:ascii="Arial" w:hAnsi="Arial" w:cs="Arial"/>
          <w:noProof/>
          <w:sz w:val="22"/>
          <w:szCs w:val="22"/>
          <w:lang w:val="en-GB" w:eastAsia="en-US"/>
        </w:rPr>
        <w:t>)</w:t>
      </w:r>
      <w:r w:rsidRPr="007D73EF">
        <w:rPr>
          <w:rFonts w:ascii="Arial" w:hAnsi="Arial" w:cs="Arial"/>
          <w:noProof/>
          <w:sz w:val="22"/>
          <w:szCs w:val="22"/>
          <w:lang w:val="en-GB" w:eastAsia="en-US"/>
        </w:rPr>
        <w:t>.</w:t>
      </w:r>
    </w:p>
    <w:p w14:paraId="452A9C2B" w14:textId="77777777" w:rsidR="00262914" w:rsidRPr="007D73EF" w:rsidRDefault="00262914" w:rsidP="00F20568">
      <w:pPr>
        <w:spacing w:before="120" w:after="120" w:line="300" w:lineRule="atLeast"/>
        <w:ind w:right="-35"/>
        <w:jc w:val="both"/>
        <w:rPr>
          <w:rFonts w:ascii="Arial" w:hAnsi="Arial" w:cs="Arial"/>
          <w:noProof/>
          <w:sz w:val="22"/>
          <w:szCs w:val="22"/>
          <w:lang w:val="en-GB" w:eastAsia="en-US"/>
        </w:rPr>
      </w:pPr>
      <w:r w:rsidRPr="007D73EF">
        <w:rPr>
          <w:rFonts w:ascii="Arial" w:hAnsi="Arial" w:cs="Arial"/>
          <w:noProof/>
          <w:sz w:val="22"/>
          <w:szCs w:val="22"/>
          <w:lang w:val="en-GB" w:eastAsia="en-US"/>
        </w:rPr>
        <w:t>When T1-weighted scanning sequences are used in proton magnetic resonance imaging, the gadolinium ion-induced shortening of the spin-lattice relaxation time of excited atomic nuclei leads to an increase of the signal intensity and, hence, to an increase of the image contrast of certain tissues</w:t>
      </w:r>
      <w:r w:rsidR="00F5349F" w:rsidRPr="007D73EF">
        <w:rPr>
          <w:rFonts w:ascii="Arial" w:hAnsi="Arial" w:cs="Arial"/>
          <w:noProof/>
          <w:sz w:val="22"/>
          <w:szCs w:val="22"/>
          <w:lang w:val="en-GB" w:eastAsia="en-US"/>
        </w:rPr>
        <w:t xml:space="preserve">. </w:t>
      </w:r>
      <w:r w:rsidR="007165EB" w:rsidRPr="007D73EF">
        <w:rPr>
          <w:rFonts w:ascii="Arial" w:hAnsi="Arial" w:cs="Arial"/>
          <w:noProof/>
          <w:sz w:val="22"/>
          <w:szCs w:val="22"/>
          <w:lang w:val="en-GB" w:eastAsia="en-US"/>
        </w:rPr>
        <w:t>In T2*-weighted gradient echo sequence</w:t>
      </w:r>
      <w:r w:rsidR="00851673" w:rsidRPr="007D73EF">
        <w:rPr>
          <w:rFonts w:ascii="Arial" w:hAnsi="Arial" w:cs="Arial"/>
          <w:noProof/>
          <w:sz w:val="22"/>
          <w:szCs w:val="22"/>
          <w:lang w:val="en-GB" w:eastAsia="en-US"/>
        </w:rPr>
        <w:t>,</w:t>
      </w:r>
      <w:r w:rsidR="007165EB" w:rsidRPr="007D73EF">
        <w:rPr>
          <w:rFonts w:ascii="Arial" w:hAnsi="Arial" w:cs="Arial"/>
          <w:noProof/>
          <w:sz w:val="22"/>
          <w:szCs w:val="22"/>
          <w:lang w:val="en-GB" w:eastAsia="en-US"/>
        </w:rPr>
        <w:t xml:space="preserve"> </w:t>
      </w:r>
      <w:r w:rsidR="00F5349F" w:rsidRPr="007D73EF">
        <w:rPr>
          <w:rFonts w:ascii="Arial" w:hAnsi="Arial" w:cs="Arial"/>
          <w:noProof/>
          <w:sz w:val="22"/>
          <w:szCs w:val="22"/>
          <w:lang w:val="en-GB" w:eastAsia="en-US"/>
        </w:rPr>
        <w:t xml:space="preserve">however, </w:t>
      </w:r>
      <w:r w:rsidR="007165EB" w:rsidRPr="007D73EF">
        <w:rPr>
          <w:rFonts w:ascii="Arial" w:hAnsi="Arial" w:cs="Arial"/>
          <w:noProof/>
          <w:sz w:val="22"/>
          <w:szCs w:val="22"/>
          <w:lang w:val="en-GB" w:eastAsia="en-US"/>
        </w:rPr>
        <w:t xml:space="preserve">the induction of local magnetic field </w:t>
      </w:r>
      <w:r w:rsidR="00F0509A" w:rsidRPr="007D73EF">
        <w:rPr>
          <w:rFonts w:ascii="Arial" w:hAnsi="Arial" w:cs="Arial"/>
          <w:noProof/>
          <w:sz w:val="22"/>
          <w:szCs w:val="22"/>
          <w:lang w:val="en-GB" w:eastAsia="en-US"/>
        </w:rPr>
        <w:t xml:space="preserve">inhomogeneties </w:t>
      </w:r>
      <w:r w:rsidR="007165EB" w:rsidRPr="007D73EF">
        <w:rPr>
          <w:rFonts w:ascii="Arial" w:hAnsi="Arial" w:cs="Arial"/>
          <w:noProof/>
          <w:sz w:val="22"/>
          <w:szCs w:val="22"/>
          <w:lang w:val="en-GB" w:eastAsia="en-US"/>
        </w:rPr>
        <w:t xml:space="preserve">by the large magnetic moment of gadolinium </w:t>
      </w:r>
      <w:r w:rsidR="00F0509A" w:rsidRPr="007D73EF">
        <w:rPr>
          <w:rFonts w:ascii="Arial" w:hAnsi="Arial" w:cs="Arial"/>
          <w:noProof/>
          <w:sz w:val="22"/>
          <w:szCs w:val="22"/>
          <w:lang w:val="en-GB" w:eastAsia="en-US"/>
        </w:rPr>
        <w:t xml:space="preserve">and at high concentrations (during bolus injection) </w:t>
      </w:r>
      <w:r w:rsidR="007165EB" w:rsidRPr="007D73EF">
        <w:rPr>
          <w:rFonts w:ascii="Arial" w:hAnsi="Arial" w:cs="Arial"/>
          <w:noProof/>
          <w:sz w:val="22"/>
          <w:szCs w:val="22"/>
          <w:lang w:val="en-GB" w:eastAsia="en-US"/>
        </w:rPr>
        <w:t>leads to a signal decrease</w:t>
      </w:r>
      <w:r w:rsidR="00F7376B" w:rsidRPr="007D73EF">
        <w:rPr>
          <w:rFonts w:ascii="Arial" w:hAnsi="Arial" w:cs="Arial"/>
          <w:noProof/>
          <w:sz w:val="22"/>
          <w:szCs w:val="22"/>
          <w:lang w:val="en-GB" w:eastAsia="en-US"/>
        </w:rPr>
        <w:t>.</w:t>
      </w:r>
      <w:r w:rsidR="007165EB" w:rsidRPr="007D73EF">
        <w:rPr>
          <w:rFonts w:ascii="Arial" w:hAnsi="Arial" w:cs="Arial"/>
          <w:noProof/>
          <w:sz w:val="22"/>
          <w:szCs w:val="22"/>
          <w:lang w:val="en-GB" w:eastAsia="en-US"/>
        </w:rPr>
        <w:t xml:space="preserve"> </w:t>
      </w:r>
    </w:p>
    <w:p w14:paraId="0EB5F417" w14:textId="77777777" w:rsidR="00F5349F" w:rsidRPr="007D73EF" w:rsidRDefault="00262914" w:rsidP="00F20568">
      <w:pPr>
        <w:spacing w:before="120" w:after="120" w:line="300" w:lineRule="atLeast"/>
        <w:ind w:right="-35"/>
        <w:jc w:val="both"/>
        <w:rPr>
          <w:rFonts w:ascii="Arial" w:hAnsi="Arial" w:cs="Arial"/>
          <w:noProof/>
          <w:sz w:val="22"/>
          <w:szCs w:val="22"/>
          <w:u w:val="single"/>
          <w:lang w:val="en-GB" w:eastAsia="en-US"/>
        </w:rPr>
      </w:pPr>
      <w:r w:rsidRPr="007D73EF">
        <w:rPr>
          <w:rFonts w:ascii="Arial" w:hAnsi="Arial" w:cs="Arial"/>
          <w:noProof/>
          <w:sz w:val="22"/>
          <w:szCs w:val="22"/>
          <w:u w:val="single"/>
          <w:lang w:val="en-GB" w:eastAsia="en-US"/>
        </w:rPr>
        <w:t>Pharmacodynamic effects</w:t>
      </w:r>
    </w:p>
    <w:p w14:paraId="7561E15B" w14:textId="77777777" w:rsidR="007165EB" w:rsidRPr="007D73EF" w:rsidRDefault="00314ABC" w:rsidP="00F20568">
      <w:pPr>
        <w:spacing w:before="120" w:after="120" w:line="300" w:lineRule="atLeast"/>
        <w:ind w:right="-29"/>
        <w:jc w:val="both"/>
        <w:rPr>
          <w:rFonts w:ascii="Arial" w:hAnsi="Arial" w:cs="Arial"/>
          <w:sz w:val="22"/>
          <w:szCs w:val="22"/>
        </w:rPr>
      </w:pPr>
      <w:r w:rsidRPr="007D73EF">
        <w:rPr>
          <w:rFonts w:ascii="Arial" w:hAnsi="Arial" w:cs="Arial"/>
          <w:sz w:val="22"/>
          <w:szCs w:val="22"/>
        </w:rPr>
        <w:t>In clinical doses, g</w:t>
      </w:r>
      <w:r w:rsidR="007165EB" w:rsidRPr="007D73EF">
        <w:rPr>
          <w:rFonts w:ascii="Arial" w:hAnsi="Arial" w:cs="Arial"/>
          <w:sz w:val="22"/>
          <w:szCs w:val="22"/>
        </w:rPr>
        <w:t xml:space="preserve">adobutrol leads to distinct shortening of the relaxation times </w:t>
      </w:r>
      <w:r w:rsidRPr="007D73EF">
        <w:rPr>
          <w:rFonts w:ascii="Arial" w:hAnsi="Arial" w:cs="Arial"/>
          <w:sz w:val="22"/>
          <w:szCs w:val="22"/>
        </w:rPr>
        <w:t>of protons in tissue water</w:t>
      </w:r>
      <w:r w:rsidR="007165EB" w:rsidRPr="007D73EF">
        <w:rPr>
          <w:rFonts w:ascii="Arial" w:hAnsi="Arial" w:cs="Arial"/>
          <w:sz w:val="22"/>
          <w:szCs w:val="22"/>
        </w:rPr>
        <w:t>.  At pH 7</w:t>
      </w:r>
      <w:r w:rsidR="00262914" w:rsidRPr="007D73EF">
        <w:rPr>
          <w:rFonts w:ascii="Arial" w:hAnsi="Arial" w:cs="Arial"/>
          <w:sz w:val="22"/>
          <w:szCs w:val="22"/>
          <w:lang w:eastAsia="en-US"/>
        </w:rPr>
        <w:t>, a magnetic field strength of 0.47 T</w:t>
      </w:r>
      <w:r w:rsidR="00F5349F" w:rsidRPr="007D73EF">
        <w:rPr>
          <w:rFonts w:ascii="Arial" w:hAnsi="Arial" w:cs="Arial"/>
          <w:sz w:val="22"/>
          <w:szCs w:val="22"/>
        </w:rPr>
        <w:t xml:space="preserve"> </w:t>
      </w:r>
      <w:r w:rsidR="007165EB" w:rsidRPr="007D73EF">
        <w:rPr>
          <w:rFonts w:ascii="Arial" w:hAnsi="Arial" w:cs="Arial"/>
          <w:sz w:val="22"/>
          <w:szCs w:val="22"/>
        </w:rPr>
        <w:t>and 40°C</w:t>
      </w:r>
      <w:r w:rsidR="00A8377F" w:rsidRPr="007D73EF">
        <w:rPr>
          <w:rFonts w:ascii="Arial" w:hAnsi="Arial" w:cs="Arial"/>
          <w:sz w:val="22"/>
          <w:szCs w:val="22"/>
        </w:rPr>
        <w:t>,</w:t>
      </w:r>
      <w:r w:rsidR="007165EB" w:rsidRPr="007D73EF">
        <w:rPr>
          <w:rFonts w:ascii="Arial" w:hAnsi="Arial" w:cs="Arial"/>
          <w:sz w:val="22"/>
          <w:szCs w:val="22"/>
        </w:rPr>
        <w:t xml:space="preserve"> the relaxivity </w:t>
      </w:r>
      <w:r w:rsidR="00F0509A" w:rsidRPr="007D73EF">
        <w:rPr>
          <w:rFonts w:ascii="Arial" w:hAnsi="Arial" w:cs="Arial"/>
          <w:sz w:val="22"/>
          <w:szCs w:val="22"/>
        </w:rPr>
        <w:t>(r</w:t>
      </w:r>
      <w:r w:rsidR="00F0509A" w:rsidRPr="007D73EF">
        <w:rPr>
          <w:rFonts w:ascii="Arial" w:hAnsi="Arial" w:cs="Arial"/>
          <w:sz w:val="22"/>
          <w:szCs w:val="22"/>
          <w:vertAlign w:val="subscript"/>
        </w:rPr>
        <w:t>1</w:t>
      </w:r>
      <w:r w:rsidR="00E61294" w:rsidRPr="007D73EF">
        <w:rPr>
          <w:rFonts w:ascii="Arial" w:hAnsi="Arial" w:cs="Arial"/>
          <w:sz w:val="22"/>
          <w:szCs w:val="22"/>
        </w:rPr>
        <w:t>) -</w:t>
      </w:r>
      <w:r w:rsidR="007165EB" w:rsidRPr="007D73EF">
        <w:rPr>
          <w:rFonts w:ascii="Arial" w:hAnsi="Arial" w:cs="Arial"/>
          <w:sz w:val="22"/>
          <w:szCs w:val="22"/>
        </w:rPr>
        <w:t xml:space="preserve"> determined from the influence on the spin-lattice relaxation time </w:t>
      </w:r>
      <w:r w:rsidR="00F0509A" w:rsidRPr="007D73EF">
        <w:rPr>
          <w:rFonts w:ascii="Arial" w:hAnsi="Arial" w:cs="Arial"/>
          <w:sz w:val="22"/>
          <w:szCs w:val="22"/>
        </w:rPr>
        <w:t>(T</w:t>
      </w:r>
      <w:r w:rsidR="00F0509A" w:rsidRPr="007D73EF">
        <w:rPr>
          <w:rFonts w:ascii="Arial" w:hAnsi="Arial" w:cs="Arial"/>
          <w:sz w:val="22"/>
          <w:szCs w:val="22"/>
          <w:vertAlign w:val="subscript"/>
        </w:rPr>
        <w:t>1</w:t>
      </w:r>
      <w:r w:rsidR="00E61294" w:rsidRPr="007D73EF">
        <w:rPr>
          <w:rFonts w:ascii="Arial" w:hAnsi="Arial" w:cs="Arial"/>
          <w:sz w:val="22"/>
          <w:szCs w:val="22"/>
        </w:rPr>
        <w:t>) of</w:t>
      </w:r>
      <w:r w:rsidR="007165EB" w:rsidRPr="007D73EF">
        <w:rPr>
          <w:rFonts w:ascii="Arial" w:hAnsi="Arial" w:cs="Arial"/>
          <w:sz w:val="22"/>
          <w:szCs w:val="22"/>
        </w:rPr>
        <w:t xml:space="preserve"> protons - is about </w:t>
      </w:r>
      <w:r w:rsidRPr="007D73EF">
        <w:rPr>
          <w:rFonts w:ascii="Arial" w:hAnsi="Arial" w:cs="Arial"/>
          <w:sz w:val="22"/>
          <w:szCs w:val="22"/>
        </w:rPr>
        <w:t>3.6 L/mmol</w:t>
      </w:r>
      <w:r w:rsidRPr="007D73EF">
        <w:rPr>
          <w:rFonts w:ascii="Arial" w:hAnsi="Arial" w:cs="Arial"/>
          <w:sz w:val="22"/>
          <w:szCs w:val="22"/>
          <w:vertAlign w:val="superscript"/>
        </w:rPr>
        <w:t>-1</w:t>
      </w:r>
      <w:r w:rsidRPr="007D73EF">
        <w:rPr>
          <w:rFonts w:ascii="Arial" w:hAnsi="Arial" w:cs="Arial"/>
          <w:sz w:val="22"/>
          <w:szCs w:val="22"/>
        </w:rPr>
        <w:t>sec</w:t>
      </w:r>
      <w:r w:rsidRPr="007D73EF">
        <w:rPr>
          <w:rFonts w:ascii="Arial" w:hAnsi="Arial" w:cs="Arial"/>
          <w:sz w:val="22"/>
          <w:szCs w:val="22"/>
          <w:vertAlign w:val="superscript"/>
        </w:rPr>
        <w:t>-1</w:t>
      </w:r>
      <w:r w:rsidRPr="007D73EF">
        <w:rPr>
          <w:rFonts w:ascii="Arial" w:hAnsi="Arial" w:cs="Arial"/>
          <w:sz w:val="22"/>
          <w:szCs w:val="22"/>
        </w:rPr>
        <w:t xml:space="preserve"> in water and </w:t>
      </w:r>
      <w:r w:rsidR="007165EB" w:rsidRPr="007D73EF">
        <w:rPr>
          <w:rFonts w:ascii="Arial" w:hAnsi="Arial" w:cs="Arial"/>
          <w:sz w:val="22"/>
          <w:szCs w:val="22"/>
        </w:rPr>
        <w:t xml:space="preserve">5.6 </w:t>
      </w:r>
      <w:r w:rsidR="00F42C87" w:rsidRPr="007D73EF">
        <w:rPr>
          <w:rFonts w:ascii="Arial" w:hAnsi="Arial" w:cs="Arial"/>
          <w:sz w:val="22"/>
          <w:szCs w:val="22"/>
        </w:rPr>
        <w:t>L</w:t>
      </w:r>
      <w:r w:rsidR="007165EB" w:rsidRPr="007D73EF">
        <w:rPr>
          <w:rFonts w:ascii="Arial" w:hAnsi="Arial" w:cs="Arial"/>
          <w:sz w:val="22"/>
          <w:szCs w:val="22"/>
        </w:rPr>
        <w:t>/mmol</w:t>
      </w:r>
      <w:r w:rsidR="00262914" w:rsidRPr="007D73EF">
        <w:rPr>
          <w:rFonts w:ascii="Arial" w:hAnsi="Arial" w:cs="Arial"/>
          <w:sz w:val="22"/>
          <w:szCs w:val="22"/>
          <w:vertAlign w:val="superscript"/>
        </w:rPr>
        <w:t>-1</w:t>
      </w:r>
      <w:r w:rsidR="007165EB" w:rsidRPr="007D73EF">
        <w:rPr>
          <w:rFonts w:ascii="Arial" w:hAnsi="Arial" w:cs="Arial"/>
          <w:sz w:val="22"/>
          <w:szCs w:val="22"/>
        </w:rPr>
        <w:t>sec</w:t>
      </w:r>
      <w:r w:rsidRPr="007D73EF">
        <w:rPr>
          <w:rFonts w:ascii="Arial" w:hAnsi="Arial" w:cs="Arial"/>
          <w:sz w:val="22"/>
          <w:szCs w:val="22"/>
          <w:vertAlign w:val="superscript"/>
        </w:rPr>
        <w:t>-1</w:t>
      </w:r>
      <w:r w:rsidR="007165EB" w:rsidRPr="007D73EF">
        <w:rPr>
          <w:rFonts w:ascii="Arial" w:hAnsi="Arial" w:cs="Arial"/>
          <w:sz w:val="22"/>
          <w:szCs w:val="22"/>
        </w:rPr>
        <w:t xml:space="preserve"> </w:t>
      </w:r>
      <w:r w:rsidRPr="007D73EF">
        <w:rPr>
          <w:rFonts w:ascii="Arial" w:hAnsi="Arial" w:cs="Arial"/>
          <w:sz w:val="22"/>
          <w:szCs w:val="22"/>
        </w:rPr>
        <w:t xml:space="preserve">in plasma </w:t>
      </w:r>
      <w:r w:rsidR="007165EB" w:rsidRPr="007D73EF">
        <w:rPr>
          <w:rFonts w:ascii="Arial" w:hAnsi="Arial" w:cs="Arial"/>
          <w:sz w:val="22"/>
          <w:szCs w:val="22"/>
        </w:rPr>
        <w:t>and the</w:t>
      </w:r>
      <w:r w:rsidR="00F0509A" w:rsidRPr="007D73EF">
        <w:rPr>
          <w:rFonts w:ascii="Arial" w:hAnsi="Arial" w:cs="Arial"/>
          <w:sz w:val="22"/>
          <w:szCs w:val="22"/>
        </w:rPr>
        <w:t xml:space="preserve"> relaxivity (r</w:t>
      </w:r>
      <w:r w:rsidR="00F0509A" w:rsidRPr="007D73EF">
        <w:rPr>
          <w:rFonts w:ascii="Arial" w:hAnsi="Arial" w:cs="Arial"/>
          <w:sz w:val="22"/>
          <w:szCs w:val="22"/>
          <w:vertAlign w:val="subscript"/>
        </w:rPr>
        <w:t>2</w:t>
      </w:r>
      <w:r w:rsidR="00F0509A" w:rsidRPr="007D73EF">
        <w:rPr>
          <w:rFonts w:ascii="Arial" w:hAnsi="Arial" w:cs="Arial"/>
          <w:sz w:val="22"/>
          <w:szCs w:val="22"/>
        </w:rPr>
        <w:t>) – determined from the influence on the</w:t>
      </w:r>
      <w:r w:rsidR="007165EB" w:rsidRPr="007D73EF">
        <w:rPr>
          <w:rFonts w:ascii="Arial" w:hAnsi="Arial" w:cs="Arial"/>
          <w:sz w:val="22"/>
          <w:szCs w:val="22"/>
        </w:rPr>
        <w:t xml:space="preserve"> spin</w:t>
      </w:r>
      <w:r w:rsidR="00851673" w:rsidRPr="007D73EF">
        <w:rPr>
          <w:rFonts w:ascii="Arial" w:hAnsi="Arial" w:cs="Arial"/>
          <w:sz w:val="22"/>
          <w:szCs w:val="22"/>
        </w:rPr>
        <w:t>–</w:t>
      </w:r>
      <w:r w:rsidR="007165EB" w:rsidRPr="007D73EF">
        <w:rPr>
          <w:rFonts w:ascii="Arial" w:hAnsi="Arial" w:cs="Arial"/>
          <w:sz w:val="22"/>
          <w:szCs w:val="22"/>
        </w:rPr>
        <w:t>spin relaxation time</w:t>
      </w:r>
      <w:r w:rsidR="00F0509A" w:rsidRPr="007D73EF">
        <w:rPr>
          <w:rFonts w:ascii="Arial" w:hAnsi="Arial" w:cs="Arial"/>
          <w:sz w:val="22"/>
          <w:szCs w:val="22"/>
        </w:rPr>
        <w:t xml:space="preserve"> (T</w:t>
      </w:r>
      <w:r w:rsidR="00F0509A" w:rsidRPr="007D73EF">
        <w:rPr>
          <w:rFonts w:ascii="Arial" w:hAnsi="Arial" w:cs="Arial"/>
          <w:sz w:val="22"/>
          <w:szCs w:val="22"/>
          <w:vertAlign w:val="subscript"/>
        </w:rPr>
        <w:t>2</w:t>
      </w:r>
      <w:r w:rsidR="00F0509A" w:rsidRPr="007D73EF">
        <w:rPr>
          <w:rFonts w:ascii="Arial" w:hAnsi="Arial" w:cs="Arial"/>
          <w:sz w:val="22"/>
          <w:szCs w:val="22"/>
        </w:rPr>
        <w:t>)</w:t>
      </w:r>
      <w:r w:rsidR="007165EB" w:rsidRPr="007D73EF">
        <w:rPr>
          <w:rFonts w:ascii="Arial" w:hAnsi="Arial" w:cs="Arial"/>
          <w:sz w:val="22"/>
          <w:szCs w:val="22"/>
        </w:rPr>
        <w:t xml:space="preserve"> </w:t>
      </w:r>
      <w:r w:rsidRPr="007D73EF">
        <w:rPr>
          <w:rFonts w:ascii="Arial" w:hAnsi="Arial" w:cs="Arial"/>
          <w:sz w:val="22"/>
          <w:szCs w:val="22"/>
        </w:rPr>
        <w:t xml:space="preserve">- </w:t>
      </w:r>
      <w:r w:rsidR="007165EB" w:rsidRPr="007D73EF">
        <w:rPr>
          <w:rFonts w:ascii="Arial" w:hAnsi="Arial" w:cs="Arial"/>
          <w:sz w:val="22"/>
          <w:szCs w:val="22"/>
        </w:rPr>
        <w:t xml:space="preserve">is about </w:t>
      </w:r>
      <w:r w:rsidR="00CE3650" w:rsidRPr="007D73EF">
        <w:rPr>
          <w:rFonts w:ascii="Arial" w:hAnsi="Arial" w:cs="Arial"/>
          <w:sz w:val="22"/>
          <w:szCs w:val="22"/>
        </w:rPr>
        <w:t>4</w:t>
      </w:r>
      <w:r w:rsidRPr="007D73EF">
        <w:rPr>
          <w:rFonts w:ascii="Arial" w:hAnsi="Arial" w:cs="Arial"/>
          <w:sz w:val="22"/>
          <w:szCs w:val="22"/>
        </w:rPr>
        <w:t xml:space="preserve"> L/mmol</w:t>
      </w:r>
      <w:r w:rsidRPr="007D73EF">
        <w:rPr>
          <w:rFonts w:ascii="Arial" w:hAnsi="Arial" w:cs="Arial"/>
          <w:sz w:val="22"/>
          <w:szCs w:val="22"/>
          <w:vertAlign w:val="superscript"/>
        </w:rPr>
        <w:t>-1</w:t>
      </w:r>
      <w:r w:rsidRPr="007D73EF">
        <w:rPr>
          <w:rFonts w:ascii="Arial" w:hAnsi="Arial" w:cs="Arial"/>
          <w:sz w:val="22"/>
          <w:szCs w:val="22"/>
        </w:rPr>
        <w:t>sec</w:t>
      </w:r>
      <w:r w:rsidRPr="007D73EF">
        <w:rPr>
          <w:rFonts w:ascii="Arial" w:hAnsi="Arial" w:cs="Arial"/>
          <w:sz w:val="22"/>
          <w:szCs w:val="22"/>
          <w:vertAlign w:val="superscript"/>
        </w:rPr>
        <w:t>-1</w:t>
      </w:r>
      <w:r w:rsidRPr="007D73EF">
        <w:rPr>
          <w:rFonts w:ascii="Arial" w:hAnsi="Arial" w:cs="Arial"/>
          <w:sz w:val="22"/>
          <w:szCs w:val="22"/>
        </w:rPr>
        <w:t xml:space="preserve"> in water and </w:t>
      </w:r>
      <w:r w:rsidR="007165EB" w:rsidRPr="007D73EF">
        <w:rPr>
          <w:rFonts w:ascii="Arial" w:hAnsi="Arial" w:cs="Arial"/>
          <w:sz w:val="22"/>
          <w:szCs w:val="22"/>
        </w:rPr>
        <w:t xml:space="preserve">6.5 </w:t>
      </w:r>
      <w:r w:rsidR="00F42C87" w:rsidRPr="007D73EF">
        <w:rPr>
          <w:rFonts w:ascii="Arial" w:hAnsi="Arial" w:cs="Arial"/>
          <w:sz w:val="22"/>
          <w:szCs w:val="22"/>
        </w:rPr>
        <w:t>L</w:t>
      </w:r>
      <w:r w:rsidR="007165EB" w:rsidRPr="007D73EF">
        <w:rPr>
          <w:rFonts w:ascii="Arial" w:hAnsi="Arial" w:cs="Arial"/>
          <w:sz w:val="22"/>
          <w:szCs w:val="22"/>
        </w:rPr>
        <w:t>/mmol</w:t>
      </w:r>
      <w:r w:rsidR="00A8377F" w:rsidRPr="007D73EF">
        <w:rPr>
          <w:rFonts w:ascii="Arial" w:hAnsi="Arial" w:cs="Arial"/>
          <w:sz w:val="22"/>
          <w:szCs w:val="22"/>
          <w:vertAlign w:val="superscript"/>
        </w:rPr>
        <w:t>-1</w:t>
      </w:r>
      <w:r w:rsidR="007165EB" w:rsidRPr="007D73EF">
        <w:rPr>
          <w:rFonts w:ascii="Arial" w:hAnsi="Arial" w:cs="Arial"/>
          <w:sz w:val="22"/>
          <w:szCs w:val="22"/>
        </w:rPr>
        <w:t>sec</w:t>
      </w:r>
      <w:r w:rsidR="00A8377F" w:rsidRPr="007D73EF">
        <w:rPr>
          <w:rFonts w:ascii="Arial" w:hAnsi="Arial" w:cs="Arial"/>
          <w:sz w:val="22"/>
          <w:szCs w:val="22"/>
          <w:vertAlign w:val="superscript"/>
        </w:rPr>
        <w:t>-1</w:t>
      </w:r>
      <w:r w:rsidRPr="007D73EF">
        <w:rPr>
          <w:rFonts w:ascii="Arial" w:hAnsi="Arial" w:cs="Arial"/>
          <w:sz w:val="22"/>
          <w:szCs w:val="22"/>
        </w:rPr>
        <w:t xml:space="preserve"> in plasma</w:t>
      </w:r>
      <w:r w:rsidR="007165EB" w:rsidRPr="007D73EF">
        <w:rPr>
          <w:rFonts w:ascii="Arial" w:hAnsi="Arial" w:cs="Arial"/>
          <w:sz w:val="22"/>
          <w:szCs w:val="22"/>
        </w:rPr>
        <w:t>. The relaxivity displays only slight dependency on the strength of the magnetic field.</w:t>
      </w:r>
    </w:p>
    <w:p w14:paraId="470F5971" w14:textId="77777777" w:rsidR="007165EB" w:rsidRPr="007D73EF" w:rsidRDefault="007165EB" w:rsidP="00F20568">
      <w:pPr>
        <w:spacing w:before="120" w:after="120" w:line="300" w:lineRule="atLeast"/>
        <w:ind w:right="-29"/>
        <w:jc w:val="both"/>
        <w:rPr>
          <w:rFonts w:ascii="Arial" w:hAnsi="Arial" w:cs="Arial"/>
          <w:sz w:val="22"/>
          <w:szCs w:val="22"/>
        </w:rPr>
      </w:pPr>
      <w:r w:rsidRPr="007D73EF">
        <w:rPr>
          <w:rFonts w:ascii="Arial" w:hAnsi="Arial" w:cs="Arial"/>
          <w:sz w:val="22"/>
          <w:szCs w:val="22"/>
        </w:rPr>
        <w:t xml:space="preserve">The macrocyclic ligand forms a </w:t>
      </w:r>
      <w:r w:rsidR="00F5349F" w:rsidRPr="007D73EF">
        <w:rPr>
          <w:rFonts w:ascii="Arial" w:hAnsi="Arial" w:cs="Arial"/>
          <w:sz w:val="22"/>
          <w:szCs w:val="22"/>
        </w:rPr>
        <w:t xml:space="preserve">stable </w:t>
      </w:r>
      <w:r w:rsidRPr="007D73EF">
        <w:rPr>
          <w:rFonts w:ascii="Arial" w:hAnsi="Arial" w:cs="Arial"/>
          <w:sz w:val="22"/>
          <w:szCs w:val="22"/>
        </w:rPr>
        <w:t xml:space="preserve">complex with the paramagnetic gadolinium ion with extremely high </w:t>
      </w:r>
      <w:r w:rsidRPr="007D73EF">
        <w:rPr>
          <w:rFonts w:ascii="Arial" w:hAnsi="Arial" w:cs="Arial"/>
          <w:i/>
          <w:sz w:val="22"/>
          <w:szCs w:val="22"/>
        </w:rPr>
        <w:t>in-vivo</w:t>
      </w:r>
      <w:r w:rsidRPr="007D73EF">
        <w:rPr>
          <w:rFonts w:ascii="Arial" w:hAnsi="Arial" w:cs="Arial"/>
          <w:sz w:val="22"/>
          <w:szCs w:val="22"/>
        </w:rPr>
        <w:t xml:space="preserve"> and </w:t>
      </w:r>
      <w:r w:rsidRPr="007D73EF">
        <w:rPr>
          <w:rFonts w:ascii="Arial" w:hAnsi="Arial" w:cs="Arial"/>
          <w:i/>
          <w:sz w:val="22"/>
          <w:szCs w:val="22"/>
        </w:rPr>
        <w:t>in-vitro</w:t>
      </w:r>
      <w:r w:rsidRPr="007D73EF">
        <w:rPr>
          <w:rFonts w:ascii="Arial" w:hAnsi="Arial" w:cs="Arial"/>
          <w:sz w:val="22"/>
          <w:szCs w:val="22"/>
        </w:rPr>
        <w:t xml:space="preserve"> stability</w:t>
      </w:r>
      <w:r w:rsidR="00F5349F" w:rsidRPr="007D73EF">
        <w:rPr>
          <w:rFonts w:ascii="Arial" w:hAnsi="Arial" w:cs="Arial"/>
          <w:sz w:val="22"/>
          <w:szCs w:val="22"/>
        </w:rPr>
        <w:t xml:space="preserve"> </w:t>
      </w:r>
      <w:r w:rsidR="00262914" w:rsidRPr="007D73EF">
        <w:rPr>
          <w:rFonts w:ascii="Arial" w:hAnsi="Arial" w:cs="Arial"/>
          <w:sz w:val="22"/>
          <w:szCs w:val="22"/>
          <w:lang w:eastAsia="en-US"/>
        </w:rPr>
        <w:t>(thermodynamic stability constant: log K = 21-22)</w:t>
      </w:r>
      <w:r w:rsidRPr="007D73EF">
        <w:rPr>
          <w:rFonts w:ascii="Arial" w:hAnsi="Arial" w:cs="Arial"/>
          <w:sz w:val="22"/>
          <w:szCs w:val="22"/>
        </w:rPr>
        <w:t xml:space="preserve">. Gadobutrol is a highly water-soluble, extremely hydrophilic compound with a distribution coefficient between n-butanol and buffer at pH 7.6 of about 0.006. The substance does not display any inhibitory interaction with enzymes. </w:t>
      </w:r>
    </w:p>
    <w:p w14:paraId="32E727C8" w14:textId="77777777" w:rsidR="00F20568" w:rsidRPr="007D73EF" w:rsidRDefault="00F20568" w:rsidP="00F20568">
      <w:pPr>
        <w:keepNext/>
        <w:spacing w:before="120" w:after="240" w:line="300" w:lineRule="atLeast"/>
        <w:ind w:left="567" w:right="363" w:hanging="567"/>
        <w:jc w:val="both"/>
        <w:rPr>
          <w:rFonts w:ascii="Arial" w:hAnsi="Arial" w:cs="Arial"/>
          <w:b/>
          <w:bCs/>
          <w:noProof/>
          <w:sz w:val="24"/>
          <w:szCs w:val="24"/>
          <w:lang w:val="en-GB" w:eastAsia="en-US"/>
        </w:rPr>
      </w:pPr>
    </w:p>
    <w:p w14:paraId="68EDF46D" w14:textId="77777777" w:rsidR="00217287" w:rsidRPr="007D73EF" w:rsidRDefault="00262914" w:rsidP="00F20568">
      <w:pPr>
        <w:keepNext/>
        <w:spacing w:before="120" w:after="240" w:line="300" w:lineRule="atLeast"/>
        <w:ind w:left="567" w:right="363" w:hanging="567"/>
        <w:jc w:val="both"/>
        <w:rPr>
          <w:rFonts w:ascii="Arial" w:hAnsi="Arial" w:cs="Arial"/>
          <w:b/>
          <w:bCs/>
          <w:noProof/>
          <w:sz w:val="24"/>
          <w:szCs w:val="24"/>
          <w:lang w:val="en-GB" w:eastAsia="en-US"/>
        </w:rPr>
      </w:pPr>
      <w:r w:rsidRPr="007D73EF">
        <w:rPr>
          <w:rFonts w:ascii="Arial" w:hAnsi="Arial" w:cs="Arial"/>
          <w:b/>
          <w:bCs/>
          <w:noProof/>
          <w:sz w:val="24"/>
          <w:szCs w:val="24"/>
          <w:lang w:val="en-GB" w:eastAsia="en-US"/>
        </w:rPr>
        <w:t>Pharmacokinetic</w:t>
      </w:r>
      <w:r w:rsidR="0039258F" w:rsidRPr="007D73EF">
        <w:rPr>
          <w:rFonts w:ascii="Arial" w:hAnsi="Arial" w:cs="Arial"/>
          <w:b/>
          <w:bCs/>
          <w:noProof/>
          <w:sz w:val="24"/>
          <w:szCs w:val="24"/>
          <w:lang w:val="en-GB" w:eastAsia="en-US"/>
        </w:rPr>
        <w:t>s</w:t>
      </w:r>
      <w:r w:rsidRPr="007D73EF">
        <w:rPr>
          <w:rFonts w:ascii="Arial" w:hAnsi="Arial" w:cs="Arial"/>
          <w:b/>
          <w:bCs/>
          <w:noProof/>
          <w:sz w:val="24"/>
          <w:szCs w:val="24"/>
          <w:lang w:val="en-GB" w:eastAsia="en-US"/>
        </w:rPr>
        <w:t xml:space="preserve"> </w:t>
      </w:r>
    </w:p>
    <w:p w14:paraId="0BC6F276" w14:textId="77777777" w:rsidR="00217287" w:rsidRPr="007D73EF" w:rsidRDefault="00217287" w:rsidP="00F20568">
      <w:pPr>
        <w:spacing w:before="120" w:after="120" w:line="300" w:lineRule="atLeast"/>
        <w:ind w:right="-35"/>
        <w:jc w:val="both"/>
        <w:rPr>
          <w:rFonts w:ascii="Arial" w:hAnsi="Arial" w:cs="Arial"/>
          <w:noProof/>
          <w:sz w:val="22"/>
          <w:szCs w:val="22"/>
          <w:u w:val="single"/>
          <w:lang w:val="en-GB" w:eastAsia="en-US"/>
        </w:rPr>
      </w:pPr>
      <w:r w:rsidRPr="007D73EF">
        <w:rPr>
          <w:rFonts w:ascii="Arial" w:hAnsi="Arial" w:cs="Arial"/>
          <w:noProof/>
          <w:sz w:val="22"/>
          <w:szCs w:val="22"/>
          <w:u w:val="single"/>
          <w:lang w:val="en-GB" w:eastAsia="en-US"/>
        </w:rPr>
        <w:t>General introduction</w:t>
      </w:r>
    </w:p>
    <w:p w14:paraId="6A504BD1" w14:textId="77777777" w:rsidR="00262914" w:rsidRPr="007D73EF" w:rsidRDefault="00262914" w:rsidP="00F20568">
      <w:pPr>
        <w:spacing w:before="120" w:after="120" w:line="300" w:lineRule="atLeast"/>
        <w:ind w:right="-29"/>
        <w:jc w:val="both"/>
        <w:rPr>
          <w:rFonts w:ascii="Arial" w:hAnsi="Arial" w:cs="Arial"/>
          <w:sz w:val="22"/>
          <w:szCs w:val="22"/>
        </w:rPr>
      </w:pPr>
      <w:r w:rsidRPr="007D73EF">
        <w:rPr>
          <w:rFonts w:ascii="Arial" w:hAnsi="Arial" w:cs="Arial"/>
          <w:sz w:val="22"/>
          <w:szCs w:val="22"/>
        </w:rPr>
        <w:t>Gadobutrol behaves in the organism like other highly hydrophilic biologically inert, renally</w:t>
      </w:r>
      <w:r w:rsidR="00217287" w:rsidRPr="007D73EF">
        <w:rPr>
          <w:rFonts w:ascii="Arial" w:hAnsi="Arial" w:cs="Arial"/>
          <w:sz w:val="22"/>
          <w:szCs w:val="22"/>
        </w:rPr>
        <w:t xml:space="preserve"> </w:t>
      </w:r>
      <w:r w:rsidRPr="007D73EF">
        <w:rPr>
          <w:rFonts w:ascii="Arial" w:hAnsi="Arial" w:cs="Arial"/>
          <w:sz w:val="22"/>
          <w:szCs w:val="22"/>
        </w:rPr>
        <w:t>excreted compounds (e.g. mannitol or inulin).</w:t>
      </w:r>
    </w:p>
    <w:p w14:paraId="25797E8C" w14:textId="77777777" w:rsidR="00D04FDA" w:rsidRPr="007D73EF" w:rsidRDefault="00262914" w:rsidP="00F20568">
      <w:pPr>
        <w:spacing w:before="120" w:after="120" w:line="300" w:lineRule="atLeast"/>
        <w:ind w:right="-35"/>
        <w:jc w:val="both"/>
        <w:rPr>
          <w:rFonts w:ascii="Arial" w:hAnsi="Arial" w:cs="Arial"/>
          <w:noProof/>
          <w:sz w:val="22"/>
          <w:szCs w:val="22"/>
          <w:u w:val="single"/>
          <w:lang w:val="en-GB" w:eastAsia="en-US"/>
        </w:rPr>
      </w:pPr>
      <w:r w:rsidRPr="007D73EF">
        <w:rPr>
          <w:rFonts w:ascii="Arial" w:hAnsi="Arial" w:cs="Arial"/>
          <w:noProof/>
          <w:sz w:val="22"/>
          <w:szCs w:val="22"/>
          <w:u w:val="single"/>
          <w:lang w:val="en-GB" w:eastAsia="en-US"/>
        </w:rPr>
        <w:t>Absorption and Distribution</w:t>
      </w:r>
    </w:p>
    <w:p w14:paraId="40F890BC" w14:textId="77777777" w:rsidR="00B52CC5" w:rsidRPr="007D73EF" w:rsidRDefault="00D04FDA" w:rsidP="00F20568">
      <w:pPr>
        <w:spacing w:before="120" w:after="120" w:line="300" w:lineRule="atLeast"/>
        <w:ind w:right="-29"/>
        <w:jc w:val="both"/>
        <w:rPr>
          <w:rFonts w:ascii="Arial" w:hAnsi="Arial" w:cs="Arial"/>
          <w:sz w:val="22"/>
          <w:szCs w:val="22"/>
        </w:rPr>
      </w:pPr>
      <w:r w:rsidRPr="007D73EF">
        <w:rPr>
          <w:rFonts w:ascii="Arial" w:hAnsi="Arial" w:cs="Arial"/>
          <w:sz w:val="22"/>
          <w:szCs w:val="22"/>
        </w:rPr>
        <w:t>G</w:t>
      </w:r>
      <w:r w:rsidR="007165EB" w:rsidRPr="007D73EF">
        <w:rPr>
          <w:rFonts w:ascii="Arial" w:hAnsi="Arial" w:cs="Arial"/>
          <w:sz w:val="22"/>
          <w:szCs w:val="22"/>
        </w:rPr>
        <w:t>adobutrol is rapidly distributed in the extracellular space</w:t>
      </w:r>
      <w:r w:rsidRPr="007D73EF">
        <w:rPr>
          <w:rFonts w:ascii="Arial" w:hAnsi="Arial" w:cs="Arial"/>
          <w:sz w:val="22"/>
          <w:szCs w:val="22"/>
        </w:rPr>
        <w:t>.</w:t>
      </w:r>
      <w:r w:rsidR="007165EB" w:rsidRPr="007D73EF">
        <w:rPr>
          <w:rFonts w:ascii="Arial" w:hAnsi="Arial" w:cs="Arial"/>
          <w:sz w:val="22"/>
          <w:szCs w:val="22"/>
        </w:rPr>
        <w:t xml:space="preserve"> </w:t>
      </w:r>
      <w:r w:rsidRPr="007D73EF">
        <w:rPr>
          <w:rFonts w:ascii="Arial" w:hAnsi="Arial" w:cs="Arial"/>
          <w:sz w:val="22"/>
          <w:szCs w:val="22"/>
        </w:rPr>
        <w:t>Protein binding is negligible.</w:t>
      </w:r>
      <w:r w:rsidR="007165EB" w:rsidRPr="007D73EF">
        <w:rPr>
          <w:rFonts w:ascii="Arial" w:hAnsi="Arial" w:cs="Arial"/>
          <w:sz w:val="22"/>
          <w:szCs w:val="22"/>
        </w:rPr>
        <w:t xml:space="preserve">  </w:t>
      </w:r>
      <w:r w:rsidR="006B7D85" w:rsidRPr="007D73EF">
        <w:rPr>
          <w:rFonts w:ascii="Arial" w:hAnsi="Arial" w:cs="Arial"/>
          <w:sz w:val="22"/>
          <w:szCs w:val="22"/>
        </w:rPr>
        <w:t xml:space="preserve">After a dose of 0.1 mmol </w:t>
      </w:r>
      <w:r w:rsidR="00C07A2E" w:rsidRPr="007D73EF">
        <w:rPr>
          <w:rFonts w:ascii="Arial" w:hAnsi="Arial" w:cs="Arial"/>
          <w:sz w:val="22"/>
          <w:szCs w:val="22"/>
        </w:rPr>
        <w:t>g</w:t>
      </w:r>
      <w:r w:rsidR="006B7D85" w:rsidRPr="007D73EF">
        <w:rPr>
          <w:rFonts w:ascii="Arial" w:hAnsi="Arial" w:cs="Arial"/>
          <w:sz w:val="22"/>
          <w:szCs w:val="22"/>
        </w:rPr>
        <w:t>ado</w:t>
      </w:r>
      <w:r w:rsidR="00391A34" w:rsidRPr="007D73EF">
        <w:rPr>
          <w:rFonts w:ascii="Arial" w:hAnsi="Arial" w:cs="Arial"/>
          <w:sz w:val="22"/>
          <w:szCs w:val="22"/>
        </w:rPr>
        <w:t>butrol</w:t>
      </w:r>
      <w:r w:rsidR="006B7D85" w:rsidRPr="007D73EF">
        <w:rPr>
          <w:rFonts w:ascii="Arial" w:hAnsi="Arial" w:cs="Arial"/>
          <w:sz w:val="22"/>
          <w:szCs w:val="22"/>
        </w:rPr>
        <w:t xml:space="preserve">/kg body weight, 0.59 mmol </w:t>
      </w:r>
      <w:r w:rsidR="00C07A2E" w:rsidRPr="007D73EF">
        <w:rPr>
          <w:rFonts w:ascii="Arial" w:hAnsi="Arial" w:cs="Arial"/>
          <w:sz w:val="22"/>
          <w:szCs w:val="22"/>
        </w:rPr>
        <w:t>g</w:t>
      </w:r>
      <w:r w:rsidR="006B7D85" w:rsidRPr="007D73EF">
        <w:rPr>
          <w:rFonts w:ascii="Arial" w:hAnsi="Arial" w:cs="Arial"/>
          <w:sz w:val="22"/>
          <w:szCs w:val="22"/>
        </w:rPr>
        <w:t>ado</w:t>
      </w:r>
      <w:r w:rsidR="00391A34" w:rsidRPr="007D73EF">
        <w:rPr>
          <w:rFonts w:ascii="Arial" w:hAnsi="Arial" w:cs="Arial"/>
          <w:sz w:val="22"/>
          <w:szCs w:val="22"/>
        </w:rPr>
        <w:t>butrol</w:t>
      </w:r>
      <w:r w:rsidR="006B7D85" w:rsidRPr="007D73EF">
        <w:rPr>
          <w:rFonts w:ascii="Arial" w:hAnsi="Arial" w:cs="Arial"/>
          <w:sz w:val="22"/>
          <w:szCs w:val="22"/>
        </w:rPr>
        <w:t>/L plasma was measured 2 minutes post</w:t>
      </w:r>
      <w:r w:rsidR="006B7D85" w:rsidRPr="007D73EF">
        <w:rPr>
          <w:rFonts w:ascii="Arial" w:hAnsi="Arial" w:cs="Arial"/>
          <w:sz w:val="22"/>
          <w:szCs w:val="22"/>
        </w:rPr>
        <w:softHyphen/>
      </w:r>
      <w:r w:rsidR="006B7D85" w:rsidRPr="007D73EF">
        <w:rPr>
          <w:rFonts w:ascii="Arial" w:hAnsi="Arial" w:cs="Arial"/>
          <w:sz w:val="22"/>
          <w:szCs w:val="22"/>
        </w:rPr>
        <w:softHyphen/>
        <w:t xml:space="preserve">–injection and 0.3 mmol </w:t>
      </w:r>
      <w:r w:rsidR="00C07A2E" w:rsidRPr="007D73EF">
        <w:rPr>
          <w:rFonts w:ascii="Arial" w:hAnsi="Arial" w:cs="Arial"/>
          <w:sz w:val="22"/>
          <w:szCs w:val="22"/>
        </w:rPr>
        <w:t>g</w:t>
      </w:r>
      <w:r w:rsidR="006B7D85" w:rsidRPr="007D73EF">
        <w:rPr>
          <w:rFonts w:ascii="Arial" w:hAnsi="Arial" w:cs="Arial"/>
          <w:sz w:val="22"/>
          <w:szCs w:val="22"/>
        </w:rPr>
        <w:t>ado</w:t>
      </w:r>
      <w:r w:rsidR="00391A34" w:rsidRPr="007D73EF">
        <w:rPr>
          <w:rFonts w:ascii="Arial" w:hAnsi="Arial" w:cs="Arial"/>
          <w:sz w:val="22"/>
          <w:szCs w:val="22"/>
        </w:rPr>
        <w:t>butrol</w:t>
      </w:r>
      <w:r w:rsidR="006B7D85" w:rsidRPr="007D73EF">
        <w:rPr>
          <w:rFonts w:ascii="Arial" w:hAnsi="Arial" w:cs="Arial"/>
          <w:sz w:val="22"/>
          <w:szCs w:val="22"/>
        </w:rPr>
        <w:t>/L plasma 60 minutes post-injection</w:t>
      </w:r>
      <w:r w:rsidR="00C07A2E" w:rsidRPr="007D73EF">
        <w:rPr>
          <w:rFonts w:ascii="Arial" w:hAnsi="Arial" w:cs="Arial"/>
          <w:sz w:val="22"/>
          <w:szCs w:val="22"/>
        </w:rPr>
        <w:t>.</w:t>
      </w:r>
      <w:r w:rsidR="007165EB" w:rsidRPr="007D73EF">
        <w:rPr>
          <w:rFonts w:ascii="Arial" w:hAnsi="Arial" w:cs="Arial"/>
          <w:sz w:val="22"/>
          <w:szCs w:val="22"/>
        </w:rPr>
        <w:t xml:space="preserve"> </w:t>
      </w:r>
    </w:p>
    <w:p w14:paraId="1AD547E7" w14:textId="77777777" w:rsidR="006B7D85" w:rsidRPr="007D73EF" w:rsidRDefault="00262914" w:rsidP="00F20568">
      <w:pPr>
        <w:spacing w:before="120" w:after="120" w:line="300" w:lineRule="atLeast"/>
        <w:ind w:right="-35"/>
        <w:jc w:val="both"/>
        <w:rPr>
          <w:rFonts w:ascii="Arial" w:hAnsi="Arial" w:cs="Arial"/>
          <w:noProof/>
          <w:sz w:val="22"/>
          <w:szCs w:val="22"/>
          <w:u w:val="single"/>
          <w:lang w:val="en-GB" w:eastAsia="en-US"/>
        </w:rPr>
      </w:pPr>
      <w:r w:rsidRPr="007D73EF">
        <w:rPr>
          <w:rFonts w:ascii="Arial" w:hAnsi="Arial" w:cs="Arial"/>
          <w:noProof/>
          <w:sz w:val="22"/>
          <w:szCs w:val="22"/>
          <w:u w:val="single"/>
          <w:lang w:val="en-GB" w:eastAsia="en-US"/>
        </w:rPr>
        <w:t>Metabolism</w:t>
      </w:r>
    </w:p>
    <w:p w14:paraId="033426F6" w14:textId="77777777" w:rsidR="006B7D85" w:rsidRPr="007D73EF" w:rsidRDefault="006B7D85" w:rsidP="00F20568">
      <w:pPr>
        <w:spacing w:before="120" w:after="120" w:line="300" w:lineRule="atLeast"/>
        <w:ind w:right="-29"/>
        <w:jc w:val="both"/>
        <w:rPr>
          <w:rFonts w:ascii="Arial" w:hAnsi="Arial" w:cs="Arial"/>
          <w:sz w:val="22"/>
          <w:szCs w:val="22"/>
        </w:rPr>
      </w:pPr>
      <w:r w:rsidRPr="007D73EF">
        <w:rPr>
          <w:rFonts w:ascii="Arial" w:hAnsi="Arial" w:cs="Arial"/>
          <w:sz w:val="22"/>
          <w:szCs w:val="22"/>
        </w:rPr>
        <w:t>Gadobutrol is not metabolised.</w:t>
      </w:r>
    </w:p>
    <w:p w14:paraId="02C76E22" w14:textId="77777777" w:rsidR="00B52CC5" w:rsidRPr="007D73EF" w:rsidRDefault="00262914" w:rsidP="00F20568">
      <w:pPr>
        <w:spacing w:before="120" w:after="120" w:line="300" w:lineRule="atLeast"/>
        <w:ind w:right="-35"/>
        <w:jc w:val="both"/>
        <w:rPr>
          <w:rFonts w:ascii="Arial" w:hAnsi="Arial" w:cs="Arial"/>
          <w:noProof/>
          <w:sz w:val="22"/>
          <w:szCs w:val="22"/>
          <w:u w:val="single"/>
          <w:lang w:val="en-GB" w:eastAsia="en-US"/>
        </w:rPr>
      </w:pPr>
      <w:r w:rsidRPr="007D73EF">
        <w:rPr>
          <w:rFonts w:ascii="Arial" w:hAnsi="Arial" w:cs="Arial"/>
          <w:noProof/>
          <w:sz w:val="22"/>
          <w:szCs w:val="22"/>
          <w:u w:val="single"/>
          <w:lang w:val="en-GB" w:eastAsia="en-US"/>
        </w:rPr>
        <w:t>Elimination</w:t>
      </w:r>
    </w:p>
    <w:p w14:paraId="37D8BBC3" w14:textId="77777777" w:rsidR="00090EC0" w:rsidRPr="007D73EF" w:rsidRDefault="00262914" w:rsidP="00F20568">
      <w:pPr>
        <w:spacing w:before="120" w:after="120" w:line="300" w:lineRule="atLeast"/>
        <w:ind w:right="-29"/>
        <w:jc w:val="both"/>
        <w:rPr>
          <w:rFonts w:ascii="Arial" w:hAnsi="Arial" w:cs="Arial"/>
          <w:sz w:val="22"/>
          <w:szCs w:val="22"/>
        </w:rPr>
      </w:pPr>
      <w:r w:rsidRPr="007D73EF">
        <w:rPr>
          <w:rFonts w:ascii="Arial" w:hAnsi="Arial" w:cs="Arial"/>
          <w:sz w:val="22"/>
          <w:szCs w:val="22"/>
        </w:rPr>
        <w:t>Gadobutrol is eliminated from plasma with a mean terminal half-life of 1.81 hours (range 1.33 - 2.13 hours).</w:t>
      </w:r>
    </w:p>
    <w:p w14:paraId="10A7F52A" w14:textId="77777777" w:rsidR="00262914" w:rsidRPr="007D73EF" w:rsidRDefault="00262914" w:rsidP="00F20568">
      <w:pPr>
        <w:spacing w:before="120" w:after="120" w:line="300" w:lineRule="atLeast"/>
        <w:ind w:right="-29"/>
        <w:jc w:val="both"/>
        <w:rPr>
          <w:rFonts w:ascii="Arial" w:hAnsi="Arial" w:cs="Arial"/>
          <w:sz w:val="22"/>
          <w:szCs w:val="22"/>
        </w:rPr>
      </w:pPr>
      <w:r w:rsidRPr="007D73EF">
        <w:rPr>
          <w:rFonts w:ascii="Arial" w:hAnsi="Arial" w:cs="Arial"/>
          <w:sz w:val="22"/>
          <w:szCs w:val="22"/>
        </w:rPr>
        <w:t>Gadobutrol is excreted in an unchanged form via the kidneys. The extrarenal elimination is negligible</w:t>
      </w:r>
      <w:r w:rsidR="00090EC0" w:rsidRPr="007D73EF">
        <w:rPr>
          <w:rFonts w:ascii="Arial" w:hAnsi="Arial" w:cs="Arial"/>
          <w:sz w:val="22"/>
          <w:szCs w:val="22"/>
        </w:rPr>
        <w:t>.</w:t>
      </w:r>
      <w:r w:rsidRPr="007D73EF">
        <w:rPr>
          <w:rFonts w:ascii="Arial" w:hAnsi="Arial" w:cs="Arial"/>
          <w:sz w:val="22"/>
          <w:szCs w:val="22"/>
        </w:rPr>
        <w:t xml:space="preserve"> </w:t>
      </w:r>
      <w:r w:rsidR="004F0042" w:rsidRPr="007D73EF">
        <w:rPr>
          <w:rFonts w:ascii="Arial" w:hAnsi="Arial" w:cs="Arial"/>
          <w:sz w:val="22"/>
          <w:szCs w:val="22"/>
        </w:rPr>
        <w:t>Renal</w:t>
      </w:r>
      <w:r w:rsidRPr="007D73EF">
        <w:rPr>
          <w:rFonts w:ascii="Arial" w:hAnsi="Arial" w:cs="Arial"/>
          <w:sz w:val="22"/>
          <w:szCs w:val="22"/>
        </w:rPr>
        <w:t xml:space="preserve"> clearance of gadobutrol is 1.1 to 1.7 m</w:t>
      </w:r>
      <w:r w:rsidR="00FC0664" w:rsidRPr="007D73EF">
        <w:rPr>
          <w:rFonts w:ascii="Arial" w:hAnsi="Arial" w:cs="Arial"/>
          <w:sz w:val="22"/>
          <w:szCs w:val="22"/>
        </w:rPr>
        <w:t>L</w:t>
      </w:r>
      <w:r w:rsidRPr="007D73EF">
        <w:rPr>
          <w:rFonts w:ascii="Arial" w:hAnsi="Arial" w:cs="Arial"/>
          <w:sz w:val="22"/>
          <w:szCs w:val="22"/>
        </w:rPr>
        <w:t>/min/kg in healthy subjects and, thus, comparable to the renal clearance of inulin, pointing to the fact that gadobutrol is eliminated by glomerular filtration. More than</w:t>
      </w:r>
      <w:r w:rsidR="004F0042" w:rsidRPr="007D73EF">
        <w:rPr>
          <w:rFonts w:ascii="Arial" w:hAnsi="Arial" w:cs="Arial"/>
          <w:sz w:val="22"/>
          <w:szCs w:val="22"/>
        </w:rPr>
        <w:t xml:space="preserve"> 50 % of the given dose w</w:t>
      </w:r>
      <w:r w:rsidR="0016071D" w:rsidRPr="007D73EF">
        <w:rPr>
          <w:rFonts w:ascii="Arial" w:hAnsi="Arial" w:cs="Arial"/>
          <w:sz w:val="22"/>
          <w:szCs w:val="22"/>
        </w:rPr>
        <w:t>as</w:t>
      </w:r>
      <w:r w:rsidR="004F0042" w:rsidRPr="007D73EF">
        <w:rPr>
          <w:rFonts w:ascii="Arial" w:hAnsi="Arial" w:cs="Arial"/>
          <w:sz w:val="22"/>
          <w:szCs w:val="22"/>
        </w:rPr>
        <w:t xml:space="preserve"> ex</w:t>
      </w:r>
      <w:r w:rsidRPr="007D73EF">
        <w:rPr>
          <w:rFonts w:ascii="Arial" w:hAnsi="Arial" w:cs="Arial"/>
          <w:sz w:val="22"/>
          <w:szCs w:val="22"/>
        </w:rPr>
        <w:t xml:space="preserve">creted </w:t>
      </w:r>
      <w:r w:rsidR="0016071D" w:rsidRPr="007D73EF">
        <w:rPr>
          <w:rFonts w:ascii="Arial" w:hAnsi="Arial" w:cs="Arial"/>
          <w:sz w:val="22"/>
          <w:szCs w:val="22"/>
        </w:rPr>
        <w:t xml:space="preserve">via the urine </w:t>
      </w:r>
      <w:r w:rsidRPr="007D73EF">
        <w:rPr>
          <w:rFonts w:ascii="Arial" w:hAnsi="Arial" w:cs="Arial"/>
          <w:sz w:val="22"/>
          <w:szCs w:val="22"/>
        </w:rPr>
        <w:t>within two hours after intravenous administration. Gadobutrol was completely excreted within 24 hours. Less than 0.1 % was eliminated via the f</w:t>
      </w:r>
      <w:r w:rsidR="004F0042" w:rsidRPr="007D73EF">
        <w:rPr>
          <w:rFonts w:ascii="Arial" w:hAnsi="Arial" w:cs="Arial"/>
          <w:sz w:val="22"/>
          <w:szCs w:val="22"/>
        </w:rPr>
        <w:t>a</w:t>
      </w:r>
      <w:r w:rsidRPr="007D73EF">
        <w:rPr>
          <w:rFonts w:ascii="Arial" w:hAnsi="Arial" w:cs="Arial"/>
          <w:sz w:val="22"/>
          <w:szCs w:val="22"/>
        </w:rPr>
        <w:t>eces.</w:t>
      </w:r>
      <w:r w:rsidR="00090EC0" w:rsidRPr="007D73EF">
        <w:rPr>
          <w:rFonts w:ascii="Arial" w:hAnsi="Arial" w:cs="Arial"/>
          <w:sz w:val="22"/>
          <w:szCs w:val="22"/>
        </w:rPr>
        <w:t xml:space="preserve"> </w:t>
      </w:r>
    </w:p>
    <w:p w14:paraId="1675097A" w14:textId="77777777" w:rsidR="00B52CC5" w:rsidRPr="007D73EF" w:rsidRDefault="00262914" w:rsidP="00F20568">
      <w:pPr>
        <w:spacing w:before="120" w:after="120" w:line="300" w:lineRule="atLeast"/>
        <w:ind w:right="-35"/>
        <w:jc w:val="both"/>
        <w:rPr>
          <w:rFonts w:ascii="Arial" w:hAnsi="Arial" w:cs="Arial"/>
          <w:noProof/>
          <w:sz w:val="22"/>
          <w:szCs w:val="22"/>
          <w:u w:val="single"/>
          <w:lang w:val="en-GB" w:eastAsia="en-US"/>
        </w:rPr>
      </w:pPr>
      <w:r w:rsidRPr="007D73EF">
        <w:rPr>
          <w:rFonts w:ascii="Arial" w:hAnsi="Arial" w:cs="Arial"/>
          <w:noProof/>
          <w:sz w:val="22"/>
          <w:szCs w:val="22"/>
          <w:u w:val="single"/>
          <w:lang w:val="en-GB" w:eastAsia="en-US"/>
        </w:rPr>
        <w:t>Linearity/non-linearity</w:t>
      </w:r>
    </w:p>
    <w:p w14:paraId="22F95029" w14:textId="365706AD" w:rsidR="00580217" w:rsidRPr="007D73EF" w:rsidRDefault="00B52CC5" w:rsidP="00F20568">
      <w:pPr>
        <w:pStyle w:val="Para0s"/>
        <w:spacing w:before="120" w:after="120" w:line="300" w:lineRule="atLeast"/>
        <w:ind w:right="-29"/>
        <w:jc w:val="both"/>
        <w:rPr>
          <w:rFonts w:ascii="Arial" w:hAnsi="Arial" w:cs="Arial"/>
          <w:szCs w:val="22"/>
        </w:rPr>
      </w:pPr>
      <w:r w:rsidRPr="007D73EF">
        <w:rPr>
          <w:rFonts w:ascii="Arial" w:hAnsi="Arial" w:cs="Arial"/>
          <w:szCs w:val="22"/>
        </w:rPr>
        <w:t>The pharmacokinetics of Gadovist in humans was dose proportional (e.g. C</w:t>
      </w:r>
      <w:r w:rsidRPr="007D73EF">
        <w:rPr>
          <w:rFonts w:ascii="Arial" w:hAnsi="Arial" w:cs="Arial"/>
          <w:szCs w:val="22"/>
          <w:vertAlign w:val="subscript"/>
        </w:rPr>
        <w:t>max</w:t>
      </w:r>
      <w:r w:rsidRPr="007D73EF">
        <w:rPr>
          <w:rFonts w:ascii="Arial" w:hAnsi="Arial" w:cs="Arial"/>
          <w:szCs w:val="22"/>
        </w:rPr>
        <w:t>, AUC)</w:t>
      </w:r>
      <w:r w:rsidR="00217287" w:rsidRPr="007D73EF">
        <w:rPr>
          <w:rFonts w:ascii="Arial" w:hAnsi="Arial" w:cs="Arial"/>
          <w:szCs w:val="22"/>
        </w:rPr>
        <w:t xml:space="preserve"> and dose dependent (e.g. Vss, t </w:t>
      </w:r>
      <w:r w:rsidR="00262914" w:rsidRPr="007D73EF">
        <w:rPr>
          <w:rFonts w:ascii="Arial" w:hAnsi="Arial" w:cs="Arial"/>
          <w:szCs w:val="22"/>
          <w:vertAlign w:val="subscript"/>
        </w:rPr>
        <w:t>½</w:t>
      </w:r>
      <w:r w:rsidR="00217287" w:rsidRPr="007D73EF">
        <w:rPr>
          <w:rFonts w:ascii="Arial" w:hAnsi="Arial" w:cs="Arial"/>
          <w:szCs w:val="22"/>
        </w:rPr>
        <w:t>) respectively</w:t>
      </w:r>
      <w:r w:rsidRPr="007D73EF">
        <w:rPr>
          <w:rFonts w:ascii="Arial" w:hAnsi="Arial" w:cs="Arial"/>
          <w:szCs w:val="22"/>
        </w:rPr>
        <w:t>.</w:t>
      </w:r>
    </w:p>
    <w:p w14:paraId="5184E945" w14:textId="77777777" w:rsidR="00205666" w:rsidRPr="007D73EF" w:rsidRDefault="00262914" w:rsidP="00F20568">
      <w:pPr>
        <w:spacing w:before="120" w:after="120" w:line="300" w:lineRule="atLeast"/>
        <w:ind w:right="-35"/>
        <w:jc w:val="both"/>
        <w:rPr>
          <w:rFonts w:ascii="Arial" w:hAnsi="Arial" w:cs="Arial"/>
          <w:noProof/>
          <w:sz w:val="22"/>
          <w:szCs w:val="22"/>
          <w:u w:val="single"/>
          <w:lang w:val="en-GB" w:eastAsia="en-US"/>
        </w:rPr>
      </w:pPr>
      <w:r w:rsidRPr="007D73EF">
        <w:rPr>
          <w:rFonts w:ascii="Arial" w:hAnsi="Arial" w:cs="Arial"/>
          <w:noProof/>
          <w:sz w:val="22"/>
          <w:szCs w:val="22"/>
          <w:u w:val="single"/>
          <w:lang w:val="en-GB" w:eastAsia="en-US"/>
        </w:rPr>
        <w:t>Renal Impairment</w:t>
      </w:r>
    </w:p>
    <w:p w14:paraId="72F5D4A1" w14:textId="77777777" w:rsidR="007553A1" w:rsidRPr="007D73EF" w:rsidRDefault="002E03D4" w:rsidP="00F20568">
      <w:pPr>
        <w:pStyle w:val="Para0s"/>
        <w:spacing w:before="120" w:after="120" w:line="300" w:lineRule="atLeast"/>
        <w:ind w:right="-29"/>
        <w:jc w:val="both"/>
        <w:rPr>
          <w:rFonts w:ascii="Arial" w:hAnsi="Arial" w:cs="Arial"/>
          <w:szCs w:val="22"/>
        </w:rPr>
      </w:pPr>
      <w:r w:rsidRPr="007D73EF">
        <w:rPr>
          <w:rFonts w:ascii="Arial" w:hAnsi="Arial" w:cs="Arial"/>
          <w:szCs w:val="22"/>
        </w:rPr>
        <w:t>In patients with impaired renal function, the serum half-life of gadobutrol is prolonged and correlated with the reduction in creatinine clearance.</w:t>
      </w:r>
    </w:p>
    <w:p w14:paraId="5BEB1926" w14:textId="77777777" w:rsidR="008E2F01" w:rsidRPr="007D73EF" w:rsidRDefault="008E2F01" w:rsidP="00F20568">
      <w:pPr>
        <w:spacing w:before="120" w:after="120" w:line="300" w:lineRule="atLeast"/>
        <w:ind w:right="-29"/>
        <w:jc w:val="both"/>
        <w:rPr>
          <w:rFonts w:ascii="Arial" w:hAnsi="Arial" w:cs="Arial"/>
          <w:b/>
          <w:i/>
          <w:color w:val="FFFF00"/>
          <w:sz w:val="22"/>
          <w:szCs w:val="22"/>
          <w:lang w:val="en-GB"/>
        </w:rPr>
      </w:pPr>
      <w:r w:rsidRPr="007D73EF">
        <w:rPr>
          <w:rFonts w:ascii="Arial" w:hAnsi="Arial" w:cs="Arial"/>
          <w:sz w:val="22"/>
          <w:szCs w:val="22"/>
          <w:lang w:val="en-GB"/>
        </w:rPr>
        <w:t>The mean terminal half-life was prolonged to 5.8 hours in moderately impaired patients (80&gt;CL</w:t>
      </w:r>
      <w:r w:rsidRPr="007D73EF">
        <w:rPr>
          <w:rFonts w:ascii="Arial" w:hAnsi="Arial" w:cs="Arial"/>
          <w:sz w:val="22"/>
          <w:szCs w:val="22"/>
          <w:vertAlign w:val="subscript"/>
          <w:lang w:val="en-GB"/>
        </w:rPr>
        <w:t>CR</w:t>
      </w:r>
      <w:r w:rsidRPr="007D73EF">
        <w:rPr>
          <w:rFonts w:ascii="Arial" w:hAnsi="Arial" w:cs="Arial"/>
          <w:sz w:val="22"/>
          <w:szCs w:val="22"/>
          <w:lang w:val="en-GB"/>
        </w:rPr>
        <w:t>&gt;30 m</w:t>
      </w:r>
      <w:r w:rsidR="005E591B" w:rsidRPr="007D73EF">
        <w:rPr>
          <w:rFonts w:ascii="Arial" w:hAnsi="Arial" w:cs="Arial"/>
          <w:sz w:val="22"/>
          <w:szCs w:val="22"/>
          <w:lang w:val="en-GB"/>
        </w:rPr>
        <w:t>L</w:t>
      </w:r>
      <w:r w:rsidRPr="007D73EF">
        <w:rPr>
          <w:rFonts w:ascii="Arial" w:hAnsi="Arial" w:cs="Arial"/>
          <w:sz w:val="22"/>
          <w:szCs w:val="22"/>
          <w:lang w:val="en-GB"/>
        </w:rPr>
        <w:t>/min) and further prolonged to 17.6 hours in severely impaired patients not on dialysis (CL</w:t>
      </w:r>
      <w:r w:rsidRPr="007D73EF">
        <w:rPr>
          <w:rFonts w:ascii="Arial" w:hAnsi="Arial" w:cs="Arial"/>
          <w:sz w:val="22"/>
          <w:szCs w:val="22"/>
          <w:vertAlign w:val="subscript"/>
          <w:lang w:val="en-GB"/>
        </w:rPr>
        <w:t>CR</w:t>
      </w:r>
      <w:r w:rsidRPr="007D73EF">
        <w:rPr>
          <w:rFonts w:ascii="Arial" w:hAnsi="Arial" w:cs="Arial"/>
          <w:sz w:val="22"/>
          <w:szCs w:val="22"/>
          <w:lang w:val="en-GB"/>
        </w:rPr>
        <w:sym w:font="Symbol" w:char="F03C"/>
      </w:r>
      <w:r w:rsidRPr="007D73EF">
        <w:rPr>
          <w:rFonts w:ascii="Arial" w:hAnsi="Arial" w:cs="Arial"/>
          <w:sz w:val="22"/>
          <w:szCs w:val="22"/>
          <w:lang w:val="en-GB"/>
        </w:rPr>
        <w:t>30 m</w:t>
      </w:r>
      <w:r w:rsidR="005E591B" w:rsidRPr="007D73EF">
        <w:rPr>
          <w:rFonts w:ascii="Arial" w:hAnsi="Arial" w:cs="Arial"/>
          <w:sz w:val="22"/>
          <w:szCs w:val="22"/>
          <w:lang w:val="en-GB"/>
        </w:rPr>
        <w:t>L</w:t>
      </w:r>
      <w:r w:rsidRPr="007D73EF">
        <w:rPr>
          <w:rFonts w:ascii="Arial" w:hAnsi="Arial" w:cs="Arial"/>
          <w:sz w:val="22"/>
          <w:szCs w:val="22"/>
          <w:lang w:val="en-GB"/>
        </w:rPr>
        <w:t xml:space="preserve">/min). </w:t>
      </w:r>
    </w:p>
    <w:p w14:paraId="6530BFF6" w14:textId="1CC703FA" w:rsidR="008E2F01" w:rsidRPr="007D73EF" w:rsidRDefault="008E2F01" w:rsidP="00F20568">
      <w:pPr>
        <w:pStyle w:val="CommentText"/>
        <w:spacing w:before="120" w:after="120" w:line="300" w:lineRule="atLeast"/>
        <w:ind w:right="-29"/>
        <w:jc w:val="both"/>
        <w:rPr>
          <w:rFonts w:ascii="Arial" w:hAnsi="Arial" w:cs="Arial"/>
          <w:sz w:val="22"/>
          <w:szCs w:val="22"/>
          <w:lang w:val="en-GB"/>
        </w:rPr>
      </w:pPr>
      <w:r w:rsidRPr="007D73EF">
        <w:rPr>
          <w:rFonts w:ascii="Arial" w:hAnsi="Arial" w:cs="Arial"/>
          <w:sz w:val="22"/>
          <w:szCs w:val="22"/>
          <w:lang w:val="en-GB"/>
        </w:rPr>
        <w:t xml:space="preserve">The </w:t>
      </w:r>
      <w:r w:rsidR="00FF0984" w:rsidRPr="007D73EF">
        <w:rPr>
          <w:rFonts w:ascii="Arial" w:hAnsi="Arial" w:cs="Arial"/>
          <w:sz w:val="22"/>
          <w:szCs w:val="22"/>
          <w:lang w:val="en-GB"/>
        </w:rPr>
        <w:t xml:space="preserve">mean </w:t>
      </w:r>
      <w:r w:rsidRPr="007D73EF">
        <w:rPr>
          <w:rFonts w:ascii="Arial" w:hAnsi="Arial" w:cs="Arial"/>
          <w:sz w:val="22"/>
          <w:szCs w:val="22"/>
          <w:lang w:val="en-GB"/>
        </w:rPr>
        <w:t>serum clearance was reduced to 0.49 m</w:t>
      </w:r>
      <w:r w:rsidR="005E591B" w:rsidRPr="007D73EF">
        <w:rPr>
          <w:rFonts w:ascii="Arial" w:hAnsi="Arial" w:cs="Arial"/>
          <w:sz w:val="22"/>
          <w:szCs w:val="22"/>
          <w:lang w:val="en-GB"/>
        </w:rPr>
        <w:t>L</w:t>
      </w:r>
      <w:r w:rsidRPr="007D73EF">
        <w:rPr>
          <w:rFonts w:ascii="Arial" w:hAnsi="Arial" w:cs="Arial"/>
          <w:sz w:val="22"/>
          <w:szCs w:val="22"/>
          <w:lang w:val="en-GB"/>
        </w:rPr>
        <w:t xml:space="preserve">/min/kg in </w:t>
      </w:r>
      <w:r w:rsidR="00FF0984" w:rsidRPr="007D73EF">
        <w:rPr>
          <w:rFonts w:ascii="Arial" w:hAnsi="Arial" w:cs="Arial"/>
          <w:sz w:val="22"/>
          <w:szCs w:val="22"/>
          <w:lang w:val="en-GB"/>
        </w:rPr>
        <w:t xml:space="preserve">mildly to </w:t>
      </w:r>
      <w:r w:rsidRPr="007D73EF">
        <w:rPr>
          <w:rFonts w:ascii="Arial" w:hAnsi="Arial" w:cs="Arial"/>
          <w:sz w:val="22"/>
          <w:szCs w:val="22"/>
          <w:lang w:val="en-GB"/>
        </w:rPr>
        <w:t>moderately impaired patients (80&gt;CL</w:t>
      </w:r>
      <w:r w:rsidRPr="007D73EF">
        <w:rPr>
          <w:rFonts w:ascii="Arial" w:hAnsi="Arial" w:cs="Arial"/>
          <w:sz w:val="22"/>
          <w:szCs w:val="22"/>
          <w:vertAlign w:val="subscript"/>
          <w:lang w:val="en-GB"/>
        </w:rPr>
        <w:t>CR</w:t>
      </w:r>
      <w:r w:rsidR="005E591B" w:rsidRPr="007D73EF">
        <w:rPr>
          <w:rFonts w:ascii="Arial" w:hAnsi="Arial" w:cs="Arial"/>
          <w:sz w:val="22"/>
          <w:szCs w:val="22"/>
          <w:lang w:val="en-GB"/>
        </w:rPr>
        <w:t>&gt;30 mL/min) and to 0.16 mL</w:t>
      </w:r>
      <w:r w:rsidRPr="007D73EF">
        <w:rPr>
          <w:rFonts w:ascii="Arial" w:hAnsi="Arial" w:cs="Arial"/>
          <w:sz w:val="22"/>
          <w:szCs w:val="22"/>
          <w:lang w:val="en-GB"/>
        </w:rPr>
        <w:t>/min/kg</w:t>
      </w:r>
      <w:r w:rsidRPr="007D73EF">
        <w:rPr>
          <w:rFonts w:ascii="Arial" w:hAnsi="Arial" w:cs="Arial"/>
          <w:sz w:val="22"/>
          <w:szCs w:val="22"/>
          <w:vertAlign w:val="superscript"/>
          <w:lang w:val="en-GB"/>
        </w:rPr>
        <w:t xml:space="preserve"> </w:t>
      </w:r>
      <w:r w:rsidRPr="007D73EF">
        <w:rPr>
          <w:rFonts w:ascii="Arial" w:hAnsi="Arial" w:cs="Arial"/>
          <w:sz w:val="22"/>
          <w:szCs w:val="22"/>
          <w:lang w:val="en-GB"/>
        </w:rPr>
        <w:t>in severely impaired patients not on dialysis (CL</w:t>
      </w:r>
      <w:r w:rsidRPr="007D73EF">
        <w:rPr>
          <w:rFonts w:ascii="Arial" w:hAnsi="Arial" w:cs="Arial"/>
          <w:sz w:val="22"/>
          <w:szCs w:val="22"/>
          <w:vertAlign w:val="subscript"/>
          <w:lang w:val="en-GB"/>
        </w:rPr>
        <w:t>CR</w:t>
      </w:r>
      <w:r w:rsidRPr="007D73EF">
        <w:rPr>
          <w:rFonts w:ascii="Arial" w:hAnsi="Arial" w:cs="Arial"/>
          <w:sz w:val="22"/>
          <w:szCs w:val="22"/>
          <w:lang w:val="en-GB"/>
        </w:rPr>
        <w:sym w:font="Symbol" w:char="F03C"/>
      </w:r>
      <w:r w:rsidR="007D73EF">
        <w:rPr>
          <w:rFonts w:ascii="Arial" w:hAnsi="Arial" w:cs="Arial"/>
          <w:sz w:val="22"/>
          <w:szCs w:val="22"/>
          <w:lang w:val="en-GB"/>
        </w:rPr>
        <w:t>30 mL</w:t>
      </w:r>
      <w:r w:rsidRPr="007D73EF">
        <w:rPr>
          <w:rFonts w:ascii="Arial" w:hAnsi="Arial" w:cs="Arial"/>
          <w:sz w:val="22"/>
          <w:szCs w:val="22"/>
          <w:lang w:val="en-GB"/>
        </w:rPr>
        <w:t>/min).</w:t>
      </w:r>
    </w:p>
    <w:p w14:paraId="1A41358F" w14:textId="19F03D2D" w:rsidR="008E2F01" w:rsidRPr="007D73EF" w:rsidRDefault="008E2F01" w:rsidP="00F20568">
      <w:pPr>
        <w:pStyle w:val="Para0s"/>
        <w:spacing w:before="120" w:after="120" w:line="300" w:lineRule="atLeast"/>
        <w:ind w:right="-29"/>
        <w:jc w:val="both"/>
        <w:rPr>
          <w:rFonts w:ascii="Arial" w:hAnsi="Arial" w:cs="Arial"/>
          <w:szCs w:val="22"/>
        </w:rPr>
      </w:pPr>
      <w:r w:rsidRPr="007D73EF">
        <w:rPr>
          <w:rFonts w:ascii="Arial" w:hAnsi="Arial" w:cs="Arial"/>
          <w:szCs w:val="22"/>
        </w:rPr>
        <w:t xml:space="preserve">Complete recovery in the urine was seen in patients with mild or moderate renal impairment within 72 hours. In patients with severely impaired renal function </w:t>
      </w:r>
      <w:r w:rsidR="00FF0984" w:rsidRPr="007D73EF">
        <w:rPr>
          <w:rFonts w:ascii="Arial" w:hAnsi="Arial" w:cs="Arial"/>
          <w:szCs w:val="22"/>
        </w:rPr>
        <w:t>about</w:t>
      </w:r>
      <w:r w:rsidR="00F20568" w:rsidRPr="007D73EF">
        <w:rPr>
          <w:rFonts w:ascii="Arial" w:hAnsi="Arial" w:cs="Arial"/>
          <w:szCs w:val="22"/>
        </w:rPr>
        <w:t xml:space="preserve"> </w:t>
      </w:r>
      <w:r w:rsidRPr="007D73EF">
        <w:rPr>
          <w:rFonts w:ascii="Arial" w:hAnsi="Arial" w:cs="Arial"/>
          <w:szCs w:val="22"/>
        </w:rPr>
        <w:lastRenderedPageBreak/>
        <w:t>80% of the administered dose was recovered in the urine within 5 days (also see PRECAUTIONS and DOSAGE AND ADMINISTRATION).</w:t>
      </w:r>
    </w:p>
    <w:p w14:paraId="52B065B9" w14:textId="77777777" w:rsidR="007165EB" w:rsidRPr="007D73EF" w:rsidRDefault="007165EB" w:rsidP="00F20568">
      <w:pPr>
        <w:pStyle w:val="Para0s"/>
        <w:spacing w:before="120" w:after="120" w:line="300" w:lineRule="atLeast"/>
        <w:ind w:right="-29"/>
        <w:jc w:val="both"/>
        <w:rPr>
          <w:rFonts w:ascii="Arial" w:hAnsi="Arial" w:cs="Arial"/>
          <w:szCs w:val="22"/>
        </w:rPr>
      </w:pPr>
      <w:r w:rsidRPr="007D73EF">
        <w:rPr>
          <w:rFonts w:ascii="Arial" w:hAnsi="Arial" w:cs="Arial"/>
          <w:szCs w:val="22"/>
        </w:rPr>
        <w:t>Gadobutrol is cleared by haemodialysis with approximately 70% of a given dose eliminated during the first haemodialysis session and 98% eliminated after the third session, regardless of the dose given.</w:t>
      </w:r>
    </w:p>
    <w:p w14:paraId="543B3B94" w14:textId="2A13FCA6" w:rsidR="00A02665" w:rsidRPr="007D73EF" w:rsidRDefault="00A02665" w:rsidP="00A02665">
      <w:pPr>
        <w:spacing w:before="120" w:after="120" w:line="300" w:lineRule="atLeast"/>
        <w:ind w:right="-35"/>
        <w:jc w:val="both"/>
        <w:rPr>
          <w:rFonts w:ascii="Arial" w:hAnsi="Arial" w:cs="Arial"/>
          <w:noProof/>
          <w:sz w:val="22"/>
          <w:szCs w:val="22"/>
          <w:u w:val="single"/>
          <w:lang w:val="en-GB" w:eastAsia="en-US"/>
        </w:rPr>
      </w:pPr>
      <w:r w:rsidRPr="007D73EF">
        <w:rPr>
          <w:rFonts w:ascii="Arial" w:hAnsi="Arial" w:cs="Arial"/>
          <w:noProof/>
          <w:sz w:val="22"/>
          <w:szCs w:val="22"/>
          <w:u w:val="single"/>
          <w:lang w:val="en-GB" w:eastAsia="en-US"/>
        </w:rPr>
        <w:t>Elderly population</w:t>
      </w:r>
      <w:r w:rsidR="008B6785" w:rsidRPr="00CF7D18">
        <w:rPr>
          <w:rFonts w:ascii="Arial" w:hAnsi="Arial" w:cs="Arial"/>
          <w:noProof/>
          <w:sz w:val="22"/>
          <w:szCs w:val="22"/>
          <w:vertAlign w:val="superscript"/>
          <w:lang w:val="en-GB" w:eastAsia="en-US"/>
        </w:rPr>
        <w:t>#</w:t>
      </w:r>
    </w:p>
    <w:p w14:paraId="7F6980A4" w14:textId="77777777" w:rsidR="00A02665" w:rsidRPr="007D73EF" w:rsidRDefault="00A02665" w:rsidP="00A02665">
      <w:pPr>
        <w:pStyle w:val="Para0s"/>
        <w:spacing w:before="120" w:after="120" w:line="300" w:lineRule="atLeast"/>
        <w:ind w:right="-29"/>
        <w:jc w:val="both"/>
        <w:rPr>
          <w:rFonts w:ascii="Arial" w:hAnsi="Arial" w:cs="Arial"/>
          <w:szCs w:val="22"/>
        </w:rPr>
      </w:pPr>
      <w:r w:rsidRPr="007D73EF">
        <w:rPr>
          <w:rFonts w:ascii="Arial" w:hAnsi="Arial" w:cs="Arial"/>
          <w:szCs w:val="22"/>
        </w:rPr>
        <w:t>Due to physiological changes in renal function with age, in elderly healthy volunteers (aged 65 years and above) systemic exposure was increased by approximately 33% (men) and 54% (women) and terminal half-life by approximately 33% (men) and 58% (women). The plasma clearance is reduced by approximately 25% (men) and 35% (women), respectively. The recovery of the administered dose in urine was complete after 24 hours in all volunteers and there was no difference between elderly and non-elderly healthy volunteers.</w:t>
      </w:r>
    </w:p>
    <w:p w14:paraId="0D7918A7" w14:textId="77777777" w:rsidR="00204874" w:rsidRPr="007D73EF" w:rsidRDefault="00262914" w:rsidP="00F20568">
      <w:pPr>
        <w:spacing w:before="120" w:after="120" w:line="300" w:lineRule="atLeast"/>
        <w:ind w:right="-35"/>
        <w:jc w:val="both"/>
        <w:rPr>
          <w:rFonts w:ascii="Arial" w:hAnsi="Arial" w:cs="Arial"/>
          <w:noProof/>
          <w:sz w:val="22"/>
          <w:szCs w:val="22"/>
          <w:u w:val="single"/>
          <w:lang w:val="en-GB" w:eastAsia="en-US"/>
        </w:rPr>
      </w:pPr>
      <w:r w:rsidRPr="007D73EF">
        <w:rPr>
          <w:rFonts w:ascii="Arial" w:hAnsi="Arial" w:cs="Arial"/>
          <w:noProof/>
          <w:sz w:val="22"/>
          <w:szCs w:val="22"/>
          <w:u w:val="single"/>
          <w:lang w:val="en-GB" w:eastAsia="en-US"/>
        </w:rPr>
        <w:t>Investigation in animals</w:t>
      </w:r>
    </w:p>
    <w:p w14:paraId="79B388EB" w14:textId="2671573D" w:rsidR="00204874" w:rsidRPr="007D73EF" w:rsidRDefault="00204874" w:rsidP="00F20568">
      <w:pPr>
        <w:pStyle w:val="Para0s"/>
        <w:spacing w:before="120" w:after="120" w:line="300" w:lineRule="atLeast"/>
        <w:ind w:right="-29"/>
        <w:jc w:val="both"/>
        <w:rPr>
          <w:rFonts w:ascii="Arial" w:hAnsi="Arial" w:cs="Arial"/>
          <w:szCs w:val="22"/>
        </w:rPr>
      </w:pPr>
      <w:r w:rsidRPr="007D73EF">
        <w:rPr>
          <w:rFonts w:ascii="Arial" w:hAnsi="Arial" w:cs="Arial"/>
          <w:szCs w:val="22"/>
        </w:rPr>
        <w:t xml:space="preserve">In rats it has been demonstrated that Gadovist does not penetrate the intact blood-brain barrier. </w:t>
      </w:r>
    </w:p>
    <w:p w14:paraId="77989FCC" w14:textId="77777777" w:rsidR="00204874" w:rsidRPr="007D73EF" w:rsidRDefault="00204874" w:rsidP="00F20568">
      <w:pPr>
        <w:pStyle w:val="Para0s"/>
        <w:spacing w:before="120" w:after="120" w:line="300" w:lineRule="atLeast"/>
        <w:ind w:right="-29"/>
        <w:jc w:val="both"/>
        <w:rPr>
          <w:rFonts w:ascii="Arial" w:hAnsi="Arial" w:cs="Arial"/>
          <w:szCs w:val="22"/>
        </w:rPr>
      </w:pPr>
      <w:r w:rsidRPr="007D73EF">
        <w:rPr>
          <w:rFonts w:ascii="Arial" w:hAnsi="Arial" w:cs="Arial"/>
          <w:szCs w:val="22"/>
        </w:rPr>
        <w:t xml:space="preserve">In rabbits the placental transfer was insignificant, 0.01 % of the administered dose being detected in the fetuses. </w:t>
      </w:r>
    </w:p>
    <w:p w14:paraId="35373BD6" w14:textId="77777777" w:rsidR="00262914" w:rsidRPr="007D73EF" w:rsidRDefault="00204874" w:rsidP="00F20568">
      <w:pPr>
        <w:pStyle w:val="Para0s"/>
        <w:spacing w:before="120" w:after="120" w:line="300" w:lineRule="atLeast"/>
        <w:ind w:right="-29"/>
        <w:jc w:val="both"/>
        <w:rPr>
          <w:rFonts w:ascii="Arial" w:hAnsi="Arial" w:cs="Arial"/>
          <w:szCs w:val="22"/>
        </w:rPr>
      </w:pPr>
      <w:r w:rsidRPr="007D73EF">
        <w:rPr>
          <w:rFonts w:ascii="Arial" w:hAnsi="Arial" w:cs="Arial"/>
          <w:szCs w:val="22"/>
        </w:rPr>
        <w:t>In lactating rats less than 0.1% of the total administered dose was excreted into the breast milk.</w:t>
      </w:r>
    </w:p>
    <w:p w14:paraId="22FF5BC8" w14:textId="77777777" w:rsidR="00262914" w:rsidRPr="007D73EF" w:rsidRDefault="00204874" w:rsidP="00F20568">
      <w:pPr>
        <w:pStyle w:val="Para0s"/>
        <w:spacing w:before="120" w:after="120" w:line="300" w:lineRule="atLeast"/>
        <w:ind w:right="-29"/>
        <w:jc w:val="both"/>
        <w:rPr>
          <w:rFonts w:ascii="Arial" w:hAnsi="Arial" w:cs="Arial"/>
          <w:szCs w:val="22"/>
        </w:rPr>
      </w:pPr>
      <w:r w:rsidRPr="007D73EF">
        <w:rPr>
          <w:rFonts w:ascii="Arial" w:hAnsi="Arial" w:cs="Arial"/>
          <w:szCs w:val="22"/>
        </w:rPr>
        <w:t>In rats, absorption after oral administration was found to be very small and amounted to about 5 % based on the fraction of the dose excreted in urine.</w:t>
      </w:r>
    </w:p>
    <w:p w14:paraId="3970D5BB" w14:textId="77777777" w:rsidR="00262914" w:rsidRPr="007D73EF" w:rsidRDefault="00204874" w:rsidP="00F20568">
      <w:pPr>
        <w:pStyle w:val="Para0s"/>
        <w:spacing w:before="120" w:after="120" w:line="300" w:lineRule="atLeast"/>
        <w:ind w:right="-29"/>
        <w:jc w:val="both"/>
        <w:rPr>
          <w:rFonts w:ascii="Arial" w:hAnsi="Arial" w:cs="Arial"/>
          <w:szCs w:val="22"/>
        </w:rPr>
      </w:pPr>
      <w:r w:rsidRPr="007D73EF">
        <w:rPr>
          <w:rFonts w:ascii="Arial" w:hAnsi="Arial" w:cs="Arial"/>
          <w:szCs w:val="22"/>
        </w:rPr>
        <w:t>Enterohepatic circulation has not been observed.</w:t>
      </w:r>
    </w:p>
    <w:p w14:paraId="38C44B1D" w14:textId="77777777" w:rsidR="00262914" w:rsidRPr="007D73EF" w:rsidRDefault="00741198" w:rsidP="009547FC">
      <w:pPr>
        <w:pStyle w:val="Heading1"/>
        <w:spacing w:before="360" w:after="240" w:line="300" w:lineRule="atLeast"/>
        <w:ind w:right="363"/>
        <w:rPr>
          <w:rFonts w:ascii="Arial" w:hAnsi="Arial" w:cs="Arial"/>
          <w:b/>
          <w:caps/>
          <w:kern w:val="28"/>
          <w:sz w:val="28"/>
          <w:lang w:val="en-GB"/>
        </w:rPr>
      </w:pPr>
      <w:r w:rsidRPr="007D73EF">
        <w:rPr>
          <w:rFonts w:ascii="Arial" w:hAnsi="Arial" w:cs="Arial"/>
          <w:b/>
          <w:caps/>
          <w:kern w:val="28"/>
          <w:sz w:val="28"/>
          <w:lang w:val="en-GB"/>
        </w:rPr>
        <w:t>CLINICAL TRIALS</w:t>
      </w:r>
    </w:p>
    <w:p w14:paraId="5D826BC1" w14:textId="6D2225D6" w:rsidR="00C5281E" w:rsidRPr="007D73EF" w:rsidRDefault="00851673" w:rsidP="00F20568">
      <w:pPr>
        <w:autoSpaceDE w:val="0"/>
        <w:autoSpaceDN w:val="0"/>
        <w:adjustRightInd w:val="0"/>
        <w:ind w:right="-35"/>
        <w:rPr>
          <w:rFonts w:ascii="Arial" w:hAnsi="Arial" w:cs="Arial"/>
          <w:b/>
          <w:bCs/>
          <w:sz w:val="24"/>
          <w:szCs w:val="24"/>
        </w:rPr>
      </w:pPr>
      <w:r w:rsidRPr="007D73EF">
        <w:rPr>
          <w:rFonts w:ascii="Arial" w:hAnsi="Arial" w:cs="Arial"/>
          <w:b/>
          <w:bCs/>
          <w:sz w:val="24"/>
          <w:szCs w:val="24"/>
        </w:rPr>
        <w:t>Contrast-</w:t>
      </w:r>
      <w:r w:rsidR="00C5281E" w:rsidRPr="007D73EF">
        <w:rPr>
          <w:rFonts w:ascii="Arial" w:hAnsi="Arial" w:cs="Arial"/>
          <w:b/>
          <w:bCs/>
          <w:sz w:val="24"/>
          <w:szCs w:val="24"/>
        </w:rPr>
        <w:t xml:space="preserve">Enhanced Magnetic Resonance Imaging </w:t>
      </w:r>
      <w:r w:rsidRPr="007D73EF">
        <w:rPr>
          <w:rFonts w:ascii="Arial" w:hAnsi="Arial" w:cs="Arial"/>
          <w:b/>
          <w:bCs/>
          <w:sz w:val="24"/>
          <w:szCs w:val="24"/>
        </w:rPr>
        <w:t>(CE–</w:t>
      </w:r>
      <w:r w:rsidR="00C5281E" w:rsidRPr="007D73EF">
        <w:rPr>
          <w:rFonts w:ascii="Arial" w:hAnsi="Arial" w:cs="Arial"/>
          <w:b/>
          <w:bCs/>
          <w:sz w:val="24"/>
          <w:szCs w:val="24"/>
        </w:rPr>
        <w:t>MRI</w:t>
      </w:r>
      <w:r w:rsidRPr="007D73EF">
        <w:rPr>
          <w:rFonts w:ascii="Arial" w:hAnsi="Arial" w:cs="Arial"/>
          <w:b/>
          <w:bCs/>
          <w:sz w:val="24"/>
          <w:szCs w:val="24"/>
        </w:rPr>
        <w:t>)</w:t>
      </w:r>
      <w:r w:rsidR="00C5281E" w:rsidRPr="007D73EF">
        <w:rPr>
          <w:rFonts w:ascii="Arial" w:hAnsi="Arial" w:cs="Arial"/>
          <w:b/>
          <w:bCs/>
          <w:sz w:val="24"/>
          <w:szCs w:val="24"/>
        </w:rPr>
        <w:t xml:space="preserve"> of </w:t>
      </w:r>
      <w:r w:rsidR="00FF0984" w:rsidRPr="007D73EF">
        <w:rPr>
          <w:rFonts w:ascii="Arial" w:hAnsi="Arial" w:cs="Arial"/>
          <w:b/>
          <w:bCs/>
          <w:sz w:val="24"/>
          <w:szCs w:val="24"/>
        </w:rPr>
        <w:t xml:space="preserve">the whole </w:t>
      </w:r>
      <w:r w:rsidR="00C5281E" w:rsidRPr="007D73EF">
        <w:rPr>
          <w:rFonts w:ascii="Arial" w:hAnsi="Arial" w:cs="Arial"/>
          <w:b/>
          <w:bCs/>
          <w:sz w:val="24"/>
          <w:szCs w:val="24"/>
        </w:rPr>
        <w:t>body</w:t>
      </w:r>
      <w:r w:rsidR="008A1804" w:rsidRPr="007D73EF">
        <w:rPr>
          <w:rFonts w:ascii="Arial" w:hAnsi="Arial" w:cs="Arial"/>
          <w:b/>
          <w:bCs/>
          <w:sz w:val="24"/>
          <w:szCs w:val="24"/>
        </w:rPr>
        <w:t xml:space="preserve"> including head and neck region, thoracic space, breast, abdomen, pelvis, retroperitoneal space, extremities and musculoskeletal system</w:t>
      </w:r>
      <w:r w:rsidR="007D73EF">
        <w:rPr>
          <w:rFonts w:ascii="Arial" w:hAnsi="Arial" w:cs="Arial"/>
          <w:b/>
          <w:bCs/>
          <w:sz w:val="24"/>
          <w:szCs w:val="24"/>
        </w:rPr>
        <w:t xml:space="preserve"> </w:t>
      </w:r>
      <w:r w:rsidR="00413DFA" w:rsidRPr="007D73EF">
        <w:rPr>
          <w:rFonts w:ascii="Arial" w:hAnsi="Arial" w:cs="Arial"/>
          <w:b/>
          <w:bCs/>
          <w:sz w:val="24"/>
          <w:szCs w:val="24"/>
        </w:rPr>
        <w:t>and cardiac MR</w:t>
      </w:r>
      <w:r w:rsidR="00413DFA" w:rsidRPr="00893938">
        <w:rPr>
          <w:rFonts w:ascii="Arial" w:hAnsi="Arial" w:cs="Arial"/>
          <w:b/>
          <w:bCs/>
          <w:sz w:val="24"/>
          <w:szCs w:val="24"/>
        </w:rPr>
        <w:t>I</w:t>
      </w:r>
      <w:r w:rsidR="008B6785" w:rsidRPr="00CF7D18">
        <w:rPr>
          <w:rFonts w:ascii="Arial" w:hAnsi="Arial" w:cs="Arial"/>
          <w:noProof/>
          <w:sz w:val="22"/>
          <w:szCs w:val="22"/>
          <w:vertAlign w:val="superscript"/>
          <w:lang w:val="en-GB" w:eastAsia="en-US"/>
        </w:rPr>
        <w:t>#</w:t>
      </w:r>
    </w:p>
    <w:p w14:paraId="6F6CAB3E" w14:textId="5F3135D9" w:rsidR="00FF0984" w:rsidRPr="007D73EF" w:rsidRDefault="00142D0B" w:rsidP="009852C3">
      <w:pPr>
        <w:spacing w:before="120"/>
        <w:ind w:right="-35"/>
        <w:jc w:val="both"/>
        <w:rPr>
          <w:rFonts w:ascii="Arial" w:hAnsi="Arial" w:cs="Arial"/>
          <w:sz w:val="22"/>
          <w:szCs w:val="22"/>
          <w:lang w:eastAsia="de-DE"/>
        </w:rPr>
      </w:pPr>
      <w:r w:rsidRPr="007D73EF">
        <w:rPr>
          <w:rFonts w:ascii="Arial" w:hAnsi="Arial" w:cs="Arial"/>
          <w:sz w:val="22"/>
          <w:szCs w:val="22"/>
          <w:lang w:eastAsia="de-DE"/>
        </w:rPr>
        <w:t>The use of Gadovis</w:t>
      </w:r>
      <w:r w:rsidR="00CC6A20" w:rsidRPr="007D73EF">
        <w:rPr>
          <w:rFonts w:ascii="Arial" w:hAnsi="Arial" w:cs="Arial"/>
          <w:sz w:val="22"/>
          <w:szCs w:val="22"/>
          <w:lang w:eastAsia="de-DE"/>
        </w:rPr>
        <w:t xml:space="preserve">t </w:t>
      </w:r>
      <w:r w:rsidRPr="007D73EF">
        <w:rPr>
          <w:rFonts w:ascii="Arial" w:hAnsi="Arial" w:cs="Arial"/>
          <w:sz w:val="22"/>
          <w:szCs w:val="22"/>
          <w:lang w:eastAsia="de-DE"/>
        </w:rPr>
        <w:t>in CE-MRI of the whole body is supported by company-sponsored studies and a systematic review of the literature</w:t>
      </w:r>
      <w:r w:rsidR="008B6785" w:rsidRPr="00CF7D18">
        <w:rPr>
          <w:rFonts w:ascii="Arial" w:hAnsi="Arial" w:cs="Arial"/>
          <w:noProof/>
          <w:sz w:val="22"/>
          <w:szCs w:val="22"/>
          <w:vertAlign w:val="superscript"/>
          <w:lang w:val="en-GB" w:eastAsia="en-US"/>
        </w:rPr>
        <w:t>#</w:t>
      </w:r>
      <w:r w:rsidRPr="007D73EF">
        <w:rPr>
          <w:rFonts w:ascii="Arial" w:hAnsi="Arial" w:cs="Arial"/>
          <w:sz w:val="22"/>
          <w:szCs w:val="22"/>
          <w:lang w:eastAsia="de-DE"/>
        </w:rPr>
        <w:t>.</w:t>
      </w:r>
    </w:p>
    <w:p w14:paraId="36F26B73" w14:textId="77777777" w:rsidR="00FF0984" w:rsidRPr="007D73EF" w:rsidRDefault="009852C3" w:rsidP="00FF0984">
      <w:pPr>
        <w:spacing w:before="120" w:after="120" w:line="300" w:lineRule="atLeast"/>
        <w:ind w:right="-35"/>
        <w:jc w:val="both"/>
        <w:rPr>
          <w:rFonts w:ascii="Arial" w:hAnsi="Arial" w:cs="Arial"/>
          <w:noProof/>
          <w:sz w:val="22"/>
          <w:szCs w:val="22"/>
          <w:u w:val="single"/>
          <w:lang w:val="en-GB" w:eastAsia="en-US"/>
        </w:rPr>
      </w:pPr>
      <w:r w:rsidRPr="007D73EF">
        <w:rPr>
          <w:rFonts w:ascii="Arial" w:hAnsi="Arial" w:cs="Arial"/>
          <w:noProof/>
          <w:sz w:val="22"/>
          <w:szCs w:val="22"/>
          <w:u w:val="single"/>
          <w:lang w:val="en-GB" w:eastAsia="en-US"/>
        </w:rPr>
        <w:t>CE-MRI of the l</w:t>
      </w:r>
      <w:r w:rsidR="00FF0984" w:rsidRPr="007D73EF">
        <w:rPr>
          <w:rFonts w:ascii="Arial" w:hAnsi="Arial" w:cs="Arial"/>
          <w:noProof/>
          <w:sz w:val="22"/>
          <w:szCs w:val="22"/>
          <w:u w:val="single"/>
          <w:lang w:val="en-GB" w:eastAsia="en-US"/>
        </w:rPr>
        <w:t>iver and kidneys</w:t>
      </w:r>
    </w:p>
    <w:p w14:paraId="0D10F36C" w14:textId="3067B965" w:rsidR="00EC0CCD" w:rsidRPr="007D73EF" w:rsidRDefault="00C5281E" w:rsidP="00F20568">
      <w:pPr>
        <w:spacing w:before="120"/>
        <w:ind w:right="-35"/>
        <w:jc w:val="both"/>
        <w:rPr>
          <w:rFonts w:ascii="Arial" w:hAnsi="Arial" w:cs="Arial"/>
          <w:sz w:val="22"/>
          <w:szCs w:val="22"/>
          <w:lang w:eastAsia="de-DE"/>
        </w:rPr>
      </w:pPr>
      <w:r w:rsidRPr="007D73EF">
        <w:rPr>
          <w:rFonts w:ascii="Arial" w:hAnsi="Arial" w:cs="Arial"/>
          <w:sz w:val="22"/>
          <w:szCs w:val="22"/>
          <w:lang w:eastAsia="de-DE"/>
        </w:rPr>
        <w:t>Results from 3 clinical studies involving 1</w:t>
      </w:r>
      <w:r w:rsidR="005D5A10" w:rsidRPr="007D73EF">
        <w:rPr>
          <w:rFonts w:ascii="Arial" w:hAnsi="Arial" w:cs="Arial"/>
          <w:sz w:val="22"/>
          <w:szCs w:val="22"/>
          <w:lang w:eastAsia="de-DE"/>
        </w:rPr>
        <w:t>,</w:t>
      </w:r>
      <w:r w:rsidRPr="007D73EF">
        <w:rPr>
          <w:rFonts w:ascii="Arial" w:hAnsi="Arial" w:cs="Arial"/>
          <w:sz w:val="22"/>
          <w:szCs w:val="22"/>
          <w:lang w:eastAsia="de-DE"/>
        </w:rPr>
        <w:t>234 patients (</w:t>
      </w:r>
      <w:r w:rsidR="00851673" w:rsidRPr="007D73EF">
        <w:rPr>
          <w:rFonts w:ascii="Arial" w:hAnsi="Arial" w:cs="Arial"/>
          <w:sz w:val="22"/>
          <w:szCs w:val="22"/>
          <w:lang w:eastAsia="de-DE"/>
        </w:rPr>
        <w:t>2 pivotal and one open-</w:t>
      </w:r>
      <w:r w:rsidRPr="007D73EF">
        <w:rPr>
          <w:rFonts w:ascii="Arial" w:hAnsi="Arial" w:cs="Arial"/>
          <w:sz w:val="22"/>
          <w:szCs w:val="22"/>
          <w:lang w:eastAsia="de-DE"/>
        </w:rPr>
        <w:t xml:space="preserve">label study), demonstrated non-inferiority </w:t>
      </w:r>
      <w:r w:rsidR="004F633D" w:rsidRPr="007D73EF">
        <w:rPr>
          <w:rFonts w:ascii="Arial" w:hAnsi="Arial" w:cs="Arial"/>
          <w:sz w:val="22"/>
          <w:szCs w:val="22"/>
          <w:lang w:eastAsia="de-DE"/>
        </w:rPr>
        <w:t>of Gadovist compared to Magnevist for diagnosing malignant lesions in liver and kidney</w:t>
      </w:r>
      <w:r w:rsidR="000635F4" w:rsidRPr="007D73EF">
        <w:rPr>
          <w:rFonts w:ascii="Arial" w:hAnsi="Arial" w:cs="Arial"/>
          <w:sz w:val="22"/>
          <w:szCs w:val="22"/>
          <w:lang w:eastAsia="de-DE"/>
        </w:rPr>
        <w:t>s</w:t>
      </w:r>
      <w:r w:rsidR="004F633D" w:rsidRPr="007D73EF">
        <w:rPr>
          <w:rFonts w:ascii="Arial" w:hAnsi="Arial" w:cs="Arial"/>
          <w:sz w:val="22"/>
          <w:szCs w:val="22"/>
          <w:lang w:eastAsia="de-DE"/>
        </w:rPr>
        <w:t xml:space="preserve"> in</w:t>
      </w:r>
      <w:r w:rsidR="00851673" w:rsidRPr="007D73EF">
        <w:rPr>
          <w:rFonts w:ascii="Arial" w:hAnsi="Arial" w:cs="Arial"/>
          <w:sz w:val="22"/>
          <w:szCs w:val="22"/>
          <w:lang w:eastAsia="de-DE"/>
        </w:rPr>
        <w:t xml:space="preserve"> CE–</w:t>
      </w:r>
      <w:r w:rsidR="00F5452D" w:rsidRPr="007D73EF">
        <w:rPr>
          <w:rFonts w:ascii="Arial" w:hAnsi="Arial" w:cs="Arial"/>
          <w:sz w:val="22"/>
          <w:szCs w:val="22"/>
          <w:lang w:eastAsia="de-DE"/>
        </w:rPr>
        <w:t xml:space="preserve">MRI at a dose of 0.1 </w:t>
      </w:r>
      <w:r w:rsidR="0045707A" w:rsidRPr="007D73EF">
        <w:rPr>
          <w:rFonts w:ascii="Arial" w:hAnsi="Arial" w:cs="Arial"/>
          <w:sz w:val="22"/>
          <w:szCs w:val="22"/>
          <w:lang w:eastAsia="de-DE"/>
        </w:rPr>
        <w:t>m</w:t>
      </w:r>
      <w:r w:rsidR="00F5452D" w:rsidRPr="007D73EF">
        <w:rPr>
          <w:rFonts w:ascii="Arial" w:hAnsi="Arial" w:cs="Arial"/>
          <w:sz w:val="22"/>
          <w:szCs w:val="22"/>
          <w:lang w:eastAsia="de-DE"/>
        </w:rPr>
        <w:t xml:space="preserve">mol/kg </w:t>
      </w:r>
      <w:r w:rsidR="004F633D" w:rsidRPr="007D73EF">
        <w:rPr>
          <w:rFonts w:ascii="Arial" w:hAnsi="Arial" w:cs="Arial"/>
          <w:sz w:val="22"/>
          <w:szCs w:val="22"/>
          <w:lang w:eastAsia="de-DE"/>
        </w:rPr>
        <w:t xml:space="preserve">BW. </w:t>
      </w:r>
      <w:r w:rsidR="00C32C37" w:rsidRPr="007D73EF">
        <w:rPr>
          <w:rFonts w:ascii="Arial" w:hAnsi="Arial" w:cs="Arial"/>
          <w:sz w:val="22"/>
          <w:szCs w:val="22"/>
          <w:lang w:eastAsia="de-DE"/>
        </w:rPr>
        <w:t>The primary</w:t>
      </w:r>
      <w:r w:rsidR="00BE52E9" w:rsidRPr="007D73EF">
        <w:rPr>
          <w:rFonts w:ascii="Arial" w:hAnsi="Arial" w:cs="Arial"/>
          <w:sz w:val="22"/>
          <w:szCs w:val="22"/>
          <w:lang w:eastAsia="de-DE"/>
        </w:rPr>
        <w:t xml:space="preserve"> efficacy variable</w:t>
      </w:r>
      <w:r w:rsidR="00DE19AC" w:rsidRPr="007D73EF">
        <w:rPr>
          <w:rFonts w:ascii="Arial" w:hAnsi="Arial" w:cs="Arial"/>
          <w:sz w:val="22"/>
          <w:szCs w:val="22"/>
          <w:lang w:eastAsia="de-DE"/>
        </w:rPr>
        <w:t>s</w:t>
      </w:r>
      <w:r w:rsidR="00BE52E9" w:rsidRPr="007D73EF">
        <w:rPr>
          <w:rFonts w:ascii="Arial" w:hAnsi="Arial" w:cs="Arial"/>
          <w:sz w:val="22"/>
          <w:szCs w:val="22"/>
          <w:lang w:eastAsia="de-DE"/>
        </w:rPr>
        <w:t xml:space="preserve"> w</w:t>
      </w:r>
      <w:r w:rsidR="00DE19AC" w:rsidRPr="007D73EF">
        <w:rPr>
          <w:rFonts w:ascii="Arial" w:hAnsi="Arial" w:cs="Arial"/>
          <w:sz w:val="22"/>
          <w:szCs w:val="22"/>
          <w:lang w:eastAsia="de-DE"/>
        </w:rPr>
        <w:t>ere</w:t>
      </w:r>
      <w:r w:rsidR="00BE52E9" w:rsidRPr="007D73EF">
        <w:rPr>
          <w:rFonts w:ascii="Arial" w:hAnsi="Arial" w:cs="Arial"/>
          <w:sz w:val="22"/>
          <w:szCs w:val="22"/>
          <w:lang w:eastAsia="de-DE"/>
        </w:rPr>
        <w:t xml:space="preserve"> accuracy and </w:t>
      </w:r>
      <w:r w:rsidR="00732AE7" w:rsidRPr="007D73EF">
        <w:rPr>
          <w:rFonts w:ascii="Arial" w:hAnsi="Arial" w:cs="Arial"/>
          <w:sz w:val="22"/>
          <w:szCs w:val="22"/>
          <w:lang w:eastAsia="de-DE"/>
        </w:rPr>
        <w:t xml:space="preserve">increase in diagnostic </w:t>
      </w:r>
      <w:r w:rsidR="00DE19AC" w:rsidRPr="007D73EF">
        <w:rPr>
          <w:rFonts w:ascii="Arial" w:hAnsi="Arial" w:cs="Arial"/>
          <w:sz w:val="22"/>
          <w:szCs w:val="22"/>
          <w:lang w:eastAsia="de-DE"/>
        </w:rPr>
        <w:t>accuracy</w:t>
      </w:r>
      <w:r w:rsidRPr="007D73EF">
        <w:rPr>
          <w:rFonts w:ascii="Arial" w:hAnsi="Arial" w:cs="Arial"/>
          <w:sz w:val="22"/>
          <w:szCs w:val="22"/>
          <w:lang w:eastAsia="de-DE"/>
        </w:rPr>
        <w:t xml:space="preserve"> </w:t>
      </w:r>
      <w:r w:rsidR="00732AE7" w:rsidRPr="007D73EF">
        <w:rPr>
          <w:rFonts w:ascii="Arial" w:hAnsi="Arial" w:cs="Arial"/>
          <w:sz w:val="22"/>
          <w:szCs w:val="22"/>
          <w:lang w:eastAsia="de-DE"/>
        </w:rPr>
        <w:t xml:space="preserve">from pre- to combined pre- and post-contrast MRI scans.  </w:t>
      </w:r>
      <w:r w:rsidR="00F7372A" w:rsidRPr="007D73EF">
        <w:rPr>
          <w:rFonts w:ascii="Arial" w:hAnsi="Arial" w:cs="Arial"/>
          <w:sz w:val="22"/>
          <w:szCs w:val="22"/>
          <w:lang w:eastAsia="de-DE"/>
        </w:rPr>
        <w:t xml:space="preserve">Efficacy was measured from clinical studies and blinded readings. Other assessments from the 2 pivotal studies to support the comparable efficacy of Gadovist to Magnevist in CE–MRI were lesion extent, lesion sub-classification, technical efficacy and therapeutic </w:t>
      </w:r>
      <w:r w:rsidR="00F7372A" w:rsidRPr="007D73EF">
        <w:rPr>
          <w:rFonts w:ascii="Arial" w:hAnsi="Arial" w:cs="Arial"/>
          <w:sz w:val="22"/>
          <w:szCs w:val="22"/>
          <w:lang w:eastAsia="de-DE"/>
        </w:rPr>
        <w:lastRenderedPageBreak/>
        <w:t>impact.  The standard of reference for each study was assessment by an independent Truth Panel or against a predefined and independent Standard of Truth, (SOT).</w:t>
      </w:r>
    </w:p>
    <w:p w14:paraId="5E572523" w14:textId="77777777" w:rsidR="00F5452D" w:rsidRPr="007D73EF" w:rsidRDefault="00F7372A" w:rsidP="00F20568">
      <w:pPr>
        <w:spacing w:before="120"/>
        <w:ind w:right="-35"/>
        <w:jc w:val="both"/>
        <w:rPr>
          <w:rFonts w:ascii="Arial" w:hAnsi="Arial" w:cs="Arial"/>
          <w:sz w:val="22"/>
          <w:szCs w:val="22"/>
          <w:lang w:eastAsia="de-DE"/>
        </w:rPr>
      </w:pPr>
      <w:r w:rsidRPr="007D73EF">
        <w:rPr>
          <w:rFonts w:ascii="Arial" w:hAnsi="Arial" w:cs="Arial"/>
          <w:sz w:val="22"/>
          <w:szCs w:val="22"/>
          <w:lang w:eastAsia="de-DE"/>
        </w:rPr>
        <w:t xml:space="preserve">Results from the 2 pivotal studies are summarised in the table below: </w:t>
      </w:r>
    </w:p>
    <w:p w14:paraId="28126F72" w14:textId="77777777" w:rsidR="00861283" w:rsidRPr="007D73EF" w:rsidRDefault="00861283" w:rsidP="00861283">
      <w:pPr>
        <w:spacing w:before="120" w:after="120" w:line="300" w:lineRule="atLeast"/>
        <w:ind w:right="-29"/>
        <w:jc w:val="both"/>
        <w:rPr>
          <w:rFonts w:ascii="Arial" w:hAnsi="Arial" w:cs="Arial"/>
          <w:b/>
          <w:sz w:val="22"/>
          <w:szCs w:val="22"/>
        </w:rPr>
      </w:pPr>
      <w:r w:rsidRPr="007D73EF">
        <w:rPr>
          <w:rFonts w:ascii="Arial" w:hAnsi="Arial" w:cs="Arial"/>
          <w:b/>
          <w:sz w:val="22"/>
          <w:szCs w:val="22"/>
        </w:rPr>
        <w:t>Table 2: Results from pivotal studies in CE-MRI of the liver and kidneys</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137"/>
        <w:gridCol w:w="2317"/>
        <w:gridCol w:w="3097"/>
      </w:tblGrid>
      <w:tr w:rsidR="004A7CD6" w:rsidRPr="007D73EF" w14:paraId="0D64098C" w14:textId="77777777" w:rsidTr="00771E28">
        <w:trPr>
          <w:trHeight w:val="1214"/>
          <w:tblHeader/>
        </w:trPr>
        <w:tc>
          <w:tcPr>
            <w:tcW w:w="5000" w:type="pct"/>
            <w:gridSpan w:val="3"/>
            <w:shd w:val="clear" w:color="auto" w:fill="auto"/>
          </w:tcPr>
          <w:p w14:paraId="44B244C6" w14:textId="1E920E0E" w:rsidR="004A7CD6" w:rsidRPr="007D73EF" w:rsidRDefault="004A7CD6" w:rsidP="00F20568">
            <w:pPr>
              <w:spacing w:before="120"/>
              <w:ind w:right="-35"/>
              <w:rPr>
                <w:rFonts w:ascii="Arial" w:hAnsi="Arial" w:cs="Arial"/>
              </w:rPr>
            </w:pPr>
            <w:r w:rsidRPr="007D73EF">
              <w:rPr>
                <w:rFonts w:ascii="Arial" w:hAnsi="Arial" w:cs="Arial"/>
              </w:rPr>
              <w:t xml:space="preserve">Aim: </w:t>
            </w:r>
            <w:r w:rsidR="00A27576" w:rsidRPr="007D73EF">
              <w:rPr>
                <w:rFonts w:ascii="Arial" w:hAnsi="Arial" w:cs="Arial"/>
              </w:rPr>
              <w:t>Demonstrate</w:t>
            </w:r>
            <w:r w:rsidRPr="007D73EF">
              <w:rPr>
                <w:rFonts w:ascii="Arial" w:hAnsi="Arial" w:cs="Arial"/>
              </w:rPr>
              <w:t xml:space="preserve"> Non-Inferiority of Gadovist to Magnevist in CE-MRI of body (liver and kidney</w:t>
            </w:r>
            <w:r w:rsidR="005D09CB" w:rsidRPr="007D73EF">
              <w:rPr>
                <w:rFonts w:ascii="Arial" w:hAnsi="Arial" w:cs="Arial"/>
              </w:rPr>
              <w:t>s</w:t>
            </w:r>
            <w:r w:rsidRPr="007D73EF">
              <w:rPr>
                <w:rFonts w:ascii="Arial" w:hAnsi="Arial" w:cs="Arial"/>
              </w:rPr>
              <w:t>)</w:t>
            </w:r>
            <w:r w:rsidR="007D5E13" w:rsidRPr="007D73EF">
              <w:rPr>
                <w:rFonts w:ascii="Arial" w:hAnsi="Arial" w:cs="Arial"/>
              </w:rPr>
              <w:t xml:space="preserve"> compared to a </w:t>
            </w:r>
            <w:r w:rsidR="000635F4" w:rsidRPr="007D73EF">
              <w:rPr>
                <w:rFonts w:ascii="Arial" w:hAnsi="Arial" w:cs="Arial"/>
              </w:rPr>
              <w:t>pre</w:t>
            </w:r>
            <w:r w:rsidR="00F31AC0" w:rsidRPr="007D73EF">
              <w:rPr>
                <w:rFonts w:ascii="Arial" w:hAnsi="Arial" w:cs="Arial"/>
              </w:rPr>
              <w:t>-</w:t>
            </w:r>
            <w:r w:rsidR="007D5E13" w:rsidRPr="007D73EF">
              <w:rPr>
                <w:rFonts w:ascii="Arial" w:hAnsi="Arial" w:cs="Arial"/>
              </w:rPr>
              <w:t xml:space="preserve">defined </w:t>
            </w:r>
            <w:r w:rsidR="005D4D1E" w:rsidRPr="007D73EF">
              <w:rPr>
                <w:rFonts w:ascii="Arial" w:hAnsi="Arial" w:cs="Arial"/>
              </w:rPr>
              <w:t>Standard of Truth</w:t>
            </w:r>
            <w:r w:rsidR="00B67E67" w:rsidRPr="007D73EF">
              <w:rPr>
                <w:rFonts w:ascii="Arial" w:hAnsi="Arial" w:cs="Arial"/>
              </w:rPr>
              <w:t>.</w:t>
            </w:r>
          </w:p>
          <w:p w14:paraId="06054935" w14:textId="77777777" w:rsidR="005D4D1E" w:rsidRPr="007D73EF" w:rsidRDefault="00F7372A" w:rsidP="00F20568">
            <w:pPr>
              <w:spacing w:before="120"/>
              <w:ind w:right="-35"/>
              <w:rPr>
                <w:rFonts w:ascii="Arial" w:hAnsi="Arial" w:cs="Arial"/>
              </w:rPr>
            </w:pPr>
            <w:r w:rsidRPr="007D73EF">
              <w:rPr>
                <w:rFonts w:ascii="Arial" w:hAnsi="Arial" w:cs="Arial"/>
              </w:rPr>
              <w:t xml:space="preserve">Non-inferiority (equivalence) limit (Δ) set at 95% Confidence Interval of &gt;-0.1 (10%)  for accuracy and </w:t>
            </w:r>
          </w:p>
          <w:p w14:paraId="13D6319A" w14:textId="77777777" w:rsidR="004A7CD6" w:rsidRPr="007D73EF" w:rsidRDefault="00F7372A" w:rsidP="00F20568">
            <w:pPr>
              <w:spacing w:before="120"/>
              <w:ind w:right="-35"/>
              <w:rPr>
                <w:rFonts w:ascii="Arial" w:hAnsi="Arial" w:cs="Arial"/>
              </w:rPr>
            </w:pPr>
            <w:r w:rsidRPr="007D73EF">
              <w:rPr>
                <w:rFonts w:ascii="Arial" w:hAnsi="Arial" w:cs="Arial"/>
              </w:rPr>
              <w:t>&gt;-0.04 (4%) +for increase in diagnostic accuracy</w:t>
            </w:r>
          </w:p>
          <w:p w14:paraId="1B398F07" w14:textId="6AE427ED" w:rsidR="00B804D6" w:rsidRPr="007D73EF" w:rsidRDefault="00F7372A" w:rsidP="00F20568">
            <w:pPr>
              <w:spacing w:before="120"/>
              <w:ind w:right="-35"/>
              <w:rPr>
                <w:rFonts w:ascii="Arial" w:hAnsi="Arial" w:cs="Arial"/>
              </w:rPr>
            </w:pPr>
            <w:r w:rsidRPr="007D73EF">
              <w:rPr>
                <w:rFonts w:ascii="Arial" w:hAnsi="Arial" w:cs="Arial"/>
                <w:b/>
                <w:u w:val="single"/>
              </w:rPr>
              <w:t>Result</w:t>
            </w:r>
            <w:r w:rsidRPr="007D73EF">
              <w:rPr>
                <w:rFonts w:ascii="Arial" w:hAnsi="Arial" w:cs="Arial"/>
                <w:b/>
              </w:rPr>
              <w:t>:</w:t>
            </w:r>
            <w:r w:rsidRPr="007D73EF">
              <w:rPr>
                <w:rFonts w:ascii="Arial" w:hAnsi="Arial" w:cs="Arial"/>
              </w:rPr>
              <w:t xml:space="preserve"> </w:t>
            </w:r>
            <w:r w:rsidRPr="007D73EF">
              <w:rPr>
                <w:rFonts w:ascii="Arial" w:hAnsi="Arial" w:cs="Arial"/>
                <w:b/>
              </w:rPr>
              <w:t>:</w:t>
            </w:r>
            <w:r w:rsidRPr="007D73EF">
              <w:rPr>
                <w:rFonts w:ascii="Arial" w:hAnsi="Arial" w:cs="Arial"/>
              </w:rPr>
              <w:t xml:space="preserve"> Performance of Gadovist is comparable to Magnevist for both studies</w:t>
            </w:r>
            <w:r w:rsidR="007D47A2" w:rsidRPr="007D73EF">
              <w:rPr>
                <w:rFonts w:ascii="Arial" w:hAnsi="Arial" w:cs="Arial"/>
                <w:vertAlign w:val="superscript"/>
              </w:rPr>
              <w:t>1</w:t>
            </w:r>
          </w:p>
          <w:p w14:paraId="0A30CE39" w14:textId="77777777" w:rsidR="00F5452D" w:rsidRPr="007D73EF" w:rsidRDefault="00F5452D" w:rsidP="00F20568">
            <w:pPr>
              <w:spacing w:before="120"/>
              <w:ind w:right="-35"/>
              <w:rPr>
                <w:rFonts w:ascii="Arial" w:hAnsi="Arial" w:cs="Arial"/>
              </w:rPr>
            </w:pPr>
          </w:p>
        </w:tc>
      </w:tr>
      <w:tr w:rsidR="004A7CD6" w:rsidRPr="007D73EF" w14:paraId="512E6B2E" w14:textId="77777777" w:rsidTr="00771E28">
        <w:trPr>
          <w:trHeight w:val="594"/>
        </w:trPr>
        <w:tc>
          <w:tcPr>
            <w:tcW w:w="1834" w:type="pct"/>
            <w:shd w:val="clear" w:color="auto" w:fill="auto"/>
          </w:tcPr>
          <w:p w14:paraId="51CEF31C" w14:textId="77777777" w:rsidR="002211FF" w:rsidRPr="007D73EF" w:rsidRDefault="002211FF" w:rsidP="00F20568">
            <w:pPr>
              <w:ind w:right="-35"/>
              <w:rPr>
                <w:rFonts w:ascii="Arial" w:hAnsi="Arial" w:cs="Arial"/>
              </w:rPr>
            </w:pPr>
          </w:p>
          <w:p w14:paraId="0B515C4E" w14:textId="77777777" w:rsidR="004A7CD6" w:rsidRPr="007D73EF" w:rsidRDefault="00F7372A" w:rsidP="00F20568">
            <w:pPr>
              <w:ind w:right="-35"/>
              <w:rPr>
                <w:rFonts w:ascii="Arial" w:hAnsi="Arial" w:cs="Arial"/>
              </w:rPr>
            </w:pPr>
            <w:r w:rsidRPr="007D73EF">
              <w:rPr>
                <w:rFonts w:ascii="Arial" w:hAnsi="Arial" w:cs="Arial"/>
              </w:rPr>
              <w:t xml:space="preserve">Data from </w:t>
            </w:r>
            <w:r w:rsidRPr="007D73EF">
              <w:rPr>
                <w:rFonts w:ascii="Arial" w:hAnsi="Arial" w:cs="Arial"/>
                <w:b/>
              </w:rPr>
              <w:t>clinical assessment</w:t>
            </w:r>
            <w:r w:rsidRPr="007D73EF">
              <w:rPr>
                <w:rFonts w:ascii="Arial" w:hAnsi="Arial" w:cs="Arial"/>
              </w:rPr>
              <w:t xml:space="preserve"> </w:t>
            </w:r>
          </w:p>
        </w:tc>
        <w:tc>
          <w:tcPr>
            <w:tcW w:w="1355" w:type="pct"/>
            <w:shd w:val="clear" w:color="auto" w:fill="auto"/>
          </w:tcPr>
          <w:p w14:paraId="4B4EDBBA"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Accuracy</w:t>
            </w:r>
          </w:p>
          <w:p w14:paraId="2B503BAC"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GV - MV</w:t>
            </w:r>
          </w:p>
        </w:tc>
        <w:tc>
          <w:tcPr>
            <w:tcW w:w="1811" w:type="pct"/>
            <w:shd w:val="clear" w:color="auto" w:fill="auto"/>
          </w:tcPr>
          <w:p w14:paraId="400E0BCD" w14:textId="77777777" w:rsidR="004A7CD6" w:rsidRPr="007D73EF" w:rsidRDefault="00F7372A" w:rsidP="00F20568">
            <w:pPr>
              <w:spacing w:line="300" w:lineRule="exact"/>
              <w:ind w:right="-35"/>
              <w:rPr>
                <w:rFonts w:ascii="Arial" w:hAnsi="Arial" w:cs="Arial"/>
              </w:rPr>
            </w:pPr>
            <w:r w:rsidRPr="007D73EF">
              <w:rPr>
                <w:rFonts w:ascii="Arial" w:hAnsi="Arial" w:cs="Arial"/>
              </w:rPr>
              <w:t xml:space="preserve">Increase in Diagnostic Accuracy </w:t>
            </w:r>
          </w:p>
          <w:p w14:paraId="75E79AE6"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GV- MV</w:t>
            </w:r>
          </w:p>
        </w:tc>
      </w:tr>
      <w:tr w:rsidR="004A7CD6" w:rsidRPr="007D73EF" w14:paraId="7EE3A906" w14:textId="77777777" w:rsidTr="00771E28">
        <w:trPr>
          <w:trHeight w:val="1492"/>
        </w:trPr>
        <w:tc>
          <w:tcPr>
            <w:tcW w:w="1834" w:type="pct"/>
            <w:shd w:val="clear" w:color="auto" w:fill="auto"/>
          </w:tcPr>
          <w:p w14:paraId="7CD2A6D6" w14:textId="77777777" w:rsidR="00F5452D" w:rsidRPr="007D73EF" w:rsidRDefault="00F7372A" w:rsidP="00F20568">
            <w:pPr>
              <w:spacing w:line="300" w:lineRule="exact"/>
              <w:ind w:right="-35"/>
              <w:rPr>
                <w:rFonts w:ascii="Arial" w:hAnsi="Arial" w:cs="Arial"/>
              </w:rPr>
            </w:pPr>
            <w:r w:rsidRPr="007D73EF">
              <w:rPr>
                <w:rFonts w:ascii="Arial" w:hAnsi="Arial" w:cs="Arial"/>
              </w:rPr>
              <w:t>Study 304562 Liver</w:t>
            </w:r>
          </w:p>
          <w:p w14:paraId="38576BDC" w14:textId="77777777" w:rsidR="004A7CD6" w:rsidRPr="007D73EF" w:rsidRDefault="00F7372A" w:rsidP="00F20568">
            <w:pPr>
              <w:spacing w:line="300" w:lineRule="exact"/>
              <w:ind w:right="-35"/>
              <w:rPr>
                <w:rFonts w:ascii="Arial" w:hAnsi="Arial" w:cs="Arial"/>
              </w:rPr>
            </w:pPr>
            <w:r w:rsidRPr="007D73EF">
              <w:rPr>
                <w:rFonts w:ascii="Arial" w:hAnsi="Arial" w:cs="Arial"/>
              </w:rPr>
              <w:t>n= 497 patients</w:t>
            </w:r>
          </w:p>
          <w:p w14:paraId="0CD1A42D" w14:textId="77777777" w:rsidR="00A27576" w:rsidRPr="007D73EF" w:rsidRDefault="00F7372A" w:rsidP="00F20568">
            <w:pPr>
              <w:spacing w:line="300" w:lineRule="exact"/>
              <w:ind w:right="-35"/>
              <w:rPr>
                <w:rFonts w:ascii="Arial" w:hAnsi="Arial" w:cs="Arial"/>
              </w:rPr>
            </w:pPr>
            <w:r w:rsidRPr="007D73EF">
              <w:rPr>
                <w:rFonts w:ascii="Arial" w:hAnsi="Arial" w:cs="Arial"/>
              </w:rPr>
              <w:t>GV (gadobutrol) n = 250</w:t>
            </w:r>
          </w:p>
          <w:p w14:paraId="6194103D" w14:textId="77777777" w:rsidR="002211FF" w:rsidRPr="007D73EF" w:rsidRDefault="00F7372A" w:rsidP="00F20568">
            <w:pPr>
              <w:spacing w:line="300" w:lineRule="exact"/>
              <w:ind w:right="-35"/>
              <w:rPr>
                <w:rFonts w:ascii="Arial" w:hAnsi="Arial" w:cs="Arial"/>
              </w:rPr>
            </w:pPr>
            <w:r w:rsidRPr="007D73EF">
              <w:rPr>
                <w:rFonts w:ascii="Arial" w:hAnsi="Arial" w:cs="Arial"/>
              </w:rPr>
              <w:t>MV (Gd-DTPA) n = 247</w:t>
            </w:r>
          </w:p>
        </w:tc>
        <w:tc>
          <w:tcPr>
            <w:tcW w:w="1355" w:type="pct"/>
            <w:shd w:val="clear" w:color="auto" w:fill="auto"/>
          </w:tcPr>
          <w:p w14:paraId="083FCF5A" w14:textId="77777777" w:rsidR="00F5452D" w:rsidRPr="007D73EF" w:rsidRDefault="00F5452D" w:rsidP="00F20568">
            <w:pPr>
              <w:spacing w:line="300" w:lineRule="exact"/>
              <w:ind w:right="-35"/>
              <w:jc w:val="center"/>
              <w:rPr>
                <w:rFonts w:ascii="Arial" w:hAnsi="Arial" w:cs="Arial"/>
              </w:rPr>
            </w:pPr>
          </w:p>
          <w:p w14:paraId="13026559"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-0.039</w:t>
            </w:r>
          </w:p>
          <w:p w14:paraId="5DF6BCE7"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95%CI [-0.098, 0.021]</w:t>
            </w:r>
          </w:p>
        </w:tc>
        <w:tc>
          <w:tcPr>
            <w:tcW w:w="1811" w:type="pct"/>
            <w:shd w:val="clear" w:color="auto" w:fill="auto"/>
          </w:tcPr>
          <w:p w14:paraId="5DB9E540" w14:textId="77777777" w:rsidR="00F5452D" w:rsidRPr="007D73EF" w:rsidRDefault="00F5452D" w:rsidP="00F20568">
            <w:pPr>
              <w:spacing w:line="300" w:lineRule="exact"/>
              <w:ind w:right="-35"/>
              <w:jc w:val="center"/>
              <w:rPr>
                <w:rFonts w:ascii="Arial" w:hAnsi="Arial" w:cs="Arial"/>
              </w:rPr>
            </w:pPr>
          </w:p>
          <w:p w14:paraId="3F9CA157"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-0.001</w:t>
            </w:r>
          </w:p>
          <w:p w14:paraId="76E65F51"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95% CI [-0.068,  0.065]</w:t>
            </w:r>
          </w:p>
        </w:tc>
      </w:tr>
      <w:tr w:rsidR="004A7CD6" w:rsidRPr="007D73EF" w14:paraId="56EED131" w14:textId="77777777" w:rsidTr="00771E28">
        <w:trPr>
          <w:trHeight w:val="1508"/>
        </w:trPr>
        <w:tc>
          <w:tcPr>
            <w:tcW w:w="1834" w:type="pct"/>
            <w:shd w:val="clear" w:color="auto" w:fill="auto"/>
          </w:tcPr>
          <w:p w14:paraId="7ED83C18" w14:textId="77777777" w:rsidR="004A7CD6" w:rsidRPr="007D73EF" w:rsidRDefault="00F7372A" w:rsidP="00F20568">
            <w:pPr>
              <w:spacing w:line="300" w:lineRule="exact"/>
              <w:ind w:right="-35"/>
              <w:rPr>
                <w:rFonts w:ascii="Arial" w:hAnsi="Arial" w:cs="Arial"/>
              </w:rPr>
            </w:pPr>
            <w:r w:rsidRPr="007D73EF">
              <w:rPr>
                <w:rFonts w:ascii="Arial" w:hAnsi="Arial" w:cs="Arial"/>
              </w:rPr>
              <w:t xml:space="preserve">Study 304561 Kidney  </w:t>
            </w:r>
          </w:p>
          <w:p w14:paraId="48865ABB" w14:textId="77777777" w:rsidR="004A7CD6" w:rsidRPr="007D73EF" w:rsidRDefault="00F7372A" w:rsidP="00F20568">
            <w:pPr>
              <w:spacing w:line="300" w:lineRule="exact"/>
              <w:ind w:right="-35"/>
              <w:rPr>
                <w:rFonts w:ascii="Arial" w:hAnsi="Arial" w:cs="Arial"/>
              </w:rPr>
            </w:pPr>
            <w:r w:rsidRPr="007D73EF">
              <w:rPr>
                <w:rFonts w:ascii="Arial" w:hAnsi="Arial" w:cs="Arial"/>
              </w:rPr>
              <w:t>N = 626 lesions</w:t>
            </w:r>
          </w:p>
          <w:p w14:paraId="65539511" w14:textId="77777777" w:rsidR="002E049F" w:rsidRPr="007D73EF" w:rsidRDefault="00F7372A" w:rsidP="00F20568">
            <w:pPr>
              <w:spacing w:line="300" w:lineRule="exact"/>
              <w:ind w:right="-35"/>
              <w:rPr>
                <w:rFonts w:ascii="Arial" w:hAnsi="Arial" w:cs="Arial"/>
              </w:rPr>
            </w:pPr>
            <w:r w:rsidRPr="007D73EF">
              <w:rPr>
                <w:rFonts w:ascii="Arial" w:hAnsi="Arial" w:cs="Arial"/>
              </w:rPr>
              <w:t>GV (gadobutrol) n = 308</w:t>
            </w:r>
          </w:p>
          <w:p w14:paraId="528AA4E9" w14:textId="77777777" w:rsidR="002211FF" w:rsidRPr="007D73EF" w:rsidRDefault="00F7372A" w:rsidP="00F20568">
            <w:pPr>
              <w:spacing w:line="300" w:lineRule="exact"/>
              <w:ind w:right="-35"/>
              <w:rPr>
                <w:rFonts w:ascii="Arial" w:hAnsi="Arial" w:cs="Arial"/>
              </w:rPr>
            </w:pPr>
            <w:r w:rsidRPr="007D73EF">
              <w:rPr>
                <w:rFonts w:ascii="Arial" w:hAnsi="Arial" w:cs="Arial"/>
              </w:rPr>
              <w:t>MV (Gd-DTPA) n = 318</w:t>
            </w:r>
          </w:p>
        </w:tc>
        <w:tc>
          <w:tcPr>
            <w:tcW w:w="1355" w:type="pct"/>
            <w:shd w:val="clear" w:color="auto" w:fill="auto"/>
          </w:tcPr>
          <w:p w14:paraId="2BE56287"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-0.079</w:t>
            </w:r>
          </w:p>
          <w:p w14:paraId="1A018D64"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95%CI [-0.149, -0.009]</w:t>
            </w:r>
          </w:p>
        </w:tc>
        <w:tc>
          <w:tcPr>
            <w:tcW w:w="1811" w:type="pct"/>
            <w:shd w:val="clear" w:color="auto" w:fill="auto"/>
          </w:tcPr>
          <w:p w14:paraId="4899FF95" w14:textId="77777777" w:rsidR="004A7CD6" w:rsidRPr="007D73EF" w:rsidRDefault="004A7CD6" w:rsidP="00F20568">
            <w:pPr>
              <w:spacing w:line="300" w:lineRule="exact"/>
              <w:ind w:right="-35"/>
              <w:jc w:val="center"/>
              <w:rPr>
                <w:rFonts w:ascii="Arial" w:hAnsi="Arial" w:cs="Arial"/>
              </w:rPr>
            </w:pPr>
          </w:p>
        </w:tc>
      </w:tr>
      <w:tr w:rsidR="00DE19AC" w:rsidRPr="007D73EF" w14:paraId="434BB1D2" w14:textId="77777777" w:rsidTr="00771E28">
        <w:trPr>
          <w:trHeight w:val="594"/>
        </w:trPr>
        <w:tc>
          <w:tcPr>
            <w:tcW w:w="1834" w:type="pct"/>
            <w:shd w:val="clear" w:color="auto" w:fill="auto"/>
          </w:tcPr>
          <w:p w14:paraId="22DC2B61" w14:textId="77777777" w:rsidR="00DE19AC" w:rsidRPr="007D73EF" w:rsidRDefault="00F7372A" w:rsidP="00F20568">
            <w:pPr>
              <w:spacing w:line="300" w:lineRule="exact"/>
              <w:ind w:right="-35"/>
              <w:rPr>
                <w:rFonts w:ascii="Arial" w:hAnsi="Arial" w:cs="Arial"/>
              </w:rPr>
            </w:pPr>
            <w:r w:rsidRPr="007D73EF">
              <w:rPr>
                <w:rFonts w:ascii="Arial" w:hAnsi="Arial" w:cs="Arial"/>
              </w:rPr>
              <w:t xml:space="preserve">Data from </w:t>
            </w:r>
            <w:r w:rsidRPr="007D73EF">
              <w:rPr>
                <w:rFonts w:ascii="Arial" w:hAnsi="Arial" w:cs="Arial"/>
                <w:b/>
              </w:rPr>
              <w:t>Blinded Readings</w:t>
            </w:r>
          </w:p>
        </w:tc>
        <w:tc>
          <w:tcPr>
            <w:tcW w:w="1355" w:type="pct"/>
            <w:shd w:val="clear" w:color="auto" w:fill="auto"/>
          </w:tcPr>
          <w:p w14:paraId="7378F543" w14:textId="77777777" w:rsidR="00DE19AC" w:rsidRPr="007D73EF" w:rsidRDefault="00DE19AC" w:rsidP="00F20568">
            <w:pPr>
              <w:spacing w:line="300" w:lineRule="exact"/>
              <w:ind w:right="-35"/>
              <w:jc w:val="center"/>
              <w:rPr>
                <w:rFonts w:ascii="Arial" w:hAnsi="Arial" w:cs="Arial"/>
              </w:rPr>
            </w:pPr>
          </w:p>
          <w:p w14:paraId="0266010E" w14:textId="77777777" w:rsidR="00DE19AC" w:rsidRPr="007D73EF" w:rsidRDefault="00DE19AC" w:rsidP="00F20568">
            <w:pPr>
              <w:spacing w:line="300" w:lineRule="exact"/>
              <w:ind w:right="-35"/>
              <w:jc w:val="center"/>
              <w:rPr>
                <w:rFonts w:ascii="Arial" w:hAnsi="Arial" w:cs="Arial"/>
              </w:rPr>
            </w:pPr>
          </w:p>
        </w:tc>
        <w:tc>
          <w:tcPr>
            <w:tcW w:w="1811" w:type="pct"/>
            <w:shd w:val="clear" w:color="auto" w:fill="auto"/>
          </w:tcPr>
          <w:p w14:paraId="1E43375A" w14:textId="77777777" w:rsidR="00DE19AC" w:rsidRPr="007D73EF" w:rsidRDefault="00DE19AC" w:rsidP="00F20568">
            <w:pPr>
              <w:spacing w:line="300" w:lineRule="exact"/>
              <w:ind w:right="-35"/>
              <w:jc w:val="center"/>
              <w:rPr>
                <w:rFonts w:ascii="Arial" w:hAnsi="Arial" w:cs="Arial"/>
              </w:rPr>
            </w:pPr>
          </w:p>
          <w:p w14:paraId="13AF3332" w14:textId="77777777" w:rsidR="00DE19AC" w:rsidRPr="007D73EF" w:rsidRDefault="00DE19AC" w:rsidP="00F20568">
            <w:pPr>
              <w:spacing w:line="300" w:lineRule="exact"/>
              <w:ind w:right="-35"/>
              <w:jc w:val="center"/>
              <w:rPr>
                <w:rFonts w:ascii="Arial" w:hAnsi="Arial" w:cs="Arial"/>
              </w:rPr>
            </w:pPr>
          </w:p>
        </w:tc>
      </w:tr>
      <w:tr w:rsidR="004A7CD6" w:rsidRPr="007D73EF" w14:paraId="37F754D3" w14:textId="77777777" w:rsidTr="00771E28">
        <w:trPr>
          <w:trHeight w:val="1203"/>
        </w:trPr>
        <w:tc>
          <w:tcPr>
            <w:tcW w:w="1834" w:type="pct"/>
            <w:shd w:val="clear" w:color="auto" w:fill="auto"/>
          </w:tcPr>
          <w:p w14:paraId="49F1A905" w14:textId="77777777" w:rsidR="002211FF" w:rsidRPr="007D73EF" w:rsidRDefault="00F7372A" w:rsidP="00F20568">
            <w:pPr>
              <w:spacing w:line="300" w:lineRule="exact"/>
              <w:ind w:right="-35"/>
              <w:rPr>
                <w:rFonts w:ascii="Arial" w:hAnsi="Arial" w:cs="Arial"/>
              </w:rPr>
            </w:pPr>
            <w:r w:rsidRPr="007D73EF">
              <w:rPr>
                <w:rFonts w:ascii="Arial" w:hAnsi="Arial" w:cs="Arial"/>
              </w:rPr>
              <w:t>Study 304562 Liver</w:t>
            </w:r>
          </w:p>
          <w:p w14:paraId="56EDF597" w14:textId="77777777" w:rsidR="004A7CD6" w:rsidRPr="007D73EF" w:rsidRDefault="00F7372A" w:rsidP="00F20568">
            <w:pPr>
              <w:spacing w:line="300" w:lineRule="exact"/>
              <w:ind w:right="-35"/>
              <w:rPr>
                <w:rFonts w:ascii="Arial" w:hAnsi="Arial" w:cs="Arial"/>
              </w:rPr>
            </w:pPr>
            <w:r w:rsidRPr="007D73EF">
              <w:rPr>
                <w:rFonts w:ascii="Arial" w:hAnsi="Arial" w:cs="Arial"/>
              </w:rPr>
              <w:t>n= 497 patients</w:t>
            </w:r>
          </w:p>
          <w:p w14:paraId="01F3745B" w14:textId="77777777" w:rsidR="002211FF" w:rsidRPr="007D73EF" w:rsidRDefault="00F7372A" w:rsidP="00F20568">
            <w:pPr>
              <w:spacing w:line="300" w:lineRule="exact"/>
              <w:ind w:right="-35"/>
              <w:rPr>
                <w:rFonts w:ascii="Arial" w:hAnsi="Arial" w:cs="Arial"/>
              </w:rPr>
            </w:pPr>
            <w:r w:rsidRPr="007D73EF">
              <w:rPr>
                <w:rFonts w:ascii="Arial" w:hAnsi="Arial" w:cs="Arial"/>
              </w:rPr>
              <w:t>Majority blinded read</w:t>
            </w:r>
          </w:p>
        </w:tc>
        <w:tc>
          <w:tcPr>
            <w:tcW w:w="1355" w:type="pct"/>
            <w:shd w:val="clear" w:color="auto" w:fill="auto"/>
          </w:tcPr>
          <w:p w14:paraId="73C37A02" w14:textId="77777777" w:rsidR="00F5452D" w:rsidRPr="007D73EF" w:rsidRDefault="00F5452D" w:rsidP="00F20568">
            <w:pPr>
              <w:spacing w:line="300" w:lineRule="exact"/>
              <w:ind w:right="-35"/>
              <w:jc w:val="center"/>
              <w:rPr>
                <w:rFonts w:ascii="Arial" w:hAnsi="Arial" w:cs="Arial"/>
              </w:rPr>
            </w:pPr>
          </w:p>
          <w:p w14:paraId="2D2C8C5A"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-0.041</w:t>
            </w:r>
          </w:p>
          <w:p w14:paraId="21111936"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95%CI [-0.096, 0.014]</w:t>
            </w:r>
          </w:p>
        </w:tc>
        <w:tc>
          <w:tcPr>
            <w:tcW w:w="1811" w:type="pct"/>
            <w:shd w:val="clear" w:color="auto" w:fill="auto"/>
          </w:tcPr>
          <w:p w14:paraId="2800EF28" w14:textId="77777777" w:rsidR="00F5452D" w:rsidRPr="007D73EF" w:rsidRDefault="00F5452D" w:rsidP="00F20568">
            <w:pPr>
              <w:spacing w:line="300" w:lineRule="exact"/>
              <w:ind w:right="-35"/>
              <w:jc w:val="center"/>
              <w:rPr>
                <w:rFonts w:ascii="Arial" w:hAnsi="Arial" w:cs="Arial"/>
              </w:rPr>
            </w:pPr>
          </w:p>
          <w:p w14:paraId="46E39065"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0.006</w:t>
            </w:r>
          </w:p>
          <w:p w14:paraId="23275BBE"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95%CI [-0.056,  0.067]</w:t>
            </w:r>
          </w:p>
        </w:tc>
      </w:tr>
      <w:tr w:rsidR="004A7CD6" w:rsidRPr="007D73EF" w14:paraId="4AFD6336" w14:textId="77777777" w:rsidTr="00771E28">
        <w:trPr>
          <w:trHeight w:val="1187"/>
        </w:trPr>
        <w:tc>
          <w:tcPr>
            <w:tcW w:w="1834" w:type="pct"/>
            <w:shd w:val="clear" w:color="auto" w:fill="auto"/>
          </w:tcPr>
          <w:p w14:paraId="267E0376" w14:textId="77777777" w:rsidR="004A7CD6" w:rsidRPr="007D73EF" w:rsidRDefault="00F7372A" w:rsidP="00F20568">
            <w:pPr>
              <w:spacing w:line="300" w:lineRule="exact"/>
              <w:ind w:right="-35"/>
              <w:rPr>
                <w:rFonts w:ascii="Arial" w:hAnsi="Arial" w:cs="Arial"/>
              </w:rPr>
            </w:pPr>
            <w:r w:rsidRPr="007D73EF">
              <w:rPr>
                <w:rFonts w:ascii="Arial" w:hAnsi="Arial" w:cs="Arial"/>
              </w:rPr>
              <w:t xml:space="preserve">Study 304561 Kidney </w:t>
            </w:r>
          </w:p>
          <w:p w14:paraId="4B57936B" w14:textId="77777777" w:rsidR="004A7CD6" w:rsidRPr="007D73EF" w:rsidRDefault="00F7372A" w:rsidP="00F20568">
            <w:pPr>
              <w:spacing w:line="300" w:lineRule="exact"/>
              <w:ind w:right="-35"/>
              <w:rPr>
                <w:rFonts w:ascii="Arial" w:hAnsi="Arial" w:cs="Arial"/>
              </w:rPr>
            </w:pPr>
            <w:r w:rsidRPr="007D73EF">
              <w:rPr>
                <w:rFonts w:ascii="Arial" w:hAnsi="Arial" w:cs="Arial"/>
              </w:rPr>
              <w:t xml:space="preserve">n=626 lesions. </w:t>
            </w:r>
          </w:p>
          <w:p w14:paraId="79BF49A2" w14:textId="77777777" w:rsidR="007C2EE7" w:rsidRPr="007D73EF" w:rsidRDefault="00F7372A" w:rsidP="00F20568">
            <w:pPr>
              <w:spacing w:line="300" w:lineRule="exact"/>
              <w:ind w:right="-35"/>
              <w:rPr>
                <w:rFonts w:ascii="Arial" w:hAnsi="Arial" w:cs="Arial"/>
              </w:rPr>
            </w:pPr>
            <w:r w:rsidRPr="007D73EF">
              <w:rPr>
                <w:rFonts w:ascii="Arial" w:hAnsi="Arial" w:cs="Arial"/>
              </w:rPr>
              <w:t>Average blinded read</w:t>
            </w:r>
          </w:p>
        </w:tc>
        <w:tc>
          <w:tcPr>
            <w:tcW w:w="1355" w:type="pct"/>
            <w:shd w:val="clear" w:color="auto" w:fill="auto"/>
          </w:tcPr>
          <w:p w14:paraId="3A78BCEB" w14:textId="77777777" w:rsidR="00F5452D" w:rsidRPr="007D73EF" w:rsidRDefault="00F5452D" w:rsidP="00F20568">
            <w:pPr>
              <w:spacing w:line="300" w:lineRule="exact"/>
              <w:ind w:right="-35"/>
              <w:jc w:val="center"/>
              <w:rPr>
                <w:rFonts w:ascii="Arial" w:hAnsi="Arial" w:cs="Arial"/>
              </w:rPr>
            </w:pPr>
          </w:p>
          <w:p w14:paraId="44F460F5"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-0.037</w:t>
            </w:r>
          </w:p>
          <w:p w14:paraId="6E386BD2"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95%CI [-0.094, 0.021]</w:t>
            </w:r>
          </w:p>
        </w:tc>
        <w:tc>
          <w:tcPr>
            <w:tcW w:w="1811" w:type="pct"/>
            <w:shd w:val="clear" w:color="auto" w:fill="auto"/>
          </w:tcPr>
          <w:p w14:paraId="058D48CF" w14:textId="77777777" w:rsidR="00F5452D" w:rsidRPr="007D73EF" w:rsidRDefault="00F5452D" w:rsidP="00F20568">
            <w:pPr>
              <w:spacing w:line="300" w:lineRule="exact"/>
              <w:ind w:right="-35"/>
              <w:jc w:val="center"/>
              <w:rPr>
                <w:rFonts w:ascii="Arial" w:hAnsi="Arial" w:cs="Arial"/>
              </w:rPr>
            </w:pPr>
          </w:p>
          <w:p w14:paraId="182EE7DF"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0.011</w:t>
            </w:r>
          </w:p>
          <w:p w14:paraId="5A82121A"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95%CI [-0.038, 0.060]</w:t>
            </w:r>
          </w:p>
        </w:tc>
      </w:tr>
    </w:tbl>
    <w:p w14:paraId="75D3DA71" w14:textId="77777777" w:rsidR="00B804D6" w:rsidRPr="007D73EF" w:rsidRDefault="007D47A2" w:rsidP="00F20568">
      <w:pPr>
        <w:spacing w:before="120" w:after="120" w:line="300" w:lineRule="atLeast"/>
        <w:ind w:right="-29"/>
        <w:rPr>
          <w:rFonts w:ascii="Arial" w:hAnsi="Arial" w:cs="Arial"/>
          <w:sz w:val="22"/>
          <w:szCs w:val="22"/>
        </w:rPr>
      </w:pPr>
      <w:r w:rsidRPr="007D73EF">
        <w:rPr>
          <w:rFonts w:ascii="Arial" w:hAnsi="Arial" w:cs="Arial"/>
          <w:sz w:val="22"/>
          <w:szCs w:val="22"/>
          <w:vertAlign w:val="superscript"/>
        </w:rPr>
        <w:t>1</w:t>
      </w:r>
      <w:r w:rsidR="00F7372A" w:rsidRPr="007D73EF">
        <w:rPr>
          <w:rFonts w:ascii="Arial" w:hAnsi="Arial" w:cs="Arial"/>
          <w:sz w:val="22"/>
          <w:szCs w:val="22"/>
        </w:rPr>
        <w:t xml:space="preserve"> </w:t>
      </w:r>
      <w:r w:rsidR="00617209" w:rsidRPr="007D73EF">
        <w:rPr>
          <w:rFonts w:ascii="Arial" w:hAnsi="Arial" w:cs="Arial"/>
          <w:sz w:val="22"/>
          <w:szCs w:val="22"/>
        </w:rPr>
        <w:t>N</w:t>
      </w:r>
      <w:r w:rsidR="00F7372A" w:rsidRPr="007D73EF">
        <w:rPr>
          <w:rFonts w:ascii="Arial" w:hAnsi="Arial" w:cs="Arial"/>
          <w:sz w:val="22"/>
          <w:szCs w:val="22"/>
        </w:rPr>
        <w:t>on-inferiority was proven for Study 304561 Kidney</w:t>
      </w:r>
    </w:p>
    <w:p w14:paraId="5070B5D1" w14:textId="77777777" w:rsidR="007D73EF" w:rsidRDefault="007D73EF" w:rsidP="00FF0984">
      <w:pPr>
        <w:spacing w:before="120" w:after="120" w:line="300" w:lineRule="atLeast"/>
        <w:ind w:right="-35"/>
        <w:jc w:val="both"/>
        <w:rPr>
          <w:rFonts w:ascii="Arial" w:hAnsi="Arial" w:cs="Arial"/>
          <w:noProof/>
          <w:sz w:val="22"/>
          <w:szCs w:val="22"/>
          <w:u w:val="single"/>
          <w:lang w:val="en-GB" w:eastAsia="en-US"/>
        </w:rPr>
      </w:pPr>
    </w:p>
    <w:p w14:paraId="5B701A5C" w14:textId="02AA21B4" w:rsidR="00FF0984" w:rsidRPr="007D73EF" w:rsidRDefault="009852C3" w:rsidP="00FF0984">
      <w:pPr>
        <w:spacing w:before="120" w:after="120" w:line="300" w:lineRule="atLeast"/>
        <w:ind w:right="-35"/>
        <w:jc w:val="both"/>
        <w:rPr>
          <w:rFonts w:ascii="Arial" w:hAnsi="Arial" w:cs="Arial"/>
          <w:noProof/>
          <w:sz w:val="22"/>
          <w:szCs w:val="22"/>
          <w:u w:val="single"/>
          <w:lang w:val="en-GB" w:eastAsia="en-US"/>
        </w:rPr>
      </w:pPr>
      <w:r w:rsidRPr="007D73EF">
        <w:rPr>
          <w:rFonts w:ascii="Arial" w:hAnsi="Arial" w:cs="Arial"/>
          <w:noProof/>
          <w:sz w:val="22"/>
          <w:szCs w:val="22"/>
          <w:u w:val="single"/>
          <w:lang w:val="en-GB" w:eastAsia="en-US"/>
        </w:rPr>
        <w:t>CE-MRI of the b</w:t>
      </w:r>
      <w:r w:rsidR="00FF0984" w:rsidRPr="007D73EF">
        <w:rPr>
          <w:rFonts w:ascii="Arial" w:hAnsi="Arial" w:cs="Arial"/>
          <w:noProof/>
          <w:sz w:val="22"/>
          <w:szCs w:val="22"/>
          <w:u w:val="single"/>
          <w:lang w:val="en-GB" w:eastAsia="en-US"/>
        </w:rPr>
        <w:t>reast</w:t>
      </w:r>
      <w:r w:rsidR="00893938" w:rsidRPr="008B6785">
        <w:rPr>
          <w:rFonts w:ascii="Arial" w:hAnsi="Arial" w:cs="Arial"/>
          <w:noProof/>
          <w:sz w:val="22"/>
          <w:szCs w:val="22"/>
          <w:vertAlign w:val="superscript"/>
          <w:lang w:val="en-GB" w:eastAsia="en-US"/>
        </w:rPr>
        <w:t>#</w:t>
      </w:r>
    </w:p>
    <w:p w14:paraId="76B01841" w14:textId="745DE03F" w:rsidR="00315686" w:rsidRPr="007D73EF" w:rsidRDefault="001514CB" w:rsidP="00315686">
      <w:pPr>
        <w:pStyle w:val="Para0s"/>
        <w:spacing w:before="120" w:after="120" w:line="300" w:lineRule="atLeast"/>
        <w:ind w:right="-29"/>
        <w:jc w:val="both"/>
        <w:rPr>
          <w:rFonts w:ascii="Arial" w:hAnsi="Arial" w:cs="Arial"/>
          <w:szCs w:val="22"/>
        </w:rPr>
      </w:pPr>
      <w:r w:rsidRPr="007D73EF">
        <w:rPr>
          <w:rFonts w:ascii="Arial" w:hAnsi="Arial" w:cs="Arial"/>
          <w:szCs w:val="22"/>
          <w:lang w:val="en-GB"/>
        </w:rPr>
        <w:t>P</w:t>
      </w:r>
      <w:r w:rsidRPr="007D73EF">
        <w:rPr>
          <w:rFonts w:ascii="Arial" w:hAnsi="Arial" w:cs="Arial"/>
          <w:szCs w:val="22"/>
        </w:rPr>
        <w:t>atients with recently diagnosed breast cancer were enrolled</w:t>
      </w:r>
      <w:r w:rsidRPr="007D73EF">
        <w:rPr>
          <w:rFonts w:ascii="Arial" w:hAnsi="Arial" w:cs="Arial"/>
          <w:szCs w:val="22"/>
          <w:lang w:val="en-GB"/>
        </w:rPr>
        <w:t xml:space="preserve"> i</w:t>
      </w:r>
      <w:r w:rsidR="002336F5" w:rsidRPr="007D73EF">
        <w:rPr>
          <w:rFonts w:ascii="Arial" w:hAnsi="Arial" w:cs="Arial"/>
          <w:szCs w:val="22"/>
          <w:lang w:val="en-GB"/>
        </w:rPr>
        <w:t>n t</w:t>
      </w:r>
      <w:r w:rsidR="00315686" w:rsidRPr="007D73EF">
        <w:rPr>
          <w:rFonts w:ascii="Arial" w:hAnsi="Arial" w:cs="Arial"/>
          <w:szCs w:val="22"/>
        </w:rPr>
        <w:t>wo</w:t>
      </w:r>
      <w:r w:rsidR="002336F5" w:rsidRPr="007D73EF">
        <w:rPr>
          <w:rFonts w:ascii="Arial" w:hAnsi="Arial" w:cs="Arial"/>
          <w:szCs w:val="22"/>
        </w:rPr>
        <w:t xml:space="preserve"> </w:t>
      </w:r>
      <w:r w:rsidR="00315686" w:rsidRPr="007D73EF">
        <w:rPr>
          <w:rFonts w:ascii="Arial" w:hAnsi="Arial" w:cs="Arial"/>
          <w:szCs w:val="22"/>
        </w:rPr>
        <w:t xml:space="preserve">clinical trials </w:t>
      </w:r>
      <w:r w:rsidR="002336F5" w:rsidRPr="007D73EF">
        <w:rPr>
          <w:rFonts w:ascii="Arial" w:hAnsi="Arial" w:cs="Arial"/>
          <w:szCs w:val="22"/>
        </w:rPr>
        <w:t xml:space="preserve">designed </w:t>
      </w:r>
      <w:r w:rsidR="00315686" w:rsidRPr="007D73EF">
        <w:rPr>
          <w:rFonts w:ascii="Arial" w:hAnsi="Arial" w:cs="Arial"/>
          <w:szCs w:val="22"/>
        </w:rPr>
        <w:t>to evaluate the efficacy of Gadovist</w:t>
      </w:r>
      <w:r w:rsidR="00CC6A20" w:rsidRPr="00893938">
        <w:rPr>
          <w:rFonts w:ascii="Arial" w:hAnsi="Arial" w:cs="Arial"/>
          <w:szCs w:val="22"/>
        </w:rPr>
        <w:t xml:space="preserve"> </w:t>
      </w:r>
      <w:r w:rsidR="00315686" w:rsidRPr="007D73EF">
        <w:rPr>
          <w:rFonts w:ascii="Arial" w:hAnsi="Arial" w:cs="Arial"/>
          <w:szCs w:val="22"/>
        </w:rPr>
        <w:t>for the assessment of malignant breast disease prior to surgery. Patients underwent pre-contrast breast MRI prior to administration of Gadovist</w:t>
      </w:r>
      <w:r w:rsidR="00CC6A20" w:rsidRPr="007D73EF">
        <w:rPr>
          <w:rFonts w:ascii="Arial" w:hAnsi="Arial" w:cs="Arial"/>
          <w:szCs w:val="22"/>
        </w:rPr>
        <w:t xml:space="preserve"> </w:t>
      </w:r>
      <w:r w:rsidR="00315686" w:rsidRPr="007D73EF">
        <w:rPr>
          <w:rFonts w:ascii="Arial" w:hAnsi="Arial" w:cs="Arial"/>
          <w:szCs w:val="22"/>
        </w:rPr>
        <w:t>at a dose of 0.1 mmol/kg,</w:t>
      </w:r>
      <w:r w:rsidR="002336F5" w:rsidRPr="007D73EF">
        <w:rPr>
          <w:rFonts w:ascii="Arial" w:hAnsi="Arial" w:cs="Arial"/>
          <w:szCs w:val="22"/>
        </w:rPr>
        <w:t xml:space="preserve"> </w:t>
      </w:r>
      <w:r w:rsidR="00315686" w:rsidRPr="007D73EF">
        <w:rPr>
          <w:rFonts w:ascii="Arial" w:hAnsi="Arial" w:cs="Arial"/>
          <w:szCs w:val="22"/>
        </w:rPr>
        <w:t xml:space="preserve">followed by post-contrast breast MRI. For </w:t>
      </w:r>
      <w:r w:rsidRPr="007D73EF">
        <w:rPr>
          <w:rFonts w:ascii="Arial" w:hAnsi="Arial" w:cs="Arial"/>
          <w:szCs w:val="22"/>
        </w:rPr>
        <w:t>both studies</w:t>
      </w:r>
      <w:r w:rsidR="00315686" w:rsidRPr="007D73EF">
        <w:rPr>
          <w:rFonts w:ascii="Arial" w:hAnsi="Arial" w:cs="Arial"/>
          <w:szCs w:val="22"/>
        </w:rPr>
        <w:t xml:space="preserve">, pre-contrast (UMRM) and pre-plus-post contrast breast images </w:t>
      </w:r>
      <w:r w:rsidR="00315686" w:rsidRPr="007D73EF">
        <w:rPr>
          <w:rFonts w:ascii="Arial" w:hAnsi="Arial" w:cs="Arial"/>
          <w:szCs w:val="22"/>
        </w:rPr>
        <w:lastRenderedPageBreak/>
        <w:t>(CMRM) were independently evaluated by three readers</w:t>
      </w:r>
      <w:r w:rsidRPr="007D73EF">
        <w:rPr>
          <w:rFonts w:ascii="Arial" w:hAnsi="Arial" w:cs="Arial"/>
          <w:szCs w:val="22"/>
        </w:rPr>
        <w:t xml:space="preserve"> for the presence or absence of malignancy</w:t>
      </w:r>
      <w:r w:rsidR="00315686" w:rsidRPr="007D73EF">
        <w:rPr>
          <w:rFonts w:ascii="Arial" w:hAnsi="Arial" w:cs="Arial"/>
          <w:szCs w:val="22"/>
        </w:rPr>
        <w:t>. The standard of truth (SoT) consisted of histopathologically confirmed malignant disease or alternatively X-ray mammography (XRM) plus ultrasound for non-malignant disease.</w:t>
      </w:r>
    </w:p>
    <w:p w14:paraId="5C9F77D6" w14:textId="77777777" w:rsidR="00315686" w:rsidRPr="007D73EF" w:rsidRDefault="00315686" w:rsidP="00315686">
      <w:pPr>
        <w:pStyle w:val="Para0s"/>
        <w:spacing w:before="120" w:after="120" w:line="300" w:lineRule="atLeast"/>
        <w:ind w:right="-29"/>
        <w:jc w:val="both"/>
        <w:rPr>
          <w:rFonts w:ascii="Arial" w:hAnsi="Arial" w:cs="Arial"/>
          <w:szCs w:val="22"/>
        </w:rPr>
      </w:pPr>
      <w:r w:rsidRPr="007D73EF">
        <w:rPr>
          <w:rFonts w:ascii="Arial" w:hAnsi="Arial" w:cs="Arial"/>
          <w:szCs w:val="22"/>
        </w:rPr>
        <w:t xml:space="preserve">For each study, the co-primary endpoints were the demonstration of superior sensitivity for the detection of malignancy on a subject level of CMRM image sets compared to UMRM image sets and demonstration of the correct exclusion of malignancy (specificity) based on disease free breasts of greater than 80% by CMRM for the same 2 of 3 independent readers. </w:t>
      </w:r>
    </w:p>
    <w:p w14:paraId="6CC54141" w14:textId="77777777" w:rsidR="001514CB" w:rsidRPr="007D73EF" w:rsidRDefault="001514CB" w:rsidP="001514CB">
      <w:pPr>
        <w:pStyle w:val="Para0s"/>
        <w:spacing w:before="120" w:after="120" w:line="300" w:lineRule="atLeast"/>
        <w:ind w:right="-29"/>
        <w:jc w:val="both"/>
        <w:rPr>
          <w:rFonts w:ascii="Arial" w:hAnsi="Arial" w:cs="Arial"/>
          <w:szCs w:val="22"/>
        </w:rPr>
      </w:pPr>
      <w:r w:rsidRPr="007D73EF">
        <w:rPr>
          <w:rFonts w:ascii="Arial" w:hAnsi="Arial" w:cs="Arial"/>
          <w:szCs w:val="22"/>
        </w:rPr>
        <w:t>The two identical clinical trials, GEMMA-1 and GEMMA-2, evaluated a total of 787 subjects. Efficacy results presented for GEMMA-1 are based upon post-hoc analyses of the original clinical data. In GEMMA-1, 390 subjects were assessed, all were female and the average age was 55.7 years. For GEMMA-2, 397 subjects were assessed, 396 were female, 1 was male and the average age was 57.1 years.</w:t>
      </w:r>
    </w:p>
    <w:p w14:paraId="666545C2" w14:textId="5EF6AE48" w:rsidR="00315686" w:rsidRPr="007D73EF" w:rsidRDefault="00315686" w:rsidP="001514CB">
      <w:pPr>
        <w:pStyle w:val="Para0s"/>
        <w:spacing w:before="120" w:after="120" w:line="300" w:lineRule="atLeast"/>
        <w:ind w:right="-29"/>
        <w:jc w:val="both"/>
        <w:rPr>
          <w:rFonts w:ascii="Arial" w:hAnsi="Arial" w:cs="Arial"/>
          <w:szCs w:val="22"/>
        </w:rPr>
      </w:pPr>
      <w:r w:rsidRPr="007D73EF">
        <w:rPr>
          <w:rFonts w:ascii="Arial" w:hAnsi="Arial" w:cs="Arial"/>
          <w:szCs w:val="22"/>
        </w:rPr>
        <w:t>In both trials, Gadovist</w:t>
      </w:r>
      <w:r w:rsidR="001514CB" w:rsidRPr="007D73EF">
        <w:rPr>
          <w:rFonts w:ascii="Arial" w:hAnsi="Arial" w:cs="Arial"/>
          <w:szCs w:val="22"/>
        </w:rPr>
        <w:t>-</w:t>
      </w:r>
      <w:r w:rsidRPr="007D73EF">
        <w:rPr>
          <w:rFonts w:ascii="Arial" w:hAnsi="Arial" w:cs="Arial"/>
          <w:szCs w:val="22"/>
        </w:rPr>
        <w:t xml:space="preserve">enhanced breast MRI demonstrated superior detection of malignancy compared to unenhanced MRI. The addition of XRM to the CMRM did not substantially improve the detection of malignancy by CMRM (Table </w:t>
      </w:r>
      <w:r w:rsidR="002336F5" w:rsidRPr="007D73EF">
        <w:rPr>
          <w:rFonts w:ascii="Arial" w:hAnsi="Arial" w:cs="Arial"/>
          <w:szCs w:val="22"/>
        </w:rPr>
        <w:t>3</w:t>
      </w:r>
      <w:r w:rsidRPr="007D73EF">
        <w:rPr>
          <w:rFonts w:ascii="Arial" w:hAnsi="Arial" w:cs="Arial"/>
          <w:szCs w:val="22"/>
        </w:rPr>
        <w:t>).</w:t>
      </w:r>
    </w:p>
    <w:p w14:paraId="56321A16" w14:textId="79F6C591" w:rsidR="00315686" w:rsidRPr="007D73EF" w:rsidRDefault="001514CB" w:rsidP="001514CB">
      <w:pPr>
        <w:pStyle w:val="Para0s"/>
        <w:spacing w:before="120" w:after="120" w:line="300" w:lineRule="atLeast"/>
        <w:ind w:right="-29"/>
        <w:jc w:val="both"/>
        <w:rPr>
          <w:rFonts w:ascii="Arial" w:hAnsi="Arial" w:cs="Arial"/>
          <w:szCs w:val="22"/>
        </w:rPr>
      </w:pPr>
      <w:r w:rsidRPr="007D73EF">
        <w:rPr>
          <w:rFonts w:ascii="Arial" w:hAnsi="Arial" w:cs="Arial"/>
          <w:szCs w:val="22"/>
        </w:rPr>
        <w:t xml:space="preserve">As all subjects had a confirmed malignancy, specificity was calculated on a breast level. Most subjects had a malignancy in one breast and no disease in the other (contralateral) breast. </w:t>
      </w:r>
      <w:r w:rsidR="00315686" w:rsidRPr="007D73EF">
        <w:rPr>
          <w:rFonts w:ascii="Arial" w:hAnsi="Arial" w:cs="Arial"/>
          <w:szCs w:val="22"/>
        </w:rPr>
        <w:t>The specificity of Gadovist</w:t>
      </w:r>
      <w:r w:rsidRPr="007D73EF">
        <w:rPr>
          <w:rFonts w:ascii="Arial" w:hAnsi="Arial" w:cs="Arial"/>
          <w:szCs w:val="22"/>
        </w:rPr>
        <w:t>-</w:t>
      </w:r>
      <w:r w:rsidR="00315686" w:rsidRPr="007D73EF">
        <w:rPr>
          <w:rFonts w:ascii="Arial" w:hAnsi="Arial" w:cs="Arial"/>
          <w:szCs w:val="22"/>
        </w:rPr>
        <w:t>enhanced breast MRI, based on breasts with no malignancy, was greater than the performance threshold of 80% for all blinded readers in GEMMA-1 and for 2 of 3 bli</w:t>
      </w:r>
      <w:r w:rsidR="002336F5" w:rsidRPr="007D73EF">
        <w:rPr>
          <w:rFonts w:ascii="Arial" w:hAnsi="Arial" w:cs="Arial"/>
          <w:szCs w:val="22"/>
        </w:rPr>
        <w:t>nded readers in GEMMA-2 (Table 4</w:t>
      </w:r>
      <w:r w:rsidR="00315686" w:rsidRPr="007D73EF">
        <w:rPr>
          <w:rFonts w:ascii="Arial" w:hAnsi="Arial" w:cs="Arial"/>
          <w:szCs w:val="22"/>
        </w:rPr>
        <w:t xml:space="preserve">). </w:t>
      </w:r>
    </w:p>
    <w:p w14:paraId="5B1FAC6F" w14:textId="77777777" w:rsidR="00315686" w:rsidRPr="007D73EF" w:rsidRDefault="00315686" w:rsidP="002336F5">
      <w:pPr>
        <w:spacing w:before="120" w:after="120" w:line="300" w:lineRule="atLeast"/>
        <w:ind w:right="-29"/>
        <w:jc w:val="both"/>
        <w:rPr>
          <w:rFonts w:ascii="Arial" w:hAnsi="Arial" w:cs="Arial"/>
          <w:b/>
          <w:sz w:val="22"/>
          <w:szCs w:val="22"/>
        </w:rPr>
      </w:pPr>
      <w:r w:rsidRPr="007D73EF">
        <w:rPr>
          <w:rFonts w:ascii="Arial" w:hAnsi="Arial" w:cs="Arial"/>
          <w:b/>
          <w:sz w:val="22"/>
          <w:szCs w:val="22"/>
        </w:rPr>
        <w:t xml:space="preserve">Table </w:t>
      </w:r>
      <w:r w:rsidR="002336F5" w:rsidRPr="007D73EF">
        <w:rPr>
          <w:rFonts w:ascii="Arial" w:hAnsi="Arial" w:cs="Arial"/>
          <w:b/>
          <w:sz w:val="22"/>
          <w:szCs w:val="22"/>
        </w:rPr>
        <w:t>3: Subject-level s</w:t>
      </w:r>
      <w:r w:rsidRPr="007D73EF">
        <w:rPr>
          <w:rFonts w:ascii="Arial" w:hAnsi="Arial" w:cs="Arial"/>
          <w:b/>
          <w:sz w:val="22"/>
          <w:szCs w:val="22"/>
        </w:rPr>
        <w:t xml:space="preserve">ensitivity for </w:t>
      </w:r>
      <w:r w:rsidR="002336F5" w:rsidRPr="007D73EF">
        <w:rPr>
          <w:rFonts w:ascii="Arial" w:hAnsi="Arial" w:cs="Arial"/>
          <w:b/>
          <w:sz w:val="22"/>
          <w:szCs w:val="22"/>
        </w:rPr>
        <w:t>d</w:t>
      </w:r>
      <w:r w:rsidRPr="007D73EF">
        <w:rPr>
          <w:rFonts w:ascii="Arial" w:hAnsi="Arial" w:cs="Arial"/>
          <w:b/>
          <w:sz w:val="22"/>
          <w:szCs w:val="22"/>
        </w:rPr>
        <w:t xml:space="preserve">etection of </w:t>
      </w:r>
      <w:r w:rsidR="002336F5" w:rsidRPr="007D73EF">
        <w:rPr>
          <w:rFonts w:ascii="Arial" w:hAnsi="Arial" w:cs="Arial"/>
          <w:b/>
          <w:sz w:val="22"/>
          <w:szCs w:val="22"/>
        </w:rPr>
        <w:t>m</w:t>
      </w:r>
      <w:r w:rsidRPr="007D73EF">
        <w:rPr>
          <w:rFonts w:ascii="Arial" w:hAnsi="Arial" w:cs="Arial"/>
          <w:b/>
          <w:sz w:val="22"/>
          <w:szCs w:val="22"/>
        </w:rPr>
        <w:t xml:space="preserve">alignant </w:t>
      </w:r>
      <w:r w:rsidR="002336F5" w:rsidRPr="007D73EF">
        <w:rPr>
          <w:rFonts w:ascii="Arial" w:hAnsi="Arial" w:cs="Arial"/>
          <w:b/>
          <w:sz w:val="22"/>
          <w:szCs w:val="22"/>
        </w:rPr>
        <w:t>disease by blinded r</w:t>
      </w:r>
      <w:r w:rsidRPr="007D73EF">
        <w:rPr>
          <w:rFonts w:ascii="Arial" w:hAnsi="Arial" w:cs="Arial"/>
          <w:b/>
          <w:sz w:val="22"/>
          <w:szCs w:val="22"/>
        </w:rPr>
        <w:t>eader</w:t>
      </w:r>
    </w:p>
    <w:tbl>
      <w:tblPr>
        <w:tblW w:w="0" w:type="auto"/>
        <w:jc w:val="center"/>
        <w:tblCellMar>
          <w:left w:w="0" w:type="dxa"/>
          <w:right w:w="0" w:type="dxa"/>
        </w:tblCellMar>
        <w:tblLook w:val="04A0" w:firstRow="1" w:lastRow="0" w:firstColumn="1" w:lastColumn="0" w:noHBand="0" w:noVBand="1"/>
      </w:tblPr>
      <w:tblGrid>
        <w:gridCol w:w="1142"/>
        <w:gridCol w:w="810"/>
        <w:gridCol w:w="810"/>
        <w:gridCol w:w="810"/>
        <w:gridCol w:w="704"/>
        <w:gridCol w:w="1141"/>
        <w:gridCol w:w="810"/>
        <w:gridCol w:w="810"/>
        <w:gridCol w:w="810"/>
        <w:gridCol w:w="704"/>
      </w:tblGrid>
      <w:tr w:rsidR="00315686" w:rsidRPr="007D73EF" w14:paraId="77F2C285" w14:textId="77777777" w:rsidTr="002336F5">
        <w:trPr>
          <w:jc w:val="center"/>
        </w:trPr>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27147C"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GEMMA-1 (N=388)</w:t>
            </w:r>
          </w:p>
        </w:tc>
        <w:tc>
          <w:tcPr>
            <w:tcW w:w="0" w:type="auto"/>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49C40C"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GEMMA-2 (N=390)</w:t>
            </w:r>
          </w:p>
        </w:tc>
      </w:tr>
      <w:tr w:rsidR="002336F5" w:rsidRPr="007D73EF" w14:paraId="123F1644" w14:textId="77777777" w:rsidTr="00142D0B">
        <w:trPr>
          <w:jc w:val="center"/>
        </w:trPr>
        <w:tc>
          <w:tcPr>
            <w:tcW w:w="0" w:type="auto"/>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371D5111" w14:textId="77777777" w:rsidR="002336F5" w:rsidRPr="007D73EF" w:rsidRDefault="002336F5" w:rsidP="002336F5">
            <w:pPr>
              <w:pStyle w:val="Para0s"/>
              <w:spacing w:after="0" w:line="300" w:lineRule="atLeast"/>
              <w:ind w:right="-29"/>
              <w:jc w:val="center"/>
              <w:rPr>
                <w:rFonts w:ascii="Arial" w:hAnsi="Arial" w:cs="Arial"/>
                <w:sz w:val="20"/>
              </w:rPr>
            </w:pPr>
            <w:r w:rsidRPr="007D73EF">
              <w:rPr>
                <w:rFonts w:ascii="Arial" w:hAnsi="Arial" w:cs="Arial"/>
                <w:sz w:val="20"/>
              </w:rPr>
              <w:t>Sensitivity (%)</w:t>
            </w:r>
          </w:p>
        </w:tc>
        <w:tc>
          <w:tcPr>
            <w:tcW w:w="0" w:type="auto"/>
            <w:gridSpan w:val="5"/>
            <w:tcBorders>
              <w:top w:val="nil"/>
              <w:left w:val="nil"/>
              <w:bottom w:val="single" w:sz="8" w:space="0" w:color="auto"/>
              <w:right w:val="single" w:sz="8" w:space="0" w:color="auto"/>
            </w:tcBorders>
            <w:tcMar>
              <w:top w:w="0" w:type="dxa"/>
              <w:left w:w="108" w:type="dxa"/>
              <w:bottom w:w="0" w:type="dxa"/>
              <w:right w:w="108" w:type="dxa"/>
            </w:tcMar>
          </w:tcPr>
          <w:p w14:paraId="7ABBD09D" w14:textId="77777777" w:rsidR="002336F5" w:rsidRPr="007D73EF" w:rsidRDefault="002336F5" w:rsidP="002336F5">
            <w:pPr>
              <w:pStyle w:val="Para0s"/>
              <w:spacing w:after="0" w:line="300" w:lineRule="atLeast"/>
              <w:ind w:right="-29"/>
              <w:jc w:val="center"/>
              <w:rPr>
                <w:rFonts w:ascii="Arial" w:hAnsi="Arial" w:cs="Arial"/>
                <w:sz w:val="20"/>
              </w:rPr>
            </w:pPr>
            <w:r w:rsidRPr="007D73EF">
              <w:rPr>
                <w:rFonts w:ascii="Arial" w:hAnsi="Arial" w:cs="Arial"/>
                <w:sz w:val="20"/>
              </w:rPr>
              <w:t>Sensitivity (%)</w:t>
            </w:r>
          </w:p>
        </w:tc>
      </w:tr>
      <w:tr w:rsidR="00315686" w:rsidRPr="007D73EF" w14:paraId="2A54E594" w14:textId="77777777" w:rsidTr="002336F5">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45F2AA"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Blinded Reader</w:t>
            </w:r>
          </w:p>
        </w:tc>
        <w:tc>
          <w:tcPr>
            <w:tcW w:w="0" w:type="auto"/>
            <w:tcBorders>
              <w:top w:val="nil"/>
              <w:left w:val="nil"/>
              <w:bottom w:val="single" w:sz="8" w:space="0" w:color="auto"/>
              <w:right w:val="double" w:sz="12" w:space="0" w:color="auto"/>
            </w:tcBorders>
            <w:tcMar>
              <w:top w:w="0" w:type="dxa"/>
              <w:left w:w="108" w:type="dxa"/>
              <w:bottom w:w="0" w:type="dxa"/>
              <w:right w:w="108" w:type="dxa"/>
            </w:tcMar>
            <w:hideMark/>
          </w:tcPr>
          <w:p w14:paraId="2B7B33EF"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UMRM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8418F0"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CMRM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6BD831B"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CMRM</w:t>
            </w:r>
          </w:p>
          <w:p w14:paraId="3F5B8D6F"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+XRM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64DA102" w14:textId="114A12A5" w:rsidR="00315686" w:rsidRPr="007D73EF" w:rsidRDefault="00315686" w:rsidP="00CD12E4">
            <w:pPr>
              <w:pStyle w:val="Para0s"/>
              <w:spacing w:after="0" w:line="300" w:lineRule="atLeast"/>
              <w:ind w:right="-29"/>
              <w:jc w:val="center"/>
              <w:rPr>
                <w:rFonts w:ascii="Arial" w:hAnsi="Arial" w:cs="Arial"/>
                <w:sz w:val="20"/>
              </w:rPr>
            </w:pPr>
            <w:proofErr w:type="spellStart"/>
            <w:r w:rsidRPr="007D73EF">
              <w:rPr>
                <w:rFonts w:ascii="Arial" w:hAnsi="Arial" w:cs="Arial"/>
                <w:sz w:val="20"/>
              </w:rPr>
              <w:t>XRM</w:t>
            </w:r>
            <w:r w:rsidR="00CD12E4">
              <w:rPr>
                <w:rFonts w:ascii="Arial" w:hAnsi="Arial" w:cs="Arial"/>
                <w:sz w:val="20"/>
                <w:vertAlign w:val="superscript"/>
              </w:rPr>
              <w:t>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B26A0B8"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Blinded Reader</w:t>
            </w:r>
          </w:p>
        </w:tc>
        <w:tc>
          <w:tcPr>
            <w:tcW w:w="0" w:type="auto"/>
            <w:tcBorders>
              <w:top w:val="nil"/>
              <w:left w:val="nil"/>
              <w:bottom w:val="single" w:sz="8" w:space="0" w:color="auto"/>
              <w:right w:val="double" w:sz="12" w:space="0" w:color="auto"/>
            </w:tcBorders>
            <w:tcMar>
              <w:top w:w="0" w:type="dxa"/>
              <w:left w:w="108" w:type="dxa"/>
              <w:bottom w:w="0" w:type="dxa"/>
              <w:right w:w="108" w:type="dxa"/>
            </w:tcMar>
            <w:hideMark/>
          </w:tcPr>
          <w:p w14:paraId="73F08842"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UMRM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DA84EE0"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CMRM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CE6CDCD"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CMRM</w:t>
            </w:r>
          </w:p>
          <w:p w14:paraId="6D721700"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+XRM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CE939A2" w14:textId="3A0FEA9C" w:rsidR="00315686" w:rsidRPr="007D73EF" w:rsidRDefault="00315686" w:rsidP="00CD12E4">
            <w:pPr>
              <w:pStyle w:val="Para0s"/>
              <w:spacing w:after="0" w:line="300" w:lineRule="atLeast"/>
              <w:ind w:right="-29"/>
              <w:jc w:val="center"/>
              <w:rPr>
                <w:rFonts w:ascii="Arial" w:hAnsi="Arial" w:cs="Arial"/>
                <w:sz w:val="20"/>
              </w:rPr>
            </w:pPr>
            <w:proofErr w:type="spellStart"/>
            <w:r w:rsidRPr="007D73EF">
              <w:rPr>
                <w:rFonts w:ascii="Arial" w:hAnsi="Arial" w:cs="Arial"/>
                <w:sz w:val="20"/>
              </w:rPr>
              <w:t>XRM</w:t>
            </w:r>
            <w:r w:rsidR="00CD12E4">
              <w:rPr>
                <w:rFonts w:ascii="Arial" w:hAnsi="Arial" w:cs="Arial"/>
                <w:sz w:val="20"/>
                <w:vertAlign w:val="superscript"/>
              </w:rPr>
              <w:t>a</w:t>
            </w:r>
            <w:proofErr w:type="spellEnd"/>
          </w:p>
        </w:tc>
      </w:tr>
      <w:tr w:rsidR="00315686" w:rsidRPr="007D73EF" w14:paraId="363A7D60" w14:textId="77777777" w:rsidTr="002336F5">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F81D8F"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Reader 1</w:t>
            </w:r>
          </w:p>
        </w:tc>
        <w:tc>
          <w:tcPr>
            <w:tcW w:w="0" w:type="auto"/>
            <w:tcBorders>
              <w:top w:val="nil"/>
              <w:left w:val="nil"/>
              <w:bottom w:val="single" w:sz="8" w:space="0" w:color="auto"/>
              <w:right w:val="double" w:sz="12" w:space="0" w:color="auto"/>
            </w:tcBorders>
            <w:tcMar>
              <w:top w:w="0" w:type="dxa"/>
              <w:left w:w="108" w:type="dxa"/>
              <w:bottom w:w="0" w:type="dxa"/>
              <w:right w:w="108" w:type="dxa"/>
            </w:tcMar>
            <w:hideMark/>
          </w:tcPr>
          <w:p w14:paraId="6A92B2AA"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36.6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8DD1B0C"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83.2*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563556D"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83.7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ED12E08"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70.6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9DFD76D"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Reader 4</w:t>
            </w:r>
          </w:p>
        </w:tc>
        <w:tc>
          <w:tcPr>
            <w:tcW w:w="0" w:type="auto"/>
            <w:tcBorders>
              <w:top w:val="nil"/>
              <w:left w:val="nil"/>
              <w:bottom w:val="single" w:sz="8" w:space="0" w:color="auto"/>
              <w:right w:val="double" w:sz="12" w:space="0" w:color="auto"/>
            </w:tcBorders>
            <w:tcMar>
              <w:top w:w="0" w:type="dxa"/>
              <w:left w:w="108" w:type="dxa"/>
              <w:bottom w:w="0" w:type="dxa"/>
              <w:right w:w="108" w:type="dxa"/>
            </w:tcMar>
            <w:hideMark/>
          </w:tcPr>
          <w:p w14:paraId="5B584770"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73.3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4B98188"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88.6*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BAB232F"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89.6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F71A7AE"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69.6</w:t>
            </w:r>
          </w:p>
        </w:tc>
      </w:tr>
      <w:tr w:rsidR="00315686" w:rsidRPr="007D73EF" w14:paraId="5A86E2BB" w14:textId="77777777" w:rsidTr="002336F5">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8AA6E"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Reader 2</w:t>
            </w:r>
          </w:p>
        </w:tc>
        <w:tc>
          <w:tcPr>
            <w:tcW w:w="0" w:type="auto"/>
            <w:tcBorders>
              <w:top w:val="nil"/>
              <w:left w:val="nil"/>
              <w:bottom w:val="single" w:sz="8" w:space="0" w:color="auto"/>
              <w:right w:val="double" w:sz="12" w:space="0" w:color="auto"/>
            </w:tcBorders>
            <w:tcMar>
              <w:top w:w="0" w:type="dxa"/>
              <w:left w:w="108" w:type="dxa"/>
              <w:bottom w:w="0" w:type="dxa"/>
              <w:right w:w="108" w:type="dxa"/>
            </w:tcMar>
            <w:hideMark/>
          </w:tcPr>
          <w:p w14:paraId="04DF4702"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49.1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4B3D3C0"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79.9*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1CF0CD3"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F2BA43C"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67.5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8488ABC"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Reader 5</w:t>
            </w:r>
          </w:p>
        </w:tc>
        <w:tc>
          <w:tcPr>
            <w:tcW w:w="0" w:type="auto"/>
            <w:tcBorders>
              <w:top w:val="nil"/>
              <w:left w:val="nil"/>
              <w:bottom w:val="single" w:sz="8" w:space="0" w:color="auto"/>
              <w:right w:val="double" w:sz="12" w:space="0" w:color="auto"/>
            </w:tcBorders>
            <w:tcMar>
              <w:top w:w="0" w:type="dxa"/>
              <w:left w:w="108" w:type="dxa"/>
              <w:bottom w:w="0" w:type="dxa"/>
              <w:right w:w="108" w:type="dxa"/>
            </w:tcMar>
            <w:hideMark/>
          </w:tcPr>
          <w:p w14:paraId="21FF1F4C"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57.0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6067A5"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89.0*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4751842"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90.3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B30645C"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72.9</w:t>
            </w:r>
          </w:p>
        </w:tc>
      </w:tr>
      <w:tr w:rsidR="00315686" w:rsidRPr="007D73EF" w14:paraId="5E679041" w14:textId="77777777" w:rsidTr="002336F5">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4FA73"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Reader 3</w:t>
            </w:r>
          </w:p>
        </w:tc>
        <w:tc>
          <w:tcPr>
            <w:tcW w:w="0" w:type="auto"/>
            <w:tcBorders>
              <w:top w:val="nil"/>
              <w:left w:val="nil"/>
              <w:bottom w:val="single" w:sz="8" w:space="0" w:color="auto"/>
              <w:right w:val="double" w:sz="12" w:space="0" w:color="auto"/>
            </w:tcBorders>
            <w:tcMar>
              <w:top w:w="0" w:type="dxa"/>
              <w:left w:w="108" w:type="dxa"/>
              <w:bottom w:w="0" w:type="dxa"/>
              <w:right w:w="108" w:type="dxa"/>
            </w:tcMar>
            <w:hideMark/>
          </w:tcPr>
          <w:p w14:paraId="50F8D170"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63.4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4879059"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86.7*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FB99E4C"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87.0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FA75BE"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71.9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983D356"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Reader 6</w:t>
            </w:r>
          </w:p>
        </w:tc>
        <w:tc>
          <w:tcPr>
            <w:tcW w:w="0" w:type="auto"/>
            <w:tcBorders>
              <w:top w:val="nil"/>
              <w:left w:val="nil"/>
              <w:bottom w:val="single" w:sz="8" w:space="0" w:color="auto"/>
              <w:right w:val="double" w:sz="12" w:space="0" w:color="auto"/>
            </w:tcBorders>
            <w:tcMar>
              <w:top w:w="0" w:type="dxa"/>
              <w:left w:w="108" w:type="dxa"/>
              <w:bottom w:w="0" w:type="dxa"/>
              <w:right w:w="108" w:type="dxa"/>
            </w:tcMar>
            <w:hideMark/>
          </w:tcPr>
          <w:p w14:paraId="614F77DC"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55.1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0B62929"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85.5*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755D580"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88.0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EC4D8B"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73.2</w:t>
            </w:r>
          </w:p>
        </w:tc>
      </w:tr>
    </w:tbl>
    <w:p w14:paraId="5C878594" w14:textId="77777777" w:rsidR="00CD12E4" w:rsidRDefault="00315686" w:rsidP="00315686">
      <w:pPr>
        <w:pStyle w:val="Para0s"/>
        <w:spacing w:before="120" w:after="120" w:line="300" w:lineRule="atLeast"/>
        <w:ind w:right="-29"/>
        <w:jc w:val="both"/>
        <w:rPr>
          <w:rFonts w:ascii="Arial" w:hAnsi="Arial" w:cs="Arial"/>
          <w:sz w:val="20"/>
        </w:rPr>
      </w:pPr>
      <w:r w:rsidRPr="007D73EF">
        <w:rPr>
          <w:rFonts w:ascii="Arial" w:hAnsi="Arial" w:cs="Arial"/>
          <w:sz w:val="20"/>
        </w:rPr>
        <w:t>* Superior sensitivity of CMRM compared to UMRM</w:t>
      </w:r>
    </w:p>
    <w:p w14:paraId="65C789BA" w14:textId="19AF3A68" w:rsidR="00CD12E4" w:rsidRPr="007D73EF" w:rsidRDefault="00CD12E4" w:rsidP="00315686">
      <w:pPr>
        <w:pStyle w:val="Para0s"/>
        <w:spacing w:before="120" w:after="120" w:line="300" w:lineRule="atLeast"/>
        <w:ind w:right="-29"/>
        <w:jc w:val="both"/>
        <w:rPr>
          <w:rFonts w:ascii="Arial" w:hAnsi="Arial" w:cs="Arial"/>
          <w:sz w:val="20"/>
        </w:rPr>
      </w:pPr>
      <w:proofErr w:type="gramStart"/>
      <w:r>
        <w:rPr>
          <w:rFonts w:ascii="Arial" w:hAnsi="Arial" w:cs="Arial"/>
          <w:sz w:val="20"/>
          <w:vertAlign w:val="superscript"/>
        </w:rPr>
        <w:t>a</w:t>
      </w:r>
      <w:proofErr w:type="gramEnd"/>
      <w:r>
        <w:rPr>
          <w:rFonts w:ascii="Arial" w:hAnsi="Arial" w:cs="Arial"/>
          <w:sz w:val="20"/>
        </w:rPr>
        <w:t xml:space="preserve"> 3</w:t>
      </w:r>
      <w:r w:rsidRPr="00CD12E4">
        <w:rPr>
          <w:rFonts w:ascii="Arial" w:hAnsi="Arial" w:cs="Arial"/>
          <w:sz w:val="20"/>
        </w:rPr>
        <w:t xml:space="preserve"> additional independent readers evaluated XRM alone for each study </w:t>
      </w:r>
    </w:p>
    <w:p w14:paraId="56340712" w14:textId="77777777" w:rsidR="00A02665" w:rsidRPr="007D73EF" w:rsidRDefault="00A02665">
      <w:pPr>
        <w:rPr>
          <w:rFonts w:ascii="Arial" w:hAnsi="Arial" w:cs="Arial"/>
          <w:b/>
          <w:sz w:val="22"/>
          <w:szCs w:val="22"/>
          <w:lang w:eastAsia="de-DE"/>
        </w:rPr>
      </w:pPr>
      <w:r w:rsidRPr="007D73EF">
        <w:rPr>
          <w:rFonts w:ascii="Arial" w:hAnsi="Arial" w:cs="Arial"/>
          <w:b/>
          <w:szCs w:val="22"/>
        </w:rPr>
        <w:br w:type="page"/>
      </w:r>
    </w:p>
    <w:p w14:paraId="250031D4" w14:textId="77777777" w:rsidR="00315686" w:rsidRPr="007D73EF" w:rsidRDefault="00315686" w:rsidP="00315686">
      <w:pPr>
        <w:pStyle w:val="Para0s"/>
        <w:spacing w:before="120" w:after="120" w:line="300" w:lineRule="atLeast"/>
        <w:ind w:right="-29"/>
        <w:jc w:val="both"/>
        <w:rPr>
          <w:rFonts w:ascii="Arial" w:hAnsi="Arial" w:cs="Arial"/>
          <w:b/>
          <w:szCs w:val="22"/>
        </w:rPr>
      </w:pPr>
      <w:r w:rsidRPr="007D73EF">
        <w:rPr>
          <w:rFonts w:ascii="Arial" w:hAnsi="Arial" w:cs="Arial"/>
          <w:b/>
          <w:szCs w:val="22"/>
        </w:rPr>
        <w:lastRenderedPageBreak/>
        <w:t xml:space="preserve">Table </w:t>
      </w:r>
      <w:r w:rsidR="002336F5" w:rsidRPr="007D73EF">
        <w:rPr>
          <w:rFonts w:ascii="Arial" w:hAnsi="Arial" w:cs="Arial"/>
          <w:b/>
          <w:szCs w:val="22"/>
        </w:rPr>
        <w:t>4</w:t>
      </w:r>
      <w:r w:rsidRPr="007D73EF">
        <w:rPr>
          <w:rFonts w:ascii="Arial" w:hAnsi="Arial" w:cs="Arial"/>
          <w:b/>
          <w:szCs w:val="22"/>
        </w:rPr>
        <w:t>: Breast-</w:t>
      </w:r>
      <w:r w:rsidR="002336F5" w:rsidRPr="007D73EF">
        <w:rPr>
          <w:rFonts w:ascii="Arial" w:hAnsi="Arial" w:cs="Arial"/>
          <w:b/>
          <w:szCs w:val="22"/>
        </w:rPr>
        <w:t xml:space="preserve">level specificity: </w:t>
      </w:r>
      <w:r w:rsidR="001514CB" w:rsidRPr="007D73EF">
        <w:rPr>
          <w:rFonts w:ascii="Arial" w:hAnsi="Arial" w:cs="Arial"/>
          <w:b/>
          <w:szCs w:val="22"/>
        </w:rPr>
        <w:t>non-malignant</w:t>
      </w:r>
      <w:r w:rsidR="002336F5" w:rsidRPr="007D73EF">
        <w:rPr>
          <w:rFonts w:ascii="Arial" w:hAnsi="Arial" w:cs="Arial"/>
          <w:b/>
          <w:szCs w:val="22"/>
        </w:rPr>
        <w:t xml:space="preserve"> breast by blinded r</w:t>
      </w:r>
      <w:r w:rsidRPr="007D73EF">
        <w:rPr>
          <w:rFonts w:ascii="Arial" w:hAnsi="Arial" w:cs="Arial"/>
          <w:b/>
          <w:szCs w:val="22"/>
        </w:rPr>
        <w:t>eader</w:t>
      </w:r>
    </w:p>
    <w:tbl>
      <w:tblPr>
        <w:tblW w:w="0" w:type="auto"/>
        <w:jc w:val="center"/>
        <w:tblCellMar>
          <w:left w:w="0" w:type="dxa"/>
          <w:right w:w="0" w:type="dxa"/>
        </w:tblCellMar>
        <w:tblLook w:val="04A0" w:firstRow="1" w:lastRow="0" w:firstColumn="1" w:lastColumn="0" w:noHBand="0" w:noVBand="1"/>
      </w:tblPr>
      <w:tblGrid>
        <w:gridCol w:w="1558"/>
        <w:gridCol w:w="810"/>
        <w:gridCol w:w="1204"/>
        <w:gridCol w:w="704"/>
        <w:gridCol w:w="1557"/>
        <w:gridCol w:w="810"/>
        <w:gridCol w:w="1204"/>
        <w:gridCol w:w="704"/>
      </w:tblGrid>
      <w:tr w:rsidR="00315686" w:rsidRPr="007D73EF" w14:paraId="7E9F1011" w14:textId="77777777" w:rsidTr="002336F5">
        <w:trPr>
          <w:jc w:val="center"/>
        </w:trPr>
        <w:tc>
          <w:tcPr>
            <w:tcW w:w="0" w:type="auto"/>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846843"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GEMMA-1</w:t>
            </w:r>
          </w:p>
        </w:tc>
        <w:tc>
          <w:tcPr>
            <w:tcW w:w="0" w:type="auto"/>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A08870"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GEMMA-2</w:t>
            </w:r>
          </w:p>
        </w:tc>
      </w:tr>
      <w:tr w:rsidR="00315686" w:rsidRPr="007D73EF" w14:paraId="6643AFCA" w14:textId="77777777" w:rsidTr="002336F5">
        <w:trPr>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86525"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Specificity (%)</w:t>
            </w:r>
          </w:p>
          <w:p w14:paraId="098D17C8"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Non-malignant breasts</w:t>
            </w:r>
          </w:p>
          <w:p w14:paraId="04D6173F"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N=372 Patients</w:t>
            </w:r>
          </w:p>
        </w:tc>
        <w:tc>
          <w:tcPr>
            <w:tcW w:w="0" w:type="auto"/>
            <w:gridSpan w:val="4"/>
            <w:tcBorders>
              <w:top w:val="nil"/>
              <w:left w:val="nil"/>
              <w:bottom w:val="single" w:sz="8" w:space="0" w:color="auto"/>
              <w:right w:val="single" w:sz="8" w:space="0" w:color="auto"/>
            </w:tcBorders>
            <w:tcMar>
              <w:top w:w="0" w:type="dxa"/>
              <w:left w:w="108" w:type="dxa"/>
              <w:bottom w:w="0" w:type="dxa"/>
              <w:right w:w="108" w:type="dxa"/>
            </w:tcMar>
            <w:hideMark/>
          </w:tcPr>
          <w:p w14:paraId="24467938"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Specificity (%)</w:t>
            </w:r>
          </w:p>
          <w:p w14:paraId="3EA52F10"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Non-malignant breasts</w:t>
            </w:r>
          </w:p>
          <w:p w14:paraId="620B4ADB"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N=367 Patients</w:t>
            </w:r>
          </w:p>
        </w:tc>
      </w:tr>
      <w:tr w:rsidR="00315686" w:rsidRPr="007D73EF" w14:paraId="0B6811AB" w14:textId="77777777" w:rsidTr="002336F5">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BBB85E"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Blinded Reader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59CBBC6"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CMRM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DC7BA9"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Lower Limit</w:t>
            </w:r>
          </w:p>
          <w:p w14:paraId="1D80EF58"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95% CI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6ABA7D" w14:textId="605461F1" w:rsidR="00315686" w:rsidRPr="007D73EF" w:rsidRDefault="00315686" w:rsidP="00CD12E4">
            <w:pPr>
              <w:pStyle w:val="Para0s"/>
              <w:spacing w:after="0" w:line="300" w:lineRule="atLeast"/>
              <w:ind w:right="-29"/>
              <w:jc w:val="center"/>
              <w:rPr>
                <w:rFonts w:ascii="Arial" w:hAnsi="Arial" w:cs="Arial"/>
                <w:sz w:val="20"/>
              </w:rPr>
            </w:pPr>
            <w:proofErr w:type="spellStart"/>
            <w:r w:rsidRPr="007D73EF">
              <w:rPr>
                <w:rFonts w:ascii="Arial" w:hAnsi="Arial" w:cs="Arial"/>
                <w:sz w:val="20"/>
              </w:rPr>
              <w:t>XRM</w:t>
            </w:r>
            <w:r w:rsidR="00CD12E4">
              <w:rPr>
                <w:rFonts w:ascii="Arial" w:hAnsi="Arial" w:cs="Arial"/>
                <w:sz w:val="20"/>
                <w:vertAlign w:val="superscript"/>
              </w:rPr>
              <w:t>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813E19"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Blinded Reader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4384C7A"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CMRM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EDAC6D9"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Lower Limit</w:t>
            </w:r>
          </w:p>
          <w:p w14:paraId="5A0B6D90"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95% CI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3771B89" w14:textId="11FBBD7F" w:rsidR="00315686" w:rsidRPr="007D73EF" w:rsidRDefault="00315686" w:rsidP="00CD12E4">
            <w:pPr>
              <w:pStyle w:val="Para0s"/>
              <w:spacing w:after="0" w:line="300" w:lineRule="atLeast"/>
              <w:ind w:right="-29"/>
              <w:jc w:val="center"/>
              <w:rPr>
                <w:rFonts w:ascii="Arial" w:hAnsi="Arial" w:cs="Arial"/>
                <w:sz w:val="20"/>
              </w:rPr>
            </w:pPr>
            <w:proofErr w:type="spellStart"/>
            <w:r w:rsidRPr="007D73EF">
              <w:rPr>
                <w:rFonts w:ascii="Arial" w:hAnsi="Arial" w:cs="Arial"/>
                <w:sz w:val="20"/>
              </w:rPr>
              <w:t>XRM</w:t>
            </w:r>
            <w:r w:rsidR="00CD12E4">
              <w:rPr>
                <w:rFonts w:ascii="Arial" w:hAnsi="Arial" w:cs="Arial"/>
                <w:sz w:val="20"/>
                <w:vertAlign w:val="superscript"/>
              </w:rPr>
              <w:t>a</w:t>
            </w:r>
            <w:proofErr w:type="spellEnd"/>
          </w:p>
        </w:tc>
      </w:tr>
      <w:tr w:rsidR="00315686" w:rsidRPr="007D73EF" w14:paraId="0AF8B061" w14:textId="77777777" w:rsidTr="002336F5">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A77C2"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Reader 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F510E84"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85.6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3A6AAE9"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F74EAA"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91.1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9919511"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Reader 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11087B0"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91.8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3254F7"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89.1*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FF23C1A"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92.6</w:t>
            </w:r>
          </w:p>
        </w:tc>
      </w:tr>
      <w:tr w:rsidR="00315686" w:rsidRPr="007D73EF" w14:paraId="1BFD93EC" w14:textId="77777777" w:rsidTr="002336F5">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32154"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Reader 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4724DD0"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95.0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1FE42E"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92.8*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2817FDA"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94.4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D129F28"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Reader 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70924D"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83.9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FA98CD6"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80.2*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68CA0B1"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90.3</w:t>
            </w:r>
          </w:p>
        </w:tc>
      </w:tr>
      <w:tr w:rsidR="00315686" w:rsidRPr="007D73EF" w14:paraId="783223C2" w14:textId="77777777" w:rsidTr="002336F5">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0949B"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Reader 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EF1F045"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88.6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9B91D6"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85.3*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5368181"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90.6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71305A2"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Reader 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FCBF48B"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E712010"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79.0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4E7B5B0"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86.1</w:t>
            </w:r>
          </w:p>
        </w:tc>
      </w:tr>
    </w:tbl>
    <w:p w14:paraId="3692CF60" w14:textId="77777777" w:rsidR="00315686" w:rsidRDefault="00315686" w:rsidP="00315686">
      <w:pPr>
        <w:pStyle w:val="Para0s"/>
        <w:spacing w:before="120" w:after="120" w:line="300" w:lineRule="atLeast"/>
        <w:ind w:right="-29"/>
        <w:jc w:val="both"/>
        <w:rPr>
          <w:rFonts w:ascii="Arial" w:hAnsi="Arial" w:cs="Arial"/>
          <w:sz w:val="20"/>
        </w:rPr>
      </w:pPr>
      <w:r w:rsidRPr="007D73EF">
        <w:rPr>
          <w:rFonts w:ascii="Arial" w:hAnsi="Arial" w:cs="Arial"/>
          <w:sz w:val="20"/>
        </w:rPr>
        <w:t>* Specificity of CMRM greater than performance threshold of 80%</w:t>
      </w:r>
    </w:p>
    <w:p w14:paraId="2785C6B4" w14:textId="04BB1F5F" w:rsidR="00CD12E4" w:rsidRPr="007D73EF" w:rsidRDefault="00CD12E4" w:rsidP="00CD12E4">
      <w:pPr>
        <w:pStyle w:val="Para0s"/>
        <w:spacing w:before="120" w:after="120" w:line="300" w:lineRule="atLeast"/>
        <w:ind w:right="-29"/>
        <w:jc w:val="both"/>
        <w:rPr>
          <w:rFonts w:ascii="Arial" w:hAnsi="Arial" w:cs="Arial"/>
          <w:sz w:val="20"/>
        </w:rPr>
      </w:pPr>
      <w:proofErr w:type="gramStart"/>
      <w:r>
        <w:rPr>
          <w:rFonts w:ascii="Arial" w:hAnsi="Arial" w:cs="Arial"/>
          <w:sz w:val="20"/>
          <w:vertAlign w:val="superscript"/>
        </w:rPr>
        <w:t>a</w:t>
      </w:r>
      <w:proofErr w:type="gramEnd"/>
      <w:r>
        <w:rPr>
          <w:rFonts w:ascii="Arial" w:hAnsi="Arial" w:cs="Arial"/>
          <w:sz w:val="20"/>
        </w:rPr>
        <w:t xml:space="preserve"> 3</w:t>
      </w:r>
      <w:r w:rsidRPr="00CD12E4">
        <w:rPr>
          <w:rFonts w:ascii="Arial" w:hAnsi="Arial" w:cs="Arial"/>
          <w:sz w:val="20"/>
        </w:rPr>
        <w:t xml:space="preserve"> additional independent readers evaluated XRM alone for each study </w:t>
      </w:r>
    </w:p>
    <w:p w14:paraId="3EC85C32" w14:textId="5224A761" w:rsidR="00CD12E4" w:rsidRPr="007D73EF" w:rsidRDefault="00CD12E4" w:rsidP="00315686">
      <w:pPr>
        <w:pStyle w:val="Para0s"/>
        <w:spacing w:before="120" w:after="120" w:line="300" w:lineRule="atLeast"/>
        <w:ind w:right="-29"/>
        <w:jc w:val="both"/>
        <w:rPr>
          <w:rFonts w:ascii="Arial" w:hAnsi="Arial" w:cs="Arial"/>
          <w:sz w:val="20"/>
        </w:rPr>
      </w:pPr>
    </w:p>
    <w:p w14:paraId="392A6021" w14:textId="77777777" w:rsidR="00315686" w:rsidRPr="007D73EF" w:rsidRDefault="00315686" w:rsidP="00315686">
      <w:pPr>
        <w:pStyle w:val="Para0s"/>
        <w:spacing w:before="120" w:after="120" w:line="300" w:lineRule="atLeast"/>
        <w:ind w:right="-29"/>
        <w:jc w:val="both"/>
        <w:rPr>
          <w:rFonts w:ascii="Arial" w:hAnsi="Arial" w:cs="Arial"/>
          <w:szCs w:val="22"/>
        </w:rPr>
      </w:pPr>
      <w:r w:rsidRPr="007D73EF">
        <w:rPr>
          <w:rFonts w:ascii="Arial" w:hAnsi="Arial" w:cs="Arial"/>
          <w:szCs w:val="22"/>
        </w:rPr>
        <w:t xml:space="preserve">For both studies, the co-primary endpoints were met simultaneously for 2 of </w:t>
      </w:r>
      <w:r w:rsidR="001514CB" w:rsidRPr="007D73EF">
        <w:rPr>
          <w:rFonts w:ascii="Arial" w:hAnsi="Arial" w:cs="Arial"/>
          <w:szCs w:val="22"/>
        </w:rPr>
        <w:t xml:space="preserve">the </w:t>
      </w:r>
      <w:r w:rsidRPr="007D73EF">
        <w:rPr>
          <w:rFonts w:ascii="Arial" w:hAnsi="Arial" w:cs="Arial"/>
          <w:szCs w:val="22"/>
        </w:rPr>
        <w:t>3 readers for sensitivity and specificity.</w:t>
      </w:r>
    </w:p>
    <w:p w14:paraId="29B6AC0E" w14:textId="77777777" w:rsidR="002336F5" w:rsidRPr="007D73EF" w:rsidRDefault="002336F5">
      <w:pPr>
        <w:rPr>
          <w:rFonts w:ascii="Arial" w:hAnsi="Arial" w:cs="Arial"/>
          <w:noProof/>
          <w:sz w:val="22"/>
          <w:szCs w:val="22"/>
          <w:u w:val="single"/>
          <w:lang w:val="en-GB" w:eastAsia="en-US"/>
        </w:rPr>
      </w:pPr>
    </w:p>
    <w:p w14:paraId="5FF3554C" w14:textId="53DBA166" w:rsidR="00FF0984" w:rsidRPr="007D73EF" w:rsidRDefault="009852C3" w:rsidP="00FF0984">
      <w:pPr>
        <w:spacing w:before="120" w:after="120" w:line="300" w:lineRule="atLeast"/>
        <w:ind w:right="-35"/>
        <w:jc w:val="both"/>
        <w:rPr>
          <w:rFonts w:ascii="Arial" w:hAnsi="Arial" w:cs="Arial"/>
          <w:noProof/>
          <w:sz w:val="22"/>
          <w:szCs w:val="22"/>
          <w:u w:val="single"/>
          <w:lang w:val="en-GB" w:eastAsia="en-US"/>
        </w:rPr>
      </w:pPr>
      <w:r w:rsidRPr="007D73EF">
        <w:rPr>
          <w:rFonts w:ascii="Arial" w:hAnsi="Arial" w:cs="Arial"/>
          <w:noProof/>
          <w:sz w:val="22"/>
          <w:szCs w:val="22"/>
          <w:u w:val="single"/>
          <w:lang w:val="en-GB" w:eastAsia="en-US"/>
        </w:rPr>
        <w:t>CE-MRI of the b</w:t>
      </w:r>
      <w:r w:rsidR="00315686" w:rsidRPr="007D73EF">
        <w:rPr>
          <w:rFonts w:ascii="Arial" w:hAnsi="Arial" w:cs="Arial"/>
          <w:noProof/>
          <w:sz w:val="22"/>
          <w:szCs w:val="22"/>
          <w:u w:val="single"/>
          <w:lang w:val="en-GB" w:eastAsia="en-US"/>
        </w:rPr>
        <w:t>ody</w:t>
      </w:r>
      <w:r w:rsidR="00893938" w:rsidRPr="008B6785">
        <w:rPr>
          <w:rFonts w:ascii="Arial" w:hAnsi="Arial" w:cs="Arial"/>
          <w:noProof/>
          <w:sz w:val="22"/>
          <w:szCs w:val="22"/>
          <w:vertAlign w:val="superscript"/>
          <w:lang w:val="en-GB" w:eastAsia="en-US"/>
        </w:rPr>
        <w:t>#</w:t>
      </w:r>
    </w:p>
    <w:p w14:paraId="151C3800" w14:textId="5E214BA1" w:rsidR="00315686" w:rsidRPr="007D73EF" w:rsidRDefault="00315686" w:rsidP="00315686">
      <w:pPr>
        <w:pStyle w:val="Para0s"/>
        <w:spacing w:before="120" w:after="120" w:line="300" w:lineRule="atLeast"/>
        <w:ind w:right="-29"/>
        <w:jc w:val="both"/>
        <w:rPr>
          <w:rFonts w:ascii="Arial" w:hAnsi="Arial" w:cs="Arial"/>
          <w:szCs w:val="22"/>
        </w:rPr>
      </w:pPr>
      <w:r w:rsidRPr="007D73EF">
        <w:rPr>
          <w:rFonts w:ascii="Arial" w:hAnsi="Arial" w:cs="Arial"/>
          <w:szCs w:val="22"/>
        </w:rPr>
        <w:t>A multi-centre, randomised, single-blind, parallel-group comparison, phase 3 study (13297)</w:t>
      </w:r>
      <w:r w:rsidR="00406B54" w:rsidRPr="007D73EF">
        <w:rPr>
          <w:rFonts w:ascii="Arial" w:hAnsi="Arial" w:cs="Arial"/>
          <w:szCs w:val="22"/>
        </w:rPr>
        <w:t>,</w:t>
      </w:r>
      <w:r w:rsidRPr="007D73EF">
        <w:rPr>
          <w:rFonts w:ascii="Arial" w:hAnsi="Arial" w:cs="Arial"/>
          <w:szCs w:val="22"/>
        </w:rPr>
        <w:t xml:space="preserve"> investigated the efficacy and safety of Gadovist compared to Magnevist following a single injection in Asian patients referred for contrast-enhanced MRI of the body (including breast, heart, abdomen, kidney, pelvis, or extremities). One hundred and seventy-eight (178) patients received Gadovist and 185 patients received Magnevist.</w:t>
      </w:r>
    </w:p>
    <w:p w14:paraId="769D2759" w14:textId="4BE32C7D" w:rsidR="00315686" w:rsidRPr="007D73EF" w:rsidRDefault="00315686" w:rsidP="00315686">
      <w:pPr>
        <w:pStyle w:val="Para0s"/>
        <w:spacing w:before="120" w:after="120" w:line="300" w:lineRule="atLeast"/>
        <w:ind w:right="-29"/>
        <w:jc w:val="both"/>
        <w:rPr>
          <w:rFonts w:ascii="Arial" w:hAnsi="Arial" w:cs="Arial"/>
          <w:szCs w:val="22"/>
        </w:rPr>
      </w:pPr>
      <w:r w:rsidRPr="007D73EF">
        <w:rPr>
          <w:rFonts w:ascii="Arial" w:hAnsi="Arial" w:cs="Arial"/>
          <w:szCs w:val="22"/>
        </w:rPr>
        <w:t xml:space="preserve">The primary objective was to demonstrate non-inferiority of unenhanced plus Gadovist-enhanced MRI compared to unenhanced plus Magnevist-enhanced MRI at a dose of 0.1 mmol/kg </w:t>
      </w:r>
      <w:r w:rsidR="00DB2D49" w:rsidRPr="007D73EF">
        <w:rPr>
          <w:rFonts w:ascii="Arial" w:hAnsi="Arial" w:cs="Arial"/>
          <w:szCs w:val="22"/>
        </w:rPr>
        <w:t xml:space="preserve">body weight </w:t>
      </w:r>
      <w:r w:rsidRPr="007D73EF">
        <w:rPr>
          <w:rFonts w:ascii="Arial" w:hAnsi="Arial" w:cs="Arial"/>
          <w:szCs w:val="22"/>
        </w:rPr>
        <w:t xml:space="preserve">based on </w:t>
      </w:r>
      <w:r w:rsidR="00406B54" w:rsidRPr="007D73EF">
        <w:rPr>
          <w:rFonts w:ascii="Arial" w:hAnsi="Arial" w:cs="Arial"/>
          <w:szCs w:val="22"/>
        </w:rPr>
        <w:t xml:space="preserve">the </w:t>
      </w:r>
      <w:r w:rsidRPr="007D73EF">
        <w:rPr>
          <w:rFonts w:ascii="Arial" w:hAnsi="Arial" w:cs="Arial"/>
          <w:szCs w:val="22"/>
        </w:rPr>
        <w:t>evaluation of three primary efficacy variables: contrast enhancement, border delineation and internal morphology of lesions, which in combination were linked to the detection and visualisation of lesions in the body</w:t>
      </w:r>
      <w:r w:rsidR="00914AD3" w:rsidRPr="007D73EF">
        <w:rPr>
          <w:rFonts w:ascii="Arial" w:hAnsi="Arial" w:cs="Arial"/>
          <w:szCs w:val="22"/>
        </w:rPr>
        <w:t xml:space="preserve"> regions</w:t>
      </w:r>
      <w:r w:rsidRPr="007D73EF">
        <w:rPr>
          <w:rFonts w:ascii="Arial" w:hAnsi="Arial" w:cs="Arial"/>
          <w:szCs w:val="22"/>
        </w:rPr>
        <w:t>.</w:t>
      </w:r>
    </w:p>
    <w:p w14:paraId="05FB68E3" w14:textId="1B372F1F" w:rsidR="009852C3" w:rsidRPr="007D73EF" w:rsidRDefault="00315686" w:rsidP="00315686">
      <w:pPr>
        <w:pStyle w:val="Para0s"/>
        <w:spacing w:before="120" w:after="120" w:line="300" w:lineRule="atLeast"/>
        <w:ind w:right="-29"/>
        <w:jc w:val="both"/>
        <w:rPr>
          <w:rFonts w:ascii="Arial" w:hAnsi="Arial" w:cs="Arial"/>
          <w:szCs w:val="22"/>
        </w:rPr>
      </w:pPr>
      <w:r w:rsidRPr="007D73EF">
        <w:rPr>
          <w:rFonts w:ascii="Arial" w:hAnsi="Arial" w:cs="Arial"/>
          <w:szCs w:val="22"/>
        </w:rPr>
        <w:t>The total scores (mean ± SD) of these 3 visualisation parameters for combined (unenhanced plus enhanced) images were 9.39 ± 1.06 for Gadovist, and 9.34 ± 1.23 for Magnevist</w:t>
      </w:r>
      <w:r w:rsidR="00A0623E" w:rsidRPr="007D73EF">
        <w:rPr>
          <w:rFonts w:ascii="Arial" w:hAnsi="Arial" w:cs="Arial"/>
          <w:szCs w:val="22"/>
        </w:rPr>
        <w:t xml:space="preserve"> </w:t>
      </w:r>
      <w:r w:rsidR="00DD10DD" w:rsidRPr="007D73EF">
        <w:rPr>
          <w:rFonts w:ascii="Arial" w:hAnsi="Arial" w:cs="Arial"/>
          <w:szCs w:val="22"/>
        </w:rPr>
        <w:t xml:space="preserve">in the per protocol set (PPS) population </w:t>
      </w:r>
      <w:r w:rsidR="00A0623E" w:rsidRPr="007D73EF">
        <w:rPr>
          <w:rFonts w:ascii="Arial" w:hAnsi="Arial" w:cs="Arial"/>
          <w:szCs w:val="22"/>
        </w:rPr>
        <w:t>(Table 5)</w:t>
      </w:r>
      <w:r w:rsidRPr="007D73EF">
        <w:rPr>
          <w:rFonts w:ascii="Arial" w:hAnsi="Arial" w:cs="Arial"/>
          <w:szCs w:val="22"/>
        </w:rPr>
        <w:t>. Statistical analysis demonstrated that Gadovist was non-inferior to Magnevist in lesion visualisation.</w:t>
      </w:r>
    </w:p>
    <w:p w14:paraId="18F38124" w14:textId="77777777" w:rsidR="00A02665" w:rsidRPr="007D73EF" w:rsidRDefault="00A02665">
      <w:pPr>
        <w:rPr>
          <w:rFonts w:ascii="Arial" w:hAnsi="Arial" w:cs="Arial"/>
          <w:b/>
          <w:sz w:val="22"/>
          <w:szCs w:val="22"/>
        </w:rPr>
      </w:pPr>
      <w:r w:rsidRPr="007D73EF">
        <w:rPr>
          <w:rFonts w:ascii="Arial" w:hAnsi="Arial" w:cs="Arial"/>
          <w:b/>
          <w:sz w:val="22"/>
          <w:szCs w:val="22"/>
        </w:rPr>
        <w:br w:type="page"/>
      </w:r>
    </w:p>
    <w:p w14:paraId="50AE1027" w14:textId="1C7C4341" w:rsidR="00A0623E" w:rsidRPr="007D73EF" w:rsidRDefault="00A0623E" w:rsidP="00A0623E">
      <w:pPr>
        <w:spacing w:before="120" w:after="120" w:line="300" w:lineRule="atLeast"/>
        <w:ind w:right="-29"/>
        <w:jc w:val="both"/>
        <w:rPr>
          <w:rFonts w:ascii="Arial" w:hAnsi="Arial" w:cs="Arial"/>
          <w:b/>
          <w:sz w:val="22"/>
          <w:szCs w:val="22"/>
        </w:rPr>
      </w:pPr>
      <w:r w:rsidRPr="007D73EF">
        <w:rPr>
          <w:rFonts w:ascii="Arial" w:hAnsi="Arial" w:cs="Arial"/>
          <w:b/>
          <w:sz w:val="22"/>
          <w:szCs w:val="22"/>
        </w:rPr>
        <w:lastRenderedPageBreak/>
        <w:t>Table 5: Total score of 3 visualisation parameters for combined images by average blinded reader and 95% CI of the difference between Gadovist and Magnevist (per protocol set, PPS)</w:t>
      </w:r>
    </w:p>
    <w:tbl>
      <w:tblPr>
        <w:tblW w:w="8328" w:type="dxa"/>
        <w:tblInd w:w="108" w:type="dxa"/>
        <w:tblBorders>
          <w:top w:val="single" w:sz="12" w:space="0" w:color="auto"/>
          <w:bottom w:val="single" w:sz="12" w:space="0" w:color="auto"/>
        </w:tblBorders>
        <w:tblLook w:val="01E0" w:firstRow="1" w:lastRow="1" w:firstColumn="1" w:lastColumn="1" w:noHBand="0" w:noVBand="0"/>
      </w:tblPr>
      <w:tblGrid>
        <w:gridCol w:w="1701"/>
        <w:gridCol w:w="2019"/>
        <w:gridCol w:w="2019"/>
        <w:gridCol w:w="2589"/>
      </w:tblGrid>
      <w:tr w:rsidR="00A0623E" w:rsidRPr="007D73EF" w14:paraId="50553230" w14:textId="77777777" w:rsidTr="00FF62F3">
        <w:trPr>
          <w:trHeight w:val="20"/>
        </w:trPr>
        <w:tc>
          <w:tcPr>
            <w:tcW w:w="1701" w:type="dxa"/>
            <w:tcBorders>
              <w:top w:val="single" w:sz="4" w:space="0" w:color="auto"/>
              <w:bottom w:val="single" w:sz="6" w:space="0" w:color="auto"/>
            </w:tcBorders>
            <w:shd w:val="clear" w:color="auto" w:fill="auto"/>
          </w:tcPr>
          <w:p w14:paraId="40AE8C59" w14:textId="77777777" w:rsidR="00A0623E" w:rsidRPr="007D73EF" w:rsidRDefault="00A0623E" w:rsidP="00FB36D6">
            <w:pPr>
              <w:pStyle w:val="BayerTableRowHeadings"/>
              <w:rPr>
                <w:b/>
                <w:bCs/>
                <w:lang w:eastAsia="ja-JP"/>
              </w:rPr>
            </w:pPr>
          </w:p>
        </w:tc>
        <w:tc>
          <w:tcPr>
            <w:tcW w:w="2019" w:type="dxa"/>
            <w:tcBorders>
              <w:top w:val="single" w:sz="4" w:space="0" w:color="auto"/>
              <w:bottom w:val="single" w:sz="6" w:space="0" w:color="auto"/>
            </w:tcBorders>
            <w:shd w:val="clear" w:color="auto" w:fill="auto"/>
          </w:tcPr>
          <w:p w14:paraId="034B068E" w14:textId="6F435DB0" w:rsidR="00A0623E" w:rsidRPr="007D73EF" w:rsidRDefault="00A0623E" w:rsidP="00F5785E">
            <w:pPr>
              <w:pStyle w:val="BayerTableRowHeadings"/>
              <w:jc w:val="center"/>
              <w:rPr>
                <w:b/>
                <w:bCs/>
                <w:lang w:eastAsia="ja-JP"/>
              </w:rPr>
            </w:pPr>
            <w:r w:rsidRPr="007D73EF">
              <w:rPr>
                <w:b/>
                <w:bCs/>
                <w:lang w:eastAsia="ja-JP"/>
              </w:rPr>
              <w:t>Gadovist</w:t>
            </w:r>
            <w:r w:rsidRPr="007D73EF">
              <w:rPr>
                <w:b/>
                <w:bCs/>
                <w:lang w:eastAsia="ja-JP"/>
              </w:rPr>
              <w:br/>
              <w:t xml:space="preserve">Mean </w:t>
            </w:r>
            <w:r w:rsidRPr="007D73EF">
              <w:rPr>
                <w:b/>
                <w:bCs/>
                <w:lang w:eastAsia="ja-JP"/>
              </w:rPr>
              <w:sym w:font="Symbol" w:char="F0B1"/>
            </w:r>
            <w:r w:rsidRPr="007D73EF">
              <w:rPr>
                <w:b/>
                <w:bCs/>
                <w:lang w:eastAsia="ja-JP"/>
              </w:rPr>
              <w:t xml:space="preserve"> SD (N)</w:t>
            </w:r>
          </w:p>
        </w:tc>
        <w:tc>
          <w:tcPr>
            <w:tcW w:w="2019" w:type="dxa"/>
            <w:tcBorders>
              <w:top w:val="single" w:sz="4" w:space="0" w:color="auto"/>
              <w:bottom w:val="single" w:sz="6" w:space="0" w:color="auto"/>
            </w:tcBorders>
            <w:shd w:val="clear" w:color="auto" w:fill="auto"/>
          </w:tcPr>
          <w:p w14:paraId="70472F5A" w14:textId="77777777" w:rsidR="00A0623E" w:rsidRPr="007D73EF" w:rsidRDefault="00A0623E" w:rsidP="00FB36D6">
            <w:pPr>
              <w:pStyle w:val="BayerTableRowHeadings"/>
              <w:jc w:val="center"/>
              <w:rPr>
                <w:b/>
                <w:bCs/>
                <w:lang w:eastAsia="ja-JP"/>
              </w:rPr>
            </w:pPr>
            <w:r w:rsidRPr="007D73EF">
              <w:rPr>
                <w:b/>
                <w:bCs/>
                <w:lang w:eastAsia="ja-JP"/>
              </w:rPr>
              <w:t>Magnevist</w:t>
            </w:r>
            <w:r w:rsidRPr="007D73EF">
              <w:rPr>
                <w:b/>
                <w:bCs/>
                <w:lang w:eastAsia="ja-JP"/>
              </w:rPr>
              <w:br/>
              <w:t xml:space="preserve">Mean </w:t>
            </w:r>
            <w:r w:rsidRPr="007D73EF">
              <w:rPr>
                <w:b/>
                <w:bCs/>
                <w:lang w:eastAsia="ja-JP"/>
              </w:rPr>
              <w:sym w:font="Symbol" w:char="F0B1"/>
            </w:r>
            <w:r w:rsidRPr="007D73EF">
              <w:rPr>
                <w:b/>
                <w:bCs/>
                <w:lang w:eastAsia="ja-JP"/>
              </w:rPr>
              <w:t xml:space="preserve"> SD (N)</w:t>
            </w:r>
          </w:p>
        </w:tc>
        <w:tc>
          <w:tcPr>
            <w:tcW w:w="2589" w:type="dxa"/>
            <w:tcBorders>
              <w:top w:val="single" w:sz="4" w:space="0" w:color="auto"/>
              <w:bottom w:val="single" w:sz="6" w:space="0" w:color="auto"/>
            </w:tcBorders>
            <w:shd w:val="clear" w:color="auto" w:fill="auto"/>
          </w:tcPr>
          <w:p w14:paraId="75F0919F" w14:textId="77777777" w:rsidR="00A0623E" w:rsidRPr="007D73EF" w:rsidRDefault="00A0623E" w:rsidP="00FB36D6">
            <w:pPr>
              <w:pStyle w:val="BayerTableRowHeadings"/>
              <w:jc w:val="center"/>
              <w:rPr>
                <w:b/>
                <w:bCs/>
                <w:lang w:eastAsia="ja-JP"/>
              </w:rPr>
            </w:pPr>
            <w:r w:rsidRPr="007D73EF">
              <w:rPr>
                <w:rFonts w:hint="eastAsia"/>
                <w:b/>
                <w:bCs/>
                <w:lang w:eastAsia="ja-JP"/>
              </w:rPr>
              <w:t>D</w:t>
            </w:r>
            <w:r w:rsidRPr="007D73EF">
              <w:rPr>
                <w:b/>
                <w:bCs/>
                <w:lang w:eastAsia="ja-JP"/>
              </w:rPr>
              <w:t xml:space="preserve">ifference </w:t>
            </w:r>
            <w:r w:rsidRPr="007D73EF">
              <w:rPr>
                <w:b/>
                <w:bCs/>
                <w:vertAlign w:val="superscript"/>
                <w:lang w:eastAsia="ja-JP"/>
              </w:rPr>
              <w:t>a)</w:t>
            </w:r>
          </w:p>
          <w:p w14:paraId="290F7055" w14:textId="77777777" w:rsidR="00A0623E" w:rsidRPr="007D73EF" w:rsidRDefault="00A0623E" w:rsidP="00FB36D6">
            <w:pPr>
              <w:pStyle w:val="BayerTableRowHeadings"/>
              <w:jc w:val="center"/>
              <w:rPr>
                <w:b/>
                <w:bCs/>
                <w:lang w:eastAsia="ja-JP"/>
              </w:rPr>
            </w:pPr>
            <w:r w:rsidRPr="007D73EF">
              <w:rPr>
                <w:b/>
                <w:bCs/>
                <w:lang w:eastAsia="ja-JP"/>
              </w:rPr>
              <w:t xml:space="preserve">Mean </w:t>
            </w:r>
            <w:r w:rsidRPr="007D73EF">
              <w:rPr>
                <w:b/>
                <w:bCs/>
                <w:lang w:eastAsia="ja-JP"/>
              </w:rPr>
              <w:sym w:font="Symbol" w:char="F0B1"/>
            </w:r>
            <w:r w:rsidRPr="007D73EF">
              <w:rPr>
                <w:b/>
                <w:bCs/>
                <w:lang w:eastAsia="ja-JP"/>
              </w:rPr>
              <w:t xml:space="preserve"> SD </w:t>
            </w:r>
            <w:r w:rsidRPr="007D73EF">
              <w:rPr>
                <w:rFonts w:hint="eastAsia"/>
                <w:b/>
                <w:bCs/>
                <w:lang w:eastAsia="ja-JP"/>
              </w:rPr>
              <w:t>[</w:t>
            </w:r>
            <w:r w:rsidRPr="007D73EF">
              <w:rPr>
                <w:b/>
                <w:bCs/>
                <w:lang w:eastAsia="ja-JP"/>
              </w:rPr>
              <w:t>95% CI</w:t>
            </w:r>
            <w:r w:rsidRPr="007D73EF">
              <w:rPr>
                <w:rFonts w:hint="eastAsia"/>
                <w:b/>
                <w:bCs/>
                <w:lang w:eastAsia="ja-JP"/>
              </w:rPr>
              <w:t>]</w:t>
            </w:r>
          </w:p>
        </w:tc>
      </w:tr>
      <w:tr w:rsidR="00A0623E" w:rsidRPr="007D73EF" w14:paraId="16205AE1" w14:textId="77777777" w:rsidTr="00FF62F3">
        <w:trPr>
          <w:trHeight w:val="583"/>
        </w:trPr>
        <w:tc>
          <w:tcPr>
            <w:tcW w:w="1701" w:type="dxa"/>
            <w:tcBorders>
              <w:top w:val="single" w:sz="6" w:space="0" w:color="auto"/>
              <w:bottom w:val="single" w:sz="4" w:space="0" w:color="auto"/>
            </w:tcBorders>
            <w:shd w:val="clear" w:color="auto" w:fill="auto"/>
            <w:vAlign w:val="center"/>
          </w:tcPr>
          <w:p w14:paraId="6F7335F3" w14:textId="77777777" w:rsidR="00A0623E" w:rsidRPr="007D73EF" w:rsidRDefault="00A0623E" w:rsidP="00FB36D6">
            <w:pPr>
              <w:pStyle w:val="BayerTableStyleLeftJustified"/>
              <w:rPr>
                <w:lang w:eastAsia="ja-JP"/>
              </w:rPr>
            </w:pPr>
            <w:r w:rsidRPr="007D73EF">
              <w:rPr>
                <w:lang w:eastAsia="ja-JP"/>
              </w:rPr>
              <w:t>Average blinded reader</w:t>
            </w:r>
          </w:p>
        </w:tc>
        <w:tc>
          <w:tcPr>
            <w:tcW w:w="2019" w:type="dxa"/>
            <w:tcBorders>
              <w:top w:val="single" w:sz="6" w:space="0" w:color="auto"/>
              <w:bottom w:val="single" w:sz="4" w:space="0" w:color="auto"/>
            </w:tcBorders>
            <w:shd w:val="clear" w:color="auto" w:fill="auto"/>
            <w:vAlign w:val="center"/>
          </w:tcPr>
          <w:p w14:paraId="31E9954D" w14:textId="77777777" w:rsidR="00A0623E" w:rsidRPr="007D73EF" w:rsidRDefault="00A0623E" w:rsidP="00FB36D6">
            <w:pPr>
              <w:pStyle w:val="BayerTableStyleCentered"/>
            </w:pPr>
            <w:r w:rsidRPr="007D73EF">
              <w:t>9.39 ± 1.06 (164)</w:t>
            </w:r>
          </w:p>
        </w:tc>
        <w:tc>
          <w:tcPr>
            <w:tcW w:w="2019" w:type="dxa"/>
            <w:tcBorders>
              <w:top w:val="single" w:sz="6" w:space="0" w:color="auto"/>
              <w:bottom w:val="single" w:sz="4" w:space="0" w:color="auto"/>
            </w:tcBorders>
            <w:shd w:val="clear" w:color="auto" w:fill="auto"/>
            <w:vAlign w:val="center"/>
          </w:tcPr>
          <w:p w14:paraId="691185B5" w14:textId="77777777" w:rsidR="00A0623E" w:rsidRPr="007D73EF" w:rsidRDefault="00A0623E" w:rsidP="00FB36D6">
            <w:pPr>
              <w:pStyle w:val="BayerTableStyleCentered"/>
            </w:pPr>
            <w:r w:rsidRPr="007D73EF">
              <w:t>9.34 ± 1.23 (174)</w:t>
            </w:r>
          </w:p>
        </w:tc>
        <w:tc>
          <w:tcPr>
            <w:tcW w:w="2589" w:type="dxa"/>
            <w:tcBorders>
              <w:top w:val="single" w:sz="6" w:space="0" w:color="auto"/>
              <w:bottom w:val="single" w:sz="4" w:space="0" w:color="auto"/>
            </w:tcBorders>
            <w:shd w:val="clear" w:color="auto" w:fill="auto"/>
            <w:vAlign w:val="center"/>
          </w:tcPr>
          <w:p w14:paraId="60436FAE" w14:textId="77777777" w:rsidR="00A0623E" w:rsidRPr="007D73EF" w:rsidRDefault="00A0623E" w:rsidP="00FB36D6">
            <w:pPr>
              <w:pStyle w:val="BayerTableStyleCentered"/>
            </w:pPr>
            <w:r w:rsidRPr="007D73EF">
              <w:t>0.05 ± 1.15 [-0.195, 0.298]</w:t>
            </w:r>
          </w:p>
        </w:tc>
      </w:tr>
      <w:tr w:rsidR="00A0623E" w:rsidRPr="007D73EF" w14:paraId="7A47CC84" w14:textId="77777777" w:rsidTr="00FF62F3">
        <w:tc>
          <w:tcPr>
            <w:tcW w:w="8328" w:type="dxa"/>
            <w:gridSpan w:val="4"/>
            <w:tcBorders>
              <w:top w:val="single" w:sz="4" w:space="0" w:color="auto"/>
              <w:bottom w:val="nil"/>
            </w:tcBorders>
          </w:tcPr>
          <w:p w14:paraId="724B1618" w14:textId="4A2F749A" w:rsidR="00406B54" w:rsidRPr="007D73EF" w:rsidRDefault="00406B54" w:rsidP="00406B54">
            <w:pPr>
              <w:autoSpaceDE w:val="0"/>
              <w:autoSpaceDN w:val="0"/>
              <w:adjustRightInd w:val="0"/>
              <w:rPr>
                <w:rFonts w:cs="Arial"/>
                <w:lang w:val="it-IT" w:eastAsia="ja-JP"/>
              </w:rPr>
            </w:pPr>
            <w:r w:rsidRPr="007D73EF">
              <w:rPr>
                <w:rFonts w:ascii="Arial" w:hAnsi="Arial" w:cs="Arial"/>
                <w:lang w:val="it-IT" w:eastAsia="ja-JP"/>
              </w:rPr>
              <w:t xml:space="preserve">PPS </w:t>
            </w:r>
            <w:r w:rsidR="00DD10DD" w:rsidRPr="007D73EF">
              <w:rPr>
                <w:rFonts w:ascii="Arial" w:hAnsi="Arial" w:cs="Arial"/>
                <w:lang w:val="it-IT" w:eastAsia="ja-JP"/>
              </w:rPr>
              <w:t>population (n=168 in Gadovist</w:t>
            </w:r>
            <w:r w:rsidR="00CC6A20" w:rsidRPr="007D73EF">
              <w:rPr>
                <w:rFonts w:ascii="Arial" w:hAnsi="Arial" w:cs="Arial"/>
                <w:lang w:val="it-IT" w:eastAsia="ja-JP"/>
              </w:rPr>
              <w:t xml:space="preserve"> </w:t>
            </w:r>
            <w:r w:rsidRPr="007D73EF">
              <w:rPr>
                <w:rFonts w:ascii="Arial" w:hAnsi="Arial" w:cs="Arial"/>
                <w:lang w:val="it-IT" w:eastAsia="ja-JP"/>
              </w:rPr>
              <w:t>group and n=178 in Magnevist group) was used for image evaluation but subjects with no lesion (for all blinded readers) were excluded from the analysis</w:t>
            </w:r>
          </w:p>
          <w:p w14:paraId="459B84F0" w14:textId="23966648" w:rsidR="00A0623E" w:rsidRPr="007D73EF" w:rsidRDefault="00A0623E" w:rsidP="00F5785E">
            <w:pPr>
              <w:pStyle w:val="BayerTableFootnote"/>
              <w:rPr>
                <w:rFonts w:cs="Arial"/>
                <w:sz w:val="18"/>
                <w:szCs w:val="18"/>
                <w:lang w:val="it-IT" w:eastAsia="ja-JP"/>
              </w:rPr>
            </w:pPr>
            <w:r w:rsidRPr="007D73EF">
              <w:rPr>
                <w:vertAlign w:val="superscript"/>
              </w:rPr>
              <w:t>a)</w:t>
            </w:r>
            <w:r w:rsidRPr="007D73EF">
              <w:rPr>
                <w:rFonts w:cs="Arial"/>
                <w:bCs/>
                <w:lang w:val="it-IT" w:eastAsia="ja-JP"/>
              </w:rPr>
              <w:t xml:space="preserve"> </w:t>
            </w:r>
            <w:r w:rsidRPr="007D73EF">
              <w:rPr>
                <w:rFonts w:cs="Arial"/>
                <w:lang w:val="it-IT" w:eastAsia="ja-JP"/>
              </w:rPr>
              <w:t>Gadovist</w:t>
            </w:r>
            <w:r w:rsidR="00CC6A20" w:rsidRPr="007D73EF">
              <w:rPr>
                <w:rFonts w:cs="Arial"/>
                <w:lang w:val="it-IT" w:eastAsia="ja-JP"/>
              </w:rPr>
              <w:t xml:space="preserve"> </w:t>
            </w:r>
            <w:r w:rsidRPr="007D73EF">
              <w:rPr>
                <w:rFonts w:cs="Arial"/>
                <w:lang w:val="it-IT" w:eastAsia="ja-JP"/>
              </w:rPr>
              <w:t>minus Magnevist</w:t>
            </w:r>
          </w:p>
        </w:tc>
      </w:tr>
    </w:tbl>
    <w:p w14:paraId="2F7DE249" w14:textId="77777777" w:rsidR="00DB2D49" w:rsidRPr="007D73EF" w:rsidRDefault="00DB2D49" w:rsidP="009B0A1F">
      <w:pPr>
        <w:pStyle w:val="Para0s"/>
        <w:spacing w:before="120" w:after="120" w:line="300" w:lineRule="atLeast"/>
        <w:ind w:right="-29"/>
        <w:jc w:val="both"/>
        <w:rPr>
          <w:rFonts w:ascii="Arial" w:hAnsi="Arial" w:cs="Arial"/>
          <w:szCs w:val="22"/>
        </w:rPr>
      </w:pPr>
    </w:p>
    <w:p w14:paraId="0B5EC797" w14:textId="02427322" w:rsidR="00315686" w:rsidRPr="007D73EF" w:rsidRDefault="009B0A1F" w:rsidP="009B0A1F">
      <w:pPr>
        <w:pStyle w:val="Para0s"/>
        <w:spacing w:before="120" w:after="120" w:line="300" w:lineRule="atLeast"/>
        <w:ind w:right="-29"/>
        <w:jc w:val="both"/>
        <w:rPr>
          <w:rFonts w:ascii="Arial" w:hAnsi="Arial" w:cs="Arial"/>
          <w:szCs w:val="22"/>
        </w:rPr>
      </w:pPr>
      <w:r w:rsidRPr="007D73EF">
        <w:rPr>
          <w:rFonts w:ascii="Arial" w:hAnsi="Arial" w:cs="Arial"/>
          <w:szCs w:val="22"/>
        </w:rPr>
        <w:t>Results of a sub-group analysis by body region are presented in Table 6 below. The lower limits of the 95% CIs of the difference (Gadovist minus Magnevist) in the total score were –0.783 or above for all body regions.</w:t>
      </w:r>
    </w:p>
    <w:p w14:paraId="4E1BA0C1" w14:textId="77777777" w:rsidR="00DB2D49" w:rsidRPr="007D73EF" w:rsidRDefault="00DB2D49">
      <w:pPr>
        <w:rPr>
          <w:rFonts w:ascii="Arial" w:hAnsi="Arial" w:cs="Arial"/>
          <w:b/>
          <w:sz w:val="22"/>
          <w:szCs w:val="22"/>
        </w:rPr>
      </w:pPr>
    </w:p>
    <w:p w14:paraId="14F2EF19" w14:textId="3B08E389" w:rsidR="009B0A1F" w:rsidRPr="007D73EF" w:rsidRDefault="009B0A1F" w:rsidP="00DB2D49">
      <w:pPr>
        <w:spacing w:before="120" w:after="120" w:line="300" w:lineRule="atLeast"/>
        <w:ind w:right="-29"/>
        <w:jc w:val="both"/>
        <w:rPr>
          <w:rFonts w:ascii="Arial" w:hAnsi="Arial" w:cs="Arial"/>
          <w:b/>
          <w:sz w:val="22"/>
          <w:szCs w:val="22"/>
          <w:lang w:val="en-AU"/>
        </w:rPr>
      </w:pPr>
      <w:r w:rsidRPr="007D73EF">
        <w:rPr>
          <w:rFonts w:ascii="Arial" w:hAnsi="Arial" w:cs="Arial"/>
          <w:b/>
          <w:sz w:val="22"/>
          <w:szCs w:val="22"/>
          <w:lang w:val="en-AU"/>
        </w:rPr>
        <w:t xml:space="preserve">Table 6: </w:t>
      </w:r>
      <w:r w:rsidR="00DB2D49" w:rsidRPr="007D73EF">
        <w:rPr>
          <w:rFonts w:ascii="Arial" w:hAnsi="Arial" w:cs="Arial"/>
          <w:b/>
          <w:sz w:val="22"/>
          <w:szCs w:val="22"/>
          <w:lang w:val="en-AU"/>
        </w:rPr>
        <w:t xml:space="preserve">Total score of 3 visualisation parameters on combined images by body region and 95% CI of the difference between </w:t>
      </w:r>
      <w:r w:rsidR="00003341" w:rsidRPr="007D73EF">
        <w:rPr>
          <w:rFonts w:ascii="Arial" w:hAnsi="Arial" w:cs="Arial"/>
          <w:b/>
          <w:sz w:val="22"/>
          <w:szCs w:val="22"/>
          <w:lang w:val="en-AU"/>
        </w:rPr>
        <w:t>Gadovist</w:t>
      </w:r>
      <w:r w:rsidR="00DB2D49" w:rsidRPr="007D73EF">
        <w:rPr>
          <w:rFonts w:ascii="Arial" w:hAnsi="Arial" w:cs="Arial"/>
          <w:b/>
          <w:sz w:val="22"/>
          <w:szCs w:val="22"/>
          <w:lang w:val="en-AU"/>
        </w:rPr>
        <w:t xml:space="preserve"> and Magnevist - average blinded reader (PPS)</w:t>
      </w:r>
    </w:p>
    <w:tbl>
      <w:tblPr>
        <w:tblW w:w="8443" w:type="dxa"/>
        <w:tblInd w:w="108" w:type="dxa"/>
        <w:tblBorders>
          <w:top w:val="single" w:sz="12" w:space="0" w:color="auto"/>
          <w:bottom w:val="single" w:sz="12" w:space="0" w:color="auto"/>
        </w:tblBorders>
        <w:tblLook w:val="01E0" w:firstRow="1" w:lastRow="1" w:firstColumn="1" w:lastColumn="1" w:noHBand="0" w:noVBand="0"/>
      </w:tblPr>
      <w:tblGrid>
        <w:gridCol w:w="1494"/>
        <w:gridCol w:w="450"/>
        <w:gridCol w:w="1438"/>
        <w:gridCol w:w="550"/>
        <w:gridCol w:w="1375"/>
        <w:gridCol w:w="3021"/>
        <w:gridCol w:w="115"/>
      </w:tblGrid>
      <w:tr w:rsidR="00DB2D49" w:rsidRPr="007D73EF" w14:paraId="342E74F4" w14:textId="77777777" w:rsidTr="00914AD3">
        <w:trPr>
          <w:trHeight w:val="20"/>
        </w:trPr>
        <w:tc>
          <w:tcPr>
            <w:tcW w:w="1494" w:type="dxa"/>
            <w:tcBorders>
              <w:top w:val="single" w:sz="4" w:space="0" w:color="auto"/>
              <w:bottom w:val="single" w:sz="6" w:space="0" w:color="auto"/>
            </w:tcBorders>
            <w:shd w:val="clear" w:color="auto" w:fill="auto"/>
          </w:tcPr>
          <w:p w14:paraId="46CB4389" w14:textId="77777777" w:rsidR="00DB2D49" w:rsidRPr="007D73EF" w:rsidRDefault="00DB2D49" w:rsidP="00246A47">
            <w:pPr>
              <w:pStyle w:val="BayerTableRowHeadings"/>
              <w:jc w:val="center"/>
              <w:rPr>
                <w:b/>
                <w:bCs/>
                <w:lang w:val="en-AU" w:eastAsia="ja-JP"/>
              </w:rPr>
            </w:pPr>
            <w:r w:rsidRPr="007D73EF">
              <w:rPr>
                <w:b/>
                <w:bCs/>
                <w:lang w:val="en-AU" w:eastAsia="ja-JP"/>
              </w:rPr>
              <w:t>Body region</w:t>
            </w:r>
          </w:p>
        </w:tc>
        <w:tc>
          <w:tcPr>
            <w:tcW w:w="450" w:type="dxa"/>
            <w:tcBorders>
              <w:top w:val="single" w:sz="4" w:space="0" w:color="auto"/>
              <w:bottom w:val="single" w:sz="6" w:space="0" w:color="auto"/>
            </w:tcBorders>
          </w:tcPr>
          <w:p w14:paraId="7EEAB41C" w14:textId="77777777" w:rsidR="00DB2D49" w:rsidRPr="007D73EF" w:rsidRDefault="00DB2D49" w:rsidP="00246A47">
            <w:pPr>
              <w:pStyle w:val="BayerTableRowHeadings"/>
              <w:jc w:val="center"/>
              <w:rPr>
                <w:b/>
                <w:bCs/>
                <w:lang w:val="en-AU" w:eastAsia="ja-JP"/>
              </w:rPr>
            </w:pPr>
            <w:r w:rsidRPr="007D73EF">
              <w:rPr>
                <w:b/>
                <w:bCs/>
                <w:lang w:val="en-AU" w:eastAsia="ja-JP"/>
              </w:rPr>
              <w:t>n</w:t>
            </w:r>
          </w:p>
        </w:tc>
        <w:tc>
          <w:tcPr>
            <w:tcW w:w="1438" w:type="dxa"/>
            <w:tcBorders>
              <w:top w:val="single" w:sz="4" w:space="0" w:color="auto"/>
              <w:bottom w:val="single" w:sz="6" w:space="0" w:color="auto"/>
            </w:tcBorders>
            <w:shd w:val="clear" w:color="auto" w:fill="auto"/>
          </w:tcPr>
          <w:p w14:paraId="0D0C921B" w14:textId="42497D81" w:rsidR="00DB2D49" w:rsidRPr="007D73EF" w:rsidRDefault="00DB2D49" w:rsidP="00F5785E">
            <w:pPr>
              <w:pStyle w:val="BayerTableRowHeadings"/>
              <w:jc w:val="center"/>
              <w:rPr>
                <w:b/>
                <w:bCs/>
                <w:lang w:val="en-AU" w:eastAsia="ja-JP"/>
              </w:rPr>
            </w:pPr>
            <w:r w:rsidRPr="007D73EF">
              <w:rPr>
                <w:b/>
                <w:bCs/>
                <w:lang w:val="en-AU" w:eastAsia="ja-JP"/>
              </w:rPr>
              <w:t>Gadovist</w:t>
            </w:r>
          </w:p>
        </w:tc>
        <w:tc>
          <w:tcPr>
            <w:tcW w:w="550" w:type="dxa"/>
            <w:tcBorders>
              <w:top w:val="single" w:sz="4" w:space="0" w:color="auto"/>
              <w:bottom w:val="single" w:sz="6" w:space="0" w:color="auto"/>
            </w:tcBorders>
          </w:tcPr>
          <w:p w14:paraId="364DDA12" w14:textId="77777777" w:rsidR="00DB2D49" w:rsidRPr="007D73EF" w:rsidRDefault="00DB2D49" w:rsidP="00246A47">
            <w:pPr>
              <w:pStyle w:val="BayerTableRowHeadings"/>
              <w:jc w:val="center"/>
              <w:rPr>
                <w:b/>
                <w:bCs/>
                <w:lang w:val="en-AU" w:eastAsia="ja-JP"/>
              </w:rPr>
            </w:pPr>
            <w:r w:rsidRPr="007D73EF">
              <w:rPr>
                <w:b/>
                <w:bCs/>
                <w:lang w:val="en-AU" w:eastAsia="ja-JP"/>
              </w:rPr>
              <w:t>n</w:t>
            </w:r>
          </w:p>
        </w:tc>
        <w:tc>
          <w:tcPr>
            <w:tcW w:w="1375" w:type="dxa"/>
            <w:tcBorders>
              <w:top w:val="single" w:sz="4" w:space="0" w:color="auto"/>
              <w:bottom w:val="single" w:sz="6" w:space="0" w:color="auto"/>
            </w:tcBorders>
            <w:shd w:val="clear" w:color="auto" w:fill="auto"/>
          </w:tcPr>
          <w:p w14:paraId="63B3AA38" w14:textId="77777777" w:rsidR="00DB2D49" w:rsidRPr="007D73EF" w:rsidRDefault="00DB2D49" w:rsidP="00246A47">
            <w:pPr>
              <w:pStyle w:val="BayerTableRowHeadings"/>
              <w:jc w:val="center"/>
              <w:rPr>
                <w:b/>
                <w:bCs/>
                <w:lang w:val="en-AU" w:eastAsia="ja-JP"/>
              </w:rPr>
            </w:pPr>
            <w:r w:rsidRPr="007D73EF">
              <w:rPr>
                <w:b/>
                <w:bCs/>
                <w:lang w:val="en-AU" w:eastAsia="ja-JP"/>
              </w:rPr>
              <w:t>Magnevist</w:t>
            </w:r>
          </w:p>
        </w:tc>
        <w:tc>
          <w:tcPr>
            <w:tcW w:w="3136" w:type="dxa"/>
            <w:gridSpan w:val="2"/>
            <w:tcBorders>
              <w:top w:val="single" w:sz="4" w:space="0" w:color="auto"/>
              <w:bottom w:val="single" w:sz="6" w:space="0" w:color="auto"/>
            </w:tcBorders>
            <w:shd w:val="clear" w:color="auto" w:fill="auto"/>
          </w:tcPr>
          <w:p w14:paraId="7E9623B2" w14:textId="77777777" w:rsidR="00DB2D49" w:rsidRPr="007D73EF" w:rsidRDefault="00DB2D49" w:rsidP="00246A47">
            <w:pPr>
              <w:pStyle w:val="BayerTableRowHeadings"/>
              <w:jc w:val="center"/>
              <w:rPr>
                <w:b/>
                <w:bCs/>
                <w:lang w:val="en-AU" w:eastAsia="ja-JP"/>
              </w:rPr>
            </w:pPr>
            <w:r w:rsidRPr="007D73EF">
              <w:rPr>
                <w:b/>
                <w:bCs/>
                <w:lang w:val="en-AU" w:eastAsia="ja-JP"/>
              </w:rPr>
              <w:t>Difference a)</w:t>
            </w:r>
          </w:p>
          <w:p w14:paraId="60E45F72" w14:textId="77777777" w:rsidR="00DB2D49" w:rsidRPr="007D73EF" w:rsidRDefault="00DB2D49" w:rsidP="00246A47">
            <w:pPr>
              <w:pStyle w:val="BayerTableRowHeadings"/>
              <w:jc w:val="center"/>
              <w:rPr>
                <w:b/>
                <w:bCs/>
                <w:lang w:val="en-AU" w:eastAsia="ja-JP"/>
              </w:rPr>
            </w:pPr>
            <w:r w:rsidRPr="007D73EF">
              <w:rPr>
                <w:b/>
                <w:bCs/>
                <w:lang w:val="en-AU" w:eastAsia="ja-JP"/>
              </w:rPr>
              <w:t>Lower limit, Upper limit of</w:t>
            </w:r>
            <w:r w:rsidRPr="007D73EF">
              <w:rPr>
                <w:b/>
                <w:bCs/>
                <w:lang w:val="en-AU" w:eastAsia="ja-JP"/>
              </w:rPr>
              <w:br/>
              <w:t>95% CI</w:t>
            </w:r>
          </w:p>
        </w:tc>
      </w:tr>
      <w:tr w:rsidR="00DB2D49" w:rsidRPr="007D73EF" w14:paraId="1556C457" w14:textId="77777777" w:rsidTr="00914AD3">
        <w:trPr>
          <w:trHeight w:val="292"/>
        </w:trPr>
        <w:tc>
          <w:tcPr>
            <w:tcW w:w="1494" w:type="dxa"/>
            <w:tcBorders>
              <w:top w:val="single" w:sz="6" w:space="0" w:color="auto"/>
              <w:bottom w:val="nil"/>
            </w:tcBorders>
            <w:shd w:val="clear" w:color="auto" w:fill="auto"/>
          </w:tcPr>
          <w:p w14:paraId="754974A0"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Breast</w:t>
            </w:r>
          </w:p>
        </w:tc>
        <w:tc>
          <w:tcPr>
            <w:tcW w:w="450" w:type="dxa"/>
            <w:tcBorders>
              <w:top w:val="single" w:sz="6" w:space="0" w:color="auto"/>
              <w:bottom w:val="nil"/>
            </w:tcBorders>
          </w:tcPr>
          <w:p w14:paraId="1E0C22FA"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24</w:t>
            </w:r>
          </w:p>
        </w:tc>
        <w:tc>
          <w:tcPr>
            <w:tcW w:w="1438" w:type="dxa"/>
            <w:tcBorders>
              <w:top w:val="single" w:sz="6" w:space="0" w:color="auto"/>
              <w:bottom w:val="nil"/>
            </w:tcBorders>
            <w:shd w:val="clear" w:color="auto" w:fill="auto"/>
          </w:tcPr>
          <w:p w14:paraId="52A6863E"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10.16 ± 0.95</w:t>
            </w:r>
          </w:p>
        </w:tc>
        <w:tc>
          <w:tcPr>
            <w:tcW w:w="550" w:type="dxa"/>
            <w:tcBorders>
              <w:top w:val="single" w:sz="6" w:space="0" w:color="auto"/>
              <w:bottom w:val="nil"/>
            </w:tcBorders>
          </w:tcPr>
          <w:p w14:paraId="5978E5EB"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28</w:t>
            </w:r>
          </w:p>
        </w:tc>
        <w:tc>
          <w:tcPr>
            <w:tcW w:w="1375" w:type="dxa"/>
            <w:tcBorders>
              <w:top w:val="single" w:sz="6" w:space="0" w:color="auto"/>
              <w:bottom w:val="nil"/>
            </w:tcBorders>
            <w:shd w:val="clear" w:color="auto" w:fill="auto"/>
          </w:tcPr>
          <w:p w14:paraId="0E1949B5"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10.16 ± 0.81</w:t>
            </w:r>
          </w:p>
        </w:tc>
        <w:tc>
          <w:tcPr>
            <w:tcW w:w="3136" w:type="dxa"/>
            <w:gridSpan w:val="2"/>
            <w:tcBorders>
              <w:top w:val="single" w:sz="6" w:space="0" w:color="auto"/>
              <w:bottom w:val="nil"/>
            </w:tcBorders>
            <w:shd w:val="clear" w:color="auto" w:fill="auto"/>
          </w:tcPr>
          <w:p w14:paraId="7B2D565A"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0.00 ± 0.88 (-0.493, 0.489)</w:t>
            </w:r>
          </w:p>
        </w:tc>
      </w:tr>
      <w:tr w:rsidR="00DB2D49" w:rsidRPr="007D73EF" w14:paraId="138658BE" w14:textId="77777777" w:rsidTr="00914AD3">
        <w:trPr>
          <w:trHeight w:val="307"/>
        </w:trPr>
        <w:tc>
          <w:tcPr>
            <w:tcW w:w="0" w:type="auto"/>
            <w:tcBorders>
              <w:top w:val="nil"/>
              <w:bottom w:val="nil"/>
            </w:tcBorders>
            <w:shd w:val="clear" w:color="auto" w:fill="auto"/>
          </w:tcPr>
          <w:p w14:paraId="3CB70B02"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Heart</w:t>
            </w:r>
          </w:p>
        </w:tc>
        <w:tc>
          <w:tcPr>
            <w:tcW w:w="0" w:type="auto"/>
            <w:tcBorders>
              <w:top w:val="nil"/>
              <w:bottom w:val="nil"/>
            </w:tcBorders>
          </w:tcPr>
          <w:p w14:paraId="552E178E"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20</w:t>
            </w:r>
          </w:p>
        </w:tc>
        <w:tc>
          <w:tcPr>
            <w:tcW w:w="0" w:type="auto"/>
            <w:tcBorders>
              <w:top w:val="nil"/>
              <w:bottom w:val="nil"/>
            </w:tcBorders>
            <w:shd w:val="clear" w:color="auto" w:fill="auto"/>
          </w:tcPr>
          <w:p w14:paraId="644A7588"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9.49 ± 1.11</w:t>
            </w:r>
          </w:p>
        </w:tc>
        <w:tc>
          <w:tcPr>
            <w:tcW w:w="0" w:type="auto"/>
            <w:tcBorders>
              <w:top w:val="nil"/>
              <w:bottom w:val="nil"/>
            </w:tcBorders>
          </w:tcPr>
          <w:p w14:paraId="178BBF2C"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24</w:t>
            </w:r>
          </w:p>
        </w:tc>
        <w:tc>
          <w:tcPr>
            <w:tcW w:w="0" w:type="auto"/>
            <w:tcBorders>
              <w:top w:val="nil"/>
              <w:bottom w:val="nil"/>
            </w:tcBorders>
            <w:shd w:val="clear" w:color="auto" w:fill="auto"/>
          </w:tcPr>
          <w:p w14:paraId="6731A983"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9.38 ± 1.70</w:t>
            </w:r>
          </w:p>
        </w:tc>
        <w:tc>
          <w:tcPr>
            <w:tcW w:w="0" w:type="auto"/>
            <w:gridSpan w:val="2"/>
            <w:tcBorders>
              <w:top w:val="nil"/>
              <w:bottom w:val="nil"/>
            </w:tcBorders>
            <w:shd w:val="clear" w:color="auto" w:fill="auto"/>
          </w:tcPr>
          <w:p w14:paraId="7740FF12"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0.11 ± 1.46 (-0.783, 1.001)</w:t>
            </w:r>
          </w:p>
        </w:tc>
      </w:tr>
      <w:tr w:rsidR="00DB2D49" w:rsidRPr="007D73EF" w14:paraId="6AF29D38" w14:textId="77777777" w:rsidTr="00914AD3">
        <w:trPr>
          <w:trHeight w:val="280"/>
        </w:trPr>
        <w:tc>
          <w:tcPr>
            <w:tcW w:w="0" w:type="auto"/>
            <w:tcBorders>
              <w:top w:val="nil"/>
              <w:bottom w:val="nil"/>
            </w:tcBorders>
            <w:shd w:val="clear" w:color="auto" w:fill="auto"/>
          </w:tcPr>
          <w:p w14:paraId="24072699"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Kidney</w:t>
            </w:r>
          </w:p>
        </w:tc>
        <w:tc>
          <w:tcPr>
            <w:tcW w:w="0" w:type="auto"/>
            <w:tcBorders>
              <w:top w:val="nil"/>
              <w:bottom w:val="nil"/>
            </w:tcBorders>
          </w:tcPr>
          <w:p w14:paraId="4160908D"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29</w:t>
            </w:r>
          </w:p>
        </w:tc>
        <w:tc>
          <w:tcPr>
            <w:tcW w:w="0" w:type="auto"/>
            <w:tcBorders>
              <w:top w:val="nil"/>
              <w:bottom w:val="nil"/>
            </w:tcBorders>
            <w:shd w:val="clear" w:color="auto" w:fill="auto"/>
          </w:tcPr>
          <w:p w14:paraId="30964A50"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8.68 ± 0.87</w:t>
            </w:r>
          </w:p>
        </w:tc>
        <w:tc>
          <w:tcPr>
            <w:tcW w:w="0" w:type="auto"/>
            <w:tcBorders>
              <w:top w:val="nil"/>
              <w:bottom w:val="nil"/>
            </w:tcBorders>
          </w:tcPr>
          <w:p w14:paraId="10ADB7C8"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31</w:t>
            </w:r>
          </w:p>
        </w:tc>
        <w:tc>
          <w:tcPr>
            <w:tcW w:w="0" w:type="auto"/>
            <w:tcBorders>
              <w:top w:val="nil"/>
              <w:bottom w:val="nil"/>
            </w:tcBorders>
            <w:shd w:val="clear" w:color="auto" w:fill="auto"/>
          </w:tcPr>
          <w:p w14:paraId="73702987"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8.95 ± 1.01</w:t>
            </w:r>
          </w:p>
        </w:tc>
        <w:tc>
          <w:tcPr>
            <w:tcW w:w="0" w:type="auto"/>
            <w:gridSpan w:val="2"/>
            <w:tcBorders>
              <w:top w:val="nil"/>
              <w:bottom w:val="nil"/>
            </w:tcBorders>
            <w:shd w:val="clear" w:color="auto" w:fill="auto"/>
          </w:tcPr>
          <w:p w14:paraId="30F610E3"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-0.26 ± 0.95 (-0.752, 0.228)</w:t>
            </w:r>
          </w:p>
        </w:tc>
      </w:tr>
      <w:tr w:rsidR="00DB2D49" w:rsidRPr="007D73EF" w14:paraId="6619E684" w14:textId="77777777" w:rsidTr="00914AD3">
        <w:trPr>
          <w:trHeight w:val="343"/>
        </w:trPr>
        <w:tc>
          <w:tcPr>
            <w:tcW w:w="0" w:type="auto"/>
            <w:tcBorders>
              <w:top w:val="nil"/>
              <w:bottom w:val="nil"/>
            </w:tcBorders>
            <w:shd w:val="clear" w:color="auto" w:fill="auto"/>
          </w:tcPr>
          <w:p w14:paraId="7886557E"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Extremities</w:t>
            </w:r>
          </w:p>
        </w:tc>
        <w:tc>
          <w:tcPr>
            <w:tcW w:w="0" w:type="auto"/>
            <w:tcBorders>
              <w:top w:val="nil"/>
              <w:bottom w:val="nil"/>
            </w:tcBorders>
          </w:tcPr>
          <w:p w14:paraId="548AAF32"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29</w:t>
            </w:r>
          </w:p>
        </w:tc>
        <w:tc>
          <w:tcPr>
            <w:tcW w:w="0" w:type="auto"/>
            <w:tcBorders>
              <w:top w:val="nil"/>
              <w:bottom w:val="nil"/>
            </w:tcBorders>
            <w:shd w:val="clear" w:color="auto" w:fill="auto"/>
          </w:tcPr>
          <w:p w14:paraId="676FE4B5"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9.85 ± 0.92</w:t>
            </w:r>
          </w:p>
        </w:tc>
        <w:tc>
          <w:tcPr>
            <w:tcW w:w="0" w:type="auto"/>
            <w:tcBorders>
              <w:top w:val="nil"/>
              <w:bottom w:val="nil"/>
            </w:tcBorders>
          </w:tcPr>
          <w:p w14:paraId="4AA5E1E6"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30</w:t>
            </w:r>
          </w:p>
        </w:tc>
        <w:tc>
          <w:tcPr>
            <w:tcW w:w="0" w:type="auto"/>
            <w:tcBorders>
              <w:top w:val="nil"/>
              <w:bottom w:val="nil"/>
            </w:tcBorders>
            <w:shd w:val="clear" w:color="auto" w:fill="auto"/>
          </w:tcPr>
          <w:p w14:paraId="58D80ED8"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9.01 ± 1.39</w:t>
            </w:r>
          </w:p>
        </w:tc>
        <w:tc>
          <w:tcPr>
            <w:tcW w:w="0" w:type="auto"/>
            <w:gridSpan w:val="2"/>
            <w:tcBorders>
              <w:top w:val="nil"/>
              <w:bottom w:val="nil"/>
            </w:tcBorders>
            <w:shd w:val="clear" w:color="auto" w:fill="auto"/>
          </w:tcPr>
          <w:p w14:paraId="73BE4996"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0.85 ± 1.19 ( 0.228, 1.466)</w:t>
            </w:r>
          </w:p>
        </w:tc>
      </w:tr>
      <w:tr w:rsidR="00DB2D49" w:rsidRPr="007D73EF" w14:paraId="117BDF27" w14:textId="77777777" w:rsidTr="00914AD3">
        <w:trPr>
          <w:trHeight w:val="343"/>
        </w:trPr>
        <w:tc>
          <w:tcPr>
            <w:tcW w:w="0" w:type="auto"/>
            <w:tcBorders>
              <w:top w:val="nil"/>
              <w:bottom w:val="nil"/>
            </w:tcBorders>
            <w:shd w:val="clear" w:color="auto" w:fill="auto"/>
          </w:tcPr>
          <w:p w14:paraId="0AAD4CDE"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Abdomen</w:t>
            </w:r>
          </w:p>
        </w:tc>
        <w:tc>
          <w:tcPr>
            <w:tcW w:w="0" w:type="auto"/>
            <w:tcBorders>
              <w:top w:val="nil"/>
              <w:bottom w:val="nil"/>
            </w:tcBorders>
          </w:tcPr>
          <w:p w14:paraId="356A9E3E"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30</w:t>
            </w:r>
          </w:p>
        </w:tc>
        <w:tc>
          <w:tcPr>
            <w:tcW w:w="0" w:type="auto"/>
            <w:tcBorders>
              <w:top w:val="nil"/>
              <w:bottom w:val="nil"/>
            </w:tcBorders>
            <w:shd w:val="clear" w:color="auto" w:fill="auto"/>
          </w:tcPr>
          <w:p w14:paraId="56456FD6"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9.02 ± 1.03</w:t>
            </w:r>
          </w:p>
        </w:tc>
        <w:tc>
          <w:tcPr>
            <w:tcW w:w="0" w:type="auto"/>
            <w:tcBorders>
              <w:top w:val="nil"/>
              <w:bottom w:val="nil"/>
            </w:tcBorders>
          </w:tcPr>
          <w:p w14:paraId="40E0513D"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30</w:t>
            </w:r>
          </w:p>
        </w:tc>
        <w:tc>
          <w:tcPr>
            <w:tcW w:w="0" w:type="auto"/>
            <w:tcBorders>
              <w:top w:val="nil"/>
              <w:bottom w:val="nil"/>
            </w:tcBorders>
            <w:shd w:val="clear" w:color="auto" w:fill="auto"/>
          </w:tcPr>
          <w:p w14:paraId="78996B98"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9.07 ± 1.17</w:t>
            </w:r>
          </w:p>
        </w:tc>
        <w:tc>
          <w:tcPr>
            <w:tcW w:w="0" w:type="auto"/>
            <w:gridSpan w:val="2"/>
            <w:tcBorders>
              <w:top w:val="nil"/>
              <w:bottom w:val="nil"/>
            </w:tcBorders>
            <w:shd w:val="clear" w:color="auto" w:fill="auto"/>
          </w:tcPr>
          <w:p w14:paraId="30C1AFA3"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-0.05 ± 1.10 (-0.624, 0.518)</w:t>
            </w:r>
          </w:p>
        </w:tc>
      </w:tr>
      <w:tr w:rsidR="00DB2D49" w:rsidRPr="007D73EF" w14:paraId="368D5167" w14:textId="77777777" w:rsidTr="00914AD3">
        <w:trPr>
          <w:trHeight w:val="361"/>
        </w:trPr>
        <w:tc>
          <w:tcPr>
            <w:tcW w:w="0" w:type="auto"/>
            <w:tcBorders>
              <w:top w:val="nil"/>
              <w:bottom w:val="single" w:sz="4" w:space="0" w:color="auto"/>
            </w:tcBorders>
            <w:shd w:val="clear" w:color="auto" w:fill="auto"/>
          </w:tcPr>
          <w:p w14:paraId="582C93F6"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Pelvis</w:t>
            </w:r>
          </w:p>
        </w:tc>
        <w:tc>
          <w:tcPr>
            <w:tcW w:w="0" w:type="auto"/>
            <w:tcBorders>
              <w:top w:val="nil"/>
              <w:bottom w:val="single" w:sz="4" w:space="0" w:color="auto"/>
            </w:tcBorders>
          </w:tcPr>
          <w:p w14:paraId="4135386E"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32</w:t>
            </w:r>
          </w:p>
        </w:tc>
        <w:tc>
          <w:tcPr>
            <w:tcW w:w="0" w:type="auto"/>
            <w:tcBorders>
              <w:top w:val="nil"/>
              <w:bottom w:val="single" w:sz="4" w:space="0" w:color="auto"/>
            </w:tcBorders>
            <w:shd w:val="clear" w:color="auto" w:fill="auto"/>
          </w:tcPr>
          <w:p w14:paraId="31C2BBAA"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9.34 ± 0.89</w:t>
            </w:r>
          </w:p>
        </w:tc>
        <w:tc>
          <w:tcPr>
            <w:tcW w:w="0" w:type="auto"/>
            <w:tcBorders>
              <w:top w:val="nil"/>
              <w:bottom w:val="single" w:sz="4" w:space="0" w:color="auto"/>
            </w:tcBorders>
          </w:tcPr>
          <w:p w14:paraId="16A62B39"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31</w:t>
            </w:r>
          </w:p>
        </w:tc>
        <w:tc>
          <w:tcPr>
            <w:tcW w:w="0" w:type="auto"/>
            <w:tcBorders>
              <w:top w:val="nil"/>
              <w:bottom w:val="single" w:sz="4" w:space="0" w:color="auto"/>
            </w:tcBorders>
            <w:shd w:val="clear" w:color="auto" w:fill="auto"/>
          </w:tcPr>
          <w:p w14:paraId="7FD4E19A"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9.55 ± 0.82</w:t>
            </w:r>
          </w:p>
        </w:tc>
        <w:tc>
          <w:tcPr>
            <w:tcW w:w="0" w:type="auto"/>
            <w:gridSpan w:val="2"/>
            <w:tcBorders>
              <w:top w:val="nil"/>
              <w:bottom w:val="single" w:sz="4" w:space="0" w:color="auto"/>
            </w:tcBorders>
            <w:shd w:val="clear" w:color="auto" w:fill="auto"/>
          </w:tcPr>
          <w:p w14:paraId="24DFBE1E"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-0.22 ± 0.85 (-0.648, 0.210)</w:t>
            </w:r>
          </w:p>
        </w:tc>
      </w:tr>
      <w:tr w:rsidR="00914AD3" w:rsidRPr="007D73EF" w14:paraId="1C611D15" w14:textId="77777777" w:rsidTr="00914AD3">
        <w:trPr>
          <w:gridAfter w:val="1"/>
          <w:wAfter w:w="115" w:type="dxa"/>
        </w:trPr>
        <w:tc>
          <w:tcPr>
            <w:tcW w:w="8328" w:type="dxa"/>
            <w:gridSpan w:val="6"/>
            <w:tcBorders>
              <w:top w:val="nil"/>
              <w:bottom w:val="nil"/>
            </w:tcBorders>
          </w:tcPr>
          <w:p w14:paraId="6678A15A" w14:textId="77777777" w:rsidR="00914AD3" w:rsidRPr="007D73EF" w:rsidRDefault="00914AD3" w:rsidP="00914AD3">
            <w:pPr>
              <w:autoSpaceDE w:val="0"/>
              <w:autoSpaceDN w:val="0"/>
              <w:adjustRightInd w:val="0"/>
              <w:rPr>
                <w:rFonts w:ascii="Arial" w:hAnsi="Arial" w:cs="Arial"/>
                <w:lang w:val="it-IT" w:eastAsia="ja-JP"/>
              </w:rPr>
            </w:pPr>
            <w:r w:rsidRPr="007D73EF">
              <w:rPr>
                <w:rFonts w:ascii="Arial" w:hAnsi="Arial" w:cs="Arial"/>
                <w:lang w:val="it-IT" w:eastAsia="ja-JP"/>
              </w:rPr>
              <w:t>Values are the mean ± standard deviation.</w:t>
            </w:r>
          </w:p>
          <w:p w14:paraId="3CD2D7BB" w14:textId="77777777" w:rsidR="00914AD3" w:rsidRPr="007D73EF" w:rsidRDefault="00914AD3" w:rsidP="00914AD3">
            <w:pPr>
              <w:autoSpaceDE w:val="0"/>
              <w:autoSpaceDN w:val="0"/>
              <w:adjustRightInd w:val="0"/>
              <w:rPr>
                <w:rFonts w:ascii="Arial" w:hAnsi="Arial" w:cs="Arial"/>
                <w:lang w:val="it-IT" w:eastAsia="ja-JP"/>
              </w:rPr>
            </w:pPr>
            <w:r w:rsidRPr="007D73EF">
              <w:rPr>
                <w:rFonts w:ascii="Arial" w:hAnsi="Arial" w:cs="Arial"/>
                <w:lang w:val="it-IT" w:eastAsia="ja-JP"/>
              </w:rPr>
              <w:t>Subjects with no lesion were excluded from the analysis.</w:t>
            </w:r>
          </w:p>
          <w:p w14:paraId="7FAAF932" w14:textId="77777777" w:rsidR="00914AD3" w:rsidRPr="007D73EF" w:rsidRDefault="00914AD3" w:rsidP="00914AD3">
            <w:pPr>
              <w:autoSpaceDE w:val="0"/>
              <w:autoSpaceDN w:val="0"/>
              <w:adjustRightInd w:val="0"/>
              <w:rPr>
                <w:rFonts w:ascii="Arial" w:hAnsi="Arial" w:cs="Arial"/>
                <w:lang w:val="it-IT" w:eastAsia="ja-JP"/>
              </w:rPr>
            </w:pPr>
            <w:r w:rsidRPr="007D73EF">
              <w:rPr>
                <w:rFonts w:ascii="Arial" w:hAnsi="Arial" w:cs="Arial"/>
                <w:lang w:val="it-IT" w:eastAsia="ja-JP"/>
              </w:rPr>
              <w:t>Scores of degree of contrast enhancement, border deli</w:t>
            </w:r>
            <w:r w:rsidR="00003341" w:rsidRPr="007D73EF">
              <w:rPr>
                <w:rFonts w:ascii="Arial" w:hAnsi="Arial" w:cs="Arial"/>
                <w:lang w:val="it-IT" w:eastAsia="ja-JP"/>
              </w:rPr>
              <w:t xml:space="preserve">neation and internal morphology </w:t>
            </w:r>
            <w:r w:rsidRPr="007D73EF">
              <w:rPr>
                <w:rFonts w:ascii="Arial" w:hAnsi="Arial" w:cs="Arial"/>
                <w:lang w:val="it-IT" w:eastAsia="ja-JP"/>
              </w:rPr>
              <w:t>were summed for each</w:t>
            </w:r>
            <w:r w:rsidR="00FF62F3" w:rsidRPr="007D73EF">
              <w:rPr>
                <w:rFonts w:ascii="Arial" w:hAnsi="Arial" w:cs="Arial"/>
                <w:lang w:val="it-IT" w:eastAsia="ja-JP"/>
              </w:rPr>
              <w:t xml:space="preserve"> </w:t>
            </w:r>
            <w:r w:rsidRPr="007D73EF">
              <w:rPr>
                <w:rFonts w:ascii="Arial" w:hAnsi="Arial" w:cs="Arial"/>
                <w:lang w:val="it-IT" w:eastAsia="ja-JP"/>
              </w:rPr>
              <w:t>subject.</w:t>
            </w:r>
          </w:p>
          <w:p w14:paraId="5D26F251" w14:textId="5A5353BD" w:rsidR="00FF62F3" w:rsidRPr="007D73EF" w:rsidRDefault="00914AD3" w:rsidP="00FF62F3">
            <w:pPr>
              <w:autoSpaceDE w:val="0"/>
              <w:autoSpaceDN w:val="0"/>
              <w:adjustRightInd w:val="0"/>
              <w:rPr>
                <w:rFonts w:ascii="Arial" w:hAnsi="Arial" w:cs="Arial"/>
                <w:lang w:val="it-IT" w:eastAsia="ja-JP"/>
              </w:rPr>
            </w:pPr>
            <w:r w:rsidRPr="007D73EF">
              <w:rPr>
                <w:rFonts w:ascii="Arial" w:hAnsi="Arial" w:cs="Arial"/>
                <w:vertAlign w:val="superscript"/>
              </w:rPr>
              <w:t>a)</w:t>
            </w:r>
            <w:r w:rsidRPr="007D73EF">
              <w:rPr>
                <w:rFonts w:ascii="Arial" w:hAnsi="Arial" w:cs="Arial"/>
                <w:bCs/>
                <w:lang w:val="it-IT" w:eastAsia="ja-JP"/>
              </w:rPr>
              <w:t xml:space="preserve"> </w:t>
            </w:r>
            <w:r w:rsidRPr="007D73EF">
              <w:rPr>
                <w:rFonts w:ascii="Arial" w:hAnsi="Arial" w:cs="Arial"/>
                <w:lang w:val="it-IT" w:eastAsia="ja-JP"/>
              </w:rPr>
              <w:t>Gadovist minus Magnevist</w:t>
            </w:r>
            <w:r w:rsidR="00FF62F3" w:rsidRPr="007D73EF">
              <w:rPr>
                <w:rFonts w:ascii="Arial" w:hAnsi="Arial" w:cs="Arial"/>
                <w:lang w:val="it-IT" w:eastAsia="ja-JP"/>
              </w:rPr>
              <w:t xml:space="preserve"> </w:t>
            </w:r>
          </w:p>
          <w:p w14:paraId="3A2AF0B5" w14:textId="77777777" w:rsidR="00914AD3" w:rsidRPr="007D73EF" w:rsidRDefault="00FF62F3" w:rsidP="00FF62F3">
            <w:pPr>
              <w:autoSpaceDE w:val="0"/>
              <w:autoSpaceDN w:val="0"/>
              <w:adjustRightInd w:val="0"/>
              <w:rPr>
                <w:rFonts w:ascii="Arial" w:hAnsi="Arial" w:cs="Arial"/>
                <w:lang w:val="it-IT" w:eastAsia="ja-JP"/>
              </w:rPr>
            </w:pPr>
            <w:r w:rsidRPr="007D73EF">
              <w:rPr>
                <w:rFonts w:ascii="Arial" w:hAnsi="Arial" w:cs="Arial"/>
                <w:lang w:val="it-IT" w:eastAsia="ja-JP"/>
              </w:rPr>
              <w:t>Abbreviation: n, number of subjects</w:t>
            </w:r>
          </w:p>
        </w:tc>
      </w:tr>
    </w:tbl>
    <w:p w14:paraId="54A5737D" w14:textId="77777777" w:rsidR="009B0A1F" w:rsidRPr="007D73EF" w:rsidRDefault="009B0A1F" w:rsidP="009B0A1F">
      <w:pPr>
        <w:pStyle w:val="Para0s"/>
        <w:spacing w:before="120" w:after="120" w:line="300" w:lineRule="atLeast"/>
        <w:ind w:right="-29"/>
        <w:jc w:val="both"/>
        <w:rPr>
          <w:rFonts w:ascii="Arial" w:hAnsi="Arial" w:cs="Arial"/>
          <w:szCs w:val="22"/>
          <w:lang w:val="en-AU"/>
        </w:rPr>
      </w:pPr>
    </w:p>
    <w:p w14:paraId="0E1179B6" w14:textId="4E554C7D" w:rsidR="00B07541" w:rsidRPr="007D73EF" w:rsidRDefault="00F7372A" w:rsidP="00F20568">
      <w:pPr>
        <w:autoSpaceDE w:val="0"/>
        <w:autoSpaceDN w:val="0"/>
        <w:adjustRightInd w:val="0"/>
        <w:ind w:right="-35"/>
        <w:rPr>
          <w:rFonts w:ascii="Arial" w:hAnsi="Arial" w:cs="Arial"/>
          <w:b/>
          <w:bCs/>
          <w:sz w:val="24"/>
          <w:szCs w:val="24"/>
        </w:rPr>
      </w:pPr>
      <w:r w:rsidRPr="007D73EF">
        <w:rPr>
          <w:rFonts w:ascii="Arial" w:hAnsi="Arial" w:cs="Arial"/>
          <w:b/>
          <w:bCs/>
          <w:sz w:val="24"/>
          <w:szCs w:val="24"/>
        </w:rPr>
        <w:t>Contrast-Enhanced Magnetic Resonance Angiography (CE-MRA)</w:t>
      </w:r>
    </w:p>
    <w:p w14:paraId="4F76ED2B" w14:textId="3964427C" w:rsidR="007165EB" w:rsidRPr="007D73EF" w:rsidRDefault="00F20568" w:rsidP="00F20568">
      <w:pPr>
        <w:spacing w:before="120" w:after="120" w:line="300" w:lineRule="atLeast"/>
        <w:ind w:right="-125"/>
        <w:jc w:val="both"/>
        <w:rPr>
          <w:rFonts w:ascii="Arial" w:hAnsi="Arial" w:cs="Arial"/>
          <w:sz w:val="22"/>
          <w:szCs w:val="22"/>
          <w:lang w:val="en-GB" w:eastAsia="en-US"/>
        </w:rPr>
      </w:pPr>
      <w:r w:rsidRPr="007D73EF">
        <w:rPr>
          <w:rFonts w:ascii="Arial" w:hAnsi="Arial" w:cs="Arial"/>
          <w:sz w:val="22"/>
          <w:szCs w:val="22"/>
          <w:lang w:val="en-GB" w:eastAsia="en-US"/>
        </w:rPr>
        <w:t xml:space="preserve">Two </w:t>
      </w:r>
      <w:r w:rsidR="00F7372A" w:rsidRPr="007D73EF">
        <w:rPr>
          <w:rFonts w:ascii="Arial" w:hAnsi="Arial" w:cs="Arial"/>
          <w:sz w:val="22"/>
          <w:szCs w:val="22"/>
          <w:lang w:val="en-GB" w:eastAsia="en-US"/>
        </w:rPr>
        <w:t xml:space="preserve">pivotal studies including 362 patients have been performed in which the diagnostic efficacy of </w:t>
      </w:r>
      <w:r w:rsidR="00AD4F29" w:rsidRPr="007D73EF">
        <w:rPr>
          <w:rFonts w:ascii="Arial" w:hAnsi="Arial" w:cs="Arial"/>
          <w:sz w:val="22"/>
          <w:szCs w:val="22"/>
          <w:lang w:val="en-GB" w:eastAsia="en-US"/>
        </w:rPr>
        <w:t>g</w:t>
      </w:r>
      <w:r w:rsidR="00F7372A" w:rsidRPr="007D73EF">
        <w:rPr>
          <w:rFonts w:ascii="Arial" w:hAnsi="Arial" w:cs="Arial"/>
          <w:sz w:val="22"/>
          <w:szCs w:val="22"/>
          <w:lang w:val="en-GB" w:eastAsia="en-US"/>
        </w:rPr>
        <w:t xml:space="preserve">adobutrol-enhanced MRA with that of i.a. DSA (intra–arterial Digital Subtraction Angiography) was compared clinically and by blinded reader re-evaluation. In one study, the aorta and supra-aortal, thoracic, and abdominal branch vessels (1 FOV), and in the other study pelvic and peripheral arteries (3 FOVs) were evaluated. The following table summarises the dose information and the agreement </w:t>
      </w:r>
      <w:r w:rsidR="00F7372A" w:rsidRPr="007D73EF">
        <w:rPr>
          <w:rFonts w:ascii="Arial" w:hAnsi="Arial" w:cs="Arial"/>
          <w:sz w:val="22"/>
          <w:szCs w:val="22"/>
          <w:lang w:val="en-GB" w:eastAsia="en-US"/>
        </w:rPr>
        <w:lastRenderedPageBreak/>
        <w:t xml:space="preserve">rates between </w:t>
      </w:r>
      <w:r w:rsidR="00AD4F29" w:rsidRPr="007D73EF">
        <w:rPr>
          <w:rFonts w:ascii="Arial" w:hAnsi="Arial" w:cs="Arial"/>
          <w:sz w:val="22"/>
          <w:szCs w:val="22"/>
          <w:lang w:val="en-GB" w:eastAsia="en-US"/>
        </w:rPr>
        <w:t>g</w:t>
      </w:r>
      <w:r w:rsidR="00F7372A" w:rsidRPr="007D73EF">
        <w:rPr>
          <w:rFonts w:ascii="Arial" w:hAnsi="Arial" w:cs="Arial"/>
          <w:sz w:val="22"/>
          <w:szCs w:val="22"/>
          <w:lang w:val="en-GB" w:eastAsia="en-US"/>
        </w:rPr>
        <w:t>adobutrol 1.0 mmol/mL enhanced MRA and i.a. DSA regarding differentiation between non-relevantly and relevantly diseased vessel segments.</w:t>
      </w:r>
    </w:p>
    <w:p w14:paraId="2075715A" w14:textId="77777777" w:rsidR="00A0623E" w:rsidRPr="007D73EF" w:rsidRDefault="00A0623E" w:rsidP="00861283">
      <w:pPr>
        <w:spacing w:before="120" w:after="120" w:line="300" w:lineRule="atLeast"/>
        <w:ind w:right="-29"/>
        <w:jc w:val="both"/>
        <w:rPr>
          <w:rFonts w:ascii="Arial" w:hAnsi="Arial" w:cs="Arial"/>
          <w:b/>
          <w:sz w:val="22"/>
          <w:szCs w:val="22"/>
        </w:rPr>
      </w:pPr>
    </w:p>
    <w:p w14:paraId="548A3E4B" w14:textId="77777777" w:rsidR="00861283" w:rsidRPr="007D73EF" w:rsidRDefault="00861283" w:rsidP="00861283">
      <w:pPr>
        <w:spacing w:before="120" w:after="120" w:line="300" w:lineRule="atLeast"/>
        <w:ind w:right="-29"/>
        <w:jc w:val="both"/>
        <w:rPr>
          <w:rFonts w:ascii="Arial" w:hAnsi="Arial" w:cs="Arial"/>
          <w:b/>
          <w:sz w:val="22"/>
          <w:szCs w:val="22"/>
        </w:rPr>
      </w:pPr>
      <w:r w:rsidRPr="007D73EF">
        <w:rPr>
          <w:rFonts w:ascii="Arial" w:hAnsi="Arial" w:cs="Arial"/>
          <w:b/>
          <w:sz w:val="22"/>
          <w:szCs w:val="22"/>
        </w:rPr>
        <w:t xml:space="preserve">Table </w:t>
      </w:r>
      <w:r w:rsidR="00DB2D49" w:rsidRPr="007D73EF">
        <w:rPr>
          <w:rFonts w:ascii="Arial" w:hAnsi="Arial" w:cs="Arial"/>
          <w:b/>
          <w:sz w:val="22"/>
          <w:szCs w:val="22"/>
        </w:rPr>
        <w:t>7</w:t>
      </w:r>
      <w:r w:rsidRPr="007D73EF">
        <w:rPr>
          <w:rFonts w:ascii="Arial" w:hAnsi="Arial" w:cs="Arial"/>
          <w:b/>
          <w:sz w:val="22"/>
          <w:szCs w:val="22"/>
        </w:rPr>
        <w:t>: Results from pivotal studies in CE-MRA</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1211"/>
        <w:gridCol w:w="1210"/>
        <w:gridCol w:w="605"/>
        <w:gridCol w:w="605"/>
        <w:gridCol w:w="1210"/>
        <w:gridCol w:w="1212"/>
        <w:gridCol w:w="1210"/>
        <w:gridCol w:w="1212"/>
      </w:tblGrid>
      <w:tr w:rsidR="007165EB" w:rsidRPr="007D73EF" w14:paraId="4D1A03DC" w14:textId="77777777" w:rsidTr="007D73EF">
        <w:trPr>
          <w:cantSplit/>
          <w:trHeight w:val="187"/>
        </w:trPr>
        <w:tc>
          <w:tcPr>
            <w:tcW w:w="714" w:type="pct"/>
            <w:vMerge w:val="restart"/>
          </w:tcPr>
          <w:p w14:paraId="3B7C44C8" w14:textId="77777777" w:rsidR="007165EB" w:rsidRPr="007D73EF" w:rsidRDefault="007165EB" w:rsidP="00F20568">
            <w:pPr>
              <w:ind w:right="-35"/>
              <w:rPr>
                <w:rFonts w:ascii="Arial" w:hAnsi="Arial" w:cs="Arial"/>
              </w:rPr>
            </w:pPr>
          </w:p>
        </w:tc>
        <w:tc>
          <w:tcPr>
            <w:tcW w:w="714" w:type="pct"/>
            <w:vMerge w:val="restart"/>
          </w:tcPr>
          <w:p w14:paraId="29678081" w14:textId="77777777" w:rsidR="007165EB" w:rsidRPr="007D73EF" w:rsidRDefault="00F7372A" w:rsidP="00F20568">
            <w:pPr>
              <w:ind w:right="-35"/>
              <w:jc w:val="center"/>
              <w:rPr>
                <w:rFonts w:ascii="Arial" w:hAnsi="Arial" w:cs="Arial"/>
              </w:rPr>
            </w:pPr>
            <w:r w:rsidRPr="007D73EF">
              <w:rPr>
                <w:rFonts w:ascii="Arial" w:hAnsi="Arial" w:cs="Arial"/>
              </w:rPr>
              <w:t>Dose</w:t>
            </w:r>
            <w:r w:rsidRPr="007D73EF">
              <w:rPr>
                <w:rFonts w:ascii="Arial" w:hAnsi="Arial" w:cs="Arial"/>
              </w:rPr>
              <w:br/>
              <w:t>mmol/kg BW</w:t>
            </w:r>
          </w:p>
        </w:tc>
        <w:tc>
          <w:tcPr>
            <w:tcW w:w="714" w:type="pct"/>
            <w:gridSpan w:val="2"/>
            <w:vMerge w:val="restart"/>
          </w:tcPr>
          <w:p w14:paraId="02B99229" w14:textId="77777777" w:rsidR="007165EB" w:rsidRPr="007D73EF" w:rsidRDefault="00F7372A" w:rsidP="00F20568">
            <w:pPr>
              <w:ind w:right="-35"/>
              <w:jc w:val="center"/>
              <w:rPr>
                <w:rFonts w:ascii="Arial" w:hAnsi="Arial" w:cs="Arial"/>
              </w:rPr>
            </w:pPr>
            <w:r w:rsidRPr="007D73EF">
              <w:rPr>
                <w:rFonts w:ascii="Arial" w:hAnsi="Arial" w:cs="Arial"/>
              </w:rPr>
              <w:t>Dose</w:t>
            </w:r>
            <w:r w:rsidRPr="007D73EF">
              <w:rPr>
                <w:rFonts w:ascii="Arial" w:hAnsi="Arial" w:cs="Arial"/>
              </w:rPr>
              <w:br/>
              <w:t>mL</w:t>
            </w:r>
          </w:p>
        </w:tc>
        <w:tc>
          <w:tcPr>
            <w:tcW w:w="2858" w:type="pct"/>
            <w:gridSpan w:val="4"/>
          </w:tcPr>
          <w:p w14:paraId="2428D256" w14:textId="77777777" w:rsidR="007165EB" w:rsidRPr="007D73EF" w:rsidRDefault="00F7372A" w:rsidP="00F20568">
            <w:pPr>
              <w:ind w:right="-35"/>
              <w:jc w:val="center"/>
              <w:rPr>
                <w:rFonts w:ascii="Arial" w:hAnsi="Arial" w:cs="Arial"/>
              </w:rPr>
            </w:pPr>
            <w:r w:rsidRPr="007D73EF">
              <w:rPr>
                <w:rFonts w:ascii="Arial" w:hAnsi="Arial" w:cs="Arial"/>
              </w:rPr>
              <w:t>Agreement with DSA</w:t>
            </w:r>
          </w:p>
        </w:tc>
      </w:tr>
      <w:tr w:rsidR="007165EB" w:rsidRPr="007D73EF" w14:paraId="6C7A0F22" w14:textId="77777777" w:rsidTr="00944AEF">
        <w:trPr>
          <w:cantSplit/>
          <w:trHeight w:val="186"/>
        </w:trPr>
        <w:tc>
          <w:tcPr>
            <w:tcW w:w="714" w:type="pct"/>
            <w:vMerge/>
          </w:tcPr>
          <w:p w14:paraId="7A12FEDD" w14:textId="77777777" w:rsidR="007165EB" w:rsidRPr="007D73EF" w:rsidRDefault="007165EB" w:rsidP="00F20568">
            <w:pPr>
              <w:ind w:right="-35"/>
              <w:rPr>
                <w:rFonts w:ascii="Arial" w:hAnsi="Arial" w:cs="Arial"/>
              </w:rPr>
            </w:pPr>
          </w:p>
        </w:tc>
        <w:tc>
          <w:tcPr>
            <w:tcW w:w="714" w:type="pct"/>
            <w:vMerge/>
          </w:tcPr>
          <w:p w14:paraId="45C84C5C" w14:textId="77777777" w:rsidR="007165EB" w:rsidRPr="007D73EF" w:rsidRDefault="007165EB" w:rsidP="00F20568">
            <w:pPr>
              <w:ind w:right="-35"/>
              <w:jc w:val="center"/>
              <w:rPr>
                <w:rFonts w:ascii="Arial" w:hAnsi="Arial" w:cs="Arial"/>
              </w:rPr>
            </w:pPr>
          </w:p>
        </w:tc>
        <w:tc>
          <w:tcPr>
            <w:tcW w:w="714" w:type="pct"/>
            <w:gridSpan w:val="2"/>
            <w:vMerge/>
          </w:tcPr>
          <w:p w14:paraId="30264ACD" w14:textId="77777777" w:rsidR="007165EB" w:rsidRPr="007D73EF" w:rsidRDefault="007165EB" w:rsidP="00F20568">
            <w:pPr>
              <w:ind w:right="-35"/>
              <w:jc w:val="center"/>
              <w:rPr>
                <w:rFonts w:ascii="Arial" w:hAnsi="Arial" w:cs="Arial"/>
              </w:rPr>
            </w:pPr>
          </w:p>
        </w:tc>
        <w:tc>
          <w:tcPr>
            <w:tcW w:w="1429" w:type="pct"/>
            <w:gridSpan w:val="2"/>
          </w:tcPr>
          <w:p w14:paraId="48106B18" w14:textId="77777777" w:rsidR="007165EB" w:rsidRPr="007D73EF" w:rsidRDefault="00F7372A" w:rsidP="00F20568">
            <w:pPr>
              <w:ind w:right="-35"/>
              <w:jc w:val="center"/>
              <w:rPr>
                <w:rFonts w:ascii="Arial" w:hAnsi="Arial" w:cs="Arial"/>
              </w:rPr>
            </w:pPr>
            <w:r w:rsidRPr="007D73EF">
              <w:rPr>
                <w:rFonts w:ascii="Arial" w:hAnsi="Arial" w:cs="Arial"/>
              </w:rPr>
              <w:t>Primary variable</w:t>
            </w:r>
          </w:p>
        </w:tc>
        <w:tc>
          <w:tcPr>
            <w:tcW w:w="1429" w:type="pct"/>
            <w:gridSpan w:val="2"/>
          </w:tcPr>
          <w:p w14:paraId="38E962A4" w14:textId="77777777" w:rsidR="007165EB" w:rsidRPr="007D73EF" w:rsidRDefault="00F7376B" w:rsidP="00F20568">
            <w:pPr>
              <w:ind w:right="-35"/>
              <w:jc w:val="center"/>
              <w:rPr>
                <w:rFonts w:ascii="Arial" w:hAnsi="Arial" w:cs="Arial"/>
              </w:rPr>
            </w:pPr>
            <w:r w:rsidRPr="007D73EF">
              <w:rPr>
                <w:rFonts w:ascii="Arial" w:hAnsi="Arial" w:cs="Arial"/>
              </w:rPr>
              <w:t>R</w:t>
            </w:r>
            <w:r w:rsidR="00F7372A" w:rsidRPr="007D73EF">
              <w:rPr>
                <w:rFonts w:ascii="Arial" w:hAnsi="Arial" w:cs="Arial"/>
              </w:rPr>
              <w:t>ange over all segments</w:t>
            </w:r>
          </w:p>
        </w:tc>
      </w:tr>
      <w:tr w:rsidR="007165EB" w:rsidRPr="007D73EF" w14:paraId="07736DD1" w14:textId="77777777" w:rsidTr="007D73EF">
        <w:trPr>
          <w:cantSplit/>
        </w:trPr>
        <w:tc>
          <w:tcPr>
            <w:tcW w:w="714" w:type="pct"/>
          </w:tcPr>
          <w:p w14:paraId="21A37839" w14:textId="77777777" w:rsidR="007165EB" w:rsidRPr="007D73EF" w:rsidRDefault="00F7372A" w:rsidP="00F20568">
            <w:pPr>
              <w:ind w:right="-35"/>
              <w:rPr>
                <w:rFonts w:ascii="Arial" w:hAnsi="Arial" w:cs="Arial"/>
              </w:rPr>
            </w:pPr>
            <w:r w:rsidRPr="007D73EF">
              <w:rPr>
                <w:rFonts w:ascii="Arial" w:hAnsi="Arial" w:cs="Arial"/>
              </w:rPr>
              <w:t>Region</w:t>
            </w:r>
          </w:p>
        </w:tc>
        <w:tc>
          <w:tcPr>
            <w:tcW w:w="714" w:type="pct"/>
            <w:vAlign w:val="center"/>
          </w:tcPr>
          <w:p w14:paraId="1747F9B4" w14:textId="77777777" w:rsidR="007165EB" w:rsidRPr="007D73EF" w:rsidRDefault="007165EB" w:rsidP="00F20568">
            <w:pPr>
              <w:ind w:right="-35"/>
              <w:jc w:val="center"/>
              <w:rPr>
                <w:rFonts w:ascii="Arial" w:hAnsi="Arial" w:cs="Arial"/>
              </w:rPr>
            </w:pPr>
          </w:p>
        </w:tc>
        <w:tc>
          <w:tcPr>
            <w:tcW w:w="357" w:type="pct"/>
            <w:vAlign w:val="center"/>
          </w:tcPr>
          <w:p w14:paraId="3F431D72" w14:textId="77777777" w:rsidR="007165EB" w:rsidRPr="007D73EF" w:rsidRDefault="00F7372A" w:rsidP="00F20568">
            <w:pPr>
              <w:ind w:right="-35"/>
              <w:jc w:val="center"/>
              <w:rPr>
                <w:rFonts w:ascii="Arial" w:hAnsi="Arial" w:cs="Arial"/>
              </w:rPr>
            </w:pPr>
            <w:r w:rsidRPr="007D73EF">
              <w:rPr>
                <w:rFonts w:ascii="Arial" w:hAnsi="Arial" w:cs="Arial"/>
              </w:rPr>
              <w:t>&lt; 75 kg BW</w:t>
            </w:r>
          </w:p>
        </w:tc>
        <w:tc>
          <w:tcPr>
            <w:tcW w:w="357" w:type="pct"/>
            <w:vAlign w:val="center"/>
          </w:tcPr>
          <w:p w14:paraId="0CCD7AF4" w14:textId="77777777" w:rsidR="007165EB" w:rsidRPr="007D73EF" w:rsidRDefault="007165EB" w:rsidP="00F20568">
            <w:pPr>
              <w:ind w:right="-35"/>
              <w:jc w:val="center"/>
              <w:rPr>
                <w:rFonts w:ascii="Arial" w:hAnsi="Arial" w:cs="Arial"/>
              </w:rPr>
            </w:pPr>
            <w:r w:rsidRPr="007D73EF">
              <w:rPr>
                <w:rFonts w:ascii="Arial" w:hAnsi="Arial" w:cs="Arial"/>
              </w:rPr>
              <w:sym w:font="Symbol" w:char="F0B3"/>
            </w:r>
            <w:r w:rsidRPr="007D73EF">
              <w:rPr>
                <w:rFonts w:ascii="Arial" w:hAnsi="Arial" w:cs="Arial"/>
              </w:rPr>
              <w:t xml:space="preserve"> 75 kg BW</w:t>
            </w:r>
          </w:p>
        </w:tc>
        <w:tc>
          <w:tcPr>
            <w:tcW w:w="714" w:type="pct"/>
            <w:vAlign w:val="center"/>
          </w:tcPr>
          <w:p w14:paraId="41F2A2A1" w14:textId="77777777" w:rsidR="007165EB" w:rsidRPr="007D73EF" w:rsidRDefault="007165EB" w:rsidP="00F20568">
            <w:pPr>
              <w:ind w:right="-35"/>
              <w:jc w:val="center"/>
              <w:rPr>
                <w:rFonts w:ascii="Arial" w:hAnsi="Arial" w:cs="Arial"/>
              </w:rPr>
            </w:pPr>
            <w:r w:rsidRPr="007D73EF">
              <w:rPr>
                <w:rFonts w:ascii="Arial" w:hAnsi="Arial" w:cs="Arial"/>
              </w:rPr>
              <w:t>Clinical study</w:t>
            </w:r>
          </w:p>
        </w:tc>
        <w:tc>
          <w:tcPr>
            <w:tcW w:w="715" w:type="pct"/>
            <w:vAlign w:val="center"/>
          </w:tcPr>
          <w:p w14:paraId="1455D8FA" w14:textId="77777777" w:rsidR="007165EB" w:rsidRPr="007D73EF" w:rsidRDefault="007165EB" w:rsidP="00F20568">
            <w:pPr>
              <w:ind w:right="-35"/>
              <w:jc w:val="center"/>
              <w:rPr>
                <w:rFonts w:ascii="Arial" w:hAnsi="Arial" w:cs="Arial"/>
              </w:rPr>
            </w:pPr>
            <w:r w:rsidRPr="007D73EF">
              <w:rPr>
                <w:rFonts w:ascii="Arial" w:hAnsi="Arial" w:cs="Arial"/>
              </w:rPr>
              <w:t>Blinded read</w:t>
            </w:r>
          </w:p>
        </w:tc>
        <w:tc>
          <w:tcPr>
            <w:tcW w:w="714" w:type="pct"/>
            <w:vAlign w:val="center"/>
          </w:tcPr>
          <w:p w14:paraId="3C71A42B" w14:textId="77777777" w:rsidR="007165EB" w:rsidRPr="007D73EF" w:rsidRDefault="007165EB" w:rsidP="00F20568">
            <w:pPr>
              <w:ind w:right="-35"/>
              <w:jc w:val="center"/>
              <w:rPr>
                <w:rFonts w:ascii="Arial" w:hAnsi="Arial" w:cs="Arial"/>
              </w:rPr>
            </w:pPr>
            <w:r w:rsidRPr="007D73EF">
              <w:rPr>
                <w:rFonts w:ascii="Arial" w:hAnsi="Arial" w:cs="Arial"/>
              </w:rPr>
              <w:t>Clinical study</w:t>
            </w:r>
          </w:p>
        </w:tc>
        <w:tc>
          <w:tcPr>
            <w:tcW w:w="715" w:type="pct"/>
            <w:vAlign w:val="center"/>
          </w:tcPr>
          <w:p w14:paraId="6EB3EC0C" w14:textId="77777777" w:rsidR="007165EB" w:rsidRPr="007D73EF" w:rsidRDefault="007165EB" w:rsidP="00F20568">
            <w:pPr>
              <w:ind w:right="-35"/>
              <w:jc w:val="center"/>
              <w:rPr>
                <w:rFonts w:ascii="Arial" w:hAnsi="Arial" w:cs="Arial"/>
              </w:rPr>
            </w:pPr>
            <w:r w:rsidRPr="007D73EF">
              <w:rPr>
                <w:rFonts w:ascii="Arial" w:hAnsi="Arial" w:cs="Arial"/>
              </w:rPr>
              <w:t>Blinded read</w:t>
            </w:r>
          </w:p>
        </w:tc>
      </w:tr>
      <w:tr w:rsidR="007165EB" w:rsidRPr="007D73EF" w14:paraId="6A2F890A" w14:textId="77777777" w:rsidTr="007D73EF">
        <w:trPr>
          <w:cantSplit/>
        </w:trPr>
        <w:tc>
          <w:tcPr>
            <w:tcW w:w="714" w:type="pct"/>
          </w:tcPr>
          <w:p w14:paraId="72489C4D" w14:textId="77777777" w:rsidR="007165EB" w:rsidRPr="007D73EF" w:rsidRDefault="00F7372A" w:rsidP="00F20568">
            <w:pPr>
              <w:ind w:right="-35"/>
              <w:rPr>
                <w:rFonts w:ascii="Arial" w:hAnsi="Arial" w:cs="Arial"/>
              </w:rPr>
            </w:pPr>
            <w:r w:rsidRPr="007D73EF">
              <w:rPr>
                <w:rFonts w:ascii="Arial" w:hAnsi="Arial" w:cs="Arial"/>
              </w:rPr>
              <w:t>Body – 1 FOV</w:t>
            </w:r>
          </w:p>
        </w:tc>
        <w:tc>
          <w:tcPr>
            <w:tcW w:w="714" w:type="pct"/>
            <w:vAlign w:val="center"/>
          </w:tcPr>
          <w:p w14:paraId="66A12AB5" w14:textId="77777777" w:rsidR="007165EB" w:rsidRPr="007D73EF" w:rsidRDefault="00F7372A" w:rsidP="00F20568">
            <w:pPr>
              <w:ind w:right="-35"/>
              <w:jc w:val="center"/>
              <w:rPr>
                <w:rFonts w:ascii="Arial" w:hAnsi="Arial" w:cs="Arial"/>
              </w:rPr>
            </w:pPr>
            <w:r w:rsidRPr="007D73EF">
              <w:rPr>
                <w:rFonts w:ascii="Arial" w:hAnsi="Arial" w:cs="Arial"/>
              </w:rPr>
              <w:t>0.1–0.15</w:t>
            </w:r>
          </w:p>
        </w:tc>
        <w:tc>
          <w:tcPr>
            <w:tcW w:w="357" w:type="pct"/>
            <w:vAlign w:val="center"/>
          </w:tcPr>
          <w:p w14:paraId="4FF061F5" w14:textId="77777777" w:rsidR="007165EB" w:rsidRPr="007D73EF" w:rsidRDefault="00F7372A" w:rsidP="00F20568">
            <w:pPr>
              <w:ind w:right="-35"/>
              <w:jc w:val="center"/>
              <w:rPr>
                <w:rFonts w:ascii="Arial" w:hAnsi="Arial" w:cs="Arial"/>
              </w:rPr>
            </w:pPr>
            <w:r w:rsidRPr="007D73EF">
              <w:rPr>
                <w:rFonts w:ascii="Arial" w:hAnsi="Arial" w:cs="Arial"/>
              </w:rPr>
              <w:t>7.5</w:t>
            </w:r>
          </w:p>
        </w:tc>
        <w:tc>
          <w:tcPr>
            <w:tcW w:w="357" w:type="pct"/>
            <w:vAlign w:val="center"/>
          </w:tcPr>
          <w:p w14:paraId="53EAC5AD" w14:textId="77777777" w:rsidR="007165EB" w:rsidRPr="007D73EF" w:rsidRDefault="00F7372A" w:rsidP="00F20568">
            <w:pPr>
              <w:ind w:right="-35"/>
              <w:jc w:val="center"/>
              <w:rPr>
                <w:rFonts w:ascii="Arial" w:hAnsi="Arial" w:cs="Arial"/>
              </w:rPr>
            </w:pPr>
            <w:r w:rsidRPr="007D73EF">
              <w:rPr>
                <w:rFonts w:ascii="Arial" w:hAnsi="Arial" w:cs="Arial"/>
              </w:rPr>
              <w:t>10</w:t>
            </w:r>
          </w:p>
        </w:tc>
        <w:tc>
          <w:tcPr>
            <w:tcW w:w="714" w:type="pct"/>
            <w:vAlign w:val="center"/>
          </w:tcPr>
          <w:p w14:paraId="70AE573C" w14:textId="77777777" w:rsidR="007165EB" w:rsidRPr="007D73EF" w:rsidRDefault="00F7372A" w:rsidP="00F20568">
            <w:pPr>
              <w:ind w:right="-35"/>
              <w:jc w:val="center"/>
              <w:rPr>
                <w:rFonts w:ascii="Arial" w:hAnsi="Arial" w:cs="Arial"/>
              </w:rPr>
            </w:pPr>
            <w:r w:rsidRPr="007D73EF">
              <w:rPr>
                <w:rFonts w:ascii="Arial" w:hAnsi="Arial" w:cs="Arial"/>
              </w:rPr>
              <w:t>96.6</w:t>
            </w:r>
          </w:p>
        </w:tc>
        <w:tc>
          <w:tcPr>
            <w:tcW w:w="715" w:type="pct"/>
            <w:vAlign w:val="center"/>
          </w:tcPr>
          <w:p w14:paraId="6B558D62" w14:textId="77777777" w:rsidR="007165EB" w:rsidRPr="007D73EF" w:rsidRDefault="00F7372A" w:rsidP="00F20568">
            <w:pPr>
              <w:ind w:right="-35"/>
              <w:jc w:val="center"/>
              <w:rPr>
                <w:rFonts w:ascii="Arial" w:hAnsi="Arial" w:cs="Arial"/>
              </w:rPr>
            </w:pPr>
            <w:r w:rsidRPr="007D73EF">
              <w:rPr>
                <w:rFonts w:ascii="Arial" w:hAnsi="Arial" w:cs="Arial"/>
              </w:rPr>
              <w:t>86.6–90.2</w:t>
            </w:r>
          </w:p>
        </w:tc>
        <w:tc>
          <w:tcPr>
            <w:tcW w:w="714" w:type="pct"/>
            <w:vAlign w:val="center"/>
          </w:tcPr>
          <w:p w14:paraId="4C1DDAB8" w14:textId="77777777" w:rsidR="007165EB" w:rsidRPr="007D73EF" w:rsidRDefault="00F7372A" w:rsidP="00F20568">
            <w:pPr>
              <w:ind w:right="-35"/>
              <w:jc w:val="center"/>
              <w:rPr>
                <w:rFonts w:ascii="Arial" w:hAnsi="Arial" w:cs="Arial"/>
              </w:rPr>
            </w:pPr>
            <w:r w:rsidRPr="007D73EF">
              <w:rPr>
                <w:rFonts w:ascii="Arial" w:hAnsi="Arial" w:cs="Arial"/>
              </w:rPr>
              <w:t>84–100</w:t>
            </w:r>
          </w:p>
        </w:tc>
        <w:tc>
          <w:tcPr>
            <w:tcW w:w="715" w:type="pct"/>
            <w:vAlign w:val="center"/>
          </w:tcPr>
          <w:p w14:paraId="305C90E6" w14:textId="77777777" w:rsidR="007165EB" w:rsidRPr="007D73EF" w:rsidRDefault="00F7372A" w:rsidP="00F20568">
            <w:pPr>
              <w:ind w:right="-35"/>
              <w:jc w:val="center"/>
              <w:rPr>
                <w:rFonts w:ascii="Arial" w:hAnsi="Arial" w:cs="Arial"/>
              </w:rPr>
            </w:pPr>
            <w:r w:rsidRPr="007D73EF">
              <w:rPr>
                <w:rFonts w:ascii="Arial" w:hAnsi="Arial" w:cs="Arial"/>
              </w:rPr>
              <w:t>79–100</w:t>
            </w:r>
          </w:p>
        </w:tc>
      </w:tr>
      <w:tr w:rsidR="007165EB" w:rsidRPr="007D73EF" w14:paraId="4140847C" w14:textId="77777777" w:rsidTr="007D73EF">
        <w:trPr>
          <w:cantSplit/>
        </w:trPr>
        <w:tc>
          <w:tcPr>
            <w:tcW w:w="714" w:type="pct"/>
          </w:tcPr>
          <w:p w14:paraId="3CA93B65" w14:textId="77777777" w:rsidR="007165EB" w:rsidRPr="007D73EF" w:rsidRDefault="00F7372A" w:rsidP="00F20568">
            <w:pPr>
              <w:ind w:right="-35"/>
              <w:rPr>
                <w:rFonts w:ascii="Arial" w:hAnsi="Arial" w:cs="Arial"/>
              </w:rPr>
            </w:pPr>
            <w:r w:rsidRPr="007D73EF">
              <w:rPr>
                <w:rFonts w:ascii="Arial" w:hAnsi="Arial" w:cs="Arial"/>
              </w:rPr>
              <w:t>Peripheral – 3 FOV</w:t>
            </w:r>
          </w:p>
        </w:tc>
        <w:tc>
          <w:tcPr>
            <w:tcW w:w="714" w:type="pct"/>
            <w:vAlign w:val="center"/>
          </w:tcPr>
          <w:p w14:paraId="435867B6" w14:textId="77777777" w:rsidR="007165EB" w:rsidRPr="007D73EF" w:rsidRDefault="00F7372A" w:rsidP="00F20568">
            <w:pPr>
              <w:ind w:right="-35"/>
              <w:jc w:val="center"/>
              <w:rPr>
                <w:rFonts w:ascii="Arial" w:hAnsi="Arial" w:cs="Arial"/>
              </w:rPr>
            </w:pPr>
            <w:r w:rsidRPr="007D73EF">
              <w:rPr>
                <w:rFonts w:ascii="Arial" w:hAnsi="Arial" w:cs="Arial"/>
              </w:rPr>
              <w:t>0.2–0.3</w:t>
            </w:r>
          </w:p>
        </w:tc>
        <w:tc>
          <w:tcPr>
            <w:tcW w:w="357" w:type="pct"/>
            <w:vAlign w:val="center"/>
          </w:tcPr>
          <w:p w14:paraId="318F78AD" w14:textId="77777777" w:rsidR="007165EB" w:rsidRPr="007D73EF" w:rsidRDefault="00F7372A" w:rsidP="00F20568">
            <w:pPr>
              <w:ind w:right="-35"/>
              <w:jc w:val="center"/>
              <w:rPr>
                <w:rFonts w:ascii="Arial" w:hAnsi="Arial" w:cs="Arial"/>
              </w:rPr>
            </w:pPr>
            <w:r w:rsidRPr="007D73EF">
              <w:rPr>
                <w:rFonts w:ascii="Arial" w:hAnsi="Arial" w:cs="Arial"/>
              </w:rPr>
              <w:t>15</w:t>
            </w:r>
          </w:p>
        </w:tc>
        <w:tc>
          <w:tcPr>
            <w:tcW w:w="357" w:type="pct"/>
            <w:vAlign w:val="center"/>
          </w:tcPr>
          <w:p w14:paraId="68154A3B" w14:textId="77777777" w:rsidR="007165EB" w:rsidRPr="007D73EF" w:rsidRDefault="00F7372A" w:rsidP="00F20568">
            <w:pPr>
              <w:ind w:right="-35"/>
              <w:jc w:val="center"/>
              <w:rPr>
                <w:rFonts w:ascii="Arial" w:hAnsi="Arial" w:cs="Arial"/>
              </w:rPr>
            </w:pPr>
            <w:r w:rsidRPr="007D73EF">
              <w:rPr>
                <w:rFonts w:ascii="Arial" w:hAnsi="Arial" w:cs="Arial"/>
              </w:rPr>
              <w:t>20</w:t>
            </w:r>
          </w:p>
        </w:tc>
        <w:tc>
          <w:tcPr>
            <w:tcW w:w="714" w:type="pct"/>
            <w:vAlign w:val="center"/>
          </w:tcPr>
          <w:p w14:paraId="13CD9AEB" w14:textId="77777777" w:rsidR="007165EB" w:rsidRPr="007D73EF" w:rsidRDefault="00F7372A" w:rsidP="00F20568">
            <w:pPr>
              <w:ind w:right="-35"/>
              <w:jc w:val="center"/>
              <w:rPr>
                <w:rFonts w:ascii="Arial" w:hAnsi="Arial" w:cs="Arial"/>
              </w:rPr>
            </w:pPr>
            <w:r w:rsidRPr="007D73EF">
              <w:rPr>
                <w:rFonts w:ascii="Arial" w:hAnsi="Arial" w:cs="Arial"/>
              </w:rPr>
              <w:t>94.1</w:t>
            </w:r>
          </w:p>
        </w:tc>
        <w:tc>
          <w:tcPr>
            <w:tcW w:w="715" w:type="pct"/>
            <w:vAlign w:val="center"/>
          </w:tcPr>
          <w:p w14:paraId="51BCE8E9" w14:textId="77777777" w:rsidR="007165EB" w:rsidRPr="007D73EF" w:rsidRDefault="00F7372A" w:rsidP="00F20568">
            <w:pPr>
              <w:ind w:right="-35"/>
              <w:jc w:val="center"/>
              <w:rPr>
                <w:rFonts w:ascii="Arial" w:hAnsi="Arial" w:cs="Arial"/>
              </w:rPr>
            </w:pPr>
            <w:r w:rsidRPr="007D73EF">
              <w:rPr>
                <w:rFonts w:ascii="Arial" w:hAnsi="Arial" w:cs="Arial"/>
              </w:rPr>
              <w:t>86.0–87.9</w:t>
            </w:r>
          </w:p>
        </w:tc>
        <w:tc>
          <w:tcPr>
            <w:tcW w:w="714" w:type="pct"/>
            <w:vAlign w:val="center"/>
          </w:tcPr>
          <w:p w14:paraId="57400DAE" w14:textId="77777777" w:rsidR="007165EB" w:rsidRPr="007D73EF" w:rsidRDefault="00F7372A" w:rsidP="00F20568">
            <w:pPr>
              <w:ind w:right="-35"/>
              <w:jc w:val="center"/>
              <w:rPr>
                <w:rFonts w:ascii="Arial" w:hAnsi="Arial" w:cs="Arial"/>
              </w:rPr>
            </w:pPr>
            <w:r w:rsidRPr="007D73EF">
              <w:rPr>
                <w:rFonts w:ascii="Arial" w:hAnsi="Arial" w:cs="Arial"/>
              </w:rPr>
              <w:t>77–97</w:t>
            </w:r>
          </w:p>
        </w:tc>
        <w:tc>
          <w:tcPr>
            <w:tcW w:w="715" w:type="pct"/>
            <w:vAlign w:val="center"/>
          </w:tcPr>
          <w:p w14:paraId="4F59C0A6" w14:textId="77777777" w:rsidR="007165EB" w:rsidRPr="007D73EF" w:rsidRDefault="00F7372A" w:rsidP="00F20568">
            <w:pPr>
              <w:ind w:right="-35"/>
              <w:jc w:val="center"/>
              <w:rPr>
                <w:rFonts w:ascii="Arial" w:hAnsi="Arial" w:cs="Arial"/>
              </w:rPr>
            </w:pPr>
            <w:r w:rsidRPr="007D73EF">
              <w:rPr>
                <w:rFonts w:ascii="Arial" w:hAnsi="Arial" w:cs="Arial"/>
              </w:rPr>
              <w:t>63–84</w:t>
            </w:r>
          </w:p>
        </w:tc>
      </w:tr>
    </w:tbl>
    <w:p w14:paraId="63275D44" w14:textId="77777777" w:rsidR="007165EB" w:rsidRPr="007D73EF" w:rsidRDefault="007165EB" w:rsidP="00F20568">
      <w:pPr>
        <w:ind w:right="-35"/>
        <w:rPr>
          <w:rFonts w:ascii="Arial" w:hAnsi="Arial" w:cs="Arial"/>
          <w:sz w:val="24"/>
          <w:szCs w:val="24"/>
        </w:rPr>
      </w:pPr>
    </w:p>
    <w:p w14:paraId="7831D9D5" w14:textId="77777777" w:rsidR="007165EB" w:rsidRPr="007D73EF" w:rsidRDefault="00F7372A" w:rsidP="00F20568">
      <w:pPr>
        <w:spacing w:before="120" w:after="120" w:line="300" w:lineRule="atLeast"/>
        <w:ind w:right="-29"/>
        <w:jc w:val="both"/>
        <w:rPr>
          <w:rFonts w:ascii="Arial" w:hAnsi="Arial" w:cs="Arial"/>
          <w:sz w:val="22"/>
          <w:szCs w:val="22"/>
        </w:rPr>
      </w:pPr>
      <w:r w:rsidRPr="007D73EF">
        <w:rPr>
          <w:rFonts w:ascii="Arial" w:hAnsi="Arial" w:cs="Arial"/>
          <w:sz w:val="22"/>
          <w:szCs w:val="22"/>
        </w:rPr>
        <w:t xml:space="preserve">Lower agreement rates have been observed predominantly in vessel segments with small diameter such as vertebral arteries and arteries of the calf due to limited spatial resolution. The coronary arteries have not been included in any study and contrast-enhanced MRA with </w:t>
      </w:r>
      <w:r w:rsidR="00AD4F29" w:rsidRPr="007D73EF">
        <w:rPr>
          <w:rFonts w:ascii="Arial" w:hAnsi="Arial" w:cs="Arial"/>
          <w:sz w:val="22"/>
          <w:szCs w:val="22"/>
        </w:rPr>
        <w:t>g</w:t>
      </w:r>
      <w:r w:rsidRPr="007D73EF">
        <w:rPr>
          <w:rFonts w:ascii="Arial" w:hAnsi="Arial" w:cs="Arial"/>
          <w:sz w:val="22"/>
          <w:szCs w:val="22"/>
        </w:rPr>
        <w:t>adobutrol 1.0 mmol/mL can thus not be recommended for this indication.</w:t>
      </w:r>
    </w:p>
    <w:p w14:paraId="2B7EC24E" w14:textId="77777777" w:rsidR="00B07541" w:rsidRPr="007D73EF" w:rsidRDefault="00B07541" w:rsidP="00F20568">
      <w:pPr>
        <w:ind w:right="-35"/>
        <w:rPr>
          <w:rFonts w:ascii="Arial" w:hAnsi="Arial" w:cs="Arial"/>
          <w:sz w:val="24"/>
          <w:szCs w:val="24"/>
        </w:rPr>
      </w:pPr>
    </w:p>
    <w:p w14:paraId="38F102FA" w14:textId="77777777" w:rsidR="008756A2" w:rsidRPr="007D73EF" w:rsidRDefault="00F7372A" w:rsidP="00F20568">
      <w:pPr>
        <w:autoSpaceDE w:val="0"/>
        <w:autoSpaceDN w:val="0"/>
        <w:adjustRightInd w:val="0"/>
        <w:ind w:right="-35"/>
        <w:rPr>
          <w:rFonts w:ascii="Arial" w:hAnsi="Arial" w:cs="Arial"/>
          <w:b/>
          <w:bCs/>
          <w:sz w:val="24"/>
          <w:szCs w:val="24"/>
        </w:rPr>
      </w:pPr>
      <w:r w:rsidRPr="007D73EF">
        <w:rPr>
          <w:rFonts w:ascii="Arial" w:hAnsi="Arial" w:cs="Arial"/>
          <w:b/>
          <w:bCs/>
          <w:sz w:val="24"/>
          <w:szCs w:val="24"/>
        </w:rPr>
        <w:t>Use in Children aged 2 years and older</w:t>
      </w:r>
    </w:p>
    <w:p w14:paraId="110C0618" w14:textId="77777777" w:rsidR="008756A2" w:rsidRPr="007D73EF" w:rsidRDefault="00F7372A" w:rsidP="00F20568">
      <w:pPr>
        <w:spacing w:before="120" w:after="120" w:line="300" w:lineRule="atLeast"/>
        <w:ind w:right="-29"/>
        <w:jc w:val="both"/>
        <w:rPr>
          <w:rFonts w:ascii="Arial" w:hAnsi="Arial" w:cs="Arial"/>
          <w:sz w:val="22"/>
          <w:szCs w:val="22"/>
        </w:rPr>
      </w:pPr>
      <w:r w:rsidRPr="007D73EF">
        <w:rPr>
          <w:rFonts w:ascii="Arial" w:hAnsi="Arial" w:cs="Arial"/>
          <w:sz w:val="22"/>
          <w:szCs w:val="22"/>
        </w:rPr>
        <w:t>The paediatric development program followed European Guidelines for the development of medicinal products in the paediatric population</w:t>
      </w:r>
      <w:r w:rsidR="007D47A2" w:rsidRPr="007D73EF">
        <w:rPr>
          <w:rFonts w:ascii="Arial" w:hAnsi="Arial" w:cs="Arial"/>
          <w:sz w:val="22"/>
          <w:szCs w:val="22"/>
          <w:vertAlign w:val="superscript"/>
        </w:rPr>
        <w:t>2</w:t>
      </w:r>
      <w:r w:rsidRPr="007D73EF">
        <w:rPr>
          <w:rFonts w:ascii="Arial" w:hAnsi="Arial" w:cs="Arial"/>
          <w:sz w:val="22"/>
          <w:szCs w:val="22"/>
        </w:rPr>
        <w:t>. Under these guidelines if paediatric pharmacokinetic, PK, data is shown to be similar to adult PK data then adult clinical efficacy and safety may be extrapolated to the p</w:t>
      </w:r>
      <w:r w:rsidR="00F7376B" w:rsidRPr="007D73EF">
        <w:rPr>
          <w:rFonts w:ascii="Arial" w:hAnsi="Arial" w:cs="Arial"/>
          <w:sz w:val="22"/>
          <w:szCs w:val="22"/>
        </w:rPr>
        <w:t>a</w:t>
      </w:r>
      <w:r w:rsidRPr="007D73EF">
        <w:rPr>
          <w:rFonts w:ascii="Arial" w:hAnsi="Arial" w:cs="Arial"/>
          <w:sz w:val="22"/>
          <w:szCs w:val="22"/>
        </w:rPr>
        <w:t>ediatric population.</w:t>
      </w:r>
    </w:p>
    <w:p w14:paraId="15526EF5" w14:textId="77777777" w:rsidR="008756A2" w:rsidRPr="007D73EF" w:rsidRDefault="00F7372A" w:rsidP="00F20568">
      <w:pPr>
        <w:spacing w:before="120" w:after="120" w:line="300" w:lineRule="atLeast"/>
        <w:ind w:right="-29"/>
        <w:jc w:val="both"/>
        <w:rPr>
          <w:rFonts w:ascii="Arial" w:hAnsi="Arial" w:cs="Arial"/>
          <w:sz w:val="22"/>
          <w:szCs w:val="22"/>
        </w:rPr>
      </w:pPr>
      <w:r w:rsidRPr="007D73EF">
        <w:rPr>
          <w:rFonts w:ascii="Arial" w:hAnsi="Arial" w:cs="Arial"/>
          <w:sz w:val="22"/>
          <w:szCs w:val="22"/>
        </w:rPr>
        <w:t>The paediatric development program comprised one PK Phase I/III study in 138 paediatric patients, aged from 2 to 17 years with variable baseline diseases.  Efficacy and safety was assessed as a secondary non-confirmative objective.</w:t>
      </w:r>
    </w:p>
    <w:p w14:paraId="1677753D" w14:textId="77777777" w:rsidR="008756A2" w:rsidRPr="007D73EF" w:rsidRDefault="008756A2" w:rsidP="00F20568">
      <w:pPr>
        <w:autoSpaceDE w:val="0"/>
        <w:autoSpaceDN w:val="0"/>
        <w:adjustRightInd w:val="0"/>
        <w:spacing w:before="120" w:after="120" w:line="300" w:lineRule="atLeast"/>
        <w:ind w:right="-29"/>
        <w:jc w:val="both"/>
        <w:rPr>
          <w:rFonts w:ascii="Arial" w:hAnsi="Arial" w:cs="Arial"/>
          <w:sz w:val="22"/>
          <w:szCs w:val="22"/>
        </w:rPr>
      </w:pPr>
    </w:p>
    <w:p w14:paraId="7FD95C87" w14:textId="77777777" w:rsidR="008756A2" w:rsidRPr="007D73EF" w:rsidRDefault="00F7372A" w:rsidP="00F20568">
      <w:pPr>
        <w:autoSpaceDE w:val="0"/>
        <w:autoSpaceDN w:val="0"/>
        <w:adjustRightInd w:val="0"/>
        <w:spacing w:before="120" w:after="120" w:line="300" w:lineRule="atLeast"/>
        <w:ind w:right="-29"/>
        <w:jc w:val="both"/>
        <w:rPr>
          <w:rFonts w:ascii="Arial" w:hAnsi="Arial" w:cs="Arial"/>
          <w:sz w:val="22"/>
          <w:szCs w:val="22"/>
        </w:rPr>
      </w:pPr>
      <w:r w:rsidRPr="007D73EF">
        <w:rPr>
          <w:rFonts w:ascii="Arial" w:hAnsi="Arial" w:cs="Arial"/>
          <w:b/>
          <w:bCs/>
          <w:sz w:val="22"/>
          <w:szCs w:val="22"/>
        </w:rPr>
        <w:t>Results</w:t>
      </w:r>
      <w:r w:rsidRPr="007D73EF">
        <w:rPr>
          <w:rFonts w:ascii="Arial" w:hAnsi="Arial" w:cs="Arial"/>
          <w:sz w:val="22"/>
          <w:szCs w:val="22"/>
        </w:rPr>
        <w:t xml:space="preserve"> of the study demonstrated that body weight was the main covariate that affects CL and V. Neither age nor gender was found to have an additional effect on PK of gadobutrol in the paediatric population aged 2 to 17 years. The amount of gadobutrol in urine was 98.7% (median) of the administered dose after a collection period of 6 hours, confirming that gadobutrol is renally excreted in the paediatric population as it is in adults.</w:t>
      </w:r>
    </w:p>
    <w:p w14:paraId="50BFB029" w14:textId="77777777" w:rsidR="008756A2" w:rsidRPr="007D73EF" w:rsidRDefault="00F7372A" w:rsidP="00F20568">
      <w:pPr>
        <w:spacing w:before="120" w:after="120" w:line="300" w:lineRule="atLeast"/>
        <w:ind w:right="-29"/>
        <w:jc w:val="both"/>
        <w:rPr>
          <w:rFonts w:ascii="Arial" w:hAnsi="Arial" w:cs="Arial"/>
          <w:sz w:val="22"/>
          <w:szCs w:val="22"/>
        </w:rPr>
      </w:pPr>
      <w:r w:rsidRPr="007D73EF">
        <w:rPr>
          <w:rFonts w:ascii="Arial" w:hAnsi="Arial" w:cs="Arial"/>
          <w:sz w:val="22"/>
          <w:szCs w:val="22"/>
        </w:rPr>
        <w:t xml:space="preserve">Safety findings in the paediatric population were consistent with experience from studies in adult populations and confirmed the known safety profile of gadobutrol. </w:t>
      </w:r>
    </w:p>
    <w:p w14:paraId="64D5FE51" w14:textId="77777777" w:rsidR="008756A2" w:rsidRPr="007D73EF" w:rsidRDefault="00F7372A" w:rsidP="00F20568">
      <w:pPr>
        <w:spacing w:before="120" w:after="120" w:line="300" w:lineRule="atLeast"/>
        <w:ind w:right="-29"/>
        <w:jc w:val="both"/>
        <w:rPr>
          <w:rFonts w:ascii="Arial" w:hAnsi="Arial" w:cs="Arial"/>
          <w:sz w:val="22"/>
          <w:szCs w:val="22"/>
        </w:rPr>
      </w:pPr>
      <w:r w:rsidRPr="007D73EF">
        <w:rPr>
          <w:rFonts w:ascii="Arial" w:hAnsi="Arial" w:cs="Arial"/>
          <w:sz w:val="22"/>
          <w:szCs w:val="22"/>
        </w:rPr>
        <w:t>A summary of post hoc estimated and derived PK parameters for children and adults is presented in the tables below.</w:t>
      </w:r>
    </w:p>
    <w:p w14:paraId="008A5913" w14:textId="77777777" w:rsidR="009852C3" w:rsidRPr="007D73EF" w:rsidRDefault="009852C3" w:rsidP="00F20568">
      <w:pPr>
        <w:spacing w:before="120" w:after="120" w:line="300" w:lineRule="atLeast"/>
        <w:ind w:right="-29"/>
        <w:jc w:val="both"/>
        <w:rPr>
          <w:rFonts w:ascii="Arial" w:hAnsi="Arial" w:cs="Arial"/>
          <w:b/>
          <w:sz w:val="22"/>
          <w:szCs w:val="22"/>
        </w:rPr>
      </w:pPr>
    </w:p>
    <w:p w14:paraId="5687D3BD" w14:textId="5657582D" w:rsidR="008756A2" w:rsidRPr="007D73EF" w:rsidRDefault="00F7372A" w:rsidP="00F20568">
      <w:pPr>
        <w:spacing w:before="120" w:after="120" w:line="300" w:lineRule="atLeast"/>
        <w:ind w:right="-29"/>
        <w:jc w:val="both"/>
        <w:rPr>
          <w:rFonts w:ascii="Arial" w:hAnsi="Arial" w:cs="Arial"/>
          <w:b/>
          <w:sz w:val="22"/>
          <w:szCs w:val="22"/>
        </w:rPr>
      </w:pPr>
      <w:r w:rsidRPr="007D73EF">
        <w:rPr>
          <w:rFonts w:ascii="Arial" w:hAnsi="Arial" w:cs="Arial"/>
          <w:b/>
          <w:sz w:val="22"/>
          <w:szCs w:val="22"/>
        </w:rPr>
        <w:lastRenderedPageBreak/>
        <w:t xml:space="preserve">Table </w:t>
      </w:r>
      <w:r w:rsidR="00FF62F3" w:rsidRPr="007D73EF">
        <w:rPr>
          <w:rFonts w:ascii="Arial" w:hAnsi="Arial" w:cs="Arial"/>
          <w:b/>
          <w:sz w:val="22"/>
          <w:szCs w:val="22"/>
        </w:rPr>
        <w:t>8</w:t>
      </w:r>
      <w:r w:rsidRPr="007D73EF">
        <w:rPr>
          <w:rFonts w:ascii="Arial" w:hAnsi="Arial" w:cs="Arial"/>
          <w:b/>
          <w:sz w:val="22"/>
          <w:szCs w:val="22"/>
        </w:rPr>
        <w:t>: Simulated Gd plasma concentrations at 20 min and 30 min after application of 0.1 mmol/kg BW based on final model (800 and 1000 virtual subjects for the final PK models in paediatrics and adults, respectively)</w:t>
      </w:r>
    </w:p>
    <w:tbl>
      <w:tblPr>
        <w:tblpPr w:leftFromText="180" w:rightFromText="180" w:vertAnchor="text" w:horzAnchor="margin" w:tblpY="182"/>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351"/>
        <w:gridCol w:w="1337"/>
        <w:gridCol w:w="1909"/>
        <w:gridCol w:w="1962"/>
        <w:gridCol w:w="1992"/>
      </w:tblGrid>
      <w:tr w:rsidR="008756A2" w:rsidRPr="007D73EF" w14:paraId="4B4EF3C0" w14:textId="77777777" w:rsidTr="00944AEF">
        <w:trPr>
          <w:trHeight w:val="212"/>
        </w:trPr>
        <w:tc>
          <w:tcPr>
            <w:tcW w:w="790" w:type="pct"/>
          </w:tcPr>
          <w:p w14:paraId="33D2EF73" w14:textId="77777777" w:rsidR="008756A2" w:rsidRPr="007D73EF" w:rsidRDefault="00262914" w:rsidP="00F20568">
            <w:pPr>
              <w:pStyle w:val="Default"/>
              <w:ind w:right="-35"/>
              <w:rPr>
                <w:rFonts w:ascii="Arial" w:hAnsi="Arial" w:cs="Arial"/>
                <w:color w:val="auto"/>
                <w:sz w:val="22"/>
                <w:szCs w:val="22"/>
              </w:rPr>
            </w:pPr>
            <w:r w:rsidRPr="007D73EF">
              <w:rPr>
                <w:rFonts w:ascii="Arial" w:hAnsi="Arial" w:cs="Arial"/>
                <w:color w:val="auto"/>
                <w:sz w:val="22"/>
                <w:szCs w:val="22"/>
              </w:rPr>
              <w:t>Population</w:t>
            </w:r>
          </w:p>
        </w:tc>
        <w:tc>
          <w:tcPr>
            <w:tcW w:w="782" w:type="pct"/>
          </w:tcPr>
          <w:p w14:paraId="3E38E266" w14:textId="77777777" w:rsidR="008756A2" w:rsidRPr="007D73EF" w:rsidRDefault="00262914" w:rsidP="00F20568">
            <w:pPr>
              <w:pStyle w:val="Default"/>
              <w:ind w:right="-35"/>
              <w:jc w:val="center"/>
              <w:rPr>
                <w:rFonts w:ascii="Arial" w:hAnsi="Arial" w:cs="Arial"/>
                <w:color w:val="auto"/>
                <w:sz w:val="22"/>
                <w:szCs w:val="22"/>
              </w:rPr>
            </w:pPr>
            <w:r w:rsidRPr="007D73EF">
              <w:rPr>
                <w:rFonts w:ascii="Arial" w:hAnsi="Arial" w:cs="Arial"/>
                <w:color w:val="auto"/>
                <w:sz w:val="22"/>
                <w:szCs w:val="22"/>
              </w:rPr>
              <w:t>Parameter</w:t>
            </w:r>
          </w:p>
        </w:tc>
        <w:tc>
          <w:tcPr>
            <w:tcW w:w="1116" w:type="pct"/>
          </w:tcPr>
          <w:p w14:paraId="275231CE" w14:textId="77777777" w:rsidR="008756A2" w:rsidRPr="007D73EF" w:rsidRDefault="00262914" w:rsidP="00F20568">
            <w:pPr>
              <w:pStyle w:val="Default"/>
              <w:ind w:right="-35"/>
              <w:jc w:val="center"/>
              <w:rPr>
                <w:rFonts w:ascii="Arial" w:hAnsi="Arial" w:cs="Arial"/>
                <w:color w:val="auto"/>
                <w:sz w:val="22"/>
                <w:szCs w:val="22"/>
              </w:rPr>
            </w:pPr>
            <w:r w:rsidRPr="007D73EF">
              <w:rPr>
                <w:rFonts w:ascii="Arial" w:hAnsi="Arial" w:cs="Arial"/>
                <w:color w:val="auto"/>
                <w:sz w:val="22"/>
                <w:szCs w:val="22"/>
              </w:rPr>
              <w:t>Median Concentration</w:t>
            </w:r>
          </w:p>
          <w:p w14:paraId="174D8202" w14:textId="77777777" w:rsidR="008756A2" w:rsidRPr="007D73EF" w:rsidRDefault="00262914" w:rsidP="00F20568">
            <w:pPr>
              <w:pStyle w:val="Default"/>
              <w:ind w:right="-35"/>
              <w:jc w:val="center"/>
              <w:rPr>
                <w:rFonts w:ascii="Arial" w:hAnsi="Arial" w:cs="Arial"/>
                <w:color w:val="auto"/>
                <w:sz w:val="22"/>
                <w:szCs w:val="22"/>
              </w:rPr>
            </w:pPr>
            <w:r w:rsidRPr="007D73EF">
              <w:rPr>
                <w:rFonts w:ascii="Arial" w:hAnsi="Arial" w:cs="Arial"/>
                <w:color w:val="auto"/>
                <w:sz w:val="22"/>
                <w:szCs w:val="22"/>
              </w:rPr>
              <w:t>µmol/L</w:t>
            </w:r>
          </w:p>
        </w:tc>
        <w:tc>
          <w:tcPr>
            <w:tcW w:w="1147" w:type="pct"/>
          </w:tcPr>
          <w:p w14:paraId="138135DC" w14:textId="77777777" w:rsidR="008756A2" w:rsidRPr="007D73EF" w:rsidRDefault="00262914" w:rsidP="00F20568">
            <w:pPr>
              <w:pStyle w:val="Default"/>
              <w:ind w:right="-35"/>
              <w:jc w:val="center"/>
              <w:rPr>
                <w:rFonts w:ascii="Arial" w:hAnsi="Arial" w:cs="Arial"/>
                <w:color w:val="auto"/>
                <w:sz w:val="22"/>
                <w:szCs w:val="22"/>
              </w:rPr>
            </w:pPr>
            <w:r w:rsidRPr="007D73EF">
              <w:rPr>
                <w:rFonts w:ascii="Arial" w:hAnsi="Arial" w:cs="Arial"/>
                <w:color w:val="auto"/>
                <w:sz w:val="22"/>
                <w:szCs w:val="22"/>
              </w:rPr>
              <w:t>2.5</w:t>
            </w:r>
            <w:r w:rsidRPr="007D73EF">
              <w:rPr>
                <w:rFonts w:ascii="Arial" w:hAnsi="Arial" w:cs="Arial"/>
                <w:color w:val="auto"/>
                <w:sz w:val="22"/>
                <w:szCs w:val="22"/>
                <w:vertAlign w:val="superscript"/>
              </w:rPr>
              <w:t>th</w:t>
            </w:r>
            <w:r w:rsidRPr="007D73EF">
              <w:rPr>
                <w:rFonts w:ascii="Arial" w:hAnsi="Arial" w:cs="Arial"/>
                <w:color w:val="auto"/>
                <w:sz w:val="22"/>
                <w:szCs w:val="22"/>
              </w:rPr>
              <w:t xml:space="preserve"> </w:t>
            </w:r>
          </w:p>
          <w:p w14:paraId="5EFBF610" w14:textId="77777777" w:rsidR="008756A2" w:rsidRPr="007D73EF" w:rsidRDefault="00262914" w:rsidP="00F20568">
            <w:pPr>
              <w:pStyle w:val="Default"/>
              <w:ind w:right="-35"/>
              <w:jc w:val="center"/>
              <w:rPr>
                <w:rFonts w:ascii="Arial" w:hAnsi="Arial" w:cs="Arial"/>
                <w:color w:val="auto"/>
                <w:sz w:val="22"/>
                <w:szCs w:val="22"/>
              </w:rPr>
            </w:pPr>
            <w:r w:rsidRPr="007D73EF">
              <w:rPr>
                <w:rFonts w:ascii="Arial" w:hAnsi="Arial" w:cs="Arial"/>
                <w:color w:val="auto"/>
                <w:sz w:val="22"/>
                <w:szCs w:val="22"/>
              </w:rPr>
              <w:t>percentile of parameter distribution</w:t>
            </w:r>
          </w:p>
        </w:tc>
        <w:tc>
          <w:tcPr>
            <w:tcW w:w="1165" w:type="pct"/>
          </w:tcPr>
          <w:p w14:paraId="031BA60C" w14:textId="77777777" w:rsidR="008756A2" w:rsidRPr="007D73EF" w:rsidRDefault="00262914" w:rsidP="00F20568">
            <w:pPr>
              <w:pStyle w:val="Default"/>
              <w:ind w:right="-35"/>
              <w:jc w:val="center"/>
              <w:rPr>
                <w:rFonts w:ascii="Arial" w:hAnsi="Arial" w:cs="Arial"/>
                <w:color w:val="auto"/>
                <w:sz w:val="22"/>
                <w:szCs w:val="22"/>
              </w:rPr>
            </w:pPr>
            <w:r w:rsidRPr="007D73EF">
              <w:rPr>
                <w:rFonts w:ascii="Arial" w:hAnsi="Arial" w:cs="Arial"/>
                <w:color w:val="auto"/>
                <w:sz w:val="22"/>
                <w:szCs w:val="22"/>
              </w:rPr>
              <w:t>97.5</w:t>
            </w:r>
            <w:r w:rsidRPr="007D73EF">
              <w:rPr>
                <w:rFonts w:ascii="Arial" w:hAnsi="Arial" w:cs="Arial"/>
                <w:color w:val="auto"/>
                <w:sz w:val="22"/>
                <w:szCs w:val="22"/>
                <w:vertAlign w:val="superscript"/>
              </w:rPr>
              <w:t>th</w:t>
            </w:r>
          </w:p>
          <w:p w14:paraId="56BDD2DB" w14:textId="77777777" w:rsidR="008756A2" w:rsidRPr="007D73EF" w:rsidRDefault="00262914"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 percentile  of parameter distribution</w:t>
            </w:r>
          </w:p>
        </w:tc>
      </w:tr>
      <w:tr w:rsidR="008756A2" w:rsidRPr="007D73EF" w14:paraId="32C39816" w14:textId="77777777" w:rsidTr="00944AEF">
        <w:trPr>
          <w:trHeight w:val="212"/>
        </w:trPr>
        <w:tc>
          <w:tcPr>
            <w:tcW w:w="790" w:type="pct"/>
          </w:tcPr>
          <w:p w14:paraId="2EE9F593" w14:textId="77777777" w:rsidR="008756A2" w:rsidRPr="007D73EF" w:rsidRDefault="00262914" w:rsidP="00F20568">
            <w:pPr>
              <w:pStyle w:val="Default"/>
              <w:ind w:right="-35"/>
              <w:rPr>
                <w:rFonts w:ascii="Arial" w:hAnsi="Arial" w:cs="Arial"/>
                <w:color w:val="auto"/>
                <w:sz w:val="22"/>
                <w:szCs w:val="22"/>
              </w:rPr>
            </w:pPr>
            <w:r w:rsidRPr="007D73EF">
              <w:rPr>
                <w:rFonts w:ascii="Arial" w:hAnsi="Arial" w:cs="Arial"/>
                <w:color w:val="auto"/>
                <w:sz w:val="22"/>
                <w:szCs w:val="22"/>
              </w:rPr>
              <w:t xml:space="preserve">2-17 years </w:t>
            </w:r>
          </w:p>
        </w:tc>
        <w:tc>
          <w:tcPr>
            <w:tcW w:w="782" w:type="pct"/>
          </w:tcPr>
          <w:p w14:paraId="607EE6A9" w14:textId="77777777" w:rsidR="008756A2" w:rsidRPr="007D73EF" w:rsidRDefault="00262914" w:rsidP="00F20568">
            <w:pPr>
              <w:pStyle w:val="Default"/>
              <w:ind w:right="-35"/>
              <w:jc w:val="center"/>
              <w:rPr>
                <w:rFonts w:ascii="Arial" w:hAnsi="Arial" w:cs="Arial"/>
                <w:color w:val="auto"/>
                <w:sz w:val="22"/>
                <w:szCs w:val="22"/>
              </w:rPr>
            </w:pPr>
            <w:r w:rsidRPr="007D73EF">
              <w:rPr>
                <w:rFonts w:ascii="Arial" w:hAnsi="Arial" w:cs="Arial"/>
                <w:color w:val="auto"/>
                <w:sz w:val="22"/>
                <w:szCs w:val="22"/>
              </w:rPr>
              <w:t>C</w:t>
            </w:r>
            <w:r w:rsidR="008756A2" w:rsidRPr="007D73EF">
              <w:rPr>
                <w:rFonts w:ascii="Arial" w:hAnsi="Arial" w:cs="Arial"/>
                <w:color w:val="auto"/>
                <w:sz w:val="22"/>
                <w:szCs w:val="22"/>
                <w:vertAlign w:val="subscript"/>
              </w:rPr>
              <w:t>20min</w:t>
            </w:r>
          </w:p>
        </w:tc>
        <w:tc>
          <w:tcPr>
            <w:tcW w:w="1116" w:type="pct"/>
          </w:tcPr>
          <w:p w14:paraId="7F63CE90" w14:textId="77777777" w:rsidR="008756A2" w:rsidRPr="007D73EF" w:rsidRDefault="00262914"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489.3 </w:t>
            </w:r>
          </w:p>
        </w:tc>
        <w:tc>
          <w:tcPr>
            <w:tcW w:w="1147" w:type="pct"/>
          </w:tcPr>
          <w:p w14:paraId="32F85D1B" w14:textId="77777777" w:rsidR="008756A2" w:rsidRPr="007D73EF" w:rsidRDefault="00262914"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328.9 </w:t>
            </w:r>
          </w:p>
        </w:tc>
        <w:tc>
          <w:tcPr>
            <w:tcW w:w="1165" w:type="pct"/>
          </w:tcPr>
          <w:p w14:paraId="7D1892C5" w14:textId="77777777" w:rsidR="008756A2" w:rsidRPr="007D73EF" w:rsidRDefault="00262914" w:rsidP="00F20568">
            <w:pPr>
              <w:pStyle w:val="Default"/>
              <w:ind w:right="-35"/>
              <w:jc w:val="center"/>
              <w:rPr>
                <w:rFonts w:ascii="Arial" w:hAnsi="Arial" w:cs="Arial"/>
                <w:color w:val="auto"/>
                <w:sz w:val="22"/>
                <w:szCs w:val="22"/>
              </w:rPr>
            </w:pPr>
            <w:r w:rsidRPr="007D73EF">
              <w:rPr>
                <w:rFonts w:ascii="Arial" w:hAnsi="Arial" w:cs="Arial"/>
                <w:color w:val="auto"/>
                <w:sz w:val="22"/>
                <w:szCs w:val="22"/>
              </w:rPr>
              <w:t>772.9</w:t>
            </w:r>
          </w:p>
        </w:tc>
      </w:tr>
      <w:tr w:rsidR="008756A2" w:rsidRPr="007D73EF" w14:paraId="23EC21FB" w14:textId="77777777" w:rsidTr="00944AEF">
        <w:trPr>
          <w:trHeight w:val="442"/>
        </w:trPr>
        <w:tc>
          <w:tcPr>
            <w:tcW w:w="790" w:type="pct"/>
            <w:vAlign w:val="center"/>
          </w:tcPr>
          <w:p w14:paraId="14AE5C09" w14:textId="77777777" w:rsidR="008756A2" w:rsidRPr="007D73EF" w:rsidRDefault="00262914" w:rsidP="00F20568">
            <w:pPr>
              <w:pStyle w:val="Default"/>
              <w:ind w:right="-35"/>
              <w:rPr>
                <w:rFonts w:ascii="Arial" w:hAnsi="Arial" w:cs="Arial"/>
                <w:color w:val="auto"/>
                <w:sz w:val="22"/>
                <w:szCs w:val="22"/>
              </w:rPr>
            </w:pPr>
            <w:r w:rsidRPr="007D73EF">
              <w:rPr>
                <w:rFonts w:ascii="Arial" w:hAnsi="Arial" w:cs="Arial"/>
                <w:color w:val="auto"/>
                <w:sz w:val="22"/>
                <w:szCs w:val="22"/>
              </w:rPr>
              <w:t xml:space="preserve">2-17 years </w:t>
            </w:r>
          </w:p>
        </w:tc>
        <w:tc>
          <w:tcPr>
            <w:tcW w:w="782" w:type="pct"/>
            <w:vAlign w:val="center"/>
          </w:tcPr>
          <w:p w14:paraId="000D8929" w14:textId="77777777" w:rsidR="008756A2" w:rsidRPr="007D73EF" w:rsidRDefault="00262914" w:rsidP="00F20568">
            <w:pPr>
              <w:pStyle w:val="Default"/>
              <w:ind w:right="-35"/>
              <w:jc w:val="center"/>
              <w:rPr>
                <w:rFonts w:ascii="Arial" w:hAnsi="Arial" w:cs="Arial"/>
                <w:color w:val="auto"/>
                <w:sz w:val="22"/>
                <w:szCs w:val="22"/>
              </w:rPr>
            </w:pPr>
            <w:r w:rsidRPr="007D73EF">
              <w:rPr>
                <w:rFonts w:ascii="Arial" w:hAnsi="Arial" w:cs="Arial"/>
                <w:color w:val="auto"/>
                <w:sz w:val="22"/>
                <w:szCs w:val="22"/>
              </w:rPr>
              <w:t>C</w:t>
            </w:r>
            <w:r w:rsidRPr="007D73EF">
              <w:rPr>
                <w:rFonts w:ascii="Arial" w:hAnsi="Arial" w:cs="Arial"/>
                <w:color w:val="auto"/>
                <w:sz w:val="22"/>
                <w:szCs w:val="22"/>
                <w:vertAlign w:val="subscript"/>
              </w:rPr>
              <w:t>30m</w:t>
            </w:r>
            <w:r w:rsidR="0030370F" w:rsidRPr="007D73EF">
              <w:rPr>
                <w:rFonts w:ascii="Arial" w:hAnsi="Arial" w:cs="Arial"/>
                <w:color w:val="auto"/>
                <w:sz w:val="22"/>
                <w:szCs w:val="22"/>
                <w:vertAlign w:val="subscript"/>
              </w:rPr>
              <w:t>in</w:t>
            </w:r>
            <w:r w:rsidRPr="007D73EF">
              <w:rPr>
                <w:rFonts w:ascii="Arial" w:hAnsi="Arial" w:cs="Arial"/>
                <w:color w:val="auto"/>
                <w:sz w:val="22"/>
                <w:szCs w:val="22"/>
              </w:rPr>
              <w:t xml:space="preserve"> </w:t>
            </w:r>
          </w:p>
        </w:tc>
        <w:tc>
          <w:tcPr>
            <w:tcW w:w="1116" w:type="pct"/>
            <w:vAlign w:val="center"/>
          </w:tcPr>
          <w:p w14:paraId="22538CBD" w14:textId="77777777" w:rsidR="008756A2" w:rsidRPr="007D73EF" w:rsidRDefault="00262914"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420.7 </w:t>
            </w:r>
          </w:p>
        </w:tc>
        <w:tc>
          <w:tcPr>
            <w:tcW w:w="1147" w:type="pct"/>
            <w:vAlign w:val="center"/>
          </w:tcPr>
          <w:p w14:paraId="7A4AF3E4" w14:textId="77777777" w:rsidR="008756A2" w:rsidRPr="007D73EF" w:rsidRDefault="00262914"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276.2 </w:t>
            </w:r>
          </w:p>
        </w:tc>
        <w:tc>
          <w:tcPr>
            <w:tcW w:w="1165" w:type="pct"/>
            <w:vAlign w:val="center"/>
          </w:tcPr>
          <w:p w14:paraId="287B7960" w14:textId="77777777" w:rsidR="008756A2" w:rsidRPr="007D73EF" w:rsidRDefault="00262914" w:rsidP="00F20568">
            <w:pPr>
              <w:pStyle w:val="Default"/>
              <w:ind w:right="-35"/>
              <w:jc w:val="center"/>
              <w:rPr>
                <w:rFonts w:ascii="Arial" w:hAnsi="Arial" w:cs="Arial"/>
                <w:color w:val="auto"/>
                <w:sz w:val="22"/>
                <w:szCs w:val="22"/>
              </w:rPr>
            </w:pPr>
            <w:r w:rsidRPr="007D73EF">
              <w:rPr>
                <w:rFonts w:ascii="Arial" w:hAnsi="Arial" w:cs="Arial"/>
                <w:color w:val="auto"/>
                <w:sz w:val="22"/>
                <w:szCs w:val="22"/>
              </w:rPr>
              <w:t>649.6</w:t>
            </w:r>
          </w:p>
        </w:tc>
      </w:tr>
      <w:tr w:rsidR="008756A2" w:rsidRPr="007D73EF" w14:paraId="4755F2AE" w14:textId="77777777" w:rsidTr="00944AEF">
        <w:trPr>
          <w:trHeight w:val="257"/>
        </w:trPr>
        <w:tc>
          <w:tcPr>
            <w:tcW w:w="790" w:type="pct"/>
            <w:vAlign w:val="center"/>
          </w:tcPr>
          <w:p w14:paraId="34E06650" w14:textId="77777777" w:rsidR="008756A2" w:rsidRPr="007D73EF" w:rsidRDefault="00262914" w:rsidP="00F20568">
            <w:pPr>
              <w:pStyle w:val="Default"/>
              <w:ind w:right="-35"/>
              <w:rPr>
                <w:rFonts w:ascii="Arial" w:hAnsi="Arial" w:cs="Arial"/>
                <w:color w:val="auto"/>
                <w:sz w:val="22"/>
                <w:szCs w:val="22"/>
              </w:rPr>
            </w:pPr>
            <w:r w:rsidRPr="007D73EF">
              <w:rPr>
                <w:rFonts w:ascii="Arial" w:hAnsi="Arial" w:cs="Arial"/>
                <w:color w:val="auto"/>
                <w:sz w:val="22"/>
                <w:szCs w:val="22"/>
              </w:rPr>
              <w:t xml:space="preserve">Adults </w:t>
            </w:r>
          </w:p>
        </w:tc>
        <w:tc>
          <w:tcPr>
            <w:tcW w:w="782" w:type="pct"/>
            <w:vAlign w:val="center"/>
          </w:tcPr>
          <w:p w14:paraId="1FC1D385" w14:textId="77777777" w:rsidR="008756A2" w:rsidRPr="007D73EF" w:rsidRDefault="00262914" w:rsidP="00F20568">
            <w:pPr>
              <w:pStyle w:val="Default"/>
              <w:ind w:right="-35"/>
              <w:jc w:val="center"/>
              <w:rPr>
                <w:rFonts w:ascii="Arial" w:hAnsi="Arial" w:cs="Arial"/>
                <w:color w:val="auto"/>
                <w:sz w:val="22"/>
                <w:szCs w:val="22"/>
              </w:rPr>
            </w:pPr>
            <w:r w:rsidRPr="007D73EF">
              <w:rPr>
                <w:rFonts w:ascii="Arial" w:hAnsi="Arial" w:cs="Arial"/>
                <w:color w:val="auto"/>
                <w:sz w:val="22"/>
                <w:szCs w:val="22"/>
              </w:rPr>
              <w:t>C</w:t>
            </w:r>
            <w:r w:rsidRPr="007D73EF">
              <w:rPr>
                <w:rFonts w:ascii="Arial" w:hAnsi="Arial" w:cs="Arial"/>
                <w:color w:val="auto"/>
                <w:sz w:val="22"/>
                <w:szCs w:val="22"/>
                <w:vertAlign w:val="subscript"/>
              </w:rPr>
              <w:t>20min</w:t>
            </w:r>
            <w:r w:rsidRPr="007D73EF">
              <w:rPr>
                <w:rFonts w:ascii="Arial" w:hAnsi="Arial" w:cs="Arial"/>
                <w:color w:val="auto"/>
                <w:sz w:val="22"/>
                <w:szCs w:val="22"/>
              </w:rPr>
              <w:t xml:space="preserve"> </w:t>
            </w:r>
          </w:p>
        </w:tc>
        <w:tc>
          <w:tcPr>
            <w:tcW w:w="1116" w:type="pct"/>
            <w:vAlign w:val="center"/>
          </w:tcPr>
          <w:p w14:paraId="69DC6197" w14:textId="77777777" w:rsidR="008756A2" w:rsidRPr="007D73EF" w:rsidRDefault="00262914"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444.1 </w:t>
            </w:r>
          </w:p>
        </w:tc>
        <w:tc>
          <w:tcPr>
            <w:tcW w:w="1147" w:type="pct"/>
            <w:vAlign w:val="center"/>
          </w:tcPr>
          <w:p w14:paraId="4698DA9C" w14:textId="77777777" w:rsidR="008756A2" w:rsidRPr="007D73EF" w:rsidRDefault="00262914"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287.2 </w:t>
            </w:r>
          </w:p>
        </w:tc>
        <w:tc>
          <w:tcPr>
            <w:tcW w:w="1165" w:type="pct"/>
            <w:vAlign w:val="center"/>
          </w:tcPr>
          <w:p w14:paraId="71077D11" w14:textId="77777777" w:rsidR="008756A2" w:rsidRPr="007D73EF" w:rsidRDefault="00262914" w:rsidP="00F20568">
            <w:pPr>
              <w:pStyle w:val="Default"/>
              <w:ind w:right="-35"/>
              <w:jc w:val="center"/>
              <w:rPr>
                <w:rFonts w:ascii="Arial" w:hAnsi="Arial" w:cs="Arial"/>
                <w:color w:val="auto"/>
                <w:sz w:val="22"/>
                <w:szCs w:val="22"/>
              </w:rPr>
            </w:pPr>
            <w:r w:rsidRPr="007D73EF">
              <w:rPr>
                <w:rFonts w:ascii="Arial" w:hAnsi="Arial" w:cs="Arial"/>
                <w:color w:val="auto"/>
                <w:sz w:val="22"/>
                <w:szCs w:val="22"/>
              </w:rPr>
              <w:t>659.1</w:t>
            </w:r>
          </w:p>
        </w:tc>
      </w:tr>
      <w:tr w:rsidR="008756A2" w:rsidRPr="007D73EF" w14:paraId="61198C28" w14:textId="77777777" w:rsidTr="00944AEF">
        <w:trPr>
          <w:trHeight w:val="195"/>
        </w:trPr>
        <w:tc>
          <w:tcPr>
            <w:tcW w:w="790" w:type="pct"/>
          </w:tcPr>
          <w:p w14:paraId="474BE0A4" w14:textId="77777777" w:rsidR="008756A2" w:rsidRPr="007D73EF" w:rsidRDefault="00262914" w:rsidP="00F20568">
            <w:pPr>
              <w:pStyle w:val="Default"/>
              <w:ind w:right="-35"/>
              <w:rPr>
                <w:rFonts w:ascii="Arial" w:hAnsi="Arial" w:cs="Arial"/>
                <w:color w:val="auto"/>
                <w:sz w:val="22"/>
                <w:szCs w:val="22"/>
              </w:rPr>
            </w:pPr>
            <w:r w:rsidRPr="007D73EF">
              <w:rPr>
                <w:rFonts w:ascii="Arial" w:hAnsi="Arial" w:cs="Arial"/>
                <w:color w:val="auto"/>
                <w:sz w:val="22"/>
                <w:szCs w:val="22"/>
              </w:rPr>
              <w:t xml:space="preserve">Adults </w:t>
            </w:r>
          </w:p>
        </w:tc>
        <w:tc>
          <w:tcPr>
            <w:tcW w:w="782" w:type="pct"/>
          </w:tcPr>
          <w:p w14:paraId="44F5CED7" w14:textId="77777777" w:rsidR="008756A2" w:rsidRPr="007D73EF" w:rsidRDefault="00262914" w:rsidP="00F20568">
            <w:pPr>
              <w:pStyle w:val="Default"/>
              <w:ind w:right="-35"/>
              <w:jc w:val="center"/>
              <w:rPr>
                <w:rFonts w:ascii="Arial" w:hAnsi="Arial" w:cs="Arial"/>
                <w:color w:val="auto"/>
                <w:sz w:val="22"/>
                <w:szCs w:val="22"/>
              </w:rPr>
            </w:pPr>
            <w:r w:rsidRPr="007D73EF">
              <w:rPr>
                <w:rFonts w:ascii="Arial" w:hAnsi="Arial" w:cs="Arial"/>
                <w:color w:val="auto"/>
                <w:sz w:val="22"/>
                <w:szCs w:val="22"/>
              </w:rPr>
              <w:t>C</w:t>
            </w:r>
            <w:r w:rsidRPr="007D73EF">
              <w:rPr>
                <w:rFonts w:ascii="Arial" w:hAnsi="Arial" w:cs="Arial"/>
                <w:color w:val="auto"/>
                <w:sz w:val="22"/>
                <w:szCs w:val="22"/>
                <w:vertAlign w:val="subscript"/>
              </w:rPr>
              <w:t>30min</w:t>
            </w:r>
            <w:r w:rsidRPr="007D73EF">
              <w:rPr>
                <w:rFonts w:ascii="Arial" w:hAnsi="Arial" w:cs="Arial"/>
                <w:color w:val="auto"/>
                <w:sz w:val="22"/>
                <w:szCs w:val="22"/>
              </w:rPr>
              <w:t xml:space="preserve"> </w:t>
            </w:r>
          </w:p>
        </w:tc>
        <w:tc>
          <w:tcPr>
            <w:tcW w:w="1116" w:type="pct"/>
          </w:tcPr>
          <w:p w14:paraId="250CF116" w14:textId="77777777" w:rsidR="008756A2" w:rsidRPr="007D73EF" w:rsidRDefault="00262914"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382.0 </w:t>
            </w:r>
          </w:p>
        </w:tc>
        <w:tc>
          <w:tcPr>
            <w:tcW w:w="1147" w:type="pct"/>
          </w:tcPr>
          <w:p w14:paraId="7C89B0CE" w14:textId="77777777" w:rsidR="008756A2" w:rsidRPr="007D73EF" w:rsidRDefault="00262914"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255.0 </w:t>
            </w:r>
          </w:p>
        </w:tc>
        <w:tc>
          <w:tcPr>
            <w:tcW w:w="1165" w:type="pct"/>
          </w:tcPr>
          <w:p w14:paraId="4950CA8B" w14:textId="77777777" w:rsidR="008756A2" w:rsidRPr="007D73EF" w:rsidRDefault="00262914" w:rsidP="00F20568">
            <w:pPr>
              <w:pStyle w:val="Default"/>
              <w:ind w:right="-35"/>
              <w:jc w:val="center"/>
              <w:rPr>
                <w:rFonts w:ascii="Arial" w:hAnsi="Arial" w:cs="Arial"/>
                <w:color w:val="auto"/>
                <w:sz w:val="22"/>
                <w:szCs w:val="22"/>
              </w:rPr>
            </w:pPr>
            <w:r w:rsidRPr="007D73EF">
              <w:rPr>
                <w:rFonts w:ascii="Arial" w:hAnsi="Arial" w:cs="Arial"/>
                <w:color w:val="auto"/>
                <w:sz w:val="22"/>
                <w:szCs w:val="22"/>
              </w:rPr>
              <w:t>565.1</w:t>
            </w:r>
          </w:p>
          <w:p w14:paraId="3B770C24" w14:textId="77777777" w:rsidR="008756A2" w:rsidRPr="007D73EF" w:rsidRDefault="008756A2" w:rsidP="00F20568">
            <w:pPr>
              <w:pStyle w:val="Default"/>
              <w:ind w:right="-35"/>
              <w:jc w:val="center"/>
              <w:rPr>
                <w:rFonts w:ascii="Arial" w:hAnsi="Arial" w:cs="Arial"/>
                <w:color w:val="auto"/>
                <w:sz w:val="22"/>
                <w:szCs w:val="22"/>
              </w:rPr>
            </w:pPr>
          </w:p>
        </w:tc>
      </w:tr>
    </w:tbl>
    <w:p w14:paraId="2C22B486" w14:textId="77777777" w:rsidR="008756A2" w:rsidRPr="007D73EF" w:rsidRDefault="008756A2" w:rsidP="00F20568">
      <w:pPr>
        <w:autoSpaceDE w:val="0"/>
        <w:autoSpaceDN w:val="0"/>
        <w:adjustRightInd w:val="0"/>
        <w:ind w:right="-35"/>
        <w:rPr>
          <w:rFonts w:ascii="Arial" w:hAnsi="Arial" w:cs="Arial"/>
          <w:b/>
          <w:bCs/>
          <w:sz w:val="22"/>
          <w:szCs w:val="22"/>
        </w:rPr>
      </w:pPr>
    </w:p>
    <w:p w14:paraId="4A7431ED" w14:textId="77777777" w:rsidR="00122914" w:rsidRPr="007D73EF" w:rsidRDefault="00122914" w:rsidP="00F20568">
      <w:pPr>
        <w:ind w:right="-35"/>
        <w:rPr>
          <w:rFonts w:ascii="Arial" w:hAnsi="Arial" w:cs="Arial"/>
          <w:bCs/>
          <w:sz w:val="22"/>
          <w:szCs w:val="22"/>
        </w:rPr>
      </w:pPr>
    </w:p>
    <w:p w14:paraId="66AC223E" w14:textId="6FDE9AF9" w:rsidR="008756A2" w:rsidRPr="007D73EF" w:rsidRDefault="00F7372A" w:rsidP="00F20568">
      <w:pPr>
        <w:spacing w:before="120" w:after="120" w:line="300" w:lineRule="atLeast"/>
        <w:ind w:right="-29"/>
        <w:jc w:val="both"/>
        <w:rPr>
          <w:rFonts w:ascii="Arial" w:hAnsi="Arial" w:cs="Arial"/>
          <w:b/>
          <w:sz w:val="22"/>
          <w:szCs w:val="22"/>
        </w:rPr>
      </w:pPr>
      <w:r w:rsidRPr="007D73EF">
        <w:rPr>
          <w:rFonts w:ascii="Arial" w:hAnsi="Arial" w:cs="Arial"/>
          <w:b/>
          <w:sz w:val="22"/>
          <w:szCs w:val="22"/>
        </w:rPr>
        <w:t xml:space="preserve">Table </w:t>
      </w:r>
      <w:r w:rsidR="00FF62F3" w:rsidRPr="007D73EF">
        <w:rPr>
          <w:rFonts w:ascii="Arial" w:hAnsi="Arial" w:cs="Arial"/>
          <w:b/>
          <w:sz w:val="22"/>
          <w:szCs w:val="22"/>
        </w:rPr>
        <w:t>9</w:t>
      </w:r>
      <w:r w:rsidR="00617209" w:rsidRPr="007D73EF">
        <w:rPr>
          <w:rFonts w:ascii="Arial" w:hAnsi="Arial" w:cs="Arial"/>
          <w:b/>
          <w:sz w:val="22"/>
          <w:szCs w:val="22"/>
        </w:rPr>
        <w:t>:</w:t>
      </w:r>
      <w:r w:rsidRPr="007D73EF">
        <w:rPr>
          <w:rFonts w:ascii="Arial" w:hAnsi="Arial" w:cs="Arial"/>
          <w:b/>
          <w:sz w:val="22"/>
          <w:szCs w:val="22"/>
        </w:rPr>
        <w:t xml:space="preserve"> Summary of individual post hoc estimates and derived PK parameters in the overall paediatric population aged 2-17 years and adults</w:t>
      </w:r>
    </w:p>
    <w:p w14:paraId="74AA99DC" w14:textId="77777777" w:rsidR="00122914" w:rsidRPr="007D73EF" w:rsidRDefault="00122914" w:rsidP="00F20568">
      <w:pPr>
        <w:autoSpaceDE w:val="0"/>
        <w:autoSpaceDN w:val="0"/>
        <w:adjustRightInd w:val="0"/>
        <w:ind w:right="-35"/>
        <w:rPr>
          <w:rFonts w:ascii="Arial" w:hAnsi="Arial" w:cs="Arial"/>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578"/>
        <w:gridCol w:w="1402"/>
        <w:gridCol w:w="1760"/>
        <w:gridCol w:w="2061"/>
        <w:gridCol w:w="1750"/>
      </w:tblGrid>
      <w:tr w:rsidR="008A09EA" w:rsidRPr="007D73EF" w14:paraId="621B77F8" w14:textId="77777777" w:rsidTr="008A09EA">
        <w:trPr>
          <w:trHeight w:val="348"/>
          <w:tblHeader/>
        </w:trPr>
        <w:tc>
          <w:tcPr>
            <w:tcW w:w="923" w:type="pct"/>
          </w:tcPr>
          <w:p w14:paraId="4FDD77FE"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bCs/>
                <w:color w:val="auto"/>
                <w:sz w:val="22"/>
                <w:szCs w:val="22"/>
              </w:rPr>
              <w:t xml:space="preserve">Parameter </w:t>
            </w:r>
          </w:p>
        </w:tc>
        <w:tc>
          <w:tcPr>
            <w:tcW w:w="820" w:type="pct"/>
          </w:tcPr>
          <w:p w14:paraId="7E513AD7"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bCs/>
                <w:color w:val="auto"/>
                <w:sz w:val="22"/>
                <w:szCs w:val="22"/>
              </w:rPr>
              <w:t xml:space="preserve">Population </w:t>
            </w:r>
          </w:p>
        </w:tc>
        <w:tc>
          <w:tcPr>
            <w:tcW w:w="1029" w:type="pct"/>
          </w:tcPr>
          <w:p w14:paraId="0D4B35B5"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bCs/>
                <w:color w:val="auto"/>
                <w:sz w:val="22"/>
                <w:szCs w:val="22"/>
              </w:rPr>
              <w:t xml:space="preserve">Median estimate </w:t>
            </w:r>
          </w:p>
        </w:tc>
        <w:tc>
          <w:tcPr>
            <w:tcW w:w="2228" w:type="pct"/>
            <w:gridSpan w:val="2"/>
          </w:tcPr>
          <w:p w14:paraId="19580DF0"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bCs/>
                <w:color w:val="auto"/>
                <w:sz w:val="22"/>
                <w:szCs w:val="22"/>
              </w:rPr>
              <w:t>2.5</w:t>
            </w:r>
            <w:r w:rsidR="00262914" w:rsidRPr="007D73EF">
              <w:rPr>
                <w:rFonts w:ascii="Arial" w:hAnsi="Arial" w:cs="Arial"/>
                <w:bCs/>
                <w:color w:val="auto"/>
                <w:sz w:val="22"/>
                <w:szCs w:val="22"/>
                <w:vertAlign w:val="superscript"/>
              </w:rPr>
              <w:t>th</w:t>
            </w:r>
            <w:r w:rsidR="008756A2" w:rsidRPr="007D73EF">
              <w:rPr>
                <w:rFonts w:ascii="Arial" w:hAnsi="Arial" w:cs="Arial"/>
                <w:bCs/>
                <w:color w:val="auto"/>
                <w:sz w:val="22"/>
                <w:szCs w:val="22"/>
              </w:rPr>
              <w:t xml:space="preserve"> percentile ; 97.5</w:t>
            </w:r>
            <w:r w:rsidR="00262914" w:rsidRPr="007D73EF">
              <w:rPr>
                <w:rFonts w:ascii="Arial" w:hAnsi="Arial" w:cs="Arial"/>
                <w:bCs/>
                <w:color w:val="auto"/>
                <w:sz w:val="22"/>
                <w:szCs w:val="22"/>
                <w:vertAlign w:val="superscript"/>
              </w:rPr>
              <w:t>th</w:t>
            </w:r>
            <w:r w:rsidR="008756A2" w:rsidRPr="007D73EF">
              <w:rPr>
                <w:rFonts w:ascii="Arial" w:hAnsi="Arial" w:cs="Arial"/>
                <w:bCs/>
                <w:color w:val="auto"/>
                <w:sz w:val="22"/>
                <w:szCs w:val="22"/>
              </w:rPr>
              <w:t xml:space="preserve"> percentile of parameter distribution</w:t>
            </w:r>
          </w:p>
        </w:tc>
      </w:tr>
      <w:tr w:rsidR="008A09EA" w:rsidRPr="007D73EF" w14:paraId="0DEB34F4" w14:textId="77777777" w:rsidTr="008A09EA">
        <w:trPr>
          <w:trHeight w:val="333"/>
        </w:trPr>
        <w:tc>
          <w:tcPr>
            <w:tcW w:w="923" w:type="pct"/>
            <w:vAlign w:val="center"/>
          </w:tcPr>
          <w:p w14:paraId="52D63F62"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CL/kg [L/h/kg] </w:t>
            </w:r>
          </w:p>
        </w:tc>
        <w:tc>
          <w:tcPr>
            <w:tcW w:w="820" w:type="pct"/>
            <w:vAlign w:val="center"/>
          </w:tcPr>
          <w:p w14:paraId="004A67B9"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2-17 years </w:t>
            </w:r>
          </w:p>
        </w:tc>
        <w:tc>
          <w:tcPr>
            <w:tcW w:w="1029" w:type="pct"/>
            <w:vAlign w:val="center"/>
          </w:tcPr>
          <w:p w14:paraId="4179E4DF"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0.10 </w:t>
            </w:r>
          </w:p>
        </w:tc>
        <w:tc>
          <w:tcPr>
            <w:tcW w:w="1205" w:type="pct"/>
            <w:vAlign w:val="center"/>
          </w:tcPr>
          <w:p w14:paraId="7C4E0F7C"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0.05 </w:t>
            </w:r>
          </w:p>
        </w:tc>
        <w:tc>
          <w:tcPr>
            <w:tcW w:w="1023" w:type="pct"/>
            <w:vAlign w:val="center"/>
          </w:tcPr>
          <w:p w14:paraId="59B4F36B"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0.17 </w:t>
            </w:r>
          </w:p>
        </w:tc>
      </w:tr>
      <w:tr w:rsidR="008A09EA" w:rsidRPr="007D73EF" w14:paraId="6B64922F" w14:textId="77777777" w:rsidTr="008A09EA">
        <w:trPr>
          <w:trHeight w:val="258"/>
        </w:trPr>
        <w:tc>
          <w:tcPr>
            <w:tcW w:w="923" w:type="pct"/>
          </w:tcPr>
          <w:p w14:paraId="135B2965" w14:textId="77777777" w:rsidR="008756A2" w:rsidRPr="007D73EF" w:rsidRDefault="008756A2" w:rsidP="00F20568">
            <w:pPr>
              <w:pStyle w:val="Default"/>
              <w:ind w:right="-35"/>
              <w:jc w:val="center"/>
              <w:rPr>
                <w:rFonts w:ascii="Arial" w:hAnsi="Arial" w:cs="Arial"/>
                <w:color w:val="auto"/>
                <w:sz w:val="22"/>
                <w:szCs w:val="22"/>
              </w:rPr>
            </w:pPr>
          </w:p>
        </w:tc>
        <w:tc>
          <w:tcPr>
            <w:tcW w:w="820" w:type="pct"/>
            <w:vAlign w:val="center"/>
          </w:tcPr>
          <w:p w14:paraId="2B4FB660"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Adults </w:t>
            </w:r>
          </w:p>
        </w:tc>
        <w:tc>
          <w:tcPr>
            <w:tcW w:w="1029" w:type="pct"/>
            <w:vAlign w:val="center"/>
          </w:tcPr>
          <w:p w14:paraId="2C143A92"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0.09 </w:t>
            </w:r>
          </w:p>
        </w:tc>
        <w:tc>
          <w:tcPr>
            <w:tcW w:w="1205" w:type="pct"/>
            <w:vAlign w:val="center"/>
          </w:tcPr>
          <w:p w14:paraId="1F17C7A3"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0.05 </w:t>
            </w:r>
          </w:p>
        </w:tc>
        <w:tc>
          <w:tcPr>
            <w:tcW w:w="1023" w:type="pct"/>
            <w:vAlign w:val="center"/>
          </w:tcPr>
          <w:p w14:paraId="6E526E76"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0.13 </w:t>
            </w:r>
          </w:p>
        </w:tc>
      </w:tr>
      <w:tr w:rsidR="008A09EA" w:rsidRPr="007D73EF" w14:paraId="0C468E24" w14:textId="77777777" w:rsidTr="008A09EA">
        <w:trPr>
          <w:trHeight w:val="470"/>
        </w:trPr>
        <w:tc>
          <w:tcPr>
            <w:tcW w:w="923" w:type="pct"/>
            <w:vAlign w:val="center"/>
          </w:tcPr>
          <w:p w14:paraId="0C4915E1"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Vss/kg [L/kg] </w:t>
            </w:r>
          </w:p>
        </w:tc>
        <w:tc>
          <w:tcPr>
            <w:tcW w:w="820" w:type="pct"/>
            <w:vAlign w:val="center"/>
          </w:tcPr>
          <w:p w14:paraId="6AD91581"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2-17 years </w:t>
            </w:r>
          </w:p>
        </w:tc>
        <w:tc>
          <w:tcPr>
            <w:tcW w:w="1029" w:type="pct"/>
            <w:vAlign w:val="center"/>
          </w:tcPr>
          <w:p w14:paraId="251ADB9E"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0.20 </w:t>
            </w:r>
          </w:p>
        </w:tc>
        <w:tc>
          <w:tcPr>
            <w:tcW w:w="1205" w:type="pct"/>
            <w:vAlign w:val="center"/>
          </w:tcPr>
          <w:p w14:paraId="126809A7"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0.12 </w:t>
            </w:r>
          </w:p>
        </w:tc>
        <w:tc>
          <w:tcPr>
            <w:tcW w:w="1023" w:type="pct"/>
            <w:vAlign w:val="center"/>
          </w:tcPr>
          <w:p w14:paraId="3C47098F"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0.28 </w:t>
            </w:r>
          </w:p>
        </w:tc>
      </w:tr>
      <w:tr w:rsidR="008A09EA" w:rsidRPr="007D73EF" w14:paraId="75854AB2" w14:textId="77777777" w:rsidTr="008A09EA">
        <w:trPr>
          <w:trHeight w:val="258"/>
        </w:trPr>
        <w:tc>
          <w:tcPr>
            <w:tcW w:w="923" w:type="pct"/>
          </w:tcPr>
          <w:p w14:paraId="09C7B0BB" w14:textId="77777777" w:rsidR="008756A2" w:rsidRPr="007D73EF" w:rsidRDefault="008756A2" w:rsidP="00F20568">
            <w:pPr>
              <w:pStyle w:val="Default"/>
              <w:ind w:right="-35"/>
              <w:jc w:val="center"/>
              <w:rPr>
                <w:rFonts w:ascii="Arial" w:hAnsi="Arial" w:cs="Arial"/>
                <w:color w:val="auto"/>
                <w:sz w:val="22"/>
                <w:szCs w:val="22"/>
              </w:rPr>
            </w:pPr>
          </w:p>
        </w:tc>
        <w:tc>
          <w:tcPr>
            <w:tcW w:w="820" w:type="pct"/>
            <w:vAlign w:val="center"/>
          </w:tcPr>
          <w:p w14:paraId="4CD3AB82"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Adults </w:t>
            </w:r>
          </w:p>
        </w:tc>
        <w:tc>
          <w:tcPr>
            <w:tcW w:w="1029" w:type="pct"/>
            <w:vAlign w:val="center"/>
          </w:tcPr>
          <w:p w14:paraId="6F676F31"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0.22 </w:t>
            </w:r>
          </w:p>
        </w:tc>
        <w:tc>
          <w:tcPr>
            <w:tcW w:w="1205" w:type="pct"/>
            <w:vAlign w:val="center"/>
          </w:tcPr>
          <w:p w14:paraId="6E21AA40"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0.15 </w:t>
            </w:r>
          </w:p>
        </w:tc>
        <w:tc>
          <w:tcPr>
            <w:tcW w:w="1023" w:type="pct"/>
            <w:vAlign w:val="center"/>
          </w:tcPr>
          <w:p w14:paraId="1C8D5868"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0.33 </w:t>
            </w:r>
          </w:p>
        </w:tc>
      </w:tr>
      <w:tr w:rsidR="008A09EA" w:rsidRPr="007D73EF" w14:paraId="7E5C9B26" w14:textId="77777777" w:rsidTr="008A09EA">
        <w:trPr>
          <w:trHeight w:val="333"/>
        </w:trPr>
        <w:tc>
          <w:tcPr>
            <w:tcW w:w="923" w:type="pct"/>
            <w:vAlign w:val="center"/>
          </w:tcPr>
          <w:p w14:paraId="158F825B"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color w:val="auto"/>
                <w:sz w:val="22"/>
                <w:szCs w:val="22"/>
              </w:rPr>
              <w:t>AUC [μmol*h/L]</w:t>
            </w:r>
          </w:p>
        </w:tc>
        <w:tc>
          <w:tcPr>
            <w:tcW w:w="820" w:type="pct"/>
            <w:vAlign w:val="center"/>
          </w:tcPr>
          <w:p w14:paraId="3D88A1EB"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2-17 years </w:t>
            </w:r>
          </w:p>
        </w:tc>
        <w:tc>
          <w:tcPr>
            <w:tcW w:w="1029" w:type="pct"/>
            <w:vAlign w:val="center"/>
          </w:tcPr>
          <w:p w14:paraId="3DB88B70"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999 </w:t>
            </w:r>
          </w:p>
        </w:tc>
        <w:tc>
          <w:tcPr>
            <w:tcW w:w="1205" w:type="pct"/>
            <w:vAlign w:val="center"/>
          </w:tcPr>
          <w:p w14:paraId="6BCA2412"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590 </w:t>
            </w:r>
          </w:p>
        </w:tc>
        <w:tc>
          <w:tcPr>
            <w:tcW w:w="1023" w:type="pct"/>
            <w:vAlign w:val="center"/>
          </w:tcPr>
          <w:p w14:paraId="44D6C551"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1808 </w:t>
            </w:r>
          </w:p>
        </w:tc>
      </w:tr>
      <w:tr w:rsidR="008A09EA" w:rsidRPr="007D73EF" w14:paraId="6B87C9F8" w14:textId="77777777" w:rsidTr="008A09EA">
        <w:trPr>
          <w:trHeight w:val="263"/>
        </w:trPr>
        <w:tc>
          <w:tcPr>
            <w:tcW w:w="923" w:type="pct"/>
          </w:tcPr>
          <w:p w14:paraId="41B90222" w14:textId="77777777" w:rsidR="008756A2" w:rsidRPr="007D73EF" w:rsidRDefault="008756A2" w:rsidP="00F20568">
            <w:pPr>
              <w:pStyle w:val="Default"/>
              <w:ind w:right="-35"/>
              <w:jc w:val="center"/>
              <w:rPr>
                <w:rFonts w:ascii="Arial" w:hAnsi="Arial" w:cs="Arial"/>
                <w:color w:val="auto"/>
                <w:sz w:val="22"/>
                <w:szCs w:val="22"/>
              </w:rPr>
            </w:pPr>
          </w:p>
        </w:tc>
        <w:tc>
          <w:tcPr>
            <w:tcW w:w="820" w:type="pct"/>
            <w:vAlign w:val="center"/>
          </w:tcPr>
          <w:p w14:paraId="7193999B"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Adults </w:t>
            </w:r>
          </w:p>
        </w:tc>
        <w:tc>
          <w:tcPr>
            <w:tcW w:w="1029" w:type="pct"/>
            <w:vAlign w:val="center"/>
          </w:tcPr>
          <w:p w14:paraId="4678C58C"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1110 </w:t>
            </w:r>
          </w:p>
        </w:tc>
        <w:tc>
          <w:tcPr>
            <w:tcW w:w="1205" w:type="pct"/>
            <w:vAlign w:val="center"/>
          </w:tcPr>
          <w:p w14:paraId="223F579D"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724.2 </w:t>
            </w:r>
          </w:p>
        </w:tc>
        <w:tc>
          <w:tcPr>
            <w:tcW w:w="1023" w:type="pct"/>
            <w:vAlign w:val="center"/>
          </w:tcPr>
          <w:p w14:paraId="7310EE02" w14:textId="77777777" w:rsidR="008756A2" w:rsidRPr="007D73EF" w:rsidRDefault="00F7372A" w:rsidP="00F20568">
            <w:pPr>
              <w:pStyle w:val="Default"/>
              <w:ind w:right="-35"/>
              <w:jc w:val="center"/>
              <w:rPr>
                <w:rFonts w:ascii="Arial" w:hAnsi="Arial" w:cs="Arial"/>
                <w:color w:val="auto"/>
                <w:sz w:val="22"/>
                <w:szCs w:val="22"/>
              </w:rPr>
            </w:pPr>
            <w:r w:rsidRPr="007D73EF">
              <w:rPr>
                <w:rFonts w:ascii="Arial" w:hAnsi="Arial" w:cs="Arial"/>
                <w:color w:val="auto"/>
                <w:sz w:val="22"/>
                <w:szCs w:val="22"/>
              </w:rPr>
              <w:t xml:space="preserve">1956 </w:t>
            </w:r>
          </w:p>
        </w:tc>
      </w:tr>
    </w:tbl>
    <w:p w14:paraId="535C2A0D" w14:textId="77777777" w:rsidR="008756A2" w:rsidRPr="007D73EF" w:rsidRDefault="00F7372A" w:rsidP="00F20568">
      <w:pPr>
        <w:ind w:right="-35"/>
        <w:rPr>
          <w:rFonts w:ascii="Arial" w:hAnsi="Arial" w:cs="Arial"/>
          <w:b/>
          <w:sz w:val="22"/>
          <w:szCs w:val="22"/>
        </w:rPr>
      </w:pPr>
      <w:r w:rsidRPr="007D73EF">
        <w:rPr>
          <w:rFonts w:ascii="Arial" w:hAnsi="Arial" w:cs="Arial"/>
          <w:b/>
          <w:sz w:val="22"/>
          <w:szCs w:val="22"/>
        </w:rPr>
        <w:t>Legend</w:t>
      </w:r>
    </w:p>
    <w:p w14:paraId="11C61169" w14:textId="77777777" w:rsidR="008756A2" w:rsidRPr="007D73EF" w:rsidRDefault="00F7372A" w:rsidP="00F20568">
      <w:pPr>
        <w:ind w:right="-35"/>
        <w:rPr>
          <w:rFonts w:ascii="Arial" w:hAnsi="Arial" w:cs="Arial"/>
          <w:sz w:val="22"/>
          <w:szCs w:val="22"/>
        </w:rPr>
      </w:pPr>
      <w:r w:rsidRPr="007D73EF">
        <w:rPr>
          <w:rFonts w:ascii="Arial" w:hAnsi="Arial" w:cs="Arial"/>
          <w:sz w:val="22"/>
          <w:szCs w:val="22"/>
        </w:rPr>
        <w:t xml:space="preserve">CL/kg </w:t>
      </w:r>
      <w:r w:rsidRPr="007D73EF">
        <w:rPr>
          <w:rFonts w:ascii="Arial" w:hAnsi="Arial" w:cs="Arial"/>
          <w:sz w:val="22"/>
          <w:szCs w:val="22"/>
        </w:rPr>
        <w:tab/>
        <w:t>[L/h/kg]</w:t>
      </w:r>
      <w:r w:rsidRPr="007D73EF">
        <w:rPr>
          <w:rFonts w:ascii="Arial" w:hAnsi="Arial" w:cs="Arial"/>
          <w:sz w:val="22"/>
          <w:szCs w:val="22"/>
        </w:rPr>
        <w:tab/>
        <w:t>Clearance normalised for body weight</w:t>
      </w:r>
    </w:p>
    <w:p w14:paraId="7696B711" w14:textId="77777777" w:rsidR="008756A2" w:rsidRPr="007D73EF" w:rsidRDefault="00F7372A" w:rsidP="00F20568">
      <w:pPr>
        <w:ind w:left="2160" w:right="-35" w:hanging="2160"/>
        <w:rPr>
          <w:rFonts w:ascii="Arial" w:hAnsi="Arial" w:cs="Arial"/>
          <w:sz w:val="22"/>
          <w:szCs w:val="22"/>
        </w:rPr>
      </w:pPr>
      <w:r w:rsidRPr="007D73EF">
        <w:rPr>
          <w:rFonts w:ascii="Arial" w:hAnsi="Arial" w:cs="Arial"/>
          <w:sz w:val="22"/>
          <w:szCs w:val="22"/>
        </w:rPr>
        <w:t>Vss/kg [L/kg]</w:t>
      </w:r>
      <w:r w:rsidRPr="007D73EF">
        <w:rPr>
          <w:rFonts w:ascii="Arial" w:hAnsi="Arial" w:cs="Arial"/>
          <w:sz w:val="22"/>
          <w:szCs w:val="22"/>
        </w:rPr>
        <w:tab/>
        <w:t>Volume of distribution at steady state normalised for body weight</w:t>
      </w:r>
    </w:p>
    <w:p w14:paraId="0EFA03C9" w14:textId="77777777" w:rsidR="00F20568" w:rsidRPr="007D73EF" w:rsidRDefault="00F20568" w:rsidP="00F20568">
      <w:pPr>
        <w:spacing w:before="120" w:after="120" w:line="300" w:lineRule="atLeast"/>
        <w:ind w:right="-29"/>
        <w:jc w:val="both"/>
        <w:rPr>
          <w:rFonts w:ascii="Arial" w:hAnsi="Arial" w:cs="Arial"/>
          <w:b/>
          <w:bCs/>
          <w:sz w:val="22"/>
          <w:szCs w:val="22"/>
        </w:rPr>
      </w:pPr>
    </w:p>
    <w:p w14:paraId="286FEC32" w14:textId="77777777" w:rsidR="008756A2" w:rsidRPr="007D73EF" w:rsidRDefault="00F7372A" w:rsidP="00F20568">
      <w:pPr>
        <w:spacing w:before="120" w:after="120" w:line="300" w:lineRule="atLeast"/>
        <w:ind w:right="-29"/>
        <w:jc w:val="both"/>
        <w:rPr>
          <w:rFonts w:ascii="Arial" w:hAnsi="Arial" w:cs="Arial"/>
          <w:sz w:val="22"/>
          <w:szCs w:val="22"/>
        </w:rPr>
      </w:pPr>
      <w:r w:rsidRPr="007D73EF">
        <w:rPr>
          <w:rFonts w:ascii="Arial" w:hAnsi="Arial" w:cs="Arial"/>
          <w:b/>
          <w:bCs/>
          <w:sz w:val="22"/>
          <w:szCs w:val="22"/>
        </w:rPr>
        <w:t xml:space="preserve">Conclusions:  </w:t>
      </w:r>
      <w:r w:rsidRPr="007D73EF">
        <w:rPr>
          <w:rFonts w:ascii="Arial" w:hAnsi="Arial" w:cs="Arial"/>
          <w:sz w:val="22"/>
          <w:szCs w:val="22"/>
        </w:rPr>
        <w:t>This study demonstrated the PK profile for gadobutrol in the paediatric population was comparable to the PK profile in adults.  Therefore in children and adolescents aged 2 to 17 years old, no dose adjustment is needed.  The approved standard dose for adults (0.1 mmol/kg BW) for all indications is the same in the paediatric population. As per the European Guideline</w:t>
      </w:r>
      <w:r w:rsidR="007D47A2" w:rsidRPr="007D73EF">
        <w:rPr>
          <w:rFonts w:ascii="Arial" w:hAnsi="Arial" w:cs="Arial"/>
          <w:sz w:val="22"/>
          <w:szCs w:val="22"/>
          <w:vertAlign w:val="superscript"/>
        </w:rPr>
        <w:t>2</w:t>
      </w:r>
      <w:r w:rsidRPr="007D73EF">
        <w:rPr>
          <w:rFonts w:ascii="Arial" w:hAnsi="Arial" w:cs="Arial"/>
          <w:sz w:val="22"/>
          <w:szCs w:val="22"/>
        </w:rPr>
        <w:t xml:space="preserve"> the demonstration of similar PK results in the paediatric and adult populations support extrapolation of adult indications and safety profile for gadobutrol into the paediatric population.</w:t>
      </w:r>
    </w:p>
    <w:p w14:paraId="68C4FA27" w14:textId="77777777" w:rsidR="008756A2" w:rsidRPr="007D73EF" w:rsidRDefault="007D47A2" w:rsidP="00F20568">
      <w:pPr>
        <w:autoSpaceDE w:val="0"/>
        <w:autoSpaceDN w:val="0"/>
        <w:adjustRightInd w:val="0"/>
        <w:spacing w:before="120" w:after="120" w:line="300" w:lineRule="atLeast"/>
        <w:ind w:right="-29"/>
        <w:rPr>
          <w:rFonts w:ascii="Arial" w:hAnsi="Arial" w:cs="Arial"/>
          <w:sz w:val="22"/>
          <w:szCs w:val="22"/>
        </w:rPr>
      </w:pPr>
      <w:r w:rsidRPr="007D73EF">
        <w:rPr>
          <w:rFonts w:ascii="Arial" w:hAnsi="Arial" w:cs="Arial"/>
          <w:sz w:val="22"/>
          <w:szCs w:val="22"/>
          <w:vertAlign w:val="superscript"/>
        </w:rPr>
        <w:t>2</w:t>
      </w:r>
      <w:r w:rsidR="00F7372A" w:rsidRPr="007D73EF">
        <w:rPr>
          <w:rFonts w:ascii="Arial" w:hAnsi="Arial" w:cs="Arial"/>
          <w:sz w:val="22"/>
          <w:szCs w:val="22"/>
        </w:rPr>
        <w:t xml:space="preserve"> European Medicines Agency, CHMP, London, 28 June 2006, Doc. Ref. EMEA/CHMP/EWP/147013/2004 “</w:t>
      </w:r>
      <w:r w:rsidR="00F7372A" w:rsidRPr="007D73EF">
        <w:rPr>
          <w:rFonts w:ascii="Arial" w:hAnsi="Arial" w:cs="Arial"/>
          <w:bCs/>
          <w:i/>
          <w:sz w:val="22"/>
          <w:szCs w:val="22"/>
        </w:rPr>
        <w:t>Guideline on the Role of Pharmacokinetics in the Development of Medicinal Products in the Paediatric Population”</w:t>
      </w:r>
    </w:p>
    <w:p w14:paraId="67BD88A7" w14:textId="77777777" w:rsidR="000D7503" w:rsidRPr="007D73EF" w:rsidRDefault="000D7503" w:rsidP="00F20568">
      <w:pPr>
        <w:spacing w:before="120" w:after="120" w:line="300" w:lineRule="atLeast"/>
        <w:ind w:right="-29"/>
        <w:rPr>
          <w:rFonts w:ascii="Arial" w:hAnsi="Arial" w:cs="Arial"/>
          <w:b/>
          <w:sz w:val="22"/>
          <w:szCs w:val="22"/>
        </w:rPr>
      </w:pPr>
    </w:p>
    <w:p w14:paraId="6D304A61" w14:textId="77777777" w:rsidR="007165EB" w:rsidRPr="007D73EF" w:rsidRDefault="00F7372A" w:rsidP="00563FA6">
      <w:pPr>
        <w:pStyle w:val="Heading1"/>
        <w:spacing w:before="240" w:after="240" w:line="300" w:lineRule="atLeast"/>
        <w:ind w:right="1443"/>
        <w:jc w:val="both"/>
        <w:rPr>
          <w:rFonts w:ascii="Arial" w:hAnsi="Arial" w:cs="Arial"/>
          <w:b/>
          <w:caps/>
          <w:kern w:val="28"/>
          <w:sz w:val="28"/>
          <w:lang w:val="en-GB"/>
        </w:rPr>
      </w:pPr>
      <w:r w:rsidRPr="007D73EF">
        <w:rPr>
          <w:rFonts w:ascii="Arial" w:hAnsi="Arial" w:cs="Arial"/>
          <w:b/>
          <w:caps/>
          <w:kern w:val="28"/>
          <w:sz w:val="28"/>
          <w:lang w:val="en-GB"/>
        </w:rPr>
        <w:lastRenderedPageBreak/>
        <w:t>INDICATIONS</w:t>
      </w:r>
    </w:p>
    <w:p w14:paraId="70A251AA" w14:textId="77777777" w:rsidR="00B067A7" w:rsidRPr="007D73EF" w:rsidRDefault="00F7372A" w:rsidP="00563FA6">
      <w:pPr>
        <w:pStyle w:val="BodyText"/>
        <w:spacing w:before="120" w:after="120" w:line="300" w:lineRule="atLeast"/>
        <w:jc w:val="both"/>
        <w:rPr>
          <w:rFonts w:ascii="Arial" w:hAnsi="Arial" w:cs="Arial"/>
          <w:sz w:val="22"/>
          <w:szCs w:val="22"/>
        </w:rPr>
      </w:pPr>
      <w:r w:rsidRPr="007D73EF">
        <w:rPr>
          <w:rFonts w:ascii="Arial" w:hAnsi="Arial" w:cs="Arial"/>
          <w:sz w:val="22"/>
          <w:szCs w:val="22"/>
        </w:rPr>
        <w:t xml:space="preserve">This medicinal product is for diagnostic use only.   </w:t>
      </w:r>
    </w:p>
    <w:p w14:paraId="1E23CC4A" w14:textId="583F1AC8" w:rsidR="003D20D6" w:rsidRPr="007D73EF" w:rsidRDefault="00F7372A" w:rsidP="00563FA6">
      <w:pPr>
        <w:pStyle w:val="BodyText"/>
        <w:spacing w:before="120" w:after="120" w:line="300" w:lineRule="atLeast"/>
        <w:jc w:val="both"/>
        <w:rPr>
          <w:rFonts w:ascii="Arial" w:hAnsi="Arial" w:cs="Arial"/>
          <w:sz w:val="22"/>
          <w:szCs w:val="22"/>
          <w:lang w:val="en-US"/>
        </w:rPr>
      </w:pPr>
      <w:r w:rsidRPr="007D73EF">
        <w:rPr>
          <w:rFonts w:ascii="Arial" w:hAnsi="Arial" w:cs="Arial"/>
          <w:sz w:val="22"/>
          <w:szCs w:val="22"/>
        </w:rPr>
        <w:t>Gadovist</w:t>
      </w:r>
      <w:r w:rsidR="00CA12D4" w:rsidRPr="007D73EF">
        <w:rPr>
          <w:rFonts w:ascii="Arial" w:hAnsi="Arial" w:cs="Arial"/>
          <w:sz w:val="22"/>
          <w:szCs w:val="22"/>
          <w:lang w:eastAsia="de-DE"/>
        </w:rPr>
        <w:t xml:space="preserve"> 1.0</w:t>
      </w:r>
      <w:r w:rsidRPr="007D73EF">
        <w:rPr>
          <w:rFonts w:ascii="Arial" w:hAnsi="Arial" w:cs="Arial"/>
          <w:sz w:val="22"/>
          <w:szCs w:val="22"/>
        </w:rPr>
        <w:t xml:space="preserve"> is indicated in adults, adolescents, and children aged 2 years and older</w:t>
      </w:r>
      <w:bookmarkStart w:id="0" w:name="_Ref208817028"/>
      <w:r w:rsidRPr="007D73EF">
        <w:rPr>
          <w:rFonts w:ascii="Arial" w:hAnsi="Arial" w:cs="Arial"/>
          <w:sz w:val="22"/>
          <w:szCs w:val="22"/>
        </w:rPr>
        <w:t xml:space="preserve"> </w:t>
      </w:r>
      <w:bookmarkEnd w:id="0"/>
      <w:r w:rsidRPr="007D73EF">
        <w:rPr>
          <w:rFonts w:ascii="Arial" w:hAnsi="Arial" w:cs="Arial"/>
          <w:sz w:val="22"/>
          <w:szCs w:val="22"/>
        </w:rPr>
        <w:t>for:</w:t>
      </w:r>
    </w:p>
    <w:p w14:paraId="5E60EB27" w14:textId="77777777" w:rsidR="00262914" w:rsidRPr="007D73EF" w:rsidRDefault="007165EB" w:rsidP="00563FA6">
      <w:pPr>
        <w:pStyle w:val="BodyText"/>
        <w:numPr>
          <w:ilvl w:val="0"/>
          <w:numId w:val="20"/>
        </w:numPr>
        <w:spacing w:before="120" w:after="120" w:line="300" w:lineRule="atLeast"/>
        <w:jc w:val="both"/>
        <w:rPr>
          <w:rFonts w:ascii="Arial" w:hAnsi="Arial" w:cs="Arial"/>
          <w:sz w:val="22"/>
          <w:szCs w:val="22"/>
        </w:rPr>
      </w:pPr>
      <w:r w:rsidRPr="007D73EF">
        <w:rPr>
          <w:rFonts w:ascii="Arial" w:hAnsi="Arial" w:cs="Arial"/>
          <w:sz w:val="22"/>
          <w:szCs w:val="22"/>
        </w:rPr>
        <w:t>Contrast enhancement in cranial and spinal magnetic resonance imaging (MRI)</w:t>
      </w:r>
    </w:p>
    <w:p w14:paraId="472A20D1" w14:textId="5E097730" w:rsidR="00563FA6" w:rsidRPr="007D73EF" w:rsidRDefault="00563FA6" w:rsidP="00563FA6">
      <w:pPr>
        <w:pStyle w:val="BodyText"/>
        <w:numPr>
          <w:ilvl w:val="0"/>
          <w:numId w:val="20"/>
        </w:numPr>
        <w:spacing w:before="120" w:after="120" w:line="300" w:lineRule="atLeast"/>
        <w:jc w:val="both"/>
        <w:rPr>
          <w:rFonts w:ascii="Arial" w:hAnsi="Arial" w:cs="Arial"/>
          <w:sz w:val="22"/>
          <w:szCs w:val="22"/>
        </w:rPr>
      </w:pPr>
      <w:r w:rsidRPr="007D73EF">
        <w:rPr>
          <w:rFonts w:ascii="Arial" w:hAnsi="Arial" w:cs="Arial"/>
          <w:sz w:val="22"/>
          <w:szCs w:val="22"/>
        </w:rPr>
        <w:t>Contrast enhancement in whole body MRI including head and neck region, thoracic space, breast, abdomen (pancreas, liver and spleen), pelvis (prostate, bladder and uterus), retroperitoneal space (kidney), extremities and musculoskeletal system</w:t>
      </w:r>
      <w:r w:rsidR="00757356" w:rsidRPr="00BB1D5A">
        <w:rPr>
          <w:rFonts w:ascii="Arial" w:hAnsi="Arial" w:cs="Arial"/>
          <w:noProof/>
          <w:sz w:val="22"/>
          <w:szCs w:val="22"/>
          <w:vertAlign w:val="superscript"/>
          <w:lang w:val="en-GB"/>
        </w:rPr>
        <w:t>#</w:t>
      </w:r>
    </w:p>
    <w:p w14:paraId="3639D01D" w14:textId="77777777" w:rsidR="007165EB" w:rsidRPr="007D73EF" w:rsidRDefault="007165EB" w:rsidP="00563FA6">
      <w:pPr>
        <w:pStyle w:val="BodyText"/>
        <w:numPr>
          <w:ilvl w:val="0"/>
          <w:numId w:val="20"/>
        </w:numPr>
        <w:spacing w:before="120" w:after="120" w:line="300" w:lineRule="atLeast"/>
        <w:jc w:val="both"/>
        <w:rPr>
          <w:rFonts w:ascii="Arial" w:hAnsi="Arial" w:cs="Arial"/>
          <w:sz w:val="22"/>
          <w:szCs w:val="22"/>
        </w:rPr>
      </w:pPr>
      <w:r w:rsidRPr="007D73EF">
        <w:rPr>
          <w:rFonts w:ascii="Arial" w:hAnsi="Arial" w:cs="Arial"/>
          <w:sz w:val="22"/>
          <w:szCs w:val="22"/>
        </w:rPr>
        <w:t>Use in first</w:t>
      </w:r>
      <w:r w:rsidR="009100FE" w:rsidRPr="007D73EF">
        <w:rPr>
          <w:rFonts w:ascii="Arial" w:hAnsi="Arial" w:cs="Arial"/>
          <w:sz w:val="22"/>
          <w:szCs w:val="22"/>
        </w:rPr>
        <w:t>–</w:t>
      </w:r>
      <w:r w:rsidRPr="007D73EF">
        <w:rPr>
          <w:rFonts w:ascii="Arial" w:hAnsi="Arial" w:cs="Arial"/>
          <w:sz w:val="22"/>
          <w:szCs w:val="22"/>
        </w:rPr>
        <w:t xml:space="preserve">pass MRI studies of cerebral perfusion (see </w:t>
      </w:r>
      <w:r w:rsidR="00CE21BB" w:rsidRPr="007D73EF">
        <w:rPr>
          <w:rFonts w:ascii="Arial" w:hAnsi="Arial" w:cs="Arial"/>
          <w:sz w:val="22"/>
          <w:szCs w:val="22"/>
        </w:rPr>
        <w:t>PRECAUTIONS</w:t>
      </w:r>
      <w:r w:rsidRPr="007D73EF">
        <w:rPr>
          <w:rFonts w:ascii="Arial" w:hAnsi="Arial" w:cs="Arial"/>
          <w:sz w:val="22"/>
          <w:szCs w:val="22"/>
        </w:rPr>
        <w:t>)</w:t>
      </w:r>
    </w:p>
    <w:p w14:paraId="62F1A85F" w14:textId="77777777" w:rsidR="007165EB" w:rsidRPr="007D73EF" w:rsidRDefault="007165EB" w:rsidP="00563FA6">
      <w:pPr>
        <w:pStyle w:val="BodyText"/>
        <w:numPr>
          <w:ilvl w:val="0"/>
          <w:numId w:val="20"/>
        </w:numPr>
        <w:spacing w:before="120" w:after="120" w:line="300" w:lineRule="atLeast"/>
        <w:jc w:val="both"/>
        <w:rPr>
          <w:rFonts w:ascii="Arial" w:hAnsi="Arial" w:cs="Arial"/>
          <w:sz w:val="22"/>
          <w:szCs w:val="22"/>
        </w:rPr>
      </w:pPr>
      <w:r w:rsidRPr="007D73EF">
        <w:rPr>
          <w:rFonts w:ascii="Arial" w:hAnsi="Arial" w:cs="Arial"/>
          <w:sz w:val="22"/>
          <w:szCs w:val="22"/>
        </w:rPr>
        <w:t xml:space="preserve">Contrast enhancement in magnetic resonance angiography (CE MRA) (see </w:t>
      </w:r>
      <w:r w:rsidR="00CE21BB" w:rsidRPr="007D73EF">
        <w:rPr>
          <w:rFonts w:ascii="Arial" w:hAnsi="Arial" w:cs="Arial"/>
          <w:sz w:val="22"/>
          <w:szCs w:val="22"/>
        </w:rPr>
        <w:t>CLINICAL TRIALS</w:t>
      </w:r>
      <w:r w:rsidRPr="007D73EF">
        <w:rPr>
          <w:rFonts w:ascii="Arial" w:hAnsi="Arial" w:cs="Arial"/>
          <w:sz w:val="22"/>
          <w:szCs w:val="22"/>
        </w:rPr>
        <w:t>)</w:t>
      </w:r>
    </w:p>
    <w:p w14:paraId="6E558230" w14:textId="2C2E58B6" w:rsidR="00563FA6" w:rsidRPr="007D73EF" w:rsidRDefault="00563FA6" w:rsidP="00563FA6">
      <w:pPr>
        <w:pStyle w:val="BodyText"/>
        <w:numPr>
          <w:ilvl w:val="0"/>
          <w:numId w:val="20"/>
        </w:numPr>
        <w:spacing w:before="120" w:after="120" w:line="300" w:lineRule="atLeast"/>
        <w:jc w:val="both"/>
        <w:rPr>
          <w:rFonts w:ascii="Arial" w:hAnsi="Arial" w:cs="Arial"/>
          <w:sz w:val="22"/>
          <w:szCs w:val="22"/>
        </w:rPr>
      </w:pPr>
      <w:r w:rsidRPr="007D73EF">
        <w:rPr>
          <w:rFonts w:ascii="Arial" w:hAnsi="Arial" w:cs="Arial"/>
          <w:sz w:val="22"/>
          <w:szCs w:val="22"/>
        </w:rPr>
        <w:t xml:space="preserve">Contrast enhancement in cardiac MRI including assessment of </w:t>
      </w:r>
      <w:r w:rsidR="00413DFA" w:rsidRPr="007D73EF">
        <w:rPr>
          <w:rFonts w:ascii="Arial" w:hAnsi="Arial" w:cs="Arial"/>
          <w:sz w:val="22"/>
          <w:szCs w:val="22"/>
        </w:rPr>
        <w:t xml:space="preserve">rest and </w:t>
      </w:r>
      <w:r w:rsidRPr="007D73EF">
        <w:rPr>
          <w:rFonts w:ascii="Arial" w:hAnsi="Arial" w:cs="Arial"/>
          <w:sz w:val="22"/>
          <w:szCs w:val="22"/>
        </w:rPr>
        <w:t xml:space="preserve">pharmacological stress </w:t>
      </w:r>
      <w:r w:rsidR="00413DFA" w:rsidRPr="007D73EF">
        <w:rPr>
          <w:rFonts w:ascii="Arial" w:hAnsi="Arial" w:cs="Arial"/>
          <w:sz w:val="22"/>
          <w:szCs w:val="22"/>
        </w:rPr>
        <w:t xml:space="preserve">perfusion </w:t>
      </w:r>
      <w:r w:rsidRPr="007D73EF">
        <w:rPr>
          <w:rFonts w:ascii="Arial" w:hAnsi="Arial" w:cs="Arial"/>
          <w:sz w:val="22"/>
          <w:szCs w:val="22"/>
        </w:rPr>
        <w:t xml:space="preserve">and </w:t>
      </w:r>
      <w:r w:rsidR="00413DFA" w:rsidRPr="007D73EF">
        <w:rPr>
          <w:rFonts w:ascii="Arial" w:hAnsi="Arial" w:cs="Arial"/>
          <w:sz w:val="22"/>
          <w:szCs w:val="22"/>
        </w:rPr>
        <w:t>delayed enhancement</w:t>
      </w:r>
      <w:r w:rsidR="00757356" w:rsidRPr="00BB1D5A">
        <w:rPr>
          <w:rFonts w:ascii="Arial" w:hAnsi="Arial" w:cs="Arial"/>
          <w:noProof/>
          <w:sz w:val="22"/>
          <w:szCs w:val="22"/>
          <w:vertAlign w:val="superscript"/>
          <w:lang w:val="en-GB"/>
        </w:rPr>
        <w:t>#</w:t>
      </w:r>
    </w:p>
    <w:p w14:paraId="61705143" w14:textId="77777777" w:rsidR="00563FA6" w:rsidRPr="007D73EF" w:rsidRDefault="00563FA6" w:rsidP="00563FA6">
      <w:pPr>
        <w:pStyle w:val="BodyText"/>
        <w:spacing w:before="120" w:after="120" w:line="300" w:lineRule="atLeast"/>
        <w:jc w:val="both"/>
        <w:rPr>
          <w:rFonts w:ascii="Arial" w:hAnsi="Arial" w:cs="Arial"/>
          <w:sz w:val="22"/>
          <w:szCs w:val="22"/>
        </w:rPr>
      </w:pPr>
    </w:p>
    <w:p w14:paraId="2CEA71D9" w14:textId="77777777" w:rsidR="007165EB" w:rsidRPr="007D73EF" w:rsidRDefault="00741198" w:rsidP="00F20568">
      <w:pPr>
        <w:pStyle w:val="Heading1"/>
        <w:spacing w:before="240" w:after="240" w:line="300" w:lineRule="atLeast"/>
        <w:ind w:right="1443"/>
        <w:jc w:val="both"/>
        <w:rPr>
          <w:rFonts w:ascii="Arial" w:hAnsi="Arial" w:cs="Arial"/>
          <w:b/>
          <w:caps/>
          <w:kern w:val="28"/>
          <w:sz w:val="28"/>
          <w:lang w:val="en-GB"/>
        </w:rPr>
      </w:pPr>
      <w:r w:rsidRPr="007D73EF">
        <w:rPr>
          <w:rFonts w:ascii="Arial" w:hAnsi="Arial" w:cs="Arial"/>
          <w:b/>
          <w:caps/>
          <w:kern w:val="28"/>
          <w:sz w:val="28"/>
          <w:lang w:val="en-GB"/>
        </w:rPr>
        <w:t>CONTRAINDICATIONS</w:t>
      </w:r>
    </w:p>
    <w:p w14:paraId="391E6AFF" w14:textId="07F34147" w:rsidR="009A5DAE" w:rsidRPr="007D73EF" w:rsidRDefault="00F02A08" w:rsidP="00F20568">
      <w:pPr>
        <w:pStyle w:val="BodyText"/>
        <w:spacing w:before="120" w:after="120" w:line="300" w:lineRule="atLeast"/>
        <w:rPr>
          <w:rFonts w:ascii="Arial" w:hAnsi="Arial" w:cs="Arial"/>
          <w:sz w:val="22"/>
          <w:szCs w:val="22"/>
        </w:rPr>
      </w:pPr>
      <w:r w:rsidRPr="007D73EF">
        <w:rPr>
          <w:rFonts w:ascii="Arial" w:hAnsi="Arial" w:cs="Arial"/>
          <w:sz w:val="22"/>
          <w:szCs w:val="22"/>
        </w:rPr>
        <w:t>Gadovist</w:t>
      </w:r>
      <w:r w:rsidR="00CA12D4" w:rsidRPr="007D73EF">
        <w:rPr>
          <w:rFonts w:ascii="Arial" w:hAnsi="Arial" w:cs="Arial"/>
          <w:sz w:val="22"/>
          <w:szCs w:val="22"/>
          <w:lang w:eastAsia="de-DE"/>
        </w:rPr>
        <w:t xml:space="preserve"> 1.0</w:t>
      </w:r>
      <w:r w:rsidRPr="007D73EF">
        <w:rPr>
          <w:rFonts w:ascii="Arial" w:hAnsi="Arial" w:cs="Arial"/>
          <w:sz w:val="22"/>
          <w:szCs w:val="22"/>
        </w:rPr>
        <w:t xml:space="preserve"> should not be administered to patients with known hypersensitivity to any of the ingredients.</w:t>
      </w:r>
    </w:p>
    <w:p w14:paraId="5EFB9852" w14:textId="77777777" w:rsidR="00F20568" w:rsidRPr="007D73EF" w:rsidRDefault="00F20568" w:rsidP="00F20568">
      <w:pPr>
        <w:pStyle w:val="BodyText"/>
        <w:spacing w:before="120" w:after="120" w:line="300" w:lineRule="atLeast"/>
        <w:rPr>
          <w:rFonts w:ascii="Arial" w:hAnsi="Arial" w:cs="Arial"/>
          <w:b/>
          <w:szCs w:val="24"/>
        </w:rPr>
      </w:pPr>
    </w:p>
    <w:p w14:paraId="750F59E7" w14:textId="77777777" w:rsidR="00CF6466" w:rsidRPr="007D73EF" w:rsidRDefault="00741198" w:rsidP="00F20568">
      <w:pPr>
        <w:pStyle w:val="Heading1"/>
        <w:spacing w:before="240" w:after="240" w:line="300" w:lineRule="atLeast"/>
        <w:ind w:right="1443"/>
        <w:jc w:val="both"/>
        <w:rPr>
          <w:rFonts w:ascii="Arial" w:hAnsi="Arial" w:cs="Arial"/>
          <w:b/>
          <w:caps/>
          <w:kern w:val="28"/>
          <w:sz w:val="28"/>
          <w:lang w:val="en-GB"/>
        </w:rPr>
      </w:pPr>
      <w:r w:rsidRPr="007D73EF">
        <w:rPr>
          <w:rFonts w:ascii="Arial" w:hAnsi="Arial" w:cs="Arial"/>
          <w:b/>
          <w:caps/>
          <w:kern w:val="28"/>
          <w:sz w:val="28"/>
          <w:lang w:val="en-GB"/>
        </w:rPr>
        <w:t>PRECAUTIONS</w:t>
      </w:r>
    </w:p>
    <w:p w14:paraId="68F8E422" w14:textId="77777777" w:rsidR="000B7CF5" w:rsidRPr="007D73EF" w:rsidRDefault="000B7CF5" w:rsidP="00F20568">
      <w:pPr>
        <w:ind w:right="-35"/>
        <w:rPr>
          <w:rFonts w:ascii="Arial" w:hAnsi="Arial" w:cs="Arial"/>
          <w:b/>
          <w:sz w:val="24"/>
          <w:szCs w:val="24"/>
        </w:rPr>
      </w:pPr>
    </w:p>
    <w:tbl>
      <w:tblPr>
        <w:tblW w:w="5000" w:type="pct"/>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8551"/>
      </w:tblGrid>
      <w:tr w:rsidR="002E05BD" w:rsidRPr="007D73EF" w14:paraId="54F71A49" w14:textId="77777777" w:rsidTr="00771E28">
        <w:trPr>
          <w:trHeight w:val="2319"/>
        </w:trPr>
        <w:tc>
          <w:tcPr>
            <w:tcW w:w="5000" w:type="pct"/>
            <w:shd w:val="clear" w:color="auto" w:fill="auto"/>
          </w:tcPr>
          <w:p w14:paraId="2F54D7E0" w14:textId="77777777" w:rsidR="00235896" w:rsidRPr="007D73EF" w:rsidRDefault="00235896" w:rsidP="00F20568">
            <w:pPr>
              <w:pStyle w:val="Default"/>
              <w:spacing w:before="120" w:after="120" w:line="300" w:lineRule="atLeast"/>
              <w:rPr>
                <w:rFonts w:ascii="Arial" w:hAnsi="Arial" w:cs="Arial"/>
                <w:b/>
                <w:color w:val="auto"/>
                <w:sz w:val="22"/>
                <w:szCs w:val="22"/>
              </w:rPr>
            </w:pPr>
            <w:r w:rsidRPr="007D73EF">
              <w:rPr>
                <w:rFonts w:ascii="Arial" w:hAnsi="Arial" w:cs="Arial"/>
                <w:b/>
                <w:color w:val="auto"/>
                <w:sz w:val="22"/>
                <w:szCs w:val="22"/>
              </w:rPr>
              <w:t>WARNING NEPHROGENIC SYSTEMIC FIBROSIS</w:t>
            </w:r>
          </w:p>
          <w:p w14:paraId="64EA78F3" w14:textId="77777777" w:rsidR="00235896" w:rsidRPr="007D73EF" w:rsidRDefault="00235896" w:rsidP="00F20568">
            <w:pPr>
              <w:pStyle w:val="Default"/>
              <w:spacing w:before="120" w:after="120" w:line="300" w:lineRule="atLeast"/>
              <w:rPr>
                <w:rFonts w:ascii="Arial" w:hAnsi="Arial" w:cs="Arial"/>
                <w:b/>
                <w:color w:val="auto"/>
                <w:sz w:val="22"/>
                <w:szCs w:val="22"/>
              </w:rPr>
            </w:pPr>
            <w:r w:rsidRPr="007D73EF">
              <w:rPr>
                <w:rFonts w:ascii="Arial" w:hAnsi="Arial" w:cs="Arial"/>
                <w:b/>
                <w:color w:val="auto"/>
                <w:sz w:val="22"/>
                <w:szCs w:val="22"/>
              </w:rPr>
              <w:t>Gadolinium-based contrast agents increase the risk of nephrogenic systemic fibrosis (NSF) in patients with:</w:t>
            </w:r>
          </w:p>
          <w:p w14:paraId="122EF48C" w14:textId="77777777" w:rsidR="00235896" w:rsidRPr="007D73EF" w:rsidRDefault="00235896" w:rsidP="00F20568">
            <w:pPr>
              <w:pStyle w:val="Default"/>
              <w:numPr>
                <w:ilvl w:val="0"/>
                <w:numId w:val="16"/>
              </w:numPr>
              <w:spacing w:before="120" w:after="120" w:line="300" w:lineRule="atLeast"/>
              <w:rPr>
                <w:rFonts w:ascii="Arial" w:hAnsi="Arial" w:cs="Arial"/>
                <w:b/>
                <w:color w:val="auto"/>
                <w:sz w:val="22"/>
                <w:szCs w:val="22"/>
              </w:rPr>
            </w:pPr>
            <w:r w:rsidRPr="007D73EF">
              <w:rPr>
                <w:rFonts w:ascii="Arial" w:hAnsi="Arial" w:cs="Arial"/>
                <w:b/>
                <w:color w:val="auto"/>
                <w:sz w:val="22"/>
                <w:szCs w:val="22"/>
              </w:rPr>
              <w:t>Acute or chronic severe renal insufficiency (glomerular filtration rate &lt;30 mL/min/1.73m</w:t>
            </w:r>
            <w:r w:rsidRPr="007D73EF">
              <w:rPr>
                <w:rFonts w:ascii="Arial" w:hAnsi="Arial" w:cs="Arial"/>
                <w:b/>
                <w:color w:val="auto"/>
                <w:sz w:val="22"/>
                <w:szCs w:val="22"/>
                <w:vertAlign w:val="superscript"/>
              </w:rPr>
              <w:t>2</w:t>
            </w:r>
            <w:r w:rsidR="00D8226A" w:rsidRPr="007D73EF">
              <w:rPr>
                <w:rFonts w:ascii="Arial" w:hAnsi="Arial" w:cs="Arial"/>
                <w:b/>
                <w:color w:val="auto"/>
                <w:sz w:val="22"/>
                <w:szCs w:val="22"/>
              </w:rPr>
              <w:t>)</w:t>
            </w:r>
            <w:r w:rsidRPr="007D73EF">
              <w:rPr>
                <w:rFonts w:ascii="Arial" w:hAnsi="Arial" w:cs="Arial"/>
                <w:b/>
                <w:color w:val="auto"/>
                <w:sz w:val="22"/>
                <w:szCs w:val="22"/>
              </w:rPr>
              <w:t>,</w:t>
            </w:r>
            <w:r w:rsidR="00F7372A" w:rsidRPr="007D73EF">
              <w:rPr>
                <w:rFonts w:ascii="Arial" w:hAnsi="Arial" w:cs="Arial"/>
                <w:b/>
                <w:color w:val="auto"/>
                <w:sz w:val="22"/>
                <w:szCs w:val="22"/>
              </w:rPr>
              <w:t xml:space="preserve"> or</w:t>
            </w:r>
          </w:p>
          <w:p w14:paraId="2E685269" w14:textId="77777777" w:rsidR="00235896" w:rsidRPr="007D73EF" w:rsidRDefault="00F7372A" w:rsidP="00F20568">
            <w:pPr>
              <w:pStyle w:val="Default"/>
              <w:numPr>
                <w:ilvl w:val="0"/>
                <w:numId w:val="16"/>
              </w:numPr>
              <w:spacing w:before="120" w:after="120" w:line="300" w:lineRule="atLeast"/>
              <w:rPr>
                <w:rFonts w:ascii="Arial" w:hAnsi="Arial" w:cs="Arial"/>
                <w:b/>
                <w:color w:val="auto"/>
                <w:sz w:val="22"/>
                <w:szCs w:val="22"/>
              </w:rPr>
            </w:pPr>
            <w:r w:rsidRPr="007D73EF">
              <w:rPr>
                <w:rFonts w:ascii="Arial" w:hAnsi="Arial" w:cs="Arial"/>
                <w:b/>
                <w:color w:val="auto"/>
                <w:sz w:val="22"/>
                <w:szCs w:val="22"/>
              </w:rPr>
              <w:t xml:space="preserve">Acute renal insufficiency of any severity due to the hepato-renal syndrome or in the perioperative liver transplantation period, </w:t>
            </w:r>
          </w:p>
          <w:p w14:paraId="732E5EC8" w14:textId="77777777" w:rsidR="00235896" w:rsidRPr="007D73EF" w:rsidRDefault="00235896" w:rsidP="00F20568">
            <w:pPr>
              <w:spacing w:before="120" w:after="120" w:line="300" w:lineRule="atLeast"/>
              <w:rPr>
                <w:rFonts w:ascii="Arial" w:hAnsi="Arial" w:cs="Arial"/>
                <w:b/>
                <w:sz w:val="22"/>
                <w:szCs w:val="22"/>
              </w:rPr>
            </w:pPr>
            <w:r w:rsidRPr="007D73EF">
              <w:rPr>
                <w:rFonts w:ascii="Arial" w:hAnsi="Arial" w:cs="Arial"/>
                <w:sz w:val="22"/>
                <w:szCs w:val="22"/>
              </w:rPr>
              <w:tab/>
            </w:r>
            <w:r w:rsidRPr="007D73EF">
              <w:rPr>
                <w:rFonts w:ascii="Arial" w:hAnsi="Arial" w:cs="Arial"/>
                <w:b/>
                <w:bCs/>
                <w:sz w:val="22"/>
                <w:szCs w:val="22"/>
              </w:rPr>
              <w:t xml:space="preserve">See </w:t>
            </w:r>
            <w:r w:rsidR="00CE21BB" w:rsidRPr="007D73EF">
              <w:rPr>
                <w:rFonts w:ascii="Arial" w:hAnsi="Arial" w:cs="Arial"/>
                <w:b/>
                <w:bCs/>
                <w:sz w:val="22"/>
                <w:szCs w:val="22"/>
              </w:rPr>
              <w:t xml:space="preserve">CONTRAINDICATIONS </w:t>
            </w:r>
            <w:r w:rsidRPr="007D73EF">
              <w:rPr>
                <w:rFonts w:ascii="Arial" w:hAnsi="Arial" w:cs="Arial"/>
                <w:b/>
                <w:bCs/>
                <w:sz w:val="22"/>
                <w:szCs w:val="22"/>
              </w:rPr>
              <w:t xml:space="preserve">and </w:t>
            </w:r>
            <w:r w:rsidR="00CE21BB" w:rsidRPr="007D73EF">
              <w:rPr>
                <w:rFonts w:ascii="Arial" w:hAnsi="Arial" w:cs="Arial"/>
                <w:b/>
                <w:bCs/>
                <w:sz w:val="22"/>
                <w:szCs w:val="22"/>
              </w:rPr>
              <w:t>PRECAUTIONS</w:t>
            </w:r>
            <w:r w:rsidRPr="007D73EF">
              <w:rPr>
                <w:rFonts w:ascii="Arial" w:hAnsi="Arial" w:cs="Arial"/>
                <w:b/>
                <w:bCs/>
                <w:sz w:val="22"/>
                <w:szCs w:val="22"/>
              </w:rPr>
              <w:t>.</w:t>
            </w:r>
          </w:p>
        </w:tc>
      </w:tr>
    </w:tbl>
    <w:p w14:paraId="26B857A2" w14:textId="77777777" w:rsidR="00235896" w:rsidRPr="007D73EF" w:rsidRDefault="00235896" w:rsidP="00F20568">
      <w:pPr>
        <w:ind w:right="-35"/>
        <w:rPr>
          <w:rFonts w:ascii="Arial" w:hAnsi="Arial" w:cs="Arial"/>
          <w:b/>
          <w:sz w:val="24"/>
          <w:szCs w:val="24"/>
        </w:rPr>
      </w:pPr>
    </w:p>
    <w:p w14:paraId="0906B806" w14:textId="77777777" w:rsidR="00CF6466" w:rsidRPr="007D73EF" w:rsidRDefault="00F7372A" w:rsidP="00F20568">
      <w:pPr>
        <w:pStyle w:val="Heading2"/>
        <w:spacing w:before="240" w:after="120" w:line="300" w:lineRule="atLeast"/>
        <w:ind w:right="1443"/>
        <w:jc w:val="both"/>
        <w:rPr>
          <w:rFonts w:ascii="Arial" w:hAnsi="Arial" w:cs="Arial"/>
          <w:b/>
          <w:u w:val="none"/>
          <w:lang w:val="en-GB"/>
        </w:rPr>
      </w:pPr>
      <w:r w:rsidRPr="007D73EF">
        <w:rPr>
          <w:rFonts w:ascii="Arial" w:hAnsi="Arial" w:cs="Arial"/>
          <w:b/>
          <w:u w:val="none"/>
          <w:lang w:val="en-GB"/>
        </w:rPr>
        <w:t>General</w:t>
      </w:r>
    </w:p>
    <w:p w14:paraId="61CE6D4F" w14:textId="77777777" w:rsidR="00CF6466" w:rsidRPr="007D73EF" w:rsidRDefault="00F7372A" w:rsidP="00F20568">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Pronounced states of excitement, anxiety and pain may increase the risk of adverse reactions or intensify contrast medium related reactions.</w:t>
      </w:r>
    </w:p>
    <w:p w14:paraId="47445334" w14:textId="77777777" w:rsidR="009F188A" w:rsidRPr="007D73EF" w:rsidRDefault="00F7372A" w:rsidP="00F20568">
      <w:pPr>
        <w:pStyle w:val="Heading2"/>
        <w:spacing w:before="240" w:after="120" w:line="300" w:lineRule="atLeast"/>
        <w:ind w:right="1443"/>
        <w:jc w:val="both"/>
        <w:rPr>
          <w:rFonts w:ascii="Arial" w:hAnsi="Arial" w:cs="Arial"/>
          <w:b/>
          <w:u w:val="none"/>
          <w:lang w:val="en-GB"/>
        </w:rPr>
      </w:pPr>
      <w:r w:rsidRPr="007D73EF">
        <w:rPr>
          <w:rFonts w:ascii="Arial" w:hAnsi="Arial" w:cs="Arial"/>
          <w:b/>
          <w:u w:val="none"/>
          <w:lang w:val="en-GB"/>
        </w:rPr>
        <w:lastRenderedPageBreak/>
        <w:t>Hypersensitivity</w:t>
      </w:r>
    </w:p>
    <w:p w14:paraId="2338D420" w14:textId="1A1BF35F" w:rsidR="000C18F6" w:rsidRPr="007D73EF" w:rsidRDefault="00B74AC3"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As with other intravenous contrast agents, Gadovist</w:t>
      </w:r>
      <w:r w:rsidR="00CA12D4" w:rsidRPr="007D73EF">
        <w:rPr>
          <w:rFonts w:ascii="Arial" w:hAnsi="Arial" w:cs="Arial"/>
          <w:sz w:val="22"/>
          <w:szCs w:val="22"/>
          <w:lang w:eastAsia="de-DE"/>
        </w:rPr>
        <w:t xml:space="preserve"> 1.0</w:t>
      </w:r>
      <w:r w:rsidRPr="007D73EF">
        <w:rPr>
          <w:rFonts w:ascii="Arial" w:hAnsi="Arial" w:cs="Arial"/>
          <w:sz w:val="22"/>
          <w:szCs w:val="22"/>
          <w:lang w:val="en-GB" w:eastAsia="en-US"/>
        </w:rPr>
        <w:t xml:space="preserve"> can be associated with anaphylactoid/hypersensitivity or other </w:t>
      </w:r>
      <w:r w:rsidR="002211FF" w:rsidRPr="007D73EF">
        <w:rPr>
          <w:rFonts w:ascii="Arial" w:hAnsi="Arial" w:cs="Arial"/>
          <w:sz w:val="22"/>
          <w:szCs w:val="22"/>
          <w:lang w:val="en-GB" w:eastAsia="en-US"/>
        </w:rPr>
        <w:t>idiosyncratic</w:t>
      </w:r>
      <w:r w:rsidRPr="007D73EF">
        <w:rPr>
          <w:rFonts w:ascii="Arial" w:hAnsi="Arial" w:cs="Arial"/>
          <w:sz w:val="22"/>
          <w:szCs w:val="22"/>
          <w:lang w:val="en-GB" w:eastAsia="en-US"/>
        </w:rPr>
        <w:t xml:space="preserve"> reactions, characteri</w:t>
      </w:r>
      <w:r w:rsidR="009100FE" w:rsidRPr="007D73EF">
        <w:rPr>
          <w:rFonts w:ascii="Arial" w:hAnsi="Arial" w:cs="Arial"/>
          <w:sz w:val="22"/>
          <w:szCs w:val="22"/>
          <w:lang w:val="en-GB" w:eastAsia="en-US"/>
        </w:rPr>
        <w:t>s</w:t>
      </w:r>
      <w:r w:rsidRPr="007D73EF">
        <w:rPr>
          <w:rFonts w:ascii="Arial" w:hAnsi="Arial" w:cs="Arial"/>
          <w:sz w:val="22"/>
          <w:szCs w:val="22"/>
          <w:lang w:val="en-GB" w:eastAsia="en-US"/>
        </w:rPr>
        <w:t xml:space="preserve">ed by cardiovascular, respiratory or cutaneous manifestations, and ranging to severe reactions including shock. </w:t>
      </w:r>
    </w:p>
    <w:p w14:paraId="562E881F" w14:textId="77777777" w:rsidR="000C18F6" w:rsidRPr="007D73EF" w:rsidRDefault="000C18F6"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The risk of hypersensitivity reactions is higher in case of:</w:t>
      </w:r>
    </w:p>
    <w:p w14:paraId="5228E574" w14:textId="77777777" w:rsidR="000C18F6" w:rsidRPr="007D73EF" w:rsidRDefault="000C18F6" w:rsidP="00861283">
      <w:pPr>
        <w:numPr>
          <w:ilvl w:val="0"/>
          <w:numId w:val="14"/>
        </w:numPr>
        <w:spacing w:before="120" w:after="120" w:line="300" w:lineRule="atLeast"/>
        <w:rPr>
          <w:rFonts w:ascii="Arial" w:hAnsi="Arial" w:cs="Arial"/>
          <w:sz w:val="22"/>
          <w:szCs w:val="22"/>
        </w:rPr>
      </w:pPr>
      <w:r w:rsidRPr="007D73EF">
        <w:rPr>
          <w:rFonts w:ascii="Arial" w:hAnsi="Arial" w:cs="Arial"/>
          <w:sz w:val="22"/>
          <w:szCs w:val="22"/>
        </w:rPr>
        <w:t>Previous reaction to contrast media</w:t>
      </w:r>
    </w:p>
    <w:p w14:paraId="05F764F7" w14:textId="77777777" w:rsidR="000C18F6" w:rsidRPr="007D73EF" w:rsidRDefault="000C18F6" w:rsidP="00861283">
      <w:pPr>
        <w:numPr>
          <w:ilvl w:val="0"/>
          <w:numId w:val="14"/>
        </w:numPr>
        <w:spacing w:before="120" w:after="120" w:line="300" w:lineRule="atLeast"/>
        <w:rPr>
          <w:rFonts w:ascii="Arial" w:hAnsi="Arial" w:cs="Arial"/>
          <w:sz w:val="22"/>
          <w:szCs w:val="22"/>
        </w:rPr>
      </w:pPr>
      <w:r w:rsidRPr="007D73EF">
        <w:rPr>
          <w:rFonts w:ascii="Arial" w:hAnsi="Arial" w:cs="Arial"/>
          <w:sz w:val="22"/>
          <w:szCs w:val="22"/>
        </w:rPr>
        <w:t>History of bronchial asthma</w:t>
      </w:r>
    </w:p>
    <w:p w14:paraId="7EE918B1" w14:textId="77777777" w:rsidR="000C18F6" w:rsidRPr="007D73EF" w:rsidRDefault="000C18F6" w:rsidP="00861283">
      <w:pPr>
        <w:numPr>
          <w:ilvl w:val="0"/>
          <w:numId w:val="14"/>
        </w:numPr>
        <w:spacing w:before="120" w:after="120" w:line="300" w:lineRule="atLeast"/>
        <w:rPr>
          <w:rFonts w:ascii="Arial" w:hAnsi="Arial" w:cs="Arial"/>
          <w:sz w:val="22"/>
          <w:szCs w:val="22"/>
        </w:rPr>
      </w:pPr>
      <w:r w:rsidRPr="007D73EF">
        <w:rPr>
          <w:rFonts w:ascii="Arial" w:hAnsi="Arial" w:cs="Arial"/>
          <w:sz w:val="22"/>
          <w:szCs w:val="22"/>
        </w:rPr>
        <w:t>History of allergic disorders</w:t>
      </w:r>
    </w:p>
    <w:p w14:paraId="4F652AA6" w14:textId="3D544E4A" w:rsidR="000C18F6" w:rsidRPr="007D73EF" w:rsidRDefault="000C18F6"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In patients with an allergic disposition the decision to use Gadovist</w:t>
      </w:r>
      <w:r w:rsidR="00CA12D4" w:rsidRPr="007D73EF">
        <w:rPr>
          <w:rFonts w:ascii="Arial" w:hAnsi="Arial" w:cs="Arial"/>
          <w:sz w:val="22"/>
          <w:szCs w:val="22"/>
          <w:lang w:eastAsia="de-DE"/>
        </w:rPr>
        <w:t xml:space="preserve"> 1.0</w:t>
      </w:r>
      <w:r w:rsidRPr="007D73EF">
        <w:rPr>
          <w:rFonts w:ascii="Arial" w:hAnsi="Arial" w:cs="Arial"/>
          <w:sz w:val="22"/>
          <w:szCs w:val="22"/>
          <w:lang w:val="en-GB" w:eastAsia="en-US"/>
        </w:rPr>
        <w:t xml:space="preserve"> must be made after particularly careful evaluation of the risk-benefit ratio</w:t>
      </w:r>
      <w:r w:rsidR="00FB67D4" w:rsidRPr="007D73EF">
        <w:rPr>
          <w:rFonts w:ascii="Arial" w:hAnsi="Arial" w:cs="Arial"/>
          <w:sz w:val="22"/>
          <w:szCs w:val="22"/>
          <w:lang w:val="en-GB" w:eastAsia="en-US"/>
        </w:rPr>
        <w:t>.</w:t>
      </w:r>
    </w:p>
    <w:p w14:paraId="7721EEF4" w14:textId="77777777" w:rsidR="00B74AC3" w:rsidRPr="007D73EF" w:rsidRDefault="00B74AC3"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Most of these reactions occur within half an hour of administration. </w:t>
      </w:r>
      <w:r w:rsidR="000C18F6" w:rsidRPr="007D73EF">
        <w:rPr>
          <w:rFonts w:ascii="Arial" w:hAnsi="Arial" w:cs="Arial"/>
          <w:sz w:val="22"/>
          <w:szCs w:val="22"/>
          <w:lang w:val="en-GB" w:eastAsia="en-US"/>
        </w:rPr>
        <w:t xml:space="preserve">Therefore </w:t>
      </w:r>
      <w:r w:rsidRPr="007D73EF">
        <w:rPr>
          <w:rFonts w:ascii="Arial" w:hAnsi="Arial" w:cs="Arial"/>
          <w:sz w:val="22"/>
          <w:szCs w:val="22"/>
          <w:lang w:val="en-GB" w:eastAsia="en-US"/>
        </w:rPr>
        <w:t>post-procedure observation of the patient is recommended.</w:t>
      </w:r>
    </w:p>
    <w:p w14:paraId="6BD8FFDF" w14:textId="77777777" w:rsidR="00015C62" w:rsidRPr="007D73EF" w:rsidRDefault="008C4D6B"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Medications for the treatment of hypersensitivity reactions as well as preparedness for institution of emergency measures are necessary. </w:t>
      </w:r>
    </w:p>
    <w:p w14:paraId="7EDD0A50" w14:textId="77777777" w:rsidR="00DC3806" w:rsidRPr="007D73EF" w:rsidRDefault="00F7372A"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Patients taking beta blockers who experience such reactions may be resistant to treatment with beta agonists. </w:t>
      </w:r>
    </w:p>
    <w:p w14:paraId="00E1AC75" w14:textId="77777777" w:rsidR="00617209" w:rsidRPr="007D73EF" w:rsidRDefault="00262914"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Delayed reactions (after hours up to several days) have been rarely observed</w:t>
      </w:r>
      <w:r w:rsidR="000017EA" w:rsidRPr="007D73EF">
        <w:rPr>
          <w:rFonts w:ascii="Arial" w:hAnsi="Arial" w:cs="Arial"/>
          <w:sz w:val="22"/>
          <w:szCs w:val="22"/>
          <w:lang w:val="en-GB" w:eastAsia="en-US"/>
        </w:rPr>
        <w:t xml:space="preserve"> (See </w:t>
      </w:r>
      <w:r w:rsidR="00C20744" w:rsidRPr="007D73EF">
        <w:rPr>
          <w:rFonts w:ascii="Arial" w:hAnsi="Arial" w:cs="Arial"/>
          <w:sz w:val="22"/>
          <w:szCs w:val="22"/>
          <w:lang w:val="en-GB" w:eastAsia="en-US"/>
        </w:rPr>
        <w:t>ADVERSE EFFECTS</w:t>
      </w:r>
      <w:r w:rsidR="000017EA" w:rsidRPr="007D73EF">
        <w:rPr>
          <w:rFonts w:ascii="Arial" w:hAnsi="Arial" w:cs="Arial"/>
          <w:sz w:val="22"/>
          <w:szCs w:val="22"/>
          <w:lang w:val="en-GB" w:eastAsia="en-US"/>
        </w:rPr>
        <w:t>).</w:t>
      </w:r>
    </w:p>
    <w:p w14:paraId="6CA1AEB0" w14:textId="77777777" w:rsidR="00261532" w:rsidRPr="007D73EF" w:rsidRDefault="00F82AF5" w:rsidP="00861283">
      <w:pPr>
        <w:pStyle w:val="Heading2"/>
        <w:spacing w:before="240" w:after="120" w:line="300" w:lineRule="atLeast"/>
        <w:ind w:right="1443"/>
        <w:jc w:val="both"/>
        <w:rPr>
          <w:rFonts w:ascii="Arial" w:hAnsi="Arial" w:cs="Arial"/>
          <w:b/>
          <w:u w:val="none"/>
          <w:lang w:val="en-GB"/>
        </w:rPr>
      </w:pPr>
      <w:r w:rsidRPr="007D73EF">
        <w:rPr>
          <w:rFonts w:ascii="Arial" w:hAnsi="Arial" w:cs="Arial"/>
          <w:b/>
          <w:u w:val="none"/>
          <w:lang w:val="en-GB"/>
        </w:rPr>
        <w:t>Severe</w:t>
      </w:r>
      <w:r w:rsidR="00261532" w:rsidRPr="007D73EF">
        <w:rPr>
          <w:rFonts w:ascii="Arial" w:hAnsi="Arial" w:cs="Arial"/>
          <w:b/>
          <w:u w:val="none"/>
          <w:lang w:val="en-GB"/>
        </w:rPr>
        <w:t xml:space="preserve"> </w:t>
      </w:r>
      <w:r w:rsidR="00DC3806" w:rsidRPr="007D73EF">
        <w:rPr>
          <w:rFonts w:ascii="Arial" w:hAnsi="Arial" w:cs="Arial"/>
          <w:b/>
          <w:u w:val="none"/>
          <w:lang w:val="en-GB"/>
        </w:rPr>
        <w:t>renal</w:t>
      </w:r>
      <w:r w:rsidR="00261532" w:rsidRPr="007D73EF">
        <w:rPr>
          <w:rFonts w:ascii="Arial" w:hAnsi="Arial" w:cs="Arial"/>
          <w:b/>
          <w:u w:val="none"/>
          <w:lang w:val="en-GB"/>
        </w:rPr>
        <w:t xml:space="preserve"> impairment and liver transplant patients </w:t>
      </w:r>
    </w:p>
    <w:p w14:paraId="11B779E5" w14:textId="77777777" w:rsidR="00DD6073" w:rsidRPr="007D73EF" w:rsidRDefault="00DD6073"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No impairment of renal function has so far been observed.</w:t>
      </w:r>
      <w:r w:rsidR="000C18F6" w:rsidRPr="007D73EF">
        <w:rPr>
          <w:rFonts w:ascii="Arial" w:hAnsi="Arial" w:cs="Arial"/>
          <w:sz w:val="22"/>
          <w:szCs w:val="22"/>
          <w:lang w:val="en-GB" w:eastAsia="en-US"/>
        </w:rPr>
        <w:t xml:space="preserve">  </w:t>
      </w:r>
    </w:p>
    <w:p w14:paraId="46CC110B" w14:textId="664C515C" w:rsidR="000C18F6" w:rsidRPr="007D73EF" w:rsidRDefault="00262914"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Prior to administration of Gadovist</w:t>
      </w:r>
      <w:r w:rsidR="00CA12D4" w:rsidRPr="007D73EF">
        <w:rPr>
          <w:rFonts w:ascii="Arial" w:hAnsi="Arial" w:cs="Arial"/>
          <w:sz w:val="22"/>
          <w:szCs w:val="22"/>
          <w:lang w:eastAsia="de-DE"/>
        </w:rPr>
        <w:t xml:space="preserve"> 1.0</w:t>
      </w:r>
      <w:r w:rsidRPr="007D73EF">
        <w:rPr>
          <w:rFonts w:ascii="Arial" w:hAnsi="Arial" w:cs="Arial"/>
          <w:sz w:val="22"/>
          <w:szCs w:val="22"/>
          <w:lang w:val="en-GB" w:eastAsia="en-US"/>
        </w:rPr>
        <w:t xml:space="preserve"> all patients should be screened for renal dysfunction by obtaining a history and/or laboratory tests.</w:t>
      </w:r>
    </w:p>
    <w:p w14:paraId="1DB6BE72" w14:textId="77777777" w:rsidR="00262914" w:rsidRPr="007D73EF" w:rsidRDefault="00262914"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In patients with severely impaired renal function the benefits must be weighed carefully against</w:t>
      </w:r>
      <w:r w:rsidR="00675458" w:rsidRPr="007D73EF">
        <w:rPr>
          <w:rFonts w:ascii="Arial" w:hAnsi="Arial" w:cs="Arial"/>
          <w:sz w:val="22"/>
          <w:szCs w:val="22"/>
          <w:lang w:val="en-GB" w:eastAsia="en-US"/>
        </w:rPr>
        <w:t xml:space="preserve"> </w:t>
      </w:r>
      <w:r w:rsidRPr="007D73EF">
        <w:rPr>
          <w:rFonts w:ascii="Arial" w:hAnsi="Arial" w:cs="Arial"/>
          <w:sz w:val="22"/>
          <w:szCs w:val="22"/>
          <w:lang w:val="en-GB" w:eastAsia="en-US"/>
        </w:rPr>
        <w:t>the risks, since contrast medium elimination is delayed in such cases.</w:t>
      </w:r>
    </w:p>
    <w:p w14:paraId="06B4E107" w14:textId="77777777" w:rsidR="00675458" w:rsidRPr="007D73EF" w:rsidRDefault="00675458"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Because </w:t>
      </w:r>
      <w:r w:rsidR="008E2F01" w:rsidRPr="007D73EF">
        <w:rPr>
          <w:rFonts w:ascii="Arial" w:hAnsi="Arial" w:cs="Arial"/>
          <w:sz w:val="22"/>
          <w:szCs w:val="22"/>
          <w:lang w:val="en-GB" w:eastAsia="en-US"/>
        </w:rPr>
        <w:t>g</w:t>
      </w:r>
      <w:r w:rsidRPr="007D73EF">
        <w:rPr>
          <w:rFonts w:ascii="Arial" w:hAnsi="Arial" w:cs="Arial"/>
          <w:sz w:val="22"/>
          <w:szCs w:val="22"/>
          <w:lang w:val="en-GB" w:eastAsia="en-US"/>
        </w:rPr>
        <w:t xml:space="preserve">adobutrol is renally excreted sufficient period of time for elimination of the contrast agent from the body prior to any re-administration in patients with renal impairment should be ensured. Usually, complete recovery in the urine was seen in patients with mild or moderate renal impairment within 72 hours. In patients with severely impaired renal function at least 80% of the administered dose was recovered in the urine within 5 days (see also </w:t>
      </w:r>
      <w:r w:rsidR="00F7376B" w:rsidRPr="007D73EF">
        <w:rPr>
          <w:rFonts w:ascii="Arial" w:hAnsi="Arial" w:cs="Arial"/>
          <w:sz w:val="22"/>
          <w:szCs w:val="22"/>
          <w:lang w:val="en-GB" w:eastAsia="en-US"/>
        </w:rPr>
        <w:t>Pharmacokinetics</w:t>
      </w:r>
      <w:r w:rsidRPr="007D73EF">
        <w:rPr>
          <w:rFonts w:ascii="Arial" w:hAnsi="Arial" w:cs="Arial"/>
          <w:sz w:val="22"/>
          <w:szCs w:val="22"/>
          <w:lang w:val="en-GB" w:eastAsia="en-US"/>
        </w:rPr>
        <w:t>)</w:t>
      </w:r>
      <w:r w:rsidR="008E2F01" w:rsidRPr="007D73EF">
        <w:rPr>
          <w:rFonts w:ascii="Arial" w:hAnsi="Arial" w:cs="Arial"/>
          <w:sz w:val="22"/>
          <w:szCs w:val="22"/>
          <w:lang w:val="en-GB" w:eastAsia="en-US"/>
        </w:rPr>
        <w:t>.</w:t>
      </w:r>
    </w:p>
    <w:p w14:paraId="64297334" w14:textId="6457F7F9" w:rsidR="00675458" w:rsidRPr="007D73EF" w:rsidRDefault="00675458"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Gadovist can be removed from the body by haemodialysis.  After 3 dialysis sessions approx</w:t>
      </w:r>
      <w:r w:rsidR="00F7376B" w:rsidRPr="007D73EF">
        <w:rPr>
          <w:rFonts w:ascii="Arial" w:hAnsi="Arial" w:cs="Arial"/>
          <w:sz w:val="22"/>
          <w:szCs w:val="22"/>
          <w:lang w:val="en-GB" w:eastAsia="en-US"/>
        </w:rPr>
        <w:t>imately</w:t>
      </w:r>
      <w:r w:rsidRPr="007D73EF">
        <w:rPr>
          <w:rFonts w:ascii="Arial" w:hAnsi="Arial" w:cs="Arial"/>
          <w:sz w:val="22"/>
          <w:szCs w:val="22"/>
          <w:lang w:val="en-GB" w:eastAsia="en-US"/>
        </w:rPr>
        <w:t xml:space="preserve"> 98% of the agent is removed from the body. For patients already receiving haemodialysis at the time of Gadovist</w:t>
      </w:r>
      <w:r w:rsidR="00CA12D4" w:rsidRPr="007D73EF">
        <w:rPr>
          <w:rFonts w:ascii="Arial" w:hAnsi="Arial" w:cs="Arial"/>
          <w:sz w:val="22"/>
          <w:szCs w:val="22"/>
          <w:lang w:eastAsia="de-DE"/>
        </w:rPr>
        <w:t xml:space="preserve"> 1.0</w:t>
      </w:r>
      <w:r w:rsidRPr="007D73EF">
        <w:rPr>
          <w:rFonts w:ascii="Arial" w:hAnsi="Arial" w:cs="Arial"/>
          <w:sz w:val="22"/>
          <w:szCs w:val="22"/>
          <w:lang w:val="en-GB" w:eastAsia="en-US"/>
        </w:rPr>
        <w:t xml:space="preserve"> administration, prompt initiation of haemodialysis following the administration of Gadovist should be considered, in order to enhance the contrast agent's elimination.</w:t>
      </w:r>
    </w:p>
    <w:p w14:paraId="25356B6F" w14:textId="01949DC9" w:rsidR="00E55EB4" w:rsidRPr="007D73EF" w:rsidRDefault="00261532"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lastRenderedPageBreak/>
        <w:t xml:space="preserve">There have been reports of nephrogenic systemic fibrosis (NSF) associated with the use of gadolinium-containing contrast agents </w:t>
      </w:r>
      <w:r w:rsidR="00E55EB4" w:rsidRPr="007D73EF">
        <w:rPr>
          <w:rFonts w:ascii="Arial" w:hAnsi="Arial" w:cs="Arial"/>
          <w:sz w:val="22"/>
          <w:szCs w:val="22"/>
          <w:lang w:val="en-GB" w:eastAsia="en-US"/>
        </w:rPr>
        <w:t xml:space="preserve">including Gadovist </w:t>
      </w:r>
      <w:r w:rsidRPr="007D73EF">
        <w:rPr>
          <w:rFonts w:ascii="Arial" w:hAnsi="Arial" w:cs="Arial"/>
          <w:sz w:val="22"/>
          <w:szCs w:val="22"/>
          <w:lang w:val="en-GB" w:eastAsia="en-US"/>
        </w:rPr>
        <w:t xml:space="preserve">in patients with </w:t>
      </w:r>
    </w:p>
    <w:p w14:paraId="0D673720" w14:textId="77777777" w:rsidR="00E55EB4" w:rsidRPr="007D73EF" w:rsidRDefault="00E55EB4" w:rsidP="00861283">
      <w:pPr>
        <w:pStyle w:val="ListParagraph"/>
        <w:numPr>
          <w:ilvl w:val="0"/>
          <w:numId w:val="23"/>
        </w:num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acute or chronic </w:t>
      </w:r>
      <w:r w:rsidR="00261532" w:rsidRPr="007D73EF">
        <w:rPr>
          <w:rFonts w:ascii="Arial" w:hAnsi="Arial" w:cs="Arial"/>
          <w:sz w:val="22"/>
          <w:szCs w:val="22"/>
          <w:lang w:val="en-GB" w:eastAsia="en-US"/>
        </w:rPr>
        <w:t>severe renal impairment (a glomerular filtration rate &lt;30 mL/min/1.73m</w:t>
      </w:r>
      <w:r w:rsidR="00261532" w:rsidRPr="007D73EF">
        <w:rPr>
          <w:rFonts w:ascii="Arial" w:hAnsi="Arial" w:cs="Arial"/>
          <w:sz w:val="22"/>
          <w:szCs w:val="22"/>
          <w:vertAlign w:val="superscript"/>
          <w:lang w:val="en-GB" w:eastAsia="en-US"/>
        </w:rPr>
        <w:t>2</w:t>
      </w:r>
      <w:r w:rsidR="00261532" w:rsidRPr="007D73EF">
        <w:rPr>
          <w:rFonts w:ascii="Arial" w:hAnsi="Arial" w:cs="Arial"/>
          <w:sz w:val="22"/>
          <w:szCs w:val="22"/>
          <w:lang w:val="en-GB" w:eastAsia="en-US"/>
        </w:rPr>
        <w:t xml:space="preserve">) </w:t>
      </w:r>
      <w:r w:rsidR="0080610E" w:rsidRPr="007D73EF">
        <w:rPr>
          <w:rFonts w:ascii="Arial" w:hAnsi="Arial" w:cs="Arial"/>
          <w:sz w:val="22"/>
          <w:szCs w:val="22"/>
          <w:lang w:val="en-GB" w:eastAsia="en-US"/>
        </w:rPr>
        <w:t xml:space="preserve">or </w:t>
      </w:r>
    </w:p>
    <w:p w14:paraId="4BBA8A23" w14:textId="77777777" w:rsidR="00E55EB4" w:rsidRPr="007D73EF" w:rsidRDefault="00261532" w:rsidP="00861283">
      <w:pPr>
        <w:pStyle w:val="ListParagraph"/>
        <w:numPr>
          <w:ilvl w:val="0"/>
          <w:numId w:val="23"/>
        </w:num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acute renal insufficiency of any severity due to the hepato-renal syndrome or in the peri-operative liver transplantation period. </w:t>
      </w:r>
    </w:p>
    <w:p w14:paraId="4E522D71" w14:textId="77777777" w:rsidR="00262914" w:rsidRPr="007D73EF" w:rsidRDefault="00261532"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NSF is a debilitating and sometimes fatal disease affecting the skin, muscle, and internal organs.</w:t>
      </w:r>
    </w:p>
    <w:p w14:paraId="41A621E4" w14:textId="0DE5F122" w:rsidR="00262914" w:rsidRPr="007D73EF" w:rsidRDefault="00262914"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Therefore, Gadovist</w:t>
      </w:r>
      <w:r w:rsidR="00CA12D4" w:rsidRPr="007D73EF">
        <w:rPr>
          <w:rFonts w:ascii="Arial" w:hAnsi="Arial" w:cs="Arial"/>
          <w:sz w:val="22"/>
          <w:szCs w:val="22"/>
          <w:lang w:eastAsia="de-DE"/>
        </w:rPr>
        <w:t xml:space="preserve"> 1.0</w:t>
      </w:r>
      <w:r w:rsidRPr="007D73EF">
        <w:rPr>
          <w:rFonts w:ascii="Arial" w:hAnsi="Arial" w:cs="Arial"/>
          <w:sz w:val="22"/>
          <w:szCs w:val="22"/>
          <w:lang w:val="en-GB" w:eastAsia="en-US"/>
        </w:rPr>
        <w:t xml:space="preserve"> should only be used in these patients after careful risk/benefit assessment</w:t>
      </w:r>
      <w:r w:rsidR="00580217" w:rsidRPr="007D73EF">
        <w:rPr>
          <w:rFonts w:ascii="Arial" w:hAnsi="Arial" w:cs="Arial"/>
          <w:sz w:val="22"/>
          <w:szCs w:val="22"/>
          <w:lang w:val="en-GB" w:eastAsia="en-US"/>
        </w:rPr>
        <w:t>.</w:t>
      </w:r>
    </w:p>
    <w:p w14:paraId="1D6EF981" w14:textId="77777777" w:rsidR="00261532" w:rsidRPr="007D73EF" w:rsidRDefault="00261532"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When administering a gadolinium-</w:t>
      </w:r>
      <w:r w:rsidR="00F7376B" w:rsidRPr="007D73EF">
        <w:rPr>
          <w:rFonts w:ascii="Arial" w:hAnsi="Arial" w:cs="Arial"/>
          <w:sz w:val="22"/>
          <w:szCs w:val="22"/>
          <w:lang w:val="en-GB" w:eastAsia="en-US"/>
        </w:rPr>
        <w:t>based</w:t>
      </w:r>
      <w:r w:rsidRPr="007D73EF">
        <w:rPr>
          <w:rFonts w:ascii="Arial" w:hAnsi="Arial" w:cs="Arial"/>
          <w:sz w:val="22"/>
          <w:szCs w:val="22"/>
          <w:lang w:val="en-GB" w:eastAsia="en-US"/>
        </w:rPr>
        <w:t xml:space="preserve"> contrast agent</w:t>
      </w:r>
      <w:r w:rsidR="006C514E" w:rsidRPr="007D73EF">
        <w:rPr>
          <w:rFonts w:ascii="Arial" w:hAnsi="Arial" w:cs="Arial"/>
          <w:sz w:val="22"/>
          <w:szCs w:val="22"/>
          <w:lang w:val="en-GB" w:eastAsia="en-US"/>
        </w:rPr>
        <w:t xml:space="preserve"> (GBCA)</w:t>
      </w:r>
      <w:r w:rsidRPr="007D73EF">
        <w:rPr>
          <w:rFonts w:ascii="Arial" w:hAnsi="Arial" w:cs="Arial"/>
          <w:sz w:val="22"/>
          <w:szCs w:val="22"/>
          <w:lang w:val="en-GB" w:eastAsia="en-US"/>
        </w:rPr>
        <w:t>, do not exceed the dose recommended in the product labelling. Allow sufficient time for elimination of the GBCA prior to any re-administration.</w:t>
      </w:r>
    </w:p>
    <w:p w14:paraId="45667CE4" w14:textId="77777777" w:rsidR="002211FF" w:rsidRPr="007D73EF" w:rsidRDefault="00EA6A97" w:rsidP="00861283">
      <w:pPr>
        <w:pStyle w:val="Heading2"/>
        <w:spacing w:before="240" w:after="120" w:line="300" w:lineRule="atLeast"/>
        <w:ind w:right="1443"/>
        <w:jc w:val="both"/>
        <w:rPr>
          <w:rFonts w:ascii="Arial" w:hAnsi="Arial" w:cs="Arial"/>
          <w:b/>
          <w:u w:val="none"/>
          <w:lang w:val="en-GB"/>
        </w:rPr>
      </w:pPr>
      <w:r w:rsidRPr="007D73EF">
        <w:rPr>
          <w:rFonts w:ascii="Arial" w:hAnsi="Arial" w:cs="Arial"/>
          <w:b/>
          <w:u w:val="none"/>
          <w:lang w:val="en-GB"/>
        </w:rPr>
        <w:t>Severe cardiovascular disease</w:t>
      </w:r>
    </w:p>
    <w:p w14:paraId="07D2050F" w14:textId="496066FD" w:rsidR="009F188A" w:rsidRPr="007D73EF" w:rsidRDefault="009F1BEB"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In patients with severe cardiovascular disease</w:t>
      </w:r>
      <w:r w:rsidR="00617209" w:rsidRPr="007D73EF">
        <w:rPr>
          <w:rFonts w:ascii="Arial" w:hAnsi="Arial" w:cs="Arial"/>
          <w:sz w:val="22"/>
          <w:szCs w:val="22"/>
          <w:lang w:val="en-GB" w:eastAsia="en-US"/>
        </w:rPr>
        <w:t>,</w:t>
      </w:r>
      <w:r w:rsidRPr="007D73EF">
        <w:rPr>
          <w:rFonts w:ascii="Arial" w:hAnsi="Arial" w:cs="Arial"/>
          <w:sz w:val="22"/>
          <w:szCs w:val="22"/>
          <w:lang w:val="en-GB" w:eastAsia="en-US"/>
        </w:rPr>
        <w:t xml:space="preserve"> Gadovist</w:t>
      </w:r>
      <w:r w:rsidR="00CA12D4" w:rsidRPr="007D73EF">
        <w:rPr>
          <w:rFonts w:ascii="Arial" w:hAnsi="Arial" w:cs="Arial"/>
          <w:sz w:val="22"/>
          <w:szCs w:val="22"/>
          <w:lang w:eastAsia="de-DE"/>
        </w:rPr>
        <w:t xml:space="preserve"> 1.0</w:t>
      </w:r>
      <w:r w:rsidRPr="007D73EF">
        <w:rPr>
          <w:rFonts w:ascii="Arial" w:hAnsi="Arial" w:cs="Arial"/>
          <w:sz w:val="22"/>
          <w:szCs w:val="22"/>
          <w:lang w:val="en-GB" w:eastAsia="en-US"/>
        </w:rPr>
        <w:t xml:space="preserve"> should only be administered after careful risk</w:t>
      </w:r>
      <w:r w:rsidR="007C689E" w:rsidRPr="007D73EF">
        <w:rPr>
          <w:rFonts w:ascii="Arial" w:hAnsi="Arial" w:cs="Arial"/>
          <w:sz w:val="22"/>
          <w:szCs w:val="22"/>
          <w:lang w:val="en-GB" w:eastAsia="en-US"/>
        </w:rPr>
        <w:t>–</w:t>
      </w:r>
      <w:r w:rsidRPr="007D73EF">
        <w:rPr>
          <w:rFonts w:ascii="Arial" w:hAnsi="Arial" w:cs="Arial"/>
          <w:sz w:val="22"/>
          <w:szCs w:val="22"/>
          <w:lang w:val="en-GB" w:eastAsia="en-US"/>
        </w:rPr>
        <w:t>benefit assessment because</w:t>
      </w:r>
      <w:r w:rsidR="00DC3806" w:rsidRPr="007D73EF">
        <w:rPr>
          <w:rFonts w:ascii="Arial" w:hAnsi="Arial" w:cs="Arial"/>
          <w:sz w:val="22"/>
          <w:szCs w:val="22"/>
          <w:lang w:val="en-GB" w:eastAsia="en-US"/>
        </w:rPr>
        <w:t xml:space="preserve"> </w:t>
      </w:r>
      <w:r w:rsidR="009100FE" w:rsidRPr="007D73EF">
        <w:rPr>
          <w:rFonts w:ascii="Arial" w:hAnsi="Arial" w:cs="Arial"/>
          <w:sz w:val="22"/>
          <w:szCs w:val="22"/>
          <w:lang w:val="en-GB" w:eastAsia="en-US"/>
        </w:rPr>
        <w:t xml:space="preserve">to date </w:t>
      </w:r>
      <w:r w:rsidRPr="007D73EF">
        <w:rPr>
          <w:rFonts w:ascii="Arial" w:hAnsi="Arial" w:cs="Arial"/>
          <w:sz w:val="22"/>
          <w:szCs w:val="22"/>
          <w:lang w:val="en-GB" w:eastAsia="en-US"/>
        </w:rPr>
        <w:t xml:space="preserve">only limited data </w:t>
      </w:r>
      <w:r w:rsidR="00617209" w:rsidRPr="007D73EF">
        <w:rPr>
          <w:rFonts w:ascii="Arial" w:hAnsi="Arial" w:cs="Arial"/>
          <w:sz w:val="22"/>
          <w:szCs w:val="22"/>
          <w:lang w:val="en-GB" w:eastAsia="en-US"/>
        </w:rPr>
        <w:t xml:space="preserve">are </w:t>
      </w:r>
      <w:r w:rsidR="0091282D" w:rsidRPr="007D73EF">
        <w:rPr>
          <w:rFonts w:ascii="Arial" w:hAnsi="Arial" w:cs="Arial"/>
          <w:sz w:val="22"/>
          <w:szCs w:val="22"/>
          <w:lang w:val="en-GB" w:eastAsia="en-US"/>
        </w:rPr>
        <w:t>available</w:t>
      </w:r>
      <w:r w:rsidRPr="007D73EF">
        <w:rPr>
          <w:rFonts w:ascii="Arial" w:hAnsi="Arial" w:cs="Arial"/>
          <w:sz w:val="22"/>
          <w:szCs w:val="22"/>
          <w:lang w:val="en-GB" w:eastAsia="en-US"/>
        </w:rPr>
        <w:t>.</w:t>
      </w:r>
    </w:p>
    <w:p w14:paraId="1F18B5D7" w14:textId="77777777" w:rsidR="002211FF" w:rsidRPr="007D73EF" w:rsidRDefault="00DC3806" w:rsidP="00861283">
      <w:pPr>
        <w:pStyle w:val="Heading2"/>
        <w:spacing w:before="240" w:after="120" w:line="300" w:lineRule="atLeast"/>
        <w:ind w:right="1443"/>
        <w:jc w:val="both"/>
        <w:rPr>
          <w:rFonts w:ascii="Arial" w:hAnsi="Arial" w:cs="Arial"/>
          <w:b/>
          <w:u w:val="none"/>
          <w:lang w:val="en-GB"/>
        </w:rPr>
      </w:pPr>
      <w:r w:rsidRPr="007D73EF">
        <w:rPr>
          <w:rFonts w:ascii="Arial" w:hAnsi="Arial" w:cs="Arial"/>
          <w:b/>
          <w:u w:val="none"/>
          <w:lang w:val="en-GB"/>
        </w:rPr>
        <w:t>Seizure disorders</w:t>
      </w:r>
    </w:p>
    <w:p w14:paraId="1204C516" w14:textId="77777777" w:rsidR="00251C4C" w:rsidRPr="007D73EF" w:rsidRDefault="00DC3806"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As with </w:t>
      </w:r>
      <w:r w:rsidR="00EA6A97" w:rsidRPr="007D73EF">
        <w:rPr>
          <w:rFonts w:ascii="Arial" w:hAnsi="Arial" w:cs="Arial"/>
          <w:sz w:val="22"/>
          <w:szCs w:val="22"/>
          <w:lang w:val="en-GB" w:eastAsia="en-US"/>
        </w:rPr>
        <w:t xml:space="preserve">other </w:t>
      </w:r>
      <w:r w:rsidRPr="007D73EF">
        <w:rPr>
          <w:rFonts w:ascii="Arial" w:hAnsi="Arial" w:cs="Arial"/>
          <w:sz w:val="22"/>
          <w:szCs w:val="22"/>
          <w:lang w:val="en-GB" w:eastAsia="en-US"/>
        </w:rPr>
        <w:t>gadolinium-chelate-containing contrast media, s</w:t>
      </w:r>
      <w:r w:rsidR="007165EB" w:rsidRPr="007D73EF">
        <w:rPr>
          <w:rFonts w:ascii="Arial" w:hAnsi="Arial" w:cs="Arial"/>
          <w:sz w:val="22"/>
          <w:szCs w:val="22"/>
          <w:lang w:val="en-GB" w:eastAsia="en-US"/>
        </w:rPr>
        <w:t>pecial precaution is necessary in patients wi</w:t>
      </w:r>
      <w:r w:rsidR="00251C4C" w:rsidRPr="007D73EF">
        <w:rPr>
          <w:rFonts w:ascii="Arial" w:hAnsi="Arial" w:cs="Arial"/>
          <w:sz w:val="22"/>
          <w:szCs w:val="22"/>
          <w:lang w:val="en-GB" w:eastAsia="en-US"/>
        </w:rPr>
        <w:t>th a low threshold for seizures.</w:t>
      </w:r>
    </w:p>
    <w:p w14:paraId="5C099783" w14:textId="77777777" w:rsidR="007165EB" w:rsidRPr="007D73EF" w:rsidRDefault="007165EB" w:rsidP="00861283">
      <w:pPr>
        <w:pStyle w:val="Heading2"/>
        <w:spacing w:before="240" w:after="120" w:line="300" w:lineRule="atLeast"/>
        <w:ind w:right="1443"/>
        <w:jc w:val="both"/>
        <w:rPr>
          <w:rFonts w:ascii="Arial" w:hAnsi="Arial" w:cs="Arial"/>
          <w:b/>
          <w:u w:val="none"/>
          <w:lang w:val="en-GB"/>
        </w:rPr>
      </w:pPr>
      <w:r w:rsidRPr="007D73EF">
        <w:rPr>
          <w:rFonts w:ascii="Arial" w:hAnsi="Arial" w:cs="Arial"/>
          <w:b/>
          <w:u w:val="none"/>
          <w:lang w:val="en-GB"/>
        </w:rPr>
        <w:t>Cerebral perfusion studies</w:t>
      </w:r>
    </w:p>
    <w:p w14:paraId="7706511B" w14:textId="77777777" w:rsidR="007165EB" w:rsidRPr="007D73EF" w:rsidRDefault="007165EB"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Information to support the clinical usefulness of MRI studies of cerebral perfusion is limited. Clinical studies were conducted only in patients with a unilateral carotid artery stenosis and/or unilateral cerebral infarct who were assessed as being in a clinically stable condition.</w:t>
      </w:r>
    </w:p>
    <w:p w14:paraId="486274D1" w14:textId="77777777" w:rsidR="00C07A2E" w:rsidRPr="007D73EF" w:rsidRDefault="00C07A2E" w:rsidP="00861283">
      <w:pPr>
        <w:pStyle w:val="Heading2"/>
        <w:spacing w:before="240" w:after="120" w:line="300" w:lineRule="atLeast"/>
        <w:ind w:right="1443"/>
        <w:jc w:val="both"/>
        <w:rPr>
          <w:rFonts w:ascii="Arial" w:hAnsi="Arial" w:cs="Arial"/>
          <w:b/>
          <w:u w:val="none"/>
          <w:lang w:val="en-GB"/>
        </w:rPr>
      </w:pPr>
      <w:r w:rsidRPr="007D73EF">
        <w:rPr>
          <w:rFonts w:ascii="Arial" w:hAnsi="Arial" w:cs="Arial"/>
          <w:b/>
          <w:u w:val="none"/>
          <w:lang w:val="en-GB"/>
        </w:rPr>
        <w:t>Nonclinical safety data</w:t>
      </w:r>
    </w:p>
    <w:p w14:paraId="04284115" w14:textId="77777777" w:rsidR="00262914" w:rsidRPr="007D73EF" w:rsidRDefault="00C07A2E"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Non-clinical data reveal no special hazard for humans based on conventional studies of systemic toxicity, genotoxicity, and contact-sensitizing potential. </w:t>
      </w:r>
    </w:p>
    <w:p w14:paraId="17557D3A" w14:textId="77777777" w:rsidR="00262914" w:rsidRPr="007D73EF" w:rsidRDefault="00C07A2E"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Experimental local tolerance studies in animals following a single paravenous, subcutaneous, or intramuscular application indicated that slight local intolerance reactions could occur at the administration site after inadvertent paravenous administration.</w:t>
      </w:r>
    </w:p>
    <w:p w14:paraId="45B1CF32" w14:textId="77777777" w:rsidR="00C07A2E" w:rsidRPr="007D73EF" w:rsidRDefault="00262914" w:rsidP="00FF0984">
      <w:pPr>
        <w:spacing w:before="120" w:after="120" w:line="300" w:lineRule="atLeast"/>
        <w:ind w:right="-35"/>
        <w:jc w:val="both"/>
      </w:pPr>
      <w:r w:rsidRPr="007D73EF">
        <w:rPr>
          <w:rFonts w:ascii="Arial" w:hAnsi="Arial" w:cs="Arial"/>
          <w:sz w:val="22"/>
          <w:szCs w:val="22"/>
          <w:lang w:val="en-GB" w:eastAsia="en-US"/>
        </w:rPr>
        <w:t xml:space="preserve">In </w:t>
      </w:r>
      <w:r w:rsidR="00C07A2E" w:rsidRPr="007D73EF">
        <w:rPr>
          <w:rFonts w:ascii="Arial" w:hAnsi="Arial" w:cs="Arial"/>
          <w:sz w:val="22"/>
          <w:szCs w:val="22"/>
          <w:lang w:val="en-GB" w:eastAsia="en-US"/>
        </w:rPr>
        <w:t>non</w:t>
      </w:r>
      <w:r w:rsidRPr="007D73EF">
        <w:rPr>
          <w:rFonts w:ascii="Arial" w:hAnsi="Arial" w:cs="Arial"/>
          <w:sz w:val="22"/>
          <w:szCs w:val="22"/>
          <w:lang w:val="en-GB" w:eastAsia="en-US"/>
        </w:rPr>
        <w:t xml:space="preserve">clinical cardiovascular safety pharmacology studies, depending on the dose </w:t>
      </w:r>
      <w:r w:rsidR="00C07A2E" w:rsidRPr="007D73EF">
        <w:rPr>
          <w:rFonts w:ascii="Arial" w:hAnsi="Arial" w:cs="Arial"/>
          <w:sz w:val="22"/>
          <w:szCs w:val="22"/>
          <w:lang w:val="en-GB" w:eastAsia="en-US"/>
        </w:rPr>
        <w:t xml:space="preserve">of gadobutrol </w:t>
      </w:r>
      <w:r w:rsidRPr="007D73EF">
        <w:rPr>
          <w:rFonts w:ascii="Arial" w:hAnsi="Arial" w:cs="Arial"/>
          <w:sz w:val="22"/>
          <w:szCs w:val="22"/>
          <w:lang w:val="en-GB" w:eastAsia="en-US"/>
        </w:rPr>
        <w:t>administered, transient increases in blood pressure and myocardial contractility were observed.  As the</w:t>
      </w:r>
      <w:r w:rsidR="00AD743D" w:rsidRPr="007D73EF">
        <w:rPr>
          <w:rFonts w:ascii="Arial" w:hAnsi="Arial" w:cs="Arial"/>
          <w:sz w:val="22"/>
          <w:szCs w:val="22"/>
          <w:lang w:val="en-GB" w:eastAsia="en-US"/>
        </w:rPr>
        <w:t>se</w:t>
      </w:r>
      <w:r w:rsidRPr="007D73EF">
        <w:rPr>
          <w:rFonts w:ascii="Arial" w:hAnsi="Arial" w:cs="Arial"/>
          <w:sz w:val="22"/>
          <w:szCs w:val="22"/>
          <w:lang w:val="en-GB" w:eastAsia="en-US"/>
        </w:rPr>
        <w:t xml:space="preserve"> effects were minimal and transient, and due to anaesthesia of the animals, they are not considered relevant to humans. </w:t>
      </w:r>
      <w:r w:rsidR="00AD743D" w:rsidRPr="007D73EF">
        <w:rPr>
          <w:rFonts w:ascii="Arial" w:hAnsi="Arial" w:cs="Arial"/>
          <w:sz w:val="22"/>
          <w:szCs w:val="22"/>
          <w:lang w:val="en-GB" w:eastAsia="en-US"/>
        </w:rPr>
        <w:t xml:space="preserve"> </w:t>
      </w:r>
      <w:r w:rsidRPr="007D73EF">
        <w:rPr>
          <w:rFonts w:ascii="Arial" w:hAnsi="Arial" w:cs="Arial"/>
          <w:sz w:val="22"/>
          <w:szCs w:val="22"/>
          <w:lang w:val="en-GB" w:eastAsia="en-US"/>
        </w:rPr>
        <w:t xml:space="preserve">In humans, no increase in blood pressure was observed in clinical studies. </w:t>
      </w:r>
    </w:p>
    <w:p w14:paraId="516682AF" w14:textId="77777777" w:rsidR="007165EB" w:rsidRPr="007D73EF" w:rsidRDefault="005209C5" w:rsidP="00861283">
      <w:pPr>
        <w:pStyle w:val="Heading2"/>
        <w:spacing w:before="240" w:after="120" w:line="300" w:lineRule="atLeast"/>
        <w:ind w:right="1443"/>
        <w:jc w:val="both"/>
        <w:rPr>
          <w:rFonts w:ascii="Arial" w:hAnsi="Arial" w:cs="Arial"/>
          <w:b/>
          <w:u w:val="none"/>
          <w:lang w:val="en-GB"/>
        </w:rPr>
      </w:pPr>
      <w:r w:rsidRPr="007D73EF">
        <w:rPr>
          <w:rFonts w:ascii="Arial" w:hAnsi="Arial" w:cs="Arial"/>
          <w:b/>
          <w:u w:val="none"/>
          <w:lang w:val="en-GB"/>
        </w:rPr>
        <w:lastRenderedPageBreak/>
        <w:t>Genotoxicity</w:t>
      </w:r>
    </w:p>
    <w:p w14:paraId="64B06563" w14:textId="77777777" w:rsidR="00262914" w:rsidRPr="007D73EF" w:rsidRDefault="00262914"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Bacteria, mammalian cells and animal studies investigating the </w:t>
      </w:r>
      <w:r w:rsidR="00AC54A9" w:rsidRPr="007D73EF">
        <w:rPr>
          <w:rFonts w:ascii="Arial" w:hAnsi="Arial" w:cs="Arial"/>
          <w:sz w:val="22"/>
          <w:szCs w:val="22"/>
          <w:lang w:val="en-GB" w:eastAsia="en-US"/>
        </w:rPr>
        <w:t>genotoxicity</w:t>
      </w:r>
      <w:r w:rsidRPr="007D73EF">
        <w:rPr>
          <w:rFonts w:ascii="Arial" w:hAnsi="Arial" w:cs="Arial"/>
          <w:sz w:val="22"/>
          <w:szCs w:val="22"/>
          <w:lang w:val="en-GB" w:eastAsia="en-US"/>
        </w:rPr>
        <w:t xml:space="preserve"> (gene mutation and chromosomal aberration) of gadobutrol in</w:t>
      </w:r>
      <w:r w:rsidR="00AC54A9" w:rsidRPr="007D73EF">
        <w:rPr>
          <w:rFonts w:ascii="Arial" w:hAnsi="Arial" w:cs="Arial"/>
          <w:sz w:val="22"/>
          <w:szCs w:val="22"/>
          <w:lang w:val="en-GB" w:eastAsia="en-US"/>
        </w:rPr>
        <w:t xml:space="preserve"> </w:t>
      </w:r>
      <w:r w:rsidRPr="007D73EF">
        <w:rPr>
          <w:rFonts w:ascii="Arial" w:hAnsi="Arial" w:cs="Arial"/>
          <w:sz w:val="22"/>
          <w:szCs w:val="22"/>
          <w:lang w:val="en-GB" w:eastAsia="en-US"/>
        </w:rPr>
        <w:t>vitro and in</w:t>
      </w:r>
      <w:r w:rsidR="00AC54A9" w:rsidRPr="007D73EF">
        <w:rPr>
          <w:rFonts w:ascii="Arial" w:hAnsi="Arial" w:cs="Arial"/>
          <w:sz w:val="22"/>
          <w:szCs w:val="22"/>
          <w:lang w:val="en-GB" w:eastAsia="en-US"/>
        </w:rPr>
        <w:t xml:space="preserve"> </w:t>
      </w:r>
      <w:r w:rsidRPr="007D73EF">
        <w:rPr>
          <w:rFonts w:ascii="Arial" w:hAnsi="Arial" w:cs="Arial"/>
          <w:sz w:val="22"/>
          <w:szCs w:val="22"/>
          <w:lang w:val="en-GB" w:eastAsia="en-US"/>
        </w:rPr>
        <w:t xml:space="preserve">vivo did not show </w:t>
      </w:r>
      <w:r w:rsidR="00AC54A9" w:rsidRPr="007D73EF">
        <w:rPr>
          <w:rFonts w:ascii="Arial" w:hAnsi="Arial" w:cs="Arial"/>
          <w:sz w:val="22"/>
          <w:szCs w:val="22"/>
          <w:lang w:val="en-GB" w:eastAsia="en-US"/>
        </w:rPr>
        <w:t>genotoxic</w:t>
      </w:r>
      <w:r w:rsidRPr="007D73EF">
        <w:rPr>
          <w:rFonts w:ascii="Arial" w:hAnsi="Arial" w:cs="Arial"/>
          <w:sz w:val="22"/>
          <w:szCs w:val="22"/>
          <w:lang w:val="en-GB" w:eastAsia="en-US"/>
        </w:rPr>
        <w:t xml:space="preserve"> potential.</w:t>
      </w:r>
    </w:p>
    <w:p w14:paraId="5E2E83CB" w14:textId="77777777" w:rsidR="005209C5" w:rsidRPr="007D73EF" w:rsidRDefault="00AC54A9" w:rsidP="00861283">
      <w:pPr>
        <w:pStyle w:val="Heading2"/>
        <w:spacing w:before="240" w:after="120" w:line="300" w:lineRule="atLeast"/>
        <w:ind w:right="1443"/>
        <w:jc w:val="both"/>
        <w:rPr>
          <w:rFonts w:ascii="Arial" w:hAnsi="Arial" w:cs="Arial"/>
          <w:b/>
          <w:u w:val="none"/>
          <w:lang w:val="en-GB"/>
        </w:rPr>
      </w:pPr>
      <w:r w:rsidRPr="007D73EF">
        <w:rPr>
          <w:rFonts w:ascii="Arial" w:hAnsi="Arial" w:cs="Arial"/>
          <w:b/>
          <w:u w:val="none"/>
          <w:lang w:val="en-GB"/>
        </w:rPr>
        <w:t>Carcinogenicity</w:t>
      </w:r>
    </w:p>
    <w:p w14:paraId="3982F41D" w14:textId="77777777" w:rsidR="007165EB" w:rsidRPr="007D73EF" w:rsidRDefault="005209C5"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The carcinogenic potential of gadobutrol has not been investigated in long-term animal studies.</w:t>
      </w:r>
    </w:p>
    <w:p w14:paraId="6FDBCF8E" w14:textId="77777777" w:rsidR="00AC54A9" w:rsidRPr="007D73EF" w:rsidRDefault="00AC54A9" w:rsidP="00861283">
      <w:pPr>
        <w:pStyle w:val="Heading2"/>
        <w:spacing w:before="240" w:after="120" w:line="300" w:lineRule="atLeast"/>
        <w:ind w:right="1443"/>
        <w:jc w:val="both"/>
        <w:rPr>
          <w:rFonts w:ascii="Arial" w:hAnsi="Arial" w:cs="Arial"/>
          <w:b/>
          <w:u w:val="none"/>
          <w:lang w:val="en-GB"/>
        </w:rPr>
      </w:pPr>
      <w:r w:rsidRPr="007D73EF">
        <w:rPr>
          <w:rFonts w:ascii="Arial" w:hAnsi="Arial" w:cs="Arial"/>
          <w:b/>
          <w:u w:val="none"/>
          <w:lang w:val="en-GB"/>
        </w:rPr>
        <w:t xml:space="preserve">Effects on </w:t>
      </w:r>
      <w:r w:rsidR="00FB4143" w:rsidRPr="007D73EF">
        <w:rPr>
          <w:rFonts w:ascii="Arial" w:hAnsi="Arial" w:cs="Arial"/>
          <w:b/>
          <w:u w:val="none"/>
          <w:lang w:val="en-GB"/>
        </w:rPr>
        <w:t>f</w:t>
      </w:r>
      <w:r w:rsidRPr="007D73EF">
        <w:rPr>
          <w:rFonts w:ascii="Arial" w:hAnsi="Arial" w:cs="Arial"/>
          <w:b/>
          <w:u w:val="none"/>
          <w:lang w:val="en-GB"/>
        </w:rPr>
        <w:t>ertility</w:t>
      </w:r>
    </w:p>
    <w:p w14:paraId="5EB65E50" w14:textId="77777777" w:rsidR="00262914" w:rsidRPr="007D73EF" w:rsidRDefault="00262914"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A repeat-dose study of reproduction toxicity in rats resulting in systemic exposures (plasma AUC) exceeding the human exposure at the maximum recommended dose by a factor of about 5 did not indicate any impairment of fertility.</w:t>
      </w:r>
    </w:p>
    <w:p w14:paraId="154D1A47" w14:textId="77777777" w:rsidR="00262914" w:rsidRPr="007D73EF" w:rsidRDefault="007165EB" w:rsidP="00861283">
      <w:pPr>
        <w:pStyle w:val="Heading2"/>
        <w:spacing w:before="240" w:after="120" w:line="300" w:lineRule="atLeast"/>
        <w:ind w:right="1443"/>
        <w:jc w:val="both"/>
        <w:rPr>
          <w:rFonts w:ascii="Arial" w:hAnsi="Arial" w:cs="Arial"/>
          <w:b/>
          <w:u w:val="none"/>
          <w:lang w:val="en-GB"/>
        </w:rPr>
      </w:pPr>
      <w:r w:rsidRPr="007D73EF">
        <w:rPr>
          <w:rFonts w:ascii="Arial" w:hAnsi="Arial" w:cs="Arial"/>
          <w:b/>
          <w:u w:val="none"/>
          <w:lang w:val="en-GB"/>
        </w:rPr>
        <w:t>Use in Pregnancy</w:t>
      </w:r>
      <w:r w:rsidR="00391A34" w:rsidRPr="007D73EF">
        <w:rPr>
          <w:rFonts w:ascii="Arial" w:hAnsi="Arial" w:cs="Arial"/>
          <w:b/>
          <w:u w:val="none"/>
          <w:lang w:val="en-GB"/>
        </w:rPr>
        <w:t xml:space="preserve"> – Category B3</w:t>
      </w:r>
    </w:p>
    <w:p w14:paraId="49F5C8E5" w14:textId="77777777" w:rsidR="00442302" w:rsidRPr="007D73EF" w:rsidRDefault="00262914"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There are no clinical studies describing the use of gadobutrol in pregnant women. In pregnant animals dosed with radioactively labelIed gadobutrol, radioactivity was detected in rabbit fetuses but not in rat </w:t>
      </w:r>
      <w:r w:rsidR="00835A75" w:rsidRPr="007D73EF">
        <w:rPr>
          <w:rFonts w:ascii="Arial" w:hAnsi="Arial" w:cs="Arial"/>
          <w:sz w:val="22"/>
          <w:szCs w:val="22"/>
          <w:lang w:val="en-GB" w:eastAsia="en-US"/>
        </w:rPr>
        <w:t xml:space="preserve">fetuses. </w:t>
      </w:r>
      <w:r w:rsidRPr="007D73EF">
        <w:rPr>
          <w:rFonts w:ascii="Arial" w:hAnsi="Arial" w:cs="Arial"/>
          <w:sz w:val="22"/>
          <w:szCs w:val="22"/>
          <w:lang w:val="en-GB" w:eastAsia="en-US"/>
        </w:rPr>
        <w:t xml:space="preserve">No teratogenic activity was found in rats, rabbits or cynomolgus monkeys at repeated intravenous doses of </w:t>
      </w:r>
      <w:r w:rsidR="00A92B3E" w:rsidRPr="007D73EF">
        <w:rPr>
          <w:rFonts w:ascii="Arial" w:hAnsi="Arial" w:cs="Arial"/>
          <w:sz w:val="22"/>
          <w:szCs w:val="22"/>
          <w:lang w:val="en-GB" w:eastAsia="en-US"/>
        </w:rPr>
        <w:t xml:space="preserve">5, 5 </w:t>
      </w:r>
      <w:r w:rsidRPr="007D73EF">
        <w:rPr>
          <w:rFonts w:ascii="Arial" w:hAnsi="Arial" w:cs="Arial"/>
          <w:sz w:val="22"/>
          <w:szCs w:val="22"/>
          <w:lang w:val="en-GB" w:eastAsia="en-US"/>
        </w:rPr>
        <w:t>and 2.5 mmol/kg/day, respective</w:t>
      </w:r>
      <w:r w:rsidR="00D35F6F" w:rsidRPr="007D73EF">
        <w:rPr>
          <w:rFonts w:ascii="Arial" w:hAnsi="Arial" w:cs="Arial"/>
          <w:sz w:val="22"/>
          <w:szCs w:val="22"/>
          <w:lang w:val="en-GB" w:eastAsia="en-US"/>
        </w:rPr>
        <w:t>l</w:t>
      </w:r>
      <w:r w:rsidRPr="007D73EF">
        <w:rPr>
          <w:rFonts w:ascii="Arial" w:hAnsi="Arial" w:cs="Arial"/>
          <w:sz w:val="22"/>
          <w:szCs w:val="22"/>
          <w:lang w:val="en-GB" w:eastAsia="en-US"/>
        </w:rPr>
        <w:t>y</w:t>
      </w:r>
      <w:r w:rsidR="00835A75" w:rsidRPr="007D73EF">
        <w:rPr>
          <w:rFonts w:ascii="Arial" w:hAnsi="Arial" w:cs="Arial"/>
          <w:sz w:val="22"/>
          <w:szCs w:val="22"/>
          <w:lang w:val="en-GB" w:eastAsia="en-US"/>
        </w:rPr>
        <w:t xml:space="preserve">. </w:t>
      </w:r>
      <w:r w:rsidRPr="007D73EF">
        <w:rPr>
          <w:rFonts w:ascii="Arial" w:hAnsi="Arial" w:cs="Arial"/>
          <w:sz w:val="22"/>
          <w:szCs w:val="22"/>
          <w:lang w:val="en-GB" w:eastAsia="en-US"/>
        </w:rPr>
        <w:t>However, repeated intravenous dosing in reproductive toxicology studies caused a retardation of embryonal development in rats and rabbits and an increase in embryolethality in rats, rabbits and monkeys at dose levels being 8 to 16 times (based on body surface area) or 25 to 50 times (based on body weight) above the diagnostic dose in humans. It is not known whether these effects can also be induced by a single administration</w:t>
      </w:r>
      <w:r w:rsidR="00835A75" w:rsidRPr="007D73EF">
        <w:rPr>
          <w:rFonts w:ascii="Arial" w:hAnsi="Arial" w:cs="Arial"/>
          <w:sz w:val="22"/>
          <w:szCs w:val="22"/>
          <w:lang w:val="en-GB" w:eastAsia="en-US"/>
        </w:rPr>
        <w:t>.</w:t>
      </w:r>
    </w:p>
    <w:p w14:paraId="7528CE62" w14:textId="77777777" w:rsidR="00262914" w:rsidRPr="007D73EF" w:rsidRDefault="00442302"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The potential risk for humans is unknown.</w:t>
      </w:r>
    </w:p>
    <w:p w14:paraId="39827399" w14:textId="125BD63F" w:rsidR="00262914" w:rsidRPr="007D73EF" w:rsidRDefault="00442302"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Gadovist</w:t>
      </w:r>
      <w:r w:rsidR="00CA12D4" w:rsidRPr="007D73EF">
        <w:rPr>
          <w:rFonts w:ascii="Arial" w:hAnsi="Arial" w:cs="Arial"/>
          <w:sz w:val="22"/>
          <w:szCs w:val="22"/>
          <w:lang w:eastAsia="de-DE"/>
        </w:rPr>
        <w:t xml:space="preserve"> 1.0</w:t>
      </w:r>
      <w:r w:rsidRPr="007D73EF">
        <w:rPr>
          <w:rFonts w:ascii="Arial" w:hAnsi="Arial" w:cs="Arial"/>
          <w:sz w:val="22"/>
          <w:szCs w:val="22"/>
          <w:lang w:val="en-GB" w:eastAsia="en-US"/>
        </w:rPr>
        <w:t xml:space="preserve"> should not be used during pregnancy unless clearly necessary.</w:t>
      </w:r>
    </w:p>
    <w:p w14:paraId="5C9980EF" w14:textId="77777777" w:rsidR="007165EB" w:rsidRPr="007D73EF" w:rsidRDefault="007165EB" w:rsidP="00861283">
      <w:pPr>
        <w:pStyle w:val="Heading2"/>
        <w:spacing w:before="240" w:after="120" w:line="300" w:lineRule="atLeast"/>
        <w:ind w:right="1443"/>
        <w:jc w:val="both"/>
        <w:rPr>
          <w:rFonts w:ascii="Arial" w:hAnsi="Arial" w:cs="Arial"/>
          <w:b/>
          <w:u w:val="none"/>
          <w:lang w:val="en-GB"/>
        </w:rPr>
      </w:pPr>
      <w:r w:rsidRPr="007D73EF">
        <w:rPr>
          <w:rFonts w:ascii="Arial" w:hAnsi="Arial" w:cs="Arial"/>
          <w:b/>
          <w:u w:val="none"/>
          <w:lang w:val="en-GB"/>
        </w:rPr>
        <w:t>Use in Lactation</w:t>
      </w:r>
    </w:p>
    <w:p w14:paraId="07F42E30" w14:textId="77777777" w:rsidR="00262914" w:rsidRPr="007D73EF" w:rsidRDefault="00630DDA"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It is </w:t>
      </w:r>
      <w:r w:rsidR="00B77254" w:rsidRPr="007D73EF">
        <w:rPr>
          <w:rFonts w:ascii="Arial" w:hAnsi="Arial" w:cs="Arial"/>
          <w:sz w:val="22"/>
          <w:szCs w:val="22"/>
          <w:lang w:val="en-GB" w:eastAsia="en-US"/>
        </w:rPr>
        <w:t>un</w:t>
      </w:r>
      <w:r w:rsidRPr="007D73EF">
        <w:rPr>
          <w:rFonts w:ascii="Arial" w:hAnsi="Arial" w:cs="Arial"/>
          <w:sz w:val="22"/>
          <w:szCs w:val="22"/>
          <w:lang w:val="en-GB" w:eastAsia="en-US"/>
        </w:rPr>
        <w:t xml:space="preserve">known </w:t>
      </w:r>
      <w:r w:rsidR="00B77254" w:rsidRPr="007D73EF">
        <w:rPr>
          <w:rFonts w:ascii="Arial" w:hAnsi="Arial" w:cs="Arial"/>
          <w:sz w:val="22"/>
          <w:szCs w:val="22"/>
          <w:lang w:val="en-GB" w:eastAsia="en-US"/>
        </w:rPr>
        <w:t xml:space="preserve">whether </w:t>
      </w:r>
      <w:r w:rsidRPr="007D73EF">
        <w:rPr>
          <w:rFonts w:ascii="Arial" w:hAnsi="Arial" w:cs="Arial"/>
          <w:sz w:val="22"/>
          <w:szCs w:val="22"/>
          <w:lang w:val="en-GB" w:eastAsia="en-US"/>
        </w:rPr>
        <w:t>gadobutrol is excreted in human milk.</w:t>
      </w:r>
      <w:r w:rsidR="001C0691" w:rsidRPr="007D73EF">
        <w:rPr>
          <w:rFonts w:ascii="Arial" w:hAnsi="Arial" w:cs="Arial"/>
          <w:sz w:val="22"/>
          <w:szCs w:val="22"/>
          <w:lang w:val="en-GB" w:eastAsia="en-US"/>
        </w:rPr>
        <w:t xml:space="preserve">  </w:t>
      </w:r>
      <w:r w:rsidR="00262914" w:rsidRPr="007D73EF">
        <w:rPr>
          <w:rFonts w:ascii="Arial" w:hAnsi="Arial" w:cs="Arial"/>
          <w:sz w:val="22"/>
          <w:szCs w:val="22"/>
          <w:lang w:val="en-GB" w:eastAsia="en-US"/>
        </w:rPr>
        <w:t xml:space="preserve">There is evidence from </w:t>
      </w:r>
      <w:r w:rsidR="00CC6CED" w:rsidRPr="007D73EF">
        <w:rPr>
          <w:rFonts w:ascii="Arial" w:hAnsi="Arial" w:cs="Arial"/>
          <w:sz w:val="22"/>
          <w:szCs w:val="22"/>
          <w:lang w:val="en-GB" w:eastAsia="en-US"/>
        </w:rPr>
        <w:t xml:space="preserve">a study in rats </w:t>
      </w:r>
      <w:r w:rsidR="00262914" w:rsidRPr="007D73EF">
        <w:rPr>
          <w:rFonts w:ascii="Arial" w:hAnsi="Arial" w:cs="Arial"/>
          <w:sz w:val="22"/>
          <w:szCs w:val="22"/>
          <w:lang w:val="en-GB" w:eastAsia="en-US"/>
        </w:rPr>
        <w:t xml:space="preserve">that gadobutrol is excreted into milk in very small amounts (less than 0.1% of the dose intravenously administered) and absorption via the gastrointestinal tract is poor (about 5% of the dose orally administered </w:t>
      </w:r>
      <w:r w:rsidR="00CC6CED" w:rsidRPr="007D73EF">
        <w:rPr>
          <w:rFonts w:ascii="Arial" w:hAnsi="Arial" w:cs="Arial"/>
          <w:sz w:val="22"/>
          <w:szCs w:val="22"/>
          <w:lang w:val="en-GB" w:eastAsia="en-US"/>
        </w:rPr>
        <w:t xml:space="preserve">to adult rats was </w:t>
      </w:r>
      <w:r w:rsidR="00262914" w:rsidRPr="007D73EF">
        <w:rPr>
          <w:rFonts w:ascii="Arial" w:hAnsi="Arial" w:cs="Arial"/>
          <w:sz w:val="22"/>
          <w:szCs w:val="22"/>
          <w:lang w:val="en-GB" w:eastAsia="en-US"/>
        </w:rPr>
        <w:t>excreted in the urine)</w:t>
      </w:r>
      <w:r w:rsidRPr="007D73EF">
        <w:rPr>
          <w:rFonts w:ascii="Arial" w:hAnsi="Arial" w:cs="Arial"/>
          <w:sz w:val="22"/>
          <w:szCs w:val="22"/>
          <w:lang w:val="en-GB" w:eastAsia="en-US"/>
        </w:rPr>
        <w:t>.</w:t>
      </w:r>
    </w:p>
    <w:p w14:paraId="3D9CA75A" w14:textId="77777777" w:rsidR="00CC6CED" w:rsidRPr="007D73EF" w:rsidRDefault="007165EB" w:rsidP="00861283">
      <w:pPr>
        <w:spacing w:before="120" w:after="120" w:line="300" w:lineRule="atLeast"/>
        <w:ind w:right="-35"/>
        <w:jc w:val="both"/>
        <w:rPr>
          <w:rFonts w:ascii="Arial" w:hAnsi="Arial" w:cs="Arial"/>
          <w:sz w:val="22"/>
          <w:szCs w:val="22"/>
          <w:lang w:val="en-GB" w:eastAsia="en-US"/>
        </w:rPr>
      </w:pPr>
      <w:bookmarkStart w:id="1" w:name="OLE_LINK1"/>
      <w:bookmarkStart w:id="2" w:name="OLE_LINK2"/>
      <w:r w:rsidRPr="007D73EF">
        <w:rPr>
          <w:rFonts w:ascii="Arial" w:hAnsi="Arial" w:cs="Arial"/>
          <w:sz w:val="22"/>
          <w:szCs w:val="22"/>
          <w:vertAlign w:val="superscript"/>
          <w:lang w:val="en-GB" w:eastAsia="en-US"/>
        </w:rPr>
        <w:t>153</w:t>
      </w:r>
      <w:r w:rsidRPr="007D73EF">
        <w:rPr>
          <w:rFonts w:ascii="Arial" w:hAnsi="Arial" w:cs="Arial"/>
          <w:sz w:val="22"/>
          <w:szCs w:val="22"/>
          <w:lang w:val="en-GB" w:eastAsia="en-US"/>
        </w:rPr>
        <w:t>Gd-labelled gadobutrol was administered intravenously to lactating rats at a dose of 0.5 mmol/kg.  About 3 hours after dosing, 0.01% of total dose was transferred into milk</w:t>
      </w:r>
      <w:r w:rsidR="00391A34" w:rsidRPr="007D73EF">
        <w:rPr>
          <w:rFonts w:ascii="Arial" w:hAnsi="Arial" w:cs="Arial"/>
          <w:sz w:val="22"/>
          <w:szCs w:val="22"/>
          <w:lang w:val="en-GB" w:eastAsia="en-US"/>
        </w:rPr>
        <w:t xml:space="preserve"> </w:t>
      </w:r>
      <w:r w:rsidR="00262914" w:rsidRPr="007D73EF">
        <w:rPr>
          <w:rFonts w:ascii="Arial" w:hAnsi="Arial" w:cs="Arial"/>
          <w:sz w:val="22"/>
          <w:szCs w:val="22"/>
          <w:lang w:val="en-GB" w:eastAsia="en-US"/>
        </w:rPr>
        <w:t>found in the stomach of the fetuses</w:t>
      </w:r>
      <w:r w:rsidRPr="007D73EF">
        <w:rPr>
          <w:rFonts w:ascii="Arial" w:hAnsi="Arial" w:cs="Arial"/>
          <w:sz w:val="22"/>
          <w:szCs w:val="22"/>
          <w:lang w:val="en-GB" w:eastAsia="en-US"/>
        </w:rPr>
        <w:t xml:space="preserve">.  </w:t>
      </w:r>
      <w:r w:rsidR="00CC6CED" w:rsidRPr="007D73EF">
        <w:rPr>
          <w:rFonts w:ascii="Arial" w:hAnsi="Arial" w:cs="Arial"/>
          <w:sz w:val="22"/>
          <w:szCs w:val="22"/>
          <w:lang w:val="en-GB" w:eastAsia="en-US"/>
        </w:rPr>
        <w:t>R</w:t>
      </w:r>
      <w:r w:rsidRPr="007D73EF">
        <w:rPr>
          <w:rFonts w:ascii="Arial" w:hAnsi="Arial" w:cs="Arial"/>
          <w:sz w:val="22"/>
          <w:szCs w:val="22"/>
          <w:lang w:val="en-GB" w:eastAsia="en-US"/>
        </w:rPr>
        <w:t>adioactivity was still detect</w:t>
      </w:r>
      <w:r w:rsidR="00CC6CED" w:rsidRPr="007D73EF">
        <w:rPr>
          <w:rFonts w:ascii="Arial" w:hAnsi="Arial" w:cs="Arial"/>
          <w:sz w:val="22"/>
          <w:szCs w:val="22"/>
          <w:lang w:val="en-GB" w:eastAsia="en-US"/>
        </w:rPr>
        <w:t>ed</w:t>
      </w:r>
      <w:r w:rsidRPr="007D73EF">
        <w:rPr>
          <w:rFonts w:ascii="Arial" w:hAnsi="Arial" w:cs="Arial"/>
          <w:sz w:val="22"/>
          <w:szCs w:val="22"/>
          <w:lang w:val="en-GB" w:eastAsia="en-US"/>
        </w:rPr>
        <w:t xml:space="preserve"> in milk</w:t>
      </w:r>
      <w:r w:rsidR="00CC6CED" w:rsidRPr="007D73EF">
        <w:rPr>
          <w:rFonts w:ascii="Arial" w:hAnsi="Arial" w:cs="Arial"/>
          <w:sz w:val="22"/>
          <w:szCs w:val="22"/>
          <w:lang w:val="en-GB" w:eastAsia="en-US"/>
        </w:rPr>
        <w:t xml:space="preserve"> twenty-four hours after dosing</w:t>
      </w:r>
      <w:r w:rsidRPr="007D73EF">
        <w:rPr>
          <w:rFonts w:ascii="Arial" w:hAnsi="Arial" w:cs="Arial"/>
          <w:sz w:val="22"/>
          <w:szCs w:val="22"/>
          <w:lang w:val="en-GB" w:eastAsia="en-US"/>
        </w:rPr>
        <w:t xml:space="preserve">.  </w:t>
      </w:r>
    </w:p>
    <w:p w14:paraId="3DCCFF36" w14:textId="77777777" w:rsidR="007165EB" w:rsidRPr="007D73EF" w:rsidRDefault="007165EB"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In the blood of suckling neonates, the labelled gadobutrol was detected at about 1% of the maternal blood level 3 hours after dosing. In a peri- and postnatal study, F1 </w:t>
      </w:r>
      <w:r w:rsidRPr="007D73EF">
        <w:rPr>
          <w:rFonts w:ascii="Arial" w:hAnsi="Arial" w:cs="Arial"/>
          <w:sz w:val="22"/>
          <w:szCs w:val="22"/>
          <w:lang w:val="en-GB" w:eastAsia="en-US"/>
        </w:rPr>
        <w:lastRenderedPageBreak/>
        <w:t xml:space="preserve">female offspring of rats dosed at 4.5 mmol/kg/day showed a </w:t>
      </w:r>
      <w:r w:rsidR="00391A34" w:rsidRPr="007D73EF">
        <w:rPr>
          <w:rFonts w:ascii="Arial" w:hAnsi="Arial" w:cs="Arial"/>
          <w:sz w:val="22"/>
          <w:szCs w:val="22"/>
          <w:lang w:val="en-GB" w:eastAsia="en-US"/>
        </w:rPr>
        <w:t xml:space="preserve">slight </w:t>
      </w:r>
      <w:r w:rsidR="00262914" w:rsidRPr="007D73EF">
        <w:rPr>
          <w:rFonts w:ascii="Arial" w:hAnsi="Arial" w:cs="Arial"/>
          <w:sz w:val="22"/>
          <w:szCs w:val="22"/>
          <w:lang w:val="en-GB" w:eastAsia="en-US"/>
        </w:rPr>
        <w:t>delay in the development</w:t>
      </w:r>
      <w:r w:rsidR="000B7CF5" w:rsidRPr="007D73EF">
        <w:rPr>
          <w:rFonts w:ascii="Arial" w:hAnsi="Arial" w:cs="Arial"/>
          <w:sz w:val="22"/>
          <w:szCs w:val="22"/>
          <w:lang w:val="en-GB" w:eastAsia="en-US"/>
        </w:rPr>
        <w:t xml:space="preserve"> </w:t>
      </w:r>
      <w:r w:rsidR="00262914" w:rsidRPr="007D73EF">
        <w:rPr>
          <w:rFonts w:ascii="Arial" w:hAnsi="Arial" w:cs="Arial"/>
          <w:sz w:val="22"/>
          <w:szCs w:val="22"/>
          <w:lang w:val="en-GB" w:eastAsia="en-US"/>
        </w:rPr>
        <w:t xml:space="preserve">of </w:t>
      </w:r>
      <w:r w:rsidRPr="007D73EF">
        <w:rPr>
          <w:rFonts w:ascii="Arial" w:hAnsi="Arial" w:cs="Arial"/>
          <w:sz w:val="22"/>
          <w:szCs w:val="22"/>
          <w:lang w:val="en-GB" w:eastAsia="en-US"/>
        </w:rPr>
        <w:t>CNS function in the conditioned avoidance reaction test</w:t>
      </w:r>
      <w:bookmarkEnd w:id="1"/>
      <w:bookmarkEnd w:id="2"/>
      <w:r w:rsidRPr="007D73EF">
        <w:rPr>
          <w:rFonts w:ascii="Arial" w:hAnsi="Arial" w:cs="Arial"/>
          <w:sz w:val="22"/>
          <w:szCs w:val="22"/>
          <w:lang w:val="en-GB" w:eastAsia="en-US"/>
        </w:rPr>
        <w:t>.</w:t>
      </w:r>
    </w:p>
    <w:p w14:paraId="7C679A72" w14:textId="6836FCA9" w:rsidR="00262914" w:rsidRPr="007D73EF" w:rsidRDefault="00262914"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At clinical doses, no effects on the infant are anticipated </w:t>
      </w:r>
      <w:r w:rsidR="00E54C8C" w:rsidRPr="007D73EF">
        <w:rPr>
          <w:rFonts w:ascii="Arial" w:hAnsi="Arial" w:cs="Arial"/>
          <w:sz w:val="22"/>
          <w:szCs w:val="22"/>
          <w:lang w:val="en-GB" w:eastAsia="en-US"/>
        </w:rPr>
        <w:t>and Gadovist</w:t>
      </w:r>
      <w:r w:rsidR="00CA12D4" w:rsidRPr="007D73EF">
        <w:rPr>
          <w:rFonts w:ascii="Arial" w:hAnsi="Arial" w:cs="Arial"/>
          <w:sz w:val="22"/>
          <w:szCs w:val="22"/>
          <w:lang w:eastAsia="de-DE"/>
        </w:rPr>
        <w:t xml:space="preserve"> 1.0</w:t>
      </w:r>
      <w:r w:rsidR="00E54C8C" w:rsidRPr="007D73EF">
        <w:rPr>
          <w:rFonts w:ascii="Arial" w:hAnsi="Arial" w:cs="Arial"/>
          <w:sz w:val="22"/>
          <w:szCs w:val="22"/>
          <w:lang w:val="en-GB" w:eastAsia="en-US"/>
        </w:rPr>
        <w:t xml:space="preserve"> can be used during breastfeeding</w:t>
      </w:r>
      <w:r w:rsidRPr="007D73EF">
        <w:rPr>
          <w:rFonts w:ascii="Arial" w:hAnsi="Arial" w:cs="Arial"/>
          <w:sz w:val="22"/>
          <w:szCs w:val="22"/>
          <w:lang w:val="en-GB" w:eastAsia="en-US"/>
        </w:rPr>
        <w:t>.</w:t>
      </w:r>
    </w:p>
    <w:p w14:paraId="2D9D13D5" w14:textId="77777777" w:rsidR="007165EB" w:rsidRPr="007D73EF" w:rsidRDefault="00262914" w:rsidP="00861283">
      <w:pPr>
        <w:pStyle w:val="Heading2"/>
        <w:spacing w:before="240" w:after="120" w:line="300" w:lineRule="atLeast"/>
        <w:ind w:right="1443"/>
        <w:jc w:val="both"/>
        <w:rPr>
          <w:rFonts w:ascii="Arial" w:hAnsi="Arial" w:cs="Arial"/>
          <w:b/>
          <w:u w:val="none"/>
          <w:lang w:val="en-GB"/>
        </w:rPr>
      </w:pPr>
      <w:r w:rsidRPr="007D73EF">
        <w:rPr>
          <w:rFonts w:ascii="Arial" w:hAnsi="Arial" w:cs="Arial"/>
          <w:b/>
          <w:u w:val="none"/>
          <w:lang w:val="en-GB"/>
        </w:rPr>
        <w:t>Paediatric Use</w:t>
      </w:r>
    </w:p>
    <w:p w14:paraId="7E0E9523" w14:textId="2087CE11" w:rsidR="00B905EA" w:rsidRPr="007D73EF" w:rsidRDefault="00262914"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Gadovist</w:t>
      </w:r>
      <w:r w:rsidR="00CA12D4" w:rsidRPr="007D73EF">
        <w:rPr>
          <w:rFonts w:ascii="Arial" w:hAnsi="Arial" w:cs="Arial"/>
          <w:sz w:val="22"/>
          <w:szCs w:val="22"/>
          <w:lang w:eastAsia="de-DE"/>
        </w:rPr>
        <w:t xml:space="preserve"> 1.0</w:t>
      </w:r>
      <w:r w:rsidRPr="007D73EF">
        <w:rPr>
          <w:rFonts w:ascii="Arial" w:hAnsi="Arial" w:cs="Arial"/>
          <w:sz w:val="22"/>
          <w:szCs w:val="22"/>
          <w:lang w:val="en-GB" w:eastAsia="en-US"/>
        </w:rPr>
        <w:t xml:space="preserve"> is not recommended for use in children below 2 years of age due to a lack of data on</w:t>
      </w:r>
      <w:r w:rsidR="00B905EA" w:rsidRPr="007D73EF">
        <w:rPr>
          <w:rFonts w:ascii="Arial" w:hAnsi="Arial" w:cs="Arial"/>
          <w:sz w:val="22"/>
          <w:szCs w:val="22"/>
          <w:lang w:val="en-GB" w:eastAsia="en-US"/>
        </w:rPr>
        <w:t xml:space="preserve"> </w:t>
      </w:r>
      <w:r w:rsidRPr="007D73EF">
        <w:rPr>
          <w:rFonts w:ascii="Arial" w:hAnsi="Arial" w:cs="Arial"/>
          <w:sz w:val="22"/>
          <w:szCs w:val="22"/>
          <w:lang w:val="en-GB" w:eastAsia="en-US"/>
        </w:rPr>
        <w:t>safety and efficacy.</w:t>
      </w:r>
    </w:p>
    <w:p w14:paraId="107C59DA" w14:textId="77777777" w:rsidR="00262914" w:rsidRPr="007D73EF" w:rsidRDefault="00FB4143" w:rsidP="00861283">
      <w:pPr>
        <w:pStyle w:val="Heading1"/>
        <w:spacing w:before="480" w:after="240" w:line="300" w:lineRule="atLeast"/>
        <w:ind w:right="1443"/>
        <w:jc w:val="both"/>
        <w:rPr>
          <w:rFonts w:ascii="Arial" w:hAnsi="Arial" w:cs="Arial"/>
          <w:b/>
          <w:caps/>
          <w:kern w:val="28"/>
          <w:sz w:val="28"/>
          <w:lang w:val="en-GB"/>
        </w:rPr>
      </w:pPr>
      <w:r w:rsidRPr="007D73EF">
        <w:rPr>
          <w:rFonts w:ascii="Arial" w:hAnsi="Arial" w:cs="Arial"/>
          <w:b/>
          <w:caps/>
          <w:kern w:val="28"/>
          <w:sz w:val="28"/>
          <w:lang w:val="en-GB"/>
        </w:rPr>
        <w:t>INTERACTIONS WITH OTHER MEDICINES</w:t>
      </w:r>
    </w:p>
    <w:p w14:paraId="0D8FB6AC" w14:textId="77777777" w:rsidR="00675458" w:rsidRPr="007D73EF" w:rsidRDefault="00262914"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No interactions studies with other medicinal products have been conducted</w:t>
      </w:r>
      <w:r w:rsidR="00FB4143" w:rsidRPr="007D73EF">
        <w:rPr>
          <w:rFonts w:ascii="Arial" w:hAnsi="Arial" w:cs="Arial"/>
          <w:sz w:val="22"/>
          <w:szCs w:val="22"/>
          <w:lang w:val="en-GB" w:eastAsia="en-US"/>
        </w:rPr>
        <w:t>.</w:t>
      </w:r>
    </w:p>
    <w:p w14:paraId="5D5F99FB" w14:textId="77777777" w:rsidR="003D16C0" w:rsidRPr="007D73EF" w:rsidRDefault="003D16C0" w:rsidP="00861283">
      <w:pPr>
        <w:pStyle w:val="Heading2"/>
        <w:spacing w:before="240" w:after="120" w:line="300" w:lineRule="atLeast"/>
        <w:ind w:right="1443"/>
        <w:jc w:val="both"/>
        <w:rPr>
          <w:rFonts w:ascii="Arial" w:hAnsi="Arial" w:cs="Arial"/>
          <w:b/>
          <w:u w:val="none"/>
          <w:lang w:val="en-GB"/>
        </w:rPr>
      </w:pPr>
      <w:r w:rsidRPr="007D73EF">
        <w:rPr>
          <w:rFonts w:ascii="Arial" w:hAnsi="Arial" w:cs="Arial"/>
          <w:b/>
          <w:u w:val="none"/>
          <w:lang w:val="en-GB"/>
        </w:rPr>
        <w:t>Effects on ability to drive or use machines</w:t>
      </w:r>
    </w:p>
    <w:p w14:paraId="37A3268C" w14:textId="77777777" w:rsidR="003D16C0" w:rsidRPr="007D73EF" w:rsidRDefault="003D16C0"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Not known.</w:t>
      </w:r>
    </w:p>
    <w:p w14:paraId="090AA613" w14:textId="77777777" w:rsidR="0080610E" w:rsidRPr="007D73EF" w:rsidRDefault="00741198" w:rsidP="00861283">
      <w:pPr>
        <w:pStyle w:val="Heading1"/>
        <w:spacing w:before="480" w:after="240" w:line="300" w:lineRule="atLeast"/>
        <w:ind w:right="1443"/>
        <w:jc w:val="both"/>
        <w:rPr>
          <w:rFonts w:ascii="Arial" w:hAnsi="Arial" w:cs="Arial"/>
          <w:b/>
          <w:szCs w:val="24"/>
        </w:rPr>
      </w:pPr>
      <w:r w:rsidRPr="007D73EF">
        <w:rPr>
          <w:rFonts w:ascii="Arial" w:hAnsi="Arial" w:cs="Arial"/>
          <w:b/>
          <w:caps/>
          <w:kern w:val="28"/>
          <w:sz w:val="28"/>
          <w:lang w:val="en-GB"/>
        </w:rPr>
        <w:t>ADVERSE EFFECTS</w:t>
      </w:r>
    </w:p>
    <w:p w14:paraId="7891D8E0" w14:textId="77777777" w:rsidR="0080610E" w:rsidRPr="007D73EF" w:rsidRDefault="0080610E" w:rsidP="00861283">
      <w:pPr>
        <w:pStyle w:val="Heading2"/>
        <w:spacing w:before="240" w:after="120" w:line="300" w:lineRule="atLeast"/>
        <w:ind w:right="1443"/>
        <w:jc w:val="both"/>
        <w:rPr>
          <w:rFonts w:ascii="Arial" w:hAnsi="Arial" w:cs="Arial"/>
          <w:b/>
          <w:u w:val="none"/>
          <w:lang w:val="en-GB"/>
        </w:rPr>
      </w:pPr>
      <w:r w:rsidRPr="007D73EF">
        <w:rPr>
          <w:rFonts w:ascii="Arial" w:hAnsi="Arial" w:cs="Arial"/>
          <w:b/>
          <w:u w:val="none"/>
          <w:lang w:val="en-GB"/>
        </w:rPr>
        <w:t>Summary of the safety profile</w:t>
      </w:r>
    </w:p>
    <w:p w14:paraId="0E3A0F80" w14:textId="1DD0FA94" w:rsidR="00342089" w:rsidRPr="007D73EF" w:rsidRDefault="00342089"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The overall safety profile of Gadovist is based on data from more than </w:t>
      </w:r>
      <w:r w:rsidR="008A0209" w:rsidRPr="007D73EF">
        <w:rPr>
          <w:rFonts w:ascii="Arial" w:hAnsi="Arial" w:cs="Arial"/>
          <w:sz w:val="22"/>
          <w:szCs w:val="22"/>
          <w:lang w:val="en-GB" w:eastAsia="en-US"/>
        </w:rPr>
        <w:t>5,700</w:t>
      </w:r>
      <w:r w:rsidRPr="007D73EF">
        <w:rPr>
          <w:rFonts w:ascii="Arial" w:hAnsi="Arial" w:cs="Arial"/>
          <w:sz w:val="22"/>
          <w:szCs w:val="22"/>
          <w:lang w:val="en-GB" w:eastAsia="en-US"/>
        </w:rPr>
        <w:t xml:space="preserve"> patients in clinical trials, and from post-marketing surveillance. </w:t>
      </w:r>
    </w:p>
    <w:p w14:paraId="64715A5E" w14:textId="54B20FBF" w:rsidR="00342089" w:rsidRPr="007D73EF" w:rsidRDefault="00342089"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The most frequently observed adverse drug reactions (</w:t>
      </w:r>
      <w:r w:rsidRPr="007D73EF">
        <w:rPr>
          <w:rFonts w:ascii="Arial" w:hAnsi="Arial" w:cs="Arial"/>
          <w:sz w:val="22"/>
          <w:szCs w:val="22"/>
          <w:lang w:val="en-GB" w:eastAsia="en-US"/>
        </w:rPr>
        <w:sym w:font="Symbol" w:char="00B3"/>
      </w:r>
      <w:r w:rsidRPr="007D73EF">
        <w:rPr>
          <w:rFonts w:ascii="Arial" w:hAnsi="Arial" w:cs="Arial"/>
          <w:sz w:val="22"/>
          <w:szCs w:val="22"/>
          <w:lang w:val="en-GB" w:eastAsia="en-US"/>
        </w:rPr>
        <w:t xml:space="preserve"> 0.5 %) in patients receiving Gadovist are headache, nausea</w:t>
      </w:r>
      <w:r w:rsidR="008A0209" w:rsidRPr="007D73EF">
        <w:rPr>
          <w:rFonts w:ascii="Arial" w:hAnsi="Arial" w:cs="Arial"/>
          <w:sz w:val="22"/>
          <w:szCs w:val="22"/>
          <w:lang w:val="en-GB" w:eastAsia="en-US"/>
        </w:rPr>
        <w:t xml:space="preserve"> and</w:t>
      </w:r>
      <w:r w:rsidRPr="007D73EF">
        <w:rPr>
          <w:rFonts w:ascii="Arial" w:hAnsi="Arial" w:cs="Arial"/>
          <w:sz w:val="22"/>
          <w:szCs w:val="22"/>
          <w:lang w:val="en-GB" w:eastAsia="en-US"/>
        </w:rPr>
        <w:t xml:space="preserve"> </w:t>
      </w:r>
      <w:r w:rsidR="0080610E" w:rsidRPr="007D73EF">
        <w:rPr>
          <w:rFonts w:ascii="Arial" w:hAnsi="Arial" w:cs="Arial"/>
          <w:sz w:val="22"/>
          <w:szCs w:val="22"/>
          <w:lang w:val="en-GB" w:eastAsia="en-US"/>
        </w:rPr>
        <w:t>dizziness</w:t>
      </w:r>
      <w:r w:rsidRPr="007D73EF">
        <w:rPr>
          <w:rFonts w:ascii="Arial" w:hAnsi="Arial" w:cs="Arial"/>
          <w:sz w:val="22"/>
          <w:szCs w:val="22"/>
          <w:lang w:val="en-GB" w:eastAsia="en-US"/>
        </w:rPr>
        <w:t>.</w:t>
      </w:r>
    </w:p>
    <w:p w14:paraId="6BA4C32E" w14:textId="4E12E269" w:rsidR="00342089" w:rsidRPr="007D73EF" w:rsidRDefault="00342089"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The most serious adverse drug reactions in patients receiving Gadovist are cardiac arrest and </w:t>
      </w:r>
      <w:r w:rsidR="008A0209" w:rsidRPr="007D73EF">
        <w:rPr>
          <w:rFonts w:ascii="Arial" w:hAnsi="Arial" w:cs="Arial"/>
          <w:sz w:val="22"/>
          <w:szCs w:val="22"/>
          <w:lang w:val="en-GB" w:eastAsia="en-US"/>
        </w:rPr>
        <w:t xml:space="preserve">severe </w:t>
      </w:r>
      <w:r w:rsidRPr="007D73EF">
        <w:rPr>
          <w:rFonts w:ascii="Arial" w:hAnsi="Arial" w:cs="Arial"/>
          <w:sz w:val="22"/>
          <w:szCs w:val="22"/>
          <w:lang w:val="en-GB" w:eastAsia="en-US"/>
        </w:rPr>
        <w:t xml:space="preserve">anaphylactoid </w:t>
      </w:r>
      <w:r w:rsidR="00905EDB" w:rsidRPr="007D73EF">
        <w:rPr>
          <w:rFonts w:ascii="Arial" w:hAnsi="Arial" w:cs="Arial"/>
          <w:sz w:val="22"/>
          <w:szCs w:val="22"/>
          <w:lang w:val="en-GB" w:eastAsia="en-US"/>
        </w:rPr>
        <w:t>reactions</w:t>
      </w:r>
      <w:r w:rsidRPr="007D73EF">
        <w:rPr>
          <w:rFonts w:ascii="Arial" w:hAnsi="Arial" w:cs="Arial"/>
          <w:sz w:val="22"/>
          <w:szCs w:val="22"/>
          <w:lang w:val="en-GB" w:eastAsia="en-US"/>
        </w:rPr>
        <w:t>.</w:t>
      </w:r>
    </w:p>
    <w:p w14:paraId="2AE09F4B" w14:textId="77777777" w:rsidR="00342089" w:rsidRPr="007D73EF" w:rsidRDefault="00342089"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Delayed allerg</w:t>
      </w:r>
      <w:r w:rsidR="00D35F6F" w:rsidRPr="007D73EF">
        <w:rPr>
          <w:rFonts w:ascii="Arial" w:hAnsi="Arial" w:cs="Arial"/>
          <w:sz w:val="22"/>
          <w:szCs w:val="22"/>
          <w:lang w:val="en-GB" w:eastAsia="en-US"/>
        </w:rPr>
        <w:t>ic</w:t>
      </w:r>
      <w:r w:rsidRPr="007D73EF">
        <w:rPr>
          <w:rFonts w:ascii="Arial" w:hAnsi="Arial" w:cs="Arial"/>
          <w:sz w:val="22"/>
          <w:szCs w:val="22"/>
          <w:lang w:val="en-GB" w:eastAsia="en-US"/>
        </w:rPr>
        <w:t xml:space="preserve"> reactions (hours later up to several days) have been rarely observed. </w:t>
      </w:r>
    </w:p>
    <w:p w14:paraId="064BC329" w14:textId="77777777" w:rsidR="00342089" w:rsidRPr="007D73EF" w:rsidRDefault="00342089"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Most of the undesirable effects were of mild to moderate intensity.</w:t>
      </w:r>
    </w:p>
    <w:p w14:paraId="238AB73D" w14:textId="77777777" w:rsidR="00905EDB" w:rsidRPr="007D73EF" w:rsidRDefault="00905EDB" w:rsidP="00861283">
      <w:pPr>
        <w:pStyle w:val="Heading2"/>
        <w:spacing w:before="240" w:after="120" w:line="300" w:lineRule="atLeast"/>
        <w:ind w:right="1443"/>
        <w:jc w:val="both"/>
        <w:rPr>
          <w:rFonts w:ascii="Arial" w:hAnsi="Arial" w:cs="Arial"/>
          <w:b/>
          <w:u w:val="none"/>
          <w:lang w:val="en-GB"/>
        </w:rPr>
      </w:pPr>
      <w:r w:rsidRPr="007D73EF">
        <w:rPr>
          <w:rFonts w:ascii="Arial" w:hAnsi="Arial" w:cs="Arial"/>
          <w:b/>
          <w:u w:val="none"/>
          <w:lang w:val="en-GB"/>
        </w:rPr>
        <w:t>Tabulated list of adverse reactions</w:t>
      </w:r>
    </w:p>
    <w:p w14:paraId="1BA4739B" w14:textId="00428EE6" w:rsidR="00342089" w:rsidRPr="007D73EF" w:rsidRDefault="00342089"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The adverse drug reactions </w:t>
      </w:r>
      <w:r w:rsidR="008A0209" w:rsidRPr="007D73EF">
        <w:rPr>
          <w:rFonts w:ascii="Arial" w:hAnsi="Arial" w:cs="Arial"/>
          <w:sz w:val="22"/>
          <w:szCs w:val="22"/>
          <w:lang w:val="en-GB" w:eastAsia="en-US"/>
        </w:rPr>
        <w:t xml:space="preserve">(ADRs) </w:t>
      </w:r>
      <w:r w:rsidRPr="007D73EF">
        <w:rPr>
          <w:rFonts w:ascii="Arial" w:hAnsi="Arial" w:cs="Arial"/>
          <w:sz w:val="22"/>
          <w:szCs w:val="22"/>
          <w:lang w:val="en-GB" w:eastAsia="en-US"/>
        </w:rPr>
        <w:t xml:space="preserve">observed with Gadovist are represented in the table below. They are classified according to System Organ Class (MedDRA version </w:t>
      </w:r>
      <w:r w:rsidR="00905EDB" w:rsidRPr="007D73EF">
        <w:rPr>
          <w:rFonts w:ascii="Arial" w:hAnsi="Arial" w:cs="Arial"/>
          <w:sz w:val="22"/>
          <w:szCs w:val="22"/>
          <w:lang w:val="en-GB" w:eastAsia="en-US"/>
        </w:rPr>
        <w:t>14.1</w:t>
      </w:r>
      <w:r w:rsidRPr="007D73EF">
        <w:rPr>
          <w:rFonts w:ascii="Arial" w:hAnsi="Arial" w:cs="Arial"/>
          <w:sz w:val="22"/>
          <w:szCs w:val="22"/>
          <w:lang w:val="en-GB" w:eastAsia="en-US"/>
        </w:rPr>
        <w:t>).</w:t>
      </w:r>
      <w:r w:rsidRPr="007D73EF">
        <w:rPr>
          <w:sz w:val="22"/>
          <w:szCs w:val="22"/>
          <w:lang w:val="en-GB" w:eastAsia="en-US"/>
        </w:rPr>
        <w:t xml:space="preserve"> </w:t>
      </w:r>
      <w:r w:rsidRPr="007D73EF">
        <w:rPr>
          <w:rFonts w:ascii="Arial" w:hAnsi="Arial" w:cs="Arial"/>
          <w:sz w:val="22"/>
          <w:szCs w:val="22"/>
          <w:lang w:val="en-GB" w:eastAsia="en-US"/>
        </w:rPr>
        <w:t>The most appropriate MedDRA term is used to describe a certain reaction and its synonyms and related conditions.</w:t>
      </w:r>
    </w:p>
    <w:p w14:paraId="0EF3CFFD" w14:textId="60DA1E2B" w:rsidR="008A0209" w:rsidRPr="007D73EF" w:rsidRDefault="008A0209" w:rsidP="008A0209">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ADRs </w:t>
      </w:r>
      <w:r w:rsidR="00342089" w:rsidRPr="007D73EF">
        <w:rPr>
          <w:rFonts w:ascii="Arial" w:hAnsi="Arial" w:cs="Arial"/>
          <w:sz w:val="22"/>
          <w:szCs w:val="22"/>
          <w:lang w:val="en-GB" w:eastAsia="en-US"/>
        </w:rPr>
        <w:t xml:space="preserve">are classified according to their frequencies. Frequency groupings are defined according to the following convention: common: </w:t>
      </w:r>
      <w:r w:rsidR="00342089" w:rsidRPr="007D73EF">
        <w:rPr>
          <w:rFonts w:ascii="Arial" w:hAnsi="Arial" w:cs="Arial"/>
          <w:sz w:val="22"/>
          <w:szCs w:val="22"/>
          <w:lang w:val="en-GB" w:eastAsia="en-US"/>
        </w:rPr>
        <w:sym w:font="Symbol" w:char="F0B3"/>
      </w:r>
      <w:r w:rsidR="00342089" w:rsidRPr="007D73EF">
        <w:rPr>
          <w:rFonts w:ascii="Arial" w:hAnsi="Arial" w:cs="Arial"/>
          <w:sz w:val="22"/>
          <w:szCs w:val="22"/>
          <w:lang w:val="en-GB" w:eastAsia="en-US"/>
        </w:rPr>
        <w:t xml:space="preserve"> 1/100 to &lt; 1/10; uncommon: ≥ 1/1,000 to </w:t>
      </w:r>
      <w:r w:rsidR="00342089" w:rsidRPr="007D73EF">
        <w:rPr>
          <w:rFonts w:ascii="Arial" w:hAnsi="Arial" w:cs="Arial"/>
          <w:sz w:val="22"/>
          <w:szCs w:val="22"/>
          <w:lang w:val="en-GB" w:eastAsia="en-US"/>
        </w:rPr>
        <w:sym w:font="Symbol" w:char="003C"/>
      </w:r>
      <w:r w:rsidR="00342089" w:rsidRPr="007D73EF">
        <w:rPr>
          <w:rFonts w:ascii="Arial" w:hAnsi="Arial" w:cs="Arial"/>
          <w:sz w:val="22"/>
          <w:szCs w:val="22"/>
          <w:lang w:val="en-GB" w:eastAsia="en-US"/>
        </w:rPr>
        <w:t xml:space="preserve"> 1/100; rare: </w:t>
      </w:r>
      <w:r w:rsidR="00342089" w:rsidRPr="007D73EF">
        <w:rPr>
          <w:rFonts w:ascii="Arial" w:hAnsi="Arial" w:cs="Arial"/>
          <w:sz w:val="22"/>
          <w:szCs w:val="22"/>
          <w:lang w:val="en-GB" w:eastAsia="en-US"/>
        </w:rPr>
        <w:sym w:font="Symbol" w:char="00B3"/>
      </w:r>
      <w:r w:rsidR="00342089" w:rsidRPr="007D73EF">
        <w:rPr>
          <w:rFonts w:ascii="Arial" w:hAnsi="Arial" w:cs="Arial"/>
          <w:sz w:val="22"/>
          <w:szCs w:val="22"/>
          <w:lang w:val="en-GB" w:eastAsia="en-US"/>
        </w:rPr>
        <w:t xml:space="preserve"> 1/10,000 to &lt; 1/1,000. </w:t>
      </w:r>
    </w:p>
    <w:p w14:paraId="3A7EC5BF" w14:textId="77777777" w:rsidR="008A0209" w:rsidRPr="007D73EF" w:rsidRDefault="008A0209"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ADRs identified during clinical trials and also during post-marketing surveillance are listed in Table </w:t>
      </w:r>
      <w:r w:rsidR="00166D09" w:rsidRPr="007D73EF">
        <w:rPr>
          <w:rFonts w:ascii="Arial" w:hAnsi="Arial" w:cs="Arial"/>
          <w:sz w:val="22"/>
          <w:szCs w:val="22"/>
          <w:lang w:val="en-GB" w:eastAsia="en-US"/>
        </w:rPr>
        <w:t>10</w:t>
      </w:r>
      <w:r w:rsidRPr="007D73EF">
        <w:rPr>
          <w:rFonts w:ascii="Arial" w:hAnsi="Arial" w:cs="Arial"/>
          <w:sz w:val="22"/>
          <w:szCs w:val="22"/>
          <w:lang w:val="en-GB" w:eastAsia="en-US"/>
        </w:rPr>
        <w:t>.</w:t>
      </w:r>
    </w:p>
    <w:p w14:paraId="2C750A01" w14:textId="2AC44AB6" w:rsidR="00342089" w:rsidRPr="007D73EF" w:rsidRDefault="008A0209"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lastRenderedPageBreak/>
        <w:t>ADRs</w:t>
      </w:r>
      <w:r w:rsidR="00342089" w:rsidRPr="007D73EF">
        <w:rPr>
          <w:rFonts w:ascii="Arial" w:hAnsi="Arial" w:cs="Arial"/>
          <w:sz w:val="22"/>
          <w:szCs w:val="22"/>
          <w:lang w:val="en-GB" w:eastAsia="en-US"/>
        </w:rPr>
        <w:t xml:space="preserve"> identified only during post-marketing surveillance, and for which a frequency could not be estimate</w:t>
      </w:r>
      <w:r w:rsidR="00F7376B" w:rsidRPr="007D73EF">
        <w:rPr>
          <w:rFonts w:ascii="Arial" w:hAnsi="Arial" w:cs="Arial"/>
          <w:sz w:val="22"/>
          <w:szCs w:val="22"/>
          <w:lang w:val="en-GB" w:eastAsia="en-US"/>
        </w:rPr>
        <w:t>d</w:t>
      </w:r>
      <w:r w:rsidR="007C2477" w:rsidRPr="007D73EF">
        <w:rPr>
          <w:rFonts w:ascii="Arial" w:hAnsi="Arial" w:cs="Arial"/>
          <w:sz w:val="22"/>
          <w:szCs w:val="22"/>
          <w:lang w:val="en-GB" w:eastAsia="en-US"/>
        </w:rPr>
        <w:t xml:space="preserve"> </w:t>
      </w:r>
      <w:r w:rsidR="00342089" w:rsidRPr="007D73EF">
        <w:rPr>
          <w:rFonts w:ascii="Arial" w:hAnsi="Arial" w:cs="Arial"/>
          <w:sz w:val="22"/>
          <w:szCs w:val="22"/>
          <w:lang w:val="en-GB" w:eastAsia="en-US"/>
        </w:rPr>
        <w:t>are listed separately</w:t>
      </w:r>
      <w:r w:rsidRPr="007D73EF">
        <w:rPr>
          <w:rFonts w:ascii="Arial" w:hAnsi="Arial" w:cs="Arial"/>
          <w:sz w:val="22"/>
          <w:szCs w:val="22"/>
          <w:lang w:val="en-GB" w:eastAsia="en-US"/>
        </w:rPr>
        <w:t xml:space="preserve"> in Table </w:t>
      </w:r>
      <w:r w:rsidR="00A0623E" w:rsidRPr="007D73EF">
        <w:rPr>
          <w:rFonts w:ascii="Arial" w:hAnsi="Arial" w:cs="Arial"/>
          <w:sz w:val="22"/>
          <w:szCs w:val="22"/>
          <w:lang w:val="en-GB" w:eastAsia="en-US"/>
        </w:rPr>
        <w:t>1</w:t>
      </w:r>
      <w:r w:rsidR="00166D09" w:rsidRPr="007D73EF">
        <w:rPr>
          <w:rFonts w:ascii="Arial" w:hAnsi="Arial" w:cs="Arial"/>
          <w:sz w:val="22"/>
          <w:szCs w:val="22"/>
          <w:lang w:val="en-GB" w:eastAsia="en-US"/>
        </w:rPr>
        <w:t>1</w:t>
      </w:r>
      <w:r w:rsidR="00342089" w:rsidRPr="007D73EF">
        <w:rPr>
          <w:rFonts w:ascii="Arial" w:hAnsi="Arial" w:cs="Arial"/>
          <w:sz w:val="22"/>
          <w:szCs w:val="22"/>
          <w:lang w:val="en-GB" w:eastAsia="en-US"/>
        </w:rPr>
        <w:t xml:space="preserve"> below. </w:t>
      </w:r>
    </w:p>
    <w:p w14:paraId="210D8522" w14:textId="77777777" w:rsidR="001223E2" w:rsidRPr="007D73EF" w:rsidRDefault="00342089" w:rsidP="00861283">
      <w:pPr>
        <w:spacing w:before="120" w:after="120"/>
        <w:ind w:right="-35"/>
        <w:jc w:val="both"/>
        <w:rPr>
          <w:rFonts w:ascii="Arial" w:hAnsi="Arial" w:cs="Arial"/>
          <w:sz w:val="22"/>
          <w:szCs w:val="22"/>
          <w:lang w:val="en-GB" w:eastAsia="en-US"/>
        </w:rPr>
      </w:pPr>
      <w:r w:rsidRPr="007D73EF">
        <w:rPr>
          <w:rFonts w:ascii="Arial" w:hAnsi="Arial" w:cs="Arial"/>
          <w:sz w:val="22"/>
          <w:szCs w:val="22"/>
          <w:lang w:val="en-GB" w:eastAsia="en-US"/>
        </w:rPr>
        <w:t>Within each frequency grouping, undesirable effects are presented in order of decreasing seriousness.</w:t>
      </w:r>
    </w:p>
    <w:p w14:paraId="1EB928BE" w14:textId="477301F5" w:rsidR="00342089" w:rsidRPr="007D73EF" w:rsidRDefault="00342089" w:rsidP="00861283">
      <w:pPr>
        <w:spacing w:before="120" w:after="120" w:line="300" w:lineRule="atLeast"/>
        <w:ind w:right="-29"/>
        <w:jc w:val="both"/>
        <w:rPr>
          <w:rFonts w:ascii="Arial" w:hAnsi="Arial" w:cs="Arial"/>
          <w:b/>
          <w:sz w:val="22"/>
          <w:szCs w:val="22"/>
        </w:rPr>
      </w:pPr>
      <w:r w:rsidRPr="007D73EF">
        <w:rPr>
          <w:rFonts w:ascii="Arial" w:hAnsi="Arial" w:cs="Arial"/>
          <w:b/>
          <w:sz w:val="22"/>
          <w:szCs w:val="22"/>
        </w:rPr>
        <w:t xml:space="preserve">Table </w:t>
      </w:r>
      <w:r w:rsidR="00166D09" w:rsidRPr="007D73EF">
        <w:rPr>
          <w:rFonts w:ascii="Arial" w:hAnsi="Arial" w:cs="Arial"/>
          <w:b/>
          <w:sz w:val="22"/>
          <w:szCs w:val="22"/>
        </w:rPr>
        <w:t>10</w:t>
      </w:r>
      <w:r w:rsidRPr="007D73EF">
        <w:rPr>
          <w:rFonts w:ascii="Arial" w:hAnsi="Arial" w:cs="Arial"/>
          <w:b/>
          <w:sz w:val="22"/>
          <w:szCs w:val="22"/>
        </w:rPr>
        <w:t>: Adverse drug reactions</w:t>
      </w:r>
      <w:r w:rsidR="00C80BA2" w:rsidRPr="007D73EF">
        <w:rPr>
          <w:rFonts w:ascii="Arial" w:hAnsi="Arial" w:cs="Arial"/>
          <w:b/>
          <w:sz w:val="22"/>
          <w:szCs w:val="22"/>
        </w:rPr>
        <w:t xml:space="preserve"> (ADR)</w:t>
      </w:r>
      <w:r w:rsidRPr="007D73EF">
        <w:rPr>
          <w:rFonts w:ascii="Arial" w:hAnsi="Arial" w:cs="Arial"/>
          <w:b/>
          <w:sz w:val="22"/>
          <w:szCs w:val="22"/>
        </w:rPr>
        <w:t xml:space="preserve"> based on clinical trial data</w:t>
      </w:r>
      <w:r w:rsidR="008A0209" w:rsidRPr="007D73EF">
        <w:rPr>
          <w:rFonts w:ascii="Arial" w:hAnsi="Arial" w:cs="Arial"/>
          <w:b/>
          <w:sz w:val="22"/>
          <w:szCs w:val="22"/>
        </w:rPr>
        <w:t xml:space="preserve"> and post-marketing surveillance</w:t>
      </w:r>
    </w:p>
    <w:tbl>
      <w:tblPr>
        <w:tblW w:w="5063"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2269"/>
        <w:gridCol w:w="1898"/>
        <w:gridCol w:w="2267"/>
        <w:gridCol w:w="2225"/>
      </w:tblGrid>
      <w:tr w:rsidR="00342089" w:rsidRPr="007D73EF" w14:paraId="6D4227BA" w14:textId="77777777" w:rsidTr="00861283">
        <w:trPr>
          <w:trHeight w:val="788"/>
          <w:tblHeader/>
        </w:trPr>
        <w:tc>
          <w:tcPr>
            <w:tcW w:w="1310" w:type="pct"/>
          </w:tcPr>
          <w:p w14:paraId="435C77F1"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b/>
                <w:bCs/>
                <w:color w:val="auto"/>
                <w:sz w:val="22"/>
                <w:szCs w:val="22"/>
              </w:rPr>
              <w:t xml:space="preserve">System Organ Class </w:t>
            </w:r>
          </w:p>
        </w:tc>
        <w:tc>
          <w:tcPr>
            <w:tcW w:w="1096" w:type="pct"/>
          </w:tcPr>
          <w:p w14:paraId="4D723BFB" w14:textId="77777777" w:rsidR="00342089" w:rsidRPr="007D73EF" w:rsidRDefault="00342089" w:rsidP="00861283">
            <w:pPr>
              <w:pStyle w:val="Default"/>
              <w:spacing w:line="300" w:lineRule="atLeast"/>
              <w:ind w:right="-35"/>
              <w:rPr>
                <w:rFonts w:ascii="Arial" w:hAnsi="Arial" w:cs="Arial"/>
                <w:b/>
                <w:bCs/>
                <w:color w:val="auto"/>
                <w:sz w:val="22"/>
                <w:szCs w:val="22"/>
              </w:rPr>
            </w:pPr>
            <w:r w:rsidRPr="007D73EF">
              <w:rPr>
                <w:rFonts w:ascii="Arial" w:hAnsi="Arial" w:cs="Arial"/>
                <w:b/>
                <w:bCs/>
                <w:color w:val="auto"/>
                <w:sz w:val="22"/>
                <w:szCs w:val="22"/>
              </w:rPr>
              <w:t>Common</w:t>
            </w:r>
          </w:p>
          <w:p w14:paraId="3273E773" w14:textId="77777777" w:rsidR="00342089" w:rsidRPr="007D73EF" w:rsidRDefault="00342089" w:rsidP="00861283">
            <w:pPr>
              <w:pStyle w:val="Default"/>
              <w:spacing w:line="300" w:lineRule="atLeast"/>
              <w:ind w:right="-35"/>
              <w:rPr>
                <w:rFonts w:ascii="Arial" w:hAnsi="Arial" w:cs="Arial"/>
                <w:b/>
                <w:bCs/>
                <w:color w:val="auto"/>
                <w:sz w:val="22"/>
                <w:szCs w:val="22"/>
              </w:rPr>
            </w:pPr>
            <w:r w:rsidRPr="007D73EF">
              <w:rPr>
                <w:rFonts w:ascii="Arial" w:hAnsi="Arial" w:cs="Arial"/>
                <w:b/>
                <w:bCs/>
                <w:color w:val="auto"/>
                <w:sz w:val="22"/>
                <w:szCs w:val="22"/>
              </w:rPr>
              <w:t>(≥1</w:t>
            </w:r>
            <w:r w:rsidR="00F7376B" w:rsidRPr="007D73EF">
              <w:rPr>
                <w:rFonts w:ascii="Arial" w:hAnsi="Arial" w:cs="Arial"/>
                <w:b/>
                <w:bCs/>
                <w:color w:val="auto"/>
                <w:sz w:val="22"/>
                <w:szCs w:val="22"/>
              </w:rPr>
              <w:t>/</w:t>
            </w:r>
            <w:r w:rsidRPr="007D73EF">
              <w:rPr>
                <w:rFonts w:ascii="Arial" w:hAnsi="Arial" w:cs="Arial"/>
                <w:b/>
                <w:bCs/>
                <w:color w:val="auto"/>
                <w:sz w:val="22"/>
                <w:szCs w:val="22"/>
              </w:rPr>
              <w:t>100 to &lt;1</w:t>
            </w:r>
            <w:r w:rsidR="00F7376B" w:rsidRPr="007D73EF">
              <w:rPr>
                <w:rFonts w:ascii="Arial" w:hAnsi="Arial" w:cs="Arial"/>
                <w:b/>
                <w:bCs/>
                <w:color w:val="auto"/>
                <w:sz w:val="22"/>
                <w:szCs w:val="22"/>
              </w:rPr>
              <w:t>/</w:t>
            </w:r>
            <w:r w:rsidRPr="007D73EF">
              <w:rPr>
                <w:rFonts w:ascii="Arial" w:hAnsi="Arial" w:cs="Arial"/>
                <w:b/>
                <w:bCs/>
                <w:color w:val="auto"/>
                <w:sz w:val="22"/>
                <w:szCs w:val="22"/>
              </w:rPr>
              <w:t>10)</w:t>
            </w:r>
          </w:p>
        </w:tc>
        <w:tc>
          <w:tcPr>
            <w:tcW w:w="1309" w:type="pct"/>
          </w:tcPr>
          <w:p w14:paraId="2382E365" w14:textId="77777777" w:rsidR="00342089" w:rsidRPr="007D73EF" w:rsidRDefault="00262914" w:rsidP="00861283">
            <w:pPr>
              <w:pStyle w:val="Default"/>
              <w:spacing w:line="300" w:lineRule="atLeast"/>
              <w:ind w:right="-35"/>
              <w:rPr>
                <w:rFonts w:ascii="Arial" w:hAnsi="Arial" w:cs="Arial"/>
                <w:b/>
                <w:bCs/>
                <w:color w:val="auto"/>
                <w:sz w:val="22"/>
                <w:szCs w:val="22"/>
              </w:rPr>
            </w:pPr>
            <w:r w:rsidRPr="007D73EF">
              <w:rPr>
                <w:rFonts w:ascii="Arial" w:hAnsi="Arial" w:cs="Arial"/>
                <w:b/>
                <w:bCs/>
                <w:color w:val="auto"/>
                <w:sz w:val="22"/>
                <w:szCs w:val="22"/>
              </w:rPr>
              <w:t xml:space="preserve">Uncommon </w:t>
            </w:r>
          </w:p>
          <w:p w14:paraId="6F5A7181"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b/>
                <w:bCs/>
                <w:color w:val="auto"/>
                <w:sz w:val="22"/>
                <w:szCs w:val="22"/>
              </w:rPr>
              <w:t xml:space="preserve">(≥1/1,000 to &lt;1/100) </w:t>
            </w:r>
          </w:p>
        </w:tc>
        <w:tc>
          <w:tcPr>
            <w:tcW w:w="1285" w:type="pct"/>
          </w:tcPr>
          <w:p w14:paraId="7BC15D91" w14:textId="77777777" w:rsidR="00342089" w:rsidRPr="007D73EF" w:rsidRDefault="00262914" w:rsidP="00861283">
            <w:pPr>
              <w:pStyle w:val="Default"/>
              <w:spacing w:line="300" w:lineRule="atLeast"/>
              <w:ind w:right="-35"/>
              <w:rPr>
                <w:rFonts w:ascii="Arial" w:hAnsi="Arial" w:cs="Arial"/>
                <w:b/>
                <w:bCs/>
                <w:color w:val="auto"/>
                <w:sz w:val="22"/>
                <w:szCs w:val="22"/>
              </w:rPr>
            </w:pPr>
            <w:r w:rsidRPr="007D73EF">
              <w:rPr>
                <w:rFonts w:ascii="Arial" w:hAnsi="Arial" w:cs="Arial"/>
                <w:b/>
                <w:bCs/>
                <w:color w:val="auto"/>
                <w:sz w:val="22"/>
                <w:szCs w:val="22"/>
              </w:rPr>
              <w:t xml:space="preserve">Rare </w:t>
            </w:r>
          </w:p>
          <w:p w14:paraId="442F7FAF"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b/>
                <w:bCs/>
                <w:color w:val="auto"/>
                <w:sz w:val="22"/>
                <w:szCs w:val="22"/>
              </w:rPr>
              <w:t xml:space="preserve">(&lt;1/1,000) </w:t>
            </w:r>
          </w:p>
        </w:tc>
      </w:tr>
      <w:tr w:rsidR="00342089" w:rsidRPr="007D73EF" w14:paraId="31F3E8EF" w14:textId="77777777" w:rsidTr="00861283">
        <w:trPr>
          <w:trHeight w:val="768"/>
        </w:trPr>
        <w:tc>
          <w:tcPr>
            <w:tcW w:w="1310" w:type="pct"/>
          </w:tcPr>
          <w:p w14:paraId="1DFAEB88"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b/>
                <w:bCs/>
                <w:color w:val="auto"/>
                <w:sz w:val="22"/>
                <w:szCs w:val="22"/>
              </w:rPr>
              <w:t xml:space="preserve">Immune system disorders </w:t>
            </w:r>
          </w:p>
        </w:tc>
        <w:tc>
          <w:tcPr>
            <w:tcW w:w="1096" w:type="pct"/>
          </w:tcPr>
          <w:p w14:paraId="3E2A75AE" w14:textId="77777777" w:rsidR="00342089" w:rsidRPr="007D73EF" w:rsidRDefault="00342089" w:rsidP="00861283">
            <w:pPr>
              <w:pStyle w:val="Default"/>
              <w:spacing w:line="300" w:lineRule="atLeast"/>
              <w:ind w:right="-35"/>
              <w:rPr>
                <w:rFonts w:ascii="Arial" w:hAnsi="Arial" w:cs="Arial"/>
                <w:color w:val="auto"/>
                <w:sz w:val="22"/>
                <w:szCs w:val="22"/>
              </w:rPr>
            </w:pPr>
          </w:p>
        </w:tc>
        <w:tc>
          <w:tcPr>
            <w:tcW w:w="1309" w:type="pct"/>
          </w:tcPr>
          <w:p w14:paraId="7DF173AB" w14:textId="77777777" w:rsidR="00861283" w:rsidRPr="007D73EF" w:rsidRDefault="00296810"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rPr>
              <w:t>Hypersensitivity/</w:t>
            </w:r>
          </w:p>
          <w:p w14:paraId="32EF50B2" w14:textId="77777777" w:rsidR="00342089" w:rsidRPr="007D73EF" w:rsidRDefault="00296810" w:rsidP="008A0209">
            <w:pPr>
              <w:pStyle w:val="Default"/>
              <w:spacing w:line="300" w:lineRule="atLeast"/>
              <w:ind w:right="-35"/>
              <w:rPr>
                <w:rFonts w:ascii="Arial" w:hAnsi="Arial" w:cs="Arial"/>
                <w:color w:val="auto"/>
                <w:sz w:val="22"/>
                <w:szCs w:val="22"/>
                <w:lang w:val="en-US"/>
              </w:rPr>
            </w:pPr>
            <w:r w:rsidRPr="007D73EF">
              <w:rPr>
                <w:rFonts w:ascii="Arial" w:hAnsi="Arial" w:cs="Arial"/>
                <w:color w:val="auto"/>
                <w:sz w:val="22"/>
                <w:szCs w:val="22"/>
              </w:rPr>
              <w:t>Anaphylactoid reaction</w:t>
            </w:r>
            <w:r w:rsidR="007D47A2" w:rsidRPr="007D73EF">
              <w:rPr>
                <w:rFonts w:ascii="Arial" w:hAnsi="Arial" w:cs="Arial"/>
                <w:sz w:val="22"/>
                <w:szCs w:val="22"/>
                <w:vertAlign w:val="superscript"/>
                <w:lang w:eastAsia="en-US"/>
              </w:rPr>
              <w:t>¥</w:t>
            </w:r>
            <w:r w:rsidR="006F2AF1" w:rsidRPr="007D73EF">
              <w:rPr>
                <w:rFonts w:ascii="Arial" w:hAnsi="Arial" w:cs="Arial"/>
                <w:sz w:val="22"/>
                <w:szCs w:val="22"/>
                <w:vertAlign w:val="superscript"/>
                <w:lang w:eastAsia="en-US"/>
              </w:rPr>
              <w:t>∞</w:t>
            </w:r>
            <w:r w:rsidRPr="007D73EF">
              <w:rPr>
                <w:rFonts w:ascii="Arial" w:hAnsi="Arial" w:cs="Arial"/>
                <w:color w:val="auto"/>
                <w:sz w:val="22"/>
                <w:szCs w:val="22"/>
              </w:rPr>
              <w:t xml:space="preserve"> (e.g. </w:t>
            </w:r>
            <w:r w:rsidR="008A0209" w:rsidRPr="007D73EF">
              <w:rPr>
                <w:rFonts w:ascii="Arial" w:hAnsi="Arial" w:cs="Arial"/>
                <w:color w:val="auto"/>
                <w:sz w:val="22"/>
                <w:szCs w:val="22"/>
              </w:rPr>
              <w:t>hypotension</w:t>
            </w:r>
            <w:r w:rsidR="008A0209" w:rsidRPr="007D73EF">
              <w:rPr>
                <w:rFonts w:ascii="Arial" w:hAnsi="Arial" w:cs="Arial"/>
                <w:sz w:val="22"/>
                <w:szCs w:val="22"/>
                <w:vertAlign w:val="superscript"/>
                <w:lang w:eastAsia="en-US"/>
              </w:rPr>
              <w:t>¥</w:t>
            </w:r>
            <w:r w:rsidR="008A0209" w:rsidRPr="007D73EF">
              <w:rPr>
                <w:rFonts w:ascii="Arial" w:hAnsi="Arial" w:cs="Arial"/>
                <w:color w:val="auto"/>
                <w:sz w:val="22"/>
                <w:szCs w:val="22"/>
              </w:rPr>
              <w:t xml:space="preserve">, urticaria, </w:t>
            </w:r>
            <w:r w:rsidRPr="007D73EF">
              <w:rPr>
                <w:rFonts w:ascii="Arial" w:hAnsi="Arial" w:cs="Arial"/>
                <w:color w:val="auto"/>
                <w:sz w:val="22"/>
                <w:szCs w:val="22"/>
              </w:rPr>
              <w:t>face oedema, eyelid oedema</w:t>
            </w:r>
            <w:r w:rsidR="008A0209" w:rsidRPr="007D73EF">
              <w:rPr>
                <w:rFonts w:ascii="Arial" w:hAnsi="Arial" w:cs="Arial"/>
                <w:color w:val="auto"/>
                <w:sz w:val="22"/>
                <w:szCs w:val="22"/>
              </w:rPr>
              <w:t>, flushing</w:t>
            </w:r>
            <w:r w:rsidRPr="007D73EF">
              <w:rPr>
                <w:rFonts w:ascii="Arial" w:hAnsi="Arial" w:cs="Arial"/>
                <w:color w:val="auto"/>
                <w:sz w:val="22"/>
                <w:szCs w:val="22"/>
              </w:rPr>
              <w:t>)</w:t>
            </w:r>
            <w:r w:rsidR="007D47A2" w:rsidRPr="007D73EF">
              <w:rPr>
                <w:rFonts w:ascii="Arial" w:hAnsi="Arial" w:cs="Arial"/>
                <w:color w:val="auto"/>
                <w:sz w:val="22"/>
                <w:szCs w:val="22"/>
                <w:vertAlign w:val="superscript"/>
                <w:lang w:val="en-US"/>
              </w:rPr>
              <w:t>#</w:t>
            </w:r>
          </w:p>
        </w:tc>
        <w:tc>
          <w:tcPr>
            <w:tcW w:w="1285" w:type="pct"/>
            <w:vAlign w:val="center"/>
          </w:tcPr>
          <w:p w14:paraId="21F793F5" w14:textId="77777777" w:rsidR="00342089" w:rsidRPr="007D73EF" w:rsidRDefault="00342089" w:rsidP="00861283">
            <w:pPr>
              <w:pStyle w:val="Default"/>
              <w:spacing w:line="300" w:lineRule="atLeast"/>
              <w:ind w:right="-35"/>
              <w:rPr>
                <w:rFonts w:ascii="Arial" w:hAnsi="Arial" w:cs="Arial"/>
                <w:color w:val="auto"/>
                <w:sz w:val="22"/>
                <w:szCs w:val="22"/>
              </w:rPr>
            </w:pPr>
          </w:p>
        </w:tc>
      </w:tr>
      <w:tr w:rsidR="00342089" w:rsidRPr="007D73EF" w14:paraId="23FC3DED" w14:textId="77777777" w:rsidTr="00861283">
        <w:trPr>
          <w:trHeight w:val="756"/>
        </w:trPr>
        <w:tc>
          <w:tcPr>
            <w:tcW w:w="1310" w:type="pct"/>
          </w:tcPr>
          <w:p w14:paraId="753BE4E0"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b/>
                <w:bCs/>
                <w:color w:val="auto"/>
                <w:sz w:val="22"/>
                <w:szCs w:val="22"/>
              </w:rPr>
              <w:t>Nervous system disorders</w:t>
            </w:r>
          </w:p>
        </w:tc>
        <w:tc>
          <w:tcPr>
            <w:tcW w:w="1096" w:type="pct"/>
          </w:tcPr>
          <w:p w14:paraId="15C84D3B"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rPr>
              <w:t>Headache</w:t>
            </w:r>
          </w:p>
        </w:tc>
        <w:tc>
          <w:tcPr>
            <w:tcW w:w="1309" w:type="pct"/>
          </w:tcPr>
          <w:p w14:paraId="40477A9E" w14:textId="77777777" w:rsidR="00915BD1"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rPr>
              <w:t>Dizziness</w:t>
            </w:r>
          </w:p>
          <w:p w14:paraId="1137E35B" w14:textId="77777777" w:rsidR="00915BD1"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rPr>
              <w:t>Dysgeusia</w:t>
            </w:r>
          </w:p>
          <w:p w14:paraId="2819D960"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rPr>
              <w:t xml:space="preserve">Paresthesia </w:t>
            </w:r>
          </w:p>
        </w:tc>
        <w:tc>
          <w:tcPr>
            <w:tcW w:w="1285" w:type="pct"/>
          </w:tcPr>
          <w:p w14:paraId="02B4FE03" w14:textId="77777777" w:rsidR="00342089" w:rsidRPr="007D73EF" w:rsidRDefault="00262914" w:rsidP="00861283">
            <w:pPr>
              <w:autoSpaceDE w:val="0"/>
              <w:autoSpaceDN w:val="0"/>
              <w:adjustRightInd w:val="0"/>
              <w:spacing w:line="300" w:lineRule="atLeast"/>
              <w:ind w:right="-35"/>
              <w:rPr>
                <w:rFonts w:ascii="Arial" w:hAnsi="Arial" w:cs="Arial"/>
                <w:sz w:val="22"/>
                <w:szCs w:val="22"/>
                <w:lang w:eastAsia="en-US"/>
              </w:rPr>
            </w:pPr>
            <w:r w:rsidRPr="007D73EF">
              <w:rPr>
                <w:rFonts w:ascii="Arial" w:hAnsi="Arial" w:cs="Arial"/>
                <w:sz w:val="22"/>
                <w:szCs w:val="22"/>
                <w:lang w:eastAsia="en-US"/>
              </w:rPr>
              <w:t>Loss of consciousness</w:t>
            </w:r>
            <w:r w:rsidR="007D47A2" w:rsidRPr="007D73EF">
              <w:rPr>
                <w:rFonts w:ascii="Arial" w:hAnsi="Arial" w:cs="Arial"/>
                <w:sz w:val="22"/>
                <w:szCs w:val="22"/>
                <w:vertAlign w:val="superscript"/>
                <w:lang w:eastAsia="en-US"/>
              </w:rPr>
              <w:t>¥</w:t>
            </w:r>
          </w:p>
          <w:p w14:paraId="74816D2A"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lang w:eastAsia="en-US"/>
              </w:rPr>
              <w:t>Convulsion</w:t>
            </w:r>
          </w:p>
          <w:p w14:paraId="2445C751" w14:textId="77777777" w:rsidR="006B7BD4"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rPr>
              <w:t xml:space="preserve">Parosmia </w:t>
            </w:r>
          </w:p>
        </w:tc>
      </w:tr>
      <w:tr w:rsidR="00342089" w:rsidRPr="007D73EF" w14:paraId="377BDF99" w14:textId="77777777" w:rsidTr="00861283">
        <w:trPr>
          <w:trHeight w:val="515"/>
        </w:trPr>
        <w:tc>
          <w:tcPr>
            <w:tcW w:w="1310" w:type="pct"/>
            <w:tcBorders>
              <w:bottom w:val="single" w:sz="4" w:space="0" w:color="BFBFBF" w:themeColor="background1" w:themeShade="BF"/>
            </w:tcBorders>
          </w:tcPr>
          <w:p w14:paraId="1EE07C39" w14:textId="77777777" w:rsidR="00342089" w:rsidRPr="007D73EF" w:rsidRDefault="00262914" w:rsidP="00861283">
            <w:pPr>
              <w:autoSpaceDE w:val="0"/>
              <w:autoSpaceDN w:val="0"/>
              <w:adjustRightInd w:val="0"/>
              <w:spacing w:line="300" w:lineRule="atLeast"/>
              <w:ind w:right="-35"/>
              <w:rPr>
                <w:rFonts w:ascii="Arial" w:hAnsi="Arial" w:cs="Arial"/>
                <w:sz w:val="22"/>
                <w:szCs w:val="22"/>
                <w:lang w:eastAsia="en-US"/>
              </w:rPr>
            </w:pPr>
            <w:r w:rsidRPr="007D73EF">
              <w:rPr>
                <w:rFonts w:ascii="Arial" w:hAnsi="Arial" w:cs="Arial"/>
                <w:b/>
                <w:bCs/>
                <w:sz w:val="22"/>
                <w:szCs w:val="22"/>
                <w:lang w:eastAsia="en-US"/>
              </w:rPr>
              <w:t xml:space="preserve">Cardiac disorders </w:t>
            </w:r>
          </w:p>
          <w:p w14:paraId="250A695B" w14:textId="77777777" w:rsidR="00342089" w:rsidRPr="007D73EF" w:rsidRDefault="00342089" w:rsidP="00861283">
            <w:pPr>
              <w:pStyle w:val="Default"/>
              <w:spacing w:line="300" w:lineRule="atLeast"/>
              <w:ind w:right="-35"/>
              <w:rPr>
                <w:rFonts w:ascii="Arial" w:hAnsi="Arial" w:cs="Arial"/>
                <w:b/>
                <w:bCs/>
                <w:color w:val="auto"/>
                <w:sz w:val="22"/>
                <w:szCs w:val="22"/>
              </w:rPr>
            </w:pPr>
          </w:p>
        </w:tc>
        <w:tc>
          <w:tcPr>
            <w:tcW w:w="1096" w:type="pct"/>
            <w:tcBorders>
              <w:bottom w:val="single" w:sz="4" w:space="0" w:color="BFBFBF" w:themeColor="background1" w:themeShade="BF"/>
            </w:tcBorders>
          </w:tcPr>
          <w:p w14:paraId="1B7888F3" w14:textId="77777777" w:rsidR="00342089" w:rsidRPr="007D73EF" w:rsidRDefault="00342089" w:rsidP="00861283">
            <w:pPr>
              <w:pStyle w:val="Default"/>
              <w:spacing w:line="300" w:lineRule="atLeast"/>
              <w:ind w:right="-35"/>
              <w:rPr>
                <w:rFonts w:ascii="Arial" w:hAnsi="Arial" w:cs="Arial"/>
                <w:color w:val="auto"/>
                <w:sz w:val="22"/>
                <w:szCs w:val="22"/>
              </w:rPr>
            </w:pPr>
          </w:p>
        </w:tc>
        <w:tc>
          <w:tcPr>
            <w:tcW w:w="1309" w:type="pct"/>
            <w:tcBorders>
              <w:bottom w:val="single" w:sz="4" w:space="0" w:color="BFBFBF" w:themeColor="background1" w:themeShade="BF"/>
            </w:tcBorders>
          </w:tcPr>
          <w:p w14:paraId="7A2A914A" w14:textId="77777777" w:rsidR="00342089" w:rsidRPr="007D73EF" w:rsidRDefault="00342089" w:rsidP="00861283">
            <w:pPr>
              <w:pStyle w:val="Default"/>
              <w:spacing w:line="300" w:lineRule="atLeast"/>
              <w:ind w:right="-35"/>
              <w:rPr>
                <w:rFonts w:ascii="Arial" w:hAnsi="Arial" w:cs="Arial"/>
                <w:color w:val="auto"/>
                <w:sz w:val="22"/>
                <w:szCs w:val="22"/>
              </w:rPr>
            </w:pPr>
          </w:p>
        </w:tc>
        <w:tc>
          <w:tcPr>
            <w:tcW w:w="1285" w:type="pct"/>
            <w:tcBorders>
              <w:bottom w:val="single" w:sz="4" w:space="0" w:color="BFBFBF" w:themeColor="background1" w:themeShade="BF"/>
            </w:tcBorders>
          </w:tcPr>
          <w:p w14:paraId="4E14BADE" w14:textId="77777777" w:rsidR="00342089" w:rsidRPr="007D73EF" w:rsidRDefault="00262914" w:rsidP="00861283">
            <w:pPr>
              <w:autoSpaceDE w:val="0"/>
              <w:autoSpaceDN w:val="0"/>
              <w:adjustRightInd w:val="0"/>
              <w:spacing w:line="300" w:lineRule="atLeast"/>
              <w:ind w:right="-35"/>
              <w:rPr>
                <w:rFonts w:ascii="Arial" w:hAnsi="Arial" w:cs="Arial"/>
                <w:sz w:val="22"/>
                <w:szCs w:val="22"/>
                <w:lang w:eastAsia="en-US"/>
              </w:rPr>
            </w:pPr>
            <w:r w:rsidRPr="007D73EF">
              <w:rPr>
                <w:rFonts w:ascii="Arial" w:hAnsi="Arial" w:cs="Arial"/>
                <w:sz w:val="22"/>
                <w:szCs w:val="22"/>
                <w:lang w:eastAsia="en-US"/>
              </w:rPr>
              <w:t>Tachycardia</w:t>
            </w:r>
          </w:p>
          <w:p w14:paraId="0C51C193" w14:textId="77777777" w:rsidR="003972E1" w:rsidRPr="007D73EF" w:rsidRDefault="00262914" w:rsidP="00861283">
            <w:pPr>
              <w:pStyle w:val="Default"/>
              <w:spacing w:line="300" w:lineRule="atLeast"/>
              <w:ind w:right="-35"/>
              <w:rPr>
                <w:rFonts w:ascii="Arial" w:hAnsi="Arial" w:cs="Arial"/>
                <w:color w:val="auto"/>
                <w:sz w:val="22"/>
                <w:szCs w:val="22"/>
                <w:lang w:eastAsia="en-US"/>
              </w:rPr>
            </w:pPr>
            <w:r w:rsidRPr="007D73EF">
              <w:rPr>
                <w:rFonts w:ascii="Arial" w:hAnsi="Arial" w:cs="Arial"/>
                <w:color w:val="auto"/>
                <w:sz w:val="22"/>
                <w:szCs w:val="22"/>
                <w:lang w:eastAsia="en-US"/>
              </w:rPr>
              <w:t>Palpitations</w:t>
            </w:r>
          </w:p>
        </w:tc>
      </w:tr>
      <w:tr w:rsidR="006B7BD4" w:rsidRPr="007D73EF" w14:paraId="28159899" w14:textId="77777777" w:rsidTr="00861283">
        <w:trPr>
          <w:trHeight w:val="515"/>
        </w:trPr>
        <w:tc>
          <w:tcPr>
            <w:tcW w:w="13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3DB717" w14:textId="77777777" w:rsidR="006B7BD4"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b/>
                <w:bCs/>
                <w:color w:val="auto"/>
                <w:sz w:val="22"/>
                <w:szCs w:val="22"/>
              </w:rPr>
              <w:t xml:space="preserve">Vascular disorders </w:t>
            </w:r>
          </w:p>
        </w:tc>
        <w:tc>
          <w:tcPr>
            <w:tcW w:w="10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A5C446" w14:textId="77777777" w:rsidR="006B7BD4" w:rsidRPr="007D73EF" w:rsidRDefault="006B7BD4" w:rsidP="00861283">
            <w:pPr>
              <w:pStyle w:val="Default"/>
              <w:spacing w:line="300" w:lineRule="atLeast"/>
              <w:ind w:right="-35"/>
              <w:rPr>
                <w:rFonts w:ascii="Arial" w:hAnsi="Arial" w:cs="Arial"/>
                <w:color w:val="auto"/>
                <w:sz w:val="22"/>
                <w:szCs w:val="22"/>
              </w:rPr>
            </w:pPr>
          </w:p>
        </w:tc>
        <w:tc>
          <w:tcPr>
            <w:tcW w:w="13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677FE0" w14:textId="77777777" w:rsidR="006B7BD4" w:rsidRPr="007D73EF" w:rsidRDefault="006B7BD4" w:rsidP="00861283">
            <w:pPr>
              <w:pStyle w:val="Default"/>
              <w:spacing w:line="300" w:lineRule="atLeast"/>
              <w:ind w:right="-35"/>
              <w:rPr>
                <w:rFonts w:ascii="Arial" w:hAnsi="Arial" w:cs="Arial"/>
                <w:color w:val="auto"/>
                <w:sz w:val="22"/>
                <w:szCs w:val="22"/>
              </w:rPr>
            </w:pPr>
          </w:p>
        </w:tc>
        <w:tc>
          <w:tcPr>
            <w:tcW w:w="12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95FCF2" w14:textId="77777777" w:rsidR="003972E1" w:rsidRPr="007D73EF" w:rsidRDefault="006B7BD4"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rPr>
              <w:t>Pallor</w:t>
            </w:r>
          </w:p>
        </w:tc>
      </w:tr>
      <w:tr w:rsidR="00342089" w:rsidRPr="007D73EF" w14:paraId="00C7FF1C" w14:textId="77777777" w:rsidTr="00861283">
        <w:trPr>
          <w:trHeight w:val="1023"/>
        </w:trPr>
        <w:tc>
          <w:tcPr>
            <w:tcW w:w="1310" w:type="pct"/>
            <w:tcBorders>
              <w:top w:val="single" w:sz="4" w:space="0" w:color="BFBFBF" w:themeColor="background1" w:themeShade="BF"/>
            </w:tcBorders>
          </w:tcPr>
          <w:p w14:paraId="5F8BE066"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b/>
                <w:bCs/>
                <w:color w:val="auto"/>
                <w:sz w:val="22"/>
                <w:szCs w:val="22"/>
              </w:rPr>
              <w:t xml:space="preserve">Respiratory, thoracic and mediastinal disorders </w:t>
            </w:r>
          </w:p>
        </w:tc>
        <w:tc>
          <w:tcPr>
            <w:tcW w:w="1096" w:type="pct"/>
            <w:tcBorders>
              <w:top w:val="single" w:sz="4" w:space="0" w:color="BFBFBF" w:themeColor="background1" w:themeShade="BF"/>
            </w:tcBorders>
          </w:tcPr>
          <w:p w14:paraId="142C9973" w14:textId="77777777" w:rsidR="00342089" w:rsidRPr="007D73EF" w:rsidRDefault="00342089" w:rsidP="00861283">
            <w:pPr>
              <w:pStyle w:val="Default"/>
              <w:spacing w:line="300" w:lineRule="atLeast"/>
              <w:ind w:right="-35"/>
              <w:rPr>
                <w:rFonts w:ascii="Arial" w:hAnsi="Arial" w:cs="Arial"/>
                <w:color w:val="auto"/>
                <w:sz w:val="22"/>
                <w:szCs w:val="22"/>
              </w:rPr>
            </w:pPr>
          </w:p>
        </w:tc>
        <w:tc>
          <w:tcPr>
            <w:tcW w:w="1309" w:type="pct"/>
            <w:tcBorders>
              <w:top w:val="single" w:sz="4" w:space="0" w:color="BFBFBF" w:themeColor="background1" w:themeShade="BF"/>
            </w:tcBorders>
          </w:tcPr>
          <w:p w14:paraId="0E0795F1"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rPr>
              <w:t>Dyspnoea</w:t>
            </w:r>
            <w:r w:rsidR="007D47A2" w:rsidRPr="007D73EF">
              <w:rPr>
                <w:rFonts w:ascii="Arial" w:hAnsi="Arial" w:cs="Arial"/>
                <w:sz w:val="22"/>
                <w:szCs w:val="22"/>
                <w:vertAlign w:val="superscript"/>
                <w:lang w:eastAsia="en-US"/>
              </w:rPr>
              <w:t>¥</w:t>
            </w:r>
          </w:p>
        </w:tc>
        <w:tc>
          <w:tcPr>
            <w:tcW w:w="1285" w:type="pct"/>
            <w:tcBorders>
              <w:top w:val="single" w:sz="4" w:space="0" w:color="BFBFBF" w:themeColor="background1" w:themeShade="BF"/>
            </w:tcBorders>
          </w:tcPr>
          <w:p w14:paraId="540FE4C3" w14:textId="77777777" w:rsidR="00342089" w:rsidRPr="007D73EF" w:rsidRDefault="00342089" w:rsidP="00861283">
            <w:pPr>
              <w:pStyle w:val="Default"/>
              <w:spacing w:line="300" w:lineRule="atLeast"/>
              <w:ind w:right="-35"/>
              <w:rPr>
                <w:rFonts w:ascii="Arial" w:hAnsi="Arial" w:cs="Arial"/>
                <w:color w:val="auto"/>
                <w:sz w:val="22"/>
                <w:szCs w:val="22"/>
              </w:rPr>
            </w:pPr>
          </w:p>
        </w:tc>
      </w:tr>
      <w:tr w:rsidR="00342089" w:rsidRPr="007D73EF" w14:paraId="2D8B6DBF" w14:textId="77777777" w:rsidTr="00861283">
        <w:trPr>
          <w:trHeight w:val="768"/>
        </w:trPr>
        <w:tc>
          <w:tcPr>
            <w:tcW w:w="1310" w:type="pct"/>
          </w:tcPr>
          <w:p w14:paraId="139288BA"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b/>
                <w:bCs/>
                <w:color w:val="auto"/>
                <w:sz w:val="22"/>
                <w:szCs w:val="22"/>
              </w:rPr>
              <w:t xml:space="preserve">Gastrointestinal disorders </w:t>
            </w:r>
          </w:p>
        </w:tc>
        <w:tc>
          <w:tcPr>
            <w:tcW w:w="1096" w:type="pct"/>
          </w:tcPr>
          <w:p w14:paraId="7793F9D8"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rPr>
              <w:t>Nausea</w:t>
            </w:r>
          </w:p>
        </w:tc>
        <w:tc>
          <w:tcPr>
            <w:tcW w:w="1309" w:type="pct"/>
          </w:tcPr>
          <w:p w14:paraId="02E4DA9B"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rPr>
              <w:t>Vomiting</w:t>
            </w:r>
          </w:p>
        </w:tc>
        <w:tc>
          <w:tcPr>
            <w:tcW w:w="1285" w:type="pct"/>
          </w:tcPr>
          <w:p w14:paraId="20A3233C"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rPr>
              <w:t>Dry Mouth</w:t>
            </w:r>
          </w:p>
        </w:tc>
      </w:tr>
      <w:tr w:rsidR="00342089" w:rsidRPr="007D73EF" w14:paraId="6F8C35D1" w14:textId="77777777" w:rsidTr="00861283">
        <w:trPr>
          <w:trHeight w:val="768"/>
        </w:trPr>
        <w:tc>
          <w:tcPr>
            <w:tcW w:w="1310" w:type="pct"/>
          </w:tcPr>
          <w:p w14:paraId="58FE04AA"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b/>
                <w:bCs/>
                <w:color w:val="auto"/>
                <w:sz w:val="22"/>
                <w:szCs w:val="22"/>
              </w:rPr>
              <w:t xml:space="preserve">Skin and subcutaneous tissue disorders </w:t>
            </w:r>
          </w:p>
        </w:tc>
        <w:tc>
          <w:tcPr>
            <w:tcW w:w="1096" w:type="pct"/>
          </w:tcPr>
          <w:p w14:paraId="2405C427" w14:textId="77777777" w:rsidR="00342089" w:rsidRPr="007D73EF" w:rsidRDefault="00342089" w:rsidP="00861283">
            <w:pPr>
              <w:pStyle w:val="Default"/>
              <w:spacing w:line="300" w:lineRule="atLeast"/>
              <w:ind w:right="-35"/>
              <w:rPr>
                <w:rFonts w:ascii="Arial" w:hAnsi="Arial" w:cs="Arial"/>
                <w:color w:val="auto"/>
                <w:sz w:val="22"/>
                <w:szCs w:val="22"/>
              </w:rPr>
            </w:pPr>
          </w:p>
        </w:tc>
        <w:tc>
          <w:tcPr>
            <w:tcW w:w="1309" w:type="pct"/>
          </w:tcPr>
          <w:p w14:paraId="0C42D035" w14:textId="77777777" w:rsidR="00342089" w:rsidRPr="007D73EF" w:rsidRDefault="00262914" w:rsidP="00861283">
            <w:pPr>
              <w:pStyle w:val="Default"/>
              <w:spacing w:line="300" w:lineRule="atLeast"/>
              <w:ind w:right="-35"/>
              <w:rPr>
                <w:rFonts w:ascii="Arial" w:hAnsi="Arial" w:cs="Arial"/>
                <w:color w:val="auto"/>
                <w:sz w:val="22"/>
                <w:szCs w:val="22"/>
                <w:lang w:eastAsia="en-US"/>
              </w:rPr>
            </w:pPr>
            <w:r w:rsidRPr="007D73EF">
              <w:rPr>
                <w:rFonts w:ascii="Arial" w:hAnsi="Arial" w:cs="Arial"/>
                <w:color w:val="auto"/>
                <w:sz w:val="22"/>
                <w:szCs w:val="22"/>
                <w:lang w:eastAsia="en-US"/>
              </w:rPr>
              <w:t>Erythema</w:t>
            </w:r>
          </w:p>
          <w:p w14:paraId="7A3A3207" w14:textId="77777777" w:rsidR="00342089" w:rsidRPr="007D73EF" w:rsidRDefault="00262914" w:rsidP="00861283">
            <w:pPr>
              <w:autoSpaceDE w:val="0"/>
              <w:autoSpaceDN w:val="0"/>
              <w:adjustRightInd w:val="0"/>
              <w:spacing w:line="300" w:lineRule="atLeast"/>
              <w:ind w:right="-35"/>
              <w:rPr>
                <w:rFonts w:ascii="Arial" w:hAnsi="Arial" w:cs="Arial"/>
                <w:sz w:val="22"/>
                <w:szCs w:val="22"/>
                <w:lang w:eastAsia="en-US"/>
              </w:rPr>
            </w:pPr>
            <w:r w:rsidRPr="007D73EF">
              <w:rPr>
                <w:rFonts w:ascii="Arial" w:hAnsi="Arial" w:cs="Arial"/>
                <w:sz w:val="22"/>
                <w:szCs w:val="22"/>
                <w:lang w:eastAsia="en-US"/>
              </w:rPr>
              <w:t>Pruritus (including</w:t>
            </w:r>
          </w:p>
          <w:p w14:paraId="259E4043" w14:textId="77777777" w:rsidR="00342089" w:rsidRPr="007D73EF" w:rsidRDefault="00262914" w:rsidP="00861283">
            <w:pPr>
              <w:autoSpaceDE w:val="0"/>
              <w:autoSpaceDN w:val="0"/>
              <w:adjustRightInd w:val="0"/>
              <w:spacing w:line="300" w:lineRule="atLeast"/>
              <w:ind w:right="-35"/>
              <w:rPr>
                <w:rFonts w:ascii="Arial" w:hAnsi="Arial" w:cs="Arial"/>
                <w:sz w:val="22"/>
                <w:szCs w:val="22"/>
                <w:lang w:eastAsia="en-US"/>
              </w:rPr>
            </w:pPr>
            <w:r w:rsidRPr="007D73EF">
              <w:rPr>
                <w:rFonts w:ascii="Arial" w:hAnsi="Arial" w:cs="Arial"/>
                <w:sz w:val="22"/>
                <w:szCs w:val="22"/>
                <w:lang w:eastAsia="en-US"/>
              </w:rPr>
              <w:t>generali</w:t>
            </w:r>
            <w:r w:rsidR="00342089" w:rsidRPr="007D73EF">
              <w:rPr>
                <w:rFonts w:ascii="Arial" w:hAnsi="Arial" w:cs="Arial"/>
                <w:sz w:val="22"/>
                <w:szCs w:val="22"/>
                <w:lang w:eastAsia="en-US"/>
              </w:rPr>
              <w:t>s</w:t>
            </w:r>
            <w:r w:rsidRPr="007D73EF">
              <w:rPr>
                <w:rFonts w:ascii="Arial" w:hAnsi="Arial" w:cs="Arial"/>
                <w:sz w:val="22"/>
                <w:szCs w:val="22"/>
                <w:lang w:eastAsia="en-US"/>
              </w:rPr>
              <w:t>ed</w:t>
            </w:r>
          </w:p>
          <w:p w14:paraId="43141EC9" w14:textId="77777777" w:rsidR="00342089" w:rsidRPr="007D73EF" w:rsidRDefault="00262914" w:rsidP="00861283">
            <w:pPr>
              <w:autoSpaceDE w:val="0"/>
              <w:autoSpaceDN w:val="0"/>
              <w:adjustRightInd w:val="0"/>
              <w:spacing w:line="300" w:lineRule="atLeast"/>
              <w:ind w:right="-35"/>
              <w:rPr>
                <w:rFonts w:ascii="Arial" w:hAnsi="Arial" w:cs="Arial"/>
                <w:sz w:val="22"/>
                <w:szCs w:val="22"/>
                <w:lang w:eastAsia="en-US"/>
              </w:rPr>
            </w:pPr>
            <w:r w:rsidRPr="007D73EF">
              <w:rPr>
                <w:rFonts w:ascii="Arial" w:hAnsi="Arial" w:cs="Arial"/>
                <w:sz w:val="22"/>
                <w:szCs w:val="22"/>
                <w:lang w:eastAsia="en-US"/>
              </w:rPr>
              <w:t>pruritus)</w:t>
            </w:r>
          </w:p>
          <w:p w14:paraId="75EDD3B1" w14:textId="77777777" w:rsidR="00342089" w:rsidRPr="007D73EF" w:rsidRDefault="00262914" w:rsidP="00861283">
            <w:pPr>
              <w:autoSpaceDE w:val="0"/>
              <w:autoSpaceDN w:val="0"/>
              <w:adjustRightInd w:val="0"/>
              <w:spacing w:line="300" w:lineRule="atLeast"/>
              <w:ind w:right="-35"/>
              <w:rPr>
                <w:rFonts w:ascii="Arial" w:hAnsi="Arial" w:cs="Arial"/>
                <w:sz w:val="22"/>
                <w:szCs w:val="22"/>
                <w:lang w:eastAsia="en-US"/>
              </w:rPr>
            </w:pPr>
            <w:r w:rsidRPr="007D73EF">
              <w:rPr>
                <w:rFonts w:ascii="Arial" w:hAnsi="Arial" w:cs="Arial"/>
                <w:sz w:val="22"/>
                <w:szCs w:val="22"/>
                <w:lang w:eastAsia="en-US"/>
              </w:rPr>
              <w:t>Rash (including</w:t>
            </w:r>
          </w:p>
          <w:p w14:paraId="3FDF22DD" w14:textId="77777777" w:rsidR="00342089" w:rsidRPr="007D73EF" w:rsidRDefault="00262914" w:rsidP="00861283">
            <w:pPr>
              <w:autoSpaceDE w:val="0"/>
              <w:autoSpaceDN w:val="0"/>
              <w:adjustRightInd w:val="0"/>
              <w:spacing w:line="300" w:lineRule="atLeast"/>
              <w:ind w:right="-35"/>
              <w:rPr>
                <w:rFonts w:ascii="Arial" w:hAnsi="Arial" w:cs="Arial"/>
                <w:sz w:val="22"/>
                <w:szCs w:val="22"/>
                <w:lang w:eastAsia="en-US"/>
              </w:rPr>
            </w:pPr>
            <w:r w:rsidRPr="007D73EF">
              <w:rPr>
                <w:rFonts w:ascii="Arial" w:hAnsi="Arial" w:cs="Arial"/>
                <w:sz w:val="22"/>
                <w:szCs w:val="22"/>
                <w:lang w:eastAsia="en-US"/>
              </w:rPr>
              <w:t>generali</w:t>
            </w:r>
            <w:r w:rsidR="00342089" w:rsidRPr="007D73EF">
              <w:rPr>
                <w:rFonts w:ascii="Arial" w:hAnsi="Arial" w:cs="Arial"/>
                <w:sz w:val="22"/>
                <w:szCs w:val="22"/>
                <w:lang w:eastAsia="en-US"/>
              </w:rPr>
              <w:t>s</w:t>
            </w:r>
            <w:r w:rsidRPr="007D73EF">
              <w:rPr>
                <w:rFonts w:ascii="Arial" w:hAnsi="Arial" w:cs="Arial"/>
                <w:sz w:val="22"/>
                <w:szCs w:val="22"/>
                <w:lang w:eastAsia="en-US"/>
              </w:rPr>
              <w:t>ed,</w:t>
            </w:r>
          </w:p>
          <w:p w14:paraId="6E4951F9" w14:textId="77777777" w:rsidR="00296810" w:rsidRPr="007D73EF" w:rsidRDefault="00262914" w:rsidP="00861283">
            <w:pPr>
              <w:pStyle w:val="Default"/>
              <w:spacing w:line="300" w:lineRule="atLeast"/>
              <w:ind w:right="-35"/>
              <w:rPr>
                <w:rFonts w:ascii="Arial" w:hAnsi="Arial" w:cs="Arial"/>
                <w:color w:val="auto"/>
                <w:sz w:val="22"/>
                <w:szCs w:val="22"/>
                <w:lang w:eastAsia="en-US"/>
              </w:rPr>
            </w:pPr>
            <w:r w:rsidRPr="007D73EF">
              <w:rPr>
                <w:rFonts w:ascii="Arial" w:hAnsi="Arial" w:cs="Arial"/>
                <w:color w:val="auto"/>
                <w:sz w:val="22"/>
                <w:szCs w:val="22"/>
                <w:lang w:eastAsia="en-US"/>
              </w:rPr>
              <w:t xml:space="preserve">macular, </w:t>
            </w:r>
            <w:r w:rsidR="00342089" w:rsidRPr="007D73EF">
              <w:rPr>
                <w:rFonts w:ascii="Arial" w:hAnsi="Arial" w:cs="Arial"/>
                <w:color w:val="auto"/>
                <w:sz w:val="22"/>
                <w:szCs w:val="22"/>
                <w:lang w:eastAsia="en-US"/>
              </w:rPr>
              <w:t>popular, pruritic rash)</w:t>
            </w:r>
          </w:p>
          <w:p w14:paraId="0DDAA78F" w14:textId="57EE492C" w:rsidR="003972E1" w:rsidRPr="007D73EF" w:rsidRDefault="003972E1" w:rsidP="00861283">
            <w:pPr>
              <w:pStyle w:val="Default"/>
              <w:spacing w:line="300" w:lineRule="atLeast"/>
              <w:ind w:right="-35"/>
              <w:rPr>
                <w:rFonts w:ascii="Arial" w:hAnsi="Arial" w:cs="Arial"/>
                <w:color w:val="auto"/>
                <w:sz w:val="22"/>
                <w:szCs w:val="22"/>
              </w:rPr>
            </w:pPr>
          </w:p>
        </w:tc>
        <w:tc>
          <w:tcPr>
            <w:tcW w:w="1285" w:type="pct"/>
          </w:tcPr>
          <w:p w14:paraId="185AD438" w14:textId="77777777" w:rsidR="00342089" w:rsidRPr="007D73EF" w:rsidRDefault="00342089" w:rsidP="00861283">
            <w:pPr>
              <w:pStyle w:val="Default"/>
              <w:spacing w:line="300" w:lineRule="atLeast"/>
              <w:ind w:right="-35"/>
              <w:rPr>
                <w:rFonts w:ascii="Arial" w:hAnsi="Arial" w:cs="Arial"/>
                <w:color w:val="auto"/>
                <w:sz w:val="22"/>
                <w:szCs w:val="22"/>
              </w:rPr>
            </w:pPr>
          </w:p>
        </w:tc>
      </w:tr>
      <w:tr w:rsidR="00342089" w:rsidRPr="007D73EF" w14:paraId="554AC239" w14:textId="77777777" w:rsidTr="00861283">
        <w:trPr>
          <w:trHeight w:val="770"/>
        </w:trPr>
        <w:tc>
          <w:tcPr>
            <w:tcW w:w="1310" w:type="pct"/>
          </w:tcPr>
          <w:p w14:paraId="70F98C15"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b/>
                <w:bCs/>
                <w:color w:val="auto"/>
                <w:sz w:val="22"/>
                <w:szCs w:val="22"/>
              </w:rPr>
              <w:t xml:space="preserve">General disorders and administration site conditions </w:t>
            </w:r>
          </w:p>
        </w:tc>
        <w:tc>
          <w:tcPr>
            <w:tcW w:w="1096" w:type="pct"/>
          </w:tcPr>
          <w:p w14:paraId="307FF6E5" w14:textId="77777777" w:rsidR="00342089" w:rsidRPr="007D73EF" w:rsidRDefault="00342089" w:rsidP="00861283">
            <w:pPr>
              <w:pStyle w:val="Default"/>
              <w:spacing w:line="300" w:lineRule="atLeast"/>
              <w:ind w:right="-35"/>
              <w:rPr>
                <w:rFonts w:ascii="Arial" w:hAnsi="Arial" w:cs="Arial"/>
                <w:color w:val="auto"/>
                <w:sz w:val="22"/>
                <w:szCs w:val="22"/>
              </w:rPr>
            </w:pPr>
          </w:p>
        </w:tc>
        <w:tc>
          <w:tcPr>
            <w:tcW w:w="1309" w:type="pct"/>
          </w:tcPr>
          <w:p w14:paraId="382F6D02"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rPr>
              <w:t>Injection site reaction</w:t>
            </w:r>
            <w:r w:rsidR="00296810" w:rsidRPr="007D73EF">
              <w:rPr>
                <w:rFonts w:ascii="Arial" w:hAnsi="Arial" w:cs="Arial"/>
                <w:color w:val="auto"/>
                <w:sz w:val="22"/>
                <w:szCs w:val="22"/>
                <w:vertAlign w:val="superscript"/>
              </w:rPr>
              <w:t>§</w:t>
            </w:r>
          </w:p>
          <w:p w14:paraId="0E75B9F3" w14:textId="77777777" w:rsidR="00D02717"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rPr>
              <w:t>Feeling hot</w:t>
            </w:r>
          </w:p>
        </w:tc>
        <w:tc>
          <w:tcPr>
            <w:tcW w:w="1285" w:type="pct"/>
          </w:tcPr>
          <w:p w14:paraId="556B590C" w14:textId="77777777" w:rsidR="00342089" w:rsidRPr="007D73EF" w:rsidRDefault="00342089"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rPr>
              <w:t>Malaise</w:t>
            </w:r>
          </w:p>
          <w:p w14:paraId="1243FCED" w14:textId="77777777" w:rsidR="00342089" w:rsidRPr="007D73EF" w:rsidRDefault="00342089"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rPr>
              <w:t>Feeling cold</w:t>
            </w:r>
          </w:p>
        </w:tc>
      </w:tr>
    </w:tbl>
    <w:p w14:paraId="3009F267" w14:textId="77777777" w:rsidR="00262914" w:rsidRPr="007D73EF" w:rsidRDefault="00296810" w:rsidP="00861283">
      <w:pPr>
        <w:autoSpaceDE w:val="0"/>
        <w:autoSpaceDN w:val="0"/>
        <w:adjustRightInd w:val="0"/>
        <w:spacing w:before="120" w:after="120" w:line="300" w:lineRule="atLeast"/>
        <w:ind w:right="-29"/>
        <w:jc w:val="both"/>
        <w:rPr>
          <w:rFonts w:ascii="Arial" w:hAnsi="Arial" w:cs="Arial"/>
          <w:sz w:val="22"/>
          <w:szCs w:val="22"/>
        </w:rPr>
      </w:pPr>
      <w:r w:rsidRPr="007D73EF">
        <w:rPr>
          <w:rFonts w:ascii="Arial" w:hAnsi="Arial" w:cs="Arial"/>
          <w:sz w:val="22"/>
          <w:szCs w:val="22"/>
          <w:vertAlign w:val="superscript"/>
        </w:rPr>
        <w:lastRenderedPageBreak/>
        <w:t>§</w:t>
      </w:r>
      <w:r w:rsidR="00262914" w:rsidRPr="007D73EF">
        <w:rPr>
          <w:rFonts w:ascii="Arial" w:hAnsi="Arial" w:cs="Arial"/>
          <w:sz w:val="22"/>
          <w:szCs w:val="22"/>
          <w:lang w:eastAsia="en-US"/>
        </w:rPr>
        <w:t>Injection site reactions (various kinds) comprise the following terms: Injection site extravasation, injection site burning, injection site coldness, injection site warmth, injection site erythema or rash, injection site pain, injection site h</w:t>
      </w:r>
      <w:r w:rsidR="00E6483C" w:rsidRPr="007D73EF">
        <w:rPr>
          <w:rFonts w:ascii="Arial" w:hAnsi="Arial" w:cs="Arial"/>
          <w:sz w:val="22"/>
          <w:szCs w:val="22"/>
          <w:lang w:eastAsia="en-US"/>
        </w:rPr>
        <w:t>a</w:t>
      </w:r>
      <w:r w:rsidR="00262914" w:rsidRPr="007D73EF">
        <w:rPr>
          <w:rFonts w:ascii="Arial" w:hAnsi="Arial" w:cs="Arial"/>
          <w:sz w:val="22"/>
          <w:szCs w:val="22"/>
          <w:lang w:eastAsia="en-US"/>
        </w:rPr>
        <w:t>ematoma</w:t>
      </w:r>
      <w:r w:rsidR="00F7376B" w:rsidRPr="007D73EF">
        <w:rPr>
          <w:rFonts w:ascii="Arial" w:hAnsi="Arial" w:cs="Arial"/>
          <w:sz w:val="22"/>
          <w:szCs w:val="22"/>
          <w:lang w:eastAsia="en-US"/>
        </w:rPr>
        <w:t>.</w:t>
      </w:r>
      <w:r w:rsidR="00915BD1" w:rsidRPr="007D73EF" w:rsidDel="00915BD1">
        <w:rPr>
          <w:rFonts w:ascii="Arial" w:hAnsi="Arial" w:cs="Arial"/>
          <w:sz w:val="22"/>
          <w:szCs w:val="22"/>
        </w:rPr>
        <w:t xml:space="preserve"> </w:t>
      </w:r>
    </w:p>
    <w:p w14:paraId="08A53043" w14:textId="77777777" w:rsidR="007454C3" w:rsidRPr="007D73EF" w:rsidRDefault="007D47A2" w:rsidP="00861283">
      <w:pPr>
        <w:autoSpaceDE w:val="0"/>
        <w:autoSpaceDN w:val="0"/>
        <w:adjustRightInd w:val="0"/>
        <w:spacing w:before="120" w:after="120" w:line="300" w:lineRule="atLeast"/>
        <w:ind w:right="-29"/>
        <w:jc w:val="both"/>
        <w:rPr>
          <w:rFonts w:ascii="Arial" w:hAnsi="Arial" w:cs="Arial"/>
          <w:sz w:val="22"/>
          <w:szCs w:val="22"/>
          <w:vertAlign w:val="superscript"/>
        </w:rPr>
      </w:pPr>
      <w:r w:rsidRPr="007D73EF">
        <w:rPr>
          <w:rFonts w:ascii="Arial" w:hAnsi="Arial" w:cs="Arial"/>
          <w:sz w:val="22"/>
          <w:szCs w:val="22"/>
          <w:vertAlign w:val="superscript"/>
          <w:lang w:eastAsia="en-US"/>
        </w:rPr>
        <w:t>¥</w:t>
      </w:r>
      <w:r w:rsidR="007454C3" w:rsidRPr="007D73EF">
        <w:rPr>
          <w:rFonts w:ascii="Arial" w:hAnsi="Arial" w:cs="Arial"/>
          <w:sz w:val="22"/>
          <w:szCs w:val="22"/>
          <w:lang w:eastAsia="en-US"/>
        </w:rPr>
        <w:t>There have been reports of life-threatening and/or fatal outcomes from this ADR</w:t>
      </w:r>
      <w:r w:rsidRPr="007D73EF">
        <w:rPr>
          <w:rFonts w:ascii="Arial" w:hAnsi="Arial" w:cs="Arial"/>
          <w:sz w:val="22"/>
          <w:szCs w:val="22"/>
          <w:vertAlign w:val="superscript"/>
        </w:rPr>
        <w:t>#</w:t>
      </w:r>
    </w:p>
    <w:p w14:paraId="443941D2" w14:textId="77777777" w:rsidR="008A0209" w:rsidRPr="007D73EF" w:rsidRDefault="006F2AF1" w:rsidP="00861283">
      <w:pPr>
        <w:autoSpaceDE w:val="0"/>
        <w:autoSpaceDN w:val="0"/>
        <w:adjustRightInd w:val="0"/>
        <w:spacing w:before="120" w:after="120" w:line="300" w:lineRule="atLeast"/>
        <w:ind w:right="-29"/>
        <w:jc w:val="both"/>
        <w:rPr>
          <w:rFonts w:ascii="Arial" w:hAnsi="Arial" w:cs="Arial"/>
          <w:sz w:val="22"/>
          <w:szCs w:val="22"/>
          <w:lang w:eastAsia="en-US"/>
        </w:rPr>
      </w:pPr>
      <w:r w:rsidRPr="007D73EF">
        <w:rPr>
          <w:rFonts w:ascii="Arial" w:hAnsi="Arial" w:cs="Arial"/>
          <w:sz w:val="22"/>
          <w:szCs w:val="22"/>
          <w:vertAlign w:val="superscript"/>
          <w:lang w:eastAsia="en-US"/>
        </w:rPr>
        <w:t>∞</w:t>
      </w:r>
      <w:r w:rsidR="008A0209" w:rsidRPr="007D73EF">
        <w:rPr>
          <w:rFonts w:ascii="Arial" w:hAnsi="Arial" w:cs="Arial"/>
          <w:sz w:val="22"/>
          <w:szCs w:val="22"/>
          <w:lang w:eastAsia="en-US"/>
        </w:rPr>
        <w:t xml:space="preserve">None of the individual symptoms </w:t>
      </w:r>
      <w:r w:rsidR="00166D09" w:rsidRPr="007D73EF">
        <w:rPr>
          <w:rFonts w:ascii="Arial" w:hAnsi="Arial" w:cs="Arial"/>
          <w:sz w:val="22"/>
          <w:szCs w:val="22"/>
          <w:lang w:eastAsia="en-US"/>
        </w:rPr>
        <w:t>(</w:t>
      </w:r>
      <w:r w:rsidR="008A0209" w:rsidRPr="007D73EF">
        <w:rPr>
          <w:rFonts w:ascii="Arial" w:hAnsi="Arial" w:cs="Arial"/>
          <w:sz w:val="22"/>
          <w:szCs w:val="22"/>
          <w:lang w:eastAsia="en-US"/>
        </w:rPr>
        <w:t>ADRs</w:t>
      </w:r>
      <w:r w:rsidR="00166D09" w:rsidRPr="007D73EF">
        <w:rPr>
          <w:rFonts w:ascii="Arial" w:hAnsi="Arial" w:cs="Arial"/>
          <w:sz w:val="22"/>
          <w:szCs w:val="22"/>
          <w:lang w:eastAsia="en-US"/>
        </w:rPr>
        <w:t>)</w:t>
      </w:r>
      <w:r w:rsidR="008A0209" w:rsidRPr="007D73EF">
        <w:rPr>
          <w:rFonts w:ascii="Arial" w:hAnsi="Arial" w:cs="Arial"/>
          <w:sz w:val="22"/>
          <w:szCs w:val="22"/>
          <w:lang w:eastAsia="en-US"/>
        </w:rPr>
        <w:t xml:space="preserve"> listed under hypersensitivity/anaphylactoid reaction identified in clinical trials reached a frequency greater than rare (except for urticaria)</w:t>
      </w:r>
    </w:p>
    <w:p w14:paraId="639EFA11" w14:textId="77777777" w:rsidR="00E37B1D" w:rsidRPr="007D73EF" w:rsidRDefault="00F82AF5" w:rsidP="00861283">
      <w:pPr>
        <w:pStyle w:val="Heading2"/>
        <w:spacing w:before="240" w:after="120" w:line="300" w:lineRule="atLeast"/>
        <w:ind w:right="-125"/>
        <w:jc w:val="both"/>
        <w:rPr>
          <w:rFonts w:ascii="Arial" w:hAnsi="Arial" w:cs="Arial"/>
          <w:b/>
          <w:u w:val="none"/>
          <w:lang w:val="en-GB"/>
        </w:rPr>
      </w:pPr>
      <w:r w:rsidRPr="007D73EF">
        <w:rPr>
          <w:rFonts w:ascii="Arial" w:hAnsi="Arial" w:cs="Arial"/>
          <w:b/>
          <w:u w:val="none"/>
          <w:lang w:val="en-GB"/>
        </w:rPr>
        <w:t>Additional adverse reactions from post</w:t>
      </w:r>
      <w:r w:rsidR="007C689E" w:rsidRPr="007D73EF">
        <w:rPr>
          <w:rFonts w:ascii="Arial" w:hAnsi="Arial" w:cs="Arial"/>
          <w:b/>
          <w:u w:val="none"/>
          <w:lang w:val="en-GB"/>
        </w:rPr>
        <w:t>–</w:t>
      </w:r>
      <w:r w:rsidRPr="007D73EF">
        <w:rPr>
          <w:rFonts w:ascii="Arial" w:hAnsi="Arial" w:cs="Arial"/>
          <w:b/>
          <w:u w:val="none"/>
          <w:lang w:val="en-GB"/>
        </w:rPr>
        <w:t>marketing spontaneous reporting</w:t>
      </w:r>
    </w:p>
    <w:p w14:paraId="64EC43C7" w14:textId="77777777" w:rsidR="00861283" w:rsidRPr="007D73EF" w:rsidRDefault="00861283" w:rsidP="00861283">
      <w:pPr>
        <w:spacing w:before="120" w:after="120" w:line="300" w:lineRule="atLeast"/>
        <w:ind w:right="-29"/>
        <w:jc w:val="both"/>
        <w:rPr>
          <w:rFonts w:ascii="Arial" w:hAnsi="Arial" w:cs="Arial"/>
          <w:b/>
          <w:sz w:val="22"/>
          <w:szCs w:val="22"/>
        </w:rPr>
      </w:pPr>
      <w:r w:rsidRPr="007D73EF">
        <w:rPr>
          <w:rFonts w:ascii="Arial" w:hAnsi="Arial" w:cs="Arial"/>
          <w:b/>
          <w:sz w:val="22"/>
          <w:szCs w:val="22"/>
        </w:rPr>
        <w:t xml:space="preserve">Table </w:t>
      </w:r>
      <w:r w:rsidR="00A0623E" w:rsidRPr="007D73EF">
        <w:rPr>
          <w:rFonts w:ascii="Arial" w:hAnsi="Arial" w:cs="Arial"/>
          <w:b/>
          <w:sz w:val="22"/>
          <w:szCs w:val="22"/>
        </w:rPr>
        <w:t>1</w:t>
      </w:r>
      <w:r w:rsidR="00F01B02" w:rsidRPr="007D73EF">
        <w:rPr>
          <w:rFonts w:ascii="Arial" w:hAnsi="Arial" w:cs="Arial"/>
          <w:b/>
          <w:sz w:val="22"/>
          <w:szCs w:val="22"/>
        </w:rPr>
        <w:t>1</w:t>
      </w:r>
      <w:r w:rsidRPr="007D73EF">
        <w:rPr>
          <w:rFonts w:ascii="Arial" w:hAnsi="Arial" w:cs="Arial"/>
          <w:b/>
          <w:sz w:val="22"/>
          <w:szCs w:val="22"/>
        </w:rPr>
        <w:t>: Adverse drug reactions (ADR) based on post-marketing data</w:t>
      </w:r>
      <w:r w:rsidR="008A0209" w:rsidRPr="007D73EF">
        <w:rPr>
          <w:rFonts w:ascii="Arial" w:hAnsi="Arial" w:cs="Arial"/>
          <w:b/>
          <w:sz w:val="22"/>
          <w:szCs w:val="22"/>
        </w:rPr>
        <w:t xml:space="preserve"> only</w:t>
      </w:r>
    </w:p>
    <w:p w14:paraId="56F10ED2" w14:textId="77777777" w:rsidR="00122914" w:rsidRPr="007D73EF" w:rsidRDefault="00122914" w:rsidP="00F20568">
      <w:pPr>
        <w:ind w:right="-35"/>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6"/>
        <w:gridCol w:w="4275"/>
      </w:tblGrid>
      <w:tr w:rsidR="00F82AF5" w:rsidRPr="007D73EF" w14:paraId="42A0A8E4" w14:textId="77777777" w:rsidTr="00771E28">
        <w:tc>
          <w:tcPr>
            <w:tcW w:w="4276" w:type="dxa"/>
            <w:shd w:val="clear" w:color="auto" w:fill="auto"/>
          </w:tcPr>
          <w:p w14:paraId="78D26CD8" w14:textId="77777777" w:rsidR="00F82AF5" w:rsidRPr="007D73EF" w:rsidRDefault="00F82AF5" w:rsidP="00861283">
            <w:pPr>
              <w:pStyle w:val="Untertitel"/>
              <w:spacing w:after="0" w:line="300" w:lineRule="atLeast"/>
              <w:ind w:right="-29"/>
              <w:rPr>
                <w:rFonts w:ascii="Arial" w:hAnsi="Arial" w:cs="Arial"/>
                <w:sz w:val="22"/>
                <w:szCs w:val="22"/>
                <w:lang w:val="en-AU"/>
              </w:rPr>
            </w:pPr>
            <w:r w:rsidRPr="007D73EF">
              <w:rPr>
                <w:rFonts w:ascii="Arial" w:hAnsi="Arial" w:cs="Arial"/>
                <w:sz w:val="22"/>
                <w:szCs w:val="22"/>
                <w:lang w:val="en-AU"/>
              </w:rPr>
              <w:t>System Organ Class</w:t>
            </w:r>
          </w:p>
        </w:tc>
        <w:tc>
          <w:tcPr>
            <w:tcW w:w="4275" w:type="dxa"/>
            <w:shd w:val="clear" w:color="auto" w:fill="auto"/>
          </w:tcPr>
          <w:p w14:paraId="3BA6A383" w14:textId="77777777" w:rsidR="00F82AF5" w:rsidRPr="007D73EF" w:rsidRDefault="00F82AF5" w:rsidP="00861283">
            <w:pPr>
              <w:pStyle w:val="Untertitel"/>
              <w:spacing w:after="0" w:line="300" w:lineRule="atLeast"/>
              <w:ind w:right="-29"/>
              <w:rPr>
                <w:rFonts w:ascii="Arial" w:hAnsi="Arial" w:cs="Arial"/>
                <w:sz w:val="22"/>
                <w:szCs w:val="22"/>
                <w:lang w:val="en-AU"/>
              </w:rPr>
            </w:pPr>
            <w:r w:rsidRPr="007D73EF">
              <w:rPr>
                <w:rFonts w:ascii="Arial" w:hAnsi="Arial" w:cs="Arial"/>
                <w:sz w:val="22"/>
                <w:szCs w:val="22"/>
                <w:lang w:val="en-AU"/>
              </w:rPr>
              <w:t>Rare</w:t>
            </w:r>
          </w:p>
          <w:p w14:paraId="02DBBAFA" w14:textId="77777777" w:rsidR="00F82AF5" w:rsidRPr="007D73EF" w:rsidRDefault="00F82AF5" w:rsidP="00861283">
            <w:pPr>
              <w:pStyle w:val="Untertitel"/>
              <w:spacing w:after="0" w:line="300" w:lineRule="atLeast"/>
              <w:ind w:right="-29"/>
              <w:rPr>
                <w:rFonts w:ascii="Arial" w:hAnsi="Arial" w:cs="Arial"/>
                <w:sz w:val="22"/>
                <w:szCs w:val="22"/>
                <w:lang w:val="en-AU"/>
              </w:rPr>
            </w:pPr>
            <w:r w:rsidRPr="007D73EF">
              <w:rPr>
                <w:rFonts w:ascii="Arial" w:hAnsi="Arial" w:cs="Arial"/>
                <w:sz w:val="22"/>
                <w:szCs w:val="22"/>
                <w:lang w:val="en-AU"/>
              </w:rPr>
              <w:t>(&lt;1/1,000)</w:t>
            </w:r>
          </w:p>
        </w:tc>
      </w:tr>
      <w:tr w:rsidR="00F82AF5" w:rsidRPr="007D73EF" w14:paraId="264D9CDE" w14:textId="77777777" w:rsidTr="00771E28">
        <w:tc>
          <w:tcPr>
            <w:tcW w:w="4276" w:type="dxa"/>
            <w:shd w:val="clear" w:color="auto" w:fill="auto"/>
          </w:tcPr>
          <w:p w14:paraId="287C02C8" w14:textId="77777777" w:rsidR="00F82AF5" w:rsidRPr="007D73EF" w:rsidRDefault="00262914" w:rsidP="00861283">
            <w:pPr>
              <w:pStyle w:val="Untertitel"/>
              <w:spacing w:after="0" w:line="300" w:lineRule="atLeast"/>
              <w:ind w:right="-29"/>
              <w:rPr>
                <w:rFonts w:ascii="Arial" w:hAnsi="Arial" w:cs="Arial"/>
                <w:sz w:val="22"/>
                <w:szCs w:val="22"/>
                <w:lang w:val="en-AU"/>
              </w:rPr>
            </w:pPr>
            <w:r w:rsidRPr="007D73EF">
              <w:rPr>
                <w:rFonts w:ascii="Arial" w:hAnsi="Arial" w:cs="Arial"/>
                <w:sz w:val="22"/>
                <w:szCs w:val="22"/>
                <w:lang w:val="en-AU"/>
              </w:rPr>
              <w:t>Immune system disorders</w:t>
            </w:r>
          </w:p>
        </w:tc>
        <w:tc>
          <w:tcPr>
            <w:tcW w:w="4275" w:type="dxa"/>
            <w:shd w:val="clear" w:color="auto" w:fill="auto"/>
          </w:tcPr>
          <w:p w14:paraId="388375DE" w14:textId="6B79F181" w:rsidR="00F82AF5" w:rsidRPr="007D73EF" w:rsidRDefault="006F2AF1" w:rsidP="006F2AF1">
            <w:pPr>
              <w:pStyle w:val="Default"/>
              <w:rPr>
                <w:rFonts w:ascii="Arial" w:hAnsi="Arial" w:cs="Arial"/>
                <w:color w:val="auto"/>
                <w:sz w:val="22"/>
                <w:szCs w:val="22"/>
                <w:lang w:eastAsia="en-US"/>
              </w:rPr>
            </w:pPr>
            <w:r w:rsidRPr="007D73EF">
              <w:rPr>
                <w:rFonts w:ascii="Arial" w:hAnsi="Arial" w:cs="Arial"/>
                <w:color w:val="auto"/>
                <w:sz w:val="22"/>
                <w:szCs w:val="22"/>
                <w:lang w:eastAsia="en-US"/>
              </w:rPr>
              <w:t>Hypersensitivity/anaphylactoid reactions (a</w:t>
            </w:r>
            <w:r w:rsidR="00262914" w:rsidRPr="007D73EF">
              <w:rPr>
                <w:rFonts w:ascii="Arial" w:hAnsi="Arial" w:cs="Arial"/>
                <w:color w:val="auto"/>
                <w:sz w:val="22"/>
                <w:szCs w:val="22"/>
                <w:lang w:eastAsia="en-US"/>
              </w:rPr>
              <w:t>naphylactic shock</w:t>
            </w:r>
            <w:r w:rsidR="007D47A2" w:rsidRPr="007D73EF">
              <w:rPr>
                <w:rFonts w:ascii="Arial" w:hAnsi="Arial" w:cs="Arial"/>
                <w:color w:val="auto"/>
                <w:sz w:val="22"/>
                <w:szCs w:val="22"/>
                <w:vertAlign w:val="superscript"/>
                <w:lang w:eastAsia="en-US"/>
              </w:rPr>
              <w:t>¥</w:t>
            </w:r>
            <w:r w:rsidRPr="007D73EF">
              <w:rPr>
                <w:rFonts w:ascii="Arial" w:hAnsi="Arial" w:cs="Arial"/>
                <w:color w:val="auto"/>
                <w:sz w:val="22"/>
                <w:szCs w:val="22"/>
                <w:lang w:eastAsia="en-US"/>
              </w:rPr>
              <w:t>, circulatory collapse</w:t>
            </w:r>
            <w:r w:rsidRPr="007D73EF">
              <w:rPr>
                <w:rFonts w:ascii="Arial" w:hAnsi="Arial" w:cs="Arial"/>
                <w:sz w:val="22"/>
                <w:szCs w:val="22"/>
                <w:vertAlign w:val="superscript"/>
              </w:rPr>
              <w:t>¥</w:t>
            </w:r>
            <w:r w:rsidRPr="007D73EF">
              <w:rPr>
                <w:rFonts w:ascii="Arial" w:hAnsi="Arial" w:cs="Arial"/>
                <w:color w:val="auto"/>
                <w:sz w:val="22"/>
                <w:szCs w:val="22"/>
                <w:lang w:eastAsia="en-US"/>
              </w:rPr>
              <w:t>, respiratory arrest</w:t>
            </w:r>
            <w:r w:rsidRPr="007D73EF">
              <w:rPr>
                <w:rFonts w:ascii="Arial" w:hAnsi="Arial" w:cs="Arial"/>
                <w:sz w:val="22"/>
                <w:szCs w:val="22"/>
                <w:vertAlign w:val="superscript"/>
                <w:lang w:val="en-US"/>
              </w:rPr>
              <w:t>¥</w:t>
            </w:r>
            <w:r w:rsidRPr="007D73EF">
              <w:rPr>
                <w:rFonts w:ascii="Arial" w:hAnsi="Arial" w:cs="Arial"/>
                <w:color w:val="auto"/>
                <w:sz w:val="22"/>
                <w:szCs w:val="22"/>
                <w:lang w:eastAsia="en-US"/>
              </w:rPr>
              <w:t>, pulmonary oedema, bronchospasm, cyanosis, oropharyngeal swelling</w:t>
            </w:r>
            <w:r w:rsidRPr="007D73EF">
              <w:rPr>
                <w:rFonts w:ascii="Arial" w:hAnsi="Arial" w:cs="Arial"/>
                <w:sz w:val="22"/>
                <w:szCs w:val="22"/>
                <w:vertAlign w:val="superscript"/>
                <w:lang w:val="en-US"/>
              </w:rPr>
              <w:t>¥</w:t>
            </w:r>
            <w:r w:rsidRPr="007D73EF">
              <w:rPr>
                <w:rFonts w:ascii="Arial" w:hAnsi="Arial" w:cs="Arial"/>
                <w:color w:val="auto"/>
                <w:sz w:val="22"/>
                <w:szCs w:val="22"/>
                <w:lang w:eastAsia="en-US"/>
              </w:rPr>
              <w:t xml:space="preserve">, laryngeal oedema, blood pressure increased, chest pain, angioedema, conjunctivitis, hyperhidrosis, cough, sneezing, burning sensation, pallor) </w:t>
            </w:r>
          </w:p>
        </w:tc>
      </w:tr>
      <w:tr w:rsidR="00F82AF5" w:rsidRPr="007D73EF" w14:paraId="5EC97812" w14:textId="77777777" w:rsidTr="00771E28">
        <w:tc>
          <w:tcPr>
            <w:tcW w:w="4276" w:type="dxa"/>
            <w:shd w:val="clear" w:color="auto" w:fill="auto"/>
          </w:tcPr>
          <w:p w14:paraId="72E13159" w14:textId="77777777" w:rsidR="00F82AF5" w:rsidRPr="007D73EF" w:rsidRDefault="00262914" w:rsidP="00861283">
            <w:pPr>
              <w:pStyle w:val="Untertitel"/>
              <w:spacing w:after="0" w:line="300" w:lineRule="atLeast"/>
              <w:ind w:right="-29"/>
              <w:rPr>
                <w:rFonts w:ascii="Arial" w:hAnsi="Arial" w:cs="Arial"/>
                <w:sz w:val="22"/>
                <w:szCs w:val="22"/>
                <w:lang w:val="en-AU"/>
              </w:rPr>
            </w:pPr>
            <w:r w:rsidRPr="007D73EF">
              <w:rPr>
                <w:rFonts w:ascii="Arial" w:hAnsi="Arial" w:cs="Arial"/>
                <w:sz w:val="22"/>
                <w:szCs w:val="22"/>
                <w:lang w:val="en-AU"/>
              </w:rPr>
              <w:t>Cardiac disorders</w:t>
            </w:r>
          </w:p>
        </w:tc>
        <w:tc>
          <w:tcPr>
            <w:tcW w:w="4275" w:type="dxa"/>
            <w:shd w:val="clear" w:color="auto" w:fill="auto"/>
          </w:tcPr>
          <w:p w14:paraId="442F1F1D" w14:textId="3A9456E5" w:rsidR="00F82AF5" w:rsidRPr="007D73EF" w:rsidRDefault="00262914" w:rsidP="00003341">
            <w:pPr>
              <w:pStyle w:val="Untertitel"/>
              <w:spacing w:after="0" w:line="300" w:lineRule="atLeast"/>
              <w:ind w:right="-29"/>
              <w:rPr>
                <w:rFonts w:ascii="Arial" w:hAnsi="Arial" w:cs="Arial"/>
                <w:b w:val="0"/>
                <w:sz w:val="22"/>
                <w:szCs w:val="22"/>
                <w:lang w:val="en-AU"/>
              </w:rPr>
            </w:pPr>
            <w:r w:rsidRPr="007D73EF">
              <w:rPr>
                <w:rFonts w:ascii="Arial" w:hAnsi="Arial" w:cs="Arial"/>
                <w:b w:val="0"/>
                <w:sz w:val="22"/>
                <w:szCs w:val="22"/>
                <w:lang w:val="en-AU"/>
              </w:rPr>
              <w:t>Cardiac arrest</w:t>
            </w:r>
            <w:r w:rsidR="007D47A2" w:rsidRPr="007D73EF">
              <w:rPr>
                <w:rFonts w:ascii="Arial" w:hAnsi="Arial" w:cs="Arial"/>
                <w:sz w:val="22"/>
                <w:szCs w:val="22"/>
                <w:vertAlign w:val="superscript"/>
              </w:rPr>
              <w:t>¥</w:t>
            </w:r>
          </w:p>
        </w:tc>
      </w:tr>
      <w:tr w:rsidR="00F82AF5" w:rsidRPr="007D73EF" w14:paraId="55B168CD" w14:textId="77777777" w:rsidTr="00771E28">
        <w:tc>
          <w:tcPr>
            <w:tcW w:w="4276" w:type="dxa"/>
            <w:shd w:val="clear" w:color="auto" w:fill="auto"/>
          </w:tcPr>
          <w:p w14:paraId="73D0E715" w14:textId="77777777" w:rsidR="00F82AF5" w:rsidRPr="007D73EF" w:rsidRDefault="00262914" w:rsidP="00861283">
            <w:pPr>
              <w:pStyle w:val="Untertitel"/>
              <w:spacing w:after="0" w:line="300" w:lineRule="atLeast"/>
              <w:ind w:right="-29"/>
              <w:rPr>
                <w:rFonts w:ascii="Arial" w:hAnsi="Arial" w:cs="Arial"/>
                <w:sz w:val="22"/>
                <w:szCs w:val="22"/>
                <w:lang w:val="en-AU"/>
              </w:rPr>
            </w:pPr>
            <w:r w:rsidRPr="007D73EF">
              <w:rPr>
                <w:rFonts w:ascii="Arial" w:hAnsi="Arial" w:cs="Arial"/>
                <w:sz w:val="22"/>
                <w:szCs w:val="22"/>
                <w:lang w:val="en-AU"/>
              </w:rPr>
              <w:t>Skin and subcutaneous tissue disorders</w:t>
            </w:r>
          </w:p>
        </w:tc>
        <w:tc>
          <w:tcPr>
            <w:tcW w:w="4275" w:type="dxa"/>
            <w:shd w:val="clear" w:color="auto" w:fill="auto"/>
          </w:tcPr>
          <w:p w14:paraId="303E00CC" w14:textId="42420FCB" w:rsidR="00F82AF5" w:rsidRPr="007D73EF" w:rsidRDefault="00153A30" w:rsidP="006F2AF1">
            <w:pPr>
              <w:pStyle w:val="Untertitel"/>
              <w:spacing w:after="0" w:line="300" w:lineRule="atLeast"/>
              <w:ind w:right="-29"/>
              <w:rPr>
                <w:rFonts w:ascii="Arial" w:hAnsi="Arial" w:cs="Arial"/>
                <w:b w:val="0"/>
                <w:sz w:val="22"/>
                <w:szCs w:val="22"/>
                <w:lang w:val="en-AU"/>
              </w:rPr>
            </w:pPr>
            <w:r w:rsidRPr="007D73EF">
              <w:rPr>
                <w:rFonts w:ascii="Arial" w:hAnsi="Arial" w:cs="Arial"/>
                <w:b w:val="0"/>
                <w:sz w:val="22"/>
                <w:szCs w:val="22"/>
                <w:lang w:val="en-AU"/>
              </w:rPr>
              <w:t>Nephrogenic Systemic Fibrosis (NSF)</w:t>
            </w:r>
          </w:p>
        </w:tc>
      </w:tr>
    </w:tbl>
    <w:p w14:paraId="24021076" w14:textId="607CA090" w:rsidR="00AC2EF1" w:rsidRPr="007D73EF" w:rsidRDefault="007D47A2" w:rsidP="00861283">
      <w:pPr>
        <w:autoSpaceDE w:val="0"/>
        <w:autoSpaceDN w:val="0"/>
        <w:adjustRightInd w:val="0"/>
        <w:spacing w:before="120" w:after="120" w:line="300" w:lineRule="atLeast"/>
        <w:ind w:right="-29"/>
        <w:jc w:val="both"/>
        <w:rPr>
          <w:rFonts w:ascii="Arial" w:hAnsi="Arial" w:cs="Arial"/>
          <w:szCs w:val="24"/>
          <w:lang w:val="en-AU"/>
        </w:rPr>
      </w:pPr>
      <w:r w:rsidRPr="007D73EF">
        <w:rPr>
          <w:rFonts w:ascii="Arial" w:hAnsi="Arial" w:cs="Arial"/>
          <w:sz w:val="22"/>
          <w:szCs w:val="22"/>
          <w:vertAlign w:val="superscript"/>
        </w:rPr>
        <w:t>¥</w:t>
      </w:r>
      <w:r w:rsidR="00C80BA2" w:rsidRPr="007D73EF">
        <w:rPr>
          <w:rFonts w:ascii="Arial" w:hAnsi="Arial" w:cs="Arial"/>
          <w:sz w:val="22"/>
          <w:szCs w:val="22"/>
        </w:rPr>
        <w:t>There have been reports of life-threatening and/or fatal outcomes from this ADR</w:t>
      </w:r>
    </w:p>
    <w:p w14:paraId="7E3E4CF0" w14:textId="77777777" w:rsidR="007165EB" w:rsidRPr="007D73EF" w:rsidRDefault="00671511" w:rsidP="00861283">
      <w:pPr>
        <w:pStyle w:val="Heading1"/>
        <w:spacing w:before="480" w:after="240" w:line="300" w:lineRule="atLeast"/>
        <w:ind w:right="1443"/>
        <w:jc w:val="both"/>
        <w:rPr>
          <w:rFonts w:ascii="Arial" w:hAnsi="Arial" w:cs="Arial"/>
          <w:b/>
          <w:caps/>
          <w:kern w:val="28"/>
          <w:sz w:val="28"/>
          <w:lang w:val="en-GB"/>
        </w:rPr>
      </w:pPr>
      <w:r w:rsidRPr="007D73EF">
        <w:rPr>
          <w:rFonts w:ascii="Arial" w:hAnsi="Arial" w:cs="Arial"/>
          <w:b/>
          <w:caps/>
          <w:kern w:val="28"/>
          <w:sz w:val="28"/>
          <w:lang w:val="en-GB"/>
        </w:rPr>
        <w:t>DOSAGE AND ADMINISTRATION</w:t>
      </w:r>
    </w:p>
    <w:p w14:paraId="371A9DBB" w14:textId="77777777" w:rsidR="007165EB" w:rsidRPr="007D73EF" w:rsidRDefault="007165EB" w:rsidP="00861283">
      <w:pPr>
        <w:spacing w:before="240" w:after="120"/>
        <w:ind w:right="1443"/>
        <w:jc w:val="both"/>
        <w:rPr>
          <w:rFonts w:ascii="Arial" w:hAnsi="Arial" w:cs="Arial"/>
          <w:b/>
          <w:sz w:val="24"/>
          <w:szCs w:val="24"/>
          <w:lang w:val="en-GB" w:eastAsia="en-US"/>
        </w:rPr>
      </w:pPr>
      <w:r w:rsidRPr="007D73EF">
        <w:rPr>
          <w:rFonts w:ascii="Arial" w:hAnsi="Arial" w:cs="Arial"/>
          <w:b/>
          <w:sz w:val="24"/>
          <w:szCs w:val="24"/>
          <w:lang w:val="en-GB" w:eastAsia="en-US"/>
        </w:rPr>
        <w:t>General information</w:t>
      </w:r>
    </w:p>
    <w:p w14:paraId="1321E33B" w14:textId="7A84E026" w:rsidR="007165EB" w:rsidRPr="007D73EF" w:rsidRDefault="000A2819" w:rsidP="00861283">
      <w:pPr>
        <w:spacing w:before="120" w:after="120" w:line="300" w:lineRule="atLeast"/>
        <w:jc w:val="both"/>
        <w:rPr>
          <w:rFonts w:ascii="Arial" w:hAnsi="Arial" w:cs="Arial"/>
          <w:sz w:val="22"/>
          <w:szCs w:val="22"/>
        </w:rPr>
      </w:pPr>
      <w:r w:rsidRPr="007D73EF">
        <w:rPr>
          <w:rFonts w:ascii="Arial" w:hAnsi="Arial" w:cs="Arial"/>
          <w:sz w:val="22"/>
          <w:szCs w:val="22"/>
        </w:rPr>
        <w:t xml:space="preserve">This medicinal product is for intravenous administration only. </w:t>
      </w:r>
      <w:r w:rsidR="007165EB" w:rsidRPr="007D73EF">
        <w:rPr>
          <w:rFonts w:ascii="Arial" w:hAnsi="Arial" w:cs="Arial"/>
          <w:sz w:val="22"/>
          <w:szCs w:val="22"/>
        </w:rPr>
        <w:t xml:space="preserve">The dose required is administered as a bolus dose. Contrast-enhanced MRI can usually commence shortly after the injection depending on the pulse sequences used and the protocol for the examination. Optimal </w:t>
      </w:r>
      <w:r w:rsidR="00C85BDA" w:rsidRPr="007D73EF">
        <w:rPr>
          <w:rFonts w:ascii="Arial" w:hAnsi="Arial" w:cs="Arial"/>
          <w:sz w:val="22"/>
          <w:szCs w:val="22"/>
        </w:rPr>
        <w:t xml:space="preserve">signal enhancement </w:t>
      </w:r>
      <w:r w:rsidR="007165EB" w:rsidRPr="007D73EF">
        <w:rPr>
          <w:rFonts w:ascii="Arial" w:hAnsi="Arial" w:cs="Arial"/>
          <w:sz w:val="22"/>
          <w:szCs w:val="22"/>
        </w:rPr>
        <w:t>is observed during arterial first pass for CE-MRA and within a period of about 15 minutes after injection of Gadovist</w:t>
      </w:r>
      <w:r w:rsidR="00CA12D4" w:rsidRPr="007D73EF">
        <w:rPr>
          <w:rFonts w:ascii="Arial" w:hAnsi="Arial" w:cs="Arial"/>
          <w:sz w:val="22"/>
          <w:szCs w:val="22"/>
          <w:lang w:eastAsia="de-DE"/>
        </w:rPr>
        <w:t xml:space="preserve"> 1.0</w:t>
      </w:r>
      <w:r w:rsidR="007165EB" w:rsidRPr="007D73EF">
        <w:rPr>
          <w:rFonts w:ascii="Arial" w:hAnsi="Arial" w:cs="Arial"/>
          <w:sz w:val="22"/>
          <w:szCs w:val="22"/>
        </w:rPr>
        <w:t xml:space="preserve"> for other indications (depending on the type of lesion and tissue).  </w:t>
      </w:r>
    </w:p>
    <w:p w14:paraId="16170F2D" w14:textId="2459387E" w:rsidR="00C85BDA" w:rsidRPr="007D73EF" w:rsidRDefault="007165EB" w:rsidP="00861283">
      <w:pPr>
        <w:spacing w:before="120" w:after="120" w:line="300" w:lineRule="atLeast"/>
        <w:jc w:val="both"/>
        <w:rPr>
          <w:rFonts w:ascii="Arial" w:hAnsi="Arial" w:cs="Arial"/>
          <w:sz w:val="22"/>
          <w:szCs w:val="22"/>
        </w:rPr>
      </w:pPr>
      <w:r w:rsidRPr="007D73EF">
        <w:rPr>
          <w:rFonts w:ascii="Arial" w:hAnsi="Arial" w:cs="Arial"/>
          <w:sz w:val="22"/>
          <w:szCs w:val="22"/>
        </w:rPr>
        <w:t>Gadovist</w:t>
      </w:r>
      <w:r w:rsidR="00CA12D4" w:rsidRPr="007D73EF">
        <w:rPr>
          <w:rFonts w:ascii="Arial" w:hAnsi="Arial" w:cs="Arial"/>
          <w:sz w:val="22"/>
          <w:szCs w:val="22"/>
          <w:lang w:eastAsia="de-DE"/>
        </w:rPr>
        <w:t xml:space="preserve"> 1.0</w:t>
      </w:r>
      <w:r w:rsidRPr="007D73EF">
        <w:rPr>
          <w:rFonts w:ascii="Arial" w:hAnsi="Arial" w:cs="Arial"/>
          <w:sz w:val="22"/>
          <w:szCs w:val="22"/>
        </w:rPr>
        <w:t xml:space="preserve"> should not be drawn into the syringe and the prefilled syringe should not be prepared until immediately before use.  Gadovist</w:t>
      </w:r>
      <w:r w:rsidR="00CA12D4" w:rsidRPr="007D73EF">
        <w:rPr>
          <w:rFonts w:ascii="Arial" w:hAnsi="Arial" w:cs="Arial"/>
          <w:sz w:val="22"/>
          <w:szCs w:val="22"/>
          <w:lang w:eastAsia="de-DE"/>
        </w:rPr>
        <w:t xml:space="preserve"> 1.0</w:t>
      </w:r>
      <w:r w:rsidRPr="007D73EF">
        <w:rPr>
          <w:rFonts w:ascii="Arial" w:hAnsi="Arial" w:cs="Arial"/>
          <w:sz w:val="22"/>
          <w:szCs w:val="22"/>
        </w:rPr>
        <w:t xml:space="preserve"> is for use in a single patient only. Any contrast agent solution not used in one examination must be discarded.</w:t>
      </w:r>
    </w:p>
    <w:p w14:paraId="62D44876" w14:textId="4F5548BB" w:rsidR="007165EB" w:rsidRPr="007D73EF" w:rsidRDefault="007165EB" w:rsidP="00861283">
      <w:pPr>
        <w:spacing w:before="120" w:after="120" w:line="300" w:lineRule="atLeast"/>
        <w:jc w:val="both"/>
        <w:rPr>
          <w:rFonts w:ascii="Arial" w:hAnsi="Arial" w:cs="Arial"/>
          <w:sz w:val="22"/>
          <w:szCs w:val="22"/>
        </w:rPr>
      </w:pPr>
      <w:r w:rsidRPr="007D73EF">
        <w:rPr>
          <w:rFonts w:ascii="Arial" w:hAnsi="Arial" w:cs="Arial"/>
          <w:sz w:val="22"/>
          <w:szCs w:val="22"/>
        </w:rPr>
        <w:t>T</w:t>
      </w:r>
      <w:r w:rsidR="00861283" w:rsidRPr="007D73EF">
        <w:rPr>
          <w:rFonts w:ascii="Arial" w:hAnsi="Arial" w:cs="Arial"/>
          <w:sz w:val="22"/>
          <w:szCs w:val="22"/>
        </w:rPr>
        <w:t>1</w:t>
      </w:r>
      <w:r w:rsidRPr="007D73EF">
        <w:rPr>
          <w:rFonts w:ascii="Arial" w:hAnsi="Arial" w:cs="Arial"/>
          <w:sz w:val="22"/>
          <w:szCs w:val="22"/>
        </w:rPr>
        <w:noBreakHyphen/>
        <w:t xml:space="preserve">weighted scanning sequences are usually used for </w:t>
      </w:r>
      <w:r w:rsidR="00861283" w:rsidRPr="007D73EF">
        <w:rPr>
          <w:rFonts w:ascii="Arial" w:hAnsi="Arial" w:cs="Arial"/>
          <w:sz w:val="22"/>
          <w:szCs w:val="22"/>
        </w:rPr>
        <w:t xml:space="preserve">contrast-enhanced examinations. </w:t>
      </w:r>
      <w:r w:rsidR="00C6349E" w:rsidRPr="007D73EF">
        <w:rPr>
          <w:rFonts w:ascii="Arial" w:hAnsi="Arial" w:cs="Arial"/>
          <w:sz w:val="22"/>
          <w:szCs w:val="22"/>
        </w:rPr>
        <w:t>The usual safety rules for magnetic resonance imaging must be observed, e.g. exclusion of cardiac pacemakers and ferromagnetic implants.</w:t>
      </w:r>
    </w:p>
    <w:p w14:paraId="04ECC10B" w14:textId="77777777" w:rsidR="007165EB" w:rsidRPr="007D73EF" w:rsidRDefault="007165EB" w:rsidP="00861283">
      <w:pPr>
        <w:spacing w:before="120" w:after="120" w:line="300" w:lineRule="atLeast"/>
        <w:jc w:val="both"/>
        <w:rPr>
          <w:rFonts w:ascii="Arial" w:hAnsi="Arial" w:cs="Arial"/>
          <w:sz w:val="22"/>
          <w:szCs w:val="22"/>
        </w:rPr>
      </w:pPr>
      <w:r w:rsidRPr="007D73EF">
        <w:rPr>
          <w:rFonts w:ascii="Arial" w:hAnsi="Arial" w:cs="Arial"/>
          <w:sz w:val="22"/>
          <w:szCs w:val="22"/>
        </w:rPr>
        <w:lastRenderedPageBreak/>
        <w:t xml:space="preserve">Intravenous administration of contrast media should, if possible, be done with the patient lying down.  The patient should refrain from eating for two hours prior to investigation in order to </w:t>
      </w:r>
      <w:r w:rsidR="007C689E" w:rsidRPr="007D73EF">
        <w:rPr>
          <w:rFonts w:ascii="Arial" w:hAnsi="Arial" w:cs="Arial"/>
          <w:sz w:val="22"/>
          <w:szCs w:val="22"/>
        </w:rPr>
        <w:t xml:space="preserve">minimise </w:t>
      </w:r>
      <w:r w:rsidRPr="007D73EF">
        <w:rPr>
          <w:rFonts w:ascii="Arial" w:hAnsi="Arial" w:cs="Arial"/>
          <w:sz w:val="22"/>
          <w:szCs w:val="22"/>
        </w:rPr>
        <w:t>risk of vomiting and possible aspiration.</w:t>
      </w:r>
    </w:p>
    <w:p w14:paraId="3374A922" w14:textId="77777777" w:rsidR="007D73EF" w:rsidRDefault="007D73EF" w:rsidP="00861283">
      <w:pPr>
        <w:spacing w:before="240" w:after="120"/>
        <w:ind w:right="1443"/>
        <w:jc w:val="both"/>
        <w:rPr>
          <w:rFonts w:ascii="Arial" w:hAnsi="Arial" w:cs="Arial"/>
          <w:b/>
          <w:sz w:val="24"/>
          <w:szCs w:val="24"/>
          <w:lang w:val="en-GB" w:eastAsia="en-US"/>
        </w:rPr>
      </w:pPr>
    </w:p>
    <w:p w14:paraId="09B6853D" w14:textId="77777777" w:rsidR="007165EB" w:rsidRPr="007D73EF" w:rsidRDefault="00262914" w:rsidP="00861283">
      <w:pPr>
        <w:spacing w:before="240" w:after="120"/>
        <w:ind w:right="1443"/>
        <w:jc w:val="both"/>
        <w:rPr>
          <w:rFonts w:ascii="Arial" w:hAnsi="Arial" w:cs="Arial"/>
          <w:b/>
          <w:sz w:val="24"/>
          <w:szCs w:val="24"/>
          <w:lang w:val="en-GB" w:eastAsia="en-US"/>
        </w:rPr>
      </w:pPr>
      <w:r w:rsidRPr="007D73EF">
        <w:rPr>
          <w:rFonts w:ascii="Arial" w:hAnsi="Arial" w:cs="Arial"/>
          <w:b/>
          <w:sz w:val="24"/>
          <w:szCs w:val="24"/>
          <w:lang w:val="en-GB" w:eastAsia="en-US"/>
        </w:rPr>
        <w:t>Dosage</w:t>
      </w:r>
    </w:p>
    <w:p w14:paraId="3A221827" w14:textId="77777777" w:rsidR="00262914" w:rsidRPr="007D73EF" w:rsidRDefault="00262914" w:rsidP="00861283">
      <w:pPr>
        <w:spacing w:before="120" w:after="120" w:line="300" w:lineRule="atLeast"/>
        <w:ind w:right="-35"/>
        <w:jc w:val="both"/>
        <w:rPr>
          <w:rFonts w:ascii="Arial" w:hAnsi="Arial" w:cs="Arial"/>
          <w:noProof/>
          <w:sz w:val="22"/>
          <w:szCs w:val="22"/>
          <w:u w:val="single"/>
          <w:lang w:val="en-GB" w:eastAsia="en-US"/>
        </w:rPr>
      </w:pPr>
      <w:r w:rsidRPr="007D73EF">
        <w:rPr>
          <w:rFonts w:ascii="Arial" w:hAnsi="Arial" w:cs="Arial"/>
          <w:noProof/>
          <w:sz w:val="22"/>
          <w:szCs w:val="22"/>
          <w:u w:val="single"/>
          <w:lang w:val="en-GB" w:eastAsia="en-US"/>
        </w:rPr>
        <w:t>Adults</w:t>
      </w:r>
    </w:p>
    <w:p w14:paraId="49056357" w14:textId="3DDC3E59" w:rsidR="00262914" w:rsidRPr="007D73EF" w:rsidRDefault="00262914" w:rsidP="00861283">
      <w:pPr>
        <w:spacing w:before="120" w:after="120" w:line="300" w:lineRule="atLeast"/>
        <w:ind w:right="-29"/>
        <w:jc w:val="both"/>
        <w:rPr>
          <w:rFonts w:ascii="Arial" w:hAnsi="Arial" w:cs="Arial"/>
          <w:sz w:val="22"/>
          <w:szCs w:val="22"/>
          <w:lang w:val="en-GB"/>
        </w:rPr>
      </w:pPr>
      <w:r w:rsidRPr="007D73EF">
        <w:rPr>
          <w:rFonts w:ascii="Arial" w:hAnsi="Arial" w:cs="Arial"/>
          <w:sz w:val="22"/>
          <w:szCs w:val="22"/>
          <w:lang w:val="fr-FR"/>
        </w:rPr>
        <w:t xml:space="preserve">Dosage depends on indication. </w:t>
      </w:r>
      <w:r w:rsidR="00453EBF" w:rsidRPr="007D73EF">
        <w:rPr>
          <w:rFonts w:ascii="Arial" w:hAnsi="Arial" w:cs="Arial"/>
          <w:sz w:val="22"/>
          <w:szCs w:val="22"/>
          <w:lang w:val="en-GB"/>
        </w:rPr>
        <w:t>A single intravenous injection of 0.1 mmol Gadovist</w:t>
      </w:r>
      <w:r w:rsidR="00CA12D4" w:rsidRPr="007D73EF">
        <w:rPr>
          <w:rFonts w:ascii="Arial" w:hAnsi="Arial" w:cs="Arial"/>
          <w:sz w:val="22"/>
          <w:szCs w:val="22"/>
          <w:lang w:eastAsia="de-DE"/>
        </w:rPr>
        <w:t xml:space="preserve"> 1.0</w:t>
      </w:r>
      <w:r w:rsidR="00453EBF" w:rsidRPr="007D73EF">
        <w:rPr>
          <w:rFonts w:ascii="Arial" w:hAnsi="Arial" w:cs="Arial"/>
          <w:sz w:val="22"/>
          <w:szCs w:val="22"/>
          <w:lang w:val="en-GB"/>
        </w:rPr>
        <w:t xml:space="preserve"> per kg body weight (equivalent to 0.1</w:t>
      </w:r>
      <w:r w:rsidR="00F7376B" w:rsidRPr="007D73EF">
        <w:rPr>
          <w:rFonts w:ascii="Arial" w:hAnsi="Arial" w:cs="Arial"/>
          <w:sz w:val="22"/>
          <w:szCs w:val="22"/>
          <w:lang w:val="en-GB"/>
        </w:rPr>
        <w:t xml:space="preserve"> </w:t>
      </w:r>
      <w:r w:rsidR="00453EBF" w:rsidRPr="007D73EF">
        <w:rPr>
          <w:rFonts w:ascii="Arial" w:hAnsi="Arial" w:cs="Arial"/>
          <w:sz w:val="22"/>
          <w:szCs w:val="22"/>
          <w:lang w:val="en-GB"/>
        </w:rPr>
        <w:t>mL Gadovist</w:t>
      </w:r>
      <w:r w:rsidR="00CA12D4" w:rsidRPr="007D73EF">
        <w:rPr>
          <w:rFonts w:ascii="Arial" w:hAnsi="Arial" w:cs="Arial"/>
          <w:sz w:val="22"/>
          <w:szCs w:val="22"/>
          <w:lang w:eastAsia="de-DE"/>
        </w:rPr>
        <w:t xml:space="preserve"> 1.0</w:t>
      </w:r>
      <w:r w:rsidR="00453EBF" w:rsidRPr="007D73EF">
        <w:rPr>
          <w:rFonts w:ascii="Arial" w:hAnsi="Arial" w:cs="Arial"/>
          <w:sz w:val="22"/>
          <w:szCs w:val="22"/>
          <w:lang w:val="en-GB"/>
        </w:rPr>
        <w:t xml:space="preserve"> per kg body weight)</w:t>
      </w:r>
      <w:bookmarkStart w:id="3" w:name="OLE_LINK14"/>
      <w:bookmarkStart w:id="4" w:name="OLE_LINK15"/>
      <w:r w:rsidR="00453EBF" w:rsidRPr="007D73EF">
        <w:rPr>
          <w:rFonts w:ascii="Arial" w:hAnsi="Arial" w:cs="Arial"/>
          <w:sz w:val="22"/>
          <w:szCs w:val="22"/>
          <w:lang w:val="en-GB"/>
        </w:rPr>
        <w:t xml:space="preserve"> </w:t>
      </w:r>
      <w:bookmarkEnd w:id="3"/>
      <w:bookmarkEnd w:id="4"/>
      <w:r w:rsidR="00453EBF" w:rsidRPr="007D73EF">
        <w:rPr>
          <w:rFonts w:ascii="Arial" w:hAnsi="Arial" w:cs="Arial"/>
          <w:sz w:val="22"/>
          <w:szCs w:val="22"/>
          <w:lang w:val="en-GB"/>
        </w:rPr>
        <w:t>is generally sufficient. A total amount of 0.3 mmol Gadovist</w:t>
      </w:r>
      <w:r w:rsidR="00CA12D4" w:rsidRPr="007D73EF">
        <w:rPr>
          <w:rFonts w:ascii="Arial" w:hAnsi="Arial" w:cs="Arial"/>
          <w:sz w:val="22"/>
          <w:szCs w:val="22"/>
          <w:lang w:eastAsia="de-DE"/>
        </w:rPr>
        <w:t xml:space="preserve"> 1.0</w:t>
      </w:r>
      <w:r w:rsidR="00453EBF" w:rsidRPr="007D73EF">
        <w:rPr>
          <w:rFonts w:ascii="Arial" w:hAnsi="Arial" w:cs="Arial"/>
          <w:sz w:val="22"/>
          <w:szCs w:val="22"/>
          <w:lang w:val="en-GB"/>
        </w:rPr>
        <w:t xml:space="preserve"> per kg body weight (equivalent to 0.3 mL Gadovist</w:t>
      </w:r>
      <w:r w:rsidR="00CA12D4" w:rsidRPr="007D73EF">
        <w:rPr>
          <w:rFonts w:ascii="Arial" w:hAnsi="Arial" w:cs="Arial"/>
          <w:sz w:val="22"/>
          <w:szCs w:val="22"/>
          <w:lang w:eastAsia="de-DE"/>
        </w:rPr>
        <w:t xml:space="preserve"> 1.0</w:t>
      </w:r>
      <w:r w:rsidR="00453EBF" w:rsidRPr="007D73EF">
        <w:rPr>
          <w:rFonts w:ascii="Arial" w:hAnsi="Arial" w:cs="Arial"/>
          <w:sz w:val="22"/>
          <w:szCs w:val="22"/>
          <w:lang w:val="en-GB"/>
        </w:rPr>
        <w:t xml:space="preserve"> per kg body weight) may be administered at maximum.</w:t>
      </w:r>
    </w:p>
    <w:p w14:paraId="6EC0CBE8" w14:textId="77777777" w:rsidR="007165EB" w:rsidRPr="007D73EF" w:rsidRDefault="007165EB" w:rsidP="00861283">
      <w:pPr>
        <w:spacing w:before="120" w:after="120" w:line="300" w:lineRule="atLeast"/>
        <w:ind w:right="-35"/>
        <w:jc w:val="both"/>
        <w:rPr>
          <w:rFonts w:ascii="Arial" w:hAnsi="Arial" w:cs="Arial"/>
          <w:noProof/>
          <w:sz w:val="22"/>
          <w:szCs w:val="22"/>
          <w:u w:val="single"/>
          <w:lang w:val="en-GB" w:eastAsia="en-US"/>
        </w:rPr>
      </w:pPr>
      <w:r w:rsidRPr="007D73EF">
        <w:rPr>
          <w:rFonts w:ascii="Arial" w:hAnsi="Arial" w:cs="Arial"/>
          <w:noProof/>
          <w:sz w:val="22"/>
          <w:szCs w:val="22"/>
          <w:u w:val="single"/>
          <w:lang w:val="en-GB" w:eastAsia="en-US"/>
        </w:rPr>
        <w:t>Cranial and spinal MRI</w:t>
      </w:r>
    </w:p>
    <w:p w14:paraId="755B722C" w14:textId="45805B1D" w:rsidR="007165EB" w:rsidRPr="007D73EF" w:rsidRDefault="007165EB" w:rsidP="00861283">
      <w:pPr>
        <w:spacing w:before="120" w:after="120" w:line="300" w:lineRule="atLeast"/>
        <w:ind w:right="-29"/>
        <w:jc w:val="both"/>
        <w:rPr>
          <w:rFonts w:ascii="Arial" w:hAnsi="Arial" w:cs="Arial"/>
          <w:sz w:val="22"/>
          <w:szCs w:val="22"/>
        </w:rPr>
      </w:pPr>
      <w:r w:rsidRPr="007D73EF">
        <w:rPr>
          <w:rFonts w:ascii="Arial" w:hAnsi="Arial" w:cs="Arial"/>
          <w:sz w:val="22"/>
          <w:szCs w:val="22"/>
        </w:rPr>
        <w:t>0.1 mmol</w:t>
      </w:r>
      <w:r w:rsidR="00453EBF" w:rsidRPr="007D73EF">
        <w:rPr>
          <w:rFonts w:ascii="Arial" w:hAnsi="Arial" w:cs="Arial"/>
          <w:sz w:val="22"/>
          <w:szCs w:val="22"/>
        </w:rPr>
        <w:t xml:space="preserve"> Gadovist</w:t>
      </w:r>
      <w:r w:rsidR="00CA12D4" w:rsidRPr="007D73EF">
        <w:rPr>
          <w:rFonts w:ascii="Arial" w:hAnsi="Arial" w:cs="Arial"/>
          <w:sz w:val="22"/>
          <w:szCs w:val="22"/>
          <w:lang w:eastAsia="de-DE"/>
        </w:rPr>
        <w:t xml:space="preserve"> 1.0</w:t>
      </w:r>
      <w:r w:rsidR="00453EBF" w:rsidRPr="007D73EF">
        <w:rPr>
          <w:rFonts w:ascii="Arial" w:hAnsi="Arial" w:cs="Arial"/>
          <w:sz w:val="22"/>
          <w:szCs w:val="22"/>
        </w:rPr>
        <w:t xml:space="preserve"> per </w:t>
      </w:r>
      <w:r w:rsidRPr="007D73EF">
        <w:rPr>
          <w:rFonts w:ascii="Arial" w:hAnsi="Arial" w:cs="Arial"/>
          <w:sz w:val="22"/>
          <w:szCs w:val="22"/>
        </w:rPr>
        <w:t>kg body weight (equivalent to 0.1</w:t>
      </w:r>
      <w:r w:rsidR="00F7376B" w:rsidRPr="007D73EF">
        <w:rPr>
          <w:rFonts w:ascii="Arial" w:hAnsi="Arial" w:cs="Arial"/>
          <w:sz w:val="22"/>
          <w:szCs w:val="22"/>
        </w:rPr>
        <w:t xml:space="preserve"> </w:t>
      </w:r>
      <w:r w:rsidRPr="007D73EF">
        <w:rPr>
          <w:rFonts w:ascii="Arial" w:hAnsi="Arial" w:cs="Arial"/>
          <w:sz w:val="22"/>
          <w:szCs w:val="22"/>
        </w:rPr>
        <w:t>mL</w:t>
      </w:r>
      <w:r w:rsidR="00AD3200" w:rsidRPr="007D73EF">
        <w:rPr>
          <w:rFonts w:ascii="Arial" w:hAnsi="Arial" w:cs="Arial"/>
          <w:sz w:val="22"/>
          <w:szCs w:val="22"/>
        </w:rPr>
        <w:t xml:space="preserve"> Gadovist</w:t>
      </w:r>
      <w:r w:rsidR="00CA12D4" w:rsidRPr="007D73EF">
        <w:rPr>
          <w:rFonts w:ascii="Arial" w:hAnsi="Arial" w:cs="Arial"/>
          <w:sz w:val="22"/>
          <w:szCs w:val="22"/>
          <w:lang w:eastAsia="de-DE"/>
        </w:rPr>
        <w:t xml:space="preserve"> 1.0</w:t>
      </w:r>
      <w:r w:rsidR="00AD3200" w:rsidRPr="007D73EF">
        <w:rPr>
          <w:rFonts w:ascii="Arial" w:hAnsi="Arial" w:cs="Arial"/>
          <w:sz w:val="22"/>
          <w:szCs w:val="22"/>
        </w:rPr>
        <w:t xml:space="preserve"> </w:t>
      </w:r>
      <w:r w:rsidR="00453EBF" w:rsidRPr="007D73EF">
        <w:rPr>
          <w:rFonts w:ascii="Arial" w:hAnsi="Arial" w:cs="Arial"/>
          <w:sz w:val="22"/>
          <w:szCs w:val="22"/>
        </w:rPr>
        <w:t xml:space="preserve">per </w:t>
      </w:r>
      <w:r w:rsidRPr="007D73EF">
        <w:rPr>
          <w:rFonts w:ascii="Arial" w:hAnsi="Arial" w:cs="Arial"/>
          <w:sz w:val="22"/>
          <w:szCs w:val="22"/>
        </w:rPr>
        <w:t>kg</w:t>
      </w:r>
      <w:r w:rsidR="00AD3200" w:rsidRPr="007D73EF">
        <w:rPr>
          <w:rFonts w:ascii="Arial" w:hAnsi="Arial" w:cs="Arial"/>
          <w:sz w:val="22"/>
          <w:szCs w:val="22"/>
        </w:rPr>
        <w:t xml:space="preserve"> body weight</w:t>
      </w:r>
      <w:r w:rsidRPr="007D73EF">
        <w:rPr>
          <w:rFonts w:ascii="Arial" w:hAnsi="Arial" w:cs="Arial"/>
          <w:sz w:val="22"/>
          <w:szCs w:val="22"/>
        </w:rPr>
        <w:t>), given intravenously at a rate of 2 mL per second.</w:t>
      </w:r>
    </w:p>
    <w:p w14:paraId="5037FB98" w14:textId="04B7388F" w:rsidR="007C2EE7" w:rsidRPr="007D73EF" w:rsidRDefault="007165EB" w:rsidP="00861283">
      <w:pPr>
        <w:spacing w:before="120" w:after="120" w:line="300" w:lineRule="atLeast"/>
        <w:ind w:right="-29"/>
        <w:jc w:val="both"/>
        <w:rPr>
          <w:rFonts w:ascii="Arial" w:hAnsi="Arial" w:cs="Arial"/>
          <w:sz w:val="22"/>
          <w:szCs w:val="22"/>
        </w:rPr>
      </w:pPr>
      <w:r w:rsidRPr="007D73EF">
        <w:rPr>
          <w:rFonts w:ascii="Arial" w:hAnsi="Arial" w:cs="Arial"/>
          <w:sz w:val="22"/>
          <w:szCs w:val="22"/>
        </w:rPr>
        <w:t>In some investigations use of further doses of 0.1 mmol</w:t>
      </w:r>
      <w:r w:rsidR="00453EBF" w:rsidRPr="007D73EF">
        <w:rPr>
          <w:rFonts w:ascii="Arial" w:hAnsi="Arial" w:cs="Arial"/>
          <w:sz w:val="22"/>
          <w:szCs w:val="22"/>
        </w:rPr>
        <w:t xml:space="preserve"> Gadovist</w:t>
      </w:r>
      <w:r w:rsidR="00CA12D4" w:rsidRPr="007D73EF">
        <w:rPr>
          <w:rFonts w:ascii="Arial" w:hAnsi="Arial" w:cs="Arial"/>
          <w:sz w:val="22"/>
          <w:szCs w:val="22"/>
          <w:lang w:eastAsia="de-DE"/>
        </w:rPr>
        <w:t xml:space="preserve"> 1.0</w:t>
      </w:r>
      <w:r w:rsidR="00453EBF" w:rsidRPr="007D73EF">
        <w:rPr>
          <w:rFonts w:ascii="Arial" w:hAnsi="Arial" w:cs="Arial"/>
          <w:sz w:val="22"/>
          <w:szCs w:val="22"/>
        </w:rPr>
        <w:t xml:space="preserve"> per </w:t>
      </w:r>
      <w:r w:rsidRPr="007D73EF">
        <w:rPr>
          <w:rFonts w:ascii="Arial" w:hAnsi="Arial" w:cs="Arial"/>
          <w:sz w:val="22"/>
          <w:szCs w:val="22"/>
        </w:rPr>
        <w:t xml:space="preserve">kg </w:t>
      </w:r>
      <w:r w:rsidR="00453EBF" w:rsidRPr="007D73EF">
        <w:rPr>
          <w:rFonts w:ascii="Arial" w:hAnsi="Arial" w:cs="Arial"/>
          <w:sz w:val="22"/>
          <w:szCs w:val="22"/>
        </w:rPr>
        <w:t xml:space="preserve">body weight </w:t>
      </w:r>
      <w:r w:rsidRPr="007D73EF">
        <w:rPr>
          <w:rFonts w:ascii="Arial" w:hAnsi="Arial" w:cs="Arial"/>
          <w:sz w:val="22"/>
          <w:szCs w:val="22"/>
        </w:rPr>
        <w:t>(equivalent to 0.1 mL</w:t>
      </w:r>
      <w:r w:rsidR="00453EBF" w:rsidRPr="007D73EF">
        <w:rPr>
          <w:rFonts w:ascii="Arial" w:hAnsi="Arial" w:cs="Arial"/>
          <w:sz w:val="22"/>
          <w:szCs w:val="22"/>
        </w:rPr>
        <w:t xml:space="preserve"> </w:t>
      </w:r>
      <w:r w:rsidRPr="007D73EF">
        <w:rPr>
          <w:rFonts w:ascii="Arial" w:hAnsi="Arial" w:cs="Arial"/>
          <w:sz w:val="22"/>
          <w:szCs w:val="22"/>
        </w:rPr>
        <w:t>Gadovist</w:t>
      </w:r>
      <w:r w:rsidR="00CA12D4" w:rsidRPr="007D73EF">
        <w:rPr>
          <w:rFonts w:ascii="Arial" w:hAnsi="Arial" w:cs="Arial"/>
          <w:sz w:val="22"/>
          <w:szCs w:val="22"/>
          <w:lang w:eastAsia="de-DE"/>
        </w:rPr>
        <w:t xml:space="preserve"> 1.0</w:t>
      </w:r>
      <w:r w:rsidR="00453EBF" w:rsidRPr="007D73EF">
        <w:rPr>
          <w:rFonts w:ascii="Arial" w:hAnsi="Arial" w:cs="Arial"/>
          <w:sz w:val="22"/>
          <w:szCs w:val="22"/>
        </w:rPr>
        <w:t xml:space="preserve"> per kg body </w:t>
      </w:r>
      <w:r w:rsidR="009A5DAE" w:rsidRPr="007D73EF">
        <w:rPr>
          <w:rFonts w:ascii="Arial" w:hAnsi="Arial" w:cs="Arial"/>
          <w:sz w:val="22"/>
          <w:szCs w:val="22"/>
        </w:rPr>
        <w:t>weight</w:t>
      </w:r>
      <w:r w:rsidRPr="007D73EF">
        <w:rPr>
          <w:rFonts w:ascii="Arial" w:hAnsi="Arial" w:cs="Arial"/>
          <w:sz w:val="22"/>
          <w:szCs w:val="22"/>
        </w:rPr>
        <w:t>) or 0.2 mmol</w:t>
      </w:r>
      <w:r w:rsidR="00453EBF" w:rsidRPr="007D73EF">
        <w:rPr>
          <w:rFonts w:ascii="Arial" w:hAnsi="Arial" w:cs="Arial"/>
          <w:sz w:val="22"/>
          <w:szCs w:val="22"/>
        </w:rPr>
        <w:t xml:space="preserve"> Gadovist</w:t>
      </w:r>
      <w:r w:rsidR="00CA12D4" w:rsidRPr="007D73EF">
        <w:rPr>
          <w:rFonts w:ascii="Arial" w:hAnsi="Arial" w:cs="Arial"/>
          <w:sz w:val="22"/>
          <w:szCs w:val="22"/>
          <w:lang w:eastAsia="de-DE"/>
        </w:rPr>
        <w:t xml:space="preserve"> 1.0</w:t>
      </w:r>
      <w:r w:rsidR="00453EBF" w:rsidRPr="007D73EF">
        <w:rPr>
          <w:rFonts w:ascii="Arial" w:hAnsi="Arial" w:cs="Arial"/>
          <w:sz w:val="22"/>
          <w:szCs w:val="22"/>
        </w:rPr>
        <w:t xml:space="preserve"> per </w:t>
      </w:r>
      <w:r w:rsidRPr="007D73EF">
        <w:rPr>
          <w:rFonts w:ascii="Arial" w:hAnsi="Arial" w:cs="Arial"/>
          <w:sz w:val="22"/>
          <w:szCs w:val="22"/>
        </w:rPr>
        <w:t>kg body weight (equivalent to 0.2 mL</w:t>
      </w:r>
      <w:r w:rsidR="00453EBF" w:rsidRPr="007D73EF">
        <w:rPr>
          <w:rFonts w:ascii="Arial" w:hAnsi="Arial" w:cs="Arial"/>
          <w:sz w:val="22"/>
          <w:szCs w:val="22"/>
        </w:rPr>
        <w:t xml:space="preserve"> </w:t>
      </w:r>
      <w:r w:rsidRPr="007D73EF">
        <w:rPr>
          <w:rFonts w:ascii="Arial" w:hAnsi="Arial" w:cs="Arial"/>
          <w:sz w:val="22"/>
          <w:szCs w:val="22"/>
        </w:rPr>
        <w:t>Gadovist</w:t>
      </w:r>
      <w:r w:rsidR="00CA12D4" w:rsidRPr="007D73EF">
        <w:rPr>
          <w:rFonts w:ascii="Arial" w:hAnsi="Arial" w:cs="Arial"/>
          <w:sz w:val="22"/>
          <w:szCs w:val="22"/>
          <w:lang w:eastAsia="de-DE"/>
        </w:rPr>
        <w:t xml:space="preserve"> 1.0</w:t>
      </w:r>
      <w:r w:rsidR="00453EBF" w:rsidRPr="007D73EF">
        <w:rPr>
          <w:rFonts w:ascii="Arial" w:hAnsi="Arial" w:cs="Arial"/>
          <w:sz w:val="22"/>
          <w:szCs w:val="22"/>
        </w:rPr>
        <w:t xml:space="preserve"> per kg body </w:t>
      </w:r>
      <w:r w:rsidR="009A5DAE" w:rsidRPr="007D73EF">
        <w:rPr>
          <w:rFonts w:ascii="Arial" w:hAnsi="Arial" w:cs="Arial"/>
          <w:sz w:val="22"/>
          <w:szCs w:val="22"/>
        </w:rPr>
        <w:t>weight</w:t>
      </w:r>
      <w:r w:rsidR="009B00FA" w:rsidRPr="007D73EF">
        <w:rPr>
          <w:rFonts w:ascii="Arial" w:hAnsi="Arial" w:cs="Arial"/>
          <w:sz w:val="22"/>
          <w:szCs w:val="22"/>
        </w:rPr>
        <w:t xml:space="preserve">) </w:t>
      </w:r>
      <w:r w:rsidRPr="007D73EF">
        <w:rPr>
          <w:rFonts w:ascii="Arial" w:hAnsi="Arial" w:cs="Arial"/>
          <w:sz w:val="22"/>
          <w:szCs w:val="22"/>
        </w:rPr>
        <w:t>to a total of 0.3 mmol</w:t>
      </w:r>
      <w:r w:rsidR="00130456" w:rsidRPr="007D73EF">
        <w:rPr>
          <w:rFonts w:ascii="Arial" w:hAnsi="Arial" w:cs="Arial"/>
          <w:sz w:val="22"/>
          <w:szCs w:val="22"/>
        </w:rPr>
        <w:t xml:space="preserve"> Gadovist</w:t>
      </w:r>
      <w:r w:rsidR="00CA12D4" w:rsidRPr="007D73EF">
        <w:rPr>
          <w:rFonts w:ascii="Arial" w:hAnsi="Arial" w:cs="Arial"/>
          <w:sz w:val="22"/>
          <w:szCs w:val="22"/>
          <w:lang w:eastAsia="de-DE"/>
        </w:rPr>
        <w:t xml:space="preserve"> 1.0</w:t>
      </w:r>
      <w:r w:rsidR="00130456" w:rsidRPr="007D73EF">
        <w:rPr>
          <w:rFonts w:ascii="Arial" w:hAnsi="Arial" w:cs="Arial"/>
          <w:sz w:val="22"/>
          <w:szCs w:val="22"/>
        </w:rPr>
        <w:t xml:space="preserve"> per </w:t>
      </w:r>
      <w:r w:rsidRPr="007D73EF">
        <w:rPr>
          <w:rFonts w:ascii="Arial" w:hAnsi="Arial" w:cs="Arial"/>
          <w:sz w:val="22"/>
          <w:szCs w:val="22"/>
        </w:rPr>
        <w:t>kg body weight</w:t>
      </w:r>
      <w:r w:rsidR="009B00FA" w:rsidRPr="007D73EF">
        <w:rPr>
          <w:rFonts w:ascii="Arial" w:hAnsi="Arial" w:cs="Arial"/>
          <w:sz w:val="22"/>
          <w:szCs w:val="22"/>
        </w:rPr>
        <w:t xml:space="preserve"> (equivalent to 0.3</w:t>
      </w:r>
      <w:r w:rsidR="00B905EA" w:rsidRPr="007D73EF">
        <w:rPr>
          <w:rFonts w:ascii="Arial" w:hAnsi="Arial" w:cs="Arial"/>
          <w:sz w:val="22"/>
          <w:szCs w:val="22"/>
        </w:rPr>
        <w:t xml:space="preserve"> </w:t>
      </w:r>
      <w:r w:rsidR="009B00FA" w:rsidRPr="007D73EF">
        <w:rPr>
          <w:rFonts w:ascii="Arial" w:hAnsi="Arial" w:cs="Arial"/>
          <w:sz w:val="22"/>
          <w:szCs w:val="22"/>
        </w:rPr>
        <w:t>mL Gadovist</w:t>
      </w:r>
      <w:r w:rsidR="00CA12D4" w:rsidRPr="007D73EF">
        <w:rPr>
          <w:rFonts w:ascii="Arial" w:hAnsi="Arial" w:cs="Arial"/>
          <w:sz w:val="22"/>
          <w:szCs w:val="22"/>
          <w:lang w:eastAsia="de-DE"/>
        </w:rPr>
        <w:t xml:space="preserve"> 1.0</w:t>
      </w:r>
      <w:r w:rsidR="009B00FA" w:rsidRPr="007D73EF">
        <w:rPr>
          <w:rFonts w:ascii="Arial" w:hAnsi="Arial" w:cs="Arial"/>
          <w:sz w:val="22"/>
          <w:szCs w:val="22"/>
        </w:rPr>
        <w:t xml:space="preserve"> per kg body weight</w:t>
      </w:r>
      <w:r w:rsidRPr="007D73EF">
        <w:rPr>
          <w:rFonts w:ascii="Arial" w:hAnsi="Arial" w:cs="Arial"/>
          <w:sz w:val="22"/>
          <w:szCs w:val="22"/>
        </w:rPr>
        <w:t>) may yield additional information.</w:t>
      </w:r>
    </w:p>
    <w:p w14:paraId="0EBBC891" w14:textId="4FED0EEE" w:rsidR="00AD3200" w:rsidRPr="007D73EF" w:rsidRDefault="005D3F08" w:rsidP="00861283">
      <w:pPr>
        <w:spacing w:before="120" w:after="120" w:line="300" w:lineRule="atLeast"/>
        <w:ind w:right="-35"/>
        <w:jc w:val="both"/>
        <w:rPr>
          <w:rFonts w:ascii="Arial" w:hAnsi="Arial" w:cs="Arial"/>
          <w:noProof/>
          <w:sz w:val="22"/>
          <w:szCs w:val="22"/>
          <w:u w:val="single"/>
          <w:lang w:val="en-GB" w:eastAsia="en-US"/>
        </w:rPr>
      </w:pPr>
      <w:r w:rsidRPr="007D73EF">
        <w:rPr>
          <w:rFonts w:ascii="Arial" w:hAnsi="Arial" w:cs="Arial"/>
          <w:noProof/>
          <w:sz w:val="22"/>
          <w:szCs w:val="22"/>
          <w:u w:val="single"/>
          <w:lang w:val="en-GB" w:eastAsia="en-US"/>
        </w:rPr>
        <w:t>CE</w:t>
      </w:r>
      <w:r w:rsidR="00AD3200" w:rsidRPr="007D73EF">
        <w:rPr>
          <w:rFonts w:ascii="Arial" w:hAnsi="Arial" w:cs="Arial"/>
          <w:noProof/>
          <w:sz w:val="22"/>
          <w:szCs w:val="22"/>
          <w:u w:val="single"/>
          <w:lang w:val="en-GB" w:eastAsia="en-US"/>
        </w:rPr>
        <w:t xml:space="preserve"> MRI</w:t>
      </w:r>
      <w:r w:rsidRPr="007D73EF">
        <w:rPr>
          <w:rFonts w:ascii="Arial" w:hAnsi="Arial" w:cs="Arial"/>
          <w:noProof/>
          <w:sz w:val="22"/>
          <w:szCs w:val="22"/>
          <w:u w:val="single"/>
          <w:lang w:val="en-GB" w:eastAsia="en-US"/>
        </w:rPr>
        <w:t xml:space="preserve"> of </w:t>
      </w:r>
      <w:r w:rsidR="00166D09" w:rsidRPr="007D73EF">
        <w:rPr>
          <w:rFonts w:ascii="Arial" w:hAnsi="Arial" w:cs="Arial"/>
          <w:noProof/>
          <w:sz w:val="22"/>
          <w:szCs w:val="22"/>
          <w:u w:val="single"/>
          <w:lang w:val="en-GB" w:eastAsia="en-US"/>
        </w:rPr>
        <w:t xml:space="preserve">the whole </w:t>
      </w:r>
      <w:r w:rsidRPr="007D73EF">
        <w:rPr>
          <w:rFonts w:ascii="Arial" w:hAnsi="Arial" w:cs="Arial"/>
          <w:noProof/>
          <w:sz w:val="22"/>
          <w:szCs w:val="22"/>
          <w:u w:val="single"/>
          <w:lang w:val="en-GB" w:eastAsia="en-US"/>
        </w:rPr>
        <w:t>body</w:t>
      </w:r>
      <w:r w:rsidR="008B6785" w:rsidRPr="00CF7D18">
        <w:rPr>
          <w:rFonts w:ascii="Arial" w:hAnsi="Arial" w:cs="Arial"/>
          <w:noProof/>
          <w:sz w:val="22"/>
          <w:szCs w:val="22"/>
          <w:vertAlign w:val="superscript"/>
          <w:lang w:val="en-GB" w:eastAsia="en-US"/>
        </w:rPr>
        <w:t>#</w:t>
      </w:r>
    </w:p>
    <w:p w14:paraId="02959E97" w14:textId="74D22A67" w:rsidR="00262914" w:rsidRPr="007D73EF" w:rsidRDefault="00AD3200" w:rsidP="00003341">
      <w:pPr>
        <w:spacing w:before="120" w:after="120" w:line="300" w:lineRule="atLeast"/>
        <w:ind w:right="-29"/>
        <w:jc w:val="both"/>
        <w:rPr>
          <w:rFonts w:ascii="Arial" w:hAnsi="Arial" w:cs="Arial"/>
          <w:sz w:val="22"/>
          <w:szCs w:val="22"/>
        </w:rPr>
      </w:pPr>
      <w:r w:rsidRPr="007D73EF">
        <w:rPr>
          <w:rFonts w:ascii="Arial" w:hAnsi="Arial" w:cs="Arial"/>
          <w:sz w:val="22"/>
          <w:szCs w:val="22"/>
        </w:rPr>
        <w:t xml:space="preserve">0.1 mL/kg body </w:t>
      </w:r>
      <w:r w:rsidR="00E61294" w:rsidRPr="007D73EF">
        <w:rPr>
          <w:rFonts w:ascii="Arial" w:hAnsi="Arial" w:cs="Arial"/>
          <w:sz w:val="22"/>
          <w:szCs w:val="22"/>
        </w:rPr>
        <w:t>weight of</w:t>
      </w:r>
      <w:r w:rsidRPr="007D73EF">
        <w:rPr>
          <w:rFonts w:ascii="Arial" w:hAnsi="Arial" w:cs="Arial"/>
          <w:sz w:val="22"/>
          <w:szCs w:val="22"/>
        </w:rPr>
        <w:t xml:space="preserve"> t</w:t>
      </w:r>
      <w:r w:rsidR="00E61294" w:rsidRPr="007D73EF">
        <w:rPr>
          <w:rFonts w:ascii="Arial" w:hAnsi="Arial" w:cs="Arial"/>
          <w:sz w:val="22"/>
          <w:szCs w:val="22"/>
        </w:rPr>
        <w:t>h</w:t>
      </w:r>
      <w:r w:rsidRPr="007D73EF">
        <w:rPr>
          <w:rFonts w:ascii="Arial" w:hAnsi="Arial" w:cs="Arial"/>
          <w:sz w:val="22"/>
          <w:szCs w:val="22"/>
        </w:rPr>
        <w:t>e 1.0 mmol/mL Gadovist</w:t>
      </w:r>
      <w:r w:rsidR="00CA12D4" w:rsidRPr="007D73EF">
        <w:rPr>
          <w:rFonts w:ascii="Arial" w:hAnsi="Arial" w:cs="Arial"/>
          <w:sz w:val="22"/>
          <w:szCs w:val="22"/>
          <w:lang w:eastAsia="de-DE"/>
        </w:rPr>
        <w:t xml:space="preserve"> 1.0</w:t>
      </w:r>
      <w:r w:rsidRPr="007D73EF">
        <w:rPr>
          <w:rFonts w:ascii="Arial" w:hAnsi="Arial" w:cs="Arial"/>
          <w:sz w:val="22"/>
          <w:szCs w:val="22"/>
        </w:rPr>
        <w:t xml:space="preserve"> </w:t>
      </w:r>
      <w:r w:rsidR="005D3F08" w:rsidRPr="007D73EF">
        <w:rPr>
          <w:rFonts w:ascii="Arial" w:hAnsi="Arial" w:cs="Arial"/>
          <w:sz w:val="22"/>
          <w:szCs w:val="22"/>
        </w:rPr>
        <w:t xml:space="preserve">solution </w:t>
      </w:r>
      <w:r w:rsidRPr="007D73EF">
        <w:rPr>
          <w:rFonts w:ascii="Arial" w:hAnsi="Arial" w:cs="Arial"/>
          <w:sz w:val="22"/>
          <w:szCs w:val="22"/>
        </w:rPr>
        <w:t xml:space="preserve">(equivalent to 0.1 mmol/kg body weight) is </w:t>
      </w:r>
      <w:r w:rsidR="00DF1438" w:rsidRPr="007D73EF">
        <w:rPr>
          <w:rFonts w:ascii="Arial" w:hAnsi="Arial" w:cs="Arial"/>
          <w:sz w:val="22"/>
          <w:szCs w:val="22"/>
        </w:rPr>
        <w:t>recommended</w:t>
      </w:r>
      <w:r w:rsidR="00003341" w:rsidRPr="007D73EF">
        <w:rPr>
          <w:sz w:val="22"/>
          <w:szCs w:val="22"/>
        </w:rPr>
        <w:t xml:space="preserve"> </w:t>
      </w:r>
      <w:r w:rsidR="00003341" w:rsidRPr="007D73EF">
        <w:rPr>
          <w:rFonts w:ascii="Arial" w:hAnsi="Arial" w:cs="Arial"/>
          <w:sz w:val="22"/>
          <w:szCs w:val="22"/>
        </w:rPr>
        <w:t>and</w:t>
      </w:r>
      <w:r w:rsidR="00A66EBD" w:rsidRPr="007D73EF">
        <w:rPr>
          <w:rFonts w:ascii="Arial" w:hAnsi="Arial" w:cs="Arial"/>
          <w:sz w:val="22"/>
          <w:szCs w:val="22"/>
        </w:rPr>
        <w:t xml:space="preserve"> is generally sufficient to answer clinical question</w:t>
      </w:r>
      <w:r w:rsidR="004D63D6" w:rsidRPr="007D73EF">
        <w:rPr>
          <w:rFonts w:ascii="Arial" w:hAnsi="Arial" w:cs="Arial"/>
          <w:sz w:val="22"/>
          <w:szCs w:val="22"/>
        </w:rPr>
        <w:t>s</w:t>
      </w:r>
      <w:r w:rsidR="00F7376B" w:rsidRPr="007D73EF">
        <w:rPr>
          <w:rFonts w:ascii="Arial" w:hAnsi="Arial" w:cs="Arial"/>
          <w:sz w:val="22"/>
          <w:szCs w:val="22"/>
        </w:rPr>
        <w:t>.</w:t>
      </w:r>
    </w:p>
    <w:p w14:paraId="40F1AF9E" w14:textId="77777777" w:rsidR="00AC2EF1" w:rsidRPr="007D73EF" w:rsidRDefault="007165EB" w:rsidP="00861283">
      <w:pPr>
        <w:spacing w:before="120" w:after="120" w:line="300" w:lineRule="atLeast"/>
        <w:ind w:right="-35"/>
        <w:jc w:val="both"/>
        <w:rPr>
          <w:rFonts w:ascii="Arial" w:hAnsi="Arial" w:cs="Arial"/>
          <w:noProof/>
          <w:sz w:val="22"/>
          <w:szCs w:val="22"/>
          <w:u w:val="single"/>
          <w:lang w:val="en-GB" w:eastAsia="en-US"/>
        </w:rPr>
      </w:pPr>
      <w:r w:rsidRPr="007D73EF">
        <w:rPr>
          <w:rFonts w:ascii="Arial" w:hAnsi="Arial" w:cs="Arial"/>
          <w:noProof/>
          <w:sz w:val="22"/>
          <w:szCs w:val="22"/>
          <w:u w:val="single"/>
          <w:lang w:val="en-GB" w:eastAsia="en-US"/>
        </w:rPr>
        <w:t xml:space="preserve">Cerebral Perfusion Studies (see </w:t>
      </w:r>
      <w:r w:rsidR="00CE21BB" w:rsidRPr="007D73EF">
        <w:rPr>
          <w:rFonts w:ascii="Arial" w:hAnsi="Arial" w:cs="Arial"/>
          <w:noProof/>
          <w:sz w:val="22"/>
          <w:szCs w:val="22"/>
          <w:u w:val="single"/>
          <w:lang w:val="en-GB" w:eastAsia="en-US"/>
        </w:rPr>
        <w:t>PRECAUTIONS</w:t>
      </w:r>
      <w:r w:rsidRPr="007D73EF">
        <w:rPr>
          <w:rFonts w:ascii="Arial" w:hAnsi="Arial" w:cs="Arial"/>
          <w:noProof/>
          <w:sz w:val="22"/>
          <w:szCs w:val="22"/>
          <w:u w:val="single"/>
          <w:lang w:val="en-GB" w:eastAsia="en-US"/>
        </w:rPr>
        <w:t>)</w:t>
      </w:r>
    </w:p>
    <w:p w14:paraId="12EB130D" w14:textId="3DB1A050" w:rsidR="007165EB" w:rsidRPr="007D73EF" w:rsidRDefault="007165EB" w:rsidP="00861283">
      <w:pPr>
        <w:spacing w:before="120" w:after="120" w:line="300" w:lineRule="atLeast"/>
        <w:ind w:right="-29"/>
        <w:jc w:val="both"/>
        <w:rPr>
          <w:rFonts w:ascii="Arial" w:hAnsi="Arial" w:cs="Arial"/>
          <w:sz w:val="22"/>
          <w:szCs w:val="22"/>
        </w:rPr>
      </w:pPr>
      <w:r w:rsidRPr="007D73EF">
        <w:rPr>
          <w:rFonts w:ascii="Arial" w:hAnsi="Arial" w:cs="Arial"/>
          <w:sz w:val="22"/>
          <w:szCs w:val="22"/>
        </w:rPr>
        <w:t>For gradient echo sequences</w:t>
      </w:r>
      <w:r w:rsidR="00751AAE" w:rsidRPr="007D73EF">
        <w:rPr>
          <w:rFonts w:ascii="Arial" w:hAnsi="Arial" w:cs="Arial"/>
          <w:sz w:val="22"/>
          <w:szCs w:val="22"/>
        </w:rPr>
        <w:t>, 0.1 -</w:t>
      </w:r>
      <w:r w:rsidRPr="007D73EF">
        <w:rPr>
          <w:rFonts w:ascii="Arial" w:hAnsi="Arial" w:cs="Arial"/>
          <w:sz w:val="22"/>
          <w:szCs w:val="22"/>
        </w:rPr>
        <w:t xml:space="preserve"> 0.3 mmol</w:t>
      </w:r>
      <w:r w:rsidR="00130456" w:rsidRPr="007D73EF">
        <w:rPr>
          <w:rFonts w:ascii="Arial" w:hAnsi="Arial" w:cs="Arial"/>
          <w:sz w:val="22"/>
          <w:szCs w:val="22"/>
        </w:rPr>
        <w:t xml:space="preserve"> Gadovist</w:t>
      </w:r>
      <w:r w:rsidR="00CA12D4" w:rsidRPr="007D73EF">
        <w:rPr>
          <w:rFonts w:ascii="Arial" w:hAnsi="Arial" w:cs="Arial"/>
          <w:sz w:val="22"/>
          <w:szCs w:val="22"/>
          <w:lang w:eastAsia="de-DE"/>
        </w:rPr>
        <w:t xml:space="preserve"> 1.0</w:t>
      </w:r>
      <w:r w:rsidR="00130456" w:rsidRPr="007D73EF">
        <w:rPr>
          <w:rFonts w:ascii="Arial" w:hAnsi="Arial" w:cs="Arial"/>
          <w:sz w:val="22"/>
          <w:szCs w:val="22"/>
        </w:rPr>
        <w:t xml:space="preserve"> per </w:t>
      </w:r>
      <w:r w:rsidRPr="007D73EF">
        <w:rPr>
          <w:rFonts w:ascii="Arial" w:hAnsi="Arial" w:cs="Arial"/>
          <w:sz w:val="22"/>
          <w:szCs w:val="22"/>
        </w:rPr>
        <w:t xml:space="preserve">kg body weight (equivalent </w:t>
      </w:r>
      <w:r w:rsidR="00F7376B" w:rsidRPr="007D73EF">
        <w:rPr>
          <w:rFonts w:ascii="Arial" w:hAnsi="Arial" w:cs="Arial"/>
          <w:sz w:val="22"/>
          <w:szCs w:val="22"/>
        </w:rPr>
        <w:t xml:space="preserve">to </w:t>
      </w:r>
      <w:r w:rsidR="00751AAE" w:rsidRPr="007D73EF">
        <w:rPr>
          <w:rFonts w:ascii="Arial" w:hAnsi="Arial" w:cs="Arial"/>
          <w:sz w:val="22"/>
          <w:szCs w:val="22"/>
        </w:rPr>
        <w:t xml:space="preserve">0.1 - </w:t>
      </w:r>
      <w:r w:rsidRPr="007D73EF">
        <w:rPr>
          <w:rFonts w:ascii="Arial" w:hAnsi="Arial" w:cs="Arial"/>
          <w:sz w:val="22"/>
          <w:szCs w:val="22"/>
        </w:rPr>
        <w:t>0.3</w:t>
      </w:r>
      <w:r w:rsidR="00C6349E" w:rsidRPr="007D73EF">
        <w:rPr>
          <w:rFonts w:ascii="Arial" w:hAnsi="Arial" w:cs="Arial"/>
          <w:sz w:val="22"/>
          <w:szCs w:val="22"/>
        </w:rPr>
        <w:t xml:space="preserve"> </w:t>
      </w:r>
      <w:r w:rsidRPr="007D73EF">
        <w:rPr>
          <w:rFonts w:ascii="Arial" w:hAnsi="Arial" w:cs="Arial"/>
          <w:sz w:val="22"/>
          <w:szCs w:val="22"/>
        </w:rPr>
        <w:t>mL</w:t>
      </w:r>
      <w:r w:rsidR="00C61B0F" w:rsidRPr="007D73EF">
        <w:rPr>
          <w:rFonts w:ascii="Arial" w:hAnsi="Arial" w:cs="Arial"/>
          <w:sz w:val="22"/>
          <w:szCs w:val="22"/>
        </w:rPr>
        <w:t xml:space="preserve"> Gadovist</w:t>
      </w:r>
      <w:r w:rsidR="00CA12D4" w:rsidRPr="007D73EF">
        <w:rPr>
          <w:rFonts w:ascii="Arial" w:hAnsi="Arial" w:cs="Arial"/>
          <w:sz w:val="22"/>
          <w:szCs w:val="22"/>
          <w:lang w:eastAsia="de-DE"/>
        </w:rPr>
        <w:t xml:space="preserve"> 1.0</w:t>
      </w:r>
      <w:r w:rsidR="00C61B0F" w:rsidRPr="007D73EF">
        <w:rPr>
          <w:rFonts w:ascii="Arial" w:hAnsi="Arial" w:cs="Arial"/>
          <w:sz w:val="22"/>
          <w:szCs w:val="22"/>
        </w:rPr>
        <w:t xml:space="preserve"> </w:t>
      </w:r>
      <w:r w:rsidR="004D63D6" w:rsidRPr="007D73EF">
        <w:rPr>
          <w:rFonts w:ascii="Arial" w:hAnsi="Arial" w:cs="Arial"/>
          <w:sz w:val="22"/>
          <w:szCs w:val="22"/>
        </w:rPr>
        <w:t xml:space="preserve">per </w:t>
      </w:r>
      <w:r w:rsidRPr="007D73EF">
        <w:rPr>
          <w:rFonts w:ascii="Arial" w:hAnsi="Arial" w:cs="Arial"/>
          <w:sz w:val="22"/>
          <w:szCs w:val="22"/>
        </w:rPr>
        <w:t>kg</w:t>
      </w:r>
      <w:r w:rsidR="00C61B0F" w:rsidRPr="007D73EF">
        <w:rPr>
          <w:rFonts w:ascii="Arial" w:hAnsi="Arial" w:cs="Arial"/>
          <w:sz w:val="22"/>
          <w:szCs w:val="22"/>
        </w:rPr>
        <w:t xml:space="preserve"> body weight</w:t>
      </w:r>
      <w:r w:rsidRPr="007D73EF">
        <w:rPr>
          <w:rFonts w:ascii="Arial" w:hAnsi="Arial" w:cs="Arial"/>
          <w:sz w:val="22"/>
          <w:szCs w:val="22"/>
        </w:rPr>
        <w:t>) Gadovist</w:t>
      </w:r>
      <w:r w:rsidR="00CA12D4" w:rsidRPr="007D73EF">
        <w:rPr>
          <w:rFonts w:ascii="Arial" w:hAnsi="Arial" w:cs="Arial"/>
          <w:sz w:val="22"/>
          <w:szCs w:val="22"/>
          <w:lang w:eastAsia="de-DE"/>
        </w:rPr>
        <w:t xml:space="preserve"> 1.0</w:t>
      </w:r>
      <w:r w:rsidRPr="007D73EF">
        <w:rPr>
          <w:rFonts w:ascii="Arial" w:hAnsi="Arial" w:cs="Arial"/>
          <w:sz w:val="22"/>
          <w:szCs w:val="22"/>
        </w:rPr>
        <w:t xml:space="preserve"> given intravenously at a rate of 5 mL per second using a powered injector </w:t>
      </w:r>
      <w:r w:rsidR="00BB2944" w:rsidRPr="007D73EF">
        <w:rPr>
          <w:rFonts w:ascii="Arial" w:hAnsi="Arial" w:cs="Arial"/>
          <w:sz w:val="22"/>
          <w:szCs w:val="22"/>
        </w:rPr>
        <w:t xml:space="preserve">is </w:t>
      </w:r>
      <w:r w:rsidRPr="007D73EF">
        <w:rPr>
          <w:rFonts w:ascii="Arial" w:hAnsi="Arial" w:cs="Arial"/>
          <w:sz w:val="22"/>
          <w:szCs w:val="22"/>
        </w:rPr>
        <w:t>recommended.</w:t>
      </w:r>
    </w:p>
    <w:p w14:paraId="5F468B40" w14:textId="77777777" w:rsidR="007165EB" w:rsidRPr="007D73EF" w:rsidRDefault="007165EB" w:rsidP="00861283">
      <w:pPr>
        <w:spacing w:before="120" w:after="120" w:line="300" w:lineRule="atLeast"/>
        <w:ind w:right="-35"/>
        <w:jc w:val="both"/>
        <w:rPr>
          <w:rFonts w:ascii="Arial" w:hAnsi="Arial" w:cs="Arial"/>
          <w:noProof/>
          <w:sz w:val="22"/>
          <w:szCs w:val="22"/>
          <w:u w:val="single"/>
          <w:lang w:val="en-GB" w:eastAsia="en-US"/>
        </w:rPr>
      </w:pPr>
      <w:r w:rsidRPr="007D73EF">
        <w:rPr>
          <w:rFonts w:ascii="Arial" w:hAnsi="Arial" w:cs="Arial"/>
          <w:noProof/>
          <w:sz w:val="22"/>
          <w:szCs w:val="22"/>
          <w:u w:val="single"/>
          <w:lang w:val="en-GB" w:eastAsia="en-US"/>
        </w:rPr>
        <w:t>Contrast</w:t>
      </w:r>
      <w:r w:rsidR="007C689E" w:rsidRPr="007D73EF">
        <w:rPr>
          <w:rFonts w:ascii="Arial" w:hAnsi="Arial" w:cs="Arial"/>
          <w:noProof/>
          <w:sz w:val="22"/>
          <w:szCs w:val="22"/>
          <w:u w:val="single"/>
          <w:lang w:val="en-GB" w:eastAsia="en-US"/>
        </w:rPr>
        <w:t>–</w:t>
      </w:r>
      <w:r w:rsidRPr="007D73EF">
        <w:rPr>
          <w:rFonts w:ascii="Arial" w:hAnsi="Arial" w:cs="Arial"/>
          <w:noProof/>
          <w:sz w:val="22"/>
          <w:szCs w:val="22"/>
          <w:u w:val="single"/>
          <w:lang w:val="en-GB" w:eastAsia="en-US"/>
        </w:rPr>
        <w:t>enhanced magnetic resonance angiography</w:t>
      </w:r>
      <w:r w:rsidR="00BB2944" w:rsidRPr="007D73EF">
        <w:rPr>
          <w:rFonts w:ascii="Arial" w:hAnsi="Arial" w:cs="Arial"/>
          <w:noProof/>
          <w:sz w:val="22"/>
          <w:szCs w:val="22"/>
          <w:u w:val="single"/>
          <w:lang w:val="en-GB" w:eastAsia="en-US"/>
        </w:rPr>
        <w:t>, CE MRA</w:t>
      </w:r>
    </w:p>
    <w:p w14:paraId="3058F290" w14:textId="77777777" w:rsidR="007165EB" w:rsidRPr="007D73EF" w:rsidRDefault="007165EB" w:rsidP="00861283">
      <w:pPr>
        <w:spacing w:before="120" w:after="120" w:line="300" w:lineRule="atLeast"/>
        <w:ind w:right="-29"/>
        <w:jc w:val="both"/>
        <w:rPr>
          <w:rFonts w:ascii="Arial" w:hAnsi="Arial" w:cs="Arial"/>
          <w:sz w:val="22"/>
          <w:szCs w:val="22"/>
        </w:rPr>
      </w:pPr>
      <w:r w:rsidRPr="007D73EF">
        <w:rPr>
          <w:rFonts w:ascii="Arial" w:hAnsi="Arial" w:cs="Arial"/>
          <w:i/>
          <w:sz w:val="22"/>
          <w:szCs w:val="22"/>
        </w:rPr>
        <w:t>Imaging of one field of view</w:t>
      </w:r>
      <w:r w:rsidRPr="007D73EF">
        <w:rPr>
          <w:rFonts w:ascii="Arial" w:hAnsi="Arial" w:cs="Arial"/>
          <w:sz w:val="22"/>
          <w:szCs w:val="22"/>
        </w:rPr>
        <w:t>:</w:t>
      </w:r>
    </w:p>
    <w:p w14:paraId="5F5E4FC2" w14:textId="77777777" w:rsidR="007165EB" w:rsidRPr="007D73EF" w:rsidRDefault="007165EB" w:rsidP="00861283">
      <w:pPr>
        <w:spacing w:before="120" w:after="120" w:line="300" w:lineRule="atLeast"/>
        <w:ind w:right="-29"/>
        <w:jc w:val="both"/>
        <w:rPr>
          <w:rFonts w:ascii="Arial" w:hAnsi="Arial" w:cs="Arial"/>
          <w:sz w:val="22"/>
          <w:szCs w:val="22"/>
        </w:rPr>
      </w:pPr>
      <w:r w:rsidRPr="007D73EF">
        <w:rPr>
          <w:rFonts w:ascii="Arial" w:hAnsi="Arial" w:cs="Arial"/>
          <w:sz w:val="22"/>
          <w:szCs w:val="22"/>
        </w:rPr>
        <w:t xml:space="preserve">7.5 mL for body weight </w:t>
      </w:r>
      <w:r w:rsidR="005E4E0C" w:rsidRPr="007D73EF">
        <w:rPr>
          <w:rFonts w:ascii="Arial" w:hAnsi="Arial" w:cs="Arial"/>
          <w:sz w:val="22"/>
          <w:szCs w:val="22"/>
        </w:rPr>
        <w:t xml:space="preserve">less than </w:t>
      </w:r>
      <w:r w:rsidR="00F7372A" w:rsidRPr="007D73EF">
        <w:rPr>
          <w:rFonts w:ascii="Arial" w:hAnsi="Arial" w:cs="Arial"/>
          <w:sz w:val="22"/>
          <w:szCs w:val="22"/>
        </w:rPr>
        <w:t>75 kg</w:t>
      </w:r>
    </w:p>
    <w:p w14:paraId="4026B053" w14:textId="77777777" w:rsidR="007165EB" w:rsidRPr="007D73EF" w:rsidRDefault="00F7372A" w:rsidP="00861283">
      <w:pPr>
        <w:spacing w:before="120" w:after="120" w:line="300" w:lineRule="atLeast"/>
        <w:ind w:right="-29"/>
        <w:jc w:val="both"/>
        <w:rPr>
          <w:rFonts w:ascii="Arial" w:hAnsi="Arial" w:cs="Arial"/>
          <w:sz w:val="22"/>
          <w:szCs w:val="22"/>
        </w:rPr>
      </w:pPr>
      <w:r w:rsidRPr="007D73EF">
        <w:rPr>
          <w:rFonts w:ascii="Arial" w:hAnsi="Arial" w:cs="Arial"/>
          <w:sz w:val="22"/>
          <w:szCs w:val="22"/>
        </w:rPr>
        <w:t>10 mL for body weight of 75 kg or more</w:t>
      </w:r>
    </w:p>
    <w:p w14:paraId="27473ABE" w14:textId="77777777" w:rsidR="007165EB" w:rsidRPr="007D73EF" w:rsidRDefault="00F7372A" w:rsidP="00861283">
      <w:pPr>
        <w:spacing w:before="120" w:after="120" w:line="300" w:lineRule="atLeast"/>
        <w:ind w:right="-29"/>
        <w:jc w:val="both"/>
        <w:rPr>
          <w:rFonts w:ascii="Arial" w:hAnsi="Arial" w:cs="Arial"/>
          <w:sz w:val="22"/>
          <w:szCs w:val="22"/>
        </w:rPr>
      </w:pPr>
      <w:r w:rsidRPr="007D73EF">
        <w:rPr>
          <w:rFonts w:ascii="Arial" w:hAnsi="Arial" w:cs="Arial"/>
          <w:sz w:val="22"/>
          <w:szCs w:val="22"/>
        </w:rPr>
        <w:t>(Corresponding to 0.1 – 0.15 mmol per kg body weight)</w:t>
      </w:r>
    </w:p>
    <w:p w14:paraId="72A555A6" w14:textId="77777777" w:rsidR="007165EB" w:rsidRPr="007D73EF" w:rsidRDefault="00F7372A" w:rsidP="00861283">
      <w:pPr>
        <w:spacing w:before="120" w:after="120" w:line="300" w:lineRule="atLeast"/>
        <w:ind w:right="-29"/>
        <w:jc w:val="both"/>
        <w:rPr>
          <w:rFonts w:ascii="Arial" w:hAnsi="Arial" w:cs="Arial"/>
          <w:sz w:val="22"/>
          <w:szCs w:val="22"/>
        </w:rPr>
      </w:pPr>
      <w:r w:rsidRPr="007D73EF">
        <w:rPr>
          <w:rFonts w:ascii="Arial" w:hAnsi="Arial" w:cs="Arial"/>
          <w:i/>
          <w:sz w:val="22"/>
          <w:szCs w:val="22"/>
        </w:rPr>
        <w:t>Imaging more than one field of view</w:t>
      </w:r>
      <w:r w:rsidRPr="007D73EF">
        <w:rPr>
          <w:rFonts w:ascii="Arial" w:hAnsi="Arial" w:cs="Arial"/>
          <w:sz w:val="22"/>
          <w:szCs w:val="22"/>
        </w:rPr>
        <w:t>:</w:t>
      </w:r>
    </w:p>
    <w:p w14:paraId="4BD3BE36" w14:textId="77777777" w:rsidR="007165EB" w:rsidRPr="007D73EF" w:rsidRDefault="00F7372A" w:rsidP="00861283">
      <w:pPr>
        <w:spacing w:before="120" w:after="120" w:line="300" w:lineRule="atLeast"/>
        <w:ind w:right="-29"/>
        <w:jc w:val="both"/>
        <w:rPr>
          <w:rFonts w:ascii="Arial" w:hAnsi="Arial" w:cs="Arial"/>
          <w:sz w:val="22"/>
          <w:szCs w:val="22"/>
        </w:rPr>
      </w:pPr>
      <w:r w:rsidRPr="007D73EF">
        <w:rPr>
          <w:rFonts w:ascii="Arial" w:hAnsi="Arial" w:cs="Arial"/>
          <w:sz w:val="22"/>
          <w:szCs w:val="22"/>
        </w:rPr>
        <w:t>15 mL for body weight less than 75 kg</w:t>
      </w:r>
    </w:p>
    <w:p w14:paraId="1534EFAB" w14:textId="77777777" w:rsidR="007165EB" w:rsidRPr="007D73EF" w:rsidRDefault="00F7372A" w:rsidP="00861283">
      <w:pPr>
        <w:spacing w:before="120" w:after="120" w:line="300" w:lineRule="atLeast"/>
        <w:ind w:right="-29"/>
        <w:jc w:val="both"/>
        <w:rPr>
          <w:rFonts w:ascii="Arial" w:hAnsi="Arial" w:cs="Arial"/>
          <w:sz w:val="22"/>
          <w:szCs w:val="22"/>
        </w:rPr>
      </w:pPr>
      <w:r w:rsidRPr="007D73EF">
        <w:rPr>
          <w:rFonts w:ascii="Arial" w:hAnsi="Arial" w:cs="Arial"/>
          <w:sz w:val="22"/>
          <w:szCs w:val="22"/>
        </w:rPr>
        <w:t>20 mL for body weight of 75 kg or more</w:t>
      </w:r>
    </w:p>
    <w:p w14:paraId="2ADB22A1" w14:textId="77777777" w:rsidR="007165EB" w:rsidRPr="007D73EF" w:rsidRDefault="00F7372A" w:rsidP="00861283">
      <w:pPr>
        <w:spacing w:before="120" w:after="120" w:line="300" w:lineRule="atLeast"/>
        <w:ind w:right="-29"/>
        <w:jc w:val="both"/>
        <w:rPr>
          <w:rFonts w:ascii="Arial" w:hAnsi="Arial" w:cs="Arial"/>
          <w:sz w:val="22"/>
          <w:szCs w:val="22"/>
        </w:rPr>
      </w:pPr>
      <w:r w:rsidRPr="007D73EF">
        <w:rPr>
          <w:rFonts w:ascii="Arial" w:hAnsi="Arial" w:cs="Arial"/>
          <w:sz w:val="22"/>
          <w:szCs w:val="22"/>
        </w:rPr>
        <w:lastRenderedPageBreak/>
        <w:t xml:space="preserve">(Corresponding to 0.2 – 0.3 mmol per /kg body weight) </w:t>
      </w:r>
    </w:p>
    <w:p w14:paraId="339FC5FE" w14:textId="52CC817E" w:rsidR="001D6D95" w:rsidRPr="007D73EF" w:rsidRDefault="001D6D95" w:rsidP="001D6D95">
      <w:pPr>
        <w:spacing w:before="120" w:after="120" w:line="300" w:lineRule="atLeast"/>
        <w:ind w:right="-35"/>
        <w:jc w:val="both"/>
        <w:rPr>
          <w:rFonts w:ascii="Arial" w:hAnsi="Arial" w:cs="Arial"/>
          <w:noProof/>
          <w:sz w:val="22"/>
          <w:szCs w:val="22"/>
          <w:u w:val="single"/>
          <w:lang w:val="en-GB" w:eastAsia="en-US"/>
        </w:rPr>
      </w:pPr>
      <w:r w:rsidRPr="007D73EF">
        <w:rPr>
          <w:rFonts w:ascii="Arial" w:hAnsi="Arial" w:cs="Arial"/>
          <w:noProof/>
          <w:sz w:val="22"/>
          <w:szCs w:val="22"/>
          <w:u w:val="single"/>
          <w:lang w:val="en-GB" w:eastAsia="en-US"/>
        </w:rPr>
        <w:t>CE Myocardial Perfusion Imaging and Delayed Enhancement</w:t>
      </w:r>
      <w:r w:rsidR="008B6785" w:rsidRPr="00CF7D18">
        <w:rPr>
          <w:rFonts w:ascii="Arial" w:hAnsi="Arial" w:cs="Arial"/>
          <w:noProof/>
          <w:sz w:val="22"/>
          <w:szCs w:val="22"/>
          <w:vertAlign w:val="superscript"/>
          <w:lang w:val="en-GB" w:eastAsia="en-US"/>
        </w:rPr>
        <w:t>#</w:t>
      </w:r>
    </w:p>
    <w:p w14:paraId="137B7F76" w14:textId="1C63B004" w:rsidR="001D6D95" w:rsidRPr="007D73EF" w:rsidRDefault="001D6D95" w:rsidP="001D6D95">
      <w:pPr>
        <w:pStyle w:val="Para0s"/>
        <w:spacing w:before="120" w:after="120" w:line="300" w:lineRule="atLeast"/>
        <w:ind w:right="-29"/>
        <w:rPr>
          <w:rFonts w:ascii="Arial" w:hAnsi="Arial" w:cs="Arial"/>
          <w:szCs w:val="22"/>
        </w:rPr>
      </w:pPr>
      <w:r w:rsidRPr="007D73EF">
        <w:rPr>
          <w:rFonts w:ascii="Arial" w:hAnsi="Arial" w:cs="Arial"/>
          <w:szCs w:val="22"/>
        </w:rPr>
        <w:t>The recommended dose is 0.05 mL/kg body weight during pharmacological stress and 0.05 mL/kg body weight at rest of the 1.0 mmol/mL Gadovist</w:t>
      </w:r>
      <w:r w:rsidR="00CA12D4" w:rsidRPr="007D73EF">
        <w:rPr>
          <w:rFonts w:ascii="Arial" w:hAnsi="Arial" w:cs="Arial"/>
          <w:szCs w:val="22"/>
        </w:rPr>
        <w:t xml:space="preserve"> 1.0</w:t>
      </w:r>
      <w:r w:rsidRPr="007D73EF">
        <w:rPr>
          <w:rFonts w:ascii="Arial" w:hAnsi="Arial" w:cs="Arial"/>
          <w:szCs w:val="22"/>
        </w:rPr>
        <w:t xml:space="preserve"> </w:t>
      </w:r>
      <w:proofErr w:type="gramStart"/>
      <w:r w:rsidR="007D73EF">
        <w:rPr>
          <w:rFonts w:ascii="Arial" w:hAnsi="Arial" w:cs="Arial"/>
          <w:szCs w:val="22"/>
        </w:rPr>
        <w:t>solution</w:t>
      </w:r>
      <w:proofErr w:type="gramEnd"/>
      <w:r w:rsidR="007D73EF">
        <w:rPr>
          <w:rFonts w:ascii="Arial" w:hAnsi="Arial" w:cs="Arial"/>
          <w:szCs w:val="22"/>
        </w:rPr>
        <w:t xml:space="preserve"> </w:t>
      </w:r>
      <w:r w:rsidRPr="007D73EF">
        <w:rPr>
          <w:rFonts w:ascii="Arial" w:hAnsi="Arial" w:cs="Arial"/>
          <w:szCs w:val="22"/>
        </w:rPr>
        <w:t>(equivalent to a total dose of 0.1 mL/kg body weight or 0.1 mmol/kg body weight).</w:t>
      </w:r>
    </w:p>
    <w:p w14:paraId="1592D8F9" w14:textId="77777777" w:rsidR="007D73EF" w:rsidRDefault="001D6D95" w:rsidP="007D73EF">
      <w:pPr>
        <w:pStyle w:val="Para0s"/>
        <w:spacing w:before="120" w:after="120" w:line="300" w:lineRule="atLeast"/>
        <w:ind w:right="-29"/>
        <w:rPr>
          <w:rFonts w:ascii="Arial" w:hAnsi="Arial" w:cs="Arial"/>
          <w:szCs w:val="22"/>
        </w:rPr>
      </w:pPr>
      <w:r w:rsidRPr="007D73EF">
        <w:rPr>
          <w:rFonts w:ascii="Arial" w:hAnsi="Arial" w:cs="Arial"/>
          <w:szCs w:val="22"/>
        </w:rPr>
        <w:t>For delayed enhancement only, a total dose of 0.1 mL/kg body weight is also recommended</w:t>
      </w:r>
      <w:r w:rsidR="003A3AE1" w:rsidRPr="007D73EF">
        <w:rPr>
          <w:rFonts w:ascii="Arial" w:hAnsi="Arial" w:cs="Arial"/>
          <w:szCs w:val="22"/>
        </w:rPr>
        <w:t>.</w:t>
      </w:r>
    </w:p>
    <w:p w14:paraId="3BF7E3CC" w14:textId="3D9A8CDE" w:rsidR="0036676A" w:rsidRPr="007D73EF" w:rsidRDefault="00F7372A" w:rsidP="00861283">
      <w:pPr>
        <w:spacing w:before="120" w:after="120" w:line="300" w:lineRule="atLeast"/>
        <w:ind w:right="-35"/>
        <w:jc w:val="both"/>
        <w:rPr>
          <w:rFonts w:ascii="Arial" w:hAnsi="Arial" w:cs="Arial"/>
          <w:noProof/>
          <w:sz w:val="22"/>
          <w:szCs w:val="22"/>
          <w:u w:val="single"/>
          <w:lang w:val="en-GB" w:eastAsia="en-US"/>
        </w:rPr>
      </w:pPr>
      <w:r w:rsidRPr="007D73EF">
        <w:rPr>
          <w:rFonts w:ascii="Arial" w:hAnsi="Arial" w:cs="Arial"/>
          <w:noProof/>
          <w:sz w:val="22"/>
          <w:szCs w:val="22"/>
          <w:u w:val="single"/>
          <w:lang w:val="en-GB" w:eastAsia="en-US"/>
        </w:rPr>
        <w:t>Paediatric population</w:t>
      </w:r>
    </w:p>
    <w:p w14:paraId="2FEAE9D8" w14:textId="3F91D710" w:rsidR="000F173D" w:rsidRPr="007D73EF" w:rsidRDefault="0036676A" w:rsidP="00861283">
      <w:pPr>
        <w:pStyle w:val="Para0s"/>
        <w:spacing w:before="120" w:after="120" w:line="300" w:lineRule="atLeast"/>
        <w:ind w:right="-29"/>
        <w:rPr>
          <w:rFonts w:ascii="Arial" w:hAnsi="Arial" w:cs="Arial"/>
          <w:szCs w:val="22"/>
        </w:rPr>
      </w:pPr>
      <w:r w:rsidRPr="007D73EF">
        <w:rPr>
          <w:rFonts w:ascii="Arial" w:hAnsi="Arial" w:cs="Arial"/>
          <w:szCs w:val="22"/>
        </w:rPr>
        <w:t>For children aged 2 years and older and for adolescents the recommended dose is 0.1 mmol Gadovist</w:t>
      </w:r>
      <w:r w:rsidR="00CA12D4" w:rsidRPr="007D73EF">
        <w:rPr>
          <w:rFonts w:ascii="Arial" w:hAnsi="Arial" w:cs="Arial"/>
          <w:szCs w:val="22"/>
        </w:rPr>
        <w:t xml:space="preserve"> 1.0</w:t>
      </w:r>
      <w:r w:rsidRPr="007D73EF">
        <w:rPr>
          <w:rFonts w:ascii="Arial" w:hAnsi="Arial" w:cs="Arial"/>
          <w:szCs w:val="22"/>
        </w:rPr>
        <w:t xml:space="preserve"> per kg body weight </w:t>
      </w:r>
      <w:r w:rsidRPr="007D73EF">
        <w:rPr>
          <w:rFonts w:ascii="Arial" w:hAnsi="Arial" w:cs="Arial"/>
          <w:szCs w:val="22"/>
          <w:lang w:val="en-GB"/>
        </w:rPr>
        <w:t>(equivalent to 0.1 m</w:t>
      </w:r>
      <w:r w:rsidR="002300A5" w:rsidRPr="007D73EF">
        <w:rPr>
          <w:rFonts w:ascii="Arial" w:hAnsi="Arial" w:cs="Arial"/>
          <w:szCs w:val="22"/>
          <w:lang w:val="en-GB"/>
        </w:rPr>
        <w:t>L</w:t>
      </w:r>
      <w:r w:rsidRPr="007D73EF">
        <w:rPr>
          <w:rFonts w:ascii="Arial" w:hAnsi="Arial" w:cs="Arial"/>
          <w:szCs w:val="22"/>
          <w:lang w:val="en-GB"/>
        </w:rPr>
        <w:t xml:space="preserve"> Gadovist</w:t>
      </w:r>
      <w:r w:rsidR="00CA12D4" w:rsidRPr="007D73EF">
        <w:rPr>
          <w:rFonts w:ascii="Arial" w:hAnsi="Arial" w:cs="Arial"/>
          <w:szCs w:val="22"/>
        </w:rPr>
        <w:t xml:space="preserve"> 1.0</w:t>
      </w:r>
      <w:r w:rsidRPr="007D73EF">
        <w:rPr>
          <w:rFonts w:ascii="Arial" w:hAnsi="Arial" w:cs="Arial"/>
          <w:szCs w:val="22"/>
          <w:lang w:val="en-GB"/>
        </w:rPr>
        <w:t xml:space="preserve"> per kg body weight) for all indications </w:t>
      </w:r>
      <w:r w:rsidR="008832F6" w:rsidRPr="007D73EF">
        <w:rPr>
          <w:rFonts w:ascii="Arial" w:hAnsi="Arial" w:cs="Arial"/>
          <w:szCs w:val="22"/>
          <w:lang w:val="en-GB"/>
        </w:rPr>
        <w:t>(</w:t>
      </w:r>
      <w:r w:rsidRPr="007D73EF">
        <w:rPr>
          <w:rFonts w:ascii="Arial" w:hAnsi="Arial" w:cs="Arial"/>
          <w:szCs w:val="22"/>
          <w:lang w:val="en-GB"/>
        </w:rPr>
        <w:t xml:space="preserve">see </w:t>
      </w:r>
      <w:r w:rsidR="00CE21BB" w:rsidRPr="007D73EF">
        <w:rPr>
          <w:rFonts w:ascii="Arial" w:hAnsi="Arial" w:cs="Arial"/>
          <w:szCs w:val="22"/>
          <w:lang w:val="en-GB"/>
        </w:rPr>
        <w:t>INDICATIONS</w:t>
      </w:r>
      <w:r w:rsidR="008832F6" w:rsidRPr="007D73EF">
        <w:rPr>
          <w:rFonts w:ascii="Arial" w:hAnsi="Arial" w:cs="Arial"/>
          <w:szCs w:val="22"/>
          <w:lang w:val="en-GB"/>
        </w:rPr>
        <w:t>)</w:t>
      </w:r>
      <w:r w:rsidRPr="007D73EF">
        <w:rPr>
          <w:rFonts w:ascii="Arial" w:hAnsi="Arial" w:cs="Arial"/>
          <w:szCs w:val="22"/>
        </w:rPr>
        <w:t xml:space="preserve">. </w:t>
      </w:r>
    </w:p>
    <w:p w14:paraId="6219CA0D" w14:textId="69B13FE4" w:rsidR="00A02665" w:rsidRPr="007D73EF" w:rsidRDefault="00A02665" w:rsidP="00A02665">
      <w:pPr>
        <w:spacing w:before="120" w:after="120" w:line="300" w:lineRule="atLeast"/>
        <w:ind w:right="-35"/>
        <w:jc w:val="both"/>
        <w:rPr>
          <w:rFonts w:ascii="Arial" w:hAnsi="Arial" w:cs="Arial"/>
          <w:noProof/>
          <w:sz w:val="22"/>
          <w:szCs w:val="22"/>
          <w:u w:val="single"/>
          <w:lang w:val="en-GB" w:eastAsia="en-US"/>
        </w:rPr>
      </w:pPr>
      <w:r w:rsidRPr="007D73EF">
        <w:rPr>
          <w:rFonts w:ascii="Arial" w:hAnsi="Arial" w:cs="Arial"/>
          <w:noProof/>
          <w:sz w:val="22"/>
          <w:szCs w:val="22"/>
          <w:u w:val="single"/>
          <w:lang w:val="en-GB" w:eastAsia="en-US"/>
        </w:rPr>
        <w:t>Elderly population</w:t>
      </w:r>
      <w:r w:rsidR="008B6785" w:rsidRPr="00CF7D18">
        <w:rPr>
          <w:rFonts w:ascii="Arial" w:hAnsi="Arial" w:cs="Arial"/>
          <w:noProof/>
          <w:sz w:val="22"/>
          <w:szCs w:val="22"/>
          <w:vertAlign w:val="superscript"/>
          <w:lang w:val="en-GB" w:eastAsia="en-US"/>
        </w:rPr>
        <w:t>#</w:t>
      </w:r>
    </w:p>
    <w:p w14:paraId="1269329C" w14:textId="77777777" w:rsidR="00C04658" w:rsidRPr="007D73EF" w:rsidRDefault="00C04658" w:rsidP="00A02665">
      <w:pPr>
        <w:pStyle w:val="Para0s"/>
        <w:spacing w:before="120" w:after="120" w:line="300" w:lineRule="atLeast"/>
        <w:ind w:right="-29"/>
        <w:rPr>
          <w:rFonts w:ascii="Arial" w:hAnsi="Arial" w:cs="Arial"/>
          <w:szCs w:val="22"/>
        </w:rPr>
      </w:pPr>
      <w:r w:rsidRPr="007D73EF">
        <w:rPr>
          <w:rFonts w:ascii="Arial" w:hAnsi="Arial" w:cs="Arial"/>
          <w:szCs w:val="22"/>
        </w:rPr>
        <w:t>In clinical studies, no overall differences in safety</w:t>
      </w:r>
      <w:r w:rsidR="00A02665" w:rsidRPr="007D73EF">
        <w:rPr>
          <w:rFonts w:ascii="Arial" w:hAnsi="Arial" w:cs="Arial"/>
          <w:szCs w:val="22"/>
        </w:rPr>
        <w:t xml:space="preserve"> or effectiveness were observed </w:t>
      </w:r>
      <w:r w:rsidRPr="007D73EF">
        <w:rPr>
          <w:rFonts w:ascii="Arial" w:hAnsi="Arial" w:cs="Arial"/>
          <w:szCs w:val="22"/>
        </w:rPr>
        <w:t>between elderly (aged 65 years and above) and young</w:t>
      </w:r>
      <w:r w:rsidR="00A02665" w:rsidRPr="007D73EF">
        <w:rPr>
          <w:rFonts w:ascii="Arial" w:hAnsi="Arial" w:cs="Arial"/>
          <w:szCs w:val="22"/>
        </w:rPr>
        <w:t xml:space="preserve">er patients, and other reported </w:t>
      </w:r>
      <w:r w:rsidRPr="007D73EF">
        <w:rPr>
          <w:rFonts w:ascii="Arial" w:hAnsi="Arial" w:cs="Arial"/>
          <w:szCs w:val="22"/>
        </w:rPr>
        <w:t>clinical experience has not identified differences i</w:t>
      </w:r>
      <w:r w:rsidR="00A02665" w:rsidRPr="007D73EF">
        <w:rPr>
          <w:rFonts w:ascii="Arial" w:hAnsi="Arial" w:cs="Arial"/>
          <w:szCs w:val="22"/>
        </w:rPr>
        <w:t xml:space="preserve">n responses between the elderly </w:t>
      </w:r>
      <w:r w:rsidRPr="007D73EF">
        <w:rPr>
          <w:rFonts w:ascii="Arial" w:hAnsi="Arial" w:cs="Arial"/>
          <w:szCs w:val="22"/>
        </w:rPr>
        <w:t>and younger patients. No dosage adjustment is considered necessary.</w:t>
      </w:r>
    </w:p>
    <w:p w14:paraId="68C75500" w14:textId="77777777" w:rsidR="00CE0A8F" w:rsidRPr="007D73EF" w:rsidRDefault="00262914" w:rsidP="00861283">
      <w:pPr>
        <w:spacing w:before="120" w:after="120" w:line="300" w:lineRule="atLeast"/>
        <w:ind w:right="-35"/>
        <w:jc w:val="both"/>
        <w:rPr>
          <w:rFonts w:ascii="Arial" w:hAnsi="Arial" w:cs="Arial"/>
          <w:noProof/>
          <w:sz w:val="22"/>
          <w:szCs w:val="22"/>
          <w:u w:val="single"/>
          <w:lang w:val="en-GB" w:eastAsia="en-US"/>
        </w:rPr>
      </w:pPr>
      <w:r w:rsidRPr="007D73EF">
        <w:rPr>
          <w:rFonts w:ascii="Arial" w:hAnsi="Arial" w:cs="Arial"/>
          <w:noProof/>
          <w:sz w:val="22"/>
          <w:szCs w:val="22"/>
          <w:u w:val="single"/>
          <w:lang w:val="en-GB" w:eastAsia="en-US"/>
        </w:rPr>
        <w:t>Patients with renal impairment</w:t>
      </w:r>
    </w:p>
    <w:p w14:paraId="4214C208" w14:textId="4C72A087" w:rsidR="00CE0A8F" w:rsidRPr="007D73EF" w:rsidRDefault="00CD12E4" w:rsidP="00861283">
      <w:pPr>
        <w:pStyle w:val="Para0s"/>
        <w:spacing w:before="120" w:after="120" w:line="300" w:lineRule="atLeast"/>
        <w:ind w:right="-29"/>
        <w:rPr>
          <w:rFonts w:ascii="Arial" w:hAnsi="Arial" w:cs="Arial"/>
          <w:szCs w:val="22"/>
        </w:rPr>
      </w:pPr>
      <w:r>
        <w:rPr>
          <w:rFonts w:ascii="Arial" w:hAnsi="Arial" w:cs="Arial"/>
          <w:szCs w:val="22"/>
          <w:lang w:eastAsia="en-US"/>
        </w:rPr>
        <w:t>Do not exceed the recommended dose (s</w:t>
      </w:r>
      <w:r w:rsidR="00617209" w:rsidRPr="007D73EF">
        <w:rPr>
          <w:rFonts w:ascii="Arial" w:hAnsi="Arial" w:cs="Arial"/>
          <w:szCs w:val="22"/>
          <w:lang w:eastAsia="en-US"/>
        </w:rPr>
        <w:t>ee Pharmacokinetics</w:t>
      </w:r>
      <w:r>
        <w:rPr>
          <w:rFonts w:ascii="Arial" w:hAnsi="Arial" w:cs="Arial"/>
          <w:szCs w:val="22"/>
          <w:lang w:eastAsia="en-US"/>
        </w:rPr>
        <w:t>, Renal impairment;</w:t>
      </w:r>
      <w:r w:rsidR="00617209" w:rsidRPr="007D73EF">
        <w:rPr>
          <w:rFonts w:ascii="Arial" w:hAnsi="Arial" w:cs="Arial"/>
          <w:szCs w:val="22"/>
          <w:lang w:eastAsia="en-US"/>
        </w:rPr>
        <w:t xml:space="preserve"> PRECAUTIONS [boxed warning] and PRECAUTIONS</w:t>
      </w:r>
      <w:r>
        <w:rPr>
          <w:rFonts w:ascii="Arial" w:hAnsi="Arial" w:cs="Arial"/>
          <w:szCs w:val="22"/>
          <w:lang w:eastAsia="en-US"/>
        </w:rPr>
        <w:t xml:space="preserve">, </w:t>
      </w:r>
      <w:r w:rsidRPr="00CD12E4">
        <w:rPr>
          <w:rFonts w:ascii="Arial" w:hAnsi="Arial" w:cs="Arial"/>
          <w:szCs w:val="22"/>
          <w:lang w:eastAsia="en-US"/>
        </w:rPr>
        <w:t>Severe renal impairment and liver transplant patients</w:t>
      </w:r>
      <w:r>
        <w:rPr>
          <w:rFonts w:ascii="Arial" w:hAnsi="Arial" w:cs="Arial"/>
          <w:szCs w:val="22"/>
          <w:lang w:eastAsia="en-US"/>
        </w:rPr>
        <w:t>)</w:t>
      </w:r>
      <w:r w:rsidR="00617209" w:rsidRPr="007D73EF">
        <w:rPr>
          <w:rFonts w:ascii="Arial" w:hAnsi="Arial" w:cs="Arial"/>
          <w:szCs w:val="22"/>
          <w:lang w:eastAsia="en-US"/>
        </w:rPr>
        <w:t>.</w:t>
      </w:r>
    </w:p>
    <w:p w14:paraId="31648F5D" w14:textId="77777777" w:rsidR="003F2CCC" w:rsidRPr="007D73EF" w:rsidRDefault="003F2CCC" w:rsidP="00861283">
      <w:pPr>
        <w:spacing w:before="240" w:after="120"/>
        <w:ind w:right="1443"/>
        <w:jc w:val="both"/>
        <w:rPr>
          <w:rFonts w:ascii="Arial" w:hAnsi="Arial" w:cs="Arial"/>
          <w:b/>
          <w:sz w:val="24"/>
          <w:szCs w:val="24"/>
          <w:lang w:val="en-GB" w:eastAsia="en-US"/>
        </w:rPr>
      </w:pPr>
      <w:r w:rsidRPr="007D73EF">
        <w:rPr>
          <w:rFonts w:ascii="Arial" w:hAnsi="Arial" w:cs="Arial"/>
          <w:b/>
          <w:sz w:val="24"/>
          <w:szCs w:val="24"/>
          <w:lang w:val="en-GB" w:eastAsia="en-US"/>
        </w:rPr>
        <w:t>Instructions for use / handling</w:t>
      </w:r>
    </w:p>
    <w:p w14:paraId="79DCB02F" w14:textId="58F44A77" w:rsidR="00262914" w:rsidRPr="007D73EF" w:rsidRDefault="00262914" w:rsidP="00861283">
      <w:pPr>
        <w:pStyle w:val="Para0s"/>
        <w:spacing w:before="120" w:after="120" w:line="300" w:lineRule="atLeast"/>
        <w:ind w:right="-29"/>
        <w:jc w:val="both"/>
        <w:rPr>
          <w:rFonts w:ascii="Arial" w:hAnsi="Arial" w:cs="Arial"/>
          <w:szCs w:val="22"/>
        </w:rPr>
      </w:pPr>
      <w:r w:rsidRPr="007D73EF">
        <w:rPr>
          <w:rFonts w:ascii="Arial" w:hAnsi="Arial" w:cs="Arial"/>
          <w:szCs w:val="22"/>
        </w:rPr>
        <w:t>After the vial has been opened or the prefilled syringe has been prepared for use, Gadovist</w:t>
      </w:r>
      <w:r w:rsidR="00CA12D4" w:rsidRPr="007D73EF">
        <w:rPr>
          <w:rFonts w:ascii="Arial" w:hAnsi="Arial" w:cs="Arial"/>
          <w:szCs w:val="22"/>
        </w:rPr>
        <w:t xml:space="preserve"> 1.0</w:t>
      </w:r>
      <w:r w:rsidRPr="007D73EF">
        <w:rPr>
          <w:rFonts w:ascii="Arial" w:hAnsi="Arial" w:cs="Arial"/>
          <w:szCs w:val="22"/>
        </w:rPr>
        <w:t xml:space="preserve"> remains stable for 24 hours at 20 to 25 °C and must be discarded thereafter</w:t>
      </w:r>
      <w:r w:rsidR="00F7376B" w:rsidRPr="007D73EF">
        <w:rPr>
          <w:rFonts w:ascii="Arial" w:hAnsi="Arial" w:cs="Arial"/>
          <w:szCs w:val="22"/>
        </w:rPr>
        <w:t>.</w:t>
      </w:r>
    </w:p>
    <w:p w14:paraId="225FED44" w14:textId="77777777" w:rsidR="004F0042" w:rsidRPr="007D73EF" w:rsidRDefault="00262914" w:rsidP="00861283">
      <w:pPr>
        <w:spacing w:before="240" w:after="120"/>
        <w:ind w:right="1443"/>
        <w:jc w:val="both"/>
        <w:rPr>
          <w:rFonts w:ascii="Arial" w:hAnsi="Arial" w:cs="Arial"/>
          <w:b/>
          <w:sz w:val="24"/>
          <w:szCs w:val="24"/>
          <w:lang w:val="en-GB" w:eastAsia="en-US"/>
        </w:rPr>
      </w:pPr>
      <w:r w:rsidRPr="007D73EF">
        <w:rPr>
          <w:rFonts w:ascii="Arial" w:hAnsi="Arial" w:cs="Arial"/>
          <w:b/>
          <w:sz w:val="24"/>
          <w:szCs w:val="24"/>
          <w:lang w:val="en-GB" w:eastAsia="en-US"/>
        </w:rPr>
        <w:t>Visual inspection</w:t>
      </w:r>
    </w:p>
    <w:p w14:paraId="551E1CA6" w14:textId="77777777" w:rsidR="004F0042" w:rsidRPr="007D73EF" w:rsidRDefault="00262914" w:rsidP="00861283">
      <w:pPr>
        <w:pStyle w:val="Para0s"/>
        <w:spacing w:before="120" w:after="120" w:line="300" w:lineRule="atLeast"/>
        <w:ind w:right="-29"/>
        <w:jc w:val="both"/>
        <w:rPr>
          <w:rFonts w:ascii="Arial" w:hAnsi="Arial" w:cs="Arial"/>
          <w:szCs w:val="22"/>
        </w:rPr>
      </w:pPr>
      <w:r w:rsidRPr="007D73EF">
        <w:rPr>
          <w:rFonts w:ascii="Arial" w:hAnsi="Arial" w:cs="Arial"/>
          <w:szCs w:val="22"/>
        </w:rPr>
        <w:t xml:space="preserve">This medicinal product should be visually inspected before use. </w:t>
      </w:r>
    </w:p>
    <w:p w14:paraId="7F3DE910" w14:textId="2ED9A647" w:rsidR="007961A0" w:rsidRPr="007D73EF" w:rsidRDefault="00262914" w:rsidP="00861283">
      <w:pPr>
        <w:pStyle w:val="Para0s"/>
        <w:spacing w:before="120" w:after="120" w:line="300" w:lineRule="atLeast"/>
        <w:ind w:right="-29"/>
        <w:jc w:val="both"/>
        <w:rPr>
          <w:rFonts w:ascii="Arial" w:hAnsi="Arial" w:cs="Arial"/>
          <w:szCs w:val="22"/>
        </w:rPr>
      </w:pPr>
      <w:r w:rsidRPr="007D73EF">
        <w:rPr>
          <w:rFonts w:ascii="Arial" w:hAnsi="Arial" w:cs="Arial"/>
          <w:szCs w:val="22"/>
        </w:rPr>
        <w:t>Gadovist</w:t>
      </w:r>
      <w:r w:rsidR="00CA12D4" w:rsidRPr="007D73EF">
        <w:rPr>
          <w:rFonts w:ascii="Arial" w:hAnsi="Arial" w:cs="Arial"/>
          <w:szCs w:val="22"/>
        </w:rPr>
        <w:t xml:space="preserve"> 1.0</w:t>
      </w:r>
      <w:r w:rsidRPr="007D73EF">
        <w:rPr>
          <w:rFonts w:ascii="Arial" w:hAnsi="Arial" w:cs="Arial"/>
          <w:szCs w:val="22"/>
        </w:rPr>
        <w:t xml:space="preserve"> should not be used in case of severe discoloration, the occurrence of particulate matter or a defective container.</w:t>
      </w:r>
    </w:p>
    <w:p w14:paraId="05230613" w14:textId="77777777" w:rsidR="00861283" w:rsidRPr="007D73EF" w:rsidRDefault="00861283" w:rsidP="00861283">
      <w:pPr>
        <w:spacing w:before="240" w:after="120"/>
        <w:ind w:right="1443"/>
        <w:jc w:val="both"/>
        <w:rPr>
          <w:rFonts w:ascii="Arial" w:hAnsi="Arial" w:cs="Arial"/>
          <w:b/>
          <w:sz w:val="24"/>
          <w:szCs w:val="24"/>
          <w:lang w:val="en-GB" w:eastAsia="en-US"/>
        </w:rPr>
      </w:pPr>
      <w:r w:rsidRPr="007D73EF">
        <w:rPr>
          <w:rFonts w:ascii="Arial" w:hAnsi="Arial" w:cs="Arial"/>
          <w:b/>
          <w:sz w:val="24"/>
          <w:szCs w:val="24"/>
          <w:lang w:val="en-GB" w:eastAsia="en-US"/>
        </w:rPr>
        <w:t>Administration</w:t>
      </w:r>
    </w:p>
    <w:p w14:paraId="2BACB2BD" w14:textId="77777777" w:rsidR="00807173" w:rsidRPr="007D73EF" w:rsidRDefault="003F2CCC" w:rsidP="00861283">
      <w:pPr>
        <w:spacing w:before="120" w:after="120" w:line="300" w:lineRule="atLeast"/>
        <w:ind w:right="-35"/>
        <w:jc w:val="both"/>
        <w:rPr>
          <w:rFonts w:ascii="Arial" w:hAnsi="Arial" w:cs="Arial"/>
          <w:noProof/>
          <w:sz w:val="22"/>
          <w:szCs w:val="22"/>
          <w:u w:val="single"/>
          <w:lang w:val="en-GB" w:eastAsia="en-US"/>
        </w:rPr>
      </w:pPr>
      <w:r w:rsidRPr="007D73EF">
        <w:rPr>
          <w:rFonts w:ascii="Arial" w:hAnsi="Arial" w:cs="Arial"/>
          <w:noProof/>
          <w:sz w:val="22"/>
          <w:szCs w:val="22"/>
          <w:u w:val="single"/>
          <w:lang w:val="en-GB" w:eastAsia="en-US"/>
        </w:rPr>
        <w:t>Vials</w:t>
      </w:r>
    </w:p>
    <w:p w14:paraId="1B51BA1B" w14:textId="6ECCAC9C" w:rsidR="003F2CCC" w:rsidRPr="007D73EF" w:rsidRDefault="003F2CCC" w:rsidP="00861283">
      <w:pPr>
        <w:pStyle w:val="Para0s"/>
        <w:spacing w:before="120" w:after="120" w:line="300" w:lineRule="atLeast"/>
        <w:ind w:right="-29"/>
        <w:jc w:val="both"/>
        <w:rPr>
          <w:rFonts w:ascii="Arial" w:hAnsi="Arial" w:cs="Arial"/>
          <w:szCs w:val="22"/>
        </w:rPr>
      </w:pPr>
      <w:r w:rsidRPr="007D73EF">
        <w:rPr>
          <w:rFonts w:ascii="Arial" w:hAnsi="Arial" w:cs="Arial"/>
          <w:szCs w:val="22"/>
        </w:rPr>
        <w:t>Gadovist</w:t>
      </w:r>
      <w:r w:rsidR="00CA12D4" w:rsidRPr="007D73EF">
        <w:rPr>
          <w:rFonts w:ascii="Arial" w:hAnsi="Arial" w:cs="Arial"/>
          <w:szCs w:val="22"/>
        </w:rPr>
        <w:t xml:space="preserve"> 1.0</w:t>
      </w:r>
      <w:r w:rsidRPr="007D73EF">
        <w:rPr>
          <w:rFonts w:ascii="Arial" w:hAnsi="Arial" w:cs="Arial"/>
          <w:szCs w:val="22"/>
        </w:rPr>
        <w:t xml:space="preserve"> should only be drawn into the syringe immediately before use.</w:t>
      </w:r>
    </w:p>
    <w:p w14:paraId="295D4F30" w14:textId="77777777" w:rsidR="003F2CCC" w:rsidRPr="007D73EF" w:rsidRDefault="003F2CCC" w:rsidP="00861283">
      <w:pPr>
        <w:pStyle w:val="Para0s"/>
        <w:spacing w:before="120" w:after="120" w:line="300" w:lineRule="atLeast"/>
        <w:ind w:right="-29"/>
        <w:jc w:val="both"/>
        <w:rPr>
          <w:rFonts w:ascii="Arial" w:hAnsi="Arial" w:cs="Arial"/>
          <w:szCs w:val="22"/>
        </w:rPr>
      </w:pPr>
      <w:r w:rsidRPr="007D73EF">
        <w:rPr>
          <w:rFonts w:ascii="Arial" w:hAnsi="Arial" w:cs="Arial"/>
          <w:szCs w:val="22"/>
        </w:rPr>
        <w:t>The rubber stopper should never be pierced more than once.</w:t>
      </w:r>
    </w:p>
    <w:p w14:paraId="7BB3B2CF" w14:textId="77777777" w:rsidR="003F2CCC" w:rsidRPr="007D73EF" w:rsidRDefault="003F2CCC" w:rsidP="00861283">
      <w:pPr>
        <w:pStyle w:val="Para0s"/>
        <w:spacing w:before="120" w:after="120" w:line="300" w:lineRule="atLeast"/>
        <w:ind w:right="-29"/>
        <w:jc w:val="both"/>
        <w:rPr>
          <w:rFonts w:ascii="Arial" w:hAnsi="Arial" w:cs="Arial"/>
          <w:szCs w:val="22"/>
        </w:rPr>
      </w:pPr>
      <w:r w:rsidRPr="007D73EF">
        <w:rPr>
          <w:rFonts w:ascii="Arial" w:hAnsi="Arial" w:cs="Arial"/>
          <w:szCs w:val="22"/>
        </w:rPr>
        <w:t>Any contrast medium solution not used in one examination must be discarded.</w:t>
      </w:r>
    </w:p>
    <w:p w14:paraId="7612F603" w14:textId="77777777" w:rsidR="00A107F4" w:rsidRDefault="00A107F4" w:rsidP="00861283">
      <w:pPr>
        <w:spacing w:before="120" w:after="120" w:line="300" w:lineRule="atLeast"/>
        <w:ind w:right="-35"/>
        <w:jc w:val="both"/>
        <w:rPr>
          <w:rFonts w:ascii="Arial" w:hAnsi="Arial" w:cs="Arial"/>
          <w:noProof/>
          <w:sz w:val="22"/>
          <w:szCs w:val="22"/>
          <w:u w:val="single"/>
          <w:lang w:val="en-GB" w:eastAsia="en-US"/>
        </w:rPr>
      </w:pPr>
    </w:p>
    <w:p w14:paraId="5074C53A" w14:textId="77777777" w:rsidR="00A107F4" w:rsidRDefault="00A107F4" w:rsidP="00861283">
      <w:pPr>
        <w:spacing w:before="120" w:after="120" w:line="300" w:lineRule="atLeast"/>
        <w:ind w:right="-35"/>
        <w:jc w:val="both"/>
        <w:rPr>
          <w:rFonts w:ascii="Arial" w:hAnsi="Arial" w:cs="Arial"/>
          <w:noProof/>
          <w:sz w:val="22"/>
          <w:szCs w:val="22"/>
          <w:u w:val="single"/>
          <w:lang w:val="en-GB" w:eastAsia="en-US"/>
        </w:rPr>
      </w:pPr>
    </w:p>
    <w:p w14:paraId="37DFAF41" w14:textId="77777777" w:rsidR="003F2CCC" w:rsidRPr="007D73EF" w:rsidRDefault="003F2CCC" w:rsidP="00861283">
      <w:pPr>
        <w:spacing w:before="120" w:after="120" w:line="300" w:lineRule="atLeast"/>
        <w:ind w:right="-35"/>
        <w:jc w:val="both"/>
        <w:rPr>
          <w:rFonts w:ascii="Arial" w:hAnsi="Arial" w:cs="Arial"/>
          <w:noProof/>
          <w:sz w:val="22"/>
          <w:szCs w:val="22"/>
          <w:u w:val="single"/>
          <w:lang w:val="en-GB" w:eastAsia="en-US"/>
        </w:rPr>
      </w:pPr>
      <w:bookmarkStart w:id="5" w:name="_GoBack"/>
      <w:bookmarkEnd w:id="5"/>
      <w:r w:rsidRPr="007D73EF">
        <w:rPr>
          <w:rFonts w:ascii="Arial" w:hAnsi="Arial" w:cs="Arial"/>
          <w:noProof/>
          <w:sz w:val="22"/>
          <w:szCs w:val="22"/>
          <w:u w:val="single"/>
          <w:lang w:val="en-GB" w:eastAsia="en-US"/>
        </w:rPr>
        <w:lastRenderedPageBreak/>
        <w:t>Prefilled syringes</w:t>
      </w:r>
    </w:p>
    <w:p w14:paraId="1B53146D" w14:textId="77777777" w:rsidR="003F2CCC" w:rsidRPr="007D73EF" w:rsidRDefault="003F2CCC" w:rsidP="00861283">
      <w:pPr>
        <w:pStyle w:val="Para0s"/>
        <w:spacing w:before="120" w:after="120" w:line="300" w:lineRule="atLeast"/>
        <w:ind w:right="-29"/>
        <w:jc w:val="both"/>
        <w:rPr>
          <w:rFonts w:ascii="Arial" w:hAnsi="Arial" w:cs="Arial"/>
          <w:szCs w:val="22"/>
        </w:rPr>
      </w:pPr>
      <w:r w:rsidRPr="007D73EF">
        <w:rPr>
          <w:rFonts w:ascii="Arial" w:hAnsi="Arial" w:cs="Arial"/>
          <w:szCs w:val="22"/>
        </w:rPr>
        <w:t xml:space="preserve">The prefilled syringe must be taken from the pack and prepared for the injection immediately before the administration. </w:t>
      </w:r>
    </w:p>
    <w:p w14:paraId="5D435BD5" w14:textId="77777777" w:rsidR="003F2CCC" w:rsidRPr="007D73EF" w:rsidRDefault="003F2CCC" w:rsidP="00861283">
      <w:pPr>
        <w:pStyle w:val="Para0s"/>
        <w:spacing w:before="120" w:after="120" w:line="300" w:lineRule="atLeast"/>
        <w:ind w:right="-29"/>
        <w:jc w:val="both"/>
        <w:rPr>
          <w:rFonts w:ascii="Arial" w:hAnsi="Arial" w:cs="Arial"/>
          <w:szCs w:val="22"/>
        </w:rPr>
      </w:pPr>
      <w:r w:rsidRPr="007D73EF">
        <w:rPr>
          <w:rFonts w:ascii="Arial" w:hAnsi="Arial" w:cs="Arial"/>
          <w:szCs w:val="22"/>
        </w:rPr>
        <w:t>The tip cap should be removed from the prefilled syringe immediately before use.</w:t>
      </w:r>
    </w:p>
    <w:p w14:paraId="7C26EA18" w14:textId="77777777" w:rsidR="00861283" w:rsidRPr="007D73EF" w:rsidRDefault="003F2CCC" w:rsidP="00861283">
      <w:pPr>
        <w:pStyle w:val="Para0s"/>
        <w:spacing w:before="120" w:after="120" w:line="300" w:lineRule="atLeast"/>
        <w:ind w:right="-29"/>
        <w:jc w:val="both"/>
        <w:rPr>
          <w:rFonts w:ascii="Arial" w:hAnsi="Arial" w:cs="Arial"/>
          <w:sz w:val="24"/>
          <w:szCs w:val="24"/>
        </w:rPr>
      </w:pPr>
      <w:r w:rsidRPr="007D73EF">
        <w:rPr>
          <w:rFonts w:ascii="Arial" w:hAnsi="Arial" w:cs="Arial"/>
          <w:szCs w:val="22"/>
        </w:rPr>
        <w:t>Any contrast medium solution not used in one examination must be discarded.</w:t>
      </w:r>
    </w:p>
    <w:p w14:paraId="7BEF9440" w14:textId="77777777" w:rsidR="00671511" w:rsidRPr="007D73EF" w:rsidRDefault="00671511" w:rsidP="00941003">
      <w:pPr>
        <w:pStyle w:val="Heading1"/>
        <w:spacing w:before="480" w:after="240" w:line="300" w:lineRule="atLeast"/>
        <w:ind w:right="1443"/>
        <w:jc w:val="both"/>
        <w:rPr>
          <w:rFonts w:ascii="Arial" w:hAnsi="Arial" w:cs="Arial"/>
          <w:b/>
          <w:caps/>
          <w:kern w:val="28"/>
          <w:sz w:val="28"/>
          <w:lang w:val="en-GB"/>
        </w:rPr>
      </w:pPr>
      <w:r w:rsidRPr="007D73EF">
        <w:rPr>
          <w:rFonts w:ascii="Arial" w:hAnsi="Arial" w:cs="Arial"/>
          <w:b/>
          <w:caps/>
          <w:kern w:val="28"/>
          <w:sz w:val="28"/>
          <w:lang w:val="en-GB"/>
        </w:rPr>
        <w:t>OVERDOSAGE</w:t>
      </w:r>
    </w:p>
    <w:p w14:paraId="31174D11" w14:textId="77777777" w:rsidR="001A0EAA" w:rsidRPr="007D73EF" w:rsidRDefault="00671511" w:rsidP="00861283">
      <w:pPr>
        <w:pStyle w:val="Para0s"/>
        <w:spacing w:before="120" w:after="120" w:line="300" w:lineRule="atLeast"/>
        <w:ind w:right="-29"/>
        <w:jc w:val="both"/>
        <w:rPr>
          <w:rFonts w:ascii="Arial" w:hAnsi="Arial" w:cs="Arial"/>
          <w:szCs w:val="22"/>
        </w:rPr>
      </w:pPr>
      <w:r w:rsidRPr="007D73EF">
        <w:rPr>
          <w:rFonts w:ascii="Arial" w:hAnsi="Arial" w:cs="Arial"/>
          <w:szCs w:val="22"/>
        </w:rPr>
        <w:t xml:space="preserve">No signs of intoxication secondary to an overdose have so far been </w:t>
      </w:r>
      <w:r w:rsidR="00BB2142" w:rsidRPr="007D73EF">
        <w:rPr>
          <w:rFonts w:ascii="Arial" w:hAnsi="Arial" w:cs="Arial"/>
          <w:szCs w:val="22"/>
        </w:rPr>
        <w:t xml:space="preserve">reported </w:t>
      </w:r>
      <w:r w:rsidRPr="007D73EF">
        <w:rPr>
          <w:rFonts w:ascii="Arial" w:hAnsi="Arial" w:cs="Arial"/>
          <w:szCs w:val="22"/>
        </w:rPr>
        <w:t xml:space="preserve">during clinical use.  </w:t>
      </w:r>
      <w:r w:rsidR="00E37B1D" w:rsidRPr="007D73EF">
        <w:rPr>
          <w:rFonts w:ascii="Arial" w:hAnsi="Arial" w:cs="Arial"/>
          <w:szCs w:val="22"/>
        </w:rPr>
        <w:t xml:space="preserve">Single doses of gadobutrol as high as </w:t>
      </w:r>
      <w:r w:rsidRPr="007D73EF">
        <w:rPr>
          <w:rFonts w:ascii="Arial" w:hAnsi="Arial" w:cs="Arial"/>
          <w:szCs w:val="22"/>
        </w:rPr>
        <w:t xml:space="preserve">1.5 </w:t>
      </w:r>
      <w:r w:rsidR="00E37B1D" w:rsidRPr="007D73EF">
        <w:rPr>
          <w:rFonts w:ascii="Arial" w:hAnsi="Arial" w:cs="Arial"/>
          <w:szCs w:val="22"/>
        </w:rPr>
        <w:t xml:space="preserve">mmol gadobutrol /kg </w:t>
      </w:r>
      <w:r w:rsidRPr="007D73EF">
        <w:rPr>
          <w:rFonts w:ascii="Arial" w:hAnsi="Arial" w:cs="Arial"/>
          <w:szCs w:val="22"/>
        </w:rPr>
        <w:t xml:space="preserve">body weight </w:t>
      </w:r>
      <w:r w:rsidR="00E37B1D" w:rsidRPr="007D73EF">
        <w:rPr>
          <w:rFonts w:ascii="Arial" w:hAnsi="Arial" w:cs="Arial"/>
          <w:szCs w:val="22"/>
        </w:rPr>
        <w:t>were</w:t>
      </w:r>
      <w:r w:rsidRPr="007D73EF">
        <w:rPr>
          <w:rFonts w:ascii="Arial" w:hAnsi="Arial" w:cs="Arial"/>
          <w:szCs w:val="22"/>
        </w:rPr>
        <w:t xml:space="preserve"> </w:t>
      </w:r>
      <w:r w:rsidR="007C689E" w:rsidRPr="007D73EF">
        <w:rPr>
          <w:rFonts w:ascii="Arial" w:hAnsi="Arial" w:cs="Arial"/>
          <w:szCs w:val="22"/>
        </w:rPr>
        <w:t xml:space="preserve">well </w:t>
      </w:r>
      <w:r w:rsidRPr="007D73EF">
        <w:rPr>
          <w:rFonts w:ascii="Arial" w:hAnsi="Arial" w:cs="Arial"/>
          <w:szCs w:val="22"/>
        </w:rPr>
        <w:t xml:space="preserve">tolerated. </w:t>
      </w:r>
      <w:r w:rsidR="00262914" w:rsidRPr="007D73EF">
        <w:rPr>
          <w:rFonts w:ascii="Arial" w:hAnsi="Arial" w:cs="Arial"/>
          <w:szCs w:val="22"/>
        </w:rPr>
        <w:t xml:space="preserve"> In case of inadvertent overdosage</w:t>
      </w:r>
      <w:r w:rsidR="0065695D" w:rsidRPr="007D73EF">
        <w:rPr>
          <w:rFonts w:ascii="Arial" w:hAnsi="Arial" w:cs="Arial"/>
          <w:szCs w:val="22"/>
        </w:rPr>
        <w:t>,</w:t>
      </w:r>
      <w:r w:rsidR="002546F7" w:rsidRPr="007D73EF">
        <w:rPr>
          <w:rFonts w:ascii="Arial" w:hAnsi="Arial" w:cs="Arial"/>
          <w:szCs w:val="22"/>
        </w:rPr>
        <w:t xml:space="preserve"> </w:t>
      </w:r>
      <w:r w:rsidR="00E37B1D" w:rsidRPr="007D73EF">
        <w:rPr>
          <w:rFonts w:ascii="Arial" w:hAnsi="Arial" w:cs="Arial"/>
          <w:szCs w:val="22"/>
        </w:rPr>
        <w:t>c</w:t>
      </w:r>
      <w:r w:rsidR="001A0EAA" w:rsidRPr="007D73EF">
        <w:rPr>
          <w:rFonts w:ascii="Arial" w:hAnsi="Arial" w:cs="Arial"/>
          <w:szCs w:val="22"/>
        </w:rPr>
        <w:t>ardiovascular monitoring (including ECG) and control of renal function are recommended as a measure of precaution.</w:t>
      </w:r>
    </w:p>
    <w:p w14:paraId="65F45BB7" w14:textId="7BAF2A55" w:rsidR="00671511" w:rsidRPr="007D73EF" w:rsidRDefault="00671511" w:rsidP="00861283">
      <w:pPr>
        <w:pStyle w:val="Para0s"/>
        <w:spacing w:before="120" w:after="120" w:line="300" w:lineRule="atLeast"/>
        <w:ind w:right="-29"/>
        <w:jc w:val="both"/>
        <w:rPr>
          <w:rFonts w:ascii="Arial" w:hAnsi="Arial" w:cs="Arial"/>
          <w:szCs w:val="22"/>
        </w:rPr>
      </w:pPr>
      <w:r w:rsidRPr="007D73EF">
        <w:rPr>
          <w:rFonts w:ascii="Arial" w:hAnsi="Arial" w:cs="Arial"/>
          <w:szCs w:val="22"/>
        </w:rPr>
        <w:t xml:space="preserve">Gadovist can be removed from the body by </w:t>
      </w:r>
      <w:r w:rsidR="00C92A16" w:rsidRPr="007D73EF">
        <w:rPr>
          <w:rFonts w:ascii="Arial" w:hAnsi="Arial" w:cs="Arial"/>
          <w:szCs w:val="22"/>
        </w:rPr>
        <w:t>h</w:t>
      </w:r>
      <w:r w:rsidR="002811B0" w:rsidRPr="007D73EF">
        <w:rPr>
          <w:rFonts w:ascii="Arial" w:hAnsi="Arial" w:cs="Arial"/>
          <w:szCs w:val="22"/>
        </w:rPr>
        <w:t>a</w:t>
      </w:r>
      <w:r w:rsidR="00C92A16" w:rsidRPr="007D73EF">
        <w:rPr>
          <w:rFonts w:ascii="Arial" w:hAnsi="Arial" w:cs="Arial"/>
          <w:szCs w:val="22"/>
        </w:rPr>
        <w:t>emo</w:t>
      </w:r>
      <w:r w:rsidRPr="007D73EF">
        <w:rPr>
          <w:rFonts w:ascii="Arial" w:hAnsi="Arial" w:cs="Arial"/>
          <w:szCs w:val="22"/>
        </w:rPr>
        <w:t>dialysis</w:t>
      </w:r>
      <w:r w:rsidR="00C92A16" w:rsidRPr="007D73EF">
        <w:rPr>
          <w:rFonts w:ascii="Arial" w:hAnsi="Arial" w:cs="Arial"/>
          <w:szCs w:val="22"/>
        </w:rPr>
        <w:t xml:space="preserve"> (see </w:t>
      </w:r>
      <w:r w:rsidR="00CE21BB" w:rsidRPr="007D73EF">
        <w:rPr>
          <w:rFonts w:ascii="Arial" w:hAnsi="Arial" w:cs="Arial"/>
          <w:szCs w:val="22"/>
        </w:rPr>
        <w:t>PRECAUTIONS</w:t>
      </w:r>
      <w:r w:rsidR="00C92A16" w:rsidRPr="007D73EF">
        <w:rPr>
          <w:rFonts w:ascii="Arial" w:hAnsi="Arial" w:cs="Arial"/>
          <w:szCs w:val="22"/>
        </w:rPr>
        <w:t>).</w:t>
      </w:r>
    </w:p>
    <w:p w14:paraId="6A6F73D0" w14:textId="77777777" w:rsidR="00C7530C" w:rsidRPr="007D73EF" w:rsidRDefault="00C7530C" w:rsidP="00861283">
      <w:pPr>
        <w:pStyle w:val="Para0s"/>
        <w:spacing w:before="120" w:after="120" w:line="300" w:lineRule="atLeast"/>
        <w:ind w:right="-29"/>
        <w:jc w:val="both"/>
        <w:rPr>
          <w:rFonts w:ascii="Arial" w:hAnsi="Arial" w:cs="Arial"/>
          <w:szCs w:val="22"/>
        </w:rPr>
      </w:pPr>
      <w:r w:rsidRPr="007D73EF">
        <w:rPr>
          <w:rFonts w:ascii="Arial" w:hAnsi="Arial" w:cs="Arial"/>
          <w:szCs w:val="22"/>
        </w:rPr>
        <w:t>In cases of overdose, it is advisable to contact the Poisons Information Centre (131126) for recommendations on the management and treatment of overdosage.</w:t>
      </w:r>
    </w:p>
    <w:p w14:paraId="50BAE7D3" w14:textId="77777777" w:rsidR="00671511" w:rsidRPr="007D73EF" w:rsidRDefault="00671511" w:rsidP="00F20568">
      <w:pPr>
        <w:ind w:right="-35"/>
        <w:rPr>
          <w:rFonts w:ascii="Arial" w:hAnsi="Arial" w:cs="Arial"/>
          <w:sz w:val="24"/>
          <w:szCs w:val="24"/>
        </w:rPr>
      </w:pPr>
    </w:p>
    <w:p w14:paraId="2D5C6DC2" w14:textId="77777777" w:rsidR="007165EB" w:rsidRPr="007D73EF" w:rsidRDefault="00671511" w:rsidP="00941003">
      <w:pPr>
        <w:pStyle w:val="Heading1"/>
        <w:spacing w:before="480" w:after="240" w:line="300" w:lineRule="atLeast"/>
        <w:ind w:right="1443"/>
        <w:jc w:val="both"/>
        <w:rPr>
          <w:rFonts w:ascii="Arial" w:hAnsi="Arial" w:cs="Arial"/>
          <w:b/>
          <w:caps/>
          <w:kern w:val="28"/>
          <w:sz w:val="28"/>
          <w:lang w:val="en-GB"/>
        </w:rPr>
      </w:pPr>
      <w:r w:rsidRPr="007D73EF">
        <w:rPr>
          <w:rFonts w:ascii="Arial" w:hAnsi="Arial" w:cs="Arial"/>
          <w:b/>
          <w:caps/>
          <w:kern w:val="28"/>
          <w:sz w:val="28"/>
          <w:lang w:val="en-GB"/>
        </w:rPr>
        <w:t>PRESENTATION AND STORAGE CONDITIONS</w:t>
      </w:r>
    </w:p>
    <w:p w14:paraId="4DEB78BA" w14:textId="77777777" w:rsidR="00BC3C8F" w:rsidRPr="007D73EF" w:rsidRDefault="00BC3C8F" w:rsidP="00941003">
      <w:pPr>
        <w:spacing w:before="120" w:after="120" w:line="300" w:lineRule="atLeast"/>
        <w:ind w:right="-29"/>
        <w:rPr>
          <w:rFonts w:ascii="Arial" w:hAnsi="Arial" w:cs="Arial"/>
          <w:sz w:val="22"/>
          <w:szCs w:val="22"/>
        </w:rPr>
      </w:pPr>
      <w:r w:rsidRPr="007D73EF">
        <w:rPr>
          <w:rFonts w:ascii="Arial" w:hAnsi="Arial" w:cs="Arial"/>
          <w:sz w:val="22"/>
          <w:szCs w:val="22"/>
        </w:rPr>
        <w:t>Gadovist 1.0 is a solution containing 604.72 mg/mL gadobutrol and is available in packs of:</w:t>
      </w:r>
    </w:p>
    <w:p w14:paraId="5D835BD3" w14:textId="77777777" w:rsidR="00BC3C8F" w:rsidRPr="007D73EF" w:rsidRDefault="00BC3C8F" w:rsidP="00941003">
      <w:pPr>
        <w:pStyle w:val="ListParagraph"/>
        <w:numPr>
          <w:ilvl w:val="0"/>
          <w:numId w:val="22"/>
        </w:numPr>
        <w:spacing w:before="120" w:after="120" w:line="300" w:lineRule="atLeast"/>
        <w:ind w:right="-29"/>
        <w:rPr>
          <w:rFonts w:ascii="Arial" w:hAnsi="Arial" w:cs="Arial"/>
          <w:sz w:val="22"/>
          <w:szCs w:val="22"/>
        </w:rPr>
      </w:pPr>
      <w:r w:rsidRPr="007D73EF">
        <w:rPr>
          <w:rFonts w:ascii="Arial" w:hAnsi="Arial" w:cs="Arial"/>
          <w:sz w:val="22"/>
          <w:szCs w:val="22"/>
        </w:rPr>
        <w:t>5 x 7.5 mL (in 10 mL), 10 x 15 mL and 10 x 30 mL glass vials, and</w:t>
      </w:r>
    </w:p>
    <w:p w14:paraId="136688D8" w14:textId="77777777" w:rsidR="00BC3C8F" w:rsidRPr="007D73EF" w:rsidRDefault="00BC3C8F" w:rsidP="00941003">
      <w:pPr>
        <w:pStyle w:val="ListParagraph"/>
        <w:numPr>
          <w:ilvl w:val="0"/>
          <w:numId w:val="22"/>
        </w:numPr>
        <w:spacing w:before="120" w:after="120" w:line="300" w:lineRule="atLeast"/>
        <w:ind w:right="-29"/>
        <w:rPr>
          <w:rFonts w:ascii="Arial" w:hAnsi="Arial" w:cs="Arial"/>
          <w:sz w:val="22"/>
          <w:szCs w:val="22"/>
        </w:rPr>
      </w:pPr>
      <w:r w:rsidRPr="007D73EF">
        <w:rPr>
          <w:rFonts w:ascii="Arial" w:hAnsi="Arial" w:cs="Arial"/>
          <w:sz w:val="22"/>
          <w:szCs w:val="22"/>
        </w:rPr>
        <w:t>1 and 5 x 5 mL, 5 x 7.5 mL (in 10 mL), 5 x 10 mL, 5 x 15 mL and 5 x 20 mL prefilled glass syringes.</w:t>
      </w:r>
    </w:p>
    <w:p w14:paraId="5F9C7C1E" w14:textId="77777777" w:rsidR="00BC3C8F" w:rsidRPr="007D73EF" w:rsidRDefault="00BC3C8F" w:rsidP="00941003">
      <w:pPr>
        <w:spacing w:before="120" w:after="120" w:line="300" w:lineRule="atLeast"/>
        <w:ind w:right="-29"/>
        <w:rPr>
          <w:rFonts w:ascii="Arial" w:hAnsi="Arial" w:cs="Arial"/>
          <w:sz w:val="22"/>
          <w:szCs w:val="22"/>
        </w:rPr>
      </w:pPr>
      <w:r w:rsidRPr="007D73EF">
        <w:rPr>
          <w:rFonts w:ascii="Arial" w:hAnsi="Arial" w:cs="Arial"/>
          <w:sz w:val="22"/>
          <w:szCs w:val="22"/>
        </w:rPr>
        <w:t>Not all presentations may be marketed in Australia.</w:t>
      </w:r>
    </w:p>
    <w:p w14:paraId="115266D7" w14:textId="48F5CA56" w:rsidR="007165EB" w:rsidRPr="007D73EF" w:rsidRDefault="007165EB" w:rsidP="00941003">
      <w:pPr>
        <w:spacing w:before="120" w:after="120" w:line="300" w:lineRule="atLeast"/>
        <w:ind w:right="-29"/>
        <w:jc w:val="both"/>
        <w:rPr>
          <w:rFonts w:ascii="Arial" w:hAnsi="Arial" w:cs="Arial"/>
          <w:sz w:val="22"/>
          <w:szCs w:val="22"/>
        </w:rPr>
      </w:pPr>
      <w:r w:rsidRPr="007D73EF">
        <w:rPr>
          <w:rFonts w:ascii="Arial" w:hAnsi="Arial" w:cs="Arial"/>
          <w:sz w:val="22"/>
          <w:szCs w:val="22"/>
        </w:rPr>
        <w:t>Gadovist</w:t>
      </w:r>
      <w:r w:rsidR="00CA12D4" w:rsidRPr="007D73EF">
        <w:rPr>
          <w:rFonts w:ascii="Arial" w:hAnsi="Arial" w:cs="Arial"/>
          <w:sz w:val="22"/>
          <w:szCs w:val="22"/>
          <w:lang w:eastAsia="de-DE"/>
        </w:rPr>
        <w:t xml:space="preserve"> 1.0</w:t>
      </w:r>
      <w:r w:rsidR="009733A2" w:rsidRPr="007D73EF">
        <w:rPr>
          <w:rFonts w:ascii="Arial" w:hAnsi="Arial" w:cs="Arial"/>
          <w:sz w:val="22"/>
          <w:szCs w:val="22"/>
        </w:rPr>
        <w:t xml:space="preserve"> </w:t>
      </w:r>
      <w:r w:rsidRPr="007D73EF">
        <w:rPr>
          <w:rFonts w:ascii="Arial" w:hAnsi="Arial" w:cs="Arial"/>
          <w:sz w:val="22"/>
          <w:szCs w:val="22"/>
        </w:rPr>
        <w:t>should be stored below 30</w:t>
      </w:r>
      <w:r w:rsidRPr="007D73EF">
        <w:rPr>
          <w:rFonts w:ascii="Arial" w:hAnsi="Arial" w:cs="Arial"/>
          <w:sz w:val="22"/>
          <w:szCs w:val="22"/>
        </w:rPr>
        <w:sym w:font="Symbol" w:char="F0B0"/>
      </w:r>
      <w:r w:rsidRPr="007D73EF">
        <w:rPr>
          <w:rFonts w:ascii="Arial" w:hAnsi="Arial" w:cs="Arial"/>
          <w:sz w:val="22"/>
          <w:szCs w:val="22"/>
        </w:rPr>
        <w:t>C.</w:t>
      </w:r>
    </w:p>
    <w:p w14:paraId="213FF4B7" w14:textId="77777777" w:rsidR="007165EB" w:rsidRPr="007D73EF" w:rsidRDefault="00C87978" w:rsidP="00941003">
      <w:pPr>
        <w:spacing w:before="120" w:after="120" w:line="300" w:lineRule="atLeast"/>
        <w:ind w:right="-29"/>
        <w:jc w:val="both"/>
        <w:rPr>
          <w:rFonts w:ascii="Arial" w:hAnsi="Arial" w:cs="Arial"/>
          <w:sz w:val="24"/>
          <w:szCs w:val="24"/>
        </w:rPr>
      </w:pPr>
      <w:r w:rsidRPr="007D73EF">
        <w:rPr>
          <w:rFonts w:ascii="Arial" w:hAnsi="Arial" w:cs="Arial"/>
          <w:b/>
          <w:sz w:val="22"/>
          <w:szCs w:val="22"/>
        </w:rPr>
        <w:t>Incompatibilities:</w:t>
      </w:r>
      <w:r w:rsidRPr="007D73EF">
        <w:rPr>
          <w:rFonts w:ascii="Arial" w:hAnsi="Arial" w:cs="Arial"/>
          <w:sz w:val="22"/>
          <w:szCs w:val="22"/>
        </w:rPr>
        <w:t xml:space="preserve"> in the absence of compatibility studies, this medicinal product must not be mixed with other medicinal products.</w:t>
      </w:r>
    </w:p>
    <w:p w14:paraId="2D9BC335" w14:textId="77777777" w:rsidR="007165EB" w:rsidRPr="007D73EF" w:rsidRDefault="00262914" w:rsidP="00941003">
      <w:pPr>
        <w:pStyle w:val="Heading1"/>
        <w:spacing w:before="480" w:after="240" w:line="300" w:lineRule="atLeast"/>
        <w:ind w:right="1443"/>
        <w:jc w:val="both"/>
        <w:rPr>
          <w:rFonts w:ascii="Arial" w:hAnsi="Arial" w:cs="Arial"/>
          <w:b/>
          <w:caps/>
          <w:kern w:val="28"/>
          <w:sz w:val="28"/>
          <w:lang w:val="en-GB"/>
        </w:rPr>
      </w:pPr>
      <w:r w:rsidRPr="007D73EF">
        <w:rPr>
          <w:rFonts w:ascii="Arial" w:hAnsi="Arial" w:cs="Arial"/>
          <w:b/>
          <w:caps/>
          <w:kern w:val="28"/>
          <w:sz w:val="28"/>
          <w:lang w:val="en-GB"/>
        </w:rPr>
        <w:t>NAME AND ADDRESS OF THE SPONSOR</w:t>
      </w:r>
    </w:p>
    <w:p w14:paraId="4B9CA0F8" w14:textId="77777777" w:rsidR="00C87978" w:rsidRPr="007D73EF" w:rsidRDefault="00262914" w:rsidP="00941003">
      <w:pPr>
        <w:spacing w:before="120" w:after="120" w:line="300" w:lineRule="atLeast"/>
        <w:ind w:right="-29"/>
        <w:rPr>
          <w:rFonts w:ascii="Arial" w:hAnsi="Arial" w:cs="Arial"/>
          <w:sz w:val="22"/>
          <w:szCs w:val="22"/>
        </w:rPr>
      </w:pPr>
      <w:r w:rsidRPr="007D73EF">
        <w:rPr>
          <w:rFonts w:ascii="Arial" w:hAnsi="Arial" w:cs="Arial"/>
          <w:sz w:val="22"/>
          <w:szCs w:val="22"/>
        </w:rPr>
        <w:t>Bayer Australia Ltd</w:t>
      </w:r>
    </w:p>
    <w:p w14:paraId="52D82654" w14:textId="77777777" w:rsidR="00C87978" w:rsidRPr="007D73EF" w:rsidRDefault="00262914" w:rsidP="00941003">
      <w:pPr>
        <w:spacing w:before="120" w:after="120" w:line="300" w:lineRule="atLeast"/>
        <w:ind w:right="-29"/>
        <w:rPr>
          <w:rFonts w:ascii="Arial" w:hAnsi="Arial" w:cs="Arial"/>
          <w:sz w:val="22"/>
          <w:szCs w:val="22"/>
        </w:rPr>
      </w:pPr>
      <w:r w:rsidRPr="007D73EF">
        <w:rPr>
          <w:rFonts w:ascii="Arial" w:hAnsi="Arial" w:cs="Arial"/>
          <w:sz w:val="22"/>
          <w:szCs w:val="22"/>
        </w:rPr>
        <w:t>A.B.N. 22 000 138 714</w:t>
      </w:r>
    </w:p>
    <w:p w14:paraId="4943555B" w14:textId="77777777" w:rsidR="00C87978" w:rsidRPr="007D73EF" w:rsidRDefault="00C87978" w:rsidP="00941003">
      <w:pPr>
        <w:spacing w:before="120" w:after="120" w:line="300" w:lineRule="atLeast"/>
        <w:ind w:right="-29"/>
        <w:rPr>
          <w:rFonts w:ascii="Arial" w:hAnsi="Arial" w:cs="Arial"/>
          <w:sz w:val="22"/>
          <w:szCs w:val="22"/>
        </w:rPr>
      </w:pPr>
      <w:smartTag w:uri="urn:schemas-microsoft-com:office:smarttags" w:element="Street">
        <w:smartTag w:uri="urn:schemas-microsoft-com:office:smarttags" w:element="address">
          <w:r w:rsidRPr="007D73EF">
            <w:rPr>
              <w:rFonts w:ascii="Arial" w:hAnsi="Arial" w:cs="Arial"/>
              <w:sz w:val="22"/>
              <w:szCs w:val="22"/>
            </w:rPr>
            <w:t>875 Pacific Highway</w:t>
          </w:r>
        </w:smartTag>
      </w:smartTag>
    </w:p>
    <w:p w14:paraId="372E7307" w14:textId="77777777" w:rsidR="00C87978" w:rsidRPr="007D73EF" w:rsidRDefault="00C87978" w:rsidP="00941003">
      <w:pPr>
        <w:spacing w:before="120" w:after="120" w:line="300" w:lineRule="atLeast"/>
        <w:ind w:right="-29"/>
        <w:rPr>
          <w:rFonts w:ascii="Arial" w:hAnsi="Arial" w:cs="Arial"/>
          <w:sz w:val="22"/>
          <w:szCs w:val="22"/>
        </w:rPr>
      </w:pPr>
      <w:r w:rsidRPr="007D73EF">
        <w:rPr>
          <w:rFonts w:ascii="Arial" w:hAnsi="Arial" w:cs="Arial"/>
          <w:sz w:val="22"/>
          <w:szCs w:val="22"/>
        </w:rPr>
        <w:t>PYMBLE   NSW   2073</w:t>
      </w:r>
    </w:p>
    <w:p w14:paraId="0BFFADC3" w14:textId="77777777" w:rsidR="00671511" w:rsidRPr="007D73EF" w:rsidRDefault="00671511" w:rsidP="00941003">
      <w:pPr>
        <w:pStyle w:val="Heading1"/>
        <w:spacing w:before="480" w:after="240" w:line="300" w:lineRule="atLeast"/>
        <w:ind w:right="1443"/>
        <w:jc w:val="both"/>
        <w:rPr>
          <w:rFonts w:ascii="Arial" w:hAnsi="Arial" w:cs="Arial"/>
          <w:b/>
          <w:caps/>
          <w:kern w:val="28"/>
          <w:sz w:val="28"/>
          <w:lang w:val="en-GB"/>
        </w:rPr>
      </w:pPr>
      <w:r w:rsidRPr="007D73EF">
        <w:rPr>
          <w:rFonts w:ascii="Arial" w:hAnsi="Arial" w:cs="Arial"/>
          <w:b/>
          <w:caps/>
          <w:kern w:val="28"/>
          <w:sz w:val="28"/>
          <w:lang w:val="en-GB"/>
        </w:rPr>
        <w:lastRenderedPageBreak/>
        <w:t>POISONS SCHEDULE OF THE MEDICINE</w:t>
      </w:r>
    </w:p>
    <w:p w14:paraId="6AB9B9A0" w14:textId="77777777" w:rsidR="00671511" w:rsidRPr="007D73EF" w:rsidRDefault="00671511" w:rsidP="00941003">
      <w:pPr>
        <w:spacing w:before="120" w:after="120" w:line="300" w:lineRule="atLeast"/>
        <w:ind w:right="-29"/>
        <w:rPr>
          <w:rFonts w:ascii="Arial" w:hAnsi="Arial" w:cs="Arial"/>
          <w:sz w:val="22"/>
          <w:szCs w:val="22"/>
        </w:rPr>
      </w:pPr>
      <w:r w:rsidRPr="007D73EF">
        <w:rPr>
          <w:rFonts w:ascii="Arial" w:hAnsi="Arial" w:cs="Arial"/>
          <w:sz w:val="22"/>
          <w:szCs w:val="22"/>
        </w:rPr>
        <w:t>Not Scheduled.</w:t>
      </w:r>
    </w:p>
    <w:p w14:paraId="72131A45" w14:textId="77777777" w:rsidR="00FB4143" w:rsidRPr="007D73EF" w:rsidRDefault="00941003" w:rsidP="00941003">
      <w:pPr>
        <w:pStyle w:val="Heading1"/>
        <w:spacing w:before="480" w:after="240" w:line="300" w:lineRule="atLeast"/>
        <w:ind w:right="-35"/>
        <w:jc w:val="both"/>
        <w:rPr>
          <w:rFonts w:ascii="Arial" w:hAnsi="Arial" w:cs="Arial"/>
          <w:b/>
          <w:caps/>
          <w:kern w:val="28"/>
          <w:sz w:val="28"/>
          <w:lang w:val="en-GB"/>
        </w:rPr>
      </w:pPr>
      <w:r w:rsidRPr="007D73EF">
        <w:rPr>
          <w:rFonts w:ascii="Arial" w:hAnsi="Arial" w:cs="Arial"/>
          <w:b/>
          <w:kern w:val="28"/>
          <w:sz w:val="28"/>
          <w:lang w:val="en-US"/>
        </w:rPr>
        <w:t>D</w:t>
      </w:r>
      <w:r w:rsidRPr="007D73EF">
        <w:rPr>
          <w:rFonts w:ascii="Arial" w:hAnsi="Arial" w:cs="Arial"/>
          <w:b/>
          <w:kern w:val="28"/>
          <w:sz w:val="28"/>
          <w:lang w:val="en-GB"/>
        </w:rPr>
        <w:t>ate of first inclusion in the Australian Register of Therapeutic Goods (the ARTG)</w:t>
      </w:r>
    </w:p>
    <w:p w14:paraId="61E3BF87" w14:textId="77777777" w:rsidR="00941003" w:rsidRPr="007D73EF" w:rsidRDefault="00B550BB" w:rsidP="00941003">
      <w:pPr>
        <w:spacing w:before="120" w:after="120" w:line="300" w:lineRule="atLeast"/>
        <w:ind w:right="-29"/>
        <w:rPr>
          <w:rFonts w:ascii="Arial" w:hAnsi="Arial" w:cs="Arial"/>
          <w:sz w:val="22"/>
          <w:szCs w:val="22"/>
        </w:rPr>
      </w:pPr>
      <w:r w:rsidRPr="007D73EF">
        <w:rPr>
          <w:rFonts w:ascii="Arial" w:hAnsi="Arial" w:cs="Arial"/>
          <w:sz w:val="22"/>
          <w:szCs w:val="22"/>
        </w:rPr>
        <w:t>2 December 1998</w:t>
      </w:r>
    </w:p>
    <w:p w14:paraId="79377E9F" w14:textId="77777777" w:rsidR="00FB4143" w:rsidRPr="007D73EF" w:rsidRDefault="00941003" w:rsidP="00941003">
      <w:pPr>
        <w:pStyle w:val="Heading1"/>
        <w:spacing w:before="480" w:after="240" w:line="300" w:lineRule="atLeast"/>
        <w:ind w:right="-35"/>
        <w:jc w:val="both"/>
        <w:rPr>
          <w:rFonts w:ascii="Arial" w:hAnsi="Arial" w:cs="Arial"/>
          <w:b/>
          <w:kern w:val="28"/>
          <w:sz w:val="28"/>
          <w:lang w:val="en-US"/>
        </w:rPr>
      </w:pPr>
      <w:r w:rsidRPr="007D73EF">
        <w:rPr>
          <w:rFonts w:ascii="Arial" w:hAnsi="Arial" w:cs="Arial"/>
          <w:b/>
          <w:kern w:val="28"/>
          <w:sz w:val="28"/>
          <w:lang w:val="en-US"/>
        </w:rPr>
        <w:t>Date of most recent amendment</w:t>
      </w:r>
    </w:p>
    <w:p w14:paraId="61019F22" w14:textId="533D4579" w:rsidR="007165EB" w:rsidRPr="007D73EF" w:rsidRDefault="00F60603" w:rsidP="00FB36D6">
      <w:pPr>
        <w:spacing w:before="120" w:after="120" w:line="300" w:lineRule="atLeast"/>
        <w:ind w:right="-29"/>
      </w:pPr>
      <w:r>
        <w:rPr>
          <w:rFonts w:ascii="Arial" w:hAnsi="Arial" w:cs="Arial"/>
          <w:sz w:val="22"/>
          <w:szCs w:val="22"/>
        </w:rPr>
        <w:t>14 January 2015</w:t>
      </w:r>
    </w:p>
    <w:p w14:paraId="1642C17B" w14:textId="77777777" w:rsidR="00205EF8" w:rsidRPr="007D73EF" w:rsidRDefault="007D47A2" w:rsidP="00941003">
      <w:pPr>
        <w:pStyle w:val="Header"/>
        <w:tabs>
          <w:tab w:val="clear" w:pos="4320"/>
          <w:tab w:val="clear" w:pos="8640"/>
        </w:tabs>
        <w:spacing w:before="120" w:after="120" w:line="300" w:lineRule="atLeast"/>
        <w:ind w:right="-35"/>
        <w:rPr>
          <w:rFonts w:ascii="Arial" w:hAnsi="Arial" w:cs="Arial"/>
          <w:i/>
          <w:sz w:val="22"/>
          <w:szCs w:val="22"/>
          <w:lang w:val="en-US"/>
        </w:rPr>
      </w:pPr>
      <w:r w:rsidRPr="007D73EF">
        <w:rPr>
          <w:rFonts w:ascii="Arial" w:hAnsi="Arial" w:cs="Arial"/>
          <w:sz w:val="22"/>
          <w:szCs w:val="22"/>
          <w:vertAlign w:val="superscript"/>
          <w:lang w:val="en-US"/>
        </w:rPr>
        <w:t>#</w:t>
      </w:r>
      <w:r w:rsidR="005E22C2" w:rsidRPr="007D73EF">
        <w:rPr>
          <w:rFonts w:ascii="Arial" w:hAnsi="Arial" w:cs="Arial"/>
          <w:sz w:val="22"/>
          <w:szCs w:val="22"/>
          <w:vertAlign w:val="superscript"/>
          <w:lang w:val="en-US"/>
        </w:rPr>
        <w:t xml:space="preserve"> </w:t>
      </w:r>
      <w:proofErr w:type="gramStart"/>
      <w:r w:rsidR="00205EF8" w:rsidRPr="007D73EF">
        <w:rPr>
          <w:rFonts w:ascii="Arial" w:hAnsi="Arial" w:cs="Arial"/>
          <w:i/>
          <w:sz w:val="22"/>
          <w:szCs w:val="22"/>
          <w:lang w:val="en-US"/>
        </w:rPr>
        <w:t>Please</w:t>
      </w:r>
      <w:proofErr w:type="gramEnd"/>
      <w:r w:rsidR="00205EF8" w:rsidRPr="007D73EF">
        <w:rPr>
          <w:rFonts w:ascii="Arial" w:hAnsi="Arial" w:cs="Arial"/>
          <w:i/>
          <w:sz w:val="22"/>
          <w:szCs w:val="22"/>
          <w:lang w:val="en-US"/>
        </w:rPr>
        <w:t xml:space="preserve"> note change in Product Information</w:t>
      </w:r>
    </w:p>
    <w:p w14:paraId="1A055544" w14:textId="77777777" w:rsidR="00C87978" w:rsidRPr="005E22C2" w:rsidRDefault="00B220BA" w:rsidP="00941003">
      <w:pPr>
        <w:spacing w:before="120" w:after="120" w:line="300" w:lineRule="atLeast"/>
        <w:ind w:right="-35"/>
        <w:rPr>
          <w:rFonts w:ascii="Arial" w:hAnsi="Arial" w:cs="Arial"/>
          <w:sz w:val="22"/>
          <w:szCs w:val="22"/>
        </w:rPr>
      </w:pPr>
      <w:r w:rsidRPr="007D73EF">
        <w:rPr>
          <w:rFonts w:ascii="Arial" w:hAnsi="Arial" w:cs="Arial"/>
          <w:b/>
          <w:sz w:val="22"/>
          <w:szCs w:val="22"/>
          <w:vertAlign w:val="superscript"/>
        </w:rPr>
        <w:t>®</w:t>
      </w:r>
      <w:r w:rsidR="00F7372A" w:rsidRPr="007D73EF">
        <w:rPr>
          <w:rFonts w:ascii="Arial" w:hAnsi="Arial" w:cs="Arial"/>
          <w:sz w:val="22"/>
          <w:szCs w:val="22"/>
        </w:rPr>
        <w:t xml:space="preserve"> Registered Tradem</w:t>
      </w:r>
      <w:r w:rsidR="005E22C2" w:rsidRPr="007D73EF">
        <w:rPr>
          <w:rFonts w:ascii="Arial" w:hAnsi="Arial" w:cs="Arial"/>
          <w:sz w:val="22"/>
          <w:szCs w:val="22"/>
        </w:rPr>
        <w:t>ark of the Bayer Group, Germany</w:t>
      </w:r>
    </w:p>
    <w:p w14:paraId="59A4D36A" w14:textId="77777777" w:rsidR="00C87978" w:rsidRPr="00C81DEC" w:rsidRDefault="00C87978" w:rsidP="00941003">
      <w:pPr>
        <w:pStyle w:val="Header"/>
        <w:tabs>
          <w:tab w:val="clear" w:pos="4320"/>
          <w:tab w:val="clear" w:pos="8640"/>
        </w:tabs>
        <w:spacing w:before="120" w:after="120" w:line="300" w:lineRule="atLeast"/>
        <w:ind w:right="-35"/>
        <w:rPr>
          <w:rFonts w:ascii="Arial" w:hAnsi="Arial" w:cs="Arial"/>
          <w:sz w:val="24"/>
          <w:szCs w:val="24"/>
          <w:lang w:val="en-US"/>
        </w:rPr>
      </w:pPr>
    </w:p>
    <w:sectPr w:rsidR="00C87978" w:rsidRPr="00C81DEC" w:rsidSect="00944AEF">
      <w:headerReference w:type="even" r:id="rId11"/>
      <w:headerReference w:type="default" r:id="rId12"/>
      <w:footerReference w:type="even" r:id="rId13"/>
      <w:footerReference w:type="default" r:id="rId14"/>
      <w:headerReference w:type="first" r:id="rId15"/>
      <w:footerReference w:type="first" r:id="rId16"/>
      <w:pgSz w:w="11907" w:h="16840" w:code="9"/>
      <w:pgMar w:top="1718" w:right="1758" w:bottom="1644" w:left="1814" w:header="794" w:footer="794"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1D776F" w15:done="0"/>
  <w15:commentEx w15:paraId="6F9BA781" w15:done="0"/>
  <w15:commentEx w15:paraId="632A692C" w15:done="0"/>
  <w15:commentEx w15:paraId="3E65D2F5" w15:done="0"/>
  <w15:commentEx w15:paraId="66BAC082" w15:done="0"/>
  <w15:commentEx w15:paraId="0C98EA29" w15:done="0"/>
  <w15:commentEx w15:paraId="269BFA3D" w15:done="0"/>
  <w15:commentEx w15:paraId="33B62273" w15:done="0"/>
  <w15:commentEx w15:paraId="592E6A62" w15:done="0"/>
  <w15:commentEx w15:paraId="64B412A2" w15:done="0"/>
  <w15:commentEx w15:paraId="6C5AAB19" w15:done="0"/>
  <w15:commentEx w15:paraId="61C69F13" w15:done="0"/>
  <w15:commentEx w15:paraId="4ED25DDB" w15:done="0"/>
  <w15:commentEx w15:paraId="59C07E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2C61F" w14:textId="77777777" w:rsidR="00F60603" w:rsidRDefault="00F60603">
      <w:r>
        <w:separator/>
      </w:r>
    </w:p>
  </w:endnote>
  <w:endnote w:type="continuationSeparator" w:id="0">
    <w:p w14:paraId="2D8A530E" w14:textId="77777777" w:rsidR="00F60603" w:rsidRDefault="00F6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55 Roman">
    <w:panose1 w:val="00000000000000000000"/>
    <w:charset w:val="00"/>
    <w:family w:val="swiss"/>
    <w:notTrueType/>
    <w:pitch w:val="variable"/>
    <w:sig w:usb0="00000003" w:usb1="00000000" w:usb2="00000000" w:usb3="00000000" w:csb0="00000001" w:csb1="00000000"/>
  </w:font>
  <w:font w:name="Helvetica 35 Thi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0D0BD" w14:textId="77777777" w:rsidR="0088455F" w:rsidRDefault="008845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335CF" w14:textId="090AC4AC" w:rsidR="00F60603" w:rsidRPr="005E22C2" w:rsidRDefault="00F60603" w:rsidP="00F20568">
    <w:pPr>
      <w:pStyle w:val="Footer"/>
      <w:pBdr>
        <w:top w:val="single" w:sz="4" w:space="1" w:color="auto"/>
      </w:pBdr>
      <w:tabs>
        <w:tab w:val="left" w:pos="5670"/>
      </w:tabs>
      <w:rPr>
        <w:rFonts w:ascii="Arial" w:hAnsi="Arial" w:cs="Arial"/>
        <w:sz w:val="18"/>
        <w:szCs w:val="18"/>
        <w:lang w:val="en-AU"/>
      </w:rPr>
    </w:pPr>
    <w:r>
      <w:rPr>
        <w:rFonts w:ascii="Arial" w:hAnsi="Arial" w:cs="Arial"/>
        <w:sz w:val="18"/>
        <w:szCs w:val="18"/>
        <w:lang w:val="en-AU"/>
      </w:rPr>
      <w:t>1</w:t>
    </w:r>
    <w:r w:rsidR="00A050DE">
      <w:rPr>
        <w:rFonts w:ascii="Arial" w:hAnsi="Arial" w:cs="Arial"/>
        <w:sz w:val="18"/>
        <w:szCs w:val="18"/>
        <w:lang w:val="en-AU"/>
      </w:rPr>
      <w:t>50114_PI_</w:t>
    </w:r>
    <w:r w:rsidRPr="005E22C2">
      <w:rPr>
        <w:rFonts w:ascii="Arial" w:hAnsi="Arial" w:cs="Arial"/>
        <w:sz w:val="18"/>
        <w:szCs w:val="18"/>
        <w:lang w:val="en-AU"/>
      </w:rPr>
      <w:t xml:space="preserve">Gadovist </w:t>
    </w:r>
    <w:r>
      <w:rPr>
        <w:rFonts w:ascii="Arial" w:hAnsi="Arial" w:cs="Arial"/>
        <w:sz w:val="18"/>
        <w:szCs w:val="18"/>
        <w:lang w:val="en-AU"/>
      </w:rPr>
      <w:t>1.0</w:t>
    </w:r>
    <w:r w:rsidRPr="005E22C2">
      <w:rPr>
        <w:rFonts w:ascii="Arial" w:hAnsi="Arial" w:cs="Arial"/>
        <w:sz w:val="18"/>
        <w:szCs w:val="18"/>
        <w:lang w:val="en-AU"/>
      </w:rPr>
      <w:tab/>
    </w:r>
    <w:r w:rsidRPr="005E22C2">
      <w:rPr>
        <w:rFonts w:ascii="Arial" w:hAnsi="Arial" w:cs="Arial"/>
        <w:noProof/>
        <w:sz w:val="18"/>
        <w:szCs w:val="18"/>
        <w:lang w:val="en-AU"/>
      </w:rPr>
      <w:t xml:space="preserve">Page </w:t>
    </w:r>
    <w:r w:rsidRPr="005E22C2">
      <w:rPr>
        <w:rFonts w:ascii="Arial" w:hAnsi="Arial" w:cs="Arial"/>
        <w:noProof/>
        <w:sz w:val="18"/>
        <w:szCs w:val="18"/>
        <w:lang w:val="en-AU"/>
      </w:rPr>
      <w:fldChar w:fldCharType="begin"/>
    </w:r>
    <w:r w:rsidRPr="005E22C2">
      <w:rPr>
        <w:rFonts w:ascii="Arial" w:hAnsi="Arial" w:cs="Arial"/>
        <w:noProof/>
        <w:sz w:val="18"/>
        <w:szCs w:val="18"/>
        <w:lang w:val="en-AU"/>
      </w:rPr>
      <w:instrText xml:space="preserve"> PAGE  \* Arabic  \* MERGEFORMAT </w:instrText>
    </w:r>
    <w:r w:rsidRPr="005E22C2">
      <w:rPr>
        <w:rFonts w:ascii="Arial" w:hAnsi="Arial" w:cs="Arial"/>
        <w:noProof/>
        <w:sz w:val="18"/>
        <w:szCs w:val="18"/>
        <w:lang w:val="en-AU"/>
      </w:rPr>
      <w:fldChar w:fldCharType="separate"/>
    </w:r>
    <w:r w:rsidR="00A107F4">
      <w:rPr>
        <w:rFonts w:ascii="Arial" w:hAnsi="Arial" w:cs="Arial"/>
        <w:noProof/>
        <w:sz w:val="18"/>
        <w:szCs w:val="18"/>
        <w:lang w:val="en-AU"/>
      </w:rPr>
      <w:t>1</w:t>
    </w:r>
    <w:r w:rsidRPr="005E22C2">
      <w:rPr>
        <w:rFonts w:ascii="Arial" w:hAnsi="Arial" w:cs="Arial"/>
        <w:noProof/>
        <w:sz w:val="18"/>
        <w:szCs w:val="18"/>
        <w:lang w:val="en-AU"/>
      </w:rPr>
      <w:fldChar w:fldCharType="end"/>
    </w:r>
    <w:r w:rsidRPr="005E22C2">
      <w:rPr>
        <w:rFonts w:ascii="Arial" w:hAnsi="Arial" w:cs="Arial"/>
        <w:noProof/>
        <w:sz w:val="18"/>
        <w:szCs w:val="18"/>
        <w:lang w:val="en-AU"/>
      </w:rPr>
      <w:t xml:space="preserve"> of </w:t>
    </w:r>
    <w:r w:rsidRPr="005E22C2">
      <w:rPr>
        <w:rFonts w:ascii="Arial" w:hAnsi="Arial" w:cs="Arial"/>
        <w:noProof/>
        <w:sz w:val="18"/>
        <w:szCs w:val="18"/>
        <w:lang w:val="en-AU"/>
      </w:rPr>
      <w:fldChar w:fldCharType="begin"/>
    </w:r>
    <w:r w:rsidRPr="005E22C2">
      <w:rPr>
        <w:rFonts w:ascii="Arial" w:hAnsi="Arial" w:cs="Arial"/>
        <w:noProof/>
        <w:sz w:val="18"/>
        <w:szCs w:val="18"/>
        <w:lang w:val="en-AU"/>
      </w:rPr>
      <w:instrText xml:space="preserve"> NUMPAGES  \* Arabic  \* MERGEFORMAT </w:instrText>
    </w:r>
    <w:r w:rsidRPr="005E22C2">
      <w:rPr>
        <w:rFonts w:ascii="Arial" w:hAnsi="Arial" w:cs="Arial"/>
        <w:noProof/>
        <w:sz w:val="18"/>
        <w:szCs w:val="18"/>
        <w:lang w:val="en-AU"/>
      </w:rPr>
      <w:fldChar w:fldCharType="separate"/>
    </w:r>
    <w:r w:rsidR="00A107F4">
      <w:rPr>
        <w:rFonts w:ascii="Arial" w:hAnsi="Arial" w:cs="Arial"/>
        <w:noProof/>
        <w:sz w:val="18"/>
        <w:szCs w:val="18"/>
        <w:lang w:val="en-AU"/>
      </w:rPr>
      <w:t>21</w:t>
    </w:r>
    <w:r w:rsidRPr="005E22C2">
      <w:rPr>
        <w:rFonts w:ascii="Arial" w:hAnsi="Arial" w:cs="Arial"/>
        <w:noProof/>
        <w:sz w:val="18"/>
        <w:szCs w:val="18"/>
        <w:lang w:val="en-AU"/>
      </w:rPr>
      <w:fldChar w:fldCharType="end"/>
    </w:r>
    <w:r w:rsidRPr="005E22C2">
      <w:rPr>
        <w:rFonts w:ascii="Arial" w:hAnsi="Arial" w:cs="Arial"/>
        <w:noProof/>
        <w:sz w:val="18"/>
        <w:szCs w:val="18"/>
        <w:lang w:val="en-AU"/>
      </w:rPr>
      <w:tab/>
      <w:t xml:space="preserve">Supersedes: </w:t>
    </w:r>
    <w:r w:rsidRPr="005E22C2">
      <w:rPr>
        <w:rFonts w:ascii="Arial" w:hAnsi="Arial" w:cs="Arial"/>
        <w:sz w:val="18"/>
        <w:szCs w:val="18"/>
        <w:lang w:val="en-AU"/>
      </w:rPr>
      <w:t>130409 Gadovist PI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F5C92" w14:textId="77777777" w:rsidR="0088455F" w:rsidRDefault="00884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254C3" w14:textId="77777777" w:rsidR="00F60603" w:rsidRDefault="00F60603">
      <w:r>
        <w:separator/>
      </w:r>
    </w:p>
  </w:footnote>
  <w:footnote w:type="continuationSeparator" w:id="0">
    <w:p w14:paraId="754E0F0A" w14:textId="77777777" w:rsidR="00F60603" w:rsidRDefault="00F60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EB821" w14:textId="77777777" w:rsidR="0088455F" w:rsidRDefault="008845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551"/>
    </w:tblGrid>
    <w:tr w:rsidR="0088455F" w14:paraId="5E54E56C" w14:textId="77777777" w:rsidTr="00371765">
      <w:tc>
        <w:tcPr>
          <w:tcW w:w="8720" w:type="dxa"/>
          <w:shd w:val="clear" w:color="auto" w:fill="E4F2E0"/>
        </w:tcPr>
        <w:p w14:paraId="57832CA7" w14:textId="77777777" w:rsidR="0088455F" w:rsidRPr="0088455F" w:rsidRDefault="0088455F" w:rsidP="00371765">
          <w:pPr>
            <w:spacing w:before="40" w:after="40"/>
            <w:rPr>
              <w:rFonts w:ascii="Cambria" w:hAnsi="Cambria"/>
              <w:b/>
            </w:rPr>
          </w:pPr>
          <w:r w:rsidRPr="0088455F">
            <w:rPr>
              <w:rFonts w:ascii="Cambria" w:hAnsi="Cambria"/>
              <w:b/>
            </w:rPr>
            <w:t xml:space="preserve">Attachment 1: Product information for AusPAR </w:t>
          </w:r>
          <w:proofErr w:type="spellStart"/>
          <w:r w:rsidRPr="0088455F">
            <w:rPr>
              <w:rFonts w:ascii="Cambria" w:hAnsi="Cambria"/>
              <w:b/>
            </w:rPr>
            <w:t>Gadovist</w:t>
          </w:r>
          <w:proofErr w:type="spellEnd"/>
          <w:r w:rsidRPr="0088455F">
            <w:rPr>
              <w:rFonts w:ascii="Cambria" w:hAnsi="Cambria"/>
              <w:b/>
            </w:rPr>
            <w:t xml:space="preserve"> </w:t>
          </w:r>
          <w:proofErr w:type="spellStart"/>
          <w:r w:rsidRPr="0088455F">
            <w:rPr>
              <w:rFonts w:ascii="Cambria" w:eastAsiaTheme="minorHAnsi" w:hAnsi="Cambria" w:cs="Cambria"/>
              <w:b/>
              <w:color w:val="000000"/>
            </w:rPr>
            <w:t>Gadobutrol</w:t>
          </w:r>
          <w:proofErr w:type="spellEnd"/>
          <w:r w:rsidRPr="0088455F">
            <w:rPr>
              <w:rFonts w:ascii="Cambria" w:eastAsiaTheme="minorHAnsi" w:hAnsi="Cambria" w:cs="Cambria"/>
              <w:b/>
              <w:color w:val="000000"/>
            </w:rPr>
            <w:t xml:space="preserve"> Bayer Australia Ltd</w:t>
          </w:r>
          <w:r w:rsidRPr="0088455F">
            <w:rPr>
              <w:rFonts w:ascii="Cambria" w:hAnsi="Cambria"/>
              <w:b/>
            </w:rPr>
            <w:t xml:space="preserve"> PM-2013-04968-1-2 Final 1 June 2015This Product Information was approved at the time this AusPAR was published.</w:t>
          </w:r>
        </w:p>
      </w:tc>
    </w:tr>
  </w:tbl>
  <w:p w14:paraId="725A3E23" w14:textId="149BD8A2" w:rsidR="00F60603" w:rsidRPr="0088455F" w:rsidRDefault="00F60603" w:rsidP="008845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327CA" w14:textId="77777777" w:rsidR="0088455F" w:rsidRDefault="008845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51A9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07516A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8A83F9B"/>
    <w:multiLevelType w:val="multilevel"/>
    <w:tmpl w:val="0409001F"/>
    <w:styleLink w:val="111111"/>
    <w:lvl w:ilvl="0">
      <w:start w:val="1"/>
      <w:numFmt w:val="decimal"/>
      <w:pStyle w:val="Bullet0dKT"/>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
    <w:nsid w:val="0F05581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0F4C7903"/>
    <w:multiLevelType w:val="hybridMultilevel"/>
    <w:tmpl w:val="9AB0D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653E8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1BB64713"/>
    <w:multiLevelType w:val="hybridMultilevel"/>
    <w:tmpl w:val="A9106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D1313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nsid w:val="212D6E7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nsid w:val="283378B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nsid w:val="28B73788"/>
    <w:multiLevelType w:val="hybridMultilevel"/>
    <w:tmpl w:val="2256B5D8"/>
    <w:lvl w:ilvl="0" w:tplc="3E302ABA">
      <w:start w:val="1"/>
      <w:numFmt w:val="bullet"/>
      <w:lvlText w:val=""/>
      <w:lvlJc w:val="left"/>
      <w:pPr>
        <w:tabs>
          <w:tab w:val="num" w:pos="720"/>
        </w:tabs>
        <w:ind w:left="720" w:hanging="72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CF15FD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32EF3C0C"/>
    <w:multiLevelType w:val="singleLevel"/>
    <w:tmpl w:val="9D14A1FC"/>
    <w:lvl w:ilvl="0">
      <w:start w:val="1"/>
      <w:numFmt w:val="bullet"/>
      <w:lvlText w:val=""/>
      <w:lvlJc w:val="left"/>
      <w:pPr>
        <w:tabs>
          <w:tab w:val="num" w:pos="360"/>
        </w:tabs>
        <w:ind w:left="360" w:hanging="360"/>
      </w:pPr>
      <w:rPr>
        <w:rFonts w:ascii="Symbol" w:hAnsi="Symbol" w:hint="default"/>
        <w:lang w:val="en-AU"/>
      </w:rPr>
    </w:lvl>
  </w:abstractNum>
  <w:abstractNum w:abstractNumId="13">
    <w:nsid w:val="3F7777A9"/>
    <w:multiLevelType w:val="hybridMultilevel"/>
    <w:tmpl w:val="AEFED07E"/>
    <w:lvl w:ilvl="0" w:tplc="0407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FBC4C9E"/>
    <w:multiLevelType w:val="hybridMultilevel"/>
    <w:tmpl w:val="2C8A28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0D50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E5C68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E986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2D4622E"/>
    <w:multiLevelType w:val="hybridMultilevel"/>
    <w:tmpl w:val="B7AA9B7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53A355A8"/>
    <w:multiLevelType w:val="hybridMultilevel"/>
    <w:tmpl w:val="B02C045E"/>
    <w:lvl w:ilvl="0" w:tplc="3B7423A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EE14E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nsid w:val="61386FCC"/>
    <w:multiLevelType w:val="hybridMultilevel"/>
    <w:tmpl w:val="57A4B3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1430E11"/>
    <w:multiLevelType w:val="multilevel"/>
    <w:tmpl w:val="9AB0D1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3CB2CE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6F573D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nsid w:val="716050AC"/>
    <w:multiLevelType w:val="hybridMultilevel"/>
    <w:tmpl w:val="B5228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5"/>
  </w:num>
  <w:num w:numId="3">
    <w:abstractNumId w:val="16"/>
  </w:num>
  <w:num w:numId="4">
    <w:abstractNumId w:val="1"/>
  </w:num>
  <w:num w:numId="5">
    <w:abstractNumId w:val="7"/>
  </w:num>
  <w:num w:numId="6">
    <w:abstractNumId w:val="11"/>
  </w:num>
  <w:num w:numId="7">
    <w:abstractNumId w:val="20"/>
  </w:num>
  <w:num w:numId="8">
    <w:abstractNumId w:val="24"/>
  </w:num>
  <w:num w:numId="9">
    <w:abstractNumId w:val="0"/>
  </w:num>
  <w:num w:numId="10">
    <w:abstractNumId w:val="12"/>
  </w:num>
  <w:num w:numId="11">
    <w:abstractNumId w:val="8"/>
  </w:num>
  <w:num w:numId="12">
    <w:abstractNumId w:val="9"/>
  </w:num>
  <w:num w:numId="13">
    <w:abstractNumId w:val="23"/>
  </w:num>
  <w:num w:numId="14">
    <w:abstractNumId w:val="3"/>
  </w:num>
  <w:num w:numId="15">
    <w:abstractNumId w:val="5"/>
  </w:num>
  <w:num w:numId="16">
    <w:abstractNumId w:val="10"/>
  </w:num>
  <w:num w:numId="17">
    <w:abstractNumId w:val="2"/>
  </w:num>
  <w:num w:numId="18">
    <w:abstractNumId w:val="4"/>
  </w:num>
  <w:num w:numId="19">
    <w:abstractNumId w:val="22"/>
  </w:num>
  <w:num w:numId="20">
    <w:abstractNumId w:val="19"/>
  </w:num>
  <w:num w:numId="21">
    <w:abstractNumId w:val="21"/>
  </w:num>
  <w:num w:numId="22">
    <w:abstractNumId w:val="25"/>
  </w:num>
  <w:num w:numId="23">
    <w:abstractNumId w:val="6"/>
  </w:num>
  <w:num w:numId="24">
    <w:abstractNumId w:val="13"/>
  </w:num>
  <w:num w:numId="25">
    <w:abstractNumId w:val="18"/>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46"/>
    <w:rsid w:val="00000FBA"/>
    <w:rsid w:val="000017EA"/>
    <w:rsid w:val="00003341"/>
    <w:rsid w:val="000139ED"/>
    <w:rsid w:val="000159AB"/>
    <w:rsid w:val="00015C62"/>
    <w:rsid w:val="00017504"/>
    <w:rsid w:val="000306F8"/>
    <w:rsid w:val="00044610"/>
    <w:rsid w:val="00046B79"/>
    <w:rsid w:val="000530CC"/>
    <w:rsid w:val="000553C3"/>
    <w:rsid w:val="00056470"/>
    <w:rsid w:val="000635F4"/>
    <w:rsid w:val="00064D0F"/>
    <w:rsid w:val="00066ED2"/>
    <w:rsid w:val="00073A7C"/>
    <w:rsid w:val="000822D5"/>
    <w:rsid w:val="000865C9"/>
    <w:rsid w:val="00090EC0"/>
    <w:rsid w:val="00091FFB"/>
    <w:rsid w:val="000956BD"/>
    <w:rsid w:val="000A2819"/>
    <w:rsid w:val="000A2DB1"/>
    <w:rsid w:val="000A752E"/>
    <w:rsid w:val="000B7CF5"/>
    <w:rsid w:val="000C0EE3"/>
    <w:rsid w:val="000C18F6"/>
    <w:rsid w:val="000C57E3"/>
    <w:rsid w:val="000C7D73"/>
    <w:rsid w:val="000D2478"/>
    <w:rsid w:val="000D6A2F"/>
    <w:rsid w:val="000D7503"/>
    <w:rsid w:val="000E3D74"/>
    <w:rsid w:val="000F173D"/>
    <w:rsid w:val="000F55ED"/>
    <w:rsid w:val="00103E5F"/>
    <w:rsid w:val="001158E9"/>
    <w:rsid w:val="001223E2"/>
    <w:rsid w:val="00122914"/>
    <w:rsid w:val="001246E3"/>
    <w:rsid w:val="00130456"/>
    <w:rsid w:val="00132501"/>
    <w:rsid w:val="001338F6"/>
    <w:rsid w:val="0014013D"/>
    <w:rsid w:val="00142D0B"/>
    <w:rsid w:val="00142F03"/>
    <w:rsid w:val="00150821"/>
    <w:rsid w:val="001514CB"/>
    <w:rsid w:val="00153A30"/>
    <w:rsid w:val="00155938"/>
    <w:rsid w:val="001571E9"/>
    <w:rsid w:val="0016071D"/>
    <w:rsid w:val="00166D09"/>
    <w:rsid w:val="00174050"/>
    <w:rsid w:val="00183F87"/>
    <w:rsid w:val="00186DDB"/>
    <w:rsid w:val="00193A1C"/>
    <w:rsid w:val="00197146"/>
    <w:rsid w:val="001A0EAA"/>
    <w:rsid w:val="001A7D80"/>
    <w:rsid w:val="001B1EAF"/>
    <w:rsid w:val="001B2564"/>
    <w:rsid w:val="001C0691"/>
    <w:rsid w:val="001C0E3E"/>
    <w:rsid w:val="001C106A"/>
    <w:rsid w:val="001C3093"/>
    <w:rsid w:val="001C3B78"/>
    <w:rsid w:val="001D6D95"/>
    <w:rsid w:val="00204874"/>
    <w:rsid w:val="00205666"/>
    <w:rsid w:val="00205EF8"/>
    <w:rsid w:val="00206B38"/>
    <w:rsid w:val="00217287"/>
    <w:rsid w:val="002211FF"/>
    <w:rsid w:val="0022629F"/>
    <w:rsid w:val="002300A5"/>
    <w:rsid w:val="002336F5"/>
    <w:rsid w:val="00235896"/>
    <w:rsid w:val="0024440D"/>
    <w:rsid w:val="00244484"/>
    <w:rsid w:val="00246A47"/>
    <w:rsid w:val="00251C4C"/>
    <w:rsid w:val="002546F7"/>
    <w:rsid w:val="00261532"/>
    <w:rsid w:val="00262914"/>
    <w:rsid w:val="00264AD8"/>
    <w:rsid w:val="00264CA3"/>
    <w:rsid w:val="002811B0"/>
    <w:rsid w:val="00282545"/>
    <w:rsid w:val="00296810"/>
    <w:rsid w:val="002B0CE4"/>
    <w:rsid w:val="002C0EE3"/>
    <w:rsid w:val="002C28CA"/>
    <w:rsid w:val="002C3E2A"/>
    <w:rsid w:val="002C7705"/>
    <w:rsid w:val="002E03D4"/>
    <w:rsid w:val="002E049F"/>
    <w:rsid w:val="002E05BD"/>
    <w:rsid w:val="002E19CD"/>
    <w:rsid w:val="002F487A"/>
    <w:rsid w:val="0030370F"/>
    <w:rsid w:val="00314ABC"/>
    <w:rsid w:val="00314FD5"/>
    <w:rsid w:val="00315686"/>
    <w:rsid w:val="00321C49"/>
    <w:rsid w:val="00327FD5"/>
    <w:rsid w:val="00342089"/>
    <w:rsid w:val="00357EAC"/>
    <w:rsid w:val="0036676A"/>
    <w:rsid w:val="0038422C"/>
    <w:rsid w:val="00391A34"/>
    <w:rsid w:val="0039258F"/>
    <w:rsid w:val="003952F8"/>
    <w:rsid w:val="003972E1"/>
    <w:rsid w:val="003A3396"/>
    <w:rsid w:val="003A3AE1"/>
    <w:rsid w:val="003B2F21"/>
    <w:rsid w:val="003B544F"/>
    <w:rsid w:val="003B631D"/>
    <w:rsid w:val="003C11BB"/>
    <w:rsid w:val="003D0D52"/>
    <w:rsid w:val="003D16C0"/>
    <w:rsid w:val="003D20D6"/>
    <w:rsid w:val="003D6BD0"/>
    <w:rsid w:val="003F0D4C"/>
    <w:rsid w:val="003F2CCC"/>
    <w:rsid w:val="003F7C5D"/>
    <w:rsid w:val="00406B54"/>
    <w:rsid w:val="00411830"/>
    <w:rsid w:val="00413DFA"/>
    <w:rsid w:val="00420199"/>
    <w:rsid w:val="00425FB8"/>
    <w:rsid w:val="00435436"/>
    <w:rsid w:val="00442302"/>
    <w:rsid w:val="00443588"/>
    <w:rsid w:val="00446914"/>
    <w:rsid w:val="00453EBF"/>
    <w:rsid w:val="0045707A"/>
    <w:rsid w:val="0046294F"/>
    <w:rsid w:val="00477C12"/>
    <w:rsid w:val="00481247"/>
    <w:rsid w:val="004879F4"/>
    <w:rsid w:val="00492720"/>
    <w:rsid w:val="00493044"/>
    <w:rsid w:val="004933CB"/>
    <w:rsid w:val="004973A8"/>
    <w:rsid w:val="00497752"/>
    <w:rsid w:val="004A46BD"/>
    <w:rsid w:val="004A7CD6"/>
    <w:rsid w:val="004C7450"/>
    <w:rsid w:val="004C78B7"/>
    <w:rsid w:val="004D352D"/>
    <w:rsid w:val="004D3581"/>
    <w:rsid w:val="004D5391"/>
    <w:rsid w:val="004D63D6"/>
    <w:rsid w:val="004E7D95"/>
    <w:rsid w:val="004F0042"/>
    <w:rsid w:val="004F274A"/>
    <w:rsid w:val="004F633D"/>
    <w:rsid w:val="00500967"/>
    <w:rsid w:val="0051595C"/>
    <w:rsid w:val="0051628C"/>
    <w:rsid w:val="00517963"/>
    <w:rsid w:val="005209C5"/>
    <w:rsid w:val="00525458"/>
    <w:rsid w:val="00525FD1"/>
    <w:rsid w:val="005277AB"/>
    <w:rsid w:val="00543188"/>
    <w:rsid w:val="005541EC"/>
    <w:rsid w:val="00557081"/>
    <w:rsid w:val="00563B1C"/>
    <w:rsid w:val="00563FA6"/>
    <w:rsid w:val="005655BC"/>
    <w:rsid w:val="00566C11"/>
    <w:rsid w:val="00567AA2"/>
    <w:rsid w:val="00570D94"/>
    <w:rsid w:val="005757B7"/>
    <w:rsid w:val="00576D3E"/>
    <w:rsid w:val="00580217"/>
    <w:rsid w:val="00583603"/>
    <w:rsid w:val="00591FEE"/>
    <w:rsid w:val="00592E6F"/>
    <w:rsid w:val="005B2420"/>
    <w:rsid w:val="005B4398"/>
    <w:rsid w:val="005B6A46"/>
    <w:rsid w:val="005B76B1"/>
    <w:rsid w:val="005D09CB"/>
    <w:rsid w:val="005D3275"/>
    <w:rsid w:val="005D3F08"/>
    <w:rsid w:val="005D4D1E"/>
    <w:rsid w:val="005D5A10"/>
    <w:rsid w:val="005D5E7E"/>
    <w:rsid w:val="005E22C2"/>
    <w:rsid w:val="005E4E0C"/>
    <w:rsid w:val="005E591B"/>
    <w:rsid w:val="005E7023"/>
    <w:rsid w:val="005F419D"/>
    <w:rsid w:val="005F53C5"/>
    <w:rsid w:val="0060093C"/>
    <w:rsid w:val="00602E78"/>
    <w:rsid w:val="006033F0"/>
    <w:rsid w:val="006136B0"/>
    <w:rsid w:val="00616D51"/>
    <w:rsid w:val="00617209"/>
    <w:rsid w:val="006230A3"/>
    <w:rsid w:val="00630DDA"/>
    <w:rsid w:val="00633B22"/>
    <w:rsid w:val="00635D00"/>
    <w:rsid w:val="00640C21"/>
    <w:rsid w:val="00644478"/>
    <w:rsid w:val="0065695D"/>
    <w:rsid w:val="0066198C"/>
    <w:rsid w:val="00662359"/>
    <w:rsid w:val="00666E29"/>
    <w:rsid w:val="0067096C"/>
    <w:rsid w:val="00671511"/>
    <w:rsid w:val="00673205"/>
    <w:rsid w:val="00675458"/>
    <w:rsid w:val="00675C7B"/>
    <w:rsid w:val="0068188B"/>
    <w:rsid w:val="006925A8"/>
    <w:rsid w:val="0069548E"/>
    <w:rsid w:val="006A5EEB"/>
    <w:rsid w:val="006B153F"/>
    <w:rsid w:val="006B6070"/>
    <w:rsid w:val="006B7BD4"/>
    <w:rsid w:val="006B7D85"/>
    <w:rsid w:val="006C18D2"/>
    <w:rsid w:val="006C4E59"/>
    <w:rsid w:val="006C514E"/>
    <w:rsid w:val="006D047C"/>
    <w:rsid w:val="006D18AB"/>
    <w:rsid w:val="006D4DE3"/>
    <w:rsid w:val="006D6452"/>
    <w:rsid w:val="006E0605"/>
    <w:rsid w:val="006F0B4D"/>
    <w:rsid w:val="006F2A4C"/>
    <w:rsid w:val="006F2AF1"/>
    <w:rsid w:val="006F6DD7"/>
    <w:rsid w:val="006F735E"/>
    <w:rsid w:val="00704181"/>
    <w:rsid w:val="0071481D"/>
    <w:rsid w:val="007165EB"/>
    <w:rsid w:val="00717715"/>
    <w:rsid w:val="00721865"/>
    <w:rsid w:val="00721B13"/>
    <w:rsid w:val="00721D39"/>
    <w:rsid w:val="00722BB1"/>
    <w:rsid w:val="0072346D"/>
    <w:rsid w:val="00723657"/>
    <w:rsid w:val="00732AE7"/>
    <w:rsid w:val="00735F16"/>
    <w:rsid w:val="00740235"/>
    <w:rsid w:val="00740CFB"/>
    <w:rsid w:val="00741198"/>
    <w:rsid w:val="007454C3"/>
    <w:rsid w:val="00751AAE"/>
    <w:rsid w:val="007551B9"/>
    <w:rsid w:val="007553A1"/>
    <w:rsid w:val="00757356"/>
    <w:rsid w:val="007622AB"/>
    <w:rsid w:val="00771E28"/>
    <w:rsid w:val="00774F2A"/>
    <w:rsid w:val="007901AD"/>
    <w:rsid w:val="007927A2"/>
    <w:rsid w:val="00792D82"/>
    <w:rsid w:val="007961A0"/>
    <w:rsid w:val="00796575"/>
    <w:rsid w:val="0079779E"/>
    <w:rsid w:val="007A2090"/>
    <w:rsid w:val="007B626C"/>
    <w:rsid w:val="007B6904"/>
    <w:rsid w:val="007C2477"/>
    <w:rsid w:val="007C2E34"/>
    <w:rsid w:val="007C2EE7"/>
    <w:rsid w:val="007C689E"/>
    <w:rsid w:val="007D3A7D"/>
    <w:rsid w:val="007D47A2"/>
    <w:rsid w:val="007D5E13"/>
    <w:rsid w:val="007D73EF"/>
    <w:rsid w:val="007D7E06"/>
    <w:rsid w:val="007E105D"/>
    <w:rsid w:val="007E6741"/>
    <w:rsid w:val="007F6F80"/>
    <w:rsid w:val="00800EAD"/>
    <w:rsid w:val="00801020"/>
    <w:rsid w:val="00804A82"/>
    <w:rsid w:val="0080514C"/>
    <w:rsid w:val="0080610E"/>
    <w:rsid w:val="00807173"/>
    <w:rsid w:val="008148AA"/>
    <w:rsid w:val="00823856"/>
    <w:rsid w:val="00824743"/>
    <w:rsid w:val="00835A75"/>
    <w:rsid w:val="00836EC6"/>
    <w:rsid w:val="00843836"/>
    <w:rsid w:val="00851673"/>
    <w:rsid w:val="00856B1C"/>
    <w:rsid w:val="00860601"/>
    <w:rsid w:val="00861283"/>
    <w:rsid w:val="00862CD8"/>
    <w:rsid w:val="00865A65"/>
    <w:rsid w:val="00866966"/>
    <w:rsid w:val="00874725"/>
    <w:rsid w:val="008756A2"/>
    <w:rsid w:val="008758B2"/>
    <w:rsid w:val="00881239"/>
    <w:rsid w:val="00882BE1"/>
    <w:rsid w:val="008832F6"/>
    <w:rsid w:val="008844B2"/>
    <w:rsid w:val="0088455F"/>
    <w:rsid w:val="00893938"/>
    <w:rsid w:val="008A0209"/>
    <w:rsid w:val="008A03CB"/>
    <w:rsid w:val="008A09EA"/>
    <w:rsid w:val="008A1804"/>
    <w:rsid w:val="008A4D36"/>
    <w:rsid w:val="008B0F28"/>
    <w:rsid w:val="008B6785"/>
    <w:rsid w:val="008C09E6"/>
    <w:rsid w:val="008C3F5E"/>
    <w:rsid w:val="008C4D6B"/>
    <w:rsid w:val="008C6DB1"/>
    <w:rsid w:val="008D5593"/>
    <w:rsid w:val="008D78C4"/>
    <w:rsid w:val="008E2F01"/>
    <w:rsid w:val="008E569B"/>
    <w:rsid w:val="008F167B"/>
    <w:rsid w:val="00903A4F"/>
    <w:rsid w:val="00905EDB"/>
    <w:rsid w:val="009100FE"/>
    <w:rsid w:val="0091282D"/>
    <w:rsid w:val="00914AD3"/>
    <w:rsid w:val="00915BD1"/>
    <w:rsid w:val="00937BD4"/>
    <w:rsid w:val="009405FB"/>
    <w:rsid w:val="00941003"/>
    <w:rsid w:val="00944AEF"/>
    <w:rsid w:val="009547FC"/>
    <w:rsid w:val="00955C6A"/>
    <w:rsid w:val="00966513"/>
    <w:rsid w:val="009733A2"/>
    <w:rsid w:val="00976DF3"/>
    <w:rsid w:val="009852C3"/>
    <w:rsid w:val="00985FC4"/>
    <w:rsid w:val="0099287C"/>
    <w:rsid w:val="009930ED"/>
    <w:rsid w:val="00995D11"/>
    <w:rsid w:val="009A0A76"/>
    <w:rsid w:val="009A150B"/>
    <w:rsid w:val="009A188A"/>
    <w:rsid w:val="009A509B"/>
    <w:rsid w:val="009A5DAE"/>
    <w:rsid w:val="009A7C55"/>
    <w:rsid w:val="009B00FA"/>
    <w:rsid w:val="009B0A1F"/>
    <w:rsid w:val="009B7857"/>
    <w:rsid w:val="009C3641"/>
    <w:rsid w:val="009D0474"/>
    <w:rsid w:val="009D31CC"/>
    <w:rsid w:val="009D6E5F"/>
    <w:rsid w:val="009E1BC2"/>
    <w:rsid w:val="009E3030"/>
    <w:rsid w:val="009E3337"/>
    <w:rsid w:val="009F00EA"/>
    <w:rsid w:val="009F188A"/>
    <w:rsid w:val="009F1BEB"/>
    <w:rsid w:val="009F1C0C"/>
    <w:rsid w:val="009F7965"/>
    <w:rsid w:val="00A02665"/>
    <w:rsid w:val="00A050DE"/>
    <w:rsid w:val="00A0623E"/>
    <w:rsid w:val="00A107F4"/>
    <w:rsid w:val="00A27576"/>
    <w:rsid w:val="00A52428"/>
    <w:rsid w:val="00A55CE4"/>
    <w:rsid w:val="00A56549"/>
    <w:rsid w:val="00A63AF5"/>
    <w:rsid w:val="00A66EBD"/>
    <w:rsid w:val="00A8377F"/>
    <w:rsid w:val="00A838B9"/>
    <w:rsid w:val="00A8598D"/>
    <w:rsid w:val="00A86F0B"/>
    <w:rsid w:val="00A87863"/>
    <w:rsid w:val="00A91F01"/>
    <w:rsid w:val="00A92B3E"/>
    <w:rsid w:val="00AA0859"/>
    <w:rsid w:val="00AB4418"/>
    <w:rsid w:val="00AC1D9D"/>
    <w:rsid w:val="00AC2EF1"/>
    <w:rsid w:val="00AC3D99"/>
    <w:rsid w:val="00AC54A9"/>
    <w:rsid w:val="00AD3200"/>
    <w:rsid w:val="00AD4F29"/>
    <w:rsid w:val="00AD5AA2"/>
    <w:rsid w:val="00AD743D"/>
    <w:rsid w:val="00AF0546"/>
    <w:rsid w:val="00AF3591"/>
    <w:rsid w:val="00AF7518"/>
    <w:rsid w:val="00B059CF"/>
    <w:rsid w:val="00B067A7"/>
    <w:rsid w:val="00B07541"/>
    <w:rsid w:val="00B220B4"/>
    <w:rsid w:val="00B220BA"/>
    <w:rsid w:val="00B22755"/>
    <w:rsid w:val="00B230CE"/>
    <w:rsid w:val="00B25A7B"/>
    <w:rsid w:val="00B46B9F"/>
    <w:rsid w:val="00B505B2"/>
    <w:rsid w:val="00B521CE"/>
    <w:rsid w:val="00B52CC5"/>
    <w:rsid w:val="00B53F9F"/>
    <w:rsid w:val="00B550BB"/>
    <w:rsid w:val="00B6090F"/>
    <w:rsid w:val="00B665F9"/>
    <w:rsid w:val="00B67E67"/>
    <w:rsid w:val="00B73869"/>
    <w:rsid w:val="00B74AC3"/>
    <w:rsid w:val="00B74D2F"/>
    <w:rsid w:val="00B75A6D"/>
    <w:rsid w:val="00B77254"/>
    <w:rsid w:val="00B804D6"/>
    <w:rsid w:val="00B80FB1"/>
    <w:rsid w:val="00B83DE6"/>
    <w:rsid w:val="00B840EF"/>
    <w:rsid w:val="00B905EA"/>
    <w:rsid w:val="00B92E92"/>
    <w:rsid w:val="00BA45E3"/>
    <w:rsid w:val="00BB2142"/>
    <w:rsid w:val="00BB27F5"/>
    <w:rsid w:val="00BB2944"/>
    <w:rsid w:val="00BB5E49"/>
    <w:rsid w:val="00BC391A"/>
    <w:rsid w:val="00BC3C8F"/>
    <w:rsid w:val="00BC5BF1"/>
    <w:rsid w:val="00BD0513"/>
    <w:rsid w:val="00BE52E9"/>
    <w:rsid w:val="00BE7A1F"/>
    <w:rsid w:val="00BF24EA"/>
    <w:rsid w:val="00BF34E1"/>
    <w:rsid w:val="00C0008D"/>
    <w:rsid w:val="00C04658"/>
    <w:rsid w:val="00C066A8"/>
    <w:rsid w:val="00C07A2E"/>
    <w:rsid w:val="00C11C48"/>
    <w:rsid w:val="00C13435"/>
    <w:rsid w:val="00C1344D"/>
    <w:rsid w:val="00C136BF"/>
    <w:rsid w:val="00C14290"/>
    <w:rsid w:val="00C16C06"/>
    <w:rsid w:val="00C17AB6"/>
    <w:rsid w:val="00C20744"/>
    <w:rsid w:val="00C21807"/>
    <w:rsid w:val="00C25469"/>
    <w:rsid w:val="00C254CB"/>
    <w:rsid w:val="00C26C2E"/>
    <w:rsid w:val="00C32C37"/>
    <w:rsid w:val="00C33B7D"/>
    <w:rsid w:val="00C34722"/>
    <w:rsid w:val="00C5281E"/>
    <w:rsid w:val="00C56956"/>
    <w:rsid w:val="00C61B0F"/>
    <w:rsid w:val="00C6349E"/>
    <w:rsid w:val="00C71EF1"/>
    <w:rsid w:val="00C7530C"/>
    <w:rsid w:val="00C80BA2"/>
    <w:rsid w:val="00C81DEC"/>
    <w:rsid w:val="00C85BDA"/>
    <w:rsid w:val="00C87978"/>
    <w:rsid w:val="00C92A16"/>
    <w:rsid w:val="00C95AF2"/>
    <w:rsid w:val="00C9731F"/>
    <w:rsid w:val="00CA12D4"/>
    <w:rsid w:val="00CB3E93"/>
    <w:rsid w:val="00CC6A20"/>
    <w:rsid w:val="00CC6CED"/>
    <w:rsid w:val="00CC7DBD"/>
    <w:rsid w:val="00CD0DEF"/>
    <w:rsid w:val="00CD12E4"/>
    <w:rsid w:val="00CD7C39"/>
    <w:rsid w:val="00CE0A8F"/>
    <w:rsid w:val="00CE1B62"/>
    <w:rsid w:val="00CE21BB"/>
    <w:rsid w:val="00CE255B"/>
    <w:rsid w:val="00CE3650"/>
    <w:rsid w:val="00CE40AF"/>
    <w:rsid w:val="00CF24F3"/>
    <w:rsid w:val="00CF3A2D"/>
    <w:rsid w:val="00CF6466"/>
    <w:rsid w:val="00CF6AA7"/>
    <w:rsid w:val="00D02191"/>
    <w:rsid w:val="00D02717"/>
    <w:rsid w:val="00D04FDA"/>
    <w:rsid w:val="00D2034B"/>
    <w:rsid w:val="00D26F6A"/>
    <w:rsid w:val="00D31F04"/>
    <w:rsid w:val="00D32859"/>
    <w:rsid w:val="00D35F6F"/>
    <w:rsid w:val="00D36C96"/>
    <w:rsid w:val="00D42F5B"/>
    <w:rsid w:val="00D44D45"/>
    <w:rsid w:val="00D45B07"/>
    <w:rsid w:val="00D51E05"/>
    <w:rsid w:val="00D633DE"/>
    <w:rsid w:val="00D6490D"/>
    <w:rsid w:val="00D65C15"/>
    <w:rsid w:val="00D74AE1"/>
    <w:rsid w:val="00D8226A"/>
    <w:rsid w:val="00D91AE6"/>
    <w:rsid w:val="00DA3029"/>
    <w:rsid w:val="00DA6466"/>
    <w:rsid w:val="00DA70E5"/>
    <w:rsid w:val="00DA7BD0"/>
    <w:rsid w:val="00DB283E"/>
    <w:rsid w:val="00DB2D49"/>
    <w:rsid w:val="00DB3760"/>
    <w:rsid w:val="00DC3806"/>
    <w:rsid w:val="00DC589F"/>
    <w:rsid w:val="00DD10DD"/>
    <w:rsid w:val="00DD224E"/>
    <w:rsid w:val="00DD6073"/>
    <w:rsid w:val="00DE14AF"/>
    <w:rsid w:val="00DE19AC"/>
    <w:rsid w:val="00DE4F81"/>
    <w:rsid w:val="00DE6936"/>
    <w:rsid w:val="00DF01E7"/>
    <w:rsid w:val="00DF1438"/>
    <w:rsid w:val="00DF2A8D"/>
    <w:rsid w:val="00DF53C9"/>
    <w:rsid w:val="00E07813"/>
    <w:rsid w:val="00E12971"/>
    <w:rsid w:val="00E22386"/>
    <w:rsid w:val="00E22D88"/>
    <w:rsid w:val="00E2724A"/>
    <w:rsid w:val="00E32D85"/>
    <w:rsid w:val="00E34BF2"/>
    <w:rsid w:val="00E37024"/>
    <w:rsid w:val="00E37B1D"/>
    <w:rsid w:val="00E40CD1"/>
    <w:rsid w:val="00E41660"/>
    <w:rsid w:val="00E43112"/>
    <w:rsid w:val="00E54C8C"/>
    <w:rsid w:val="00E55EB4"/>
    <w:rsid w:val="00E61294"/>
    <w:rsid w:val="00E6483C"/>
    <w:rsid w:val="00E64BC9"/>
    <w:rsid w:val="00E71AFC"/>
    <w:rsid w:val="00E8794A"/>
    <w:rsid w:val="00E93AA0"/>
    <w:rsid w:val="00E94E64"/>
    <w:rsid w:val="00E95F31"/>
    <w:rsid w:val="00EA0261"/>
    <w:rsid w:val="00EA4D5C"/>
    <w:rsid w:val="00EA65C8"/>
    <w:rsid w:val="00EA6A97"/>
    <w:rsid w:val="00EB6C56"/>
    <w:rsid w:val="00EC095F"/>
    <w:rsid w:val="00EC0CCD"/>
    <w:rsid w:val="00EC630A"/>
    <w:rsid w:val="00EF0D03"/>
    <w:rsid w:val="00EF7358"/>
    <w:rsid w:val="00F01B02"/>
    <w:rsid w:val="00F02A08"/>
    <w:rsid w:val="00F04092"/>
    <w:rsid w:val="00F0509A"/>
    <w:rsid w:val="00F11E8F"/>
    <w:rsid w:val="00F20568"/>
    <w:rsid w:val="00F21EFF"/>
    <w:rsid w:val="00F2755C"/>
    <w:rsid w:val="00F3126E"/>
    <w:rsid w:val="00F31AC0"/>
    <w:rsid w:val="00F42C87"/>
    <w:rsid w:val="00F436D4"/>
    <w:rsid w:val="00F52E7F"/>
    <w:rsid w:val="00F5349F"/>
    <w:rsid w:val="00F5452D"/>
    <w:rsid w:val="00F5785E"/>
    <w:rsid w:val="00F60603"/>
    <w:rsid w:val="00F71C98"/>
    <w:rsid w:val="00F72A0B"/>
    <w:rsid w:val="00F7372A"/>
    <w:rsid w:val="00F7376B"/>
    <w:rsid w:val="00F76BE8"/>
    <w:rsid w:val="00F82AF5"/>
    <w:rsid w:val="00F9112F"/>
    <w:rsid w:val="00FA547D"/>
    <w:rsid w:val="00FB043E"/>
    <w:rsid w:val="00FB07B6"/>
    <w:rsid w:val="00FB36D6"/>
    <w:rsid w:val="00FB4143"/>
    <w:rsid w:val="00FB50BF"/>
    <w:rsid w:val="00FB67D4"/>
    <w:rsid w:val="00FB7411"/>
    <w:rsid w:val="00FC0664"/>
    <w:rsid w:val="00FC1D64"/>
    <w:rsid w:val="00FC25FC"/>
    <w:rsid w:val="00FC3D43"/>
    <w:rsid w:val="00FC4454"/>
    <w:rsid w:val="00FC6030"/>
    <w:rsid w:val="00FC62D6"/>
    <w:rsid w:val="00FD0BBE"/>
    <w:rsid w:val="00FF0984"/>
    <w:rsid w:val="00FF62F3"/>
    <w:rsid w:val="00FF70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59393"/>
    <o:shapelayout v:ext="edit">
      <o:idmap v:ext="edit" data="1"/>
    </o:shapelayout>
  </w:shapeDefaults>
  <w:decimalSymbol w:val="."/>
  <w:listSeparator w:val=","/>
  <w14:docId w14:val="489C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72A"/>
    <w:rPr>
      <w:lang w:val="en-US"/>
    </w:rPr>
  </w:style>
  <w:style w:type="paragraph" w:styleId="Heading1">
    <w:name w:val="heading 1"/>
    <w:basedOn w:val="Normal"/>
    <w:next w:val="Normal"/>
    <w:qFormat/>
    <w:rsid w:val="00F7372A"/>
    <w:pPr>
      <w:keepNext/>
      <w:outlineLvl w:val="0"/>
    </w:pPr>
    <w:rPr>
      <w:rFonts w:ascii="Helvetica 55 Roman" w:hAnsi="Helvetica 55 Roman"/>
      <w:sz w:val="24"/>
      <w:lang w:val="en-AU" w:eastAsia="en-US"/>
    </w:rPr>
  </w:style>
  <w:style w:type="paragraph" w:styleId="Heading2">
    <w:name w:val="heading 2"/>
    <w:basedOn w:val="Normal"/>
    <w:next w:val="Normal"/>
    <w:link w:val="Heading2Char"/>
    <w:qFormat/>
    <w:rsid w:val="00F7372A"/>
    <w:pPr>
      <w:keepNext/>
      <w:outlineLvl w:val="1"/>
    </w:pPr>
    <w:rPr>
      <w:rFonts w:ascii="Helvetica 55 Roman" w:hAnsi="Helvetica 55 Roman"/>
      <w:sz w:val="24"/>
      <w:u w:val="single"/>
      <w:lang w:val="en-AU" w:eastAsia="en-US"/>
    </w:rPr>
  </w:style>
  <w:style w:type="paragraph" w:styleId="Heading3">
    <w:name w:val="heading 3"/>
    <w:basedOn w:val="Normal"/>
    <w:next w:val="Normal"/>
    <w:qFormat/>
    <w:rsid w:val="00F7372A"/>
    <w:pPr>
      <w:keepNext/>
      <w:outlineLvl w:val="2"/>
    </w:pPr>
    <w:rPr>
      <w:rFonts w:ascii="Helvetica 55 Roman" w:hAnsi="Helvetica 55 Roman"/>
      <w:b/>
      <w:sz w:val="24"/>
      <w:u w:val="single"/>
      <w:lang w:val="en-AU" w:eastAsia="en-US"/>
    </w:rPr>
  </w:style>
  <w:style w:type="paragraph" w:styleId="Heading4">
    <w:name w:val="heading 4"/>
    <w:basedOn w:val="Normal"/>
    <w:next w:val="Normal"/>
    <w:qFormat/>
    <w:rsid w:val="00F7372A"/>
    <w:pPr>
      <w:keepNext/>
      <w:outlineLvl w:val="3"/>
    </w:pPr>
    <w:rPr>
      <w:rFonts w:ascii="Helvetica 55 Roman" w:hAnsi="Helvetica 55 Roman"/>
      <w:sz w:val="22"/>
    </w:rPr>
  </w:style>
  <w:style w:type="paragraph" w:styleId="Heading5">
    <w:name w:val="heading 5"/>
    <w:basedOn w:val="Normal"/>
    <w:next w:val="Normal"/>
    <w:qFormat/>
    <w:rsid w:val="00F7372A"/>
    <w:pPr>
      <w:keepNext/>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tertitel">
    <w:name w:val="Untertitel"/>
    <w:basedOn w:val="Normal"/>
    <w:rsid w:val="00F7372A"/>
    <w:pPr>
      <w:keepNext/>
      <w:spacing w:after="240" w:line="240" w:lineRule="atLeast"/>
    </w:pPr>
    <w:rPr>
      <w:rFonts w:ascii="Helvetica 35 Thin" w:hAnsi="Helvetica 35 Thin"/>
      <w:b/>
      <w:sz w:val="24"/>
      <w:lang w:val="de-DE" w:eastAsia="en-US"/>
    </w:rPr>
  </w:style>
  <w:style w:type="paragraph" w:styleId="BodyText">
    <w:name w:val="Body Text"/>
    <w:basedOn w:val="Normal"/>
    <w:rsid w:val="00F7372A"/>
    <w:rPr>
      <w:rFonts w:ascii="Helvetica 55 Roman" w:hAnsi="Helvetica 55 Roman"/>
      <w:sz w:val="24"/>
      <w:lang w:val="en-AU" w:eastAsia="en-US"/>
    </w:rPr>
  </w:style>
  <w:style w:type="paragraph" w:styleId="Header">
    <w:name w:val="header"/>
    <w:basedOn w:val="Normal"/>
    <w:rsid w:val="00F7372A"/>
    <w:pPr>
      <w:tabs>
        <w:tab w:val="center" w:pos="4320"/>
        <w:tab w:val="right" w:pos="8640"/>
      </w:tabs>
    </w:pPr>
    <w:rPr>
      <w:lang w:val="en-AU" w:eastAsia="en-US"/>
    </w:rPr>
  </w:style>
  <w:style w:type="character" w:styleId="PageNumber">
    <w:name w:val="page number"/>
    <w:basedOn w:val="DefaultParagraphFont"/>
    <w:rsid w:val="00F7372A"/>
  </w:style>
  <w:style w:type="paragraph" w:styleId="Footer">
    <w:name w:val="footer"/>
    <w:basedOn w:val="Normal"/>
    <w:rsid w:val="00F7372A"/>
    <w:pPr>
      <w:tabs>
        <w:tab w:val="center" w:pos="4320"/>
        <w:tab w:val="right" w:pos="8640"/>
      </w:tabs>
    </w:pPr>
  </w:style>
  <w:style w:type="paragraph" w:styleId="Title">
    <w:name w:val="Title"/>
    <w:basedOn w:val="Normal"/>
    <w:qFormat/>
    <w:rsid w:val="00F7372A"/>
    <w:pPr>
      <w:jc w:val="center"/>
    </w:pPr>
    <w:rPr>
      <w:rFonts w:ascii="Helvetica 55 Roman" w:hAnsi="Helvetica 55 Roman"/>
      <w:b/>
      <w:sz w:val="24"/>
    </w:rPr>
  </w:style>
  <w:style w:type="paragraph" w:styleId="DocumentMap">
    <w:name w:val="Document Map"/>
    <w:basedOn w:val="Normal"/>
    <w:semiHidden/>
    <w:rsid w:val="00F7372A"/>
    <w:pPr>
      <w:shd w:val="clear" w:color="auto" w:fill="000080"/>
    </w:pPr>
    <w:rPr>
      <w:rFonts w:ascii="Tahoma" w:hAnsi="Tahoma"/>
    </w:rPr>
  </w:style>
  <w:style w:type="paragraph" w:styleId="BalloonText">
    <w:name w:val="Balloon Text"/>
    <w:basedOn w:val="Normal"/>
    <w:semiHidden/>
    <w:rsid w:val="00C6349E"/>
    <w:rPr>
      <w:rFonts w:ascii="Tahoma" w:hAnsi="Tahoma" w:cs="Tahoma"/>
      <w:sz w:val="16"/>
      <w:szCs w:val="16"/>
    </w:rPr>
  </w:style>
  <w:style w:type="character" w:styleId="CommentReference">
    <w:name w:val="annotation reference"/>
    <w:semiHidden/>
    <w:rsid w:val="00C6349E"/>
    <w:rPr>
      <w:sz w:val="16"/>
      <w:szCs w:val="16"/>
    </w:rPr>
  </w:style>
  <w:style w:type="paragraph" w:styleId="CommentText">
    <w:name w:val="annotation text"/>
    <w:basedOn w:val="Normal"/>
    <w:link w:val="CommentTextChar"/>
    <w:semiHidden/>
    <w:rsid w:val="00C6349E"/>
  </w:style>
  <w:style w:type="paragraph" w:styleId="CommentSubject">
    <w:name w:val="annotation subject"/>
    <w:basedOn w:val="CommentText"/>
    <w:next w:val="CommentText"/>
    <w:semiHidden/>
    <w:rsid w:val="00C6349E"/>
    <w:rPr>
      <w:b/>
      <w:bCs/>
    </w:rPr>
  </w:style>
  <w:style w:type="table" w:styleId="TableGrid">
    <w:name w:val="Table Grid"/>
    <w:basedOn w:val="TableNormal"/>
    <w:uiPriority w:val="59"/>
    <w:rsid w:val="00F82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1807"/>
    <w:pPr>
      <w:autoSpaceDE w:val="0"/>
      <w:autoSpaceDN w:val="0"/>
      <w:adjustRightInd w:val="0"/>
    </w:pPr>
    <w:rPr>
      <w:color w:val="000000"/>
      <w:sz w:val="24"/>
      <w:szCs w:val="24"/>
    </w:rPr>
  </w:style>
  <w:style w:type="paragraph" w:styleId="EndnoteText">
    <w:name w:val="endnote text"/>
    <w:basedOn w:val="Normal"/>
    <w:semiHidden/>
    <w:rsid w:val="00235896"/>
    <w:pPr>
      <w:ind w:left="227" w:hanging="227"/>
      <w:jc w:val="both"/>
    </w:pPr>
    <w:rPr>
      <w:rFonts w:ascii="Arial" w:hAnsi="Arial"/>
      <w:lang w:val="de-DE" w:eastAsia="de-DE"/>
    </w:rPr>
  </w:style>
  <w:style w:type="character" w:styleId="EndnoteReference">
    <w:name w:val="endnote reference"/>
    <w:semiHidden/>
    <w:rsid w:val="00235896"/>
    <w:rPr>
      <w:vertAlign w:val="superscript"/>
    </w:rPr>
  </w:style>
  <w:style w:type="character" w:customStyle="1" w:styleId="Para0sZchn">
    <w:name w:val="Para:0:s Zchn"/>
    <w:link w:val="Para0s"/>
    <w:locked/>
    <w:rsid w:val="00740235"/>
    <w:rPr>
      <w:rFonts w:ascii="Helvetica" w:hAnsi="Helvetica"/>
      <w:sz w:val="22"/>
      <w:lang w:val="en-US" w:eastAsia="de-DE" w:bidi="ar-SA"/>
    </w:rPr>
  </w:style>
  <w:style w:type="paragraph" w:customStyle="1" w:styleId="Para0s">
    <w:name w:val="Para:0:s"/>
    <w:basedOn w:val="Normal"/>
    <w:link w:val="Para0sZchn"/>
    <w:rsid w:val="00740235"/>
    <w:pPr>
      <w:spacing w:after="220"/>
    </w:pPr>
    <w:rPr>
      <w:rFonts w:ascii="Helvetica" w:hAnsi="Helvetica"/>
      <w:sz w:val="22"/>
      <w:lang w:eastAsia="de-DE"/>
    </w:rPr>
  </w:style>
  <w:style w:type="numbering" w:styleId="111111">
    <w:name w:val="Outline List 2"/>
    <w:basedOn w:val="NoList"/>
    <w:semiHidden/>
    <w:rsid w:val="004D63D6"/>
    <w:pPr>
      <w:numPr>
        <w:numId w:val="17"/>
      </w:numPr>
    </w:pPr>
  </w:style>
  <w:style w:type="paragraph" w:customStyle="1" w:styleId="Bullet0dKT">
    <w:name w:val="Bullet:0:d:KT"/>
    <w:basedOn w:val="Normal"/>
    <w:rsid w:val="004D63D6"/>
    <w:pPr>
      <w:keepNext/>
      <w:keepLines/>
      <w:numPr>
        <w:numId w:val="17"/>
      </w:numPr>
      <w:spacing w:before="40" w:after="220"/>
    </w:pPr>
    <w:rPr>
      <w:rFonts w:ascii="Helvetica" w:hAnsi="Helvetica"/>
      <w:sz w:val="22"/>
      <w:lang w:eastAsia="de-DE"/>
    </w:rPr>
  </w:style>
  <w:style w:type="character" w:styleId="FollowedHyperlink">
    <w:name w:val="FollowedHyperlink"/>
    <w:rsid w:val="0060093C"/>
    <w:rPr>
      <w:color w:val="800080"/>
      <w:u w:val="single"/>
    </w:rPr>
  </w:style>
  <w:style w:type="paragraph" w:styleId="Revision">
    <w:name w:val="Revision"/>
    <w:hidden/>
    <w:uiPriority w:val="99"/>
    <w:semiHidden/>
    <w:rsid w:val="00D35F6F"/>
    <w:rPr>
      <w:lang w:val="en-US"/>
    </w:rPr>
  </w:style>
  <w:style w:type="character" w:styleId="Emphasis">
    <w:name w:val="Emphasis"/>
    <w:basedOn w:val="DefaultParagraphFont"/>
    <w:qFormat/>
    <w:rsid w:val="00F7376B"/>
    <w:rPr>
      <w:i/>
      <w:iCs/>
    </w:rPr>
  </w:style>
  <w:style w:type="paragraph" w:styleId="ListParagraph">
    <w:name w:val="List Paragraph"/>
    <w:basedOn w:val="Normal"/>
    <w:uiPriority w:val="34"/>
    <w:qFormat/>
    <w:rsid w:val="00BC3C8F"/>
    <w:pPr>
      <w:ind w:left="720"/>
      <w:contextualSpacing/>
    </w:pPr>
  </w:style>
  <w:style w:type="character" w:customStyle="1" w:styleId="CommentTextChar">
    <w:name w:val="Comment Text Char"/>
    <w:basedOn w:val="DefaultParagraphFont"/>
    <w:link w:val="CommentText"/>
    <w:semiHidden/>
    <w:rsid w:val="0080610E"/>
    <w:rPr>
      <w:lang w:val="en-US"/>
    </w:rPr>
  </w:style>
  <w:style w:type="character" w:customStyle="1" w:styleId="Heading2Char">
    <w:name w:val="Heading 2 Char"/>
    <w:basedOn w:val="DefaultParagraphFont"/>
    <w:link w:val="Heading2"/>
    <w:rsid w:val="00F20568"/>
    <w:rPr>
      <w:rFonts w:ascii="Helvetica 55 Roman" w:hAnsi="Helvetica 55 Roman"/>
      <w:sz w:val="24"/>
      <w:u w:val="single"/>
      <w:lang w:eastAsia="en-US"/>
    </w:rPr>
  </w:style>
  <w:style w:type="paragraph" w:customStyle="1" w:styleId="BayerTableRowHeadings">
    <w:name w:val="Bayer Table Row Headings"/>
    <w:basedOn w:val="Normal"/>
    <w:rsid w:val="00A0623E"/>
    <w:pPr>
      <w:keepNext/>
      <w:widowControl w:val="0"/>
    </w:pPr>
    <w:rPr>
      <w:rFonts w:ascii="Arial" w:hAnsi="Arial"/>
      <w:lang w:eastAsia="en-US"/>
    </w:rPr>
  </w:style>
  <w:style w:type="paragraph" w:customStyle="1" w:styleId="BayerTableFootnote">
    <w:name w:val="Bayer Table Footnote"/>
    <w:basedOn w:val="Normal"/>
    <w:rsid w:val="00A0623E"/>
    <w:pPr>
      <w:keepNext/>
      <w:widowControl w:val="0"/>
      <w:ind w:left="360" w:hanging="360"/>
    </w:pPr>
    <w:rPr>
      <w:rFonts w:ascii="Arial" w:hAnsi="Arial"/>
      <w:lang w:eastAsia="en-US"/>
    </w:rPr>
  </w:style>
  <w:style w:type="paragraph" w:customStyle="1" w:styleId="BayerTableStyleCentered">
    <w:name w:val="Bayer TableStyle Centered"/>
    <w:basedOn w:val="Normal"/>
    <w:rsid w:val="00A0623E"/>
    <w:pPr>
      <w:keepNext/>
      <w:widowControl w:val="0"/>
      <w:jc w:val="center"/>
    </w:pPr>
    <w:rPr>
      <w:rFonts w:ascii="Arial" w:hAnsi="Arial"/>
      <w:lang w:eastAsia="en-US"/>
    </w:rPr>
  </w:style>
  <w:style w:type="paragraph" w:customStyle="1" w:styleId="BayerTableStyleLeftJustified">
    <w:name w:val="Bayer TableStyle Left Justified"/>
    <w:basedOn w:val="Normal"/>
    <w:rsid w:val="00A0623E"/>
    <w:pPr>
      <w:keepNext/>
      <w:widowControl w:val="0"/>
    </w:pPr>
    <w:rPr>
      <w:rFonts w:ascii="Arial" w:hAnsi="Arial"/>
      <w:lang w:eastAsia="en-US"/>
    </w:rPr>
  </w:style>
  <w:style w:type="paragraph" w:styleId="Caption">
    <w:name w:val="caption"/>
    <w:aliases w:val="Bayer Caption,IB Caption,Medical Caption,Bayer Normal Char,Bayer Normal Zchn Zchn,NDA"/>
    <w:basedOn w:val="Normal"/>
    <w:next w:val="Normal"/>
    <w:link w:val="CaptionChar"/>
    <w:qFormat/>
    <w:rsid w:val="00A0623E"/>
    <w:pPr>
      <w:keepNext/>
      <w:spacing w:before="120" w:after="120"/>
      <w:ind w:left="907"/>
    </w:pPr>
    <w:rPr>
      <w:rFonts w:ascii="Arial" w:hAnsi="Arial"/>
      <w:b/>
      <w:lang w:eastAsia="en-US"/>
    </w:rPr>
  </w:style>
  <w:style w:type="character" w:customStyle="1" w:styleId="CaptionChar">
    <w:name w:val="Caption Char"/>
    <w:aliases w:val="Bayer Caption Char,IB Caption Char,Medical Caption Char,Bayer Normal Char Char,Bayer Normal Zchn Zchn Char,NDA Char"/>
    <w:link w:val="Caption"/>
    <w:locked/>
    <w:rsid w:val="00A0623E"/>
    <w:rPr>
      <w:rFonts w:ascii="Arial" w:hAnsi="Arial"/>
      <w:b/>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72A"/>
    <w:rPr>
      <w:lang w:val="en-US"/>
    </w:rPr>
  </w:style>
  <w:style w:type="paragraph" w:styleId="Heading1">
    <w:name w:val="heading 1"/>
    <w:basedOn w:val="Normal"/>
    <w:next w:val="Normal"/>
    <w:qFormat/>
    <w:rsid w:val="00F7372A"/>
    <w:pPr>
      <w:keepNext/>
      <w:outlineLvl w:val="0"/>
    </w:pPr>
    <w:rPr>
      <w:rFonts w:ascii="Helvetica 55 Roman" w:hAnsi="Helvetica 55 Roman"/>
      <w:sz w:val="24"/>
      <w:lang w:val="en-AU" w:eastAsia="en-US"/>
    </w:rPr>
  </w:style>
  <w:style w:type="paragraph" w:styleId="Heading2">
    <w:name w:val="heading 2"/>
    <w:basedOn w:val="Normal"/>
    <w:next w:val="Normal"/>
    <w:link w:val="Heading2Char"/>
    <w:qFormat/>
    <w:rsid w:val="00F7372A"/>
    <w:pPr>
      <w:keepNext/>
      <w:outlineLvl w:val="1"/>
    </w:pPr>
    <w:rPr>
      <w:rFonts w:ascii="Helvetica 55 Roman" w:hAnsi="Helvetica 55 Roman"/>
      <w:sz w:val="24"/>
      <w:u w:val="single"/>
      <w:lang w:val="en-AU" w:eastAsia="en-US"/>
    </w:rPr>
  </w:style>
  <w:style w:type="paragraph" w:styleId="Heading3">
    <w:name w:val="heading 3"/>
    <w:basedOn w:val="Normal"/>
    <w:next w:val="Normal"/>
    <w:qFormat/>
    <w:rsid w:val="00F7372A"/>
    <w:pPr>
      <w:keepNext/>
      <w:outlineLvl w:val="2"/>
    </w:pPr>
    <w:rPr>
      <w:rFonts w:ascii="Helvetica 55 Roman" w:hAnsi="Helvetica 55 Roman"/>
      <w:b/>
      <w:sz w:val="24"/>
      <w:u w:val="single"/>
      <w:lang w:val="en-AU" w:eastAsia="en-US"/>
    </w:rPr>
  </w:style>
  <w:style w:type="paragraph" w:styleId="Heading4">
    <w:name w:val="heading 4"/>
    <w:basedOn w:val="Normal"/>
    <w:next w:val="Normal"/>
    <w:qFormat/>
    <w:rsid w:val="00F7372A"/>
    <w:pPr>
      <w:keepNext/>
      <w:outlineLvl w:val="3"/>
    </w:pPr>
    <w:rPr>
      <w:rFonts w:ascii="Helvetica 55 Roman" w:hAnsi="Helvetica 55 Roman"/>
      <w:sz w:val="22"/>
    </w:rPr>
  </w:style>
  <w:style w:type="paragraph" w:styleId="Heading5">
    <w:name w:val="heading 5"/>
    <w:basedOn w:val="Normal"/>
    <w:next w:val="Normal"/>
    <w:qFormat/>
    <w:rsid w:val="00F7372A"/>
    <w:pPr>
      <w:keepNext/>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tertitel">
    <w:name w:val="Untertitel"/>
    <w:basedOn w:val="Normal"/>
    <w:rsid w:val="00F7372A"/>
    <w:pPr>
      <w:keepNext/>
      <w:spacing w:after="240" w:line="240" w:lineRule="atLeast"/>
    </w:pPr>
    <w:rPr>
      <w:rFonts w:ascii="Helvetica 35 Thin" w:hAnsi="Helvetica 35 Thin"/>
      <w:b/>
      <w:sz w:val="24"/>
      <w:lang w:val="de-DE" w:eastAsia="en-US"/>
    </w:rPr>
  </w:style>
  <w:style w:type="paragraph" w:styleId="BodyText">
    <w:name w:val="Body Text"/>
    <w:basedOn w:val="Normal"/>
    <w:rsid w:val="00F7372A"/>
    <w:rPr>
      <w:rFonts w:ascii="Helvetica 55 Roman" w:hAnsi="Helvetica 55 Roman"/>
      <w:sz w:val="24"/>
      <w:lang w:val="en-AU" w:eastAsia="en-US"/>
    </w:rPr>
  </w:style>
  <w:style w:type="paragraph" w:styleId="Header">
    <w:name w:val="header"/>
    <w:basedOn w:val="Normal"/>
    <w:rsid w:val="00F7372A"/>
    <w:pPr>
      <w:tabs>
        <w:tab w:val="center" w:pos="4320"/>
        <w:tab w:val="right" w:pos="8640"/>
      </w:tabs>
    </w:pPr>
    <w:rPr>
      <w:lang w:val="en-AU" w:eastAsia="en-US"/>
    </w:rPr>
  </w:style>
  <w:style w:type="character" w:styleId="PageNumber">
    <w:name w:val="page number"/>
    <w:basedOn w:val="DefaultParagraphFont"/>
    <w:rsid w:val="00F7372A"/>
  </w:style>
  <w:style w:type="paragraph" w:styleId="Footer">
    <w:name w:val="footer"/>
    <w:basedOn w:val="Normal"/>
    <w:rsid w:val="00F7372A"/>
    <w:pPr>
      <w:tabs>
        <w:tab w:val="center" w:pos="4320"/>
        <w:tab w:val="right" w:pos="8640"/>
      </w:tabs>
    </w:pPr>
  </w:style>
  <w:style w:type="paragraph" w:styleId="Title">
    <w:name w:val="Title"/>
    <w:basedOn w:val="Normal"/>
    <w:qFormat/>
    <w:rsid w:val="00F7372A"/>
    <w:pPr>
      <w:jc w:val="center"/>
    </w:pPr>
    <w:rPr>
      <w:rFonts w:ascii="Helvetica 55 Roman" w:hAnsi="Helvetica 55 Roman"/>
      <w:b/>
      <w:sz w:val="24"/>
    </w:rPr>
  </w:style>
  <w:style w:type="paragraph" w:styleId="DocumentMap">
    <w:name w:val="Document Map"/>
    <w:basedOn w:val="Normal"/>
    <w:semiHidden/>
    <w:rsid w:val="00F7372A"/>
    <w:pPr>
      <w:shd w:val="clear" w:color="auto" w:fill="000080"/>
    </w:pPr>
    <w:rPr>
      <w:rFonts w:ascii="Tahoma" w:hAnsi="Tahoma"/>
    </w:rPr>
  </w:style>
  <w:style w:type="paragraph" w:styleId="BalloonText">
    <w:name w:val="Balloon Text"/>
    <w:basedOn w:val="Normal"/>
    <w:semiHidden/>
    <w:rsid w:val="00C6349E"/>
    <w:rPr>
      <w:rFonts w:ascii="Tahoma" w:hAnsi="Tahoma" w:cs="Tahoma"/>
      <w:sz w:val="16"/>
      <w:szCs w:val="16"/>
    </w:rPr>
  </w:style>
  <w:style w:type="character" w:styleId="CommentReference">
    <w:name w:val="annotation reference"/>
    <w:semiHidden/>
    <w:rsid w:val="00C6349E"/>
    <w:rPr>
      <w:sz w:val="16"/>
      <w:szCs w:val="16"/>
    </w:rPr>
  </w:style>
  <w:style w:type="paragraph" w:styleId="CommentText">
    <w:name w:val="annotation text"/>
    <w:basedOn w:val="Normal"/>
    <w:link w:val="CommentTextChar"/>
    <w:semiHidden/>
    <w:rsid w:val="00C6349E"/>
  </w:style>
  <w:style w:type="paragraph" w:styleId="CommentSubject">
    <w:name w:val="annotation subject"/>
    <w:basedOn w:val="CommentText"/>
    <w:next w:val="CommentText"/>
    <w:semiHidden/>
    <w:rsid w:val="00C6349E"/>
    <w:rPr>
      <w:b/>
      <w:bCs/>
    </w:rPr>
  </w:style>
  <w:style w:type="table" w:styleId="TableGrid">
    <w:name w:val="Table Grid"/>
    <w:basedOn w:val="TableNormal"/>
    <w:uiPriority w:val="59"/>
    <w:rsid w:val="00F82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1807"/>
    <w:pPr>
      <w:autoSpaceDE w:val="0"/>
      <w:autoSpaceDN w:val="0"/>
      <w:adjustRightInd w:val="0"/>
    </w:pPr>
    <w:rPr>
      <w:color w:val="000000"/>
      <w:sz w:val="24"/>
      <w:szCs w:val="24"/>
    </w:rPr>
  </w:style>
  <w:style w:type="paragraph" w:styleId="EndnoteText">
    <w:name w:val="endnote text"/>
    <w:basedOn w:val="Normal"/>
    <w:semiHidden/>
    <w:rsid w:val="00235896"/>
    <w:pPr>
      <w:ind w:left="227" w:hanging="227"/>
      <w:jc w:val="both"/>
    </w:pPr>
    <w:rPr>
      <w:rFonts w:ascii="Arial" w:hAnsi="Arial"/>
      <w:lang w:val="de-DE" w:eastAsia="de-DE"/>
    </w:rPr>
  </w:style>
  <w:style w:type="character" w:styleId="EndnoteReference">
    <w:name w:val="endnote reference"/>
    <w:semiHidden/>
    <w:rsid w:val="00235896"/>
    <w:rPr>
      <w:vertAlign w:val="superscript"/>
    </w:rPr>
  </w:style>
  <w:style w:type="character" w:customStyle="1" w:styleId="Para0sZchn">
    <w:name w:val="Para:0:s Zchn"/>
    <w:link w:val="Para0s"/>
    <w:locked/>
    <w:rsid w:val="00740235"/>
    <w:rPr>
      <w:rFonts w:ascii="Helvetica" w:hAnsi="Helvetica"/>
      <w:sz w:val="22"/>
      <w:lang w:val="en-US" w:eastAsia="de-DE" w:bidi="ar-SA"/>
    </w:rPr>
  </w:style>
  <w:style w:type="paragraph" w:customStyle="1" w:styleId="Para0s">
    <w:name w:val="Para:0:s"/>
    <w:basedOn w:val="Normal"/>
    <w:link w:val="Para0sZchn"/>
    <w:rsid w:val="00740235"/>
    <w:pPr>
      <w:spacing w:after="220"/>
    </w:pPr>
    <w:rPr>
      <w:rFonts w:ascii="Helvetica" w:hAnsi="Helvetica"/>
      <w:sz w:val="22"/>
      <w:lang w:eastAsia="de-DE"/>
    </w:rPr>
  </w:style>
  <w:style w:type="numbering" w:styleId="111111">
    <w:name w:val="Outline List 2"/>
    <w:basedOn w:val="NoList"/>
    <w:semiHidden/>
    <w:rsid w:val="004D63D6"/>
    <w:pPr>
      <w:numPr>
        <w:numId w:val="17"/>
      </w:numPr>
    </w:pPr>
  </w:style>
  <w:style w:type="paragraph" w:customStyle="1" w:styleId="Bullet0dKT">
    <w:name w:val="Bullet:0:d:KT"/>
    <w:basedOn w:val="Normal"/>
    <w:rsid w:val="004D63D6"/>
    <w:pPr>
      <w:keepNext/>
      <w:keepLines/>
      <w:numPr>
        <w:numId w:val="17"/>
      </w:numPr>
      <w:spacing w:before="40" w:after="220"/>
    </w:pPr>
    <w:rPr>
      <w:rFonts w:ascii="Helvetica" w:hAnsi="Helvetica"/>
      <w:sz w:val="22"/>
      <w:lang w:eastAsia="de-DE"/>
    </w:rPr>
  </w:style>
  <w:style w:type="character" w:styleId="FollowedHyperlink">
    <w:name w:val="FollowedHyperlink"/>
    <w:rsid w:val="0060093C"/>
    <w:rPr>
      <w:color w:val="800080"/>
      <w:u w:val="single"/>
    </w:rPr>
  </w:style>
  <w:style w:type="paragraph" w:styleId="Revision">
    <w:name w:val="Revision"/>
    <w:hidden/>
    <w:uiPriority w:val="99"/>
    <w:semiHidden/>
    <w:rsid w:val="00D35F6F"/>
    <w:rPr>
      <w:lang w:val="en-US"/>
    </w:rPr>
  </w:style>
  <w:style w:type="character" w:styleId="Emphasis">
    <w:name w:val="Emphasis"/>
    <w:basedOn w:val="DefaultParagraphFont"/>
    <w:qFormat/>
    <w:rsid w:val="00F7376B"/>
    <w:rPr>
      <w:i/>
      <w:iCs/>
    </w:rPr>
  </w:style>
  <w:style w:type="paragraph" w:styleId="ListParagraph">
    <w:name w:val="List Paragraph"/>
    <w:basedOn w:val="Normal"/>
    <w:uiPriority w:val="34"/>
    <w:qFormat/>
    <w:rsid w:val="00BC3C8F"/>
    <w:pPr>
      <w:ind w:left="720"/>
      <w:contextualSpacing/>
    </w:pPr>
  </w:style>
  <w:style w:type="character" w:customStyle="1" w:styleId="CommentTextChar">
    <w:name w:val="Comment Text Char"/>
    <w:basedOn w:val="DefaultParagraphFont"/>
    <w:link w:val="CommentText"/>
    <w:semiHidden/>
    <w:rsid w:val="0080610E"/>
    <w:rPr>
      <w:lang w:val="en-US"/>
    </w:rPr>
  </w:style>
  <w:style w:type="character" w:customStyle="1" w:styleId="Heading2Char">
    <w:name w:val="Heading 2 Char"/>
    <w:basedOn w:val="DefaultParagraphFont"/>
    <w:link w:val="Heading2"/>
    <w:rsid w:val="00F20568"/>
    <w:rPr>
      <w:rFonts w:ascii="Helvetica 55 Roman" w:hAnsi="Helvetica 55 Roman"/>
      <w:sz w:val="24"/>
      <w:u w:val="single"/>
      <w:lang w:eastAsia="en-US"/>
    </w:rPr>
  </w:style>
  <w:style w:type="paragraph" w:customStyle="1" w:styleId="BayerTableRowHeadings">
    <w:name w:val="Bayer Table Row Headings"/>
    <w:basedOn w:val="Normal"/>
    <w:rsid w:val="00A0623E"/>
    <w:pPr>
      <w:keepNext/>
      <w:widowControl w:val="0"/>
    </w:pPr>
    <w:rPr>
      <w:rFonts w:ascii="Arial" w:hAnsi="Arial"/>
      <w:lang w:eastAsia="en-US"/>
    </w:rPr>
  </w:style>
  <w:style w:type="paragraph" w:customStyle="1" w:styleId="BayerTableFootnote">
    <w:name w:val="Bayer Table Footnote"/>
    <w:basedOn w:val="Normal"/>
    <w:rsid w:val="00A0623E"/>
    <w:pPr>
      <w:keepNext/>
      <w:widowControl w:val="0"/>
      <w:ind w:left="360" w:hanging="360"/>
    </w:pPr>
    <w:rPr>
      <w:rFonts w:ascii="Arial" w:hAnsi="Arial"/>
      <w:lang w:eastAsia="en-US"/>
    </w:rPr>
  </w:style>
  <w:style w:type="paragraph" w:customStyle="1" w:styleId="BayerTableStyleCentered">
    <w:name w:val="Bayer TableStyle Centered"/>
    <w:basedOn w:val="Normal"/>
    <w:rsid w:val="00A0623E"/>
    <w:pPr>
      <w:keepNext/>
      <w:widowControl w:val="0"/>
      <w:jc w:val="center"/>
    </w:pPr>
    <w:rPr>
      <w:rFonts w:ascii="Arial" w:hAnsi="Arial"/>
      <w:lang w:eastAsia="en-US"/>
    </w:rPr>
  </w:style>
  <w:style w:type="paragraph" w:customStyle="1" w:styleId="BayerTableStyleLeftJustified">
    <w:name w:val="Bayer TableStyle Left Justified"/>
    <w:basedOn w:val="Normal"/>
    <w:rsid w:val="00A0623E"/>
    <w:pPr>
      <w:keepNext/>
      <w:widowControl w:val="0"/>
    </w:pPr>
    <w:rPr>
      <w:rFonts w:ascii="Arial" w:hAnsi="Arial"/>
      <w:lang w:eastAsia="en-US"/>
    </w:rPr>
  </w:style>
  <w:style w:type="paragraph" w:styleId="Caption">
    <w:name w:val="caption"/>
    <w:aliases w:val="Bayer Caption,IB Caption,Medical Caption,Bayer Normal Char,Bayer Normal Zchn Zchn,NDA"/>
    <w:basedOn w:val="Normal"/>
    <w:next w:val="Normal"/>
    <w:link w:val="CaptionChar"/>
    <w:qFormat/>
    <w:rsid w:val="00A0623E"/>
    <w:pPr>
      <w:keepNext/>
      <w:spacing w:before="120" w:after="120"/>
      <w:ind w:left="907"/>
    </w:pPr>
    <w:rPr>
      <w:rFonts w:ascii="Arial" w:hAnsi="Arial"/>
      <w:b/>
      <w:lang w:eastAsia="en-US"/>
    </w:rPr>
  </w:style>
  <w:style w:type="character" w:customStyle="1" w:styleId="CaptionChar">
    <w:name w:val="Caption Char"/>
    <w:aliases w:val="Bayer Caption Char,IB Caption Char,Medical Caption Char,Bayer Normal Char Char,Bayer Normal Zchn Zchn Char,NDA Char"/>
    <w:link w:val="Caption"/>
    <w:locked/>
    <w:rsid w:val="00A0623E"/>
    <w:rPr>
      <w:rFonts w:ascii="Arial" w:hAnsi="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49649">
      <w:bodyDiv w:val="1"/>
      <w:marLeft w:val="0"/>
      <w:marRight w:val="0"/>
      <w:marTop w:val="0"/>
      <w:marBottom w:val="0"/>
      <w:divBdr>
        <w:top w:val="none" w:sz="0" w:space="0" w:color="auto"/>
        <w:left w:val="none" w:sz="0" w:space="0" w:color="auto"/>
        <w:bottom w:val="none" w:sz="0" w:space="0" w:color="auto"/>
        <w:right w:val="none" w:sz="0" w:space="0" w:color="auto"/>
      </w:divBdr>
      <w:divsChild>
        <w:div w:id="984352208">
          <w:marLeft w:val="0"/>
          <w:marRight w:val="0"/>
          <w:marTop w:val="0"/>
          <w:marBottom w:val="0"/>
          <w:divBdr>
            <w:top w:val="none" w:sz="0" w:space="0" w:color="auto"/>
            <w:left w:val="none" w:sz="0" w:space="0" w:color="auto"/>
            <w:bottom w:val="none" w:sz="0" w:space="0" w:color="auto"/>
            <w:right w:val="none" w:sz="0" w:space="0" w:color="auto"/>
          </w:divBdr>
          <w:divsChild>
            <w:div w:id="17535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DEF76-2F92-491E-AE3A-E1640608C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5913</Words>
  <Characters>33631</Characters>
  <Application>Microsoft Office Word</Application>
  <DocSecurity>0</DocSecurity>
  <Lines>622</Lines>
  <Paragraphs>265</Paragraphs>
  <ScaleCrop>false</ScaleCrop>
  <HeadingPairs>
    <vt:vector size="2" baseType="variant">
      <vt:variant>
        <vt:lpstr>Title</vt:lpstr>
      </vt:variant>
      <vt:variant>
        <vt:i4>1</vt:i4>
      </vt:variant>
    </vt:vector>
  </HeadingPairs>
  <TitlesOfParts>
    <vt:vector size="1" baseType="lpstr">
      <vt:lpstr>AusPAR Attachment 1. Product Information for Gadobutrol</vt:lpstr>
    </vt:vector>
  </TitlesOfParts>
  <Company>Bayer Australia Ltd</Company>
  <LinksUpToDate>false</LinksUpToDate>
  <CharactersWithSpaces>39279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Gadobutrol (Gadovist)</dc:title>
  <dc:subject>prescription medicine regulation</dc:subject>
  <dc:creator>Bayer Australia Ltd</dc:creator>
  <cp:keywords>product, information, prescription, medicine, regulation, gadobutrol, gadovist, bayer, pi</cp:keywords>
  <cp:lastModifiedBy>Lack, Janet</cp:lastModifiedBy>
  <cp:revision>4</cp:revision>
  <cp:lastPrinted>2015-01-19T06:14:00Z</cp:lastPrinted>
  <dcterms:created xsi:type="dcterms:W3CDTF">2015-06-18T06:14:00Z</dcterms:created>
  <dcterms:modified xsi:type="dcterms:W3CDTF">2015-07-09T06:12:00Z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961938816</vt:i4>
  </property>
</Properties>
</file>