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423561" w:rsidRDefault="00423561" w:rsidP="00423561">
            <w:pPr>
              <w:rPr>
                <w:rFonts w:ascii="Arial" w:hAnsi="Arial" w:cs="Arial"/>
                <w:b/>
                <w:color w:val="002C47"/>
                <w:sz w:val="36"/>
                <w:szCs w:val="36"/>
              </w:rPr>
            </w:pPr>
            <w:r w:rsidRPr="00423561">
              <w:rPr>
                <w:rFonts w:ascii="Arial" w:hAnsi="Arial" w:cs="Arial"/>
                <w:b/>
                <w:sz w:val="32"/>
                <w:szCs w:val="32"/>
              </w:rPr>
              <w:t>16 July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pPr>
            <w:r>
              <w:t>AusPAR Attachment 2</w:t>
            </w:r>
          </w:p>
        </w:tc>
      </w:tr>
      <w:tr w:rsidR="00E07F15" w:rsidRPr="00A964D1" w:rsidTr="00E07F15">
        <w:trPr>
          <w:trHeight w:val="868"/>
        </w:trPr>
        <w:tc>
          <w:tcPr>
            <w:tcW w:w="9079" w:type="dxa"/>
          </w:tcPr>
          <w:p w:rsidR="00E07F15" w:rsidRPr="00A964D1" w:rsidRDefault="00E07F15" w:rsidP="00C80674">
            <w:pPr>
              <w:pStyle w:val="Title"/>
            </w:pPr>
            <w:r>
              <w:t>Extract from the Clinical Evaluation Report</w:t>
            </w:r>
            <w:r w:rsidRPr="00A964D1">
              <w:t xml:space="preserve"> for</w:t>
            </w:r>
            <w:r w:rsidR="00423561">
              <w:rPr>
                <w:rFonts w:cs="Arial"/>
                <w:b/>
                <w:kern w:val="0"/>
                <w:sz w:val="32"/>
                <w:szCs w:val="32"/>
              </w:rPr>
              <w:t xml:space="preserve"> </w:t>
            </w:r>
            <w:proofErr w:type="spellStart"/>
            <w:r w:rsidR="00423561" w:rsidRPr="00423561">
              <w:rPr>
                <w:rFonts w:cs="Arial"/>
                <w:kern w:val="0"/>
              </w:rPr>
              <w:t>Gadobutrol</w:t>
            </w:r>
            <w:proofErr w:type="spellEnd"/>
          </w:p>
        </w:tc>
      </w:tr>
      <w:tr w:rsidR="00E07F15" w:rsidRPr="00B64760" w:rsidTr="00E07F15">
        <w:tc>
          <w:tcPr>
            <w:tcW w:w="9079" w:type="dxa"/>
          </w:tcPr>
          <w:p w:rsidR="00E07F15" w:rsidRPr="008E7846" w:rsidRDefault="00E07F15" w:rsidP="00CB45EF">
            <w:pPr>
              <w:pStyle w:val="Subtitle"/>
            </w:pPr>
            <w:r w:rsidRPr="008E7846">
              <w:t xml:space="preserve">Proprietary Product Name: </w:t>
            </w:r>
            <w:proofErr w:type="spellStart"/>
            <w:r w:rsidR="00423561" w:rsidRPr="00423561">
              <w:rPr>
                <w:rFonts w:cs="Arial"/>
                <w:szCs w:val="40"/>
              </w:rPr>
              <w:t>Gadovist</w:t>
            </w:r>
            <w:proofErr w:type="spellEnd"/>
          </w:p>
        </w:tc>
      </w:tr>
      <w:tr w:rsidR="00E07F15" w:rsidRPr="00B64760" w:rsidTr="00E07F15">
        <w:trPr>
          <w:trHeight w:val="486"/>
        </w:trPr>
        <w:tc>
          <w:tcPr>
            <w:tcW w:w="9079" w:type="dxa"/>
          </w:tcPr>
          <w:p w:rsidR="00E07F15" w:rsidRPr="008E7846" w:rsidRDefault="00E07F15" w:rsidP="00CB45EF">
            <w:pPr>
              <w:pStyle w:val="Subtitle"/>
            </w:pPr>
            <w:r w:rsidRPr="008E7846">
              <w:t xml:space="preserve">Sponsor: </w:t>
            </w:r>
            <w:r w:rsidR="00423561" w:rsidRPr="00423561">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3732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3352693" w:history="1">
            <w:r w:rsidR="00C3732E" w:rsidRPr="00BF34CF">
              <w:rPr>
                <w:rStyle w:val="Hyperlink"/>
                <w:noProof/>
              </w:rPr>
              <w:t>List of commonly used abbreviations</w:t>
            </w:r>
            <w:r w:rsidR="00C3732E">
              <w:rPr>
                <w:noProof/>
                <w:webHidden/>
              </w:rPr>
              <w:tab/>
            </w:r>
            <w:r w:rsidR="00C3732E">
              <w:rPr>
                <w:noProof/>
                <w:webHidden/>
              </w:rPr>
              <w:fldChar w:fldCharType="begin"/>
            </w:r>
            <w:r w:rsidR="00C3732E">
              <w:rPr>
                <w:noProof/>
                <w:webHidden/>
              </w:rPr>
              <w:instrText xml:space="preserve"> PAGEREF _Toc423352693 \h </w:instrText>
            </w:r>
            <w:r w:rsidR="00C3732E">
              <w:rPr>
                <w:noProof/>
                <w:webHidden/>
              </w:rPr>
            </w:r>
            <w:r w:rsidR="00C3732E">
              <w:rPr>
                <w:noProof/>
                <w:webHidden/>
              </w:rPr>
              <w:fldChar w:fldCharType="separate"/>
            </w:r>
            <w:r w:rsidR="00C3732E">
              <w:rPr>
                <w:noProof/>
                <w:webHidden/>
              </w:rPr>
              <w:t>5</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694" w:history="1">
            <w:r w:rsidR="00C3732E" w:rsidRPr="00BF34CF">
              <w:rPr>
                <w:rStyle w:val="Hyperlink"/>
                <w:noProof/>
                <w:lang w:eastAsia="en-AU"/>
              </w:rPr>
              <w:t>1.</w:t>
            </w:r>
            <w:r w:rsidR="00C3732E">
              <w:rPr>
                <w:rFonts w:asciiTheme="minorHAnsi" w:eastAsiaTheme="minorEastAsia" w:hAnsiTheme="minorHAnsi" w:cstheme="minorBidi"/>
                <w:b w:val="0"/>
                <w:noProof/>
                <w:sz w:val="22"/>
                <w:lang w:eastAsia="en-AU"/>
              </w:rPr>
              <w:tab/>
            </w:r>
            <w:r w:rsidR="00C3732E" w:rsidRPr="00BF34CF">
              <w:rPr>
                <w:rStyle w:val="Hyperlink"/>
                <w:noProof/>
                <w:lang w:eastAsia="en-AU"/>
              </w:rPr>
              <w:t>Introduction</w:t>
            </w:r>
            <w:r w:rsidR="00C3732E">
              <w:rPr>
                <w:noProof/>
                <w:webHidden/>
              </w:rPr>
              <w:tab/>
            </w:r>
            <w:r w:rsidR="00C3732E">
              <w:rPr>
                <w:noProof/>
                <w:webHidden/>
              </w:rPr>
              <w:fldChar w:fldCharType="begin"/>
            </w:r>
            <w:r w:rsidR="00C3732E">
              <w:rPr>
                <w:noProof/>
                <w:webHidden/>
              </w:rPr>
              <w:instrText xml:space="preserve"> PAGEREF _Toc423352694 \h </w:instrText>
            </w:r>
            <w:r w:rsidR="00C3732E">
              <w:rPr>
                <w:noProof/>
                <w:webHidden/>
              </w:rPr>
            </w:r>
            <w:r w:rsidR="00C3732E">
              <w:rPr>
                <w:noProof/>
                <w:webHidden/>
              </w:rPr>
              <w:fldChar w:fldCharType="separate"/>
            </w:r>
            <w:r w:rsidR="00C3732E">
              <w:rPr>
                <w:noProof/>
                <w:webHidden/>
              </w:rPr>
              <w:t>6</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695" w:history="1">
            <w:r w:rsidR="00C3732E" w:rsidRPr="00BF34CF">
              <w:rPr>
                <w:rStyle w:val="Hyperlink"/>
                <w:noProof/>
              </w:rPr>
              <w:t>1.1.</w:t>
            </w:r>
            <w:r w:rsidR="00C3732E">
              <w:rPr>
                <w:rFonts w:asciiTheme="minorHAnsi" w:eastAsiaTheme="minorEastAsia" w:hAnsiTheme="minorHAnsi" w:cstheme="minorBidi"/>
                <w:noProof/>
                <w:lang w:eastAsia="en-AU"/>
              </w:rPr>
              <w:tab/>
            </w:r>
            <w:r w:rsidR="00C3732E" w:rsidRPr="00BF34CF">
              <w:rPr>
                <w:rStyle w:val="Hyperlink"/>
                <w:noProof/>
              </w:rPr>
              <w:t>Clinical rationale</w:t>
            </w:r>
            <w:r w:rsidR="00C3732E">
              <w:rPr>
                <w:noProof/>
                <w:webHidden/>
              </w:rPr>
              <w:tab/>
            </w:r>
            <w:r w:rsidR="00C3732E">
              <w:rPr>
                <w:noProof/>
                <w:webHidden/>
              </w:rPr>
              <w:fldChar w:fldCharType="begin"/>
            </w:r>
            <w:r w:rsidR="00C3732E">
              <w:rPr>
                <w:noProof/>
                <w:webHidden/>
              </w:rPr>
              <w:instrText xml:space="preserve"> PAGEREF _Toc423352695 \h </w:instrText>
            </w:r>
            <w:r w:rsidR="00C3732E">
              <w:rPr>
                <w:noProof/>
                <w:webHidden/>
              </w:rPr>
            </w:r>
            <w:r w:rsidR="00C3732E">
              <w:rPr>
                <w:noProof/>
                <w:webHidden/>
              </w:rPr>
              <w:fldChar w:fldCharType="separate"/>
            </w:r>
            <w:r w:rsidR="00C3732E">
              <w:rPr>
                <w:noProof/>
                <w:webHidden/>
              </w:rPr>
              <w:t>7</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696" w:history="1">
            <w:r w:rsidR="00C3732E" w:rsidRPr="00BF34CF">
              <w:rPr>
                <w:rStyle w:val="Hyperlink"/>
                <w:noProof/>
                <w:lang w:eastAsia="en-AU"/>
              </w:rPr>
              <w:t>2.</w:t>
            </w:r>
            <w:r w:rsidR="00C3732E">
              <w:rPr>
                <w:rFonts w:asciiTheme="minorHAnsi" w:eastAsiaTheme="minorEastAsia" w:hAnsiTheme="minorHAnsi" w:cstheme="minorBidi"/>
                <w:b w:val="0"/>
                <w:noProof/>
                <w:sz w:val="22"/>
                <w:lang w:eastAsia="en-AU"/>
              </w:rPr>
              <w:tab/>
            </w:r>
            <w:r w:rsidR="00C3732E" w:rsidRPr="00BF34CF">
              <w:rPr>
                <w:rStyle w:val="Hyperlink"/>
                <w:noProof/>
                <w:lang w:eastAsia="en-AU"/>
              </w:rPr>
              <w:t>Contents of the clinical dossier</w:t>
            </w:r>
            <w:r w:rsidR="00C3732E">
              <w:rPr>
                <w:noProof/>
                <w:webHidden/>
              </w:rPr>
              <w:tab/>
            </w:r>
            <w:r w:rsidR="00C3732E">
              <w:rPr>
                <w:noProof/>
                <w:webHidden/>
              </w:rPr>
              <w:fldChar w:fldCharType="begin"/>
            </w:r>
            <w:r w:rsidR="00C3732E">
              <w:rPr>
                <w:noProof/>
                <w:webHidden/>
              </w:rPr>
              <w:instrText xml:space="preserve"> PAGEREF _Toc423352696 \h </w:instrText>
            </w:r>
            <w:r w:rsidR="00C3732E">
              <w:rPr>
                <w:noProof/>
                <w:webHidden/>
              </w:rPr>
            </w:r>
            <w:r w:rsidR="00C3732E">
              <w:rPr>
                <w:noProof/>
                <w:webHidden/>
              </w:rPr>
              <w:fldChar w:fldCharType="separate"/>
            </w:r>
            <w:r w:rsidR="00C3732E">
              <w:rPr>
                <w:noProof/>
                <w:webHidden/>
              </w:rPr>
              <w:t>7</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697" w:history="1">
            <w:r w:rsidR="00C3732E" w:rsidRPr="00BF34CF">
              <w:rPr>
                <w:rStyle w:val="Hyperlink"/>
                <w:noProof/>
              </w:rPr>
              <w:t>2.1.</w:t>
            </w:r>
            <w:r w:rsidR="00C3732E">
              <w:rPr>
                <w:rFonts w:asciiTheme="minorHAnsi" w:eastAsiaTheme="minorEastAsia" w:hAnsiTheme="minorHAnsi" w:cstheme="minorBidi"/>
                <w:noProof/>
                <w:lang w:eastAsia="en-AU"/>
              </w:rPr>
              <w:tab/>
            </w:r>
            <w:r w:rsidR="00C3732E" w:rsidRPr="00BF34CF">
              <w:rPr>
                <w:rStyle w:val="Hyperlink"/>
                <w:noProof/>
              </w:rPr>
              <w:t>Scope of the clinical dossier</w:t>
            </w:r>
            <w:r w:rsidR="00C3732E">
              <w:rPr>
                <w:noProof/>
                <w:webHidden/>
              </w:rPr>
              <w:tab/>
            </w:r>
            <w:r w:rsidR="00C3732E">
              <w:rPr>
                <w:noProof/>
                <w:webHidden/>
              </w:rPr>
              <w:fldChar w:fldCharType="begin"/>
            </w:r>
            <w:r w:rsidR="00C3732E">
              <w:rPr>
                <w:noProof/>
                <w:webHidden/>
              </w:rPr>
              <w:instrText xml:space="preserve"> PAGEREF _Toc423352697 \h </w:instrText>
            </w:r>
            <w:r w:rsidR="00C3732E">
              <w:rPr>
                <w:noProof/>
                <w:webHidden/>
              </w:rPr>
            </w:r>
            <w:r w:rsidR="00C3732E">
              <w:rPr>
                <w:noProof/>
                <w:webHidden/>
              </w:rPr>
              <w:fldChar w:fldCharType="separate"/>
            </w:r>
            <w:r w:rsidR="00C3732E">
              <w:rPr>
                <w:noProof/>
                <w:webHidden/>
              </w:rPr>
              <w:t>7</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698" w:history="1">
            <w:r w:rsidR="00C3732E" w:rsidRPr="00BF34CF">
              <w:rPr>
                <w:rStyle w:val="Hyperlink"/>
                <w:noProof/>
              </w:rPr>
              <w:t>2.2.</w:t>
            </w:r>
            <w:r w:rsidR="00C3732E">
              <w:rPr>
                <w:rFonts w:asciiTheme="minorHAnsi" w:eastAsiaTheme="minorEastAsia" w:hAnsiTheme="minorHAnsi" w:cstheme="minorBidi"/>
                <w:noProof/>
                <w:lang w:eastAsia="en-AU"/>
              </w:rPr>
              <w:tab/>
            </w:r>
            <w:r w:rsidR="00C3732E" w:rsidRPr="00BF34CF">
              <w:rPr>
                <w:rStyle w:val="Hyperlink"/>
                <w:noProof/>
              </w:rPr>
              <w:t>Paediatric data</w:t>
            </w:r>
            <w:r w:rsidR="00C3732E">
              <w:rPr>
                <w:noProof/>
                <w:webHidden/>
              </w:rPr>
              <w:tab/>
            </w:r>
            <w:r w:rsidR="00C3732E">
              <w:rPr>
                <w:noProof/>
                <w:webHidden/>
              </w:rPr>
              <w:fldChar w:fldCharType="begin"/>
            </w:r>
            <w:r w:rsidR="00C3732E">
              <w:rPr>
                <w:noProof/>
                <w:webHidden/>
              </w:rPr>
              <w:instrText xml:space="preserve"> PAGEREF _Toc423352698 \h </w:instrText>
            </w:r>
            <w:r w:rsidR="00C3732E">
              <w:rPr>
                <w:noProof/>
                <w:webHidden/>
              </w:rPr>
            </w:r>
            <w:r w:rsidR="00C3732E">
              <w:rPr>
                <w:noProof/>
                <w:webHidden/>
              </w:rPr>
              <w:fldChar w:fldCharType="separate"/>
            </w:r>
            <w:r w:rsidR="00C3732E">
              <w:rPr>
                <w:noProof/>
                <w:webHidden/>
              </w:rPr>
              <w:t>7</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699" w:history="1">
            <w:r w:rsidR="00C3732E" w:rsidRPr="00BF34CF">
              <w:rPr>
                <w:rStyle w:val="Hyperlink"/>
                <w:noProof/>
              </w:rPr>
              <w:t>2.3.</w:t>
            </w:r>
            <w:r w:rsidR="00C3732E">
              <w:rPr>
                <w:rFonts w:asciiTheme="minorHAnsi" w:eastAsiaTheme="minorEastAsia" w:hAnsiTheme="minorHAnsi" w:cstheme="minorBidi"/>
                <w:noProof/>
                <w:lang w:eastAsia="en-AU"/>
              </w:rPr>
              <w:tab/>
            </w:r>
            <w:r w:rsidR="00C3732E" w:rsidRPr="00BF34CF">
              <w:rPr>
                <w:rStyle w:val="Hyperlink"/>
                <w:noProof/>
              </w:rPr>
              <w:t>Good clinical practice</w:t>
            </w:r>
            <w:r w:rsidR="00C3732E">
              <w:rPr>
                <w:noProof/>
                <w:webHidden/>
              </w:rPr>
              <w:tab/>
            </w:r>
            <w:r w:rsidR="00C3732E">
              <w:rPr>
                <w:noProof/>
                <w:webHidden/>
              </w:rPr>
              <w:fldChar w:fldCharType="begin"/>
            </w:r>
            <w:r w:rsidR="00C3732E">
              <w:rPr>
                <w:noProof/>
                <w:webHidden/>
              </w:rPr>
              <w:instrText xml:space="preserve"> PAGEREF _Toc423352699 \h </w:instrText>
            </w:r>
            <w:r w:rsidR="00C3732E">
              <w:rPr>
                <w:noProof/>
                <w:webHidden/>
              </w:rPr>
            </w:r>
            <w:r w:rsidR="00C3732E">
              <w:rPr>
                <w:noProof/>
                <w:webHidden/>
              </w:rPr>
              <w:fldChar w:fldCharType="separate"/>
            </w:r>
            <w:r w:rsidR="00C3732E">
              <w:rPr>
                <w:noProof/>
                <w:webHidden/>
              </w:rPr>
              <w:t>8</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00" w:history="1">
            <w:r w:rsidR="00C3732E" w:rsidRPr="00BF34CF">
              <w:rPr>
                <w:rStyle w:val="Hyperlink"/>
                <w:noProof/>
              </w:rPr>
              <w:t>3.</w:t>
            </w:r>
            <w:r w:rsidR="00C3732E">
              <w:rPr>
                <w:rFonts w:asciiTheme="minorHAnsi" w:eastAsiaTheme="minorEastAsia" w:hAnsiTheme="minorHAnsi" w:cstheme="minorBidi"/>
                <w:b w:val="0"/>
                <w:noProof/>
                <w:sz w:val="22"/>
                <w:lang w:eastAsia="en-AU"/>
              </w:rPr>
              <w:tab/>
            </w:r>
            <w:r w:rsidR="00C3732E" w:rsidRPr="00BF34CF">
              <w:rPr>
                <w:rStyle w:val="Hyperlink"/>
                <w:noProof/>
              </w:rPr>
              <w:t>Pharmacokinetics</w:t>
            </w:r>
            <w:r w:rsidR="00C3732E">
              <w:rPr>
                <w:noProof/>
                <w:webHidden/>
              </w:rPr>
              <w:tab/>
            </w:r>
            <w:r w:rsidR="00C3732E">
              <w:rPr>
                <w:noProof/>
                <w:webHidden/>
              </w:rPr>
              <w:fldChar w:fldCharType="begin"/>
            </w:r>
            <w:r w:rsidR="00C3732E">
              <w:rPr>
                <w:noProof/>
                <w:webHidden/>
              </w:rPr>
              <w:instrText xml:space="preserve"> PAGEREF _Toc423352700 \h </w:instrText>
            </w:r>
            <w:r w:rsidR="00C3732E">
              <w:rPr>
                <w:noProof/>
                <w:webHidden/>
              </w:rPr>
            </w:r>
            <w:r w:rsidR="00C3732E">
              <w:rPr>
                <w:noProof/>
                <w:webHidden/>
              </w:rPr>
              <w:fldChar w:fldCharType="separate"/>
            </w:r>
            <w:r w:rsidR="00C3732E">
              <w:rPr>
                <w:noProof/>
                <w:webHidden/>
              </w:rPr>
              <w:t>8</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01" w:history="1">
            <w:r w:rsidR="00C3732E" w:rsidRPr="00BF34CF">
              <w:rPr>
                <w:rStyle w:val="Hyperlink"/>
                <w:noProof/>
              </w:rPr>
              <w:t>3.1.</w:t>
            </w:r>
            <w:r w:rsidR="00C3732E">
              <w:rPr>
                <w:rFonts w:asciiTheme="minorHAnsi" w:eastAsiaTheme="minorEastAsia" w:hAnsiTheme="minorHAnsi" w:cstheme="minorBidi"/>
                <w:noProof/>
                <w:lang w:eastAsia="en-AU"/>
              </w:rPr>
              <w:tab/>
            </w:r>
            <w:r w:rsidR="00C3732E" w:rsidRPr="00BF34CF">
              <w:rPr>
                <w:rStyle w:val="Hyperlink"/>
                <w:noProof/>
              </w:rPr>
              <w:t>Studies providing pharmacokinetic data</w:t>
            </w:r>
            <w:r w:rsidR="00C3732E">
              <w:rPr>
                <w:noProof/>
                <w:webHidden/>
              </w:rPr>
              <w:tab/>
            </w:r>
            <w:r w:rsidR="00C3732E">
              <w:rPr>
                <w:noProof/>
                <w:webHidden/>
              </w:rPr>
              <w:fldChar w:fldCharType="begin"/>
            </w:r>
            <w:r w:rsidR="00C3732E">
              <w:rPr>
                <w:noProof/>
                <w:webHidden/>
              </w:rPr>
              <w:instrText xml:space="preserve"> PAGEREF _Toc423352701 \h </w:instrText>
            </w:r>
            <w:r w:rsidR="00C3732E">
              <w:rPr>
                <w:noProof/>
                <w:webHidden/>
              </w:rPr>
            </w:r>
            <w:r w:rsidR="00C3732E">
              <w:rPr>
                <w:noProof/>
                <w:webHidden/>
              </w:rPr>
              <w:fldChar w:fldCharType="separate"/>
            </w:r>
            <w:r w:rsidR="00C3732E">
              <w:rPr>
                <w:noProof/>
                <w:webHidden/>
              </w:rPr>
              <w:t>8</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02" w:history="1">
            <w:r w:rsidR="00C3732E" w:rsidRPr="00BF34CF">
              <w:rPr>
                <w:rStyle w:val="Hyperlink"/>
                <w:noProof/>
                <w:kern w:val="16"/>
              </w:rPr>
              <w:t>3.2.</w:t>
            </w:r>
            <w:r w:rsidR="00C3732E">
              <w:rPr>
                <w:rFonts w:asciiTheme="minorHAnsi" w:eastAsiaTheme="minorEastAsia" w:hAnsiTheme="minorHAnsi" w:cstheme="minorBidi"/>
                <w:noProof/>
                <w:lang w:eastAsia="en-AU"/>
              </w:rPr>
              <w:tab/>
            </w:r>
            <w:r w:rsidR="00C3732E" w:rsidRPr="00BF34CF">
              <w:rPr>
                <w:rStyle w:val="Hyperlink"/>
                <w:noProof/>
              </w:rPr>
              <w:t>Summary of pharmacokinetics</w:t>
            </w:r>
            <w:r w:rsidR="00C3732E">
              <w:rPr>
                <w:noProof/>
                <w:webHidden/>
              </w:rPr>
              <w:tab/>
            </w:r>
            <w:r w:rsidR="00C3732E">
              <w:rPr>
                <w:noProof/>
                <w:webHidden/>
              </w:rPr>
              <w:fldChar w:fldCharType="begin"/>
            </w:r>
            <w:r w:rsidR="00C3732E">
              <w:rPr>
                <w:noProof/>
                <w:webHidden/>
              </w:rPr>
              <w:instrText xml:space="preserve"> PAGEREF _Toc423352702 \h </w:instrText>
            </w:r>
            <w:r w:rsidR="00C3732E">
              <w:rPr>
                <w:noProof/>
                <w:webHidden/>
              </w:rPr>
            </w:r>
            <w:r w:rsidR="00C3732E">
              <w:rPr>
                <w:noProof/>
                <w:webHidden/>
              </w:rPr>
              <w:fldChar w:fldCharType="separate"/>
            </w:r>
            <w:r w:rsidR="00C3732E">
              <w:rPr>
                <w:noProof/>
                <w:webHidden/>
              </w:rPr>
              <w:t>8</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03" w:history="1">
            <w:r w:rsidR="00C3732E" w:rsidRPr="00BF34CF">
              <w:rPr>
                <w:rStyle w:val="Hyperlink"/>
                <w:noProof/>
                <w:kern w:val="16"/>
              </w:rPr>
              <w:t>3.3.</w:t>
            </w:r>
            <w:r w:rsidR="00C3732E">
              <w:rPr>
                <w:rFonts w:asciiTheme="minorHAnsi" w:eastAsiaTheme="minorEastAsia" w:hAnsiTheme="minorHAnsi" w:cstheme="minorBidi"/>
                <w:noProof/>
                <w:lang w:eastAsia="en-AU"/>
              </w:rPr>
              <w:tab/>
            </w:r>
            <w:r w:rsidR="00C3732E" w:rsidRPr="00BF34CF">
              <w:rPr>
                <w:rStyle w:val="Hyperlink"/>
                <w:noProof/>
              </w:rPr>
              <w:t>Evaluator’s overall conclusions on pharmacokinetics</w:t>
            </w:r>
            <w:r w:rsidR="00C3732E">
              <w:rPr>
                <w:noProof/>
                <w:webHidden/>
              </w:rPr>
              <w:tab/>
            </w:r>
            <w:r w:rsidR="00C3732E">
              <w:rPr>
                <w:noProof/>
                <w:webHidden/>
              </w:rPr>
              <w:fldChar w:fldCharType="begin"/>
            </w:r>
            <w:r w:rsidR="00C3732E">
              <w:rPr>
                <w:noProof/>
                <w:webHidden/>
              </w:rPr>
              <w:instrText xml:space="preserve"> PAGEREF _Toc423352703 \h </w:instrText>
            </w:r>
            <w:r w:rsidR="00C3732E">
              <w:rPr>
                <w:noProof/>
                <w:webHidden/>
              </w:rPr>
            </w:r>
            <w:r w:rsidR="00C3732E">
              <w:rPr>
                <w:noProof/>
                <w:webHidden/>
              </w:rPr>
              <w:fldChar w:fldCharType="separate"/>
            </w:r>
            <w:r w:rsidR="00C3732E">
              <w:rPr>
                <w:noProof/>
                <w:webHidden/>
              </w:rPr>
              <w:t>9</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04" w:history="1">
            <w:r w:rsidR="00C3732E" w:rsidRPr="00BF34CF">
              <w:rPr>
                <w:rStyle w:val="Hyperlink"/>
                <w:noProof/>
              </w:rPr>
              <w:t>4.</w:t>
            </w:r>
            <w:r w:rsidR="00C3732E">
              <w:rPr>
                <w:rFonts w:asciiTheme="minorHAnsi" w:eastAsiaTheme="minorEastAsia" w:hAnsiTheme="minorHAnsi" w:cstheme="minorBidi"/>
                <w:b w:val="0"/>
                <w:noProof/>
                <w:sz w:val="22"/>
                <w:lang w:eastAsia="en-AU"/>
              </w:rPr>
              <w:tab/>
            </w:r>
            <w:r w:rsidR="00C3732E" w:rsidRPr="00BF34CF">
              <w:rPr>
                <w:rStyle w:val="Hyperlink"/>
                <w:noProof/>
              </w:rPr>
              <w:t>Pharmacodynamics</w:t>
            </w:r>
            <w:r w:rsidR="00C3732E">
              <w:rPr>
                <w:noProof/>
                <w:webHidden/>
              </w:rPr>
              <w:tab/>
            </w:r>
            <w:r w:rsidR="00C3732E">
              <w:rPr>
                <w:noProof/>
                <w:webHidden/>
              </w:rPr>
              <w:fldChar w:fldCharType="begin"/>
            </w:r>
            <w:r w:rsidR="00C3732E">
              <w:rPr>
                <w:noProof/>
                <w:webHidden/>
              </w:rPr>
              <w:instrText xml:space="preserve"> PAGEREF _Toc423352704 \h </w:instrText>
            </w:r>
            <w:r w:rsidR="00C3732E">
              <w:rPr>
                <w:noProof/>
                <w:webHidden/>
              </w:rPr>
            </w:r>
            <w:r w:rsidR="00C3732E">
              <w:rPr>
                <w:noProof/>
                <w:webHidden/>
              </w:rPr>
              <w:fldChar w:fldCharType="separate"/>
            </w:r>
            <w:r w:rsidR="00C3732E">
              <w:rPr>
                <w:noProof/>
                <w:webHidden/>
              </w:rPr>
              <w:t>9</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05" w:history="1">
            <w:r w:rsidR="00C3732E" w:rsidRPr="00BF34CF">
              <w:rPr>
                <w:rStyle w:val="Hyperlink"/>
                <w:noProof/>
              </w:rPr>
              <w:t>4.1.</w:t>
            </w:r>
            <w:r w:rsidR="00C3732E">
              <w:rPr>
                <w:rFonts w:asciiTheme="minorHAnsi" w:eastAsiaTheme="minorEastAsia" w:hAnsiTheme="minorHAnsi" w:cstheme="minorBidi"/>
                <w:noProof/>
                <w:lang w:eastAsia="en-AU"/>
              </w:rPr>
              <w:tab/>
            </w:r>
            <w:r w:rsidR="00C3732E" w:rsidRPr="00BF34CF">
              <w:rPr>
                <w:rStyle w:val="Hyperlink"/>
                <w:noProof/>
              </w:rPr>
              <w:t>Studies providing pharmacodynamic data</w:t>
            </w:r>
            <w:r w:rsidR="00C3732E">
              <w:rPr>
                <w:noProof/>
                <w:webHidden/>
              </w:rPr>
              <w:tab/>
            </w:r>
            <w:r w:rsidR="00C3732E">
              <w:rPr>
                <w:noProof/>
                <w:webHidden/>
              </w:rPr>
              <w:fldChar w:fldCharType="begin"/>
            </w:r>
            <w:r w:rsidR="00C3732E">
              <w:rPr>
                <w:noProof/>
                <w:webHidden/>
              </w:rPr>
              <w:instrText xml:space="preserve"> PAGEREF _Toc423352705 \h </w:instrText>
            </w:r>
            <w:r w:rsidR="00C3732E">
              <w:rPr>
                <w:noProof/>
                <w:webHidden/>
              </w:rPr>
            </w:r>
            <w:r w:rsidR="00C3732E">
              <w:rPr>
                <w:noProof/>
                <w:webHidden/>
              </w:rPr>
              <w:fldChar w:fldCharType="separate"/>
            </w:r>
            <w:r w:rsidR="00C3732E">
              <w:rPr>
                <w:noProof/>
                <w:webHidden/>
              </w:rPr>
              <w:t>9</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06" w:history="1">
            <w:r w:rsidR="00C3732E" w:rsidRPr="00BF34CF">
              <w:rPr>
                <w:rStyle w:val="Hyperlink"/>
                <w:noProof/>
              </w:rPr>
              <w:t>5.</w:t>
            </w:r>
            <w:r w:rsidR="00C3732E">
              <w:rPr>
                <w:rFonts w:asciiTheme="minorHAnsi" w:eastAsiaTheme="minorEastAsia" w:hAnsiTheme="minorHAnsi" w:cstheme="minorBidi"/>
                <w:b w:val="0"/>
                <w:noProof/>
                <w:sz w:val="22"/>
                <w:lang w:eastAsia="en-AU"/>
              </w:rPr>
              <w:tab/>
            </w:r>
            <w:r w:rsidR="00C3732E" w:rsidRPr="00BF34CF">
              <w:rPr>
                <w:rStyle w:val="Hyperlink"/>
                <w:noProof/>
              </w:rPr>
              <w:t>Dosage selection for the pivotal studies</w:t>
            </w:r>
            <w:r w:rsidR="00C3732E">
              <w:rPr>
                <w:noProof/>
                <w:webHidden/>
              </w:rPr>
              <w:tab/>
            </w:r>
            <w:r w:rsidR="00C3732E">
              <w:rPr>
                <w:noProof/>
                <w:webHidden/>
              </w:rPr>
              <w:fldChar w:fldCharType="begin"/>
            </w:r>
            <w:r w:rsidR="00C3732E">
              <w:rPr>
                <w:noProof/>
                <w:webHidden/>
              </w:rPr>
              <w:instrText xml:space="preserve"> PAGEREF _Toc423352706 \h </w:instrText>
            </w:r>
            <w:r w:rsidR="00C3732E">
              <w:rPr>
                <w:noProof/>
                <w:webHidden/>
              </w:rPr>
            </w:r>
            <w:r w:rsidR="00C3732E">
              <w:rPr>
                <w:noProof/>
                <w:webHidden/>
              </w:rPr>
              <w:fldChar w:fldCharType="separate"/>
            </w:r>
            <w:r w:rsidR="00C3732E">
              <w:rPr>
                <w:noProof/>
                <w:webHidden/>
              </w:rPr>
              <w:t>9</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07" w:history="1">
            <w:r w:rsidR="00C3732E" w:rsidRPr="00BF34CF">
              <w:rPr>
                <w:rStyle w:val="Hyperlink"/>
                <w:noProof/>
              </w:rPr>
              <w:t>6.</w:t>
            </w:r>
            <w:r w:rsidR="00C3732E">
              <w:rPr>
                <w:rFonts w:asciiTheme="minorHAnsi" w:eastAsiaTheme="minorEastAsia" w:hAnsiTheme="minorHAnsi" w:cstheme="minorBidi"/>
                <w:b w:val="0"/>
                <w:noProof/>
                <w:sz w:val="22"/>
                <w:lang w:eastAsia="en-AU"/>
              </w:rPr>
              <w:tab/>
            </w:r>
            <w:r w:rsidR="00C3732E" w:rsidRPr="00BF34CF">
              <w:rPr>
                <w:rStyle w:val="Hyperlink"/>
                <w:noProof/>
              </w:rPr>
              <w:t>Clinical efficacy</w:t>
            </w:r>
            <w:r w:rsidR="00C3732E">
              <w:rPr>
                <w:noProof/>
                <w:webHidden/>
              </w:rPr>
              <w:tab/>
            </w:r>
            <w:r w:rsidR="00C3732E">
              <w:rPr>
                <w:noProof/>
                <w:webHidden/>
              </w:rPr>
              <w:fldChar w:fldCharType="begin"/>
            </w:r>
            <w:r w:rsidR="00C3732E">
              <w:rPr>
                <w:noProof/>
                <w:webHidden/>
              </w:rPr>
              <w:instrText xml:space="preserve"> PAGEREF _Toc423352707 \h </w:instrText>
            </w:r>
            <w:r w:rsidR="00C3732E">
              <w:rPr>
                <w:noProof/>
                <w:webHidden/>
              </w:rPr>
            </w:r>
            <w:r w:rsidR="00C3732E">
              <w:rPr>
                <w:noProof/>
                <w:webHidden/>
              </w:rPr>
              <w:fldChar w:fldCharType="separate"/>
            </w:r>
            <w:r w:rsidR="00C3732E">
              <w:rPr>
                <w:noProof/>
                <w:webHidden/>
              </w:rPr>
              <w:t>9</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08" w:history="1">
            <w:r w:rsidR="00C3732E" w:rsidRPr="00BF34CF">
              <w:rPr>
                <w:rStyle w:val="Hyperlink"/>
                <w:noProof/>
                <w:kern w:val="16"/>
              </w:rPr>
              <w:t>6.1.</w:t>
            </w:r>
            <w:r w:rsidR="00C3732E">
              <w:rPr>
                <w:rFonts w:asciiTheme="minorHAnsi" w:eastAsiaTheme="minorEastAsia" w:hAnsiTheme="minorHAnsi" w:cstheme="minorBidi"/>
                <w:noProof/>
                <w:lang w:eastAsia="en-AU"/>
              </w:rPr>
              <w:tab/>
            </w:r>
            <w:r w:rsidR="00C3732E" w:rsidRPr="00BF34CF">
              <w:rPr>
                <w:rStyle w:val="Hyperlink"/>
                <w:noProof/>
              </w:rPr>
              <w:t>Indication 1:</w:t>
            </w:r>
            <w:r w:rsidR="00C3732E">
              <w:rPr>
                <w:noProof/>
                <w:webHidden/>
              </w:rPr>
              <w:tab/>
            </w:r>
            <w:r w:rsidR="00C3732E">
              <w:rPr>
                <w:noProof/>
                <w:webHidden/>
              </w:rPr>
              <w:fldChar w:fldCharType="begin"/>
            </w:r>
            <w:r w:rsidR="00C3732E">
              <w:rPr>
                <w:noProof/>
                <w:webHidden/>
              </w:rPr>
              <w:instrText xml:space="preserve"> PAGEREF _Toc423352708 \h </w:instrText>
            </w:r>
            <w:r w:rsidR="00C3732E">
              <w:rPr>
                <w:noProof/>
                <w:webHidden/>
              </w:rPr>
            </w:r>
            <w:r w:rsidR="00C3732E">
              <w:rPr>
                <w:noProof/>
                <w:webHidden/>
              </w:rPr>
              <w:fldChar w:fldCharType="separate"/>
            </w:r>
            <w:r w:rsidR="00C3732E">
              <w:rPr>
                <w:noProof/>
                <w:webHidden/>
              </w:rPr>
              <w:t>9</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09" w:history="1">
            <w:r w:rsidR="00C3732E" w:rsidRPr="00BF34CF">
              <w:rPr>
                <w:rStyle w:val="Hyperlink"/>
                <w:noProof/>
              </w:rPr>
              <w:t>6.2.</w:t>
            </w:r>
            <w:r w:rsidR="00C3732E">
              <w:rPr>
                <w:rFonts w:asciiTheme="minorHAnsi" w:eastAsiaTheme="minorEastAsia" w:hAnsiTheme="minorHAnsi" w:cstheme="minorBidi"/>
                <w:noProof/>
                <w:lang w:eastAsia="en-AU"/>
              </w:rPr>
              <w:tab/>
            </w:r>
            <w:r w:rsidR="00C3732E" w:rsidRPr="00BF34CF">
              <w:rPr>
                <w:rStyle w:val="Hyperlink"/>
                <w:noProof/>
              </w:rPr>
              <w:t>Analyses performed across trials (pooled analyses and meta-analyses)</w:t>
            </w:r>
            <w:r w:rsidR="00C3732E">
              <w:rPr>
                <w:noProof/>
                <w:webHidden/>
              </w:rPr>
              <w:tab/>
            </w:r>
            <w:r w:rsidR="00C3732E">
              <w:rPr>
                <w:noProof/>
                <w:webHidden/>
              </w:rPr>
              <w:fldChar w:fldCharType="begin"/>
            </w:r>
            <w:r w:rsidR="00C3732E">
              <w:rPr>
                <w:noProof/>
                <w:webHidden/>
              </w:rPr>
              <w:instrText xml:space="preserve"> PAGEREF _Toc423352709 \h </w:instrText>
            </w:r>
            <w:r w:rsidR="00C3732E">
              <w:rPr>
                <w:noProof/>
                <w:webHidden/>
              </w:rPr>
            </w:r>
            <w:r w:rsidR="00C3732E">
              <w:rPr>
                <w:noProof/>
                <w:webHidden/>
              </w:rPr>
              <w:fldChar w:fldCharType="separate"/>
            </w:r>
            <w:r w:rsidR="00C3732E">
              <w:rPr>
                <w:noProof/>
                <w:webHidden/>
              </w:rPr>
              <w:t>47</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0" w:history="1">
            <w:r w:rsidR="00C3732E" w:rsidRPr="00BF34CF">
              <w:rPr>
                <w:rStyle w:val="Hyperlink"/>
                <w:rFonts w:cs="Arial"/>
                <w:noProof/>
                <w:kern w:val="16"/>
              </w:rPr>
              <w:t>6.3.</w:t>
            </w:r>
            <w:r w:rsidR="00C3732E">
              <w:rPr>
                <w:rFonts w:asciiTheme="minorHAnsi" w:eastAsiaTheme="minorEastAsia" w:hAnsiTheme="minorHAnsi" w:cstheme="minorBidi"/>
                <w:noProof/>
                <w:lang w:eastAsia="en-AU"/>
              </w:rPr>
              <w:tab/>
            </w:r>
            <w:r w:rsidR="00C3732E" w:rsidRPr="00BF34CF">
              <w:rPr>
                <w:rStyle w:val="Hyperlink"/>
                <w:noProof/>
              </w:rPr>
              <w:t>Evaluator’s conclusions on clinical efficacy for Indication 1:</w:t>
            </w:r>
            <w:r w:rsidR="00C3732E">
              <w:rPr>
                <w:noProof/>
                <w:webHidden/>
              </w:rPr>
              <w:tab/>
            </w:r>
            <w:r w:rsidR="00C3732E">
              <w:rPr>
                <w:noProof/>
                <w:webHidden/>
              </w:rPr>
              <w:fldChar w:fldCharType="begin"/>
            </w:r>
            <w:r w:rsidR="00C3732E">
              <w:rPr>
                <w:noProof/>
                <w:webHidden/>
              </w:rPr>
              <w:instrText xml:space="preserve"> PAGEREF _Toc423352710 \h </w:instrText>
            </w:r>
            <w:r w:rsidR="00C3732E">
              <w:rPr>
                <w:noProof/>
                <w:webHidden/>
              </w:rPr>
            </w:r>
            <w:r w:rsidR="00C3732E">
              <w:rPr>
                <w:noProof/>
                <w:webHidden/>
              </w:rPr>
              <w:fldChar w:fldCharType="separate"/>
            </w:r>
            <w:r w:rsidR="00C3732E">
              <w:rPr>
                <w:noProof/>
                <w:webHidden/>
              </w:rPr>
              <w:t>47</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1" w:history="1">
            <w:r w:rsidR="00C3732E" w:rsidRPr="00BF34CF">
              <w:rPr>
                <w:rStyle w:val="Hyperlink"/>
                <w:noProof/>
              </w:rPr>
              <w:t>6.4.</w:t>
            </w:r>
            <w:r w:rsidR="00C3732E">
              <w:rPr>
                <w:rFonts w:asciiTheme="minorHAnsi" w:eastAsiaTheme="minorEastAsia" w:hAnsiTheme="minorHAnsi" w:cstheme="minorBidi"/>
                <w:noProof/>
                <w:lang w:eastAsia="en-AU"/>
              </w:rPr>
              <w:tab/>
            </w:r>
            <w:r w:rsidR="00C3732E" w:rsidRPr="00BF34CF">
              <w:rPr>
                <w:rStyle w:val="Hyperlink"/>
                <w:noProof/>
              </w:rPr>
              <w:t>Indication 2:</w:t>
            </w:r>
            <w:r w:rsidR="00C3732E">
              <w:rPr>
                <w:noProof/>
                <w:webHidden/>
              </w:rPr>
              <w:tab/>
            </w:r>
            <w:r w:rsidR="00C3732E">
              <w:rPr>
                <w:noProof/>
                <w:webHidden/>
              </w:rPr>
              <w:fldChar w:fldCharType="begin"/>
            </w:r>
            <w:r w:rsidR="00C3732E">
              <w:rPr>
                <w:noProof/>
                <w:webHidden/>
              </w:rPr>
              <w:instrText xml:space="preserve"> PAGEREF _Toc423352711 \h </w:instrText>
            </w:r>
            <w:r w:rsidR="00C3732E">
              <w:rPr>
                <w:noProof/>
                <w:webHidden/>
              </w:rPr>
            </w:r>
            <w:r w:rsidR="00C3732E">
              <w:rPr>
                <w:noProof/>
                <w:webHidden/>
              </w:rPr>
              <w:fldChar w:fldCharType="separate"/>
            </w:r>
            <w:r w:rsidR="00C3732E">
              <w:rPr>
                <w:noProof/>
                <w:webHidden/>
              </w:rPr>
              <w:t>47</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2" w:history="1">
            <w:r w:rsidR="00C3732E" w:rsidRPr="00BF34CF">
              <w:rPr>
                <w:rStyle w:val="Hyperlink"/>
                <w:noProof/>
              </w:rPr>
              <w:t>6.5.</w:t>
            </w:r>
            <w:r w:rsidR="00C3732E">
              <w:rPr>
                <w:rFonts w:asciiTheme="minorHAnsi" w:eastAsiaTheme="minorEastAsia" w:hAnsiTheme="minorHAnsi" w:cstheme="minorBidi"/>
                <w:noProof/>
                <w:lang w:eastAsia="en-AU"/>
              </w:rPr>
              <w:tab/>
            </w:r>
            <w:r w:rsidR="00C3732E" w:rsidRPr="00BF34CF">
              <w:rPr>
                <w:rStyle w:val="Hyperlink"/>
                <w:noProof/>
              </w:rPr>
              <w:t>Evaluator’s conclusions for Indication 2:</w:t>
            </w:r>
            <w:r w:rsidR="00C3732E">
              <w:rPr>
                <w:noProof/>
                <w:webHidden/>
              </w:rPr>
              <w:tab/>
            </w:r>
            <w:r w:rsidR="00C3732E">
              <w:rPr>
                <w:noProof/>
                <w:webHidden/>
              </w:rPr>
              <w:fldChar w:fldCharType="begin"/>
            </w:r>
            <w:r w:rsidR="00C3732E">
              <w:rPr>
                <w:noProof/>
                <w:webHidden/>
              </w:rPr>
              <w:instrText xml:space="preserve"> PAGEREF _Toc423352712 \h </w:instrText>
            </w:r>
            <w:r w:rsidR="00C3732E">
              <w:rPr>
                <w:noProof/>
                <w:webHidden/>
              </w:rPr>
            </w:r>
            <w:r w:rsidR="00C3732E">
              <w:rPr>
                <w:noProof/>
                <w:webHidden/>
              </w:rPr>
              <w:fldChar w:fldCharType="separate"/>
            </w:r>
            <w:r w:rsidR="00C3732E">
              <w:rPr>
                <w:noProof/>
                <w:webHidden/>
              </w:rPr>
              <w:t>51</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13" w:history="1">
            <w:r w:rsidR="00C3732E" w:rsidRPr="00BF34CF">
              <w:rPr>
                <w:rStyle w:val="Hyperlink"/>
                <w:noProof/>
              </w:rPr>
              <w:t>7.</w:t>
            </w:r>
            <w:r w:rsidR="00C3732E">
              <w:rPr>
                <w:rFonts w:asciiTheme="minorHAnsi" w:eastAsiaTheme="minorEastAsia" w:hAnsiTheme="minorHAnsi" w:cstheme="minorBidi"/>
                <w:b w:val="0"/>
                <w:noProof/>
                <w:sz w:val="22"/>
                <w:lang w:eastAsia="en-AU"/>
              </w:rPr>
              <w:tab/>
            </w:r>
            <w:r w:rsidR="00C3732E" w:rsidRPr="00BF34CF">
              <w:rPr>
                <w:rStyle w:val="Hyperlink"/>
                <w:noProof/>
              </w:rPr>
              <w:t>Clinical safety</w:t>
            </w:r>
            <w:r w:rsidR="00C3732E">
              <w:rPr>
                <w:noProof/>
                <w:webHidden/>
              </w:rPr>
              <w:tab/>
            </w:r>
            <w:r w:rsidR="00C3732E">
              <w:rPr>
                <w:noProof/>
                <w:webHidden/>
              </w:rPr>
              <w:fldChar w:fldCharType="begin"/>
            </w:r>
            <w:r w:rsidR="00C3732E">
              <w:rPr>
                <w:noProof/>
                <w:webHidden/>
              </w:rPr>
              <w:instrText xml:space="preserve"> PAGEREF _Toc423352713 \h </w:instrText>
            </w:r>
            <w:r w:rsidR="00C3732E">
              <w:rPr>
                <w:noProof/>
                <w:webHidden/>
              </w:rPr>
            </w:r>
            <w:r w:rsidR="00C3732E">
              <w:rPr>
                <w:noProof/>
                <w:webHidden/>
              </w:rPr>
              <w:fldChar w:fldCharType="separate"/>
            </w:r>
            <w:r w:rsidR="00C3732E">
              <w:rPr>
                <w:noProof/>
                <w:webHidden/>
              </w:rPr>
              <w:t>51</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4" w:history="1">
            <w:r w:rsidR="00C3732E" w:rsidRPr="00BF34CF">
              <w:rPr>
                <w:rStyle w:val="Hyperlink"/>
                <w:noProof/>
              </w:rPr>
              <w:t>7.1.</w:t>
            </w:r>
            <w:r w:rsidR="00C3732E">
              <w:rPr>
                <w:rFonts w:asciiTheme="minorHAnsi" w:eastAsiaTheme="minorEastAsia" w:hAnsiTheme="minorHAnsi" w:cstheme="minorBidi"/>
                <w:noProof/>
                <w:lang w:eastAsia="en-AU"/>
              </w:rPr>
              <w:tab/>
            </w:r>
            <w:r w:rsidR="00C3732E" w:rsidRPr="00BF34CF">
              <w:rPr>
                <w:rStyle w:val="Hyperlink"/>
                <w:noProof/>
              </w:rPr>
              <w:t>Studies providing evaluable safety data</w:t>
            </w:r>
            <w:r w:rsidR="00C3732E">
              <w:rPr>
                <w:noProof/>
                <w:webHidden/>
              </w:rPr>
              <w:tab/>
            </w:r>
            <w:r w:rsidR="00C3732E">
              <w:rPr>
                <w:noProof/>
                <w:webHidden/>
              </w:rPr>
              <w:fldChar w:fldCharType="begin"/>
            </w:r>
            <w:r w:rsidR="00C3732E">
              <w:rPr>
                <w:noProof/>
                <w:webHidden/>
              </w:rPr>
              <w:instrText xml:space="preserve"> PAGEREF _Toc423352714 \h </w:instrText>
            </w:r>
            <w:r w:rsidR="00C3732E">
              <w:rPr>
                <w:noProof/>
                <w:webHidden/>
              </w:rPr>
            </w:r>
            <w:r w:rsidR="00C3732E">
              <w:rPr>
                <w:noProof/>
                <w:webHidden/>
              </w:rPr>
              <w:fldChar w:fldCharType="separate"/>
            </w:r>
            <w:r w:rsidR="00C3732E">
              <w:rPr>
                <w:noProof/>
                <w:webHidden/>
              </w:rPr>
              <w:t>51</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5" w:history="1">
            <w:r w:rsidR="00C3732E" w:rsidRPr="00BF34CF">
              <w:rPr>
                <w:rStyle w:val="Hyperlink"/>
                <w:noProof/>
              </w:rPr>
              <w:t>7.2.</w:t>
            </w:r>
            <w:r w:rsidR="00C3732E">
              <w:rPr>
                <w:rFonts w:asciiTheme="minorHAnsi" w:eastAsiaTheme="minorEastAsia" w:hAnsiTheme="minorHAnsi" w:cstheme="minorBidi"/>
                <w:noProof/>
                <w:lang w:eastAsia="en-AU"/>
              </w:rPr>
              <w:tab/>
            </w:r>
            <w:r w:rsidR="00C3732E" w:rsidRPr="00BF34CF">
              <w:rPr>
                <w:rStyle w:val="Hyperlink"/>
                <w:noProof/>
              </w:rPr>
              <w:t>All adverse events (irrespective of relationship to study treatment)</w:t>
            </w:r>
            <w:r w:rsidR="00C3732E">
              <w:rPr>
                <w:noProof/>
                <w:webHidden/>
              </w:rPr>
              <w:tab/>
            </w:r>
            <w:r w:rsidR="00C3732E">
              <w:rPr>
                <w:noProof/>
                <w:webHidden/>
              </w:rPr>
              <w:fldChar w:fldCharType="begin"/>
            </w:r>
            <w:r w:rsidR="00C3732E">
              <w:rPr>
                <w:noProof/>
                <w:webHidden/>
              </w:rPr>
              <w:instrText xml:space="preserve"> PAGEREF _Toc423352715 \h </w:instrText>
            </w:r>
            <w:r w:rsidR="00C3732E">
              <w:rPr>
                <w:noProof/>
                <w:webHidden/>
              </w:rPr>
            </w:r>
            <w:r w:rsidR="00C3732E">
              <w:rPr>
                <w:noProof/>
                <w:webHidden/>
              </w:rPr>
              <w:fldChar w:fldCharType="separate"/>
            </w:r>
            <w:r w:rsidR="00C3732E">
              <w:rPr>
                <w:noProof/>
                <w:webHidden/>
              </w:rPr>
              <w:t>52</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6" w:history="1">
            <w:r w:rsidR="00C3732E" w:rsidRPr="00BF34CF">
              <w:rPr>
                <w:rStyle w:val="Hyperlink"/>
                <w:noProof/>
                <w:kern w:val="16"/>
              </w:rPr>
              <w:t>7.3.</w:t>
            </w:r>
            <w:r w:rsidR="00C3732E">
              <w:rPr>
                <w:rFonts w:asciiTheme="minorHAnsi" w:eastAsiaTheme="minorEastAsia" w:hAnsiTheme="minorHAnsi" w:cstheme="minorBidi"/>
                <w:noProof/>
                <w:lang w:eastAsia="en-AU"/>
              </w:rPr>
              <w:tab/>
            </w:r>
            <w:r w:rsidR="00C3732E" w:rsidRPr="00BF34CF">
              <w:rPr>
                <w:rStyle w:val="Hyperlink"/>
                <w:noProof/>
              </w:rPr>
              <w:t>Treatment-related adverse events (adverse drug reactions)</w:t>
            </w:r>
            <w:r w:rsidR="00C3732E">
              <w:rPr>
                <w:noProof/>
                <w:webHidden/>
              </w:rPr>
              <w:tab/>
            </w:r>
            <w:r w:rsidR="00C3732E">
              <w:rPr>
                <w:noProof/>
                <w:webHidden/>
              </w:rPr>
              <w:fldChar w:fldCharType="begin"/>
            </w:r>
            <w:r w:rsidR="00C3732E">
              <w:rPr>
                <w:noProof/>
                <w:webHidden/>
              </w:rPr>
              <w:instrText xml:space="preserve"> PAGEREF _Toc423352716 \h </w:instrText>
            </w:r>
            <w:r w:rsidR="00C3732E">
              <w:rPr>
                <w:noProof/>
                <w:webHidden/>
              </w:rPr>
            </w:r>
            <w:r w:rsidR="00C3732E">
              <w:rPr>
                <w:noProof/>
                <w:webHidden/>
              </w:rPr>
              <w:fldChar w:fldCharType="separate"/>
            </w:r>
            <w:r w:rsidR="00C3732E">
              <w:rPr>
                <w:noProof/>
                <w:webHidden/>
              </w:rPr>
              <w:t>53</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7" w:history="1">
            <w:r w:rsidR="00C3732E" w:rsidRPr="00BF34CF">
              <w:rPr>
                <w:rStyle w:val="Hyperlink"/>
                <w:noProof/>
                <w:kern w:val="16"/>
              </w:rPr>
              <w:t>7.4.</w:t>
            </w:r>
            <w:r w:rsidR="00C3732E">
              <w:rPr>
                <w:rFonts w:asciiTheme="minorHAnsi" w:eastAsiaTheme="minorEastAsia" w:hAnsiTheme="minorHAnsi" w:cstheme="minorBidi"/>
                <w:noProof/>
                <w:lang w:eastAsia="en-AU"/>
              </w:rPr>
              <w:tab/>
            </w:r>
            <w:r w:rsidR="00C3732E" w:rsidRPr="00BF34CF">
              <w:rPr>
                <w:rStyle w:val="Hyperlink"/>
                <w:noProof/>
              </w:rPr>
              <w:t>Deaths and other serious adverse events</w:t>
            </w:r>
            <w:r w:rsidR="00C3732E">
              <w:rPr>
                <w:noProof/>
                <w:webHidden/>
              </w:rPr>
              <w:tab/>
            </w:r>
            <w:r w:rsidR="00C3732E">
              <w:rPr>
                <w:noProof/>
                <w:webHidden/>
              </w:rPr>
              <w:fldChar w:fldCharType="begin"/>
            </w:r>
            <w:r w:rsidR="00C3732E">
              <w:rPr>
                <w:noProof/>
                <w:webHidden/>
              </w:rPr>
              <w:instrText xml:space="preserve"> PAGEREF _Toc423352717 \h </w:instrText>
            </w:r>
            <w:r w:rsidR="00C3732E">
              <w:rPr>
                <w:noProof/>
                <w:webHidden/>
              </w:rPr>
            </w:r>
            <w:r w:rsidR="00C3732E">
              <w:rPr>
                <w:noProof/>
                <w:webHidden/>
              </w:rPr>
              <w:fldChar w:fldCharType="separate"/>
            </w:r>
            <w:r w:rsidR="00C3732E">
              <w:rPr>
                <w:noProof/>
                <w:webHidden/>
              </w:rPr>
              <w:t>54</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8" w:history="1">
            <w:r w:rsidR="00C3732E" w:rsidRPr="00BF34CF">
              <w:rPr>
                <w:rStyle w:val="Hyperlink"/>
                <w:noProof/>
                <w:kern w:val="16"/>
              </w:rPr>
              <w:t>7.5.</w:t>
            </w:r>
            <w:r w:rsidR="00C3732E">
              <w:rPr>
                <w:rFonts w:asciiTheme="minorHAnsi" w:eastAsiaTheme="minorEastAsia" w:hAnsiTheme="minorHAnsi" w:cstheme="minorBidi"/>
                <w:noProof/>
                <w:lang w:eastAsia="en-AU"/>
              </w:rPr>
              <w:tab/>
            </w:r>
            <w:r w:rsidR="00C3732E" w:rsidRPr="00BF34CF">
              <w:rPr>
                <w:rStyle w:val="Hyperlink"/>
                <w:noProof/>
              </w:rPr>
              <w:t>Discontinuation due to adverse events</w:t>
            </w:r>
            <w:r w:rsidR="00C3732E">
              <w:rPr>
                <w:noProof/>
                <w:webHidden/>
              </w:rPr>
              <w:tab/>
            </w:r>
            <w:r w:rsidR="00C3732E">
              <w:rPr>
                <w:noProof/>
                <w:webHidden/>
              </w:rPr>
              <w:fldChar w:fldCharType="begin"/>
            </w:r>
            <w:r w:rsidR="00C3732E">
              <w:rPr>
                <w:noProof/>
                <w:webHidden/>
              </w:rPr>
              <w:instrText xml:space="preserve"> PAGEREF _Toc423352718 \h </w:instrText>
            </w:r>
            <w:r w:rsidR="00C3732E">
              <w:rPr>
                <w:noProof/>
                <w:webHidden/>
              </w:rPr>
            </w:r>
            <w:r w:rsidR="00C3732E">
              <w:rPr>
                <w:noProof/>
                <w:webHidden/>
              </w:rPr>
              <w:fldChar w:fldCharType="separate"/>
            </w:r>
            <w:r w:rsidR="00C3732E">
              <w:rPr>
                <w:noProof/>
                <w:webHidden/>
              </w:rPr>
              <w:t>54</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19" w:history="1">
            <w:r w:rsidR="00C3732E" w:rsidRPr="00BF34CF">
              <w:rPr>
                <w:rStyle w:val="Hyperlink"/>
                <w:noProof/>
                <w:kern w:val="16"/>
              </w:rPr>
              <w:t>7.6.</w:t>
            </w:r>
            <w:r w:rsidR="00C3732E">
              <w:rPr>
                <w:rFonts w:asciiTheme="minorHAnsi" w:eastAsiaTheme="minorEastAsia" w:hAnsiTheme="minorHAnsi" w:cstheme="minorBidi"/>
                <w:noProof/>
                <w:lang w:eastAsia="en-AU"/>
              </w:rPr>
              <w:tab/>
            </w:r>
            <w:r w:rsidR="00C3732E" w:rsidRPr="00BF34CF">
              <w:rPr>
                <w:rStyle w:val="Hyperlink"/>
                <w:noProof/>
              </w:rPr>
              <w:t>Laboratory tests</w:t>
            </w:r>
            <w:r w:rsidR="00C3732E">
              <w:rPr>
                <w:noProof/>
                <w:webHidden/>
              </w:rPr>
              <w:tab/>
            </w:r>
            <w:r w:rsidR="00C3732E">
              <w:rPr>
                <w:noProof/>
                <w:webHidden/>
              </w:rPr>
              <w:fldChar w:fldCharType="begin"/>
            </w:r>
            <w:r w:rsidR="00C3732E">
              <w:rPr>
                <w:noProof/>
                <w:webHidden/>
              </w:rPr>
              <w:instrText xml:space="preserve"> PAGEREF _Toc423352719 \h </w:instrText>
            </w:r>
            <w:r w:rsidR="00C3732E">
              <w:rPr>
                <w:noProof/>
                <w:webHidden/>
              </w:rPr>
            </w:r>
            <w:r w:rsidR="00C3732E">
              <w:rPr>
                <w:noProof/>
                <w:webHidden/>
              </w:rPr>
              <w:fldChar w:fldCharType="separate"/>
            </w:r>
            <w:r w:rsidR="00C3732E">
              <w:rPr>
                <w:noProof/>
                <w:webHidden/>
              </w:rPr>
              <w:t>54</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0" w:history="1">
            <w:r w:rsidR="00C3732E" w:rsidRPr="00BF34CF">
              <w:rPr>
                <w:rStyle w:val="Hyperlink"/>
                <w:noProof/>
                <w:kern w:val="16"/>
              </w:rPr>
              <w:t>7.7.</w:t>
            </w:r>
            <w:r w:rsidR="00C3732E">
              <w:rPr>
                <w:rFonts w:asciiTheme="minorHAnsi" w:eastAsiaTheme="minorEastAsia" w:hAnsiTheme="minorHAnsi" w:cstheme="minorBidi"/>
                <w:noProof/>
                <w:lang w:eastAsia="en-AU"/>
              </w:rPr>
              <w:tab/>
            </w:r>
            <w:r w:rsidR="00C3732E" w:rsidRPr="00BF34CF">
              <w:rPr>
                <w:rStyle w:val="Hyperlink"/>
                <w:noProof/>
              </w:rPr>
              <w:t>Liver function</w:t>
            </w:r>
            <w:r w:rsidR="00C3732E">
              <w:rPr>
                <w:noProof/>
                <w:webHidden/>
              </w:rPr>
              <w:tab/>
            </w:r>
            <w:r w:rsidR="00C3732E">
              <w:rPr>
                <w:noProof/>
                <w:webHidden/>
              </w:rPr>
              <w:fldChar w:fldCharType="begin"/>
            </w:r>
            <w:r w:rsidR="00C3732E">
              <w:rPr>
                <w:noProof/>
                <w:webHidden/>
              </w:rPr>
              <w:instrText xml:space="preserve"> PAGEREF _Toc423352720 \h </w:instrText>
            </w:r>
            <w:r w:rsidR="00C3732E">
              <w:rPr>
                <w:noProof/>
                <w:webHidden/>
              </w:rPr>
            </w:r>
            <w:r w:rsidR="00C3732E">
              <w:rPr>
                <w:noProof/>
                <w:webHidden/>
              </w:rPr>
              <w:fldChar w:fldCharType="separate"/>
            </w:r>
            <w:r w:rsidR="00C3732E">
              <w:rPr>
                <w:noProof/>
                <w:webHidden/>
              </w:rPr>
              <w:t>54</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1" w:history="1">
            <w:r w:rsidR="00C3732E" w:rsidRPr="00BF34CF">
              <w:rPr>
                <w:rStyle w:val="Hyperlink"/>
                <w:noProof/>
                <w:kern w:val="16"/>
              </w:rPr>
              <w:t>7.8.</w:t>
            </w:r>
            <w:r w:rsidR="00C3732E">
              <w:rPr>
                <w:rFonts w:asciiTheme="minorHAnsi" w:eastAsiaTheme="minorEastAsia" w:hAnsiTheme="minorHAnsi" w:cstheme="minorBidi"/>
                <w:noProof/>
                <w:lang w:eastAsia="en-AU"/>
              </w:rPr>
              <w:tab/>
            </w:r>
            <w:r w:rsidR="00C3732E" w:rsidRPr="00BF34CF">
              <w:rPr>
                <w:rStyle w:val="Hyperlink"/>
                <w:noProof/>
              </w:rPr>
              <w:t>Kidney function</w:t>
            </w:r>
            <w:r w:rsidR="00C3732E">
              <w:rPr>
                <w:noProof/>
                <w:webHidden/>
              </w:rPr>
              <w:tab/>
            </w:r>
            <w:r w:rsidR="00C3732E">
              <w:rPr>
                <w:noProof/>
                <w:webHidden/>
              </w:rPr>
              <w:fldChar w:fldCharType="begin"/>
            </w:r>
            <w:r w:rsidR="00C3732E">
              <w:rPr>
                <w:noProof/>
                <w:webHidden/>
              </w:rPr>
              <w:instrText xml:space="preserve"> PAGEREF _Toc423352721 \h </w:instrText>
            </w:r>
            <w:r w:rsidR="00C3732E">
              <w:rPr>
                <w:noProof/>
                <w:webHidden/>
              </w:rPr>
            </w:r>
            <w:r w:rsidR="00C3732E">
              <w:rPr>
                <w:noProof/>
                <w:webHidden/>
              </w:rPr>
              <w:fldChar w:fldCharType="separate"/>
            </w:r>
            <w:r w:rsidR="00C3732E">
              <w:rPr>
                <w:noProof/>
                <w:webHidden/>
              </w:rPr>
              <w:t>54</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2" w:history="1">
            <w:r w:rsidR="00C3732E" w:rsidRPr="00BF34CF">
              <w:rPr>
                <w:rStyle w:val="Hyperlink"/>
                <w:noProof/>
                <w:kern w:val="16"/>
              </w:rPr>
              <w:t>7.9.</w:t>
            </w:r>
            <w:r w:rsidR="00C3732E">
              <w:rPr>
                <w:rFonts w:asciiTheme="minorHAnsi" w:eastAsiaTheme="minorEastAsia" w:hAnsiTheme="minorHAnsi" w:cstheme="minorBidi"/>
                <w:noProof/>
                <w:lang w:eastAsia="en-AU"/>
              </w:rPr>
              <w:tab/>
            </w:r>
            <w:r w:rsidR="00C3732E" w:rsidRPr="00BF34CF">
              <w:rPr>
                <w:rStyle w:val="Hyperlink"/>
                <w:noProof/>
              </w:rPr>
              <w:t>Other clinical chemistry</w:t>
            </w:r>
            <w:r w:rsidR="00C3732E">
              <w:rPr>
                <w:noProof/>
                <w:webHidden/>
              </w:rPr>
              <w:tab/>
            </w:r>
            <w:r w:rsidR="00C3732E">
              <w:rPr>
                <w:noProof/>
                <w:webHidden/>
              </w:rPr>
              <w:fldChar w:fldCharType="begin"/>
            </w:r>
            <w:r w:rsidR="00C3732E">
              <w:rPr>
                <w:noProof/>
                <w:webHidden/>
              </w:rPr>
              <w:instrText xml:space="preserve"> PAGEREF _Toc423352722 \h </w:instrText>
            </w:r>
            <w:r w:rsidR="00C3732E">
              <w:rPr>
                <w:noProof/>
                <w:webHidden/>
              </w:rPr>
            </w:r>
            <w:r w:rsidR="00C3732E">
              <w:rPr>
                <w:noProof/>
                <w:webHidden/>
              </w:rPr>
              <w:fldChar w:fldCharType="separate"/>
            </w:r>
            <w:r w:rsidR="00C3732E">
              <w:rPr>
                <w:noProof/>
                <w:webHidden/>
              </w:rPr>
              <w:t>55</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3" w:history="1">
            <w:r w:rsidR="00C3732E" w:rsidRPr="00BF34CF">
              <w:rPr>
                <w:rStyle w:val="Hyperlink"/>
                <w:noProof/>
                <w:kern w:val="16"/>
              </w:rPr>
              <w:t>7.10.</w:t>
            </w:r>
            <w:r w:rsidR="00C3732E">
              <w:rPr>
                <w:rFonts w:asciiTheme="minorHAnsi" w:eastAsiaTheme="minorEastAsia" w:hAnsiTheme="minorHAnsi" w:cstheme="minorBidi"/>
                <w:noProof/>
                <w:lang w:eastAsia="en-AU"/>
              </w:rPr>
              <w:tab/>
            </w:r>
            <w:r w:rsidR="00C3732E" w:rsidRPr="00BF34CF">
              <w:rPr>
                <w:rStyle w:val="Hyperlink"/>
                <w:noProof/>
              </w:rPr>
              <w:t>Haematology</w:t>
            </w:r>
            <w:r w:rsidR="00C3732E">
              <w:rPr>
                <w:noProof/>
                <w:webHidden/>
              </w:rPr>
              <w:tab/>
            </w:r>
            <w:r w:rsidR="00C3732E">
              <w:rPr>
                <w:noProof/>
                <w:webHidden/>
              </w:rPr>
              <w:fldChar w:fldCharType="begin"/>
            </w:r>
            <w:r w:rsidR="00C3732E">
              <w:rPr>
                <w:noProof/>
                <w:webHidden/>
              </w:rPr>
              <w:instrText xml:space="preserve"> PAGEREF _Toc423352723 \h </w:instrText>
            </w:r>
            <w:r w:rsidR="00C3732E">
              <w:rPr>
                <w:noProof/>
                <w:webHidden/>
              </w:rPr>
            </w:r>
            <w:r w:rsidR="00C3732E">
              <w:rPr>
                <w:noProof/>
                <w:webHidden/>
              </w:rPr>
              <w:fldChar w:fldCharType="separate"/>
            </w:r>
            <w:r w:rsidR="00C3732E">
              <w:rPr>
                <w:noProof/>
                <w:webHidden/>
              </w:rPr>
              <w:t>55</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4" w:history="1">
            <w:r w:rsidR="00C3732E" w:rsidRPr="00BF34CF">
              <w:rPr>
                <w:rStyle w:val="Hyperlink"/>
                <w:noProof/>
                <w:kern w:val="16"/>
              </w:rPr>
              <w:t>7.11.</w:t>
            </w:r>
            <w:r w:rsidR="00C3732E">
              <w:rPr>
                <w:rFonts w:asciiTheme="minorHAnsi" w:eastAsiaTheme="minorEastAsia" w:hAnsiTheme="minorHAnsi" w:cstheme="minorBidi"/>
                <w:noProof/>
                <w:lang w:eastAsia="en-AU"/>
              </w:rPr>
              <w:tab/>
            </w:r>
            <w:r w:rsidR="00C3732E" w:rsidRPr="00BF34CF">
              <w:rPr>
                <w:rStyle w:val="Hyperlink"/>
                <w:noProof/>
              </w:rPr>
              <w:t>Electrocardiograph</w:t>
            </w:r>
            <w:r w:rsidR="00C3732E">
              <w:rPr>
                <w:noProof/>
                <w:webHidden/>
              </w:rPr>
              <w:tab/>
            </w:r>
            <w:r w:rsidR="00C3732E">
              <w:rPr>
                <w:noProof/>
                <w:webHidden/>
              </w:rPr>
              <w:fldChar w:fldCharType="begin"/>
            </w:r>
            <w:r w:rsidR="00C3732E">
              <w:rPr>
                <w:noProof/>
                <w:webHidden/>
              </w:rPr>
              <w:instrText xml:space="preserve"> PAGEREF _Toc423352724 \h </w:instrText>
            </w:r>
            <w:r w:rsidR="00C3732E">
              <w:rPr>
                <w:noProof/>
                <w:webHidden/>
              </w:rPr>
            </w:r>
            <w:r w:rsidR="00C3732E">
              <w:rPr>
                <w:noProof/>
                <w:webHidden/>
              </w:rPr>
              <w:fldChar w:fldCharType="separate"/>
            </w:r>
            <w:r w:rsidR="00C3732E">
              <w:rPr>
                <w:noProof/>
                <w:webHidden/>
              </w:rPr>
              <w:t>55</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5" w:history="1">
            <w:r w:rsidR="00C3732E" w:rsidRPr="00BF34CF">
              <w:rPr>
                <w:rStyle w:val="Hyperlink"/>
                <w:noProof/>
                <w:kern w:val="16"/>
              </w:rPr>
              <w:t>7.12.</w:t>
            </w:r>
            <w:r w:rsidR="00C3732E">
              <w:rPr>
                <w:rFonts w:asciiTheme="minorHAnsi" w:eastAsiaTheme="minorEastAsia" w:hAnsiTheme="minorHAnsi" w:cstheme="minorBidi"/>
                <w:noProof/>
                <w:lang w:eastAsia="en-AU"/>
              </w:rPr>
              <w:tab/>
            </w:r>
            <w:r w:rsidR="00C3732E" w:rsidRPr="00BF34CF">
              <w:rPr>
                <w:rStyle w:val="Hyperlink"/>
                <w:noProof/>
              </w:rPr>
              <w:t>Vital signs</w:t>
            </w:r>
            <w:r w:rsidR="00C3732E">
              <w:rPr>
                <w:noProof/>
                <w:webHidden/>
              </w:rPr>
              <w:tab/>
            </w:r>
            <w:r w:rsidR="00C3732E">
              <w:rPr>
                <w:noProof/>
                <w:webHidden/>
              </w:rPr>
              <w:fldChar w:fldCharType="begin"/>
            </w:r>
            <w:r w:rsidR="00C3732E">
              <w:rPr>
                <w:noProof/>
                <w:webHidden/>
              </w:rPr>
              <w:instrText xml:space="preserve"> PAGEREF _Toc423352725 \h </w:instrText>
            </w:r>
            <w:r w:rsidR="00C3732E">
              <w:rPr>
                <w:noProof/>
                <w:webHidden/>
              </w:rPr>
            </w:r>
            <w:r w:rsidR="00C3732E">
              <w:rPr>
                <w:noProof/>
                <w:webHidden/>
              </w:rPr>
              <w:fldChar w:fldCharType="separate"/>
            </w:r>
            <w:r w:rsidR="00C3732E">
              <w:rPr>
                <w:noProof/>
                <w:webHidden/>
              </w:rPr>
              <w:t>55</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6" w:history="1">
            <w:r w:rsidR="00C3732E" w:rsidRPr="00BF34CF">
              <w:rPr>
                <w:rStyle w:val="Hyperlink"/>
                <w:noProof/>
                <w:kern w:val="16"/>
              </w:rPr>
              <w:t>7.13.</w:t>
            </w:r>
            <w:r w:rsidR="00C3732E">
              <w:rPr>
                <w:rFonts w:asciiTheme="minorHAnsi" w:eastAsiaTheme="minorEastAsia" w:hAnsiTheme="minorHAnsi" w:cstheme="minorBidi"/>
                <w:noProof/>
                <w:lang w:eastAsia="en-AU"/>
              </w:rPr>
              <w:tab/>
            </w:r>
            <w:r w:rsidR="00C3732E" w:rsidRPr="00BF34CF">
              <w:rPr>
                <w:rStyle w:val="Hyperlink"/>
                <w:noProof/>
              </w:rPr>
              <w:t>Supportive safety data based on pooled analysis of all GAD clinical studies</w:t>
            </w:r>
            <w:r w:rsidR="00C3732E">
              <w:rPr>
                <w:noProof/>
                <w:webHidden/>
              </w:rPr>
              <w:tab/>
            </w:r>
            <w:r w:rsidR="00C3732E">
              <w:rPr>
                <w:noProof/>
                <w:webHidden/>
              </w:rPr>
              <w:fldChar w:fldCharType="begin"/>
            </w:r>
            <w:r w:rsidR="00C3732E">
              <w:rPr>
                <w:noProof/>
                <w:webHidden/>
              </w:rPr>
              <w:instrText xml:space="preserve"> PAGEREF _Toc423352726 \h </w:instrText>
            </w:r>
            <w:r w:rsidR="00C3732E">
              <w:rPr>
                <w:noProof/>
                <w:webHidden/>
              </w:rPr>
            </w:r>
            <w:r w:rsidR="00C3732E">
              <w:rPr>
                <w:noProof/>
                <w:webHidden/>
              </w:rPr>
              <w:fldChar w:fldCharType="separate"/>
            </w:r>
            <w:r w:rsidR="00C3732E">
              <w:rPr>
                <w:noProof/>
                <w:webHidden/>
              </w:rPr>
              <w:t>55</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7" w:history="1">
            <w:r w:rsidR="00C3732E" w:rsidRPr="00BF34CF">
              <w:rPr>
                <w:rStyle w:val="Hyperlink"/>
                <w:noProof/>
              </w:rPr>
              <w:t>7.14.</w:t>
            </w:r>
            <w:r w:rsidR="00C3732E">
              <w:rPr>
                <w:rFonts w:asciiTheme="minorHAnsi" w:eastAsiaTheme="minorEastAsia" w:hAnsiTheme="minorHAnsi" w:cstheme="minorBidi"/>
                <w:noProof/>
                <w:lang w:eastAsia="en-AU"/>
              </w:rPr>
              <w:tab/>
            </w:r>
            <w:r w:rsidR="00C3732E" w:rsidRPr="00BF34CF">
              <w:rPr>
                <w:rStyle w:val="Hyperlink"/>
                <w:noProof/>
              </w:rPr>
              <w:t>Post-marketing experience</w:t>
            </w:r>
            <w:r w:rsidR="00C3732E">
              <w:rPr>
                <w:noProof/>
                <w:webHidden/>
              </w:rPr>
              <w:tab/>
            </w:r>
            <w:r w:rsidR="00C3732E">
              <w:rPr>
                <w:noProof/>
                <w:webHidden/>
              </w:rPr>
              <w:fldChar w:fldCharType="begin"/>
            </w:r>
            <w:r w:rsidR="00C3732E">
              <w:rPr>
                <w:noProof/>
                <w:webHidden/>
              </w:rPr>
              <w:instrText xml:space="preserve"> PAGEREF _Toc423352727 \h </w:instrText>
            </w:r>
            <w:r w:rsidR="00C3732E">
              <w:rPr>
                <w:noProof/>
                <w:webHidden/>
              </w:rPr>
            </w:r>
            <w:r w:rsidR="00C3732E">
              <w:rPr>
                <w:noProof/>
                <w:webHidden/>
              </w:rPr>
              <w:fldChar w:fldCharType="separate"/>
            </w:r>
            <w:r w:rsidR="00C3732E">
              <w:rPr>
                <w:noProof/>
                <w:webHidden/>
              </w:rPr>
              <w:t>58</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8" w:history="1">
            <w:r w:rsidR="00C3732E" w:rsidRPr="00BF34CF">
              <w:rPr>
                <w:rStyle w:val="Hyperlink"/>
                <w:noProof/>
              </w:rPr>
              <w:t>7.15.</w:t>
            </w:r>
            <w:r w:rsidR="00C3732E">
              <w:rPr>
                <w:rFonts w:asciiTheme="minorHAnsi" w:eastAsiaTheme="minorEastAsia" w:hAnsiTheme="minorHAnsi" w:cstheme="minorBidi"/>
                <w:noProof/>
                <w:lang w:eastAsia="en-AU"/>
              </w:rPr>
              <w:tab/>
            </w:r>
            <w:r w:rsidR="00C3732E" w:rsidRPr="00BF34CF">
              <w:rPr>
                <w:rStyle w:val="Hyperlink"/>
                <w:noProof/>
              </w:rPr>
              <w:t>Safety issues with the potential for major regulatory impact</w:t>
            </w:r>
            <w:r w:rsidR="00C3732E">
              <w:rPr>
                <w:noProof/>
                <w:webHidden/>
              </w:rPr>
              <w:tab/>
            </w:r>
            <w:r w:rsidR="00C3732E">
              <w:rPr>
                <w:noProof/>
                <w:webHidden/>
              </w:rPr>
              <w:fldChar w:fldCharType="begin"/>
            </w:r>
            <w:r w:rsidR="00C3732E">
              <w:rPr>
                <w:noProof/>
                <w:webHidden/>
              </w:rPr>
              <w:instrText xml:space="preserve"> PAGEREF _Toc423352728 \h </w:instrText>
            </w:r>
            <w:r w:rsidR="00C3732E">
              <w:rPr>
                <w:noProof/>
                <w:webHidden/>
              </w:rPr>
            </w:r>
            <w:r w:rsidR="00C3732E">
              <w:rPr>
                <w:noProof/>
                <w:webHidden/>
              </w:rPr>
              <w:fldChar w:fldCharType="separate"/>
            </w:r>
            <w:r w:rsidR="00C3732E">
              <w:rPr>
                <w:noProof/>
                <w:webHidden/>
              </w:rPr>
              <w:t>59</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29" w:history="1">
            <w:r w:rsidR="00C3732E" w:rsidRPr="00BF34CF">
              <w:rPr>
                <w:rStyle w:val="Hyperlink"/>
                <w:noProof/>
                <w:kern w:val="16"/>
              </w:rPr>
              <w:t>7.16.</w:t>
            </w:r>
            <w:r w:rsidR="00C3732E">
              <w:rPr>
                <w:rFonts w:asciiTheme="minorHAnsi" w:eastAsiaTheme="minorEastAsia" w:hAnsiTheme="minorHAnsi" w:cstheme="minorBidi"/>
                <w:noProof/>
                <w:lang w:eastAsia="en-AU"/>
              </w:rPr>
              <w:tab/>
            </w:r>
            <w:r w:rsidR="00C3732E" w:rsidRPr="00BF34CF">
              <w:rPr>
                <w:rStyle w:val="Hyperlink"/>
                <w:noProof/>
              </w:rPr>
              <w:t>Other safety issues</w:t>
            </w:r>
            <w:r w:rsidR="00C3732E">
              <w:rPr>
                <w:noProof/>
                <w:webHidden/>
              </w:rPr>
              <w:tab/>
            </w:r>
            <w:r w:rsidR="00C3732E">
              <w:rPr>
                <w:noProof/>
                <w:webHidden/>
              </w:rPr>
              <w:fldChar w:fldCharType="begin"/>
            </w:r>
            <w:r w:rsidR="00C3732E">
              <w:rPr>
                <w:noProof/>
                <w:webHidden/>
              </w:rPr>
              <w:instrText xml:space="preserve"> PAGEREF _Toc423352729 \h </w:instrText>
            </w:r>
            <w:r w:rsidR="00C3732E">
              <w:rPr>
                <w:noProof/>
                <w:webHidden/>
              </w:rPr>
            </w:r>
            <w:r w:rsidR="00C3732E">
              <w:rPr>
                <w:noProof/>
                <w:webHidden/>
              </w:rPr>
              <w:fldChar w:fldCharType="separate"/>
            </w:r>
            <w:r w:rsidR="00C3732E">
              <w:rPr>
                <w:noProof/>
                <w:webHidden/>
              </w:rPr>
              <w:t>60</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30" w:history="1">
            <w:r w:rsidR="00C3732E" w:rsidRPr="00BF34CF">
              <w:rPr>
                <w:rStyle w:val="Hyperlink"/>
                <w:noProof/>
                <w:kern w:val="16"/>
              </w:rPr>
              <w:t>7.17.</w:t>
            </w:r>
            <w:r w:rsidR="00C3732E">
              <w:rPr>
                <w:rFonts w:asciiTheme="minorHAnsi" w:eastAsiaTheme="minorEastAsia" w:hAnsiTheme="minorHAnsi" w:cstheme="minorBidi"/>
                <w:noProof/>
                <w:lang w:eastAsia="en-AU"/>
              </w:rPr>
              <w:tab/>
            </w:r>
            <w:r w:rsidR="00C3732E" w:rsidRPr="00BF34CF">
              <w:rPr>
                <w:rStyle w:val="Hyperlink"/>
                <w:noProof/>
              </w:rPr>
              <w:t>Evaluator’s overall conclusions on clinical safety</w:t>
            </w:r>
            <w:r w:rsidR="00C3732E">
              <w:rPr>
                <w:noProof/>
                <w:webHidden/>
              </w:rPr>
              <w:tab/>
            </w:r>
            <w:r w:rsidR="00C3732E">
              <w:rPr>
                <w:noProof/>
                <w:webHidden/>
              </w:rPr>
              <w:fldChar w:fldCharType="begin"/>
            </w:r>
            <w:r w:rsidR="00C3732E">
              <w:rPr>
                <w:noProof/>
                <w:webHidden/>
              </w:rPr>
              <w:instrText xml:space="preserve"> PAGEREF _Toc423352730 \h </w:instrText>
            </w:r>
            <w:r w:rsidR="00C3732E">
              <w:rPr>
                <w:noProof/>
                <w:webHidden/>
              </w:rPr>
            </w:r>
            <w:r w:rsidR="00C3732E">
              <w:rPr>
                <w:noProof/>
                <w:webHidden/>
              </w:rPr>
              <w:fldChar w:fldCharType="separate"/>
            </w:r>
            <w:r w:rsidR="00C3732E">
              <w:rPr>
                <w:noProof/>
                <w:webHidden/>
              </w:rPr>
              <w:t>60</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31" w:history="1">
            <w:r w:rsidR="00C3732E" w:rsidRPr="00BF34CF">
              <w:rPr>
                <w:rStyle w:val="Hyperlink"/>
                <w:noProof/>
              </w:rPr>
              <w:t>8.</w:t>
            </w:r>
            <w:r w:rsidR="00C3732E">
              <w:rPr>
                <w:rFonts w:asciiTheme="minorHAnsi" w:eastAsiaTheme="minorEastAsia" w:hAnsiTheme="minorHAnsi" w:cstheme="minorBidi"/>
                <w:b w:val="0"/>
                <w:noProof/>
                <w:sz w:val="22"/>
                <w:lang w:eastAsia="en-AU"/>
              </w:rPr>
              <w:tab/>
            </w:r>
            <w:r w:rsidR="00C3732E" w:rsidRPr="00BF34CF">
              <w:rPr>
                <w:rStyle w:val="Hyperlink"/>
                <w:noProof/>
              </w:rPr>
              <w:t>First round benefit-risk assessment</w:t>
            </w:r>
            <w:r w:rsidR="00C3732E">
              <w:rPr>
                <w:noProof/>
                <w:webHidden/>
              </w:rPr>
              <w:tab/>
            </w:r>
            <w:r w:rsidR="00C3732E">
              <w:rPr>
                <w:noProof/>
                <w:webHidden/>
              </w:rPr>
              <w:fldChar w:fldCharType="begin"/>
            </w:r>
            <w:r w:rsidR="00C3732E">
              <w:rPr>
                <w:noProof/>
                <w:webHidden/>
              </w:rPr>
              <w:instrText xml:space="preserve"> PAGEREF _Toc423352731 \h </w:instrText>
            </w:r>
            <w:r w:rsidR="00C3732E">
              <w:rPr>
                <w:noProof/>
                <w:webHidden/>
              </w:rPr>
            </w:r>
            <w:r w:rsidR="00C3732E">
              <w:rPr>
                <w:noProof/>
                <w:webHidden/>
              </w:rPr>
              <w:fldChar w:fldCharType="separate"/>
            </w:r>
            <w:r w:rsidR="00C3732E">
              <w:rPr>
                <w:noProof/>
                <w:webHidden/>
              </w:rPr>
              <w:t>60</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32" w:history="1">
            <w:r w:rsidR="00C3732E" w:rsidRPr="00BF34CF">
              <w:rPr>
                <w:rStyle w:val="Hyperlink"/>
                <w:noProof/>
                <w:kern w:val="16"/>
              </w:rPr>
              <w:t>8.1.</w:t>
            </w:r>
            <w:r w:rsidR="00C3732E">
              <w:rPr>
                <w:rFonts w:asciiTheme="minorHAnsi" w:eastAsiaTheme="minorEastAsia" w:hAnsiTheme="minorHAnsi" w:cstheme="minorBidi"/>
                <w:noProof/>
                <w:lang w:eastAsia="en-AU"/>
              </w:rPr>
              <w:tab/>
            </w:r>
            <w:r w:rsidR="00C3732E" w:rsidRPr="00BF34CF">
              <w:rPr>
                <w:rStyle w:val="Hyperlink"/>
                <w:noProof/>
              </w:rPr>
              <w:t>First round assessment of benefits</w:t>
            </w:r>
            <w:r w:rsidR="00C3732E">
              <w:rPr>
                <w:noProof/>
                <w:webHidden/>
              </w:rPr>
              <w:tab/>
            </w:r>
            <w:r w:rsidR="00C3732E">
              <w:rPr>
                <w:noProof/>
                <w:webHidden/>
              </w:rPr>
              <w:fldChar w:fldCharType="begin"/>
            </w:r>
            <w:r w:rsidR="00C3732E">
              <w:rPr>
                <w:noProof/>
                <w:webHidden/>
              </w:rPr>
              <w:instrText xml:space="preserve"> PAGEREF _Toc423352732 \h </w:instrText>
            </w:r>
            <w:r w:rsidR="00C3732E">
              <w:rPr>
                <w:noProof/>
                <w:webHidden/>
              </w:rPr>
            </w:r>
            <w:r w:rsidR="00C3732E">
              <w:rPr>
                <w:noProof/>
                <w:webHidden/>
              </w:rPr>
              <w:fldChar w:fldCharType="separate"/>
            </w:r>
            <w:r w:rsidR="00C3732E">
              <w:rPr>
                <w:noProof/>
                <w:webHidden/>
              </w:rPr>
              <w:t>60</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33" w:history="1">
            <w:r w:rsidR="00C3732E" w:rsidRPr="00BF34CF">
              <w:rPr>
                <w:rStyle w:val="Hyperlink"/>
                <w:noProof/>
                <w:kern w:val="16"/>
              </w:rPr>
              <w:t>8.2.</w:t>
            </w:r>
            <w:r w:rsidR="00C3732E">
              <w:rPr>
                <w:rFonts w:asciiTheme="minorHAnsi" w:eastAsiaTheme="minorEastAsia" w:hAnsiTheme="minorHAnsi" w:cstheme="minorBidi"/>
                <w:noProof/>
                <w:lang w:eastAsia="en-AU"/>
              </w:rPr>
              <w:tab/>
            </w:r>
            <w:r w:rsidR="00C3732E" w:rsidRPr="00BF34CF">
              <w:rPr>
                <w:rStyle w:val="Hyperlink"/>
                <w:noProof/>
              </w:rPr>
              <w:t>First round assessment of risks</w:t>
            </w:r>
            <w:r w:rsidR="00C3732E">
              <w:rPr>
                <w:noProof/>
                <w:webHidden/>
              </w:rPr>
              <w:tab/>
            </w:r>
            <w:r w:rsidR="00C3732E">
              <w:rPr>
                <w:noProof/>
                <w:webHidden/>
              </w:rPr>
              <w:fldChar w:fldCharType="begin"/>
            </w:r>
            <w:r w:rsidR="00C3732E">
              <w:rPr>
                <w:noProof/>
                <w:webHidden/>
              </w:rPr>
              <w:instrText xml:space="preserve"> PAGEREF _Toc423352733 \h </w:instrText>
            </w:r>
            <w:r w:rsidR="00C3732E">
              <w:rPr>
                <w:noProof/>
                <w:webHidden/>
              </w:rPr>
            </w:r>
            <w:r w:rsidR="00C3732E">
              <w:rPr>
                <w:noProof/>
                <w:webHidden/>
              </w:rPr>
              <w:fldChar w:fldCharType="separate"/>
            </w:r>
            <w:r w:rsidR="00C3732E">
              <w:rPr>
                <w:noProof/>
                <w:webHidden/>
              </w:rPr>
              <w:t>60</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34" w:history="1">
            <w:r w:rsidR="00C3732E" w:rsidRPr="00BF34CF">
              <w:rPr>
                <w:rStyle w:val="Hyperlink"/>
                <w:noProof/>
                <w:kern w:val="16"/>
              </w:rPr>
              <w:t>8.3.</w:t>
            </w:r>
            <w:r w:rsidR="00C3732E">
              <w:rPr>
                <w:rFonts w:asciiTheme="minorHAnsi" w:eastAsiaTheme="minorEastAsia" w:hAnsiTheme="minorHAnsi" w:cstheme="minorBidi"/>
                <w:noProof/>
                <w:lang w:eastAsia="en-AU"/>
              </w:rPr>
              <w:tab/>
            </w:r>
            <w:r w:rsidR="00C3732E" w:rsidRPr="00BF34CF">
              <w:rPr>
                <w:rStyle w:val="Hyperlink"/>
                <w:noProof/>
              </w:rPr>
              <w:t>First round assessment of benefit-risk balance</w:t>
            </w:r>
            <w:r w:rsidR="00C3732E">
              <w:rPr>
                <w:noProof/>
                <w:webHidden/>
              </w:rPr>
              <w:tab/>
            </w:r>
            <w:r w:rsidR="00C3732E">
              <w:rPr>
                <w:noProof/>
                <w:webHidden/>
              </w:rPr>
              <w:fldChar w:fldCharType="begin"/>
            </w:r>
            <w:r w:rsidR="00C3732E">
              <w:rPr>
                <w:noProof/>
                <w:webHidden/>
              </w:rPr>
              <w:instrText xml:space="preserve"> PAGEREF _Toc423352734 \h </w:instrText>
            </w:r>
            <w:r w:rsidR="00C3732E">
              <w:rPr>
                <w:noProof/>
                <w:webHidden/>
              </w:rPr>
            </w:r>
            <w:r w:rsidR="00C3732E">
              <w:rPr>
                <w:noProof/>
                <w:webHidden/>
              </w:rPr>
              <w:fldChar w:fldCharType="separate"/>
            </w:r>
            <w:r w:rsidR="00C3732E">
              <w:rPr>
                <w:noProof/>
                <w:webHidden/>
              </w:rPr>
              <w:t>60</w:t>
            </w:r>
            <w:r w:rsidR="00C3732E">
              <w:rPr>
                <w:noProof/>
                <w:webHidden/>
              </w:rPr>
              <w:fldChar w:fldCharType="end"/>
            </w:r>
          </w:hyperlink>
        </w:p>
        <w:p w:rsidR="00C3732E" w:rsidRDefault="00C80674">
          <w:pPr>
            <w:pStyle w:val="TOC3"/>
            <w:tabs>
              <w:tab w:val="left" w:pos="1760"/>
            </w:tabs>
            <w:rPr>
              <w:rFonts w:asciiTheme="minorHAnsi" w:eastAsiaTheme="minorEastAsia" w:hAnsiTheme="minorHAnsi" w:cstheme="minorBidi"/>
              <w:noProof/>
              <w:lang w:eastAsia="en-AU"/>
            </w:rPr>
          </w:pPr>
          <w:hyperlink w:anchor="_Toc423352735" w:history="1">
            <w:r w:rsidR="00C3732E" w:rsidRPr="00BF34CF">
              <w:rPr>
                <w:rStyle w:val="Hyperlink"/>
                <w:noProof/>
              </w:rPr>
              <w:t>8.4.</w:t>
            </w:r>
            <w:r w:rsidR="00C3732E">
              <w:rPr>
                <w:rFonts w:asciiTheme="minorHAnsi" w:eastAsiaTheme="minorEastAsia" w:hAnsiTheme="minorHAnsi" w:cstheme="minorBidi"/>
                <w:noProof/>
                <w:lang w:eastAsia="en-AU"/>
              </w:rPr>
              <w:tab/>
            </w:r>
            <w:r w:rsidR="00C3732E" w:rsidRPr="00BF34CF">
              <w:rPr>
                <w:rStyle w:val="Hyperlink"/>
                <w:noProof/>
              </w:rPr>
              <w:t>First round recommendation regarding authorisation</w:t>
            </w:r>
            <w:r w:rsidR="00C3732E">
              <w:rPr>
                <w:noProof/>
                <w:webHidden/>
              </w:rPr>
              <w:tab/>
            </w:r>
            <w:r w:rsidR="00C3732E">
              <w:rPr>
                <w:noProof/>
                <w:webHidden/>
              </w:rPr>
              <w:fldChar w:fldCharType="begin"/>
            </w:r>
            <w:r w:rsidR="00C3732E">
              <w:rPr>
                <w:noProof/>
                <w:webHidden/>
              </w:rPr>
              <w:instrText xml:space="preserve"> PAGEREF _Toc423352735 \h </w:instrText>
            </w:r>
            <w:r w:rsidR="00C3732E">
              <w:rPr>
                <w:noProof/>
                <w:webHidden/>
              </w:rPr>
            </w:r>
            <w:r w:rsidR="00C3732E">
              <w:rPr>
                <w:noProof/>
                <w:webHidden/>
              </w:rPr>
              <w:fldChar w:fldCharType="separate"/>
            </w:r>
            <w:r w:rsidR="00C3732E">
              <w:rPr>
                <w:noProof/>
                <w:webHidden/>
              </w:rPr>
              <w:t>61</w:t>
            </w:r>
            <w:r w:rsidR="00C3732E">
              <w:rPr>
                <w:noProof/>
                <w:webHidden/>
              </w:rPr>
              <w:fldChar w:fldCharType="end"/>
            </w:r>
          </w:hyperlink>
        </w:p>
        <w:p w:rsidR="00C3732E" w:rsidRDefault="00C80674">
          <w:pPr>
            <w:pStyle w:val="TOC2"/>
            <w:tabs>
              <w:tab w:val="left" w:pos="1100"/>
            </w:tabs>
            <w:rPr>
              <w:rFonts w:asciiTheme="minorHAnsi" w:eastAsiaTheme="minorEastAsia" w:hAnsiTheme="minorHAnsi" w:cstheme="minorBidi"/>
              <w:b w:val="0"/>
              <w:noProof/>
              <w:sz w:val="22"/>
              <w:lang w:eastAsia="en-AU"/>
            </w:rPr>
          </w:pPr>
          <w:hyperlink w:anchor="_Toc423352736" w:history="1">
            <w:r w:rsidR="00C3732E" w:rsidRPr="00BF34CF">
              <w:rPr>
                <w:rStyle w:val="Hyperlink"/>
                <w:noProof/>
              </w:rPr>
              <w:t>9.</w:t>
            </w:r>
            <w:r w:rsidR="00C3732E">
              <w:rPr>
                <w:rFonts w:asciiTheme="minorHAnsi" w:eastAsiaTheme="minorEastAsia" w:hAnsiTheme="minorHAnsi" w:cstheme="minorBidi"/>
                <w:b w:val="0"/>
                <w:noProof/>
                <w:sz w:val="22"/>
                <w:lang w:eastAsia="en-AU"/>
              </w:rPr>
              <w:tab/>
            </w:r>
            <w:r w:rsidR="00C3732E" w:rsidRPr="00BF34CF">
              <w:rPr>
                <w:rStyle w:val="Hyperlink"/>
                <w:noProof/>
              </w:rPr>
              <w:t>Clinical questions</w:t>
            </w:r>
            <w:r w:rsidR="00C3732E">
              <w:rPr>
                <w:noProof/>
                <w:webHidden/>
              </w:rPr>
              <w:tab/>
            </w:r>
            <w:r w:rsidR="00C3732E">
              <w:rPr>
                <w:noProof/>
                <w:webHidden/>
              </w:rPr>
              <w:fldChar w:fldCharType="begin"/>
            </w:r>
            <w:r w:rsidR="00C3732E">
              <w:rPr>
                <w:noProof/>
                <w:webHidden/>
              </w:rPr>
              <w:instrText xml:space="preserve"> PAGEREF _Toc423352736 \h </w:instrText>
            </w:r>
            <w:r w:rsidR="00C3732E">
              <w:rPr>
                <w:noProof/>
                <w:webHidden/>
              </w:rPr>
            </w:r>
            <w:r w:rsidR="00C3732E">
              <w:rPr>
                <w:noProof/>
                <w:webHidden/>
              </w:rPr>
              <w:fldChar w:fldCharType="separate"/>
            </w:r>
            <w:r w:rsidR="00C3732E">
              <w:rPr>
                <w:noProof/>
                <w:webHidden/>
              </w:rPr>
              <w:t>61</w:t>
            </w:r>
            <w:r w:rsidR="00C3732E">
              <w:rPr>
                <w:noProof/>
                <w:webHidden/>
              </w:rPr>
              <w:fldChar w:fldCharType="end"/>
            </w:r>
          </w:hyperlink>
        </w:p>
        <w:p w:rsidR="00C3732E" w:rsidRDefault="00C80674">
          <w:pPr>
            <w:pStyle w:val="TOC2"/>
            <w:tabs>
              <w:tab w:val="left" w:pos="1320"/>
            </w:tabs>
            <w:rPr>
              <w:rFonts w:asciiTheme="minorHAnsi" w:eastAsiaTheme="minorEastAsia" w:hAnsiTheme="minorHAnsi" w:cstheme="minorBidi"/>
              <w:b w:val="0"/>
              <w:noProof/>
              <w:sz w:val="22"/>
              <w:lang w:eastAsia="en-AU"/>
            </w:rPr>
          </w:pPr>
          <w:hyperlink w:anchor="_Toc423352737" w:history="1">
            <w:r w:rsidR="00C3732E" w:rsidRPr="00BF34CF">
              <w:rPr>
                <w:rStyle w:val="Hyperlink"/>
                <w:noProof/>
              </w:rPr>
              <w:t>10.</w:t>
            </w:r>
            <w:r w:rsidR="00C3732E">
              <w:rPr>
                <w:rFonts w:asciiTheme="minorHAnsi" w:eastAsiaTheme="minorEastAsia" w:hAnsiTheme="minorHAnsi" w:cstheme="minorBidi"/>
                <w:b w:val="0"/>
                <w:noProof/>
                <w:sz w:val="22"/>
                <w:lang w:eastAsia="en-AU"/>
              </w:rPr>
              <w:tab/>
            </w:r>
            <w:r w:rsidR="00C3732E" w:rsidRPr="00BF34CF">
              <w:rPr>
                <w:rStyle w:val="Hyperlink"/>
                <w:noProof/>
              </w:rPr>
              <w:t>Second round evaluation of clinical data submitted in response to questions</w:t>
            </w:r>
            <w:r w:rsidR="00C3732E">
              <w:rPr>
                <w:noProof/>
                <w:webHidden/>
              </w:rPr>
              <w:tab/>
            </w:r>
            <w:r w:rsidR="00C3732E">
              <w:rPr>
                <w:noProof/>
                <w:webHidden/>
              </w:rPr>
              <w:fldChar w:fldCharType="begin"/>
            </w:r>
            <w:r w:rsidR="00C3732E">
              <w:rPr>
                <w:noProof/>
                <w:webHidden/>
              </w:rPr>
              <w:instrText xml:space="preserve"> PAGEREF _Toc423352737 \h </w:instrText>
            </w:r>
            <w:r w:rsidR="00C3732E">
              <w:rPr>
                <w:noProof/>
                <w:webHidden/>
              </w:rPr>
            </w:r>
            <w:r w:rsidR="00C3732E">
              <w:rPr>
                <w:noProof/>
                <w:webHidden/>
              </w:rPr>
              <w:fldChar w:fldCharType="separate"/>
            </w:r>
            <w:r w:rsidR="00C3732E">
              <w:rPr>
                <w:noProof/>
                <w:webHidden/>
              </w:rPr>
              <w:t>61</w:t>
            </w:r>
            <w:r w:rsidR="00C3732E">
              <w:rPr>
                <w:noProof/>
                <w:webHidden/>
              </w:rPr>
              <w:fldChar w:fldCharType="end"/>
            </w:r>
          </w:hyperlink>
        </w:p>
        <w:p w:rsidR="00C3732E" w:rsidRDefault="00C80674">
          <w:pPr>
            <w:pStyle w:val="TOC2"/>
            <w:tabs>
              <w:tab w:val="left" w:pos="1320"/>
            </w:tabs>
            <w:rPr>
              <w:rFonts w:asciiTheme="minorHAnsi" w:eastAsiaTheme="minorEastAsia" w:hAnsiTheme="minorHAnsi" w:cstheme="minorBidi"/>
              <w:b w:val="0"/>
              <w:noProof/>
              <w:sz w:val="22"/>
              <w:lang w:eastAsia="en-AU"/>
            </w:rPr>
          </w:pPr>
          <w:hyperlink w:anchor="_Toc423352738" w:history="1">
            <w:r w:rsidR="00C3732E" w:rsidRPr="00BF34CF">
              <w:rPr>
                <w:rStyle w:val="Hyperlink"/>
                <w:noProof/>
              </w:rPr>
              <w:t>11.</w:t>
            </w:r>
            <w:r w:rsidR="00C3732E">
              <w:rPr>
                <w:rFonts w:asciiTheme="minorHAnsi" w:eastAsiaTheme="minorEastAsia" w:hAnsiTheme="minorHAnsi" w:cstheme="minorBidi"/>
                <w:b w:val="0"/>
                <w:noProof/>
                <w:sz w:val="22"/>
                <w:lang w:eastAsia="en-AU"/>
              </w:rPr>
              <w:tab/>
            </w:r>
            <w:r w:rsidR="00C3732E" w:rsidRPr="00BF34CF">
              <w:rPr>
                <w:rStyle w:val="Hyperlink"/>
                <w:noProof/>
              </w:rPr>
              <w:t>References</w:t>
            </w:r>
            <w:r w:rsidR="00C3732E">
              <w:rPr>
                <w:noProof/>
                <w:webHidden/>
              </w:rPr>
              <w:tab/>
            </w:r>
            <w:r w:rsidR="00C3732E">
              <w:rPr>
                <w:noProof/>
                <w:webHidden/>
              </w:rPr>
              <w:fldChar w:fldCharType="begin"/>
            </w:r>
            <w:r w:rsidR="00C3732E">
              <w:rPr>
                <w:noProof/>
                <w:webHidden/>
              </w:rPr>
              <w:instrText xml:space="preserve"> PAGEREF _Toc423352738 \h </w:instrText>
            </w:r>
            <w:r w:rsidR="00C3732E">
              <w:rPr>
                <w:noProof/>
                <w:webHidden/>
              </w:rPr>
            </w:r>
            <w:r w:rsidR="00C3732E">
              <w:rPr>
                <w:noProof/>
                <w:webHidden/>
              </w:rPr>
              <w:fldChar w:fldCharType="separate"/>
            </w:r>
            <w:r w:rsidR="00C3732E">
              <w:rPr>
                <w:noProof/>
                <w:webHidden/>
              </w:rPr>
              <w:t>61</w:t>
            </w:r>
            <w:r w:rsidR="00C3732E">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586F98" w:rsidRDefault="00586F98" w:rsidP="00C80674">
      <w:pPr>
        <w:pStyle w:val="Heading2"/>
        <w:pageBreakBefore/>
        <w:numPr>
          <w:ilvl w:val="0"/>
          <w:numId w:val="0"/>
        </w:numPr>
      </w:pPr>
      <w:bookmarkStart w:id="3" w:name="_Toc351716269"/>
      <w:bookmarkStart w:id="4" w:name="_Toc351718881"/>
      <w:bookmarkStart w:id="5" w:name="_Toc355338616"/>
      <w:bookmarkStart w:id="6" w:name="_Toc423352693"/>
      <w:r>
        <w:t xml:space="preserve">List of </w:t>
      </w:r>
      <w:r w:rsidR="005B1D36">
        <w:t xml:space="preserve">commonly used </w:t>
      </w:r>
      <w:r>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B1D36" w:rsidRPr="00FD119B" w:rsidTr="005B1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B1D36" w:rsidRPr="00FD119B" w:rsidRDefault="005B1D36" w:rsidP="00C80674">
            <w:pPr>
              <w:rPr>
                <w:lang w:eastAsia="en-US"/>
              </w:rPr>
            </w:pPr>
            <w:r w:rsidRPr="00FD119B">
              <w:rPr>
                <w:lang w:eastAsia="en-US"/>
              </w:rPr>
              <w:t>Abbreviation</w:t>
            </w:r>
          </w:p>
        </w:tc>
        <w:tc>
          <w:tcPr>
            <w:tcW w:w="6911" w:type="dxa"/>
          </w:tcPr>
          <w:p w:rsidR="005B1D36" w:rsidRPr="00FD119B" w:rsidRDefault="005B1D36" w:rsidP="00C80674">
            <w:pPr>
              <w:cnfStyle w:val="100000000000" w:firstRow="1" w:lastRow="0" w:firstColumn="0" w:lastColumn="0" w:oddVBand="0" w:evenVBand="0" w:oddHBand="0" w:evenHBand="0" w:firstRowFirstColumn="0" w:firstRowLastColumn="0" w:lastRowFirstColumn="0" w:lastRowLastColumn="0"/>
              <w:rPr>
                <w:lang w:eastAsia="en-US"/>
              </w:rPr>
            </w:pPr>
            <w:r w:rsidRPr="00FD119B">
              <w:rPr>
                <w:lang w:eastAsia="en-US"/>
              </w:rPr>
              <w:t>Meaning</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AE</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Adverse event</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proofErr w:type="spellStart"/>
            <w:r w:rsidRPr="00253BB4">
              <w:rPr>
                <w:rFonts w:asciiTheme="minorHAnsi" w:eastAsia="TimesNewRoman" w:hAnsiTheme="minorHAnsi" w:cs="TimesNewRoman"/>
                <w:sz w:val="20"/>
                <w:szCs w:val="20"/>
              </w:rPr>
              <w:t>AE,ur</w:t>
            </w:r>
            <w:proofErr w:type="spellEnd"/>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Amount excreted into urine during the complete sampling period</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proofErr w:type="spellStart"/>
            <w:r w:rsidRPr="00253BB4">
              <w:rPr>
                <w:rFonts w:asciiTheme="minorHAnsi" w:eastAsia="TimesNewRoman" w:hAnsiTheme="minorHAnsi" w:cs="TimesNewRoman"/>
                <w:sz w:val="20"/>
                <w:szCs w:val="20"/>
              </w:rPr>
              <w:t>AE,ur</w:t>
            </w:r>
            <w:proofErr w:type="spellEnd"/>
            <w:r w:rsidRPr="00253BB4">
              <w:rPr>
                <w:rFonts w:asciiTheme="minorHAnsi" w:eastAsia="TimesNewRoman" w:hAnsiTheme="minorHAnsi" w:cs="TimesNewRoman"/>
                <w:sz w:val="20"/>
                <w:szCs w:val="20"/>
              </w:rPr>
              <w:t>(t1-t2)</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Amount excreted into urine from sampling time point t1 to sampling time point t2</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APTT</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Activated partial thromboplastin time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Area under the concentration-time plasma curve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AUC(0-tlast)</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 from time 0 to last data point</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AUCM</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Area under the first moment curve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BMI</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Body Mass Index</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BW</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Body Weight</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CA</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Compartmental analysis</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CI</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Confidence interval</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CL</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Total body clearance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Clast</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Last concentration value above lower limit of quantitation, directly taken from analytical data</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CLR</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Total renal body clearance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proofErr w:type="spellStart"/>
            <w:r>
              <w:rPr>
                <w:rFonts w:asciiTheme="minorHAnsi" w:eastAsia="TimesNewRoman" w:hAnsiTheme="minorHAnsi" w:cs="TimesNewRoman"/>
                <w:sz w:val="20"/>
                <w:szCs w:val="20"/>
              </w:rPr>
              <w:t>Cmax</w:t>
            </w:r>
            <w:proofErr w:type="spellEnd"/>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Maximum observed drug concentration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CNS</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Central nervous system</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CV</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Coefficient of variation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D</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Dose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ECG</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Electrocardiogram</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FDA</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Food and Drug Administration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proofErr w:type="spellStart"/>
            <w:r>
              <w:rPr>
                <w:rFonts w:asciiTheme="minorHAnsi" w:eastAsia="TimesNewRoman" w:hAnsiTheme="minorHAnsi" w:cs="TimesNewRoman"/>
                <w:sz w:val="20"/>
                <w:szCs w:val="20"/>
              </w:rPr>
              <w:t>Gd</w:t>
            </w:r>
            <w:proofErr w:type="spellEnd"/>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Gadolinium</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GDD</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Global Data Dictionary</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ICH GCP</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53BB4">
              <w:rPr>
                <w:rFonts w:asciiTheme="minorHAnsi" w:eastAsia="TimesNewRoman" w:hAnsiTheme="minorHAnsi" w:cs="TimesNewRoman"/>
                <w:sz w:val="20"/>
                <w:szCs w:val="20"/>
              </w:rPr>
              <w:t>International Conference on Harmonization of Technical Requirements for Registration of Pharmaceuticals for Human Use and Good Clinical Practice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IEC</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Independent Ethics Committee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lastRenderedPageBreak/>
              <w:t>LLOQ</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Lower limit of quantification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MCH</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 xml:space="preserve">Mean corpuscular </w:t>
            </w:r>
            <w:proofErr w:type="spellStart"/>
            <w:r w:rsidRPr="00253BB4">
              <w:rPr>
                <w:rFonts w:asciiTheme="minorHAnsi" w:eastAsia="TimesNewRoman" w:hAnsiTheme="minorHAnsi" w:cs="TimesNewRoman"/>
                <w:sz w:val="20"/>
                <w:szCs w:val="20"/>
              </w:rPr>
              <w:t>hemoglobin</w:t>
            </w:r>
            <w:proofErr w:type="spellEnd"/>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MCV</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Mean corpuscular volume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MR</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Magnetic resonance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MRI</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Magnetic resonance imaging</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MRT</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Mean residence time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NCA</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Non compartmental analysis</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NSF</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proofErr w:type="spellStart"/>
            <w:r w:rsidRPr="00253BB4">
              <w:rPr>
                <w:rFonts w:asciiTheme="minorHAnsi" w:eastAsia="TimesNewRoman" w:hAnsiTheme="minorHAnsi" w:cs="TimesNewRoman"/>
                <w:sz w:val="20"/>
                <w:szCs w:val="20"/>
              </w:rPr>
              <w:t>Nephrogenic</w:t>
            </w:r>
            <w:proofErr w:type="spellEnd"/>
            <w:r w:rsidRPr="00253BB4">
              <w:rPr>
                <w:rFonts w:asciiTheme="minorHAnsi" w:eastAsia="TimesNewRoman" w:hAnsiTheme="minorHAnsi" w:cs="TimesNewRoman"/>
                <w:sz w:val="20"/>
                <w:szCs w:val="20"/>
              </w:rPr>
              <w:t xml:space="preserve"> Systemic Fibrosis</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PD</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Pharmacodynamics</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PK</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Pharmacokinetics</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SAE</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Serious adverse event</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SD</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Standard deviation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w:t>
            </w:r>
            <w:r w:rsidRPr="00B71B92">
              <w:rPr>
                <w:rFonts w:asciiTheme="minorHAnsi" w:eastAsia="TimesNewRoman" w:hAnsiTheme="minorHAnsi" w:cs="TimesNewRoman"/>
                <w:sz w:val="20"/>
                <w:szCs w:val="20"/>
                <w:vertAlign w:val="subscript"/>
              </w:rPr>
              <w:t>1/2</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Half-life associated with the terminal slope</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w:t>
            </w:r>
            <w:r w:rsidRPr="00B71B92">
              <w:rPr>
                <w:rFonts w:asciiTheme="minorHAnsi" w:eastAsia="TimesNewRoman" w:hAnsiTheme="minorHAnsi" w:cs="TimesNewRoman"/>
                <w:sz w:val="20"/>
                <w:szCs w:val="20"/>
                <w:vertAlign w:val="subscript"/>
              </w:rPr>
              <w:t>1/2 alpha</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 xml:space="preserve">Half-life associated with the first exponent of a </w:t>
            </w:r>
            <w:proofErr w:type="spellStart"/>
            <w:r w:rsidRPr="00253BB4">
              <w:rPr>
                <w:rFonts w:asciiTheme="minorHAnsi" w:eastAsia="TimesNewRoman" w:hAnsiTheme="minorHAnsi" w:cs="TimesNewRoman"/>
                <w:sz w:val="20"/>
                <w:szCs w:val="20"/>
              </w:rPr>
              <w:t>polyexponential</w:t>
            </w:r>
            <w:proofErr w:type="spellEnd"/>
            <w:r w:rsidRPr="00253BB4">
              <w:rPr>
                <w:rFonts w:asciiTheme="minorHAnsi" w:eastAsia="TimesNewRoman" w:hAnsiTheme="minorHAnsi" w:cs="TimesNewRoman"/>
                <w:sz w:val="20"/>
                <w:szCs w:val="20"/>
              </w:rPr>
              <w:t xml:space="preserve"> equation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w:t>
            </w:r>
            <w:r w:rsidRPr="00B71B92">
              <w:rPr>
                <w:rFonts w:asciiTheme="minorHAnsi" w:eastAsia="TimesNewRoman" w:hAnsiTheme="minorHAnsi" w:cs="TimesNewRoman"/>
                <w:sz w:val="20"/>
                <w:szCs w:val="20"/>
                <w:vertAlign w:val="subscript"/>
              </w:rPr>
              <w:t>1/2 beta</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 xml:space="preserve">Half-life associated with the second exponent of a </w:t>
            </w:r>
            <w:proofErr w:type="spellStart"/>
            <w:r w:rsidRPr="00253BB4">
              <w:rPr>
                <w:rFonts w:asciiTheme="minorHAnsi" w:eastAsia="TimesNewRoman" w:hAnsiTheme="minorHAnsi" w:cs="TimesNewRoman"/>
                <w:sz w:val="20"/>
                <w:szCs w:val="20"/>
              </w:rPr>
              <w:t>polyexponential</w:t>
            </w:r>
            <w:proofErr w:type="spellEnd"/>
            <w:r w:rsidRPr="00253BB4">
              <w:rPr>
                <w:rFonts w:asciiTheme="minorHAnsi" w:eastAsia="TimesNewRoman" w:hAnsiTheme="minorHAnsi" w:cs="TimesNewRoman"/>
                <w:sz w:val="20"/>
                <w:szCs w:val="20"/>
              </w:rPr>
              <w:t xml:space="preserve"> equation</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5B1D36" w:rsidP="00C80674">
            <w:pPr>
              <w:rPr>
                <w:rFonts w:asciiTheme="minorHAnsi" w:eastAsia="TimesNewRoman" w:hAnsiTheme="minorHAnsi" w:cs="TimesNewRoman"/>
                <w:sz w:val="20"/>
                <w:szCs w:val="20"/>
              </w:rPr>
            </w:pPr>
            <w:proofErr w:type="spellStart"/>
            <w:r w:rsidRPr="00253BB4">
              <w:rPr>
                <w:rFonts w:asciiTheme="minorHAnsi" w:eastAsia="TimesNewRoman" w:hAnsiTheme="minorHAnsi" w:cs="TimesNewRoman"/>
                <w:sz w:val="20"/>
                <w:szCs w:val="20"/>
              </w:rPr>
              <w:t>t</w:t>
            </w:r>
            <w:r w:rsidRPr="00B71B92">
              <w:rPr>
                <w:rFonts w:asciiTheme="minorHAnsi" w:eastAsia="TimesNewRoman" w:hAnsiTheme="minorHAnsi" w:cs="TimesNewRoman"/>
                <w:sz w:val="20"/>
                <w:szCs w:val="20"/>
                <w:vertAlign w:val="subscript"/>
              </w:rPr>
              <w:t>last</w:t>
            </w:r>
            <w:proofErr w:type="spellEnd"/>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Time of last concentration above LLOQ, directly taken from analytical data</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proofErr w:type="spellStart"/>
            <w:r>
              <w:rPr>
                <w:rFonts w:asciiTheme="minorHAnsi" w:eastAsia="TimesNewRoman" w:hAnsiTheme="minorHAnsi" w:cs="TimesNewRoman"/>
                <w:sz w:val="20"/>
                <w:szCs w:val="20"/>
              </w:rPr>
              <w:t>Vc</w:t>
            </w:r>
            <w:proofErr w:type="spellEnd"/>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Apparent volume of distribution of central compartment</w:t>
            </w:r>
          </w:p>
        </w:tc>
      </w:tr>
      <w:tr w:rsidR="005B1D36" w:rsidRPr="00253BB4" w:rsidTr="005B1D36">
        <w:trPr>
          <w:trHeight w:val="510"/>
        </w:trPr>
        <w:tc>
          <w:tcPr>
            <w:cnfStyle w:val="001000000000" w:firstRow="0" w:lastRow="0" w:firstColumn="1" w:lastColumn="0" w:oddVBand="0" w:evenVBand="0" w:oddHBand="0" w:evenHBand="0" w:firstRowFirstColumn="0" w:firstRowLastColumn="0" w:lastRowFirstColumn="0" w:lastRowLastColumn="0"/>
            <w:tcW w:w="1890" w:type="dxa"/>
          </w:tcPr>
          <w:p w:rsidR="005B1D36" w:rsidRPr="00253BB4" w:rsidRDefault="00CA5E4C" w:rsidP="00C80674">
            <w:pPr>
              <w:rPr>
                <w:rFonts w:asciiTheme="minorHAnsi" w:eastAsia="TimesNewRoman" w:hAnsiTheme="minorHAnsi" w:cs="TimesNewRoman"/>
                <w:sz w:val="20"/>
                <w:szCs w:val="20"/>
              </w:rPr>
            </w:pPr>
            <w:r>
              <w:rPr>
                <w:rFonts w:asciiTheme="minorHAnsi" w:eastAsia="TimesNewRoman" w:hAnsiTheme="minorHAnsi" w:cs="TimesNewRoman"/>
                <w:sz w:val="20"/>
                <w:szCs w:val="20"/>
              </w:rPr>
              <w:t>VSS</w:t>
            </w:r>
          </w:p>
        </w:tc>
        <w:tc>
          <w:tcPr>
            <w:tcW w:w="6911" w:type="dxa"/>
          </w:tcPr>
          <w:p w:rsidR="005B1D36" w:rsidRPr="00253BB4" w:rsidRDefault="005B1D36" w:rsidP="00C80674">
            <w:pPr>
              <w:cnfStyle w:val="000000000000" w:firstRow="0" w:lastRow="0" w:firstColumn="0" w:lastColumn="0" w:oddVBand="0" w:evenVBand="0" w:oddHBand="0" w:evenHBand="0" w:firstRowFirstColumn="0" w:firstRowLastColumn="0" w:lastRowFirstColumn="0" w:lastRowLastColumn="0"/>
              <w:rPr>
                <w:rFonts w:asciiTheme="minorHAnsi" w:eastAsia="TimesNewRoman" w:hAnsiTheme="minorHAnsi" w:cs="TimesNewRoman"/>
                <w:sz w:val="20"/>
                <w:szCs w:val="20"/>
              </w:rPr>
            </w:pPr>
            <w:r w:rsidRPr="00253BB4">
              <w:rPr>
                <w:rFonts w:asciiTheme="minorHAnsi" w:eastAsia="TimesNewRoman" w:hAnsiTheme="minorHAnsi" w:cs="TimesNewRoman"/>
                <w:sz w:val="20"/>
                <w:szCs w:val="20"/>
              </w:rPr>
              <w:t>Apparent volume of distribution during steady state</w:t>
            </w:r>
          </w:p>
        </w:tc>
      </w:tr>
    </w:tbl>
    <w:p w:rsidR="00F5645D" w:rsidRDefault="00F5645D" w:rsidP="00CB45EF">
      <w:pPr>
        <w:pStyle w:val="Heading2"/>
        <w:rPr>
          <w:lang w:eastAsia="en-AU"/>
        </w:rPr>
      </w:pPr>
      <w:bookmarkStart w:id="7" w:name="_Toc423352694"/>
      <w:bookmarkStart w:id="8" w:name="_Toc351718900"/>
      <w:bookmarkStart w:id="9" w:name="_Toc355338635"/>
      <w:r>
        <w:rPr>
          <w:lang w:eastAsia="en-AU"/>
        </w:rPr>
        <w:t>Introduction</w:t>
      </w:r>
      <w:bookmarkEnd w:id="7"/>
    </w:p>
    <w:p w:rsidR="00F5645D" w:rsidRDefault="00F5645D" w:rsidP="00CB45EF">
      <w:r>
        <w:rPr>
          <w:rFonts w:eastAsia="Calibri" w:cs="Calibri"/>
        </w:rPr>
        <w:t>Bayer Australia</w:t>
      </w:r>
      <w:r>
        <w:t xml:space="preserve"> Pty Ltd has applied to </w:t>
      </w:r>
      <w:r>
        <w:rPr>
          <w:rFonts w:eastAsia="MS Mincho"/>
          <w:kern w:val="2"/>
        </w:rPr>
        <w:t xml:space="preserve">extend </w:t>
      </w:r>
      <w:r w:rsidRPr="00F5645D">
        <w:rPr>
          <w:rFonts w:eastAsia="MS Mincho"/>
        </w:rPr>
        <w:t>the indications</w:t>
      </w:r>
      <w:r w:rsidRPr="00F5645D">
        <w:t xml:space="preserve"> for </w:t>
      </w:r>
      <w:proofErr w:type="spellStart"/>
      <w:r w:rsidRPr="00F5645D">
        <w:t>Gadovist</w:t>
      </w:r>
      <w:proofErr w:type="spellEnd"/>
      <w:r w:rsidRPr="00F5645D">
        <w:t>® (</w:t>
      </w:r>
      <w:proofErr w:type="spellStart"/>
      <w:r w:rsidRPr="00F5645D">
        <w:t>gadobutrol</w:t>
      </w:r>
      <w:proofErr w:type="spellEnd"/>
      <w:r w:rsidRPr="00F5645D">
        <w:t xml:space="preserve">), an agent for Magnetic resonance imaging (MRI). </w:t>
      </w:r>
      <w:proofErr w:type="spellStart"/>
      <w:r w:rsidRPr="00F5645D">
        <w:t>Gadovist</w:t>
      </w:r>
      <w:proofErr w:type="spellEnd"/>
      <w:r>
        <w:rPr>
          <w:vertAlign w:val="superscript"/>
        </w:rPr>
        <w:t>®</w:t>
      </w:r>
      <w:r>
        <w:t xml:space="preserve"> is approved for diagnostic purposes only. It is indicated in adults, adolescents and children aged 2 years and older for:</w:t>
      </w:r>
    </w:p>
    <w:p w:rsidR="00F5645D" w:rsidRDefault="00F5645D" w:rsidP="00CB45EF">
      <w:pPr>
        <w:pStyle w:val="ListBullet"/>
      </w:pPr>
      <w:r>
        <w:t>Contrast enhanc</w:t>
      </w:r>
      <w:r w:rsidR="00CA5E4C">
        <w:t>ement in cranial and spinal MRI</w:t>
      </w:r>
    </w:p>
    <w:p w:rsidR="00F5645D" w:rsidRDefault="00F5645D" w:rsidP="00CB45EF">
      <w:pPr>
        <w:pStyle w:val="ListBullet"/>
      </w:pPr>
      <w:r>
        <w:t>Use in first–pass MR</w:t>
      </w:r>
      <w:r w:rsidR="00CA5E4C">
        <w:t>I studies of cerebral perfusion</w:t>
      </w:r>
    </w:p>
    <w:p w:rsidR="00F5645D" w:rsidRDefault="00F5645D" w:rsidP="00CB45EF">
      <w:pPr>
        <w:pStyle w:val="ListBullet"/>
      </w:pPr>
      <w:r>
        <w:t>Contrast enhancement (CE) in magne</w:t>
      </w:r>
      <w:r w:rsidR="00CA5E4C">
        <w:t>tic resonance angiography (MRA)</w:t>
      </w:r>
    </w:p>
    <w:p w:rsidR="00F5645D" w:rsidRDefault="00F5645D" w:rsidP="00CB45EF">
      <w:pPr>
        <w:pStyle w:val="ListBullet"/>
      </w:pPr>
      <w:r>
        <w:t>CE MRI of other body regions: Liver and kidneys.</w:t>
      </w:r>
    </w:p>
    <w:p w:rsidR="00F5645D" w:rsidRDefault="00F5645D" w:rsidP="00CB45EF">
      <w:r>
        <w:lastRenderedPageBreak/>
        <w:t>The sponsor has applied for an extension of indication for adults, adolescents and children aged 2 years or older which include:</w:t>
      </w:r>
    </w:p>
    <w:p w:rsidR="00F5645D" w:rsidRDefault="00F5645D" w:rsidP="00CB45EF">
      <w:pPr>
        <w:pStyle w:val="ListBullet"/>
      </w:pPr>
      <w:r>
        <w:t>Contrast enhancement in whole body MRI including head and neck region, thoracic space, breast, abdomen (pancreas, liver and spleen), pelvis (prostate, bladder and uterus), retroperitoneal space (kidney), extremit</w:t>
      </w:r>
      <w:r w:rsidR="00CA5E4C">
        <w:t>ies and musculoskeletal system</w:t>
      </w:r>
    </w:p>
    <w:p w:rsidR="00F5645D" w:rsidRDefault="00F5645D" w:rsidP="00CB45EF">
      <w:pPr>
        <w:pStyle w:val="ListBullet"/>
      </w:pPr>
      <w:r>
        <w:t>Contrast enhancement in cardiac MRI including assessment of rest and pharmacological stress perfusion and dela</w:t>
      </w:r>
      <w:r w:rsidR="00CA5E4C">
        <w:t>yed enhancement.</w:t>
      </w:r>
    </w:p>
    <w:p w:rsidR="00586F98" w:rsidRDefault="00586F98" w:rsidP="003A69AE">
      <w:pPr>
        <w:pStyle w:val="Heading3"/>
      </w:pPr>
      <w:bookmarkStart w:id="10" w:name="_Toc423352695"/>
      <w:r>
        <w:t>Clinical rationale</w:t>
      </w:r>
      <w:bookmarkEnd w:id="10"/>
    </w:p>
    <w:p w:rsidR="00423561" w:rsidRDefault="00423561" w:rsidP="003A69AE">
      <w:r>
        <w:t xml:space="preserve">MRI is an established imaging technique used in the diagnosis of patients with many diseases including vascular abnormalities, parenchymal organ disorders, and neurological, breast, musculoskeletal and cardiovascular disorders. </w:t>
      </w:r>
      <w:proofErr w:type="spellStart"/>
      <w:r>
        <w:t>Gadovist</w:t>
      </w:r>
      <w:proofErr w:type="spellEnd"/>
      <w:r>
        <w:t xml:space="preserve">® is an aqueous solution of </w:t>
      </w:r>
      <w:proofErr w:type="spellStart"/>
      <w:r>
        <w:t>gadobutrol</w:t>
      </w:r>
      <w:proofErr w:type="spellEnd"/>
      <w:r>
        <w:t xml:space="preserve"> containing gadolinium, a paramagnetic metal which shortens relaxation times (T1 and T2) of hydrogen protons. </w:t>
      </w:r>
      <w:proofErr w:type="spellStart"/>
      <w:r>
        <w:t>Gadovist</w:t>
      </w:r>
      <w:proofErr w:type="spellEnd"/>
      <w:r>
        <w:t xml:space="preserve">® is one of a class of gadolinium-based contrast agents which enhance organ lesions or blood vessel structures allowing the detection of abnormal vascularity during first pass imaging, leakage through the blood brain barrier, and distribution through the extracellular space. </w:t>
      </w:r>
      <w:proofErr w:type="spellStart"/>
      <w:r>
        <w:t>Gadovist</w:t>
      </w:r>
      <w:proofErr w:type="spellEnd"/>
      <w:r>
        <w:t xml:space="preserve">® has been approved worldwide since 1998 for use in a limited number of indications including </w:t>
      </w:r>
      <w:r w:rsidR="00C22F92">
        <w:t xml:space="preserve">CNS, </w:t>
      </w:r>
      <w:r>
        <w:t xml:space="preserve">liver and kidney imaging, and imaging of cerebral perfusion and CE-MRA. However, other ECCMs such as </w:t>
      </w:r>
      <w:proofErr w:type="spellStart"/>
      <w:r>
        <w:t>Dotarem</w:t>
      </w:r>
      <w:proofErr w:type="spellEnd"/>
      <w:r>
        <w:t xml:space="preserve">®, </w:t>
      </w:r>
      <w:proofErr w:type="spellStart"/>
      <w:r>
        <w:t>Prohance</w:t>
      </w:r>
      <w:proofErr w:type="spellEnd"/>
      <w:r>
        <w:t xml:space="preserve">®, </w:t>
      </w:r>
      <w:proofErr w:type="spellStart"/>
      <w:r>
        <w:t>Magnevist</w:t>
      </w:r>
      <w:proofErr w:type="spellEnd"/>
      <w:r>
        <w:t xml:space="preserve">® and </w:t>
      </w:r>
      <w:proofErr w:type="spellStart"/>
      <w:r>
        <w:t>Omniscan</w:t>
      </w:r>
      <w:proofErr w:type="spellEnd"/>
      <w:r>
        <w:t xml:space="preserve">® have been approved for whole body imaging and are widely used for the detection of multiple pathologies in organs such as breast, liver, kidneys, pancreas, head and neck, and prostate. All </w:t>
      </w:r>
      <w:proofErr w:type="spellStart"/>
      <w:r>
        <w:t>Gd</w:t>
      </w:r>
      <w:proofErr w:type="spellEnd"/>
      <w:r>
        <w:t xml:space="preserve">-based ECCMs share similar PK/PD characteristics and diagnostic accuracy. The sponsor proposes that </w:t>
      </w:r>
      <w:proofErr w:type="spellStart"/>
      <w:r>
        <w:t>Gadovist</w:t>
      </w:r>
      <w:proofErr w:type="spellEnd"/>
      <w:r>
        <w:t>® is non-inferior to other marketed products and seeks to extend the limited current indications to whole body use, including cardiac imaging.</w:t>
      </w:r>
    </w:p>
    <w:p w:rsidR="00586F98" w:rsidRDefault="00586F98" w:rsidP="003A69AE">
      <w:pPr>
        <w:pStyle w:val="Heading2"/>
        <w:rPr>
          <w:lang w:eastAsia="en-AU"/>
        </w:rPr>
      </w:pPr>
      <w:bookmarkStart w:id="11" w:name="_Toc423352696"/>
      <w:r>
        <w:rPr>
          <w:lang w:eastAsia="en-AU"/>
        </w:rPr>
        <w:t>Contents of the clinical dossier</w:t>
      </w:r>
      <w:bookmarkEnd w:id="8"/>
      <w:bookmarkEnd w:id="9"/>
      <w:bookmarkEnd w:id="11"/>
    </w:p>
    <w:p w:rsidR="00586F98" w:rsidRDefault="00586F98" w:rsidP="003A69AE">
      <w:pPr>
        <w:pStyle w:val="Heading3"/>
      </w:pPr>
      <w:bookmarkStart w:id="12" w:name="_Toc423352697"/>
      <w:r>
        <w:t>Scope of the clinical dossier</w:t>
      </w:r>
      <w:bookmarkEnd w:id="12"/>
    </w:p>
    <w:p w:rsidR="00423561" w:rsidRDefault="00423561" w:rsidP="003A69AE">
      <w:r>
        <w:t>The submission contains the following clinical information:</w:t>
      </w:r>
    </w:p>
    <w:p w:rsidR="00423561" w:rsidRDefault="00423561" w:rsidP="003A69AE">
      <w:pPr>
        <w:pStyle w:val="ListBullet"/>
      </w:pPr>
      <w:r>
        <w:t xml:space="preserve">A comparative PK study (308183) of </w:t>
      </w:r>
      <w:proofErr w:type="spellStart"/>
      <w:r>
        <w:t>Gadovist</w:t>
      </w:r>
      <w:proofErr w:type="spellEnd"/>
      <w:r>
        <w:t>® in elderly and non-elderly subjects.</w:t>
      </w:r>
    </w:p>
    <w:p w:rsidR="00423561" w:rsidRDefault="00423561" w:rsidP="003A69AE">
      <w:pPr>
        <w:pStyle w:val="ListBullet"/>
      </w:pPr>
      <w:r>
        <w:t xml:space="preserve">Two identical pivotal </w:t>
      </w:r>
      <w:r w:rsidR="00F5645D">
        <w:t>Phase III</w:t>
      </w:r>
      <w:r>
        <w:t xml:space="preserve"> studies (91743 and 91782) evaluating the diagnostic performance of </w:t>
      </w:r>
      <w:proofErr w:type="spellStart"/>
      <w:r>
        <w:t>Gadovist</w:t>
      </w:r>
      <w:proofErr w:type="spellEnd"/>
      <w:r>
        <w:t>® in CE-MRI of the breast.</w:t>
      </w:r>
    </w:p>
    <w:p w:rsidR="00423561" w:rsidRDefault="00423561" w:rsidP="003A69AE">
      <w:pPr>
        <w:pStyle w:val="ListBullet"/>
      </w:pPr>
      <w:r>
        <w:t xml:space="preserve">A pivotal </w:t>
      </w:r>
      <w:r w:rsidR="00F5645D">
        <w:t>Phase III</w:t>
      </w:r>
      <w:r>
        <w:t xml:space="preserve"> study (13297) comparing whole body imaging with </w:t>
      </w:r>
      <w:proofErr w:type="spellStart"/>
      <w:r>
        <w:t>Gadovist</w:t>
      </w:r>
      <w:proofErr w:type="spellEnd"/>
      <w:r>
        <w:t xml:space="preserve">® and </w:t>
      </w:r>
      <w:proofErr w:type="spellStart"/>
      <w:r>
        <w:t>Magnevist</w:t>
      </w:r>
      <w:proofErr w:type="spellEnd"/>
      <w:r>
        <w:t>® in Asian patients.</w:t>
      </w:r>
    </w:p>
    <w:p w:rsidR="00423561" w:rsidRDefault="00423561" w:rsidP="003A69AE">
      <w:pPr>
        <w:pStyle w:val="ListBullet"/>
      </w:pPr>
      <w:r>
        <w:t xml:space="preserve">A </w:t>
      </w:r>
      <w:r w:rsidRPr="00F5645D">
        <w:t>post hoc</w:t>
      </w:r>
      <w:r>
        <w:t xml:space="preserve"> analysis of a previously evaluated study (94055/99012) providing further evidence of the performance of </w:t>
      </w:r>
      <w:proofErr w:type="spellStart"/>
      <w:r>
        <w:t>Gadovist</w:t>
      </w:r>
      <w:proofErr w:type="spellEnd"/>
      <w:r>
        <w:t>® in different body regions.</w:t>
      </w:r>
    </w:p>
    <w:p w:rsidR="00423561" w:rsidRDefault="00423561" w:rsidP="003A69AE">
      <w:pPr>
        <w:pStyle w:val="ListBullet"/>
      </w:pPr>
      <w:r>
        <w:t xml:space="preserve">A Phase </w:t>
      </w:r>
      <w:r w:rsidR="00F5645D">
        <w:t>II</w:t>
      </w:r>
      <w:r>
        <w:t xml:space="preserve"> dose-finding study in myocardial perfusion MRI.</w:t>
      </w:r>
    </w:p>
    <w:p w:rsidR="00423561" w:rsidRDefault="00423561" w:rsidP="003A69AE">
      <w:pPr>
        <w:pStyle w:val="ListBullet"/>
      </w:pPr>
      <w:r>
        <w:t xml:space="preserve">A systematic literature review of all indications other than those currently approved for </w:t>
      </w:r>
      <w:proofErr w:type="spellStart"/>
      <w:r>
        <w:t>Gadovist</w:t>
      </w:r>
      <w:proofErr w:type="spellEnd"/>
      <w:r>
        <w:t xml:space="preserve">® but in the same range of indications as currently approved for </w:t>
      </w:r>
      <w:proofErr w:type="spellStart"/>
      <w:r>
        <w:t>Magnevist</w:t>
      </w:r>
      <w:proofErr w:type="spellEnd"/>
      <w:r>
        <w:t xml:space="preserve">® and </w:t>
      </w:r>
      <w:proofErr w:type="spellStart"/>
      <w:r>
        <w:t>Dotarem</w:t>
      </w:r>
      <w:proofErr w:type="spellEnd"/>
      <w:r>
        <w:t>®.</w:t>
      </w:r>
    </w:p>
    <w:p w:rsidR="00423561" w:rsidRDefault="00423561" w:rsidP="003A69AE">
      <w:pPr>
        <w:pStyle w:val="ListBullet"/>
      </w:pPr>
      <w:r>
        <w:t>An Integrated Summary of Safety from clinical studies and post-marketing surveillance.</w:t>
      </w:r>
    </w:p>
    <w:p w:rsidR="00586F98" w:rsidRDefault="00586F98" w:rsidP="003A69AE">
      <w:pPr>
        <w:pStyle w:val="Heading3"/>
      </w:pPr>
      <w:bookmarkStart w:id="13" w:name="_Toc423352698"/>
      <w:r>
        <w:t>Paediatric data</w:t>
      </w:r>
      <w:bookmarkEnd w:id="13"/>
    </w:p>
    <w:p w:rsidR="00423561" w:rsidRDefault="00423561" w:rsidP="003A69AE">
      <w:r>
        <w:t>The submission d</w:t>
      </w:r>
      <w:r w:rsidR="00CA5E4C">
        <w:t>id not include paediatric data.</w:t>
      </w:r>
    </w:p>
    <w:p w:rsidR="00586F98" w:rsidRDefault="00586F98" w:rsidP="003A69AE">
      <w:pPr>
        <w:pStyle w:val="Heading3"/>
      </w:pPr>
      <w:bookmarkStart w:id="14" w:name="_Toc423352699"/>
      <w:r>
        <w:lastRenderedPageBreak/>
        <w:t>Good clinical practice</w:t>
      </w:r>
      <w:bookmarkEnd w:id="14"/>
    </w:p>
    <w:p w:rsidR="00423561" w:rsidRDefault="00423561" w:rsidP="003A69AE">
      <w:bookmarkStart w:id="15" w:name="_Toc241374282"/>
      <w:r>
        <w:t>All studies were performed according to the principles of ICH GCP and GLP.</w:t>
      </w:r>
      <w:bookmarkEnd w:id="15"/>
    </w:p>
    <w:p w:rsidR="00586F98" w:rsidRDefault="00586F98" w:rsidP="003A69AE">
      <w:pPr>
        <w:pStyle w:val="Heading2"/>
      </w:pPr>
      <w:bookmarkStart w:id="16" w:name="_Toc355338639"/>
      <w:bookmarkStart w:id="17" w:name="_Toc423352700"/>
      <w:r>
        <w:t>Pharmacokinetics</w:t>
      </w:r>
      <w:bookmarkEnd w:id="16"/>
      <w:bookmarkEnd w:id="17"/>
    </w:p>
    <w:p w:rsidR="00423561" w:rsidRDefault="00423561" w:rsidP="003A69AE">
      <w:pPr>
        <w:pStyle w:val="Heading3"/>
      </w:pPr>
      <w:bookmarkStart w:id="18" w:name="_Ref271018934"/>
      <w:bookmarkStart w:id="19" w:name="_Ref271018924"/>
      <w:bookmarkStart w:id="20" w:name="_Ref271017296"/>
      <w:bookmarkStart w:id="21" w:name="_Toc393351136"/>
      <w:bookmarkStart w:id="22" w:name="_Toc290846238"/>
      <w:bookmarkStart w:id="23" w:name="_Toc272414614"/>
      <w:bookmarkStart w:id="24" w:name="_Toc423352701"/>
      <w:r>
        <w:t>Studies</w:t>
      </w:r>
      <w:bookmarkEnd w:id="18"/>
      <w:bookmarkEnd w:id="19"/>
      <w:bookmarkEnd w:id="20"/>
      <w:r>
        <w:t xml:space="preserve"> providing pharmacokinetic data</w:t>
      </w:r>
      <w:bookmarkEnd w:id="21"/>
      <w:bookmarkEnd w:id="22"/>
      <w:bookmarkEnd w:id="23"/>
      <w:bookmarkEnd w:id="24"/>
    </w:p>
    <w:p w:rsidR="00423561" w:rsidRDefault="00423561" w:rsidP="003A69AE">
      <w:r>
        <w:t xml:space="preserve">Summaries of a pre-clinical PK study in rabbits (KM12004) and a PK study in healthy non-elderly and elderly subjects (308183) </w:t>
      </w:r>
      <w:r w:rsidR="00F5645D">
        <w:t>were</w:t>
      </w:r>
      <w:r>
        <w:t xml:space="preserve"> reviewed. Neither of the PK studies had deficiencies that excluded the results from consideration.</w:t>
      </w:r>
    </w:p>
    <w:p w:rsidR="00423561" w:rsidRDefault="00423561" w:rsidP="003A69AE">
      <w:pPr>
        <w:pStyle w:val="Heading3"/>
        <w:rPr>
          <w:kern w:val="16"/>
          <w:szCs w:val="20"/>
        </w:rPr>
      </w:pPr>
      <w:bookmarkStart w:id="25" w:name="_Toc393351137"/>
      <w:bookmarkStart w:id="26" w:name="_Toc290846239"/>
      <w:bookmarkStart w:id="27" w:name="_Toc272414616"/>
      <w:bookmarkStart w:id="28" w:name="_Ref269118175"/>
      <w:bookmarkStart w:id="29" w:name="_Toc423352702"/>
      <w:r>
        <w:t>Summary of pharmacokinetics</w:t>
      </w:r>
      <w:bookmarkEnd w:id="25"/>
      <w:bookmarkEnd w:id="26"/>
      <w:bookmarkEnd w:id="27"/>
      <w:bookmarkEnd w:id="28"/>
      <w:bookmarkEnd w:id="29"/>
    </w:p>
    <w:p w:rsidR="00423561" w:rsidRDefault="00423561" w:rsidP="003A69AE">
      <w:r>
        <w:t>The information in the following summary is derived from conventional studies unless otherwise stated.</w:t>
      </w:r>
    </w:p>
    <w:p w:rsidR="00423561" w:rsidRDefault="00423561" w:rsidP="003A69AE">
      <w:pPr>
        <w:pStyle w:val="Heading4"/>
        <w:rPr>
          <w:kern w:val="16"/>
          <w:szCs w:val="20"/>
        </w:rPr>
      </w:pPr>
      <w:bookmarkStart w:id="30" w:name="_Toc393351138"/>
      <w:bookmarkStart w:id="31" w:name="_Toc290846240"/>
      <w:bookmarkStart w:id="32" w:name="_Toc272414617"/>
      <w:r>
        <w:t>Physicochemical characteristics of the active substance</w:t>
      </w:r>
      <w:bookmarkEnd w:id="30"/>
      <w:bookmarkEnd w:id="31"/>
      <w:bookmarkEnd w:id="32"/>
    </w:p>
    <w:p w:rsidR="00423561" w:rsidRDefault="00423561" w:rsidP="003A69AE">
      <w:r>
        <w:t>No new data submitted.</w:t>
      </w:r>
    </w:p>
    <w:p w:rsidR="00423561" w:rsidRDefault="00423561" w:rsidP="003A69AE">
      <w:pPr>
        <w:pStyle w:val="Heading4"/>
        <w:rPr>
          <w:kern w:val="16"/>
          <w:szCs w:val="20"/>
        </w:rPr>
      </w:pPr>
      <w:bookmarkStart w:id="33" w:name="_Toc393351139"/>
      <w:bookmarkStart w:id="34" w:name="_Toc290846241"/>
      <w:bookmarkStart w:id="35" w:name="_Toc272414618"/>
      <w:bookmarkStart w:id="36" w:name="_Ref271189143"/>
      <w:bookmarkStart w:id="37" w:name="_Ref271189106"/>
      <w:r>
        <w:t>Pharmacokinetics in healthy subjects</w:t>
      </w:r>
      <w:bookmarkEnd w:id="33"/>
      <w:bookmarkEnd w:id="34"/>
      <w:bookmarkEnd w:id="35"/>
      <w:bookmarkEnd w:id="36"/>
      <w:bookmarkEnd w:id="37"/>
    </w:p>
    <w:p w:rsidR="00423561" w:rsidRDefault="00423561" w:rsidP="003A69AE">
      <w:pPr>
        <w:pStyle w:val="Heading5"/>
      </w:pPr>
      <w:bookmarkStart w:id="38" w:name="_Toc393351140"/>
      <w:bookmarkStart w:id="39" w:name="_Toc290846242"/>
      <w:bookmarkStart w:id="40" w:name="_Toc272414619"/>
      <w:r>
        <w:t>Absorption</w:t>
      </w:r>
      <w:bookmarkEnd w:id="38"/>
      <w:bookmarkEnd w:id="39"/>
      <w:bookmarkEnd w:id="40"/>
    </w:p>
    <w:p w:rsidR="00423561" w:rsidRDefault="00423561" w:rsidP="003A69AE">
      <w:pPr>
        <w:pStyle w:val="Heading6"/>
      </w:pPr>
      <w:bookmarkStart w:id="41" w:name="_Toc393351141"/>
      <w:r>
        <w:t>Sites and mechanisms of absorption</w:t>
      </w:r>
      <w:bookmarkEnd w:id="41"/>
    </w:p>
    <w:p w:rsidR="00423561" w:rsidRDefault="00423561" w:rsidP="003A69AE">
      <w:r>
        <w:t>Not applicable.</w:t>
      </w:r>
    </w:p>
    <w:p w:rsidR="00423561" w:rsidRDefault="00423561" w:rsidP="003A69AE">
      <w:pPr>
        <w:pStyle w:val="Heading6"/>
      </w:pPr>
      <w:bookmarkStart w:id="42" w:name="_Toc393351142"/>
      <w:bookmarkStart w:id="43" w:name="_Toc290846243"/>
      <w:bookmarkStart w:id="44" w:name="_Toc272414620"/>
      <w:bookmarkStart w:id="45" w:name="_Toc241374287"/>
      <w:r>
        <w:t>Bioavailability</w:t>
      </w:r>
      <w:bookmarkEnd w:id="42"/>
      <w:bookmarkEnd w:id="43"/>
      <w:bookmarkEnd w:id="44"/>
      <w:bookmarkEnd w:id="45"/>
    </w:p>
    <w:p w:rsidR="00423561" w:rsidRDefault="00423561" w:rsidP="003A69AE">
      <w:pPr>
        <w:rPr>
          <w:kern w:val="16"/>
          <w:szCs w:val="24"/>
        </w:rPr>
      </w:pPr>
      <w:r>
        <w:t>Not applicable.</w:t>
      </w:r>
    </w:p>
    <w:p w:rsidR="00423561" w:rsidRDefault="00423561" w:rsidP="003A69AE">
      <w:pPr>
        <w:pStyle w:val="Heading4"/>
      </w:pPr>
      <w:bookmarkStart w:id="46" w:name="_Toc393351143"/>
      <w:bookmarkStart w:id="47" w:name="_Toc290846248"/>
      <w:bookmarkStart w:id="48" w:name="_Toc272414625"/>
      <w:bookmarkStart w:id="49" w:name="_Ref271189136"/>
      <w:bookmarkStart w:id="50" w:name="_Ref271189131"/>
      <w:bookmarkStart w:id="51" w:name="_Toc241374292"/>
      <w:r>
        <w:t>Pharmacokinetics in the target population</w:t>
      </w:r>
      <w:bookmarkEnd w:id="46"/>
      <w:bookmarkEnd w:id="47"/>
      <w:bookmarkEnd w:id="48"/>
      <w:bookmarkEnd w:id="49"/>
      <w:bookmarkEnd w:id="50"/>
      <w:bookmarkEnd w:id="51"/>
    </w:p>
    <w:p w:rsidR="00423561" w:rsidRDefault="00423561" w:rsidP="003A69AE">
      <w:r>
        <w:t>No new data submitted.</w:t>
      </w:r>
    </w:p>
    <w:p w:rsidR="00423561" w:rsidRDefault="00423561" w:rsidP="003A69AE">
      <w:pPr>
        <w:pStyle w:val="Heading4"/>
        <w:rPr>
          <w:kern w:val="16"/>
          <w:szCs w:val="20"/>
        </w:rPr>
      </w:pPr>
      <w:bookmarkStart w:id="52" w:name="_Toc393351144"/>
      <w:bookmarkStart w:id="53" w:name="_Toc290846249"/>
      <w:bookmarkStart w:id="54" w:name="_Toc272414626"/>
      <w:bookmarkStart w:id="55" w:name="_Toc241374293"/>
      <w:r>
        <w:t>Pharmacokinetics in other special populations</w:t>
      </w:r>
      <w:bookmarkEnd w:id="52"/>
      <w:bookmarkEnd w:id="53"/>
      <w:bookmarkEnd w:id="54"/>
      <w:bookmarkEnd w:id="55"/>
    </w:p>
    <w:p w:rsidR="00423561" w:rsidRDefault="00423561" w:rsidP="003A69AE">
      <w:pPr>
        <w:pStyle w:val="Heading5"/>
      </w:pPr>
      <w:bookmarkStart w:id="56" w:name="_Toc393351145"/>
      <w:bookmarkStart w:id="57" w:name="_Toc290846250"/>
      <w:bookmarkStart w:id="58" w:name="_Toc272414627"/>
      <w:r>
        <w:t>Pharmacokinetics in subjects with impaired hepatic function</w:t>
      </w:r>
      <w:bookmarkEnd w:id="56"/>
      <w:bookmarkEnd w:id="57"/>
      <w:bookmarkEnd w:id="58"/>
    </w:p>
    <w:p w:rsidR="00423561" w:rsidRDefault="00423561" w:rsidP="003A69AE">
      <w:r>
        <w:t>No new data submitted.</w:t>
      </w:r>
    </w:p>
    <w:p w:rsidR="00423561" w:rsidRDefault="00423561" w:rsidP="003A69AE">
      <w:pPr>
        <w:pStyle w:val="Heading5"/>
        <w:rPr>
          <w:kern w:val="16"/>
          <w:szCs w:val="20"/>
        </w:rPr>
      </w:pPr>
      <w:bookmarkStart w:id="59" w:name="_Toc393351146"/>
      <w:bookmarkStart w:id="60" w:name="_Toc290846251"/>
      <w:bookmarkStart w:id="61" w:name="_Toc272414628"/>
      <w:r>
        <w:t>Pharmacokinetics in subjects with impaired renal function</w:t>
      </w:r>
      <w:bookmarkEnd w:id="59"/>
      <w:bookmarkEnd w:id="60"/>
      <w:bookmarkEnd w:id="61"/>
    </w:p>
    <w:p w:rsidR="00423561" w:rsidRDefault="00423561" w:rsidP="003A69AE">
      <w:pPr>
        <w:rPr>
          <w:bCs/>
        </w:rPr>
      </w:pPr>
      <w:r>
        <w:t>No new data submitted.</w:t>
      </w:r>
    </w:p>
    <w:p w:rsidR="00423561" w:rsidRDefault="00423561" w:rsidP="003A69AE">
      <w:pPr>
        <w:pStyle w:val="Heading5"/>
        <w:rPr>
          <w:kern w:val="16"/>
          <w:szCs w:val="20"/>
        </w:rPr>
      </w:pPr>
      <w:bookmarkStart w:id="62" w:name="_Toc393351147"/>
      <w:bookmarkStart w:id="63" w:name="_Toc290846252"/>
      <w:bookmarkStart w:id="64" w:name="_Toc272414629"/>
      <w:r>
        <w:t>Pharmacokinetics according to age</w:t>
      </w:r>
      <w:bookmarkEnd w:id="62"/>
      <w:bookmarkEnd w:id="63"/>
      <w:bookmarkEnd w:id="64"/>
    </w:p>
    <w:p w:rsidR="00423561" w:rsidRDefault="00423561" w:rsidP="003A69AE">
      <w:r>
        <w:t xml:space="preserve">Study </w:t>
      </w:r>
      <w:proofErr w:type="gramStart"/>
      <w:r>
        <w:t>30183</w:t>
      </w:r>
      <w:r w:rsidR="0028713E">
        <w:t xml:space="preserve"> </w:t>
      </w:r>
      <w:r>
        <w:t>assessed PK behaviour in healthy elderly subjects</w:t>
      </w:r>
      <w:proofErr w:type="gramEnd"/>
      <w:r>
        <w:t xml:space="preserve"> aged ≥65 years compared with non-elderly subjects aged 18-45 years. In healthy elderly men and women CL was reduced by approximately 25% and 35%, respectively, compared with non-elderly subjects. AUC was increased by 33% and 54%, respectively, and t</w:t>
      </w:r>
      <w:r>
        <w:rPr>
          <w:vertAlign w:val="subscript"/>
        </w:rPr>
        <w:t>1/2</w:t>
      </w:r>
      <w:r>
        <w:t xml:space="preserve"> was increased by approxima</w:t>
      </w:r>
      <w:r w:rsidR="003A69AE">
        <w:t>tely 33% and 58%, respectively.</w:t>
      </w:r>
    </w:p>
    <w:p w:rsidR="00423561" w:rsidRDefault="00423561" w:rsidP="003A69AE">
      <w:pPr>
        <w:pStyle w:val="Heading5"/>
        <w:rPr>
          <w:kern w:val="16"/>
          <w:szCs w:val="20"/>
        </w:rPr>
      </w:pPr>
      <w:bookmarkStart w:id="65" w:name="_Toc393351148"/>
      <w:bookmarkStart w:id="66" w:name="_Toc290846253"/>
      <w:bookmarkStart w:id="67" w:name="_Toc272414630"/>
      <w:r>
        <w:t>Pharmacokinetics related to genetic factors</w:t>
      </w:r>
      <w:bookmarkEnd w:id="65"/>
      <w:bookmarkEnd w:id="66"/>
      <w:bookmarkEnd w:id="67"/>
    </w:p>
    <w:p w:rsidR="00423561" w:rsidRDefault="00423561" w:rsidP="003A69AE">
      <w:r>
        <w:t>No new data submitted.</w:t>
      </w:r>
    </w:p>
    <w:p w:rsidR="00423561" w:rsidRDefault="00423561" w:rsidP="003A69AE">
      <w:pPr>
        <w:pStyle w:val="Heading5"/>
        <w:rPr>
          <w:kern w:val="16"/>
          <w:szCs w:val="20"/>
        </w:rPr>
      </w:pPr>
      <w:bookmarkStart w:id="68" w:name="_Toc290846254"/>
      <w:bookmarkStart w:id="69" w:name="_Toc272414631"/>
      <w:bookmarkStart w:id="70" w:name="_Toc393351149"/>
      <w:r>
        <w:t>Pharmacokinetics in other special population</w:t>
      </w:r>
      <w:bookmarkEnd w:id="68"/>
      <w:bookmarkEnd w:id="69"/>
      <w:r>
        <w:t>s</w:t>
      </w:r>
      <w:bookmarkEnd w:id="70"/>
    </w:p>
    <w:p w:rsidR="00423561" w:rsidRDefault="00423561" w:rsidP="003A69AE">
      <w:r>
        <w:t>No new data submitted.</w:t>
      </w:r>
    </w:p>
    <w:p w:rsidR="00423561" w:rsidRDefault="00423561" w:rsidP="003A69AE">
      <w:pPr>
        <w:pStyle w:val="Heading4"/>
        <w:rPr>
          <w:kern w:val="16"/>
          <w:szCs w:val="20"/>
        </w:rPr>
      </w:pPr>
      <w:bookmarkStart w:id="71" w:name="_Toc393351150"/>
      <w:bookmarkStart w:id="72" w:name="_Toc290846255"/>
      <w:bookmarkStart w:id="73" w:name="_Toc272414632"/>
      <w:bookmarkStart w:id="74" w:name="_Toc241374294"/>
      <w:r>
        <w:lastRenderedPageBreak/>
        <w:t>Pharmacokinetic interactions</w:t>
      </w:r>
      <w:bookmarkEnd w:id="71"/>
      <w:bookmarkEnd w:id="72"/>
      <w:bookmarkEnd w:id="73"/>
      <w:bookmarkEnd w:id="74"/>
    </w:p>
    <w:p w:rsidR="00423561" w:rsidRDefault="00423561" w:rsidP="003A69AE">
      <w:pPr>
        <w:pStyle w:val="Heading5"/>
      </w:pPr>
      <w:bookmarkStart w:id="75" w:name="_Toc393351151"/>
      <w:bookmarkStart w:id="76" w:name="_Toc290846256"/>
      <w:bookmarkStart w:id="77" w:name="_Toc272414633"/>
      <w:r>
        <w:t>Pharmacokinetic interactions demonstrated in human studies</w:t>
      </w:r>
      <w:bookmarkEnd w:id="75"/>
      <w:bookmarkEnd w:id="76"/>
      <w:bookmarkEnd w:id="77"/>
    </w:p>
    <w:p w:rsidR="00423561" w:rsidRDefault="00CA5E4C" w:rsidP="003A69AE">
      <w:r>
        <w:t>No new data submitted.</w:t>
      </w:r>
    </w:p>
    <w:p w:rsidR="00423561" w:rsidRDefault="00423561" w:rsidP="003A69AE">
      <w:pPr>
        <w:pStyle w:val="Heading5"/>
        <w:rPr>
          <w:kern w:val="16"/>
          <w:szCs w:val="20"/>
        </w:rPr>
      </w:pPr>
      <w:bookmarkStart w:id="78" w:name="_Toc393351152"/>
      <w:bookmarkStart w:id="79" w:name="_Toc290846257"/>
      <w:bookmarkStart w:id="80" w:name="_Toc272414634"/>
      <w:r>
        <w:t>Clinical implications of in vitro findings</w:t>
      </w:r>
      <w:bookmarkEnd w:id="78"/>
      <w:bookmarkEnd w:id="79"/>
      <w:bookmarkEnd w:id="80"/>
    </w:p>
    <w:p w:rsidR="00423561" w:rsidRDefault="00423561" w:rsidP="003A69AE">
      <w:r>
        <w:t>Not applicable.</w:t>
      </w:r>
    </w:p>
    <w:p w:rsidR="00423561" w:rsidRDefault="00423561" w:rsidP="003A69AE">
      <w:pPr>
        <w:pStyle w:val="Heading3"/>
        <w:rPr>
          <w:kern w:val="16"/>
          <w:szCs w:val="20"/>
        </w:rPr>
      </w:pPr>
      <w:bookmarkStart w:id="81" w:name="_Toc393351153"/>
      <w:bookmarkStart w:id="82" w:name="_Toc290846258"/>
      <w:bookmarkStart w:id="83" w:name="_Toc272414635"/>
      <w:bookmarkStart w:id="84" w:name="_Ref271018755"/>
      <w:bookmarkStart w:id="85" w:name="_Ref271018704"/>
      <w:bookmarkStart w:id="86" w:name="_Ref269982040"/>
      <w:bookmarkStart w:id="87" w:name="_Toc241374296"/>
      <w:bookmarkStart w:id="88" w:name="_Toc423352703"/>
      <w:r>
        <w:t>Evaluator’s overall conclusions on pharmacokinetics</w:t>
      </w:r>
      <w:bookmarkEnd w:id="81"/>
      <w:bookmarkEnd w:id="82"/>
      <w:bookmarkEnd w:id="83"/>
      <w:bookmarkEnd w:id="84"/>
      <w:bookmarkEnd w:id="85"/>
      <w:bookmarkEnd w:id="86"/>
      <w:bookmarkEnd w:id="87"/>
      <w:bookmarkEnd w:id="88"/>
    </w:p>
    <w:p w:rsidR="00423561" w:rsidRDefault="00423561" w:rsidP="003A69AE">
      <w:r>
        <w:t xml:space="preserve">A pre-clinical study in rabbits (KM12004) demonstrated identical PK behaviour for </w:t>
      </w:r>
      <w:proofErr w:type="spellStart"/>
      <w:r>
        <w:t>Gadovist</w:t>
      </w:r>
      <w:proofErr w:type="spellEnd"/>
      <w:r>
        <w:t xml:space="preserve">®, </w:t>
      </w:r>
      <w:proofErr w:type="spellStart"/>
      <w:r>
        <w:t>Magnevist</w:t>
      </w:r>
      <w:proofErr w:type="spellEnd"/>
      <w:r>
        <w:t xml:space="preserve">® and </w:t>
      </w:r>
      <w:proofErr w:type="spellStart"/>
      <w:r>
        <w:t>Dotarem</w:t>
      </w:r>
      <w:proofErr w:type="spellEnd"/>
      <w:r>
        <w:t>®. There was equivalent organ distribution in all the organs examined, supporting the whole body indication in man. A comparison of PK in elderly and non-elderly subjects demonstrated that exposure is modestly increased in the elderly population. The results complete the PK profile of the marketed product although they have no direct relevance for the proposed new indication.</w:t>
      </w:r>
    </w:p>
    <w:p w:rsidR="00586F98" w:rsidRDefault="00586F98" w:rsidP="003A69AE">
      <w:pPr>
        <w:pStyle w:val="Heading2"/>
      </w:pPr>
      <w:bookmarkStart w:id="89" w:name="_Toc423352704"/>
      <w:r>
        <w:t>Pharmacodynamics</w:t>
      </w:r>
      <w:bookmarkEnd w:id="89"/>
    </w:p>
    <w:p w:rsidR="00423561" w:rsidRDefault="00423561" w:rsidP="003A69AE">
      <w:pPr>
        <w:pStyle w:val="Heading3"/>
      </w:pPr>
      <w:bookmarkStart w:id="90" w:name="_Toc393351155"/>
      <w:bookmarkStart w:id="91" w:name="_Toc290846260"/>
      <w:bookmarkStart w:id="92" w:name="_Toc272414637"/>
      <w:bookmarkStart w:id="93" w:name="_Toc423352705"/>
      <w:r>
        <w:t xml:space="preserve">Studies providing </w:t>
      </w:r>
      <w:proofErr w:type="spellStart"/>
      <w:r>
        <w:t>pharmacodynamic</w:t>
      </w:r>
      <w:proofErr w:type="spellEnd"/>
      <w:r>
        <w:t xml:space="preserve"> data</w:t>
      </w:r>
      <w:bookmarkEnd w:id="90"/>
      <w:bookmarkEnd w:id="91"/>
      <w:bookmarkEnd w:id="92"/>
      <w:bookmarkEnd w:id="93"/>
    </w:p>
    <w:p w:rsidR="00423561" w:rsidRDefault="00423561" w:rsidP="003A69AE">
      <w:r>
        <w:t>No new data submitted.</w:t>
      </w:r>
    </w:p>
    <w:p w:rsidR="00586F98" w:rsidRDefault="00C22678" w:rsidP="003A69AE">
      <w:pPr>
        <w:pStyle w:val="Heading2"/>
      </w:pPr>
      <w:bookmarkStart w:id="94" w:name="_Toc423352706"/>
      <w:r>
        <w:t>Dosage selection for the pivotal studies</w:t>
      </w:r>
      <w:bookmarkEnd w:id="94"/>
    </w:p>
    <w:p w:rsidR="00423561" w:rsidRDefault="00423561" w:rsidP="003A69AE">
      <w:r>
        <w:t xml:space="preserve">The approved dose of </w:t>
      </w:r>
      <w:proofErr w:type="spellStart"/>
      <w:r>
        <w:t>Gadovist</w:t>
      </w:r>
      <w:proofErr w:type="spellEnd"/>
      <w:r>
        <w:t>® was used in all studies.</w:t>
      </w:r>
    </w:p>
    <w:p w:rsidR="00C22678" w:rsidRDefault="00C22678" w:rsidP="003A69AE">
      <w:pPr>
        <w:pStyle w:val="Heading2"/>
      </w:pPr>
      <w:bookmarkStart w:id="95" w:name="_Toc423352707"/>
      <w:r>
        <w:t>Clinical efficacy</w:t>
      </w:r>
      <w:bookmarkEnd w:id="95"/>
    </w:p>
    <w:p w:rsidR="00423561" w:rsidRDefault="00423561" w:rsidP="003A69AE">
      <w:pPr>
        <w:pStyle w:val="Heading3"/>
        <w:rPr>
          <w:kern w:val="16"/>
          <w:szCs w:val="20"/>
        </w:rPr>
      </w:pPr>
      <w:bookmarkStart w:id="96" w:name="_Toc393351158"/>
      <w:bookmarkStart w:id="97" w:name="_Toc423352708"/>
      <w:r>
        <w:t>Indication 1:</w:t>
      </w:r>
      <w:bookmarkEnd w:id="96"/>
      <w:bookmarkEnd w:id="97"/>
    </w:p>
    <w:p w:rsidR="00423561" w:rsidRDefault="00423561" w:rsidP="003A69AE">
      <w:r>
        <w:t>Contrast enhancement in whole body MRI including head and neck region, thoracic space, breast, abdomen (pancreas, liver and spleen), pelvis (prostate, bladder and uterus), retroperitoneal space (kidney), extremities and musculoskeletal system.</w:t>
      </w:r>
    </w:p>
    <w:p w:rsidR="00423561" w:rsidRDefault="00423561" w:rsidP="003A69AE">
      <w:pPr>
        <w:pStyle w:val="Heading4"/>
      </w:pPr>
      <w:bookmarkStart w:id="98" w:name="_Toc393351159"/>
      <w:bookmarkStart w:id="99" w:name="_Toc290846274"/>
      <w:bookmarkStart w:id="100" w:name="_Toc272414652"/>
      <w:bookmarkStart w:id="101" w:name="_Ref271037274"/>
      <w:r>
        <w:t>Pivotal efficacy studies</w:t>
      </w:r>
      <w:bookmarkEnd w:id="98"/>
      <w:bookmarkEnd w:id="99"/>
      <w:bookmarkEnd w:id="100"/>
      <w:bookmarkEnd w:id="101"/>
    </w:p>
    <w:p w:rsidR="00423561" w:rsidRDefault="00423561" w:rsidP="003A69AE">
      <w:pPr>
        <w:pStyle w:val="Heading5"/>
      </w:pPr>
      <w:bookmarkStart w:id="102" w:name="_Toc393351160"/>
      <w:bookmarkStart w:id="103" w:name="_Toc290846275"/>
      <w:bookmarkStart w:id="104" w:name="_Toc272414653"/>
      <w:bookmarkStart w:id="105" w:name="_Ref271040932"/>
      <w:bookmarkStart w:id="106" w:name="_Ref271040927"/>
      <w:bookmarkStart w:id="107" w:name="_Ref243301615"/>
      <w:r>
        <w:t>Study 13297</w:t>
      </w:r>
      <w:bookmarkEnd w:id="102"/>
      <w:bookmarkEnd w:id="103"/>
      <w:bookmarkEnd w:id="104"/>
      <w:bookmarkEnd w:id="105"/>
      <w:bookmarkEnd w:id="106"/>
      <w:bookmarkEnd w:id="107"/>
    </w:p>
    <w:p w:rsidR="00423561" w:rsidRDefault="00423561" w:rsidP="003A69AE">
      <w:pPr>
        <w:pStyle w:val="Heading6"/>
      </w:pPr>
      <w:bookmarkStart w:id="108" w:name="_Toc393351161"/>
      <w:r>
        <w:t>Study design, objectives, locations and dates</w:t>
      </w:r>
      <w:bookmarkEnd w:id="108"/>
    </w:p>
    <w:p w:rsidR="00423561" w:rsidRDefault="00423561" w:rsidP="003A69AE">
      <w:r>
        <w:t xml:space="preserve">This was a </w:t>
      </w:r>
      <w:r w:rsidR="00F5645D">
        <w:t>Phase III</w:t>
      </w:r>
      <w:r>
        <w:t xml:space="preserve">, multicentre, multinational, randomised, controlled, single-blind, group comparison of </w:t>
      </w:r>
      <w:proofErr w:type="spellStart"/>
      <w:r>
        <w:t>Gadovist</w:t>
      </w:r>
      <w:proofErr w:type="spellEnd"/>
      <w:r>
        <w:t xml:space="preserve">® (GAD) and </w:t>
      </w:r>
      <w:proofErr w:type="spellStart"/>
      <w:r>
        <w:t>Magnevist</w:t>
      </w:r>
      <w:proofErr w:type="spellEnd"/>
      <w:r>
        <w:t xml:space="preserve">® (MAG) following a single injection in Asian patients referred for contrast-enhanced MRI (CE-MRI) of body regions, including breast, heart, abdomen, kidney, pelvis and extremities. The study was conducted at 17 centres in Japan, S. Korea and China. The first patient was recruited in January 2010 and the study completed in April 2011. The objective of the study was to demonstrate the non-inferiority of combined unenhanced and GAD-enhanced MRI compared to combined unenhanced and MAG-enhanced MRI measured by the degree of contrast enhancement, assessment of border delineation and the internal morphology of lesions. A total of 360 patients aged at least 20 years were planned to receive either GAD or MAG as a comparator with 180 patients in each group. At least 40 patients were to be examined in each body region (breast, heart, abdomen, kidney, pelvis, or </w:t>
      </w:r>
      <w:r>
        <w:lastRenderedPageBreak/>
        <w:t>extremities) with a maximum of 80 patients in any one body region. The final clinical diagnosis (SOR, standard of reference) was provided by the treating physician at each site for each patient. The SOR was based on all clinical data including pathology when available for up to 3</w:t>
      </w:r>
      <w:r w:rsidR="00CA5E4C">
        <w:t xml:space="preserve"> months after the MR diagnosis.</w:t>
      </w:r>
    </w:p>
    <w:p w:rsidR="0028713E" w:rsidRPr="00A06571" w:rsidRDefault="00423561" w:rsidP="003A69AE">
      <w:r>
        <w:t xml:space="preserve">GAD 0.1 </w:t>
      </w:r>
      <w:proofErr w:type="spellStart"/>
      <w:r>
        <w:t>mmol</w:t>
      </w:r>
      <w:proofErr w:type="spellEnd"/>
      <w:r>
        <w:t xml:space="preserve">/kg BW was given by a single IV injection at a rate of 1.5-2 mL/sec followed by a 10 mL N saline flush given at the same rate. MAG was delivered in the same manner at the same dose at the approved rate of 2-3 mL/sec. MR images were obtained before administration of the CAs (unenhanced MRI) consisting of at least two sequences (T1-weighted [T1w] and T2-weighted [T2w]); following GAD injection consisting of steady-state imaging (T1w); or following MAG injection consisting of steady-state imaging (T1w). In addition, dynamic sequences (T1w) were performed to image the breast, abdomen, kidney, pelvis, or extremities. The complete MR image sets were evaluated by three independent blinded readers in addition to the clinical investigators. Patient safety was assessed by monitoring vital signs, physical examination, and clinical </w:t>
      </w:r>
      <w:r w:rsidRPr="00A06571">
        <w:t xml:space="preserve">laboratory parameters. Safety observations including adverse event monitoring were continued for 24 ± 4 hours after CA injection with a follow-up phone call on Day 3. The schedule of procedures is shown in </w:t>
      </w:r>
      <w:r w:rsidR="00A06571" w:rsidRPr="00A06571">
        <w:t>Table 1</w:t>
      </w:r>
      <w:r w:rsidRPr="00A06571">
        <w:t xml:space="preserve"> and the imaging protocol is shown in</w:t>
      </w:r>
      <w:r w:rsidR="00A06571" w:rsidRPr="00A06571">
        <w:t xml:space="preserve"> Table 2</w:t>
      </w:r>
      <w:r w:rsidRPr="00A06571">
        <w:t>. Standardised MR diagnoses were recorded and standardised recording of m</w:t>
      </w:r>
      <w:r w:rsidR="00CA5E4C">
        <w:t>alignant lesions was performed.</w:t>
      </w:r>
    </w:p>
    <w:p w:rsidR="00CA5E4C" w:rsidRDefault="004622DB" w:rsidP="003A69AE">
      <w:pPr>
        <w:pStyle w:val="Tabletitle"/>
      </w:pPr>
      <w:bookmarkStart w:id="109" w:name="_Ref393278423"/>
      <w:bookmarkStart w:id="110" w:name="_Toc393351303"/>
      <w:r>
        <w:t xml:space="preserve">Table </w:t>
      </w:r>
      <w:r w:rsidR="00A06571">
        <w:t>1:</w:t>
      </w:r>
      <w:bookmarkEnd w:id="109"/>
      <w:bookmarkEnd w:id="110"/>
      <w:r w:rsidR="00A06571">
        <w:t xml:space="preserve"> S</w:t>
      </w:r>
      <w:r w:rsidR="00A06571" w:rsidRPr="00A06571">
        <w:t>chedule of procedures</w:t>
      </w:r>
    </w:p>
    <w:p w:rsidR="0028713E" w:rsidRDefault="0028713E" w:rsidP="003A69AE">
      <w:r w:rsidRPr="001A7A50">
        <w:rPr>
          <w:noProof/>
          <w:lang w:eastAsia="en-AU"/>
        </w:rPr>
        <w:drawing>
          <wp:inline distT="0" distB="0" distL="0" distR="0" wp14:anchorId="40ED2931" wp14:editId="65521CDB">
            <wp:extent cx="4971923" cy="3165822"/>
            <wp:effectExtent l="0" t="0" r="0" b="0"/>
            <wp:docPr id="96" name="Picture 96" descr="Table 1: Schedule of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4978602" cy="3170075"/>
                    </a:xfrm>
                    <a:prstGeom prst="rect">
                      <a:avLst/>
                    </a:prstGeom>
                    <a:noFill/>
                    <a:ln>
                      <a:noFill/>
                    </a:ln>
                  </pic:spPr>
                </pic:pic>
              </a:graphicData>
            </a:graphic>
          </wp:inline>
        </w:drawing>
      </w:r>
    </w:p>
    <w:p w:rsidR="004622DB" w:rsidRDefault="004622DB" w:rsidP="003A69AE">
      <w:pPr>
        <w:pStyle w:val="Tabletitle"/>
      </w:pPr>
      <w:bookmarkStart w:id="111" w:name="_Ref393278426"/>
      <w:bookmarkStart w:id="112" w:name="_Toc393351304"/>
      <w:r>
        <w:lastRenderedPageBreak/>
        <w:t xml:space="preserve">Table </w:t>
      </w:r>
      <w:r w:rsidR="00A06571">
        <w:t xml:space="preserve">2: </w:t>
      </w:r>
      <w:r>
        <w:t xml:space="preserve"> Study 13297</w:t>
      </w:r>
      <w:bookmarkEnd w:id="111"/>
      <w:bookmarkEnd w:id="112"/>
      <w:r w:rsidR="00A06571">
        <w:t xml:space="preserve"> Imaging protocol</w:t>
      </w:r>
    </w:p>
    <w:p w:rsidR="001F456D" w:rsidRDefault="0028713E" w:rsidP="00423561">
      <w:pPr>
        <w:autoSpaceDE w:val="0"/>
        <w:autoSpaceDN w:val="0"/>
        <w:adjustRightInd w:val="0"/>
      </w:pPr>
      <w:r w:rsidRPr="009E3262">
        <w:rPr>
          <w:b/>
          <w:noProof/>
          <w:lang w:eastAsia="en-AU"/>
        </w:rPr>
        <w:drawing>
          <wp:inline distT="0" distB="0" distL="0" distR="0" wp14:anchorId="1A29F885" wp14:editId="572FBC90">
            <wp:extent cx="5255965" cy="3088981"/>
            <wp:effectExtent l="0" t="0" r="1905" b="0"/>
            <wp:docPr id="7" name="Picture 7" descr="Table 2:  Study 13297 Imaging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l="4838" t="9460" b="2027"/>
                    <a:stretch/>
                  </pic:blipFill>
                  <pic:spPr bwMode="auto">
                    <a:xfrm>
                      <a:off x="0" y="0"/>
                      <a:ext cx="5264421" cy="3093951"/>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Pr="0028713E" w:rsidRDefault="00423561" w:rsidP="003A69AE">
      <w:pPr>
        <w:pStyle w:val="Heading6"/>
        <w:rPr>
          <w:kern w:val="16"/>
          <w:szCs w:val="20"/>
        </w:rPr>
      </w:pPr>
      <w:bookmarkStart w:id="113" w:name="_Toc393351162"/>
      <w:r w:rsidRPr="0028713E">
        <w:t>Inclusion and exclusion criteria</w:t>
      </w:r>
      <w:bookmarkEnd w:id="113"/>
    </w:p>
    <w:p w:rsidR="00423561" w:rsidRDefault="00423561" w:rsidP="003A69AE">
      <w:r>
        <w:t xml:space="preserve">The main inclusion criteria were patients aged at least 20 years referred for MRI based on current clinical symptoms and with a negative pregnancy test. The main exclusion criteria were pregnant or nursing mothers; any investigational product in the preceding 2 weeks; any previous GAD study; contra-indications to MRI or </w:t>
      </w:r>
      <w:proofErr w:type="spellStart"/>
      <w:r>
        <w:t>Gd</w:t>
      </w:r>
      <w:proofErr w:type="spellEnd"/>
      <w:r>
        <w:t>-containing CAs; a history of any severe allergic or anaphylactic reaction; received any contrast agent within 24 hours of the study MRI; GFR &lt;30mL/min/1.73m</w:t>
      </w:r>
      <w:r>
        <w:rPr>
          <w:vertAlign w:val="superscript"/>
        </w:rPr>
        <w:t>2</w:t>
      </w:r>
      <w:r>
        <w:t xml:space="preserve"> in the preceding 4 weeks; clinically unstable; severe cardiovascular disease; patients with acute renal insufficiency of any severity; and contra-indications to MAG.</w:t>
      </w:r>
    </w:p>
    <w:p w:rsidR="00423561" w:rsidRDefault="00423561" w:rsidP="003A69AE">
      <w:pPr>
        <w:pStyle w:val="Heading6"/>
        <w:rPr>
          <w:kern w:val="16"/>
          <w:szCs w:val="20"/>
        </w:rPr>
      </w:pPr>
      <w:bookmarkStart w:id="114" w:name="_Toc393351163"/>
      <w:r>
        <w:t>Study treatments</w:t>
      </w:r>
      <w:bookmarkEnd w:id="114"/>
    </w:p>
    <w:p w:rsidR="00423561" w:rsidRDefault="00423561" w:rsidP="003A69AE">
      <w:r>
        <w:t xml:space="preserve">A single IV dose of GAD (1.5-2 mL/sec) or MAG (2-3 mL/sec) was administered at a dose of 0.1 </w:t>
      </w:r>
      <w:proofErr w:type="spellStart"/>
      <w:r>
        <w:t>mmol</w:t>
      </w:r>
      <w:proofErr w:type="spellEnd"/>
      <w:r>
        <w:t>/kg BW followed by a 10 mL N saline flush given at the same rate.</w:t>
      </w:r>
    </w:p>
    <w:p w:rsidR="00423561" w:rsidRDefault="00423561" w:rsidP="003A69AE">
      <w:pPr>
        <w:pStyle w:val="Heading6"/>
        <w:rPr>
          <w:kern w:val="16"/>
          <w:szCs w:val="20"/>
        </w:rPr>
      </w:pPr>
      <w:bookmarkStart w:id="115" w:name="_Toc393351164"/>
      <w:r>
        <w:t>Efficacy variables and outcomes</w:t>
      </w:r>
      <w:bookmarkEnd w:id="115"/>
    </w:p>
    <w:p w:rsidR="00423561" w:rsidRDefault="00423561" w:rsidP="003A69AE">
      <w:r>
        <w:t>The main efficacy variables were:</w:t>
      </w:r>
    </w:p>
    <w:p w:rsidR="00423561" w:rsidRDefault="00423561" w:rsidP="003A69AE">
      <w:r>
        <w:t>Degree of contrast enhancement using a 4-point scale:</w:t>
      </w:r>
    </w:p>
    <w:p w:rsidR="00423561" w:rsidRDefault="003A69AE" w:rsidP="003A69AE">
      <w:pPr>
        <w:pStyle w:val="Numberbullet0"/>
      </w:pPr>
      <w:r>
        <w:t xml:space="preserve">No </w:t>
      </w:r>
      <w:r w:rsidR="00423561">
        <w:t>lesion was not enhanced</w:t>
      </w:r>
    </w:p>
    <w:p w:rsidR="00423561" w:rsidRDefault="003A69AE" w:rsidP="003A69AE">
      <w:pPr>
        <w:pStyle w:val="Numberbullet0"/>
      </w:pPr>
      <w:r>
        <w:t xml:space="preserve">Moderate </w:t>
      </w:r>
      <w:r w:rsidR="00423561">
        <w:t>lesion was weakly enhanced</w:t>
      </w:r>
    </w:p>
    <w:p w:rsidR="00423561" w:rsidRDefault="003A69AE" w:rsidP="003A69AE">
      <w:pPr>
        <w:pStyle w:val="Numberbullet0"/>
      </w:pPr>
      <w:r>
        <w:t xml:space="preserve">Good </w:t>
      </w:r>
      <w:r w:rsidR="00423561">
        <w:t>lesion was clearly enhanced</w:t>
      </w:r>
    </w:p>
    <w:p w:rsidR="00423561" w:rsidRDefault="003A69AE" w:rsidP="003A69AE">
      <w:pPr>
        <w:pStyle w:val="Numberbullet0"/>
      </w:pPr>
      <w:r>
        <w:t xml:space="preserve">Excellent </w:t>
      </w:r>
      <w:r w:rsidR="00423561">
        <w:t>lesion was clearly and brightly enhanced</w:t>
      </w:r>
    </w:p>
    <w:p w:rsidR="00423561" w:rsidRDefault="00423561" w:rsidP="003A69AE">
      <w:r>
        <w:t>Border delineation using a 4-point scale:</w:t>
      </w:r>
    </w:p>
    <w:p w:rsidR="00423561" w:rsidRDefault="003A69AE" w:rsidP="003A69AE">
      <w:pPr>
        <w:pStyle w:val="Numberbullet0"/>
        <w:numPr>
          <w:ilvl w:val="0"/>
          <w:numId w:val="48"/>
        </w:numPr>
      </w:pPr>
      <w:r>
        <w:t xml:space="preserve">None </w:t>
      </w:r>
      <w:r w:rsidR="00423561">
        <w:t>no or unclear delineation of the lesion boundaries</w:t>
      </w:r>
    </w:p>
    <w:p w:rsidR="00423561" w:rsidRDefault="003A69AE" w:rsidP="003A69AE">
      <w:pPr>
        <w:pStyle w:val="Numberbullet0"/>
        <w:numPr>
          <w:ilvl w:val="0"/>
          <w:numId w:val="48"/>
        </w:numPr>
      </w:pPr>
      <w:r>
        <w:t xml:space="preserve">Moderate </w:t>
      </w:r>
      <w:r w:rsidR="00423561">
        <w:t>some aspects of border delineation covered</w:t>
      </w:r>
    </w:p>
    <w:p w:rsidR="00423561" w:rsidRDefault="003A69AE" w:rsidP="003A69AE">
      <w:pPr>
        <w:pStyle w:val="Numberbullet0"/>
        <w:numPr>
          <w:ilvl w:val="0"/>
          <w:numId w:val="48"/>
        </w:numPr>
      </w:pPr>
      <w:r>
        <w:t xml:space="preserve">Good </w:t>
      </w:r>
      <w:r w:rsidR="00423561">
        <w:t>almost clear, but not complete delineation</w:t>
      </w:r>
    </w:p>
    <w:p w:rsidR="00423561" w:rsidRDefault="003A69AE" w:rsidP="003A69AE">
      <w:pPr>
        <w:pStyle w:val="Numberbullet0"/>
        <w:numPr>
          <w:ilvl w:val="0"/>
          <w:numId w:val="48"/>
        </w:numPr>
      </w:pPr>
      <w:r>
        <w:t xml:space="preserve">Excellent </w:t>
      </w:r>
      <w:r w:rsidR="00423561">
        <w:t xml:space="preserve">clear, and complete delineation </w:t>
      </w:r>
    </w:p>
    <w:p w:rsidR="00423561" w:rsidRDefault="00423561" w:rsidP="003A69AE">
      <w:r>
        <w:t>Internal morphology using a 3-point scale:</w:t>
      </w:r>
    </w:p>
    <w:p w:rsidR="00423561" w:rsidRDefault="00423561" w:rsidP="003A69AE">
      <w:pPr>
        <w:pStyle w:val="Numberbullet0"/>
        <w:numPr>
          <w:ilvl w:val="0"/>
          <w:numId w:val="49"/>
        </w:numPr>
      </w:pPr>
      <w:r>
        <w:lastRenderedPageBreak/>
        <w:t>Poor</w:t>
      </w:r>
      <w:r w:rsidR="003A69AE">
        <w:t xml:space="preserve"> </w:t>
      </w:r>
      <w:r>
        <w:t>the structure and internal morphology of the lesion were poorly visible</w:t>
      </w:r>
    </w:p>
    <w:p w:rsidR="00423561" w:rsidRDefault="00423561" w:rsidP="003A69AE">
      <w:pPr>
        <w:pStyle w:val="Numberbullet0"/>
        <w:numPr>
          <w:ilvl w:val="0"/>
          <w:numId w:val="49"/>
        </w:numPr>
      </w:pPr>
      <w:r>
        <w:t>Moderate</w:t>
      </w:r>
      <w:r w:rsidR="003A69AE">
        <w:t xml:space="preserve"> </w:t>
      </w:r>
      <w:r>
        <w:t>the structure and internal morphology of the lesion were partially visible</w:t>
      </w:r>
    </w:p>
    <w:p w:rsidR="00423561" w:rsidRDefault="00423561" w:rsidP="003A69AE">
      <w:pPr>
        <w:pStyle w:val="Numberbullet0"/>
        <w:numPr>
          <w:ilvl w:val="0"/>
          <w:numId w:val="49"/>
        </w:numPr>
      </w:pPr>
      <w:r>
        <w:t>Good</w:t>
      </w:r>
      <w:r w:rsidR="003A69AE">
        <w:t xml:space="preserve"> </w:t>
      </w:r>
      <w:r>
        <w:t>the structure and internal morphology of the lesion were sufficiently visible</w:t>
      </w:r>
    </w:p>
    <w:p w:rsidR="00423561" w:rsidRDefault="00423561" w:rsidP="003A69AE">
      <w:r>
        <w:t>The primary efficacy outcome was non-inferiority of combined unenhanced and GAD-enhanced MRI compared with combined unenhanced and MAG-enhanced MRI.</w:t>
      </w:r>
    </w:p>
    <w:p w:rsidR="00423561" w:rsidRDefault="00423561" w:rsidP="003A69AE">
      <w:r>
        <w:t>Other efficacy outcomes included:</w:t>
      </w:r>
    </w:p>
    <w:p w:rsidR="00423561" w:rsidRDefault="00423561" w:rsidP="003A69AE">
      <w:pPr>
        <w:pStyle w:val="ListBullet"/>
      </w:pPr>
      <w:r>
        <w:t>Improvement of combined unenhanced and GAD-enhanced MRI compared with combined unen</w:t>
      </w:r>
      <w:r w:rsidR="003A69AE">
        <w:t>hanced and MAG-enhanced MRI</w:t>
      </w:r>
    </w:p>
    <w:p w:rsidR="00423561" w:rsidRDefault="00423561" w:rsidP="003A69AE">
      <w:pPr>
        <w:pStyle w:val="ListBullet"/>
      </w:pPr>
      <w:r>
        <w:t>Comparable efficacy between GAD and MAG measured by an exact match of the MR and clinical diagnoses, and sensitivity and specificity for detection of malignant lesions in al</w:t>
      </w:r>
      <w:r w:rsidR="003A69AE">
        <w:t>l regions other than the heart</w:t>
      </w:r>
    </w:p>
    <w:p w:rsidR="00423561" w:rsidRDefault="00423561" w:rsidP="003A69AE">
      <w:pPr>
        <w:pStyle w:val="ListBullet"/>
      </w:pPr>
      <w:r>
        <w:t>Confidence in the diagnosis using a 4-point scale (not confident, somewhat confident, confident, very confident).</w:t>
      </w:r>
    </w:p>
    <w:p w:rsidR="00423561" w:rsidRDefault="00423561" w:rsidP="003A69AE">
      <w:pPr>
        <w:pStyle w:val="Heading6"/>
        <w:rPr>
          <w:kern w:val="16"/>
          <w:szCs w:val="20"/>
        </w:rPr>
      </w:pPr>
      <w:bookmarkStart w:id="116" w:name="_Toc393351165"/>
      <w:r>
        <w:t>Randomisation and blinding methods</w:t>
      </w:r>
      <w:bookmarkEnd w:id="116"/>
    </w:p>
    <w:p w:rsidR="00423561" w:rsidRDefault="00423561" w:rsidP="003A69AE">
      <w:r>
        <w:t xml:space="preserve">The study drug (GAD or MAG) was randomised and stratified by body region and suspected disease. After determining the region to be examined, randomisation was performed by the investigator using IVRS/IWRS. The investigators were </w:t>
      </w:r>
      <w:proofErr w:type="spellStart"/>
      <w:r>
        <w:t>unblinded</w:t>
      </w:r>
      <w:proofErr w:type="spellEnd"/>
      <w:r>
        <w:t xml:space="preserve"> to the study treatment but the patients were not informed of the study drug identity. Independent blinded reading sessions were performed by three experienced radiologists who were not affiliated to the study centres or involved in the conduct of the trial. The images used for blinded evaluation did not contain any clinical data or information regarding the study centre, the scanner manufacturer, the CA, or imaging times.</w:t>
      </w:r>
    </w:p>
    <w:p w:rsidR="00423561" w:rsidRDefault="00423561" w:rsidP="003A69AE">
      <w:pPr>
        <w:pStyle w:val="Heading6"/>
        <w:rPr>
          <w:kern w:val="16"/>
          <w:szCs w:val="20"/>
        </w:rPr>
      </w:pPr>
      <w:bookmarkStart w:id="117" w:name="_Toc393351166"/>
      <w:r>
        <w:t>Analysis populations</w:t>
      </w:r>
      <w:bookmarkEnd w:id="117"/>
    </w:p>
    <w:p w:rsidR="00423561" w:rsidRDefault="00423561" w:rsidP="003A69AE">
      <w:r>
        <w:t>The Safety Analysis Set (SAS) consisted of all randomised patients except those who did not receive an investigational CA (n=363). The Full Analysis Set (FAS) was patients who received study CA but did not have efficacy data available (e.g. patients who did not complete the MRI, or whose images were considered not assessable due to poor quality) (n=359). The Per Protocol Set (PPS) consisted of patients who completed the study without major protocol deviations (n=346).</w:t>
      </w:r>
    </w:p>
    <w:p w:rsidR="00423561" w:rsidRDefault="00423561" w:rsidP="003A69AE">
      <w:pPr>
        <w:pStyle w:val="Heading6"/>
        <w:rPr>
          <w:kern w:val="16"/>
          <w:szCs w:val="20"/>
        </w:rPr>
      </w:pPr>
      <w:bookmarkStart w:id="118" w:name="_Toc393351167"/>
      <w:r>
        <w:t>Sample size</w:t>
      </w:r>
      <w:bookmarkEnd w:id="118"/>
    </w:p>
    <w:p w:rsidR="00423561" w:rsidRDefault="00423561" w:rsidP="003A69AE">
      <w:r>
        <w:t>The assumptions for sample size calculations were:</w:t>
      </w:r>
    </w:p>
    <w:p w:rsidR="00423561" w:rsidRDefault="00423561" w:rsidP="003A69AE">
      <w:pPr>
        <w:pStyle w:val="ListBullet"/>
      </w:pPr>
      <w:r>
        <w:t>The SD was 2.5 in terms of the total score of primary variables</w:t>
      </w:r>
    </w:p>
    <w:p w:rsidR="00423561" w:rsidRDefault="00423561" w:rsidP="003A69AE">
      <w:pPr>
        <w:pStyle w:val="ListBullet"/>
      </w:pPr>
      <w:r>
        <w:t>The non-inferiority margin was 1.2</w:t>
      </w:r>
    </w:p>
    <w:p w:rsidR="00423561" w:rsidRDefault="00423561" w:rsidP="003A69AE">
      <w:pPr>
        <w:pStyle w:val="ListBullet"/>
      </w:pPr>
      <w:r>
        <w:t>The true total score of GAD was equal to MAG under the alternative hypothesis</w:t>
      </w:r>
    </w:p>
    <w:p w:rsidR="00423561" w:rsidRDefault="00423561" w:rsidP="003A69AE">
      <w:pPr>
        <w:pStyle w:val="ListBullet"/>
      </w:pPr>
      <w:r>
        <w:t>The 95% CI of the difference between GAD and MAG was calculated assuming that the standardised difference followed a t-distribution</w:t>
      </w:r>
    </w:p>
    <w:p w:rsidR="00423561" w:rsidRDefault="00423561" w:rsidP="003A69AE">
      <w:pPr>
        <w:pStyle w:val="ListBullet"/>
      </w:pPr>
      <w:r>
        <w:t>The non-inferiority of GAD compared with MAG was established if the lower 95% confidence limit was larger than -1.2, equivalent to a two-sample t-test with a non-inferiority margin of 1.2 and a one-sided significance level of 0.025.</w:t>
      </w:r>
    </w:p>
    <w:p w:rsidR="00423561" w:rsidRDefault="00423561" w:rsidP="003A69AE">
      <w:r>
        <w:t>Based on these assumptions, a total sample size of 324 patients (162 in each group) had 99% power. Assuming a 10% exclusion rate, the planned study population was 360 patients with 180 patients in each group.</w:t>
      </w:r>
    </w:p>
    <w:p w:rsidR="00423561" w:rsidRDefault="00423561" w:rsidP="003A69AE">
      <w:pPr>
        <w:pStyle w:val="Heading6"/>
        <w:rPr>
          <w:kern w:val="16"/>
          <w:szCs w:val="20"/>
        </w:rPr>
      </w:pPr>
      <w:bookmarkStart w:id="119" w:name="_Toc393351168"/>
      <w:r>
        <w:lastRenderedPageBreak/>
        <w:t>Statistical methods</w:t>
      </w:r>
      <w:bookmarkEnd w:id="119"/>
    </w:p>
    <w:p w:rsidR="00423561" w:rsidRDefault="00423561" w:rsidP="003A69AE">
      <w:r>
        <w:t>Statistical evaluation was performed using SAS 9.1 or higher. Scores for each variable were averaged across lesions by patient and by investigator/blinded reader, respectively. The total scores of three primary variables by investigator/blinded reader were used for secondary analyses of primary variables. The 95% CI of the difference of the total scores of the average blinded reader between GAD and MAG were calculated for the FAS and PPS. Descriptive statistics of the total scores were shown for the PPS by study groups. The number of lesions, detection of malignant lesions, MR diagnosis, and confidence in diagnosis for the PPS were analysed descriptively. Differences in the number of lesions detected between combined MR images and unenhanced MR images for the PPS were analysed descriptively.  Matching of the MR diagnosis with the SOR for the PPS was calculated by the investigator, blinded readers and study groups. Sensitivity and specificity for detection of malignant lesions compared to the SOR were calculated by the investigator, blinded readers and study groups.  Non-inferiority of GAD to MAG was assumed if the lower confidence limit of the di</w:t>
      </w:r>
      <w:r w:rsidR="00CA5E4C">
        <w:t>fference was greater than -1.2.</w:t>
      </w:r>
    </w:p>
    <w:p w:rsidR="00423561" w:rsidRDefault="00423561" w:rsidP="003A69AE">
      <w:pPr>
        <w:pStyle w:val="Heading6"/>
        <w:rPr>
          <w:kern w:val="16"/>
          <w:szCs w:val="20"/>
        </w:rPr>
      </w:pPr>
      <w:bookmarkStart w:id="120" w:name="_Toc393351169"/>
      <w:r>
        <w:t>Participant flow</w:t>
      </w:r>
      <w:bookmarkEnd w:id="120"/>
    </w:p>
    <w:p w:rsidR="00423561" w:rsidRDefault="00423561" w:rsidP="003A69AE">
      <w:r>
        <w:t xml:space="preserve">A total of 380 patients were enrolled of whom 370 patients were randomised (185 in each group). A total of 363 patients completed the study (178 GAD, 185 MAG). Seven patients in the GAD group were withdrawn before receiving the study drug, due to withdrawal of consent in 5 patients. Additional details are shown below in </w:t>
      </w:r>
      <w:r w:rsidR="00C355A7">
        <w:t>Figure 1</w:t>
      </w:r>
      <w:r>
        <w:t>.</w:t>
      </w:r>
    </w:p>
    <w:p w:rsidR="00423561" w:rsidRDefault="00423561" w:rsidP="003A69AE">
      <w:pPr>
        <w:pStyle w:val="FigureTitle"/>
        <w:rPr>
          <w:kern w:val="16"/>
          <w:szCs w:val="24"/>
        </w:rPr>
      </w:pPr>
      <w:bookmarkStart w:id="121" w:name="_Toc393351290"/>
      <w:r>
        <w:t xml:space="preserve">Figure </w:t>
      </w:r>
      <w:r w:rsidR="00C355A7">
        <w:t>1: Participant flow</w:t>
      </w:r>
      <w:bookmarkEnd w:id="121"/>
    </w:p>
    <w:p w:rsidR="00423561" w:rsidRDefault="00423561" w:rsidP="00CA5E4C">
      <w:r>
        <w:rPr>
          <w:noProof/>
          <w:lang w:eastAsia="en-AU"/>
        </w:rPr>
        <w:drawing>
          <wp:inline distT="0" distB="0" distL="0" distR="0" wp14:anchorId="5D61CDA2" wp14:editId="0C1A9A38">
            <wp:extent cx="3703704" cy="2903038"/>
            <wp:effectExtent l="0" t="0" r="0" b="0"/>
            <wp:docPr id="5" name="Picture 5" descr="Figure 1: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l="4167"/>
                    <a:stretch/>
                  </pic:blipFill>
                  <pic:spPr bwMode="auto">
                    <a:xfrm>
                      <a:off x="0" y="0"/>
                      <a:ext cx="3706608" cy="2905314"/>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3A69AE">
      <w:pPr>
        <w:pStyle w:val="Heading6"/>
        <w:rPr>
          <w:kern w:val="16"/>
          <w:szCs w:val="20"/>
        </w:rPr>
      </w:pPr>
      <w:bookmarkStart w:id="122" w:name="_Toc393351170"/>
      <w:r>
        <w:t>Major protocol violations/deviations</w:t>
      </w:r>
      <w:bookmarkEnd w:id="122"/>
    </w:p>
    <w:p w:rsidR="00423561" w:rsidRDefault="00423561" w:rsidP="003A69AE">
      <w:r>
        <w:t>A total of 79 patients (21.4%) had at least one minor protocol deviation and 15 (4.1%) patients had at least one major deviation. MRI procedure deviations were recorded in 10 patients: 3 patients were given excluded concomitant medications, and one patient had severe cardiovascular disease at entry. Two patients received &lt;90% or &gt;110% of the required dose. They were excluded from the PPS but included in the FAS.</w:t>
      </w:r>
    </w:p>
    <w:p w:rsidR="00423561" w:rsidRDefault="00423561" w:rsidP="003A69AE">
      <w:pPr>
        <w:pStyle w:val="Heading6"/>
        <w:rPr>
          <w:kern w:val="16"/>
          <w:szCs w:val="20"/>
        </w:rPr>
      </w:pPr>
      <w:bookmarkStart w:id="123" w:name="_Toc393351171"/>
      <w:r>
        <w:t>Baseline data</w:t>
      </w:r>
      <w:bookmarkEnd w:id="123"/>
    </w:p>
    <w:p w:rsidR="00423561" w:rsidRDefault="00423561" w:rsidP="003A69AE">
      <w:r>
        <w:t xml:space="preserve">The demographics and baseline characteristics of the 363 patients in the SAS </w:t>
      </w:r>
      <w:r w:rsidR="00C355A7">
        <w:t>indicated that a</w:t>
      </w:r>
      <w:r>
        <w:t xml:space="preserve">ll patients were Asian and the majority (52.3%) were female. Mean age was 55.6 years, mean height was 162.7 cm, and mean weight was 62.4 kg. The demographics were similar in the two </w:t>
      </w:r>
      <w:r>
        <w:lastRenderedPageBreak/>
        <w:t>treatment groups. A total of 82.1% of patients had a previous medical or surgical history (80.9% GAD, 83.2% MAG), and 66.1% had prior or concomitant medications (66.3% GA</w:t>
      </w:r>
      <w:r w:rsidR="00CA5E4C">
        <w:t>D, 65.9% MAG).</w:t>
      </w:r>
    </w:p>
    <w:p w:rsidR="00423561" w:rsidRDefault="00423561" w:rsidP="003A69AE">
      <w:pPr>
        <w:pStyle w:val="Heading6"/>
        <w:rPr>
          <w:kern w:val="16"/>
          <w:szCs w:val="20"/>
        </w:rPr>
      </w:pPr>
      <w:bookmarkStart w:id="124" w:name="_Toc393351172"/>
      <w:r>
        <w:t>Results for the primary efficacy outcome</w:t>
      </w:r>
      <w:bookmarkEnd w:id="124"/>
    </w:p>
    <w:p w:rsidR="00423561" w:rsidRDefault="00423561" w:rsidP="003A69AE">
      <w:r>
        <w:t>The primary efficacy analysis was based on the difference in the mean (± SD) total scores of three visualisation parameters between GAD (9.39 ± 1.06) and MAG (9.34 ± 1.23) for the PPS as assessed by the average blinded reader. The mean difference between the total scores for the PPS was 0.05 ± 1.15 (95% CI: -0.195, 0.298). The non-inferiority of GAD to MAG was confirmed as the lower bound of the 95% CI was greater than -1.2</w:t>
      </w:r>
      <w:r w:rsidR="002A489E">
        <w:t>.</w:t>
      </w:r>
    </w:p>
    <w:p w:rsidR="00423561" w:rsidRDefault="00423561" w:rsidP="003A69AE">
      <w:pPr>
        <w:pStyle w:val="Heading6"/>
        <w:rPr>
          <w:kern w:val="16"/>
          <w:szCs w:val="20"/>
        </w:rPr>
      </w:pPr>
      <w:bookmarkStart w:id="125" w:name="_Toc393351173"/>
      <w:r>
        <w:t>Results for other efficacy outcomes</w:t>
      </w:r>
      <w:bookmarkEnd w:id="125"/>
    </w:p>
    <w:p w:rsidR="00423561" w:rsidRDefault="00423561" w:rsidP="003A69AE">
      <w:r>
        <w:t>In the PPS, the mean total scores of the three visualisation parameters on combined images were  9.27–9.59 for GAD and 9.19–9.68 for MAG for each blinded reader, and 9.35 for GAD and 9.31 for MAG for the investigator. The lower bounds of the 95% CIs of the differences were -0.375 or above for each blinded reader, and -0.300 for the investigator. The lower bounds of the CIs of the differences were greater than -1.2 for each blinded reader and the investigator so non-inferiority was confirmed. The results of the FAS were similar to the PPS. In the FAS, the total scores on combined images were 9.38 ± 1.07 for GAD and 9.36 ± 1.22 for MAG for the average blinded reader, and 9.38 for GAD and 9.31 for MAG for the investigator. For each blinded reader, the total scores were 9.27-9.58 for GAD and 9.21-9.68 for MAG. The lower limit of the 95% CIs of the difference was -0.213 for the average blinded reader, a</w:t>
      </w:r>
      <w:r w:rsidR="00CA5E4C">
        <w:t>nd -0.260 for the investigator.</w:t>
      </w:r>
    </w:p>
    <w:p w:rsidR="00423561" w:rsidRDefault="00423561" w:rsidP="003A69AE">
      <w:r>
        <w:t xml:space="preserve">Inter-reader variability within the same patient and modality was tested by measuring the intra-class correlation coefficient (ICC) on the PPS (a value of 1 indicating perfect agreement and a value of 0 indicating no agreement). The ICC value for the total score of the three visualisation parameters was 0.558 for GAD and 0.504 for MAG among the blinded readers. The value on the unenhanced images was 0.525 which is considered to represent fair to good agreement. The total scores of the three visualisation parameters on unenhanced and combined images </w:t>
      </w:r>
      <w:r w:rsidR="002A489E">
        <w:t>were shown</w:t>
      </w:r>
      <w:r>
        <w:t xml:space="preserve">. For the average blinded reader, the mean total scores increased by 2.77 after enhancement for GAD and 2.91 for MAG, and the results were consistent between the three blinded readers and the investigator. Scores of contrast enhancement on unenhanced and combined images showed comparable results between GAD and MAG for the blinded readers and the investigator for each </w:t>
      </w:r>
      <w:r w:rsidRPr="003E7AB8">
        <w:t xml:space="preserve">primary variable. For the PPS, the mean scores for degree of contrast enhancement, border delineation, and internal morphology are summarised in Tables </w:t>
      </w:r>
      <w:r w:rsidR="00393D12">
        <w:t>3</w:t>
      </w:r>
      <w:r w:rsidR="003E7AB8" w:rsidRPr="003E7AB8">
        <w:t>-</w:t>
      </w:r>
      <w:r w:rsidR="00393D12">
        <w:t>5</w:t>
      </w:r>
      <w:r w:rsidRPr="003E7AB8">
        <w:t>. Overall, the results were comparable</w:t>
      </w:r>
      <w:r>
        <w:t xml:space="preserve"> between GAD and MAG for the blinded readers and the investigator.</w:t>
      </w:r>
    </w:p>
    <w:p w:rsidR="002A489E" w:rsidRDefault="003E7AB8" w:rsidP="003A69AE">
      <w:pPr>
        <w:pStyle w:val="Tabletitle"/>
      </w:pPr>
      <w:bookmarkStart w:id="126" w:name="_Ref393278455"/>
      <w:bookmarkStart w:id="127" w:name="_Toc393351315"/>
      <w:r>
        <w:t xml:space="preserve">Table </w:t>
      </w:r>
      <w:r w:rsidR="00393D12">
        <w:t>3</w:t>
      </w:r>
      <w:r>
        <w:t>:</w:t>
      </w:r>
      <w:r w:rsidR="002A489E">
        <w:t xml:space="preserve"> Study 13297</w:t>
      </w:r>
      <w:bookmarkEnd w:id="126"/>
      <w:bookmarkEnd w:id="127"/>
      <w:r>
        <w:t xml:space="preserve"> Degree of contract enhancement</w:t>
      </w:r>
    </w:p>
    <w:p w:rsidR="002A489E" w:rsidRDefault="002A489E" w:rsidP="002A489E">
      <w:pPr>
        <w:rPr>
          <w:b/>
        </w:rPr>
      </w:pPr>
      <w:r w:rsidRPr="004D2E64">
        <w:rPr>
          <w:b/>
          <w:noProof/>
          <w:lang w:eastAsia="en-AU"/>
        </w:rPr>
        <w:drawing>
          <wp:inline distT="0" distB="0" distL="0" distR="0" wp14:anchorId="739B0C11" wp14:editId="1E2ACB15">
            <wp:extent cx="4587368" cy="1728826"/>
            <wp:effectExtent l="0" t="0" r="0" b="0"/>
            <wp:docPr id="17" name="Picture 17" descr="Table 3: Study 13297 Degree of contract enh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l="3351" t="11699"/>
                    <a:stretch/>
                  </pic:blipFill>
                  <pic:spPr bwMode="auto">
                    <a:xfrm>
                      <a:off x="0" y="0"/>
                      <a:ext cx="4596332" cy="1732204"/>
                    </a:xfrm>
                    <a:prstGeom prst="rect">
                      <a:avLst/>
                    </a:prstGeom>
                    <a:noFill/>
                    <a:ln>
                      <a:noFill/>
                    </a:ln>
                    <a:extLst>
                      <a:ext uri="{53640926-AAD7-44D8-BBD7-CCE9431645EC}">
                        <a14:shadowObscured xmlns:a14="http://schemas.microsoft.com/office/drawing/2010/main"/>
                      </a:ext>
                    </a:extLst>
                  </pic:spPr>
                </pic:pic>
              </a:graphicData>
            </a:graphic>
          </wp:inline>
        </w:drawing>
      </w:r>
    </w:p>
    <w:p w:rsidR="002A489E" w:rsidRDefault="002A489E" w:rsidP="003A69AE">
      <w:pPr>
        <w:pStyle w:val="Tabletitle"/>
      </w:pPr>
      <w:bookmarkStart w:id="128" w:name="_Toc393351316"/>
      <w:r>
        <w:lastRenderedPageBreak/>
        <w:t xml:space="preserve">Table </w:t>
      </w:r>
      <w:r w:rsidR="00393D12">
        <w:t>4</w:t>
      </w:r>
      <w:r w:rsidR="003E7AB8">
        <w:t>:</w:t>
      </w:r>
      <w:r>
        <w:t xml:space="preserve"> Study 13297</w:t>
      </w:r>
      <w:bookmarkEnd w:id="128"/>
      <w:r w:rsidR="003E7AB8">
        <w:t xml:space="preserve"> Border delineation</w:t>
      </w:r>
    </w:p>
    <w:p w:rsidR="002A489E" w:rsidRDefault="002A489E" w:rsidP="002A489E">
      <w:pPr>
        <w:rPr>
          <w:b/>
        </w:rPr>
      </w:pPr>
      <w:r w:rsidRPr="004D2E64">
        <w:rPr>
          <w:b/>
          <w:noProof/>
          <w:lang w:eastAsia="en-AU"/>
        </w:rPr>
        <w:drawing>
          <wp:inline distT="0" distB="0" distL="0" distR="0" wp14:anchorId="6ABDB579" wp14:editId="0AE7E2CA">
            <wp:extent cx="4648840" cy="1838734"/>
            <wp:effectExtent l="0" t="0" r="0" b="0"/>
            <wp:docPr id="18" name="Picture 18" descr="Table 4: Study 13297 Border delin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l="3887" t="9277"/>
                    <a:stretch/>
                  </pic:blipFill>
                  <pic:spPr bwMode="auto">
                    <a:xfrm>
                      <a:off x="0" y="0"/>
                      <a:ext cx="4648209" cy="1838484"/>
                    </a:xfrm>
                    <a:prstGeom prst="rect">
                      <a:avLst/>
                    </a:prstGeom>
                    <a:noFill/>
                    <a:ln>
                      <a:noFill/>
                    </a:ln>
                    <a:extLst>
                      <a:ext uri="{53640926-AAD7-44D8-BBD7-CCE9431645EC}">
                        <a14:shadowObscured xmlns:a14="http://schemas.microsoft.com/office/drawing/2010/main"/>
                      </a:ext>
                    </a:extLst>
                  </pic:spPr>
                </pic:pic>
              </a:graphicData>
            </a:graphic>
          </wp:inline>
        </w:drawing>
      </w:r>
    </w:p>
    <w:p w:rsidR="002A489E" w:rsidRDefault="002A489E" w:rsidP="003A69AE">
      <w:pPr>
        <w:pStyle w:val="Tabletitle"/>
      </w:pPr>
      <w:bookmarkStart w:id="129" w:name="_Ref393278458"/>
      <w:bookmarkStart w:id="130" w:name="_Toc393351317"/>
      <w:r>
        <w:t xml:space="preserve">Table </w:t>
      </w:r>
      <w:r w:rsidR="00393D12">
        <w:t>5</w:t>
      </w:r>
      <w:r w:rsidR="003E7AB8">
        <w:t xml:space="preserve">: </w:t>
      </w:r>
      <w:r>
        <w:t>Study 13297</w:t>
      </w:r>
      <w:bookmarkEnd w:id="129"/>
      <w:bookmarkEnd w:id="130"/>
      <w:r w:rsidR="003E7AB8">
        <w:t xml:space="preserve"> Internal morphology PPS</w:t>
      </w:r>
    </w:p>
    <w:p w:rsidR="002A489E" w:rsidRDefault="008D1EC1" w:rsidP="002A489E">
      <w:pPr>
        <w:rPr>
          <w:b/>
        </w:rPr>
      </w:pPr>
      <w:r>
        <w:rPr>
          <w:noProof/>
          <w:lang w:eastAsia="en-AU"/>
        </w:rPr>
        <mc:AlternateContent>
          <mc:Choice Requires="wps">
            <w:drawing>
              <wp:anchor distT="0" distB="0" distL="114300" distR="114300" simplePos="0" relativeHeight="251661312" behindDoc="0" locked="0" layoutInCell="1" allowOverlap="1" wp14:anchorId="7CF40E36" wp14:editId="39D21B9D">
                <wp:simplePos x="0" y="0"/>
                <wp:positionH relativeFrom="column">
                  <wp:posOffset>-163195</wp:posOffset>
                </wp:positionH>
                <wp:positionV relativeFrom="paragraph">
                  <wp:posOffset>57150</wp:posOffset>
                </wp:positionV>
                <wp:extent cx="1142365" cy="192405"/>
                <wp:effectExtent l="0" t="0" r="635"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92405"/>
                        </a:xfrm>
                        <a:prstGeom prst="rect">
                          <a:avLst/>
                        </a:prstGeom>
                        <a:solidFill>
                          <a:srgbClr val="FFFFFF"/>
                        </a:solidFill>
                        <a:ln w="9525">
                          <a:noFill/>
                          <a:miter lim="800000"/>
                          <a:headEnd/>
                          <a:tailEnd/>
                        </a:ln>
                      </wps:spPr>
                      <wps:txbx>
                        <w:txbxContent>
                          <w:p w:rsidR="00C80674" w:rsidRDefault="00C80674" w:rsidP="002A48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85pt;margin-top:4.5pt;width:89.9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" stroked="f">
                <v:textbox>
                  <w:txbxContent>
                    <w:p w:rsidR="00C80674" w:rsidRDefault="00C80674" w:rsidP="002A489E"/>
                  </w:txbxContent>
                </v:textbox>
              </v:shape>
            </w:pict>
          </mc:Fallback>
        </mc:AlternateContent>
      </w:r>
      <w:r w:rsidR="002A489E" w:rsidRPr="004D2E64">
        <w:rPr>
          <w:b/>
          <w:noProof/>
          <w:lang w:eastAsia="en-AU"/>
        </w:rPr>
        <w:drawing>
          <wp:inline distT="0" distB="0" distL="0" distR="0" wp14:anchorId="4C7A2263" wp14:editId="04860D54">
            <wp:extent cx="4902413" cy="1807373"/>
            <wp:effectExtent l="0" t="0" r="0" b="0"/>
            <wp:docPr id="19" name="Picture 19" descr="Table 5: Study 13297 Internal morphology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3491" t="10312" b="6875"/>
                    <a:stretch/>
                  </pic:blipFill>
                  <pic:spPr bwMode="auto">
                    <a:xfrm>
                      <a:off x="0" y="0"/>
                      <a:ext cx="4909645" cy="1810039"/>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3A69AE">
      <w:r>
        <w:t xml:space="preserve">In the PPS, the number of lesions per patient detected on unenhanced and combined images for each </w:t>
      </w:r>
      <w:proofErr w:type="gramStart"/>
      <w:r>
        <w:t>reader</w:t>
      </w:r>
      <w:r w:rsidR="00C355A7">
        <w:t>,</w:t>
      </w:r>
      <w:proofErr w:type="gramEnd"/>
      <w:r>
        <w:t xml:space="preserve"> </w:t>
      </w:r>
      <w:r w:rsidR="002A489E">
        <w:t>were</w:t>
      </w:r>
      <w:r>
        <w:t xml:space="preserve"> shown. For the average blinded reader, the numbers of lesions detected were 3.26 ± 4.90 for GAD and 3.05 ± 4.24 for MAG on combined images and the results were consistent across the three blinded readers. The numbers of contrast-enhanced lesions were 1.89 ± 3.59 for GAD and 2.05 ± 2.93 for MAG and the results were consistent across readers. The number and proportions of patients whose MR diagnosis matched the SOR on unenhanced and combined images </w:t>
      </w:r>
      <w:r w:rsidR="002A489E">
        <w:t>were</w:t>
      </w:r>
      <w:r>
        <w:t xml:space="preserve"> shown. For the average reader, the proportions of patients with an exact match were 64.7% for GAD and 66.1% for MAG on combined images, and the results were consistent acros</w:t>
      </w:r>
      <w:r w:rsidR="00CA5E4C">
        <w:t>s readers and the investigator.</w:t>
      </w:r>
    </w:p>
    <w:p w:rsidR="00423561" w:rsidRDefault="00423561" w:rsidP="003A69AE">
      <w:r>
        <w:t xml:space="preserve">In the PPS, the sensitivity for the detection of malignant lesions compared to the SOR on unenhanced and combined images </w:t>
      </w:r>
      <w:r w:rsidR="002A489E">
        <w:t>was</w:t>
      </w:r>
      <w:r>
        <w:t xml:space="preserve"> summarised. For the average blinded reader, the sensitivity on combined images was 81.7% for GAD and 82.2% for MAG, with consistent results across readers and the investigator. The specificity for the detection of malignant lesions </w:t>
      </w:r>
      <w:r w:rsidR="002A489E">
        <w:t>was</w:t>
      </w:r>
      <w:r>
        <w:t xml:space="preserve"> shown. For the average blinded reader, the specificity on combined images was 81.8% for GAD and 78.4% for MAG and the results were consistent across readers. Confidence in diagnosis was evaluated for each patient by each blinded reader and the investigator. The proportion of patients with an evaluation of ‘confident’ or ‘very confident’ in the diagnosis was between 47.6% and 68.5% for GAD and between 50.0% and 72</w:t>
      </w:r>
      <w:r w:rsidR="00CA5E4C">
        <w:t>.5% for MAG on combined images.</w:t>
      </w:r>
    </w:p>
    <w:p w:rsidR="00423561" w:rsidRDefault="00423561" w:rsidP="003A69AE">
      <w:r>
        <w:t xml:space="preserve">The sensitivities by body region on combined images ranged from 68.3% for the abdomen and 100% for the kidney for </w:t>
      </w:r>
      <w:proofErr w:type="gramStart"/>
      <w:r>
        <w:t>GAD,</w:t>
      </w:r>
      <w:proofErr w:type="gramEnd"/>
      <w:r>
        <w:t xml:space="preserve"> and between 56.1% for the extremities and 98.3% for the kidney for MAG. The mean increases in the sensitivities from unenhanced images were higher for the breast (23.3% for GAD and 16.7% for MAG) compared with other regions (0.0% to 9.8% for GAD and -5.3% to 13.3% for MAG). The specificities on combined images were lower for the breast (33.3% for GAD and 27.8% for MAG) compared to the other regions (80.6% to 90.2% for GAD and 78.8% to 90.9% for MAG). The mean increases in the specificities from the unenhanced </w:t>
      </w:r>
      <w:r>
        <w:lastRenderedPageBreak/>
        <w:t xml:space="preserve">images were lower for the breast (-29.2% for GAD and -33.3% for MAG) compared with other regions (-13.3% to 11.1% for </w:t>
      </w:r>
      <w:r w:rsidR="00CA5E4C">
        <w:t>GAD and -9.1% to 0.0% for MAG).</w:t>
      </w:r>
    </w:p>
    <w:p w:rsidR="00423561" w:rsidRDefault="00423561" w:rsidP="003A69AE">
      <w:r>
        <w:t xml:space="preserve">Scores for border delineation on unenhanced and combined images and their differences in the PPS </w:t>
      </w:r>
      <w:r w:rsidR="00FB4322">
        <w:t>were</w:t>
      </w:r>
      <w:r>
        <w:t xml:space="preserve"> shown. The average blinded reader score was 3.61 ± 0.45 for GAD and 3.46 ± 0.61 for MAG. Mean scores for the three readers ranged from 3.55 to 3.66 for GAD and from 3.37 to 3.65 for MAG. The results were similar for GAD and MAG for the blinded readers and the investigator. Scores for internal morphology on unenhanced and combined images and their differences in the PPS </w:t>
      </w:r>
      <w:r w:rsidR="00FB4322">
        <w:t>were</w:t>
      </w:r>
      <w:r>
        <w:t xml:space="preserve"> shown. The differences between the scores for GAD and MAG were broadly similar.</w:t>
      </w:r>
    </w:p>
    <w:p w:rsidR="00423561" w:rsidRDefault="00423561" w:rsidP="003A69AE">
      <w:r>
        <w:t>Subgroup analyses of primary and secondary efficacy variables were conducted by country, body region, country and body region, gender, age, and malignancy by SOR. There were differences by country in total scores of visualisation parameters but there were no meaningful differences between GAD and MAG. In general, the results of the subgroup analyses were consistent with the overall results and confirmed non-inferiority of GAD compared with MAG.</w:t>
      </w:r>
    </w:p>
    <w:p w:rsidR="00423561" w:rsidRDefault="00423561" w:rsidP="003A69AE">
      <w:pPr>
        <w:ind w:left="720"/>
      </w:pPr>
      <w:r w:rsidRPr="00CA5E4C">
        <w:rPr>
          <w:b/>
        </w:rPr>
        <w:t>Comment:</w:t>
      </w:r>
      <w:r>
        <w:t xml:space="preserve"> The conclusions of the study confirm non-inferiority of GAD compared with MAG in different body regions. The study was well designed and conducted and particular care was taken to ensure consistent, blinded MRI reading. The primary efficacy endpoint was based on the difference between GAD and MAG in the total scores of three visualisation parameters in the PPS (degree of contrast enhancement, border delineation and internal morphology) as assessed by the average blinded reader. The non-inferiority margin was pre-defined as the lower confidence interval of the difference greater than -1.2 between GAD and MAG. The lower limit was greater than -1.2 for each of the three blinded readers and the investigator for the PPS and for the FAS. Evaluations of the secondary variables were consistent with the primary analysis and there were no meaningful differences in patient subgroups. Compared with unenhanced images, both contrast agents increased visualisation and diagnostic precision and no meaningful differences between GAD and MAG were observed. Differences in sensitivity and specificity between various body areas were observed. However, the diagnostic performance of GAD and MAG we</w:t>
      </w:r>
      <w:r w:rsidR="00CA5E4C">
        <w:t>re comparable for each region.</w:t>
      </w:r>
    </w:p>
    <w:p w:rsidR="00423561" w:rsidRPr="003E7AB8" w:rsidRDefault="00423561" w:rsidP="00CA5E4C">
      <w:pPr>
        <w:ind w:left="720"/>
      </w:pPr>
      <w:r>
        <w:t xml:space="preserve">The study was performed in an exclusively Asian population but no racial differences have been observed in previous studies and the results can be extrapolated to other racial groups. A </w:t>
      </w:r>
      <w:r w:rsidRPr="003E7AB8">
        <w:t>further justification for this conclusion based on the ICH E5 guideline is provided by the sponsor in Table</w:t>
      </w:r>
      <w:r w:rsidR="00393D12">
        <w:t xml:space="preserve"> 6</w:t>
      </w:r>
      <w:r w:rsidRPr="003E7AB8">
        <w:t>.</w:t>
      </w:r>
    </w:p>
    <w:p w:rsidR="00FB4322" w:rsidRDefault="00FB4322" w:rsidP="003A69AE">
      <w:pPr>
        <w:pStyle w:val="Tabletitle"/>
      </w:pPr>
      <w:bookmarkStart w:id="131" w:name="_Ref393278484"/>
      <w:bookmarkStart w:id="132" w:name="_Toc393351327"/>
      <w:r>
        <w:lastRenderedPageBreak/>
        <w:t xml:space="preserve">Table </w:t>
      </w:r>
      <w:r w:rsidR="00393D12">
        <w:t>6</w:t>
      </w:r>
      <w:r w:rsidR="003E7AB8">
        <w:t xml:space="preserve">: </w:t>
      </w:r>
      <w:r>
        <w:t>Study 13297</w:t>
      </w:r>
      <w:bookmarkEnd w:id="131"/>
      <w:bookmarkEnd w:id="132"/>
      <w:r w:rsidR="003E7AB8">
        <w:t xml:space="preserve"> ICH Guideline</w:t>
      </w:r>
    </w:p>
    <w:p w:rsidR="003E7AB8" w:rsidRPr="003E7AB8" w:rsidRDefault="003E7AB8" w:rsidP="003E7AB8">
      <w:r>
        <w:rPr>
          <w:noProof/>
          <w:lang w:eastAsia="en-AU"/>
        </w:rPr>
        <w:drawing>
          <wp:inline distT="0" distB="0" distL="0" distR="0" wp14:anchorId="25BA0F6E" wp14:editId="6DEEC67A">
            <wp:extent cx="4072538" cy="4979120"/>
            <wp:effectExtent l="0" t="0" r="0" b="0"/>
            <wp:docPr id="6" name="Picture 6" descr="Table 6: Study 13297 ICH Guid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701"/>
                    <a:stretch/>
                  </pic:blipFill>
                  <pic:spPr bwMode="auto">
                    <a:xfrm>
                      <a:off x="0" y="0"/>
                      <a:ext cx="4072538" cy="4979120"/>
                    </a:xfrm>
                    <a:prstGeom prst="rect">
                      <a:avLst/>
                    </a:prstGeom>
                    <a:ln>
                      <a:noFill/>
                    </a:ln>
                    <a:extLst>
                      <a:ext uri="{53640926-AAD7-44D8-BBD7-CCE9431645EC}">
                        <a14:shadowObscured xmlns:a14="http://schemas.microsoft.com/office/drawing/2010/main"/>
                      </a:ext>
                    </a:extLst>
                  </pic:spPr>
                </pic:pic>
              </a:graphicData>
            </a:graphic>
          </wp:inline>
        </w:drawing>
      </w:r>
    </w:p>
    <w:p w:rsidR="00423561" w:rsidRDefault="00423561" w:rsidP="003A69AE">
      <w:pPr>
        <w:pStyle w:val="Heading5"/>
        <w:rPr>
          <w:kern w:val="16"/>
          <w:szCs w:val="20"/>
        </w:rPr>
      </w:pPr>
      <w:bookmarkStart w:id="133" w:name="_Toc290846276"/>
      <w:bookmarkStart w:id="134" w:name="_Toc393351174"/>
      <w:r>
        <w:t>Study 91743</w:t>
      </w:r>
      <w:bookmarkEnd w:id="133"/>
      <w:r>
        <w:t xml:space="preserve"> (GEMMA-1)</w:t>
      </w:r>
      <w:bookmarkEnd w:id="134"/>
    </w:p>
    <w:p w:rsidR="00423561" w:rsidRDefault="00423561" w:rsidP="003A69AE">
      <w:pPr>
        <w:pStyle w:val="Heading6"/>
      </w:pPr>
      <w:bookmarkStart w:id="135" w:name="_Toc393351175"/>
      <w:r>
        <w:t>Study design, objectives, locations and dates</w:t>
      </w:r>
      <w:bookmarkEnd w:id="135"/>
    </w:p>
    <w:p w:rsidR="00423561" w:rsidRDefault="00423561" w:rsidP="003A69AE">
      <w:r>
        <w:t xml:space="preserve">This was a </w:t>
      </w:r>
      <w:r w:rsidR="00F5645D">
        <w:t>Phase III</w:t>
      </w:r>
      <w:r>
        <w:t xml:space="preserve">, multi-centre, open-label, non-randomised study with blinded image evaluations. It was conducted at 28 centres in 7 countries (Columbia, Finland, Germany, Italy, S. Korea, Switzerland and the USA) and completed in March 2012. It was designed to demonstrate superiority of the within-patient sensitivity of combined unenhanced and GAD-enhanced MRM (CMRM) over unenhanced MRM (UMRM). It was also designed to demonstrate the specificity of CMRM in the detection of malignant versus non-malignant breast lesions. It was planned to enrol at least 440 patients with up to 60 patients at each centre. Patients with recently diagnosed histologically confirmed breast cancer after XRM were referred for breast MRI prior to breast surgery. Breast MRIs were performed using modern 1.5T scanners with dedicated breast coils to enable bilateral breast imaging. Patients received an unenhanced breast MRI, followed by a GAD-enhanced MRI. Unenhanced MRIs (consisting of T2- and T1-weighted 3D spoiled gradient echo pulse sequence) were performed, followed by GAD-enhanced scans (5 acquisitions of T1-weighted 3D spoiled gradient echo pulse sequence </w:t>
      </w:r>
      <w:r w:rsidR="00CA5E4C">
        <w:t>with acquisition time ~60 sec).</w:t>
      </w:r>
    </w:p>
    <w:p w:rsidR="00423561" w:rsidRDefault="00423561" w:rsidP="003A69AE">
      <w:r>
        <w:t xml:space="preserve">The patients stayed at the study centre for at least one hour after the MRM examination before being discharged. After 24 hours, the patients returned to the centre for a safety review. Ultrasound examinations were scheduled for patients assessed as disease free as soon as </w:t>
      </w:r>
      <w:r>
        <w:lastRenderedPageBreak/>
        <w:t>possible after the study MRM, and before any further follow-up and subsequent breast biopsy or surgery. The study ended with the 24 hour follow-up with patients not scheduled for ultrasound investigation, and after the ultrasound investigation for patients who received them.</w:t>
      </w:r>
    </w:p>
    <w:p w:rsidR="00423561" w:rsidRDefault="00423561" w:rsidP="00423561">
      <w:pPr>
        <w:autoSpaceDE w:val="0"/>
        <w:autoSpaceDN w:val="0"/>
        <w:adjustRightInd w:val="0"/>
      </w:pPr>
      <w:r>
        <w:t xml:space="preserve">UMRM, CMRM and XRM image sets were evaluated in a randomised fashion by three independent, blinded readers. After evaluation of UMRM, the data were locked and evaluation of the respective XRM was performed together with UMRM. Evaluation of CMRM was then performed, followed by data lock and evaluation of CMRM and XRM. For all examinations, the evaluations of the left and right breasts were performed by regions (5 regions in each breast: 4 quadrants and the central region including nipple) as </w:t>
      </w:r>
      <w:r w:rsidRPr="003E7AB8">
        <w:t xml:space="preserve">illustrated in Figure </w:t>
      </w:r>
      <w:r w:rsidR="003E7AB8" w:rsidRPr="003E7AB8">
        <w:t>2</w:t>
      </w:r>
      <w:r w:rsidRPr="003E7AB8">
        <w:t>. For each</w:t>
      </w:r>
      <w:r>
        <w:t xml:space="preserve"> breast region, an assessment of the presence or absence of malignancy was made. If suspected malignancy was detected, an assessment of whether it was </w:t>
      </w:r>
      <w:proofErr w:type="spellStart"/>
      <w:r>
        <w:t>unifocal</w:t>
      </w:r>
      <w:proofErr w:type="spellEnd"/>
      <w:r>
        <w:t xml:space="preserve"> or multifocal was made. The definition of disease status was assessed using the American College of Radiology (ACR) Breast Imaging Reporting and Data System (BI-RADS) lexicon for interpretation of MRM and XRM examinations. All suspect lesions detected by MRI were required to be verified histologically. Otherwise, each breast region was assessed as disease free, either with no pathology or with a benign lesion. For regions evaluated as non-diseased without a histological confirmation, additional ultrasound evaluation was performed to confirm the MRM findings. Suspicious ultrasound findings were required to be verified histologically. The standard of truth (</w:t>
      </w:r>
      <w:proofErr w:type="spellStart"/>
      <w:r>
        <w:t>SoT</w:t>
      </w:r>
      <w:proofErr w:type="spellEnd"/>
      <w:r>
        <w:t>) for the diagnostic performance of GAD-enhanced MRM was the final consensus assessment by an independent committee of two experienced breast cancer physicians who were</w:t>
      </w:r>
      <w:r w:rsidR="00CA5E4C">
        <w:t xml:space="preserve"> not affiliated with the study.</w:t>
      </w:r>
    </w:p>
    <w:p w:rsidR="003E7AB8" w:rsidRDefault="003E7AB8" w:rsidP="003A69AE">
      <w:pPr>
        <w:pStyle w:val="FigureTitle"/>
      </w:pPr>
      <w:r>
        <w:t>Figure 2: Example for alignment of a lesion by the blinded reader.</w:t>
      </w:r>
    </w:p>
    <w:p w:rsidR="00FB4322" w:rsidRDefault="00FB4322" w:rsidP="003A69AE">
      <w:r w:rsidRPr="0073761D">
        <w:rPr>
          <w:noProof/>
          <w:lang w:eastAsia="en-AU"/>
        </w:rPr>
        <w:drawing>
          <wp:inline distT="0" distB="0" distL="0" distR="0" wp14:anchorId="7C411626" wp14:editId="67FBBC4B">
            <wp:extent cx="3401563" cy="4172431"/>
            <wp:effectExtent l="0" t="0" r="0" b="0"/>
            <wp:docPr id="27" name="Picture 27" descr="Figure 2: Example for alignment of a lesion by the blinded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lum bright="-20000" contrast="40000"/>
                      <a:extLst>
                        <a:ext uri="{28A0092B-C50C-407E-A947-70E740481C1C}">
                          <a14:useLocalDpi xmlns:a14="http://schemas.microsoft.com/office/drawing/2010/main" val="0"/>
                        </a:ext>
                      </a:extLst>
                    </a:blip>
                    <a:srcRect l="4735" t="4268" b="1219"/>
                    <a:stretch/>
                  </pic:blipFill>
                  <pic:spPr bwMode="auto">
                    <a:xfrm>
                      <a:off x="0" y="0"/>
                      <a:ext cx="3401563" cy="4172431"/>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3A69AE">
      <w:pPr>
        <w:pStyle w:val="Heading6"/>
        <w:rPr>
          <w:kern w:val="16"/>
          <w:szCs w:val="20"/>
        </w:rPr>
      </w:pPr>
      <w:bookmarkStart w:id="136" w:name="_Toc393351176"/>
      <w:r>
        <w:t>Inclusion and exclusion criteria</w:t>
      </w:r>
      <w:bookmarkEnd w:id="136"/>
    </w:p>
    <w:p w:rsidR="00423561" w:rsidRDefault="00423561" w:rsidP="003A69AE">
      <w:r>
        <w:t xml:space="preserve">The key inclusion criteria were: female or male patients of any ethnicity aged at least 18 years; recent histologically proven breast cancer identified after XRM of both breasts (according to </w:t>
      </w:r>
      <w:r>
        <w:lastRenderedPageBreak/>
        <w:t xml:space="preserve">ACR and performed no longer than 6 weeks prior to enrolment); and </w:t>
      </w:r>
      <w:proofErr w:type="spellStart"/>
      <w:r>
        <w:t>eGFR</w:t>
      </w:r>
      <w:proofErr w:type="spellEnd"/>
      <w:r>
        <w:t xml:space="preserve"> ≥60 ml/min/1.73m</w:t>
      </w:r>
      <w:r>
        <w:rPr>
          <w:vertAlign w:val="superscript"/>
        </w:rPr>
        <w:t>2</w:t>
      </w:r>
      <w:r>
        <w:t>. The key exclusion criteria were pregnant or lactating females; any recent other investigational products; contra-indications to MRM; a history of severe allergic or anaphylactic reactions; any contrast agent within the previous 24 hours; clinically unstable; severe cardiovascular disease; acute or chronic renal impairment; chemotherapy or hormonal therapy for breast cancer within the previous 6 months; hormone replacement therapy within 4 weeks before study drug administration; scheduled or likely to require surgery and/or biopsy within 24 hours of study drug administration; and prior excisional biopsy or breast surgery in the 6 months before enrolment and between XRM and study MRM.</w:t>
      </w:r>
    </w:p>
    <w:p w:rsidR="00423561" w:rsidRDefault="00423561" w:rsidP="003A69AE">
      <w:pPr>
        <w:pStyle w:val="Heading6"/>
        <w:rPr>
          <w:kern w:val="16"/>
          <w:szCs w:val="20"/>
        </w:rPr>
      </w:pPr>
      <w:bookmarkStart w:id="137" w:name="_Toc393351177"/>
      <w:r>
        <w:t>Study treatments</w:t>
      </w:r>
      <w:bookmarkEnd w:id="137"/>
    </w:p>
    <w:p w:rsidR="00423561" w:rsidRDefault="00423561" w:rsidP="003A69AE">
      <w:r>
        <w:t xml:space="preserve">All patients received the same treatment, a single dose of </w:t>
      </w:r>
      <w:proofErr w:type="spellStart"/>
      <w:r>
        <w:t>gadobutrol</w:t>
      </w:r>
      <w:proofErr w:type="spellEnd"/>
      <w:r>
        <w:t xml:space="preserve"> </w:t>
      </w:r>
      <w:proofErr w:type="gramStart"/>
      <w:r>
        <w:t xml:space="preserve">0.1 </w:t>
      </w:r>
      <w:proofErr w:type="spellStart"/>
      <w:r>
        <w:t>mmol</w:t>
      </w:r>
      <w:proofErr w:type="spellEnd"/>
      <w:r>
        <w:t>/kg BW given via an intravenous catheter</w:t>
      </w:r>
      <w:proofErr w:type="gramEnd"/>
      <w:r>
        <w:t>.</w:t>
      </w:r>
    </w:p>
    <w:p w:rsidR="00423561" w:rsidRDefault="00423561" w:rsidP="003A69AE">
      <w:pPr>
        <w:pStyle w:val="Heading6"/>
        <w:rPr>
          <w:kern w:val="16"/>
          <w:szCs w:val="20"/>
        </w:rPr>
      </w:pPr>
      <w:bookmarkStart w:id="138" w:name="_Toc393351178"/>
      <w:r>
        <w:t>Efficacy variables and outcomes</w:t>
      </w:r>
      <w:bookmarkEnd w:id="138"/>
    </w:p>
    <w:p w:rsidR="00423561" w:rsidRDefault="00423561" w:rsidP="003A69AE">
      <w:r>
        <w:t>The main efficacy variables were defined by matching the readers’ assessments for each breast region (by imaging modality) to th</w:t>
      </w:r>
      <w:r w:rsidR="00FB4322">
        <w:t xml:space="preserve">e corresponding </w:t>
      </w:r>
      <w:proofErr w:type="spellStart"/>
      <w:r w:rsidR="00FB4322">
        <w:t>SoT</w:t>
      </w:r>
      <w:proofErr w:type="spellEnd"/>
      <w:r w:rsidR="00FB4322">
        <w:t xml:space="preserve"> assessment</w:t>
      </w:r>
      <w:r>
        <w:t xml:space="preserve">. For each region there were three choices: no malignant disease, </w:t>
      </w:r>
      <w:proofErr w:type="spellStart"/>
      <w:r>
        <w:t>unifocal</w:t>
      </w:r>
      <w:proofErr w:type="spellEnd"/>
      <w:r>
        <w:t xml:space="preserve"> malignant disease, or multifocal malignant disease present. The value of the primary efficacy variable was determined for each breast region by whether or not the category chosen by the imaging modality matched the disease state determined to be correct by the </w:t>
      </w:r>
      <w:proofErr w:type="spellStart"/>
      <w:r>
        <w:t>SoT</w:t>
      </w:r>
      <w:proofErr w:type="spellEnd"/>
      <w:r>
        <w:t>.</w:t>
      </w:r>
    </w:p>
    <w:p w:rsidR="00423561" w:rsidRDefault="00423561" w:rsidP="003A69AE">
      <w:r>
        <w:t>The co-primary efficacy outcomes were (1) to demonstrate the superiority of within-patient sensitivity of combined unenhanced and GAD-enhanced MRM (CMRM) over unenhanced MRM (UMRM), and (2) to demonstrate the breast level specificity of CMRM, based on non-malignant breasts, greater than a performance threshold of 80%.</w:t>
      </w:r>
    </w:p>
    <w:p w:rsidR="00423561" w:rsidRDefault="00423561" w:rsidP="003A69AE">
      <w:r>
        <w:t>Other efficacy outcomes included:</w:t>
      </w:r>
    </w:p>
    <w:p w:rsidR="00423561" w:rsidRDefault="00423561" w:rsidP="003A69AE">
      <w:pPr>
        <w:pStyle w:val="ListBullet"/>
      </w:pPr>
      <w:r>
        <w:t>Breast level specificity of CMRM, based on malignant breasts, greater than a performance threshold of 50%.</w:t>
      </w:r>
    </w:p>
    <w:p w:rsidR="00423561" w:rsidRDefault="00423561" w:rsidP="003A69AE">
      <w:pPr>
        <w:pStyle w:val="ListBullet"/>
      </w:pPr>
      <w:r>
        <w:t>Detection of index cancers using CMRM compared with XRM, UMRM, and CMRM + XRM based on a patient level.</w:t>
      </w:r>
    </w:p>
    <w:p w:rsidR="00423561" w:rsidRDefault="00423561" w:rsidP="003A69AE">
      <w:pPr>
        <w:pStyle w:val="ListBullet"/>
      </w:pPr>
      <w:r>
        <w:t>Detection of additional cancer using CMRM compared with XRM, UMRM, and CMRM + XRM based on a patient level.</w:t>
      </w:r>
    </w:p>
    <w:p w:rsidR="00423561" w:rsidRDefault="00423561" w:rsidP="003A69AE">
      <w:pPr>
        <w:pStyle w:val="Heading6"/>
        <w:rPr>
          <w:kern w:val="16"/>
          <w:szCs w:val="20"/>
        </w:rPr>
      </w:pPr>
      <w:bookmarkStart w:id="139" w:name="_Toc393351179"/>
      <w:r>
        <w:t>Randomisation and blinding methods</w:t>
      </w:r>
      <w:bookmarkEnd w:id="139"/>
    </w:p>
    <w:p w:rsidR="00423561" w:rsidRDefault="00423561" w:rsidP="003A69AE">
      <w:r>
        <w:t>All patients received the same open-label treatment.</w:t>
      </w:r>
    </w:p>
    <w:p w:rsidR="00423561" w:rsidRDefault="00423561" w:rsidP="003A69AE">
      <w:pPr>
        <w:pStyle w:val="Heading6"/>
        <w:rPr>
          <w:kern w:val="16"/>
          <w:szCs w:val="20"/>
        </w:rPr>
      </w:pPr>
      <w:bookmarkStart w:id="140" w:name="_Toc393351180"/>
      <w:r>
        <w:t>Analysis populations</w:t>
      </w:r>
      <w:bookmarkEnd w:id="140"/>
    </w:p>
    <w:p w:rsidR="00423561" w:rsidRDefault="00423561" w:rsidP="003A69AE">
      <w:r>
        <w:t xml:space="preserve">A total of 440 enrolled patients </w:t>
      </w:r>
      <w:proofErr w:type="gramStart"/>
      <w:r>
        <w:t>was</w:t>
      </w:r>
      <w:proofErr w:type="gramEnd"/>
      <w:r>
        <w:t xml:space="preserve"> planned. Efficacy evaluations were performed using the FAS and PPS. Patients were included in the FAS if they had a valid </w:t>
      </w:r>
      <w:proofErr w:type="spellStart"/>
      <w:r>
        <w:t>SoT</w:t>
      </w:r>
      <w:proofErr w:type="spellEnd"/>
      <w:r>
        <w:t xml:space="preserve"> for at least one variable breast region as well as UMRM and CMRM evaluated by three independent blinded readers. Patients were excluded if the XRM was not available. The PPS included those patients who also fulfilled all major protocol requirements. Patients were excluded from the PPS for violation of inclusion/exclusion criteria; a GAD dose &lt;90% or &gt;110% of the required dose; MRM procedure errors; or invalid </w:t>
      </w:r>
      <w:proofErr w:type="spellStart"/>
      <w:r>
        <w:t>SoT</w:t>
      </w:r>
      <w:proofErr w:type="spellEnd"/>
      <w:r>
        <w:t xml:space="preserve"> procedures. The safety analysis set (SAF) consisted of all patients who received any dosage of GAD. A total of 446 patients were screened, 426 patients were included in the SAF, 390 (87.4%) patients were included in the FAS, and 335 (75.1%) patients were included in the PPS.</w:t>
      </w:r>
    </w:p>
    <w:p w:rsidR="00423561" w:rsidRDefault="00423561" w:rsidP="003A69AE">
      <w:pPr>
        <w:pStyle w:val="Heading6"/>
        <w:rPr>
          <w:kern w:val="16"/>
          <w:szCs w:val="20"/>
        </w:rPr>
      </w:pPr>
      <w:bookmarkStart w:id="141" w:name="_Toc393351181"/>
      <w:r>
        <w:t>Sample size</w:t>
      </w:r>
      <w:bookmarkEnd w:id="141"/>
    </w:p>
    <w:p w:rsidR="00423561" w:rsidRDefault="00423561" w:rsidP="003A69AE">
      <w:r>
        <w:t xml:space="preserve">The sample size was based on a 2-tailed clustered </w:t>
      </w:r>
      <w:proofErr w:type="spellStart"/>
      <w:r>
        <w:t>McNemar</w:t>
      </w:r>
      <w:proofErr w:type="spellEnd"/>
      <w:r>
        <w:t xml:space="preserve"> test at the 0.05 significance level. A sample size of 365 patients was required for 80% power, using the estimates of 0.70 and 0.62 </w:t>
      </w:r>
      <w:r>
        <w:lastRenderedPageBreak/>
        <w:t>for categorical accuracy for CMRM plus XRM and UMRM plus XRM, respectively, a correlation ϕ=0.10, and a substantial intra-class correlation coefficient of 0.70 for the breast regions within each patient. An additional 75 patients were planned to account for patients who did not meet the criteria for efficacy analysis.</w:t>
      </w:r>
    </w:p>
    <w:p w:rsidR="00423561" w:rsidRDefault="00423561" w:rsidP="003A69AE">
      <w:pPr>
        <w:pStyle w:val="Heading6"/>
        <w:rPr>
          <w:kern w:val="16"/>
          <w:szCs w:val="20"/>
        </w:rPr>
      </w:pPr>
      <w:bookmarkStart w:id="142" w:name="_Toc393351182"/>
      <w:r>
        <w:t>Statistical methods</w:t>
      </w:r>
      <w:bookmarkEnd w:id="142"/>
    </w:p>
    <w:p w:rsidR="00423561" w:rsidRDefault="00423561" w:rsidP="003A69AE">
      <w:r>
        <w:t xml:space="preserve">Statistical analyses were performed using SAS 9.2 or later. Efficacy data were analysed using the FAS with additional sensitivity analyses using the PPS. All statistical tests were 2-sided at the 0.05 significance level with 2-sided 95% CIs based on the </w:t>
      </w:r>
      <w:proofErr w:type="spellStart"/>
      <w:r>
        <w:t>McNemar</w:t>
      </w:r>
      <w:proofErr w:type="spellEnd"/>
      <w:r>
        <w:t xml:space="preserve"> test. Sensitivity and specificity were defined as TP</w:t>
      </w:r>
      <w:proofErr w:type="gramStart"/>
      <w:r>
        <w:t>/(</w:t>
      </w:r>
      <w:proofErr w:type="gramEnd"/>
      <w:r>
        <w:t>TP+FN) and TN/(TN+FP), respectively ( TP = true positive, TN = true negative, FP = false positive and FN = false negative). The evaluation was based on the derived majority response of the three readers. For continuous variables, the arithmetic mean of the responses from the three readers was used. Separate analyses were performed for data from the investigators and each of the blinded readers. The primary efficacy variable and key safety variables were analysed by country, age and race (all patients were female). No imputations were made for efficacy or safety assessments, and uninterpretable images were excluded from the evaluations.</w:t>
      </w:r>
    </w:p>
    <w:p w:rsidR="00423561" w:rsidRDefault="00423561" w:rsidP="003A69AE">
      <w:pPr>
        <w:pStyle w:val="Heading6"/>
        <w:rPr>
          <w:kern w:val="16"/>
          <w:szCs w:val="20"/>
        </w:rPr>
      </w:pPr>
      <w:bookmarkStart w:id="143" w:name="_Toc393351183"/>
      <w:r>
        <w:t>Participant flow</w:t>
      </w:r>
      <w:bookmarkEnd w:id="143"/>
    </w:p>
    <w:p w:rsidR="00423561" w:rsidRDefault="00423561" w:rsidP="003A69AE">
      <w:r>
        <w:t xml:space="preserve">As shown </w:t>
      </w:r>
      <w:r w:rsidRPr="00C355A7">
        <w:t xml:space="preserve">in Figure </w:t>
      </w:r>
      <w:r w:rsidR="00EF17C2">
        <w:t>3</w:t>
      </w:r>
      <w:r w:rsidRPr="00C355A7">
        <w:t>,</w:t>
      </w:r>
      <w:r>
        <w:t xml:space="preserve"> 446 patients were screened, 426 patients were treated and included in the safety analysis set (SAF), and 424 patients completed the study. There were 20 screening failures and two patients withdrew prematurely.</w:t>
      </w:r>
    </w:p>
    <w:p w:rsidR="00423561" w:rsidRDefault="00423561" w:rsidP="00C355A7">
      <w:pPr>
        <w:pStyle w:val="FigureTitle"/>
        <w:keepNext/>
      </w:pPr>
      <w:bookmarkStart w:id="144" w:name="_Toc393351291"/>
      <w:r>
        <w:t xml:space="preserve">Figure </w:t>
      </w:r>
      <w:r w:rsidR="008D19AC">
        <w:t>3</w:t>
      </w:r>
      <w:r w:rsidR="00C355A7">
        <w:t>:</w:t>
      </w:r>
      <w:bookmarkEnd w:id="144"/>
      <w:r w:rsidR="00C355A7">
        <w:t xml:space="preserve"> Participant flow</w:t>
      </w:r>
    </w:p>
    <w:p w:rsidR="00423561" w:rsidRDefault="00423561" w:rsidP="003A69AE">
      <w:r>
        <w:rPr>
          <w:noProof/>
          <w:lang w:eastAsia="en-AU"/>
        </w:rPr>
        <w:drawing>
          <wp:inline distT="0" distB="0" distL="0" distR="0" wp14:anchorId="3F737944" wp14:editId="4BFFEE62">
            <wp:extent cx="3920579" cy="3488552"/>
            <wp:effectExtent l="0" t="0" r="0" b="0"/>
            <wp:docPr id="4" name="Picture 4" descr="Figure 3: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l="5578"/>
                    <a:stretch/>
                  </pic:blipFill>
                  <pic:spPr bwMode="auto">
                    <a:xfrm>
                      <a:off x="0" y="0"/>
                      <a:ext cx="3922188" cy="3489984"/>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3A69AE">
      <w:pPr>
        <w:pStyle w:val="Heading6"/>
        <w:rPr>
          <w:kern w:val="16"/>
          <w:szCs w:val="20"/>
        </w:rPr>
      </w:pPr>
      <w:bookmarkStart w:id="145" w:name="_Toc393351184"/>
      <w:r>
        <w:t>Major protocol violations/deviations</w:t>
      </w:r>
      <w:bookmarkEnd w:id="145"/>
    </w:p>
    <w:p w:rsidR="00423561" w:rsidRDefault="00423561" w:rsidP="003A69AE">
      <w:r>
        <w:t xml:space="preserve">Protocol deviations were recorded in 338 (79.3%) of the 426 patients who received GAD. Major protocol deviations were identified in 82 (19.2%) patients. These included procedure deviations in 10.6% of patients (most commonly related to post-contrast images); inclusion/exclusion errors in 8.5% of patients; and treatment deviations in 3.3% of patients. In the SAF, 96.7% of patients received GAD within ± 10% of the prescribed dose. Ten patients </w:t>
      </w:r>
      <w:r>
        <w:lastRenderedPageBreak/>
        <w:t>(2.3%) received doses 10% more than the prescribed dose and one patient received less than 90%.</w:t>
      </w:r>
    </w:p>
    <w:p w:rsidR="00423561" w:rsidRDefault="00423561" w:rsidP="003A69AE">
      <w:pPr>
        <w:pStyle w:val="Heading6"/>
        <w:rPr>
          <w:kern w:val="16"/>
          <w:szCs w:val="20"/>
        </w:rPr>
      </w:pPr>
      <w:bookmarkStart w:id="146" w:name="_Toc393351185"/>
      <w:r>
        <w:t>Baseline data</w:t>
      </w:r>
      <w:bookmarkEnd w:id="146"/>
    </w:p>
    <w:p w:rsidR="00423561" w:rsidRDefault="00423561" w:rsidP="003A69AE">
      <w:r>
        <w:t>There were no meaningful differences between the analysis sets. In the SAF, all patients were female with recently diagnosed breast cancer. Most patients were recruited in Germany and S. Korea. The majority were White (75.1%) and 24.2% were Asian. The mean age was 55.5 years, mean body weight was 68.8 kg, mean BMI was 25.9 kg/m</w:t>
      </w:r>
      <w:r>
        <w:rPr>
          <w:vertAlign w:val="superscript"/>
        </w:rPr>
        <w:t>2</w:t>
      </w:r>
      <w:r>
        <w:t xml:space="preserve">, and the mean </w:t>
      </w:r>
      <w:proofErr w:type="spellStart"/>
      <w:r>
        <w:t>eGFR</w:t>
      </w:r>
      <w:proofErr w:type="spellEnd"/>
      <w:r>
        <w:t xml:space="preserve"> was 91.6 ml/min/1.73m</w:t>
      </w:r>
      <w:r>
        <w:rPr>
          <w:vertAlign w:val="superscript"/>
        </w:rPr>
        <w:t>2</w:t>
      </w:r>
      <w:r>
        <w:t xml:space="preserve"> (range 54-180). The distribution of malignancies in each of the five breast regions (as </w:t>
      </w:r>
      <w:r w:rsidRPr="008D19AC">
        <w:t xml:space="preserve">illustrated in Figure </w:t>
      </w:r>
      <w:r w:rsidR="00FB4C5F">
        <w:t>2</w:t>
      </w:r>
      <w:r w:rsidR="00FB4C5F" w:rsidRPr="008D19AC">
        <w:t xml:space="preserve"> </w:t>
      </w:r>
      <w:r w:rsidR="008D19AC" w:rsidRPr="008D19AC">
        <w:t>above</w:t>
      </w:r>
      <w:r w:rsidRPr="008D19AC">
        <w:t xml:space="preserve">) is shown in Table </w:t>
      </w:r>
      <w:r w:rsidR="00393D12">
        <w:t>7</w:t>
      </w:r>
      <w:r w:rsidRPr="008D19AC">
        <w:t>. Most</w:t>
      </w:r>
      <w:r>
        <w:t xml:space="preserve"> patients had a medical (84.3%) and surgical history (69.0%).</w:t>
      </w:r>
    </w:p>
    <w:p w:rsidR="00FB4322" w:rsidRDefault="00FB4322" w:rsidP="00EC7C15">
      <w:pPr>
        <w:pStyle w:val="Tabletitle"/>
      </w:pPr>
      <w:bookmarkStart w:id="147" w:name="_Ref393278520"/>
      <w:bookmarkStart w:id="148" w:name="_Toc393351334"/>
      <w:r>
        <w:t xml:space="preserve">Table </w:t>
      </w:r>
      <w:r w:rsidR="00393D12">
        <w:t>7</w:t>
      </w:r>
      <w:r w:rsidR="008D19AC">
        <w:t>:</w:t>
      </w:r>
      <w:r>
        <w:t xml:space="preserve"> Study 91743</w:t>
      </w:r>
      <w:bookmarkEnd w:id="147"/>
      <w:bookmarkEnd w:id="148"/>
      <w:r w:rsidR="008D19AC">
        <w:t xml:space="preserve"> Referral diagnosis</w:t>
      </w:r>
    </w:p>
    <w:p w:rsidR="00FB4322" w:rsidRDefault="00FB4322" w:rsidP="00423561">
      <w:pPr>
        <w:autoSpaceDE w:val="0"/>
        <w:autoSpaceDN w:val="0"/>
        <w:adjustRightInd w:val="0"/>
      </w:pPr>
      <w:r w:rsidRPr="00491719">
        <w:rPr>
          <w:b/>
          <w:noProof/>
          <w:lang w:eastAsia="en-AU"/>
        </w:rPr>
        <w:drawing>
          <wp:inline distT="0" distB="0" distL="0" distR="0" wp14:anchorId="346906C9" wp14:editId="3C36170D">
            <wp:extent cx="4456740" cy="1166563"/>
            <wp:effectExtent l="0" t="0" r="0" b="0"/>
            <wp:docPr id="32" name="Picture 32" descr="Table 7: Study 91743 Referral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l="11179" t="12152"/>
                    <a:stretch/>
                  </pic:blipFill>
                  <pic:spPr bwMode="auto">
                    <a:xfrm>
                      <a:off x="0" y="0"/>
                      <a:ext cx="4456261" cy="1166438"/>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EC7C15">
      <w:pPr>
        <w:pStyle w:val="Heading6"/>
        <w:rPr>
          <w:kern w:val="16"/>
          <w:szCs w:val="20"/>
        </w:rPr>
      </w:pPr>
      <w:bookmarkStart w:id="149" w:name="_Toc393351186"/>
      <w:r>
        <w:t>Results for the primary efficacy outcome</w:t>
      </w:r>
      <w:bookmarkEnd w:id="149"/>
    </w:p>
    <w:p w:rsidR="008D19AC" w:rsidRPr="008D19AC" w:rsidRDefault="00423561" w:rsidP="00EC7C15">
      <w:r>
        <w:t xml:space="preserve">A summary of the within-patient sensitivity for the detection of malignancy for CMRM and UMRM in the FAS is </w:t>
      </w:r>
      <w:r w:rsidRPr="008D19AC">
        <w:t xml:space="preserve">shown in Table </w:t>
      </w:r>
      <w:r w:rsidR="00393D12">
        <w:t>8</w:t>
      </w:r>
      <w:r w:rsidRPr="008D19AC">
        <w:t>.</w:t>
      </w:r>
    </w:p>
    <w:p w:rsidR="008D19AC" w:rsidRDefault="008D19AC" w:rsidP="00EC7C15">
      <w:pPr>
        <w:pStyle w:val="Tabletitle"/>
      </w:pPr>
      <w:bookmarkStart w:id="150" w:name="_Ref393278522"/>
      <w:bookmarkStart w:id="151" w:name="_Toc393351335"/>
      <w:r>
        <w:t xml:space="preserve">Table </w:t>
      </w:r>
      <w:r w:rsidR="00393D12">
        <w:t>8</w:t>
      </w:r>
      <w:r>
        <w:t>: Study 91743</w:t>
      </w:r>
      <w:bookmarkEnd w:id="150"/>
      <w:bookmarkEnd w:id="151"/>
      <w:r>
        <w:t xml:space="preserve"> Comparison of within patient sensitivity for detection of malignant disease of CMRM versus UMRM by reader (FAS)</w:t>
      </w:r>
    </w:p>
    <w:p w:rsidR="008D19AC" w:rsidRDefault="008D19AC" w:rsidP="008D19AC">
      <w:pPr>
        <w:rPr>
          <w:b/>
        </w:rPr>
      </w:pPr>
      <w:r w:rsidRPr="002655DA">
        <w:rPr>
          <w:b/>
          <w:noProof/>
          <w:lang w:eastAsia="en-AU"/>
        </w:rPr>
        <w:drawing>
          <wp:inline distT="0" distB="0" distL="0" distR="0" wp14:anchorId="021F12E3" wp14:editId="7D2434AD">
            <wp:extent cx="4794837" cy="1118216"/>
            <wp:effectExtent l="0" t="0" r="0" b="0"/>
            <wp:docPr id="33" name="Picture 33" descr="Table 8: Study 91743 Comparison of within patient sensitivity for detection of malignant disease of CMRM versus UMRM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lum bright="-20000" contrast="40000"/>
                      <a:extLst>
                        <a:ext uri="{28A0092B-C50C-407E-A947-70E740481C1C}">
                          <a14:useLocalDpi xmlns:a14="http://schemas.microsoft.com/office/drawing/2010/main" val="0"/>
                        </a:ext>
                      </a:extLst>
                    </a:blip>
                    <a:srcRect l="4410" t="19927"/>
                    <a:stretch/>
                  </pic:blipFill>
                  <pic:spPr bwMode="auto">
                    <a:xfrm>
                      <a:off x="0" y="0"/>
                      <a:ext cx="4792080" cy="1117573"/>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EC7C15">
      <w:r>
        <w:t xml:space="preserve">For each patient the proportion of malignant breast regions that were recognised as malignant using either CMRM or UMRM was determined and the means were calculated across all patients. Superiority of within-patient sensitivity of CMRM over UMRM was demonstrated independent of the blinded reader. With CMRM, within-patient sensitivities were 83.2%, 79.9% and 86.7% for the three blinded readers while the corresponding values for UMRM were 36.6%, 49.1% and 63.4%. The differences in favour of CMRM ranged from 23.3% to 46.6% for the blinded readers compared with 17.8% for the investigator. The null hypothesis was excluded as the lower bound of the 95% CI was larger than zero for each reader. The results of the PPS were similar with differences in favour of CMRM ranging from 23.7% to 48.4%. The specificity of CMRM on a breast level based on non-malignant breasts was greater than the pre-defined 80% threshold. As </w:t>
      </w:r>
      <w:r w:rsidRPr="008D19AC">
        <w:t xml:space="preserve">shown in Table </w:t>
      </w:r>
      <w:r w:rsidR="00393D12">
        <w:t>9</w:t>
      </w:r>
      <w:r w:rsidRPr="008D19AC">
        <w:t>, the lower</w:t>
      </w:r>
      <w:r>
        <w:t xml:space="preserve"> bound of the 95% CI was &gt;80% for all blinded readers in the FAS.</w:t>
      </w:r>
    </w:p>
    <w:p w:rsidR="00393D12" w:rsidRDefault="00FB4322" w:rsidP="00197E85">
      <w:pPr>
        <w:pStyle w:val="Tabletitle"/>
      </w:pPr>
      <w:bookmarkStart w:id="152" w:name="_Ref393278524"/>
      <w:bookmarkStart w:id="153" w:name="_Toc393351336"/>
      <w:r>
        <w:lastRenderedPageBreak/>
        <w:t xml:space="preserve">Table </w:t>
      </w:r>
      <w:r w:rsidR="00393D12">
        <w:t>9</w:t>
      </w:r>
      <w:r w:rsidR="008D19AC">
        <w:t>:</w:t>
      </w:r>
      <w:r>
        <w:t xml:space="preserve"> Study 91743</w:t>
      </w:r>
      <w:bookmarkEnd w:id="152"/>
      <w:bookmarkEnd w:id="153"/>
      <w:r w:rsidR="008D19AC">
        <w:t xml:space="preserve"> Breast level specificity of CMRM for non-malignant breast by reader (FAS)</w:t>
      </w:r>
    </w:p>
    <w:p w:rsidR="00FB4322" w:rsidRDefault="00FB4322" w:rsidP="00CA5E4C">
      <w:r w:rsidRPr="00FD19BA">
        <w:rPr>
          <w:noProof/>
          <w:lang w:eastAsia="en-AU"/>
        </w:rPr>
        <w:drawing>
          <wp:inline distT="0" distB="0" distL="0" distR="0" wp14:anchorId="7105C31D" wp14:editId="051B2075">
            <wp:extent cx="4747805" cy="1137237"/>
            <wp:effectExtent l="0" t="0" r="0" b="0"/>
            <wp:docPr id="34" name="Picture 34" descr="Table 9: Study 91743 Breast level specificity of CMRM for non-malignant breast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2152" t="23299"/>
                    <a:stretch/>
                  </pic:blipFill>
                  <pic:spPr bwMode="auto">
                    <a:xfrm>
                      <a:off x="0" y="0"/>
                      <a:ext cx="4751950" cy="1138230"/>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7F1693">
      <w:pPr>
        <w:pStyle w:val="Heading6"/>
        <w:rPr>
          <w:kern w:val="16"/>
          <w:szCs w:val="20"/>
        </w:rPr>
      </w:pPr>
      <w:bookmarkStart w:id="154" w:name="_Toc393351187"/>
      <w:r>
        <w:t>Results for other efficacy outcomes</w:t>
      </w:r>
      <w:bookmarkEnd w:id="154"/>
    </w:p>
    <w:p w:rsidR="00FB4322" w:rsidRPr="008D19AC" w:rsidRDefault="00423561" w:rsidP="007F1693">
      <w:r>
        <w:t xml:space="preserve">In the FAS, breast-level specificity based on malignant breasts was greater than the pre-defined threshold of 50% for the three blinded readers with lower bounds for the 95% CI of 58.5%, 59.4% and 61.1%. Index cancers were defined as the regions confirmed as malignant by histology upon enrolment into the study. The proportions of patients with detected index cancers are </w:t>
      </w:r>
      <w:r w:rsidRPr="008D19AC">
        <w:t xml:space="preserve">shown in Figure </w:t>
      </w:r>
      <w:r w:rsidR="008D19AC" w:rsidRPr="008D19AC">
        <w:t>4</w:t>
      </w:r>
      <w:r w:rsidRPr="008D19AC">
        <w:t xml:space="preserve"> and Table </w:t>
      </w:r>
      <w:r w:rsidR="008D19AC" w:rsidRPr="008D19AC">
        <w:t>1</w:t>
      </w:r>
      <w:r w:rsidR="00393D12">
        <w:t>0</w:t>
      </w:r>
      <w:r w:rsidR="00CA5E4C">
        <w:t>.</w:t>
      </w:r>
    </w:p>
    <w:p w:rsidR="00FB4322" w:rsidRDefault="00FB4322" w:rsidP="007F1693">
      <w:pPr>
        <w:pStyle w:val="FigureTitle"/>
      </w:pPr>
      <w:bookmarkStart w:id="155" w:name="_Ref393278528"/>
      <w:bookmarkStart w:id="156" w:name="_Toc393351338"/>
      <w:r>
        <w:t xml:space="preserve">Figure </w:t>
      </w:r>
      <w:r w:rsidR="008D19AC">
        <w:t>4:</w:t>
      </w:r>
      <w:r>
        <w:t xml:space="preserve"> Study 91743</w:t>
      </w:r>
      <w:bookmarkEnd w:id="155"/>
      <w:bookmarkEnd w:id="156"/>
      <w:r w:rsidR="008D19AC">
        <w:t xml:space="preserve"> Patient level detection of index cancer by imaging modality and by reader (FAS)</w:t>
      </w:r>
    </w:p>
    <w:p w:rsidR="00FB4322" w:rsidRDefault="00FB4322" w:rsidP="00CA5E4C">
      <w:r w:rsidRPr="00ED5665">
        <w:rPr>
          <w:noProof/>
          <w:lang w:eastAsia="en-AU"/>
        </w:rPr>
        <w:drawing>
          <wp:inline distT="0" distB="0" distL="0" distR="0" wp14:anchorId="7CB8D1C9" wp14:editId="59550F71">
            <wp:extent cx="3949593" cy="2370690"/>
            <wp:effectExtent l="0" t="0" r="0" b="0"/>
            <wp:docPr id="36" name="Picture 36" descr="Figure 4: Study 91743 Patient level detection of index cancer by imaging modality and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2751" t="12619"/>
                    <a:stretch/>
                  </pic:blipFill>
                  <pic:spPr bwMode="auto">
                    <a:xfrm>
                      <a:off x="0" y="0"/>
                      <a:ext cx="3951311" cy="2371721"/>
                    </a:xfrm>
                    <a:prstGeom prst="rect">
                      <a:avLst/>
                    </a:prstGeom>
                    <a:noFill/>
                    <a:ln>
                      <a:noFill/>
                    </a:ln>
                    <a:extLst>
                      <a:ext uri="{53640926-AAD7-44D8-BBD7-CCE9431645EC}">
                        <a14:shadowObscured xmlns:a14="http://schemas.microsoft.com/office/drawing/2010/main"/>
                      </a:ext>
                    </a:extLst>
                  </pic:spPr>
                </pic:pic>
              </a:graphicData>
            </a:graphic>
          </wp:inline>
        </w:drawing>
      </w:r>
    </w:p>
    <w:p w:rsidR="00FB4322" w:rsidRDefault="00FB4322" w:rsidP="007F1693">
      <w:pPr>
        <w:pStyle w:val="Tabletitle"/>
      </w:pPr>
      <w:bookmarkStart w:id="157" w:name="_Ref393278530"/>
      <w:bookmarkStart w:id="158" w:name="_Toc393351339"/>
      <w:r>
        <w:lastRenderedPageBreak/>
        <w:t xml:space="preserve">Table </w:t>
      </w:r>
      <w:r w:rsidR="008D19AC">
        <w:t>1</w:t>
      </w:r>
      <w:r w:rsidR="00393D12">
        <w:t>0</w:t>
      </w:r>
      <w:r w:rsidR="008D19AC">
        <w:t xml:space="preserve">: </w:t>
      </w:r>
      <w:r>
        <w:t>Study 91743</w:t>
      </w:r>
      <w:bookmarkEnd w:id="157"/>
      <w:bookmarkEnd w:id="158"/>
      <w:r w:rsidR="008D19AC">
        <w:t xml:space="preserve"> Patient level detection of index cancer by imaging modality and by reader (FAS)</w:t>
      </w:r>
    </w:p>
    <w:p w:rsidR="00FB4322" w:rsidRDefault="00FB4322" w:rsidP="00CA5E4C">
      <w:r w:rsidRPr="00ED5665">
        <w:rPr>
          <w:noProof/>
          <w:lang w:eastAsia="en-AU"/>
        </w:rPr>
        <w:drawing>
          <wp:inline distT="0" distB="0" distL="0" distR="0" wp14:anchorId="2F3E52D2" wp14:editId="04FC03EE">
            <wp:extent cx="4047976" cy="3250347"/>
            <wp:effectExtent l="0" t="0" r="0" b="0"/>
            <wp:docPr id="37" name="Picture 37" descr="Table 10: Study 91743 Patient level detection of index cancer by imaging modality and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l="4702" t="7720"/>
                    <a:stretch/>
                  </pic:blipFill>
                  <pic:spPr bwMode="auto">
                    <a:xfrm>
                      <a:off x="0" y="0"/>
                      <a:ext cx="4045649" cy="3248478"/>
                    </a:xfrm>
                    <a:prstGeom prst="rect">
                      <a:avLst/>
                    </a:prstGeom>
                    <a:noFill/>
                    <a:ln>
                      <a:noFill/>
                    </a:ln>
                    <a:extLst>
                      <a:ext uri="{53640926-AAD7-44D8-BBD7-CCE9431645EC}">
                        <a14:shadowObscured xmlns:a14="http://schemas.microsoft.com/office/drawing/2010/main"/>
                      </a:ext>
                    </a:extLst>
                  </pic:spPr>
                </pic:pic>
              </a:graphicData>
            </a:graphic>
          </wp:inline>
        </w:drawing>
      </w:r>
    </w:p>
    <w:p w:rsidR="00FB4322" w:rsidRDefault="00423561" w:rsidP="007F1693">
      <w:r>
        <w:t xml:space="preserve">The best detection rates were obtained for CMRM (81.2%, 84.3% and 86.9%) and CMRM + XRM (84.3%, 84.6% and 87.2%) compared with UMRM only (68.1%, 71.7% and 72.5%). The differences in favour of CMRM compared to UMRM were 21.5%, 30.9% and 47.9% for the three readers. The differences were statistically significant as the 95% CI for the comparisons excluded zero for all three blinded readers. Additional cancers were defined as cancers not detected at screening but detected subsequently according to </w:t>
      </w:r>
      <w:proofErr w:type="spellStart"/>
      <w:r>
        <w:t>SoT</w:t>
      </w:r>
      <w:proofErr w:type="spellEnd"/>
      <w:r>
        <w:t xml:space="preserve">. The numbers and proportions of patients with at least one additional cancer detected by imaging modality are </w:t>
      </w:r>
      <w:r w:rsidRPr="008D19AC">
        <w:t xml:space="preserve">shown in Table </w:t>
      </w:r>
      <w:r w:rsidR="008D19AC" w:rsidRPr="008D19AC">
        <w:t>1</w:t>
      </w:r>
      <w:r w:rsidR="00393D12">
        <w:t>1</w:t>
      </w:r>
      <w:r w:rsidRPr="008D19AC">
        <w:t>. The</w:t>
      </w:r>
      <w:r>
        <w:t xml:space="preserve"> best detection rates were obtained with CMRM (63.2%, 56.3% and 65.5%) and CMRM + XRM (65.5%, 56.3% and 65.5%) compared with UMRM (20.7%, 31.0% and 27.6%). The differences in favour of CMRM compared with UMRM ranged from 25.3% to 42.5%. The differences were statistically significant as the lower bound of the 95% CI</w:t>
      </w:r>
      <w:r w:rsidR="00CA5E4C">
        <w:t xml:space="preserve"> excluded zero for each reader.</w:t>
      </w:r>
    </w:p>
    <w:p w:rsidR="00FB4322" w:rsidRDefault="00FB4322" w:rsidP="007F1693">
      <w:pPr>
        <w:pStyle w:val="Tabletitle"/>
      </w:pPr>
      <w:bookmarkStart w:id="159" w:name="_Ref393278534"/>
      <w:bookmarkStart w:id="160" w:name="_Toc393351341"/>
      <w:r>
        <w:lastRenderedPageBreak/>
        <w:t xml:space="preserve">Table </w:t>
      </w:r>
      <w:r w:rsidR="008D19AC">
        <w:t>1</w:t>
      </w:r>
      <w:r w:rsidR="00393D12">
        <w:t>1</w:t>
      </w:r>
      <w:r w:rsidR="008D19AC">
        <w:t>:</w:t>
      </w:r>
      <w:r>
        <w:t xml:space="preserve"> Study 91743</w:t>
      </w:r>
      <w:bookmarkEnd w:id="159"/>
      <w:bookmarkEnd w:id="160"/>
      <w:r w:rsidR="008D19AC">
        <w:t xml:space="preserve"> Patient level detection of additional cancer by imaging modality and by reader (FAS)</w:t>
      </w:r>
    </w:p>
    <w:p w:rsidR="00FB4322" w:rsidRDefault="00FB4322" w:rsidP="00CA5E4C">
      <w:r w:rsidRPr="00F45B59">
        <w:rPr>
          <w:noProof/>
          <w:lang w:eastAsia="en-AU"/>
        </w:rPr>
        <w:drawing>
          <wp:inline distT="0" distB="0" distL="0" distR="0" wp14:anchorId="532F796E" wp14:editId="5F526519">
            <wp:extent cx="3795913" cy="3031945"/>
            <wp:effectExtent l="0" t="0" r="0" b="0"/>
            <wp:docPr id="39" name="Picture 39" descr="Table 11: Study 91743 Patient level detection of additional cancer by imaging modality and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l="2564" t="7912"/>
                    <a:stretch/>
                  </pic:blipFill>
                  <pic:spPr bwMode="auto">
                    <a:xfrm>
                      <a:off x="0" y="0"/>
                      <a:ext cx="3806242" cy="3040195"/>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Pr="008D19AC" w:rsidRDefault="00423561" w:rsidP="007F1693">
      <w:r>
        <w:t xml:space="preserve">The sensitivity and specificity rates for the detection of malignant disease </w:t>
      </w:r>
      <w:r w:rsidR="00FB4322">
        <w:t>were</w:t>
      </w:r>
      <w:r>
        <w:t xml:space="preserve"> shown. Sensitivity was based on 643 breast regions with malignant disease verified by the </w:t>
      </w:r>
      <w:proofErr w:type="spellStart"/>
      <w:r>
        <w:t>SoT</w:t>
      </w:r>
      <w:proofErr w:type="spellEnd"/>
      <w:r>
        <w:t xml:space="preserve">. Sensitivity rates were consistently higher with CMRM compared with UMRM and the results were statistically significant as the 95% CI excluded zero. For the detection of malignant disease, there was a significant improvement in sensitivity for CMRM compared with UMRM ranging from 25.2% to 44.3% for the three readers. Improved sensitivity rates were also seen for CMRM + XRM compared with XRM (ranging from 15.6% to 18.5%), and for CMRM + XRM compared with UMRM + XRM (ranging from 9.3% to 15.1%). For sensitivity, the median reader value was 83.2% compared with 49.1% for UMRM. Sensitivity for the detection of </w:t>
      </w:r>
      <w:proofErr w:type="spellStart"/>
      <w:r>
        <w:t>unifocal</w:t>
      </w:r>
      <w:proofErr w:type="spellEnd"/>
      <w:r>
        <w:t xml:space="preserve"> disease was 24.7% greater for CMRM compared with UMRM, and 31.3% greater for multifocal disease. The specificity to exclude the presence of malignant disease was based on 3240 breast regions with no disease. Specificity for CMRM compared with UMRM was -6.5%; -4.9% for CMRM + XRM compared with UMRM + XRM; and -4.3% for CMRM + XRM compared with XRM. Using CMRM or CMRM + XRM, specificity to rule out </w:t>
      </w:r>
      <w:proofErr w:type="spellStart"/>
      <w:r>
        <w:t>unifocal</w:t>
      </w:r>
      <w:proofErr w:type="spellEnd"/>
      <w:r>
        <w:t xml:space="preserve"> disease was 89% compared with 87% for multifocal disease. An overview of the key primary and secondary efficacy results for the comparison of CMRM versus UMRM is shown </w:t>
      </w:r>
      <w:r w:rsidRPr="008D19AC">
        <w:t xml:space="preserve">in Table </w:t>
      </w:r>
      <w:r w:rsidR="008D19AC" w:rsidRPr="008D19AC">
        <w:t>1</w:t>
      </w:r>
      <w:r w:rsidR="00393D12">
        <w:t>2</w:t>
      </w:r>
      <w:r w:rsidRPr="008D19AC">
        <w:t xml:space="preserve"> and Table </w:t>
      </w:r>
      <w:r w:rsidR="008D19AC" w:rsidRPr="008D19AC">
        <w:t>1</w:t>
      </w:r>
      <w:r w:rsidR="00393D12">
        <w:t>3</w:t>
      </w:r>
      <w:r w:rsidRPr="008D19AC">
        <w:t>.</w:t>
      </w:r>
    </w:p>
    <w:p w:rsidR="00FB4322" w:rsidRDefault="00FB4322" w:rsidP="007F1693">
      <w:pPr>
        <w:pStyle w:val="Tabletitle"/>
      </w:pPr>
      <w:bookmarkStart w:id="161" w:name="_Ref393278544"/>
      <w:bookmarkStart w:id="162" w:name="_Toc393351344"/>
      <w:r>
        <w:lastRenderedPageBreak/>
        <w:t xml:space="preserve">Table </w:t>
      </w:r>
      <w:r w:rsidR="008D19AC">
        <w:t>1</w:t>
      </w:r>
      <w:r w:rsidR="00393D12">
        <w:t>2</w:t>
      </w:r>
      <w:r w:rsidR="008D19AC">
        <w:t>:</w:t>
      </w:r>
      <w:r>
        <w:t xml:space="preserve"> Study 91743</w:t>
      </w:r>
      <w:bookmarkEnd w:id="161"/>
      <w:bookmarkEnd w:id="162"/>
      <w:r w:rsidR="008D19AC">
        <w:t xml:space="preserve"> Overview of efficacy results for CMRM versus UMRM on a patient level by reader (FAS)</w:t>
      </w:r>
    </w:p>
    <w:p w:rsidR="00FB4322" w:rsidRDefault="00FB4322" w:rsidP="00FB4322">
      <w:pPr>
        <w:rPr>
          <w:b/>
        </w:rPr>
      </w:pPr>
      <w:r w:rsidRPr="00203343">
        <w:rPr>
          <w:b/>
          <w:noProof/>
          <w:lang w:eastAsia="en-AU"/>
        </w:rPr>
        <w:drawing>
          <wp:inline distT="0" distB="0" distL="0" distR="0" wp14:anchorId="76FD5EC0" wp14:editId="7128D073">
            <wp:extent cx="4349163" cy="2212502"/>
            <wp:effectExtent l="0" t="0" r="0" b="0"/>
            <wp:docPr id="42" name="Picture 42" descr="Table 12: Study 91743 Overview of efficacy results for CMRM versus UMRM on a patient level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l="2082" t="14313"/>
                    <a:stretch/>
                  </pic:blipFill>
                  <pic:spPr bwMode="auto">
                    <a:xfrm>
                      <a:off x="0" y="0"/>
                      <a:ext cx="4358160" cy="2217079"/>
                    </a:xfrm>
                    <a:prstGeom prst="rect">
                      <a:avLst/>
                    </a:prstGeom>
                    <a:noFill/>
                    <a:ln>
                      <a:noFill/>
                    </a:ln>
                    <a:extLst>
                      <a:ext uri="{53640926-AAD7-44D8-BBD7-CCE9431645EC}">
                        <a14:shadowObscured xmlns:a14="http://schemas.microsoft.com/office/drawing/2010/main"/>
                      </a:ext>
                    </a:extLst>
                  </pic:spPr>
                </pic:pic>
              </a:graphicData>
            </a:graphic>
          </wp:inline>
        </w:drawing>
      </w:r>
    </w:p>
    <w:p w:rsidR="008D19AC" w:rsidRDefault="00FB4322" w:rsidP="007F1693">
      <w:pPr>
        <w:pStyle w:val="Tabletitle"/>
      </w:pPr>
      <w:bookmarkStart w:id="163" w:name="_Ref393278546"/>
      <w:bookmarkStart w:id="164" w:name="_Toc393351345"/>
      <w:r>
        <w:t xml:space="preserve">Table </w:t>
      </w:r>
      <w:r w:rsidR="008D19AC">
        <w:t>1</w:t>
      </w:r>
      <w:r w:rsidR="00393D12">
        <w:t>3</w:t>
      </w:r>
      <w:r w:rsidR="008D19AC">
        <w:t xml:space="preserve">: </w:t>
      </w:r>
      <w:r>
        <w:t>Study 91743</w:t>
      </w:r>
      <w:bookmarkEnd w:id="163"/>
      <w:bookmarkEnd w:id="164"/>
      <w:r w:rsidR="008D19AC">
        <w:t xml:space="preserve"> Overview of efficacy results for CMRM on breast level specificity by reader (FAS)</w:t>
      </w:r>
    </w:p>
    <w:p w:rsidR="00FB4322" w:rsidRDefault="00FB4322" w:rsidP="00FB4322">
      <w:pPr>
        <w:rPr>
          <w:b/>
        </w:rPr>
      </w:pPr>
      <w:r w:rsidRPr="008549BC">
        <w:rPr>
          <w:b/>
          <w:noProof/>
          <w:lang w:eastAsia="en-AU"/>
        </w:rPr>
        <w:drawing>
          <wp:inline distT="0" distB="0" distL="0" distR="0" wp14:anchorId="45D1D0C6" wp14:editId="1D4325A8">
            <wp:extent cx="4756417" cy="1840476"/>
            <wp:effectExtent l="0" t="0" r="0" b="0"/>
            <wp:docPr id="43" name="Picture 43" descr="Table 13:Study 91743 Overview of efficacy results for CMRM on breast level specificity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l="4384" t="13550"/>
                    <a:stretch/>
                  </pic:blipFill>
                  <pic:spPr bwMode="auto">
                    <a:xfrm>
                      <a:off x="0" y="0"/>
                      <a:ext cx="4758476" cy="1841273"/>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7F1693">
      <w:r>
        <w:t>Values following the investigators’ assessments were generally higher than the corresponding results of the blinded readers as the investigators had more access to clinical information. Subgroup analyses based on country, age and race showed no significant differences when compared with the overall population.</w:t>
      </w:r>
    </w:p>
    <w:p w:rsidR="00423561" w:rsidRDefault="00423561" w:rsidP="007F1693">
      <w:pPr>
        <w:ind w:left="720"/>
      </w:pPr>
      <w:r w:rsidRPr="007F1693">
        <w:rPr>
          <w:b/>
        </w:rPr>
        <w:t>Comment:</w:t>
      </w:r>
      <w:r>
        <w:t xml:space="preserve"> The study was well designed and conducted and all reasonable efforts were made to exclude inter-reader variability and bias. The main objective was to compare GAD enhancement with UMRM in malignant breast disease and no positive control arm was included (i.e. another contrast agent). CMRM was significantly superior to UMRM for the detection of malignant breast disease with a 34.1% greater median sensitivity. CMRM also had greater sensitivity than XRM (83.2% versus 70.6%). Performance thresholds for specificity of &gt;80% and &gt;50% were also met for breasts without and without malignancies, respectively. CMRM was also more effective in the detection of index cancers and previously undetected additional cancers.</w:t>
      </w:r>
    </w:p>
    <w:p w:rsidR="00423561" w:rsidRDefault="00423561" w:rsidP="007F1693">
      <w:pPr>
        <w:pStyle w:val="Heading5"/>
      </w:pPr>
      <w:bookmarkStart w:id="165" w:name="_Toc393351188"/>
      <w:r>
        <w:t>Study 91782 (GEMMA-2)</w:t>
      </w:r>
      <w:bookmarkEnd w:id="165"/>
    </w:p>
    <w:p w:rsidR="00423561" w:rsidRDefault="00423561" w:rsidP="007F1693">
      <w:pPr>
        <w:pStyle w:val="Heading6"/>
      </w:pPr>
      <w:bookmarkStart w:id="166" w:name="_Toc393351189"/>
      <w:r>
        <w:t>Study design, objectives, locations and dates</w:t>
      </w:r>
      <w:bookmarkEnd w:id="166"/>
    </w:p>
    <w:p w:rsidR="00423561" w:rsidRDefault="00423561" w:rsidP="007F1693">
      <w:r>
        <w:t xml:space="preserve">This was a </w:t>
      </w:r>
      <w:r w:rsidR="00F5645D">
        <w:t>Phase III</w:t>
      </w:r>
      <w:r>
        <w:t xml:space="preserve">, multi-centre, open-label, non-randomised study with blinded image evaluations. The study protocol was identical to study 91743 evaluated above. It was conducted at 39 centres in 8 countries (Argentina, Canada, Germany, India, Poland, Spain, Taiwan and the USA) and it completed in March 2012. It was designed to demonstrate superiority of the within-patient sensitivity of combined unenhanced and GAD-enhanced MRM (CMRM) over unenhanced </w:t>
      </w:r>
      <w:r>
        <w:lastRenderedPageBreak/>
        <w:t xml:space="preserve">MRM (UMRM). It was also designed to demonstrate the specificity of CMRM in the detection of malignant versus non-malignant breast lesions. It was planned to enrol at least 440 patients with up to 60 patients at each centre. Patients with recently diagnosed histologically confirmed breast cancer after XRM were referred for breast MRI prior to breast surgery. Breast MRIs were performed using modern 1.5T scanners with dedicated breast coils to enable bilateral breast imaging. Patients received an unenhanced breast MRI, followed by a GAD-enhanced MRI. Unenhanced MRIs (consisting of T2- and T1-weighted 3D spoiled gradient echo pulse sequence) were performed, followed by GAD-enhanced scans (5 acquisitions of T1-weighted 3D spoiled gradient echo pulse sequence </w:t>
      </w:r>
      <w:r w:rsidR="001071E6">
        <w:t>with acquisition time ~60 sec).</w:t>
      </w:r>
    </w:p>
    <w:p w:rsidR="00423561" w:rsidRDefault="00423561" w:rsidP="007F1693">
      <w:r>
        <w:t>The patients stayed at the study centre for at least one hour after the MRM examination before being discharged. After 24 hours, the patients returned to the centre for a safety review. Ultrasound examinations were scheduled for patients assessed as disease free as soon as possible after the study MRM, and before any further follow-up and subsequent breast biopsy or surgery. The study ended with the 24 hour follow-up with patients not scheduled for ultrasound investigation, and after the ultrasound investigation for patients who received them.</w:t>
      </w:r>
    </w:p>
    <w:p w:rsidR="00423561" w:rsidRDefault="00423561" w:rsidP="007F1693">
      <w:r>
        <w:t xml:space="preserve">UMRM, CMRM and XRM image sets were evaluated in a randomised fashion by three independent blinded readers. After evaluation of UMRM, the data were locked and evaluation of the respective XRM was performed together with UMRM. Evaluation of CMRM was then performed, followed by data lock and evaluation of CMRM and XRM. For all examinations, the evaluation of the left and right breasts were performed by regions (5 regions in each breast: 4 quadrants and the central region including nipple) as described previously. For each breast region, an assessment of the presence or absence of malignancy was made. If suspected malignancy was detected, an assessment of whether it was </w:t>
      </w:r>
      <w:proofErr w:type="spellStart"/>
      <w:r>
        <w:t>unifocal</w:t>
      </w:r>
      <w:proofErr w:type="spellEnd"/>
      <w:r>
        <w:t xml:space="preserve"> or multifocal was made. The definition of disease status was assessed using the ACR BI-RADS lexicon for interpretation of MRM and XRM examinations. All suspect lesions detected by MRI were required to be verified histologically. Otherwise, each breast region was assessed as disease free, either with no pathology or with a benign lesion. For regions evaluated as non-diseased without a histological confirmation, additional ultrasound evaluation was performed to confirm the MRM findings. Suspicious ultrasound findings were required to be verified histologically. The standard of truth (</w:t>
      </w:r>
      <w:proofErr w:type="spellStart"/>
      <w:r>
        <w:t>SoT</w:t>
      </w:r>
      <w:proofErr w:type="spellEnd"/>
      <w:r>
        <w:t>) for the diagnostic performance of GAD-enhanced MRM was the final consensus assessment by an independent committee of two experienced breast cancer physicians who were</w:t>
      </w:r>
      <w:r w:rsidR="001071E6">
        <w:t xml:space="preserve"> not affiliated with the study.</w:t>
      </w:r>
    </w:p>
    <w:p w:rsidR="00423561" w:rsidRDefault="00423561" w:rsidP="007F1693">
      <w:pPr>
        <w:pStyle w:val="Heading6"/>
        <w:rPr>
          <w:kern w:val="16"/>
          <w:szCs w:val="20"/>
        </w:rPr>
      </w:pPr>
      <w:bookmarkStart w:id="167" w:name="_Toc393351190"/>
      <w:r>
        <w:t>Inclusion and exclusion criteria</w:t>
      </w:r>
      <w:bookmarkEnd w:id="167"/>
    </w:p>
    <w:p w:rsidR="00423561" w:rsidRDefault="00423561" w:rsidP="007F1693">
      <w:r>
        <w:t xml:space="preserve">The key inclusion criteria were: female or male patients of any ethnicity aged at least 18 years; recent histologically proven breast cancer identified after XRM of both breasts (according to ACR and performed no longer than 6 weeks prior to enrolment); and </w:t>
      </w:r>
      <w:proofErr w:type="spellStart"/>
      <w:r>
        <w:t>eGFR</w:t>
      </w:r>
      <w:proofErr w:type="spellEnd"/>
      <w:r>
        <w:t xml:space="preserve"> ≥60 ml/min/1.73m</w:t>
      </w:r>
      <w:r>
        <w:rPr>
          <w:vertAlign w:val="superscript"/>
        </w:rPr>
        <w:t>2</w:t>
      </w:r>
      <w:r>
        <w:t>. The key exclusion criteria were pregnant or lactating females; any recent other investigational products; contra-indications to MRM; a history of severe allergic or anaphylactic reactions; any contrast agent within the previous 24 hours; clinically unstable; severe cardiovascular disease; acute or chronic renal impairment; chemotherapy or hormonal therapy for breast cancer within the previous 6 months; hormone replacement therapy within 4 weeks before study drug administration; scheduled or likely to require surgery and/or biopsy within 24 hours of study drug administration; and prior excisional biopsy or breast surgery in the 6 months before enrolment and between XRM and study MRM.</w:t>
      </w:r>
    </w:p>
    <w:p w:rsidR="00423561" w:rsidRDefault="00423561" w:rsidP="007F1693">
      <w:pPr>
        <w:pStyle w:val="Heading6"/>
        <w:rPr>
          <w:kern w:val="16"/>
          <w:szCs w:val="20"/>
        </w:rPr>
      </w:pPr>
      <w:bookmarkStart w:id="168" w:name="_Toc393351191"/>
      <w:r>
        <w:t>Study treatments</w:t>
      </w:r>
      <w:bookmarkEnd w:id="168"/>
    </w:p>
    <w:p w:rsidR="00423561" w:rsidRDefault="00423561" w:rsidP="00423561">
      <w:r>
        <w:t xml:space="preserve">All patients received the same treatment, a single dose of </w:t>
      </w:r>
      <w:proofErr w:type="spellStart"/>
      <w:r>
        <w:t>gadobutrol</w:t>
      </w:r>
      <w:proofErr w:type="spellEnd"/>
      <w:r>
        <w:t xml:space="preserve"> </w:t>
      </w:r>
      <w:proofErr w:type="gramStart"/>
      <w:r>
        <w:t xml:space="preserve">0.1 </w:t>
      </w:r>
      <w:proofErr w:type="spellStart"/>
      <w:r>
        <w:t>mmol</w:t>
      </w:r>
      <w:proofErr w:type="spellEnd"/>
      <w:r>
        <w:t>/kg BW given via an intravenous catheter</w:t>
      </w:r>
      <w:proofErr w:type="gramEnd"/>
      <w:r>
        <w:t>.</w:t>
      </w:r>
    </w:p>
    <w:p w:rsidR="00423561" w:rsidRDefault="00423561" w:rsidP="00E51266">
      <w:pPr>
        <w:pStyle w:val="Heading6"/>
        <w:rPr>
          <w:kern w:val="16"/>
          <w:szCs w:val="20"/>
        </w:rPr>
      </w:pPr>
      <w:bookmarkStart w:id="169" w:name="_Toc393351192"/>
      <w:r>
        <w:t>Efficacy variables and outcomes</w:t>
      </w:r>
      <w:bookmarkEnd w:id="169"/>
    </w:p>
    <w:p w:rsidR="00423561" w:rsidRDefault="00423561" w:rsidP="00E51266">
      <w:r>
        <w:t xml:space="preserve">The main efficacy variables were defined by matching the readers’ assessments for each breast region (by imaging modality) to the corresponding </w:t>
      </w:r>
      <w:proofErr w:type="spellStart"/>
      <w:r>
        <w:t>SoT</w:t>
      </w:r>
      <w:proofErr w:type="spellEnd"/>
      <w:r>
        <w:t xml:space="preserve"> assessment. For each region there were </w:t>
      </w:r>
      <w:r>
        <w:lastRenderedPageBreak/>
        <w:t xml:space="preserve">three choices: no malignant disease, </w:t>
      </w:r>
      <w:proofErr w:type="spellStart"/>
      <w:r>
        <w:t>unifocal</w:t>
      </w:r>
      <w:proofErr w:type="spellEnd"/>
      <w:r>
        <w:t xml:space="preserve"> malignant disease, or multifocal malignant disease present. The value of the primary efficacy variable was determined for each breast region by whether or not the category chosen by the imaging modality matched the disease state determined to be correct by the </w:t>
      </w:r>
      <w:proofErr w:type="spellStart"/>
      <w:r>
        <w:t>SoT</w:t>
      </w:r>
      <w:proofErr w:type="spellEnd"/>
      <w:r>
        <w:t>.</w:t>
      </w:r>
    </w:p>
    <w:p w:rsidR="00423561" w:rsidRDefault="00423561" w:rsidP="00E51266">
      <w:r>
        <w:t>The co-primary efficacy outcomes were (1) to demonstrate the superiority of within-patient sensitivity of combined unenhanced and GAD-enhanced MRM (CMRM) over unenhanced MRM (UMRM), and (2) to demonstrate the breast level specificity of CMRM, based on non-malignant breasts, greater than a performance threshold of 80%.</w:t>
      </w:r>
    </w:p>
    <w:p w:rsidR="00423561" w:rsidRDefault="00423561" w:rsidP="00E51266">
      <w:r>
        <w:t>Other efficacy outcomes included:</w:t>
      </w:r>
    </w:p>
    <w:p w:rsidR="00423561" w:rsidRDefault="00423561" w:rsidP="00E51266">
      <w:pPr>
        <w:pStyle w:val="ListBullet"/>
      </w:pPr>
      <w:r>
        <w:t>Breast level specificity of CMRM, based on malignant breasts, greater than a performance threshold of 50%.</w:t>
      </w:r>
    </w:p>
    <w:p w:rsidR="00423561" w:rsidRDefault="00423561" w:rsidP="00E51266">
      <w:pPr>
        <w:pStyle w:val="ListBullet"/>
      </w:pPr>
      <w:r>
        <w:t>Detection of index cancers using CMRM compared with XRM, UMRM, and CMRM + XRM based on a patient level.</w:t>
      </w:r>
    </w:p>
    <w:p w:rsidR="00423561" w:rsidRDefault="00423561" w:rsidP="00E51266">
      <w:pPr>
        <w:pStyle w:val="ListBullet"/>
      </w:pPr>
      <w:r>
        <w:t>Detection of additional cancer using CMRM compared with XRM, UMRM, and CMRM + XRM based on a patient level.</w:t>
      </w:r>
    </w:p>
    <w:p w:rsidR="00423561" w:rsidRDefault="00423561" w:rsidP="00E51266">
      <w:pPr>
        <w:pStyle w:val="Heading6"/>
        <w:rPr>
          <w:kern w:val="16"/>
          <w:szCs w:val="20"/>
        </w:rPr>
      </w:pPr>
      <w:bookmarkStart w:id="170" w:name="_Toc393351193"/>
      <w:r>
        <w:t>Randomisation and blinding methods</w:t>
      </w:r>
      <w:bookmarkEnd w:id="170"/>
    </w:p>
    <w:p w:rsidR="00423561" w:rsidRDefault="00423561" w:rsidP="00E51266">
      <w:r>
        <w:t>All patients received the same open-label treatment.</w:t>
      </w:r>
    </w:p>
    <w:p w:rsidR="00423561" w:rsidRDefault="00423561" w:rsidP="00E51266">
      <w:pPr>
        <w:pStyle w:val="Heading6"/>
        <w:rPr>
          <w:kern w:val="16"/>
          <w:szCs w:val="20"/>
        </w:rPr>
      </w:pPr>
      <w:bookmarkStart w:id="171" w:name="_Toc393351194"/>
      <w:r>
        <w:t>Analysis populations</w:t>
      </w:r>
      <w:bookmarkEnd w:id="171"/>
    </w:p>
    <w:p w:rsidR="00423561" w:rsidRDefault="00423561" w:rsidP="00E51266">
      <w:r>
        <w:t xml:space="preserve">A total of 460 enrolled patients </w:t>
      </w:r>
      <w:proofErr w:type="gramStart"/>
      <w:r>
        <w:t>was</w:t>
      </w:r>
      <w:proofErr w:type="gramEnd"/>
      <w:r>
        <w:t xml:space="preserve"> planned. Efficacy evaluations were performed using the FAS and PPS. Patients were included in the FAS if they had a valid </w:t>
      </w:r>
      <w:proofErr w:type="spellStart"/>
      <w:r>
        <w:t>SoT</w:t>
      </w:r>
      <w:proofErr w:type="spellEnd"/>
      <w:r>
        <w:t xml:space="preserve"> for at least one variable breast region as well as UMRM and CMRM evaluated by three independent blinded readers. Patients were excluded if the XRM was not available. The PPS included those patients who also fulfilled all major protocol requirements. Patients were excluded from the PPS for violation of inclusion/exclusion criteria; a GAD dose &lt;90% or &gt;110% of the required dose; MRM procedure errors; or invalid </w:t>
      </w:r>
      <w:proofErr w:type="spellStart"/>
      <w:r>
        <w:t>SoT</w:t>
      </w:r>
      <w:proofErr w:type="spellEnd"/>
      <w:r>
        <w:t xml:space="preserve"> procedures. The safety analysis set (SAF) consisted of all patients who received any dosage of GAD. A total of 460 patients were screened of whom 439 patients were treated and included in the SAF. A total of 397 (86.3%) patients were included in the FAS and 351 (76.3%) patients were included in the PPS.</w:t>
      </w:r>
    </w:p>
    <w:p w:rsidR="00423561" w:rsidRDefault="00423561" w:rsidP="00E51266">
      <w:pPr>
        <w:pStyle w:val="Heading6"/>
        <w:rPr>
          <w:kern w:val="16"/>
          <w:szCs w:val="20"/>
        </w:rPr>
      </w:pPr>
      <w:bookmarkStart w:id="172" w:name="_Toc393351195"/>
      <w:r>
        <w:t>Sample size</w:t>
      </w:r>
      <w:bookmarkEnd w:id="172"/>
    </w:p>
    <w:p w:rsidR="00423561" w:rsidRDefault="00423561" w:rsidP="00E51266">
      <w:r>
        <w:t>The sample size was amended based on the results of study 91743 (GEMMA-1). The results suggested a difference of 0.3 between CMRM and UMRM for within-patient sensitivity with a 40% proportion of discordant pairs for a single reader. With this assumption, 44 independent breast regions were needed for 90% power. The results also suggested a breast level specificity of 0.87 in CMRM for a single reader. With these assumptions, 299 patients with at least one non-malignant breast were required to achieve 90% power. Thus, the overall power of the study was expected to be 90% or more.</w:t>
      </w:r>
    </w:p>
    <w:p w:rsidR="00423561" w:rsidRDefault="00423561" w:rsidP="00E51266">
      <w:pPr>
        <w:pStyle w:val="Heading6"/>
        <w:rPr>
          <w:kern w:val="16"/>
          <w:szCs w:val="20"/>
        </w:rPr>
      </w:pPr>
      <w:bookmarkStart w:id="173" w:name="_Toc393351196"/>
      <w:r>
        <w:t>Statistical methods</w:t>
      </w:r>
      <w:bookmarkEnd w:id="173"/>
    </w:p>
    <w:p w:rsidR="00423561" w:rsidRDefault="00423561" w:rsidP="00E51266">
      <w:r>
        <w:t xml:space="preserve">Statistical analyses were performed using SAS 9.2 or higher. Efficacy data were analysed using the FAS with additional sensitivity analyses using the PPS. All statistical tests were 2-sided at the 0.05 significance level with 2-sided 95% CIs based on the </w:t>
      </w:r>
      <w:proofErr w:type="spellStart"/>
      <w:r>
        <w:t>McNemar</w:t>
      </w:r>
      <w:proofErr w:type="spellEnd"/>
      <w:r>
        <w:t xml:space="preserve"> test. Sensitivity and specificity were defined as TP</w:t>
      </w:r>
      <w:proofErr w:type="gramStart"/>
      <w:r>
        <w:t>/(</w:t>
      </w:r>
      <w:proofErr w:type="gramEnd"/>
      <w:r>
        <w:t xml:space="preserve">TP+FN) and TN/(TN+FP), respectively (TP = true positive, TN = true negative, FP = false positive and FN = false negative). The evaluation was based on the derived majority response of the three readers. For continuous variables, the arithmetic mean of the responses from the three readers was used. Separate analyses were performed for data from the investigators and each of the blinded readers. The primary efficacy variable and key safety variables were analysed by country, age and race (all but one patient was female). No </w:t>
      </w:r>
      <w:r>
        <w:lastRenderedPageBreak/>
        <w:t>imputations were made for efficacy or safety assessments, and uninterpretable images were excluded from the evaluations.</w:t>
      </w:r>
    </w:p>
    <w:p w:rsidR="00423561" w:rsidRDefault="00423561" w:rsidP="00E51266">
      <w:pPr>
        <w:pStyle w:val="Heading6"/>
        <w:rPr>
          <w:kern w:val="16"/>
          <w:szCs w:val="20"/>
        </w:rPr>
      </w:pPr>
      <w:bookmarkStart w:id="174" w:name="_Toc393351197"/>
      <w:r>
        <w:t>Participant flow</w:t>
      </w:r>
      <w:bookmarkEnd w:id="174"/>
    </w:p>
    <w:p w:rsidR="00423561" w:rsidRDefault="00423561" w:rsidP="00E51266">
      <w:pPr>
        <w:rPr>
          <w:b/>
        </w:rPr>
      </w:pPr>
      <w:r>
        <w:t xml:space="preserve">The disposition of patients is shown </w:t>
      </w:r>
      <w:r w:rsidRPr="00EF17C2">
        <w:t xml:space="preserve">below in Figure </w:t>
      </w:r>
      <w:r w:rsidR="00EF17C2" w:rsidRPr="00EF17C2">
        <w:t>5</w:t>
      </w:r>
      <w:r w:rsidRPr="00EF17C2">
        <w:t>, below. A</w:t>
      </w:r>
      <w:r>
        <w:t xml:space="preserve"> total of 460 patients were enrolled, 439 patients were treated and 437 patients completed the study.</w:t>
      </w:r>
    </w:p>
    <w:p w:rsidR="00423561" w:rsidRDefault="00423561" w:rsidP="00E51266">
      <w:pPr>
        <w:pStyle w:val="FigureTitle"/>
      </w:pPr>
      <w:bookmarkStart w:id="175" w:name="_Toc393351292"/>
      <w:r>
        <w:t>Figure</w:t>
      </w:r>
      <w:r w:rsidR="00F0260C">
        <w:t xml:space="preserve"> </w:t>
      </w:r>
      <w:r w:rsidR="00EF17C2">
        <w:t>5</w:t>
      </w:r>
      <w:r w:rsidR="00EE6DE5">
        <w:t>:</w:t>
      </w:r>
      <w:bookmarkEnd w:id="175"/>
      <w:r w:rsidR="00EE6DE5">
        <w:t xml:space="preserve"> Patient disposition</w:t>
      </w:r>
    </w:p>
    <w:p w:rsidR="00423561" w:rsidRDefault="00423561" w:rsidP="00423561">
      <w:r>
        <w:rPr>
          <w:noProof/>
          <w:lang w:eastAsia="en-AU"/>
        </w:rPr>
        <w:drawing>
          <wp:inline distT="0" distB="0" distL="0" distR="0" wp14:anchorId="34085CD2" wp14:editId="3FDDC65F">
            <wp:extent cx="3327209" cy="3204242"/>
            <wp:effectExtent l="0" t="0" r="0" b="0"/>
            <wp:docPr id="3" name="Picture 3" descr="Figure 5: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3">
                      <a:lum bright="-20000" contrast="40000"/>
                      <a:extLst>
                        <a:ext uri="{28A0092B-C50C-407E-A947-70E740481C1C}">
                          <a14:useLocalDpi xmlns:a14="http://schemas.microsoft.com/office/drawing/2010/main" val="0"/>
                        </a:ext>
                      </a:extLst>
                    </a:blip>
                    <a:srcRect l="1840"/>
                    <a:stretch/>
                  </pic:blipFill>
                  <pic:spPr bwMode="auto">
                    <a:xfrm>
                      <a:off x="0" y="0"/>
                      <a:ext cx="3333489" cy="3210289"/>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E51266">
      <w:pPr>
        <w:pStyle w:val="Heading6"/>
        <w:rPr>
          <w:kern w:val="16"/>
          <w:szCs w:val="20"/>
        </w:rPr>
      </w:pPr>
      <w:bookmarkStart w:id="176" w:name="_Toc393351198"/>
      <w:r>
        <w:t>Major protocol violations/deviations</w:t>
      </w:r>
      <w:bookmarkEnd w:id="176"/>
    </w:p>
    <w:p w:rsidR="00423561" w:rsidRDefault="00423561" w:rsidP="00E51266">
      <w:r>
        <w:t>Minor protocol deviations were recorded for 78.1% of patients in the SAF. Major protocol deviations were identified in 70 (15.9%) patients: procedure deviations in 9.6%, inclusion/exclusion errors in 4.8%, and treatment deviations in 4.3%. In the FAS, 97.0% received GAD within ± 10% of the prescribed dose. Two patients (0.5%) received less than 90% of the prescribed dose and nine patients (2.3%) received doses greater than 10% above the prescribed dose.</w:t>
      </w:r>
    </w:p>
    <w:p w:rsidR="00423561" w:rsidRDefault="00423561" w:rsidP="00E51266">
      <w:pPr>
        <w:pStyle w:val="Heading6"/>
        <w:rPr>
          <w:kern w:val="16"/>
          <w:szCs w:val="20"/>
        </w:rPr>
      </w:pPr>
      <w:bookmarkStart w:id="177" w:name="_Toc393351199"/>
      <w:r>
        <w:t>Baseline data</w:t>
      </w:r>
      <w:bookmarkEnd w:id="177"/>
    </w:p>
    <w:p w:rsidR="00423561" w:rsidRPr="00F0260C" w:rsidRDefault="00423561" w:rsidP="00E51266">
      <w:r>
        <w:t xml:space="preserve">Baseline demographic data for the SAF, FAS and PPS </w:t>
      </w:r>
      <w:r w:rsidR="00EE6DE5">
        <w:t>showed</w:t>
      </w:r>
      <w:r>
        <w:t xml:space="preserve"> no meaningful differences between the analysis sets. In the SAF, all but one patient were female with recently diagnosed breast cancer. The majority of patients were White (70.6%) and 23.7% were Asian. The mean age was 57.1 years, mean body weight was 69.0 kg, mean BMI was 26.8 kg/m</w:t>
      </w:r>
      <w:r>
        <w:rPr>
          <w:vertAlign w:val="superscript"/>
        </w:rPr>
        <w:t>2</w:t>
      </w:r>
      <w:r>
        <w:t xml:space="preserve">, and mean </w:t>
      </w:r>
      <w:proofErr w:type="spellStart"/>
      <w:r>
        <w:t>eGFR</w:t>
      </w:r>
      <w:proofErr w:type="spellEnd"/>
      <w:r>
        <w:t xml:space="preserve"> was 91.8 ml/min/1.73m</w:t>
      </w:r>
      <w:r>
        <w:rPr>
          <w:vertAlign w:val="superscript"/>
        </w:rPr>
        <w:t>2</w:t>
      </w:r>
      <w:r>
        <w:t xml:space="preserve"> (range 33-160). The distribution of malignancies in each of the five breast regions is </w:t>
      </w:r>
      <w:r w:rsidRPr="00F0260C">
        <w:t xml:space="preserve">shown in Table </w:t>
      </w:r>
      <w:r w:rsidR="00F0260C" w:rsidRPr="00F0260C">
        <w:t>1</w:t>
      </w:r>
      <w:r w:rsidR="00393D12">
        <w:t>4</w:t>
      </w:r>
      <w:r w:rsidRPr="00F0260C">
        <w:t>. Most patients had a medical (82.7%) and surgical history (44.0%).</w:t>
      </w:r>
    </w:p>
    <w:p w:rsidR="001071E6" w:rsidRDefault="00F0260C" w:rsidP="00E51266">
      <w:pPr>
        <w:pStyle w:val="Tabletitle"/>
      </w:pPr>
      <w:bookmarkStart w:id="178" w:name="_Ref393278570"/>
      <w:bookmarkStart w:id="179" w:name="_Toc393351350"/>
      <w:r>
        <w:t>Table 1</w:t>
      </w:r>
      <w:r w:rsidR="00393D12">
        <w:t>4</w:t>
      </w:r>
      <w:r>
        <w:t>: Study 91782</w:t>
      </w:r>
      <w:bookmarkEnd w:id="178"/>
      <w:bookmarkEnd w:id="179"/>
      <w:r>
        <w:t xml:space="preserve"> Referral diagnosis</w:t>
      </w:r>
    </w:p>
    <w:p w:rsidR="00F0260C" w:rsidRDefault="00F0260C" w:rsidP="001071E6">
      <w:r w:rsidRPr="00D355BE">
        <w:rPr>
          <w:noProof/>
          <w:lang w:eastAsia="en-AU"/>
        </w:rPr>
        <w:drawing>
          <wp:inline distT="0" distB="0" distL="0" distR="0" wp14:anchorId="3A0FFB6F" wp14:editId="122DB1C3">
            <wp:extent cx="4034118" cy="1118759"/>
            <wp:effectExtent l="0" t="0" r="0" b="0"/>
            <wp:docPr id="48" name="Picture 48" descr="Table 14: Study 91782 Referral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l="2762" t="9791"/>
                    <a:stretch/>
                  </pic:blipFill>
                  <pic:spPr bwMode="auto">
                    <a:xfrm>
                      <a:off x="0" y="0"/>
                      <a:ext cx="4045354" cy="1121875"/>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E51266">
      <w:pPr>
        <w:pStyle w:val="Heading6"/>
        <w:rPr>
          <w:kern w:val="16"/>
          <w:szCs w:val="20"/>
        </w:rPr>
      </w:pPr>
      <w:bookmarkStart w:id="180" w:name="_Toc393351200"/>
      <w:r>
        <w:lastRenderedPageBreak/>
        <w:t>Results for the primary efficacy outcome</w:t>
      </w:r>
      <w:bookmarkEnd w:id="180"/>
    </w:p>
    <w:p w:rsidR="00423561" w:rsidRDefault="00423561" w:rsidP="00E51266">
      <w:r>
        <w:t xml:space="preserve">A summary of the within-patient sensitivity for the detection of malignancy for CMRM and UMRM in the FAS </w:t>
      </w:r>
      <w:r w:rsidR="00804FA1">
        <w:t>wa</w:t>
      </w:r>
      <w:r>
        <w:t xml:space="preserve">s shown. For each patient the proportions of malignant breast regions that were recognised as malignant using either CMRM or UMRM </w:t>
      </w:r>
      <w:proofErr w:type="gramStart"/>
      <w:r>
        <w:t>was</w:t>
      </w:r>
      <w:proofErr w:type="gramEnd"/>
      <w:r>
        <w:t xml:space="preserve"> determined: the means were then calculated across all patients. Superiority of within-patient sensitivity of CMRM over UMRM was demonstrated independent of the blinded reader. With CMRM, within-patient sensitivities were 88.6%, 89.0% and 85.5% for the three blinded readers while the corresponding values for UMRM were 73.3%, 57.0% and 55.1%. The differences in favour of CMRM ranged from 15.2% to 25.8%. The null hypothesis was excluded as the lower bound of the 95% CI was larger than zero for each reader. The results of the PPS were similar with differences in favour of CMRM ranging from 14.7% to 30.8%. The mean specificity of CMRM on a breast level based on non-malignant breasts was greater than the pre-defined 80% threshold. However, as </w:t>
      </w:r>
      <w:r w:rsidRPr="00393D12">
        <w:t>shown in Table</w:t>
      </w:r>
      <w:r w:rsidR="00393D12" w:rsidRPr="00393D12">
        <w:t xml:space="preserve"> 15</w:t>
      </w:r>
      <w:r>
        <w:t>, the lower bound of the 95% CI was &gt;80% for only 2/3 of the blinded readers. In the FAS, the lower bounds of the 95% CI were 89.1%, 80.2% and 79.0% for the three readers. In the PPS, the corresponding values were 88.4%, 79.4% and 78.9%.</w:t>
      </w:r>
    </w:p>
    <w:p w:rsidR="00804FA1" w:rsidRDefault="00804FA1" w:rsidP="00E51266">
      <w:pPr>
        <w:pStyle w:val="Tabletitle"/>
      </w:pPr>
      <w:bookmarkStart w:id="181" w:name="_Ref393278575"/>
      <w:bookmarkStart w:id="182" w:name="_Toc393351352"/>
      <w:r>
        <w:t xml:space="preserve">Table </w:t>
      </w:r>
      <w:r w:rsidR="00F0260C">
        <w:t>1</w:t>
      </w:r>
      <w:r w:rsidR="00393D12">
        <w:t>5</w:t>
      </w:r>
      <w:r w:rsidR="00F0260C">
        <w:t>:</w:t>
      </w:r>
      <w:r>
        <w:t xml:space="preserve"> Study 91782</w:t>
      </w:r>
      <w:bookmarkEnd w:id="181"/>
      <w:bookmarkEnd w:id="182"/>
      <w:r w:rsidR="00F0260C">
        <w:t xml:space="preserve"> Breast level specificity of CMRM for non-malignant breasts by reader (FAS)</w:t>
      </w:r>
    </w:p>
    <w:p w:rsidR="00804FA1" w:rsidRDefault="00804FA1" w:rsidP="00804FA1">
      <w:pPr>
        <w:rPr>
          <w:b/>
        </w:rPr>
      </w:pPr>
      <w:r w:rsidRPr="00217A43">
        <w:rPr>
          <w:b/>
          <w:noProof/>
          <w:lang w:eastAsia="en-AU"/>
        </w:rPr>
        <w:drawing>
          <wp:inline distT="0" distB="0" distL="0" distR="0" wp14:anchorId="7E09308C" wp14:editId="4198593B">
            <wp:extent cx="4756417" cy="1174928"/>
            <wp:effectExtent l="0" t="0" r="0" b="0"/>
            <wp:docPr id="50" name="Picture 50" descr="Table 15: Study 91782 Breast level specificity of CMRM for non-malignant breasts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l="2279" t="22078"/>
                    <a:stretch/>
                  </pic:blipFill>
                  <pic:spPr bwMode="auto">
                    <a:xfrm>
                      <a:off x="0" y="0"/>
                      <a:ext cx="4757769" cy="1175262"/>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E51266">
      <w:pPr>
        <w:pStyle w:val="Heading6"/>
        <w:rPr>
          <w:kern w:val="16"/>
          <w:szCs w:val="20"/>
        </w:rPr>
      </w:pPr>
      <w:bookmarkStart w:id="183" w:name="_Toc393351201"/>
      <w:r>
        <w:t>Results for other efficacy outcomes</w:t>
      </w:r>
      <w:bookmarkEnd w:id="183"/>
    </w:p>
    <w:p w:rsidR="00804FA1" w:rsidRPr="00F0260C" w:rsidRDefault="00423561" w:rsidP="00423561">
      <w:r>
        <w:t xml:space="preserve">In the FAS, breast-level specificity based on malignant breasts was greater than the pre-defined threshold of 50% for only 1/3 readers. The lower bounds for the 95% CI for the three blinded readers were 49.9%, 42.2% and 50.6%. Index cancers were defined as the regions confirmed as malignant by histology upon enrolment into the study. The proportions of patients with detected index cancers are </w:t>
      </w:r>
      <w:r w:rsidRPr="00F0260C">
        <w:t xml:space="preserve">shown in Figure </w:t>
      </w:r>
      <w:r w:rsidR="00EF17C2">
        <w:t>6</w:t>
      </w:r>
      <w:r w:rsidRPr="00F0260C">
        <w:t xml:space="preserve"> and Table </w:t>
      </w:r>
      <w:r w:rsidR="00F0260C" w:rsidRPr="00F0260C">
        <w:t>1</w:t>
      </w:r>
      <w:r w:rsidR="00393D12">
        <w:t>6</w:t>
      </w:r>
      <w:r w:rsidR="001071E6">
        <w:t>.</w:t>
      </w:r>
    </w:p>
    <w:p w:rsidR="00804FA1" w:rsidRDefault="00804FA1" w:rsidP="002405A9">
      <w:pPr>
        <w:pStyle w:val="FigureTitle"/>
      </w:pPr>
      <w:bookmarkStart w:id="184" w:name="_Ref393278580"/>
      <w:bookmarkStart w:id="185" w:name="_Toc393351354"/>
      <w:r>
        <w:t xml:space="preserve">Figure </w:t>
      </w:r>
      <w:r w:rsidR="00EF17C2">
        <w:t>6</w:t>
      </w:r>
      <w:r w:rsidR="00F0260C">
        <w:t>:</w:t>
      </w:r>
      <w:r>
        <w:t xml:space="preserve"> Study 91782</w:t>
      </w:r>
      <w:bookmarkEnd w:id="184"/>
      <w:bookmarkEnd w:id="185"/>
      <w:r w:rsidR="00F0260C">
        <w:t xml:space="preserve"> Patient level detection of index cancer by imaging modality and by reader (FAS)</w:t>
      </w:r>
    </w:p>
    <w:p w:rsidR="00804FA1" w:rsidRDefault="00804FA1" w:rsidP="001071E6">
      <w:r w:rsidRPr="00C16444">
        <w:rPr>
          <w:noProof/>
          <w:lang w:eastAsia="en-AU"/>
        </w:rPr>
        <w:drawing>
          <wp:inline distT="0" distB="0" distL="0" distR="0" wp14:anchorId="0CA3F558" wp14:editId="0907DA55">
            <wp:extent cx="4041802" cy="2486201"/>
            <wp:effectExtent l="0" t="0" r="0" b="0"/>
            <wp:docPr id="55" name="Picture 55" descr="Figure 6: Study 91782 Patient level detection of index cancer by imaging modality and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l="3898" t="12673"/>
                    <a:stretch/>
                  </pic:blipFill>
                  <pic:spPr bwMode="auto">
                    <a:xfrm>
                      <a:off x="0" y="0"/>
                      <a:ext cx="4046445" cy="2489057"/>
                    </a:xfrm>
                    <a:prstGeom prst="rect">
                      <a:avLst/>
                    </a:prstGeom>
                    <a:noFill/>
                    <a:ln>
                      <a:noFill/>
                    </a:ln>
                    <a:extLst>
                      <a:ext uri="{53640926-AAD7-44D8-BBD7-CCE9431645EC}">
                        <a14:shadowObscured xmlns:a14="http://schemas.microsoft.com/office/drawing/2010/main"/>
                      </a:ext>
                    </a:extLst>
                  </pic:spPr>
                </pic:pic>
              </a:graphicData>
            </a:graphic>
          </wp:inline>
        </w:drawing>
      </w:r>
    </w:p>
    <w:p w:rsidR="00804FA1" w:rsidRDefault="00F0260C" w:rsidP="002405A9">
      <w:pPr>
        <w:pStyle w:val="Tabletitle"/>
      </w:pPr>
      <w:bookmarkStart w:id="186" w:name="_Ref393278582"/>
      <w:bookmarkStart w:id="187" w:name="_Toc393351355"/>
      <w:r>
        <w:lastRenderedPageBreak/>
        <w:t>Table 1</w:t>
      </w:r>
      <w:r w:rsidR="00393D12">
        <w:t>6</w:t>
      </w:r>
      <w:r>
        <w:t>:</w:t>
      </w:r>
      <w:r w:rsidR="00804FA1">
        <w:t xml:space="preserve"> Study 91782</w:t>
      </w:r>
      <w:bookmarkEnd w:id="186"/>
      <w:bookmarkEnd w:id="187"/>
      <w:r>
        <w:t xml:space="preserve"> Patient level detection of index cancer by imaging modality and by reader (FAS)</w:t>
      </w:r>
    </w:p>
    <w:p w:rsidR="00804FA1" w:rsidRDefault="00804FA1" w:rsidP="00804FA1">
      <w:pPr>
        <w:rPr>
          <w:b/>
        </w:rPr>
      </w:pPr>
      <w:r w:rsidRPr="00C16444">
        <w:rPr>
          <w:b/>
          <w:noProof/>
          <w:lang w:eastAsia="en-AU"/>
        </w:rPr>
        <w:drawing>
          <wp:inline distT="0" distB="0" distL="0" distR="0" wp14:anchorId="0D4FAC8C" wp14:editId="449B3D24">
            <wp:extent cx="3758666" cy="2981405"/>
            <wp:effectExtent l="0" t="0" r="0" b="0"/>
            <wp:docPr id="60" name="Picture 60" descr="Table 16: Study 91782 Patient level detection of index cancer by imaging modality and by reade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lum bright="-20000" contrast="40000"/>
                      <a:extLst>
                        <a:ext uri="{28A0092B-C50C-407E-A947-70E740481C1C}">
                          <a14:useLocalDpi xmlns:a14="http://schemas.microsoft.com/office/drawing/2010/main" val="0"/>
                        </a:ext>
                      </a:extLst>
                    </a:blip>
                    <a:srcRect l="2409" t="7975"/>
                    <a:stretch/>
                  </pic:blipFill>
                  <pic:spPr bwMode="auto">
                    <a:xfrm>
                      <a:off x="0" y="0"/>
                      <a:ext cx="3765985" cy="2987210"/>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2405A9">
      <w:r>
        <w:t xml:space="preserve">The best detection rates were obtained for CMRM (89.2%, 88.9% and 85.6%) and CMRM + XRM (90.2%, 90.2% and 88.1%) compared with UMRM only (73.7%, 58.8% and 54.6%). The differences in favour of CMRM compared to UMRM were 15.5%%, 30.2% and 30.9% for the three readers. The differences were statistically significant as the 95% CI for the comparisons excluded zero for all three blinded readers. Additional cancers were defined as cancers not detected at screening but detected subsequently according to </w:t>
      </w:r>
      <w:proofErr w:type="spellStart"/>
      <w:r>
        <w:t>SoT</w:t>
      </w:r>
      <w:proofErr w:type="spellEnd"/>
      <w:r>
        <w:t xml:space="preserve">. The numbers and proportions of patients with at least one additional cancer detected by imaging modality </w:t>
      </w:r>
      <w:r w:rsidR="00804FA1">
        <w:t>were</w:t>
      </w:r>
      <w:r>
        <w:t xml:space="preserve"> shown. The best detection rates were obtained with CMRM (69.0%, 78.6% and 56.8%) and CMRM + XRM (69.0%, 78.6% and 70.2%) compared with UMRM (45.2%, 34.5% and 33.3%). The differences in favour of CMRM compared with UMRM ranged from 23.8% to 48.8%. The differences were statistically significant as the lower bound of the 95% CI</w:t>
      </w:r>
      <w:r w:rsidR="001071E6">
        <w:t xml:space="preserve"> excluded zero for each reader.</w:t>
      </w:r>
    </w:p>
    <w:p w:rsidR="00423561" w:rsidRDefault="00423561" w:rsidP="002405A9">
      <w:r>
        <w:t>The sensitivity and specificity rates for the detection of malignant disease (</w:t>
      </w:r>
      <w:proofErr w:type="spellStart"/>
      <w:r>
        <w:t>unifocal</w:t>
      </w:r>
      <w:proofErr w:type="spellEnd"/>
      <w:r>
        <w:t xml:space="preserve"> and multifocal) </w:t>
      </w:r>
      <w:r w:rsidR="00804FA1">
        <w:t>were</w:t>
      </w:r>
      <w:r>
        <w:t xml:space="preserve"> shown. Sensitivity was based on 630 breast regions with malignant disease verified by the </w:t>
      </w:r>
      <w:proofErr w:type="spellStart"/>
      <w:r>
        <w:t>SoT</w:t>
      </w:r>
      <w:proofErr w:type="spellEnd"/>
      <w:r>
        <w:t>. Sensitivity rates were consistently higher with CMRM compared with UMRM and the results were statistically significant as the 95% CI excluded zero. For the detection of malignant disease, there was a significant improvement in sensitivity for CMRM compared with UMRM ranging from 17.5% to 32.1% for the three readers. Improved sensitivity rates were also seen for CMRM + XRM compared with XRM (ranging from 16.5% to 24.3%), and for CMRM + XRM compared with UMRM + XR</w:t>
      </w:r>
      <w:r w:rsidR="001071E6">
        <w:t>M (ranging from 9.5% to 12.5%).</w:t>
      </w:r>
    </w:p>
    <w:p w:rsidR="00423561" w:rsidRDefault="00423561" w:rsidP="002405A9">
      <w:r>
        <w:t xml:space="preserve">Sensitivity for the detection of </w:t>
      </w:r>
      <w:proofErr w:type="spellStart"/>
      <w:r>
        <w:t>unifocal</w:t>
      </w:r>
      <w:proofErr w:type="spellEnd"/>
      <w:r>
        <w:t xml:space="preserve"> disease was based on 570 regions with </w:t>
      </w:r>
      <w:proofErr w:type="spellStart"/>
      <w:r>
        <w:t>SoT</w:t>
      </w:r>
      <w:proofErr w:type="spellEnd"/>
      <w:r>
        <w:t xml:space="preserve"> confirmed </w:t>
      </w:r>
      <w:proofErr w:type="spellStart"/>
      <w:r>
        <w:t>unifocal</w:t>
      </w:r>
      <w:proofErr w:type="spellEnd"/>
      <w:r>
        <w:t xml:space="preserve"> malignancy. Compared with UMRM, CMRM sensitivity was improved for 2/3 blinded readers by 4.6% and 19.5%, and reduced by -5.8% for 1/3 readers. A benefit in favour of CMRM was statistically significant for only one reader. Sensitivity for multifocal malignant disease was based on 60 breast regions. There was a statistically significant benefit in favour of CMRM for all readers by 46.7%, 51.7% and 31.7%. The specificity to exclude the presence of </w:t>
      </w:r>
      <w:proofErr w:type="spellStart"/>
      <w:r>
        <w:t>unifocal</w:t>
      </w:r>
      <w:proofErr w:type="spellEnd"/>
      <w:r>
        <w:t xml:space="preserve"> and multifocal malignant disease was based on 3257 and 3767 breast regions with no disease, respectively. The specificity for CMRM compared with UMRM ranged from -3.2% to -7.3% for </w:t>
      </w:r>
      <w:proofErr w:type="spellStart"/>
      <w:r>
        <w:t>unifocal</w:t>
      </w:r>
      <w:proofErr w:type="spellEnd"/>
      <w:r>
        <w:t xml:space="preserve"> disease, and from -2.3% to -6.5% for multifocal disease. None of the differences was statistically significant for any reader. Differences in sensitivity for CMRM + XRM compared with UMRM + XRM ranged from 9.5% to 12.5%; and from 16.5% to 24.3% for CMRM + XRM </w:t>
      </w:r>
      <w:r>
        <w:lastRenderedPageBreak/>
        <w:t>compared with XRM. The differences were statistically significant for all readers. There were no specificity benefits in favour of C</w:t>
      </w:r>
      <w:r w:rsidR="001071E6">
        <w:t>MRM for any imaging modalities.</w:t>
      </w:r>
    </w:p>
    <w:p w:rsidR="00423561" w:rsidRDefault="00423561" w:rsidP="002405A9">
      <w:r>
        <w:t xml:space="preserve">Values following the investigators’ assessments were generally higher than the corresponding results of the blinded readers as the investigators had more access to clinical information. Improvements in sensitivity by CMRM versus UMRM were 19% to detect malignant breast disease, 12.0% to detect </w:t>
      </w:r>
      <w:proofErr w:type="spellStart"/>
      <w:r>
        <w:t>unifocal</w:t>
      </w:r>
      <w:proofErr w:type="spellEnd"/>
      <w:r>
        <w:t xml:space="preserve"> malignant disease, and 25.4% to detect multifocal malignant disease. The differences were statistically significant in each case.  Sensitivity subgroup analyses based on country, age and race showed no significant differences when compared with the overall population.</w:t>
      </w:r>
    </w:p>
    <w:p w:rsidR="00423561" w:rsidRDefault="00423561" w:rsidP="002405A9">
      <w:pPr>
        <w:ind w:left="720"/>
      </w:pPr>
      <w:r w:rsidRPr="001071E6">
        <w:rPr>
          <w:b/>
        </w:rPr>
        <w:t>Comment:</w:t>
      </w:r>
      <w:r>
        <w:t xml:space="preserve"> The results of this study confirmed GEMMA-1 although the results were less consistent. For the first co-primary endpoint, the within-patient sensitivity of CMRM to detect malignant disease was superior to UMRM. The differences ranging from 15.2% to 31.9% in favour of CMRM were statistically significant.  For the second co-primary endpoint, the breast level specificity of CMRM based on non-malignant breasts met the pre-defined 80% threshold but only for 2/3 blinded readers. The results for the secondary efficacy endpoints were also inconsistent. However, overall sensitivity and specificity rates f</w:t>
      </w:r>
      <w:r w:rsidR="001071E6">
        <w:t>avoured CMRM compared with UMRM</w:t>
      </w:r>
    </w:p>
    <w:p w:rsidR="00423561" w:rsidRDefault="00423561" w:rsidP="002405A9">
      <w:pPr>
        <w:pStyle w:val="Heading4"/>
      </w:pPr>
      <w:bookmarkStart w:id="188" w:name="_Toc393351202"/>
      <w:bookmarkStart w:id="189" w:name="_Toc290846277"/>
      <w:bookmarkStart w:id="190" w:name="_Toc272414655"/>
      <w:bookmarkStart w:id="191" w:name="_Ref271037210"/>
      <w:bookmarkStart w:id="192" w:name="_Ref271037188"/>
      <w:bookmarkStart w:id="193" w:name="_Ref243294291"/>
      <w:bookmarkStart w:id="194" w:name="_Toc241374311"/>
      <w:r>
        <w:t>Other efficacy studies</w:t>
      </w:r>
      <w:bookmarkEnd w:id="188"/>
      <w:bookmarkEnd w:id="189"/>
      <w:bookmarkEnd w:id="190"/>
      <w:bookmarkEnd w:id="191"/>
      <w:bookmarkEnd w:id="192"/>
    </w:p>
    <w:p w:rsidR="00423561" w:rsidRDefault="00423561" w:rsidP="002405A9">
      <w:pPr>
        <w:pStyle w:val="Heading5"/>
      </w:pPr>
      <w:bookmarkStart w:id="195" w:name="_Toc393351203"/>
      <w:bookmarkStart w:id="196" w:name="_Toc290846279"/>
      <w:bookmarkEnd w:id="193"/>
      <w:bookmarkEnd w:id="194"/>
      <w:r>
        <w:t>Study 94055/99012</w:t>
      </w:r>
      <w:bookmarkEnd w:id="195"/>
      <w:bookmarkEnd w:id="196"/>
    </w:p>
    <w:p w:rsidR="00804FA1" w:rsidRPr="00F0260C" w:rsidRDefault="00423561" w:rsidP="002405A9">
      <w:r>
        <w:t xml:space="preserve">Study 94055 has been evaluated previously. Study 99012 is a </w:t>
      </w:r>
      <w:r>
        <w:rPr>
          <w:i/>
        </w:rPr>
        <w:t xml:space="preserve">post hoc </w:t>
      </w:r>
      <w:r>
        <w:t xml:space="preserve">analysis of study 94055 to compare the sensitivity, specificity and accuracy of non-enhanced and GAD-enhanced MRI in the detection of malignant versus benign lesions, and exact diagnosis in various body regions. 94055/99012 was a multicentre, non-randomised, open-label, single dose, intra-individually controlled study. </w:t>
      </w:r>
      <w:proofErr w:type="spellStart"/>
      <w:r>
        <w:t>Gadovist</w:t>
      </w:r>
      <w:proofErr w:type="spellEnd"/>
      <w:r>
        <w:t xml:space="preserve">® 0.1 </w:t>
      </w:r>
      <w:proofErr w:type="spellStart"/>
      <w:r>
        <w:t>mmol</w:t>
      </w:r>
      <w:proofErr w:type="spellEnd"/>
      <w:r>
        <w:t xml:space="preserve">/kg BW was administered to each patient. There was no active control group and the unenhanced MRI was used as an internal comparator. A total of 180-290 patients </w:t>
      </w:r>
      <w:proofErr w:type="gramStart"/>
      <w:r>
        <w:t>was</w:t>
      </w:r>
      <w:proofErr w:type="gramEnd"/>
      <w:r>
        <w:t xml:space="preserve"> planned with indications for different body regions including liver, bone, soft tissue, pelvic and thoracic organs, and breast lesions. A total of 182 patients </w:t>
      </w:r>
      <w:proofErr w:type="gramStart"/>
      <w:r>
        <w:t>was</w:t>
      </w:r>
      <w:proofErr w:type="gramEnd"/>
      <w:r>
        <w:t xml:space="preserve"> included in the study and 170 patients had an assessable </w:t>
      </w:r>
      <w:proofErr w:type="spellStart"/>
      <w:r>
        <w:t>SoT</w:t>
      </w:r>
      <w:proofErr w:type="spellEnd"/>
      <w:r>
        <w:t xml:space="preserve">. Of these, 151 patients had both MRIs assessed by all the blinded readers. The statistical evaluation employed descriptive statistics using SAS 9.1. The final diagnosis was based on the </w:t>
      </w:r>
      <w:proofErr w:type="spellStart"/>
      <w:r>
        <w:t>SoT</w:t>
      </w:r>
      <w:proofErr w:type="spellEnd"/>
      <w:r>
        <w:t xml:space="preserve"> using all information available to the investigator including the MRI results. The frequencies of procedures performed to reach the final diagnosis in 137 patients with all images evaluated by all blinded readers are shown in </w:t>
      </w:r>
      <w:r w:rsidRPr="00F0260C">
        <w:t xml:space="preserve">Table </w:t>
      </w:r>
      <w:r w:rsidR="00393D12">
        <w:t>17</w:t>
      </w:r>
      <w:r w:rsidR="001071E6">
        <w:t>.</w:t>
      </w:r>
    </w:p>
    <w:p w:rsidR="001071E6" w:rsidRDefault="00804FA1" w:rsidP="002405A9">
      <w:pPr>
        <w:pStyle w:val="Tabletitle"/>
      </w:pPr>
      <w:bookmarkStart w:id="197" w:name="_Ref393278598"/>
      <w:bookmarkStart w:id="198" w:name="_Toc393351360"/>
      <w:r>
        <w:t xml:space="preserve">Table </w:t>
      </w:r>
      <w:r w:rsidR="00393D12">
        <w:t>17</w:t>
      </w:r>
      <w:r w:rsidR="00F0260C">
        <w:t>:</w:t>
      </w:r>
      <w:r>
        <w:t xml:space="preserve"> Study 94055/99012</w:t>
      </w:r>
      <w:bookmarkEnd w:id="197"/>
      <w:bookmarkEnd w:id="198"/>
      <w:r w:rsidR="00F0260C">
        <w:t xml:space="preserve"> Frequencies of procedures (biopsy/Surgery/Cytology) performed to reach referral/final diagnosis in subjects with all images evaluated by all blinded readers (complete cases)</w:t>
      </w:r>
    </w:p>
    <w:p w:rsidR="00804FA1" w:rsidRDefault="00804FA1" w:rsidP="001071E6">
      <w:r w:rsidRPr="00EC6364">
        <w:rPr>
          <w:noProof/>
          <w:lang w:eastAsia="en-AU"/>
        </w:rPr>
        <w:drawing>
          <wp:inline distT="0" distB="0" distL="0" distR="0" wp14:anchorId="12857675" wp14:editId="251E1AF5">
            <wp:extent cx="4730449" cy="2266790"/>
            <wp:effectExtent l="0" t="0" r="0" b="0"/>
            <wp:docPr id="65" name="Picture 65" descr="Table 17: Study 94055/99012 Frequencies of procedures (biopsy/Surgery/Cytology) performed to reach referral/final diagnosis in subjects with all images evaluated by all blinded readers (complet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l="2815" t="10125" b="4073"/>
                    <a:stretch/>
                  </pic:blipFill>
                  <pic:spPr bwMode="auto">
                    <a:xfrm>
                      <a:off x="0" y="0"/>
                      <a:ext cx="4732722" cy="2267879"/>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Pr="00F0260C" w:rsidRDefault="00423561" w:rsidP="002405A9">
      <w:r>
        <w:lastRenderedPageBreak/>
        <w:t xml:space="preserve">Patients with a non-assessable </w:t>
      </w:r>
      <w:proofErr w:type="spellStart"/>
      <w:r>
        <w:t>SoT</w:t>
      </w:r>
      <w:proofErr w:type="spellEnd"/>
      <w:r>
        <w:t xml:space="preserve"> were excluded from the analysis. Sensitivity, specificity and accuracy were calculated per reader as described Sensitivity and specificity were defined as TP</w:t>
      </w:r>
      <w:proofErr w:type="gramStart"/>
      <w:r>
        <w:t>/(</w:t>
      </w:r>
      <w:proofErr w:type="gramEnd"/>
      <w:r>
        <w:t xml:space="preserve">TP+FN) and TN/(TN+FP), respectively, categorised </w:t>
      </w:r>
      <w:r w:rsidRPr="00F0260C">
        <w:t>in Table</w:t>
      </w:r>
      <w:r w:rsidR="00F0260C" w:rsidRPr="00F0260C">
        <w:t xml:space="preserve"> </w:t>
      </w:r>
      <w:r w:rsidR="00393D12">
        <w:t>18</w:t>
      </w:r>
      <w:r w:rsidRPr="00F0260C">
        <w:t>.</w:t>
      </w:r>
    </w:p>
    <w:p w:rsidR="00804FA1" w:rsidRDefault="00804FA1" w:rsidP="002405A9">
      <w:pPr>
        <w:pStyle w:val="Tabletitle"/>
      </w:pPr>
      <w:bookmarkStart w:id="199" w:name="_Ref393278601"/>
      <w:bookmarkStart w:id="200" w:name="_Toc393351361"/>
      <w:r>
        <w:t xml:space="preserve">Table </w:t>
      </w:r>
      <w:r w:rsidR="00393D12">
        <w:t>18</w:t>
      </w:r>
      <w:r w:rsidR="00F0260C">
        <w:t>:</w:t>
      </w:r>
      <w:r>
        <w:t xml:space="preserve"> Study 94055/99012</w:t>
      </w:r>
      <w:bookmarkEnd w:id="199"/>
      <w:bookmarkEnd w:id="200"/>
    </w:p>
    <w:p w:rsidR="00804FA1" w:rsidRDefault="00804FA1" w:rsidP="00804FA1">
      <w:pPr>
        <w:rPr>
          <w:b/>
        </w:rPr>
      </w:pPr>
      <w:r w:rsidRPr="00C5370F">
        <w:rPr>
          <w:b/>
          <w:noProof/>
          <w:lang w:eastAsia="en-AU"/>
        </w:rPr>
        <w:drawing>
          <wp:inline distT="0" distB="0" distL="0" distR="0" wp14:anchorId="0EFCE22D" wp14:editId="167DA288">
            <wp:extent cx="5140618" cy="690008"/>
            <wp:effectExtent l="0" t="0" r="0" b="0"/>
            <wp:docPr id="138" name="Picture 138" descr="Table 18: Study 94055/9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l="807" b="9174"/>
                    <a:stretch/>
                  </pic:blipFill>
                  <pic:spPr bwMode="auto">
                    <a:xfrm>
                      <a:off x="0" y="0"/>
                      <a:ext cx="5156802" cy="692180"/>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2405A9">
      <w:pPr>
        <w:pStyle w:val="Heading6"/>
      </w:pPr>
      <w:bookmarkStart w:id="201" w:name="_Toc393351204"/>
      <w:r>
        <w:t>Efficacy results</w:t>
      </w:r>
      <w:bookmarkEnd w:id="201"/>
    </w:p>
    <w:p w:rsidR="00804FA1" w:rsidRPr="00AA542C" w:rsidRDefault="00423561" w:rsidP="002405A9">
      <w:r>
        <w:t xml:space="preserve">The primary analysis for sensitivity, specificity and accuracy for malignant lesions was based on the average reader’s assessment as shown </w:t>
      </w:r>
      <w:r w:rsidRPr="00AA542C">
        <w:t>in Table</w:t>
      </w:r>
      <w:r w:rsidR="00AA542C">
        <w:t>s</w:t>
      </w:r>
      <w:r w:rsidR="00AA542C" w:rsidRPr="00AA542C">
        <w:t xml:space="preserve"> </w:t>
      </w:r>
      <w:r w:rsidR="00393D12">
        <w:t>19</w:t>
      </w:r>
      <w:r w:rsidR="00AA542C" w:rsidRPr="00AA542C">
        <w:t>-2</w:t>
      </w:r>
      <w:r w:rsidR="00393D12">
        <w:t>1</w:t>
      </w:r>
      <w:r w:rsidR="001071E6">
        <w:t>.</w:t>
      </w:r>
    </w:p>
    <w:p w:rsidR="00804FA1" w:rsidRDefault="00804FA1" w:rsidP="002405A9">
      <w:pPr>
        <w:pStyle w:val="Tabletitle"/>
      </w:pPr>
      <w:bookmarkStart w:id="202" w:name="_Ref393278603"/>
      <w:bookmarkStart w:id="203" w:name="_Toc393351362"/>
      <w:r>
        <w:t xml:space="preserve">Table </w:t>
      </w:r>
      <w:r w:rsidR="00393D12">
        <w:t>19</w:t>
      </w:r>
      <w:r w:rsidR="00AA542C">
        <w:t>:</w:t>
      </w:r>
      <w:r>
        <w:t xml:space="preserve"> Study 94055/99012</w:t>
      </w:r>
      <w:bookmarkEnd w:id="202"/>
      <w:bookmarkEnd w:id="203"/>
      <w:r w:rsidR="00AA542C">
        <w:t xml:space="preserve"> Sensitivity of malignant lesion classification (blinded readers) in percent and difference in percentage points for </w:t>
      </w:r>
      <w:proofErr w:type="spellStart"/>
      <w:r w:rsidR="00AA542C">
        <w:t>Gadovist</w:t>
      </w:r>
      <w:proofErr w:type="spellEnd"/>
      <w:r w:rsidR="00AA542C">
        <w:t xml:space="preserve"> enhanced and unenhanced MRI</w:t>
      </w:r>
    </w:p>
    <w:p w:rsidR="00804FA1" w:rsidRDefault="00804FA1" w:rsidP="00804FA1">
      <w:pPr>
        <w:rPr>
          <w:b/>
        </w:rPr>
      </w:pPr>
      <w:r w:rsidRPr="0084235A">
        <w:rPr>
          <w:b/>
          <w:noProof/>
          <w:lang w:eastAsia="en-AU"/>
        </w:rPr>
        <w:drawing>
          <wp:inline distT="0" distB="0" distL="0" distR="0" wp14:anchorId="6CD0E823" wp14:editId="2566716A">
            <wp:extent cx="5140618" cy="1162837"/>
            <wp:effectExtent l="0" t="0" r="0" b="0"/>
            <wp:docPr id="66" name="Picture 66" descr="Table 19: Study 94055/99012 Sensitivity of malignant lesion classification (blinded readers) in percent and difference in percentage points for Gadovist enhanced and unenhanced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lum bright="-20000" contrast="40000"/>
                      <a:extLst>
                        <a:ext uri="{28A0092B-C50C-407E-A947-70E740481C1C}">
                          <a14:useLocalDpi xmlns:a14="http://schemas.microsoft.com/office/drawing/2010/main" val="0"/>
                        </a:ext>
                      </a:extLst>
                    </a:blip>
                    <a:srcRect l="940" t="19324"/>
                    <a:stretch/>
                  </pic:blipFill>
                  <pic:spPr bwMode="auto">
                    <a:xfrm>
                      <a:off x="0" y="0"/>
                      <a:ext cx="5146818" cy="1164240"/>
                    </a:xfrm>
                    <a:prstGeom prst="rect">
                      <a:avLst/>
                    </a:prstGeom>
                    <a:noFill/>
                    <a:ln>
                      <a:noFill/>
                    </a:ln>
                    <a:extLst>
                      <a:ext uri="{53640926-AAD7-44D8-BBD7-CCE9431645EC}">
                        <a14:shadowObscured xmlns:a14="http://schemas.microsoft.com/office/drawing/2010/main"/>
                      </a:ext>
                    </a:extLst>
                  </pic:spPr>
                </pic:pic>
              </a:graphicData>
            </a:graphic>
          </wp:inline>
        </w:drawing>
      </w:r>
    </w:p>
    <w:p w:rsidR="001071E6" w:rsidRDefault="00804FA1" w:rsidP="002405A9">
      <w:pPr>
        <w:pStyle w:val="Tabletitle"/>
      </w:pPr>
      <w:bookmarkStart w:id="204" w:name="_Ref393278605"/>
      <w:bookmarkStart w:id="205" w:name="_Toc393351363"/>
      <w:r>
        <w:t xml:space="preserve">Table </w:t>
      </w:r>
      <w:r w:rsidR="00AA542C">
        <w:t>2</w:t>
      </w:r>
      <w:r w:rsidR="00393D12">
        <w:t>0</w:t>
      </w:r>
      <w:r w:rsidR="00AA542C">
        <w:t>:</w:t>
      </w:r>
      <w:r>
        <w:t xml:space="preserve"> Study 94055/99012</w:t>
      </w:r>
      <w:bookmarkEnd w:id="204"/>
      <w:bookmarkEnd w:id="205"/>
      <w:r w:rsidR="00AA542C">
        <w:t xml:space="preserve"> Specificity of malignant lesion classification (blinded readers) in percent and difference in percentage points for </w:t>
      </w:r>
      <w:proofErr w:type="spellStart"/>
      <w:r w:rsidR="00AA542C">
        <w:t>Gadovist</w:t>
      </w:r>
      <w:proofErr w:type="spellEnd"/>
      <w:r w:rsidR="00AA542C">
        <w:t xml:space="preserve"> enhanced and unenhanced MRI</w:t>
      </w:r>
    </w:p>
    <w:p w:rsidR="00804FA1" w:rsidRDefault="00804FA1" w:rsidP="001071E6">
      <w:r w:rsidRPr="0084235A">
        <w:rPr>
          <w:noProof/>
          <w:lang w:eastAsia="en-AU"/>
        </w:rPr>
        <w:drawing>
          <wp:inline distT="0" distB="0" distL="0" distR="0" wp14:anchorId="6619BC28" wp14:editId="045443C5">
            <wp:extent cx="5009990" cy="1025721"/>
            <wp:effectExtent l="0" t="0" r="0" b="0"/>
            <wp:docPr id="67" name="Picture 67" descr="Table 20: Study 94055/99012 Specificity of malignant lesion classification (blinded readers) in percent and difference in percentage points for Gadovist enhanced and unenhanced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l="3625" t="21183" b="6364"/>
                    <a:stretch/>
                  </pic:blipFill>
                  <pic:spPr bwMode="auto">
                    <a:xfrm>
                      <a:off x="0" y="0"/>
                      <a:ext cx="5016033" cy="1026958"/>
                    </a:xfrm>
                    <a:prstGeom prst="rect">
                      <a:avLst/>
                    </a:prstGeom>
                    <a:noFill/>
                    <a:ln>
                      <a:noFill/>
                    </a:ln>
                    <a:extLst>
                      <a:ext uri="{53640926-AAD7-44D8-BBD7-CCE9431645EC}">
                        <a14:shadowObscured xmlns:a14="http://schemas.microsoft.com/office/drawing/2010/main"/>
                      </a:ext>
                    </a:extLst>
                  </pic:spPr>
                </pic:pic>
              </a:graphicData>
            </a:graphic>
          </wp:inline>
        </w:drawing>
      </w:r>
    </w:p>
    <w:p w:rsidR="00804FA1" w:rsidRDefault="00804FA1" w:rsidP="002405A9">
      <w:pPr>
        <w:pStyle w:val="Tabletitle"/>
      </w:pPr>
      <w:bookmarkStart w:id="206" w:name="_Ref393278608"/>
      <w:bookmarkStart w:id="207" w:name="_Toc393351364"/>
      <w:r>
        <w:t xml:space="preserve">Table </w:t>
      </w:r>
      <w:r w:rsidR="00AA542C">
        <w:t>2</w:t>
      </w:r>
      <w:r w:rsidR="00393D12">
        <w:t>1</w:t>
      </w:r>
      <w:r w:rsidR="00AA542C">
        <w:t>:</w:t>
      </w:r>
      <w:r>
        <w:t xml:space="preserve"> Study 94055/99012</w:t>
      </w:r>
      <w:bookmarkEnd w:id="206"/>
      <w:bookmarkEnd w:id="207"/>
      <w:r w:rsidR="00AA542C">
        <w:t xml:space="preserve"> Accuracy of malignant lesion classification (blinded reader) in percent and difference in percentage points for </w:t>
      </w:r>
      <w:proofErr w:type="spellStart"/>
      <w:r w:rsidR="00AA542C">
        <w:t>Gadovist</w:t>
      </w:r>
      <w:proofErr w:type="spellEnd"/>
      <w:r w:rsidR="00AA542C">
        <w:t xml:space="preserve"> enhanced and unenhanced MRI</w:t>
      </w:r>
    </w:p>
    <w:p w:rsidR="00804FA1" w:rsidRDefault="00804FA1" w:rsidP="00804FA1">
      <w:pPr>
        <w:rPr>
          <w:b/>
        </w:rPr>
      </w:pPr>
      <w:r w:rsidRPr="0084235A">
        <w:rPr>
          <w:b/>
          <w:noProof/>
          <w:lang w:eastAsia="en-AU"/>
        </w:rPr>
        <w:drawing>
          <wp:inline distT="0" distB="0" distL="0" distR="0" wp14:anchorId="2FB88BFF" wp14:editId="55DF8EA7">
            <wp:extent cx="4948518" cy="1069318"/>
            <wp:effectExtent l="0" t="0" r="0" b="0"/>
            <wp:docPr id="68" name="Picture 68" descr="Table 21: Study 94055/99012 Accuracy of malignant lesion classification (blinded reader) in percent and difference in percentage points for Gadovist enhanced and unenhanced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l="4558" t="17404" b="8218"/>
                    <a:stretch/>
                  </pic:blipFill>
                  <pic:spPr bwMode="auto">
                    <a:xfrm>
                      <a:off x="0" y="0"/>
                      <a:ext cx="4947845" cy="1069173"/>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Pr="00AA542C" w:rsidRDefault="00423561" w:rsidP="002405A9">
      <w:r>
        <w:t xml:space="preserve">All the average assessments were statistically significantly higher for GAD-enhanced MRI compared with unenhanced MRI, although this was not demonstrated by all readers for all assessments. There was a benefit in favour of GAD-enhanced MRI of 8.11% (95% CI: 4.51, 11.71) for sensitivity; 7.94% (95% CI: 3.52, 12.35) for specificity; and 8.03% (95% CI: 4.03, 12.02) for accuracy. Differences in sensitivity, specificity and accuracy of malignant versus benign lesions per body region are shown </w:t>
      </w:r>
      <w:r w:rsidRPr="00AA542C">
        <w:t>in Table</w:t>
      </w:r>
      <w:r w:rsidR="00AA542C">
        <w:t>s</w:t>
      </w:r>
      <w:r w:rsidRPr="00AA542C">
        <w:t xml:space="preserve"> </w:t>
      </w:r>
      <w:r w:rsidR="00AA542C" w:rsidRPr="00AA542C">
        <w:t>2</w:t>
      </w:r>
      <w:r w:rsidR="00AB174B">
        <w:t>2</w:t>
      </w:r>
      <w:r w:rsidR="00AA542C" w:rsidRPr="00AA542C">
        <w:t>-2</w:t>
      </w:r>
      <w:r w:rsidR="00AB174B">
        <w:t>4</w:t>
      </w:r>
      <w:r w:rsidRPr="00AA542C">
        <w:t xml:space="preserve">. GAD-enhanced MRI improved the </w:t>
      </w:r>
      <w:r w:rsidRPr="00AA542C">
        <w:lastRenderedPageBreak/>
        <w:t xml:space="preserve">exact diagnosis, or was no worse, compared with unenhanced MRI both overall and for each body region, on average and for each blinded reader (Table </w:t>
      </w:r>
      <w:r w:rsidR="00AA542C" w:rsidRPr="00AA542C">
        <w:t>2</w:t>
      </w:r>
      <w:r w:rsidR="00AB174B">
        <w:t>5</w:t>
      </w:r>
      <w:r w:rsidRPr="00AA542C">
        <w:t>).</w:t>
      </w:r>
    </w:p>
    <w:p w:rsidR="00804FA1" w:rsidRDefault="00804FA1" w:rsidP="002405A9">
      <w:pPr>
        <w:pStyle w:val="Tabletitle"/>
      </w:pPr>
      <w:bookmarkStart w:id="208" w:name="_Ref393278610"/>
      <w:bookmarkStart w:id="209" w:name="_Toc393351365"/>
      <w:r>
        <w:t xml:space="preserve">Table </w:t>
      </w:r>
      <w:r w:rsidR="00AA542C">
        <w:t>2</w:t>
      </w:r>
      <w:r w:rsidR="00AB174B">
        <w:t>2</w:t>
      </w:r>
      <w:r w:rsidR="00AA542C">
        <w:t>:</w:t>
      </w:r>
      <w:r>
        <w:t xml:space="preserve"> Study 94055/99012</w:t>
      </w:r>
      <w:bookmarkEnd w:id="208"/>
      <w:bookmarkEnd w:id="209"/>
      <w:r w:rsidR="00AA542C">
        <w:t xml:space="preserve"> Sensitivity of malignant lesion classification (blinded readers) in percentage points for </w:t>
      </w:r>
      <w:proofErr w:type="spellStart"/>
      <w:r w:rsidR="00AA542C">
        <w:t>Gadovist</w:t>
      </w:r>
      <w:proofErr w:type="spellEnd"/>
      <w:r w:rsidR="00AA542C">
        <w:t xml:space="preserve"> enhanced and unenhanced MRI by body region</w:t>
      </w:r>
    </w:p>
    <w:p w:rsidR="00804FA1" w:rsidRDefault="00804FA1" w:rsidP="00804FA1">
      <w:pPr>
        <w:rPr>
          <w:b/>
        </w:rPr>
      </w:pPr>
      <w:r w:rsidRPr="00CD72FC">
        <w:rPr>
          <w:b/>
          <w:noProof/>
          <w:lang w:eastAsia="en-AU"/>
        </w:rPr>
        <w:drawing>
          <wp:inline distT="0" distB="0" distL="0" distR="0" wp14:anchorId="7C706E69" wp14:editId="0048B8DF">
            <wp:extent cx="4202304" cy="3065929"/>
            <wp:effectExtent l="0" t="0" r="0" b="0"/>
            <wp:docPr id="69" name="Picture 69" descr="Table 22: Study 94055/99012 Sensitivity of malignant lesion classification (blinded readers) in percentage points for Gadovist enhanced and unenhanced MRI by bod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3">
                      <a:lum bright="-20000" contrast="40000"/>
                      <a:extLst>
                        <a:ext uri="{28A0092B-C50C-407E-A947-70E740481C1C}">
                          <a14:useLocalDpi xmlns:a14="http://schemas.microsoft.com/office/drawing/2010/main" val="0"/>
                        </a:ext>
                      </a:extLst>
                    </a:blip>
                    <a:srcRect l="2011" t="6371" b="1805"/>
                    <a:stretch/>
                  </pic:blipFill>
                  <pic:spPr bwMode="auto">
                    <a:xfrm>
                      <a:off x="0" y="0"/>
                      <a:ext cx="4201732" cy="3065512"/>
                    </a:xfrm>
                    <a:prstGeom prst="rect">
                      <a:avLst/>
                    </a:prstGeom>
                    <a:noFill/>
                    <a:ln>
                      <a:noFill/>
                    </a:ln>
                    <a:extLst>
                      <a:ext uri="{53640926-AAD7-44D8-BBD7-CCE9431645EC}">
                        <a14:shadowObscured xmlns:a14="http://schemas.microsoft.com/office/drawing/2010/main"/>
                      </a:ext>
                    </a:extLst>
                  </pic:spPr>
                </pic:pic>
              </a:graphicData>
            </a:graphic>
          </wp:inline>
        </w:drawing>
      </w:r>
    </w:p>
    <w:p w:rsidR="00AA542C" w:rsidRDefault="00804FA1" w:rsidP="002405A9">
      <w:pPr>
        <w:pStyle w:val="Tabletitle"/>
      </w:pPr>
      <w:bookmarkStart w:id="210" w:name="_Ref393278612"/>
      <w:bookmarkStart w:id="211" w:name="_Toc393351366"/>
      <w:r>
        <w:t xml:space="preserve">Table </w:t>
      </w:r>
      <w:r w:rsidR="00AA542C">
        <w:t>2</w:t>
      </w:r>
      <w:r w:rsidR="00AB174B">
        <w:t>3</w:t>
      </w:r>
      <w:r w:rsidR="00AA542C">
        <w:t>:</w:t>
      </w:r>
      <w:r>
        <w:t xml:space="preserve"> Study 94055/99012</w:t>
      </w:r>
      <w:bookmarkEnd w:id="210"/>
      <w:bookmarkEnd w:id="211"/>
      <w:r w:rsidR="00AA542C">
        <w:t xml:space="preserve"> Specificity of malignant lesion classification (blinded readers) in percentage points for </w:t>
      </w:r>
      <w:proofErr w:type="spellStart"/>
      <w:r w:rsidR="00AA542C">
        <w:t>Gadovist</w:t>
      </w:r>
      <w:proofErr w:type="spellEnd"/>
      <w:r w:rsidR="00AA542C">
        <w:t xml:space="preserve"> enhanced and unenhanced MRI by body region</w:t>
      </w:r>
    </w:p>
    <w:p w:rsidR="00804FA1" w:rsidRDefault="00804FA1" w:rsidP="00804FA1">
      <w:pPr>
        <w:rPr>
          <w:b/>
        </w:rPr>
      </w:pPr>
      <w:r w:rsidRPr="00CD72FC">
        <w:rPr>
          <w:b/>
          <w:noProof/>
          <w:lang w:eastAsia="en-AU"/>
        </w:rPr>
        <w:drawing>
          <wp:inline distT="0" distB="0" distL="0" distR="0" wp14:anchorId="00E8E6C2" wp14:editId="01E9463F">
            <wp:extent cx="4374145" cy="2658676"/>
            <wp:effectExtent l="0" t="0" r="0" b="0"/>
            <wp:docPr id="70" name="Picture 70" descr="Table 23: Study 94055/99012 Specificity of malignant lesion classification (blinded readers) in percentage points for Gadovist enhanced and unenhanced MRI by bod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l="2547" t="8435" r="-2547" b="4647"/>
                    <a:stretch/>
                  </pic:blipFill>
                  <pic:spPr bwMode="auto">
                    <a:xfrm>
                      <a:off x="0" y="0"/>
                      <a:ext cx="4380662" cy="2662637"/>
                    </a:xfrm>
                    <a:prstGeom prst="rect">
                      <a:avLst/>
                    </a:prstGeom>
                    <a:noFill/>
                    <a:ln>
                      <a:noFill/>
                    </a:ln>
                    <a:extLst>
                      <a:ext uri="{53640926-AAD7-44D8-BBD7-CCE9431645EC}">
                        <a14:shadowObscured xmlns:a14="http://schemas.microsoft.com/office/drawing/2010/main"/>
                      </a:ext>
                    </a:extLst>
                  </pic:spPr>
                </pic:pic>
              </a:graphicData>
            </a:graphic>
          </wp:inline>
        </w:drawing>
      </w:r>
    </w:p>
    <w:p w:rsidR="00AA542C" w:rsidRDefault="00804FA1" w:rsidP="002405A9">
      <w:pPr>
        <w:pStyle w:val="Tabletitle"/>
      </w:pPr>
      <w:bookmarkStart w:id="212" w:name="_Ref393278617"/>
      <w:bookmarkStart w:id="213" w:name="_Toc393351367"/>
      <w:r>
        <w:lastRenderedPageBreak/>
        <w:t xml:space="preserve">Table </w:t>
      </w:r>
      <w:r w:rsidR="00AA542C">
        <w:t>2</w:t>
      </w:r>
      <w:r w:rsidR="00AB174B">
        <w:t>4</w:t>
      </w:r>
      <w:r w:rsidR="00AA542C">
        <w:t>:</w:t>
      </w:r>
      <w:r>
        <w:t xml:space="preserve"> Study 94055/99012</w:t>
      </w:r>
      <w:bookmarkEnd w:id="212"/>
      <w:bookmarkEnd w:id="213"/>
      <w:r w:rsidR="00AA542C">
        <w:t xml:space="preserve"> Accuracy of malignant lesion classification (blinded reader) in percent and difference in percentage points for </w:t>
      </w:r>
      <w:proofErr w:type="spellStart"/>
      <w:r w:rsidR="00AA542C">
        <w:t>Gadovist</w:t>
      </w:r>
      <w:proofErr w:type="spellEnd"/>
      <w:r w:rsidR="00AA542C">
        <w:t xml:space="preserve"> enhanced and unenhanced MRI</w:t>
      </w:r>
    </w:p>
    <w:p w:rsidR="00804FA1" w:rsidRDefault="00804FA1" w:rsidP="00804FA1">
      <w:pPr>
        <w:rPr>
          <w:b/>
        </w:rPr>
      </w:pPr>
      <w:r w:rsidRPr="00CD72FC">
        <w:rPr>
          <w:b/>
          <w:noProof/>
          <w:lang w:eastAsia="en-AU"/>
        </w:rPr>
        <w:drawing>
          <wp:inline distT="0" distB="0" distL="0" distR="0" wp14:anchorId="6D388F5A" wp14:editId="2DE05228">
            <wp:extent cx="4130230" cy="3004457"/>
            <wp:effectExtent l="0" t="0" r="0" b="0"/>
            <wp:docPr id="71" name="Picture 71" descr="Table 24: Study 94055/99012 Accuracy of malignant lesion classification (blinded reader) in percent and difference in percentage points for Gadovist enhanced and unenhanced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lum bright="-20000" contrast="40000"/>
                      <a:extLst>
                        <a:ext uri="{28A0092B-C50C-407E-A947-70E740481C1C}">
                          <a14:useLocalDpi xmlns:a14="http://schemas.microsoft.com/office/drawing/2010/main" val="0"/>
                        </a:ext>
                      </a:extLst>
                    </a:blip>
                    <a:srcRect l="5503" t="8553" b="7183"/>
                    <a:stretch/>
                  </pic:blipFill>
                  <pic:spPr bwMode="auto">
                    <a:xfrm>
                      <a:off x="0" y="0"/>
                      <a:ext cx="4135214" cy="3008082"/>
                    </a:xfrm>
                    <a:prstGeom prst="rect">
                      <a:avLst/>
                    </a:prstGeom>
                    <a:noFill/>
                    <a:ln>
                      <a:noFill/>
                    </a:ln>
                    <a:extLst>
                      <a:ext uri="{53640926-AAD7-44D8-BBD7-CCE9431645EC}">
                        <a14:shadowObscured xmlns:a14="http://schemas.microsoft.com/office/drawing/2010/main"/>
                      </a:ext>
                    </a:extLst>
                  </pic:spPr>
                </pic:pic>
              </a:graphicData>
            </a:graphic>
          </wp:inline>
        </w:drawing>
      </w:r>
    </w:p>
    <w:p w:rsidR="00804FA1" w:rsidRDefault="00804FA1" w:rsidP="002405A9">
      <w:pPr>
        <w:pStyle w:val="Tabletitle"/>
      </w:pPr>
      <w:bookmarkStart w:id="214" w:name="_Ref393278619"/>
      <w:bookmarkStart w:id="215" w:name="_Toc393351368"/>
      <w:r>
        <w:t xml:space="preserve">Table </w:t>
      </w:r>
      <w:r w:rsidR="00DC0B1C">
        <w:t>2</w:t>
      </w:r>
      <w:r w:rsidR="00AB174B">
        <w:t>5</w:t>
      </w:r>
      <w:r w:rsidR="00DC0B1C">
        <w:t>:</w:t>
      </w:r>
      <w:r>
        <w:t xml:space="preserve"> Study 94055/99012</w:t>
      </w:r>
      <w:bookmarkEnd w:id="214"/>
      <w:bookmarkEnd w:id="215"/>
      <w:r w:rsidR="00AA542C">
        <w:t xml:space="preserve"> </w:t>
      </w:r>
      <w:r w:rsidR="00DC0B1C">
        <w:t xml:space="preserve">Overall agreement of exact diagnosis in percent and difference in percentage points for </w:t>
      </w:r>
      <w:proofErr w:type="spellStart"/>
      <w:r w:rsidR="00DC0B1C">
        <w:t>Gadovist</w:t>
      </w:r>
      <w:proofErr w:type="spellEnd"/>
      <w:r w:rsidR="00DC0B1C">
        <w:t xml:space="preserve"> enhanced and unenhanced MRI by body region</w:t>
      </w:r>
    </w:p>
    <w:p w:rsidR="00804FA1" w:rsidRDefault="00804FA1" w:rsidP="00804FA1">
      <w:pPr>
        <w:rPr>
          <w:b/>
        </w:rPr>
      </w:pPr>
      <w:r w:rsidRPr="00CD72FC">
        <w:rPr>
          <w:b/>
          <w:noProof/>
          <w:lang w:eastAsia="en-AU"/>
        </w:rPr>
        <w:drawing>
          <wp:inline distT="0" distB="0" distL="0" distR="0" wp14:anchorId="11BC8680" wp14:editId="0880984C">
            <wp:extent cx="4400306" cy="3780544"/>
            <wp:effectExtent l="0" t="0" r="0" b="0"/>
            <wp:docPr id="72" name="Picture 72" descr="Table 25: Study 94055/99012 Overall agreement of exact diagnosis in percent and difference in percentage points for Gadovist enhanced and unenhanced MRI by bod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a:lum bright="-20000" contrast="40000"/>
                      <a:extLst>
                        <a:ext uri="{28A0092B-C50C-407E-A947-70E740481C1C}">
                          <a14:useLocalDpi xmlns:a14="http://schemas.microsoft.com/office/drawing/2010/main" val="0"/>
                        </a:ext>
                      </a:extLst>
                    </a:blip>
                    <a:srcRect l="4698" t="7983" b="3432"/>
                    <a:stretch/>
                  </pic:blipFill>
                  <pic:spPr bwMode="auto">
                    <a:xfrm>
                      <a:off x="0" y="0"/>
                      <a:ext cx="4405614" cy="3785105"/>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2405A9">
      <w:pPr>
        <w:ind w:left="720"/>
      </w:pPr>
      <w:r w:rsidRPr="001071E6">
        <w:rPr>
          <w:b/>
        </w:rPr>
        <w:t>Comment:</w:t>
      </w:r>
      <w:r>
        <w:t xml:space="preserve"> The study results support the proposed claim for whole body imaging. The sensitivity and specificity of GAD CMRM were superior to UMRM for all three readers. The benefit in favour of CMRM was demonstrated for all body regions although no </w:t>
      </w:r>
      <w:r>
        <w:lastRenderedPageBreak/>
        <w:t xml:space="preserve">patients with lung disease were examined. The study was open-label but the readers were blinded. There was no active comparator but GAD proved superior to UMRM with patients acting as their own controls. </w:t>
      </w:r>
    </w:p>
    <w:p w:rsidR="00423561" w:rsidRDefault="00423561" w:rsidP="002405A9">
      <w:pPr>
        <w:pStyle w:val="Heading5"/>
      </w:pPr>
      <w:bookmarkStart w:id="216" w:name="_Toc393351205"/>
      <w:r>
        <w:t>Literature review – whole body imaging</w:t>
      </w:r>
      <w:bookmarkEnd w:id="216"/>
    </w:p>
    <w:p w:rsidR="00423561" w:rsidRDefault="00423561" w:rsidP="002405A9">
      <w:r>
        <w:t xml:space="preserve">The sponsor has submitted a literature review of articles published up to February 2013 based on </w:t>
      </w:r>
      <w:proofErr w:type="spellStart"/>
      <w:r>
        <w:t>Gadovist</w:t>
      </w:r>
      <w:proofErr w:type="spellEnd"/>
      <w:r>
        <w:t xml:space="preserve">® (GAD) and two leading gadolinium-containing comparators, </w:t>
      </w:r>
      <w:proofErr w:type="spellStart"/>
      <w:r>
        <w:t>Magne</w:t>
      </w:r>
      <w:r w:rsidR="001071E6">
        <w:t>vist</w:t>
      </w:r>
      <w:proofErr w:type="spellEnd"/>
      <w:r w:rsidR="001071E6">
        <w:t xml:space="preserve">® (MAG) and </w:t>
      </w:r>
      <w:proofErr w:type="spellStart"/>
      <w:r w:rsidR="001071E6">
        <w:t>Dotarem</w:t>
      </w:r>
      <w:proofErr w:type="spellEnd"/>
      <w:r w:rsidR="001071E6">
        <w:t>® (DOT).</w:t>
      </w:r>
    </w:p>
    <w:p w:rsidR="00423561" w:rsidRDefault="00423561" w:rsidP="002405A9">
      <w:r>
        <w:t>Inclusion criteria for the review were:</w:t>
      </w:r>
    </w:p>
    <w:p w:rsidR="00423561" w:rsidRDefault="00423561" w:rsidP="002405A9">
      <w:pPr>
        <w:pStyle w:val="ListBullet"/>
      </w:pPr>
      <w:r>
        <w:t>Intravenous administration for any indication other than those currentl</w:t>
      </w:r>
      <w:r w:rsidR="001071E6">
        <w:t>y approved for GAD in Australia</w:t>
      </w:r>
    </w:p>
    <w:p w:rsidR="00423561" w:rsidRDefault="001071E6" w:rsidP="002405A9">
      <w:pPr>
        <w:pStyle w:val="ListBullet"/>
      </w:pPr>
      <w:r>
        <w:t>At least 10 patients</w:t>
      </w:r>
    </w:p>
    <w:p w:rsidR="00423561" w:rsidRDefault="00423561" w:rsidP="002405A9">
      <w:pPr>
        <w:pStyle w:val="ListBullet"/>
      </w:pPr>
      <w:r>
        <w:t>Included sensitivity or specificity data, or used CE-MR</w:t>
      </w:r>
      <w:r w:rsidR="001071E6">
        <w:t>I as the standard of reference.</w:t>
      </w:r>
    </w:p>
    <w:p w:rsidR="00423561" w:rsidRDefault="00423561" w:rsidP="002405A9">
      <w:r>
        <w:t>Exclusion criteria for the review were:</w:t>
      </w:r>
    </w:p>
    <w:p w:rsidR="00423561" w:rsidRDefault="00423561" w:rsidP="002405A9">
      <w:pPr>
        <w:pStyle w:val="ListBullet"/>
      </w:pPr>
      <w:r>
        <w:t>Articles published only as abstracts</w:t>
      </w:r>
    </w:p>
    <w:p w:rsidR="00423561" w:rsidRDefault="00423561" w:rsidP="002405A9">
      <w:pPr>
        <w:pStyle w:val="ListBullet"/>
      </w:pPr>
      <w:r>
        <w:t>Animal studies</w:t>
      </w:r>
    </w:p>
    <w:p w:rsidR="00423561" w:rsidRDefault="00423561" w:rsidP="002405A9">
      <w:pPr>
        <w:pStyle w:val="ListBullet"/>
      </w:pPr>
      <w:r>
        <w:t>Studies in approved indications in Australia</w:t>
      </w:r>
    </w:p>
    <w:p w:rsidR="00423561" w:rsidRDefault="00423561" w:rsidP="002405A9">
      <w:pPr>
        <w:pStyle w:val="ListBullet"/>
      </w:pPr>
      <w:r>
        <w:t>Case reports</w:t>
      </w:r>
    </w:p>
    <w:p w:rsidR="00423561" w:rsidRDefault="00423561" w:rsidP="002405A9">
      <w:pPr>
        <w:pStyle w:val="ListBullet"/>
      </w:pPr>
      <w:r>
        <w:t>Review articles</w:t>
      </w:r>
    </w:p>
    <w:p w:rsidR="00423561" w:rsidRDefault="00423561" w:rsidP="002405A9">
      <w:pPr>
        <w:pStyle w:val="ListBullet"/>
      </w:pPr>
      <w:r>
        <w:t>Duplicates</w:t>
      </w:r>
    </w:p>
    <w:p w:rsidR="00423561" w:rsidRDefault="00423561" w:rsidP="002405A9">
      <w:pPr>
        <w:pStyle w:val="ListBullet"/>
      </w:pPr>
      <w:r>
        <w:t>Administration by other than intravenous routes</w:t>
      </w:r>
      <w:r w:rsidR="001071E6">
        <w:t>.</w:t>
      </w:r>
    </w:p>
    <w:p w:rsidR="00423561" w:rsidRDefault="00423561" w:rsidP="002405A9">
      <w:r>
        <w:t>Papers that met the inclusion/exclusion criteria were then selected for analysis if the following additional criteria were met:</w:t>
      </w:r>
    </w:p>
    <w:p w:rsidR="00423561" w:rsidRDefault="00423561" w:rsidP="002405A9">
      <w:pPr>
        <w:pStyle w:val="ListBullet"/>
      </w:pPr>
      <w:r>
        <w:t>The patient population was representative of the population likely to receive GAD in normal clinical practice.</w:t>
      </w:r>
    </w:p>
    <w:p w:rsidR="00423561" w:rsidRDefault="00423561" w:rsidP="002405A9">
      <w:pPr>
        <w:pStyle w:val="ListBullet"/>
      </w:pPr>
      <w:r>
        <w:t>The reference standard was likely to classify the target condition correctly.</w:t>
      </w:r>
    </w:p>
    <w:p w:rsidR="00423561" w:rsidRDefault="00423561" w:rsidP="002405A9">
      <w:pPr>
        <w:pStyle w:val="ListBullet"/>
      </w:pPr>
      <w:r>
        <w:t>The time period between the reference standard and the index test was short enough to exclude changes in the target condition between tests.</w:t>
      </w:r>
    </w:p>
    <w:p w:rsidR="00423561" w:rsidRDefault="00423561" w:rsidP="002405A9">
      <w:pPr>
        <w:pStyle w:val="ListBullet"/>
      </w:pPr>
      <w:r>
        <w:t>The index test results were assessed by blinded readers.</w:t>
      </w:r>
    </w:p>
    <w:p w:rsidR="00423561" w:rsidRDefault="00423561" w:rsidP="002405A9">
      <w:r>
        <w:t xml:space="preserve">Some studies that did not meet all the listed criteria were also included in the review if they were considered notable. These studies related mainly to the thoracic space and cardiac studies. A total of 121 full-length articles for indications not currently approved for GAD were identified. A total of 18 GAD articles satisfied the inclusion criteria but an additional three GAD and one DOT articles with comparative information were reviewed. Of the MAG and DOT articles that met the inclusion criteria, no more than five articles with the largest sample size were selected for review for each anatomic region or organ. After applying this filter, 58 MAG articles and 35 DOT articles were reviewed. The selection of GAD articles was based on </w:t>
      </w:r>
      <w:r w:rsidR="00195B27">
        <w:t xml:space="preserve">specified </w:t>
      </w:r>
      <w:r>
        <w:t xml:space="preserve">criteria. A total of 88 articles were rejected because there was no evaluation of sensitivity and specificity. Similar flow charts for the selection of MAG and DOT articles </w:t>
      </w:r>
      <w:r w:rsidR="00804FA1">
        <w:t>were</w:t>
      </w:r>
      <w:r>
        <w:t xml:space="preserve"> shown.</w:t>
      </w:r>
    </w:p>
    <w:p w:rsidR="00423561" w:rsidRPr="00AB174B" w:rsidRDefault="00423561" w:rsidP="002405A9">
      <w:r>
        <w:t>The majority of articles assessed the heart (13) and most were perfusion studies. Other body areas assessed breast (2), prostate (2) and uterus (1). Body areas included in the MAG and DOT reviews</w:t>
      </w:r>
      <w:r w:rsidR="00195B27">
        <w:t xml:space="preserve"> were shown</w:t>
      </w:r>
      <w:r>
        <w:t xml:space="preserve">. All relevant body areas were represented in one or other review as shown </w:t>
      </w:r>
      <w:r w:rsidRPr="00AB174B">
        <w:t xml:space="preserve">in Table </w:t>
      </w:r>
      <w:r w:rsidR="00DC0B1C" w:rsidRPr="00AB174B">
        <w:t>2</w:t>
      </w:r>
      <w:r w:rsidR="00AB174B">
        <w:t>6</w:t>
      </w:r>
      <w:r w:rsidRPr="00AB174B">
        <w:t>.</w:t>
      </w:r>
    </w:p>
    <w:p w:rsidR="00195B27" w:rsidRDefault="00DC0B1C" w:rsidP="002405A9">
      <w:pPr>
        <w:pStyle w:val="Tabletitle"/>
      </w:pPr>
      <w:proofErr w:type="gramStart"/>
      <w:r>
        <w:lastRenderedPageBreak/>
        <w:t>Table 2</w:t>
      </w:r>
      <w:r w:rsidR="00AB174B">
        <w:t>6</w:t>
      </w:r>
      <w:r>
        <w:t>: Literature review</w:t>
      </w:r>
      <w:r w:rsidR="00AB174B">
        <w:t>.</w:t>
      </w:r>
      <w:proofErr w:type="gramEnd"/>
      <w:r w:rsidR="00AB174B">
        <w:t xml:space="preserve"> Evaluable studies</w:t>
      </w:r>
    </w:p>
    <w:p w:rsidR="00195B27" w:rsidRDefault="00195B27" w:rsidP="00423561">
      <w:pPr>
        <w:rPr>
          <w:rStyle w:val="Heading6Char"/>
          <w:rFonts w:eastAsia="Cambria"/>
        </w:rPr>
      </w:pPr>
      <w:r w:rsidRPr="00782462">
        <w:rPr>
          <w:noProof/>
          <w:lang w:eastAsia="en-AU"/>
        </w:rPr>
        <w:drawing>
          <wp:inline distT="0" distB="0" distL="0" distR="0" wp14:anchorId="485F4D23" wp14:editId="0B1F1408">
            <wp:extent cx="3918857" cy="2585267"/>
            <wp:effectExtent l="0" t="0" r="0" b="0"/>
            <wp:docPr id="106" name="Picture 106" descr="Table 26: Literature review. Evalua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lum bright="-20000" contrast="40000"/>
                      <a:extLst>
                        <a:ext uri="{28A0092B-C50C-407E-A947-70E740481C1C}">
                          <a14:useLocalDpi xmlns:a14="http://schemas.microsoft.com/office/drawing/2010/main" val="0"/>
                        </a:ext>
                      </a:extLst>
                    </a:blip>
                    <a:srcRect l="3080" r="7185" b="11013"/>
                    <a:stretch/>
                  </pic:blipFill>
                  <pic:spPr bwMode="auto">
                    <a:xfrm>
                      <a:off x="0" y="0"/>
                      <a:ext cx="3922289" cy="2587531"/>
                    </a:xfrm>
                    <a:prstGeom prst="rect">
                      <a:avLst/>
                    </a:prstGeom>
                    <a:noFill/>
                    <a:ln>
                      <a:noFill/>
                    </a:ln>
                    <a:extLst>
                      <a:ext uri="{53640926-AAD7-44D8-BBD7-CCE9431645EC}">
                        <a14:shadowObscured xmlns:a14="http://schemas.microsoft.com/office/drawing/2010/main"/>
                      </a:ext>
                    </a:extLst>
                  </pic:spPr>
                </pic:pic>
              </a:graphicData>
            </a:graphic>
          </wp:inline>
        </w:drawing>
      </w:r>
    </w:p>
    <w:p w:rsidR="00195B27" w:rsidRPr="00DC0B1C" w:rsidRDefault="00423561" w:rsidP="002405A9">
      <w:pPr>
        <w:pStyle w:val="Heading6"/>
      </w:pPr>
      <w:r w:rsidRPr="00EA0B26">
        <w:rPr>
          <w:rStyle w:val="Heading6Char"/>
          <w:rFonts w:eastAsia="Cambria"/>
        </w:rPr>
        <w:t>Head and neck region:</w:t>
      </w:r>
      <w:r>
        <w:rPr>
          <w:b/>
        </w:rPr>
        <w:t xml:space="preserve"> </w:t>
      </w:r>
      <w:r>
        <w:t xml:space="preserve">No publications for GAD were found. The five largest MAG publications </w:t>
      </w:r>
      <w:r w:rsidRPr="00DC0B1C">
        <w:t xml:space="preserve">were identified and all studies showed good diagnostic accuracy with contrast-enhanced images (Table </w:t>
      </w:r>
      <w:r w:rsidR="00AB174B">
        <w:t>27</w:t>
      </w:r>
      <w:r w:rsidR="001071E6">
        <w:t>).</w:t>
      </w:r>
    </w:p>
    <w:p w:rsidR="00195B27" w:rsidRDefault="00195B27" w:rsidP="002405A9">
      <w:pPr>
        <w:pStyle w:val="Tabletitle"/>
      </w:pPr>
      <w:bookmarkStart w:id="217" w:name="_Ref393278647"/>
      <w:bookmarkStart w:id="218" w:name="_Toc393351377"/>
      <w:r>
        <w:t xml:space="preserve">Table </w:t>
      </w:r>
      <w:r w:rsidR="00AB174B">
        <w:t>27</w:t>
      </w:r>
      <w:r w:rsidR="00DC0B1C">
        <w:t>:</w:t>
      </w:r>
      <w:r>
        <w:t xml:space="preserve"> Literature Review</w:t>
      </w:r>
      <w:bookmarkEnd w:id="217"/>
      <w:bookmarkEnd w:id="218"/>
      <w:r w:rsidR="00DC0B1C">
        <w:t xml:space="preserve"> </w:t>
      </w:r>
      <w:proofErr w:type="spellStart"/>
      <w:r w:rsidR="00DC0B1C">
        <w:t>Magnevist</w:t>
      </w:r>
      <w:proofErr w:type="spellEnd"/>
      <w:r w:rsidR="00DC0B1C">
        <w:t>-Diagnostic efficacy in imaging of the head and neck</w:t>
      </w:r>
    </w:p>
    <w:p w:rsidR="00195B27" w:rsidRDefault="00195B27" w:rsidP="00195B27">
      <w:pPr>
        <w:rPr>
          <w:b/>
        </w:rPr>
      </w:pPr>
      <w:r w:rsidRPr="00213DD6">
        <w:rPr>
          <w:b/>
          <w:noProof/>
          <w:lang w:eastAsia="en-AU"/>
        </w:rPr>
        <w:drawing>
          <wp:inline distT="0" distB="0" distL="0" distR="0" wp14:anchorId="425021FD" wp14:editId="1734D1C3">
            <wp:extent cx="4167549" cy="2620256"/>
            <wp:effectExtent l="0" t="0" r="0" b="0"/>
            <wp:docPr id="85" name="Picture 85" descr="Table 27: Literature Review Magnevist-Diagnostic efficacy in imaging of the head and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a:lum bright="-20000" contrast="40000"/>
                      <a:extLst>
                        <a:ext uri="{28A0092B-C50C-407E-A947-70E740481C1C}">
                          <a14:useLocalDpi xmlns:a14="http://schemas.microsoft.com/office/drawing/2010/main" val="0"/>
                        </a:ext>
                      </a:extLst>
                    </a:blip>
                    <a:srcRect l="3354" t="12032"/>
                    <a:stretch/>
                  </pic:blipFill>
                  <pic:spPr bwMode="auto">
                    <a:xfrm>
                      <a:off x="0" y="0"/>
                      <a:ext cx="4172673" cy="2623478"/>
                    </a:xfrm>
                    <a:prstGeom prst="rect">
                      <a:avLst/>
                    </a:prstGeom>
                    <a:noFill/>
                    <a:ln>
                      <a:noFill/>
                    </a:ln>
                    <a:extLst>
                      <a:ext uri="{53640926-AAD7-44D8-BBD7-CCE9431645EC}">
                        <a14:shadowObscured xmlns:a14="http://schemas.microsoft.com/office/drawing/2010/main"/>
                      </a:ext>
                    </a:extLst>
                  </pic:spPr>
                </pic:pic>
              </a:graphicData>
            </a:graphic>
          </wp:inline>
        </w:drawing>
      </w:r>
    </w:p>
    <w:p w:rsidR="00195B27" w:rsidRPr="00DC0B1C" w:rsidRDefault="00423561" w:rsidP="002405A9">
      <w:r>
        <w:t>Diagnoses evaluated in the studies were nasopharyngeal carcinoma (King, 2006), benign nasal papilloma (Jeon, 2008), parotid gland tumours (</w:t>
      </w:r>
      <w:proofErr w:type="spellStart"/>
      <w:r>
        <w:t>Yabuuchi</w:t>
      </w:r>
      <w:proofErr w:type="spellEnd"/>
      <w:r>
        <w:t xml:space="preserve">, 2008), oropharyngeal and </w:t>
      </w:r>
      <w:proofErr w:type="spellStart"/>
      <w:r>
        <w:t>hypopharyngeal</w:t>
      </w:r>
      <w:proofErr w:type="spellEnd"/>
      <w:r>
        <w:t xml:space="preserve"> carcinoma (Ng, 2011) and lymph node involvement in squamous cell carcinoma (Sumi, 2007). Diagnostic efficacy was also demonstrated in two of the three DOT publications found (</w:t>
      </w:r>
      <w:proofErr w:type="spellStart"/>
      <w:r>
        <w:t>Dubrulle</w:t>
      </w:r>
      <w:proofErr w:type="spellEnd"/>
      <w:r>
        <w:t xml:space="preserve">, 2006; De Foer, 2010; King, </w:t>
      </w:r>
      <w:r w:rsidRPr="00DC0B1C">
        <w:t xml:space="preserve">2011) (Table </w:t>
      </w:r>
      <w:r w:rsidR="00AB174B">
        <w:t>28</w:t>
      </w:r>
      <w:r w:rsidR="001071E6">
        <w:t>).</w:t>
      </w:r>
    </w:p>
    <w:p w:rsidR="00DC0B1C" w:rsidRDefault="00195B27" w:rsidP="002405A9">
      <w:pPr>
        <w:pStyle w:val="Tabletitle"/>
      </w:pPr>
      <w:bookmarkStart w:id="219" w:name="_Ref393278655"/>
      <w:bookmarkStart w:id="220" w:name="_Toc393351378"/>
      <w:r>
        <w:lastRenderedPageBreak/>
        <w:t xml:space="preserve">Table </w:t>
      </w:r>
      <w:r w:rsidR="00AB174B">
        <w:t>28</w:t>
      </w:r>
      <w:r w:rsidR="00DC0B1C">
        <w:t>:</w:t>
      </w:r>
      <w:r>
        <w:t xml:space="preserve"> Literature Review</w:t>
      </w:r>
      <w:bookmarkEnd w:id="219"/>
      <w:bookmarkEnd w:id="220"/>
      <w:r w:rsidR="00DC0B1C">
        <w:t xml:space="preserve"> </w:t>
      </w:r>
      <w:proofErr w:type="spellStart"/>
      <w:r w:rsidR="00DC0B1C">
        <w:t>Dotarem</w:t>
      </w:r>
      <w:proofErr w:type="spellEnd"/>
      <w:r w:rsidR="00DC0B1C">
        <w:t xml:space="preserve"> Diagnostic efficacy in imaging of the head and neck</w:t>
      </w:r>
    </w:p>
    <w:p w:rsidR="00195B27" w:rsidRDefault="00195B27" w:rsidP="00195B27">
      <w:pPr>
        <w:rPr>
          <w:b/>
        </w:rPr>
      </w:pPr>
      <w:r w:rsidRPr="00FF0F6A">
        <w:rPr>
          <w:b/>
          <w:noProof/>
          <w:lang w:eastAsia="en-AU"/>
        </w:rPr>
        <w:drawing>
          <wp:inline distT="0" distB="0" distL="0" distR="0" wp14:anchorId="605FDA10" wp14:editId="583D88CE">
            <wp:extent cx="4610420" cy="1517487"/>
            <wp:effectExtent l="0" t="0" r="0" b="0"/>
            <wp:docPr id="87" name="Picture 87" descr="Table 28: Literature Review Dotarem Diagnostic efficacy in imaging of the head and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9">
                      <a:lum bright="-20000" contrast="40000"/>
                      <a:extLst>
                        <a:ext uri="{28A0092B-C50C-407E-A947-70E740481C1C}">
                          <a14:useLocalDpi xmlns:a14="http://schemas.microsoft.com/office/drawing/2010/main" val="0"/>
                        </a:ext>
                      </a:extLst>
                    </a:blip>
                    <a:srcRect l="4564" t="25239"/>
                    <a:stretch/>
                  </pic:blipFill>
                  <pic:spPr bwMode="auto">
                    <a:xfrm>
                      <a:off x="0" y="0"/>
                      <a:ext cx="4616369" cy="1519445"/>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Pr="00195B27" w:rsidRDefault="00423561" w:rsidP="002405A9">
      <w:pPr>
        <w:rPr>
          <w:b/>
        </w:rPr>
      </w:pPr>
      <w:r>
        <w:t>Sensitivity ranged from 55.2%-100% for MAG, and from 56.7%-100% for DOT. Specificity ranged from 86%-95% for MAG, and from 67.6%-93% for DOT. The effectiveness of CE-MRI varies with organ and tumour types but it is accepted as one of a range of indispensable imaging tools for the head and neck, including CT, CTA</w:t>
      </w:r>
      <w:r w:rsidR="001071E6">
        <w:t>, MRA and PET (Ghandi, 2009).</w:t>
      </w:r>
    </w:p>
    <w:p w:rsidR="00423561" w:rsidRDefault="00423561" w:rsidP="002405A9">
      <w:pPr>
        <w:rPr>
          <w:noProof/>
        </w:rPr>
      </w:pPr>
      <w:r w:rsidRPr="002405A9">
        <w:rPr>
          <w:b/>
        </w:rPr>
        <w:t>Thoracic space:</w:t>
      </w:r>
      <w:r>
        <w:rPr>
          <w:b/>
        </w:rPr>
        <w:t xml:space="preserve"> </w:t>
      </w:r>
      <w:r>
        <w:rPr>
          <w:noProof/>
        </w:rPr>
        <w:t>No GAD studies met all the inclusion criteria. Five MAG studies were selected (Kono, 2007; Schaefer, 2004; Zou, 2008; Tanaka, 2009; Yi, 2008) and two DOT studies met the review criteria (Padovani, 1993; Revel, 2012</w:t>
      </w:r>
      <w:r w:rsidRPr="00DC0B1C">
        <w:rPr>
          <w:noProof/>
        </w:rPr>
        <w:t xml:space="preserve">) (Table </w:t>
      </w:r>
      <w:r w:rsidR="00AB174B">
        <w:rPr>
          <w:noProof/>
        </w:rPr>
        <w:t>29</w:t>
      </w:r>
      <w:r w:rsidRPr="00DC0B1C">
        <w:rPr>
          <w:noProof/>
        </w:rPr>
        <w:t>). Diagnoses</w:t>
      </w:r>
      <w:r>
        <w:rPr>
          <w:noProof/>
        </w:rPr>
        <w:t xml:space="preserve"> evaluated were mainly pulmonary nodules and chest wall invasion and diagnostic efficacy for CE-MRI was demonstrated  in all studies. Sensitivity and specificity ranges were 52-100% and 76.9-96%, respectively for MAG, and 78.7-89.6% and 85-100% for DOT. CT remains the initial investigation of choice for imaging of the chest but CE-MRI is indicated when CT findings are equivocal. CE-MRI is superior to CT in some circumstances such as the detection of tumour infiltration of the the chest wall, pleur</w:t>
      </w:r>
      <w:r w:rsidR="001071E6">
        <w:rPr>
          <w:noProof/>
        </w:rPr>
        <w:t>a and mediastinum (Ohno, 2001).</w:t>
      </w:r>
    </w:p>
    <w:p w:rsidR="00DC0B1C" w:rsidRDefault="00195B27" w:rsidP="002405A9">
      <w:pPr>
        <w:pStyle w:val="Tabletitle"/>
      </w:pPr>
      <w:bookmarkStart w:id="221" w:name="_Ref393278649"/>
      <w:bookmarkStart w:id="222" w:name="_Toc393351379"/>
      <w:r>
        <w:lastRenderedPageBreak/>
        <w:t xml:space="preserve">Table </w:t>
      </w:r>
      <w:r w:rsidR="00AB174B">
        <w:t>29</w:t>
      </w:r>
      <w:r w:rsidR="00DC0B1C">
        <w:t>:</w:t>
      </w:r>
      <w:r>
        <w:t xml:space="preserve"> Literature Review</w:t>
      </w:r>
      <w:bookmarkEnd w:id="221"/>
      <w:bookmarkEnd w:id="222"/>
      <w:r w:rsidR="00DC0B1C">
        <w:t xml:space="preserve"> </w:t>
      </w:r>
      <w:proofErr w:type="spellStart"/>
      <w:r w:rsidR="00DC0B1C">
        <w:t>Magnevist</w:t>
      </w:r>
      <w:proofErr w:type="spellEnd"/>
      <w:r w:rsidR="00DC0B1C">
        <w:t xml:space="preserve"> (top) and </w:t>
      </w:r>
      <w:proofErr w:type="spellStart"/>
      <w:r w:rsidR="00DC0B1C">
        <w:t>Dotarem</w:t>
      </w:r>
      <w:proofErr w:type="spellEnd"/>
      <w:r w:rsidR="00DC0B1C">
        <w:t xml:space="preserve"> (bottom) Diagnostic efficacy of thoracic imaging</w:t>
      </w:r>
    </w:p>
    <w:p w:rsidR="00DC0B1C" w:rsidRPr="00DC0B1C" w:rsidRDefault="00DC0B1C" w:rsidP="00DC0B1C">
      <w:r>
        <w:rPr>
          <w:noProof/>
          <w:lang w:eastAsia="en-AU"/>
        </w:rPr>
        <w:drawing>
          <wp:inline distT="0" distB="0" distL="0" distR="0" wp14:anchorId="4BB61D61" wp14:editId="2491E436">
            <wp:extent cx="3980329" cy="4337892"/>
            <wp:effectExtent l="0" t="0" r="0" b="0"/>
            <wp:docPr id="13" name="Picture 13" descr="Table 29: Literature Review Magnevist (top) and Dotarem (bottom) Diagnostic efficacy of thoracic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BEBA8EAE-BF5A-486C-A8C5-ECC9F3942E4B}">
                          <a14:imgProps xmlns:a14="http://schemas.microsoft.com/office/drawing/2010/main">
                            <a14:imgLayer r:embed="rId51">
                              <a14:imgEffect>
                                <a14:sharpenSoften amount="50000"/>
                              </a14:imgEffect>
                            </a14:imgLayer>
                          </a14:imgProps>
                        </a:ext>
                      </a:extLst>
                    </a:blip>
                    <a:srcRect l="2814" t="2923" r="-1"/>
                    <a:stretch/>
                  </pic:blipFill>
                  <pic:spPr bwMode="auto">
                    <a:xfrm>
                      <a:off x="0" y="0"/>
                      <a:ext cx="3982982" cy="4340784"/>
                    </a:xfrm>
                    <a:prstGeom prst="rect">
                      <a:avLst/>
                    </a:prstGeom>
                    <a:ln>
                      <a:noFill/>
                    </a:ln>
                    <a:extLst>
                      <a:ext uri="{53640926-AAD7-44D8-BBD7-CCE9431645EC}">
                        <a14:shadowObscured xmlns:a14="http://schemas.microsoft.com/office/drawing/2010/main"/>
                      </a:ext>
                    </a:extLst>
                  </pic:spPr>
                </pic:pic>
              </a:graphicData>
            </a:graphic>
          </wp:inline>
        </w:drawing>
      </w:r>
    </w:p>
    <w:p w:rsidR="00195B27" w:rsidRPr="00AB174B" w:rsidRDefault="00423561" w:rsidP="002405A9">
      <w:pPr>
        <w:rPr>
          <w:noProof/>
        </w:rPr>
      </w:pPr>
      <w:r w:rsidRPr="002405A9">
        <w:rPr>
          <w:b/>
        </w:rPr>
        <w:t>Breast:</w:t>
      </w:r>
      <w:r w:rsidRPr="00EA0B26">
        <w:rPr>
          <w:rStyle w:val="Heading6Char"/>
          <w:rFonts w:eastAsia="Cambria"/>
        </w:rPr>
        <w:t xml:space="preserve"> </w:t>
      </w:r>
      <w:r>
        <w:rPr>
          <w:noProof/>
        </w:rPr>
        <w:t xml:space="preserve">The major indication for dignostic breast imaging is breast cancer. Two published </w:t>
      </w:r>
      <w:r w:rsidRPr="00AB174B">
        <w:rPr>
          <w:noProof/>
        </w:rPr>
        <w:t xml:space="preserve">studies of GAD in breast imaging were found, in addition to GEMMA-1 and GEMMA-2 reviewed above(Table </w:t>
      </w:r>
      <w:r w:rsidR="00DC0B1C" w:rsidRPr="00AB174B">
        <w:rPr>
          <w:noProof/>
        </w:rPr>
        <w:t>3</w:t>
      </w:r>
      <w:r w:rsidR="00AB174B" w:rsidRPr="00AB174B">
        <w:rPr>
          <w:noProof/>
        </w:rPr>
        <w:t>0</w:t>
      </w:r>
      <w:r w:rsidRPr="00AB174B">
        <w:rPr>
          <w:noProof/>
        </w:rPr>
        <w:t xml:space="preserve">). Fifty studies with MAG met the review criteria and the five largest studies are shown in Table </w:t>
      </w:r>
      <w:r w:rsidR="00DC0B1C" w:rsidRPr="00AB174B">
        <w:rPr>
          <w:noProof/>
        </w:rPr>
        <w:t>3</w:t>
      </w:r>
      <w:r w:rsidR="00AB174B" w:rsidRPr="00AB174B">
        <w:rPr>
          <w:noProof/>
        </w:rPr>
        <w:t>1</w:t>
      </w:r>
      <w:r w:rsidRPr="00AB174B">
        <w:rPr>
          <w:noProof/>
        </w:rPr>
        <w:t xml:space="preserve">. Four DOT studies met the review criteria  (Table </w:t>
      </w:r>
      <w:r w:rsidR="00DC0B1C" w:rsidRPr="00AB174B">
        <w:rPr>
          <w:noProof/>
        </w:rPr>
        <w:t>3</w:t>
      </w:r>
      <w:r w:rsidR="00AB174B" w:rsidRPr="00AB174B">
        <w:rPr>
          <w:noProof/>
        </w:rPr>
        <w:t>2</w:t>
      </w:r>
      <w:r w:rsidR="001071E6">
        <w:rPr>
          <w:noProof/>
        </w:rPr>
        <w:t>).</w:t>
      </w:r>
    </w:p>
    <w:p w:rsidR="00195B27" w:rsidRDefault="00195B27" w:rsidP="002405A9">
      <w:pPr>
        <w:pStyle w:val="Tabletitle"/>
      </w:pPr>
      <w:bookmarkStart w:id="223" w:name="_Ref393278660"/>
      <w:bookmarkStart w:id="224" w:name="_Toc393351380"/>
      <w:r>
        <w:t xml:space="preserve">Table </w:t>
      </w:r>
      <w:r w:rsidR="00DC0B1C">
        <w:t>3</w:t>
      </w:r>
      <w:r w:rsidR="00AB174B">
        <w:t>0</w:t>
      </w:r>
      <w:r w:rsidR="00DC0B1C">
        <w:t>:</w:t>
      </w:r>
      <w:r>
        <w:t xml:space="preserve"> Literature Review</w:t>
      </w:r>
      <w:bookmarkEnd w:id="223"/>
      <w:bookmarkEnd w:id="224"/>
      <w:r w:rsidR="00DC0B1C">
        <w:t xml:space="preserve"> </w:t>
      </w:r>
      <w:proofErr w:type="spellStart"/>
      <w:r w:rsidR="00DC0B1C">
        <w:t>Gadovist</w:t>
      </w:r>
      <w:proofErr w:type="spellEnd"/>
      <w:r w:rsidR="00DC0B1C">
        <w:t xml:space="preserve"> Diagnostic efficacy in breast imaging</w:t>
      </w:r>
    </w:p>
    <w:p w:rsidR="00195B27" w:rsidRDefault="00195B27" w:rsidP="00195B27">
      <w:pPr>
        <w:rPr>
          <w:b/>
        </w:rPr>
      </w:pPr>
      <w:r w:rsidRPr="001B69D3">
        <w:rPr>
          <w:b/>
          <w:noProof/>
          <w:lang w:eastAsia="en-AU"/>
        </w:rPr>
        <w:drawing>
          <wp:inline distT="0" distB="0" distL="0" distR="0" wp14:anchorId="0BECBA85" wp14:editId="13BC3E0F">
            <wp:extent cx="4472108" cy="1369801"/>
            <wp:effectExtent l="0" t="0" r="0" b="0"/>
            <wp:docPr id="89" name="Picture 89" descr="Table 30: Literature Review Gadovist Diagnostic efficacy in breast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lum bright="-20000" contrast="40000"/>
                      <a:extLst>
                        <a:ext uri="{28A0092B-C50C-407E-A947-70E740481C1C}">
                          <a14:useLocalDpi xmlns:a14="http://schemas.microsoft.com/office/drawing/2010/main" val="0"/>
                        </a:ext>
                      </a:extLst>
                    </a:blip>
                    <a:srcRect l="1408" t="19920"/>
                    <a:stretch/>
                  </pic:blipFill>
                  <pic:spPr bwMode="auto">
                    <a:xfrm>
                      <a:off x="0" y="0"/>
                      <a:ext cx="4470699" cy="1369369"/>
                    </a:xfrm>
                    <a:prstGeom prst="rect">
                      <a:avLst/>
                    </a:prstGeom>
                    <a:noFill/>
                    <a:ln>
                      <a:noFill/>
                    </a:ln>
                    <a:extLst>
                      <a:ext uri="{53640926-AAD7-44D8-BBD7-CCE9431645EC}">
                        <a14:shadowObscured xmlns:a14="http://schemas.microsoft.com/office/drawing/2010/main"/>
                      </a:ext>
                    </a:extLst>
                  </pic:spPr>
                </pic:pic>
              </a:graphicData>
            </a:graphic>
          </wp:inline>
        </w:drawing>
      </w:r>
    </w:p>
    <w:p w:rsidR="00FB4C5F" w:rsidRDefault="00195B27" w:rsidP="002405A9">
      <w:pPr>
        <w:pStyle w:val="Tabletitle"/>
      </w:pPr>
      <w:bookmarkStart w:id="225" w:name="_Ref393278663"/>
      <w:bookmarkStart w:id="226" w:name="_Toc393351381"/>
      <w:r w:rsidRPr="006E3D05">
        <w:lastRenderedPageBreak/>
        <w:t xml:space="preserve">Table </w:t>
      </w:r>
      <w:r w:rsidR="00AB174B" w:rsidRPr="006E3D05">
        <w:t>31</w:t>
      </w:r>
      <w:r w:rsidR="00DC0B1C" w:rsidRPr="006E3D05">
        <w:t>:</w:t>
      </w:r>
      <w:r w:rsidRPr="006E3D05">
        <w:t xml:space="preserve"> Literature Review</w:t>
      </w:r>
      <w:bookmarkEnd w:id="225"/>
      <w:bookmarkEnd w:id="226"/>
      <w:r w:rsidR="00DC0B1C" w:rsidRPr="006E3D05">
        <w:t xml:space="preserve"> </w:t>
      </w:r>
      <w:proofErr w:type="spellStart"/>
      <w:r w:rsidR="00CD6FCF">
        <w:t>Magnevist</w:t>
      </w:r>
      <w:proofErr w:type="spellEnd"/>
      <w:r w:rsidR="00CD6FCF" w:rsidRPr="006E3D05">
        <w:t xml:space="preserve"> </w:t>
      </w:r>
      <w:r w:rsidR="00DC0B1C" w:rsidRPr="006E3D05">
        <w:t>Diagnostic efficacy in characterisation of breast lesions (top and middle) and Special studies in breast imaging: diagnostic value of specific imaging findings</w:t>
      </w:r>
    </w:p>
    <w:p w:rsidR="006E3D05" w:rsidRPr="006E3D05" w:rsidRDefault="006E3D05" w:rsidP="001071E6">
      <w:r>
        <w:rPr>
          <w:noProof/>
          <w:lang w:eastAsia="en-AU"/>
        </w:rPr>
        <w:drawing>
          <wp:inline distT="0" distB="0" distL="0" distR="0" wp14:anchorId="37A592B3" wp14:editId="65F9C148">
            <wp:extent cx="3880437" cy="3652510"/>
            <wp:effectExtent l="0" t="0" r="0" b="0"/>
            <wp:docPr id="20" name="Picture 20" descr="Table 31: Literature Review Literature Review Gadovist Diagnostic efficacy in characterisation of breast lesions (top and middle) and Special studies in breast imaging: diagnostic value of specific imaging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l="1610"/>
                    <a:stretch/>
                  </pic:blipFill>
                  <pic:spPr bwMode="auto">
                    <a:xfrm>
                      <a:off x="0" y="0"/>
                      <a:ext cx="3882200" cy="3654169"/>
                    </a:xfrm>
                    <a:prstGeom prst="rect">
                      <a:avLst/>
                    </a:prstGeom>
                    <a:ln>
                      <a:noFill/>
                    </a:ln>
                    <a:extLst>
                      <a:ext uri="{53640926-AAD7-44D8-BBD7-CCE9431645EC}">
                        <a14:shadowObscured xmlns:a14="http://schemas.microsoft.com/office/drawing/2010/main"/>
                      </a:ext>
                    </a:extLst>
                  </pic:spPr>
                </pic:pic>
              </a:graphicData>
            </a:graphic>
          </wp:inline>
        </w:drawing>
      </w:r>
    </w:p>
    <w:p w:rsidR="00195B27" w:rsidRDefault="00195B27" w:rsidP="002405A9">
      <w:pPr>
        <w:pStyle w:val="Tabletitle"/>
      </w:pPr>
      <w:bookmarkStart w:id="227" w:name="_Toc393351382"/>
      <w:bookmarkStart w:id="228" w:name="_Ref393278665"/>
      <w:r>
        <w:t xml:space="preserve">Table </w:t>
      </w:r>
      <w:r w:rsidR="00DC0B1C">
        <w:t>3</w:t>
      </w:r>
      <w:r w:rsidR="00AB174B">
        <w:t>2</w:t>
      </w:r>
      <w:r w:rsidR="00DC0B1C">
        <w:t xml:space="preserve">: </w:t>
      </w:r>
      <w:r>
        <w:t>Literature Review</w:t>
      </w:r>
      <w:bookmarkEnd w:id="227"/>
      <w:r w:rsidR="00DC0B1C">
        <w:t xml:space="preserve"> </w:t>
      </w:r>
      <w:proofErr w:type="spellStart"/>
      <w:r w:rsidR="00DC0B1C">
        <w:t>Dotarem</w:t>
      </w:r>
      <w:proofErr w:type="spellEnd"/>
      <w:r w:rsidR="00DC0B1C">
        <w:t xml:space="preserve"> Diagnostic efficacy in imaging of the breast</w:t>
      </w:r>
    </w:p>
    <w:p w:rsidR="00195B27" w:rsidRDefault="00195B27" w:rsidP="00195B27">
      <w:r w:rsidRPr="00B67EF0">
        <w:rPr>
          <w:noProof/>
          <w:lang w:eastAsia="en-AU"/>
        </w:rPr>
        <w:drawing>
          <wp:inline distT="0" distB="0" distL="0" distR="0" wp14:anchorId="3978C258" wp14:editId="68C485FB">
            <wp:extent cx="4456739" cy="2368680"/>
            <wp:effectExtent l="0" t="0" r="0" b="0"/>
            <wp:docPr id="92" name="Picture 92" descr="Table 32: Literature Review Dotarem Diagnostic efficacy in imaging of the br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5">
                      <a:lum bright="-20000" contrast="40000"/>
                      <a:extLst>
                        <a:ext uri="{28A0092B-C50C-407E-A947-70E740481C1C}">
                          <a14:useLocalDpi xmlns:a14="http://schemas.microsoft.com/office/drawing/2010/main" val="0"/>
                        </a:ext>
                      </a:extLst>
                    </a:blip>
                    <a:srcRect l="8883" t="11335"/>
                    <a:stretch/>
                  </pic:blipFill>
                  <pic:spPr bwMode="auto">
                    <a:xfrm>
                      <a:off x="0" y="0"/>
                      <a:ext cx="4454298" cy="2367383"/>
                    </a:xfrm>
                    <a:prstGeom prst="rect">
                      <a:avLst/>
                    </a:prstGeom>
                    <a:noFill/>
                    <a:ln>
                      <a:noFill/>
                    </a:ln>
                    <a:extLst>
                      <a:ext uri="{53640926-AAD7-44D8-BBD7-CCE9431645EC}">
                        <a14:shadowObscured xmlns:a14="http://schemas.microsoft.com/office/drawing/2010/main"/>
                      </a:ext>
                    </a:extLst>
                  </pic:spPr>
                </pic:pic>
              </a:graphicData>
            </a:graphic>
          </wp:inline>
        </w:drawing>
      </w:r>
      <w:bookmarkEnd w:id="228"/>
    </w:p>
    <w:p w:rsidR="00423561" w:rsidRDefault="00423561" w:rsidP="002405A9">
      <w:pPr>
        <w:rPr>
          <w:noProof/>
        </w:rPr>
      </w:pPr>
      <w:r>
        <w:rPr>
          <w:noProof/>
        </w:rPr>
        <w:t xml:space="preserve">The sensitivity and specificity of MAG were compared with unenhanced imaging for unifocal and multifocal cancers and benign lesions. Overall, sensitivity and specificity rates for GAD, MAG and DOT supported the value of CE-MRI compared with unenhanced MRI. Sensitivity rates ranged from 82.3%-100% for GAD (Schmitz, 2008; Pediconi, 2013), 77%-93.6% for MAG (Razek, 2012; Leach, 2005), and 94.3%-100% for DOT (Caproni, 2010; Pinker, 2009; Fornasa, 2011; Domenig, 2012), Sensitivity rates for MAG used for special studies including ductal carcinoma were both lower and inconsistent (Fischer, 2004; Dietzel, 2010; Baltzer, 2010). Specificity rates ranged from 74% for GAD, 77.9%-99% for MAG, and 64%-93% for DOT. CE-MRI has the highest sensitivity rates compared with other imaging modalities and it is able to detect otherwise occult contralateral malignancies in 3% to 4% of breast cancer patients </w:t>
      </w:r>
      <w:r>
        <w:rPr>
          <w:noProof/>
        </w:rPr>
        <w:lastRenderedPageBreak/>
        <w:t>(Lehman, 2007). PET and PET/CT imaging techniques are being reserched but are yet to show increased sensitivity compared with CE-MRI. Breast cancer imaging guidelines have been developed in both Europe and the USA and all emphasise the importance  of breast CE-MRI and XRM. Guidelines published by the European Society of Breast Imaging  (</w:t>
      </w:r>
      <w:hyperlink r:id="rId56" w:history="1">
        <w:r>
          <w:rPr>
            <w:rStyle w:val="Hyperlink"/>
            <w:noProof/>
          </w:rPr>
          <w:t>www.eusobi.org</w:t>
        </w:r>
      </w:hyperlink>
      <w:r>
        <w:rPr>
          <w:noProof/>
        </w:rPr>
        <w:t xml:space="preserve">), the American College of Radiology </w:t>
      </w:r>
      <w:hyperlink r:id="rId57" w:history="1">
        <w:r>
          <w:rPr>
            <w:rStyle w:val="Hyperlink"/>
            <w:noProof/>
          </w:rPr>
          <w:t>www.acr.org</w:t>
        </w:r>
      </w:hyperlink>
      <w:r>
        <w:rPr>
          <w:noProof/>
        </w:rPr>
        <w:t>), the European Society of Breast Cancer Specialists (Sardanelli, 2010), and the American Society of Breast Surgeons (www.breast surgeons.org) all recommend a combination of XRM and gadolinium-containing CE-MRI for screening, diagnosis and treatment monitoring in multiple clinical settings. These include screening of high risk patients, determining ipsilateral tumour extent or the presence of contralateral disease and monitoring respon</w:t>
      </w:r>
      <w:r w:rsidR="001071E6">
        <w:rPr>
          <w:noProof/>
        </w:rPr>
        <w:t>se to neoadjuvant chemotherapy.</w:t>
      </w:r>
    </w:p>
    <w:p w:rsidR="00423561" w:rsidRDefault="00423561" w:rsidP="002405A9">
      <w:pPr>
        <w:pStyle w:val="Heading6"/>
        <w:rPr>
          <w:noProof/>
        </w:rPr>
      </w:pPr>
      <w:r>
        <w:rPr>
          <w:noProof/>
        </w:rPr>
        <w:t>Abdomen</w:t>
      </w:r>
    </w:p>
    <w:p w:rsidR="00195B27" w:rsidRDefault="00423561" w:rsidP="002405A9">
      <w:pPr>
        <w:rPr>
          <w:noProof/>
        </w:rPr>
      </w:pPr>
      <w:r w:rsidRPr="002405A9">
        <w:rPr>
          <w:b/>
        </w:rPr>
        <w:t>Pancreas, gallbladder and spleen:</w:t>
      </w:r>
      <w:r>
        <w:rPr>
          <w:b/>
          <w:noProof/>
        </w:rPr>
        <w:t xml:space="preserve"> </w:t>
      </w:r>
      <w:r>
        <w:rPr>
          <w:noProof/>
        </w:rPr>
        <w:t xml:space="preserve">Only two studies of GAD in the detection of pancreatic cancer were found and neither met the review criteria. Three of four MAG studies of met the review criteria for pancreatic cancer and one for chronic pancreatitis </w:t>
      </w:r>
      <w:r w:rsidRPr="00F95D32">
        <w:rPr>
          <w:noProof/>
        </w:rPr>
        <w:t>(Table</w:t>
      </w:r>
      <w:r w:rsidR="00F95D32" w:rsidRPr="00F95D32">
        <w:rPr>
          <w:noProof/>
        </w:rPr>
        <w:t>s</w:t>
      </w:r>
      <w:r w:rsidRPr="00F95D32">
        <w:rPr>
          <w:noProof/>
        </w:rPr>
        <w:t xml:space="preserve"> </w:t>
      </w:r>
      <w:r w:rsidR="00F95D32" w:rsidRPr="00F95D32">
        <w:rPr>
          <w:noProof/>
        </w:rPr>
        <w:t>3</w:t>
      </w:r>
      <w:r w:rsidR="00AB174B">
        <w:rPr>
          <w:noProof/>
        </w:rPr>
        <w:t>3</w:t>
      </w:r>
      <w:r w:rsidR="00F95D32" w:rsidRPr="00F95D32">
        <w:rPr>
          <w:noProof/>
        </w:rPr>
        <w:t>-3</w:t>
      </w:r>
      <w:r w:rsidR="00AB174B">
        <w:rPr>
          <w:noProof/>
        </w:rPr>
        <w:t>5</w:t>
      </w:r>
      <w:r w:rsidRPr="00F95D32">
        <w:rPr>
          <w:noProof/>
        </w:rPr>
        <w:t>).</w:t>
      </w:r>
    </w:p>
    <w:p w:rsidR="00195B27" w:rsidRDefault="00195B27" w:rsidP="002405A9">
      <w:pPr>
        <w:pStyle w:val="Tabletitle"/>
      </w:pPr>
      <w:bookmarkStart w:id="229" w:name="_Ref393278669"/>
      <w:bookmarkStart w:id="230" w:name="_Toc393351383"/>
      <w:r>
        <w:t xml:space="preserve">Table </w:t>
      </w:r>
      <w:r w:rsidR="00F95D32">
        <w:t>3</w:t>
      </w:r>
      <w:r w:rsidR="00AB174B">
        <w:t>3</w:t>
      </w:r>
      <w:r w:rsidR="00F95D32">
        <w:t>:</w:t>
      </w:r>
      <w:r>
        <w:t xml:space="preserve"> Literature Review</w:t>
      </w:r>
      <w:bookmarkEnd w:id="229"/>
      <w:bookmarkEnd w:id="230"/>
      <w:r w:rsidR="00F95D32">
        <w:t xml:space="preserve"> </w:t>
      </w:r>
      <w:proofErr w:type="spellStart"/>
      <w:r w:rsidR="00F95D32">
        <w:t>Magnevist</w:t>
      </w:r>
      <w:proofErr w:type="spellEnd"/>
      <w:r w:rsidR="00F95D32">
        <w:t xml:space="preserve"> Diagnostic efficacy in tumour characterisation in the pancreas</w:t>
      </w:r>
    </w:p>
    <w:p w:rsidR="00195B27" w:rsidRDefault="00195B27" w:rsidP="001071E6">
      <w:r w:rsidRPr="008D513A">
        <w:rPr>
          <w:noProof/>
          <w:lang w:eastAsia="en-AU"/>
        </w:rPr>
        <w:drawing>
          <wp:inline distT="0" distB="0" distL="0" distR="0" wp14:anchorId="5654CA1F" wp14:editId="0DDADC3C">
            <wp:extent cx="4379899" cy="1369566"/>
            <wp:effectExtent l="0" t="0" r="0" b="0"/>
            <wp:docPr id="93" name="Picture 93" descr="Table 33: Literature Review Magnevist Diagnostic efficacy in tumour characterisation in the panc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3148" t="18148" b="7000"/>
                    <a:stretch/>
                  </pic:blipFill>
                  <pic:spPr bwMode="auto">
                    <a:xfrm>
                      <a:off x="0" y="0"/>
                      <a:ext cx="4388441" cy="1372237"/>
                    </a:xfrm>
                    <a:prstGeom prst="rect">
                      <a:avLst/>
                    </a:prstGeom>
                    <a:noFill/>
                    <a:ln>
                      <a:noFill/>
                    </a:ln>
                    <a:extLst>
                      <a:ext uri="{53640926-AAD7-44D8-BBD7-CCE9431645EC}">
                        <a14:shadowObscured xmlns:a14="http://schemas.microsoft.com/office/drawing/2010/main"/>
                      </a:ext>
                    </a:extLst>
                  </pic:spPr>
                </pic:pic>
              </a:graphicData>
            </a:graphic>
          </wp:inline>
        </w:drawing>
      </w:r>
    </w:p>
    <w:p w:rsidR="00195B27" w:rsidRDefault="00195B27" w:rsidP="002405A9">
      <w:pPr>
        <w:pStyle w:val="Tabletitle"/>
      </w:pPr>
      <w:bookmarkStart w:id="231" w:name="_Ref393278674"/>
      <w:bookmarkStart w:id="232" w:name="_Toc393351384"/>
      <w:r>
        <w:t xml:space="preserve">Table </w:t>
      </w:r>
      <w:r w:rsidR="00F95D32">
        <w:t>3</w:t>
      </w:r>
      <w:r w:rsidR="00AB174B">
        <w:t>4</w:t>
      </w:r>
      <w:r w:rsidR="00F95D32">
        <w:t>:</w:t>
      </w:r>
      <w:r>
        <w:t xml:space="preserve"> Literature Review</w:t>
      </w:r>
      <w:bookmarkEnd w:id="231"/>
      <w:bookmarkEnd w:id="232"/>
      <w:r w:rsidR="00F95D32">
        <w:t xml:space="preserve"> Diagnostic efficacy in staging of pancreatic tumours</w:t>
      </w:r>
    </w:p>
    <w:p w:rsidR="00195B27" w:rsidRDefault="00195B27" w:rsidP="00195B27">
      <w:pPr>
        <w:rPr>
          <w:b/>
        </w:rPr>
      </w:pPr>
      <w:r w:rsidRPr="008D513A">
        <w:rPr>
          <w:b/>
          <w:noProof/>
          <w:lang w:eastAsia="en-AU"/>
        </w:rPr>
        <w:drawing>
          <wp:inline distT="0" distB="0" distL="0" distR="0" wp14:anchorId="203F9C87" wp14:editId="43649965">
            <wp:extent cx="4579684" cy="1312032"/>
            <wp:effectExtent l="0" t="0" r="0" b="0"/>
            <wp:docPr id="94" name="Picture 94" descr="Table 34: Literature Review Diagnostic efficacy in staging of pancreatic tum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l="2931" t="13622" b="7897"/>
                    <a:stretch/>
                  </pic:blipFill>
                  <pic:spPr bwMode="auto">
                    <a:xfrm>
                      <a:off x="0" y="0"/>
                      <a:ext cx="4589655" cy="1314889"/>
                    </a:xfrm>
                    <a:prstGeom prst="rect">
                      <a:avLst/>
                    </a:prstGeom>
                    <a:noFill/>
                    <a:ln>
                      <a:noFill/>
                    </a:ln>
                    <a:extLst>
                      <a:ext uri="{53640926-AAD7-44D8-BBD7-CCE9431645EC}">
                        <a14:shadowObscured xmlns:a14="http://schemas.microsoft.com/office/drawing/2010/main"/>
                      </a:ext>
                    </a:extLst>
                  </pic:spPr>
                </pic:pic>
              </a:graphicData>
            </a:graphic>
          </wp:inline>
        </w:drawing>
      </w:r>
    </w:p>
    <w:p w:rsidR="001071E6" w:rsidRDefault="00195B27" w:rsidP="002405A9">
      <w:pPr>
        <w:pStyle w:val="Tabletitle"/>
      </w:pPr>
      <w:bookmarkStart w:id="233" w:name="_Ref393278677"/>
      <w:bookmarkStart w:id="234" w:name="_Toc393351385"/>
      <w:r>
        <w:t xml:space="preserve">Table </w:t>
      </w:r>
      <w:r w:rsidR="00AB174B">
        <w:t>35</w:t>
      </w:r>
      <w:r w:rsidR="00F95D32">
        <w:t xml:space="preserve">: </w:t>
      </w:r>
      <w:r>
        <w:t>Literature Review</w:t>
      </w:r>
      <w:bookmarkEnd w:id="233"/>
      <w:bookmarkEnd w:id="234"/>
      <w:r w:rsidR="00F95D32">
        <w:t xml:space="preserve"> </w:t>
      </w:r>
      <w:proofErr w:type="spellStart"/>
      <w:r w:rsidR="00F95D32">
        <w:t>Magnevist</w:t>
      </w:r>
      <w:proofErr w:type="spellEnd"/>
      <w:r w:rsidR="00F95D32">
        <w:t xml:space="preserve"> Diagnostic efficacy in the diagnosis of chronic pancreatitis</w:t>
      </w:r>
    </w:p>
    <w:p w:rsidR="00195B27" w:rsidRDefault="00195B27" w:rsidP="001071E6">
      <w:r w:rsidRPr="00A66407">
        <w:rPr>
          <w:noProof/>
          <w:lang w:eastAsia="en-AU"/>
        </w:rPr>
        <w:drawing>
          <wp:inline distT="0" distB="0" distL="0" distR="0" wp14:anchorId="055D93EF" wp14:editId="7200DBF0">
            <wp:extent cx="4960659" cy="914400"/>
            <wp:effectExtent l="0" t="0" r="0" b="0"/>
            <wp:docPr id="109" name="Picture 109" descr="Table 35: Literature Review Magnevist Diagnostic efficacy in the diagnosis of chronic pancrea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a:lum bright="-20000" contrast="40000"/>
                      <a:extLst>
                        <a:ext uri="{28A0092B-C50C-407E-A947-70E740481C1C}">
                          <a14:useLocalDpi xmlns:a14="http://schemas.microsoft.com/office/drawing/2010/main" val="0"/>
                        </a:ext>
                      </a:extLst>
                    </a:blip>
                    <a:srcRect l="1526" t="28192"/>
                    <a:stretch/>
                  </pic:blipFill>
                  <pic:spPr bwMode="auto">
                    <a:xfrm>
                      <a:off x="0" y="0"/>
                      <a:ext cx="4985940" cy="919060"/>
                    </a:xfrm>
                    <a:prstGeom prst="rect">
                      <a:avLst/>
                    </a:prstGeom>
                    <a:noFill/>
                    <a:ln>
                      <a:noFill/>
                    </a:ln>
                    <a:extLst>
                      <a:ext uri="{53640926-AAD7-44D8-BBD7-CCE9431645EC}">
                        <a14:shadowObscured xmlns:a14="http://schemas.microsoft.com/office/drawing/2010/main"/>
                      </a:ext>
                    </a:extLst>
                  </pic:spPr>
                </pic:pic>
              </a:graphicData>
            </a:graphic>
          </wp:inline>
        </w:drawing>
      </w:r>
    </w:p>
    <w:p w:rsidR="00195B27" w:rsidRDefault="00423561" w:rsidP="002405A9">
      <w:pPr>
        <w:rPr>
          <w:noProof/>
        </w:rPr>
      </w:pPr>
      <w:r>
        <w:rPr>
          <w:noProof/>
        </w:rPr>
        <w:t xml:space="preserve">Sensitivity rates ranged from 60%-99.1% and specificity rates ranged from 57%-100% (Richter, 2001; Thoeni,  2000; Sironi, 1995; Lentschig, 1996; Balci, 2006). One DOT study of pancreatic tumours was discovered with sensitivity and specificity rates of 65% and 83%, respectively (Bali, 2011). One MAG study showed diagnostic efficacy in the detection of gallbladder carcinoma (Yoshimitsu, </w:t>
      </w:r>
      <w:r w:rsidRPr="00F95D32">
        <w:rPr>
          <w:noProof/>
        </w:rPr>
        <w:t xml:space="preserve">2012) (Table </w:t>
      </w:r>
      <w:r w:rsidR="00F95D32" w:rsidRPr="00F95D32">
        <w:rPr>
          <w:noProof/>
        </w:rPr>
        <w:t>3</w:t>
      </w:r>
      <w:r w:rsidR="00EF17C2">
        <w:rPr>
          <w:noProof/>
        </w:rPr>
        <w:t>6</w:t>
      </w:r>
      <w:r w:rsidRPr="00F95D32">
        <w:rPr>
          <w:noProof/>
        </w:rPr>
        <w:t>). No studies</w:t>
      </w:r>
      <w:r>
        <w:rPr>
          <w:noProof/>
        </w:rPr>
        <w:t xml:space="preserve"> of the spleen met the search criteria. CT remains the diagnostic investigation of choice but CE-MRI has value when additional investigations are required (Kinney, 2010).</w:t>
      </w:r>
    </w:p>
    <w:p w:rsidR="00195B27" w:rsidRDefault="00195B27" w:rsidP="002405A9">
      <w:pPr>
        <w:pStyle w:val="Tabletitle"/>
      </w:pPr>
      <w:bookmarkStart w:id="235" w:name="_Ref393278679"/>
      <w:bookmarkStart w:id="236" w:name="_Toc393351386"/>
      <w:r>
        <w:lastRenderedPageBreak/>
        <w:t xml:space="preserve">Table </w:t>
      </w:r>
      <w:r w:rsidR="00F95D32">
        <w:t>3</w:t>
      </w:r>
      <w:r w:rsidR="00AB174B">
        <w:t>6</w:t>
      </w:r>
      <w:r w:rsidR="00F95D32">
        <w:t>:</w:t>
      </w:r>
      <w:r>
        <w:t xml:space="preserve"> Literature Review</w:t>
      </w:r>
      <w:bookmarkEnd w:id="235"/>
      <w:bookmarkEnd w:id="236"/>
      <w:r w:rsidR="00F95D32">
        <w:t xml:space="preserve"> </w:t>
      </w:r>
      <w:proofErr w:type="spellStart"/>
      <w:r w:rsidR="00F95D32">
        <w:t>Magnevist</w:t>
      </w:r>
      <w:proofErr w:type="spellEnd"/>
      <w:r w:rsidR="00F95D32">
        <w:t xml:space="preserve"> Diagnostic efficacy in the diagnosis of T2 gallbladder carcinoma</w:t>
      </w:r>
    </w:p>
    <w:p w:rsidR="00195B27" w:rsidRDefault="00195B27" w:rsidP="00195B27">
      <w:pPr>
        <w:rPr>
          <w:b/>
        </w:rPr>
      </w:pPr>
      <w:r w:rsidRPr="00200F29">
        <w:rPr>
          <w:b/>
          <w:noProof/>
          <w:lang w:eastAsia="en-AU"/>
        </w:rPr>
        <w:drawing>
          <wp:inline distT="0" distB="0" distL="0" distR="0" wp14:anchorId="26027529" wp14:editId="475559D2">
            <wp:extent cx="4710022" cy="1129553"/>
            <wp:effectExtent l="0" t="0" r="0" b="0"/>
            <wp:docPr id="110" name="Picture 110" descr="Table 36: Literature Review Magnevist Diagnostic efficacy in the diagnosis of T2 gallbladder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l="1877" t="21366" r="9250" b="7859"/>
                    <a:stretch/>
                  </pic:blipFill>
                  <pic:spPr bwMode="auto">
                    <a:xfrm>
                      <a:off x="0" y="0"/>
                      <a:ext cx="4725038" cy="1133154"/>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2405A9">
      <w:pPr>
        <w:pStyle w:val="Heading6"/>
        <w:rPr>
          <w:noProof/>
        </w:rPr>
      </w:pPr>
      <w:r>
        <w:rPr>
          <w:noProof/>
        </w:rPr>
        <w:t>Other abdominal indica</w:t>
      </w:r>
      <w:r w:rsidR="001071E6">
        <w:rPr>
          <w:noProof/>
        </w:rPr>
        <w:t>tions (colon, small intestine):</w:t>
      </w:r>
    </w:p>
    <w:p w:rsidR="00423561" w:rsidRDefault="00423561" w:rsidP="002405A9">
      <w:pPr>
        <w:rPr>
          <w:noProof/>
        </w:rPr>
      </w:pPr>
      <w:r>
        <w:rPr>
          <w:noProof/>
        </w:rPr>
        <w:t xml:space="preserve">No GAD studies met the inclusion criteria for bowel disorders. Twelve MAG studies (with the largest five studies included in the review) and two DOT studies met the inclusion criteria, mainly for Crohn’s disease and abdominal </w:t>
      </w:r>
      <w:r w:rsidRPr="00F95D32">
        <w:rPr>
          <w:noProof/>
        </w:rPr>
        <w:t xml:space="preserve">malignancy (Table </w:t>
      </w:r>
      <w:r w:rsidR="00AB174B">
        <w:rPr>
          <w:noProof/>
        </w:rPr>
        <w:t>37</w:t>
      </w:r>
      <w:r w:rsidRPr="00F95D32">
        <w:rPr>
          <w:noProof/>
        </w:rPr>
        <w:t>).</w:t>
      </w:r>
      <w:r>
        <w:rPr>
          <w:noProof/>
        </w:rPr>
        <w:t xml:space="preserve">  Overall, sensitivity and specificity were high with the use of  both MAG and DOT. Sensitivity rates ranged from 32%-98% for MAG (Kerker, 2008; Vliegen, 2005; Heverhagen, 2008; Girometti, 2008; Wallihan, 2012), and from 11%-84% for DOT (Zappa, 2011; Soussan, 2012). Specificity rates ranged from 40%-100% and 63.6%-82% for Mag and DOT, respectively. MRI can identify nearly all GI abnormalities and has value in a range of clinical settings (Ajaj, 2005; Horsthuis, 2005).</w:t>
      </w:r>
    </w:p>
    <w:p w:rsidR="00F95D32" w:rsidRDefault="00195B27" w:rsidP="002405A9">
      <w:pPr>
        <w:pStyle w:val="Tabletitle"/>
      </w:pPr>
      <w:bookmarkStart w:id="237" w:name="_Ref393278681"/>
      <w:bookmarkStart w:id="238" w:name="_Toc393351387"/>
      <w:r>
        <w:t xml:space="preserve">Table </w:t>
      </w:r>
      <w:r w:rsidR="00AB174B">
        <w:t>37</w:t>
      </w:r>
      <w:r w:rsidR="00613932">
        <w:t>A</w:t>
      </w:r>
      <w:r w:rsidR="00F95D32">
        <w:t>:</w:t>
      </w:r>
      <w:r>
        <w:t xml:space="preserve"> Literature Review</w:t>
      </w:r>
      <w:bookmarkEnd w:id="237"/>
      <w:bookmarkEnd w:id="238"/>
      <w:r w:rsidR="00F95D32">
        <w:t xml:space="preserve"> </w:t>
      </w:r>
      <w:proofErr w:type="spellStart"/>
      <w:r w:rsidR="00F95D32">
        <w:t>Magnevist</w:t>
      </w:r>
      <w:proofErr w:type="spellEnd"/>
      <w:r w:rsidR="00F95D32">
        <w:t xml:space="preserve"> Diagnostic efficacy in </w:t>
      </w:r>
      <w:proofErr w:type="spellStart"/>
      <w:r w:rsidR="00F95D32">
        <w:t>colonography</w:t>
      </w:r>
      <w:proofErr w:type="spellEnd"/>
      <w:r w:rsidR="00F95D32">
        <w:t xml:space="preserve">/MR of rectal cancer (top) in the diagnosis of the involvement of the terminal ileum in </w:t>
      </w:r>
      <w:proofErr w:type="spellStart"/>
      <w:r w:rsidR="00F95D32">
        <w:t>Chrohn’s</w:t>
      </w:r>
      <w:proofErr w:type="spellEnd"/>
      <w:r w:rsidR="00F95D32">
        <w:t xml:space="preserve"> disease (bottom)</w:t>
      </w:r>
    </w:p>
    <w:p w:rsidR="00A76E19" w:rsidRPr="00A76E19" w:rsidRDefault="00A76E19" w:rsidP="001071E6">
      <w:r>
        <w:rPr>
          <w:noProof/>
          <w:lang w:eastAsia="en-AU"/>
        </w:rPr>
        <w:drawing>
          <wp:inline distT="0" distB="0" distL="0" distR="0" wp14:anchorId="3063A269" wp14:editId="795A56CE">
            <wp:extent cx="4764101" cy="2969874"/>
            <wp:effectExtent l="0" t="0" r="0" b="0"/>
            <wp:docPr id="8" name="Picture 8" descr="Table 37A: Literature Review Magnevist Diagnostic efficacy in colonography/MR of rectal cancer (top) in the diagnosis of the involvement of the terminal ileum in Chrohn’s diseas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BEBA8EAE-BF5A-486C-A8C5-ECC9F3942E4B}">
                          <a14:imgProps xmlns:a14="http://schemas.microsoft.com/office/drawing/2010/main">
                            <a14:imgLayer r:embed="rId63">
                              <a14:imgEffect>
                                <a14:sharpenSoften amount="50000"/>
                              </a14:imgEffect>
                            </a14:imgLayer>
                          </a14:imgProps>
                        </a:ext>
                      </a:extLst>
                    </a:blip>
                    <a:srcRect t="3116"/>
                    <a:stretch/>
                  </pic:blipFill>
                  <pic:spPr bwMode="auto">
                    <a:xfrm>
                      <a:off x="0" y="0"/>
                      <a:ext cx="4766780" cy="2971544"/>
                    </a:xfrm>
                    <a:prstGeom prst="rect">
                      <a:avLst/>
                    </a:prstGeom>
                    <a:ln>
                      <a:noFill/>
                    </a:ln>
                    <a:extLst>
                      <a:ext uri="{53640926-AAD7-44D8-BBD7-CCE9431645EC}">
                        <a14:shadowObscured xmlns:a14="http://schemas.microsoft.com/office/drawing/2010/main"/>
                      </a:ext>
                    </a:extLst>
                  </pic:spPr>
                </pic:pic>
              </a:graphicData>
            </a:graphic>
          </wp:inline>
        </w:drawing>
      </w:r>
    </w:p>
    <w:p w:rsidR="00195B27" w:rsidRDefault="00613932" w:rsidP="002405A9">
      <w:pPr>
        <w:pStyle w:val="Tabletitle"/>
      </w:pPr>
      <w:r>
        <w:lastRenderedPageBreak/>
        <w:t xml:space="preserve">Table </w:t>
      </w:r>
      <w:r w:rsidR="00AB174B">
        <w:t>37</w:t>
      </w:r>
      <w:r>
        <w:t xml:space="preserve">B: Literature Review </w:t>
      </w:r>
      <w:proofErr w:type="spellStart"/>
      <w:r>
        <w:t>Magnevist</w:t>
      </w:r>
      <w:proofErr w:type="spellEnd"/>
      <w:r>
        <w:t xml:space="preserve"> Diagnostic efficacy in inflammatory bowel disease (top); </w:t>
      </w:r>
      <w:proofErr w:type="spellStart"/>
      <w:r>
        <w:t>Dotarem</w:t>
      </w:r>
      <w:proofErr w:type="spellEnd"/>
      <w:r>
        <w:t xml:space="preserve"> Diagnostic efficacy in inflammation in the small bowel in Crohn’s disease (middle) and in assessing peritoneal </w:t>
      </w:r>
      <w:proofErr w:type="spellStart"/>
      <w:r>
        <w:t>carcinomatosis</w:t>
      </w:r>
      <w:proofErr w:type="spellEnd"/>
      <w:r>
        <w:t xml:space="preserve"> from gastrointestinal malignancy (bottom)</w:t>
      </w:r>
    </w:p>
    <w:p w:rsidR="00613932" w:rsidRPr="00613932" w:rsidRDefault="00613932" w:rsidP="00613932">
      <w:r>
        <w:rPr>
          <w:noProof/>
          <w:lang w:eastAsia="en-AU"/>
        </w:rPr>
        <w:drawing>
          <wp:inline distT="0" distB="0" distL="0" distR="0" wp14:anchorId="19C113AD" wp14:editId="1F1C8A79">
            <wp:extent cx="4303059" cy="3229739"/>
            <wp:effectExtent l="0" t="0" r="0" b="0"/>
            <wp:docPr id="16" name="Picture 16" descr="Table 37B: Literature Review Magnevist Diagnostic efficacy in inflammatory bowel disease (top); Dotarem Diagnostic efficacy in inflammation in the small bowel in Crohn’s disease (middle) and in assessing peritoneal carcinomatosis from gastrointestinal malignancy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Lst>
                    </a:blip>
                    <a:srcRect l="1421"/>
                    <a:stretch/>
                  </pic:blipFill>
                  <pic:spPr bwMode="auto">
                    <a:xfrm>
                      <a:off x="0" y="0"/>
                      <a:ext cx="4304750" cy="3231008"/>
                    </a:xfrm>
                    <a:prstGeom prst="rect">
                      <a:avLst/>
                    </a:prstGeom>
                    <a:ln>
                      <a:noFill/>
                    </a:ln>
                    <a:extLst>
                      <a:ext uri="{53640926-AAD7-44D8-BBD7-CCE9431645EC}">
                        <a14:shadowObscured xmlns:a14="http://schemas.microsoft.com/office/drawing/2010/main"/>
                      </a:ext>
                    </a:extLst>
                  </pic:spPr>
                </pic:pic>
              </a:graphicData>
            </a:graphic>
          </wp:inline>
        </w:drawing>
      </w:r>
    </w:p>
    <w:p w:rsidR="00423561" w:rsidRDefault="00423561" w:rsidP="00D4113D">
      <w:pPr>
        <w:pStyle w:val="Heading5"/>
        <w:rPr>
          <w:noProof/>
        </w:rPr>
      </w:pPr>
      <w:r>
        <w:rPr>
          <w:noProof/>
        </w:rPr>
        <w:t>Pelvis</w:t>
      </w:r>
    </w:p>
    <w:p w:rsidR="00423561" w:rsidRDefault="00423561" w:rsidP="002405A9">
      <w:pPr>
        <w:pStyle w:val="Heading6"/>
        <w:rPr>
          <w:noProof/>
        </w:rPr>
      </w:pPr>
      <w:r>
        <w:rPr>
          <w:noProof/>
        </w:rPr>
        <w:t>Male (prostate</w:t>
      </w:r>
      <w:r w:rsidR="002405A9">
        <w:rPr>
          <w:noProof/>
        </w:rPr>
        <w:t xml:space="preserve"> and bladder):</w:t>
      </w:r>
    </w:p>
    <w:p w:rsidR="00195B27" w:rsidRDefault="00423561" w:rsidP="002405A9">
      <w:pPr>
        <w:rPr>
          <w:noProof/>
        </w:rPr>
      </w:pPr>
      <w:r>
        <w:rPr>
          <w:noProof/>
        </w:rPr>
        <w:t xml:space="preserve">Two GAD studies met the inclusion criteria for prostate cancer. In one of these studies, a prospective study in 150 patients (Panebianco, 2010), sensitivity, specificity and accuracy were 76.5%, 89.5% and 88.2%, respectively. A total of 22 MAG studies of the male pelvis met the inclusion criteria and the largest five studies were </w:t>
      </w:r>
      <w:r w:rsidRPr="00613932">
        <w:rPr>
          <w:noProof/>
        </w:rPr>
        <w:t xml:space="preserve">reviewed (Table </w:t>
      </w:r>
      <w:r w:rsidR="00AB174B">
        <w:rPr>
          <w:noProof/>
        </w:rPr>
        <w:t>38</w:t>
      </w:r>
      <w:r w:rsidRPr="00613932">
        <w:rPr>
          <w:noProof/>
        </w:rPr>
        <w:t>).</w:t>
      </w:r>
    </w:p>
    <w:p w:rsidR="00195B27" w:rsidRDefault="00195B27" w:rsidP="002405A9">
      <w:pPr>
        <w:pStyle w:val="Tabletitle"/>
      </w:pPr>
      <w:bookmarkStart w:id="239" w:name="_Ref393278685"/>
      <w:bookmarkStart w:id="240" w:name="_Toc393351389"/>
      <w:r>
        <w:lastRenderedPageBreak/>
        <w:t xml:space="preserve">Table </w:t>
      </w:r>
      <w:r w:rsidR="00AB174B">
        <w:t>38</w:t>
      </w:r>
      <w:r w:rsidR="00613932">
        <w:t>:</w:t>
      </w:r>
      <w:r>
        <w:t xml:space="preserve"> Literature Review</w:t>
      </w:r>
      <w:bookmarkEnd w:id="239"/>
      <w:bookmarkEnd w:id="240"/>
      <w:r w:rsidR="00613932">
        <w:t xml:space="preserve"> </w:t>
      </w:r>
      <w:proofErr w:type="spellStart"/>
      <w:r w:rsidR="00613932">
        <w:t>Magnevist</w:t>
      </w:r>
      <w:proofErr w:type="spellEnd"/>
      <w:r w:rsidR="00613932">
        <w:t xml:space="preserve"> Diagnostic efficacy of contrast-enhanced MRI tumour detection in prostate cancer (top), in characterisation in the prostate (middle) and tumour staging in prostate cancer (bottom)</w:t>
      </w:r>
    </w:p>
    <w:p w:rsidR="00613932" w:rsidRPr="00613932" w:rsidRDefault="00613932" w:rsidP="00613932">
      <w:r>
        <w:rPr>
          <w:noProof/>
          <w:lang w:eastAsia="en-AU"/>
        </w:rPr>
        <w:drawing>
          <wp:inline distT="0" distB="0" distL="0" distR="0" wp14:anchorId="24F90765" wp14:editId="009D7374">
            <wp:extent cx="4177258" cy="3450131"/>
            <wp:effectExtent l="0" t="0" r="0" b="0"/>
            <wp:docPr id="21" name="Picture 21" descr="Table 38: Literature Review Magnevist Diagnostic efficacy of contrast-enhanced MRI tumour detection in prostate cancer (top), in characterisation in the prostate (middle) and tumour staging in prostate cancer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Lst>
                    </a:blip>
                    <a:srcRect l="1122" r="1"/>
                    <a:stretch/>
                  </pic:blipFill>
                  <pic:spPr bwMode="auto">
                    <a:xfrm>
                      <a:off x="0" y="0"/>
                      <a:ext cx="4178291" cy="3450984"/>
                    </a:xfrm>
                    <a:prstGeom prst="rect">
                      <a:avLst/>
                    </a:prstGeom>
                    <a:ln>
                      <a:noFill/>
                    </a:ln>
                    <a:extLst>
                      <a:ext uri="{53640926-AAD7-44D8-BBD7-CCE9431645EC}">
                        <a14:shadowObscured xmlns:a14="http://schemas.microsoft.com/office/drawing/2010/main"/>
                      </a:ext>
                    </a:extLst>
                  </pic:spPr>
                </pic:pic>
              </a:graphicData>
            </a:graphic>
          </wp:inline>
        </w:drawing>
      </w:r>
    </w:p>
    <w:p w:rsidR="00195B27" w:rsidRPr="00613932" w:rsidRDefault="00423561" w:rsidP="002405A9">
      <w:pPr>
        <w:rPr>
          <w:noProof/>
        </w:rPr>
      </w:pPr>
      <w:r>
        <w:rPr>
          <w:noProof/>
        </w:rPr>
        <w:t xml:space="preserve">The results were inconsistent with significantly increased sensitivity and specificity for CMRM in only two studies (Tanimoto, 2007; Cirillo, 2009). Similar results were obtained in the five DOT studies that met the inclusion criteria, all involving the </w:t>
      </w:r>
      <w:r w:rsidRPr="00613932">
        <w:rPr>
          <w:noProof/>
        </w:rPr>
        <w:t xml:space="preserve">prostate (Table </w:t>
      </w:r>
      <w:r w:rsidR="00AB174B">
        <w:rPr>
          <w:noProof/>
        </w:rPr>
        <w:t>39</w:t>
      </w:r>
      <w:r w:rsidR="001071E6">
        <w:rPr>
          <w:noProof/>
        </w:rPr>
        <w:t>).</w:t>
      </w:r>
    </w:p>
    <w:p w:rsidR="00613932" w:rsidRDefault="00195B27" w:rsidP="002405A9">
      <w:pPr>
        <w:pStyle w:val="Tabletitle"/>
      </w:pPr>
      <w:bookmarkStart w:id="241" w:name="_Ref393278687"/>
      <w:bookmarkStart w:id="242" w:name="_Toc393351390"/>
      <w:r>
        <w:t xml:space="preserve">Table </w:t>
      </w:r>
      <w:bookmarkEnd w:id="241"/>
      <w:bookmarkEnd w:id="242"/>
      <w:r w:rsidR="00AB174B">
        <w:t>39</w:t>
      </w:r>
      <w:r w:rsidR="00613932">
        <w:t xml:space="preserve">: Literature Review </w:t>
      </w:r>
      <w:proofErr w:type="spellStart"/>
      <w:r w:rsidR="00613932">
        <w:t>Dotarem</w:t>
      </w:r>
      <w:proofErr w:type="spellEnd"/>
      <w:r w:rsidR="00613932">
        <w:t xml:space="preserve"> Diagnostic efficacy of different MR techniques for the diagnosis of prostate cancer or detection of localised prostate cancer (top) and positive predictive value of MRI value in patients with suspicion of recurrent p</w:t>
      </w:r>
      <w:r w:rsidR="00CD6FCF">
        <w:t>r</w:t>
      </w:r>
      <w:r w:rsidR="00613932">
        <w:t>ostate cancer</w:t>
      </w:r>
    </w:p>
    <w:p w:rsidR="005F5DAF" w:rsidRPr="005F5DAF" w:rsidRDefault="005F5DAF" w:rsidP="005F5DAF">
      <w:r>
        <w:rPr>
          <w:noProof/>
          <w:lang w:eastAsia="en-AU"/>
        </w:rPr>
        <w:drawing>
          <wp:inline distT="0" distB="0" distL="0" distR="0" wp14:anchorId="3362E0BD" wp14:editId="735483F5">
            <wp:extent cx="3772861" cy="2896927"/>
            <wp:effectExtent l="0" t="0" r="0" b="0"/>
            <wp:docPr id="23" name="Picture 23" descr="Table 42: Literature Review Dotarem Diagnostic efficacy of different MR techniques for the diagnosis of prostate cancer or detection of localised prostate cancer (top) and positive predictive value of MRI value in patients with suspicion of recurrent postate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BEBA8EAE-BF5A-486C-A8C5-ECC9F3942E4B}">
                          <a14:imgProps xmlns:a14="http://schemas.microsoft.com/office/drawing/2010/main">
                            <a14:imgLayer r:embed="rId69">
                              <a14:imgEffect>
                                <a14:sharpenSoften amount="50000"/>
                              </a14:imgEffect>
                            </a14:imgLayer>
                          </a14:imgProps>
                        </a:ext>
                      </a:extLst>
                    </a:blip>
                    <a:srcRect l="933" t="2021" b="2525"/>
                    <a:stretch/>
                  </pic:blipFill>
                  <pic:spPr bwMode="auto">
                    <a:xfrm>
                      <a:off x="0" y="0"/>
                      <a:ext cx="3777884" cy="2900784"/>
                    </a:xfrm>
                    <a:prstGeom prst="rect">
                      <a:avLst/>
                    </a:prstGeom>
                    <a:ln>
                      <a:noFill/>
                    </a:ln>
                    <a:extLst>
                      <a:ext uri="{53640926-AAD7-44D8-BBD7-CCE9431645EC}">
                        <a14:shadowObscured xmlns:a14="http://schemas.microsoft.com/office/drawing/2010/main"/>
                      </a:ext>
                    </a:extLst>
                  </pic:spPr>
                </pic:pic>
              </a:graphicData>
            </a:graphic>
          </wp:inline>
        </w:drawing>
      </w:r>
    </w:p>
    <w:p w:rsidR="00DD2DBD" w:rsidRPr="005F5DAF" w:rsidRDefault="00423561" w:rsidP="002405A9">
      <w:pPr>
        <w:rPr>
          <w:noProof/>
        </w:rPr>
      </w:pPr>
      <w:r>
        <w:rPr>
          <w:noProof/>
        </w:rPr>
        <w:t xml:space="preserve">Sensitivity ranged from 47%-85% and specificity ranged from 20%-76%. The introduction of endorectal-coil imaging with MR spectroscopy, dynamic CE-MRI and diffusion-weighted </w:t>
      </w:r>
      <w:r>
        <w:rPr>
          <w:noProof/>
        </w:rPr>
        <w:lastRenderedPageBreak/>
        <w:t xml:space="preserve">imaging has significantly increased the accuarcy of MRI in recent years. No publications were found for GAD and the bladder and the single DOT study did not meet the inclusion criteria. Five MAG studies were identified and four met the inclusion </w:t>
      </w:r>
      <w:r w:rsidRPr="005F5DAF">
        <w:rPr>
          <w:noProof/>
        </w:rPr>
        <w:t xml:space="preserve">criteria (Table </w:t>
      </w:r>
      <w:r w:rsidR="005F5DAF" w:rsidRPr="005F5DAF">
        <w:rPr>
          <w:noProof/>
        </w:rPr>
        <w:t>4</w:t>
      </w:r>
      <w:r w:rsidR="00AB174B">
        <w:rPr>
          <w:noProof/>
        </w:rPr>
        <w:t>0</w:t>
      </w:r>
      <w:r w:rsidR="001071E6">
        <w:rPr>
          <w:noProof/>
        </w:rPr>
        <w:t>).</w:t>
      </w:r>
    </w:p>
    <w:p w:rsidR="00DD2DBD" w:rsidRDefault="00DD2DBD" w:rsidP="002405A9">
      <w:pPr>
        <w:pStyle w:val="Tabletitle"/>
      </w:pPr>
      <w:bookmarkStart w:id="243" w:name="_Ref393278690"/>
      <w:bookmarkStart w:id="244" w:name="_Toc393351391"/>
      <w:proofErr w:type="gramStart"/>
      <w:r>
        <w:t xml:space="preserve">Table </w:t>
      </w:r>
      <w:r w:rsidR="005F5DAF">
        <w:t>4</w:t>
      </w:r>
      <w:r w:rsidR="00AB174B">
        <w:t>0</w:t>
      </w:r>
      <w:r w:rsidR="005F5DAF">
        <w:t>:</w:t>
      </w:r>
      <w:r>
        <w:t xml:space="preserve"> Literature Review</w:t>
      </w:r>
      <w:bookmarkEnd w:id="243"/>
      <w:bookmarkEnd w:id="244"/>
      <w:r w:rsidR="005F5DAF">
        <w:t xml:space="preserve"> </w:t>
      </w:r>
      <w:proofErr w:type="spellStart"/>
      <w:r w:rsidR="005F5DAF">
        <w:t>Magnevist</w:t>
      </w:r>
      <w:proofErr w:type="spellEnd"/>
      <w:r w:rsidR="005F5DAF">
        <w:t xml:space="preserve"> in Diagnostic efficacy in staging of bladder cancer (top) and patients with urinary obstruction (bottom).</w:t>
      </w:r>
      <w:proofErr w:type="gramEnd"/>
    </w:p>
    <w:p w:rsidR="005F5DAF" w:rsidRPr="005F5DAF" w:rsidRDefault="005F5DAF" w:rsidP="005F5DAF">
      <w:r>
        <w:rPr>
          <w:noProof/>
          <w:lang w:eastAsia="en-AU"/>
        </w:rPr>
        <w:drawing>
          <wp:inline distT="0" distB="0" distL="0" distR="0" wp14:anchorId="0C57366C" wp14:editId="08CF7207">
            <wp:extent cx="3962621" cy="3119718"/>
            <wp:effectExtent l="0" t="0" r="0" b="0"/>
            <wp:docPr id="25" name="Picture 25" descr="Table 40: Literature Review Magnevist in Diagnostic efficacy in staging of bladder cancer (top) and patients with urinary obstruction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Lst>
                    </a:blip>
                    <a:stretch>
                      <a:fillRect/>
                    </a:stretch>
                  </pic:blipFill>
                  <pic:spPr>
                    <a:xfrm>
                      <a:off x="0" y="0"/>
                      <a:ext cx="3965795" cy="3122217"/>
                    </a:xfrm>
                    <a:prstGeom prst="rect">
                      <a:avLst/>
                    </a:prstGeom>
                  </pic:spPr>
                </pic:pic>
              </a:graphicData>
            </a:graphic>
          </wp:inline>
        </w:drawing>
      </w:r>
    </w:p>
    <w:p w:rsidR="00423561" w:rsidRDefault="00423561" w:rsidP="002405A9">
      <w:pPr>
        <w:rPr>
          <w:noProof/>
        </w:rPr>
      </w:pPr>
      <w:r>
        <w:rPr>
          <w:noProof/>
        </w:rPr>
        <w:t>Only small patient numbers of bladder cancer and urinary obstruction were studied with inconsistent results (Tekes, 2005; Takeuchi, 2009; Watanabe, 2009; Erdogmus, 2004). Sensitivity and specificity rates ranged from 80%-97% and 55%-89%, respectively.</w:t>
      </w:r>
    </w:p>
    <w:p w:rsidR="00423561" w:rsidRDefault="001071E6" w:rsidP="002405A9">
      <w:pPr>
        <w:pStyle w:val="Heading6"/>
        <w:rPr>
          <w:noProof/>
        </w:rPr>
      </w:pPr>
      <w:r>
        <w:rPr>
          <w:noProof/>
        </w:rPr>
        <w:t>Female (uterus and cervix):</w:t>
      </w:r>
    </w:p>
    <w:p w:rsidR="00DD2DBD" w:rsidRPr="005F5DAF" w:rsidRDefault="00423561" w:rsidP="002405A9">
      <w:pPr>
        <w:rPr>
          <w:noProof/>
        </w:rPr>
      </w:pPr>
      <w:r>
        <w:rPr>
          <w:noProof/>
        </w:rPr>
        <w:t xml:space="preserve">Four GAD articles studying imaging of the uterus were identified, one of which met the inclusion </w:t>
      </w:r>
      <w:r w:rsidRPr="005F5DAF">
        <w:rPr>
          <w:noProof/>
        </w:rPr>
        <w:t xml:space="preserve">criteria (Table </w:t>
      </w:r>
      <w:r w:rsidR="005F5DAF" w:rsidRPr="005F5DAF">
        <w:rPr>
          <w:noProof/>
        </w:rPr>
        <w:t>4</w:t>
      </w:r>
      <w:r w:rsidR="00AB174B">
        <w:rPr>
          <w:noProof/>
        </w:rPr>
        <w:t>1</w:t>
      </w:r>
      <w:r w:rsidR="001071E6">
        <w:rPr>
          <w:noProof/>
        </w:rPr>
        <w:t>).</w:t>
      </w:r>
    </w:p>
    <w:p w:rsidR="00DD2DBD" w:rsidRDefault="00DD2DBD" w:rsidP="002405A9">
      <w:pPr>
        <w:pStyle w:val="Tabletitle"/>
      </w:pPr>
      <w:bookmarkStart w:id="245" w:name="_Ref393278693"/>
      <w:bookmarkStart w:id="246" w:name="_Toc393351392"/>
      <w:r>
        <w:t xml:space="preserve">Table </w:t>
      </w:r>
      <w:r w:rsidR="005F5DAF">
        <w:t>4</w:t>
      </w:r>
      <w:r w:rsidR="00AB174B">
        <w:t>1</w:t>
      </w:r>
      <w:r w:rsidR="005F5DAF">
        <w:t xml:space="preserve">: </w:t>
      </w:r>
      <w:r>
        <w:t>Literature Review</w:t>
      </w:r>
      <w:bookmarkEnd w:id="245"/>
      <w:bookmarkEnd w:id="246"/>
      <w:r w:rsidR="005F5DAF">
        <w:t xml:space="preserve"> </w:t>
      </w:r>
      <w:proofErr w:type="spellStart"/>
      <w:r w:rsidR="005F5DAF">
        <w:t>Gadovist</w:t>
      </w:r>
      <w:proofErr w:type="spellEnd"/>
      <w:r w:rsidR="005F5DAF">
        <w:t xml:space="preserve"> Diagnostic efficacy in imaging of the uterus: prediction of success of uterine artery </w:t>
      </w:r>
      <w:proofErr w:type="spellStart"/>
      <w:r w:rsidR="005F5DAF">
        <w:t>embolisation</w:t>
      </w:r>
      <w:proofErr w:type="spellEnd"/>
    </w:p>
    <w:p w:rsidR="00DD2DBD" w:rsidRDefault="00DD2DBD" w:rsidP="00DD2DBD">
      <w:pPr>
        <w:rPr>
          <w:b/>
        </w:rPr>
      </w:pPr>
      <w:r w:rsidRPr="00C9771D">
        <w:rPr>
          <w:b/>
          <w:noProof/>
          <w:lang w:eastAsia="en-AU"/>
        </w:rPr>
        <w:drawing>
          <wp:inline distT="0" distB="0" distL="0" distR="0" wp14:anchorId="19563124" wp14:editId="1AA7E734">
            <wp:extent cx="4533580" cy="814671"/>
            <wp:effectExtent l="0" t="0" r="0" b="0"/>
            <wp:docPr id="121" name="Picture 121" descr="Table 41: Literature Review Gadovist Diagnostic efficacy in imaging of the uterus: prediction of success of uterine artery embo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2">
                      <a:lum bright="-20000" contrast="40000"/>
                      <a:extLst>
                        <a:ext uri="{28A0092B-C50C-407E-A947-70E740481C1C}">
                          <a14:useLocalDpi xmlns:a14="http://schemas.microsoft.com/office/drawing/2010/main" val="0"/>
                        </a:ext>
                      </a:extLst>
                    </a:blip>
                    <a:srcRect l="1884" t="37226"/>
                    <a:stretch/>
                  </pic:blipFill>
                  <pic:spPr bwMode="auto">
                    <a:xfrm>
                      <a:off x="0" y="0"/>
                      <a:ext cx="4563891" cy="820118"/>
                    </a:xfrm>
                    <a:prstGeom prst="rect">
                      <a:avLst/>
                    </a:prstGeom>
                    <a:noFill/>
                    <a:ln>
                      <a:noFill/>
                    </a:ln>
                    <a:extLst>
                      <a:ext uri="{53640926-AAD7-44D8-BBD7-CCE9431645EC}">
                        <a14:shadowObscured xmlns:a14="http://schemas.microsoft.com/office/drawing/2010/main"/>
                      </a:ext>
                    </a:extLst>
                  </pic:spPr>
                </pic:pic>
              </a:graphicData>
            </a:graphic>
          </wp:inline>
        </w:drawing>
      </w:r>
    </w:p>
    <w:p w:rsidR="00DD2DBD" w:rsidRDefault="00423561" w:rsidP="002405A9">
      <w:pPr>
        <w:rPr>
          <w:noProof/>
        </w:rPr>
      </w:pPr>
      <w:r>
        <w:rPr>
          <w:noProof/>
        </w:rPr>
        <w:t xml:space="preserve">In a study of tumour imaging in 47 patients, sensitivity and specificity were 85% and 62%, respectively (Sipola, 2010). Nine MAG studies met the inclusion criteria and the five largest were </w:t>
      </w:r>
      <w:r w:rsidRPr="005F5DAF">
        <w:rPr>
          <w:noProof/>
        </w:rPr>
        <w:t xml:space="preserve">reviewed (Table </w:t>
      </w:r>
      <w:r w:rsidR="005F5DAF" w:rsidRPr="005F5DAF">
        <w:rPr>
          <w:noProof/>
        </w:rPr>
        <w:t>4</w:t>
      </w:r>
      <w:r w:rsidR="00AB174B">
        <w:rPr>
          <w:noProof/>
        </w:rPr>
        <w:t>2</w:t>
      </w:r>
      <w:r w:rsidRPr="005F5DAF">
        <w:rPr>
          <w:noProof/>
        </w:rPr>
        <w:t>).</w:t>
      </w:r>
    </w:p>
    <w:p w:rsidR="00DD2DBD" w:rsidRDefault="00DD2DBD" w:rsidP="002405A9">
      <w:pPr>
        <w:pStyle w:val="Tabletitle"/>
      </w:pPr>
      <w:bookmarkStart w:id="247" w:name="_Ref393278695"/>
      <w:bookmarkStart w:id="248" w:name="_Toc393351393"/>
      <w:proofErr w:type="gramStart"/>
      <w:r>
        <w:lastRenderedPageBreak/>
        <w:t xml:space="preserve">Table </w:t>
      </w:r>
      <w:r w:rsidR="005F5DAF">
        <w:t>4</w:t>
      </w:r>
      <w:r w:rsidR="00AB174B">
        <w:t>2</w:t>
      </w:r>
      <w:r w:rsidR="005F5DAF">
        <w:t>:</w:t>
      </w:r>
      <w:r>
        <w:t xml:space="preserve"> Literature Review</w:t>
      </w:r>
      <w:bookmarkEnd w:id="247"/>
      <w:bookmarkEnd w:id="248"/>
      <w:r w:rsidR="005F5DAF">
        <w:t xml:space="preserve"> Diagnostic efficacy in staging of tumours in the female pelvis (top), for prediction of outcomes in tumours of the female pelvis (middle) and in lesion characterisation of adnexal masses (bottom).</w:t>
      </w:r>
      <w:proofErr w:type="gramEnd"/>
    </w:p>
    <w:p w:rsidR="005F5DAF" w:rsidRPr="005F5DAF" w:rsidRDefault="005F5DAF" w:rsidP="005F5DAF">
      <w:r>
        <w:rPr>
          <w:noProof/>
          <w:lang w:eastAsia="en-AU"/>
        </w:rPr>
        <w:drawing>
          <wp:inline distT="0" distB="0" distL="0" distR="0" wp14:anchorId="365D876A" wp14:editId="3D20B8F6">
            <wp:extent cx="3918857" cy="4102192"/>
            <wp:effectExtent l="0" t="0" r="0" b="0"/>
            <wp:docPr id="29" name="Picture 29" descr="Table 42: Literature Review Diagnostic efficacy in staging of tumours in the female pelvis (top), for prediction of outcomes in tumours of the female pelvis (middle) and in lesion characterisation of adnexal masses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BEBA8EAE-BF5A-486C-A8C5-ECC9F3942E4B}">
                          <a14:imgProps xmlns:a14="http://schemas.microsoft.com/office/drawing/2010/main">
                            <a14:imgLayer r:embed="rId74">
                              <a14:imgEffect>
                                <a14:sharpenSoften amount="50000"/>
                              </a14:imgEffect>
                            </a14:imgLayer>
                          </a14:imgProps>
                        </a:ext>
                      </a:extLst>
                    </a:blip>
                    <a:srcRect l="1478"/>
                    <a:stretch/>
                  </pic:blipFill>
                  <pic:spPr bwMode="auto">
                    <a:xfrm>
                      <a:off x="0" y="0"/>
                      <a:ext cx="3922167" cy="4105657"/>
                    </a:xfrm>
                    <a:prstGeom prst="rect">
                      <a:avLst/>
                    </a:prstGeom>
                    <a:ln>
                      <a:noFill/>
                    </a:ln>
                    <a:extLst>
                      <a:ext uri="{53640926-AAD7-44D8-BBD7-CCE9431645EC}">
                        <a14:shadowObscured xmlns:a14="http://schemas.microsoft.com/office/drawing/2010/main"/>
                      </a:ext>
                    </a:extLst>
                  </pic:spPr>
                </pic:pic>
              </a:graphicData>
            </a:graphic>
          </wp:inline>
        </w:drawing>
      </w:r>
    </w:p>
    <w:p w:rsidR="00423561" w:rsidRDefault="00423561" w:rsidP="008C7266">
      <w:pPr>
        <w:rPr>
          <w:noProof/>
        </w:rPr>
      </w:pPr>
      <w:r>
        <w:rPr>
          <w:noProof/>
        </w:rPr>
        <w:t>The study results were inconsistent but overall CMRI was shown to have value, particularly in assessment of the endometrium (Choi, 2004; Lin, 2009; Gao,2012; Low, 2005; Kawahara, 2004). Sensitivity and specificity rates ranged from 23.1%-100% and 83.3%-100%, respectively. Similar findings were observed in the five DOT studies reviewed (Bazot, 2004; Chamie, 2009; Bazot, 2011; Torricelli, 2008; Thomassin-Naggara, 2008). Sensitivity and specificity rates ranged from 62.5%-100% and 81%-100%, resectively. CE-MRI was shown to have high sensitivity and specificity in endometriosis, endometrial carcinoma and ovarian tumours.</w:t>
      </w:r>
    </w:p>
    <w:p w:rsidR="00423561" w:rsidRDefault="00423561" w:rsidP="008C7266">
      <w:pPr>
        <w:pStyle w:val="Heading6"/>
        <w:rPr>
          <w:noProof/>
        </w:rPr>
      </w:pPr>
      <w:r>
        <w:rPr>
          <w:noProof/>
        </w:rPr>
        <w:t>Extremities and musculoskeletal system:</w:t>
      </w:r>
    </w:p>
    <w:p w:rsidR="00DD2DBD" w:rsidRDefault="00423561" w:rsidP="008C7266">
      <w:pPr>
        <w:rPr>
          <w:noProof/>
        </w:rPr>
      </w:pPr>
      <w:r>
        <w:rPr>
          <w:noProof/>
        </w:rPr>
        <w:t>Five studies of GAD for the imaging of extremities and the musculoskeletal system were discovered but none met the inclusion criteria.  Sixteen MAG studies met the inclusion criteria and the largest five were reviewed (van Rijswijk, 2004; Tokuda, 2009; Averill, 2009; Calder, 2008; Sen, 2010</w:t>
      </w:r>
      <w:r w:rsidRPr="005F5DAF">
        <w:rPr>
          <w:noProof/>
        </w:rPr>
        <w:t xml:space="preserve">) Table </w:t>
      </w:r>
      <w:r w:rsidR="005F5DAF" w:rsidRPr="005F5DAF">
        <w:rPr>
          <w:noProof/>
        </w:rPr>
        <w:t>4</w:t>
      </w:r>
      <w:r w:rsidR="00AB174B">
        <w:rPr>
          <w:noProof/>
        </w:rPr>
        <w:t>3</w:t>
      </w:r>
      <w:r w:rsidR="001071E6">
        <w:rPr>
          <w:noProof/>
        </w:rPr>
        <w:t>).</w:t>
      </w:r>
    </w:p>
    <w:p w:rsidR="001071E6" w:rsidRDefault="005F5DAF" w:rsidP="008C7266">
      <w:pPr>
        <w:pStyle w:val="Tabletitle"/>
      </w:pPr>
      <w:bookmarkStart w:id="249" w:name="_Ref393278699"/>
      <w:bookmarkStart w:id="250" w:name="_Toc393351395"/>
      <w:r>
        <w:lastRenderedPageBreak/>
        <w:t>T</w:t>
      </w:r>
      <w:r w:rsidR="00DD2DBD">
        <w:t xml:space="preserve">able </w:t>
      </w:r>
      <w:r>
        <w:t>4</w:t>
      </w:r>
      <w:r w:rsidR="00AB174B">
        <w:t>3</w:t>
      </w:r>
      <w:r>
        <w:t>:</w:t>
      </w:r>
      <w:r w:rsidR="00DD2DBD">
        <w:t xml:space="preserve"> Literature Review</w:t>
      </w:r>
      <w:bookmarkEnd w:id="249"/>
      <w:bookmarkEnd w:id="250"/>
      <w:r>
        <w:t xml:space="preserve"> </w:t>
      </w:r>
      <w:proofErr w:type="spellStart"/>
      <w:r>
        <w:t>Magnevist</w:t>
      </w:r>
      <w:proofErr w:type="spellEnd"/>
      <w:r>
        <w:t xml:space="preserve"> Diagnostic efficacy in musculoskeletal imaging</w:t>
      </w:r>
    </w:p>
    <w:p w:rsidR="00DD2DBD" w:rsidRDefault="00DD2DBD" w:rsidP="001071E6">
      <w:r w:rsidRPr="00082B45">
        <w:rPr>
          <w:noProof/>
          <w:lang w:eastAsia="en-AU"/>
        </w:rPr>
        <w:drawing>
          <wp:inline distT="0" distB="0" distL="0" distR="0" wp14:anchorId="2B648BD6" wp14:editId="4B555BBF">
            <wp:extent cx="3826649" cy="2006943"/>
            <wp:effectExtent l="0" t="0" r="0" b="0"/>
            <wp:docPr id="125" name="Picture 125" descr="Table 43: Literature Review Magnevist Diagnostic efficacy in musculoskeletal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5">
                      <a:lum bright="-20000" contrast="40000"/>
                      <a:extLst>
                        <a:ext uri="{28A0092B-C50C-407E-A947-70E740481C1C}">
                          <a14:useLocalDpi xmlns:a14="http://schemas.microsoft.com/office/drawing/2010/main" val="0"/>
                        </a:ext>
                      </a:extLst>
                    </a:blip>
                    <a:srcRect l="3624" t="14181" r="8591" b="1918"/>
                    <a:stretch/>
                  </pic:blipFill>
                  <pic:spPr bwMode="auto">
                    <a:xfrm>
                      <a:off x="0" y="0"/>
                      <a:ext cx="3838156" cy="2012978"/>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8C7266">
      <w:pPr>
        <w:rPr>
          <w:noProof/>
        </w:rPr>
      </w:pPr>
      <w:r>
        <w:rPr>
          <w:noProof/>
        </w:rPr>
        <w:t>Most investigations related to soft tissue tumours. Overall sensitivity and specificity rates for MAG were high but not significantly superior to unenhanced imaging. Two DOT studies were reviewed, one for indirect arthrography for supraspinatus tears (van Dyck, 2009). This study demonstrated no value for CMRI. However, CMRI was shown to be useful in children with osteoarticul</w:t>
      </w:r>
      <w:r w:rsidR="001071E6">
        <w:rPr>
          <w:noProof/>
        </w:rPr>
        <w:t>ar infections (Kanavaki, 2012).</w:t>
      </w:r>
    </w:p>
    <w:p w:rsidR="00423561" w:rsidRDefault="00423561" w:rsidP="008C7266">
      <w:pPr>
        <w:rPr>
          <w:noProof/>
        </w:rPr>
      </w:pPr>
      <w:r w:rsidRPr="008C7266">
        <w:rPr>
          <w:b/>
        </w:rPr>
        <w:t>Whole body:</w:t>
      </w:r>
      <w:r w:rsidR="00DD2DBD">
        <w:rPr>
          <w:rStyle w:val="Heading6Char"/>
          <w:rFonts w:eastAsia="Cambria"/>
        </w:rPr>
        <w:t xml:space="preserve"> </w:t>
      </w:r>
      <w:r>
        <w:rPr>
          <w:noProof/>
        </w:rPr>
        <w:t xml:space="preserve">No studies of GAD or DOT for whole body imaging were discovered. One large MAG study evaluated the use of MAG in the assessment of patients with stage 3 or 4 melanoma (Hausmann, </w:t>
      </w:r>
      <w:r w:rsidRPr="005F5DAF">
        <w:rPr>
          <w:noProof/>
        </w:rPr>
        <w:t xml:space="preserve">2011) (Table </w:t>
      </w:r>
      <w:r w:rsidR="005F5DAF" w:rsidRPr="005F5DAF">
        <w:rPr>
          <w:noProof/>
        </w:rPr>
        <w:t>4</w:t>
      </w:r>
      <w:r w:rsidR="00EF17C2">
        <w:rPr>
          <w:noProof/>
        </w:rPr>
        <w:t>4</w:t>
      </w:r>
      <w:r w:rsidRPr="005F5DAF">
        <w:rPr>
          <w:noProof/>
        </w:rPr>
        <w:t>). Sensitivity</w:t>
      </w:r>
      <w:r>
        <w:rPr>
          <w:noProof/>
        </w:rPr>
        <w:t xml:space="preserve"> and specificity were 73.4% and 83.7%, respectively. MRI was slightly less sensitive than CT but specificity was significantly higher for MRI.</w:t>
      </w:r>
    </w:p>
    <w:p w:rsidR="00DD2DBD" w:rsidRDefault="00DD2DBD" w:rsidP="008C7266">
      <w:pPr>
        <w:pStyle w:val="Tabletitle"/>
      </w:pPr>
      <w:bookmarkStart w:id="251" w:name="_Ref393278702"/>
      <w:bookmarkStart w:id="252" w:name="_Toc393351396"/>
      <w:r>
        <w:t xml:space="preserve">Table </w:t>
      </w:r>
      <w:r w:rsidR="005F5DAF">
        <w:t>4</w:t>
      </w:r>
      <w:r w:rsidR="00EF17C2">
        <w:t>4</w:t>
      </w:r>
      <w:r w:rsidR="005F5DAF">
        <w:t>:</w:t>
      </w:r>
      <w:r>
        <w:t xml:space="preserve"> Literature Review</w:t>
      </w:r>
      <w:bookmarkEnd w:id="251"/>
      <w:bookmarkEnd w:id="252"/>
      <w:r w:rsidR="005F5DAF">
        <w:t xml:space="preserve"> </w:t>
      </w:r>
      <w:proofErr w:type="spellStart"/>
      <w:r w:rsidR="005F5DAF">
        <w:t>Magnevist</w:t>
      </w:r>
      <w:proofErr w:type="spellEnd"/>
      <w:r w:rsidR="005F5DAF">
        <w:t xml:space="preserve"> Diagnostic efficacy using whole body MRI for melanoma</w:t>
      </w:r>
    </w:p>
    <w:p w:rsidR="00DD2DBD" w:rsidRDefault="00DD2DBD" w:rsidP="001071E6">
      <w:r w:rsidRPr="00DB2E1C">
        <w:rPr>
          <w:noProof/>
          <w:lang w:eastAsia="en-AU"/>
        </w:rPr>
        <w:drawing>
          <wp:inline distT="0" distB="0" distL="0" distR="0" wp14:anchorId="24AD8169" wp14:editId="2F4A5683">
            <wp:extent cx="4449056" cy="1036446"/>
            <wp:effectExtent l="0" t="0" r="0" b="0"/>
            <wp:docPr id="129" name="Picture 129" descr="Table 44: Literature Review Magnevist Diagnostic efficacy using whole body MRI for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6">
                      <a:lum bright="-20000" contrast="40000"/>
                      <a:extLst>
                        <a:ext uri="{28A0092B-C50C-407E-A947-70E740481C1C}">
                          <a14:useLocalDpi xmlns:a14="http://schemas.microsoft.com/office/drawing/2010/main" val="0"/>
                        </a:ext>
                      </a:extLst>
                    </a:blip>
                    <a:srcRect l="5405" t="21325" b="4917"/>
                    <a:stretch/>
                  </pic:blipFill>
                  <pic:spPr bwMode="auto">
                    <a:xfrm>
                      <a:off x="0" y="0"/>
                      <a:ext cx="4465319" cy="1040235"/>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8C7266">
      <w:pPr>
        <w:ind w:left="720"/>
      </w:pPr>
      <w:r w:rsidRPr="001071E6">
        <w:rPr>
          <w:b/>
        </w:rPr>
        <w:t>Comment:</w:t>
      </w:r>
      <w:r>
        <w:t xml:space="preserve"> The literature review to support the whole body indication had two main objectives. The first objective was to assess the sensitivity, specificity and diagnostic accuracy in the comparison of CE-MRI versus UMRI. The second objective was to assess the non-inferiority of </w:t>
      </w:r>
      <w:proofErr w:type="spellStart"/>
      <w:r>
        <w:t>Gadovist</w:t>
      </w:r>
      <w:proofErr w:type="spellEnd"/>
      <w:r>
        <w:t xml:space="preserve"> compared with two leading comparator contrast agents. Publications relating to </w:t>
      </w:r>
      <w:proofErr w:type="spellStart"/>
      <w:r>
        <w:t>Gadovist</w:t>
      </w:r>
      <w:proofErr w:type="spellEnd"/>
      <w:r>
        <w:t xml:space="preserve">® (n=21), </w:t>
      </w:r>
      <w:proofErr w:type="spellStart"/>
      <w:r>
        <w:t>Magnevist</w:t>
      </w:r>
      <w:proofErr w:type="spellEnd"/>
      <w:r>
        <w:t xml:space="preserve"> (n=58) and </w:t>
      </w:r>
      <w:proofErr w:type="spellStart"/>
      <w:r>
        <w:t>Dotarem</w:t>
      </w:r>
      <w:proofErr w:type="spellEnd"/>
      <w:r>
        <w:t xml:space="preserve"> (35) for the imaging of different body areas are summarised with particular emphasis on breast cancers. There is an extensive literature relating to </w:t>
      </w:r>
      <w:proofErr w:type="spellStart"/>
      <w:r>
        <w:t>Gadovist</w:t>
      </w:r>
      <w:proofErr w:type="spellEnd"/>
      <w:r>
        <w:t xml:space="preserve"> and other marketed gadolinium-containing contrast agents. The literature review submitted by the sponsor to support whole body imaging complies with search criteria agreed with the TGA to minimise reporting bias. Publications which met the search criteria employed a range of methodologies and study designs with emphasis on specific pathologies and target organs. The publications were of inconsistent value with considerable variability in patient numbers, power and statistical validity. Some studies were retrospective, some were uncontrolled, and some were not randomised. Nonetheless, the great weight of literature evidence confirms the clinical value of CE-MRI compared with UMRM, and the non-inferiority of GAD compared with two widely used gad</w:t>
      </w:r>
      <w:r w:rsidR="001071E6">
        <w:t>olinium containing comparators.</w:t>
      </w:r>
    </w:p>
    <w:p w:rsidR="00423561" w:rsidRDefault="00423561" w:rsidP="008C7266">
      <w:pPr>
        <w:pStyle w:val="Heading3"/>
        <w:rPr>
          <w:rFonts w:ascii="Cambria" w:hAnsi="Cambria"/>
        </w:rPr>
      </w:pPr>
      <w:bookmarkStart w:id="253" w:name="_Toc393351206"/>
      <w:bookmarkStart w:id="254" w:name="_Toc290846281"/>
      <w:bookmarkStart w:id="255" w:name="_Toc272414656"/>
      <w:bookmarkStart w:id="256" w:name="_Toc241374312"/>
      <w:bookmarkStart w:id="257" w:name="_Toc423352709"/>
      <w:r>
        <w:lastRenderedPageBreak/>
        <w:t xml:space="preserve">Analyses </w:t>
      </w:r>
      <w:r w:rsidRPr="00CB0E56">
        <w:t>performed</w:t>
      </w:r>
      <w:r>
        <w:t xml:space="preserve"> across trials (pooled analyses and meta-analyses)</w:t>
      </w:r>
      <w:bookmarkEnd w:id="253"/>
      <w:bookmarkEnd w:id="254"/>
      <w:bookmarkEnd w:id="255"/>
      <w:bookmarkEnd w:id="256"/>
      <w:bookmarkEnd w:id="257"/>
    </w:p>
    <w:p w:rsidR="00423561" w:rsidRDefault="00423561" w:rsidP="008C7266">
      <w:r>
        <w:t>Not applicable.</w:t>
      </w:r>
    </w:p>
    <w:p w:rsidR="00423561" w:rsidRDefault="00423561" w:rsidP="008C7266">
      <w:pPr>
        <w:pStyle w:val="Heading3"/>
        <w:rPr>
          <w:rFonts w:cs="Arial"/>
          <w:kern w:val="16"/>
          <w:szCs w:val="20"/>
        </w:rPr>
      </w:pPr>
      <w:bookmarkStart w:id="258" w:name="_Toc393351207"/>
      <w:bookmarkStart w:id="259" w:name="_Toc423352710"/>
      <w:bookmarkStart w:id="260" w:name="_Toc290846282"/>
      <w:bookmarkStart w:id="261" w:name="_Toc272414657"/>
      <w:bookmarkStart w:id="262" w:name="_Ref271126605"/>
      <w:r>
        <w:t>Evaluator’s conclusions on clinical efficacy for Indication 1:</w:t>
      </w:r>
      <w:bookmarkEnd w:id="258"/>
      <w:bookmarkEnd w:id="259"/>
    </w:p>
    <w:bookmarkEnd w:id="260"/>
    <w:bookmarkEnd w:id="261"/>
    <w:bookmarkEnd w:id="262"/>
    <w:p w:rsidR="00423561" w:rsidRDefault="00423561" w:rsidP="008C7266">
      <w:pPr>
        <w:rPr>
          <w:rFonts w:asciiTheme="majorHAnsi" w:hAnsiTheme="majorHAnsi" w:cs="Arial"/>
          <w:i/>
        </w:rPr>
      </w:pPr>
      <w:r>
        <w:t>Contrast enhancement in whole body MRI including head and neck region, thoracic space, breast, abdomen (pancreas, liver and spleen), pelvis (prostate, bladder and uterus), retroperitoneal space (kidney), extremities and musculoskeletal system.</w:t>
      </w:r>
    </w:p>
    <w:p w:rsidR="00423561" w:rsidRPr="00CB0E56" w:rsidRDefault="00423561" w:rsidP="008C7266">
      <w:r w:rsidRPr="00CB0E56">
        <w:t xml:space="preserve">The most relevant pivotal study to support the proposed whole body indication is 13297, a </w:t>
      </w:r>
      <w:r w:rsidR="00F5645D" w:rsidRPr="00CB0E56">
        <w:t>Phase III</w:t>
      </w:r>
      <w:r w:rsidRPr="00CB0E56">
        <w:t xml:space="preserve">, blinded comparison of GAD versus MAG for whole body imaging. The study was well designed and conducted with care taken to ensure blinded reporting of the MRI images. The results of the study clearly demonstrate the superiority of GAD compared with unenhanced MRI, and the non-inferiority of GAD compared with MAG for all primary and secondary endpoints used to assess sensitivity, specificity and diagnostic accuracy. The study was not powered to confirm non-inferiority for all body regions but the results for individual organs were compatible with the overall results. Although, the study was conducted in an Asian population, the results are applicable to other racial groups. Study 94055/99012 was a post hoc analysis of an open-label study with blinded readers which supported the conclusions of 13297. GAD proved superior to unenhanced MRI in 151 evaluable patients for the visualisation of various body regions and organs. The results of GEMMA-1 and GEMMA-2 confirmed the superiority of GAD versus unenhanced imaging for breast cancer, and the value of GAD when used with other </w:t>
      </w:r>
      <w:r w:rsidR="001071E6">
        <w:t>imaging techniques such as XRM.</w:t>
      </w:r>
    </w:p>
    <w:p w:rsidR="00423561" w:rsidRPr="00CB0E56" w:rsidRDefault="00423561" w:rsidP="008C7266">
      <w:r w:rsidRPr="00CB0E56">
        <w:t xml:space="preserve">The literature search supported the use of GAD for whole body imaging. Published data support the value of GAD compared with unenhanced imaging and the results were comparable with two leading contrast agents in the same class. The literature relating to </w:t>
      </w:r>
      <w:proofErr w:type="spellStart"/>
      <w:r w:rsidRPr="00CB0E56">
        <w:t>Gadovist</w:t>
      </w:r>
      <w:proofErr w:type="spellEnd"/>
      <w:r w:rsidRPr="00CB0E56">
        <w:t>® is less extensive compared with the comparators. However, for almost all body areas, there are sufficient data to confirm the value of CE-MRI compared with UMRI for the three contrast agents reviewed. Superior sensitivity, specificity and diagnostic accuracy ha</w:t>
      </w:r>
      <w:r w:rsidR="00315E7B">
        <w:t>ve</w:t>
      </w:r>
      <w:r w:rsidRPr="00CB0E56">
        <w:t xml:space="preserve"> been demonstrated, in particular for the diagnosis and follow-up of cancers. In addition, similar rates for sensitivity, specificity and diagnostic accuracy have been reported for all three contrast agents. Overall, the literature review of efficacy supports the conclusions of study 13297 which clearly confirmed the non-inferiority of </w:t>
      </w:r>
      <w:proofErr w:type="spellStart"/>
      <w:r w:rsidRPr="00CB0E56">
        <w:t>Gadovist</w:t>
      </w:r>
      <w:proofErr w:type="spellEnd"/>
      <w:r w:rsidRPr="00CB0E56">
        <w:t xml:space="preserve">® compared with </w:t>
      </w:r>
      <w:proofErr w:type="spellStart"/>
      <w:r w:rsidRPr="00CB0E56">
        <w:t>Mag</w:t>
      </w:r>
      <w:r w:rsidR="001071E6">
        <w:t>nevist</w:t>
      </w:r>
      <w:proofErr w:type="spellEnd"/>
      <w:r w:rsidR="001071E6">
        <w:t>® for whole body imaging.</w:t>
      </w:r>
    </w:p>
    <w:p w:rsidR="00423561" w:rsidRDefault="00423561" w:rsidP="00D4113D">
      <w:pPr>
        <w:pStyle w:val="Heading3"/>
        <w:rPr>
          <w:rFonts w:ascii="Cambria" w:hAnsi="Cambria"/>
        </w:rPr>
      </w:pPr>
      <w:bookmarkStart w:id="263" w:name="_Toc393351208"/>
      <w:bookmarkStart w:id="264" w:name="_Toc423352711"/>
      <w:r>
        <w:t>Indication 2</w:t>
      </w:r>
      <w:bookmarkEnd w:id="263"/>
      <w:bookmarkEnd w:id="264"/>
    </w:p>
    <w:p w:rsidR="00423561" w:rsidRPr="008C7266" w:rsidRDefault="00423561" w:rsidP="008C7266">
      <w:pPr>
        <w:rPr>
          <w:b/>
        </w:rPr>
      </w:pPr>
      <w:r w:rsidRPr="008C7266">
        <w:rPr>
          <w:b/>
        </w:rPr>
        <w:t>Contrast enhancement in cardiac MRI including assessment of rest and pharmacological stress perfusion and delayed enhancement</w:t>
      </w:r>
    </w:p>
    <w:p w:rsidR="00423561" w:rsidRDefault="00423561" w:rsidP="008C7266">
      <w:pPr>
        <w:pStyle w:val="Heading4"/>
      </w:pPr>
      <w:bookmarkStart w:id="265" w:name="_Toc393351209"/>
      <w:r>
        <w:t>Study 305501</w:t>
      </w:r>
      <w:bookmarkEnd w:id="265"/>
    </w:p>
    <w:p w:rsidR="00DD2DBD" w:rsidRPr="00315E7B" w:rsidRDefault="00423561" w:rsidP="008C7266">
      <w:r>
        <w:t xml:space="preserve">This was a multicentre, double-blind, randomised dose finding study of GAD in myocardial perfusion MRI. It was conducted in 14 centres in Germany, Austria, Poland and Switzerland. The first enrolment was in March 2004 and the study completed in 2006. The primary objective was to evaluate the diagnostic efficacy of four increasing doses of GAD in the detection of myocardial perfusion defects. Eligible patients were male or female with reversible focal </w:t>
      </w:r>
      <w:proofErr w:type="spellStart"/>
      <w:r>
        <w:t>hypoperfusion</w:t>
      </w:r>
      <w:proofErr w:type="spellEnd"/>
      <w:r>
        <w:t xml:space="preserve"> in at least two adjoining segments on SPECT performed within 4 weeks of study enrolment. First pass contrast-enhanced CMRI during stress and at rest were compared with SPECT imaging during stress and at rest. Two injections of </w:t>
      </w:r>
      <w:proofErr w:type="spellStart"/>
      <w:r>
        <w:t>Gadovist</w:t>
      </w:r>
      <w:proofErr w:type="spellEnd"/>
      <w:r>
        <w:t xml:space="preserve">® 1.0 at doses of 0.01, 0.025, 0.05, or </w:t>
      </w:r>
      <w:proofErr w:type="gramStart"/>
      <w:r>
        <w:t xml:space="preserve">0.1 </w:t>
      </w:r>
      <w:proofErr w:type="spellStart"/>
      <w:r>
        <w:t>mmol</w:t>
      </w:r>
      <w:proofErr w:type="spellEnd"/>
      <w:r>
        <w:t>/kg BW</w:t>
      </w:r>
      <w:proofErr w:type="gramEnd"/>
      <w:r>
        <w:t xml:space="preserve"> were administered to each patient according to the randomisation list. A total of 240 patients were planned with at least 40 evaluable patients in each group. A total of 232 patients were enrolled and there were 226, 222 and 207 patients in the SAF, FAS and PPS, </w:t>
      </w:r>
      <w:r w:rsidRPr="00315E7B">
        <w:t xml:space="preserve">respectively (Table </w:t>
      </w:r>
      <w:r w:rsidR="00315E7B" w:rsidRPr="00315E7B">
        <w:t>4</w:t>
      </w:r>
      <w:r w:rsidR="00EF17C2">
        <w:t>5</w:t>
      </w:r>
      <w:r w:rsidR="001071E6">
        <w:t>).</w:t>
      </w:r>
    </w:p>
    <w:p w:rsidR="001071E6" w:rsidRDefault="00DD2DBD" w:rsidP="008C7266">
      <w:pPr>
        <w:pStyle w:val="Tabletitle"/>
      </w:pPr>
      <w:bookmarkStart w:id="266" w:name="_Ref393278705"/>
      <w:bookmarkStart w:id="267" w:name="_Toc393351397"/>
      <w:r>
        <w:lastRenderedPageBreak/>
        <w:t xml:space="preserve">Table </w:t>
      </w:r>
      <w:r w:rsidR="00315E7B">
        <w:t>4</w:t>
      </w:r>
      <w:r w:rsidR="00EF17C2">
        <w:t>5</w:t>
      </w:r>
      <w:r w:rsidR="00315E7B">
        <w:t>:</w:t>
      </w:r>
      <w:r>
        <w:t xml:space="preserve"> Study 305501</w:t>
      </w:r>
      <w:bookmarkEnd w:id="266"/>
      <w:bookmarkEnd w:id="267"/>
      <w:r w:rsidR="00315E7B">
        <w:t xml:space="preserve"> Number and % of patients assigned to different analysis sets by treatment (randomised patients).</w:t>
      </w:r>
    </w:p>
    <w:p w:rsidR="00DD2DBD" w:rsidRDefault="00DD2DBD" w:rsidP="001071E6">
      <w:r w:rsidRPr="00FD3BCE">
        <w:rPr>
          <w:noProof/>
          <w:lang w:eastAsia="en-AU"/>
        </w:rPr>
        <w:drawing>
          <wp:inline distT="0" distB="0" distL="0" distR="0" wp14:anchorId="51E5B05D" wp14:editId="73ABB247">
            <wp:extent cx="4191440" cy="2143845"/>
            <wp:effectExtent l="0" t="0" r="0" b="0"/>
            <wp:docPr id="74" name="Picture 74" descr="Table 45: Study 305501 Number and % of patients assigned to different analysis sets by treatment (randomis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lum bright="-20000" contrast="40000"/>
                      <a:extLst>
                        <a:ext uri="{28A0092B-C50C-407E-A947-70E740481C1C}">
                          <a14:useLocalDpi xmlns:a14="http://schemas.microsoft.com/office/drawing/2010/main" val="0"/>
                        </a:ext>
                      </a:extLst>
                    </a:blip>
                    <a:srcRect l="7115" t="8527"/>
                    <a:stretch/>
                  </pic:blipFill>
                  <pic:spPr bwMode="auto">
                    <a:xfrm>
                      <a:off x="0" y="0"/>
                      <a:ext cx="4197466" cy="2146927"/>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8C7266">
      <w:r>
        <w:t xml:space="preserve">The primary efficacy endpoint was the agreement rate between GAD-enhanced MRI and SPECT diagnoses based on the correct visual assessment of three coronary territories in a blinded read. Central evaluation of the images was performed by three blinded readers, with the average rate used to assess overall efficacy.  Baseline demographic data were comparable in the four treatment groups. All but one patient were White. Most were male (range 64.8% to 72.2%) with mean age ranging from 59.7 to 62.9 years and mean body weight ranging from 78.75 to 82.02 kg. The characteristics of the coronary heart disease at baseline </w:t>
      </w:r>
      <w:r w:rsidRPr="00D3496D">
        <w:t xml:space="preserve">are shown in Table </w:t>
      </w:r>
      <w:r w:rsidR="00D3496D" w:rsidRPr="00D3496D">
        <w:t>4</w:t>
      </w:r>
      <w:r w:rsidR="00EF17C2">
        <w:t>6</w:t>
      </w:r>
      <w:r w:rsidRPr="00D3496D">
        <w:t>. Most</w:t>
      </w:r>
      <w:r>
        <w:t xml:space="preserve"> patients had a history of coronary artery disease.</w:t>
      </w:r>
    </w:p>
    <w:p w:rsidR="00561725" w:rsidRDefault="00DD2DBD" w:rsidP="008C7266">
      <w:pPr>
        <w:pStyle w:val="Tabletitle"/>
      </w:pPr>
      <w:bookmarkStart w:id="268" w:name="_Ref393278710"/>
      <w:bookmarkStart w:id="269" w:name="_Toc393351399"/>
      <w:r>
        <w:t xml:space="preserve">Table </w:t>
      </w:r>
      <w:r w:rsidR="00D3496D">
        <w:t>4</w:t>
      </w:r>
      <w:r w:rsidR="00EF17C2">
        <w:t>6</w:t>
      </w:r>
      <w:r w:rsidR="00D3496D">
        <w:t>:</w:t>
      </w:r>
      <w:r>
        <w:t xml:space="preserve"> Study 305501</w:t>
      </w:r>
      <w:bookmarkEnd w:id="268"/>
      <w:bookmarkEnd w:id="269"/>
      <w:r w:rsidR="00D3496D">
        <w:t xml:space="preserve"> Characteristics of the coronary heart disease at baseline by treatment (SAF)</w:t>
      </w:r>
    </w:p>
    <w:p w:rsidR="00DD2DBD" w:rsidRDefault="00DD2DBD" w:rsidP="008C7266">
      <w:r w:rsidRPr="00972445">
        <w:rPr>
          <w:noProof/>
          <w:lang w:eastAsia="en-AU"/>
        </w:rPr>
        <w:drawing>
          <wp:inline distT="0" distB="0" distL="0" distR="0" wp14:anchorId="1CE34D79" wp14:editId="571FE236">
            <wp:extent cx="4226218" cy="3520690"/>
            <wp:effectExtent l="0" t="0" r="0" b="0"/>
            <wp:docPr id="76" name="Picture 76" descr="Table 46: Study 305501 Characteristics of the coronary heart disease at baseline by treatment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lum bright="-20000" contrast="40000"/>
                      <a:extLst>
                        <a:ext uri="{28A0092B-C50C-407E-A947-70E740481C1C}">
                          <a14:useLocalDpi xmlns:a14="http://schemas.microsoft.com/office/drawing/2010/main" val="0"/>
                        </a:ext>
                      </a:extLst>
                    </a:blip>
                    <a:srcRect l="4290" t="5707"/>
                    <a:stretch/>
                  </pic:blipFill>
                  <pic:spPr bwMode="auto">
                    <a:xfrm>
                      <a:off x="0" y="0"/>
                      <a:ext cx="4250397" cy="3540833"/>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8C7266">
      <w:pPr>
        <w:pStyle w:val="Heading5"/>
      </w:pPr>
      <w:r>
        <w:lastRenderedPageBreak/>
        <w:t>Efficacy results</w:t>
      </w:r>
    </w:p>
    <w:p w:rsidR="00DD2DBD" w:rsidRDefault="00423561" w:rsidP="008C7266">
      <w:r>
        <w:t xml:space="preserve">The agreement rates between GAD-enhanced MRI and SPECT are </w:t>
      </w:r>
      <w:r w:rsidRPr="00D3496D">
        <w:t xml:space="preserve">shown in Table </w:t>
      </w:r>
      <w:r w:rsidR="00EF17C2">
        <w:t>47</w:t>
      </w:r>
      <w:r w:rsidRPr="00D3496D">
        <w:t>.  In</w:t>
      </w:r>
      <w:r>
        <w:t xml:space="preserve"> the PPS, region-based agreement rates ranged from 41.2% in the lowest dose group to 5</w:t>
      </w:r>
      <w:r w:rsidR="001071E6">
        <w:t>9.7% in the highest dose group.</w:t>
      </w:r>
    </w:p>
    <w:p w:rsidR="001071E6" w:rsidRDefault="00DD2DBD" w:rsidP="008C7266">
      <w:pPr>
        <w:pStyle w:val="Tabletitle"/>
      </w:pPr>
      <w:bookmarkStart w:id="270" w:name="_Ref393278712"/>
      <w:bookmarkStart w:id="271" w:name="_Toc393351400"/>
      <w:r>
        <w:t>Table</w:t>
      </w:r>
      <w:r w:rsidR="00D3496D">
        <w:t xml:space="preserve"> </w:t>
      </w:r>
      <w:r w:rsidR="00EF17C2">
        <w:t>47</w:t>
      </w:r>
      <w:r w:rsidR="00D3496D">
        <w:t>:</w:t>
      </w:r>
      <w:r>
        <w:t xml:space="preserve"> Study 305501</w:t>
      </w:r>
      <w:bookmarkEnd w:id="270"/>
      <w:bookmarkEnd w:id="271"/>
      <w:r w:rsidR="00D3496D">
        <w:t xml:space="preserve"> Agreement rate between </w:t>
      </w:r>
      <w:proofErr w:type="spellStart"/>
      <w:r w:rsidR="00D3496D">
        <w:t>Gadovist</w:t>
      </w:r>
      <w:proofErr w:type="spellEnd"/>
      <w:r w:rsidR="00D3496D">
        <w:t xml:space="preserve"> 1.0 perfusion MRI diagnosis (blinded reading) and SPECT diagnosis (central reading) in the detection of cardiac perfusion deficits based on regions and based on segments by treatment for the average reader (PPS)</w:t>
      </w:r>
    </w:p>
    <w:p w:rsidR="00DD2DBD" w:rsidRDefault="00DD2DBD" w:rsidP="001071E6">
      <w:r w:rsidRPr="00205E16">
        <w:rPr>
          <w:noProof/>
          <w:lang w:eastAsia="en-AU"/>
        </w:rPr>
        <w:drawing>
          <wp:inline distT="0" distB="0" distL="0" distR="0" wp14:anchorId="7D3627DA" wp14:editId="21A3C82A">
            <wp:extent cx="5017674" cy="1999658"/>
            <wp:effectExtent l="0" t="0" r="0" b="0"/>
            <wp:docPr id="77" name="Picture 77" descr="Table 47: Study 305501 Agreement rate between Gadovist 1.0 perfusion MRI diagnosis (blinded reading) and SPECT diagnosis (central reading) in the detection of cardiac perfusion deficits based on regions and based on segments by treatment for the average reade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a:lum bright="-20000" contrast="40000"/>
                      <a:extLst>
                        <a:ext uri="{28A0092B-C50C-407E-A947-70E740481C1C}">
                          <a14:useLocalDpi xmlns:a14="http://schemas.microsoft.com/office/drawing/2010/main" val="0"/>
                        </a:ext>
                      </a:extLst>
                    </a:blip>
                    <a:srcRect l="4698" t="19143"/>
                    <a:stretch/>
                  </pic:blipFill>
                  <pic:spPr bwMode="auto">
                    <a:xfrm>
                      <a:off x="0" y="0"/>
                      <a:ext cx="5023727" cy="2002070"/>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8C7266">
      <w:r>
        <w:t xml:space="preserve">Agreement rates were comparable in the FAS. The confidence intervals for each assessment </w:t>
      </w:r>
      <w:r w:rsidR="00DD2DBD">
        <w:t>were</w:t>
      </w:r>
      <w:r>
        <w:t xml:space="preserve"> shown. There was a statistically significant difference between the three highest and the lowest dose group indicating that the lowest dose of GAD was ineffective for cardiac perfusion MR. The agreement rates in the 0.025 </w:t>
      </w:r>
      <w:proofErr w:type="spellStart"/>
      <w:r>
        <w:t>mmol</w:t>
      </w:r>
      <w:proofErr w:type="spellEnd"/>
      <w:r>
        <w:t xml:space="preserve">/kg BW group were higher than in the lowest dose group. The agreement rates in the 0.05 </w:t>
      </w:r>
      <w:proofErr w:type="spellStart"/>
      <w:r>
        <w:t>mmol</w:t>
      </w:r>
      <w:proofErr w:type="spellEnd"/>
      <w:r>
        <w:t xml:space="preserve">/kg BW dose group were 65.5% (based on segments) and 63.3% (based on regions) compared with 65.9% and 59.7%, respectively, in the 0.1 </w:t>
      </w:r>
      <w:proofErr w:type="spellStart"/>
      <w:r>
        <w:t>mmol</w:t>
      </w:r>
      <w:proofErr w:type="spellEnd"/>
      <w:r>
        <w:t xml:space="preserve">/kg BW dose group. There was no benefit in favour of the highest dose and the 0.05 </w:t>
      </w:r>
      <w:proofErr w:type="spellStart"/>
      <w:r>
        <w:t>mmol</w:t>
      </w:r>
      <w:proofErr w:type="spellEnd"/>
      <w:r>
        <w:t>/kg BW was considered the most appropriate dose for further myocar</w:t>
      </w:r>
      <w:r w:rsidR="001071E6">
        <w:t>dial perfusion clinical trials.</w:t>
      </w:r>
    </w:p>
    <w:p w:rsidR="00423561" w:rsidRDefault="00423561" w:rsidP="008C7266">
      <w:pPr>
        <w:pStyle w:val="Heading4"/>
        <w:rPr>
          <w:kern w:val="16"/>
          <w:szCs w:val="20"/>
        </w:rPr>
      </w:pPr>
      <w:bookmarkStart w:id="272" w:name="_Toc393351210"/>
      <w:r>
        <w:t>Literature review</w:t>
      </w:r>
      <w:bookmarkEnd w:id="272"/>
    </w:p>
    <w:p w:rsidR="00423561" w:rsidRDefault="00423561" w:rsidP="00423561">
      <w:pPr>
        <w:rPr>
          <w:noProof/>
        </w:rPr>
      </w:pPr>
      <w:r w:rsidRPr="008C7266">
        <w:rPr>
          <w:b/>
        </w:rPr>
        <w:t>Heart:</w:t>
      </w:r>
      <w:r>
        <w:rPr>
          <w:b/>
          <w:noProof/>
        </w:rPr>
        <w:t xml:space="preserve"> </w:t>
      </w:r>
      <w:r>
        <w:rPr>
          <w:noProof/>
        </w:rPr>
        <w:t>Cardiac imaging is the most intensively researched indication for CMRI, typically divided into cardiac perfusion imaging, delayed enhancement and cardiac anatomy. However, no publications relating to cardiac anatomy met the inclusion criteria for GAD, MAG or DOT. Thirteen GAD publications met the inclusion criteria, most commonly related to delayed enhancement (DE) and DE perfusion studies. Cardiac studies comprised 30% of all MAG studies and 62 publications met the review criteria. Eight DOT s</w:t>
      </w:r>
      <w:r w:rsidR="001071E6">
        <w:rPr>
          <w:noProof/>
        </w:rPr>
        <w:t>tudies met the review criteria.</w:t>
      </w:r>
    </w:p>
    <w:p w:rsidR="00423561" w:rsidRDefault="00423561" w:rsidP="00423561">
      <w:pPr>
        <w:rPr>
          <w:noProof/>
        </w:rPr>
      </w:pPr>
      <w:r w:rsidRPr="008C7266">
        <w:rPr>
          <w:b/>
        </w:rPr>
        <w:t>Cardiac perfusion imaging:</w:t>
      </w:r>
      <w:r w:rsidRPr="008C7266">
        <w:t xml:space="preserve"> </w:t>
      </w:r>
      <w:r>
        <w:rPr>
          <w:noProof/>
        </w:rPr>
        <w:t>A total of eight studies investigated the sensitivity and specificity of GAD, seven of which used a stress/rest protocol (imaging with vasodilator stress with later imaging when the effects of the vasodilator had subsided). One study used a rest/stress protocol in which the imaging sequence was reversed. In seven of the studies, a DE imaging sequence was performed after the perfusion studies to determine the presence of myocardial infarction. Doses ranged from 0.025 to 0.1 mmol/kg with separate doses administered for the rest and stress perfusion studies. GAD provided good image quality and high accuracy for detection of significant coronary artery disease. Across all GAD studies, sensitivity ranged from 82.8% to 98%, and specificity ranged from 79% to 100% (Meyer, 2008; Thomas, 2008; Fenchel, 2007; Kuehl, 2007; Scheffel, 2010; Klumpp, 2010; Donati, 2010; Jogiya, 2012</w:t>
      </w:r>
      <w:r w:rsidRPr="00D3496D">
        <w:rPr>
          <w:noProof/>
        </w:rPr>
        <w:t xml:space="preserve">) (Table </w:t>
      </w:r>
      <w:r w:rsidR="00EF17C2">
        <w:rPr>
          <w:noProof/>
        </w:rPr>
        <w:t>48</w:t>
      </w:r>
      <w:r w:rsidRPr="00D3496D">
        <w:rPr>
          <w:noProof/>
        </w:rPr>
        <w:t>). In</w:t>
      </w:r>
      <w:r>
        <w:rPr>
          <w:noProof/>
        </w:rPr>
        <w:t xml:space="preserve"> a pooled analysis of all studies, sensitivity and specificity were 91% and 89%, respectively.</w:t>
      </w:r>
    </w:p>
    <w:p w:rsidR="001071E6" w:rsidRDefault="00DD2DBD" w:rsidP="008C7266">
      <w:pPr>
        <w:pStyle w:val="Tabletitle"/>
      </w:pPr>
      <w:bookmarkStart w:id="273" w:name="_Ref393278723"/>
      <w:bookmarkStart w:id="274" w:name="_Toc393351405"/>
      <w:r>
        <w:lastRenderedPageBreak/>
        <w:t xml:space="preserve">Table </w:t>
      </w:r>
      <w:r w:rsidR="00EF17C2">
        <w:t>48</w:t>
      </w:r>
      <w:r w:rsidR="00D3496D">
        <w:t>:</w:t>
      </w:r>
      <w:r>
        <w:t xml:space="preserve"> Literature Review</w:t>
      </w:r>
      <w:bookmarkEnd w:id="273"/>
      <w:bookmarkEnd w:id="274"/>
      <w:r w:rsidR="00D3496D">
        <w:t xml:space="preserve"> </w:t>
      </w:r>
      <w:proofErr w:type="spellStart"/>
      <w:r w:rsidR="00D3496D">
        <w:t>Gadovist</w:t>
      </w:r>
      <w:proofErr w:type="spellEnd"/>
      <w:r w:rsidR="00D3496D">
        <w:t xml:space="preserve"> Diagnostic efficacy in myocardial perfusion imaging</w:t>
      </w:r>
    </w:p>
    <w:p w:rsidR="00DD2DBD" w:rsidRDefault="00DD2DBD" w:rsidP="001071E6">
      <w:r w:rsidRPr="003C7E6A">
        <w:rPr>
          <w:noProof/>
          <w:lang w:eastAsia="en-AU"/>
        </w:rPr>
        <w:drawing>
          <wp:inline distT="0" distB="0" distL="0" distR="0" wp14:anchorId="2342B160" wp14:editId="509B799B">
            <wp:extent cx="4333795" cy="3047895"/>
            <wp:effectExtent l="0" t="0" r="0" b="0"/>
            <wp:docPr id="131" name="Picture 131" descr="Table 48: Literature Review Gadovist Diagnostic efficacy in myocardial perfusion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lum bright="-20000" contrast="40000"/>
                      <a:extLst>
                        <a:ext uri="{28A0092B-C50C-407E-A947-70E740481C1C}">
                          <a14:useLocalDpi xmlns:a14="http://schemas.microsoft.com/office/drawing/2010/main" val="0"/>
                        </a:ext>
                      </a:extLst>
                    </a:blip>
                    <a:srcRect l="4334" t="8228"/>
                    <a:stretch/>
                  </pic:blipFill>
                  <pic:spPr bwMode="auto">
                    <a:xfrm>
                      <a:off x="0" y="0"/>
                      <a:ext cx="4337525" cy="3050518"/>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8C7266">
      <w:pPr>
        <w:rPr>
          <w:noProof/>
        </w:rPr>
      </w:pPr>
      <w:r>
        <w:rPr>
          <w:noProof/>
        </w:rPr>
        <w:t>The five largest cardiac perfusion studies using MAG for the diagnosis of coronary artery disease were reviewed and in each case perfusion imaging was followed by DE imaging. Across all studies, sensitivity ranged from 73% to 93% and specificity ranged from 77% to 90% (Bernhardt, 2009; Merkle, 2007; Merkle, 2010; Doesch, 2008; Gebker, 2012). Two studies of DOT for perfusion imaging met the inclusion criteria. Sensitivity ranged from 92% to 96% and specificity ranged from 82% to 87% (Bernhardt, 2006; Falcao, 2013). The diagnostic accuracy of GAD was broadly simil</w:t>
      </w:r>
      <w:r w:rsidR="001071E6">
        <w:rPr>
          <w:noProof/>
        </w:rPr>
        <w:t>ar to that of both MAG and DOT.</w:t>
      </w:r>
    </w:p>
    <w:p w:rsidR="00423561" w:rsidRDefault="00423561" w:rsidP="008C7266">
      <w:pPr>
        <w:rPr>
          <w:noProof/>
        </w:rPr>
      </w:pPr>
      <w:r w:rsidRPr="008C7266">
        <w:rPr>
          <w:b/>
        </w:rPr>
        <w:t>Delayed enhancement:</w:t>
      </w:r>
      <w:r>
        <w:rPr>
          <w:b/>
          <w:noProof/>
        </w:rPr>
        <w:t xml:space="preserve"> </w:t>
      </w:r>
      <w:r>
        <w:rPr>
          <w:noProof/>
        </w:rPr>
        <w:t>Five GAD imaging studies of delayed enhancement alone (not associated with perfusion imaging) met the inclusion criteria, one of which included GAD as the test CE (Seeger, 2012). The study results demonstrated clear value for GAD for the location and e</w:t>
      </w:r>
      <w:r w:rsidR="001071E6">
        <w:rPr>
          <w:noProof/>
        </w:rPr>
        <w:t>xtent of myocardial infarction.</w:t>
      </w:r>
    </w:p>
    <w:p w:rsidR="00DD2DBD" w:rsidRPr="00561725" w:rsidRDefault="00423561" w:rsidP="008C7266">
      <w:r>
        <w:rPr>
          <w:noProof/>
        </w:rPr>
        <w:t xml:space="preserve">A total of 29 studies of delayed enhancement with MAG met the inclusion criteria and the five largest studies were reviewed </w:t>
      </w:r>
      <w:r w:rsidRPr="00561725">
        <w:t xml:space="preserve">(Table </w:t>
      </w:r>
      <w:r w:rsidR="00EF17C2">
        <w:t>49</w:t>
      </w:r>
      <w:r w:rsidR="001071E6">
        <w:t>).</w:t>
      </w:r>
    </w:p>
    <w:p w:rsidR="00DD2DBD" w:rsidRDefault="00DD2DBD" w:rsidP="008C7266">
      <w:pPr>
        <w:pStyle w:val="Tabletitle"/>
      </w:pPr>
      <w:bookmarkStart w:id="275" w:name="_Ref393278732"/>
      <w:bookmarkStart w:id="276" w:name="_Toc393351409"/>
      <w:r>
        <w:t xml:space="preserve">Table </w:t>
      </w:r>
      <w:r w:rsidR="00EF17C2">
        <w:t>49</w:t>
      </w:r>
      <w:r w:rsidR="00561725">
        <w:t>:</w:t>
      </w:r>
      <w:r>
        <w:t xml:space="preserve"> Literature Review</w:t>
      </w:r>
      <w:bookmarkEnd w:id="275"/>
      <w:bookmarkEnd w:id="276"/>
      <w:r w:rsidR="00561725">
        <w:t xml:space="preserve"> </w:t>
      </w:r>
      <w:proofErr w:type="spellStart"/>
      <w:r w:rsidR="00561725">
        <w:t>Magnevist</w:t>
      </w:r>
      <w:proofErr w:type="spellEnd"/>
      <w:r w:rsidR="00561725">
        <w:t xml:space="preserve"> </w:t>
      </w:r>
      <w:proofErr w:type="spellStart"/>
      <w:r w:rsidR="00561725">
        <w:t>Diagostic</w:t>
      </w:r>
      <w:proofErr w:type="spellEnd"/>
      <w:r w:rsidR="00561725">
        <w:t xml:space="preserve"> efficacy of delayed enhancement in various clinical settings</w:t>
      </w:r>
    </w:p>
    <w:p w:rsidR="00561725" w:rsidRPr="00561725" w:rsidRDefault="00561725" w:rsidP="00561725">
      <w:pPr>
        <w:spacing w:before="0" w:after="0"/>
      </w:pPr>
      <w:r>
        <w:rPr>
          <w:noProof/>
          <w:lang w:eastAsia="en-AU"/>
        </w:rPr>
        <w:drawing>
          <wp:inline distT="0" distB="0" distL="0" distR="0" wp14:anchorId="7794FEF4" wp14:editId="2A05DA11">
            <wp:extent cx="4149378" cy="2359353"/>
            <wp:effectExtent l="0" t="0" r="0" b="0"/>
            <wp:docPr id="11" name="Picture 11" descr="Table 49: Literature Review Magnevist Diagostic efficacy of delayed enhancement in various clinic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extLst>
                        <a:ext uri="{BEBA8EAE-BF5A-486C-A8C5-ECC9F3942E4B}">
                          <a14:imgProps xmlns:a14="http://schemas.microsoft.com/office/drawing/2010/main">
                            <a14:imgLayer r:embed="rId82">
                              <a14:imgEffect>
                                <a14:sharpenSoften amount="50000"/>
                              </a14:imgEffect>
                            </a14:imgLayer>
                          </a14:imgProps>
                        </a:ext>
                      </a:extLst>
                    </a:blip>
                    <a:srcRect l="829"/>
                    <a:stretch/>
                  </pic:blipFill>
                  <pic:spPr bwMode="auto">
                    <a:xfrm>
                      <a:off x="0" y="0"/>
                      <a:ext cx="4150394" cy="2359931"/>
                    </a:xfrm>
                    <a:prstGeom prst="rect">
                      <a:avLst/>
                    </a:prstGeom>
                    <a:ln>
                      <a:noFill/>
                    </a:ln>
                    <a:extLst>
                      <a:ext uri="{53640926-AAD7-44D8-BBD7-CCE9431645EC}">
                        <a14:shadowObscured xmlns:a14="http://schemas.microsoft.com/office/drawing/2010/main"/>
                      </a:ext>
                    </a:extLst>
                  </pic:spPr>
                </pic:pic>
              </a:graphicData>
            </a:graphic>
          </wp:inline>
        </w:drawing>
      </w:r>
    </w:p>
    <w:p w:rsidR="00A06571" w:rsidRPr="00561725" w:rsidRDefault="00423561" w:rsidP="008C7266">
      <w:pPr>
        <w:rPr>
          <w:noProof/>
        </w:rPr>
      </w:pPr>
      <w:r>
        <w:rPr>
          <w:noProof/>
        </w:rPr>
        <w:lastRenderedPageBreak/>
        <w:t xml:space="preserve">In the largest study of 1366 patients with known or suspected coronary artery disease, cardiac MRI using MAG was used as the reference for testing the diagnostic accuracy of ECGs (Krittayaphong, </w:t>
      </w:r>
      <w:r w:rsidRPr="00561725">
        <w:rPr>
          <w:noProof/>
        </w:rPr>
        <w:t xml:space="preserve">2009 ) (Table </w:t>
      </w:r>
      <w:r w:rsidR="00561725" w:rsidRPr="00561725">
        <w:rPr>
          <w:noProof/>
        </w:rPr>
        <w:t>5</w:t>
      </w:r>
      <w:r w:rsidR="00EF17C2">
        <w:rPr>
          <w:noProof/>
        </w:rPr>
        <w:t>0</w:t>
      </w:r>
      <w:r w:rsidR="001071E6">
        <w:rPr>
          <w:noProof/>
        </w:rPr>
        <w:t>).</w:t>
      </w:r>
    </w:p>
    <w:p w:rsidR="00A06571" w:rsidRDefault="00A06571" w:rsidP="008C7266">
      <w:pPr>
        <w:pStyle w:val="Tabletitle"/>
      </w:pPr>
      <w:bookmarkStart w:id="277" w:name="_Ref393278734"/>
      <w:bookmarkStart w:id="278" w:name="_Toc393351410"/>
      <w:r>
        <w:t xml:space="preserve">Table </w:t>
      </w:r>
      <w:r w:rsidR="00561725">
        <w:t>5</w:t>
      </w:r>
      <w:r w:rsidR="00EF17C2">
        <w:t>0</w:t>
      </w:r>
      <w:r w:rsidR="00561725">
        <w:t>:</w:t>
      </w:r>
      <w:r>
        <w:t xml:space="preserve"> Literature Review</w:t>
      </w:r>
      <w:bookmarkEnd w:id="277"/>
      <w:bookmarkEnd w:id="278"/>
      <w:r w:rsidR="00561725">
        <w:t xml:space="preserve"> Diagnostic accuracy of electrocardiography in the detection of myocardial infarction using delayed enhancement cardiac MRI with </w:t>
      </w:r>
      <w:proofErr w:type="spellStart"/>
      <w:r w:rsidR="00561725">
        <w:t>Magnevist</w:t>
      </w:r>
      <w:proofErr w:type="spellEnd"/>
    </w:p>
    <w:p w:rsidR="00A06571" w:rsidRDefault="00A06571" w:rsidP="001071E6">
      <w:r w:rsidRPr="00EC6A82">
        <w:rPr>
          <w:noProof/>
          <w:lang w:eastAsia="en-AU"/>
        </w:rPr>
        <w:drawing>
          <wp:inline distT="0" distB="0" distL="0" distR="0" wp14:anchorId="3D8B8894" wp14:editId="2D037DC4">
            <wp:extent cx="4687261" cy="1433103"/>
            <wp:effectExtent l="0" t="0" r="0" b="0"/>
            <wp:docPr id="136" name="Picture 136" descr="Table 50: Literature Review Diagnostic accuracy of electrocardiography in the detection of myocardial infarction using delayed enhancement cardiac MRI with Magnev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lum bright="-20000" contrast="40000"/>
                      <a:extLst>
                        <a:ext uri="{28A0092B-C50C-407E-A947-70E740481C1C}">
                          <a14:useLocalDpi xmlns:a14="http://schemas.microsoft.com/office/drawing/2010/main" val="0"/>
                        </a:ext>
                      </a:extLst>
                    </a:blip>
                    <a:srcRect l="5172" t="15730" b="3326"/>
                    <a:stretch/>
                  </pic:blipFill>
                  <pic:spPr bwMode="auto">
                    <a:xfrm>
                      <a:off x="0" y="0"/>
                      <a:ext cx="4692915" cy="1434832"/>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Pr="00561725" w:rsidRDefault="00423561" w:rsidP="008C7266">
      <w:pPr>
        <w:rPr>
          <w:noProof/>
        </w:rPr>
      </w:pPr>
      <w:r>
        <w:rPr>
          <w:noProof/>
        </w:rPr>
        <w:t xml:space="preserve">Two studies  assessed LV dysfunction with sensitivity rates ranging from 85.7%-98%, and specificity rates ranging from 84%-92.4% (Valle-Munoz, 2009; Casolo, 2006). Localisation of myocardial infarction was assessed in one study with a sensitivity of 96% (Abdel-Aty, 2004). Six DOT studies met the inclusion criteria, five of which used DOT as the standard of reference. One study used delayed enhancement as a test procedure for predicting recovery of function in patients with dysfunctional ventricular segments after myocardial infarction (Gerbaud, 2010) </w:t>
      </w:r>
      <w:r w:rsidRPr="00561725">
        <w:rPr>
          <w:noProof/>
        </w:rPr>
        <w:t xml:space="preserve">(Table </w:t>
      </w:r>
      <w:r w:rsidR="00561725" w:rsidRPr="00561725">
        <w:rPr>
          <w:noProof/>
        </w:rPr>
        <w:t>5</w:t>
      </w:r>
      <w:r w:rsidR="00EF17C2">
        <w:rPr>
          <w:noProof/>
        </w:rPr>
        <w:t>1</w:t>
      </w:r>
      <w:r w:rsidR="001071E6">
        <w:rPr>
          <w:noProof/>
        </w:rPr>
        <w:t>).</w:t>
      </w:r>
    </w:p>
    <w:p w:rsidR="00A06571" w:rsidRDefault="00A06571" w:rsidP="008C7266">
      <w:pPr>
        <w:pStyle w:val="Tabletitle"/>
      </w:pPr>
      <w:bookmarkStart w:id="279" w:name="_Toc393351411"/>
      <w:bookmarkStart w:id="280" w:name="_Ref393278736"/>
      <w:r>
        <w:t xml:space="preserve">Table </w:t>
      </w:r>
      <w:r w:rsidR="00561725">
        <w:t>5</w:t>
      </w:r>
      <w:r w:rsidR="00EF17C2">
        <w:t>1</w:t>
      </w:r>
      <w:r w:rsidR="00561725">
        <w:t>:</w:t>
      </w:r>
      <w:r>
        <w:t xml:space="preserve"> Literature Review</w:t>
      </w:r>
      <w:bookmarkEnd w:id="279"/>
      <w:r w:rsidR="00561725">
        <w:t xml:space="preserve"> Diagnostic efficacy of delayed enhancement in predicting recovery of function in dysfunctional ventricular segments following acute myocardial infarction</w:t>
      </w:r>
    </w:p>
    <w:p w:rsidR="00A06571" w:rsidRDefault="00A06571" w:rsidP="001071E6">
      <w:r w:rsidRPr="00CB0B50">
        <w:rPr>
          <w:noProof/>
          <w:lang w:eastAsia="en-AU"/>
        </w:rPr>
        <w:drawing>
          <wp:inline distT="0" distB="0" distL="0" distR="0" wp14:anchorId="79FCA689" wp14:editId="6C8DC9E8">
            <wp:extent cx="4218534" cy="1162638"/>
            <wp:effectExtent l="0" t="0" r="0" b="0"/>
            <wp:docPr id="137" name="Picture 137" descr="Table 51: Literature Review Diagnostic efficacy of delayed enhancement in predicting recovery of function in dysfunctional ventricular segments following acute myocardial infar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lum bright="-20000" contrast="40000"/>
                      <a:extLst>
                        <a:ext uri="{28A0092B-C50C-407E-A947-70E740481C1C}">
                          <a14:useLocalDpi xmlns:a14="http://schemas.microsoft.com/office/drawing/2010/main" val="0"/>
                        </a:ext>
                      </a:extLst>
                    </a:blip>
                    <a:srcRect l="4698" t="25454" r="6174" b="7977"/>
                    <a:stretch/>
                  </pic:blipFill>
                  <pic:spPr bwMode="auto">
                    <a:xfrm>
                      <a:off x="0" y="0"/>
                      <a:ext cx="4226573" cy="1164854"/>
                    </a:xfrm>
                    <a:prstGeom prst="rect">
                      <a:avLst/>
                    </a:prstGeom>
                    <a:noFill/>
                    <a:ln>
                      <a:noFill/>
                    </a:ln>
                    <a:extLst>
                      <a:ext uri="{53640926-AAD7-44D8-BBD7-CCE9431645EC}">
                        <a14:shadowObscured xmlns:a14="http://schemas.microsoft.com/office/drawing/2010/main"/>
                      </a:ext>
                    </a:extLst>
                  </pic:spPr>
                </pic:pic>
              </a:graphicData>
            </a:graphic>
          </wp:inline>
        </w:drawing>
      </w:r>
      <w:bookmarkEnd w:id="280"/>
    </w:p>
    <w:p w:rsidR="00423561" w:rsidRDefault="00423561" w:rsidP="008C7266">
      <w:pPr>
        <w:pStyle w:val="Heading3"/>
      </w:pPr>
      <w:bookmarkStart w:id="281" w:name="_Toc393351211"/>
      <w:bookmarkStart w:id="282" w:name="_Toc423352712"/>
      <w:r>
        <w:t>Evaluator’s conclusions for Indication 2:</w:t>
      </w:r>
      <w:bookmarkEnd w:id="281"/>
      <w:bookmarkEnd w:id="282"/>
    </w:p>
    <w:p w:rsidR="00423561" w:rsidRPr="00CB0E56" w:rsidRDefault="00423561" w:rsidP="008C7266">
      <w:r w:rsidRPr="00CB0E56">
        <w:t xml:space="preserve">A single Phase 2 dose-finding study demonstrated the usefulness of GAD for cardiac perfusion and delayed enhancement at the two higher doses of 0.05 and </w:t>
      </w:r>
      <w:proofErr w:type="gramStart"/>
      <w:r w:rsidRPr="00CB0E56">
        <w:t xml:space="preserve">0.1 </w:t>
      </w:r>
      <w:proofErr w:type="spellStart"/>
      <w:r w:rsidRPr="00CB0E56">
        <w:t>mmol</w:t>
      </w:r>
      <w:proofErr w:type="spellEnd"/>
      <w:r w:rsidRPr="00CB0E56">
        <w:t>/kg BW</w:t>
      </w:r>
      <w:proofErr w:type="gramEnd"/>
      <w:r w:rsidRPr="00CB0E56">
        <w:t>. The proposed indication for cardiac imaging is supported by a literature review which overwhelmingly confirms the value of cardiac imaging with CE-MRI. Cardiac MRI is now accepted as a gold standard imaging technique of particular value in the investigation of coronary artery disease. An extensive literature for MAG supports the use of cardiac MRI. A smaller number of DOT studies show similar value and the GAD literature (13 articles) is consistent with the overall findings. No studies meeting the inclusion criteria have specifically reported sensitivity and specificity for the evaluation of cardi</w:t>
      </w:r>
      <w:r w:rsidR="001071E6">
        <w:t>ac anatomy for GAD, MAG or DOT.</w:t>
      </w:r>
    </w:p>
    <w:p w:rsidR="00C22678" w:rsidRDefault="00C22678" w:rsidP="008C7266">
      <w:pPr>
        <w:pStyle w:val="Heading2"/>
      </w:pPr>
      <w:bookmarkStart w:id="283" w:name="_Toc423352713"/>
      <w:r>
        <w:t>Clinical safety</w:t>
      </w:r>
      <w:bookmarkEnd w:id="283"/>
    </w:p>
    <w:p w:rsidR="00423561" w:rsidRDefault="00423561" w:rsidP="008C7266">
      <w:pPr>
        <w:pStyle w:val="Heading3"/>
      </w:pPr>
      <w:bookmarkStart w:id="284" w:name="_Toc393351213"/>
      <w:bookmarkStart w:id="285" w:name="_Toc290846284"/>
      <w:bookmarkStart w:id="286" w:name="_Toc272414659"/>
      <w:bookmarkStart w:id="287" w:name="_Toc423352714"/>
      <w:r>
        <w:t>Studies providing evaluable safety data</w:t>
      </w:r>
      <w:bookmarkEnd w:id="284"/>
      <w:bookmarkEnd w:id="285"/>
      <w:bookmarkEnd w:id="286"/>
      <w:bookmarkEnd w:id="287"/>
    </w:p>
    <w:p w:rsidR="00423561" w:rsidRDefault="00423561" w:rsidP="008C7266">
      <w:bookmarkStart w:id="288" w:name="_Ref268776745"/>
      <w:r>
        <w:t>In the current submission, the following pivotal studies provided evaluable safety data:</w:t>
      </w:r>
    </w:p>
    <w:p w:rsidR="00423561" w:rsidRPr="00561725" w:rsidRDefault="00423561" w:rsidP="008C7266">
      <w:pPr>
        <w:pStyle w:val="ListBullet"/>
      </w:pPr>
      <w:r w:rsidRPr="00561725">
        <w:lastRenderedPageBreak/>
        <w:t>13297</w:t>
      </w:r>
    </w:p>
    <w:p w:rsidR="00423561" w:rsidRPr="00561725" w:rsidRDefault="00423561" w:rsidP="008C7266">
      <w:pPr>
        <w:pStyle w:val="ListBullet"/>
      </w:pPr>
      <w:r w:rsidRPr="00561725">
        <w:t>91743</w:t>
      </w:r>
    </w:p>
    <w:p w:rsidR="00423561" w:rsidRPr="00561725" w:rsidRDefault="00423561" w:rsidP="008C7266">
      <w:pPr>
        <w:pStyle w:val="ListBullet"/>
      </w:pPr>
      <w:r w:rsidRPr="00561725">
        <w:t>91782</w:t>
      </w:r>
    </w:p>
    <w:p w:rsidR="00423561" w:rsidRDefault="00423561" w:rsidP="008C7266">
      <w:pPr>
        <w:pStyle w:val="Heading4"/>
      </w:pPr>
      <w:r>
        <w:t>Pivotal efficacy studies</w:t>
      </w:r>
      <w:bookmarkEnd w:id="288"/>
    </w:p>
    <w:p w:rsidR="00423561" w:rsidRDefault="00423561" w:rsidP="008C7266">
      <w:r>
        <w:t>In the pivotal efficacy studies, the following safety data were collected:</w:t>
      </w:r>
    </w:p>
    <w:p w:rsidR="00423561" w:rsidRPr="00492DE6" w:rsidRDefault="00423561" w:rsidP="008C7266">
      <w:pPr>
        <w:pStyle w:val="ListBullet"/>
      </w:pPr>
      <w:r w:rsidRPr="00492DE6">
        <w:t>General adverse events (AEs) were assessed and coded us</w:t>
      </w:r>
      <w:r w:rsidR="001071E6">
        <w:t xml:space="preserve">ing </w:t>
      </w:r>
      <w:proofErr w:type="spellStart"/>
      <w:r w:rsidR="001071E6">
        <w:t>MedDRA</w:t>
      </w:r>
      <w:proofErr w:type="spellEnd"/>
      <w:r w:rsidR="001071E6">
        <w:t xml:space="preserve"> version 14.1 or 16.0</w:t>
      </w:r>
    </w:p>
    <w:p w:rsidR="00423561" w:rsidRPr="00492DE6" w:rsidRDefault="00423561" w:rsidP="008C7266">
      <w:pPr>
        <w:pStyle w:val="ListBullet"/>
      </w:pPr>
      <w:r w:rsidRPr="00492DE6">
        <w:t>AEs of interest include hypersensitivity reactions an</w:t>
      </w:r>
      <w:r w:rsidR="001071E6">
        <w:t xml:space="preserve">d </w:t>
      </w:r>
      <w:proofErr w:type="spellStart"/>
      <w:r w:rsidR="001071E6">
        <w:t>nephrogenic</w:t>
      </w:r>
      <w:proofErr w:type="spellEnd"/>
      <w:r w:rsidR="001071E6">
        <w:t xml:space="preserve"> systemic fibrosis</w:t>
      </w:r>
    </w:p>
    <w:p w:rsidR="00423561" w:rsidRPr="00492DE6" w:rsidRDefault="00423561" w:rsidP="008C7266">
      <w:pPr>
        <w:pStyle w:val="ListBullet"/>
      </w:pPr>
      <w:r w:rsidRPr="00492DE6">
        <w:t>Laboratory tests, including haematology, clinical chemistry and urinalysis were performed at central laboratories.</w:t>
      </w:r>
    </w:p>
    <w:p w:rsidR="00423561" w:rsidRDefault="00423561" w:rsidP="008C7266">
      <w:pPr>
        <w:pStyle w:val="Heading4"/>
        <w:rPr>
          <w:kern w:val="16"/>
          <w:szCs w:val="24"/>
        </w:rPr>
      </w:pPr>
      <w:r>
        <w:t>Pivotal studies that assessed safety as a primary outcome</w:t>
      </w:r>
    </w:p>
    <w:p w:rsidR="00423561" w:rsidRDefault="00423561" w:rsidP="00DF28D3">
      <w:r>
        <w:t>Not applicable.</w:t>
      </w:r>
    </w:p>
    <w:p w:rsidR="00423561" w:rsidRDefault="00423561" w:rsidP="00DF28D3">
      <w:pPr>
        <w:pStyle w:val="Heading4"/>
        <w:rPr>
          <w:kern w:val="16"/>
          <w:szCs w:val="24"/>
        </w:rPr>
      </w:pPr>
      <w:r>
        <w:t>Dose-response and non-pivotal efficacy studies</w:t>
      </w:r>
    </w:p>
    <w:p w:rsidR="00423561" w:rsidRDefault="00423561" w:rsidP="00DF28D3">
      <w:r>
        <w:t>The dose-response and non-pivotal efficacy studies provided safety data, as follows:</w:t>
      </w:r>
    </w:p>
    <w:p w:rsidR="00423561" w:rsidRPr="00492DE6" w:rsidRDefault="00423561" w:rsidP="00DF28D3">
      <w:pPr>
        <w:pStyle w:val="ListBullet"/>
      </w:pPr>
      <w:r w:rsidRPr="00492DE6">
        <w:t>Study 308183 was a single dose PK study in 31 elderly and non-elderly adult patients. There were no SAEs or serious AEs and only isolated AEs were reported, mainly headache. The safety data from this study are included the Int</w:t>
      </w:r>
      <w:r w:rsidR="001071E6">
        <w:t>egrated Summary of Safety (ISS)</w:t>
      </w:r>
    </w:p>
    <w:p w:rsidR="00423561" w:rsidRPr="00492DE6" w:rsidRDefault="00423561" w:rsidP="00DF28D3">
      <w:pPr>
        <w:pStyle w:val="ListBullet"/>
      </w:pPr>
      <w:r w:rsidRPr="00492DE6">
        <w:t>Study 305501 provided dose-ranging data in a myocardial perfusion MRI study. Treatment-emergent AEs were reported in 5.8% of patients but there were no deaths, SAEs or severe AEs. The most frequent AEs were headache, GI disorders, and injection site reactions. The safety data from this</w:t>
      </w:r>
      <w:r w:rsidR="001071E6">
        <w:t xml:space="preserve"> study are included in the ISS</w:t>
      </w:r>
    </w:p>
    <w:p w:rsidR="00423561" w:rsidRPr="00492DE6" w:rsidRDefault="00423561" w:rsidP="00DF28D3">
      <w:pPr>
        <w:pStyle w:val="ListBullet"/>
      </w:pPr>
      <w:r w:rsidRPr="00492DE6">
        <w:t>Study 94055/99012 was a post hoc efficacy analysis and no additional safety analyses were presented. The safet</w:t>
      </w:r>
      <w:r w:rsidR="001071E6">
        <w:t>y data are included in the ISS.</w:t>
      </w:r>
    </w:p>
    <w:p w:rsidR="00CB0E56" w:rsidRDefault="00CB0E56" w:rsidP="00DF28D3">
      <w:pPr>
        <w:pStyle w:val="Heading4"/>
      </w:pPr>
      <w:r>
        <w:t>Extent of exposure</w:t>
      </w:r>
    </w:p>
    <w:p w:rsidR="00423561" w:rsidRDefault="00CB0E56" w:rsidP="00DF28D3">
      <w:r>
        <w:t>I</w:t>
      </w:r>
      <w:r w:rsidR="00423561">
        <w:t xml:space="preserve">n study 13297, 178 patients received GAD (mean volume 6.28 mL) and 185 patients received MAG (mean volume 12.44 mL). In studies 91743 and 91782, all 426 and 439 patients, respectively, received the same dose of GAD 0.1 </w:t>
      </w:r>
      <w:proofErr w:type="spellStart"/>
      <w:r w:rsidR="00423561">
        <w:t>mmol</w:t>
      </w:r>
      <w:proofErr w:type="spellEnd"/>
      <w:r w:rsidR="00423561">
        <w:t>/kg BW.</w:t>
      </w:r>
    </w:p>
    <w:p w:rsidR="00423561" w:rsidRDefault="00423561" w:rsidP="00DF28D3">
      <w:pPr>
        <w:pStyle w:val="Heading3"/>
        <w:rPr>
          <w:rFonts w:ascii="Cambria" w:hAnsi="Cambria"/>
        </w:rPr>
      </w:pPr>
      <w:bookmarkStart w:id="289" w:name="_Toc393351215"/>
      <w:bookmarkStart w:id="290" w:name="_Toc290846302"/>
      <w:bookmarkStart w:id="291" w:name="_Toc272414664"/>
      <w:bookmarkStart w:id="292" w:name="_Ref272333565"/>
      <w:bookmarkStart w:id="293" w:name="_Ref272317284"/>
      <w:bookmarkStart w:id="294" w:name="_Toc423352715"/>
      <w:r>
        <w:t>All adverse events (irrespective of relationship to study treatment)</w:t>
      </w:r>
      <w:bookmarkEnd w:id="289"/>
      <w:bookmarkEnd w:id="290"/>
      <w:bookmarkEnd w:id="291"/>
      <w:bookmarkEnd w:id="292"/>
      <w:bookmarkEnd w:id="293"/>
      <w:bookmarkEnd w:id="294"/>
    </w:p>
    <w:p w:rsidR="00423561" w:rsidRDefault="00423561" w:rsidP="00DF28D3">
      <w:pPr>
        <w:pStyle w:val="Heading4"/>
      </w:pPr>
      <w:bookmarkStart w:id="295" w:name="_Toc393351216"/>
      <w:r>
        <w:t>Pivotal studies</w:t>
      </w:r>
      <w:bookmarkEnd w:id="295"/>
    </w:p>
    <w:p w:rsidR="00423561" w:rsidRPr="00492DE6" w:rsidRDefault="00423561" w:rsidP="00DF28D3">
      <w:r>
        <w:t xml:space="preserve">In study 13297: As shown </w:t>
      </w:r>
      <w:r w:rsidRPr="00492DE6">
        <w:t xml:space="preserve">in Table </w:t>
      </w:r>
      <w:r w:rsidR="00492DE6" w:rsidRPr="00492DE6">
        <w:t>5</w:t>
      </w:r>
      <w:r w:rsidR="00EF17C2">
        <w:t>2</w:t>
      </w:r>
      <w:r w:rsidRPr="00492DE6">
        <w:t>, 8% of patients reported at least one treatment-emergent AE (TEAE) (7.3% GAD, 8.6% MAG). In the GAD group, the most frequently reported AEs were feeling hot, dry mouth, pyrexia, proteinuria, headache and rash.</w:t>
      </w:r>
      <w:r w:rsidR="00CB45EF">
        <w:t xml:space="preserve"> Most AEs were considered mild.</w:t>
      </w:r>
    </w:p>
    <w:p w:rsidR="00423561" w:rsidRPr="00492DE6" w:rsidRDefault="00423561" w:rsidP="00DF28D3">
      <w:r w:rsidRPr="00492DE6">
        <w:t xml:space="preserve">In study 91743: As shown in Table </w:t>
      </w:r>
      <w:r w:rsidR="00492DE6" w:rsidRPr="00492DE6">
        <w:t>5</w:t>
      </w:r>
      <w:r w:rsidR="00EF17C2">
        <w:t>3</w:t>
      </w:r>
      <w:r w:rsidRPr="00492DE6">
        <w:t>, 8.2% of patients reported at least one TEAE. The most frequently reported TEAEs were nervous system disorders (2.8%), GI disorders (1.2%) and skin disorders (1.2%). Most AEs were considered mild and none were severe.</w:t>
      </w:r>
    </w:p>
    <w:p w:rsidR="00423561" w:rsidRDefault="00423561" w:rsidP="00DF28D3">
      <w:r w:rsidRPr="00492DE6">
        <w:t xml:space="preserve">In study 91782: As shown in Table </w:t>
      </w:r>
      <w:r w:rsidR="00492DE6" w:rsidRPr="00492DE6">
        <w:t>5</w:t>
      </w:r>
      <w:r w:rsidR="00EF17C2">
        <w:t>4</w:t>
      </w:r>
      <w:r w:rsidRPr="00492DE6">
        <w:t>, 5.7% of patients reported at least one TEAE. The most frequently reported TEAEs were nervous system</w:t>
      </w:r>
      <w:r>
        <w:t xml:space="preserve"> disorders (1.6%), GI disorders (1.4%) and general disorders and administration site conditions (1.4%). Most AEs were considered mild and none were severe.</w:t>
      </w:r>
    </w:p>
    <w:p w:rsidR="00492DE6" w:rsidRDefault="00A06571" w:rsidP="00DF28D3">
      <w:pPr>
        <w:pStyle w:val="Tabletitle"/>
      </w:pPr>
      <w:bookmarkStart w:id="296" w:name="_Ref393278739"/>
      <w:bookmarkStart w:id="297" w:name="_Toc393351412"/>
      <w:proofErr w:type="gramStart"/>
      <w:r>
        <w:lastRenderedPageBreak/>
        <w:t xml:space="preserve">Table </w:t>
      </w:r>
      <w:r w:rsidR="00492DE6">
        <w:t>5</w:t>
      </w:r>
      <w:r w:rsidR="00EF17C2">
        <w:t>2</w:t>
      </w:r>
      <w:r w:rsidR="00492DE6">
        <w:t xml:space="preserve">: </w:t>
      </w:r>
      <w:r>
        <w:t>Study 13297</w:t>
      </w:r>
      <w:bookmarkEnd w:id="296"/>
      <w:bookmarkEnd w:id="297"/>
      <w:r w:rsidR="00492DE6">
        <w:t xml:space="preserve"> Overall AE experience-Number (%) of subjects.</w:t>
      </w:r>
      <w:proofErr w:type="gramEnd"/>
      <w:r w:rsidR="00492DE6">
        <w:t xml:space="preserve"> Safety Analysis Set</w:t>
      </w:r>
    </w:p>
    <w:p w:rsidR="00492DE6" w:rsidRDefault="00A06571" w:rsidP="00CB45EF">
      <w:r w:rsidRPr="0085287A">
        <w:rPr>
          <w:noProof/>
          <w:lang w:eastAsia="en-AU"/>
        </w:rPr>
        <w:drawing>
          <wp:inline distT="0" distB="0" distL="0" distR="0" wp14:anchorId="1687B7F4" wp14:editId="6FA8CA0E">
            <wp:extent cx="4178348" cy="2443523"/>
            <wp:effectExtent l="0" t="0" r="0" b="0"/>
            <wp:docPr id="79" name="Picture 79" descr="Table 52: Study 13297 Overall AE experience-Number (%) of subjec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5">
                      <a:lum bright="-20000" contrast="40000"/>
                      <a:extLst>
                        <a:ext uri="{28A0092B-C50C-407E-A947-70E740481C1C}">
                          <a14:useLocalDpi xmlns:a14="http://schemas.microsoft.com/office/drawing/2010/main" val="0"/>
                        </a:ext>
                      </a:extLst>
                    </a:blip>
                    <a:srcRect l="3267" t="8658"/>
                    <a:stretch/>
                  </pic:blipFill>
                  <pic:spPr bwMode="auto">
                    <a:xfrm>
                      <a:off x="0" y="0"/>
                      <a:ext cx="4177905" cy="244326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A06571" w:rsidRDefault="00A06571" w:rsidP="00DF28D3">
      <w:pPr>
        <w:pStyle w:val="Tabletitle"/>
      </w:pPr>
      <w:bookmarkStart w:id="298" w:name="_Ref393278741"/>
      <w:bookmarkStart w:id="299" w:name="_Toc393351413"/>
      <w:r>
        <w:t xml:space="preserve">Table </w:t>
      </w:r>
      <w:r w:rsidR="00492DE6">
        <w:t>5</w:t>
      </w:r>
      <w:r w:rsidR="00EF17C2">
        <w:t>3</w:t>
      </w:r>
      <w:r w:rsidR="00492DE6">
        <w:t xml:space="preserve">: </w:t>
      </w:r>
      <w:r>
        <w:t>Study 91743</w:t>
      </w:r>
      <w:bookmarkEnd w:id="298"/>
      <w:bookmarkEnd w:id="299"/>
      <w:r w:rsidR="00492DE6">
        <w:t xml:space="preserve"> Overview of AEs (SAF)</w:t>
      </w:r>
    </w:p>
    <w:p w:rsidR="00A06571" w:rsidRDefault="00A06571" w:rsidP="00A06571">
      <w:pPr>
        <w:rPr>
          <w:b/>
        </w:rPr>
      </w:pPr>
      <w:r w:rsidRPr="00BF0177">
        <w:rPr>
          <w:b/>
          <w:noProof/>
          <w:lang w:eastAsia="en-AU"/>
        </w:rPr>
        <w:drawing>
          <wp:inline distT="0" distB="0" distL="0" distR="0" wp14:anchorId="395C60B0" wp14:editId="27F62578">
            <wp:extent cx="3534655" cy="1752435"/>
            <wp:effectExtent l="0" t="0" r="0" b="0"/>
            <wp:docPr id="80" name="Picture 80" descr="Table 53: Study 91743 Overview of AEs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6">
                      <a:lum bright="-20000" contrast="40000"/>
                      <a:extLst>
                        <a:ext uri="{28A0092B-C50C-407E-A947-70E740481C1C}">
                          <a14:useLocalDpi xmlns:a14="http://schemas.microsoft.com/office/drawing/2010/main" val="0"/>
                        </a:ext>
                      </a:extLst>
                    </a:blip>
                    <a:srcRect l="3893" t="8572" r="9530"/>
                    <a:stretch/>
                  </pic:blipFill>
                  <pic:spPr bwMode="auto">
                    <a:xfrm>
                      <a:off x="0" y="0"/>
                      <a:ext cx="3538919" cy="1754549"/>
                    </a:xfrm>
                    <a:prstGeom prst="rect">
                      <a:avLst/>
                    </a:prstGeom>
                    <a:noFill/>
                    <a:ln>
                      <a:noFill/>
                    </a:ln>
                    <a:extLst>
                      <a:ext uri="{53640926-AAD7-44D8-BBD7-CCE9431645EC}">
                        <a14:shadowObscured xmlns:a14="http://schemas.microsoft.com/office/drawing/2010/main"/>
                      </a:ext>
                    </a:extLst>
                  </pic:spPr>
                </pic:pic>
              </a:graphicData>
            </a:graphic>
          </wp:inline>
        </w:drawing>
      </w:r>
    </w:p>
    <w:p w:rsidR="00CB45EF" w:rsidRDefault="00A06571" w:rsidP="00DF28D3">
      <w:pPr>
        <w:pStyle w:val="Tabletitle"/>
      </w:pPr>
      <w:bookmarkStart w:id="300" w:name="_Ref393278743"/>
      <w:bookmarkStart w:id="301" w:name="_Toc393351414"/>
      <w:r>
        <w:t xml:space="preserve">Table </w:t>
      </w:r>
      <w:r w:rsidR="00492DE6">
        <w:t>5</w:t>
      </w:r>
      <w:r w:rsidR="00EF17C2">
        <w:t>4</w:t>
      </w:r>
      <w:r w:rsidR="00492DE6">
        <w:t xml:space="preserve">: </w:t>
      </w:r>
      <w:r>
        <w:t>Study 91782</w:t>
      </w:r>
      <w:bookmarkEnd w:id="300"/>
      <w:bookmarkEnd w:id="301"/>
      <w:r w:rsidR="00492DE6">
        <w:t xml:space="preserve"> Overview of AEs</w:t>
      </w:r>
    </w:p>
    <w:p w:rsidR="00A06571" w:rsidRDefault="00A06571" w:rsidP="00CB45EF">
      <w:r w:rsidRPr="0084192A">
        <w:rPr>
          <w:noProof/>
          <w:lang w:eastAsia="en-AU"/>
        </w:rPr>
        <w:drawing>
          <wp:inline distT="0" distB="0" distL="0" distR="0" wp14:anchorId="290824CB" wp14:editId="38783C10">
            <wp:extent cx="4103274" cy="1822466"/>
            <wp:effectExtent l="0" t="0" r="0" b="0"/>
            <wp:docPr id="81" name="Picture 81" descr="Table 54: Study 91782 Overview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7">
                      <a:lum bright="-20000" contrast="40000"/>
                      <a:extLst>
                        <a:ext uri="{28A0092B-C50C-407E-A947-70E740481C1C}">
                          <a14:useLocalDpi xmlns:a14="http://schemas.microsoft.com/office/drawing/2010/main" val="0"/>
                        </a:ext>
                      </a:extLst>
                    </a:blip>
                    <a:srcRect l="4831" t="9733"/>
                    <a:stretch/>
                  </pic:blipFill>
                  <pic:spPr bwMode="auto">
                    <a:xfrm>
                      <a:off x="0" y="0"/>
                      <a:ext cx="4110572" cy="1825708"/>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DF28D3">
      <w:pPr>
        <w:pStyle w:val="Heading4"/>
        <w:rPr>
          <w:kern w:val="16"/>
          <w:szCs w:val="20"/>
        </w:rPr>
      </w:pPr>
      <w:bookmarkStart w:id="302" w:name="_Toc393351217"/>
      <w:r>
        <w:t>Other studies</w:t>
      </w:r>
      <w:bookmarkEnd w:id="302"/>
    </w:p>
    <w:p w:rsidR="00423561" w:rsidRDefault="00423561" w:rsidP="00DF28D3">
      <w:r>
        <w:t>Not applicable.</w:t>
      </w:r>
    </w:p>
    <w:p w:rsidR="00423561" w:rsidRDefault="00423561" w:rsidP="00DF28D3">
      <w:pPr>
        <w:pStyle w:val="Heading3"/>
        <w:rPr>
          <w:kern w:val="16"/>
          <w:szCs w:val="20"/>
        </w:rPr>
      </w:pPr>
      <w:bookmarkStart w:id="303" w:name="_Toc393351218"/>
      <w:bookmarkStart w:id="304" w:name="_Toc290846303"/>
      <w:bookmarkStart w:id="305" w:name="_Toc272414665"/>
      <w:bookmarkStart w:id="306" w:name="_Ref272333567"/>
      <w:bookmarkStart w:id="307" w:name="_Toc423352716"/>
      <w:r>
        <w:t>Treatment-related adverse events (adverse drug reactions)</w:t>
      </w:r>
      <w:bookmarkEnd w:id="303"/>
      <w:bookmarkEnd w:id="304"/>
      <w:bookmarkEnd w:id="305"/>
      <w:bookmarkEnd w:id="306"/>
      <w:bookmarkEnd w:id="307"/>
    </w:p>
    <w:p w:rsidR="00423561" w:rsidRDefault="00423561" w:rsidP="00DF28D3">
      <w:pPr>
        <w:pStyle w:val="Heading4"/>
      </w:pPr>
      <w:bookmarkStart w:id="308" w:name="_Toc393351219"/>
      <w:r>
        <w:t>Pivotal studies</w:t>
      </w:r>
      <w:bookmarkEnd w:id="308"/>
    </w:p>
    <w:p w:rsidR="00423561" w:rsidRDefault="00423561" w:rsidP="00DF28D3">
      <w:r>
        <w:t>In study 13297: AEs considered drug related by the investigator were recorded in 3.9% of the GAD group and 1.6% of the MAG group. In the GAD group, the most frequent TEAEs were feeling hot, dry mouth, pyrexia, proteinuria, headache and rash.</w:t>
      </w:r>
    </w:p>
    <w:p w:rsidR="00423561" w:rsidRDefault="00423561" w:rsidP="00DF28D3">
      <w:r>
        <w:lastRenderedPageBreak/>
        <w:t xml:space="preserve">In study 91743: Drug related AEs were reported by 1.6% of patients (dizziness, headache, erythema, hepatic enzyme increase, nausea, tremor and </w:t>
      </w:r>
      <w:proofErr w:type="spellStart"/>
      <w:r>
        <w:t>urticaria</w:t>
      </w:r>
      <w:proofErr w:type="spellEnd"/>
      <w:r>
        <w:t>). The erythema was of moderate intensity and all the other events were mild.</w:t>
      </w:r>
    </w:p>
    <w:p w:rsidR="00423561" w:rsidRDefault="00423561" w:rsidP="00DF28D3">
      <w:r>
        <w:t xml:space="preserve">In study 91782: Drug related TEAEs were reported by 8 (1.8%) of patients (nausea, eyelid oedema, diarrhoea, tongue pruritus, vomiting, facial oedema, increased bilirubin, </w:t>
      </w:r>
      <w:proofErr w:type="spellStart"/>
      <w:r>
        <w:t>crystalluria</w:t>
      </w:r>
      <w:proofErr w:type="spellEnd"/>
      <w:r>
        <w:t xml:space="preserve">, erythema, pruritus, pruritic rash and </w:t>
      </w:r>
      <w:proofErr w:type="spellStart"/>
      <w:r>
        <w:t>urticaria</w:t>
      </w:r>
      <w:proofErr w:type="spellEnd"/>
      <w:r>
        <w:t>).</w:t>
      </w:r>
    </w:p>
    <w:p w:rsidR="00423561" w:rsidRDefault="00423561" w:rsidP="00DF28D3">
      <w:pPr>
        <w:pStyle w:val="Heading4"/>
        <w:rPr>
          <w:kern w:val="16"/>
          <w:szCs w:val="20"/>
        </w:rPr>
      </w:pPr>
      <w:bookmarkStart w:id="309" w:name="_Toc393351220"/>
      <w:r>
        <w:t>Other studies</w:t>
      </w:r>
      <w:bookmarkEnd w:id="309"/>
    </w:p>
    <w:p w:rsidR="00423561" w:rsidRDefault="00423561" w:rsidP="00DF28D3">
      <w:r>
        <w:t xml:space="preserve">The safety data from the two small non-pivotal studies were unremarkable and they are included in the Integrated Summary of Safety (see </w:t>
      </w:r>
      <w:r w:rsidR="00CB0E56">
        <w:t>below</w:t>
      </w:r>
      <w:r>
        <w:t>).</w:t>
      </w:r>
    </w:p>
    <w:p w:rsidR="00423561" w:rsidRDefault="00423561" w:rsidP="00DF28D3">
      <w:pPr>
        <w:pStyle w:val="Heading3"/>
        <w:rPr>
          <w:kern w:val="16"/>
          <w:szCs w:val="20"/>
        </w:rPr>
      </w:pPr>
      <w:bookmarkStart w:id="310" w:name="_Toc393351221"/>
      <w:bookmarkStart w:id="311" w:name="_Toc290846304"/>
      <w:bookmarkStart w:id="312" w:name="_Toc272414666"/>
      <w:bookmarkStart w:id="313" w:name="_Ref272333507"/>
      <w:bookmarkStart w:id="314" w:name="_Toc241374320"/>
      <w:bookmarkStart w:id="315" w:name="_Toc423352717"/>
      <w:r>
        <w:t>Deaths and other serious adverse events</w:t>
      </w:r>
      <w:bookmarkEnd w:id="310"/>
      <w:bookmarkEnd w:id="311"/>
      <w:bookmarkEnd w:id="312"/>
      <w:bookmarkEnd w:id="313"/>
      <w:bookmarkEnd w:id="314"/>
      <w:bookmarkEnd w:id="315"/>
    </w:p>
    <w:p w:rsidR="00423561" w:rsidRDefault="00423561" w:rsidP="00DF28D3">
      <w:pPr>
        <w:pStyle w:val="Heading4"/>
      </w:pPr>
      <w:bookmarkStart w:id="316" w:name="_Toc393351222"/>
      <w:r>
        <w:t>Pivotal studies</w:t>
      </w:r>
      <w:bookmarkEnd w:id="316"/>
    </w:p>
    <w:p w:rsidR="00423561" w:rsidRDefault="00423561" w:rsidP="00DF28D3">
      <w:r>
        <w:t>There were no deaths, SAEs or other significant AEs in any of the three pivotal studies.</w:t>
      </w:r>
    </w:p>
    <w:p w:rsidR="00423561" w:rsidRDefault="00423561" w:rsidP="00DF28D3">
      <w:pPr>
        <w:pStyle w:val="Heading4"/>
        <w:rPr>
          <w:kern w:val="16"/>
          <w:szCs w:val="20"/>
        </w:rPr>
      </w:pPr>
      <w:bookmarkStart w:id="317" w:name="_Toc393351223"/>
      <w:r>
        <w:t>Other studies</w:t>
      </w:r>
      <w:bookmarkEnd w:id="317"/>
    </w:p>
    <w:p w:rsidR="00423561" w:rsidRDefault="00423561" w:rsidP="00DF28D3">
      <w:bookmarkStart w:id="318" w:name="_Toc290846305"/>
      <w:bookmarkStart w:id="319" w:name="_Toc272414667"/>
      <w:bookmarkStart w:id="320" w:name="_Ref272333477"/>
      <w:bookmarkStart w:id="321" w:name="_Toc241374325"/>
      <w:r>
        <w:t>Not applicable.</w:t>
      </w:r>
    </w:p>
    <w:p w:rsidR="00423561" w:rsidRDefault="00423561" w:rsidP="00DF28D3">
      <w:pPr>
        <w:pStyle w:val="Heading3"/>
        <w:rPr>
          <w:kern w:val="16"/>
          <w:szCs w:val="20"/>
        </w:rPr>
      </w:pPr>
      <w:bookmarkStart w:id="322" w:name="_Toc393351224"/>
      <w:bookmarkStart w:id="323" w:name="_Toc423352718"/>
      <w:r>
        <w:t>Discontinuation due to adverse events</w:t>
      </w:r>
      <w:bookmarkEnd w:id="318"/>
      <w:bookmarkEnd w:id="319"/>
      <w:bookmarkEnd w:id="320"/>
      <w:bookmarkEnd w:id="321"/>
      <w:bookmarkEnd w:id="322"/>
      <w:bookmarkEnd w:id="323"/>
    </w:p>
    <w:p w:rsidR="00423561" w:rsidRDefault="00423561" w:rsidP="00DF28D3">
      <w:pPr>
        <w:pStyle w:val="Heading4"/>
      </w:pPr>
      <w:bookmarkStart w:id="324" w:name="_Toc393351225"/>
      <w:r>
        <w:t>Pivotal studies</w:t>
      </w:r>
      <w:bookmarkEnd w:id="324"/>
    </w:p>
    <w:p w:rsidR="00423561" w:rsidRDefault="00423561" w:rsidP="00DF28D3">
      <w:r>
        <w:t>There were no discontinuations due to AEs in any of the three pivotal studies.</w:t>
      </w:r>
    </w:p>
    <w:p w:rsidR="00423561" w:rsidRDefault="00423561" w:rsidP="00DF28D3">
      <w:pPr>
        <w:pStyle w:val="Heading4"/>
        <w:rPr>
          <w:kern w:val="16"/>
          <w:szCs w:val="20"/>
        </w:rPr>
      </w:pPr>
      <w:bookmarkStart w:id="325" w:name="_Toc393351226"/>
      <w:r>
        <w:t>Other studies</w:t>
      </w:r>
      <w:bookmarkEnd w:id="325"/>
    </w:p>
    <w:p w:rsidR="00423561" w:rsidRDefault="00423561" w:rsidP="00DF28D3">
      <w:r>
        <w:t>Not applicable.</w:t>
      </w:r>
    </w:p>
    <w:p w:rsidR="00423561" w:rsidRDefault="00423561" w:rsidP="00DF28D3">
      <w:pPr>
        <w:pStyle w:val="Heading3"/>
        <w:rPr>
          <w:kern w:val="16"/>
          <w:szCs w:val="20"/>
        </w:rPr>
      </w:pPr>
      <w:bookmarkStart w:id="326" w:name="_Toc393351227"/>
      <w:bookmarkStart w:id="327" w:name="_Toc290846306"/>
      <w:bookmarkStart w:id="328" w:name="_Toc272414668"/>
      <w:bookmarkStart w:id="329" w:name="_Ref272333085"/>
      <w:bookmarkStart w:id="330" w:name="_Ref271196640"/>
      <w:bookmarkStart w:id="331" w:name="_Ref271044780"/>
      <w:bookmarkStart w:id="332" w:name="_Toc241374321"/>
      <w:bookmarkStart w:id="333" w:name="_Toc423352719"/>
      <w:r>
        <w:t>Laboratory tests</w:t>
      </w:r>
      <w:bookmarkEnd w:id="326"/>
      <w:bookmarkEnd w:id="327"/>
      <w:bookmarkEnd w:id="328"/>
      <w:bookmarkEnd w:id="329"/>
      <w:bookmarkEnd w:id="330"/>
      <w:bookmarkEnd w:id="331"/>
      <w:bookmarkEnd w:id="332"/>
      <w:bookmarkEnd w:id="333"/>
    </w:p>
    <w:p w:rsidR="00423561" w:rsidRDefault="00423561" w:rsidP="00DF28D3">
      <w:r>
        <w:t xml:space="preserve">In the three pivotal studies, mean changes from baseline for any parameter were negligible. Most patients had laboratory values within the reference range, or had only transient changes throughout the studies. </w:t>
      </w:r>
      <w:proofErr w:type="gramStart"/>
      <w:r>
        <w:t>Values that were normal at baseline but outside the reference range</w:t>
      </w:r>
      <w:r w:rsidR="004A7617">
        <w:t xml:space="preserve"> </w:t>
      </w:r>
      <w:r>
        <w:t>post-baseline were rare and not cli</w:t>
      </w:r>
      <w:r w:rsidR="00CB45EF">
        <w:t>nically important.</w:t>
      </w:r>
      <w:proofErr w:type="gramEnd"/>
    </w:p>
    <w:p w:rsidR="00423561" w:rsidRDefault="00423561" w:rsidP="00DF28D3">
      <w:pPr>
        <w:pStyle w:val="Heading3"/>
        <w:rPr>
          <w:kern w:val="16"/>
          <w:szCs w:val="20"/>
        </w:rPr>
      </w:pPr>
      <w:bookmarkStart w:id="334" w:name="_Toc393351228"/>
      <w:bookmarkStart w:id="335" w:name="_Toc290846307"/>
      <w:bookmarkStart w:id="336" w:name="_Toc272414669"/>
      <w:bookmarkStart w:id="337" w:name="_Toc423352720"/>
      <w:r>
        <w:t>Liver function</w:t>
      </w:r>
      <w:bookmarkEnd w:id="334"/>
      <w:bookmarkEnd w:id="335"/>
      <w:bookmarkEnd w:id="336"/>
      <w:bookmarkEnd w:id="337"/>
    </w:p>
    <w:p w:rsidR="00423561" w:rsidRDefault="00423561" w:rsidP="00DF28D3">
      <w:pPr>
        <w:pStyle w:val="Heading4"/>
      </w:pPr>
      <w:bookmarkStart w:id="338" w:name="_Toc393351229"/>
      <w:r>
        <w:t>Pivotal studies</w:t>
      </w:r>
      <w:bookmarkEnd w:id="338"/>
    </w:p>
    <w:p w:rsidR="00423561" w:rsidRDefault="00423561" w:rsidP="00DF28D3">
      <w:r>
        <w:t>There were no clinically important changes in liver function in any of the three pivotal studies.</w:t>
      </w:r>
    </w:p>
    <w:p w:rsidR="00423561" w:rsidRDefault="00423561" w:rsidP="00DF28D3">
      <w:pPr>
        <w:pStyle w:val="Heading4"/>
        <w:rPr>
          <w:kern w:val="16"/>
          <w:szCs w:val="20"/>
        </w:rPr>
      </w:pPr>
      <w:bookmarkStart w:id="339" w:name="_Toc393351230"/>
      <w:r>
        <w:t>Other studies</w:t>
      </w:r>
      <w:bookmarkEnd w:id="339"/>
    </w:p>
    <w:p w:rsidR="00423561" w:rsidRDefault="00423561" w:rsidP="00DF28D3">
      <w:r>
        <w:t>Not applicable.</w:t>
      </w:r>
    </w:p>
    <w:p w:rsidR="00423561" w:rsidRDefault="00423561" w:rsidP="00DF28D3">
      <w:pPr>
        <w:pStyle w:val="Heading3"/>
        <w:rPr>
          <w:kern w:val="16"/>
          <w:szCs w:val="20"/>
        </w:rPr>
      </w:pPr>
      <w:bookmarkStart w:id="340" w:name="_Toc393351231"/>
      <w:bookmarkStart w:id="341" w:name="_Toc290846308"/>
      <w:bookmarkStart w:id="342" w:name="_Toc272414670"/>
      <w:bookmarkStart w:id="343" w:name="_Toc423352721"/>
      <w:r>
        <w:t>Kidney function</w:t>
      </w:r>
      <w:bookmarkEnd w:id="340"/>
      <w:bookmarkEnd w:id="341"/>
      <w:bookmarkEnd w:id="342"/>
      <w:bookmarkEnd w:id="343"/>
    </w:p>
    <w:p w:rsidR="00423561" w:rsidRDefault="00423561" w:rsidP="00DF28D3">
      <w:pPr>
        <w:pStyle w:val="Heading4"/>
      </w:pPr>
      <w:bookmarkStart w:id="344" w:name="_Toc393351232"/>
      <w:r>
        <w:t>Pivotal studies</w:t>
      </w:r>
      <w:bookmarkEnd w:id="344"/>
    </w:p>
    <w:p w:rsidR="00423561" w:rsidRDefault="00423561" w:rsidP="00DF28D3">
      <w:r>
        <w:t>There were no clinically important changes in renal function in any of the three pivotal studies.</w:t>
      </w:r>
    </w:p>
    <w:p w:rsidR="00423561" w:rsidRDefault="00423561" w:rsidP="00DF28D3">
      <w:pPr>
        <w:pStyle w:val="Heading4"/>
        <w:rPr>
          <w:kern w:val="16"/>
          <w:szCs w:val="20"/>
        </w:rPr>
      </w:pPr>
      <w:bookmarkStart w:id="345" w:name="_Toc393351233"/>
      <w:r>
        <w:t>Other studies</w:t>
      </w:r>
      <w:bookmarkEnd w:id="345"/>
    </w:p>
    <w:p w:rsidR="00423561" w:rsidRDefault="00423561" w:rsidP="00DF28D3">
      <w:r>
        <w:t>Not applicable.</w:t>
      </w:r>
    </w:p>
    <w:p w:rsidR="00423561" w:rsidRDefault="00423561" w:rsidP="00DF28D3">
      <w:pPr>
        <w:pStyle w:val="Heading3"/>
        <w:rPr>
          <w:kern w:val="16"/>
          <w:szCs w:val="20"/>
        </w:rPr>
      </w:pPr>
      <w:bookmarkStart w:id="346" w:name="_Toc393351234"/>
      <w:bookmarkStart w:id="347" w:name="_Toc290846309"/>
      <w:bookmarkStart w:id="348" w:name="_Toc272414671"/>
      <w:bookmarkStart w:id="349" w:name="_Toc423352722"/>
      <w:r>
        <w:lastRenderedPageBreak/>
        <w:t>Other clinical chemistry</w:t>
      </w:r>
      <w:bookmarkEnd w:id="346"/>
      <w:bookmarkEnd w:id="347"/>
      <w:bookmarkEnd w:id="348"/>
      <w:bookmarkEnd w:id="349"/>
    </w:p>
    <w:p w:rsidR="00423561" w:rsidRDefault="00423561" w:rsidP="00CB0E56">
      <w:pPr>
        <w:pStyle w:val="Heading4"/>
      </w:pPr>
      <w:bookmarkStart w:id="350" w:name="_Toc393351235"/>
      <w:r>
        <w:t>Pivotal studies</w:t>
      </w:r>
      <w:bookmarkEnd w:id="350"/>
    </w:p>
    <w:p w:rsidR="00423561" w:rsidRDefault="00423561" w:rsidP="00954D50">
      <w:r>
        <w:t>There were no clinically important changes in clinical chemistry or urinalysis in any of the three pivotal studies.</w:t>
      </w:r>
    </w:p>
    <w:p w:rsidR="00423561" w:rsidRDefault="00423561" w:rsidP="00954D50">
      <w:pPr>
        <w:pStyle w:val="Heading4"/>
        <w:rPr>
          <w:kern w:val="16"/>
          <w:szCs w:val="20"/>
        </w:rPr>
      </w:pPr>
      <w:bookmarkStart w:id="351" w:name="_Toc393351236"/>
      <w:r>
        <w:t>Other studies</w:t>
      </w:r>
      <w:bookmarkEnd w:id="351"/>
    </w:p>
    <w:p w:rsidR="00423561" w:rsidRDefault="00423561" w:rsidP="00954D50">
      <w:r>
        <w:t>Not applicable.</w:t>
      </w:r>
    </w:p>
    <w:p w:rsidR="00423561" w:rsidRDefault="00423561" w:rsidP="00954D50">
      <w:pPr>
        <w:pStyle w:val="Heading3"/>
        <w:rPr>
          <w:kern w:val="16"/>
          <w:szCs w:val="20"/>
        </w:rPr>
      </w:pPr>
      <w:bookmarkStart w:id="352" w:name="_Toc393351237"/>
      <w:bookmarkStart w:id="353" w:name="_Toc290846310"/>
      <w:bookmarkStart w:id="354" w:name="_Toc272414672"/>
      <w:bookmarkStart w:id="355" w:name="_Toc423352723"/>
      <w:r>
        <w:t>Haematology</w:t>
      </w:r>
      <w:bookmarkEnd w:id="352"/>
      <w:bookmarkEnd w:id="353"/>
      <w:bookmarkEnd w:id="354"/>
      <w:bookmarkEnd w:id="355"/>
    </w:p>
    <w:p w:rsidR="00423561" w:rsidRDefault="00423561" w:rsidP="00954D50">
      <w:pPr>
        <w:pStyle w:val="Heading4"/>
      </w:pPr>
      <w:bookmarkStart w:id="356" w:name="_Toc393351238"/>
      <w:r>
        <w:t>Pivotal studies</w:t>
      </w:r>
      <w:bookmarkEnd w:id="356"/>
    </w:p>
    <w:p w:rsidR="00423561" w:rsidRDefault="00423561" w:rsidP="00954D50">
      <w:r>
        <w:t>There were no clinically important changes in haematology in any of the three pivotal studies.</w:t>
      </w:r>
    </w:p>
    <w:p w:rsidR="00423561" w:rsidRDefault="00423561" w:rsidP="00954D50">
      <w:pPr>
        <w:pStyle w:val="Heading4"/>
        <w:rPr>
          <w:kern w:val="16"/>
          <w:szCs w:val="20"/>
        </w:rPr>
      </w:pPr>
      <w:bookmarkStart w:id="357" w:name="_Toc393351239"/>
      <w:r>
        <w:t>Other studies</w:t>
      </w:r>
      <w:bookmarkEnd w:id="357"/>
    </w:p>
    <w:p w:rsidR="00423561" w:rsidRDefault="00423561" w:rsidP="00954D50">
      <w:r>
        <w:t>Not applicable.</w:t>
      </w:r>
    </w:p>
    <w:p w:rsidR="00423561" w:rsidRDefault="00423561" w:rsidP="00954D50">
      <w:pPr>
        <w:pStyle w:val="Heading3"/>
        <w:rPr>
          <w:kern w:val="16"/>
          <w:szCs w:val="20"/>
        </w:rPr>
      </w:pPr>
      <w:bookmarkStart w:id="358" w:name="_Toc393351240"/>
      <w:bookmarkStart w:id="359" w:name="_Toc290846313"/>
      <w:bookmarkStart w:id="360" w:name="_Toc272414675"/>
      <w:bookmarkStart w:id="361" w:name="_Toc423352724"/>
      <w:r>
        <w:t>Electrocardiograph</w:t>
      </w:r>
      <w:bookmarkEnd w:id="358"/>
      <w:bookmarkEnd w:id="359"/>
      <w:bookmarkEnd w:id="360"/>
      <w:bookmarkEnd w:id="361"/>
    </w:p>
    <w:p w:rsidR="00423561" w:rsidRDefault="00423561" w:rsidP="00954D50">
      <w:pPr>
        <w:pStyle w:val="Heading4"/>
      </w:pPr>
      <w:bookmarkStart w:id="362" w:name="_Toc393351241"/>
      <w:r>
        <w:t>Pivotal studies</w:t>
      </w:r>
      <w:bookmarkEnd w:id="362"/>
    </w:p>
    <w:p w:rsidR="00423561" w:rsidRDefault="00423561" w:rsidP="00954D50">
      <w:r>
        <w:t>No ECGs were performed in any of the three pivotal stu</w:t>
      </w:r>
      <w:r w:rsidR="00CB45EF">
        <w:t>dies.</w:t>
      </w:r>
    </w:p>
    <w:p w:rsidR="00423561" w:rsidRDefault="00423561" w:rsidP="00954D50">
      <w:pPr>
        <w:pStyle w:val="Heading3"/>
        <w:rPr>
          <w:kern w:val="16"/>
          <w:szCs w:val="20"/>
        </w:rPr>
      </w:pPr>
      <w:bookmarkStart w:id="363" w:name="_Toc393351242"/>
      <w:bookmarkStart w:id="364" w:name="_Toc290846314"/>
      <w:bookmarkStart w:id="365" w:name="_Toc272414676"/>
      <w:bookmarkStart w:id="366" w:name="_Toc423352725"/>
      <w:r>
        <w:t>Vital signs</w:t>
      </w:r>
      <w:bookmarkEnd w:id="363"/>
      <w:bookmarkEnd w:id="364"/>
      <w:bookmarkEnd w:id="365"/>
      <w:bookmarkEnd w:id="366"/>
    </w:p>
    <w:p w:rsidR="00423561" w:rsidRDefault="00423561" w:rsidP="00954D50">
      <w:pPr>
        <w:pStyle w:val="Heading4"/>
      </w:pPr>
      <w:bookmarkStart w:id="367" w:name="_Toc393351243"/>
      <w:r>
        <w:t>Pivotal studies</w:t>
      </w:r>
      <w:bookmarkEnd w:id="367"/>
    </w:p>
    <w:p w:rsidR="00423561" w:rsidRDefault="00423561" w:rsidP="00954D50">
      <w:r>
        <w:t>There were no clinically meaningful fluctuations from baseline in SBP, DBP and HR in an</w:t>
      </w:r>
      <w:r w:rsidR="00CB45EF">
        <w:t>y of the three pivotal studies.</w:t>
      </w:r>
    </w:p>
    <w:p w:rsidR="00423561" w:rsidRDefault="00423561" w:rsidP="00954D50">
      <w:pPr>
        <w:pStyle w:val="Heading4"/>
        <w:rPr>
          <w:kern w:val="16"/>
          <w:szCs w:val="20"/>
        </w:rPr>
      </w:pPr>
      <w:bookmarkStart w:id="368" w:name="_Toc393351244"/>
      <w:r>
        <w:t>Other studies</w:t>
      </w:r>
      <w:bookmarkEnd w:id="368"/>
    </w:p>
    <w:p w:rsidR="00423561" w:rsidRDefault="00423561" w:rsidP="00954D50">
      <w:r>
        <w:t>Not applicable.</w:t>
      </w:r>
    </w:p>
    <w:p w:rsidR="00423561" w:rsidRDefault="00423561" w:rsidP="00954D50">
      <w:pPr>
        <w:pStyle w:val="Heading3"/>
        <w:rPr>
          <w:kern w:val="16"/>
          <w:szCs w:val="20"/>
        </w:rPr>
      </w:pPr>
      <w:bookmarkStart w:id="369" w:name="_Toc393351245"/>
      <w:bookmarkStart w:id="370" w:name="_Toc423352726"/>
      <w:r>
        <w:t>Supportive safety data based on pooled analysis of all GAD clinical studies</w:t>
      </w:r>
      <w:bookmarkEnd w:id="369"/>
      <w:bookmarkEnd w:id="370"/>
    </w:p>
    <w:p w:rsidR="00423561" w:rsidRPr="00492DE6" w:rsidRDefault="00423561" w:rsidP="00954D50">
      <w:r>
        <w:t xml:space="preserve">To support the current application for the use of GAD in whole body imaging, all clinical studies have been pooled into two Integrated Summary of Safety studies (ISS-1 and ISS-2). ISS-1 includes 15 Phase 1 studies, and ISS-2 includes 38 Phase 2-4 </w:t>
      </w:r>
      <w:r w:rsidRPr="00492DE6">
        <w:t xml:space="preserve">studies (Table </w:t>
      </w:r>
      <w:r w:rsidR="00492DE6" w:rsidRPr="00492DE6">
        <w:t>5</w:t>
      </w:r>
      <w:r w:rsidR="00EF17C2">
        <w:t>5</w:t>
      </w:r>
      <w:r w:rsidRPr="00492DE6">
        <w:t>).</w:t>
      </w:r>
    </w:p>
    <w:p w:rsidR="00A06571" w:rsidRDefault="00A06571" w:rsidP="00954D50">
      <w:pPr>
        <w:pStyle w:val="Tabletitle"/>
      </w:pPr>
      <w:bookmarkStart w:id="371" w:name="_Ref393278745"/>
      <w:bookmarkStart w:id="372" w:name="_Toc393351415"/>
      <w:r>
        <w:t xml:space="preserve">Table </w:t>
      </w:r>
      <w:bookmarkEnd w:id="371"/>
      <w:bookmarkEnd w:id="372"/>
      <w:r w:rsidR="00492DE6">
        <w:t>5</w:t>
      </w:r>
      <w:r w:rsidR="00EF17C2">
        <w:t>5</w:t>
      </w:r>
      <w:r w:rsidR="00492DE6">
        <w:t>: Integrated analysis</w:t>
      </w:r>
    </w:p>
    <w:p w:rsidR="00A06571" w:rsidRDefault="00A06571" w:rsidP="00A06571">
      <w:pPr>
        <w:rPr>
          <w:b/>
        </w:rPr>
      </w:pPr>
      <w:r w:rsidRPr="00C563A7">
        <w:rPr>
          <w:b/>
          <w:noProof/>
          <w:lang w:eastAsia="en-AU"/>
        </w:rPr>
        <w:drawing>
          <wp:inline distT="0" distB="0" distL="0" distR="0" wp14:anchorId="77A5141E" wp14:editId="1301A8BB">
            <wp:extent cx="4195482" cy="2016674"/>
            <wp:effectExtent l="0" t="0" r="0" b="0"/>
            <wp:docPr id="82" name="Picture 82" descr="Table 55: Integr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a:lum bright="-20000" contrast="40000"/>
                      <a:extLst>
                        <a:ext uri="{28A0092B-C50C-407E-A947-70E740481C1C}">
                          <a14:useLocalDpi xmlns:a14="http://schemas.microsoft.com/office/drawing/2010/main" val="0"/>
                        </a:ext>
                      </a:extLst>
                    </a:blip>
                    <a:srcRect l="4692" t="11406"/>
                    <a:stretch/>
                  </pic:blipFill>
                  <pic:spPr bwMode="auto">
                    <a:xfrm>
                      <a:off x="0" y="0"/>
                      <a:ext cx="4194913" cy="2016400"/>
                    </a:xfrm>
                    <a:prstGeom prst="rect">
                      <a:avLst/>
                    </a:prstGeom>
                    <a:noFill/>
                    <a:ln>
                      <a:noFill/>
                    </a:ln>
                    <a:extLst>
                      <a:ext uri="{53640926-AAD7-44D8-BBD7-CCE9431645EC}">
                        <a14:shadowObscured xmlns:a14="http://schemas.microsoft.com/office/drawing/2010/main"/>
                      </a:ext>
                    </a:extLst>
                  </pic:spPr>
                </pic:pic>
              </a:graphicData>
            </a:graphic>
          </wp:inline>
        </w:drawing>
      </w:r>
    </w:p>
    <w:p w:rsidR="004A7617" w:rsidRDefault="00423561" w:rsidP="00954D50">
      <w:pPr>
        <w:pStyle w:val="Heading4"/>
      </w:pPr>
      <w:r>
        <w:lastRenderedPageBreak/>
        <w:t>IIS-1</w:t>
      </w:r>
    </w:p>
    <w:p w:rsidR="00A06571" w:rsidRPr="00492DE6" w:rsidRDefault="00423561" w:rsidP="00954D50">
      <w:r>
        <w:t xml:space="preserve">The Phase I studies involving 313 subjects dosed with GAD are </w:t>
      </w:r>
      <w:r w:rsidRPr="00492DE6">
        <w:t>listed in Table</w:t>
      </w:r>
      <w:r w:rsidR="00492DE6" w:rsidRPr="00492DE6">
        <w:t xml:space="preserve"> 5</w:t>
      </w:r>
      <w:r w:rsidR="00EF17C2">
        <w:t>6</w:t>
      </w:r>
      <w:r w:rsidR="00CB45EF">
        <w:t>.</w:t>
      </w:r>
    </w:p>
    <w:p w:rsidR="00A06571" w:rsidRDefault="00A06571" w:rsidP="00954D50">
      <w:pPr>
        <w:pStyle w:val="Tabletitle"/>
      </w:pPr>
      <w:bookmarkStart w:id="373" w:name="_Ref393278747"/>
      <w:bookmarkStart w:id="374" w:name="_Toc393351416"/>
      <w:r>
        <w:t xml:space="preserve">Table </w:t>
      </w:r>
      <w:bookmarkEnd w:id="373"/>
      <w:bookmarkEnd w:id="374"/>
      <w:r w:rsidR="00492DE6">
        <w:t>5</w:t>
      </w:r>
      <w:r w:rsidR="00EF17C2">
        <w:t>6</w:t>
      </w:r>
      <w:r w:rsidR="00492DE6">
        <w:t>: Subjects by study for ISS Phase I</w:t>
      </w:r>
    </w:p>
    <w:p w:rsidR="00A06571" w:rsidRDefault="00A06571" w:rsidP="00A06571">
      <w:pPr>
        <w:rPr>
          <w:b/>
        </w:rPr>
      </w:pPr>
      <w:r w:rsidRPr="00405565">
        <w:rPr>
          <w:b/>
          <w:noProof/>
          <w:lang w:eastAsia="en-AU"/>
        </w:rPr>
        <w:drawing>
          <wp:inline distT="0" distB="0" distL="0" distR="0" wp14:anchorId="41B2BBB7" wp14:editId="00D834A6">
            <wp:extent cx="3918857" cy="1587903"/>
            <wp:effectExtent l="0" t="0" r="0" b="0"/>
            <wp:docPr id="83" name="Picture 83" descr="Table 56: Subjects by study for ISS Phas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9">
                      <a:lum bright="-20000" contrast="40000"/>
                      <a:extLst>
                        <a:ext uri="{28A0092B-C50C-407E-A947-70E740481C1C}">
                          <a14:useLocalDpi xmlns:a14="http://schemas.microsoft.com/office/drawing/2010/main" val="0"/>
                        </a:ext>
                      </a:extLst>
                    </a:blip>
                    <a:srcRect l="5143" t="13041"/>
                    <a:stretch/>
                  </pic:blipFill>
                  <pic:spPr bwMode="auto">
                    <a:xfrm>
                      <a:off x="0" y="0"/>
                      <a:ext cx="3925275" cy="1590503"/>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954D50">
      <w:r>
        <w:t xml:space="preserve">The majority of subjects were male (74.4%) with a mean age of 32.3 and a mean body weight of 72.59 kg. The incidence of AEs was higher in the GAD group (46.9%) compared to the placebo group (29.4%). The most frequently reported AEs in the GAD group were </w:t>
      </w:r>
      <w:proofErr w:type="spellStart"/>
      <w:r>
        <w:t>dysgeusia</w:t>
      </w:r>
      <w:proofErr w:type="spellEnd"/>
      <w:r>
        <w:t xml:space="preserve"> (11.9%), nausea (7.2%), </w:t>
      </w:r>
      <w:proofErr w:type="spellStart"/>
      <w:r>
        <w:t>parosmia</w:t>
      </w:r>
      <w:proofErr w:type="spellEnd"/>
      <w:r>
        <w:t xml:space="preserve"> (6.7%), </w:t>
      </w:r>
      <w:proofErr w:type="gramStart"/>
      <w:r>
        <w:t>headache</w:t>
      </w:r>
      <w:proofErr w:type="gramEnd"/>
      <w:r>
        <w:t xml:space="preserve"> (6.2%), feeling hot (5.2%), and injection site coldness (4.1%). ADRs were reported in 35.6% of the GAD group and in 13.2% of the placebo group. The most common ADRs in the GAD group were </w:t>
      </w:r>
      <w:proofErr w:type="spellStart"/>
      <w:r>
        <w:t>dysgeusia</w:t>
      </w:r>
      <w:proofErr w:type="spellEnd"/>
      <w:r>
        <w:t xml:space="preserve"> (11.9%), </w:t>
      </w:r>
      <w:proofErr w:type="spellStart"/>
      <w:r>
        <w:t>parosmia</w:t>
      </w:r>
      <w:proofErr w:type="spellEnd"/>
      <w:r>
        <w:t xml:space="preserve"> (6.7%), </w:t>
      </w:r>
      <w:proofErr w:type="gramStart"/>
      <w:r>
        <w:t>nausea</w:t>
      </w:r>
      <w:proofErr w:type="gramEnd"/>
      <w:r>
        <w:t xml:space="preserve"> (6.2%), feeling hot (5.2%), and injection site coldness. The most frequently reported AE in the placebo group was injection site coldness (5.9%).  In the GAD group, 92.6% of AEs were of mild or moderate intensity, 4.7% were considered severe, and the balance of 2.7% unknown. Of the 337 AEs in the GAD group, 50.1% developed within 30 minutes after the injection. No deaths were reported in ISS-1. There was one SAE in the GAD group (anaphylaxis of moderate severity) compared with none in the placebo group. Two subjects discontinued prematurely due to moderate hypersensitivity reactions. Most subjects had no changes in laboratory parameters after dosing and there were no meaningful differences between the GAD and placebo groups. No clinically significant effects of GAD were detected for SBP, DBP, HR, respiratory rate and body temperature.</w:t>
      </w:r>
    </w:p>
    <w:p w:rsidR="004A7617" w:rsidRDefault="00423561" w:rsidP="00954D50">
      <w:pPr>
        <w:pStyle w:val="Heading4"/>
      </w:pPr>
      <w:r>
        <w:t>ISS-2</w:t>
      </w:r>
    </w:p>
    <w:p w:rsidR="00A06571" w:rsidRDefault="00423561" w:rsidP="00954D50">
      <w:r>
        <w:t>In the Phase 2-4 studies, AEs were reported in 9.7% of the 5748 patients who received GAD. The only reported AEs with ≥0.5% incidence in the GAD group were headache (1.5%), nausea (1.1%), and dizziness (0.5%). In the comparator groups, the incidences of AEs were 1.9% (</w:t>
      </w:r>
      <w:proofErr w:type="spellStart"/>
      <w:r>
        <w:t>Gd</w:t>
      </w:r>
      <w:proofErr w:type="spellEnd"/>
      <w:r>
        <w:t>-DOTA), 4.7% (</w:t>
      </w:r>
      <w:proofErr w:type="spellStart"/>
      <w:r>
        <w:t>gadodiamide</w:t>
      </w:r>
      <w:proofErr w:type="spellEnd"/>
      <w:r>
        <w:t>), 5.7% (</w:t>
      </w:r>
      <w:proofErr w:type="spellStart"/>
      <w:r>
        <w:t>Gd</w:t>
      </w:r>
      <w:proofErr w:type="spellEnd"/>
      <w:r>
        <w:t>-DTPA), 17.2% (</w:t>
      </w:r>
      <w:proofErr w:type="spellStart"/>
      <w:r>
        <w:t>gadoversetamide</w:t>
      </w:r>
      <w:proofErr w:type="spellEnd"/>
      <w:r>
        <w:t>), and 18.7% (</w:t>
      </w:r>
      <w:proofErr w:type="spellStart"/>
      <w:r>
        <w:t>gadoteridol</w:t>
      </w:r>
      <w:proofErr w:type="spellEnd"/>
      <w:r>
        <w:t xml:space="preserve">) with no meaningful differences in the respective AE profiles. ADRs were reported by the investigator in 3.5% of </w:t>
      </w:r>
      <w:r w:rsidRPr="002C1258">
        <w:t>patients (</w:t>
      </w:r>
      <w:r w:rsidRPr="002C1258">
        <w:rPr>
          <w:noProof/>
        </w:rPr>
        <w:t xml:space="preserve">Table </w:t>
      </w:r>
      <w:r w:rsidR="00EF17C2">
        <w:rPr>
          <w:noProof/>
        </w:rPr>
        <w:t>57</w:t>
      </w:r>
      <w:r w:rsidRPr="002C1258">
        <w:t>), most</w:t>
      </w:r>
      <w:r w:rsidR="00CB45EF">
        <w:t xml:space="preserve"> commonly nausea (0.7%).</w:t>
      </w:r>
    </w:p>
    <w:p w:rsidR="00A06571" w:rsidRDefault="00A06571" w:rsidP="00954D50">
      <w:pPr>
        <w:pStyle w:val="Tabletitle"/>
      </w:pPr>
      <w:bookmarkStart w:id="375" w:name="_Ref393278758"/>
      <w:bookmarkStart w:id="376" w:name="_Toc393351420"/>
      <w:r>
        <w:t xml:space="preserve">Table </w:t>
      </w:r>
      <w:r w:rsidR="00EF17C2">
        <w:t>57</w:t>
      </w:r>
      <w:r w:rsidR="002C1258">
        <w:t>:</w:t>
      </w:r>
      <w:r>
        <w:t xml:space="preserve"> ISS</w:t>
      </w:r>
      <w:bookmarkEnd w:id="375"/>
      <w:bookmarkEnd w:id="376"/>
      <w:r w:rsidR="002C1258">
        <w:t xml:space="preserve"> Drug related adverse events with </w:t>
      </w:r>
      <w:r w:rsidR="002C1258">
        <w:rPr>
          <w:rFonts w:cstheme="majorHAnsi"/>
        </w:rPr>
        <w:t>≥</w:t>
      </w:r>
      <w:r w:rsidR="002C1258">
        <w:t xml:space="preserve">0.5% incidence by system organ class and preferred term in the </w:t>
      </w:r>
      <w:proofErr w:type="spellStart"/>
      <w:r w:rsidR="002C1258">
        <w:t>gadobutrol</w:t>
      </w:r>
      <w:proofErr w:type="spellEnd"/>
      <w:r w:rsidR="002C1258">
        <w:t xml:space="preserve"> group-ISS Phase II-IV</w:t>
      </w:r>
    </w:p>
    <w:p w:rsidR="00A06571" w:rsidRDefault="00A06571" w:rsidP="00A06571">
      <w:pPr>
        <w:rPr>
          <w:b/>
        </w:rPr>
      </w:pPr>
      <w:r w:rsidRPr="00133218">
        <w:rPr>
          <w:b/>
          <w:noProof/>
          <w:lang w:eastAsia="en-AU"/>
        </w:rPr>
        <w:drawing>
          <wp:inline distT="0" distB="0" distL="0" distR="0" wp14:anchorId="01687DA1" wp14:editId="20A83B3E">
            <wp:extent cx="4218534" cy="886260"/>
            <wp:effectExtent l="0" t="0" r="0" b="0"/>
            <wp:docPr id="142" name="Picture 142" descr="Table 57: ISS Drug related adverse events with ≥0.5% incidence by system organ class and preferred term in the gadobutrol group-ISS Phase I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0">
                      <a:lum bright="-20000" contrast="40000"/>
                      <a:extLst>
                        <a:ext uri="{28A0092B-C50C-407E-A947-70E740481C1C}">
                          <a14:useLocalDpi xmlns:a14="http://schemas.microsoft.com/office/drawing/2010/main" val="0"/>
                        </a:ext>
                      </a:extLst>
                    </a:blip>
                    <a:srcRect l="2640" t="29075"/>
                    <a:stretch/>
                  </pic:blipFill>
                  <pic:spPr bwMode="auto">
                    <a:xfrm>
                      <a:off x="0" y="0"/>
                      <a:ext cx="4232475" cy="889189"/>
                    </a:xfrm>
                    <a:prstGeom prst="rect">
                      <a:avLst/>
                    </a:prstGeom>
                    <a:noFill/>
                    <a:ln>
                      <a:noFill/>
                    </a:ln>
                    <a:extLst>
                      <a:ext uri="{53640926-AAD7-44D8-BBD7-CCE9431645EC}">
                        <a14:shadowObscured xmlns:a14="http://schemas.microsoft.com/office/drawing/2010/main"/>
                      </a:ext>
                    </a:extLst>
                  </pic:spPr>
                </pic:pic>
              </a:graphicData>
            </a:graphic>
          </wp:inline>
        </w:drawing>
      </w:r>
    </w:p>
    <w:p w:rsidR="00A06571" w:rsidRPr="002C1258" w:rsidRDefault="00423561" w:rsidP="00954D50">
      <w:r>
        <w:t xml:space="preserve">The most common ADRs as defined by the sponsor are </w:t>
      </w:r>
      <w:r w:rsidRPr="002C1258">
        <w:t>shown in Table</w:t>
      </w:r>
      <w:r w:rsidR="00EF17C2">
        <w:t xml:space="preserve"> 58</w:t>
      </w:r>
      <w:r w:rsidR="00CB45EF">
        <w:t>.</w:t>
      </w:r>
    </w:p>
    <w:p w:rsidR="00A06571" w:rsidRDefault="00A06571" w:rsidP="00954D50">
      <w:pPr>
        <w:pStyle w:val="Tabletitle"/>
      </w:pPr>
      <w:bookmarkStart w:id="377" w:name="_Ref393278760"/>
      <w:bookmarkStart w:id="378" w:name="_Toc393351421"/>
      <w:r>
        <w:lastRenderedPageBreak/>
        <w:t xml:space="preserve">Table </w:t>
      </w:r>
      <w:r w:rsidR="00EF17C2">
        <w:t>58</w:t>
      </w:r>
      <w:r w:rsidR="002C1258">
        <w:t>:</w:t>
      </w:r>
      <w:r>
        <w:t xml:space="preserve"> ISS</w:t>
      </w:r>
      <w:bookmarkEnd w:id="377"/>
      <w:bookmarkEnd w:id="378"/>
      <w:r w:rsidR="002C1258">
        <w:t xml:space="preserve"> Adverse drug reactions ISS Phase II-IV</w:t>
      </w:r>
    </w:p>
    <w:p w:rsidR="00A06571" w:rsidRDefault="00A06571" w:rsidP="00A06571">
      <w:pPr>
        <w:rPr>
          <w:b/>
        </w:rPr>
      </w:pPr>
      <w:r w:rsidRPr="00FC3D9C">
        <w:rPr>
          <w:b/>
          <w:noProof/>
          <w:lang w:eastAsia="en-AU"/>
        </w:rPr>
        <w:drawing>
          <wp:inline distT="0" distB="0" distL="0" distR="0" wp14:anchorId="70F58FE0" wp14:editId="179D6778">
            <wp:extent cx="4702629" cy="2714400"/>
            <wp:effectExtent l="0" t="0" r="0" b="0"/>
            <wp:docPr id="143" name="Picture 143" descr="Table 58: ISS Adverse drug reactions ISS Phase I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a:lum bright="-20000" contrast="40000"/>
                      <a:extLst>
                        <a:ext uri="{28A0092B-C50C-407E-A947-70E740481C1C}">
                          <a14:useLocalDpi xmlns:a14="http://schemas.microsoft.com/office/drawing/2010/main" val="0"/>
                        </a:ext>
                      </a:extLst>
                    </a:blip>
                    <a:srcRect l="5860" t="10965" r="-5860" b="2631"/>
                    <a:stretch/>
                  </pic:blipFill>
                  <pic:spPr bwMode="auto">
                    <a:xfrm>
                      <a:off x="0" y="0"/>
                      <a:ext cx="4702643" cy="2714408"/>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954D50">
      <w:r>
        <w:t xml:space="preserve">Of the 821 AEs in the GAD group, 76.2%, 19.6% and 4.0% were of mild, moderate and severe intensity, respectively. Most of the AEs (73.1%) were reported within 24 hours and 28.5% were reported within 30 minutes. There were nine discontinuations due to AEs but only three events were considered drug related. There was one death during the course of a study in the GAD group. This was considered due to worsening disease (breast cancer) and unrelated to GAD. Five other patients died after study completion but none was considered related to GAD. Within 72 hours of drug administration, SAEs were reported in 16 (0.3%) patients in the GAD group, compared with one (0.4%) in the </w:t>
      </w:r>
      <w:proofErr w:type="spellStart"/>
      <w:r>
        <w:t>gadoversetamide</w:t>
      </w:r>
      <w:proofErr w:type="spellEnd"/>
      <w:r>
        <w:t xml:space="preserve"> group and three (0.5%) in the </w:t>
      </w:r>
      <w:proofErr w:type="spellStart"/>
      <w:r>
        <w:t>gadoteridol</w:t>
      </w:r>
      <w:proofErr w:type="spellEnd"/>
      <w:r>
        <w:t xml:space="preserve"> group. Only one SAE was considered drug related by the investigator (</w:t>
      </w:r>
      <w:proofErr w:type="spellStart"/>
      <w:r>
        <w:t>crystalluria</w:t>
      </w:r>
      <w:proofErr w:type="spellEnd"/>
      <w:r>
        <w:t>).</w:t>
      </w:r>
    </w:p>
    <w:p w:rsidR="00423561" w:rsidRDefault="00423561" w:rsidP="00954D50">
      <w:r>
        <w:t>There were no clinically important trends or in laboratory parameters after dosing. No clinically significant effects of GAD were detected for SBP, DBP, HR, respiratory rate and body temperature</w:t>
      </w:r>
      <w:r w:rsidR="004A7617">
        <w:t>. A T</w:t>
      </w:r>
      <w:r>
        <w:t xml:space="preserve">horough </w:t>
      </w:r>
      <w:proofErr w:type="spellStart"/>
      <w:r>
        <w:t>QTc</w:t>
      </w:r>
      <w:proofErr w:type="spellEnd"/>
      <w:r>
        <w:t xml:space="preserve"> study demonstrated only minor and transient increases in </w:t>
      </w:r>
      <w:proofErr w:type="spellStart"/>
      <w:r>
        <w:t>QTc</w:t>
      </w:r>
      <w:proofErr w:type="spellEnd"/>
      <w:r>
        <w:t xml:space="preserve"> intervals after </w:t>
      </w:r>
      <w:r w:rsidRPr="002C1258">
        <w:t>dosing (</w:t>
      </w:r>
      <w:r w:rsidR="002C1258">
        <w:t xml:space="preserve">Figure </w:t>
      </w:r>
      <w:r w:rsidR="00EF17C2">
        <w:t>7</w:t>
      </w:r>
      <w:r w:rsidRPr="002C1258">
        <w:t>). The</w:t>
      </w:r>
      <w:r>
        <w:t xml:space="preserve"> changes were &lt;10 </w:t>
      </w:r>
      <w:proofErr w:type="spellStart"/>
      <w:r>
        <w:t>msec</w:t>
      </w:r>
      <w:proofErr w:type="spellEnd"/>
      <w:r>
        <w:t xml:space="preserve"> for all GAD doses including the supra-</w:t>
      </w:r>
      <w:r w:rsidR="00CB45EF">
        <w:t xml:space="preserve">maximal dose of 0.5 </w:t>
      </w:r>
      <w:proofErr w:type="spellStart"/>
      <w:r w:rsidR="00CB45EF">
        <w:t>mmol</w:t>
      </w:r>
      <w:proofErr w:type="spellEnd"/>
      <w:r w:rsidR="00CB45EF">
        <w:t>/kg BW.</w:t>
      </w:r>
    </w:p>
    <w:p w:rsidR="00A06571" w:rsidRDefault="002C1258" w:rsidP="00954D50">
      <w:pPr>
        <w:pStyle w:val="FigureTitle"/>
      </w:pPr>
      <w:bookmarkStart w:id="379" w:name="_Ref393278765"/>
      <w:bookmarkStart w:id="380" w:name="_Toc393351423"/>
      <w:r>
        <w:t xml:space="preserve">Figure </w:t>
      </w:r>
      <w:r w:rsidR="00EF17C2">
        <w:t>7</w:t>
      </w:r>
      <w:r>
        <w:t>:</w:t>
      </w:r>
      <w:r w:rsidR="00A06571">
        <w:t xml:space="preserve"> ISS</w:t>
      </w:r>
      <w:bookmarkEnd w:id="379"/>
      <w:bookmarkEnd w:id="380"/>
      <w:r>
        <w:t xml:space="preserve"> ECG evaluation-Mean differences from placebo and baseline in </w:t>
      </w:r>
      <w:proofErr w:type="spellStart"/>
      <w:r>
        <w:t>QTc</w:t>
      </w:r>
      <w:proofErr w:type="spellEnd"/>
      <w:r>
        <w:t xml:space="preserve"> intervals corrected for QT/RR hysteresis and heart rate based on population optimised models.</w:t>
      </w:r>
      <w:r w:rsidR="00A06571" w:rsidRPr="00A07473">
        <w:rPr>
          <w:noProof/>
          <w:lang w:eastAsia="en-AU"/>
        </w:rPr>
        <w:drawing>
          <wp:inline distT="0" distB="0" distL="0" distR="0" wp14:anchorId="0C9735A6" wp14:editId="1FF1C69F">
            <wp:extent cx="4256955" cy="2604888"/>
            <wp:effectExtent l="0" t="0" r="0" b="0"/>
            <wp:docPr id="145" name="Picture 145" descr="Figure 7: ISS ECG evaluation-Mean differences from placebo and baseline in QTc intervals corrected for QT/RR hysteresis and heart rate based on population optimised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2">
                      <a:extLst>
                        <a:ext uri="{28A0092B-C50C-407E-A947-70E740481C1C}">
                          <a14:useLocalDpi xmlns:a14="http://schemas.microsoft.com/office/drawing/2010/main" val="0"/>
                        </a:ext>
                      </a:extLst>
                    </a:blip>
                    <a:srcRect l="3835" t="17234" r="11194" b="2603"/>
                    <a:stretch/>
                  </pic:blipFill>
                  <pic:spPr bwMode="auto">
                    <a:xfrm>
                      <a:off x="0" y="0"/>
                      <a:ext cx="4264206" cy="2609325"/>
                    </a:xfrm>
                    <a:prstGeom prst="rect">
                      <a:avLst/>
                    </a:prstGeom>
                    <a:noFill/>
                    <a:ln>
                      <a:noFill/>
                    </a:ln>
                    <a:extLst>
                      <a:ext uri="{53640926-AAD7-44D8-BBD7-CCE9431645EC}">
                        <a14:shadowObscured xmlns:a14="http://schemas.microsoft.com/office/drawing/2010/main"/>
                      </a:ext>
                    </a:extLst>
                  </pic:spPr>
                </pic:pic>
              </a:graphicData>
            </a:graphic>
          </wp:inline>
        </w:drawing>
      </w:r>
    </w:p>
    <w:p w:rsidR="00CB45EF" w:rsidRPr="00954D50" w:rsidRDefault="00423561" w:rsidP="00954D50">
      <w:pPr>
        <w:pStyle w:val="Heading5"/>
        <w:numPr>
          <w:ilvl w:val="0"/>
          <w:numId w:val="0"/>
        </w:numPr>
        <w:ind w:left="1418" w:hanging="1191"/>
        <w:rPr>
          <w:rFonts w:eastAsia="Cambria"/>
        </w:rPr>
      </w:pPr>
      <w:bookmarkStart w:id="381" w:name="_GoBack"/>
      <w:bookmarkEnd w:id="381"/>
      <w:r w:rsidRPr="00954D50">
        <w:rPr>
          <w:rFonts w:eastAsia="Cambria"/>
        </w:rPr>
        <w:lastRenderedPageBreak/>
        <w:t>Subgroup analyses</w:t>
      </w:r>
    </w:p>
    <w:p w:rsidR="00423561" w:rsidRDefault="00423561" w:rsidP="00954D50">
      <w:r>
        <w:t xml:space="preserve">The incidences of AEs and ADRs in subgroups defined by gender, age, body weight, region and race </w:t>
      </w:r>
      <w:r w:rsidR="00A06571">
        <w:t>were</w:t>
      </w:r>
      <w:r>
        <w:t xml:space="preserve"> shown. In the total group, 9.7% of patients reported AEs and 3.5% reported ADRs. In the small number of paediatric patients, the incidence of AEs was higher than in the general population but the incidence of ADRs was similar to the adult population. The reported incidence of AEs was higher in North and South America than other regions. However, there were no meaningful differences between the subgroups and the overall population. There were no difference in the number of AEs or ADRs in patients with or without a history of cardiovascular disorders, and patients with or without hepatic impairment.</w:t>
      </w:r>
    </w:p>
    <w:p w:rsidR="00CB45EF" w:rsidRPr="00954D50" w:rsidRDefault="00423561" w:rsidP="00954D50">
      <w:pPr>
        <w:pStyle w:val="Heading5"/>
        <w:numPr>
          <w:ilvl w:val="0"/>
          <w:numId w:val="0"/>
        </w:numPr>
        <w:ind w:left="1418" w:hanging="1191"/>
        <w:rPr>
          <w:rFonts w:eastAsia="Cambria"/>
        </w:rPr>
      </w:pPr>
      <w:r w:rsidRPr="00954D50">
        <w:rPr>
          <w:rFonts w:eastAsia="Cambria"/>
        </w:rPr>
        <w:t>Hypersensitivity reactions</w:t>
      </w:r>
    </w:p>
    <w:p w:rsidR="00423561" w:rsidRDefault="00423561" w:rsidP="00423561">
      <w:r>
        <w:t>In ISS-1, hypersensitivity reactions were reported in 2/313 (0.6%) subjects within 24 hours of dosing, one of which was a SAE of moderate intensity. In ISS-2, 8/5748 (0.1%) patients had hypersensitivity reactions, five of which were mild in intensity.</w:t>
      </w:r>
    </w:p>
    <w:p w:rsidR="00954D50" w:rsidRPr="00954D50" w:rsidRDefault="00423561" w:rsidP="00954D50">
      <w:pPr>
        <w:pStyle w:val="Heading5"/>
        <w:numPr>
          <w:ilvl w:val="0"/>
          <w:numId w:val="0"/>
        </w:numPr>
        <w:ind w:left="1418" w:hanging="1191"/>
        <w:rPr>
          <w:rFonts w:eastAsia="Cambria"/>
        </w:rPr>
      </w:pPr>
      <w:r w:rsidRPr="00954D50">
        <w:rPr>
          <w:rFonts w:eastAsia="Cambria"/>
        </w:rPr>
        <w:t>Renal impairment</w:t>
      </w:r>
    </w:p>
    <w:p w:rsidR="00423561" w:rsidRDefault="00423561" w:rsidP="00423561">
      <w:r w:rsidRPr="002C1258">
        <w:t xml:space="preserve">In ISS-2, the number of AEs reported in patients categorised by renal function are shown in Table </w:t>
      </w:r>
      <w:r w:rsidR="00EF17C2">
        <w:t>59</w:t>
      </w:r>
      <w:r w:rsidRPr="002C1258">
        <w:t>.  Overall</w:t>
      </w:r>
      <w:r>
        <w:t xml:space="preserve">, the incidence of AEs was only marginally higher for patients with renal impairment compared with the total population. The incidence of ADRs in patients with </w:t>
      </w:r>
      <w:proofErr w:type="spellStart"/>
      <w:r>
        <w:t>eGFR</w:t>
      </w:r>
      <w:proofErr w:type="spellEnd"/>
      <w:r>
        <w:t xml:space="preserve"> &lt;30 mL/min was 7.3% compared with 4.8% in patients with normal renal function.  </w:t>
      </w:r>
    </w:p>
    <w:p w:rsidR="00A06571" w:rsidRDefault="00A06571" w:rsidP="00954D50">
      <w:pPr>
        <w:pStyle w:val="Tabletitle"/>
      </w:pPr>
      <w:bookmarkStart w:id="382" w:name="_Ref393278771"/>
      <w:bookmarkStart w:id="383" w:name="_Toc393351425"/>
      <w:r>
        <w:t xml:space="preserve">Table </w:t>
      </w:r>
      <w:r w:rsidR="00EF17C2">
        <w:t>59</w:t>
      </w:r>
      <w:r w:rsidR="002C1258">
        <w:t>:</w:t>
      </w:r>
      <w:r>
        <w:t xml:space="preserve"> ISS</w:t>
      </w:r>
      <w:bookmarkEnd w:id="382"/>
      <w:bookmarkEnd w:id="383"/>
      <w:r w:rsidR="002C1258">
        <w:t xml:space="preserve"> Subjects with adverse events by renal impairment ISS Phase II-IV</w:t>
      </w:r>
    </w:p>
    <w:p w:rsidR="00A06571" w:rsidRDefault="00A06571" w:rsidP="00A06571">
      <w:pPr>
        <w:rPr>
          <w:b/>
        </w:rPr>
      </w:pPr>
      <w:r w:rsidRPr="00C07567">
        <w:rPr>
          <w:b/>
          <w:noProof/>
          <w:lang w:eastAsia="en-AU"/>
        </w:rPr>
        <w:drawing>
          <wp:inline distT="0" distB="0" distL="0" distR="0" wp14:anchorId="195D86C6" wp14:editId="34081892">
            <wp:extent cx="4472108" cy="1964087"/>
            <wp:effectExtent l="0" t="0" r="0" b="0"/>
            <wp:docPr id="147" name="Picture 147" descr="Table 59: ISS Subjects with adverse events by renal impairment ISS Phase I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a:lum bright="-20000" contrast="40000"/>
                      <a:extLst>
                        <a:ext uri="{28A0092B-C50C-407E-A947-70E740481C1C}">
                          <a14:useLocalDpi xmlns:a14="http://schemas.microsoft.com/office/drawing/2010/main" val="0"/>
                        </a:ext>
                      </a:extLst>
                    </a:blip>
                    <a:srcRect t="11736" b="1593"/>
                    <a:stretch/>
                  </pic:blipFill>
                  <pic:spPr bwMode="auto">
                    <a:xfrm>
                      <a:off x="0" y="0"/>
                      <a:ext cx="4477921" cy="1966640"/>
                    </a:xfrm>
                    <a:prstGeom prst="rect">
                      <a:avLst/>
                    </a:prstGeom>
                    <a:noFill/>
                    <a:ln>
                      <a:noFill/>
                    </a:ln>
                    <a:extLst>
                      <a:ext uri="{53640926-AAD7-44D8-BBD7-CCE9431645EC}">
                        <a14:shadowObscured xmlns:a14="http://schemas.microsoft.com/office/drawing/2010/main"/>
                      </a:ext>
                    </a:extLst>
                  </pic:spPr>
                </pic:pic>
              </a:graphicData>
            </a:graphic>
          </wp:inline>
        </w:drawing>
      </w:r>
    </w:p>
    <w:p w:rsidR="00423561" w:rsidRDefault="00423561" w:rsidP="00954D50">
      <w:pPr>
        <w:pStyle w:val="Heading3"/>
      </w:pPr>
      <w:bookmarkStart w:id="384" w:name="_Toc393351246"/>
      <w:bookmarkStart w:id="385" w:name="_Toc290846317"/>
      <w:bookmarkStart w:id="386" w:name="_Toc272414679"/>
      <w:bookmarkStart w:id="387" w:name="_Ref272333048"/>
      <w:bookmarkStart w:id="388" w:name="_Toc241374326"/>
      <w:bookmarkStart w:id="389" w:name="_Toc423352727"/>
      <w:r>
        <w:t>Post-marketing experience</w:t>
      </w:r>
      <w:bookmarkEnd w:id="384"/>
      <w:bookmarkEnd w:id="385"/>
      <w:bookmarkEnd w:id="386"/>
      <w:bookmarkEnd w:id="387"/>
      <w:bookmarkEnd w:id="388"/>
      <w:bookmarkEnd w:id="389"/>
    </w:p>
    <w:p w:rsidR="00423561" w:rsidRDefault="00423561" w:rsidP="00954D50">
      <w:r>
        <w:t xml:space="preserve">As of 31 July 2013, the sponsor estimates that more than 15,775,576 patients have received </w:t>
      </w:r>
      <w:proofErr w:type="spellStart"/>
      <w:r>
        <w:t>Gadovist</w:t>
      </w:r>
      <w:proofErr w:type="spellEnd"/>
      <w:r>
        <w:t xml:space="preserve">® since first launch in Switzerland in 1999. It is now approved in 100 countries and marketed in 68 of these. In that time, Bayer Global Pharmacovigilance (GPV) has received 3,375 ADR reports of which 929 were considered SAEs. The type of ADRs are consistent with those reported in clinical trials, no new safety signals have been identified, and there is no change to the risk/benefit profile of </w:t>
      </w:r>
      <w:proofErr w:type="spellStart"/>
      <w:r>
        <w:t>Gadovist</w:t>
      </w:r>
      <w:proofErr w:type="spellEnd"/>
      <w:r>
        <w:t>®.</w:t>
      </w:r>
    </w:p>
    <w:p w:rsidR="004A7617" w:rsidRDefault="00423561" w:rsidP="00954D50">
      <w:pPr>
        <w:pStyle w:val="Heading4"/>
      </w:pPr>
      <w:r>
        <w:t>Deaths</w:t>
      </w:r>
    </w:p>
    <w:p w:rsidR="00423561" w:rsidRDefault="00423561" w:rsidP="00954D50">
      <w:r>
        <w:t xml:space="preserve">There have been 36 deaths (18 females, 16 males, 2 gender unreported) in patients aged 31 to 91 years, occurring on the same day or up to 22 months following drug injection. The cause of death was considered to be secondary to anaphylactic reactions in 17 of these deaths although the diagnosis was not completely clear in four of these cases. Two spontaneous reports were non-assessable. In the remaining 11 cases, the cause of death included metastatic disease, tumour progression, complications of underlying cancer, advanced cardiac disease, GI bleeding, lung bleeding, liver failure with sepsis, and multi-organ failure associated with bowel infarction. Three deaths were reported in patients with NSF but none were considered related to GAD. The </w:t>
      </w:r>
      <w:r>
        <w:lastRenderedPageBreak/>
        <w:t xml:space="preserve">incidence of fatalities associated with GAD is 0.12 per 100,000 patients which is consistent with other marketed </w:t>
      </w:r>
      <w:proofErr w:type="spellStart"/>
      <w:r>
        <w:t>Gd</w:t>
      </w:r>
      <w:proofErr w:type="spellEnd"/>
      <w:r>
        <w:t>-containing contrast agents.</w:t>
      </w:r>
    </w:p>
    <w:p w:rsidR="004A7617" w:rsidRDefault="00423561" w:rsidP="00954D50">
      <w:pPr>
        <w:pStyle w:val="Heading4"/>
      </w:pPr>
      <w:r>
        <w:t>Hypersensitivity reactions</w:t>
      </w:r>
    </w:p>
    <w:p w:rsidR="00423561" w:rsidRDefault="00423561" w:rsidP="00954D50">
      <w:r>
        <w:t xml:space="preserve">Hypersensitivity reactions include the cardiovascular, respiratory and cutaneous symptoms listed. Reactions were reported in approximately 0.01% of the 15,775,576 million drug administrations and most were mild to moderate in intensity. The frequency of hypersensitivity reactions is similar to other </w:t>
      </w:r>
      <w:proofErr w:type="spellStart"/>
      <w:r>
        <w:t>Gd</w:t>
      </w:r>
      <w:proofErr w:type="spellEnd"/>
      <w:r>
        <w:t>-containing contrast agents.</w:t>
      </w:r>
    </w:p>
    <w:p w:rsidR="004A7617" w:rsidRDefault="00423561" w:rsidP="00954D50">
      <w:pPr>
        <w:pStyle w:val="Heading4"/>
      </w:pPr>
      <w:proofErr w:type="spellStart"/>
      <w:r>
        <w:t>Nephrogenic</w:t>
      </w:r>
      <w:proofErr w:type="spellEnd"/>
      <w:r>
        <w:t xml:space="preserve"> systemic fibrosis</w:t>
      </w:r>
    </w:p>
    <w:p w:rsidR="00423561" w:rsidRPr="002C1258" w:rsidRDefault="00423561" w:rsidP="00954D50">
      <w:r>
        <w:t xml:space="preserve">There have been 11 cases of NSF known to the sponsor during the reporting period, four of which are considered by the sponsor to be causally related to GAD. At FDA request, the sponsor joined the GRIP study which started in 2008 and is still ongoing. The GRIP study is a prospective study of all </w:t>
      </w:r>
      <w:proofErr w:type="spellStart"/>
      <w:r>
        <w:t>Gd</w:t>
      </w:r>
      <w:proofErr w:type="spellEnd"/>
      <w:r>
        <w:t>-containing contrast agents with the objective of monitoring NSF rates for up to 24 months post-dose.  A total of 928 GAD patients have been recruited but no cases of NSF have been reported at the April 2013 cut-</w:t>
      </w:r>
      <w:r w:rsidRPr="002C1258">
        <w:t xml:space="preserve">off (Table </w:t>
      </w:r>
      <w:r w:rsidR="002C1258" w:rsidRPr="002C1258">
        <w:t>6</w:t>
      </w:r>
      <w:r w:rsidR="00EF17C2">
        <w:t>0</w:t>
      </w:r>
      <w:r w:rsidRPr="002C1258">
        <w:t>).</w:t>
      </w:r>
    </w:p>
    <w:p w:rsidR="00A06571" w:rsidRDefault="00A06571" w:rsidP="00954D50">
      <w:pPr>
        <w:pStyle w:val="Tabletitle"/>
      </w:pPr>
      <w:bookmarkStart w:id="390" w:name="_Ref393278778"/>
      <w:bookmarkStart w:id="391" w:name="_Toc393351428"/>
      <w:r>
        <w:t xml:space="preserve">Table </w:t>
      </w:r>
      <w:r w:rsidR="002C1258">
        <w:t>6</w:t>
      </w:r>
      <w:r w:rsidR="00EF17C2">
        <w:t>0</w:t>
      </w:r>
      <w:r w:rsidR="002C1258">
        <w:t xml:space="preserve">: </w:t>
      </w:r>
      <w:r>
        <w:t>PMS data</w:t>
      </w:r>
      <w:bookmarkEnd w:id="390"/>
      <w:bookmarkEnd w:id="391"/>
      <w:r w:rsidR="002C1258">
        <w:t xml:space="preserve"> Study status by patient cohort s and by follow-up visits completed</w:t>
      </w:r>
    </w:p>
    <w:p w:rsidR="00A06571" w:rsidRDefault="00A06571" w:rsidP="00A06571">
      <w:pPr>
        <w:rPr>
          <w:b/>
        </w:rPr>
      </w:pPr>
      <w:r w:rsidRPr="00D46FEC">
        <w:rPr>
          <w:b/>
          <w:noProof/>
          <w:lang w:eastAsia="en-AU"/>
        </w:rPr>
        <w:drawing>
          <wp:inline distT="0" distB="0" distL="0" distR="0" wp14:anchorId="35A36D2F" wp14:editId="59A07D3D">
            <wp:extent cx="4402951" cy="1196851"/>
            <wp:effectExtent l="0" t="0" r="0" b="0"/>
            <wp:docPr id="150" name="Picture 150" descr="Table 60: PMS data Study status by patient cohort s and by follow-up visit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a:lum bright="-20000" contrast="40000"/>
                      <a:extLst>
                        <a:ext uri="{28A0092B-C50C-407E-A947-70E740481C1C}">
                          <a14:useLocalDpi xmlns:a14="http://schemas.microsoft.com/office/drawing/2010/main" val="0"/>
                        </a:ext>
                      </a:extLst>
                    </a:blip>
                    <a:srcRect l="2681" t="19321" b="7552"/>
                    <a:stretch/>
                  </pic:blipFill>
                  <pic:spPr bwMode="auto">
                    <a:xfrm>
                      <a:off x="0" y="0"/>
                      <a:ext cx="4409537" cy="1198641"/>
                    </a:xfrm>
                    <a:prstGeom prst="rect">
                      <a:avLst/>
                    </a:prstGeom>
                    <a:noFill/>
                    <a:ln>
                      <a:noFill/>
                    </a:ln>
                    <a:extLst>
                      <a:ext uri="{53640926-AAD7-44D8-BBD7-CCE9431645EC}">
                        <a14:shadowObscured xmlns:a14="http://schemas.microsoft.com/office/drawing/2010/main"/>
                      </a:ext>
                    </a:extLst>
                  </pic:spPr>
                </pic:pic>
              </a:graphicData>
            </a:graphic>
          </wp:inline>
        </w:drawing>
      </w:r>
    </w:p>
    <w:p w:rsidR="004A7617" w:rsidRDefault="00423561" w:rsidP="00954D50">
      <w:pPr>
        <w:pStyle w:val="Heading4"/>
      </w:pPr>
      <w:r>
        <w:t>Literature review</w:t>
      </w:r>
    </w:p>
    <w:p w:rsidR="00423561" w:rsidRDefault="00423561" w:rsidP="00954D50">
      <w:pPr>
        <w:rPr>
          <w:noProof/>
          <w:kern w:val="16"/>
          <w:szCs w:val="24"/>
        </w:rPr>
      </w:pPr>
      <w:r>
        <w:t>The literature review of the use of GAD, MAG and DOT in body areas and organs offered little additional safety information. Overall, adverse events in articles which met the review criteria were under-reported, selectively reported or not reported at all. These sparse data cannot be usefully evaluated. However, t</w:t>
      </w:r>
      <w:r>
        <w:rPr>
          <w:noProof/>
        </w:rPr>
        <w:t>he prevalence of acute ADRs related to GAD in 14,299 participants of studies conducted by the sponsor was published in 2010 (Ref 1).  A total of 128 ADRs were reported in 78 (0.55%) patients and no individual ADR reached a frequency of 1%. The most ADRs were nausea (0.25%), vomiting (0.05%) and urticaria (0.04%). Feelings of warmth, tachycardia, and wheals were each reported in 0.03% of patients; dizziness, itching, vasodilatation, and itchy throat were each reported in 0.02% of patients; and cough, dyspnoea, flushing, hives, generalised itching, oral dryness, facial redness, sensation of heat, skin disorders, and aggravated nausea were each reported in 0.01% of patients. The frequency and pattern of ADRs was compatible with data in the PI.</w:t>
      </w:r>
    </w:p>
    <w:p w:rsidR="00423561" w:rsidRDefault="00423561" w:rsidP="00954D50">
      <w:pPr>
        <w:pStyle w:val="Heading3"/>
      </w:pPr>
      <w:bookmarkStart w:id="392" w:name="_Toc272414680"/>
      <w:bookmarkStart w:id="393" w:name="_Ref272333005"/>
      <w:bookmarkStart w:id="394" w:name="_Toc393351247"/>
      <w:bookmarkStart w:id="395" w:name="_Toc290846318"/>
      <w:bookmarkStart w:id="396" w:name="_Toc423352728"/>
      <w:r>
        <w:t>Safety issues with the potential for major regulatory imp</w:t>
      </w:r>
      <w:bookmarkEnd w:id="392"/>
      <w:bookmarkEnd w:id="393"/>
      <w:r>
        <w:t>act</w:t>
      </w:r>
      <w:bookmarkEnd w:id="394"/>
      <w:bookmarkEnd w:id="395"/>
      <w:bookmarkEnd w:id="396"/>
    </w:p>
    <w:p w:rsidR="00423561" w:rsidRDefault="00423561" w:rsidP="00954D50">
      <w:pPr>
        <w:pStyle w:val="Heading4"/>
      </w:pPr>
      <w:bookmarkStart w:id="397" w:name="_Toc393351248"/>
      <w:bookmarkStart w:id="398" w:name="_Toc290846319"/>
      <w:bookmarkStart w:id="399" w:name="_Toc272414681"/>
      <w:r>
        <w:t>Liver toxicity</w:t>
      </w:r>
      <w:bookmarkEnd w:id="397"/>
      <w:bookmarkEnd w:id="398"/>
      <w:bookmarkEnd w:id="399"/>
    </w:p>
    <w:p w:rsidR="00423561" w:rsidRDefault="00423561" w:rsidP="00954D50">
      <w:r>
        <w:t>No issues identified.</w:t>
      </w:r>
    </w:p>
    <w:p w:rsidR="00423561" w:rsidRDefault="00423561" w:rsidP="00954D50">
      <w:pPr>
        <w:pStyle w:val="Heading4"/>
        <w:rPr>
          <w:kern w:val="16"/>
          <w:szCs w:val="20"/>
        </w:rPr>
      </w:pPr>
      <w:bookmarkStart w:id="400" w:name="_Toc393351249"/>
      <w:bookmarkStart w:id="401" w:name="_Toc290846320"/>
      <w:bookmarkStart w:id="402" w:name="_Toc272414682"/>
      <w:r>
        <w:t>Haematological toxicity</w:t>
      </w:r>
      <w:bookmarkEnd w:id="400"/>
      <w:bookmarkEnd w:id="401"/>
      <w:bookmarkEnd w:id="402"/>
    </w:p>
    <w:p w:rsidR="00423561" w:rsidRDefault="00423561" w:rsidP="00954D50">
      <w:r>
        <w:t>No issues identified.</w:t>
      </w:r>
    </w:p>
    <w:p w:rsidR="00423561" w:rsidRDefault="00423561" w:rsidP="00954D50">
      <w:pPr>
        <w:pStyle w:val="Heading4"/>
        <w:rPr>
          <w:kern w:val="16"/>
          <w:szCs w:val="20"/>
        </w:rPr>
      </w:pPr>
      <w:bookmarkStart w:id="403" w:name="_Toc393351250"/>
      <w:bookmarkStart w:id="404" w:name="_Toc290846321"/>
      <w:bookmarkStart w:id="405" w:name="_Toc272414683"/>
      <w:r>
        <w:t>Serious skin reactions</w:t>
      </w:r>
      <w:bookmarkEnd w:id="403"/>
      <w:bookmarkEnd w:id="404"/>
      <w:bookmarkEnd w:id="405"/>
    </w:p>
    <w:p w:rsidR="00423561" w:rsidRDefault="00CB45EF" w:rsidP="00954D50">
      <w:r>
        <w:t>No new issues identified.</w:t>
      </w:r>
    </w:p>
    <w:p w:rsidR="00423561" w:rsidRDefault="00423561" w:rsidP="00954D50">
      <w:pPr>
        <w:pStyle w:val="Heading4"/>
        <w:rPr>
          <w:kern w:val="16"/>
          <w:szCs w:val="20"/>
        </w:rPr>
      </w:pPr>
      <w:bookmarkStart w:id="406" w:name="_Toc393351251"/>
      <w:bookmarkStart w:id="407" w:name="_Toc290846322"/>
      <w:bookmarkStart w:id="408" w:name="_Toc272414684"/>
      <w:r>
        <w:t>Cardiovascular safety</w:t>
      </w:r>
      <w:bookmarkEnd w:id="406"/>
      <w:bookmarkEnd w:id="407"/>
      <w:bookmarkEnd w:id="408"/>
    </w:p>
    <w:p w:rsidR="00423561" w:rsidRDefault="00CB45EF" w:rsidP="00954D50">
      <w:r>
        <w:t>No issues identified.</w:t>
      </w:r>
    </w:p>
    <w:p w:rsidR="00423561" w:rsidRDefault="00423561" w:rsidP="00954D50">
      <w:pPr>
        <w:pStyle w:val="Heading4"/>
        <w:rPr>
          <w:kern w:val="16"/>
          <w:szCs w:val="20"/>
        </w:rPr>
      </w:pPr>
      <w:bookmarkStart w:id="409" w:name="_Toc393351252"/>
      <w:bookmarkStart w:id="410" w:name="_Toc290846323"/>
      <w:bookmarkStart w:id="411" w:name="_Toc272414685"/>
      <w:bookmarkStart w:id="412" w:name="_Toc241374323"/>
      <w:r>
        <w:lastRenderedPageBreak/>
        <w:t>Unwanted immunological events</w:t>
      </w:r>
      <w:bookmarkEnd w:id="409"/>
      <w:bookmarkEnd w:id="410"/>
      <w:bookmarkEnd w:id="411"/>
      <w:bookmarkEnd w:id="412"/>
    </w:p>
    <w:p w:rsidR="00423561" w:rsidRDefault="00423561" w:rsidP="00954D50">
      <w:r>
        <w:t>No new issues identified. There is a small but significant risk of hypersensitivity reactions including anaphylaxis and death.</w:t>
      </w:r>
    </w:p>
    <w:p w:rsidR="00423561" w:rsidRDefault="00423561" w:rsidP="00954D50">
      <w:pPr>
        <w:pStyle w:val="Heading3"/>
        <w:rPr>
          <w:kern w:val="16"/>
          <w:szCs w:val="20"/>
        </w:rPr>
      </w:pPr>
      <w:bookmarkStart w:id="413" w:name="_Toc393351253"/>
      <w:bookmarkStart w:id="414" w:name="_Toc290846324"/>
      <w:bookmarkStart w:id="415" w:name="_Ref273005527"/>
      <w:bookmarkStart w:id="416" w:name="_Toc272414686"/>
      <w:bookmarkStart w:id="417" w:name="_Toc423352729"/>
      <w:r>
        <w:t>Other safety issues</w:t>
      </w:r>
      <w:bookmarkEnd w:id="413"/>
      <w:bookmarkEnd w:id="414"/>
      <w:bookmarkEnd w:id="415"/>
      <w:bookmarkEnd w:id="416"/>
      <w:bookmarkEnd w:id="417"/>
    </w:p>
    <w:p w:rsidR="00423561" w:rsidRDefault="00423561" w:rsidP="00954D50">
      <w:pPr>
        <w:pStyle w:val="Heading4"/>
      </w:pPr>
      <w:bookmarkStart w:id="418" w:name="_Toc393351254"/>
      <w:bookmarkStart w:id="419" w:name="_Toc290846325"/>
      <w:bookmarkStart w:id="420" w:name="_Toc272414687"/>
      <w:bookmarkStart w:id="421" w:name="_Ref272331212"/>
      <w:bookmarkStart w:id="422" w:name="_Toc241374322"/>
      <w:r>
        <w:t>Safety in special populations</w:t>
      </w:r>
      <w:bookmarkEnd w:id="418"/>
      <w:bookmarkEnd w:id="419"/>
      <w:bookmarkEnd w:id="420"/>
      <w:bookmarkEnd w:id="421"/>
      <w:bookmarkEnd w:id="422"/>
    </w:p>
    <w:p w:rsidR="00423561" w:rsidRDefault="00423561" w:rsidP="00954D50">
      <w:r>
        <w:t>13297</w:t>
      </w:r>
      <w:r w:rsidR="004A7617">
        <w:t>:</w:t>
      </w:r>
      <w:r>
        <w:t xml:space="preserve"> AEs were more frequent in Asian males (4.8%) than Asian females (3.2%). There were no age related differences in AEs.</w:t>
      </w:r>
    </w:p>
    <w:p w:rsidR="00423561" w:rsidRDefault="00423561" w:rsidP="00954D50">
      <w:pPr>
        <w:pStyle w:val="Heading4"/>
        <w:rPr>
          <w:kern w:val="16"/>
          <w:szCs w:val="20"/>
        </w:rPr>
      </w:pPr>
      <w:bookmarkStart w:id="423" w:name="_Toc393351255"/>
      <w:bookmarkStart w:id="424" w:name="_Toc290846326"/>
      <w:bookmarkStart w:id="425" w:name="_Toc272414688"/>
      <w:bookmarkStart w:id="426" w:name="_Ref272331214"/>
      <w:bookmarkStart w:id="427" w:name="_Toc241374324"/>
      <w:r>
        <w:t>Safety related to drug-drug interactions and other interactions</w:t>
      </w:r>
      <w:bookmarkEnd w:id="423"/>
      <w:bookmarkEnd w:id="424"/>
      <w:bookmarkEnd w:id="425"/>
      <w:bookmarkEnd w:id="426"/>
      <w:bookmarkEnd w:id="427"/>
    </w:p>
    <w:p w:rsidR="00423561" w:rsidRDefault="00423561" w:rsidP="00423561">
      <w:r>
        <w:t>Not applicable.</w:t>
      </w:r>
    </w:p>
    <w:p w:rsidR="00423561" w:rsidRDefault="00423561" w:rsidP="00954D50">
      <w:pPr>
        <w:pStyle w:val="Heading3"/>
        <w:rPr>
          <w:kern w:val="16"/>
          <w:szCs w:val="20"/>
        </w:rPr>
      </w:pPr>
      <w:bookmarkStart w:id="428" w:name="_Toc393351256"/>
      <w:bookmarkStart w:id="429" w:name="_Toc290846329"/>
      <w:bookmarkStart w:id="430" w:name="_Toc272414691"/>
      <w:bookmarkStart w:id="431" w:name="_Toc241374328"/>
      <w:bookmarkStart w:id="432" w:name="_Toc423352730"/>
      <w:r>
        <w:t>Evaluator’s overall conclusions on clinical safety</w:t>
      </w:r>
      <w:bookmarkEnd w:id="428"/>
      <w:bookmarkEnd w:id="429"/>
      <w:bookmarkEnd w:id="430"/>
      <w:bookmarkEnd w:id="431"/>
      <w:bookmarkEnd w:id="432"/>
    </w:p>
    <w:p w:rsidR="00423561" w:rsidRDefault="00423561" w:rsidP="00367950">
      <w:r>
        <w:t xml:space="preserve">Clinical trial and updated PMS data have identified no new safety concerns for </w:t>
      </w:r>
      <w:proofErr w:type="spellStart"/>
      <w:r>
        <w:t>Gadovist</w:t>
      </w:r>
      <w:proofErr w:type="spellEnd"/>
      <w:r>
        <w:t>®. The frequencies of the known adverse events (mostly minor) have changed only marginally. Most individual ADRs remain uncommon, reported in ≤0.5% of patients. The safety section of the approved PI has been updated to reflect these changes but the overall safety profile remains unchanged and consistent with other gadolinium</w:t>
      </w:r>
      <w:r w:rsidR="00CB45EF">
        <w:t>-containing contrast agents.</w:t>
      </w:r>
    </w:p>
    <w:p w:rsidR="00C22678" w:rsidRDefault="00C22678" w:rsidP="00367950">
      <w:pPr>
        <w:pStyle w:val="Heading2"/>
      </w:pPr>
      <w:bookmarkStart w:id="433" w:name="_Toc423352731"/>
      <w:r>
        <w:t>First round benefit-risk assessment</w:t>
      </w:r>
      <w:bookmarkEnd w:id="433"/>
    </w:p>
    <w:p w:rsidR="00423561" w:rsidRDefault="00423561" w:rsidP="00367950">
      <w:pPr>
        <w:pStyle w:val="Heading3"/>
        <w:rPr>
          <w:kern w:val="16"/>
          <w:szCs w:val="20"/>
        </w:rPr>
      </w:pPr>
      <w:bookmarkStart w:id="434" w:name="_Toc393351258"/>
      <w:bookmarkStart w:id="435" w:name="_Toc290846331"/>
      <w:bookmarkStart w:id="436" w:name="_Toc272414693"/>
      <w:bookmarkStart w:id="437" w:name="_Ref272160836"/>
      <w:bookmarkStart w:id="438" w:name="_Toc241374331"/>
      <w:bookmarkStart w:id="439" w:name="_Toc236802592"/>
      <w:bookmarkStart w:id="440" w:name="_Toc423352732"/>
      <w:r>
        <w:t>First round assessment of benefits</w:t>
      </w:r>
      <w:bookmarkEnd w:id="434"/>
      <w:bookmarkEnd w:id="435"/>
      <w:bookmarkEnd w:id="436"/>
      <w:bookmarkEnd w:id="437"/>
      <w:bookmarkEnd w:id="438"/>
      <w:bookmarkEnd w:id="439"/>
      <w:bookmarkEnd w:id="440"/>
    </w:p>
    <w:p w:rsidR="00423561" w:rsidRDefault="00423561" w:rsidP="00367950">
      <w:r>
        <w:t xml:space="preserve">The benefits of </w:t>
      </w:r>
      <w:proofErr w:type="spellStart"/>
      <w:r>
        <w:t>Gadovist</w:t>
      </w:r>
      <w:proofErr w:type="spellEnd"/>
      <w:r>
        <w:t>® in the proposed usage are:</w:t>
      </w:r>
    </w:p>
    <w:p w:rsidR="00423561" w:rsidRDefault="00423561" w:rsidP="00367950">
      <w:pPr>
        <w:pStyle w:val="ListBullet"/>
      </w:pPr>
      <w:r>
        <w:t>Improved imaging performance compared with unenhanced MRI for whole body imaging, in particular for the detection and assessment of malignancies.</w:t>
      </w:r>
    </w:p>
    <w:p w:rsidR="00423561" w:rsidRDefault="00423561" w:rsidP="00367950">
      <w:pPr>
        <w:pStyle w:val="ListBullet"/>
      </w:pPr>
      <w:r>
        <w:t>High accuracy in the diagnosis and assessment of cardiac pathology, in part</w:t>
      </w:r>
      <w:r w:rsidR="00CB45EF">
        <w:t>icular coronary artery disease.</w:t>
      </w:r>
    </w:p>
    <w:p w:rsidR="00423561" w:rsidRDefault="00423561" w:rsidP="00367950">
      <w:pPr>
        <w:pStyle w:val="ListBullet"/>
      </w:pPr>
      <w:r>
        <w:t>Predictable diagnostic accuracy comparable with other gadolinium-based contrast agents in the class.</w:t>
      </w:r>
    </w:p>
    <w:p w:rsidR="00423561" w:rsidRDefault="00423561" w:rsidP="00367950">
      <w:pPr>
        <w:pStyle w:val="Heading3"/>
        <w:rPr>
          <w:kern w:val="16"/>
          <w:szCs w:val="20"/>
        </w:rPr>
      </w:pPr>
      <w:bookmarkStart w:id="441" w:name="_Toc393351259"/>
      <w:bookmarkStart w:id="442" w:name="_Toc290846332"/>
      <w:bookmarkStart w:id="443" w:name="_Toc272414694"/>
      <w:bookmarkStart w:id="444" w:name="_Ref272160964"/>
      <w:bookmarkStart w:id="445" w:name="_Toc241374334"/>
      <w:bookmarkStart w:id="446" w:name="_Toc236802596"/>
      <w:bookmarkStart w:id="447" w:name="_Toc423352733"/>
      <w:r>
        <w:t>First round assessment of risks</w:t>
      </w:r>
      <w:bookmarkEnd w:id="441"/>
      <w:bookmarkEnd w:id="442"/>
      <w:bookmarkEnd w:id="443"/>
      <w:bookmarkEnd w:id="444"/>
      <w:bookmarkEnd w:id="445"/>
      <w:bookmarkEnd w:id="446"/>
      <w:bookmarkEnd w:id="447"/>
    </w:p>
    <w:p w:rsidR="00423561" w:rsidRDefault="00423561" w:rsidP="00367950">
      <w:r>
        <w:t xml:space="preserve">The risks of </w:t>
      </w:r>
      <w:proofErr w:type="spellStart"/>
      <w:r>
        <w:t>Gadovist</w:t>
      </w:r>
      <w:proofErr w:type="spellEnd"/>
      <w:r>
        <w:t>® in the proposed usage are:</w:t>
      </w:r>
    </w:p>
    <w:p w:rsidR="00423561" w:rsidRDefault="00423561" w:rsidP="00367950">
      <w:pPr>
        <w:pStyle w:val="ListBullet"/>
      </w:pPr>
      <w:r>
        <w:t>Hypersensitivity reactions, mostly mild but potentially causing death.</w:t>
      </w:r>
    </w:p>
    <w:p w:rsidR="00423561" w:rsidRDefault="00423561" w:rsidP="00367950">
      <w:pPr>
        <w:pStyle w:val="ListBullet"/>
      </w:pPr>
      <w:r>
        <w:t xml:space="preserve">Rare cases of </w:t>
      </w:r>
      <w:proofErr w:type="spellStart"/>
      <w:r>
        <w:t>nephrogenic</w:t>
      </w:r>
      <w:proofErr w:type="spellEnd"/>
      <w:r>
        <w:t xml:space="preserve"> systemic fibrosis.</w:t>
      </w:r>
    </w:p>
    <w:p w:rsidR="00423561" w:rsidRDefault="00423561" w:rsidP="00367950">
      <w:pPr>
        <w:pStyle w:val="Heading3"/>
        <w:rPr>
          <w:kern w:val="16"/>
          <w:szCs w:val="20"/>
        </w:rPr>
      </w:pPr>
      <w:bookmarkStart w:id="448" w:name="_Toc393351260"/>
      <w:bookmarkStart w:id="449" w:name="_Toc290846333"/>
      <w:bookmarkStart w:id="450" w:name="_Toc272414695"/>
      <w:bookmarkStart w:id="451" w:name="_Toc241374335"/>
      <w:bookmarkStart w:id="452" w:name="_Toc236802597"/>
      <w:bookmarkStart w:id="453" w:name="_Toc423352734"/>
      <w:r>
        <w:t>First round assessment of benefit-risk balance</w:t>
      </w:r>
      <w:bookmarkEnd w:id="448"/>
      <w:bookmarkEnd w:id="449"/>
      <w:bookmarkEnd w:id="450"/>
      <w:bookmarkEnd w:id="451"/>
      <w:bookmarkEnd w:id="452"/>
      <w:bookmarkEnd w:id="453"/>
    </w:p>
    <w:p w:rsidR="00423561" w:rsidRDefault="00423561" w:rsidP="00367950">
      <w:r>
        <w:t xml:space="preserve">CE-MRI is a gold standard whole body imaging technique with particular value in the detection, staging and follow-up of malignancies. It is an important tool in the investigation of breast cancers when used in combination with XRM. It is also very accurate in the assessment of cardiac conditions including coronary artery disease. With approval of the new indications, the benefits of GAD will match those of other agents in the class including MAG and DOT. The risk profile remains favourable, although the frequency of ADRs will increase numerically with wider use. The benefit-risk balance of </w:t>
      </w:r>
      <w:proofErr w:type="spellStart"/>
      <w:r>
        <w:t>Gadovist</w:t>
      </w:r>
      <w:proofErr w:type="spellEnd"/>
      <w:r>
        <w:t>®, given the proposed usage, is unchanged and favourable.</w:t>
      </w:r>
    </w:p>
    <w:p w:rsidR="00C22678" w:rsidRDefault="00C22678" w:rsidP="00367950">
      <w:pPr>
        <w:pStyle w:val="Heading3"/>
      </w:pPr>
      <w:bookmarkStart w:id="454" w:name="_Toc423352735"/>
      <w:r>
        <w:lastRenderedPageBreak/>
        <w:t>First round recommendation regarding authorisation</w:t>
      </w:r>
      <w:bookmarkEnd w:id="454"/>
    </w:p>
    <w:p w:rsidR="00423561" w:rsidRDefault="00423561" w:rsidP="00367950">
      <w:r>
        <w:t xml:space="preserve">Authorisation of </w:t>
      </w:r>
      <w:proofErr w:type="spellStart"/>
      <w:r>
        <w:t>Gadovist</w:t>
      </w:r>
      <w:proofErr w:type="spellEnd"/>
      <w:r>
        <w:t>® is recommended for the additional indications of:</w:t>
      </w:r>
    </w:p>
    <w:p w:rsidR="00423561" w:rsidRPr="0028713E" w:rsidRDefault="00423561" w:rsidP="00367950">
      <w:pPr>
        <w:pStyle w:val="ListBullet"/>
      </w:pPr>
      <w:r w:rsidRPr="0028713E">
        <w:t>Contrast enhancement in whole body MRI including head and neck region, thoracic space, breast, abdomen (pancreas, liver and spleen), pelvis (prostate, bladder and uterus), retroperitoneal space (kidney), extremities and musculoskeletal system.</w:t>
      </w:r>
    </w:p>
    <w:p w:rsidR="00423561" w:rsidRPr="0028713E" w:rsidRDefault="00423561" w:rsidP="00367950">
      <w:pPr>
        <w:pStyle w:val="ListBullet"/>
      </w:pPr>
      <w:r w:rsidRPr="0028713E">
        <w:t>Contrast enhancement in cardiac MRI including assessment of rest and pharmacological stress perfusion and delayed enhancement.</w:t>
      </w:r>
    </w:p>
    <w:p w:rsidR="00C22678" w:rsidRDefault="00C22678" w:rsidP="00367950">
      <w:pPr>
        <w:pStyle w:val="Heading2"/>
      </w:pPr>
      <w:bookmarkStart w:id="455" w:name="_Toc423352736"/>
      <w:r>
        <w:t>Clinical questions</w:t>
      </w:r>
      <w:bookmarkEnd w:id="455"/>
    </w:p>
    <w:p w:rsidR="00C618F7" w:rsidRPr="00586F98" w:rsidRDefault="00423561" w:rsidP="00367950">
      <w:pPr>
        <w:rPr>
          <w:lang w:eastAsia="ja-JP"/>
        </w:rPr>
      </w:pPr>
      <w:r>
        <w:rPr>
          <w:lang w:eastAsia="ja-JP"/>
        </w:rPr>
        <w:t xml:space="preserve">No questions </w:t>
      </w:r>
      <w:r w:rsidR="00F27F0D">
        <w:rPr>
          <w:lang w:eastAsia="ja-JP"/>
        </w:rPr>
        <w:t xml:space="preserve">were </w:t>
      </w:r>
      <w:r>
        <w:rPr>
          <w:lang w:eastAsia="ja-JP"/>
        </w:rPr>
        <w:t>raised.</w:t>
      </w:r>
    </w:p>
    <w:p w:rsidR="00C618F7" w:rsidRDefault="00C618F7" w:rsidP="006E7FD5">
      <w:pPr>
        <w:pStyle w:val="Heading2"/>
      </w:pPr>
      <w:bookmarkStart w:id="456" w:name="_Toc423352737"/>
      <w:r>
        <w:t>Second round evaluation of clinical data submitted in response to questions</w:t>
      </w:r>
      <w:bookmarkEnd w:id="456"/>
    </w:p>
    <w:p w:rsidR="00C618F7" w:rsidRPr="00586F98" w:rsidRDefault="00423561" w:rsidP="006E7FD5">
      <w:pPr>
        <w:rPr>
          <w:lang w:eastAsia="ja-JP"/>
        </w:rPr>
      </w:pPr>
      <w:r>
        <w:rPr>
          <w:lang w:eastAsia="ja-JP"/>
        </w:rPr>
        <w:t>No second round evaluation was required.</w:t>
      </w:r>
    </w:p>
    <w:p w:rsidR="00C618F7" w:rsidRDefault="00C618F7" w:rsidP="006E7FD5">
      <w:pPr>
        <w:pStyle w:val="Heading2"/>
      </w:pPr>
      <w:bookmarkStart w:id="457" w:name="_Toc423352738"/>
      <w:r>
        <w:t>References</w:t>
      </w:r>
      <w:bookmarkEnd w:id="457"/>
    </w:p>
    <w:bookmarkEnd w:id="1"/>
    <w:bookmarkEnd w:id="0"/>
    <w:bookmarkEnd w:id="2"/>
    <w:p w:rsidR="00423561" w:rsidRDefault="00423561" w:rsidP="006E7FD5">
      <w:pPr>
        <w:rPr>
          <w:kern w:val="16"/>
          <w:szCs w:val="24"/>
        </w:rPr>
      </w:pPr>
      <w:r>
        <w:t>Abdel-</w:t>
      </w:r>
      <w:proofErr w:type="spellStart"/>
      <w:r>
        <w:t>Aty</w:t>
      </w:r>
      <w:proofErr w:type="spellEnd"/>
      <w:r>
        <w:t xml:space="preserve"> H, et al. Delayed enhancement and T2-weighted cardiovascular magnetic resonance imaging differentiate acute from chronic myocardial infarction. Circulation 2004</w:t>
      </w:r>
      <w:proofErr w:type="gramStart"/>
      <w:r>
        <w:t>;109</w:t>
      </w:r>
      <w:proofErr w:type="gramEnd"/>
      <w:r>
        <w:t>(2):2411-2416</w:t>
      </w:r>
    </w:p>
    <w:p w:rsidR="00423561" w:rsidRDefault="00423561" w:rsidP="006E7FD5">
      <w:proofErr w:type="spellStart"/>
      <w:r>
        <w:t>Ajaj</w:t>
      </w:r>
      <w:proofErr w:type="spellEnd"/>
      <w:r>
        <w:t xml:space="preserve"> W, et al. Strengths and weaknesses of dark-lumen MR </w:t>
      </w:r>
      <w:proofErr w:type="spellStart"/>
      <w:proofErr w:type="gramStart"/>
      <w:r>
        <w:t>colonography</w:t>
      </w:r>
      <w:proofErr w:type="spellEnd"/>
      <w:proofErr w:type="gramEnd"/>
      <w:r>
        <w:t xml:space="preserve"> in patients with incomplete conventional colonoscopy.  Radiology 2005</w:t>
      </w:r>
      <w:proofErr w:type="gramStart"/>
      <w:r>
        <w:t>;234</w:t>
      </w:r>
      <w:proofErr w:type="gramEnd"/>
      <w:r>
        <w:t>(2):452-459</w:t>
      </w:r>
    </w:p>
    <w:p w:rsidR="00423561" w:rsidRDefault="00423561" w:rsidP="006E7FD5">
      <w:r>
        <w:t xml:space="preserve">Averill LW, et al. Diagnosis of osteomyelitis in children: utility of fat-suppressed contrast-enhanced MRI. Am J </w:t>
      </w:r>
      <w:proofErr w:type="spellStart"/>
      <w:r>
        <w:t>Roentgenol</w:t>
      </w:r>
      <w:proofErr w:type="spellEnd"/>
      <w:r>
        <w:t xml:space="preserve"> 2009</w:t>
      </w:r>
      <w:proofErr w:type="gramStart"/>
      <w:r>
        <w:t>;192</w:t>
      </w:r>
      <w:proofErr w:type="gramEnd"/>
      <w:r>
        <w:t>(5):1232-1238</w:t>
      </w:r>
    </w:p>
    <w:p w:rsidR="00423561" w:rsidRDefault="00423561" w:rsidP="006E7FD5">
      <w:proofErr w:type="spellStart"/>
      <w:r>
        <w:t>Balci</w:t>
      </w:r>
      <w:proofErr w:type="spellEnd"/>
      <w:r>
        <w:t xml:space="preserve"> NC, et al. Serial contrast-enhanced MRI of the pancreas: correlation with secretin-stimulated endoscopic pancreatic function test. </w:t>
      </w:r>
      <w:proofErr w:type="spellStart"/>
      <w:r>
        <w:t>Acta</w:t>
      </w:r>
      <w:proofErr w:type="spellEnd"/>
      <w:r>
        <w:t xml:space="preserve"> </w:t>
      </w:r>
      <w:proofErr w:type="spellStart"/>
      <w:r>
        <w:t>Radiol</w:t>
      </w:r>
      <w:proofErr w:type="spellEnd"/>
      <w:r>
        <w:t xml:space="preserve"> 2006</w:t>
      </w:r>
      <w:proofErr w:type="gramStart"/>
      <w:r>
        <w:t>;13</w:t>
      </w:r>
      <w:proofErr w:type="gramEnd"/>
      <w:r>
        <w:t>(11):1367-1372</w:t>
      </w:r>
    </w:p>
    <w:p w:rsidR="00423561" w:rsidRDefault="00423561" w:rsidP="006E7FD5">
      <w:r>
        <w:t xml:space="preserve">Bali MA, et al. </w:t>
      </w:r>
      <w:proofErr w:type="spellStart"/>
      <w:r>
        <w:t>Tumoral</w:t>
      </w:r>
      <w:proofErr w:type="spellEnd"/>
      <w:r>
        <w:t xml:space="preserve"> and </w:t>
      </w:r>
      <w:proofErr w:type="spellStart"/>
      <w:r>
        <w:t>nontumoral</w:t>
      </w:r>
      <w:proofErr w:type="spellEnd"/>
      <w:r>
        <w:t xml:space="preserve"> pancreas: Correlation between quantitative dynamic contrast-enhanced MR imaging and </w:t>
      </w:r>
      <w:proofErr w:type="spellStart"/>
      <w:r>
        <w:t>histopathologic</w:t>
      </w:r>
      <w:proofErr w:type="spellEnd"/>
      <w:r>
        <w:t xml:space="preserve"> parameters. Radiology 2011</w:t>
      </w:r>
      <w:proofErr w:type="gramStart"/>
      <w:r>
        <w:t>;261</w:t>
      </w:r>
      <w:proofErr w:type="gramEnd"/>
      <w:r>
        <w:t>(2):456-466</w:t>
      </w:r>
    </w:p>
    <w:p w:rsidR="00423561" w:rsidRDefault="00423561" w:rsidP="006E7FD5">
      <w:proofErr w:type="spellStart"/>
      <w:r>
        <w:t>Baltzer</w:t>
      </w:r>
      <w:proofErr w:type="spellEnd"/>
      <w:r>
        <w:t xml:space="preserve"> PAT, et al. Value of ductal obstruction sign in the differentiation of benign and malignant breast lesions at MR imaging. </w:t>
      </w:r>
      <w:proofErr w:type="spellStart"/>
      <w:r>
        <w:t>Eur</w:t>
      </w:r>
      <w:proofErr w:type="spellEnd"/>
      <w:r>
        <w:t xml:space="preserve"> J </w:t>
      </w:r>
      <w:proofErr w:type="spellStart"/>
      <w:r>
        <w:t>Radiol</w:t>
      </w:r>
      <w:proofErr w:type="spellEnd"/>
      <w:r>
        <w:t xml:space="preserve"> 2010</w:t>
      </w:r>
      <w:proofErr w:type="gramStart"/>
      <w:r>
        <w:t>;75</w:t>
      </w:r>
      <w:proofErr w:type="gramEnd"/>
      <w:r>
        <w:t xml:space="preserve">(2):e18-e21 </w:t>
      </w:r>
    </w:p>
    <w:p w:rsidR="00423561" w:rsidRDefault="00423561" w:rsidP="006E7FD5">
      <w:proofErr w:type="spellStart"/>
      <w:r>
        <w:t>Bazot</w:t>
      </w:r>
      <w:proofErr w:type="spellEnd"/>
      <w:r>
        <w:t xml:space="preserve"> M, et al. Deep pelvic endometriosis: MR imaging for diagnosis and prediction of extension of disease. Radiology 2004</w:t>
      </w:r>
      <w:proofErr w:type="gramStart"/>
      <w:r>
        <w:t>;232</w:t>
      </w:r>
      <w:proofErr w:type="gramEnd"/>
      <w:r>
        <w:t>(2):379-384</w:t>
      </w:r>
    </w:p>
    <w:p w:rsidR="00423561" w:rsidRDefault="00423561" w:rsidP="006E7FD5">
      <w:proofErr w:type="spellStart"/>
      <w:r>
        <w:t>Bazot</w:t>
      </w:r>
      <w:proofErr w:type="spellEnd"/>
      <w:r>
        <w:t xml:space="preserve"> M, et al. Deep pelvic endometriosis: limited additional diagnostic value of </w:t>
      </w:r>
      <w:proofErr w:type="spellStart"/>
      <w:r>
        <w:t>postcontrast</w:t>
      </w:r>
      <w:proofErr w:type="spellEnd"/>
      <w:r>
        <w:t xml:space="preserve"> in comparison with conventional MR images. </w:t>
      </w:r>
      <w:proofErr w:type="spellStart"/>
      <w:r>
        <w:t>Eur</w:t>
      </w:r>
      <w:proofErr w:type="spellEnd"/>
      <w:r>
        <w:t xml:space="preserve"> J </w:t>
      </w:r>
      <w:proofErr w:type="spellStart"/>
      <w:r>
        <w:t>Radiol</w:t>
      </w:r>
      <w:proofErr w:type="spellEnd"/>
      <w:r>
        <w:t xml:space="preserve"> 2011</w:t>
      </w:r>
      <w:proofErr w:type="gramStart"/>
      <w:r>
        <w:t>;80</w:t>
      </w:r>
      <w:proofErr w:type="gramEnd"/>
      <w:r>
        <w:t>(3):e331-e339</w:t>
      </w:r>
    </w:p>
    <w:p w:rsidR="00423561" w:rsidRDefault="00423561" w:rsidP="006E7FD5">
      <w:r>
        <w:t xml:space="preserve">Bernhardt M, et al. Prediction of necessity for coronary artery revascularisation by adenosine contrast-enhanced magnetic resonance imaging. </w:t>
      </w:r>
      <w:proofErr w:type="spellStart"/>
      <w:r>
        <w:t>Int</w:t>
      </w:r>
      <w:proofErr w:type="spellEnd"/>
      <w:r>
        <w:t xml:space="preserve"> J </w:t>
      </w:r>
      <w:proofErr w:type="spellStart"/>
      <w:r>
        <w:t>Cardiol</w:t>
      </w:r>
      <w:proofErr w:type="spellEnd"/>
      <w:r>
        <w:t xml:space="preserve"> 2006</w:t>
      </w:r>
      <w:proofErr w:type="gramStart"/>
      <w:r>
        <w:t>;112</w:t>
      </w:r>
      <w:proofErr w:type="gramEnd"/>
      <w:r>
        <w:t>(2):184-190</w:t>
      </w:r>
    </w:p>
    <w:p w:rsidR="00423561" w:rsidRDefault="00423561" w:rsidP="006E7FD5">
      <w:r>
        <w:t xml:space="preserve">Bernhardt P, et al. </w:t>
      </w:r>
      <w:proofErr w:type="gramStart"/>
      <w:r>
        <w:t>Combined</w:t>
      </w:r>
      <w:proofErr w:type="gramEnd"/>
      <w:r>
        <w:t xml:space="preserve"> assessment of myocardial perfusion and late gadolinium enhancement in patients after percutaneous coronary intervention or bypass grafts: a multicentre study of an integrated cardiovascular magnetic resonance protocol. JACC </w:t>
      </w:r>
      <w:proofErr w:type="spellStart"/>
      <w:r>
        <w:t>Cardiovasc</w:t>
      </w:r>
      <w:proofErr w:type="spellEnd"/>
      <w:r>
        <w:t xml:space="preserve"> Imaging 2009</w:t>
      </w:r>
      <w:proofErr w:type="gramStart"/>
      <w:r>
        <w:t>;2</w:t>
      </w:r>
      <w:proofErr w:type="gramEnd"/>
      <w:r>
        <w:t>(11):1292-1300</w:t>
      </w:r>
    </w:p>
    <w:p w:rsidR="00423561" w:rsidRDefault="00423561" w:rsidP="006E7FD5">
      <w:r>
        <w:lastRenderedPageBreak/>
        <w:t xml:space="preserve">Calder JD, et al. </w:t>
      </w:r>
      <w:proofErr w:type="gramStart"/>
      <w:r>
        <w:t>The relationship between osteonecrosis of the proximal femur identified by MRI and lesions proven by histological examination.</w:t>
      </w:r>
      <w:proofErr w:type="gramEnd"/>
      <w:r>
        <w:t xml:space="preserve"> J Bone Joint </w:t>
      </w:r>
      <w:proofErr w:type="spellStart"/>
      <w:r>
        <w:t>Surg</w:t>
      </w:r>
      <w:proofErr w:type="spellEnd"/>
      <w:r>
        <w:t xml:space="preserve"> Br 2008</w:t>
      </w:r>
      <w:proofErr w:type="gramStart"/>
      <w:r>
        <w:t>;90</w:t>
      </w:r>
      <w:proofErr w:type="gramEnd"/>
      <w:r>
        <w:t>(2):154-158</w:t>
      </w:r>
    </w:p>
    <w:p w:rsidR="00423561" w:rsidRDefault="00423561" w:rsidP="006E7FD5">
      <w:proofErr w:type="spellStart"/>
      <w:r>
        <w:t>Caproni</w:t>
      </w:r>
      <w:proofErr w:type="spellEnd"/>
      <w:r>
        <w:t xml:space="preserve"> N, et al. Contrast-enhanced ultrasound in the characterisation of breast masses: utility of quantitative analysis in comparison with MRI. </w:t>
      </w:r>
      <w:proofErr w:type="spellStart"/>
      <w:r>
        <w:t>Eur</w:t>
      </w:r>
      <w:proofErr w:type="spellEnd"/>
      <w:r>
        <w:t xml:space="preserve"> </w:t>
      </w:r>
      <w:proofErr w:type="spellStart"/>
      <w:r>
        <w:t>Radiol</w:t>
      </w:r>
      <w:proofErr w:type="spellEnd"/>
      <w:r>
        <w:t xml:space="preserve"> 2010</w:t>
      </w:r>
      <w:proofErr w:type="gramStart"/>
      <w:r>
        <w:t>;20</w:t>
      </w:r>
      <w:proofErr w:type="gramEnd"/>
      <w:r>
        <w:t>(6):1384-1395</w:t>
      </w:r>
    </w:p>
    <w:p w:rsidR="00423561" w:rsidRDefault="00423561" w:rsidP="006E7FD5">
      <w:proofErr w:type="spellStart"/>
      <w:r>
        <w:t>Casolo</w:t>
      </w:r>
      <w:proofErr w:type="spellEnd"/>
      <w:r>
        <w:t xml:space="preserve"> G, et al. Identification of the ischemic </w:t>
      </w:r>
      <w:proofErr w:type="spellStart"/>
      <w:r>
        <w:t>etiology</w:t>
      </w:r>
      <w:proofErr w:type="spellEnd"/>
      <w:r>
        <w:t xml:space="preserve"> of heart failure by cardiovascular magnetic resonance imaging: diagnostic accuracy of late gadolinium enhancement. Am Heart J 2006</w:t>
      </w:r>
      <w:proofErr w:type="gramStart"/>
      <w:r>
        <w:t>;151:101</w:t>
      </w:r>
      <w:proofErr w:type="gramEnd"/>
      <w:r>
        <w:t>-108</w:t>
      </w:r>
    </w:p>
    <w:p w:rsidR="00423561" w:rsidRDefault="00423561" w:rsidP="006E7FD5">
      <w:proofErr w:type="spellStart"/>
      <w:r>
        <w:t>Cirillo</w:t>
      </w:r>
      <w:proofErr w:type="spellEnd"/>
      <w:r>
        <w:t xml:space="preserve"> S, et al. </w:t>
      </w:r>
      <w:proofErr w:type="spellStart"/>
      <w:r>
        <w:t>Endorectal</w:t>
      </w:r>
      <w:proofErr w:type="spellEnd"/>
      <w:r>
        <w:t xml:space="preserve"> magnetic resonance imaging at 1.5 Tesla to assess local recurrence following radical prostatectomy using T2-weighted and contrast-enhanced imaging. </w:t>
      </w:r>
      <w:proofErr w:type="spellStart"/>
      <w:r>
        <w:t>Eur</w:t>
      </w:r>
      <w:proofErr w:type="spellEnd"/>
      <w:r>
        <w:t xml:space="preserve"> </w:t>
      </w:r>
      <w:proofErr w:type="spellStart"/>
      <w:r>
        <w:t>Radiol</w:t>
      </w:r>
      <w:proofErr w:type="spellEnd"/>
      <w:r>
        <w:t xml:space="preserve"> 2009</w:t>
      </w:r>
      <w:proofErr w:type="gramStart"/>
      <w:r>
        <w:t>;19:761</w:t>
      </w:r>
      <w:proofErr w:type="gramEnd"/>
      <w:r>
        <w:t>-769</w:t>
      </w:r>
    </w:p>
    <w:p w:rsidR="00423561" w:rsidRDefault="00423561" w:rsidP="006E7FD5">
      <w:proofErr w:type="spellStart"/>
      <w:r>
        <w:t>Chamie</w:t>
      </w:r>
      <w:proofErr w:type="spellEnd"/>
      <w:r>
        <w:t xml:space="preserve"> LP, et al. Accuracy of magnetic resonance imaging for diagnosis and preoperative assessment of deeply infiltrating endometriosis. </w:t>
      </w:r>
      <w:proofErr w:type="spellStart"/>
      <w:r>
        <w:t>Int</w:t>
      </w:r>
      <w:proofErr w:type="spellEnd"/>
      <w:r>
        <w:t xml:space="preserve"> J </w:t>
      </w:r>
      <w:proofErr w:type="spellStart"/>
      <w:r>
        <w:t>Gynaecol</w:t>
      </w:r>
      <w:proofErr w:type="spellEnd"/>
      <w:r>
        <w:t xml:space="preserve"> </w:t>
      </w:r>
      <w:proofErr w:type="spellStart"/>
      <w:r>
        <w:t>Obstet</w:t>
      </w:r>
      <w:proofErr w:type="spellEnd"/>
      <w:r>
        <w:t xml:space="preserve"> 2009</w:t>
      </w:r>
      <w:proofErr w:type="gramStart"/>
      <w:r>
        <w:t>;106</w:t>
      </w:r>
      <w:proofErr w:type="gramEnd"/>
      <w:r>
        <w:t>(3):198-201</w:t>
      </w:r>
    </w:p>
    <w:p w:rsidR="00423561" w:rsidRDefault="00423561" w:rsidP="006E7FD5">
      <w:r>
        <w:t xml:space="preserve">Choi SH, et al. Preoperative magnetic resonance imaging staging of uterine cervical carcinoma: results of prospective study. J </w:t>
      </w:r>
      <w:proofErr w:type="spellStart"/>
      <w:r>
        <w:t>Comput</w:t>
      </w:r>
      <w:proofErr w:type="spellEnd"/>
      <w:r>
        <w:t xml:space="preserve"> Assist </w:t>
      </w:r>
      <w:proofErr w:type="spellStart"/>
      <w:r>
        <w:t>Tomogr</w:t>
      </w:r>
      <w:proofErr w:type="spellEnd"/>
      <w:r>
        <w:t xml:space="preserve"> 2004</w:t>
      </w:r>
      <w:proofErr w:type="gramStart"/>
      <w:r>
        <w:t>;28</w:t>
      </w:r>
      <w:proofErr w:type="gramEnd"/>
      <w:r>
        <w:t>(5);620-627</w:t>
      </w:r>
    </w:p>
    <w:p w:rsidR="00423561" w:rsidRDefault="00423561" w:rsidP="006E7FD5">
      <w:r>
        <w:t xml:space="preserve">De Foer B, et al. Middle ear </w:t>
      </w:r>
      <w:proofErr w:type="spellStart"/>
      <w:r>
        <w:t>cholesteatoma</w:t>
      </w:r>
      <w:proofErr w:type="spellEnd"/>
      <w:r>
        <w:t>: non-echo-planar diffusion-weighted MR imaging versus delayed gadolinium-enhanced T1-weighted MR imaging-value in detection. Radiology 2010</w:t>
      </w:r>
      <w:proofErr w:type="gramStart"/>
      <w:r>
        <w:t>;255</w:t>
      </w:r>
      <w:proofErr w:type="gramEnd"/>
      <w:r>
        <w:t>(3):866-872</w:t>
      </w:r>
    </w:p>
    <w:p w:rsidR="00423561" w:rsidRDefault="00423561" w:rsidP="006E7FD5">
      <w:proofErr w:type="spellStart"/>
      <w:r>
        <w:t>Dietzel</w:t>
      </w:r>
      <w:proofErr w:type="spellEnd"/>
      <w:r>
        <w:t xml:space="preserve"> M, et al. The adjacent vessel sign on breast MRI: new data and a subgroup analysis for 1,084 histologically verified cases. Korean J </w:t>
      </w:r>
      <w:proofErr w:type="spellStart"/>
      <w:r>
        <w:t>Radiol</w:t>
      </w:r>
      <w:proofErr w:type="spellEnd"/>
      <w:r>
        <w:t xml:space="preserve"> 2010</w:t>
      </w:r>
      <w:proofErr w:type="gramStart"/>
      <w:r>
        <w:t>;11</w:t>
      </w:r>
      <w:proofErr w:type="gramEnd"/>
      <w:r>
        <w:t>(2):178-186</w:t>
      </w:r>
    </w:p>
    <w:p w:rsidR="00423561" w:rsidRDefault="00423561" w:rsidP="006E7FD5">
      <w:proofErr w:type="spellStart"/>
      <w:r>
        <w:t>Doesch</w:t>
      </w:r>
      <w:proofErr w:type="spellEnd"/>
      <w:r>
        <w:t xml:space="preserve"> C, et al. Adenosine stress cardiac magnetic resonance imaging for the assessment of ischemic heart disease. </w:t>
      </w:r>
      <w:proofErr w:type="spellStart"/>
      <w:r>
        <w:t>Clin</w:t>
      </w:r>
      <w:proofErr w:type="spellEnd"/>
      <w:r>
        <w:t xml:space="preserve"> Res </w:t>
      </w:r>
      <w:proofErr w:type="spellStart"/>
      <w:r>
        <w:t>Cardiol</w:t>
      </w:r>
      <w:proofErr w:type="spellEnd"/>
      <w:r>
        <w:t xml:space="preserve"> 2008</w:t>
      </w:r>
      <w:proofErr w:type="gramStart"/>
      <w:r>
        <w:t>;97</w:t>
      </w:r>
      <w:proofErr w:type="gramEnd"/>
      <w:r>
        <w:t>(12):905-912</w:t>
      </w:r>
    </w:p>
    <w:p w:rsidR="00423561" w:rsidRDefault="00423561" w:rsidP="006E7FD5">
      <w:proofErr w:type="spellStart"/>
      <w:r>
        <w:t>Donati</w:t>
      </w:r>
      <w:proofErr w:type="spellEnd"/>
      <w:r>
        <w:t xml:space="preserve"> OF, et al. Combined cardiac CT and MRI for the comprehensive workup of </w:t>
      </w:r>
      <w:proofErr w:type="spellStart"/>
      <w:r>
        <w:t>haemodynamically</w:t>
      </w:r>
      <w:proofErr w:type="spellEnd"/>
      <w:r>
        <w:t xml:space="preserve"> relevant coronary stenosis. Am J </w:t>
      </w:r>
      <w:proofErr w:type="spellStart"/>
      <w:r>
        <w:t>Roentgenol</w:t>
      </w:r>
      <w:proofErr w:type="spellEnd"/>
      <w:r>
        <w:t xml:space="preserve"> 2010</w:t>
      </w:r>
      <w:proofErr w:type="gramStart"/>
      <w:r>
        <w:t>;194</w:t>
      </w:r>
      <w:proofErr w:type="gramEnd"/>
      <w:r>
        <w:t>(4):920-926</w:t>
      </w:r>
    </w:p>
    <w:p w:rsidR="00423561" w:rsidRDefault="00423561" w:rsidP="006E7FD5">
      <w:proofErr w:type="spellStart"/>
      <w:r>
        <w:t>Dubrulle</w:t>
      </w:r>
      <w:proofErr w:type="spellEnd"/>
      <w:r>
        <w:t xml:space="preserve"> F, et al. Diffusion-weighted MR imaging sequence in the detection of postoperative recurrent </w:t>
      </w:r>
      <w:proofErr w:type="spellStart"/>
      <w:r>
        <w:t>cholesteatoma</w:t>
      </w:r>
      <w:proofErr w:type="spellEnd"/>
      <w:r>
        <w:t>. Radiology 2006</w:t>
      </w:r>
      <w:proofErr w:type="gramStart"/>
      <w:r>
        <w:t>;238</w:t>
      </w:r>
      <w:proofErr w:type="gramEnd"/>
      <w:r>
        <w:t xml:space="preserve">(2):604-610 </w:t>
      </w:r>
    </w:p>
    <w:p w:rsidR="00423561" w:rsidRDefault="00423561" w:rsidP="006E7FD5">
      <w:proofErr w:type="spellStart"/>
      <w:r>
        <w:t>Erdogmus</w:t>
      </w:r>
      <w:proofErr w:type="spellEnd"/>
      <w:r>
        <w:t xml:space="preserve"> B, et al. Diagnostic value of HASTE technique and excretory MR urography in urinary system obstructions. </w:t>
      </w:r>
      <w:proofErr w:type="spellStart"/>
      <w:r>
        <w:t>Tanni</w:t>
      </w:r>
      <w:proofErr w:type="spellEnd"/>
      <w:r>
        <w:t xml:space="preserve"> </w:t>
      </w:r>
      <w:proofErr w:type="spellStart"/>
      <w:r>
        <w:t>Girisim</w:t>
      </w:r>
      <w:proofErr w:type="spellEnd"/>
      <w:r>
        <w:t xml:space="preserve"> </w:t>
      </w:r>
      <w:proofErr w:type="spellStart"/>
      <w:r>
        <w:t>Radyol</w:t>
      </w:r>
      <w:proofErr w:type="spellEnd"/>
      <w:r>
        <w:t xml:space="preserve"> 2004</w:t>
      </w:r>
      <w:proofErr w:type="gramStart"/>
      <w:r>
        <w:t>;10</w:t>
      </w:r>
      <w:proofErr w:type="gramEnd"/>
      <w:r>
        <w:t>(4):309-315</w:t>
      </w:r>
    </w:p>
    <w:p w:rsidR="00423561" w:rsidRDefault="00423561" w:rsidP="006E7FD5">
      <w:r>
        <w:t xml:space="preserve">Falcao SNDRS, et al. Incremental value of perfusion over wall-motion abnormalities with the use of </w:t>
      </w:r>
      <w:proofErr w:type="spellStart"/>
      <w:r>
        <w:t>dobutamine</w:t>
      </w:r>
      <w:proofErr w:type="spellEnd"/>
      <w:r>
        <w:t>-atropine stress myocardial contrast echocardiography and magnetic resonance imaging for detecting coronary artery disease. Echocardiography 2013</w:t>
      </w:r>
      <w:proofErr w:type="gramStart"/>
      <w:r>
        <w:t>;30</w:t>
      </w:r>
      <w:proofErr w:type="gramEnd"/>
      <w:r>
        <w:t>(1):45-54</w:t>
      </w:r>
    </w:p>
    <w:p w:rsidR="00423561" w:rsidRDefault="00423561" w:rsidP="006E7FD5">
      <w:proofErr w:type="spellStart"/>
      <w:r>
        <w:t>Fenchel</w:t>
      </w:r>
      <w:proofErr w:type="spellEnd"/>
      <w:r>
        <w:t xml:space="preserve"> M, et al. 1 M </w:t>
      </w:r>
      <w:proofErr w:type="spellStart"/>
      <w:r>
        <w:t>Gd</w:t>
      </w:r>
      <w:proofErr w:type="spellEnd"/>
      <w:r>
        <w:t>-chelate (</w:t>
      </w:r>
      <w:proofErr w:type="spellStart"/>
      <w:r>
        <w:t>gadobutrol</w:t>
      </w:r>
      <w:proofErr w:type="spellEnd"/>
      <w:r>
        <w:t xml:space="preserve">) for </w:t>
      </w:r>
      <w:proofErr w:type="spellStart"/>
      <w:r>
        <w:t>multislice</w:t>
      </w:r>
      <w:proofErr w:type="spellEnd"/>
      <w:r>
        <w:t xml:space="preserve"> first-pass magnetic resonance myocardial perfusion imaging. Br J </w:t>
      </w:r>
      <w:proofErr w:type="spellStart"/>
      <w:r>
        <w:t>Radiol</w:t>
      </w:r>
      <w:proofErr w:type="spellEnd"/>
      <w:r>
        <w:t xml:space="preserve"> 2007</w:t>
      </w:r>
      <w:proofErr w:type="gramStart"/>
      <w:r>
        <w:t>;80</w:t>
      </w:r>
      <w:proofErr w:type="gramEnd"/>
      <w:r>
        <w:t>(959):884-892</w:t>
      </w:r>
    </w:p>
    <w:p w:rsidR="00423561" w:rsidRDefault="00423561" w:rsidP="006E7FD5">
      <w:r>
        <w:t xml:space="preserve">Fischer U, et al. </w:t>
      </w:r>
      <w:proofErr w:type="gramStart"/>
      <w:r>
        <w:t>The influence of preoperative MRI of the breasts on recurrence rate in patients with breast cancer.</w:t>
      </w:r>
      <w:proofErr w:type="gramEnd"/>
      <w:r>
        <w:t xml:space="preserve"> </w:t>
      </w:r>
      <w:proofErr w:type="spellStart"/>
      <w:r>
        <w:t>Eur</w:t>
      </w:r>
      <w:proofErr w:type="spellEnd"/>
      <w:r>
        <w:t xml:space="preserve"> </w:t>
      </w:r>
      <w:proofErr w:type="spellStart"/>
      <w:r>
        <w:t>Radiol</w:t>
      </w:r>
      <w:proofErr w:type="spellEnd"/>
      <w:r>
        <w:t xml:space="preserve"> 2004</w:t>
      </w:r>
      <w:proofErr w:type="gramStart"/>
      <w:r>
        <w:t>;14</w:t>
      </w:r>
      <w:proofErr w:type="gramEnd"/>
      <w:r>
        <w:t>(10):1725-1731</w:t>
      </w:r>
    </w:p>
    <w:p w:rsidR="00423561" w:rsidRDefault="00423561" w:rsidP="006E7FD5">
      <w:proofErr w:type="spellStart"/>
      <w:r>
        <w:t>Formasa</w:t>
      </w:r>
      <w:proofErr w:type="spellEnd"/>
      <w:r>
        <w:t xml:space="preserve"> F, et al. Diffusion-weighted magnetic resonance imaging in focal breast lesions: analysis of 78 cases with pathological correlation. La </w:t>
      </w:r>
      <w:proofErr w:type="spellStart"/>
      <w:r>
        <w:t>Radiologia</w:t>
      </w:r>
      <w:proofErr w:type="spellEnd"/>
      <w:r>
        <w:t xml:space="preserve"> </w:t>
      </w:r>
      <w:proofErr w:type="spellStart"/>
      <w:r>
        <w:t>Medica</w:t>
      </w:r>
      <w:proofErr w:type="spellEnd"/>
      <w:r>
        <w:t xml:space="preserve"> 2011</w:t>
      </w:r>
      <w:proofErr w:type="gramStart"/>
      <w:r>
        <w:t>;116</w:t>
      </w:r>
      <w:proofErr w:type="gramEnd"/>
      <w:r>
        <w:t>(2):264-275</w:t>
      </w:r>
    </w:p>
    <w:p w:rsidR="00423561" w:rsidRDefault="00423561" w:rsidP="006E7FD5">
      <w:proofErr w:type="spellStart"/>
      <w:proofErr w:type="gramStart"/>
      <w:r>
        <w:t>Forsting</w:t>
      </w:r>
      <w:proofErr w:type="spellEnd"/>
      <w:r>
        <w:t xml:space="preserve"> M and </w:t>
      </w:r>
      <w:proofErr w:type="spellStart"/>
      <w:r>
        <w:t>Palkowitsch</w:t>
      </w:r>
      <w:proofErr w:type="spellEnd"/>
      <w:r>
        <w:t xml:space="preserve"> P. Prevalence of acute adverse reactions to </w:t>
      </w:r>
      <w:proofErr w:type="spellStart"/>
      <w:r>
        <w:t>gadobutrol</w:t>
      </w:r>
      <w:proofErr w:type="spellEnd"/>
      <w:r>
        <w:t xml:space="preserve"> – a highly concentrated macrocyclic gadolinium chelate.</w:t>
      </w:r>
      <w:proofErr w:type="gramEnd"/>
      <w:r>
        <w:t xml:space="preserve"> Review of 14,299 patients from observational trials. </w:t>
      </w:r>
      <w:proofErr w:type="spellStart"/>
      <w:r>
        <w:t>Eur</w:t>
      </w:r>
      <w:proofErr w:type="spellEnd"/>
      <w:r>
        <w:t xml:space="preserve"> J </w:t>
      </w:r>
      <w:proofErr w:type="spellStart"/>
      <w:r>
        <w:t>Radiol</w:t>
      </w:r>
      <w:proofErr w:type="spellEnd"/>
      <w:r>
        <w:t xml:space="preserve"> 2010</w:t>
      </w:r>
      <w:proofErr w:type="gramStart"/>
      <w:r>
        <w:t>;65</w:t>
      </w:r>
      <w:proofErr w:type="gramEnd"/>
      <w:r>
        <w:t>(6):1095-1106</w:t>
      </w:r>
    </w:p>
    <w:p w:rsidR="00423561" w:rsidRDefault="00423561" w:rsidP="006E7FD5">
      <w:r>
        <w:t xml:space="preserve">Ghandi D, et al. State of the art head and neck imaging for the endovascular specialist. </w:t>
      </w:r>
      <w:proofErr w:type="spellStart"/>
      <w:r>
        <w:t>Neurimag</w:t>
      </w:r>
      <w:proofErr w:type="spellEnd"/>
      <w:r>
        <w:t xml:space="preserve"> </w:t>
      </w:r>
      <w:proofErr w:type="spellStart"/>
      <w:r>
        <w:t>Clin</w:t>
      </w:r>
      <w:proofErr w:type="spellEnd"/>
      <w:r>
        <w:t xml:space="preserve"> N Am 2009</w:t>
      </w:r>
      <w:proofErr w:type="gramStart"/>
      <w:r>
        <w:t>;19:133</w:t>
      </w:r>
      <w:proofErr w:type="gramEnd"/>
      <w:r>
        <w:t>-147</w:t>
      </w:r>
    </w:p>
    <w:p w:rsidR="00423561" w:rsidRDefault="00423561" w:rsidP="006E7FD5">
      <w:proofErr w:type="spellStart"/>
      <w:r>
        <w:t>Girometti</w:t>
      </w:r>
      <w:proofErr w:type="spellEnd"/>
      <w:r>
        <w:t xml:space="preserve"> R, et al. MRI scoring system including dynamic motility evaluation in assessing the activity of Crohn’s disease of the terminal ileum. </w:t>
      </w:r>
      <w:proofErr w:type="spellStart"/>
      <w:r>
        <w:t>Acad</w:t>
      </w:r>
      <w:proofErr w:type="spellEnd"/>
      <w:r>
        <w:t xml:space="preserve"> </w:t>
      </w:r>
      <w:proofErr w:type="spellStart"/>
      <w:r>
        <w:t>Radiol</w:t>
      </w:r>
      <w:proofErr w:type="spellEnd"/>
      <w:r>
        <w:t xml:space="preserve"> 2008</w:t>
      </w:r>
      <w:proofErr w:type="gramStart"/>
      <w:r>
        <w:t>;15</w:t>
      </w:r>
      <w:proofErr w:type="gramEnd"/>
      <w:r>
        <w:t>(2):153-164</w:t>
      </w:r>
    </w:p>
    <w:p w:rsidR="00423561" w:rsidRDefault="00423561" w:rsidP="006E7FD5">
      <w:r>
        <w:lastRenderedPageBreak/>
        <w:t>Gao M, et al. Application of dynamic contrast-enhanced MRI in pre-operative staging of endometrial carcinoma. Chinese Journal of Medical Imaging Technology 2012</w:t>
      </w:r>
      <w:proofErr w:type="gramStart"/>
      <w:r>
        <w:t>;28</w:t>
      </w:r>
      <w:proofErr w:type="gramEnd"/>
      <w:r>
        <w:t>(11):2060-2063</w:t>
      </w:r>
    </w:p>
    <w:p w:rsidR="00423561" w:rsidRDefault="00423561" w:rsidP="006E7FD5">
      <w:proofErr w:type="spellStart"/>
      <w:r>
        <w:t>Gebker</w:t>
      </w:r>
      <w:proofErr w:type="spellEnd"/>
      <w:r>
        <w:t xml:space="preserve"> R, et al. Value of additional myocardial perfusion imaging during </w:t>
      </w:r>
      <w:proofErr w:type="spellStart"/>
      <w:r>
        <w:t>dobutamine</w:t>
      </w:r>
      <w:proofErr w:type="spellEnd"/>
      <w:r>
        <w:t xml:space="preserve"> stress magnetic resonance for the assessment intermediate coronary artery disease. </w:t>
      </w:r>
      <w:proofErr w:type="spellStart"/>
      <w:r>
        <w:t>Int</w:t>
      </w:r>
      <w:proofErr w:type="spellEnd"/>
      <w:r>
        <w:t xml:space="preserve"> J </w:t>
      </w:r>
      <w:proofErr w:type="spellStart"/>
      <w:r>
        <w:t>Cardiovasc</w:t>
      </w:r>
      <w:proofErr w:type="spellEnd"/>
      <w:r>
        <w:t xml:space="preserve"> </w:t>
      </w:r>
      <w:proofErr w:type="spellStart"/>
      <w:r>
        <w:t>Imag</w:t>
      </w:r>
      <w:proofErr w:type="spellEnd"/>
      <w:r>
        <w:t xml:space="preserve"> 2012</w:t>
      </w:r>
      <w:proofErr w:type="gramStart"/>
      <w:r>
        <w:t>;28</w:t>
      </w:r>
      <w:proofErr w:type="gramEnd"/>
      <w:r>
        <w:t>(1):89-97</w:t>
      </w:r>
    </w:p>
    <w:p w:rsidR="00423561" w:rsidRDefault="00423561" w:rsidP="006E7FD5">
      <w:proofErr w:type="spellStart"/>
      <w:r>
        <w:t>Gerbaud</w:t>
      </w:r>
      <w:proofErr w:type="spellEnd"/>
      <w:r>
        <w:t xml:space="preserve"> E, et al. Comparative analysis of cardiac magnetic resonance viability indexes to predict functional recovery after successful percutaneous coronary intervention in acute myocardial infarction. Am J </w:t>
      </w:r>
      <w:proofErr w:type="spellStart"/>
      <w:r>
        <w:t>Cardiol</w:t>
      </w:r>
      <w:proofErr w:type="spellEnd"/>
      <w:r>
        <w:t xml:space="preserve"> 2010</w:t>
      </w:r>
      <w:proofErr w:type="gramStart"/>
      <w:r>
        <w:t>;105</w:t>
      </w:r>
      <w:proofErr w:type="gramEnd"/>
      <w:r>
        <w:t>(5):598-604</w:t>
      </w:r>
    </w:p>
    <w:p w:rsidR="00423561" w:rsidRDefault="00423561" w:rsidP="006E7FD5">
      <w:proofErr w:type="spellStart"/>
      <w:r>
        <w:t>Hausmann</w:t>
      </w:r>
      <w:proofErr w:type="spellEnd"/>
      <w:r>
        <w:t xml:space="preserve"> D, et al. Comparison of the diagnostic accuracy of whole-body MRI and whole-body CT in stage III/IV malignant melanoma. Journal of the German Society of Dermatology 2011</w:t>
      </w:r>
      <w:proofErr w:type="gramStart"/>
      <w:r>
        <w:t>;9:212</w:t>
      </w:r>
      <w:proofErr w:type="gramEnd"/>
      <w:r>
        <w:t>-221</w:t>
      </w:r>
    </w:p>
    <w:p w:rsidR="00423561" w:rsidRDefault="00423561" w:rsidP="006E7FD5">
      <w:proofErr w:type="spellStart"/>
      <w:r>
        <w:t>Heverhagen</w:t>
      </w:r>
      <w:proofErr w:type="spellEnd"/>
      <w:r>
        <w:t xml:space="preserve"> JT, et al. Prospective evaluation of the value of magnetic resonance imaging in suspected acute sigmoid diverticulitis. Dis Colon Rectum 2008</w:t>
      </w:r>
      <w:proofErr w:type="gramStart"/>
      <w:r>
        <w:t>;51</w:t>
      </w:r>
      <w:proofErr w:type="gramEnd"/>
      <w:r>
        <w:t>(12):1810-1815</w:t>
      </w:r>
    </w:p>
    <w:p w:rsidR="00423561" w:rsidRDefault="00423561" w:rsidP="006E7FD5">
      <w:proofErr w:type="spellStart"/>
      <w:r>
        <w:t>Horsthuis</w:t>
      </w:r>
      <w:proofErr w:type="spellEnd"/>
      <w:r>
        <w:t xml:space="preserve"> K, et al. MRI in Crohn’s disease. J </w:t>
      </w:r>
      <w:proofErr w:type="spellStart"/>
      <w:r>
        <w:t>Magn</w:t>
      </w:r>
      <w:proofErr w:type="spellEnd"/>
      <w:r>
        <w:t xml:space="preserve"> </w:t>
      </w:r>
      <w:proofErr w:type="spellStart"/>
      <w:r>
        <w:t>Reson</w:t>
      </w:r>
      <w:proofErr w:type="spellEnd"/>
      <w:r>
        <w:t xml:space="preserve"> Imaging 2005</w:t>
      </w:r>
      <w:proofErr w:type="gramStart"/>
      <w:r>
        <w:t>;22</w:t>
      </w:r>
      <w:proofErr w:type="gramEnd"/>
      <w:r>
        <w:t>(1):1-12</w:t>
      </w:r>
    </w:p>
    <w:p w:rsidR="00423561" w:rsidRDefault="00423561" w:rsidP="006E7FD5">
      <w:r>
        <w:t xml:space="preserve">Jeon TY, et al. </w:t>
      </w:r>
      <w:proofErr w:type="spellStart"/>
      <w:r>
        <w:t>Sinonasal</w:t>
      </w:r>
      <w:proofErr w:type="spellEnd"/>
      <w:r>
        <w:t xml:space="preserve"> inverted papilloma: Value of convoluted </w:t>
      </w:r>
      <w:proofErr w:type="spellStart"/>
      <w:r>
        <w:t>cerebriform</w:t>
      </w:r>
      <w:proofErr w:type="spellEnd"/>
      <w:r>
        <w:t xml:space="preserve"> pattern on MR imaging. AJNR Am J </w:t>
      </w:r>
      <w:proofErr w:type="spellStart"/>
      <w:r>
        <w:t>Neuroradiol</w:t>
      </w:r>
      <w:proofErr w:type="spellEnd"/>
      <w:r>
        <w:t xml:space="preserve"> 2008</w:t>
      </w:r>
      <w:proofErr w:type="gramStart"/>
      <w:r>
        <w:t>;29</w:t>
      </w:r>
      <w:proofErr w:type="gramEnd"/>
      <w:r>
        <w:t>(8):1556-1560</w:t>
      </w:r>
    </w:p>
    <w:p w:rsidR="00423561" w:rsidRDefault="00423561" w:rsidP="006E7FD5">
      <w:proofErr w:type="spellStart"/>
      <w:r>
        <w:t>Jogiya</w:t>
      </w:r>
      <w:proofErr w:type="spellEnd"/>
      <w:r>
        <w:t xml:space="preserve"> R, et al. Validation of dynamic 3-dimensional whole heart magnetic resonance myocardial perfusion imaging against fractional flow reserve for the detection of significant coronary artery disease. Journal of the American College of Cardiology 2012</w:t>
      </w:r>
      <w:proofErr w:type="gramStart"/>
      <w:r>
        <w:t>;60</w:t>
      </w:r>
      <w:proofErr w:type="gramEnd"/>
      <w:r>
        <w:t>(80):756-765</w:t>
      </w:r>
    </w:p>
    <w:p w:rsidR="00423561" w:rsidRDefault="00423561" w:rsidP="006E7FD5">
      <w:proofErr w:type="spellStart"/>
      <w:r>
        <w:t>Kanavaki</w:t>
      </w:r>
      <w:proofErr w:type="spellEnd"/>
      <w:r>
        <w:t xml:space="preserve"> A, et al. Can early MRI distinguish between </w:t>
      </w:r>
      <w:proofErr w:type="spellStart"/>
      <w:r>
        <w:t>Kingella</w:t>
      </w:r>
      <w:proofErr w:type="spellEnd"/>
      <w:r>
        <w:t xml:space="preserve"> </w:t>
      </w:r>
      <w:proofErr w:type="spellStart"/>
      <w:r>
        <w:t>kingae</w:t>
      </w:r>
      <w:proofErr w:type="spellEnd"/>
      <w:r>
        <w:t xml:space="preserve"> and Gram-positive cocci in </w:t>
      </w:r>
      <w:proofErr w:type="spellStart"/>
      <w:r>
        <w:t>osteoarticular</w:t>
      </w:r>
      <w:proofErr w:type="spellEnd"/>
      <w:r>
        <w:t xml:space="preserve"> infections in young children? </w:t>
      </w:r>
      <w:proofErr w:type="spellStart"/>
      <w:r>
        <w:t>Pediatric</w:t>
      </w:r>
      <w:proofErr w:type="spellEnd"/>
      <w:r>
        <w:t xml:space="preserve"> Radiology 2012</w:t>
      </w:r>
      <w:proofErr w:type="gramStart"/>
      <w:r>
        <w:t>;42</w:t>
      </w:r>
      <w:proofErr w:type="gramEnd"/>
      <w:r>
        <w:t>(1):57-62</w:t>
      </w:r>
    </w:p>
    <w:p w:rsidR="00423561" w:rsidRDefault="00423561" w:rsidP="006E7FD5">
      <w:r>
        <w:t xml:space="preserve">Kawahara K, et al. Evaluation of positron emission tomography with tracer 18-fluorodeoxyglucose in addition to magnetic resonance imaging in the diagnosis of ovarian cancer in selected women after ultrasonography. J </w:t>
      </w:r>
      <w:proofErr w:type="spellStart"/>
      <w:r>
        <w:t>Comput</w:t>
      </w:r>
      <w:proofErr w:type="spellEnd"/>
      <w:r>
        <w:t xml:space="preserve"> Assist </w:t>
      </w:r>
      <w:proofErr w:type="spellStart"/>
      <w:r>
        <w:t>Tomogr</w:t>
      </w:r>
      <w:proofErr w:type="spellEnd"/>
      <w:r>
        <w:t xml:space="preserve"> 2004</w:t>
      </w:r>
      <w:proofErr w:type="gramStart"/>
      <w:r>
        <w:t>;28</w:t>
      </w:r>
      <w:proofErr w:type="gramEnd"/>
      <w:r>
        <w:t>(4):505-516</w:t>
      </w:r>
    </w:p>
    <w:p w:rsidR="00423561" w:rsidRDefault="00423561" w:rsidP="006E7FD5">
      <w:proofErr w:type="spellStart"/>
      <w:r>
        <w:t>Kerker</w:t>
      </w:r>
      <w:proofErr w:type="spellEnd"/>
      <w:r>
        <w:t xml:space="preserve"> J, et al. MR-</w:t>
      </w:r>
      <w:proofErr w:type="spellStart"/>
      <w:r>
        <w:t>colonography</w:t>
      </w:r>
      <w:proofErr w:type="spellEnd"/>
      <w:r>
        <w:t xml:space="preserve"> in hospitalized patients: feasibility and sensitivity. Z </w:t>
      </w:r>
      <w:proofErr w:type="spellStart"/>
      <w:r>
        <w:t>Gastroenterol</w:t>
      </w:r>
      <w:proofErr w:type="spellEnd"/>
      <w:r>
        <w:t xml:space="preserve"> 2008</w:t>
      </w:r>
      <w:proofErr w:type="gramStart"/>
      <w:r>
        <w:t>;46</w:t>
      </w:r>
      <w:proofErr w:type="gramEnd"/>
      <w:r>
        <w:t>(4):339-343</w:t>
      </w:r>
    </w:p>
    <w:p w:rsidR="00423561" w:rsidRDefault="00423561" w:rsidP="006E7FD5">
      <w:proofErr w:type="gramStart"/>
      <w:r>
        <w:t>King AD, et al. Magnetic resonance imaging for the detection of nasopharyngeal carcinoma.</w:t>
      </w:r>
      <w:proofErr w:type="gramEnd"/>
      <w:r>
        <w:t xml:space="preserve"> AJNR Am J </w:t>
      </w:r>
      <w:proofErr w:type="spellStart"/>
      <w:r>
        <w:t>Neuroradiol</w:t>
      </w:r>
      <w:proofErr w:type="spellEnd"/>
      <w:r>
        <w:t xml:space="preserve"> 2006</w:t>
      </w:r>
      <w:proofErr w:type="gramStart"/>
      <w:r>
        <w:t>;27</w:t>
      </w:r>
      <w:proofErr w:type="gramEnd"/>
      <w:r>
        <w:t>(6):1288-1291</w:t>
      </w:r>
    </w:p>
    <w:p w:rsidR="00423561" w:rsidRDefault="00423561" w:rsidP="006E7FD5">
      <w:r>
        <w:t>King AD, et al. Primary nasopharyngeal carcinoma: Diagnostic accuracy of MR imaging versus that of endoscopy and endoscopic biopsy. Radiology 2011</w:t>
      </w:r>
      <w:proofErr w:type="gramStart"/>
      <w:r>
        <w:t>;258</w:t>
      </w:r>
      <w:proofErr w:type="gramEnd"/>
      <w:r>
        <w:t>(2):531-537</w:t>
      </w:r>
    </w:p>
    <w:p w:rsidR="00423561" w:rsidRDefault="00423561" w:rsidP="006E7FD5">
      <w:proofErr w:type="gramStart"/>
      <w:r>
        <w:t>Kinney T. Evidence-based imaging of pancreatic malignancies.</w:t>
      </w:r>
      <w:proofErr w:type="gramEnd"/>
      <w:r>
        <w:t xml:space="preserve"> </w:t>
      </w:r>
      <w:proofErr w:type="spellStart"/>
      <w:r>
        <w:t>Surg</w:t>
      </w:r>
      <w:proofErr w:type="spellEnd"/>
      <w:r>
        <w:t xml:space="preserve"> </w:t>
      </w:r>
      <w:proofErr w:type="spellStart"/>
      <w:r>
        <w:t>Clin</w:t>
      </w:r>
      <w:proofErr w:type="spellEnd"/>
      <w:r>
        <w:t xml:space="preserve"> North Am 2010</w:t>
      </w:r>
      <w:proofErr w:type="gramStart"/>
      <w:r>
        <w:t>;90</w:t>
      </w:r>
      <w:proofErr w:type="gramEnd"/>
      <w:r>
        <w:t>(20):235-249</w:t>
      </w:r>
    </w:p>
    <w:p w:rsidR="00423561" w:rsidRDefault="00423561" w:rsidP="006E7FD5">
      <w:proofErr w:type="spellStart"/>
      <w:r>
        <w:t>Klumpp</w:t>
      </w:r>
      <w:proofErr w:type="spellEnd"/>
      <w:r>
        <w:t xml:space="preserve"> BD, et al. High resolution myocardial magnetic resonance stress perfusion imaging at 3 T using a 1 M contrast agent. </w:t>
      </w:r>
      <w:proofErr w:type="spellStart"/>
      <w:r>
        <w:t>Eur</w:t>
      </w:r>
      <w:proofErr w:type="spellEnd"/>
      <w:r>
        <w:t xml:space="preserve"> </w:t>
      </w:r>
      <w:proofErr w:type="spellStart"/>
      <w:r>
        <w:t>Radiol</w:t>
      </w:r>
      <w:proofErr w:type="spellEnd"/>
      <w:r>
        <w:t xml:space="preserve"> 2010</w:t>
      </w:r>
      <w:proofErr w:type="gramStart"/>
      <w:r>
        <w:t>;20</w:t>
      </w:r>
      <w:proofErr w:type="gramEnd"/>
      <w:r>
        <w:t>(3):533-541</w:t>
      </w:r>
    </w:p>
    <w:p w:rsidR="00423561" w:rsidRDefault="00423561" w:rsidP="006E7FD5">
      <w:proofErr w:type="spellStart"/>
      <w:r>
        <w:t>Kono</w:t>
      </w:r>
      <w:proofErr w:type="spellEnd"/>
      <w:r>
        <w:t xml:space="preserve"> R, et al.  Dynamic MRI of solitary pulmonary nodules: comparison of enhancement patterns of malignant and benign small peripheral lung lesions. AJR Am J </w:t>
      </w:r>
      <w:proofErr w:type="spellStart"/>
      <w:r>
        <w:t>Roentgenol</w:t>
      </w:r>
      <w:proofErr w:type="spellEnd"/>
      <w:r>
        <w:t xml:space="preserve"> 2007</w:t>
      </w:r>
      <w:proofErr w:type="gramStart"/>
      <w:r>
        <w:t>;188</w:t>
      </w:r>
      <w:proofErr w:type="gramEnd"/>
      <w:r>
        <w:t>(1):26-36</w:t>
      </w:r>
    </w:p>
    <w:p w:rsidR="00423561" w:rsidRDefault="00423561" w:rsidP="006E7FD5">
      <w:proofErr w:type="spellStart"/>
      <w:r>
        <w:t>Krittayaphong</w:t>
      </w:r>
      <w:proofErr w:type="spellEnd"/>
      <w:r>
        <w:t xml:space="preserve"> R, et al. Comparison of diagnostic and prognostic value of different electrocardiographic criteria to delayed-enhancement magnetic resonance imaging for healed myocardial infarction. Am J </w:t>
      </w:r>
      <w:proofErr w:type="spellStart"/>
      <w:r>
        <w:t>Cardiol</w:t>
      </w:r>
      <w:proofErr w:type="spellEnd"/>
      <w:r>
        <w:t xml:space="preserve"> 2009; 103(4):464-470</w:t>
      </w:r>
    </w:p>
    <w:p w:rsidR="00423561" w:rsidRDefault="00423561" w:rsidP="006E7FD5">
      <w:proofErr w:type="spellStart"/>
      <w:r>
        <w:t>Kuehl</w:t>
      </w:r>
      <w:proofErr w:type="spellEnd"/>
      <w:r>
        <w:t xml:space="preserve"> HP, et al. Comparison of magnetic resonance perfusion imaging versus invasive fractional flow reserve for assessment of the haemodynamic significance of </w:t>
      </w:r>
      <w:proofErr w:type="spellStart"/>
      <w:r>
        <w:t>epicardial</w:t>
      </w:r>
      <w:proofErr w:type="spellEnd"/>
      <w:r>
        <w:t xml:space="preserve"> coronary artery stenosis. Am J </w:t>
      </w:r>
      <w:proofErr w:type="spellStart"/>
      <w:r>
        <w:t>cardiol</w:t>
      </w:r>
      <w:proofErr w:type="spellEnd"/>
      <w:r>
        <w:t xml:space="preserve"> 2007</w:t>
      </w:r>
      <w:proofErr w:type="gramStart"/>
      <w:r>
        <w:t>;99</w:t>
      </w:r>
      <w:proofErr w:type="gramEnd"/>
      <w:r>
        <w:t>(8):1090-1095</w:t>
      </w:r>
    </w:p>
    <w:p w:rsidR="00423561" w:rsidRDefault="00423561" w:rsidP="006E7FD5">
      <w:r>
        <w:lastRenderedPageBreak/>
        <w:t xml:space="preserve">Leach MO, et al. </w:t>
      </w:r>
      <w:proofErr w:type="gramStart"/>
      <w:r>
        <w:t>Screening</w:t>
      </w:r>
      <w:proofErr w:type="gramEnd"/>
      <w:r>
        <w:t xml:space="preserve"> with magnetic resonance imaging and mammography of a UK population at high risk of familial breast cancer: a prospective multicentre cohort study (MARIBS). Lancet 2005</w:t>
      </w:r>
      <w:proofErr w:type="gramStart"/>
      <w:r>
        <w:t>;365</w:t>
      </w:r>
      <w:proofErr w:type="gramEnd"/>
      <w:r>
        <w:t>(9473):1769-1778</w:t>
      </w:r>
    </w:p>
    <w:p w:rsidR="00423561" w:rsidRDefault="00423561" w:rsidP="006E7FD5">
      <w:r>
        <w:t xml:space="preserve">Lehman CD, et al. ACRIN Trial 6667 Investigators group. MRI evaluation of the contralateral breast in women with recently diagnosed breast cancer. N </w:t>
      </w:r>
      <w:proofErr w:type="spellStart"/>
      <w:r>
        <w:t>Engl</w:t>
      </w:r>
      <w:proofErr w:type="spellEnd"/>
      <w:r>
        <w:t xml:space="preserve"> Med 2007</w:t>
      </w:r>
      <w:proofErr w:type="gramStart"/>
      <w:r>
        <w:t>;356</w:t>
      </w:r>
      <w:proofErr w:type="gramEnd"/>
      <w:r>
        <w:t>(13):1295-1303</w:t>
      </w:r>
    </w:p>
    <w:p w:rsidR="00423561" w:rsidRDefault="00423561" w:rsidP="006E7FD5">
      <w:proofErr w:type="spellStart"/>
      <w:r>
        <w:t>Lentschig</w:t>
      </w:r>
      <w:proofErr w:type="spellEnd"/>
      <w:r>
        <w:t xml:space="preserve"> MG, et al. </w:t>
      </w:r>
      <w:proofErr w:type="gramStart"/>
      <w:r>
        <w:t>The value of 3-phase spiral CT and magnetic resonance tomography in preoperative diagnosis of pancreatic carcinoma.</w:t>
      </w:r>
      <w:proofErr w:type="gramEnd"/>
      <w:r>
        <w:t xml:space="preserve"> </w:t>
      </w:r>
      <w:proofErr w:type="spellStart"/>
      <w:r>
        <w:t>Radiologe</w:t>
      </w:r>
      <w:proofErr w:type="spellEnd"/>
      <w:r>
        <w:t xml:space="preserve"> 1996</w:t>
      </w:r>
      <w:proofErr w:type="gramStart"/>
      <w:r>
        <w:t>;36</w:t>
      </w:r>
      <w:proofErr w:type="gramEnd"/>
      <w:r>
        <w:t>(5):406-412</w:t>
      </w:r>
    </w:p>
    <w:p w:rsidR="00423561" w:rsidRDefault="00423561" w:rsidP="006E7FD5">
      <w:r>
        <w:t xml:space="preserve">Lin G, et al. </w:t>
      </w:r>
      <w:proofErr w:type="spellStart"/>
      <w:r>
        <w:t>Myometrial</w:t>
      </w:r>
      <w:proofErr w:type="spellEnd"/>
      <w:r>
        <w:t xml:space="preserve"> invasion in endometrial cancer: Diagnostic accuracy of diffusion-weighted 3.0-T MR imaging – initial experience. Radiology 2009</w:t>
      </w:r>
      <w:proofErr w:type="gramStart"/>
      <w:r>
        <w:t>;250</w:t>
      </w:r>
      <w:proofErr w:type="gramEnd"/>
      <w:r>
        <w:t>(3):784-792</w:t>
      </w:r>
    </w:p>
    <w:p w:rsidR="00423561" w:rsidRDefault="00423561" w:rsidP="006E7FD5">
      <w:r>
        <w:t>Low RN, et al. Treated ovarian cancer: MR imaging, laparotomy reassessment, and serum CA-125 values compared with clinical outcome at 1 year. Radiology 2005</w:t>
      </w:r>
      <w:proofErr w:type="gramStart"/>
      <w:r>
        <w:t>;235</w:t>
      </w:r>
      <w:proofErr w:type="gramEnd"/>
      <w:r>
        <w:t>(3):918-926</w:t>
      </w:r>
    </w:p>
    <w:p w:rsidR="00423561" w:rsidRDefault="00423561" w:rsidP="006E7FD5">
      <w:proofErr w:type="spellStart"/>
      <w:r>
        <w:t>Merkle</w:t>
      </w:r>
      <w:proofErr w:type="spellEnd"/>
      <w:r>
        <w:t xml:space="preserve"> N, et al. Assessment of myocardial perfusion to detect coronary artery stenosis by steady-state-free-precession magnetic resonance first-pass imaging. Heart 2007</w:t>
      </w:r>
      <w:proofErr w:type="gramStart"/>
      <w:r>
        <w:t>;93</w:t>
      </w:r>
      <w:proofErr w:type="gramEnd"/>
      <w:r>
        <w:t>(11):1381-1385</w:t>
      </w:r>
    </w:p>
    <w:p w:rsidR="00423561" w:rsidRDefault="00423561" w:rsidP="006E7FD5">
      <w:proofErr w:type="spellStart"/>
      <w:r>
        <w:t>Merkle</w:t>
      </w:r>
      <w:proofErr w:type="spellEnd"/>
      <w:r>
        <w:t xml:space="preserve"> N, et al. Diagnostic performance of magnetic resonance first pass perfusion imaging is equally potent in female compared to male patients with coronary artery disease. </w:t>
      </w:r>
      <w:proofErr w:type="spellStart"/>
      <w:r>
        <w:t>Clin</w:t>
      </w:r>
      <w:proofErr w:type="spellEnd"/>
      <w:r>
        <w:t xml:space="preserve"> Res </w:t>
      </w:r>
      <w:proofErr w:type="spellStart"/>
      <w:r>
        <w:t>Cardiol</w:t>
      </w:r>
      <w:proofErr w:type="spellEnd"/>
      <w:r>
        <w:t xml:space="preserve"> 2010</w:t>
      </w:r>
      <w:proofErr w:type="gramStart"/>
      <w:r>
        <w:t>;99</w:t>
      </w:r>
      <w:proofErr w:type="gramEnd"/>
      <w:r>
        <w:t>(1):</w:t>
      </w:r>
    </w:p>
    <w:p w:rsidR="00423561" w:rsidRDefault="00423561" w:rsidP="006E7FD5">
      <w:r>
        <w:t xml:space="preserve">Meyer C, et al. High-resolution myocardial stress perfusion at 3 T in patients with suspected coronary artery disease. </w:t>
      </w:r>
      <w:proofErr w:type="spellStart"/>
      <w:r>
        <w:t>Eur</w:t>
      </w:r>
      <w:proofErr w:type="spellEnd"/>
      <w:r>
        <w:t xml:space="preserve"> </w:t>
      </w:r>
      <w:proofErr w:type="spellStart"/>
      <w:r>
        <w:t>Radiol</w:t>
      </w:r>
      <w:proofErr w:type="spellEnd"/>
      <w:r>
        <w:t xml:space="preserve"> 2008</w:t>
      </w:r>
      <w:proofErr w:type="gramStart"/>
      <w:r>
        <w:t>;18</w:t>
      </w:r>
      <w:proofErr w:type="gramEnd"/>
      <w:r>
        <w:t>(2):226-233</w:t>
      </w:r>
    </w:p>
    <w:p w:rsidR="00423561" w:rsidRDefault="00423561" w:rsidP="006E7FD5">
      <w:r>
        <w:t>Ng SH, et al. PET/CT and 3-T whole-body MRI in the detection of malignancy in treated oropharyngeal carcinoma. European Journal of Nuclear Medicine and Molecular Imaging 2011; 38(6): 996-1008</w:t>
      </w:r>
    </w:p>
    <w:p w:rsidR="00423561" w:rsidRDefault="00423561" w:rsidP="006E7FD5">
      <w:proofErr w:type="spellStart"/>
      <w:r>
        <w:t>Ohno</w:t>
      </w:r>
      <w:proofErr w:type="spellEnd"/>
      <w:r>
        <w:t xml:space="preserve"> Y, et al. Multiphase ECG-triggered 3D contrast-enhanced MR angiography: utility for evaluation of </w:t>
      </w:r>
      <w:proofErr w:type="spellStart"/>
      <w:r>
        <w:t>hilar</w:t>
      </w:r>
      <w:proofErr w:type="spellEnd"/>
      <w:r>
        <w:t xml:space="preserve"> and mediastinal invasion of bronchogenic carcinoma. European Journal of Nuclear Medicine and Molecular Imaging 2011</w:t>
      </w:r>
      <w:proofErr w:type="gramStart"/>
      <w:r>
        <w:t>;38</w:t>
      </w:r>
      <w:proofErr w:type="gramEnd"/>
      <w:r>
        <w:t>(6):996-1008</w:t>
      </w:r>
    </w:p>
    <w:p w:rsidR="00423561" w:rsidRDefault="00423561" w:rsidP="006E7FD5">
      <w:proofErr w:type="spellStart"/>
      <w:r>
        <w:t>Padovani</w:t>
      </w:r>
      <w:proofErr w:type="spellEnd"/>
      <w:r>
        <w:t xml:space="preserve"> B, et al. Chest wall invasion by bronchogenic carcinoma: evaluation with MR imaging. Radiology 1993</w:t>
      </w:r>
      <w:proofErr w:type="gramStart"/>
      <w:r>
        <w:t>;187:33</w:t>
      </w:r>
      <w:proofErr w:type="gramEnd"/>
      <w:r>
        <w:t>-38</w:t>
      </w:r>
    </w:p>
    <w:p w:rsidR="00423561" w:rsidRDefault="00423561" w:rsidP="006E7FD5">
      <w:proofErr w:type="spellStart"/>
      <w:r>
        <w:t>Panebianco</w:t>
      </w:r>
      <w:proofErr w:type="spellEnd"/>
      <w:r>
        <w:t xml:space="preserve"> V, et al. Role of magnetic resonance spectroscopic imaging ([(1</w:t>
      </w:r>
      <w:proofErr w:type="gramStart"/>
      <w:r>
        <w:t>)H</w:t>
      </w:r>
      <w:proofErr w:type="gramEnd"/>
      <w:r>
        <w:t xml:space="preserve">]MRSI) and dynamic contrast-enhanced MRI (DCE-MRI) in identifying prostate cancer foci in patients with negative biopsy and high levels of prostate-specific antigen (PSA). La </w:t>
      </w:r>
      <w:proofErr w:type="spellStart"/>
      <w:r>
        <w:t>Radiologia</w:t>
      </w:r>
      <w:proofErr w:type="spellEnd"/>
      <w:r>
        <w:t xml:space="preserve"> </w:t>
      </w:r>
      <w:proofErr w:type="spellStart"/>
      <w:r>
        <w:t>medica</w:t>
      </w:r>
      <w:proofErr w:type="spellEnd"/>
      <w:r>
        <w:t xml:space="preserve"> 2010</w:t>
      </w:r>
      <w:proofErr w:type="gramStart"/>
      <w:r>
        <w:t>;115</w:t>
      </w:r>
      <w:proofErr w:type="gramEnd"/>
      <w:r>
        <w:t>(8):1314-1329</w:t>
      </w:r>
    </w:p>
    <w:p w:rsidR="00423561" w:rsidRDefault="00423561" w:rsidP="006E7FD5">
      <w:proofErr w:type="spellStart"/>
      <w:r>
        <w:t>Pediconi</w:t>
      </w:r>
      <w:proofErr w:type="spellEnd"/>
      <w:r>
        <w:t xml:space="preserve"> F, et al. Intra-individual randomised comparison of </w:t>
      </w:r>
      <w:proofErr w:type="spellStart"/>
      <w:r>
        <w:t>gadobutrol</w:t>
      </w:r>
      <w:proofErr w:type="spellEnd"/>
      <w:r>
        <w:t xml:space="preserve"> 1.0M versus </w:t>
      </w:r>
      <w:proofErr w:type="spellStart"/>
      <w:r>
        <w:t>gadobenate</w:t>
      </w:r>
      <w:proofErr w:type="spellEnd"/>
      <w:r>
        <w:t xml:space="preserve"> </w:t>
      </w:r>
      <w:proofErr w:type="spellStart"/>
      <w:r>
        <w:t>dimeglumine</w:t>
      </w:r>
      <w:proofErr w:type="spellEnd"/>
      <w:r>
        <w:t xml:space="preserve"> 0.5M in patients scheduled for preoperative breast MRI. European Radiology 2013</w:t>
      </w:r>
      <w:proofErr w:type="gramStart"/>
      <w:r>
        <w:t>;23</w:t>
      </w:r>
      <w:proofErr w:type="gramEnd"/>
      <w:r>
        <w:t>(1):84-92</w:t>
      </w:r>
    </w:p>
    <w:p w:rsidR="00423561" w:rsidRDefault="00423561" w:rsidP="006E7FD5">
      <w:proofErr w:type="gramStart"/>
      <w:r>
        <w:t>Pinker K, et al.</w:t>
      </w:r>
      <w:proofErr w:type="gramEnd"/>
      <w:r>
        <w:t xml:space="preserve"> A combined high temporal and high spatial resolution 3 Tesla MR imaging protocol for the assessment of breast lesions: initial results. Invest </w:t>
      </w:r>
      <w:proofErr w:type="spellStart"/>
      <w:r>
        <w:t>Radiol</w:t>
      </w:r>
      <w:proofErr w:type="spellEnd"/>
      <w:r>
        <w:t xml:space="preserve"> 2009</w:t>
      </w:r>
      <w:proofErr w:type="gramStart"/>
      <w:r>
        <w:t>;44</w:t>
      </w:r>
      <w:proofErr w:type="gramEnd"/>
      <w:r>
        <w:t>(9):553-558</w:t>
      </w:r>
    </w:p>
    <w:p w:rsidR="00423561" w:rsidRDefault="00423561" w:rsidP="006E7FD5">
      <w:r>
        <w:t>Pinker-</w:t>
      </w:r>
      <w:proofErr w:type="spellStart"/>
      <w:r>
        <w:t>Domenig</w:t>
      </w:r>
      <w:proofErr w:type="spellEnd"/>
      <w:r>
        <w:t xml:space="preserve"> K, et al. High resolution MRI of the breast at 3 T: which BI-RADS (registered trademark) descriptors are most strongly associated with the diagnosis of breast cancer? </w:t>
      </w:r>
      <w:proofErr w:type="spellStart"/>
      <w:r>
        <w:t>Eur</w:t>
      </w:r>
      <w:proofErr w:type="spellEnd"/>
      <w:r>
        <w:t xml:space="preserve"> </w:t>
      </w:r>
      <w:proofErr w:type="spellStart"/>
      <w:r>
        <w:t>Radiol</w:t>
      </w:r>
      <w:proofErr w:type="spellEnd"/>
      <w:r>
        <w:t xml:space="preserve"> 2012</w:t>
      </w:r>
      <w:proofErr w:type="gramStart"/>
      <w:r>
        <w:t>;22</w:t>
      </w:r>
      <w:proofErr w:type="gramEnd"/>
      <w:r>
        <w:t>(2):322-330</w:t>
      </w:r>
    </w:p>
    <w:p w:rsidR="00423561" w:rsidRDefault="00423561" w:rsidP="006E7FD5">
      <w:proofErr w:type="spellStart"/>
      <w:r>
        <w:t>Razek</w:t>
      </w:r>
      <w:proofErr w:type="spellEnd"/>
      <w:r>
        <w:t xml:space="preserve"> NMA, et al. Role of proton MR spectroscopy in the high field magnet (3T) in diagnosis of indeterminate breast masses (Birds 3 &amp; 4). Egyptian Journal of Radiology and Nuclear Medicine 2012</w:t>
      </w:r>
      <w:proofErr w:type="gramStart"/>
      <w:r>
        <w:t>;43</w:t>
      </w:r>
      <w:proofErr w:type="gramEnd"/>
      <w:r>
        <w:t>(4):657-662</w:t>
      </w:r>
    </w:p>
    <w:p w:rsidR="00423561" w:rsidRDefault="00423561" w:rsidP="006E7FD5">
      <w:r>
        <w:t>Revel MP, et al. Diagnostic accuracy of magnetic resonance imaging for an acute pulmonary embolism: Results of the ÍRM-EP’ study. Journal of Thrombosis and Haemostasis 2012</w:t>
      </w:r>
      <w:proofErr w:type="gramStart"/>
      <w:r>
        <w:t>;10</w:t>
      </w:r>
      <w:proofErr w:type="gramEnd"/>
      <w:r>
        <w:t>(5):743-750</w:t>
      </w:r>
    </w:p>
    <w:p w:rsidR="00423561" w:rsidRDefault="00423561" w:rsidP="006E7FD5">
      <w:r>
        <w:lastRenderedPageBreak/>
        <w:t xml:space="preserve">Richter A, et al. Ultrafast magnetic resonance tomography changes the standard in pancreas diagnosis. </w:t>
      </w:r>
      <w:proofErr w:type="spellStart"/>
      <w:r>
        <w:t>Chirurg</w:t>
      </w:r>
      <w:proofErr w:type="spellEnd"/>
      <w:r>
        <w:t xml:space="preserve"> 2001</w:t>
      </w:r>
      <w:proofErr w:type="gramStart"/>
      <w:r>
        <w:t>;72</w:t>
      </w:r>
      <w:proofErr w:type="gramEnd"/>
      <w:r>
        <w:t>(6):697-703</w:t>
      </w:r>
    </w:p>
    <w:p w:rsidR="00423561" w:rsidRDefault="00423561" w:rsidP="006E7FD5">
      <w:proofErr w:type="spellStart"/>
      <w:r>
        <w:t>Sardanelli</w:t>
      </w:r>
      <w:proofErr w:type="spellEnd"/>
      <w:r>
        <w:t xml:space="preserve"> F, et al. Magnetic resonance imaging of the breast: recommendations from the EUSOMA working group. </w:t>
      </w:r>
      <w:proofErr w:type="spellStart"/>
      <w:r>
        <w:t>Eur</w:t>
      </w:r>
      <w:proofErr w:type="spellEnd"/>
      <w:r>
        <w:t xml:space="preserve"> J Cancer 2010</w:t>
      </w:r>
      <w:proofErr w:type="gramStart"/>
      <w:r>
        <w:t>;46</w:t>
      </w:r>
      <w:proofErr w:type="gramEnd"/>
      <w:r>
        <w:t>(8):1296-1316</w:t>
      </w:r>
    </w:p>
    <w:p w:rsidR="00423561" w:rsidRDefault="00423561" w:rsidP="006E7FD5">
      <w:r>
        <w:t>Schaefer JF, et al. Solitary pulmonary nodules: dynamic contrast-enhanced MR imaging – perfusion differences in malignant and benign lesions. Radiology 2004</w:t>
      </w:r>
      <w:proofErr w:type="gramStart"/>
      <w:r>
        <w:t>;232</w:t>
      </w:r>
      <w:proofErr w:type="gramEnd"/>
      <w:r>
        <w:t>(544-553)</w:t>
      </w:r>
    </w:p>
    <w:p w:rsidR="00423561" w:rsidRDefault="00423561" w:rsidP="006E7FD5">
      <w:proofErr w:type="spellStart"/>
      <w:r>
        <w:t>Scheffel</w:t>
      </w:r>
      <w:proofErr w:type="spellEnd"/>
      <w:r>
        <w:t xml:space="preserve"> H, et al. Low-dose CT and cardiac MR for the diagnosis of coronary artery disease: accuracy of single and combined approaches. </w:t>
      </w:r>
      <w:proofErr w:type="spellStart"/>
      <w:r>
        <w:t>Int</w:t>
      </w:r>
      <w:proofErr w:type="spellEnd"/>
      <w:r>
        <w:t xml:space="preserve"> J </w:t>
      </w:r>
      <w:proofErr w:type="spellStart"/>
      <w:r>
        <w:t>Cardiovasc</w:t>
      </w:r>
      <w:proofErr w:type="spellEnd"/>
      <w:r>
        <w:t xml:space="preserve"> Imaging 2010</w:t>
      </w:r>
      <w:proofErr w:type="gramStart"/>
      <w:r>
        <w:t>;26</w:t>
      </w:r>
      <w:proofErr w:type="gramEnd"/>
      <w:r>
        <w:t>(5):579-590</w:t>
      </w:r>
    </w:p>
    <w:p w:rsidR="00423561" w:rsidRDefault="00423561" w:rsidP="006E7FD5">
      <w:r>
        <w:t xml:space="preserve">Schmitz C, et al. Contrast-enhanced 3.0-T breast MRI for characterization of breast lesions: increased specificity by using vascular maps. </w:t>
      </w:r>
      <w:proofErr w:type="spellStart"/>
      <w:r>
        <w:t>Eur</w:t>
      </w:r>
      <w:proofErr w:type="spellEnd"/>
      <w:r>
        <w:t xml:space="preserve"> </w:t>
      </w:r>
      <w:proofErr w:type="spellStart"/>
      <w:r>
        <w:t>Radiol</w:t>
      </w:r>
      <w:proofErr w:type="spellEnd"/>
      <w:r>
        <w:t xml:space="preserve"> 2008</w:t>
      </w:r>
      <w:proofErr w:type="gramStart"/>
      <w:r>
        <w:t>;18</w:t>
      </w:r>
      <w:proofErr w:type="gramEnd"/>
      <w:r>
        <w:t>(2):355-364</w:t>
      </w:r>
    </w:p>
    <w:p w:rsidR="00423561" w:rsidRDefault="00423561" w:rsidP="006E7FD5">
      <w:r>
        <w:t>Sen J, et al. Benign vs malignant soft tissue neoplasms: limitations of magnetic resonance imaging. Indian Journal of Cancer 2010</w:t>
      </w:r>
      <w:proofErr w:type="gramStart"/>
      <w:r>
        <w:t>;47</w:t>
      </w:r>
      <w:proofErr w:type="gramEnd"/>
      <w:r>
        <w:t xml:space="preserve">(3):280-286 </w:t>
      </w:r>
    </w:p>
    <w:p w:rsidR="00423561" w:rsidRDefault="00423561" w:rsidP="006E7FD5">
      <w:proofErr w:type="spellStart"/>
      <w:r>
        <w:t>Sipola</w:t>
      </w:r>
      <w:proofErr w:type="spellEnd"/>
      <w:r>
        <w:t xml:space="preserve"> P, et al. </w:t>
      </w:r>
      <w:proofErr w:type="spellStart"/>
      <w:r>
        <w:t>Preinterventional</w:t>
      </w:r>
      <w:proofErr w:type="spellEnd"/>
      <w:r>
        <w:t xml:space="preserve"> quantitative magnetic resonance imaging predicts uterus and leiomyoma size reduction after uterine artery embolization. J </w:t>
      </w:r>
      <w:proofErr w:type="spellStart"/>
      <w:r>
        <w:t>Magn</w:t>
      </w:r>
      <w:proofErr w:type="spellEnd"/>
      <w:r>
        <w:t xml:space="preserve"> </w:t>
      </w:r>
      <w:proofErr w:type="spellStart"/>
      <w:r>
        <w:t>Reson</w:t>
      </w:r>
      <w:proofErr w:type="spellEnd"/>
      <w:r>
        <w:t xml:space="preserve"> Imaging 2010</w:t>
      </w:r>
      <w:proofErr w:type="gramStart"/>
      <w:r>
        <w:t>,31</w:t>
      </w:r>
      <w:proofErr w:type="gramEnd"/>
      <w:r>
        <w:t>(3):617-624</w:t>
      </w:r>
    </w:p>
    <w:p w:rsidR="00423561" w:rsidRDefault="00423561" w:rsidP="006E7FD5">
      <w:proofErr w:type="spellStart"/>
      <w:r>
        <w:t>Sironi</w:t>
      </w:r>
      <w:proofErr w:type="spellEnd"/>
      <w:r>
        <w:t xml:space="preserve"> S, et al. Pancreatic carcinoma: MR assessment of tumour invasion of the </w:t>
      </w:r>
      <w:proofErr w:type="spellStart"/>
      <w:r>
        <w:t>peripancreatic</w:t>
      </w:r>
      <w:proofErr w:type="spellEnd"/>
      <w:r>
        <w:t xml:space="preserve"> vessels. J </w:t>
      </w:r>
      <w:proofErr w:type="spellStart"/>
      <w:r>
        <w:t>Comput</w:t>
      </w:r>
      <w:proofErr w:type="spellEnd"/>
      <w:r>
        <w:t xml:space="preserve"> Assist </w:t>
      </w:r>
      <w:proofErr w:type="spellStart"/>
      <w:r>
        <w:t>Tomogr</w:t>
      </w:r>
      <w:proofErr w:type="spellEnd"/>
      <w:r>
        <w:t xml:space="preserve"> 1995</w:t>
      </w:r>
      <w:proofErr w:type="gramStart"/>
      <w:r>
        <w:t>;19</w:t>
      </w:r>
      <w:proofErr w:type="gramEnd"/>
      <w:r>
        <w:t>(5):739-744</w:t>
      </w:r>
    </w:p>
    <w:p w:rsidR="00423561" w:rsidRDefault="00423561" w:rsidP="006E7FD5">
      <w:proofErr w:type="spellStart"/>
      <w:proofErr w:type="gramStart"/>
      <w:r>
        <w:t>Soussan</w:t>
      </w:r>
      <w:proofErr w:type="spellEnd"/>
      <w:r>
        <w:t xml:space="preserve"> M, et al. Comparison of FDG-PET/CT and MR with diffusion-weighted imaging for assessing peritoneal </w:t>
      </w:r>
      <w:proofErr w:type="spellStart"/>
      <w:r>
        <w:t>carcinomatosis</w:t>
      </w:r>
      <w:proofErr w:type="spellEnd"/>
      <w:r>
        <w:t xml:space="preserve"> from gastrointestinal malignancy.</w:t>
      </w:r>
      <w:proofErr w:type="gramEnd"/>
      <w:r>
        <w:t xml:space="preserve"> European Radiology 2012</w:t>
      </w:r>
      <w:proofErr w:type="gramStart"/>
      <w:r>
        <w:t>;22</w:t>
      </w:r>
      <w:proofErr w:type="gramEnd"/>
      <w:r>
        <w:t>(7):1479-1487</w:t>
      </w:r>
    </w:p>
    <w:p w:rsidR="00423561" w:rsidRDefault="00423561" w:rsidP="006E7FD5">
      <w:proofErr w:type="gramStart"/>
      <w:r>
        <w:t>Sumi ,</w:t>
      </w:r>
      <w:proofErr w:type="gramEnd"/>
      <w:r>
        <w:t xml:space="preserve"> et al. Diagnostic performance of MRI relative to CT for metastatic nodes of head and neck squamous carcinoma. J </w:t>
      </w:r>
      <w:proofErr w:type="spellStart"/>
      <w:r>
        <w:t>Magn</w:t>
      </w:r>
      <w:proofErr w:type="spellEnd"/>
      <w:r>
        <w:t xml:space="preserve"> </w:t>
      </w:r>
      <w:proofErr w:type="spellStart"/>
      <w:r>
        <w:t>Reson</w:t>
      </w:r>
      <w:proofErr w:type="spellEnd"/>
      <w:r>
        <w:t xml:space="preserve"> Imaging 2007</w:t>
      </w:r>
      <w:proofErr w:type="gramStart"/>
      <w:r>
        <w:t>;26</w:t>
      </w:r>
      <w:proofErr w:type="gramEnd"/>
      <w:r>
        <w:t>(6):1626-1633</w:t>
      </w:r>
    </w:p>
    <w:p w:rsidR="00423561" w:rsidRDefault="00423561" w:rsidP="006E7FD5">
      <w:r>
        <w:t>Takeuchi M, et al. Urinary bladder cancer: Diffusion-weighted MR imaging – accuracy for diagnosing T stage and estimating histologic grade. Radiology 2009</w:t>
      </w:r>
      <w:proofErr w:type="gramStart"/>
      <w:r>
        <w:t>;251</w:t>
      </w:r>
      <w:proofErr w:type="gramEnd"/>
      <w:r>
        <w:t>(1):112-121</w:t>
      </w:r>
    </w:p>
    <w:p w:rsidR="00423561" w:rsidRDefault="00423561" w:rsidP="006E7FD5">
      <w:r>
        <w:t xml:space="preserve">Tanaka R, et al. Magnetic resonance imaging in peripheral lung adenocarcinoma: correlation with </w:t>
      </w:r>
      <w:proofErr w:type="spellStart"/>
      <w:r>
        <w:t>histopathologic</w:t>
      </w:r>
      <w:proofErr w:type="spellEnd"/>
      <w:r>
        <w:t xml:space="preserve"> features. J </w:t>
      </w:r>
      <w:proofErr w:type="spellStart"/>
      <w:r>
        <w:t>Thorac</w:t>
      </w:r>
      <w:proofErr w:type="spellEnd"/>
      <w:r>
        <w:t xml:space="preserve"> Imaging 2009</w:t>
      </w:r>
      <w:proofErr w:type="gramStart"/>
      <w:r>
        <w:t>;24</w:t>
      </w:r>
      <w:proofErr w:type="gramEnd"/>
      <w:r>
        <w:t>(1):4-9</w:t>
      </w:r>
    </w:p>
    <w:p w:rsidR="00423561" w:rsidRDefault="00423561" w:rsidP="006E7FD5">
      <w:proofErr w:type="spellStart"/>
      <w:r>
        <w:t>Tanimoto</w:t>
      </w:r>
      <w:proofErr w:type="spellEnd"/>
      <w:r>
        <w:t xml:space="preserve"> A, et al. Prostate cancer screening: the clinical value of diffusion-weighted imaging and dynamic MR imaging in combination with T2-weighted imaging. Journal of Magnetic Resonance Imaging 2007</w:t>
      </w:r>
      <w:proofErr w:type="gramStart"/>
      <w:r>
        <w:t>;25:146</w:t>
      </w:r>
      <w:proofErr w:type="gramEnd"/>
      <w:r>
        <w:t>-152</w:t>
      </w:r>
    </w:p>
    <w:p w:rsidR="00423561" w:rsidRDefault="00423561" w:rsidP="006E7FD5">
      <w:proofErr w:type="spellStart"/>
      <w:r>
        <w:t>Tekes</w:t>
      </w:r>
      <w:proofErr w:type="spellEnd"/>
      <w:r>
        <w:t xml:space="preserve"> A, et al. Dynamic MRI of bladder cancer: evaluation of staging accuracy. Am J </w:t>
      </w:r>
      <w:proofErr w:type="spellStart"/>
      <w:r>
        <w:t>Roentgenol</w:t>
      </w:r>
      <w:proofErr w:type="spellEnd"/>
      <w:r>
        <w:t xml:space="preserve"> 2005</w:t>
      </w:r>
      <w:proofErr w:type="gramStart"/>
      <w:r>
        <w:t>;184</w:t>
      </w:r>
      <w:proofErr w:type="gramEnd"/>
      <w:r>
        <w:t>(1):121-127</w:t>
      </w:r>
    </w:p>
    <w:p w:rsidR="00423561" w:rsidRDefault="00423561" w:rsidP="006E7FD5">
      <w:proofErr w:type="spellStart"/>
      <w:r>
        <w:t>Thoeni</w:t>
      </w:r>
      <w:proofErr w:type="spellEnd"/>
      <w:r>
        <w:t xml:space="preserve"> RF, et al. Detection of small, functional islet cell </w:t>
      </w:r>
      <w:proofErr w:type="spellStart"/>
      <w:r>
        <w:t>tumors</w:t>
      </w:r>
      <w:proofErr w:type="spellEnd"/>
      <w:r>
        <w:t xml:space="preserve"> in the pancreas: selection of MR imaging sequences for optimal sensitivity. Radiology 2000</w:t>
      </w:r>
      <w:proofErr w:type="gramStart"/>
      <w:r>
        <w:t>;214</w:t>
      </w:r>
      <w:proofErr w:type="gramEnd"/>
      <w:r>
        <w:t>(2):483-490</w:t>
      </w:r>
    </w:p>
    <w:p w:rsidR="00423561" w:rsidRDefault="00423561" w:rsidP="006E7FD5">
      <w:r>
        <w:t xml:space="preserve">Thomas D, et al. Combined myocardial stress perfusion imaging and myocardial stress tagging for detection of coronary artery disease at 3 Tesla. J </w:t>
      </w:r>
      <w:proofErr w:type="spellStart"/>
      <w:r>
        <w:t>Cardiovasc</w:t>
      </w:r>
      <w:proofErr w:type="spellEnd"/>
      <w:r>
        <w:t xml:space="preserve"> </w:t>
      </w:r>
      <w:proofErr w:type="spellStart"/>
      <w:r>
        <w:t>Magn</w:t>
      </w:r>
      <w:proofErr w:type="spellEnd"/>
      <w:r>
        <w:t xml:space="preserve"> </w:t>
      </w:r>
      <w:proofErr w:type="spellStart"/>
      <w:r>
        <w:t>Reson</w:t>
      </w:r>
      <w:proofErr w:type="spellEnd"/>
      <w:r>
        <w:t xml:space="preserve"> 2008; 10(1):59-68 </w:t>
      </w:r>
    </w:p>
    <w:p w:rsidR="00423561" w:rsidRDefault="00423561" w:rsidP="006E7FD5">
      <w:proofErr w:type="spellStart"/>
      <w:r>
        <w:t>Tokuda</w:t>
      </w:r>
      <w:proofErr w:type="spellEnd"/>
      <w:r>
        <w:t xml:space="preserve"> O, et al. MRI of soft-tissue </w:t>
      </w:r>
      <w:proofErr w:type="spellStart"/>
      <w:r>
        <w:t>tumors</w:t>
      </w:r>
      <w:proofErr w:type="spellEnd"/>
      <w:r>
        <w:t xml:space="preserve">: fast STIR sequence as substitute for T1-weighted fat-suppressed contrast-enhanced spin-echo sequence. Am J </w:t>
      </w:r>
      <w:proofErr w:type="spellStart"/>
      <w:r>
        <w:t>Roentgenol</w:t>
      </w:r>
      <w:proofErr w:type="spellEnd"/>
      <w:r>
        <w:t xml:space="preserve"> 2009</w:t>
      </w:r>
      <w:proofErr w:type="gramStart"/>
      <w:r>
        <w:t>;193</w:t>
      </w:r>
      <w:proofErr w:type="gramEnd"/>
      <w:r>
        <w:t>(6):1607-1614</w:t>
      </w:r>
    </w:p>
    <w:p w:rsidR="00423561" w:rsidRDefault="00423561" w:rsidP="006E7FD5">
      <w:proofErr w:type="spellStart"/>
      <w:r>
        <w:t>Thomassin-Naggara</w:t>
      </w:r>
      <w:proofErr w:type="spellEnd"/>
      <w:r>
        <w:t xml:space="preserve">, et al. Dynamic contrast-enhanced magnetic resonance imaging: a useful tool for characterizing ovarian epithelial tumours. J </w:t>
      </w:r>
      <w:proofErr w:type="spellStart"/>
      <w:r>
        <w:t>Magn</w:t>
      </w:r>
      <w:proofErr w:type="spellEnd"/>
      <w:r>
        <w:t xml:space="preserve"> </w:t>
      </w:r>
      <w:proofErr w:type="spellStart"/>
      <w:r>
        <w:t>Reson</w:t>
      </w:r>
      <w:proofErr w:type="spellEnd"/>
      <w:r>
        <w:t xml:space="preserve"> Imaging 2008</w:t>
      </w:r>
      <w:proofErr w:type="gramStart"/>
      <w:r>
        <w:t>;28</w:t>
      </w:r>
      <w:proofErr w:type="gramEnd"/>
      <w:r>
        <w:t>(1):111-120</w:t>
      </w:r>
    </w:p>
    <w:p w:rsidR="00423561" w:rsidRDefault="00423561" w:rsidP="006E7FD5">
      <w:r>
        <w:t xml:space="preserve">Torricelli P, et al. 3-T MRI in the preoperative evaluation of depth of </w:t>
      </w:r>
      <w:proofErr w:type="spellStart"/>
      <w:r>
        <w:t>myometrial</w:t>
      </w:r>
      <w:proofErr w:type="spellEnd"/>
      <w:r>
        <w:t xml:space="preserve"> infiltration in endometrial cancer. Am J </w:t>
      </w:r>
      <w:proofErr w:type="spellStart"/>
      <w:r>
        <w:t>Roentgenol</w:t>
      </w:r>
      <w:proofErr w:type="spellEnd"/>
      <w:r>
        <w:t xml:space="preserve"> 2008</w:t>
      </w:r>
      <w:proofErr w:type="gramStart"/>
      <w:r>
        <w:t>;190</w:t>
      </w:r>
      <w:proofErr w:type="gramEnd"/>
      <w:r>
        <w:t>(2):489-495</w:t>
      </w:r>
    </w:p>
    <w:p w:rsidR="00423561" w:rsidRDefault="00423561" w:rsidP="006E7FD5">
      <w:r>
        <w:t xml:space="preserve">Valle-Munoz A, et al. Late gadolinium enhancement – cardiovascular magnetic resonance identifies coronary artery disease as the aetiology of left ventricular dysfunction in acute new-onset congestive heart failure. </w:t>
      </w:r>
      <w:proofErr w:type="spellStart"/>
      <w:r>
        <w:t>Eur</w:t>
      </w:r>
      <w:proofErr w:type="spellEnd"/>
      <w:r>
        <w:t xml:space="preserve"> J </w:t>
      </w:r>
      <w:proofErr w:type="spellStart"/>
      <w:r>
        <w:t>Echocardiogr</w:t>
      </w:r>
      <w:proofErr w:type="spellEnd"/>
      <w:r>
        <w:t xml:space="preserve"> 2009</w:t>
      </w:r>
      <w:proofErr w:type="gramStart"/>
      <w:r>
        <w:t>;10</w:t>
      </w:r>
      <w:proofErr w:type="gramEnd"/>
      <w:r>
        <w:t>(8):968-974</w:t>
      </w:r>
    </w:p>
    <w:p w:rsidR="00423561" w:rsidRDefault="00423561" w:rsidP="006E7FD5">
      <w:r>
        <w:lastRenderedPageBreak/>
        <w:t xml:space="preserve">Van </w:t>
      </w:r>
      <w:proofErr w:type="spellStart"/>
      <w:r>
        <w:t>Dyck</w:t>
      </w:r>
      <w:proofErr w:type="spellEnd"/>
      <w:r>
        <w:t xml:space="preserve">, et al. Tears of the supraspinatus tendon: assessment with indirect magnetic resonance arthrography in 67 patients with arthroscopic correlation. </w:t>
      </w:r>
      <w:proofErr w:type="spellStart"/>
      <w:r>
        <w:t>Acta</w:t>
      </w:r>
      <w:proofErr w:type="spellEnd"/>
      <w:r>
        <w:t xml:space="preserve"> </w:t>
      </w:r>
      <w:proofErr w:type="spellStart"/>
      <w:r>
        <w:t>Radiol</w:t>
      </w:r>
      <w:proofErr w:type="spellEnd"/>
      <w:r>
        <w:t xml:space="preserve"> 2009</w:t>
      </w:r>
      <w:proofErr w:type="gramStart"/>
      <w:r>
        <w:t>;50</w:t>
      </w:r>
      <w:proofErr w:type="gramEnd"/>
      <w:r>
        <w:t>(9):1057-1063</w:t>
      </w:r>
    </w:p>
    <w:p w:rsidR="00423561" w:rsidRDefault="00423561" w:rsidP="006E7FD5">
      <w:r>
        <w:t xml:space="preserve">Van Rijswijk CS, et al. Soft-tissue tumours: value of static and dynamic </w:t>
      </w:r>
      <w:proofErr w:type="spellStart"/>
      <w:r>
        <w:t>gadopentate</w:t>
      </w:r>
      <w:proofErr w:type="spellEnd"/>
      <w:r>
        <w:t xml:space="preserve"> </w:t>
      </w:r>
      <w:proofErr w:type="spellStart"/>
      <w:r>
        <w:t>dimeglumine</w:t>
      </w:r>
      <w:proofErr w:type="spellEnd"/>
      <w:r>
        <w:t>-enhanced MR imaging in prediction of malignancy. 2004</w:t>
      </w:r>
      <w:proofErr w:type="gramStart"/>
      <w:r>
        <w:t>;233</w:t>
      </w:r>
      <w:proofErr w:type="gramEnd"/>
      <w:r>
        <w:t>(2):493-502</w:t>
      </w:r>
    </w:p>
    <w:p w:rsidR="00423561" w:rsidRDefault="00423561" w:rsidP="006E7FD5">
      <w:proofErr w:type="spellStart"/>
      <w:r>
        <w:t>Vliegen</w:t>
      </w:r>
      <w:proofErr w:type="spellEnd"/>
      <w:r>
        <w:t xml:space="preserve"> RF, et al. Rectal cancer: MR imaging in local staging: is gadolinium-based contrast material helpful? Radiology 2005</w:t>
      </w:r>
      <w:proofErr w:type="gramStart"/>
      <w:r>
        <w:t>;234</w:t>
      </w:r>
      <w:proofErr w:type="gramEnd"/>
      <w:r>
        <w:t>(1):179-188</w:t>
      </w:r>
    </w:p>
    <w:p w:rsidR="00423561" w:rsidRDefault="00423561" w:rsidP="006E7FD5">
      <w:proofErr w:type="spellStart"/>
      <w:r>
        <w:t>Wallihan</w:t>
      </w:r>
      <w:proofErr w:type="spellEnd"/>
      <w:r>
        <w:t xml:space="preserve"> DB, et al. Inflammatory bowel disease in children and adolescents. Assessing the diagnostic performance and </w:t>
      </w:r>
      <w:proofErr w:type="spellStart"/>
      <w:r>
        <w:t>interreader</w:t>
      </w:r>
      <w:proofErr w:type="spellEnd"/>
      <w:r>
        <w:t xml:space="preserve"> agreement of magnetic resonance </w:t>
      </w:r>
      <w:proofErr w:type="spellStart"/>
      <w:r>
        <w:t>enterography</w:t>
      </w:r>
      <w:proofErr w:type="spellEnd"/>
      <w:r>
        <w:t xml:space="preserve"> compared to histopathology. Academic Radiology 2012</w:t>
      </w:r>
      <w:proofErr w:type="gramStart"/>
      <w:r>
        <w:t>;19</w:t>
      </w:r>
      <w:proofErr w:type="gramEnd"/>
      <w:r>
        <w:t>(7):819-826</w:t>
      </w:r>
    </w:p>
    <w:p w:rsidR="00423561" w:rsidRDefault="00423561" w:rsidP="006E7FD5">
      <w:r>
        <w:t xml:space="preserve">Watanabe H, et al. Preoperative T staging of urinary bladder cancer: does diffusion-weighted MRI have supplementary value? Am J </w:t>
      </w:r>
      <w:proofErr w:type="spellStart"/>
      <w:r>
        <w:t>Roentgenol</w:t>
      </w:r>
      <w:proofErr w:type="spellEnd"/>
      <w:r>
        <w:t xml:space="preserve"> 2009</w:t>
      </w:r>
      <w:proofErr w:type="gramStart"/>
      <w:r>
        <w:t>;192</w:t>
      </w:r>
      <w:proofErr w:type="gramEnd"/>
      <w:r>
        <w:t>(5):1361-1366</w:t>
      </w:r>
    </w:p>
    <w:p w:rsidR="00423561" w:rsidRDefault="00423561" w:rsidP="006E7FD5">
      <w:proofErr w:type="spellStart"/>
      <w:r>
        <w:t>Yabuchi</w:t>
      </w:r>
      <w:proofErr w:type="spellEnd"/>
      <w:r>
        <w:t xml:space="preserve"> H, et al. Parotid gland tumours: Can addition of diffusion-weighted MR imaging to dynamic contrast-enhanced MR imaging improve diagnostic accuracy in characterization? Radiology 2008</w:t>
      </w:r>
      <w:proofErr w:type="gramStart"/>
      <w:r>
        <w:t>;249</w:t>
      </w:r>
      <w:proofErr w:type="gramEnd"/>
      <w:r>
        <w:t>(3):909-916</w:t>
      </w:r>
    </w:p>
    <w:p w:rsidR="00423561" w:rsidRDefault="00423561" w:rsidP="006E7FD5">
      <w:r>
        <w:t xml:space="preserve">Yi CA, et al. Non-small cell lung cancer staging: efficacy comparison of </w:t>
      </w:r>
      <w:proofErr w:type="spellStart"/>
      <w:r>
        <w:t>itegrated</w:t>
      </w:r>
      <w:proofErr w:type="spellEnd"/>
      <w:r>
        <w:t xml:space="preserve"> PET/CT versus 3.0-T whole-body MR imaging. Radiology 2008</w:t>
      </w:r>
      <w:proofErr w:type="gramStart"/>
      <w:r>
        <w:t>;248</w:t>
      </w:r>
      <w:proofErr w:type="gramEnd"/>
      <w:r>
        <w:t>(2):632-642</w:t>
      </w:r>
    </w:p>
    <w:p w:rsidR="00423561" w:rsidRDefault="00423561" w:rsidP="006E7FD5">
      <w:proofErr w:type="spellStart"/>
      <w:r>
        <w:t>Yoshimitsu</w:t>
      </w:r>
      <w:proofErr w:type="spellEnd"/>
      <w:r>
        <w:t xml:space="preserve"> K, et al. Magnetic resonance differentiation between T2 and T1 gallbladder carcinoma: Significance of </w:t>
      </w:r>
      <w:proofErr w:type="spellStart"/>
      <w:r>
        <w:t>subserosal</w:t>
      </w:r>
      <w:proofErr w:type="spellEnd"/>
      <w:r>
        <w:t xml:space="preserve"> enhancement on the delayed phase dynamic study. Magnetic Resonance Imaging 2012</w:t>
      </w:r>
      <w:proofErr w:type="gramStart"/>
      <w:r>
        <w:t>;30</w:t>
      </w:r>
      <w:proofErr w:type="gramEnd"/>
      <w:r>
        <w:t xml:space="preserve">(6):854-859 </w:t>
      </w:r>
    </w:p>
    <w:p w:rsidR="00423561" w:rsidRDefault="00423561" w:rsidP="006E7FD5">
      <w:r>
        <w:t xml:space="preserve">Zappa M, et al. Which magnetic resonance imaging findings accurately evaluate inflammation in small bowel Crohn’s disease? </w:t>
      </w:r>
      <w:proofErr w:type="gramStart"/>
      <w:r>
        <w:t>A retrospective comparison with surgical pathologic analysis.</w:t>
      </w:r>
      <w:proofErr w:type="gramEnd"/>
      <w:r>
        <w:t xml:space="preserve"> Inflammatory Bowel Diseases 2011</w:t>
      </w:r>
      <w:proofErr w:type="gramStart"/>
      <w:r>
        <w:t>;17</w:t>
      </w:r>
      <w:proofErr w:type="gramEnd"/>
      <w:r>
        <w:t>(4):984-993</w:t>
      </w:r>
    </w:p>
    <w:p w:rsidR="00423561" w:rsidRDefault="00423561" w:rsidP="006E7FD5">
      <w:r>
        <w:t xml:space="preserve">Zou Y, et al. Quantitative investigation of solitary pulmonary nodules: dynamic contrast-enhanced MRI and </w:t>
      </w:r>
      <w:proofErr w:type="spellStart"/>
      <w:r>
        <w:t>histopathologic</w:t>
      </w:r>
      <w:proofErr w:type="spellEnd"/>
      <w:r>
        <w:t xml:space="preserve"> analysis. AJR Am J </w:t>
      </w:r>
      <w:proofErr w:type="spellStart"/>
      <w:r>
        <w:t>Roentgenol</w:t>
      </w:r>
      <w:proofErr w:type="spellEnd"/>
      <w:r>
        <w:t xml:space="preserve"> 2008</w:t>
      </w:r>
      <w:proofErr w:type="gramStart"/>
      <w:r>
        <w:t>;191</w:t>
      </w:r>
      <w:proofErr w:type="gramEnd"/>
      <w:r>
        <w:t>(252-259):</w:t>
      </w:r>
    </w:p>
    <w:p w:rsidR="003D1E62" w:rsidRPr="001D043B" w:rsidRDefault="008E7846" w:rsidP="002666AC">
      <w:pPr>
        <w:sectPr w:rsidR="003D1E62" w:rsidRPr="001D043B" w:rsidSect="008D770F">
          <w:headerReference w:type="even" r:id="rId95"/>
          <w:headerReference w:type="default" r:id="rId96"/>
          <w:headerReference w:type="first" r:id="rId97"/>
          <w:footerReference w:type="first" r:id="rId9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23561">
        <w:trPr>
          <w:trHeight w:hRule="exact" w:val="564"/>
        </w:trPr>
        <w:tc>
          <w:tcPr>
            <w:tcW w:w="9175" w:type="dxa"/>
          </w:tcPr>
          <w:p w:rsidR="00B3567E" w:rsidRPr="00487162" w:rsidRDefault="00B3567E" w:rsidP="00423561">
            <w:pPr>
              <w:pStyle w:val="TGASignoff"/>
            </w:pPr>
            <w:r w:rsidRPr="00487162">
              <w:lastRenderedPageBreak/>
              <w:t>Therapeutic Goods Administration</w:t>
            </w:r>
          </w:p>
        </w:tc>
      </w:tr>
      <w:tr w:rsidR="00B3567E" w:rsidRPr="00487162" w:rsidTr="00423561">
        <w:trPr>
          <w:trHeight w:val="1221"/>
        </w:trPr>
        <w:tc>
          <w:tcPr>
            <w:tcW w:w="9175" w:type="dxa"/>
            <w:tcMar>
              <w:top w:w="28" w:type="dxa"/>
            </w:tcMar>
          </w:tcPr>
          <w:p w:rsidR="00B3567E" w:rsidRPr="00487162" w:rsidRDefault="00B3567E" w:rsidP="00423561">
            <w:pPr>
              <w:pStyle w:val="Address"/>
            </w:pPr>
            <w:r w:rsidRPr="00487162">
              <w:t>PO Box 100 Woden ACT 2606 Australia</w:t>
            </w:r>
          </w:p>
          <w:p w:rsidR="00B3567E" w:rsidRPr="00487162" w:rsidRDefault="00B3567E" w:rsidP="00423561">
            <w:pPr>
              <w:pStyle w:val="Address"/>
            </w:pPr>
            <w:r w:rsidRPr="00487162">
              <w:t xml:space="preserve">Email: </w:t>
            </w:r>
            <w:hyperlink r:id="rId99" w:history="1">
              <w:r w:rsidRPr="008D770F">
                <w:rPr>
                  <w:rStyle w:val="Hyperlink"/>
                </w:rPr>
                <w:t>info@tga.gov.au</w:t>
              </w:r>
            </w:hyperlink>
            <w:r w:rsidRPr="00487162">
              <w:t xml:space="preserve">  Phone: 1800 020 653  Fax: 02 6232 8605</w:t>
            </w:r>
          </w:p>
          <w:p w:rsidR="00B3567E" w:rsidRPr="008D770F" w:rsidRDefault="00C80674" w:rsidP="00423561">
            <w:pPr>
              <w:pStyle w:val="Address"/>
              <w:spacing w:line="260" w:lineRule="atLeast"/>
              <w:rPr>
                <w:b/>
                <w:color w:val="0000FF"/>
                <w:u w:val="single"/>
              </w:rPr>
            </w:pPr>
            <w:hyperlink r:id="rId100"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101"/>
      <w:headerReference w:type="default" r:id="rId102"/>
      <w:footerReference w:type="default" r:id="rId103"/>
      <w:headerReference w:type="first" r:id="rId104"/>
      <w:footerReference w:type="first" r:id="rId10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674" w:rsidRDefault="00C80674" w:rsidP="00C40A36">
      <w:pPr>
        <w:spacing w:after="0"/>
      </w:pPr>
      <w:r>
        <w:separator/>
      </w:r>
    </w:p>
  </w:endnote>
  <w:endnote w:type="continuationSeparator" w:id="0">
    <w:p w:rsidR="00C80674" w:rsidRDefault="00C8067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55 Roman">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C80674" w:rsidRPr="00487162" w:rsidTr="00423561">
      <w:trPr>
        <w:trHeight w:val="269"/>
      </w:trPr>
      <w:tc>
        <w:tcPr>
          <w:tcW w:w="7513" w:type="dxa"/>
          <w:tcMar>
            <w:top w:w="142" w:type="dxa"/>
            <w:bottom w:w="0" w:type="dxa"/>
          </w:tcMar>
        </w:tcPr>
        <w:p w:rsidR="00C80674" w:rsidRPr="00487162" w:rsidRDefault="00C80674" w:rsidP="0028713E">
          <w:pPr>
            <w:pStyle w:val="Footer"/>
          </w:pPr>
          <w:r>
            <w:t>Submission</w:t>
          </w:r>
          <w:r w:rsidRPr="00487162">
            <w:t xml:space="preserve"> </w:t>
          </w:r>
          <w:r w:rsidRPr="009570A8">
            <w:rPr>
              <w:sz w:val="18"/>
              <w:szCs w:val="18"/>
            </w:rPr>
            <w:t>20</w:t>
          </w:r>
          <w:r>
            <w:rPr>
              <w:sz w:val="18"/>
              <w:szCs w:val="18"/>
            </w:rPr>
            <w:t>13</w:t>
          </w:r>
          <w:r w:rsidRPr="009570A8">
            <w:rPr>
              <w:sz w:val="18"/>
              <w:szCs w:val="18"/>
            </w:rPr>
            <w:t>-</w:t>
          </w:r>
          <w:r>
            <w:rPr>
              <w:sz w:val="18"/>
              <w:szCs w:val="18"/>
            </w:rPr>
            <w:t xml:space="preserve">04968-1-2 </w:t>
          </w:r>
          <w:r>
            <w:t xml:space="preserve">Extract from the Clinical Evaluation Report for </w:t>
          </w:r>
          <w:proofErr w:type="spellStart"/>
          <w:r>
            <w:t>Gadovist</w:t>
          </w:r>
          <w:proofErr w:type="spellEnd"/>
        </w:p>
      </w:tc>
      <w:tc>
        <w:tcPr>
          <w:tcW w:w="1348" w:type="dxa"/>
          <w:tcMar>
            <w:top w:w="142" w:type="dxa"/>
            <w:bottom w:w="0" w:type="dxa"/>
          </w:tcMar>
        </w:tcPr>
        <w:p w:rsidR="00C80674" w:rsidRPr="00981D66" w:rsidRDefault="00C8067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4113D">
            <w:rPr>
              <w:noProof/>
            </w:rPr>
            <w:t>66</w:t>
          </w:r>
          <w:r w:rsidRPr="00981D66">
            <w:fldChar w:fldCharType="end"/>
          </w:r>
          <w:r w:rsidRPr="00981D66">
            <w:t xml:space="preserve"> of </w:t>
          </w:r>
          <w:fldSimple w:instr=" NUMPAGES  \* Arabic  \* MERGEFORMAT ">
            <w:r w:rsidR="00D4113D">
              <w:rPr>
                <w:noProof/>
              </w:rPr>
              <w:t>67</w:t>
            </w:r>
          </w:fldSimple>
        </w:p>
      </w:tc>
    </w:tr>
  </w:tbl>
  <w:p w:rsidR="00C80674" w:rsidRDefault="00C8067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80674" w:rsidRPr="00487162" w:rsidTr="00E45619">
      <w:trPr>
        <w:trHeight w:val="269"/>
      </w:trPr>
      <w:tc>
        <w:tcPr>
          <w:tcW w:w="4519" w:type="dxa"/>
          <w:tcBorders>
            <w:top w:val="single" w:sz="4" w:space="0" w:color="auto"/>
          </w:tcBorders>
          <w:tcMar>
            <w:top w:w="142" w:type="dxa"/>
            <w:bottom w:w="0" w:type="dxa"/>
          </w:tcMar>
        </w:tcPr>
        <w:p w:rsidR="00C80674" w:rsidRPr="00487162" w:rsidRDefault="00C80674" w:rsidP="00FE1DEE">
          <w:pPr>
            <w:pStyle w:val="Footer"/>
          </w:pPr>
          <w:r w:rsidRPr="00487162">
            <w:t>Document title, Part #, Section # - Section title</w:t>
          </w:r>
        </w:p>
        <w:p w:rsidR="00C80674" w:rsidRPr="00487162" w:rsidRDefault="00C80674" w:rsidP="00FE1DEE">
          <w:pPr>
            <w:pStyle w:val="Footer"/>
          </w:pPr>
          <w:r w:rsidRPr="00487162">
            <w:t>V1.0 October 2010</w:t>
          </w:r>
        </w:p>
      </w:tc>
      <w:tc>
        <w:tcPr>
          <w:tcW w:w="4342" w:type="dxa"/>
          <w:tcBorders>
            <w:top w:val="single" w:sz="4" w:space="0" w:color="auto"/>
          </w:tcBorders>
          <w:tcMar>
            <w:top w:w="142" w:type="dxa"/>
            <w:bottom w:w="0" w:type="dxa"/>
          </w:tcMar>
        </w:tcPr>
        <w:p w:rsidR="00C80674" w:rsidRPr="00487162" w:rsidRDefault="00C8067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C80674" w:rsidRDefault="00C806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80674" w:rsidTr="0010601F">
      <w:trPr>
        <w:trHeight w:val="108"/>
      </w:trPr>
      <w:tc>
        <w:tcPr>
          <w:tcW w:w="8875" w:type="dxa"/>
          <w:gridSpan w:val="2"/>
          <w:tcBorders>
            <w:bottom w:val="single" w:sz="4" w:space="0" w:color="auto"/>
          </w:tcBorders>
          <w:tcMar>
            <w:right w:w="284" w:type="dxa"/>
          </w:tcMar>
        </w:tcPr>
        <w:p w:rsidR="00C80674" w:rsidRDefault="00C80674" w:rsidP="006E08B3">
          <w:pPr>
            <w:pStyle w:val="Heading3"/>
          </w:pPr>
          <w:r>
            <w:t>Copyright</w:t>
          </w:r>
        </w:p>
        <w:p w:rsidR="00C80674" w:rsidRDefault="00C80674" w:rsidP="006E08B3">
          <w:r>
            <w:rPr>
              <w:rFonts w:cs="Arial"/>
            </w:rPr>
            <w:t>©</w:t>
          </w:r>
          <w:r>
            <w:t xml:space="preserve"> Commonwealth of Australia [add year]</w:t>
          </w:r>
        </w:p>
        <w:p w:rsidR="00C80674" w:rsidRDefault="00C80674" w:rsidP="006E08B3"/>
        <w:p w:rsidR="00C80674" w:rsidRDefault="00C8067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80674" w:rsidRDefault="00C80674" w:rsidP="006E08B3"/>
        <w:p w:rsidR="00C80674" w:rsidRDefault="00C80674" w:rsidP="006E08B3">
          <w:pPr>
            <w:pStyle w:val="Heading3"/>
          </w:pPr>
          <w:r>
            <w:t>Confidentiality</w:t>
          </w:r>
        </w:p>
        <w:p w:rsidR="00C80674" w:rsidRDefault="00C8067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80674" w:rsidRDefault="00C80674" w:rsidP="006E08B3"/>
        <w:p w:rsidR="00C80674" w:rsidRDefault="00C80674" w:rsidP="006E08B3">
          <w:r>
            <w:t>For submission made by individuals, all personal details, other than your name, will be removed from your submission before it is published on the TGA’s Internet site.</w:t>
          </w:r>
        </w:p>
        <w:p w:rsidR="00C80674" w:rsidRDefault="00C80674" w:rsidP="006E08B3"/>
        <w:p w:rsidR="00C80674" w:rsidRDefault="00C8067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80674" w:rsidTr="0010601F">
      <w:trPr>
        <w:trHeight w:val="417"/>
      </w:trPr>
      <w:tc>
        <w:tcPr>
          <w:tcW w:w="4519" w:type="dxa"/>
          <w:tcBorders>
            <w:top w:val="single" w:sz="4" w:space="0" w:color="auto"/>
          </w:tcBorders>
          <w:tcMar>
            <w:top w:w="142" w:type="dxa"/>
            <w:bottom w:w="0" w:type="dxa"/>
          </w:tcMar>
        </w:tcPr>
        <w:p w:rsidR="00C80674" w:rsidRDefault="00C80674" w:rsidP="006E08B3">
          <w:r>
            <w:t>Document title, Part #, Section # - Section title</w:t>
          </w:r>
        </w:p>
        <w:p w:rsidR="00C80674" w:rsidRDefault="00C80674" w:rsidP="006E08B3">
          <w:r>
            <w:t>V1.0 October 2010</w:t>
          </w:r>
        </w:p>
      </w:tc>
      <w:tc>
        <w:tcPr>
          <w:tcW w:w="4356" w:type="dxa"/>
          <w:tcBorders>
            <w:top w:val="single" w:sz="4" w:space="0" w:color="auto"/>
          </w:tcBorders>
          <w:tcMar>
            <w:top w:w="142" w:type="dxa"/>
            <w:bottom w:w="0" w:type="dxa"/>
          </w:tcMar>
        </w:tcPr>
        <w:p w:rsidR="00C80674" w:rsidRDefault="00C8067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C80674" w:rsidRDefault="00C806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674" w:rsidRDefault="00C80674" w:rsidP="00C40A36">
      <w:pPr>
        <w:spacing w:after="0"/>
      </w:pPr>
      <w:r>
        <w:separator/>
      </w:r>
    </w:p>
  </w:footnote>
  <w:footnote w:type="continuationSeparator" w:id="0">
    <w:p w:rsidR="00C80674" w:rsidRDefault="00C80674"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pPr>
      <w:rPr>
        <w:noProof/>
        <w:lang w:eastAsia="en-AU"/>
      </w:rPr>
    </w:pPr>
    <w:r w:rsidRPr="002D545C">
      <w:rPr>
        <w:noProof/>
        <w:lang w:eastAsia="en-AU"/>
      </w:rPr>
      <w:drawing>
        <wp:anchor distT="0" distB="0" distL="114300" distR="114300" simplePos="0" relativeHeight="251659264" behindDoc="1" locked="0" layoutInCell="1" allowOverlap="1" wp14:anchorId="334868D4" wp14:editId="7BEA60A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80674" w:rsidRDefault="00C80674" w:rsidP="00593AD1">
    <w:pPr>
      <w:pStyle w:val="HeaderNoLine"/>
    </w:pPr>
    <w:r>
      <w:rPr>
        <w:noProof/>
        <w:lang w:eastAsia="en-AU"/>
      </w:rPr>
      <w:drawing>
        <wp:inline distT="0" distB="0" distL="0" distR="0" wp14:anchorId="698A1BF6" wp14:editId="725FA8F8">
          <wp:extent cx="5400675" cy="7639050"/>
          <wp:effectExtent l="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4" w:rsidRDefault="00C80674" w:rsidP="006E08B3">
    <w:r>
      <w:t>Therapeutic Goods Administration</w:t>
    </w:r>
  </w:p>
  <w:p w:rsidR="00C80674" w:rsidRDefault="00C8067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9086E08"/>
    <w:multiLevelType w:val="hybridMultilevel"/>
    <w:tmpl w:val="4232F8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28CD692A"/>
    <w:multiLevelType w:val="hybridMultilevel"/>
    <w:tmpl w:val="7688A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9E20E26"/>
    <w:multiLevelType w:val="hybridMultilevel"/>
    <w:tmpl w:val="D500EAAC"/>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9">
    <w:nsid w:val="301E243D"/>
    <w:multiLevelType w:val="hybridMultilevel"/>
    <w:tmpl w:val="5A56208A"/>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0">
    <w:nsid w:val="3066740A"/>
    <w:multiLevelType w:val="hybridMultilevel"/>
    <w:tmpl w:val="C8C6FB7C"/>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5871F8C"/>
    <w:multiLevelType w:val="hybridMultilevel"/>
    <w:tmpl w:val="037AD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48A409AF"/>
    <w:multiLevelType w:val="hybridMultilevel"/>
    <w:tmpl w:val="4D6EF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77B5173"/>
    <w:multiLevelType w:val="hybridMultilevel"/>
    <w:tmpl w:val="7AD479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5F4C281F"/>
    <w:multiLevelType w:val="hybridMultilevel"/>
    <w:tmpl w:val="AC96A61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E4A6BDF"/>
    <w:multiLevelType w:val="hybridMultilevel"/>
    <w:tmpl w:val="804C75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76D069C7"/>
    <w:multiLevelType w:val="hybridMultilevel"/>
    <w:tmpl w:val="ADA40D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7DF029C9"/>
    <w:multiLevelType w:val="hybridMultilevel"/>
    <w:tmpl w:val="90BABF68"/>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5"/>
  </w:num>
  <w:num w:numId="27">
    <w:abstractNumId w:val="17"/>
  </w:num>
  <w:num w:numId="28">
    <w:abstractNumId w:val="19"/>
  </w:num>
  <w:num w:numId="29">
    <w:abstractNumId w:val="20"/>
  </w:num>
  <w:num w:numId="30">
    <w:abstractNumId w:val="20"/>
  </w:num>
  <w:num w:numId="31">
    <w:abstractNumId w:val="2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1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3"/>
  </w:num>
  <w:num w:numId="42">
    <w:abstractNumId w:val="8"/>
  </w:num>
  <w:num w:numId="43">
    <w:abstractNumId w:val="13"/>
  </w:num>
  <w:num w:numId="44">
    <w:abstractNumId w:val="7"/>
  </w:num>
  <w:num w:numId="45">
    <w:abstractNumId w:val="22"/>
  </w:num>
  <w:num w:numId="46">
    <w:abstractNumId w:val="7"/>
  </w:num>
  <w:num w:numId="47">
    <w:abstractNumId w:val="6"/>
  </w:num>
  <w:num w:numId="4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8E"/>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1E6"/>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95B27"/>
    <w:rsid w:val="00197E85"/>
    <w:rsid w:val="001A2158"/>
    <w:rsid w:val="001A525F"/>
    <w:rsid w:val="001B09F9"/>
    <w:rsid w:val="001B5D98"/>
    <w:rsid w:val="001B6448"/>
    <w:rsid w:val="001E07CF"/>
    <w:rsid w:val="001E59F1"/>
    <w:rsid w:val="001F456D"/>
    <w:rsid w:val="001F49EB"/>
    <w:rsid w:val="001F6CBA"/>
    <w:rsid w:val="00201D4E"/>
    <w:rsid w:val="002076C9"/>
    <w:rsid w:val="00220B8A"/>
    <w:rsid w:val="002257F3"/>
    <w:rsid w:val="00233456"/>
    <w:rsid w:val="002339A5"/>
    <w:rsid w:val="002405A9"/>
    <w:rsid w:val="00257848"/>
    <w:rsid w:val="002666AC"/>
    <w:rsid w:val="0027084A"/>
    <w:rsid w:val="00286434"/>
    <w:rsid w:val="00286C59"/>
    <w:rsid w:val="0028713E"/>
    <w:rsid w:val="00292113"/>
    <w:rsid w:val="002942D1"/>
    <w:rsid w:val="0029501A"/>
    <w:rsid w:val="002A489E"/>
    <w:rsid w:val="002B1638"/>
    <w:rsid w:val="002C1258"/>
    <w:rsid w:val="002C63ED"/>
    <w:rsid w:val="002D545C"/>
    <w:rsid w:val="002D6161"/>
    <w:rsid w:val="002E4C9A"/>
    <w:rsid w:val="002F11F8"/>
    <w:rsid w:val="002F3F56"/>
    <w:rsid w:val="002F44B5"/>
    <w:rsid w:val="00305454"/>
    <w:rsid w:val="00311AC0"/>
    <w:rsid w:val="00315E7B"/>
    <w:rsid w:val="0032583B"/>
    <w:rsid w:val="00327883"/>
    <w:rsid w:val="00335504"/>
    <w:rsid w:val="003521E8"/>
    <w:rsid w:val="00360061"/>
    <w:rsid w:val="00367950"/>
    <w:rsid w:val="003728F3"/>
    <w:rsid w:val="0037496E"/>
    <w:rsid w:val="0037623D"/>
    <w:rsid w:val="00386150"/>
    <w:rsid w:val="003874CE"/>
    <w:rsid w:val="00390900"/>
    <w:rsid w:val="00393D12"/>
    <w:rsid w:val="00396C92"/>
    <w:rsid w:val="003A69AE"/>
    <w:rsid w:val="003A7F6C"/>
    <w:rsid w:val="003B1113"/>
    <w:rsid w:val="003B4D60"/>
    <w:rsid w:val="003B634F"/>
    <w:rsid w:val="003B7E39"/>
    <w:rsid w:val="003C58DC"/>
    <w:rsid w:val="003D0A3B"/>
    <w:rsid w:val="003D1E62"/>
    <w:rsid w:val="003E2486"/>
    <w:rsid w:val="003E3208"/>
    <w:rsid w:val="003E7AB8"/>
    <w:rsid w:val="003F0B04"/>
    <w:rsid w:val="003F315F"/>
    <w:rsid w:val="0040134E"/>
    <w:rsid w:val="00415D59"/>
    <w:rsid w:val="00423561"/>
    <w:rsid w:val="0043797D"/>
    <w:rsid w:val="00440A2D"/>
    <w:rsid w:val="004564A7"/>
    <w:rsid w:val="004617BF"/>
    <w:rsid w:val="004622DB"/>
    <w:rsid w:val="00463658"/>
    <w:rsid w:val="004722CC"/>
    <w:rsid w:val="00492DE6"/>
    <w:rsid w:val="004936E4"/>
    <w:rsid w:val="00494E60"/>
    <w:rsid w:val="00497487"/>
    <w:rsid w:val="004A7617"/>
    <w:rsid w:val="004A7E13"/>
    <w:rsid w:val="004B7B76"/>
    <w:rsid w:val="004C2DCA"/>
    <w:rsid w:val="004D3B5C"/>
    <w:rsid w:val="004F0F38"/>
    <w:rsid w:val="004F4AF5"/>
    <w:rsid w:val="00501921"/>
    <w:rsid w:val="00530354"/>
    <w:rsid w:val="0053625B"/>
    <w:rsid w:val="005434C6"/>
    <w:rsid w:val="00543B39"/>
    <w:rsid w:val="00550096"/>
    <w:rsid w:val="00557FF9"/>
    <w:rsid w:val="00561725"/>
    <w:rsid w:val="00576378"/>
    <w:rsid w:val="00577945"/>
    <w:rsid w:val="00577E38"/>
    <w:rsid w:val="00585322"/>
    <w:rsid w:val="005857C6"/>
    <w:rsid w:val="00586F98"/>
    <w:rsid w:val="00592F6E"/>
    <w:rsid w:val="00593AD1"/>
    <w:rsid w:val="005A68B6"/>
    <w:rsid w:val="005B1D36"/>
    <w:rsid w:val="005C5570"/>
    <w:rsid w:val="005C79A4"/>
    <w:rsid w:val="005D5442"/>
    <w:rsid w:val="005F5DAF"/>
    <w:rsid w:val="00603F32"/>
    <w:rsid w:val="00613932"/>
    <w:rsid w:val="00620406"/>
    <w:rsid w:val="00632398"/>
    <w:rsid w:val="00640FC3"/>
    <w:rsid w:val="00642020"/>
    <w:rsid w:val="00646206"/>
    <w:rsid w:val="0065337B"/>
    <w:rsid w:val="0065419D"/>
    <w:rsid w:val="006604D8"/>
    <w:rsid w:val="00664A5B"/>
    <w:rsid w:val="00670470"/>
    <w:rsid w:val="006763D2"/>
    <w:rsid w:val="00680C08"/>
    <w:rsid w:val="006931B1"/>
    <w:rsid w:val="006A15C0"/>
    <w:rsid w:val="006C130C"/>
    <w:rsid w:val="006C3E2A"/>
    <w:rsid w:val="006C642F"/>
    <w:rsid w:val="006D03E5"/>
    <w:rsid w:val="006D5D3E"/>
    <w:rsid w:val="006E08B3"/>
    <w:rsid w:val="006E3D05"/>
    <w:rsid w:val="006E7FD5"/>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1762"/>
    <w:rsid w:val="00785721"/>
    <w:rsid w:val="00793A59"/>
    <w:rsid w:val="007B20F5"/>
    <w:rsid w:val="007B6E9F"/>
    <w:rsid w:val="007C1216"/>
    <w:rsid w:val="007C1AF7"/>
    <w:rsid w:val="007E6E27"/>
    <w:rsid w:val="007F1693"/>
    <w:rsid w:val="00804FA1"/>
    <w:rsid w:val="00805D27"/>
    <w:rsid w:val="00821776"/>
    <w:rsid w:val="008321F5"/>
    <w:rsid w:val="00832369"/>
    <w:rsid w:val="00833F50"/>
    <w:rsid w:val="00834660"/>
    <w:rsid w:val="00836BC2"/>
    <w:rsid w:val="008414A0"/>
    <w:rsid w:val="0085641B"/>
    <w:rsid w:val="00857136"/>
    <w:rsid w:val="00886D15"/>
    <w:rsid w:val="00887DD8"/>
    <w:rsid w:val="00891874"/>
    <w:rsid w:val="00896018"/>
    <w:rsid w:val="008960DD"/>
    <w:rsid w:val="0089635C"/>
    <w:rsid w:val="008A2B9D"/>
    <w:rsid w:val="008A5E0B"/>
    <w:rsid w:val="008A6D59"/>
    <w:rsid w:val="008B4B03"/>
    <w:rsid w:val="008B596F"/>
    <w:rsid w:val="008B5A3E"/>
    <w:rsid w:val="008C159F"/>
    <w:rsid w:val="008C1623"/>
    <w:rsid w:val="008C1850"/>
    <w:rsid w:val="008C51A9"/>
    <w:rsid w:val="008C7266"/>
    <w:rsid w:val="008D19AC"/>
    <w:rsid w:val="008D1EC1"/>
    <w:rsid w:val="008D770F"/>
    <w:rsid w:val="008E7846"/>
    <w:rsid w:val="008F1CCC"/>
    <w:rsid w:val="008F2967"/>
    <w:rsid w:val="008F6943"/>
    <w:rsid w:val="00902A21"/>
    <w:rsid w:val="00920330"/>
    <w:rsid w:val="009219D7"/>
    <w:rsid w:val="00922D53"/>
    <w:rsid w:val="00923B70"/>
    <w:rsid w:val="00924482"/>
    <w:rsid w:val="00930237"/>
    <w:rsid w:val="009438E8"/>
    <w:rsid w:val="00946EA5"/>
    <w:rsid w:val="0095160F"/>
    <w:rsid w:val="00954D50"/>
    <w:rsid w:val="00963C08"/>
    <w:rsid w:val="00981D66"/>
    <w:rsid w:val="0098585A"/>
    <w:rsid w:val="0098669D"/>
    <w:rsid w:val="00994C95"/>
    <w:rsid w:val="009A4CED"/>
    <w:rsid w:val="009A690D"/>
    <w:rsid w:val="009B1D12"/>
    <w:rsid w:val="009B416B"/>
    <w:rsid w:val="009C4BD5"/>
    <w:rsid w:val="009D7B77"/>
    <w:rsid w:val="009E0BB0"/>
    <w:rsid w:val="009E3FBB"/>
    <w:rsid w:val="00A06571"/>
    <w:rsid w:val="00A102E4"/>
    <w:rsid w:val="00A12C42"/>
    <w:rsid w:val="00A14DF7"/>
    <w:rsid w:val="00A235D9"/>
    <w:rsid w:val="00A3246D"/>
    <w:rsid w:val="00A36FA7"/>
    <w:rsid w:val="00A475B7"/>
    <w:rsid w:val="00A47AF7"/>
    <w:rsid w:val="00A47C3E"/>
    <w:rsid w:val="00A50226"/>
    <w:rsid w:val="00A60BAD"/>
    <w:rsid w:val="00A76E19"/>
    <w:rsid w:val="00A964D1"/>
    <w:rsid w:val="00AA0ED0"/>
    <w:rsid w:val="00AA3499"/>
    <w:rsid w:val="00AA542C"/>
    <w:rsid w:val="00AB174B"/>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1B92"/>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6861"/>
    <w:rsid w:val="00C22678"/>
    <w:rsid w:val="00C22F92"/>
    <w:rsid w:val="00C355A7"/>
    <w:rsid w:val="00C3732E"/>
    <w:rsid w:val="00C404A6"/>
    <w:rsid w:val="00C40A36"/>
    <w:rsid w:val="00C44419"/>
    <w:rsid w:val="00C45E7B"/>
    <w:rsid w:val="00C4625F"/>
    <w:rsid w:val="00C471B1"/>
    <w:rsid w:val="00C618F7"/>
    <w:rsid w:val="00C6316B"/>
    <w:rsid w:val="00C634A9"/>
    <w:rsid w:val="00C64586"/>
    <w:rsid w:val="00C70D53"/>
    <w:rsid w:val="00C7258E"/>
    <w:rsid w:val="00C73D0B"/>
    <w:rsid w:val="00C772FF"/>
    <w:rsid w:val="00C801AF"/>
    <w:rsid w:val="00C80256"/>
    <w:rsid w:val="00C80674"/>
    <w:rsid w:val="00C811C0"/>
    <w:rsid w:val="00CA5E4C"/>
    <w:rsid w:val="00CB0E56"/>
    <w:rsid w:val="00CB45EF"/>
    <w:rsid w:val="00CB6BC0"/>
    <w:rsid w:val="00CC1B7C"/>
    <w:rsid w:val="00CC727F"/>
    <w:rsid w:val="00CD6FCF"/>
    <w:rsid w:val="00CF15C3"/>
    <w:rsid w:val="00CF2B6F"/>
    <w:rsid w:val="00CF58B6"/>
    <w:rsid w:val="00D017ED"/>
    <w:rsid w:val="00D040D3"/>
    <w:rsid w:val="00D04C65"/>
    <w:rsid w:val="00D224FE"/>
    <w:rsid w:val="00D3496D"/>
    <w:rsid w:val="00D4113D"/>
    <w:rsid w:val="00D53A31"/>
    <w:rsid w:val="00D6493E"/>
    <w:rsid w:val="00D7301E"/>
    <w:rsid w:val="00D83AE1"/>
    <w:rsid w:val="00D855D4"/>
    <w:rsid w:val="00D87961"/>
    <w:rsid w:val="00D93466"/>
    <w:rsid w:val="00DA1124"/>
    <w:rsid w:val="00DB75B7"/>
    <w:rsid w:val="00DC0B1C"/>
    <w:rsid w:val="00DC6E02"/>
    <w:rsid w:val="00DD2DBD"/>
    <w:rsid w:val="00DE02AE"/>
    <w:rsid w:val="00DF1D7F"/>
    <w:rsid w:val="00DF28D3"/>
    <w:rsid w:val="00DF4BE4"/>
    <w:rsid w:val="00E02FB4"/>
    <w:rsid w:val="00E07F15"/>
    <w:rsid w:val="00E20571"/>
    <w:rsid w:val="00E235F7"/>
    <w:rsid w:val="00E23659"/>
    <w:rsid w:val="00E239D4"/>
    <w:rsid w:val="00E26130"/>
    <w:rsid w:val="00E2741C"/>
    <w:rsid w:val="00E40B22"/>
    <w:rsid w:val="00E45619"/>
    <w:rsid w:val="00E4588F"/>
    <w:rsid w:val="00E46DA3"/>
    <w:rsid w:val="00E51266"/>
    <w:rsid w:val="00E51BB1"/>
    <w:rsid w:val="00E624A5"/>
    <w:rsid w:val="00E7344E"/>
    <w:rsid w:val="00E936E3"/>
    <w:rsid w:val="00E979F4"/>
    <w:rsid w:val="00EA0B26"/>
    <w:rsid w:val="00EB0798"/>
    <w:rsid w:val="00EB40AD"/>
    <w:rsid w:val="00EB586E"/>
    <w:rsid w:val="00EB5FC8"/>
    <w:rsid w:val="00EC7C15"/>
    <w:rsid w:val="00ED3CAD"/>
    <w:rsid w:val="00ED5A41"/>
    <w:rsid w:val="00EE1DE8"/>
    <w:rsid w:val="00EE6DE5"/>
    <w:rsid w:val="00EF17C2"/>
    <w:rsid w:val="00F0260C"/>
    <w:rsid w:val="00F033EC"/>
    <w:rsid w:val="00F04F68"/>
    <w:rsid w:val="00F12670"/>
    <w:rsid w:val="00F14B27"/>
    <w:rsid w:val="00F27F0D"/>
    <w:rsid w:val="00F3148D"/>
    <w:rsid w:val="00F325C5"/>
    <w:rsid w:val="00F32FE0"/>
    <w:rsid w:val="00F35298"/>
    <w:rsid w:val="00F41EFC"/>
    <w:rsid w:val="00F47333"/>
    <w:rsid w:val="00F47E37"/>
    <w:rsid w:val="00F53C07"/>
    <w:rsid w:val="00F54B65"/>
    <w:rsid w:val="00F5645D"/>
    <w:rsid w:val="00F640B6"/>
    <w:rsid w:val="00F65F96"/>
    <w:rsid w:val="00F80E40"/>
    <w:rsid w:val="00F848D9"/>
    <w:rsid w:val="00F95D32"/>
    <w:rsid w:val="00FA5B82"/>
    <w:rsid w:val="00FA639E"/>
    <w:rsid w:val="00FB4322"/>
    <w:rsid w:val="00FB4C5F"/>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97E8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54D50"/>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423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54D50"/>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CB45EF"/>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CB45EF"/>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B45EF"/>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CB45EF"/>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423561"/>
    <w:pPr>
      <w:numPr>
        <w:numId w:val="33"/>
      </w:numPr>
      <w:spacing w:after="0" w:line="240" w:lineRule="auto"/>
    </w:pPr>
    <w:rPr>
      <w:rFonts w:eastAsia="Times New Roman"/>
      <w:kern w:val="24"/>
      <w:szCs w:val="24"/>
      <w:lang w:eastAsia="en-AU"/>
    </w:rPr>
  </w:style>
  <w:style w:type="paragraph" w:customStyle="1" w:styleId="Bullet2">
    <w:name w:val="Bullet 2"/>
    <w:basedOn w:val="Bullet1"/>
    <w:rsid w:val="00423561"/>
    <w:pPr>
      <w:numPr>
        <w:numId w:val="34"/>
      </w:numPr>
    </w:pPr>
  </w:style>
  <w:style w:type="character" w:customStyle="1" w:styleId="Heading8Char">
    <w:name w:val="Heading 8 Char"/>
    <w:basedOn w:val="DefaultParagraphFont"/>
    <w:link w:val="Heading8"/>
    <w:uiPriority w:val="9"/>
    <w:semiHidden/>
    <w:rsid w:val="00423561"/>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semiHidden/>
    <w:unhideWhenUsed/>
    <w:rsid w:val="00423561"/>
    <w:pPr>
      <w:spacing w:before="0" w:after="0" w:line="240" w:lineRule="auto"/>
    </w:pPr>
    <w:rPr>
      <w:rFonts w:ascii="Helvetica 55 Roman" w:eastAsia="Times New Roman" w:hAnsi="Helvetica 55 Roman"/>
      <w:sz w:val="24"/>
      <w:szCs w:val="20"/>
    </w:rPr>
  </w:style>
  <w:style w:type="character" w:customStyle="1" w:styleId="BodyTextChar">
    <w:name w:val="Body Text Char"/>
    <w:basedOn w:val="DefaultParagraphFont"/>
    <w:link w:val="BodyText"/>
    <w:semiHidden/>
    <w:rsid w:val="00423561"/>
    <w:rPr>
      <w:rFonts w:ascii="Helvetica 55 Roman" w:eastAsia="Times New Roman" w:hAnsi="Helvetica 55 Roman" w:cs="Times New Roman"/>
      <w:sz w:val="24"/>
      <w:szCs w:val="20"/>
    </w:rPr>
  </w:style>
  <w:style w:type="paragraph" w:styleId="ListParagraph">
    <w:name w:val="List Paragraph"/>
    <w:basedOn w:val="Normal"/>
    <w:uiPriority w:val="34"/>
    <w:qFormat/>
    <w:rsid w:val="00423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CommentReference">
    <w:name w:val="annotation reference"/>
    <w:basedOn w:val="DefaultParagraphFont"/>
    <w:uiPriority w:val="99"/>
    <w:semiHidden/>
    <w:unhideWhenUsed/>
    <w:rsid w:val="00C22F92"/>
    <w:rPr>
      <w:sz w:val="16"/>
      <w:szCs w:val="16"/>
    </w:rPr>
  </w:style>
  <w:style w:type="paragraph" w:styleId="CommentText">
    <w:name w:val="annotation text"/>
    <w:basedOn w:val="Normal"/>
    <w:link w:val="CommentTextChar"/>
    <w:uiPriority w:val="99"/>
    <w:semiHidden/>
    <w:unhideWhenUsed/>
    <w:rsid w:val="00C22F92"/>
    <w:pPr>
      <w:spacing w:line="240" w:lineRule="auto"/>
    </w:pPr>
    <w:rPr>
      <w:sz w:val="20"/>
      <w:szCs w:val="20"/>
    </w:rPr>
  </w:style>
  <w:style w:type="character" w:customStyle="1" w:styleId="CommentTextChar">
    <w:name w:val="Comment Text Char"/>
    <w:basedOn w:val="DefaultParagraphFont"/>
    <w:link w:val="CommentText"/>
    <w:uiPriority w:val="99"/>
    <w:semiHidden/>
    <w:rsid w:val="00C22F9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22F92"/>
    <w:rPr>
      <w:b/>
      <w:bCs/>
    </w:rPr>
  </w:style>
  <w:style w:type="character" w:customStyle="1" w:styleId="CommentSubjectChar">
    <w:name w:val="Comment Subject Char"/>
    <w:basedOn w:val="CommentTextChar"/>
    <w:link w:val="CommentSubject"/>
    <w:uiPriority w:val="99"/>
    <w:semiHidden/>
    <w:rsid w:val="00C22F92"/>
    <w:rPr>
      <w:rFonts w:ascii="Cambria" w:eastAsia="Cambria" w:hAnsi="Cambria" w:cs="Times New Roman"/>
      <w:b/>
      <w:bCs/>
      <w:sz w:val="20"/>
      <w:szCs w:val="20"/>
    </w:rPr>
  </w:style>
  <w:style w:type="paragraph" w:styleId="Revision">
    <w:name w:val="Revision"/>
    <w:hidden/>
    <w:uiPriority w:val="99"/>
    <w:semiHidden/>
    <w:rsid w:val="0078176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97E8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54D50"/>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423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54D50"/>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CB45EF"/>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CB45EF"/>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B45EF"/>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CB45EF"/>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423561"/>
    <w:pPr>
      <w:numPr>
        <w:numId w:val="33"/>
      </w:numPr>
      <w:spacing w:after="0" w:line="240" w:lineRule="auto"/>
    </w:pPr>
    <w:rPr>
      <w:rFonts w:eastAsia="Times New Roman"/>
      <w:kern w:val="24"/>
      <w:szCs w:val="24"/>
      <w:lang w:eastAsia="en-AU"/>
    </w:rPr>
  </w:style>
  <w:style w:type="paragraph" w:customStyle="1" w:styleId="Bullet2">
    <w:name w:val="Bullet 2"/>
    <w:basedOn w:val="Bullet1"/>
    <w:rsid w:val="00423561"/>
    <w:pPr>
      <w:numPr>
        <w:numId w:val="34"/>
      </w:numPr>
    </w:pPr>
  </w:style>
  <w:style w:type="character" w:customStyle="1" w:styleId="Heading8Char">
    <w:name w:val="Heading 8 Char"/>
    <w:basedOn w:val="DefaultParagraphFont"/>
    <w:link w:val="Heading8"/>
    <w:uiPriority w:val="9"/>
    <w:semiHidden/>
    <w:rsid w:val="00423561"/>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semiHidden/>
    <w:unhideWhenUsed/>
    <w:rsid w:val="00423561"/>
    <w:pPr>
      <w:spacing w:before="0" w:after="0" w:line="240" w:lineRule="auto"/>
    </w:pPr>
    <w:rPr>
      <w:rFonts w:ascii="Helvetica 55 Roman" w:eastAsia="Times New Roman" w:hAnsi="Helvetica 55 Roman"/>
      <w:sz w:val="24"/>
      <w:szCs w:val="20"/>
    </w:rPr>
  </w:style>
  <w:style w:type="character" w:customStyle="1" w:styleId="BodyTextChar">
    <w:name w:val="Body Text Char"/>
    <w:basedOn w:val="DefaultParagraphFont"/>
    <w:link w:val="BodyText"/>
    <w:semiHidden/>
    <w:rsid w:val="00423561"/>
    <w:rPr>
      <w:rFonts w:ascii="Helvetica 55 Roman" w:eastAsia="Times New Roman" w:hAnsi="Helvetica 55 Roman" w:cs="Times New Roman"/>
      <w:sz w:val="24"/>
      <w:szCs w:val="20"/>
    </w:rPr>
  </w:style>
  <w:style w:type="paragraph" w:styleId="ListParagraph">
    <w:name w:val="List Paragraph"/>
    <w:basedOn w:val="Normal"/>
    <w:uiPriority w:val="34"/>
    <w:qFormat/>
    <w:rsid w:val="004235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CommentReference">
    <w:name w:val="annotation reference"/>
    <w:basedOn w:val="DefaultParagraphFont"/>
    <w:uiPriority w:val="99"/>
    <w:semiHidden/>
    <w:unhideWhenUsed/>
    <w:rsid w:val="00C22F92"/>
    <w:rPr>
      <w:sz w:val="16"/>
      <w:szCs w:val="16"/>
    </w:rPr>
  </w:style>
  <w:style w:type="paragraph" w:styleId="CommentText">
    <w:name w:val="annotation text"/>
    <w:basedOn w:val="Normal"/>
    <w:link w:val="CommentTextChar"/>
    <w:uiPriority w:val="99"/>
    <w:semiHidden/>
    <w:unhideWhenUsed/>
    <w:rsid w:val="00C22F92"/>
    <w:pPr>
      <w:spacing w:line="240" w:lineRule="auto"/>
    </w:pPr>
    <w:rPr>
      <w:sz w:val="20"/>
      <w:szCs w:val="20"/>
    </w:rPr>
  </w:style>
  <w:style w:type="character" w:customStyle="1" w:styleId="CommentTextChar">
    <w:name w:val="Comment Text Char"/>
    <w:basedOn w:val="DefaultParagraphFont"/>
    <w:link w:val="CommentText"/>
    <w:uiPriority w:val="99"/>
    <w:semiHidden/>
    <w:rsid w:val="00C22F9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22F92"/>
    <w:rPr>
      <w:b/>
      <w:bCs/>
    </w:rPr>
  </w:style>
  <w:style w:type="character" w:customStyle="1" w:styleId="CommentSubjectChar">
    <w:name w:val="Comment Subject Char"/>
    <w:basedOn w:val="CommentTextChar"/>
    <w:link w:val="CommentSubject"/>
    <w:uiPriority w:val="99"/>
    <w:semiHidden/>
    <w:rsid w:val="00C22F92"/>
    <w:rPr>
      <w:rFonts w:ascii="Cambria" w:eastAsia="Cambria" w:hAnsi="Cambria" w:cs="Times New Roman"/>
      <w:b/>
      <w:bCs/>
      <w:sz w:val="20"/>
      <w:szCs w:val="20"/>
    </w:rPr>
  </w:style>
  <w:style w:type="paragraph" w:styleId="Revision">
    <w:name w:val="Revision"/>
    <w:hidden/>
    <w:uiPriority w:val="99"/>
    <w:semiHidden/>
    <w:rsid w:val="00781762"/>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44444">
      <w:bodyDiv w:val="1"/>
      <w:marLeft w:val="0"/>
      <w:marRight w:val="0"/>
      <w:marTop w:val="0"/>
      <w:marBottom w:val="0"/>
      <w:divBdr>
        <w:top w:val="none" w:sz="0" w:space="0" w:color="auto"/>
        <w:left w:val="none" w:sz="0" w:space="0" w:color="auto"/>
        <w:bottom w:val="none" w:sz="0" w:space="0" w:color="auto"/>
        <w:right w:val="none" w:sz="0" w:space="0" w:color="auto"/>
      </w:divBdr>
    </w:div>
    <w:div w:id="534585831">
      <w:bodyDiv w:val="1"/>
      <w:marLeft w:val="0"/>
      <w:marRight w:val="0"/>
      <w:marTop w:val="0"/>
      <w:marBottom w:val="0"/>
      <w:divBdr>
        <w:top w:val="none" w:sz="0" w:space="0" w:color="auto"/>
        <w:left w:val="none" w:sz="0" w:space="0" w:color="auto"/>
        <w:bottom w:val="none" w:sz="0" w:space="0" w:color="auto"/>
        <w:right w:val="none" w:sz="0" w:space="0" w:color="auto"/>
      </w:divBdr>
    </w:div>
    <w:div w:id="543254991">
      <w:bodyDiv w:val="1"/>
      <w:marLeft w:val="0"/>
      <w:marRight w:val="0"/>
      <w:marTop w:val="0"/>
      <w:marBottom w:val="0"/>
      <w:divBdr>
        <w:top w:val="none" w:sz="0" w:space="0" w:color="auto"/>
        <w:left w:val="none" w:sz="0" w:space="0" w:color="auto"/>
        <w:bottom w:val="none" w:sz="0" w:space="0" w:color="auto"/>
        <w:right w:val="none" w:sz="0" w:space="0" w:color="auto"/>
      </w:divBdr>
    </w:div>
    <w:div w:id="652490591">
      <w:bodyDiv w:val="1"/>
      <w:marLeft w:val="0"/>
      <w:marRight w:val="0"/>
      <w:marTop w:val="0"/>
      <w:marBottom w:val="0"/>
      <w:divBdr>
        <w:top w:val="none" w:sz="0" w:space="0" w:color="auto"/>
        <w:left w:val="none" w:sz="0" w:space="0" w:color="auto"/>
        <w:bottom w:val="none" w:sz="0" w:space="0" w:color="auto"/>
        <w:right w:val="none" w:sz="0" w:space="0" w:color="auto"/>
      </w:divBdr>
    </w:div>
    <w:div w:id="850680497">
      <w:bodyDiv w:val="1"/>
      <w:marLeft w:val="0"/>
      <w:marRight w:val="0"/>
      <w:marTop w:val="0"/>
      <w:marBottom w:val="0"/>
      <w:divBdr>
        <w:top w:val="none" w:sz="0" w:space="0" w:color="auto"/>
        <w:left w:val="none" w:sz="0" w:space="0" w:color="auto"/>
        <w:bottom w:val="none" w:sz="0" w:space="0" w:color="auto"/>
        <w:right w:val="none" w:sz="0" w:space="0" w:color="auto"/>
      </w:divBdr>
    </w:div>
    <w:div w:id="884829834">
      <w:bodyDiv w:val="1"/>
      <w:marLeft w:val="0"/>
      <w:marRight w:val="0"/>
      <w:marTop w:val="0"/>
      <w:marBottom w:val="0"/>
      <w:divBdr>
        <w:top w:val="none" w:sz="0" w:space="0" w:color="auto"/>
        <w:left w:val="none" w:sz="0" w:space="0" w:color="auto"/>
        <w:bottom w:val="none" w:sz="0" w:space="0" w:color="auto"/>
        <w:right w:val="none" w:sz="0" w:space="0" w:color="auto"/>
      </w:divBdr>
    </w:div>
    <w:div w:id="1697075326">
      <w:bodyDiv w:val="1"/>
      <w:marLeft w:val="0"/>
      <w:marRight w:val="0"/>
      <w:marTop w:val="0"/>
      <w:marBottom w:val="0"/>
      <w:divBdr>
        <w:top w:val="none" w:sz="0" w:space="0" w:color="auto"/>
        <w:left w:val="none" w:sz="0" w:space="0" w:color="auto"/>
        <w:bottom w:val="none" w:sz="0" w:space="0" w:color="auto"/>
        <w:right w:val="none" w:sz="0" w:space="0" w:color="auto"/>
      </w:divBdr>
    </w:div>
    <w:div w:id="1856382620">
      <w:bodyDiv w:val="1"/>
      <w:marLeft w:val="0"/>
      <w:marRight w:val="0"/>
      <w:marTop w:val="0"/>
      <w:marBottom w:val="0"/>
      <w:divBdr>
        <w:top w:val="none" w:sz="0" w:space="0" w:color="auto"/>
        <w:left w:val="none" w:sz="0" w:space="0" w:color="auto"/>
        <w:bottom w:val="none" w:sz="0" w:space="0" w:color="auto"/>
        <w:right w:val="none" w:sz="0" w:space="0" w:color="auto"/>
      </w:divBdr>
    </w:div>
    <w:div w:id="1908026586">
      <w:bodyDiv w:val="1"/>
      <w:marLeft w:val="0"/>
      <w:marRight w:val="0"/>
      <w:marTop w:val="0"/>
      <w:marBottom w:val="0"/>
      <w:divBdr>
        <w:top w:val="none" w:sz="0" w:space="0" w:color="auto"/>
        <w:left w:val="none" w:sz="0" w:space="0" w:color="auto"/>
        <w:bottom w:val="none" w:sz="0" w:space="0" w:color="auto"/>
        <w:right w:val="none" w:sz="0" w:space="0" w:color="auto"/>
      </w:divBdr>
    </w:div>
    <w:div w:id="1955403841">
      <w:bodyDiv w:val="1"/>
      <w:marLeft w:val="0"/>
      <w:marRight w:val="0"/>
      <w:marTop w:val="0"/>
      <w:marBottom w:val="0"/>
      <w:divBdr>
        <w:top w:val="none" w:sz="0" w:space="0" w:color="auto"/>
        <w:left w:val="none" w:sz="0" w:space="0" w:color="auto"/>
        <w:bottom w:val="none" w:sz="0" w:space="0" w:color="auto"/>
        <w:right w:val="none" w:sz="0" w:space="0" w:color="auto"/>
      </w:divBdr>
    </w:div>
    <w:div w:id="2018339476">
      <w:bodyDiv w:val="1"/>
      <w:marLeft w:val="0"/>
      <w:marRight w:val="0"/>
      <w:marTop w:val="0"/>
      <w:marBottom w:val="0"/>
      <w:divBdr>
        <w:top w:val="none" w:sz="0" w:space="0" w:color="auto"/>
        <w:left w:val="none" w:sz="0" w:space="0" w:color="auto"/>
        <w:bottom w:val="none" w:sz="0" w:space="0" w:color="auto"/>
        <w:right w:val="none" w:sz="0" w:space="0" w:color="auto"/>
      </w:divBdr>
    </w:div>
    <w:div w:id="2047412044">
      <w:bodyDiv w:val="1"/>
      <w:marLeft w:val="0"/>
      <w:marRight w:val="0"/>
      <w:marTop w:val="0"/>
      <w:marBottom w:val="0"/>
      <w:divBdr>
        <w:top w:val="none" w:sz="0" w:space="0" w:color="auto"/>
        <w:left w:val="none" w:sz="0" w:space="0" w:color="auto"/>
        <w:bottom w:val="none" w:sz="0" w:space="0" w:color="auto"/>
        <w:right w:val="none" w:sz="0" w:space="0" w:color="auto"/>
      </w:divBdr>
    </w:div>
    <w:div w:id="205399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image" Target="media/image29.emf"/><Relationship Id="rId47" Type="http://schemas.openxmlformats.org/officeDocument/2006/relationships/image" Target="media/image34.emf"/><Relationship Id="rId63" Type="http://schemas.microsoft.com/office/2007/relationships/hdphoto" Target="media/hdphoto4.wdp"/><Relationship Id="rId68" Type="http://schemas.openxmlformats.org/officeDocument/2006/relationships/image" Target="media/image48.png"/><Relationship Id="rId84" Type="http://schemas.openxmlformats.org/officeDocument/2006/relationships/image" Target="media/image60.emf"/><Relationship Id="rId89" Type="http://schemas.openxmlformats.org/officeDocument/2006/relationships/image" Target="media/image65.emf"/><Relationship Id="rId7" Type="http://schemas.openxmlformats.org/officeDocument/2006/relationships/footnotes" Target="footnotes.xml"/><Relationship Id="rId71" Type="http://schemas.microsoft.com/office/2007/relationships/hdphoto" Target="media/hdphoto8.wdp"/><Relationship Id="rId92" Type="http://schemas.openxmlformats.org/officeDocument/2006/relationships/image" Target="media/image68.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07" Type="http://schemas.openxmlformats.org/officeDocument/2006/relationships/theme" Target="theme/theme1.xml"/><Relationship Id="rId11" Type="http://schemas.openxmlformats.org/officeDocument/2006/relationships/hyperlink" Target="mailto:tga.copyright@tga.gov.au"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png"/><Relationship Id="rId58" Type="http://schemas.openxmlformats.org/officeDocument/2006/relationships/image" Target="media/image41.emf"/><Relationship Id="rId66" Type="http://schemas.openxmlformats.org/officeDocument/2006/relationships/image" Target="media/image47.png"/><Relationship Id="rId74" Type="http://schemas.microsoft.com/office/2007/relationships/hdphoto" Target="media/hdphoto9.wdp"/><Relationship Id="rId79" Type="http://schemas.openxmlformats.org/officeDocument/2006/relationships/image" Target="media/image56.emf"/><Relationship Id="rId87" Type="http://schemas.openxmlformats.org/officeDocument/2006/relationships/image" Target="media/image63.emf"/><Relationship Id="rId102"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4.emf"/><Relationship Id="rId82" Type="http://schemas.microsoft.com/office/2007/relationships/hdphoto" Target="media/hdphoto10.wdp"/><Relationship Id="rId90" Type="http://schemas.openxmlformats.org/officeDocument/2006/relationships/image" Target="media/image66.emf"/><Relationship Id="rId95" Type="http://schemas.openxmlformats.org/officeDocument/2006/relationships/header" Target="header3.xml"/><Relationship Id="rId19" Type="http://schemas.openxmlformats.org/officeDocument/2006/relationships/image" Target="media/image7.emf"/><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hyperlink" Target="http://www.eusobi.org" TargetMode="External"/><Relationship Id="rId64" Type="http://schemas.openxmlformats.org/officeDocument/2006/relationships/image" Target="media/image46.png"/><Relationship Id="rId69" Type="http://schemas.microsoft.com/office/2007/relationships/hdphoto" Target="media/hdphoto7.wdp"/><Relationship Id="rId77" Type="http://schemas.openxmlformats.org/officeDocument/2006/relationships/image" Target="media/image54.emf"/><Relationship Id="rId100" Type="http://schemas.openxmlformats.org/officeDocument/2006/relationships/hyperlink" Target="https://www.tga.gov.au" TargetMode="External"/><Relationship Id="rId105" Type="http://schemas.openxmlformats.org/officeDocument/2006/relationships/footer" Target="footer4.xml"/><Relationship Id="rId8" Type="http://schemas.openxmlformats.org/officeDocument/2006/relationships/endnotes" Target="endnotes.xml"/><Relationship Id="rId51" Type="http://schemas.microsoft.com/office/2007/relationships/hdphoto" Target="media/hdphoto2.wdp"/><Relationship Id="rId72" Type="http://schemas.openxmlformats.org/officeDocument/2006/relationships/image" Target="media/image50.emf"/><Relationship Id="rId80" Type="http://schemas.openxmlformats.org/officeDocument/2006/relationships/image" Target="media/image57.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2.emf"/><Relationship Id="rId67" Type="http://schemas.microsoft.com/office/2007/relationships/hdphoto" Target="media/hdphoto6.wdp"/><Relationship Id="rId103" Type="http://schemas.openxmlformats.org/officeDocument/2006/relationships/footer" Target="footer3.xml"/><Relationship Id="rId20" Type="http://schemas.openxmlformats.org/officeDocument/2006/relationships/image" Target="media/image8.emf"/><Relationship Id="rId41" Type="http://schemas.openxmlformats.org/officeDocument/2006/relationships/image" Target="media/image28.emf"/><Relationship Id="rId54" Type="http://schemas.microsoft.com/office/2007/relationships/hdphoto" Target="media/hdphoto3.wdp"/><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image" Target="media/image52.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hyperlink" Target="http://www.acr.org" TargetMode="External"/><Relationship Id="rId106" Type="http://schemas.openxmlformats.org/officeDocument/2006/relationships/fontTable" Target="fontTable.xml"/><Relationship Id="rId10" Type="http://schemas.openxmlformats.org/officeDocument/2006/relationships/hyperlink" Target="https://www.tga.gov.au/product-information-pi"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3.emf"/><Relationship Id="rId65" Type="http://schemas.microsoft.com/office/2007/relationships/hdphoto" Target="media/hdphoto5.wdp"/><Relationship Id="rId73" Type="http://schemas.openxmlformats.org/officeDocument/2006/relationships/image" Target="media/image51.png"/><Relationship Id="rId78" Type="http://schemas.openxmlformats.org/officeDocument/2006/relationships/image" Target="media/image55.emf"/><Relationship Id="rId81" Type="http://schemas.openxmlformats.org/officeDocument/2006/relationships/image" Target="media/image58.png"/><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hyperlink" Target="mailto:info@tga.gov.au" TargetMode="External"/><Relationship Id="rId10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image" Target="media/image40.emf"/><Relationship Id="rId76" Type="http://schemas.openxmlformats.org/officeDocument/2006/relationships/image" Target="media/image53.emf"/><Relationship Id="rId97" Type="http://schemas.openxmlformats.org/officeDocument/2006/relationships/header" Target="header5.xml"/><Relationship Id="rId104"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82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9F990-2133-40BE-A8AE-25A5A085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238</TotalTime>
  <Pages>67</Pages>
  <Words>19325</Words>
  <Characters>110156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Gadobutrol</vt:lpstr>
    </vt:vector>
  </TitlesOfParts>
  <Company>Department of Health Therapeutic Goods Administration</Company>
  <LinksUpToDate>false</LinksUpToDate>
  <CharactersWithSpaces>129223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Gadobutrol (gadovist)</dc:title>
  <dc:subject>prescription medicine regulation</dc:subject>
  <dc:creator>Therapeutic Goods Administration</dc:creator>
  <cp:keywords>clinical, evaluation, report, medicine, assessment, regulation, australia, gadobutrol, gadovist, bayer</cp:keywords>
  <cp:lastModifiedBy>Lack, Janet</cp:lastModifiedBy>
  <cp:revision>8</cp:revision>
  <cp:lastPrinted>2010-12-20T22:59:00Z</cp:lastPrinted>
  <dcterms:created xsi:type="dcterms:W3CDTF">2015-06-18T06:12:00Z</dcterms:created>
  <dcterms:modified xsi:type="dcterms:W3CDTF">2015-07-09T06:46:00Z</dcterms:modified>
</cp:coreProperties>
</file>