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14:paraId="5D03B287" w14:textId="77777777" w:rsidTr="00BF1190">
        <w:trPr>
          <w:trHeight w:val="1863"/>
        </w:trPr>
        <w:tc>
          <w:tcPr>
            <w:tcW w:w="3652" w:type="dxa"/>
            <w:tcBorders>
              <w:top w:val="nil"/>
              <w:left w:val="nil"/>
              <w:bottom w:val="nil"/>
              <w:right w:val="nil"/>
            </w:tcBorders>
          </w:tcPr>
          <w:p w14:paraId="1F2802E4" w14:textId="41746B38" w:rsidR="008E7846" w:rsidRPr="00096AA7" w:rsidRDefault="0086136B" w:rsidP="00096AA7">
            <w:pPr>
              <w:rPr>
                <w:rFonts w:ascii="Arial" w:hAnsi="Arial" w:cs="Arial"/>
                <w:b/>
                <w:color w:val="002C47"/>
                <w:sz w:val="36"/>
                <w:szCs w:val="36"/>
              </w:rPr>
            </w:pPr>
            <w:r>
              <w:rPr>
                <w:rFonts w:ascii="Arial" w:hAnsi="Arial" w:cs="Arial"/>
                <w:b/>
                <w:color w:val="002C47"/>
                <w:sz w:val="36"/>
                <w:szCs w:val="36"/>
              </w:rPr>
              <w:t xml:space="preserve">September </w:t>
            </w:r>
            <w:r w:rsidR="0071605E">
              <w:rPr>
                <w:rFonts w:ascii="Arial" w:hAnsi="Arial" w:cs="Arial"/>
                <w:b/>
                <w:color w:val="002C47"/>
                <w:sz w:val="36"/>
                <w:szCs w:val="36"/>
              </w:rPr>
              <w:t>2021</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14:paraId="718F7DD8" w14:textId="77777777" w:rsidTr="0032583B">
        <w:trPr>
          <w:trHeight w:val="868"/>
        </w:trPr>
        <w:tc>
          <w:tcPr>
            <w:tcW w:w="9079" w:type="dxa"/>
          </w:tcPr>
          <w:p w14:paraId="71E4CCBE" w14:textId="5C463C93" w:rsidR="0032583B" w:rsidRPr="00A964D1" w:rsidRDefault="0032583B" w:rsidP="00460036">
            <w:pPr>
              <w:pStyle w:val="Title"/>
              <w:rPr>
                <w:color w:val="FFFFFF" w:themeColor="background1"/>
              </w:rPr>
            </w:pPr>
            <w:r w:rsidRPr="00A964D1">
              <w:rPr>
                <w:color w:val="FFFFFF" w:themeColor="background1"/>
              </w:rPr>
              <w:t xml:space="preserve">Australian Public Assessment Report for </w:t>
            </w:r>
            <w:r w:rsidR="0071605E">
              <w:rPr>
                <w:color w:val="FFFFFF" w:themeColor="background1"/>
              </w:rPr>
              <w:t>Fostemsavir trometamol</w:t>
            </w:r>
          </w:p>
        </w:tc>
      </w:tr>
      <w:tr w:rsidR="0032583B" w:rsidRPr="00B64760" w14:paraId="13345B7A" w14:textId="77777777" w:rsidTr="0032583B">
        <w:tc>
          <w:tcPr>
            <w:tcW w:w="9079" w:type="dxa"/>
          </w:tcPr>
          <w:p w14:paraId="28DBCC2B" w14:textId="2BB310E0" w:rsidR="0032583B" w:rsidRPr="008E7846" w:rsidRDefault="0032583B" w:rsidP="00460036">
            <w:pPr>
              <w:pStyle w:val="Subtitle"/>
              <w:rPr>
                <w:color w:val="FFFFFF" w:themeColor="background1"/>
              </w:rPr>
            </w:pPr>
            <w:r w:rsidRPr="008E7846">
              <w:rPr>
                <w:color w:val="FFFFFF" w:themeColor="background1"/>
              </w:rPr>
              <w:t xml:space="preserve">Proprietary Product Name: </w:t>
            </w:r>
            <w:proofErr w:type="spellStart"/>
            <w:r w:rsidR="0071605E">
              <w:rPr>
                <w:color w:val="FFFFFF" w:themeColor="background1"/>
              </w:rPr>
              <w:t>Rukobia</w:t>
            </w:r>
            <w:proofErr w:type="spellEnd"/>
          </w:p>
        </w:tc>
      </w:tr>
      <w:tr w:rsidR="0032583B" w:rsidRPr="00B64760" w14:paraId="2D63B805" w14:textId="77777777" w:rsidTr="0032583B">
        <w:trPr>
          <w:trHeight w:val="486"/>
        </w:trPr>
        <w:tc>
          <w:tcPr>
            <w:tcW w:w="9079" w:type="dxa"/>
          </w:tcPr>
          <w:p w14:paraId="5AA6003B" w14:textId="29250307" w:rsidR="0032583B" w:rsidRPr="008E7846" w:rsidRDefault="00460036" w:rsidP="0032583B">
            <w:pPr>
              <w:pStyle w:val="Subtitle"/>
              <w:rPr>
                <w:color w:val="FFFFFF" w:themeColor="background1"/>
              </w:rPr>
            </w:pPr>
            <w:r>
              <w:rPr>
                <w:color w:val="FFFFFF" w:themeColor="background1"/>
              </w:rPr>
              <w:t>Sponsor:</w:t>
            </w:r>
            <w:r w:rsidR="0071605E">
              <w:rPr>
                <w:color w:val="FFFFFF" w:themeColor="background1"/>
              </w:rPr>
              <w:t xml:space="preserve"> </w:t>
            </w:r>
            <w:proofErr w:type="spellStart"/>
            <w:r w:rsidR="0071605E">
              <w:rPr>
                <w:color w:val="FFFFFF" w:themeColor="background1"/>
              </w:rPr>
              <w:t>ViiV</w:t>
            </w:r>
            <w:proofErr w:type="spellEnd"/>
            <w:r w:rsidR="0071605E">
              <w:rPr>
                <w:color w:val="FFFFFF" w:themeColor="background1"/>
              </w:rPr>
              <w:t xml:space="preserve"> Healthcare Pty Ltd</w:t>
            </w:r>
          </w:p>
        </w:tc>
      </w:tr>
    </w:tbl>
    <w:p w14:paraId="65975076" w14:textId="77777777" w:rsidR="008E7846" w:rsidRPr="0085156D" w:rsidRDefault="008E7846" w:rsidP="0085156D">
      <w:r w:rsidRPr="0085156D">
        <w:br w:type="page"/>
      </w:r>
    </w:p>
    <w:p w14:paraId="78F6A4FE" w14:textId="77777777" w:rsidR="008E7846" w:rsidRPr="001F6CBA" w:rsidRDefault="008E7846" w:rsidP="008E7846">
      <w:pPr>
        <w:pStyle w:val="NonTOCHeading2"/>
      </w:pPr>
      <w:r w:rsidRPr="001F6CBA">
        <w:lastRenderedPageBreak/>
        <w:t>About the Therapeutic Goods Administration (TGA)</w:t>
      </w:r>
    </w:p>
    <w:p w14:paraId="29249438" w14:textId="77777777" w:rsidR="008E7846" w:rsidRDefault="008E7846" w:rsidP="008E7846">
      <w:pPr>
        <w:pStyle w:val="ListBullet"/>
        <w:numPr>
          <w:ilvl w:val="0"/>
          <w:numId w:val="3"/>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14:paraId="7B56EA34" w14:textId="77777777" w:rsidR="008E7846" w:rsidRDefault="00C80137"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785717">
        <w:rPr>
          <w:i/>
        </w:rPr>
        <w:t xml:space="preserve"> </w:t>
      </w:r>
      <w:r w:rsidR="00785717" w:rsidRPr="00785717">
        <w:t>(the Act)</w:t>
      </w:r>
      <w:r w:rsidR="008E7846" w:rsidRPr="00785717">
        <w:t>,</w:t>
      </w:r>
      <w:r w:rsidR="008E7846">
        <w:t xml:space="preserve"> applying a risk management approach designed to ensure therapeutic goods supplied in Australia meet acceptable standards of quality, </w:t>
      </w:r>
      <w:proofErr w:type="gramStart"/>
      <w:r w:rsidR="008E7846">
        <w:t>safety</w:t>
      </w:r>
      <w:proofErr w:type="gramEnd"/>
      <w:r w:rsidR="008E7846">
        <w:t xml:space="preserve"> and efficacy (performance) when necessary.</w:t>
      </w:r>
    </w:p>
    <w:p w14:paraId="5063C021" w14:textId="77777777" w:rsidR="008E7846" w:rsidRDefault="008E7846" w:rsidP="008E7846">
      <w:pPr>
        <w:pStyle w:val="ListBullet"/>
        <w:numPr>
          <w:ilvl w:val="0"/>
          <w:numId w:val="3"/>
        </w:numPr>
        <w:ind w:left="357" w:hanging="357"/>
      </w:pPr>
      <w:r>
        <w:t>The work of the TGA is based on applying scientific and clinical expertise to decision-making, to ensure that the benefits to consumers outweigh any risks associated with the use of medicines and medical devices.</w:t>
      </w:r>
    </w:p>
    <w:p w14:paraId="1DCE99EB" w14:textId="77777777"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14:paraId="19F37D60" w14:textId="5E24A311" w:rsidR="00441C3F" w:rsidRDefault="008E7846" w:rsidP="00441C3F">
      <w:pPr>
        <w:pStyle w:val="ListBullet"/>
        <w:numPr>
          <w:ilvl w:val="0"/>
          <w:numId w:val="3"/>
        </w:numPr>
        <w:ind w:left="357" w:hanging="357"/>
      </w:pPr>
      <w:r>
        <w:t xml:space="preserve">To report a problem with a medicine or medical device, please see the information on </w:t>
      </w:r>
      <w:r w:rsidR="00441C3F">
        <w:t>the TGA website &lt;</w:t>
      </w:r>
      <w:hyperlink r:id="rId11" w:history="1">
        <w:r w:rsidR="00441C3F">
          <w:rPr>
            <w:rStyle w:val="Hyperlink"/>
          </w:rPr>
          <w:t>https://www.tga.gov.au</w:t>
        </w:r>
      </w:hyperlink>
      <w:r w:rsidR="00441C3F">
        <w:t>&gt;.</w:t>
      </w:r>
    </w:p>
    <w:p w14:paraId="2D1D9DC6" w14:textId="77777777" w:rsidR="008E7846" w:rsidRDefault="008E7846" w:rsidP="00875A6B">
      <w:pPr>
        <w:pStyle w:val="NonTOCHeading2"/>
      </w:pPr>
      <w:r>
        <w:t xml:space="preserve">About </w:t>
      </w:r>
      <w:proofErr w:type="spellStart"/>
      <w:r>
        <w:t>AusPARs</w:t>
      </w:r>
      <w:proofErr w:type="spellEnd"/>
    </w:p>
    <w:p w14:paraId="643A7CDC" w14:textId="77777777" w:rsidR="008E7846" w:rsidRDefault="008E7846" w:rsidP="008E7846">
      <w:pPr>
        <w:pStyle w:val="ListBullet"/>
        <w:numPr>
          <w:ilvl w:val="0"/>
          <w:numId w:val="3"/>
        </w:numPr>
        <w:ind w:left="357" w:hanging="357"/>
      </w:pPr>
      <w:r>
        <w:t>An Australian Public Assessment Re</w:t>
      </w:r>
      <w:r w:rsidR="00133A1B">
        <w:t>port</w:t>
      </w:r>
      <w:r>
        <w:t xml:space="preserve"> (AusPAR) provides information about the evaluation of a prescription medicine and the considerations that led the TGA to approve or not approve a pr</w:t>
      </w:r>
      <w:r w:rsidR="00441C3F">
        <w:t>escription medicine submission.</w:t>
      </w:r>
    </w:p>
    <w:p w14:paraId="32D4EC26" w14:textId="77777777" w:rsidR="008E7846" w:rsidRDefault="008E7846" w:rsidP="008E7846">
      <w:pPr>
        <w:pStyle w:val="ListBullet"/>
        <w:numPr>
          <w:ilvl w:val="0"/>
          <w:numId w:val="3"/>
        </w:numPr>
        <w:ind w:left="357" w:hanging="357"/>
      </w:pPr>
      <w:proofErr w:type="spellStart"/>
      <w:r>
        <w:t>AusPARs</w:t>
      </w:r>
      <w:proofErr w:type="spellEnd"/>
      <w:r>
        <w:t xml:space="preserve"> are prepared and published by the TGA.</w:t>
      </w:r>
    </w:p>
    <w:p w14:paraId="2D743AAF" w14:textId="77777777" w:rsidR="008E7846" w:rsidRDefault="008E7846" w:rsidP="008E7846">
      <w:pPr>
        <w:pStyle w:val="ListBullet"/>
        <w:numPr>
          <w:ilvl w:val="0"/>
          <w:numId w:val="3"/>
        </w:numPr>
        <w:ind w:left="357" w:hanging="357"/>
      </w:pPr>
      <w:r>
        <w:t xml:space="preserve">An AusPAR is prepared for submissions that relate to new chemical entities, generic medicines, major </w:t>
      </w:r>
      <w:proofErr w:type="gramStart"/>
      <w:r>
        <w:t>variations</w:t>
      </w:r>
      <w:proofErr w:type="gramEnd"/>
      <w:r>
        <w:t xml:space="preserve"> and extensions of indications.</w:t>
      </w:r>
    </w:p>
    <w:p w14:paraId="5EFC0CFC" w14:textId="77777777" w:rsidR="008E7846" w:rsidRDefault="008E7846" w:rsidP="008E7846">
      <w:pPr>
        <w:pStyle w:val="ListBullet"/>
        <w:numPr>
          <w:ilvl w:val="0"/>
          <w:numId w:val="3"/>
        </w:numPr>
        <w:ind w:left="357" w:hanging="357"/>
      </w:pPr>
      <w:r>
        <w:t>An AusPAR is a static document</w:t>
      </w:r>
      <w:r w:rsidR="00133A1B">
        <w:t>;</w:t>
      </w:r>
      <w:r>
        <w:t xml:space="preserve"> it provide</w:t>
      </w:r>
      <w:r w:rsidR="00133A1B">
        <w:t>s</w:t>
      </w:r>
      <w:r>
        <w:t xml:space="preserve"> information that relates to a submission at a particular point in time.</w:t>
      </w:r>
    </w:p>
    <w:p w14:paraId="068B0F58" w14:textId="77777777" w:rsidR="00B452CE" w:rsidRDefault="008E7846" w:rsidP="00FF5755">
      <w:pPr>
        <w:pStyle w:val="ListBullet"/>
        <w:numPr>
          <w:ilvl w:val="0"/>
          <w:numId w:val="3"/>
        </w:numPr>
        <w:ind w:left="357" w:hanging="357"/>
      </w:pPr>
      <w:r>
        <w:t>A new AusPAR will be developed to reflect changes to indications and/or major variations to a prescription medicine subject to evaluation by the TGA.</w:t>
      </w:r>
    </w:p>
    <w:p w14:paraId="1FD856BF" w14:textId="77777777" w:rsidR="00924482" w:rsidRPr="00DF1D7F" w:rsidRDefault="00924482" w:rsidP="00F54B65">
      <w:pPr>
        <w:pStyle w:val="LegalSubheading"/>
        <w:spacing w:before="3120"/>
      </w:pPr>
      <w:r w:rsidRPr="00DF1D7F">
        <w:t>Copyright</w:t>
      </w:r>
    </w:p>
    <w:p w14:paraId="4984A491" w14:textId="3E909B5E" w:rsidR="00924482" w:rsidRDefault="00924482" w:rsidP="00924482">
      <w:pPr>
        <w:pStyle w:val="LegalCopy"/>
      </w:pPr>
      <w:r w:rsidRPr="00191B3B">
        <w:rPr>
          <w:rFonts w:cs="Arial"/>
          <w:lang w:val="en-GB"/>
        </w:rPr>
        <w:t>© Comm</w:t>
      </w:r>
      <w:r>
        <w:rPr>
          <w:rFonts w:cs="Arial"/>
          <w:lang w:val="en-GB"/>
        </w:rPr>
        <w:t>onwealth of Australia 20</w:t>
      </w:r>
      <w:r w:rsidR="00460036">
        <w:rPr>
          <w:rFonts w:cs="Arial"/>
          <w:lang w:val="en-GB"/>
        </w:rPr>
        <w:t>2</w:t>
      </w:r>
      <w:r w:rsidR="00324E45">
        <w:rPr>
          <w:rFonts w:cs="Arial"/>
          <w:lang w:val="en-GB"/>
        </w:rPr>
        <w:t>1</w:t>
      </w:r>
      <w:r w:rsidRPr="00191B3B">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12" w:history="1">
        <w:r w:rsidRPr="00191B3B">
          <w:rPr>
            <w:rStyle w:val="Hyperlink"/>
            <w:rFonts w:cs="Arial"/>
            <w:lang w:val="en-GB"/>
          </w:rPr>
          <w:t>tga.copyright@tga.gov.au</w:t>
        </w:r>
      </w:hyperlink>
      <w:r w:rsidRPr="00191B3B">
        <w:rPr>
          <w:rFonts w:cs="Arial"/>
        </w:rPr>
        <w:t>&gt;.</w:t>
      </w:r>
    </w:p>
    <w:p w14:paraId="00AA3DF3" w14:textId="77777777" w:rsidR="00924482" w:rsidRDefault="00924482" w:rsidP="00924482">
      <w:pPr>
        <w:pStyle w:val="LegalCopy"/>
        <w:sectPr w:rsidR="00924482" w:rsidSect="003D1E62">
          <w:headerReference w:type="even" r:id="rId13"/>
          <w:headerReference w:type="default" r:id="rId14"/>
          <w:footerReference w:type="even" r:id="rId15"/>
          <w:footerReference w:type="default" r:id="rId16"/>
          <w:headerReference w:type="first" r:id="rId17"/>
          <w:footerReference w:type="first" r:id="rId18"/>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14:paraId="1E173CA4" w14:textId="77777777" w:rsidR="0089635C" w:rsidRPr="0089635C" w:rsidRDefault="0089635C" w:rsidP="0010788A">
          <w:pPr>
            <w:pStyle w:val="Contents"/>
          </w:pPr>
          <w:r w:rsidRPr="0010788A">
            <w:t>Contents</w:t>
          </w:r>
        </w:p>
        <w:p w14:paraId="40D1ADAA" w14:textId="3FBF0287" w:rsidR="00C85163" w:rsidRDefault="00C525A2">
          <w:pPr>
            <w:pStyle w:val="TOC1"/>
            <w:rPr>
              <w:rFonts w:asciiTheme="minorHAnsi" w:eastAsiaTheme="minorEastAsia" w:hAnsiTheme="minorHAnsi" w:cstheme="minorBidi"/>
              <w:b w:val="0"/>
              <w:noProof/>
              <w:sz w:val="22"/>
              <w:lang w:eastAsia="en-AU"/>
            </w:rPr>
          </w:pPr>
          <w:r>
            <w:fldChar w:fldCharType="begin"/>
          </w:r>
          <w:r>
            <w:instrText xml:space="preserve"> TOC \h \z \t "Heading 2,1,Heading 3,2" </w:instrText>
          </w:r>
          <w:r>
            <w:fldChar w:fldCharType="separate"/>
          </w:r>
          <w:hyperlink w:anchor="_Toc83304601" w:history="1">
            <w:r w:rsidR="00C85163" w:rsidRPr="00F76B62">
              <w:rPr>
                <w:rStyle w:val="Hyperlink"/>
                <w:noProof/>
              </w:rPr>
              <w:t>List of abbreviations</w:t>
            </w:r>
            <w:r w:rsidR="00C85163">
              <w:rPr>
                <w:noProof/>
                <w:webHidden/>
              </w:rPr>
              <w:tab/>
            </w:r>
            <w:r w:rsidR="00C85163">
              <w:rPr>
                <w:noProof/>
                <w:webHidden/>
              </w:rPr>
              <w:fldChar w:fldCharType="begin"/>
            </w:r>
            <w:r w:rsidR="00C85163">
              <w:rPr>
                <w:noProof/>
                <w:webHidden/>
              </w:rPr>
              <w:instrText xml:space="preserve"> PAGEREF _Toc83304601 \h </w:instrText>
            </w:r>
            <w:r w:rsidR="00C85163">
              <w:rPr>
                <w:noProof/>
                <w:webHidden/>
              </w:rPr>
            </w:r>
            <w:r w:rsidR="00C85163">
              <w:rPr>
                <w:noProof/>
                <w:webHidden/>
              </w:rPr>
              <w:fldChar w:fldCharType="separate"/>
            </w:r>
            <w:r w:rsidR="00C85163">
              <w:rPr>
                <w:noProof/>
                <w:webHidden/>
              </w:rPr>
              <w:t>4</w:t>
            </w:r>
            <w:r w:rsidR="00C85163">
              <w:rPr>
                <w:noProof/>
                <w:webHidden/>
              </w:rPr>
              <w:fldChar w:fldCharType="end"/>
            </w:r>
          </w:hyperlink>
        </w:p>
        <w:p w14:paraId="47003510" w14:textId="3F970B8C" w:rsidR="00C85163" w:rsidRDefault="00C85163">
          <w:pPr>
            <w:pStyle w:val="TOC1"/>
            <w:rPr>
              <w:rFonts w:asciiTheme="minorHAnsi" w:eastAsiaTheme="minorEastAsia" w:hAnsiTheme="minorHAnsi" w:cstheme="minorBidi"/>
              <w:b w:val="0"/>
              <w:noProof/>
              <w:sz w:val="22"/>
              <w:lang w:eastAsia="en-AU"/>
            </w:rPr>
          </w:pPr>
          <w:hyperlink w:anchor="_Toc83304602" w:history="1">
            <w:r w:rsidRPr="00F76B62">
              <w:rPr>
                <w:rStyle w:val="Hyperlink"/>
                <w:noProof/>
              </w:rPr>
              <w:t>I. Introduction to product submission</w:t>
            </w:r>
            <w:r>
              <w:rPr>
                <w:noProof/>
                <w:webHidden/>
              </w:rPr>
              <w:tab/>
            </w:r>
            <w:r>
              <w:rPr>
                <w:noProof/>
                <w:webHidden/>
              </w:rPr>
              <w:fldChar w:fldCharType="begin"/>
            </w:r>
            <w:r>
              <w:rPr>
                <w:noProof/>
                <w:webHidden/>
              </w:rPr>
              <w:instrText xml:space="preserve"> PAGEREF _Toc83304602 \h </w:instrText>
            </w:r>
            <w:r>
              <w:rPr>
                <w:noProof/>
                <w:webHidden/>
              </w:rPr>
            </w:r>
            <w:r>
              <w:rPr>
                <w:noProof/>
                <w:webHidden/>
              </w:rPr>
              <w:fldChar w:fldCharType="separate"/>
            </w:r>
            <w:r>
              <w:rPr>
                <w:noProof/>
                <w:webHidden/>
              </w:rPr>
              <w:t>7</w:t>
            </w:r>
            <w:r>
              <w:rPr>
                <w:noProof/>
                <w:webHidden/>
              </w:rPr>
              <w:fldChar w:fldCharType="end"/>
            </w:r>
          </w:hyperlink>
        </w:p>
        <w:p w14:paraId="6E008CA3" w14:textId="65C29304" w:rsidR="00C85163" w:rsidRDefault="00C85163">
          <w:pPr>
            <w:pStyle w:val="TOC2"/>
            <w:rPr>
              <w:rFonts w:asciiTheme="minorHAnsi" w:eastAsiaTheme="minorEastAsia" w:hAnsiTheme="minorHAnsi" w:cstheme="minorBidi"/>
              <w:b w:val="0"/>
              <w:noProof/>
              <w:sz w:val="22"/>
              <w:lang w:eastAsia="en-AU"/>
            </w:rPr>
          </w:pPr>
          <w:hyperlink w:anchor="_Toc83304603" w:history="1">
            <w:r w:rsidRPr="00F76B62">
              <w:rPr>
                <w:rStyle w:val="Hyperlink"/>
                <w:noProof/>
                <w:lang w:eastAsia="en-AU"/>
              </w:rPr>
              <w:t>Submission details</w:t>
            </w:r>
            <w:r>
              <w:rPr>
                <w:noProof/>
                <w:webHidden/>
              </w:rPr>
              <w:tab/>
            </w:r>
            <w:r>
              <w:rPr>
                <w:noProof/>
                <w:webHidden/>
              </w:rPr>
              <w:fldChar w:fldCharType="begin"/>
            </w:r>
            <w:r>
              <w:rPr>
                <w:noProof/>
                <w:webHidden/>
              </w:rPr>
              <w:instrText xml:space="preserve"> PAGEREF _Toc83304603 \h </w:instrText>
            </w:r>
            <w:r>
              <w:rPr>
                <w:noProof/>
                <w:webHidden/>
              </w:rPr>
            </w:r>
            <w:r>
              <w:rPr>
                <w:noProof/>
                <w:webHidden/>
              </w:rPr>
              <w:fldChar w:fldCharType="separate"/>
            </w:r>
            <w:r>
              <w:rPr>
                <w:noProof/>
                <w:webHidden/>
              </w:rPr>
              <w:t>7</w:t>
            </w:r>
            <w:r>
              <w:rPr>
                <w:noProof/>
                <w:webHidden/>
              </w:rPr>
              <w:fldChar w:fldCharType="end"/>
            </w:r>
          </w:hyperlink>
        </w:p>
        <w:p w14:paraId="262043A6" w14:textId="004E05A1" w:rsidR="00C85163" w:rsidRDefault="00C85163">
          <w:pPr>
            <w:pStyle w:val="TOC2"/>
            <w:rPr>
              <w:rFonts w:asciiTheme="minorHAnsi" w:eastAsiaTheme="minorEastAsia" w:hAnsiTheme="minorHAnsi" w:cstheme="minorBidi"/>
              <w:b w:val="0"/>
              <w:noProof/>
              <w:sz w:val="22"/>
              <w:lang w:eastAsia="en-AU"/>
            </w:rPr>
          </w:pPr>
          <w:hyperlink w:anchor="_Toc83304604" w:history="1">
            <w:r w:rsidRPr="00F76B62">
              <w:rPr>
                <w:rStyle w:val="Hyperlink"/>
                <w:noProof/>
              </w:rPr>
              <w:t>Product background</w:t>
            </w:r>
            <w:r>
              <w:rPr>
                <w:noProof/>
                <w:webHidden/>
              </w:rPr>
              <w:tab/>
            </w:r>
            <w:r>
              <w:rPr>
                <w:noProof/>
                <w:webHidden/>
              </w:rPr>
              <w:fldChar w:fldCharType="begin"/>
            </w:r>
            <w:r>
              <w:rPr>
                <w:noProof/>
                <w:webHidden/>
              </w:rPr>
              <w:instrText xml:space="preserve"> PAGEREF _Toc83304604 \h </w:instrText>
            </w:r>
            <w:r>
              <w:rPr>
                <w:noProof/>
                <w:webHidden/>
              </w:rPr>
            </w:r>
            <w:r>
              <w:rPr>
                <w:noProof/>
                <w:webHidden/>
              </w:rPr>
              <w:fldChar w:fldCharType="separate"/>
            </w:r>
            <w:r>
              <w:rPr>
                <w:noProof/>
                <w:webHidden/>
              </w:rPr>
              <w:t>8</w:t>
            </w:r>
            <w:r>
              <w:rPr>
                <w:noProof/>
                <w:webHidden/>
              </w:rPr>
              <w:fldChar w:fldCharType="end"/>
            </w:r>
          </w:hyperlink>
        </w:p>
        <w:p w14:paraId="3ED009A7" w14:textId="26FA9DAA" w:rsidR="00C85163" w:rsidRDefault="00C85163">
          <w:pPr>
            <w:pStyle w:val="TOC2"/>
            <w:rPr>
              <w:rFonts w:asciiTheme="minorHAnsi" w:eastAsiaTheme="minorEastAsia" w:hAnsiTheme="minorHAnsi" w:cstheme="minorBidi"/>
              <w:b w:val="0"/>
              <w:noProof/>
              <w:sz w:val="22"/>
              <w:lang w:eastAsia="en-AU"/>
            </w:rPr>
          </w:pPr>
          <w:hyperlink w:anchor="_Toc83304605" w:history="1">
            <w:r w:rsidRPr="00F76B62">
              <w:rPr>
                <w:rStyle w:val="Hyperlink"/>
                <w:noProof/>
              </w:rPr>
              <w:t>Regulatory status</w:t>
            </w:r>
            <w:r>
              <w:rPr>
                <w:noProof/>
                <w:webHidden/>
              </w:rPr>
              <w:tab/>
            </w:r>
            <w:r>
              <w:rPr>
                <w:noProof/>
                <w:webHidden/>
              </w:rPr>
              <w:fldChar w:fldCharType="begin"/>
            </w:r>
            <w:r>
              <w:rPr>
                <w:noProof/>
                <w:webHidden/>
              </w:rPr>
              <w:instrText xml:space="preserve"> PAGEREF _Toc83304605 \h </w:instrText>
            </w:r>
            <w:r>
              <w:rPr>
                <w:noProof/>
                <w:webHidden/>
              </w:rPr>
            </w:r>
            <w:r>
              <w:rPr>
                <w:noProof/>
                <w:webHidden/>
              </w:rPr>
              <w:fldChar w:fldCharType="separate"/>
            </w:r>
            <w:r>
              <w:rPr>
                <w:noProof/>
                <w:webHidden/>
              </w:rPr>
              <w:t>9</w:t>
            </w:r>
            <w:r>
              <w:rPr>
                <w:noProof/>
                <w:webHidden/>
              </w:rPr>
              <w:fldChar w:fldCharType="end"/>
            </w:r>
          </w:hyperlink>
        </w:p>
        <w:p w14:paraId="4E0F170C" w14:textId="42F24542" w:rsidR="00C85163" w:rsidRDefault="00C85163">
          <w:pPr>
            <w:pStyle w:val="TOC2"/>
            <w:rPr>
              <w:rFonts w:asciiTheme="minorHAnsi" w:eastAsiaTheme="minorEastAsia" w:hAnsiTheme="minorHAnsi" w:cstheme="minorBidi"/>
              <w:b w:val="0"/>
              <w:noProof/>
              <w:sz w:val="22"/>
              <w:lang w:eastAsia="en-AU"/>
            </w:rPr>
          </w:pPr>
          <w:hyperlink w:anchor="_Toc83304606" w:history="1">
            <w:r w:rsidRPr="00F76B62">
              <w:rPr>
                <w:rStyle w:val="Hyperlink"/>
                <w:noProof/>
              </w:rPr>
              <w:t>Product Information</w:t>
            </w:r>
            <w:r>
              <w:rPr>
                <w:noProof/>
                <w:webHidden/>
              </w:rPr>
              <w:tab/>
            </w:r>
            <w:r>
              <w:rPr>
                <w:noProof/>
                <w:webHidden/>
              </w:rPr>
              <w:fldChar w:fldCharType="begin"/>
            </w:r>
            <w:r>
              <w:rPr>
                <w:noProof/>
                <w:webHidden/>
              </w:rPr>
              <w:instrText xml:space="preserve"> PAGEREF _Toc83304606 \h </w:instrText>
            </w:r>
            <w:r>
              <w:rPr>
                <w:noProof/>
                <w:webHidden/>
              </w:rPr>
            </w:r>
            <w:r>
              <w:rPr>
                <w:noProof/>
                <w:webHidden/>
              </w:rPr>
              <w:fldChar w:fldCharType="separate"/>
            </w:r>
            <w:r>
              <w:rPr>
                <w:noProof/>
                <w:webHidden/>
              </w:rPr>
              <w:t>10</w:t>
            </w:r>
            <w:r>
              <w:rPr>
                <w:noProof/>
                <w:webHidden/>
              </w:rPr>
              <w:fldChar w:fldCharType="end"/>
            </w:r>
          </w:hyperlink>
        </w:p>
        <w:p w14:paraId="33F3F6DC" w14:textId="21D29413" w:rsidR="00C85163" w:rsidRDefault="00C85163">
          <w:pPr>
            <w:pStyle w:val="TOC1"/>
            <w:rPr>
              <w:rFonts w:asciiTheme="minorHAnsi" w:eastAsiaTheme="minorEastAsia" w:hAnsiTheme="minorHAnsi" w:cstheme="minorBidi"/>
              <w:b w:val="0"/>
              <w:noProof/>
              <w:sz w:val="22"/>
              <w:lang w:eastAsia="en-AU"/>
            </w:rPr>
          </w:pPr>
          <w:hyperlink w:anchor="_Toc83304607" w:history="1">
            <w:r w:rsidRPr="00F76B62">
              <w:rPr>
                <w:rStyle w:val="Hyperlink"/>
                <w:noProof/>
              </w:rPr>
              <w:t>II. Registration timeline</w:t>
            </w:r>
            <w:r>
              <w:rPr>
                <w:noProof/>
                <w:webHidden/>
              </w:rPr>
              <w:tab/>
            </w:r>
            <w:r>
              <w:rPr>
                <w:noProof/>
                <w:webHidden/>
              </w:rPr>
              <w:fldChar w:fldCharType="begin"/>
            </w:r>
            <w:r>
              <w:rPr>
                <w:noProof/>
                <w:webHidden/>
              </w:rPr>
              <w:instrText xml:space="preserve"> PAGEREF _Toc83304607 \h </w:instrText>
            </w:r>
            <w:r>
              <w:rPr>
                <w:noProof/>
                <w:webHidden/>
              </w:rPr>
            </w:r>
            <w:r>
              <w:rPr>
                <w:noProof/>
                <w:webHidden/>
              </w:rPr>
              <w:fldChar w:fldCharType="separate"/>
            </w:r>
            <w:r>
              <w:rPr>
                <w:noProof/>
                <w:webHidden/>
              </w:rPr>
              <w:t>10</w:t>
            </w:r>
            <w:r>
              <w:rPr>
                <w:noProof/>
                <w:webHidden/>
              </w:rPr>
              <w:fldChar w:fldCharType="end"/>
            </w:r>
          </w:hyperlink>
        </w:p>
        <w:p w14:paraId="3152250C" w14:textId="10AC46A6" w:rsidR="00C85163" w:rsidRDefault="00C85163">
          <w:pPr>
            <w:pStyle w:val="TOC1"/>
            <w:rPr>
              <w:rFonts w:asciiTheme="minorHAnsi" w:eastAsiaTheme="minorEastAsia" w:hAnsiTheme="minorHAnsi" w:cstheme="minorBidi"/>
              <w:b w:val="0"/>
              <w:noProof/>
              <w:sz w:val="22"/>
              <w:lang w:eastAsia="en-AU"/>
            </w:rPr>
          </w:pPr>
          <w:hyperlink w:anchor="_Toc83304608" w:history="1">
            <w:r w:rsidRPr="00F76B62">
              <w:rPr>
                <w:rStyle w:val="Hyperlink"/>
                <w:noProof/>
              </w:rPr>
              <w:t>III. Submission overview and risk/benefit assessment</w:t>
            </w:r>
            <w:r>
              <w:rPr>
                <w:noProof/>
                <w:webHidden/>
              </w:rPr>
              <w:tab/>
            </w:r>
            <w:r>
              <w:rPr>
                <w:noProof/>
                <w:webHidden/>
              </w:rPr>
              <w:fldChar w:fldCharType="begin"/>
            </w:r>
            <w:r>
              <w:rPr>
                <w:noProof/>
                <w:webHidden/>
              </w:rPr>
              <w:instrText xml:space="preserve"> PAGEREF _Toc83304608 \h </w:instrText>
            </w:r>
            <w:r>
              <w:rPr>
                <w:noProof/>
                <w:webHidden/>
              </w:rPr>
            </w:r>
            <w:r>
              <w:rPr>
                <w:noProof/>
                <w:webHidden/>
              </w:rPr>
              <w:fldChar w:fldCharType="separate"/>
            </w:r>
            <w:r>
              <w:rPr>
                <w:noProof/>
                <w:webHidden/>
              </w:rPr>
              <w:t>11</w:t>
            </w:r>
            <w:r>
              <w:rPr>
                <w:noProof/>
                <w:webHidden/>
              </w:rPr>
              <w:fldChar w:fldCharType="end"/>
            </w:r>
          </w:hyperlink>
        </w:p>
        <w:p w14:paraId="37641002" w14:textId="0A4C36FE" w:rsidR="00C85163" w:rsidRDefault="00C85163">
          <w:pPr>
            <w:pStyle w:val="TOC2"/>
            <w:rPr>
              <w:rFonts w:asciiTheme="minorHAnsi" w:eastAsiaTheme="minorEastAsia" w:hAnsiTheme="minorHAnsi" w:cstheme="minorBidi"/>
              <w:b w:val="0"/>
              <w:noProof/>
              <w:sz w:val="22"/>
              <w:lang w:eastAsia="en-AU"/>
            </w:rPr>
          </w:pPr>
          <w:hyperlink w:anchor="_Toc83304609" w:history="1">
            <w:r w:rsidRPr="00F76B62">
              <w:rPr>
                <w:rStyle w:val="Hyperlink"/>
                <w:noProof/>
              </w:rPr>
              <w:t>Quality</w:t>
            </w:r>
            <w:r>
              <w:rPr>
                <w:noProof/>
                <w:webHidden/>
              </w:rPr>
              <w:tab/>
            </w:r>
            <w:r>
              <w:rPr>
                <w:noProof/>
                <w:webHidden/>
              </w:rPr>
              <w:fldChar w:fldCharType="begin"/>
            </w:r>
            <w:r>
              <w:rPr>
                <w:noProof/>
                <w:webHidden/>
              </w:rPr>
              <w:instrText xml:space="preserve"> PAGEREF _Toc83304609 \h </w:instrText>
            </w:r>
            <w:r>
              <w:rPr>
                <w:noProof/>
                <w:webHidden/>
              </w:rPr>
            </w:r>
            <w:r>
              <w:rPr>
                <w:noProof/>
                <w:webHidden/>
              </w:rPr>
              <w:fldChar w:fldCharType="separate"/>
            </w:r>
            <w:r>
              <w:rPr>
                <w:noProof/>
                <w:webHidden/>
              </w:rPr>
              <w:t>11</w:t>
            </w:r>
            <w:r>
              <w:rPr>
                <w:noProof/>
                <w:webHidden/>
              </w:rPr>
              <w:fldChar w:fldCharType="end"/>
            </w:r>
          </w:hyperlink>
        </w:p>
        <w:p w14:paraId="14C6DD9E" w14:textId="0D39205E" w:rsidR="00C85163" w:rsidRDefault="00C85163">
          <w:pPr>
            <w:pStyle w:val="TOC2"/>
            <w:rPr>
              <w:rFonts w:asciiTheme="minorHAnsi" w:eastAsiaTheme="minorEastAsia" w:hAnsiTheme="minorHAnsi" w:cstheme="minorBidi"/>
              <w:b w:val="0"/>
              <w:noProof/>
              <w:sz w:val="22"/>
              <w:lang w:eastAsia="en-AU"/>
            </w:rPr>
          </w:pPr>
          <w:hyperlink w:anchor="_Toc83304610" w:history="1">
            <w:r w:rsidRPr="00F76B62">
              <w:rPr>
                <w:rStyle w:val="Hyperlink"/>
                <w:noProof/>
              </w:rPr>
              <w:t>Nonclinical</w:t>
            </w:r>
            <w:r>
              <w:rPr>
                <w:noProof/>
                <w:webHidden/>
              </w:rPr>
              <w:tab/>
            </w:r>
            <w:r>
              <w:rPr>
                <w:noProof/>
                <w:webHidden/>
              </w:rPr>
              <w:fldChar w:fldCharType="begin"/>
            </w:r>
            <w:r>
              <w:rPr>
                <w:noProof/>
                <w:webHidden/>
              </w:rPr>
              <w:instrText xml:space="preserve"> PAGEREF _Toc83304610 \h </w:instrText>
            </w:r>
            <w:r>
              <w:rPr>
                <w:noProof/>
                <w:webHidden/>
              </w:rPr>
            </w:r>
            <w:r>
              <w:rPr>
                <w:noProof/>
                <w:webHidden/>
              </w:rPr>
              <w:fldChar w:fldCharType="separate"/>
            </w:r>
            <w:r>
              <w:rPr>
                <w:noProof/>
                <w:webHidden/>
              </w:rPr>
              <w:t>12</w:t>
            </w:r>
            <w:r>
              <w:rPr>
                <w:noProof/>
                <w:webHidden/>
              </w:rPr>
              <w:fldChar w:fldCharType="end"/>
            </w:r>
          </w:hyperlink>
        </w:p>
        <w:p w14:paraId="2C30B56A" w14:textId="4C8160F7" w:rsidR="00C85163" w:rsidRDefault="00C85163">
          <w:pPr>
            <w:pStyle w:val="TOC2"/>
            <w:rPr>
              <w:rFonts w:asciiTheme="minorHAnsi" w:eastAsiaTheme="minorEastAsia" w:hAnsiTheme="minorHAnsi" w:cstheme="minorBidi"/>
              <w:b w:val="0"/>
              <w:noProof/>
              <w:sz w:val="22"/>
              <w:lang w:eastAsia="en-AU"/>
            </w:rPr>
          </w:pPr>
          <w:hyperlink w:anchor="_Toc83304611" w:history="1">
            <w:r w:rsidRPr="00F76B62">
              <w:rPr>
                <w:rStyle w:val="Hyperlink"/>
                <w:noProof/>
              </w:rPr>
              <w:t>Clinical</w:t>
            </w:r>
            <w:r>
              <w:rPr>
                <w:noProof/>
                <w:webHidden/>
              </w:rPr>
              <w:tab/>
            </w:r>
            <w:r>
              <w:rPr>
                <w:noProof/>
                <w:webHidden/>
              </w:rPr>
              <w:fldChar w:fldCharType="begin"/>
            </w:r>
            <w:r>
              <w:rPr>
                <w:noProof/>
                <w:webHidden/>
              </w:rPr>
              <w:instrText xml:space="preserve"> PAGEREF _Toc83304611 \h </w:instrText>
            </w:r>
            <w:r>
              <w:rPr>
                <w:noProof/>
                <w:webHidden/>
              </w:rPr>
            </w:r>
            <w:r>
              <w:rPr>
                <w:noProof/>
                <w:webHidden/>
              </w:rPr>
              <w:fldChar w:fldCharType="separate"/>
            </w:r>
            <w:r>
              <w:rPr>
                <w:noProof/>
                <w:webHidden/>
              </w:rPr>
              <w:t>15</w:t>
            </w:r>
            <w:r>
              <w:rPr>
                <w:noProof/>
                <w:webHidden/>
              </w:rPr>
              <w:fldChar w:fldCharType="end"/>
            </w:r>
          </w:hyperlink>
        </w:p>
        <w:p w14:paraId="63AC7421" w14:textId="309AA543" w:rsidR="00C85163" w:rsidRDefault="00C85163">
          <w:pPr>
            <w:pStyle w:val="TOC2"/>
            <w:rPr>
              <w:rFonts w:asciiTheme="minorHAnsi" w:eastAsiaTheme="minorEastAsia" w:hAnsiTheme="minorHAnsi" w:cstheme="minorBidi"/>
              <w:b w:val="0"/>
              <w:noProof/>
              <w:sz w:val="22"/>
              <w:lang w:eastAsia="en-AU"/>
            </w:rPr>
          </w:pPr>
          <w:hyperlink w:anchor="_Toc83304612" w:history="1">
            <w:r w:rsidRPr="00F76B62">
              <w:rPr>
                <w:rStyle w:val="Hyperlink"/>
                <w:noProof/>
                <w:lang w:eastAsia="en-AU"/>
              </w:rPr>
              <w:t>Risk management plan</w:t>
            </w:r>
            <w:r>
              <w:rPr>
                <w:noProof/>
                <w:webHidden/>
              </w:rPr>
              <w:tab/>
            </w:r>
            <w:r>
              <w:rPr>
                <w:noProof/>
                <w:webHidden/>
              </w:rPr>
              <w:fldChar w:fldCharType="begin"/>
            </w:r>
            <w:r>
              <w:rPr>
                <w:noProof/>
                <w:webHidden/>
              </w:rPr>
              <w:instrText xml:space="preserve"> PAGEREF _Toc83304612 \h </w:instrText>
            </w:r>
            <w:r>
              <w:rPr>
                <w:noProof/>
                <w:webHidden/>
              </w:rPr>
            </w:r>
            <w:r>
              <w:rPr>
                <w:noProof/>
                <w:webHidden/>
              </w:rPr>
              <w:fldChar w:fldCharType="separate"/>
            </w:r>
            <w:r>
              <w:rPr>
                <w:noProof/>
                <w:webHidden/>
              </w:rPr>
              <w:t>25</w:t>
            </w:r>
            <w:r>
              <w:rPr>
                <w:noProof/>
                <w:webHidden/>
              </w:rPr>
              <w:fldChar w:fldCharType="end"/>
            </w:r>
          </w:hyperlink>
        </w:p>
        <w:p w14:paraId="69F000E9" w14:textId="0E85D648" w:rsidR="00C85163" w:rsidRDefault="00C85163">
          <w:pPr>
            <w:pStyle w:val="TOC2"/>
            <w:rPr>
              <w:rFonts w:asciiTheme="minorHAnsi" w:eastAsiaTheme="minorEastAsia" w:hAnsiTheme="minorHAnsi" w:cstheme="minorBidi"/>
              <w:b w:val="0"/>
              <w:noProof/>
              <w:sz w:val="22"/>
              <w:lang w:eastAsia="en-AU"/>
            </w:rPr>
          </w:pPr>
          <w:hyperlink w:anchor="_Toc83304613" w:history="1">
            <w:r w:rsidRPr="00F76B62">
              <w:rPr>
                <w:rStyle w:val="Hyperlink"/>
                <w:noProof/>
              </w:rPr>
              <w:t>Risk-benefit analysis</w:t>
            </w:r>
            <w:r>
              <w:rPr>
                <w:noProof/>
                <w:webHidden/>
              </w:rPr>
              <w:tab/>
            </w:r>
            <w:r>
              <w:rPr>
                <w:noProof/>
                <w:webHidden/>
              </w:rPr>
              <w:fldChar w:fldCharType="begin"/>
            </w:r>
            <w:r>
              <w:rPr>
                <w:noProof/>
                <w:webHidden/>
              </w:rPr>
              <w:instrText xml:space="preserve"> PAGEREF _Toc83304613 \h </w:instrText>
            </w:r>
            <w:r>
              <w:rPr>
                <w:noProof/>
                <w:webHidden/>
              </w:rPr>
            </w:r>
            <w:r>
              <w:rPr>
                <w:noProof/>
                <w:webHidden/>
              </w:rPr>
              <w:fldChar w:fldCharType="separate"/>
            </w:r>
            <w:r>
              <w:rPr>
                <w:noProof/>
                <w:webHidden/>
              </w:rPr>
              <w:t>28</w:t>
            </w:r>
            <w:r>
              <w:rPr>
                <w:noProof/>
                <w:webHidden/>
              </w:rPr>
              <w:fldChar w:fldCharType="end"/>
            </w:r>
          </w:hyperlink>
        </w:p>
        <w:p w14:paraId="375FCC34" w14:textId="4A82501B" w:rsidR="00C85163" w:rsidRDefault="00C85163">
          <w:pPr>
            <w:pStyle w:val="TOC2"/>
            <w:rPr>
              <w:rFonts w:asciiTheme="minorHAnsi" w:eastAsiaTheme="minorEastAsia" w:hAnsiTheme="minorHAnsi" w:cstheme="minorBidi"/>
              <w:b w:val="0"/>
              <w:noProof/>
              <w:sz w:val="22"/>
              <w:lang w:eastAsia="en-AU"/>
            </w:rPr>
          </w:pPr>
          <w:hyperlink w:anchor="_Toc83304614" w:history="1">
            <w:r w:rsidRPr="00F76B62">
              <w:rPr>
                <w:rStyle w:val="Hyperlink"/>
                <w:noProof/>
              </w:rPr>
              <w:t>Outcome</w:t>
            </w:r>
            <w:r>
              <w:rPr>
                <w:noProof/>
                <w:webHidden/>
              </w:rPr>
              <w:tab/>
            </w:r>
            <w:r>
              <w:rPr>
                <w:noProof/>
                <w:webHidden/>
              </w:rPr>
              <w:fldChar w:fldCharType="begin"/>
            </w:r>
            <w:r>
              <w:rPr>
                <w:noProof/>
                <w:webHidden/>
              </w:rPr>
              <w:instrText xml:space="preserve"> PAGEREF _Toc83304614 \h </w:instrText>
            </w:r>
            <w:r>
              <w:rPr>
                <w:noProof/>
                <w:webHidden/>
              </w:rPr>
            </w:r>
            <w:r>
              <w:rPr>
                <w:noProof/>
                <w:webHidden/>
              </w:rPr>
              <w:fldChar w:fldCharType="separate"/>
            </w:r>
            <w:r>
              <w:rPr>
                <w:noProof/>
                <w:webHidden/>
              </w:rPr>
              <w:t>31</w:t>
            </w:r>
            <w:r>
              <w:rPr>
                <w:noProof/>
                <w:webHidden/>
              </w:rPr>
              <w:fldChar w:fldCharType="end"/>
            </w:r>
          </w:hyperlink>
        </w:p>
        <w:p w14:paraId="7129AD65" w14:textId="019236CE" w:rsidR="00C85163" w:rsidRDefault="00C85163">
          <w:pPr>
            <w:pStyle w:val="TOC1"/>
            <w:rPr>
              <w:rFonts w:asciiTheme="minorHAnsi" w:eastAsiaTheme="minorEastAsia" w:hAnsiTheme="minorHAnsi" w:cstheme="minorBidi"/>
              <w:b w:val="0"/>
              <w:noProof/>
              <w:sz w:val="22"/>
              <w:lang w:eastAsia="en-AU"/>
            </w:rPr>
          </w:pPr>
          <w:hyperlink w:anchor="_Toc83304615" w:history="1">
            <w:r w:rsidRPr="00F76B62">
              <w:rPr>
                <w:rStyle w:val="Hyperlink"/>
                <w:noProof/>
              </w:rPr>
              <w:t>Attachment 1. Product Information</w:t>
            </w:r>
            <w:r>
              <w:rPr>
                <w:noProof/>
                <w:webHidden/>
              </w:rPr>
              <w:tab/>
            </w:r>
            <w:r>
              <w:rPr>
                <w:noProof/>
                <w:webHidden/>
              </w:rPr>
              <w:fldChar w:fldCharType="begin"/>
            </w:r>
            <w:r>
              <w:rPr>
                <w:noProof/>
                <w:webHidden/>
              </w:rPr>
              <w:instrText xml:space="preserve"> PAGEREF _Toc83304615 \h </w:instrText>
            </w:r>
            <w:r>
              <w:rPr>
                <w:noProof/>
                <w:webHidden/>
              </w:rPr>
            </w:r>
            <w:r>
              <w:rPr>
                <w:noProof/>
                <w:webHidden/>
              </w:rPr>
              <w:fldChar w:fldCharType="separate"/>
            </w:r>
            <w:r>
              <w:rPr>
                <w:noProof/>
                <w:webHidden/>
              </w:rPr>
              <w:t>32</w:t>
            </w:r>
            <w:r>
              <w:rPr>
                <w:noProof/>
                <w:webHidden/>
              </w:rPr>
              <w:fldChar w:fldCharType="end"/>
            </w:r>
          </w:hyperlink>
        </w:p>
        <w:p w14:paraId="446F79C0" w14:textId="66EDF8F8" w:rsidR="003A7F6C" w:rsidRPr="00B811C6" w:rsidRDefault="00C525A2" w:rsidP="00B811C6">
          <w:pPr>
            <w:pStyle w:val="TOC2"/>
          </w:pPr>
          <w:r>
            <w:fldChar w:fldCharType="end"/>
          </w:r>
        </w:p>
      </w:sdtContent>
    </w:sdt>
    <w:bookmarkStart w:id="2" w:name="_Toc314842482" w:displacedByCustomXml="prev"/>
    <w:p w14:paraId="039E8FF3" w14:textId="77777777" w:rsidR="00FD119B" w:rsidRDefault="00FD119B">
      <w:pPr>
        <w:spacing w:before="0" w:after="200" w:line="0" w:lineRule="auto"/>
      </w:pPr>
      <w:r>
        <w:br w:type="page"/>
      </w:r>
    </w:p>
    <w:p w14:paraId="5BA60D36" w14:textId="5680BD15" w:rsidR="00C52E24" w:rsidRPr="00C52E24" w:rsidRDefault="00324E45" w:rsidP="0071605E">
      <w:pPr>
        <w:pStyle w:val="Heading2"/>
      </w:pPr>
      <w:bookmarkStart w:id="3" w:name="_Toc351716269"/>
      <w:bookmarkStart w:id="4" w:name="_Toc351718881"/>
      <w:bookmarkStart w:id="5" w:name="_Toc355338616"/>
      <w:bookmarkStart w:id="6" w:name="_Toc356306144"/>
      <w:bookmarkStart w:id="7" w:name="_Toc83304601"/>
      <w:r>
        <w:lastRenderedPageBreak/>
        <w:t>List of</w:t>
      </w:r>
      <w:r w:rsidR="00FD119B" w:rsidRPr="00FD119B">
        <w:t xml:space="preserve"> abbreviations</w:t>
      </w:r>
      <w:bookmarkEnd w:id="3"/>
      <w:bookmarkEnd w:id="4"/>
      <w:bookmarkEnd w:id="5"/>
      <w:bookmarkEnd w:id="6"/>
      <w:bookmarkEnd w:id="7"/>
    </w:p>
    <w:tbl>
      <w:tblPr>
        <w:tblStyle w:val="TableTGAblue"/>
        <w:tblW w:w="0" w:type="auto"/>
        <w:tblLook w:val="04A0" w:firstRow="1" w:lastRow="0" w:firstColumn="1" w:lastColumn="0" w:noHBand="0" w:noVBand="1"/>
      </w:tblPr>
      <w:tblGrid>
        <w:gridCol w:w="1791"/>
        <w:gridCol w:w="6703"/>
      </w:tblGrid>
      <w:tr w:rsidR="005E1D52" w:rsidRPr="00FD119B" w14:paraId="1A2E23F8" w14:textId="77777777" w:rsidTr="002351E1">
        <w:trPr>
          <w:cnfStyle w:val="100000000000" w:firstRow="1" w:lastRow="0" w:firstColumn="0" w:lastColumn="0" w:oddVBand="0" w:evenVBand="0" w:oddHBand="0" w:evenHBand="0" w:firstRowFirstColumn="0" w:firstRowLastColumn="0" w:lastRowFirstColumn="0" w:lastRowLastColumn="0"/>
        </w:trPr>
        <w:tc>
          <w:tcPr>
            <w:tcW w:w="1791" w:type="dxa"/>
            <w:tcBorders>
              <w:top w:val="single" w:sz="4" w:space="0" w:color="auto"/>
              <w:left w:val="single" w:sz="4" w:space="0" w:color="auto"/>
              <w:bottom w:val="single" w:sz="4" w:space="0" w:color="auto"/>
              <w:right w:val="single" w:sz="4" w:space="0" w:color="auto"/>
            </w:tcBorders>
          </w:tcPr>
          <w:p w14:paraId="0459B9CD" w14:textId="77777777" w:rsidR="005E1D52" w:rsidRPr="00FD119B" w:rsidRDefault="005E1D52" w:rsidP="00787073">
            <w:pPr>
              <w:keepNext w:val="0"/>
              <w:ind w:left="0" w:right="0"/>
              <w:rPr>
                <w:szCs w:val="22"/>
                <w:lang w:eastAsia="en-US"/>
              </w:rPr>
            </w:pPr>
            <w:r w:rsidRPr="00FD119B">
              <w:rPr>
                <w:szCs w:val="22"/>
                <w:lang w:eastAsia="en-US"/>
              </w:rPr>
              <w:t>Abbreviation</w:t>
            </w:r>
          </w:p>
        </w:tc>
        <w:tc>
          <w:tcPr>
            <w:tcW w:w="6703" w:type="dxa"/>
            <w:tcBorders>
              <w:top w:val="single" w:sz="4" w:space="0" w:color="auto"/>
              <w:left w:val="single" w:sz="4" w:space="0" w:color="auto"/>
              <w:bottom w:val="single" w:sz="4" w:space="0" w:color="auto"/>
              <w:right w:val="single" w:sz="4" w:space="0" w:color="auto"/>
            </w:tcBorders>
          </w:tcPr>
          <w:p w14:paraId="01399C4F" w14:textId="77777777" w:rsidR="005E1D52" w:rsidRPr="00FD119B" w:rsidRDefault="005E1D52" w:rsidP="00787073">
            <w:pPr>
              <w:keepNext w:val="0"/>
              <w:ind w:left="0" w:right="0"/>
              <w:rPr>
                <w:szCs w:val="22"/>
                <w:lang w:eastAsia="en-US"/>
              </w:rPr>
            </w:pPr>
            <w:r w:rsidRPr="00FD119B">
              <w:rPr>
                <w:szCs w:val="22"/>
                <w:lang w:eastAsia="en-US"/>
              </w:rPr>
              <w:t>Meaning</w:t>
            </w:r>
          </w:p>
        </w:tc>
      </w:tr>
      <w:tr w:rsidR="005E1D52" w:rsidRPr="00FD119B" w14:paraId="16C78D65" w14:textId="77777777" w:rsidTr="002351E1">
        <w:tc>
          <w:tcPr>
            <w:tcW w:w="1791" w:type="dxa"/>
          </w:tcPr>
          <w:p w14:paraId="7726AD72" w14:textId="77777777" w:rsidR="005E1D52" w:rsidRPr="00FD119B" w:rsidRDefault="005E1D52" w:rsidP="00787073">
            <w:r>
              <w:t>ACM</w:t>
            </w:r>
          </w:p>
        </w:tc>
        <w:tc>
          <w:tcPr>
            <w:tcW w:w="6703" w:type="dxa"/>
          </w:tcPr>
          <w:p w14:paraId="21D8D747" w14:textId="77777777" w:rsidR="005E1D52" w:rsidRPr="00FD119B" w:rsidRDefault="005E1D52" w:rsidP="00787073">
            <w:r w:rsidRPr="00460036">
              <w:t>Advisory Committee on Medicines</w:t>
            </w:r>
          </w:p>
        </w:tc>
      </w:tr>
      <w:tr w:rsidR="005E1D52" w:rsidRPr="00FD119B" w14:paraId="2E20C85A" w14:textId="77777777" w:rsidTr="002351E1">
        <w:tc>
          <w:tcPr>
            <w:tcW w:w="1791" w:type="dxa"/>
          </w:tcPr>
          <w:p w14:paraId="008823ED" w14:textId="77777777" w:rsidR="005E1D52" w:rsidRDefault="005E1D52" w:rsidP="00787073">
            <w:r>
              <w:t>AE</w:t>
            </w:r>
          </w:p>
        </w:tc>
        <w:tc>
          <w:tcPr>
            <w:tcW w:w="6703" w:type="dxa"/>
          </w:tcPr>
          <w:p w14:paraId="01D6F279" w14:textId="77777777" w:rsidR="005E1D52" w:rsidRDefault="005E1D52" w:rsidP="00787073">
            <w:r>
              <w:t>Adverse event</w:t>
            </w:r>
          </w:p>
        </w:tc>
      </w:tr>
      <w:tr w:rsidR="005E1D52" w:rsidRPr="00FD119B" w14:paraId="731BFEDA" w14:textId="77777777" w:rsidTr="002351E1">
        <w:tc>
          <w:tcPr>
            <w:tcW w:w="1791" w:type="dxa"/>
          </w:tcPr>
          <w:p w14:paraId="3AB2F31B" w14:textId="77777777" w:rsidR="005E1D52" w:rsidRPr="00FD119B" w:rsidRDefault="005E1D52" w:rsidP="00787073">
            <w:r>
              <w:t>AIDS</w:t>
            </w:r>
          </w:p>
        </w:tc>
        <w:tc>
          <w:tcPr>
            <w:tcW w:w="6703" w:type="dxa"/>
          </w:tcPr>
          <w:p w14:paraId="7E252C28" w14:textId="77777777" w:rsidR="005E1D52" w:rsidRPr="00FD119B" w:rsidRDefault="005E1D52" w:rsidP="00787073">
            <w:r>
              <w:t>A</w:t>
            </w:r>
            <w:r w:rsidRPr="00DD08D9">
              <w:t>cquired immunodeficiency syndrome</w:t>
            </w:r>
          </w:p>
        </w:tc>
      </w:tr>
      <w:tr w:rsidR="005E1D52" w:rsidRPr="00FD119B" w14:paraId="7C84F013" w14:textId="77777777" w:rsidTr="002351E1">
        <w:tc>
          <w:tcPr>
            <w:tcW w:w="1791" w:type="dxa"/>
          </w:tcPr>
          <w:p w14:paraId="140CE902" w14:textId="77777777" w:rsidR="005E1D52" w:rsidRDefault="005E1D52" w:rsidP="00787073">
            <w:r>
              <w:t>ALP</w:t>
            </w:r>
          </w:p>
        </w:tc>
        <w:tc>
          <w:tcPr>
            <w:tcW w:w="6703" w:type="dxa"/>
          </w:tcPr>
          <w:p w14:paraId="4E53B649" w14:textId="77777777" w:rsidR="005E1D52" w:rsidRDefault="005E1D52" w:rsidP="00787073">
            <w:r>
              <w:t>A</w:t>
            </w:r>
            <w:r w:rsidRPr="003044B7">
              <w:t>lkaline phosphatase</w:t>
            </w:r>
          </w:p>
        </w:tc>
      </w:tr>
      <w:tr w:rsidR="005E1D52" w:rsidRPr="00FD119B" w14:paraId="41D8CA27" w14:textId="77777777" w:rsidTr="002351E1">
        <w:tc>
          <w:tcPr>
            <w:tcW w:w="1791" w:type="dxa"/>
          </w:tcPr>
          <w:p w14:paraId="12FAF5C7" w14:textId="77777777" w:rsidR="005E1D52" w:rsidRDefault="005E1D52" w:rsidP="00787073">
            <w:r>
              <w:t>ALT</w:t>
            </w:r>
          </w:p>
        </w:tc>
        <w:tc>
          <w:tcPr>
            <w:tcW w:w="6703" w:type="dxa"/>
          </w:tcPr>
          <w:p w14:paraId="40B383EC" w14:textId="424189F5" w:rsidR="005E1D52" w:rsidRDefault="005E1D52" w:rsidP="0086136B">
            <w:r>
              <w:t>A</w:t>
            </w:r>
            <w:r w:rsidRPr="00E53E55">
              <w:t xml:space="preserve">lanine </w:t>
            </w:r>
            <w:r w:rsidR="0086136B">
              <w:t>transaminase</w:t>
            </w:r>
          </w:p>
        </w:tc>
      </w:tr>
      <w:tr w:rsidR="005E1D52" w:rsidRPr="00FD119B" w14:paraId="655EA082" w14:textId="77777777" w:rsidTr="002351E1">
        <w:tc>
          <w:tcPr>
            <w:tcW w:w="1791" w:type="dxa"/>
          </w:tcPr>
          <w:p w14:paraId="34D016B5" w14:textId="77777777" w:rsidR="005E1D52" w:rsidRPr="00FD119B" w:rsidRDefault="005E1D52" w:rsidP="00787073">
            <w:r>
              <w:t>ARTG</w:t>
            </w:r>
          </w:p>
        </w:tc>
        <w:tc>
          <w:tcPr>
            <w:tcW w:w="6703" w:type="dxa"/>
          </w:tcPr>
          <w:p w14:paraId="2E03DDBE" w14:textId="77777777" w:rsidR="005E1D52" w:rsidRPr="00FD119B" w:rsidRDefault="005E1D52" w:rsidP="00787073">
            <w:r w:rsidRPr="00460036">
              <w:t>Australian Register of Therapeutic Goods</w:t>
            </w:r>
          </w:p>
        </w:tc>
      </w:tr>
      <w:tr w:rsidR="005E1D52" w:rsidRPr="00FD119B" w14:paraId="5A6D5B90" w14:textId="77777777" w:rsidTr="002351E1">
        <w:tc>
          <w:tcPr>
            <w:tcW w:w="1791" w:type="dxa"/>
          </w:tcPr>
          <w:p w14:paraId="7A4076F0" w14:textId="77777777" w:rsidR="005E1D52" w:rsidRPr="00FD119B" w:rsidRDefault="005E1D52" w:rsidP="00787073">
            <w:r>
              <w:t>ARV</w:t>
            </w:r>
          </w:p>
        </w:tc>
        <w:tc>
          <w:tcPr>
            <w:tcW w:w="6703" w:type="dxa"/>
          </w:tcPr>
          <w:p w14:paraId="161FBB9E" w14:textId="77777777" w:rsidR="005E1D52" w:rsidRPr="00FD119B" w:rsidRDefault="005E1D52" w:rsidP="00787073">
            <w:r>
              <w:t>Antiretroviral</w:t>
            </w:r>
          </w:p>
        </w:tc>
      </w:tr>
      <w:tr w:rsidR="005E1D52" w:rsidRPr="00FD119B" w14:paraId="58D7AA9B" w14:textId="77777777" w:rsidTr="002351E1">
        <w:tc>
          <w:tcPr>
            <w:tcW w:w="1791" w:type="dxa"/>
          </w:tcPr>
          <w:p w14:paraId="305E81E0" w14:textId="77777777" w:rsidR="005E1D52" w:rsidRDefault="005E1D52" w:rsidP="00787073">
            <w:r>
              <w:t>ASA</w:t>
            </w:r>
          </w:p>
        </w:tc>
        <w:tc>
          <w:tcPr>
            <w:tcW w:w="6703" w:type="dxa"/>
          </w:tcPr>
          <w:p w14:paraId="34A92AB1" w14:textId="77777777" w:rsidR="005E1D52" w:rsidRDefault="005E1D52" w:rsidP="00787073">
            <w:r w:rsidRPr="00DA10E0">
              <w:t>A</w:t>
            </w:r>
            <w:r>
              <w:t>ustralian specific annex</w:t>
            </w:r>
          </w:p>
        </w:tc>
      </w:tr>
      <w:tr w:rsidR="005E1D52" w:rsidRPr="00FD119B" w14:paraId="516AED37" w14:textId="77777777" w:rsidTr="002351E1">
        <w:tc>
          <w:tcPr>
            <w:tcW w:w="1791" w:type="dxa"/>
          </w:tcPr>
          <w:p w14:paraId="64B8E222" w14:textId="77777777" w:rsidR="005E1D52" w:rsidRDefault="005E1D52" w:rsidP="00787073">
            <w:r>
              <w:t>AST</w:t>
            </w:r>
          </w:p>
        </w:tc>
        <w:tc>
          <w:tcPr>
            <w:tcW w:w="6703" w:type="dxa"/>
          </w:tcPr>
          <w:p w14:paraId="23C82CC9" w14:textId="77777777" w:rsidR="005E1D52" w:rsidRDefault="005E1D52" w:rsidP="00787073">
            <w:r>
              <w:t>A</w:t>
            </w:r>
            <w:r w:rsidRPr="003044B7">
              <w:t xml:space="preserve">spartate </w:t>
            </w:r>
            <w:r>
              <w:t>t</w:t>
            </w:r>
            <w:r w:rsidRPr="003044B7">
              <w:t>ransaminase</w:t>
            </w:r>
          </w:p>
        </w:tc>
      </w:tr>
      <w:tr w:rsidR="005E1D52" w:rsidRPr="00FD119B" w14:paraId="4D7BEF37" w14:textId="77777777" w:rsidTr="002351E1">
        <w:tc>
          <w:tcPr>
            <w:tcW w:w="1791" w:type="dxa"/>
          </w:tcPr>
          <w:p w14:paraId="0E1B3ACA" w14:textId="77777777" w:rsidR="005E1D52" w:rsidRDefault="005E1D52" w:rsidP="00787073">
            <w:r>
              <w:t>AUC</w:t>
            </w:r>
          </w:p>
        </w:tc>
        <w:tc>
          <w:tcPr>
            <w:tcW w:w="6703" w:type="dxa"/>
          </w:tcPr>
          <w:p w14:paraId="45AB08C3" w14:textId="7689CCBE" w:rsidR="005E1D52" w:rsidRDefault="005E1D52" w:rsidP="0086136B">
            <w:r>
              <w:t>A</w:t>
            </w:r>
            <w:r w:rsidRPr="003044B7">
              <w:t>rea under the concentration</w:t>
            </w:r>
            <w:r w:rsidR="0086136B">
              <w:t xml:space="preserve"> versus </w:t>
            </w:r>
            <w:r w:rsidRPr="003044B7">
              <w:t>time curve</w:t>
            </w:r>
          </w:p>
        </w:tc>
      </w:tr>
      <w:tr w:rsidR="005E1D52" w:rsidRPr="00FD119B" w14:paraId="023F21FB" w14:textId="77777777" w:rsidTr="002351E1">
        <w:tc>
          <w:tcPr>
            <w:tcW w:w="1791" w:type="dxa"/>
          </w:tcPr>
          <w:p w14:paraId="2694EAAC" w14:textId="77777777" w:rsidR="005E1D52" w:rsidRDefault="005E1D52" w:rsidP="00787073">
            <w:r>
              <w:t>BCRP</w:t>
            </w:r>
          </w:p>
        </w:tc>
        <w:tc>
          <w:tcPr>
            <w:tcW w:w="6703" w:type="dxa"/>
          </w:tcPr>
          <w:p w14:paraId="39FB8C38" w14:textId="77777777" w:rsidR="005E1D52" w:rsidRDefault="005E1D52" w:rsidP="00787073">
            <w:r>
              <w:t>B</w:t>
            </w:r>
            <w:r w:rsidRPr="00613A7D">
              <w:t>reast cancer resistance protei</w:t>
            </w:r>
            <w:r>
              <w:t>n</w:t>
            </w:r>
          </w:p>
        </w:tc>
      </w:tr>
      <w:tr w:rsidR="005E1D52" w:rsidRPr="00FD119B" w14:paraId="4D9B229C" w14:textId="77777777" w:rsidTr="002351E1">
        <w:tc>
          <w:tcPr>
            <w:tcW w:w="1791" w:type="dxa"/>
          </w:tcPr>
          <w:p w14:paraId="4B07414C" w14:textId="77777777" w:rsidR="005E1D52" w:rsidRDefault="005E1D52" w:rsidP="00787073">
            <w:r>
              <w:t>CCR5</w:t>
            </w:r>
          </w:p>
        </w:tc>
        <w:tc>
          <w:tcPr>
            <w:tcW w:w="6703" w:type="dxa"/>
          </w:tcPr>
          <w:p w14:paraId="7060D368" w14:textId="77777777" w:rsidR="005E1D52" w:rsidRDefault="005E1D52" w:rsidP="00787073">
            <w:r w:rsidRPr="00F5673E">
              <w:t>C-C chemokine receptor type</w:t>
            </w:r>
            <w:r>
              <w:t xml:space="preserve"> 5</w:t>
            </w:r>
          </w:p>
        </w:tc>
      </w:tr>
      <w:tr w:rsidR="005E1D52" w:rsidRPr="00FD119B" w14:paraId="1AE66F0B" w14:textId="77777777" w:rsidTr="002351E1">
        <w:tc>
          <w:tcPr>
            <w:tcW w:w="1791" w:type="dxa"/>
          </w:tcPr>
          <w:p w14:paraId="538B8ED1" w14:textId="77777777" w:rsidR="005E1D52" w:rsidRDefault="005E1D52" w:rsidP="00787073">
            <w:r>
              <w:t>CI</w:t>
            </w:r>
          </w:p>
        </w:tc>
        <w:tc>
          <w:tcPr>
            <w:tcW w:w="6703" w:type="dxa"/>
          </w:tcPr>
          <w:p w14:paraId="2BF2C118" w14:textId="77777777" w:rsidR="005E1D52" w:rsidRDefault="005E1D52" w:rsidP="00787073">
            <w:r>
              <w:t>Confidence interval</w:t>
            </w:r>
          </w:p>
        </w:tc>
      </w:tr>
      <w:tr w:rsidR="005E1D52" w:rsidRPr="00FD119B" w14:paraId="6C52C964" w14:textId="77777777" w:rsidTr="002351E1">
        <w:tc>
          <w:tcPr>
            <w:tcW w:w="1791" w:type="dxa"/>
          </w:tcPr>
          <w:p w14:paraId="153EAAC0" w14:textId="77777777" w:rsidR="005E1D52" w:rsidRDefault="005E1D52" w:rsidP="00787073">
            <w:proofErr w:type="spellStart"/>
            <w:r>
              <w:t>C</w:t>
            </w:r>
            <w:r w:rsidRPr="00EF5CBC">
              <w:rPr>
                <w:vertAlign w:val="subscript"/>
              </w:rPr>
              <w:t>max</w:t>
            </w:r>
            <w:proofErr w:type="spellEnd"/>
          </w:p>
        </w:tc>
        <w:tc>
          <w:tcPr>
            <w:tcW w:w="6703" w:type="dxa"/>
          </w:tcPr>
          <w:p w14:paraId="2029529B" w14:textId="1F807BC1" w:rsidR="005E1D52" w:rsidRDefault="005E1D52" w:rsidP="0086136B">
            <w:r>
              <w:t>Maximum concentration</w:t>
            </w:r>
          </w:p>
        </w:tc>
      </w:tr>
      <w:tr w:rsidR="005E1D52" w:rsidRPr="00FD119B" w14:paraId="011B5A0D" w14:textId="77777777" w:rsidTr="002351E1">
        <w:tc>
          <w:tcPr>
            <w:tcW w:w="1791" w:type="dxa"/>
          </w:tcPr>
          <w:p w14:paraId="3F04ED4D" w14:textId="77777777" w:rsidR="005E1D52" w:rsidRDefault="005E1D52" w:rsidP="00787073">
            <w:r>
              <w:t>CMI</w:t>
            </w:r>
          </w:p>
        </w:tc>
        <w:tc>
          <w:tcPr>
            <w:tcW w:w="6703" w:type="dxa"/>
          </w:tcPr>
          <w:p w14:paraId="3B107312" w14:textId="77777777" w:rsidR="005E1D52" w:rsidRDefault="005E1D52" w:rsidP="00787073">
            <w:r>
              <w:t>C</w:t>
            </w:r>
            <w:r w:rsidRPr="002C38BA">
              <w:t xml:space="preserve">onsumer </w:t>
            </w:r>
            <w:r>
              <w:t>M</w:t>
            </w:r>
            <w:r w:rsidRPr="002C38BA">
              <w:t xml:space="preserve">edicines </w:t>
            </w:r>
            <w:r>
              <w:t>I</w:t>
            </w:r>
            <w:r w:rsidRPr="002C38BA">
              <w:t>nformation</w:t>
            </w:r>
          </w:p>
        </w:tc>
      </w:tr>
      <w:tr w:rsidR="005E1D52" w:rsidRPr="00FD119B" w14:paraId="1F54920B" w14:textId="77777777" w:rsidTr="002351E1">
        <w:tc>
          <w:tcPr>
            <w:tcW w:w="1791" w:type="dxa"/>
          </w:tcPr>
          <w:p w14:paraId="115A5667" w14:textId="77777777" w:rsidR="005E1D52" w:rsidRDefault="005E1D52" w:rsidP="00787073">
            <w:r>
              <w:t>CNS</w:t>
            </w:r>
          </w:p>
        </w:tc>
        <w:tc>
          <w:tcPr>
            <w:tcW w:w="6703" w:type="dxa"/>
          </w:tcPr>
          <w:p w14:paraId="51B1714E" w14:textId="77777777" w:rsidR="005E1D52" w:rsidRDefault="005E1D52" w:rsidP="00787073">
            <w:r>
              <w:t>Central nervous system</w:t>
            </w:r>
          </w:p>
        </w:tc>
      </w:tr>
      <w:tr w:rsidR="005E1D52" w:rsidRPr="00FD119B" w14:paraId="543E1689" w14:textId="77777777" w:rsidTr="002351E1">
        <w:tc>
          <w:tcPr>
            <w:tcW w:w="1791" w:type="dxa"/>
          </w:tcPr>
          <w:p w14:paraId="0A7383EB" w14:textId="77777777" w:rsidR="005E1D52" w:rsidRDefault="005E1D52" w:rsidP="00787073">
            <w:r w:rsidRPr="00E53E55">
              <w:t>C</w:t>
            </w:r>
            <w:r w:rsidRPr="00E53E55">
              <w:rPr>
                <w:vertAlign w:val="subscript"/>
              </w:rPr>
              <w:t>tau</w:t>
            </w:r>
          </w:p>
        </w:tc>
        <w:tc>
          <w:tcPr>
            <w:tcW w:w="6703" w:type="dxa"/>
          </w:tcPr>
          <w:p w14:paraId="0C9892A2" w14:textId="02B9C676" w:rsidR="005E1D52" w:rsidRDefault="005E1D52" w:rsidP="00787073">
            <w:r>
              <w:t>T</w:t>
            </w:r>
            <w:r w:rsidRPr="00D6194C">
              <w:t xml:space="preserve">rough </w:t>
            </w:r>
            <w:r>
              <w:t>p</w:t>
            </w:r>
            <w:r w:rsidRPr="00D6194C">
              <w:t xml:space="preserve">lasma </w:t>
            </w:r>
            <w:r>
              <w:t>c</w:t>
            </w:r>
            <w:r w:rsidRPr="00D6194C">
              <w:t xml:space="preserve">oncentration at the </w:t>
            </w:r>
            <w:r>
              <w:t>e</w:t>
            </w:r>
            <w:r w:rsidRPr="00D6194C">
              <w:t xml:space="preserve">nd of </w:t>
            </w:r>
            <w:r w:rsidR="0013161A">
              <w:t>a</w:t>
            </w:r>
            <w:r w:rsidRPr="00D6194C">
              <w:t xml:space="preserve"> </w:t>
            </w:r>
            <w:r>
              <w:t>d</w:t>
            </w:r>
            <w:r w:rsidRPr="00D6194C">
              <w:t xml:space="preserve">osing </w:t>
            </w:r>
            <w:r>
              <w:t>i</w:t>
            </w:r>
            <w:r w:rsidRPr="00D6194C">
              <w:t>nterval</w:t>
            </w:r>
          </w:p>
        </w:tc>
      </w:tr>
      <w:tr w:rsidR="005E1D52" w:rsidRPr="00FD119B" w14:paraId="11711284" w14:textId="77777777" w:rsidTr="002351E1">
        <w:tc>
          <w:tcPr>
            <w:tcW w:w="1791" w:type="dxa"/>
          </w:tcPr>
          <w:p w14:paraId="6CF35CC2" w14:textId="77777777" w:rsidR="005E1D52" w:rsidRDefault="005E1D52" w:rsidP="00787073">
            <w:r>
              <w:t>CXCR4</w:t>
            </w:r>
          </w:p>
        </w:tc>
        <w:tc>
          <w:tcPr>
            <w:tcW w:w="6703" w:type="dxa"/>
          </w:tcPr>
          <w:p w14:paraId="4F3A7A42" w14:textId="77777777" w:rsidR="005E1D52" w:rsidRDefault="005E1D52" w:rsidP="00787073">
            <w:r w:rsidRPr="00EF5CBC">
              <w:t>C-X-C motif chemokine receptor 4</w:t>
            </w:r>
          </w:p>
        </w:tc>
      </w:tr>
      <w:tr w:rsidR="005E1D52" w:rsidRPr="00FD119B" w14:paraId="4DBC19FB" w14:textId="77777777" w:rsidTr="002351E1">
        <w:tc>
          <w:tcPr>
            <w:tcW w:w="1791" w:type="dxa"/>
          </w:tcPr>
          <w:p w14:paraId="39E011F1" w14:textId="77777777" w:rsidR="005E1D52" w:rsidRDefault="005E1D52" w:rsidP="00787073">
            <w:r>
              <w:t>DLP</w:t>
            </w:r>
          </w:p>
        </w:tc>
        <w:tc>
          <w:tcPr>
            <w:tcW w:w="6703" w:type="dxa"/>
          </w:tcPr>
          <w:p w14:paraId="641D2909" w14:textId="77777777" w:rsidR="005E1D52" w:rsidRDefault="005E1D52" w:rsidP="00787073">
            <w:r>
              <w:t>Data lock point</w:t>
            </w:r>
          </w:p>
        </w:tc>
      </w:tr>
      <w:tr w:rsidR="005E1D52" w:rsidRPr="00FD119B" w14:paraId="4F376937" w14:textId="77777777" w:rsidTr="002351E1">
        <w:tc>
          <w:tcPr>
            <w:tcW w:w="1791" w:type="dxa"/>
          </w:tcPr>
          <w:p w14:paraId="443D989C" w14:textId="77777777" w:rsidR="005E1D52" w:rsidRDefault="005E1D52" w:rsidP="00787073">
            <w:r>
              <w:t>E-R</w:t>
            </w:r>
          </w:p>
        </w:tc>
        <w:tc>
          <w:tcPr>
            <w:tcW w:w="6703" w:type="dxa"/>
          </w:tcPr>
          <w:p w14:paraId="0A147E21" w14:textId="77777777" w:rsidR="005E1D52" w:rsidRDefault="005E1D52" w:rsidP="00787073">
            <w:r>
              <w:t>Exposure-response</w:t>
            </w:r>
          </w:p>
        </w:tc>
      </w:tr>
      <w:tr w:rsidR="005E1D52" w:rsidRPr="00FD119B" w14:paraId="725AE6D7" w14:textId="77777777" w:rsidTr="002351E1">
        <w:tc>
          <w:tcPr>
            <w:tcW w:w="1791" w:type="dxa"/>
          </w:tcPr>
          <w:p w14:paraId="1BCC49C9" w14:textId="77777777" w:rsidR="005E1D52" w:rsidRDefault="005E1D52" w:rsidP="00787073">
            <w:r>
              <w:t>ERAUC</w:t>
            </w:r>
          </w:p>
        </w:tc>
        <w:tc>
          <w:tcPr>
            <w:tcW w:w="6703" w:type="dxa"/>
          </w:tcPr>
          <w:p w14:paraId="07375F97" w14:textId="2BFF5AAF" w:rsidR="005E1D52" w:rsidRDefault="005E1D52" w:rsidP="0086136B">
            <w:r>
              <w:t xml:space="preserve">Exposure ratio based on </w:t>
            </w:r>
            <w:r w:rsidR="0086136B">
              <w:t>area under the concentration versus time curve</w:t>
            </w:r>
          </w:p>
        </w:tc>
      </w:tr>
      <w:tr w:rsidR="005E1D52" w:rsidRPr="00FD119B" w14:paraId="2BF4921B" w14:textId="77777777" w:rsidTr="002351E1">
        <w:tc>
          <w:tcPr>
            <w:tcW w:w="1791" w:type="dxa"/>
          </w:tcPr>
          <w:p w14:paraId="2456AEC8" w14:textId="77777777" w:rsidR="005E1D52" w:rsidRDefault="005E1D52" w:rsidP="00787073">
            <w:r>
              <w:t>EU</w:t>
            </w:r>
          </w:p>
        </w:tc>
        <w:tc>
          <w:tcPr>
            <w:tcW w:w="6703" w:type="dxa"/>
          </w:tcPr>
          <w:p w14:paraId="2C7BFF0E" w14:textId="77777777" w:rsidR="005E1D52" w:rsidRDefault="005E1D52" w:rsidP="00787073">
            <w:r>
              <w:t>European Union</w:t>
            </w:r>
          </w:p>
        </w:tc>
      </w:tr>
      <w:tr w:rsidR="005E1D52" w:rsidRPr="00FD119B" w14:paraId="4D3856E3" w14:textId="77777777" w:rsidTr="002351E1">
        <w:tc>
          <w:tcPr>
            <w:tcW w:w="1791" w:type="dxa"/>
          </w:tcPr>
          <w:p w14:paraId="6095DD5D" w14:textId="77777777" w:rsidR="005E1D52" w:rsidRDefault="005E1D52" w:rsidP="00787073">
            <w:r>
              <w:t>FDA</w:t>
            </w:r>
          </w:p>
        </w:tc>
        <w:tc>
          <w:tcPr>
            <w:tcW w:w="6703" w:type="dxa"/>
          </w:tcPr>
          <w:p w14:paraId="705A2488" w14:textId="4F800E70" w:rsidR="005E1D52" w:rsidRDefault="005E1D52" w:rsidP="00787073">
            <w:r w:rsidRPr="00A04CA4">
              <w:t>Food and Drug Administration</w:t>
            </w:r>
            <w:r w:rsidR="0086136B">
              <w:t xml:space="preserve"> (United States of America)</w:t>
            </w:r>
          </w:p>
        </w:tc>
      </w:tr>
      <w:tr w:rsidR="005E1D52" w:rsidRPr="00FD119B" w14:paraId="59CB5E67" w14:textId="77777777" w:rsidTr="002351E1">
        <w:tc>
          <w:tcPr>
            <w:tcW w:w="1791" w:type="dxa"/>
          </w:tcPr>
          <w:p w14:paraId="056A2872" w14:textId="77777777" w:rsidR="005E1D52" w:rsidRDefault="005E1D52" w:rsidP="00787073">
            <w:r>
              <w:t>GI</w:t>
            </w:r>
          </w:p>
        </w:tc>
        <w:tc>
          <w:tcPr>
            <w:tcW w:w="6703" w:type="dxa"/>
          </w:tcPr>
          <w:p w14:paraId="549E590E" w14:textId="77777777" w:rsidR="005E1D52" w:rsidRDefault="005E1D52" w:rsidP="00787073">
            <w:r>
              <w:t>G</w:t>
            </w:r>
            <w:r w:rsidRPr="00A71AE7">
              <w:t>astrointestinal</w:t>
            </w:r>
          </w:p>
        </w:tc>
      </w:tr>
      <w:tr w:rsidR="005E1D52" w:rsidRPr="00FD119B" w14:paraId="291BC810" w14:textId="77777777" w:rsidTr="002351E1">
        <w:tc>
          <w:tcPr>
            <w:tcW w:w="1791" w:type="dxa"/>
          </w:tcPr>
          <w:p w14:paraId="69F179F8" w14:textId="77777777" w:rsidR="005E1D52" w:rsidRDefault="005E1D52" w:rsidP="00787073">
            <w:r>
              <w:lastRenderedPageBreak/>
              <w:t>gp120</w:t>
            </w:r>
          </w:p>
        </w:tc>
        <w:tc>
          <w:tcPr>
            <w:tcW w:w="6703" w:type="dxa"/>
          </w:tcPr>
          <w:p w14:paraId="6FE11627" w14:textId="7E46BFCB" w:rsidR="005E1D52" w:rsidRDefault="0086136B" w:rsidP="00787073">
            <w:r>
              <w:t>G</w:t>
            </w:r>
            <w:r w:rsidR="005E1D52">
              <w:t>lycoprotein 120</w:t>
            </w:r>
          </w:p>
        </w:tc>
      </w:tr>
      <w:tr w:rsidR="005E1D52" w:rsidRPr="00FD119B" w14:paraId="118FCCBB" w14:textId="77777777" w:rsidTr="002351E1">
        <w:tc>
          <w:tcPr>
            <w:tcW w:w="1791" w:type="dxa"/>
          </w:tcPr>
          <w:p w14:paraId="29D6C4E3" w14:textId="77777777" w:rsidR="005E1D52" w:rsidRDefault="005E1D52" w:rsidP="00787073">
            <w:r>
              <w:t>GVP</w:t>
            </w:r>
          </w:p>
        </w:tc>
        <w:tc>
          <w:tcPr>
            <w:tcW w:w="6703" w:type="dxa"/>
          </w:tcPr>
          <w:p w14:paraId="2F4BFF59" w14:textId="77777777" w:rsidR="005E1D52" w:rsidRDefault="005E1D52" w:rsidP="00787073">
            <w:r w:rsidRPr="002C38BA">
              <w:t>Good Pharmacovigilance Practices</w:t>
            </w:r>
          </w:p>
        </w:tc>
      </w:tr>
      <w:tr w:rsidR="005E1D52" w:rsidRPr="00FD119B" w14:paraId="0C97CA06" w14:textId="77777777" w:rsidTr="002351E1">
        <w:tc>
          <w:tcPr>
            <w:tcW w:w="1791" w:type="dxa"/>
          </w:tcPr>
          <w:p w14:paraId="54ADDBC7" w14:textId="77777777" w:rsidR="005E1D52" w:rsidRDefault="005E1D52" w:rsidP="00787073">
            <w:r>
              <w:t>HBV</w:t>
            </w:r>
          </w:p>
        </w:tc>
        <w:tc>
          <w:tcPr>
            <w:tcW w:w="6703" w:type="dxa"/>
          </w:tcPr>
          <w:p w14:paraId="2CD543D3" w14:textId="77777777" w:rsidR="005E1D52" w:rsidRDefault="005E1D52" w:rsidP="00787073">
            <w:r>
              <w:t>Hepatitis B virus</w:t>
            </w:r>
          </w:p>
        </w:tc>
      </w:tr>
      <w:tr w:rsidR="005E1D52" w:rsidRPr="00FD119B" w14:paraId="2B55DA43" w14:textId="77777777" w:rsidTr="002351E1">
        <w:tc>
          <w:tcPr>
            <w:tcW w:w="1791" w:type="dxa"/>
          </w:tcPr>
          <w:p w14:paraId="362E0FE3" w14:textId="77777777" w:rsidR="005E1D52" w:rsidRPr="00FD119B" w:rsidRDefault="005E1D52" w:rsidP="00787073">
            <w:r>
              <w:t>HIV</w:t>
            </w:r>
          </w:p>
        </w:tc>
        <w:tc>
          <w:tcPr>
            <w:tcW w:w="6703" w:type="dxa"/>
          </w:tcPr>
          <w:p w14:paraId="20244ACA" w14:textId="7B38C5E1" w:rsidR="005E1D52" w:rsidRPr="00FD119B" w:rsidRDefault="0086136B" w:rsidP="00787073">
            <w:r>
              <w:t>H</w:t>
            </w:r>
            <w:r w:rsidR="005E1D52" w:rsidRPr="006E5F7B">
              <w:t>uman immunodeficiency virus</w:t>
            </w:r>
          </w:p>
        </w:tc>
      </w:tr>
      <w:tr w:rsidR="005E1D52" w:rsidRPr="00FD119B" w14:paraId="5AC7E046" w14:textId="77777777" w:rsidTr="002351E1">
        <w:tc>
          <w:tcPr>
            <w:tcW w:w="1791" w:type="dxa"/>
          </w:tcPr>
          <w:p w14:paraId="17A2FCA2" w14:textId="77777777" w:rsidR="005E1D52" w:rsidRPr="00FD119B" w:rsidRDefault="005E1D52" w:rsidP="00787073">
            <w:r>
              <w:t>HIV-1</w:t>
            </w:r>
          </w:p>
        </w:tc>
        <w:tc>
          <w:tcPr>
            <w:tcW w:w="6703" w:type="dxa"/>
          </w:tcPr>
          <w:p w14:paraId="62C2807B" w14:textId="77777777" w:rsidR="005E1D52" w:rsidRPr="00FD119B" w:rsidRDefault="005E1D52" w:rsidP="00787073">
            <w:r>
              <w:t>H</w:t>
            </w:r>
            <w:r w:rsidRPr="00D35B62">
              <w:t>uman immunodeficiency virus 1</w:t>
            </w:r>
          </w:p>
        </w:tc>
      </w:tr>
      <w:tr w:rsidR="005E1D52" w:rsidRPr="00FD119B" w14:paraId="54AE267E" w14:textId="77777777" w:rsidTr="002351E1">
        <w:tc>
          <w:tcPr>
            <w:tcW w:w="1791" w:type="dxa"/>
          </w:tcPr>
          <w:p w14:paraId="40F3C55B" w14:textId="77777777" w:rsidR="005E1D52" w:rsidRDefault="005E1D52" w:rsidP="00787073">
            <w:r>
              <w:t>HIV-2</w:t>
            </w:r>
          </w:p>
        </w:tc>
        <w:tc>
          <w:tcPr>
            <w:tcW w:w="6703" w:type="dxa"/>
          </w:tcPr>
          <w:p w14:paraId="62E70B6C" w14:textId="77777777" w:rsidR="005E1D52" w:rsidRDefault="005E1D52" w:rsidP="00787073">
            <w:r>
              <w:t>H</w:t>
            </w:r>
            <w:r w:rsidRPr="00DD08D9">
              <w:t xml:space="preserve">uman immunodeficiency virus </w:t>
            </w:r>
            <w:r>
              <w:t>2</w:t>
            </w:r>
          </w:p>
        </w:tc>
      </w:tr>
      <w:tr w:rsidR="005E1D52" w:rsidRPr="00FD119B" w14:paraId="3A926E4C" w14:textId="77777777" w:rsidTr="002351E1">
        <w:tc>
          <w:tcPr>
            <w:tcW w:w="1791" w:type="dxa"/>
          </w:tcPr>
          <w:p w14:paraId="38079E12" w14:textId="77777777" w:rsidR="005E1D52" w:rsidRPr="00FD119B" w:rsidRDefault="005E1D52" w:rsidP="00787073">
            <w:r>
              <w:t>HTE</w:t>
            </w:r>
          </w:p>
        </w:tc>
        <w:tc>
          <w:tcPr>
            <w:tcW w:w="6703" w:type="dxa"/>
          </w:tcPr>
          <w:p w14:paraId="1747DA67" w14:textId="77777777" w:rsidR="005E1D52" w:rsidRPr="00FD119B" w:rsidRDefault="005E1D52" w:rsidP="00787073">
            <w:r>
              <w:t>Heavily treatment experienced</w:t>
            </w:r>
          </w:p>
        </w:tc>
      </w:tr>
      <w:tr w:rsidR="005E1D52" w:rsidRPr="00FD119B" w14:paraId="602900CF" w14:textId="77777777" w:rsidTr="002351E1">
        <w:tc>
          <w:tcPr>
            <w:tcW w:w="1791" w:type="dxa"/>
          </w:tcPr>
          <w:p w14:paraId="1E9E1B06" w14:textId="77777777" w:rsidR="005E1D52" w:rsidRDefault="005E1D52" w:rsidP="00787073">
            <w:r>
              <w:t>IC</w:t>
            </w:r>
            <w:r w:rsidRPr="00EF5CBC">
              <w:rPr>
                <w:vertAlign w:val="subscript"/>
              </w:rPr>
              <w:t>50</w:t>
            </w:r>
          </w:p>
        </w:tc>
        <w:tc>
          <w:tcPr>
            <w:tcW w:w="6703" w:type="dxa"/>
          </w:tcPr>
          <w:p w14:paraId="327F7E9C" w14:textId="77777777" w:rsidR="005E1D52" w:rsidRDefault="005E1D52" w:rsidP="00787073">
            <w:r w:rsidRPr="00EF5CBC">
              <w:t>Half-maximal inhibitory concentration</w:t>
            </w:r>
          </w:p>
        </w:tc>
      </w:tr>
      <w:tr w:rsidR="005E1D52" w:rsidRPr="00FD119B" w14:paraId="5C8AD6F8" w14:textId="77777777" w:rsidTr="002351E1">
        <w:tc>
          <w:tcPr>
            <w:tcW w:w="1791" w:type="dxa"/>
          </w:tcPr>
          <w:p w14:paraId="2010F2BF" w14:textId="77777777" w:rsidR="005E1D52" w:rsidRDefault="005E1D52" w:rsidP="00787073">
            <w:r>
              <w:t>ICH</w:t>
            </w:r>
          </w:p>
        </w:tc>
        <w:tc>
          <w:tcPr>
            <w:tcW w:w="6703" w:type="dxa"/>
          </w:tcPr>
          <w:p w14:paraId="453D524B" w14:textId="77777777" w:rsidR="005E1D52" w:rsidRDefault="005E1D52" w:rsidP="00787073">
            <w:r w:rsidRPr="00EF5CBC">
              <w:t>International Council for Harmonisation of Technical Requirements for Pharmaceuticals for Human Use</w:t>
            </w:r>
          </w:p>
        </w:tc>
      </w:tr>
      <w:tr w:rsidR="005E1D52" w:rsidRPr="00FD119B" w14:paraId="1CC18E8B" w14:textId="77777777" w:rsidTr="002351E1">
        <w:tc>
          <w:tcPr>
            <w:tcW w:w="1791" w:type="dxa"/>
          </w:tcPr>
          <w:p w14:paraId="4D3458D8" w14:textId="77777777" w:rsidR="005E1D52" w:rsidRDefault="005E1D52" w:rsidP="00787073">
            <w:r>
              <w:t>INSTI</w:t>
            </w:r>
          </w:p>
        </w:tc>
        <w:tc>
          <w:tcPr>
            <w:tcW w:w="6703" w:type="dxa"/>
          </w:tcPr>
          <w:p w14:paraId="6C413600" w14:textId="77777777" w:rsidR="005E1D52" w:rsidRDefault="005E1D52" w:rsidP="00787073">
            <w:r>
              <w:t>I</w:t>
            </w:r>
            <w:r w:rsidRPr="003409FF">
              <w:t>ntegrase strand transfer inhibitor</w:t>
            </w:r>
          </w:p>
        </w:tc>
      </w:tr>
      <w:tr w:rsidR="005E1D52" w:rsidRPr="00FD119B" w14:paraId="29A94C05" w14:textId="77777777" w:rsidTr="002351E1">
        <w:tc>
          <w:tcPr>
            <w:tcW w:w="1791" w:type="dxa"/>
          </w:tcPr>
          <w:p w14:paraId="48863DBE" w14:textId="77777777" w:rsidR="005E1D52" w:rsidRDefault="005E1D52" w:rsidP="00787073">
            <w:r>
              <w:t>ITT</w:t>
            </w:r>
          </w:p>
        </w:tc>
        <w:tc>
          <w:tcPr>
            <w:tcW w:w="6703" w:type="dxa"/>
          </w:tcPr>
          <w:p w14:paraId="60FB744B" w14:textId="77777777" w:rsidR="005E1D52" w:rsidRDefault="005E1D52" w:rsidP="00787073">
            <w:r>
              <w:t>Intent to treat</w:t>
            </w:r>
          </w:p>
        </w:tc>
      </w:tr>
      <w:tr w:rsidR="005E1D52" w:rsidRPr="00FD119B" w14:paraId="012560DC" w14:textId="77777777" w:rsidTr="002351E1">
        <w:tc>
          <w:tcPr>
            <w:tcW w:w="1791" w:type="dxa"/>
          </w:tcPr>
          <w:p w14:paraId="5ED62F6F" w14:textId="77777777" w:rsidR="005E1D52" w:rsidRDefault="005E1D52" w:rsidP="00787073">
            <w:r>
              <w:t>ITT-E</w:t>
            </w:r>
          </w:p>
        </w:tc>
        <w:tc>
          <w:tcPr>
            <w:tcW w:w="6703" w:type="dxa"/>
          </w:tcPr>
          <w:p w14:paraId="59E6AA70" w14:textId="77777777" w:rsidR="005E1D52" w:rsidRDefault="005E1D52" w:rsidP="00787073">
            <w:r>
              <w:t>Intent to treat - exposed</w:t>
            </w:r>
          </w:p>
        </w:tc>
      </w:tr>
      <w:tr w:rsidR="005E1D52" w:rsidRPr="00FD119B" w14:paraId="201B5BCE" w14:textId="77777777" w:rsidTr="002351E1">
        <w:tc>
          <w:tcPr>
            <w:tcW w:w="1791" w:type="dxa"/>
          </w:tcPr>
          <w:p w14:paraId="1201870E" w14:textId="77777777" w:rsidR="005E1D52" w:rsidRPr="00FD119B" w:rsidRDefault="005E1D52" w:rsidP="00787073">
            <w:r>
              <w:t>MDR</w:t>
            </w:r>
          </w:p>
        </w:tc>
        <w:tc>
          <w:tcPr>
            <w:tcW w:w="6703" w:type="dxa"/>
          </w:tcPr>
          <w:p w14:paraId="5FA6E13A" w14:textId="77777777" w:rsidR="005E1D52" w:rsidRPr="00FD119B" w:rsidRDefault="005E1D52" w:rsidP="00787073">
            <w:r>
              <w:t>Multidrug resistant</w:t>
            </w:r>
          </w:p>
        </w:tc>
      </w:tr>
      <w:tr w:rsidR="005E1D52" w:rsidRPr="00FD119B" w14:paraId="5AB70DEE" w14:textId="77777777" w:rsidTr="002351E1">
        <w:tc>
          <w:tcPr>
            <w:tcW w:w="1791" w:type="dxa"/>
          </w:tcPr>
          <w:p w14:paraId="549DB504" w14:textId="77777777" w:rsidR="005E1D52" w:rsidRDefault="005E1D52" w:rsidP="00787073">
            <w:r>
              <w:t>MRHD</w:t>
            </w:r>
          </w:p>
        </w:tc>
        <w:tc>
          <w:tcPr>
            <w:tcW w:w="6703" w:type="dxa"/>
          </w:tcPr>
          <w:p w14:paraId="413649B9" w14:textId="77777777" w:rsidR="005E1D52" w:rsidRDefault="005E1D52" w:rsidP="00787073">
            <w:r>
              <w:t>Maximum recommended human dose</w:t>
            </w:r>
          </w:p>
        </w:tc>
      </w:tr>
      <w:tr w:rsidR="005E1D52" w:rsidRPr="00FD119B" w14:paraId="4B2FC876" w14:textId="77777777" w:rsidTr="002351E1">
        <w:tc>
          <w:tcPr>
            <w:tcW w:w="1791" w:type="dxa"/>
          </w:tcPr>
          <w:p w14:paraId="3B9E477E" w14:textId="77777777" w:rsidR="005E1D52" w:rsidRDefault="005E1D52" w:rsidP="00787073">
            <w:r>
              <w:t>NNRTI</w:t>
            </w:r>
          </w:p>
        </w:tc>
        <w:tc>
          <w:tcPr>
            <w:tcW w:w="6703" w:type="dxa"/>
          </w:tcPr>
          <w:p w14:paraId="4229730E" w14:textId="77777777" w:rsidR="005E1D52" w:rsidRDefault="005E1D52" w:rsidP="00787073">
            <w:r>
              <w:t>N</w:t>
            </w:r>
            <w:r w:rsidRPr="00EF5CBC">
              <w:t>on-nucleoside reverse transcriptase</w:t>
            </w:r>
          </w:p>
        </w:tc>
      </w:tr>
      <w:tr w:rsidR="005E1D52" w:rsidRPr="00FD119B" w14:paraId="7188CC91" w14:textId="77777777" w:rsidTr="002351E1">
        <w:tc>
          <w:tcPr>
            <w:tcW w:w="1791" w:type="dxa"/>
          </w:tcPr>
          <w:p w14:paraId="032A31AF" w14:textId="77777777" w:rsidR="005E1D52" w:rsidRDefault="005E1D52" w:rsidP="00787073">
            <w:r>
              <w:t>NOEL</w:t>
            </w:r>
          </w:p>
        </w:tc>
        <w:tc>
          <w:tcPr>
            <w:tcW w:w="6703" w:type="dxa"/>
          </w:tcPr>
          <w:p w14:paraId="04C0BFC0" w14:textId="77777777" w:rsidR="005E1D52" w:rsidRDefault="005E1D52" w:rsidP="00787073">
            <w:r>
              <w:t>N</w:t>
            </w:r>
            <w:r w:rsidRPr="00E0289A">
              <w:t>o observable effect level</w:t>
            </w:r>
          </w:p>
        </w:tc>
      </w:tr>
      <w:tr w:rsidR="005E1D52" w:rsidRPr="00FD119B" w14:paraId="35143958" w14:textId="77777777" w:rsidTr="002351E1">
        <w:tc>
          <w:tcPr>
            <w:tcW w:w="1791" w:type="dxa"/>
          </w:tcPr>
          <w:p w14:paraId="281CC0C4" w14:textId="77777777" w:rsidR="005E1D52" w:rsidRDefault="005E1D52" w:rsidP="00787073">
            <w:r>
              <w:t>NRTI</w:t>
            </w:r>
          </w:p>
        </w:tc>
        <w:tc>
          <w:tcPr>
            <w:tcW w:w="6703" w:type="dxa"/>
          </w:tcPr>
          <w:p w14:paraId="721BF1B2" w14:textId="77777777" w:rsidR="005E1D52" w:rsidRDefault="005E1D52" w:rsidP="00787073">
            <w:r>
              <w:t>N</w:t>
            </w:r>
            <w:r w:rsidRPr="00EF5CBC">
              <w:t>ucleoside reverse transcriptase</w:t>
            </w:r>
          </w:p>
        </w:tc>
      </w:tr>
      <w:tr w:rsidR="005E1D52" w:rsidRPr="00FD119B" w14:paraId="2FAB9B85" w14:textId="77777777" w:rsidTr="002351E1">
        <w:tc>
          <w:tcPr>
            <w:tcW w:w="1791" w:type="dxa"/>
          </w:tcPr>
          <w:p w14:paraId="63E8AC39" w14:textId="77777777" w:rsidR="005E1D52" w:rsidRDefault="005E1D52" w:rsidP="00787073">
            <w:r>
              <w:t>OAT</w:t>
            </w:r>
          </w:p>
        </w:tc>
        <w:tc>
          <w:tcPr>
            <w:tcW w:w="6703" w:type="dxa"/>
          </w:tcPr>
          <w:p w14:paraId="7023FCF1" w14:textId="77777777" w:rsidR="005E1D52" w:rsidRDefault="005E1D52" w:rsidP="00787073">
            <w:r>
              <w:t>O</w:t>
            </w:r>
            <w:r w:rsidRPr="00E53E55">
              <w:t>rganic anion transporter</w:t>
            </w:r>
          </w:p>
        </w:tc>
      </w:tr>
      <w:tr w:rsidR="005E1D52" w:rsidRPr="00FD119B" w14:paraId="52DC37BC" w14:textId="77777777" w:rsidTr="002351E1">
        <w:tc>
          <w:tcPr>
            <w:tcW w:w="1791" w:type="dxa"/>
          </w:tcPr>
          <w:p w14:paraId="6579FB6E" w14:textId="77777777" w:rsidR="005E1D52" w:rsidRDefault="005E1D52" w:rsidP="00787073">
            <w:r>
              <w:t>OBT</w:t>
            </w:r>
          </w:p>
        </w:tc>
        <w:tc>
          <w:tcPr>
            <w:tcW w:w="6703" w:type="dxa"/>
          </w:tcPr>
          <w:p w14:paraId="13AF9B0F" w14:textId="77777777" w:rsidR="005E1D52" w:rsidRDefault="005E1D52" w:rsidP="00787073">
            <w:r>
              <w:t>O</w:t>
            </w:r>
            <w:r w:rsidRPr="00A04CA4">
              <w:t>ptimi</w:t>
            </w:r>
            <w:r>
              <w:t>s</w:t>
            </w:r>
            <w:r w:rsidRPr="00A04CA4">
              <w:t xml:space="preserve">ed </w:t>
            </w:r>
            <w:r>
              <w:t>b</w:t>
            </w:r>
            <w:r w:rsidRPr="00A04CA4">
              <w:t xml:space="preserve">ackground </w:t>
            </w:r>
            <w:r>
              <w:t>t</w:t>
            </w:r>
            <w:r w:rsidRPr="00A04CA4">
              <w:t>herapy</w:t>
            </w:r>
          </w:p>
        </w:tc>
      </w:tr>
      <w:tr w:rsidR="005E1D52" w:rsidRPr="00FD119B" w14:paraId="39C811A7" w14:textId="77777777" w:rsidTr="002351E1">
        <w:tc>
          <w:tcPr>
            <w:tcW w:w="1791" w:type="dxa"/>
          </w:tcPr>
          <w:p w14:paraId="6553045B" w14:textId="77777777" w:rsidR="005E1D52" w:rsidRDefault="005E1D52" w:rsidP="00787073">
            <w:r>
              <w:t>OCT</w:t>
            </w:r>
          </w:p>
        </w:tc>
        <w:tc>
          <w:tcPr>
            <w:tcW w:w="6703" w:type="dxa"/>
          </w:tcPr>
          <w:p w14:paraId="3CDB07D4" w14:textId="77777777" w:rsidR="005E1D52" w:rsidRDefault="005E1D52" w:rsidP="00787073">
            <w:r>
              <w:t>Organic cation transporters</w:t>
            </w:r>
          </w:p>
        </w:tc>
      </w:tr>
      <w:tr w:rsidR="005E1D52" w:rsidRPr="00FD119B" w14:paraId="7200F362" w14:textId="77777777" w:rsidTr="002351E1">
        <w:tc>
          <w:tcPr>
            <w:tcW w:w="1791" w:type="dxa"/>
          </w:tcPr>
          <w:p w14:paraId="4B5A1201" w14:textId="77777777" w:rsidR="005E1D52" w:rsidRDefault="005E1D52" w:rsidP="00787073">
            <w:r>
              <w:t>PD</w:t>
            </w:r>
          </w:p>
        </w:tc>
        <w:tc>
          <w:tcPr>
            <w:tcW w:w="6703" w:type="dxa"/>
          </w:tcPr>
          <w:p w14:paraId="59717E23" w14:textId="77777777" w:rsidR="005E1D52" w:rsidRDefault="005E1D52" w:rsidP="00787073">
            <w:r>
              <w:t>Pharmacodynamic(s)</w:t>
            </w:r>
          </w:p>
        </w:tc>
      </w:tr>
      <w:tr w:rsidR="005E1D52" w:rsidRPr="00FD119B" w14:paraId="69F99CBE" w14:textId="77777777" w:rsidTr="002351E1">
        <w:tc>
          <w:tcPr>
            <w:tcW w:w="1791" w:type="dxa"/>
          </w:tcPr>
          <w:p w14:paraId="2985DB4F" w14:textId="77777777" w:rsidR="005E1D52" w:rsidRDefault="005E1D52" w:rsidP="00787073">
            <w:r>
              <w:t>PI</w:t>
            </w:r>
          </w:p>
        </w:tc>
        <w:tc>
          <w:tcPr>
            <w:tcW w:w="6703" w:type="dxa"/>
          </w:tcPr>
          <w:p w14:paraId="0F3B1DF9" w14:textId="77777777" w:rsidR="005E1D52" w:rsidRDefault="005E1D52" w:rsidP="00787073">
            <w:r>
              <w:t>Product Information</w:t>
            </w:r>
          </w:p>
        </w:tc>
      </w:tr>
      <w:tr w:rsidR="005E1D52" w:rsidRPr="00FD119B" w14:paraId="730ACF0D" w14:textId="77777777" w:rsidTr="002351E1">
        <w:tc>
          <w:tcPr>
            <w:tcW w:w="1791" w:type="dxa"/>
          </w:tcPr>
          <w:p w14:paraId="27FF0336" w14:textId="77777777" w:rsidR="005E1D52" w:rsidRDefault="005E1D52" w:rsidP="00787073">
            <w:r>
              <w:t>PK</w:t>
            </w:r>
          </w:p>
        </w:tc>
        <w:tc>
          <w:tcPr>
            <w:tcW w:w="6703" w:type="dxa"/>
          </w:tcPr>
          <w:p w14:paraId="7D2AEE74" w14:textId="77777777" w:rsidR="005E1D52" w:rsidRDefault="005E1D52" w:rsidP="00787073">
            <w:r>
              <w:t>Pharmacokinetic(s)</w:t>
            </w:r>
          </w:p>
        </w:tc>
      </w:tr>
      <w:tr w:rsidR="005E1D52" w:rsidRPr="00FD119B" w14:paraId="5442A5F0" w14:textId="77777777" w:rsidTr="002351E1">
        <w:tc>
          <w:tcPr>
            <w:tcW w:w="1791" w:type="dxa"/>
          </w:tcPr>
          <w:p w14:paraId="00B609C2" w14:textId="77777777" w:rsidR="005E1D52" w:rsidRDefault="005E1D52" w:rsidP="00787073">
            <w:r>
              <w:t>PND</w:t>
            </w:r>
          </w:p>
        </w:tc>
        <w:tc>
          <w:tcPr>
            <w:tcW w:w="6703" w:type="dxa"/>
          </w:tcPr>
          <w:p w14:paraId="62A0F778" w14:textId="77777777" w:rsidR="005E1D52" w:rsidRDefault="005E1D52" w:rsidP="00787073">
            <w:r>
              <w:t>Post-natal day</w:t>
            </w:r>
          </w:p>
        </w:tc>
      </w:tr>
      <w:tr w:rsidR="005E1D52" w:rsidRPr="00FD119B" w14:paraId="5670F93C" w14:textId="77777777" w:rsidTr="002351E1">
        <w:tc>
          <w:tcPr>
            <w:tcW w:w="1791" w:type="dxa"/>
          </w:tcPr>
          <w:p w14:paraId="1BE4CA59" w14:textId="77777777" w:rsidR="005E1D52" w:rsidRDefault="005E1D52" w:rsidP="00787073">
            <w:proofErr w:type="spellStart"/>
            <w:r>
              <w:t>PopPK</w:t>
            </w:r>
            <w:proofErr w:type="spellEnd"/>
          </w:p>
        </w:tc>
        <w:tc>
          <w:tcPr>
            <w:tcW w:w="6703" w:type="dxa"/>
          </w:tcPr>
          <w:p w14:paraId="333369DC" w14:textId="77777777" w:rsidR="005E1D52" w:rsidRDefault="005E1D52" w:rsidP="00787073">
            <w:r>
              <w:t>Population pharmacokinetic(s)</w:t>
            </w:r>
          </w:p>
        </w:tc>
      </w:tr>
      <w:tr w:rsidR="005E1D52" w:rsidRPr="00FD119B" w14:paraId="3AB9BC1A" w14:textId="77777777" w:rsidTr="002351E1">
        <w:tc>
          <w:tcPr>
            <w:tcW w:w="1791" w:type="dxa"/>
          </w:tcPr>
          <w:p w14:paraId="4716443E" w14:textId="77777777" w:rsidR="005E1D52" w:rsidRDefault="005E1D52" w:rsidP="00787073">
            <w:r>
              <w:lastRenderedPageBreak/>
              <w:t>PSUR</w:t>
            </w:r>
          </w:p>
        </w:tc>
        <w:tc>
          <w:tcPr>
            <w:tcW w:w="6703" w:type="dxa"/>
          </w:tcPr>
          <w:p w14:paraId="3C44E95F" w14:textId="77777777" w:rsidR="005E1D52" w:rsidRDefault="005E1D52" w:rsidP="00787073">
            <w:r>
              <w:t>P</w:t>
            </w:r>
            <w:r w:rsidRPr="002C38BA">
              <w:t>eriodic safety update report</w:t>
            </w:r>
          </w:p>
        </w:tc>
      </w:tr>
      <w:tr w:rsidR="005E1D52" w:rsidRPr="00FD119B" w14:paraId="5A555663" w14:textId="77777777" w:rsidTr="002351E1">
        <w:tc>
          <w:tcPr>
            <w:tcW w:w="1791" w:type="dxa"/>
          </w:tcPr>
          <w:p w14:paraId="0271FC14" w14:textId="77777777" w:rsidR="005E1D52" w:rsidRDefault="005E1D52" w:rsidP="00787073">
            <w:r>
              <w:t>RMP</w:t>
            </w:r>
          </w:p>
        </w:tc>
        <w:tc>
          <w:tcPr>
            <w:tcW w:w="6703" w:type="dxa"/>
          </w:tcPr>
          <w:p w14:paraId="69E03B71" w14:textId="77777777" w:rsidR="005E1D52" w:rsidRDefault="005E1D52" w:rsidP="00787073">
            <w:r>
              <w:t>Risk management plan</w:t>
            </w:r>
          </w:p>
        </w:tc>
      </w:tr>
      <w:tr w:rsidR="005E1D52" w:rsidRPr="00FD119B" w14:paraId="6B31F203" w14:textId="77777777" w:rsidTr="002351E1">
        <w:tc>
          <w:tcPr>
            <w:tcW w:w="1791" w:type="dxa"/>
          </w:tcPr>
          <w:p w14:paraId="16DFF9DF" w14:textId="77777777" w:rsidR="005E1D52" w:rsidRDefault="005E1D52" w:rsidP="00787073">
            <w:r>
              <w:t>RNA</w:t>
            </w:r>
          </w:p>
        </w:tc>
        <w:tc>
          <w:tcPr>
            <w:tcW w:w="6703" w:type="dxa"/>
          </w:tcPr>
          <w:p w14:paraId="298194B0" w14:textId="77777777" w:rsidR="005E1D52" w:rsidRDefault="005E1D52" w:rsidP="00787073">
            <w:r>
              <w:t>R</w:t>
            </w:r>
            <w:r w:rsidRPr="00F27971">
              <w:t>ibonucleic acid</w:t>
            </w:r>
          </w:p>
        </w:tc>
      </w:tr>
      <w:tr w:rsidR="005E1D52" w:rsidRPr="00FD119B" w14:paraId="75A55898" w14:textId="77777777" w:rsidTr="002351E1">
        <w:tc>
          <w:tcPr>
            <w:tcW w:w="1791" w:type="dxa"/>
          </w:tcPr>
          <w:p w14:paraId="761E4144" w14:textId="77777777" w:rsidR="005E1D52" w:rsidRDefault="005E1D52" w:rsidP="00787073">
            <w:r>
              <w:t>SAE</w:t>
            </w:r>
          </w:p>
        </w:tc>
        <w:tc>
          <w:tcPr>
            <w:tcW w:w="6703" w:type="dxa"/>
          </w:tcPr>
          <w:p w14:paraId="01BAC85D" w14:textId="77777777" w:rsidR="005E1D52" w:rsidRDefault="005E1D52" w:rsidP="00787073">
            <w:r>
              <w:t>S</w:t>
            </w:r>
            <w:r w:rsidRPr="00A71AE7">
              <w:t>erious adverse event</w:t>
            </w:r>
          </w:p>
        </w:tc>
      </w:tr>
      <w:tr w:rsidR="005E1D52" w:rsidRPr="00FD119B" w14:paraId="3FF2282B" w14:textId="77777777" w:rsidTr="002351E1">
        <w:tc>
          <w:tcPr>
            <w:tcW w:w="1791" w:type="dxa"/>
          </w:tcPr>
          <w:p w14:paraId="6344C3FE" w14:textId="77777777" w:rsidR="005E1D52" w:rsidRPr="00FD119B" w:rsidRDefault="005E1D52" w:rsidP="00787073">
            <w:r>
              <w:t>TGA</w:t>
            </w:r>
          </w:p>
        </w:tc>
        <w:tc>
          <w:tcPr>
            <w:tcW w:w="6703" w:type="dxa"/>
          </w:tcPr>
          <w:p w14:paraId="601FD318" w14:textId="77777777" w:rsidR="005E1D52" w:rsidRPr="00FD119B" w:rsidRDefault="005E1D52" w:rsidP="00787073">
            <w:r w:rsidRPr="001F6CBA">
              <w:t>Therapeutic Goods Administration</w:t>
            </w:r>
          </w:p>
        </w:tc>
      </w:tr>
      <w:tr w:rsidR="005E1D52" w:rsidRPr="00FD119B" w14:paraId="01DD8AF0" w14:textId="77777777" w:rsidTr="002351E1">
        <w:tc>
          <w:tcPr>
            <w:tcW w:w="1791" w:type="dxa"/>
          </w:tcPr>
          <w:p w14:paraId="47FBDB67" w14:textId="77777777" w:rsidR="005E1D52" w:rsidRDefault="005E1D52" w:rsidP="00787073">
            <w:r>
              <w:t>USA</w:t>
            </w:r>
          </w:p>
        </w:tc>
        <w:tc>
          <w:tcPr>
            <w:tcW w:w="6703" w:type="dxa"/>
          </w:tcPr>
          <w:p w14:paraId="241CD9D5" w14:textId="77777777" w:rsidR="005E1D52" w:rsidRDefault="005E1D52" w:rsidP="00787073">
            <w:r>
              <w:t>United States of America</w:t>
            </w:r>
          </w:p>
        </w:tc>
      </w:tr>
    </w:tbl>
    <w:p w14:paraId="347A6450" w14:textId="77777777" w:rsidR="00FD119B" w:rsidRDefault="00FD119B" w:rsidP="00FD119B"/>
    <w:p w14:paraId="56671326" w14:textId="77777777" w:rsidR="00FD119B" w:rsidRPr="00FD119B" w:rsidRDefault="00FD119B" w:rsidP="00FD119B">
      <w:pPr>
        <w:spacing w:before="0" w:after="200" w:line="0" w:lineRule="auto"/>
        <w:rPr>
          <w:b/>
          <w:i/>
          <w:sz w:val="24"/>
          <w:szCs w:val="24"/>
        </w:rPr>
      </w:pPr>
      <w:r w:rsidRPr="00FD119B">
        <w:rPr>
          <w:b/>
          <w:i/>
          <w:sz w:val="24"/>
          <w:szCs w:val="24"/>
        </w:rPr>
        <w:br w:type="page"/>
      </w:r>
    </w:p>
    <w:p w14:paraId="4FA9A7E7" w14:textId="77777777" w:rsidR="008E7846" w:rsidRDefault="00F53C07" w:rsidP="008E7846">
      <w:pPr>
        <w:pStyle w:val="Heading2"/>
      </w:pPr>
      <w:bookmarkStart w:id="8" w:name="_Toc83304602"/>
      <w:r>
        <w:lastRenderedPageBreak/>
        <w:t>I.</w:t>
      </w:r>
      <w:r w:rsidR="008E7846">
        <w:t xml:space="preserve"> Introduction to product submission</w:t>
      </w:r>
      <w:bookmarkEnd w:id="0"/>
      <w:bookmarkEnd w:id="2"/>
      <w:bookmarkEnd w:id="8"/>
    </w:p>
    <w:p w14:paraId="3A9B39D6" w14:textId="77777777" w:rsidR="008E7846" w:rsidRDefault="008E7846" w:rsidP="008E7846">
      <w:pPr>
        <w:pStyle w:val="Heading3"/>
        <w:rPr>
          <w:lang w:eastAsia="en-AU"/>
        </w:rPr>
      </w:pPr>
      <w:bookmarkStart w:id="9" w:name="_Toc247691502"/>
      <w:bookmarkStart w:id="10" w:name="_Toc314842483"/>
      <w:bookmarkStart w:id="11" w:name="_Toc83304603"/>
      <w:r>
        <w:rPr>
          <w:lang w:eastAsia="en-AU"/>
        </w:rPr>
        <w:t>Submission details</w:t>
      </w:r>
      <w:bookmarkEnd w:id="9"/>
      <w:bookmarkEnd w:id="10"/>
      <w:bookmarkEnd w:id="11"/>
    </w:p>
    <w:tbl>
      <w:tblPr>
        <w:tblW w:w="9214" w:type="dxa"/>
        <w:tblInd w:w="108" w:type="dxa"/>
        <w:tblLook w:val="01E0" w:firstRow="1" w:lastRow="1" w:firstColumn="1" w:lastColumn="1" w:noHBand="0" w:noVBand="0"/>
      </w:tblPr>
      <w:tblGrid>
        <w:gridCol w:w="2907"/>
        <w:gridCol w:w="6307"/>
      </w:tblGrid>
      <w:tr w:rsidR="008E7846" w:rsidRPr="003D1E62" w14:paraId="6412F7EA" w14:textId="77777777" w:rsidTr="003735BC">
        <w:tc>
          <w:tcPr>
            <w:tcW w:w="2907" w:type="dxa"/>
          </w:tcPr>
          <w:p w14:paraId="70069650" w14:textId="77777777" w:rsidR="008E7846" w:rsidRPr="003D1E62" w:rsidRDefault="001B5C90" w:rsidP="001B5C90">
            <w:pPr>
              <w:rPr>
                <w:i/>
              </w:rPr>
            </w:pPr>
            <w:r>
              <w:rPr>
                <w:i/>
              </w:rPr>
              <w:t>Type of s</w:t>
            </w:r>
            <w:r w:rsidR="008E7846" w:rsidRPr="003D1E62">
              <w:rPr>
                <w:i/>
              </w:rPr>
              <w:t>ubmission</w:t>
            </w:r>
            <w:r>
              <w:rPr>
                <w:i/>
              </w:rPr>
              <w:t>:</w:t>
            </w:r>
          </w:p>
        </w:tc>
        <w:tc>
          <w:tcPr>
            <w:tcW w:w="6307" w:type="dxa"/>
          </w:tcPr>
          <w:p w14:paraId="47C17785" w14:textId="1AF45D17" w:rsidR="008E7846" w:rsidRPr="003D1E62" w:rsidRDefault="008E7846" w:rsidP="001B5C90">
            <w:bookmarkStart w:id="12" w:name="_Hlk83304298"/>
            <w:r w:rsidRPr="003D1E62">
              <w:t xml:space="preserve">New </w:t>
            </w:r>
            <w:r w:rsidR="001B5C90">
              <w:t>c</w:t>
            </w:r>
            <w:r w:rsidRPr="003D1E62">
              <w:t xml:space="preserve">hemical </w:t>
            </w:r>
            <w:r w:rsidR="001B5C90">
              <w:t>e</w:t>
            </w:r>
            <w:r w:rsidRPr="003D1E62">
              <w:t>ntity</w:t>
            </w:r>
            <w:bookmarkEnd w:id="12"/>
          </w:p>
        </w:tc>
      </w:tr>
      <w:tr w:rsidR="00460036" w:rsidRPr="003D1E62" w14:paraId="30448CF8" w14:textId="77777777" w:rsidTr="003735BC">
        <w:tc>
          <w:tcPr>
            <w:tcW w:w="2907" w:type="dxa"/>
          </w:tcPr>
          <w:p w14:paraId="46BDBA9A" w14:textId="5BB36321" w:rsidR="00460036" w:rsidRPr="003D1E62" w:rsidRDefault="00460036" w:rsidP="003D1E62">
            <w:pPr>
              <w:rPr>
                <w:i/>
              </w:rPr>
            </w:pPr>
            <w:r w:rsidRPr="00460036">
              <w:rPr>
                <w:i/>
              </w:rPr>
              <w:t>Product name:</w:t>
            </w:r>
          </w:p>
        </w:tc>
        <w:tc>
          <w:tcPr>
            <w:tcW w:w="6307" w:type="dxa"/>
          </w:tcPr>
          <w:p w14:paraId="77AC83AD" w14:textId="7508CCDB" w:rsidR="00460036" w:rsidRPr="003D1E62" w:rsidRDefault="0071605E" w:rsidP="001B5C90">
            <w:proofErr w:type="spellStart"/>
            <w:r>
              <w:t>Rukobia</w:t>
            </w:r>
            <w:proofErr w:type="spellEnd"/>
          </w:p>
        </w:tc>
      </w:tr>
      <w:tr w:rsidR="00460036" w:rsidRPr="003D1E62" w14:paraId="266B13C4" w14:textId="77777777" w:rsidTr="003735BC">
        <w:tc>
          <w:tcPr>
            <w:tcW w:w="2907" w:type="dxa"/>
          </w:tcPr>
          <w:p w14:paraId="50E0C927" w14:textId="4A97B8FA" w:rsidR="00460036" w:rsidRPr="003D1E62" w:rsidRDefault="00460036" w:rsidP="003D1E62">
            <w:pPr>
              <w:rPr>
                <w:i/>
              </w:rPr>
            </w:pPr>
            <w:r w:rsidRPr="00460036">
              <w:rPr>
                <w:i/>
              </w:rPr>
              <w:t>Active ingredient:</w:t>
            </w:r>
          </w:p>
        </w:tc>
        <w:tc>
          <w:tcPr>
            <w:tcW w:w="6307" w:type="dxa"/>
          </w:tcPr>
          <w:p w14:paraId="5A91CCCF" w14:textId="436D2DB4" w:rsidR="00460036" w:rsidRPr="003D1E62" w:rsidRDefault="0071605E" w:rsidP="001B5C90">
            <w:r w:rsidRPr="006E5F7B">
              <w:t>Fostemsavir trometamol</w:t>
            </w:r>
          </w:p>
        </w:tc>
      </w:tr>
      <w:tr w:rsidR="008E7846" w:rsidRPr="003D1E62" w14:paraId="4C0155C8" w14:textId="77777777" w:rsidTr="003735BC">
        <w:tc>
          <w:tcPr>
            <w:tcW w:w="2907" w:type="dxa"/>
          </w:tcPr>
          <w:p w14:paraId="74E215A0" w14:textId="77777777" w:rsidR="008E7846" w:rsidRPr="003D1E62" w:rsidRDefault="008E7846" w:rsidP="003D1E62">
            <w:r w:rsidRPr="003D1E62">
              <w:rPr>
                <w:i/>
              </w:rPr>
              <w:t>Decision</w:t>
            </w:r>
            <w:r w:rsidRPr="003D1E62">
              <w:t>:</w:t>
            </w:r>
          </w:p>
        </w:tc>
        <w:tc>
          <w:tcPr>
            <w:tcW w:w="6307" w:type="dxa"/>
          </w:tcPr>
          <w:p w14:paraId="206489A6" w14:textId="508F69B4" w:rsidR="008E7846" w:rsidRPr="003D1E62" w:rsidRDefault="00460036" w:rsidP="001B5C90">
            <w:r w:rsidRPr="00460036">
              <w:t>Approved</w:t>
            </w:r>
          </w:p>
        </w:tc>
      </w:tr>
      <w:tr w:rsidR="008E7846" w:rsidRPr="003D1E62" w14:paraId="687BAF65" w14:textId="77777777" w:rsidTr="003735BC">
        <w:tc>
          <w:tcPr>
            <w:tcW w:w="2907" w:type="dxa"/>
          </w:tcPr>
          <w:p w14:paraId="6A44C780" w14:textId="77777777" w:rsidR="008E7846" w:rsidRPr="003D1E62" w:rsidRDefault="008E7846" w:rsidP="001B5C90">
            <w:pPr>
              <w:rPr>
                <w:i/>
              </w:rPr>
            </w:pPr>
            <w:r w:rsidRPr="003D1E62">
              <w:rPr>
                <w:i/>
              </w:rPr>
              <w:t xml:space="preserve">Date of </w:t>
            </w:r>
            <w:r w:rsidR="001B5C90">
              <w:rPr>
                <w:i/>
              </w:rPr>
              <w:t>d</w:t>
            </w:r>
            <w:r w:rsidRPr="003D1E62">
              <w:rPr>
                <w:i/>
              </w:rPr>
              <w:t>ecision:</w:t>
            </w:r>
          </w:p>
        </w:tc>
        <w:tc>
          <w:tcPr>
            <w:tcW w:w="6307" w:type="dxa"/>
          </w:tcPr>
          <w:p w14:paraId="6BA65E47" w14:textId="3B51725E" w:rsidR="008E7846" w:rsidRPr="003D1E62" w:rsidRDefault="0071605E" w:rsidP="001B5C90">
            <w:r>
              <w:t>9 July 2021</w:t>
            </w:r>
          </w:p>
        </w:tc>
      </w:tr>
      <w:tr w:rsidR="00ED2922" w:rsidRPr="003D1E62" w14:paraId="74C12DBF" w14:textId="77777777" w:rsidTr="003735BC">
        <w:tc>
          <w:tcPr>
            <w:tcW w:w="2907" w:type="dxa"/>
          </w:tcPr>
          <w:p w14:paraId="6C049B38" w14:textId="77777777" w:rsidR="00ED2922" w:rsidRPr="00441C3F" w:rsidRDefault="00ED2922" w:rsidP="001B5C90">
            <w:pPr>
              <w:rPr>
                <w:i/>
              </w:rPr>
            </w:pPr>
            <w:r w:rsidRPr="00441C3F">
              <w:rPr>
                <w:i/>
              </w:rPr>
              <w:t>Date of entry onto ARTG</w:t>
            </w:r>
            <w:r w:rsidR="00500337">
              <w:rPr>
                <w:i/>
              </w:rPr>
              <w:t>:</w:t>
            </w:r>
          </w:p>
        </w:tc>
        <w:tc>
          <w:tcPr>
            <w:tcW w:w="6307" w:type="dxa"/>
          </w:tcPr>
          <w:p w14:paraId="07C391E8" w14:textId="678DA269" w:rsidR="00ED2922" w:rsidRPr="00441C3F" w:rsidRDefault="0071605E" w:rsidP="00D153D8">
            <w:pPr>
              <w:rPr>
                <w:i/>
              </w:rPr>
            </w:pPr>
            <w:r>
              <w:t>14 July 2021</w:t>
            </w:r>
          </w:p>
        </w:tc>
      </w:tr>
      <w:tr w:rsidR="00500337" w:rsidRPr="003D1E62" w14:paraId="725BDB76" w14:textId="77777777" w:rsidTr="003735BC">
        <w:tc>
          <w:tcPr>
            <w:tcW w:w="2907" w:type="dxa"/>
          </w:tcPr>
          <w:p w14:paraId="3204E8A1" w14:textId="317E2447" w:rsidR="00500337" w:rsidRPr="00441C3F" w:rsidRDefault="00500337" w:rsidP="001B5C90">
            <w:pPr>
              <w:rPr>
                <w:i/>
              </w:rPr>
            </w:pPr>
            <w:r>
              <w:rPr>
                <w:i/>
              </w:rPr>
              <w:t>ARTG number:</w:t>
            </w:r>
          </w:p>
        </w:tc>
        <w:tc>
          <w:tcPr>
            <w:tcW w:w="6307" w:type="dxa"/>
          </w:tcPr>
          <w:p w14:paraId="015D463A" w14:textId="02E64454" w:rsidR="00500337" w:rsidRPr="00441C3F" w:rsidRDefault="0071605E" w:rsidP="00EC463D">
            <w:r w:rsidRPr="0071605E">
              <w:t>337863</w:t>
            </w:r>
          </w:p>
        </w:tc>
      </w:tr>
      <w:tr w:rsidR="003735BC" w:rsidRPr="003D1E62" w14:paraId="7B2FC437" w14:textId="77777777" w:rsidTr="003735BC">
        <w:tc>
          <w:tcPr>
            <w:tcW w:w="2907" w:type="dxa"/>
          </w:tcPr>
          <w:p w14:paraId="48FF2724" w14:textId="77777777" w:rsidR="003735BC" w:rsidRDefault="00FA5069" w:rsidP="001B5C90">
            <w:pPr>
              <w:rPr>
                <w:i/>
              </w:rPr>
            </w:pPr>
            <w:r>
              <w:rPr>
                <w:rFonts w:ascii="Wingdings 3" w:hAnsi="Wingdings 3"/>
                <w:sz w:val="34"/>
                <w:szCs w:val="34"/>
                <w:lang w:eastAsia="en-AU"/>
              </w:rPr>
              <w:t></w:t>
            </w:r>
            <w:r w:rsidR="003735BC" w:rsidRPr="003735BC">
              <w:rPr>
                <w:i/>
              </w:rPr>
              <w:t>Black Triangle Scheme</w:t>
            </w:r>
            <w:r w:rsidR="004C4FBE">
              <w:rPr>
                <w:i/>
              </w:rPr>
              <w:t>:</w:t>
            </w:r>
            <w:r w:rsidR="00460036">
              <w:rPr>
                <w:rStyle w:val="FootnoteReference"/>
                <w:i/>
              </w:rPr>
              <w:footnoteReference w:id="1"/>
            </w:r>
          </w:p>
        </w:tc>
        <w:tc>
          <w:tcPr>
            <w:tcW w:w="6307" w:type="dxa"/>
          </w:tcPr>
          <w:p w14:paraId="7F8D7D65" w14:textId="5C4A814D" w:rsidR="003735BC" w:rsidRDefault="003735BC" w:rsidP="003735BC">
            <w:r>
              <w:t>Yes</w:t>
            </w:r>
          </w:p>
          <w:p w14:paraId="78E819B9" w14:textId="25E8445E" w:rsidR="003735BC" w:rsidRPr="00487162" w:rsidRDefault="003735BC" w:rsidP="003735BC">
            <w:r>
              <w:t xml:space="preserve">This product will remain in the scheme for 5 years, starting on the date the product is first supplied in </w:t>
            </w:r>
            <w:r w:rsidRPr="00D453FA">
              <w:t>Australia</w:t>
            </w:r>
            <w:r w:rsidR="00CC15E9">
              <w:t>.</w:t>
            </w:r>
          </w:p>
        </w:tc>
      </w:tr>
      <w:tr w:rsidR="008E7846" w:rsidRPr="00487162" w14:paraId="342B4134" w14:textId="77777777" w:rsidTr="00BF1190">
        <w:tc>
          <w:tcPr>
            <w:tcW w:w="2907" w:type="dxa"/>
          </w:tcPr>
          <w:p w14:paraId="51B2C121" w14:textId="77777777"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14:paraId="13888E88" w14:textId="77777777" w:rsidR="008E7846" w:rsidRDefault="0071605E" w:rsidP="00E45619">
            <w:proofErr w:type="spellStart"/>
            <w:r w:rsidRPr="0071605E">
              <w:t>ViiV</w:t>
            </w:r>
            <w:proofErr w:type="spellEnd"/>
            <w:r w:rsidRPr="0071605E">
              <w:t xml:space="preserve"> Healthcare Pty Ltd</w:t>
            </w:r>
          </w:p>
          <w:p w14:paraId="6DFD390C" w14:textId="77777777" w:rsidR="0086136B" w:rsidRDefault="0071605E" w:rsidP="00E45619">
            <w:r w:rsidRPr="0071605E">
              <w:t>Level 4, 436 Johnston Street</w:t>
            </w:r>
          </w:p>
          <w:p w14:paraId="51A7F9E9" w14:textId="0D4323B7" w:rsidR="0071605E" w:rsidRPr="00487162" w:rsidRDefault="0071605E" w:rsidP="00E45619">
            <w:r w:rsidRPr="0071605E">
              <w:t>Abbotsford, V</w:t>
            </w:r>
            <w:r w:rsidR="0086136B">
              <w:t>IC</w:t>
            </w:r>
            <w:r w:rsidRPr="0071605E">
              <w:t>, 3067</w:t>
            </w:r>
          </w:p>
        </w:tc>
      </w:tr>
      <w:tr w:rsidR="008E7846" w:rsidRPr="00487162" w14:paraId="24D67FE9" w14:textId="77777777" w:rsidTr="00BF1190">
        <w:tc>
          <w:tcPr>
            <w:tcW w:w="2907" w:type="dxa"/>
          </w:tcPr>
          <w:p w14:paraId="7A712E65" w14:textId="1970170B" w:rsidR="008E7846" w:rsidRPr="00487162" w:rsidRDefault="001B5C90" w:rsidP="00E45619">
            <w:pPr>
              <w:rPr>
                <w:i/>
              </w:rPr>
            </w:pPr>
            <w:r>
              <w:rPr>
                <w:i/>
              </w:rPr>
              <w:t>Dose form:</w:t>
            </w:r>
          </w:p>
        </w:tc>
        <w:tc>
          <w:tcPr>
            <w:tcW w:w="6307" w:type="dxa"/>
          </w:tcPr>
          <w:p w14:paraId="630DD5F8" w14:textId="639A2460" w:rsidR="008E7846" w:rsidRPr="00487162" w:rsidRDefault="0071605E" w:rsidP="00E45619">
            <w:r w:rsidRPr="0071605E">
              <w:t>Extended release tablet</w:t>
            </w:r>
          </w:p>
        </w:tc>
      </w:tr>
      <w:tr w:rsidR="008E7846" w:rsidRPr="00487162" w14:paraId="1585B544" w14:textId="77777777" w:rsidTr="00BF1190">
        <w:tc>
          <w:tcPr>
            <w:tcW w:w="2907" w:type="dxa"/>
          </w:tcPr>
          <w:p w14:paraId="53F5C7F0" w14:textId="25499E57" w:rsidR="008E7846" w:rsidRPr="00487162" w:rsidRDefault="00324E45" w:rsidP="00E45619">
            <w:pPr>
              <w:rPr>
                <w:i/>
              </w:rPr>
            </w:pPr>
            <w:r>
              <w:rPr>
                <w:i/>
              </w:rPr>
              <w:t>Strength:</w:t>
            </w:r>
          </w:p>
        </w:tc>
        <w:tc>
          <w:tcPr>
            <w:tcW w:w="6307" w:type="dxa"/>
          </w:tcPr>
          <w:p w14:paraId="1704282B" w14:textId="74882367" w:rsidR="008E7846" w:rsidRPr="00487162" w:rsidRDefault="0071605E" w:rsidP="00E45619">
            <w:r w:rsidRPr="0071605E">
              <w:t>600 mg fostemsavir (as fostemsavir trometamol)</w:t>
            </w:r>
          </w:p>
        </w:tc>
      </w:tr>
      <w:tr w:rsidR="008E7846" w:rsidRPr="00487162" w14:paraId="701E4B30" w14:textId="77777777" w:rsidTr="00BF1190">
        <w:tc>
          <w:tcPr>
            <w:tcW w:w="2907" w:type="dxa"/>
          </w:tcPr>
          <w:p w14:paraId="4587BBA8" w14:textId="2865E1F2" w:rsidR="008E7846" w:rsidRPr="00487162" w:rsidRDefault="008E7846" w:rsidP="00E45619">
            <w:pPr>
              <w:rPr>
                <w:i/>
              </w:rPr>
            </w:pPr>
            <w:r w:rsidRPr="00487162">
              <w:rPr>
                <w:i/>
              </w:rPr>
              <w:t>Container:</w:t>
            </w:r>
          </w:p>
        </w:tc>
        <w:tc>
          <w:tcPr>
            <w:tcW w:w="6307" w:type="dxa"/>
          </w:tcPr>
          <w:p w14:paraId="03370097" w14:textId="3C7602C8" w:rsidR="008E7846" w:rsidRPr="00487162" w:rsidRDefault="0071605E" w:rsidP="00E45619">
            <w:r>
              <w:t>Bottle</w:t>
            </w:r>
          </w:p>
        </w:tc>
      </w:tr>
      <w:tr w:rsidR="008E7846" w:rsidRPr="00487162" w14:paraId="27CD68B1" w14:textId="77777777" w:rsidTr="00BF1190">
        <w:tc>
          <w:tcPr>
            <w:tcW w:w="2907" w:type="dxa"/>
          </w:tcPr>
          <w:p w14:paraId="55376254" w14:textId="25EAC227" w:rsidR="008E7846" w:rsidRPr="00487162" w:rsidRDefault="008E7846" w:rsidP="00E45619">
            <w:pPr>
              <w:rPr>
                <w:i/>
              </w:rPr>
            </w:pPr>
            <w:r w:rsidRPr="00487162">
              <w:rPr>
                <w:i/>
              </w:rPr>
              <w:t>Pack size:</w:t>
            </w:r>
          </w:p>
        </w:tc>
        <w:tc>
          <w:tcPr>
            <w:tcW w:w="6307" w:type="dxa"/>
          </w:tcPr>
          <w:p w14:paraId="48C42507" w14:textId="2088D925" w:rsidR="008E7846" w:rsidRPr="00487162" w:rsidRDefault="0071605E" w:rsidP="00E45619">
            <w:r>
              <w:t>60</w:t>
            </w:r>
          </w:p>
        </w:tc>
      </w:tr>
      <w:tr w:rsidR="008E7846" w:rsidRPr="00487162" w14:paraId="2116DF5B" w14:textId="77777777" w:rsidTr="00BF1190">
        <w:tc>
          <w:tcPr>
            <w:tcW w:w="2907" w:type="dxa"/>
          </w:tcPr>
          <w:p w14:paraId="0E361E67" w14:textId="77777777"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14:paraId="4D390F90" w14:textId="63BDE976" w:rsidR="008E7846" w:rsidRPr="0071605E" w:rsidRDefault="0071605E" w:rsidP="0086136B">
            <w:pPr>
              <w:rPr>
                <w:rFonts w:eastAsia="MS Mincho"/>
                <w:i/>
                <w:iCs/>
                <w:lang w:eastAsia="ja-JP"/>
              </w:rPr>
            </w:pPr>
            <w:proofErr w:type="spellStart"/>
            <w:r w:rsidRPr="0071605E">
              <w:rPr>
                <w:i/>
                <w:iCs/>
              </w:rPr>
              <w:t>Rukobia</w:t>
            </w:r>
            <w:proofErr w:type="spellEnd"/>
            <w:r w:rsidRPr="0071605E">
              <w:rPr>
                <w:i/>
                <w:iCs/>
              </w:rPr>
              <w:t xml:space="preserve"> is indicated in combination with other antiretroviral agents for the treatment of heavily treatment-experienced adults with multidrug-resistant human immunodeficiency virus-1 (HIV</w:t>
            </w:r>
            <w:r w:rsidR="0086136B">
              <w:rPr>
                <w:i/>
                <w:iCs/>
              </w:rPr>
              <w:noBreakHyphen/>
            </w:r>
            <w:r w:rsidRPr="0071605E">
              <w:rPr>
                <w:i/>
                <w:iCs/>
              </w:rPr>
              <w:t>1) infection for whom it is otherwise not possible to construct a suppressive antiviral regimen due to resistance, intolerance or safety considerations (see Section 5.1 Pharmacodynamic properties, clinical trials).</w:t>
            </w:r>
          </w:p>
        </w:tc>
      </w:tr>
      <w:tr w:rsidR="008E7846" w:rsidRPr="00487162" w14:paraId="7383947E" w14:textId="77777777" w:rsidTr="00BF1190">
        <w:tc>
          <w:tcPr>
            <w:tcW w:w="2907" w:type="dxa"/>
          </w:tcPr>
          <w:p w14:paraId="058369F3" w14:textId="029BFBF6" w:rsidR="008E7846" w:rsidRPr="00487162" w:rsidRDefault="008E7846" w:rsidP="00E45619">
            <w:pPr>
              <w:rPr>
                <w:i/>
              </w:rPr>
            </w:pPr>
            <w:r w:rsidRPr="00487162">
              <w:rPr>
                <w:i/>
              </w:rPr>
              <w:t>Route of administration:</w:t>
            </w:r>
          </w:p>
        </w:tc>
        <w:tc>
          <w:tcPr>
            <w:tcW w:w="6307" w:type="dxa"/>
          </w:tcPr>
          <w:p w14:paraId="1D84321F" w14:textId="6B303D01" w:rsidR="008E7846" w:rsidRPr="00487162" w:rsidRDefault="0071605E" w:rsidP="00E45619">
            <w:r>
              <w:t>Oral</w:t>
            </w:r>
          </w:p>
        </w:tc>
      </w:tr>
      <w:tr w:rsidR="008E7846" w:rsidRPr="00487162" w14:paraId="5799E27D" w14:textId="77777777" w:rsidTr="00BF1190">
        <w:tc>
          <w:tcPr>
            <w:tcW w:w="2907" w:type="dxa"/>
          </w:tcPr>
          <w:p w14:paraId="19E49FAF" w14:textId="77777777" w:rsidR="008E7846" w:rsidRPr="00487162" w:rsidRDefault="008E7846" w:rsidP="00E45619">
            <w:pPr>
              <w:rPr>
                <w:i/>
              </w:rPr>
            </w:pPr>
            <w:r w:rsidRPr="00487162">
              <w:rPr>
                <w:i/>
              </w:rPr>
              <w:t>Dosage:</w:t>
            </w:r>
          </w:p>
        </w:tc>
        <w:tc>
          <w:tcPr>
            <w:tcW w:w="6307" w:type="dxa"/>
          </w:tcPr>
          <w:p w14:paraId="5EA9835C" w14:textId="77777777" w:rsidR="0071605E" w:rsidRPr="006E5F7B" w:rsidRDefault="0071605E" w:rsidP="0071605E">
            <w:r w:rsidRPr="006E5F7B">
              <w:t>Therapy should be initiated by a physician experienced in the management of human immunodeficiency virus (HIV) infection.</w:t>
            </w:r>
          </w:p>
          <w:p w14:paraId="28214C65" w14:textId="77777777" w:rsidR="0071605E" w:rsidRPr="006E5F7B" w:rsidRDefault="0071605E" w:rsidP="0071605E">
            <w:pPr>
              <w:rPr>
                <w:i/>
              </w:rPr>
            </w:pPr>
            <w:r w:rsidRPr="006E5F7B">
              <w:rPr>
                <w:i/>
              </w:rPr>
              <w:lastRenderedPageBreak/>
              <w:t>Adults</w:t>
            </w:r>
          </w:p>
          <w:p w14:paraId="207C8EB8" w14:textId="77777777" w:rsidR="0071605E" w:rsidRPr="006E5F7B" w:rsidRDefault="0071605E" w:rsidP="0071605E">
            <w:r w:rsidRPr="006E5F7B">
              <w:t>The recommended dosage of fostemsavir is 600 mg orally twice daily.</w:t>
            </w:r>
          </w:p>
          <w:p w14:paraId="01529139" w14:textId="77777777" w:rsidR="00460036" w:rsidRPr="00487162" w:rsidRDefault="00460036" w:rsidP="0071605E">
            <w:r w:rsidRPr="00460036">
              <w:t>For further information regarding dosage, refer to the Product Information.</w:t>
            </w:r>
          </w:p>
        </w:tc>
      </w:tr>
      <w:tr w:rsidR="00460036" w:rsidRPr="00487162" w14:paraId="69A79B04" w14:textId="77777777" w:rsidTr="00BF1190">
        <w:tc>
          <w:tcPr>
            <w:tcW w:w="2907" w:type="dxa"/>
          </w:tcPr>
          <w:p w14:paraId="4592CAC0" w14:textId="77777777" w:rsidR="00460036" w:rsidRPr="00487162" w:rsidRDefault="00460036" w:rsidP="00E45619">
            <w:pPr>
              <w:rPr>
                <w:i/>
              </w:rPr>
            </w:pPr>
            <w:r w:rsidRPr="00460036">
              <w:rPr>
                <w:i/>
              </w:rPr>
              <w:lastRenderedPageBreak/>
              <w:t>Pregnancy category</w:t>
            </w:r>
            <w:r>
              <w:rPr>
                <w:i/>
              </w:rPr>
              <w:t>:</w:t>
            </w:r>
          </w:p>
        </w:tc>
        <w:tc>
          <w:tcPr>
            <w:tcW w:w="6307" w:type="dxa"/>
          </w:tcPr>
          <w:p w14:paraId="7741CEC9" w14:textId="77777777" w:rsidR="00CC15E9" w:rsidRPr="006E5F7B" w:rsidRDefault="00CC15E9" w:rsidP="00CC15E9">
            <w:r w:rsidRPr="006E5F7B">
              <w:t>B3</w:t>
            </w:r>
          </w:p>
          <w:p w14:paraId="32A6F200" w14:textId="77777777" w:rsidR="00CC15E9" w:rsidRPr="006E5F7B" w:rsidRDefault="00CC15E9" w:rsidP="00CC15E9">
            <w:r w:rsidRPr="006E5F7B">
              <w:t xml:space="preserve">Drugs which have been taken by only a limited number of pregnant women and women of childbearing age, without an increase in the frequency of malformation or other direct or indirect harmful effects on the human </w:t>
            </w:r>
            <w:proofErr w:type="spellStart"/>
            <w:r w:rsidRPr="006E5F7B">
              <w:t>fetus</w:t>
            </w:r>
            <w:proofErr w:type="spellEnd"/>
            <w:r w:rsidRPr="006E5F7B">
              <w:t xml:space="preserve"> having been observed.</w:t>
            </w:r>
          </w:p>
          <w:p w14:paraId="499EC2F1" w14:textId="77777777" w:rsidR="00CC15E9" w:rsidRPr="006E5F7B" w:rsidRDefault="00CC15E9" w:rsidP="00CC15E9">
            <w:r w:rsidRPr="006E5F7B">
              <w:t>Studies in animals have shown evidence of an increased occurrence of fetal damage, the significance of which is considered uncertain in humans.</w:t>
            </w:r>
          </w:p>
          <w:p w14:paraId="1D15D561" w14:textId="1987512C" w:rsidR="00460036" w:rsidRPr="00487162" w:rsidRDefault="00460036" w:rsidP="00460036">
            <w:r>
              <w:t>The use of any medicine during pregnancy requires careful consideration of both risks and benefits by the treating health professional. This must not be used as the sole basis of decision making in the use of medicines during pregnancy. The TGA does not provide advice on the use of medicines in pregnancy for specific cases. More information is available from obstetric drug information services in your State or Territory.</w:t>
            </w:r>
          </w:p>
        </w:tc>
      </w:tr>
    </w:tbl>
    <w:p w14:paraId="5DF2CBCE" w14:textId="77777777" w:rsidR="008E7846" w:rsidRDefault="008E7846" w:rsidP="008E7846">
      <w:pPr>
        <w:pStyle w:val="Heading3"/>
      </w:pPr>
      <w:bookmarkStart w:id="13" w:name="_Toc247691503"/>
      <w:bookmarkStart w:id="14" w:name="_Toc314842484"/>
      <w:bookmarkStart w:id="15" w:name="_Toc83304604"/>
      <w:r>
        <w:t>Product background</w:t>
      </w:r>
      <w:bookmarkEnd w:id="13"/>
      <w:bookmarkEnd w:id="14"/>
      <w:bookmarkEnd w:id="15"/>
    </w:p>
    <w:p w14:paraId="4681987E" w14:textId="32AFB121" w:rsidR="008E7846" w:rsidRDefault="00250271" w:rsidP="00940A89">
      <w:r w:rsidRPr="00250271">
        <w:t xml:space="preserve">This AusPAR describes the application by </w:t>
      </w:r>
      <w:proofErr w:type="spellStart"/>
      <w:r w:rsidR="00CC15E9">
        <w:t>ViiV</w:t>
      </w:r>
      <w:proofErr w:type="spellEnd"/>
      <w:r w:rsidR="00CC15E9">
        <w:t xml:space="preserve"> Healthcare Pty Ltd</w:t>
      </w:r>
      <w:r w:rsidRPr="00250271">
        <w:t xml:space="preserve"> (the sponsor) to register </w:t>
      </w:r>
      <w:proofErr w:type="spellStart"/>
      <w:r w:rsidR="00CC15E9">
        <w:t>Rukobia</w:t>
      </w:r>
      <w:proofErr w:type="spellEnd"/>
      <w:r w:rsidR="00CC15E9">
        <w:t xml:space="preserve"> </w:t>
      </w:r>
      <w:r w:rsidRPr="00250271">
        <w:t>(</w:t>
      </w:r>
      <w:r w:rsidR="00CC15E9">
        <w:t>fostemsavir trometamol</w:t>
      </w:r>
      <w:r w:rsidRPr="00250271">
        <w:t xml:space="preserve">) </w:t>
      </w:r>
      <w:r w:rsidR="00CC15E9">
        <w:t>600 mg</w:t>
      </w:r>
      <w:r w:rsidRPr="00250271">
        <w:t xml:space="preserve">, </w:t>
      </w:r>
      <w:r w:rsidR="00CC15E9">
        <w:t>extended release tablet</w:t>
      </w:r>
      <w:r w:rsidRPr="00250271">
        <w:t xml:space="preserve"> for the following proposed indication</w:t>
      </w:r>
      <w:r w:rsidR="00CF5DAD">
        <w:t>:</w:t>
      </w:r>
    </w:p>
    <w:p w14:paraId="2594A3C5" w14:textId="32AAFD24" w:rsidR="00DD08D9" w:rsidRPr="00DD08D9" w:rsidRDefault="00DD08D9" w:rsidP="00DD08D9">
      <w:pPr>
        <w:ind w:left="720"/>
        <w:rPr>
          <w:i/>
          <w:iCs/>
        </w:rPr>
      </w:pPr>
      <w:proofErr w:type="spellStart"/>
      <w:r w:rsidRPr="00DD08D9">
        <w:rPr>
          <w:i/>
          <w:iCs/>
        </w:rPr>
        <w:t>Rukobia</w:t>
      </w:r>
      <w:proofErr w:type="spellEnd"/>
      <w:r w:rsidRPr="00DD08D9">
        <w:rPr>
          <w:i/>
          <w:iCs/>
        </w:rPr>
        <w:t xml:space="preserve"> is indicated in combination with other antiretroviral agents for the treatment of heavily treatment experienced adults with multidrug resistant human immunodeficiency virus-1 (HIV-1) infection for whom it is otherwise not possible to construct a suppressive anti-viral regimen due to resistance, intolerance or safety considerations (see Section 5.1 P</w:t>
      </w:r>
      <w:r>
        <w:rPr>
          <w:i/>
          <w:iCs/>
        </w:rPr>
        <w:t>harmacodynamic Properties</w:t>
      </w:r>
      <w:r w:rsidRPr="00DD08D9">
        <w:rPr>
          <w:i/>
          <w:iCs/>
        </w:rPr>
        <w:t>, Clinical Trials).</w:t>
      </w:r>
    </w:p>
    <w:p w14:paraId="1C606D8F" w14:textId="410CBA78" w:rsidR="00DD08D9" w:rsidRDefault="00DD08D9" w:rsidP="00DD08D9">
      <w:r>
        <w:t>While there is currently no cure</w:t>
      </w:r>
      <w:r w:rsidR="00EE0F65">
        <w:t xml:space="preserve"> available</w:t>
      </w:r>
      <w:r>
        <w:t xml:space="preserve"> for </w:t>
      </w:r>
      <w:r w:rsidR="00EE0F65">
        <w:t xml:space="preserve">HIV (or </w:t>
      </w:r>
      <w:r w:rsidRPr="00DD08D9">
        <w:t>human immunodeficiency virus</w:t>
      </w:r>
      <w:r w:rsidR="00EE0F65">
        <w:t>)</w:t>
      </w:r>
      <w:r>
        <w:t xml:space="preserve"> </w:t>
      </w:r>
      <w:r w:rsidR="0086136B">
        <w:t>infection</w:t>
      </w:r>
      <w:r w:rsidR="00EE0F65">
        <w:t xml:space="preserve">, which </w:t>
      </w:r>
      <w:r w:rsidR="001474D1">
        <w:t xml:space="preserve">if </w:t>
      </w:r>
      <w:r w:rsidR="00EE0F65">
        <w:t xml:space="preserve">left untreated can ultimately lead to the development of AIDS </w:t>
      </w:r>
      <w:r>
        <w:t xml:space="preserve"> </w:t>
      </w:r>
      <w:r w:rsidR="00EE0F65">
        <w:t xml:space="preserve">(or </w:t>
      </w:r>
      <w:r w:rsidRPr="00DD08D9">
        <w:t>acquired immunodeficiency syndrome</w:t>
      </w:r>
      <w:r w:rsidR="00EE0F65">
        <w:t>)</w:t>
      </w:r>
      <w:r>
        <w:t xml:space="preserve">, </w:t>
      </w:r>
      <w:r w:rsidR="001474D1">
        <w:t xml:space="preserve">the development and introduction of </w:t>
      </w:r>
      <w:r>
        <w:t>highly effective antiretroviral (ARV) therapy has greatly improved the lives of HIV</w:t>
      </w:r>
      <w:r w:rsidR="00EE0F65">
        <w:noBreakHyphen/>
      </w:r>
      <w:r>
        <w:t>infected individuals. Despite the availability of different classes of ARV agents providing a variety of treatment options, treatment failure continues to occur because of ARV drug resistance, drug-associated toxicity</w:t>
      </w:r>
      <w:r w:rsidR="00EE0F65">
        <w:t xml:space="preserve">, </w:t>
      </w:r>
      <w:r>
        <w:t xml:space="preserve">tolerability problems, and poor adherence. Living with active HIV </w:t>
      </w:r>
      <w:r w:rsidR="00FF76CE">
        <w:t xml:space="preserve">infection </w:t>
      </w:r>
      <w:r>
        <w:t>has significant health needs by itself.</w:t>
      </w:r>
    </w:p>
    <w:p w14:paraId="30D9018F" w14:textId="5B00140D" w:rsidR="00802106" w:rsidRDefault="00FF76CE" w:rsidP="00802106">
      <w:r>
        <w:t>H</w:t>
      </w:r>
      <w:r w:rsidRPr="00DD08D9">
        <w:t xml:space="preserve">uman immunodeficiency virus </w:t>
      </w:r>
      <w:r>
        <w:t>1 (HIV</w:t>
      </w:r>
      <w:r>
        <w:noBreakHyphen/>
        <w:t xml:space="preserve">1) and </w:t>
      </w:r>
      <w:r w:rsidRPr="00DD08D9">
        <w:t xml:space="preserve">human immunodeficiency virus </w:t>
      </w:r>
      <w:r>
        <w:t xml:space="preserve">2 (HIV-2) are two distinct viruses. HIV-1 accounts for around 95% of all infections worldwide. </w:t>
      </w:r>
      <w:r w:rsidR="00802106">
        <w:t>As fostemsavir (</w:t>
      </w:r>
      <w:proofErr w:type="spellStart"/>
      <w:r w:rsidR="00802106">
        <w:t>Rukobia</w:t>
      </w:r>
      <w:proofErr w:type="spellEnd"/>
      <w:r w:rsidR="00802106">
        <w:t xml:space="preserve">) discussed in this submission, and its’ pharmacologically active metabolite </w:t>
      </w:r>
      <w:proofErr w:type="spellStart"/>
      <w:r w:rsidR="00802106">
        <w:t>temsavir</w:t>
      </w:r>
      <w:proofErr w:type="spellEnd"/>
      <w:r w:rsidR="00802106">
        <w:t xml:space="preserve"> is not active against HIV-2, the following focuses on subtypes of HIV</w:t>
      </w:r>
      <w:r w:rsidR="00802106">
        <w:noBreakHyphen/>
        <w:t>1.</w:t>
      </w:r>
    </w:p>
    <w:p w14:paraId="6F11DC96" w14:textId="770C3C8D" w:rsidR="00802106" w:rsidRDefault="00FF76CE" w:rsidP="00DD08D9">
      <w:r>
        <w:t>Diagnostic tests for HIV-1 infection include assays for HIV-1 r</w:t>
      </w:r>
      <w:r w:rsidRPr="00F27971">
        <w:t xml:space="preserve">ibonucleic acid </w:t>
      </w:r>
      <w:r>
        <w:t xml:space="preserve">(RNA), </w:t>
      </w:r>
      <w:r w:rsidRPr="00F27971">
        <w:t xml:space="preserve">capsid structural protein </w:t>
      </w:r>
      <w:r>
        <w:t xml:space="preserve">p24 antigen, and HIV-1 and HIV-2 antibodies. Initial laboratory testing </w:t>
      </w:r>
      <w:r>
        <w:lastRenderedPageBreak/>
        <w:t>should include assessment of HIV staging parameters (chiefly, CD4</w:t>
      </w:r>
      <w:r w:rsidRPr="00F27971">
        <w:rPr>
          <w:vertAlign w:val="superscript"/>
        </w:rPr>
        <w:t>+</w:t>
      </w:r>
      <w:r>
        <w:t xml:space="preserve"> T cell count, HIV RNA plasma concentrations) as well as a HIV genotype test for detection of drug </w:t>
      </w:r>
      <w:r w:rsidR="00802106">
        <w:t>resistance.</w:t>
      </w:r>
    </w:p>
    <w:p w14:paraId="576EA187" w14:textId="028E97EC" w:rsidR="00DD08D9" w:rsidRDefault="00802106" w:rsidP="00DD08D9">
      <w:r>
        <w:t>Currently</w:t>
      </w:r>
      <w:r w:rsidR="00F27971">
        <w:t>, there are no r</w:t>
      </w:r>
      <w:r w:rsidR="00DD08D9">
        <w:t>eliable figures for prevalence of multidrug resistant</w:t>
      </w:r>
      <w:r w:rsidR="0047095C">
        <w:t xml:space="preserve"> (MDR</w:t>
      </w:r>
      <w:r>
        <w:t xml:space="preserve">) </w:t>
      </w:r>
      <w:r w:rsidR="00DD08D9">
        <w:t>HIV-</w:t>
      </w:r>
      <w:r w:rsidR="00F27971">
        <w:t>1</w:t>
      </w:r>
      <w:r>
        <w:t xml:space="preserve"> infection</w:t>
      </w:r>
      <w:r w:rsidR="00DD08D9">
        <w:t xml:space="preserve">. The </w:t>
      </w:r>
      <w:r w:rsidR="00F27971">
        <w:t xml:space="preserve">sponsor </w:t>
      </w:r>
      <w:r w:rsidR="00DD08D9">
        <w:t xml:space="preserve">expanded on the concept of </w:t>
      </w:r>
      <w:r w:rsidR="00F27971">
        <w:t>‘</w:t>
      </w:r>
      <w:r w:rsidR="000A2C53">
        <w:t>h</w:t>
      </w:r>
      <w:r w:rsidR="00DD08D9">
        <w:t xml:space="preserve">eavily </w:t>
      </w:r>
      <w:r w:rsidR="000A2C53">
        <w:t>t</w:t>
      </w:r>
      <w:r w:rsidR="00DD08D9">
        <w:t xml:space="preserve">reatment </w:t>
      </w:r>
      <w:r w:rsidR="000A2C53">
        <w:t>e</w:t>
      </w:r>
      <w:r w:rsidR="00DD08D9">
        <w:t>xperienced</w:t>
      </w:r>
      <w:r>
        <w:t>’</w:t>
      </w:r>
      <w:r w:rsidR="00DD08D9">
        <w:t xml:space="preserve"> (HTE) patients instead. Rates for the HTE population vary by region and country; </w:t>
      </w:r>
      <w:r w:rsidR="00072B94">
        <w:t xml:space="preserve">the </w:t>
      </w:r>
      <w:r w:rsidR="00DD08D9">
        <w:t xml:space="preserve">estimated prevalence </w:t>
      </w:r>
      <w:r w:rsidR="00072B94">
        <w:t xml:space="preserve">ranges from </w:t>
      </w:r>
      <w:r w:rsidR="00DD08D9">
        <w:t>approximately &lt;</w:t>
      </w:r>
      <w:r w:rsidR="000A2C53">
        <w:t xml:space="preserve"> </w:t>
      </w:r>
      <w:r w:rsidR="00DD08D9">
        <w:t>1% to 5.1%</w:t>
      </w:r>
      <w:r w:rsidR="00554DE6">
        <w:t>.</w:t>
      </w:r>
      <w:r w:rsidR="00554DE6">
        <w:rPr>
          <w:rStyle w:val="FootnoteReference"/>
        </w:rPr>
        <w:footnoteReference w:id="2"/>
      </w:r>
      <w:r w:rsidR="00554DE6" w:rsidRPr="00554DE6">
        <w:rPr>
          <w:vertAlign w:val="superscript"/>
        </w:rPr>
        <w:t>,</w:t>
      </w:r>
      <w:r w:rsidR="00554DE6">
        <w:rPr>
          <w:rStyle w:val="FootnoteReference"/>
        </w:rPr>
        <w:footnoteReference w:id="3"/>
      </w:r>
    </w:p>
    <w:p w14:paraId="4A37AC55" w14:textId="3A43E391" w:rsidR="00DD08D9" w:rsidRDefault="00DD08D9" w:rsidP="00DD08D9">
      <w:r>
        <w:t xml:space="preserve">Fostemsavir is a methyl-phosphate prodrug of the active moiety </w:t>
      </w:r>
      <w:proofErr w:type="spellStart"/>
      <w:r>
        <w:t>temsavir</w:t>
      </w:r>
      <w:proofErr w:type="spellEnd"/>
      <w:r>
        <w:t xml:space="preserve">, which has been developed for the treatment of HIV-1 infected HTE patients with multi-drug resistance. </w:t>
      </w:r>
      <w:r w:rsidR="008035D2">
        <w:t>Fostemsavir</w:t>
      </w:r>
      <w:r>
        <w:t xml:space="preserve"> is a first</w:t>
      </w:r>
      <w:r w:rsidR="00072B94">
        <w:noBreakHyphen/>
      </w:r>
      <w:r>
        <w:t>in</w:t>
      </w:r>
      <w:r w:rsidR="00072B94">
        <w:noBreakHyphen/>
      </w:r>
      <w:r>
        <w:t>class drug</w:t>
      </w:r>
      <w:r w:rsidR="00072B94">
        <w:t xml:space="preserve"> for the treatment of HIV</w:t>
      </w:r>
      <w:r>
        <w:t xml:space="preserve">. It has a new mechanism of action. </w:t>
      </w:r>
      <w:r w:rsidR="00F27971">
        <w:t>It</w:t>
      </w:r>
      <w:r>
        <w:t xml:space="preserve"> binds directly to the </w:t>
      </w:r>
      <w:r w:rsidR="00F27971">
        <w:t>glycoprotein 120 (</w:t>
      </w:r>
      <w:r>
        <w:t>gp120</w:t>
      </w:r>
      <w:r w:rsidR="00F27971">
        <w:t>)</w:t>
      </w:r>
      <w:r>
        <w:t xml:space="preserve"> envelope</w:t>
      </w:r>
      <w:r w:rsidR="000D1C76">
        <w:t xml:space="preserve"> glycoprotein</w:t>
      </w:r>
      <w:r>
        <w:t xml:space="preserve"> on the surface of HIV. This prevent initial interaction between HIV and CD4</w:t>
      </w:r>
      <w:r w:rsidRPr="0047095C">
        <w:rPr>
          <w:vertAlign w:val="superscript"/>
        </w:rPr>
        <w:t>+</w:t>
      </w:r>
      <w:r>
        <w:t xml:space="preserve"> </w:t>
      </w:r>
      <w:r w:rsidR="0047095C">
        <w:t xml:space="preserve">T </w:t>
      </w:r>
      <w:r>
        <w:t>cell</w:t>
      </w:r>
      <w:r w:rsidR="0047095C">
        <w:t xml:space="preserve"> </w:t>
      </w:r>
      <w:r>
        <w:t>surface receptors, preventing entry into and infection of host T</w:t>
      </w:r>
      <w:r w:rsidR="0047095C">
        <w:t xml:space="preserve"> </w:t>
      </w:r>
      <w:r>
        <w:t>cells and other immune cells.</w:t>
      </w:r>
    </w:p>
    <w:p w14:paraId="72DFF4B8" w14:textId="6D481D07" w:rsidR="00DD08D9" w:rsidRDefault="00072B94" w:rsidP="00DD08D9">
      <w:r>
        <w:t xml:space="preserve">Heavily treatment experienced </w:t>
      </w:r>
      <w:r w:rsidR="00DD08D9">
        <w:t xml:space="preserve">patients are </w:t>
      </w:r>
      <w:r>
        <w:t xml:space="preserve">whose </w:t>
      </w:r>
      <w:r w:rsidR="00DD08D9">
        <w:t>current ARV regimen</w:t>
      </w:r>
      <w:r>
        <w:t xml:space="preserve"> if failing</w:t>
      </w:r>
      <w:r w:rsidR="00DD08D9">
        <w:t>, have MDR virus and have few remaining therapeutic options</w:t>
      </w:r>
      <w:r w:rsidR="0047095C">
        <w:t xml:space="preserve">. There are 1 to 2 </w:t>
      </w:r>
      <w:r w:rsidR="00DD08D9">
        <w:t>available ARV classes that can be combined as part of a viable regimen</w:t>
      </w:r>
      <w:r w:rsidR="0047095C">
        <w:t>, also known as salvage therapy</w:t>
      </w:r>
      <w:r w:rsidR="00DD08D9">
        <w:t>. These ARV classes must lack cross-resistance with other available products which is increasingly difficult. In the U</w:t>
      </w:r>
      <w:r w:rsidR="0047095C">
        <w:t>nited States of America (USA)</w:t>
      </w:r>
      <w:r w:rsidR="00DD08D9">
        <w:t xml:space="preserve">, the ARV drugs most frequently used for advanced salvage therapy are ritonavir-boosted darunavir, dolutegravir, etravirine, maraviroc, and enfuvirtide. </w:t>
      </w:r>
      <w:r w:rsidR="0047095C">
        <w:t>In addition,</w:t>
      </w:r>
      <w:r w:rsidR="00DD08D9">
        <w:t xml:space="preserve"> ibalizumab is a recently approved anti-CD4 monoclonal antibody with a targeted indication for use in adults with MDR HIV-1 infection for whom it is otherwise not possible to construct a suppressive anti</w:t>
      </w:r>
      <w:r>
        <w:noBreakHyphen/>
      </w:r>
      <w:r w:rsidR="00DD08D9">
        <w:t>viral regimen</w:t>
      </w:r>
      <w:r>
        <w:t>. I</w:t>
      </w:r>
      <w:r w:rsidR="0047095C">
        <w:t>balizumab</w:t>
      </w:r>
      <w:r w:rsidR="00DD08D9">
        <w:t xml:space="preserve"> </w:t>
      </w:r>
      <w:r>
        <w:t xml:space="preserve">however, </w:t>
      </w:r>
      <w:r w:rsidR="00DD08D9">
        <w:t>is not available in Australia.</w:t>
      </w:r>
    </w:p>
    <w:p w14:paraId="40911D13" w14:textId="2C5A1DA2" w:rsidR="00DD08D9" w:rsidRDefault="00DD08D9" w:rsidP="00DD08D9">
      <w:r>
        <w:t>While the primary goal of ARV therapy is always to achieve complete virologic control, if suppression is not achievable, which appears the case for the HTE population, additional treatment objectives exist including partial reduction of the viral load, preserving immunologic function, preventing clinical progression of disease, and minimi</w:t>
      </w:r>
      <w:r w:rsidR="0049044F">
        <w:t>s</w:t>
      </w:r>
      <w:r>
        <w:t>ing additional resistance to agents that are potentially important to future treatment options. A new ARV class for this group would provide another option.</w:t>
      </w:r>
    </w:p>
    <w:p w14:paraId="39CDEC7B" w14:textId="77777777" w:rsidR="008E7846" w:rsidRPr="003F31A2" w:rsidRDefault="00386150" w:rsidP="008E7846">
      <w:pPr>
        <w:pStyle w:val="Heading3"/>
      </w:pPr>
      <w:bookmarkStart w:id="16" w:name="_Toc314842485"/>
      <w:bookmarkStart w:id="17" w:name="_Toc247691504"/>
      <w:bookmarkStart w:id="18" w:name="_Toc83304605"/>
      <w:r>
        <w:t>Regulatory s</w:t>
      </w:r>
      <w:r w:rsidR="008E7846">
        <w:t>tatus</w:t>
      </w:r>
      <w:bookmarkEnd w:id="16"/>
      <w:bookmarkEnd w:id="17"/>
      <w:bookmarkEnd w:id="18"/>
    </w:p>
    <w:p w14:paraId="2BF6093F" w14:textId="5A9F99E4" w:rsidR="00940A89" w:rsidRDefault="00006FAB" w:rsidP="00940A89">
      <w:bookmarkStart w:id="19" w:name="_Toc247691505"/>
      <w:bookmarkStart w:id="20" w:name="_Toc314842486"/>
      <w:r w:rsidRPr="00006FAB">
        <w:t>This product is considered a new chemical entity for Australian regulatory purposes.</w:t>
      </w:r>
    </w:p>
    <w:p w14:paraId="0554EA59" w14:textId="580746A1" w:rsidR="00006FAB" w:rsidRDefault="00006FAB" w:rsidP="00006FAB">
      <w:r>
        <w:t xml:space="preserve">At the time the TGA considered this application, a similar application had been approved in </w:t>
      </w:r>
      <w:r w:rsidR="00055B29">
        <w:t xml:space="preserve">European Union (EU) on the 4 February 2021 and the USA on 2 July 2020. </w:t>
      </w:r>
      <w:r w:rsidR="00072B94">
        <w:t>The indications for these approvals are given in Table 1, below.</w:t>
      </w:r>
    </w:p>
    <w:p w14:paraId="463FA310" w14:textId="22F3F536" w:rsidR="00324E45" w:rsidRPr="00F0146F" w:rsidRDefault="00324E45" w:rsidP="00324E45">
      <w:pPr>
        <w:pStyle w:val="TableTitle"/>
      </w:pPr>
      <w:r>
        <w:t xml:space="preserve">Table </w:t>
      </w:r>
      <w:r w:rsidR="00C85163">
        <w:fldChar w:fldCharType="begin"/>
      </w:r>
      <w:r w:rsidR="00C85163">
        <w:instrText xml:space="preserve"> SEQ Table \* ARABIC </w:instrText>
      </w:r>
      <w:r w:rsidR="00C85163">
        <w:fldChar w:fldCharType="separate"/>
      </w:r>
      <w:r w:rsidR="00C0134B">
        <w:rPr>
          <w:noProof/>
        </w:rPr>
        <w:t>1</w:t>
      </w:r>
      <w:r w:rsidR="00C85163">
        <w:rPr>
          <w:noProof/>
        </w:rPr>
        <w:fldChar w:fldCharType="end"/>
      </w:r>
      <w:r>
        <w:t>: International regulatory status</w:t>
      </w:r>
    </w:p>
    <w:tbl>
      <w:tblPr>
        <w:tblStyle w:val="TableTGAblue"/>
        <w:tblW w:w="0" w:type="auto"/>
        <w:tblLook w:val="04A0" w:firstRow="1" w:lastRow="0" w:firstColumn="1" w:lastColumn="0" w:noHBand="0" w:noVBand="1"/>
      </w:tblPr>
      <w:tblGrid>
        <w:gridCol w:w="2442"/>
        <w:gridCol w:w="1907"/>
        <w:gridCol w:w="2009"/>
        <w:gridCol w:w="2136"/>
      </w:tblGrid>
      <w:tr w:rsidR="00146399" w14:paraId="1FCCAFA7" w14:textId="77777777" w:rsidTr="002351E1">
        <w:trPr>
          <w:cnfStyle w:val="100000000000" w:firstRow="1" w:lastRow="0" w:firstColumn="0" w:lastColumn="0" w:oddVBand="0" w:evenVBand="0" w:oddHBand="0" w:evenHBand="0" w:firstRowFirstColumn="0" w:firstRowLastColumn="0" w:lastRowFirstColumn="0" w:lastRowLastColumn="0"/>
        </w:trPr>
        <w:tc>
          <w:tcPr>
            <w:tcW w:w="2442" w:type="dxa"/>
            <w:tcBorders>
              <w:top w:val="single" w:sz="4" w:space="0" w:color="auto"/>
              <w:left w:val="single" w:sz="4" w:space="0" w:color="auto"/>
              <w:bottom w:val="single" w:sz="4" w:space="0" w:color="auto"/>
              <w:right w:val="single" w:sz="4" w:space="0" w:color="auto"/>
            </w:tcBorders>
          </w:tcPr>
          <w:p w14:paraId="125F748F" w14:textId="77777777" w:rsidR="00006FAB" w:rsidRDefault="00006FAB" w:rsidP="00006FAB">
            <w:pPr>
              <w:ind w:left="0" w:right="0"/>
            </w:pPr>
            <w:r>
              <w:t>Region</w:t>
            </w:r>
          </w:p>
        </w:tc>
        <w:tc>
          <w:tcPr>
            <w:tcW w:w="1907" w:type="dxa"/>
            <w:tcBorders>
              <w:top w:val="single" w:sz="4" w:space="0" w:color="auto"/>
              <w:left w:val="single" w:sz="4" w:space="0" w:color="auto"/>
              <w:bottom w:val="single" w:sz="4" w:space="0" w:color="auto"/>
              <w:right w:val="single" w:sz="4" w:space="0" w:color="auto"/>
            </w:tcBorders>
          </w:tcPr>
          <w:p w14:paraId="730739F5" w14:textId="77777777" w:rsidR="00006FAB" w:rsidRDefault="00006FAB" w:rsidP="00006FAB">
            <w:pPr>
              <w:ind w:left="0" w:right="0"/>
            </w:pPr>
            <w:r>
              <w:t>Submission date</w:t>
            </w:r>
          </w:p>
        </w:tc>
        <w:tc>
          <w:tcPr>
            <w:tcW w:w="2009" w:type="dxa"/>
            <w:tcBorders>
              <w:top w:val="single" w:sz="4" w:space="0" w:color="auto"/>
              <w:left w:val="single" w:sz="4" w:space="0" w:color="auto"/>
              <w:bottom w:val="single" w:sz="4" w:space="0" w:color="auto"/>
              <w:right w:val="single" w:sz="4" w:space="0" w:color="auto"/>
            </w:tcBorders>
          </w:tcPr>
          <w:p w14:paraId="77476C0E" w14:textId="77777777" w:rsidR="00006FAB" w:rsidRDefault="00006FAB" w:rsidP="00006FAB">
            <w:pPr>
              <w:ind w:left="0" w:right="0"/>
            </w:pPr>
            <w:r>
              <w:t>Status</w:t>
            </w:r>
          </w:p>
        </w:tc>
        <w:tc>
          <w:tcPr>
            <w:tcW w:w="2136" w:type="dxa"/>
            <w:tcBorders>
              <w:top w:val="single" w:sz="4" w:space="0" w:color="auto"/>
              <w:left w:val="single" w:sz="4" w:space="0" w:color="auto"/>
              <w:bottom w:val="single" w:sz="4" w:space="0" w:color="auto"/>
              <w:right w:val="single" w:sz="4" w:space="0" w:color="auto"/>
            </w:tcBorders>
          </w:tcPr>
          <w:p w14:paraId="0A093F43" w14:textId="77777777" w:rsidR="00006FAB" w:rsidRDefault="00006FAB" w:rsidP="00006FAB">
            <w:pPr>
              <w:ind w:left="0" w:right="0"/>
            </w:pPr>
            <w:r>
              <w:t>Approved indications</w:t>
            </w:r>
          </w:p>
        </w:tc>
      </w:tr>
      <w:tr w:rsidR="00146399" w14:paraId="720C11F7" w14:textId="77777777" w:rsidTr="002351E1">
        <w:tc>
          <w:tcPr>
            <w:tcW w:w="2442" w:type="dxa"/>
            <w:tcBorders>
              <w:top w:val="single" w:sz="4" w:space="0" w:color="auto"/>
            </w:tcBorders>
          </w:tcPr>
          <w:p w14:paraId="0A7B69FF" w14:textId="1D3F7FD1" w:rsidR="00006FAB" w:rsidRDefault="00146399" w:rsidP="00006FAB">
            <w:pPr>
              <w:ind w:left="0" w:right="0"/>
            </w:pPr>
            <w:r>
              <w:t>European Union</w:t>
            </w:r>
          </w:p>
        </w:tc>
        <w:tc>
          <w:tcPr>
            <w:tcW w:w="1907" w:type="dxa"/>
            <w:tcBorders>
              <w:top w:val="single" w:sz="4" w:space="0" w:color="auto"/>
            </w:tcBorders>
          </w:tcPr>
          <w:p w14:paraId="3B9E0453" w14:textId="1ED311F6" w:rsidR="00006FAB" w:rsidRDefault="00146399" w:rsidP="00006FAB">
            <w:pPr>
              <w:ind w:left="0" w:right="0"/>
            </w:pPr>
            <w:r>
              <w:t>10 January 2020</w:t>
            </w:r>
          </w:p>
        </w:tc>
        <w:tc>
          <w:tcPr>
            <w:tcW w:w="2009" w:type="dxa"/>
            <w:tcBorders>
              <w:top w:val="single" w:sz="4" w:space="0" w:color="auto"/>
            </w:tcBorders>
          </w:tcPr>
          <w:p w14:paraId="3818AFD5" w14:textId="1D9F5DF6" w:rsidR="00006FAB" w:rsidRDefault="00006FAB" w:rsidP="00006FAB">
            <w:pPr>
              <w:ind w:left="0" w:right="0"/>
            </w:pPr>
            <w:r w:rsidRPr="00006FAB">
              <w:t xml:space="preserve">Approved on </w:t>
            </w:r>
            <w:r w:rsidR="00146399">
              <w:t>4</w:t>
            </w:r>
            <w:r w:rsidR="00072B94">
              <w:t> </w:t>
            </w:r>
            <w:r w:rsidR="00146399">
              <w:t>February 2021</w:t>
            </w:r>
          </w:p>
        </w:tc>
        <w:tc>
          <w:tcPr>
            <w:tcW w:w="2136" w:type="dxa"/>
            <w:tcBorders>
              <w:top w:val="single" w:sz="4" w:space="0" w:color="auto"/>
            </w:tcBorders>
          </w:tcPr>
          <w:p w14:paraId="261E4364" w14:textId="05E47439" w:rsidR="00006FAB" w:rsidRPr="00146399" w:rsidRDefault="00146399" w:rsidP="00EC1D34">
            <w:pPr>
              <w:ind w:left="0"/>
              <w:rPr>
                <w:i/>
                <w:iCs/>
              </w:rPr>
            </w:pPr>
            <w:proofErr w:type="spellStart"/>
            <w:r w:rsidRPr="00146399">
              <w:rPr>
                <w:i/>
                <w:iCs/>
              </w:rPr>
              <w:t>Rukobia</w:t>
            </w:r>
            <w:proofErr w:type="spellEnd"/>
            <w:r w:rsidRPr="00146399">
              <w:rPr>
                <w:i/>
                <w:iCs/>
              </w:rPr>
              <w:t xml:space="preserve">, in combination with other antiretrovirals, is indicated for the treatment of </w:t>
            </w:r>
            <w:r w:rsidRPr="00146399">
              <w:rPr>
                <w:i/>
                <w:iCs/>
              </w:rPr>
              <w:lastRenderedPageBreak/>
              <w:t>adults with multidrug resistant HIV-1 infection for whom it is otherwise not possible to construct</w:t>
            </w:r>
            <w:r w:rsidR="00072B94">
              <w:rPr>
                <w:i/>
                <w:iCs/>
              </w:rPr>
              <w:t xml:space="preserve"> </w:t>
            </w:r>
            <w:r w:rsidRPr="00146399">
              <w:rPr>
                <w:i/>
                <w:iCs/>
              </w:rPr>
              <w:t>a suppressive anti-viral regimen.</w:t>
            </w:r>
          </w:p>
        </w:tc>
      </w:tr>
      <w:tr w:rsidR="00146399" w14:paraId="5C52CAFA" w14:textId="77777777" w:rsidTr="002351E1">
        <w:tc>
          <w:tcPr>
            <w:tcW w:w="2442" w:type="dxa"/>
          </w:tcPr>
          <w:p w14:paraId="541A2B3D" w14:textId="32D1E89A" w:rsidR="00006FAB" w:rsidRDefault="00146399" w:rsidP="00006FAB">
            <w:pPr>
              <w:ind w:left="0" w:right="0"/>
            </w:pPr>
            <w:r>
              <w:lastRenderedPageBreak/>
              <w:t>United States of America</w:t>
            </w:r>
          </w:p>
        </w:tc>
        <w:tc>
          <w:tcPr>
            <w:tcW w:w="1907" w:type="dxa"/>
          </w:tcPr>
          <w:p w14:paraId="0AF99C67" w14:textId="17CC4CF1" w:rsidR="00006FAB" w:rsidRDefault="00146399" w:rsidP="00006FAB">
            <w:pPr>
              <w:ind w:left="0" w:right="0"/>
            </w:pPr>
            <w:r>
              <w:t>4 December 2019</w:t>
            </w:r>
          </w:p>
        </w:tc>
        <w:tc>
          <w:tcPr>
            <w:tcW w:w="2009" w:type="dxa"/>
          </w:tcPr>
          <w:p w14:paraId="24F1DBB5" w14:textId="284B579F" w:rsidR="00006FAB" w:rsidRDefault="00146399" w:rsidP="00006FAB">
            <w:pPr>
              <w:ind w:left="0" w:right="0"/>
            </w:pPr>
            <w:r>
              <w:t>Approved on 2</w:t>
            </w:r>
            <w:r w:rsidR="00072B94">
              <w:t> </w:t>
            </w:r>
            <w:r>
              <w:t>July 2020</w:t>
            </w:r>
          </w:p>
        </w:tc>
        <w:tc>
          <w:tcPr>
            <w:tcW w:w="2136" w:type="dxa"/>
          </w:tcPr>
          <w:p w14:paraId="6D8682BF" w14:textId="540FB1ED" w:rsidR="00006FAB" w:rsidRPr="00146399" w:rsidRDefault="00146399" w:rsidP="00072B94">
            <w:pPr>
              <w:ind w:left="0"/>
              <w:rPr>
                <w:i/>
                <w:iCs/>
              </w:rPr>
            </w:pPr>
            <w:proofErr w:type="spellStart"/>
            <w:r w:rsidRPr="00146399">
              <w:rPr>
                <w:i/>
                <w:iCs/>
              </w:rPr>
              <w:t>Rukobia</w:t>
            </w:r>
            <w:proofErr w:type="spellEnd"/>
            <w:r w:rsidRPr="00146399">
              <w:rPr>
                <w:i/>
                <w:iCs/>
              </w:rPr>
              <w:t>, a human immunodeficiency virus type 1 (HIV</w:t>
            </w:r>
            <w:r w:rsidR="00072B94">
              <w:rPr>
                <w:i/>
                <w:iCs/>
              </w:rPr>
              <w:noBreakHyphen/>
            </w:r>
            <w:r w:rsidRPr="00146399">
              <w:rPr>
                <w:i/>
                <w:iCs/>
              </w:rPr>
              <w:t>1) gp120</w:t>
            </w:r>
            <w:r w:rsidR="00072B94">
              <w:rPr>
                <w:i/>
                <w:iCs/>
              </w:rPr>
              <w:noBreakHyphen/>
            </w:r>
            <w:r w:rsidRPr="00146399">
              <w:rPr>
                <w:i/>
                <w:iCs/>
              </w:rPr>
              <w:t>directed attachment inhibitor, in combination with other antiretroviral(s), is indicated for the treatment of HIV-1 infection in heavily treatment-experienced adults with multidrug-resistant HIV-1 infection failing their current antiretroviral regimen due to resistance, intolerance, or safety</w:t>
            </w:r>
            <w:r>
              <w:rPr>
                <w:i/>
                <w:iCs/>
              </w:rPr>
              <w:t xml:space="preserve"> </w:t>
            </w:r>
            <w:r w:rsidRPr="00146399">
              <w:rPr>
                <w:i/>
                <w:iCs/>
              </w:rPr>
              <w:t>considerations.</w:t>
            </w:r>
          </w:p>
        </w:tc>
      </w:tr>
    </w:tbl>
    <w:p w14:paraId="6F41C0BE" w14:textId="77777777" w:rsidR="008E7846" w:rsidRDefault="008E7846" w:rsidP="00940A89">
      <w:pPr>
        <w:pStyle w:val="Heading3"/>
      </w:pPr>
      <w:bookmarkStart w:id="21" w:name="_Toc83304606"/>
      <w:r>
        <w:t>Product Information</w:t>
      </w:r>
      <w:bookmarkEnd w:id="19"/>
      <w:bookmarkEnd w:id="20"/>
      <w:bookmarkEnd w:id="21"/>
    </w:p>
    <w:p w14:paraId="488C36C1" w14:textId="2D569CB7" w:rsidR="00940A89" w:rsidRDefault="006136D7" w:rsidP="00940A89">
      <w:bookmarkStart w:id="22" w:name="_Toc247691506"/>
      <w:bookmarkStart w:id="23" w:name="_Toc314842487"/>
      <w:r w:rsidRPr="00940A89">
        <w:t xml:space="preserve">The Product Information (PI) </w:t>
      </w:r>
      <w:r>
        <w:t xml:space="preserve">approved with the submission which is described in </w:t>
      </w:r>
      <w:r w:rsidRPr="00940A89">
        <w:t xml:space="preserve">this AusPAR can be found as Attachment 1. For the most recent </w:t>
      </w:r>
      <w:r>
        <w:t>PI,</w:t>
      </w:r>
      <w:r w:rsidRPr="00940A89">
        <w:t xml:space="preserve"> ple</w:t>
      </w:r>
      <w:r>
        <w:t>ase refer to the TGA website</w:t>
      </w:r>
      <w:r w:rsidRPr="00441C3F">
        <w:t xml:space="preserve"> at </w:t>
      </w:r>
      <w:r w:rsidR="00441C3F" w:rsidRPr="00441C3F">
        <w:t>&lt;</w:t>
      </w:r>
      <w:hyperlink r:id="rId19" w:history="1">
        <w:r w:rsidR="00441C3F" w:rsidRPr="00441C3F">
          <w:rPr>
            <w:rStyle w:val="Hyperlink"/>
          </w:rPr>
          <w:t>https://www.tga.gov.au/product-information-pi</w:t>
        </w:r>
      </w:hyperlink>
      <w:r w:rsidR="00441C3F">
        <w:t>&gt;</w:t>
      </w:r>
      <w:r w:rsidR="00940A89" w:rsidRPr="00940A89">
        <w:t>.</w:t>
      </w:r>
    </w:p>
    <w:p w14:paraId="6F6566C3" w14:textId="7444D831" w:rsidR="00500337" w:rsidRDefault="00500337" w:rsidP="00500337">
      <w:pPr>
        <w:pStyle w:val="Heading2"/>
      </w:pPr>
      <w:bookmarkStart w:id="24" w:name="_Toc504480011"/>
      <w:bookmarkStart w:id="25" w:name="_Toc83304607"/>
      <w:r>
        <w:t>II. Registration timeline</w:t>
      </w:r>
      <w:bookmarkEnd w:id="24"/>
      <w:bookmarkEnd w:id="25"/>
    </w:p>
    <w:p w14:paraId="202426D3" w14:textId="77777777" w:rsidR="00500337" w:rsidRDefault="00500337" w:rsidP="00500337">
      <w:r>
        <w:t xml:space="preserve">The following table captures the key steps and dates for this </w:t>
      </w:r>
      <w:proofErr w:type="gramStart"/>
      <w:r>
        <w:t>application</w:t>
      </w:r>
      <w:proofErr w:type="gramEnd"/>
      <w:r>
        <w:t xml:space="preserve"> and which are detailed and discussed in this AusPAR.</w:t>
      </w:r>
    </w:p>
    <w:p w14:paraId="448BE984" w14:textId="570D051E" w:rsidR="00500337" w:rsidRPr="00377BD4" w:rsidRDefault="00055B29" w:rsidP="00055B29">
      <w:pPr>
        <w:pStyle w:val="TableTitle"/>
      </w:pPr>
      <w:r w:rsidRPr="00055B29">
        <w:lastRenderedPageBreak/>
        <w:t xml:space="preserve">Table </w:t>
      </w:r>
      <w:r w:rsidR="00C85163">
        <w:fldChar w:fldCharType="begin"/>
      </w:r>
      <w:r w:rsidR="00C85163">
        <w:instrText xml:space="preserve"> SEQ Table \* ARABIC </w:instrText>
      </w:r>
      <w:r w:rsidR="00C85163">
        <w:fldChar w:fldCharType="separate"/>
      </w:r>
      <w:r w:rsidR="00C0134B">
        <w:rPr>
          <w:noProof/>
        </w:rPr>
        <w:t>2</w:t>
      </w:r>
      <w:r w:rsidR="00C85163">
        <w:rPr>
          <w:noProof/>
        </w:rPr>
        <w:fldChar w:fldCharType="end"/>
      </w:r>
      <w:r>
        <w:t xml:space="preserve">: </w:t>
      </w:r>
      <w:r w:rsidR="006A58A8" w:rsidRPr="006A58A8">
        <w:t>Timeline for Submission PM-20</w:t>
      </w:r>
      <w:r w:rsidR="00324E45">
        <w:t>2</w:t>
      </w:r>
      <w:r>
        <w:t>0</w:t>
      </w:r>
      <w:r w:rsidR="006A58A8" w:rsidRPr="006A58A8">
        <w:t>-</w:t>
      </w:r>
      <w:r>
        <w:t>028</w:t>
      </w:r>
      <w:r w:rsidR="000D1C76">
        <w:t>98</w:t>
      </w:r>
      <w:r w:rsidR="006A58A8" w:rsidRPr="006A58A8">
        <w:t>-1-</w:t>
      </w:r>
      <w:r w:rsidR="000D1C76">
        <w:t>2</w:t>
      </w:r>
    </w:p>
    <w:tbl>
      <w:tblPr>
        <w:tblStyle w:val="TableTGAblue"/>
        <w:tblW w:w="0" w:type="auto"/>
        <w:tblLook w:val="04A0" w:firstRow="1" w:lastRow="0" w:firstColumn="1" w:lastColumn="0" w:noHBand="0" w:noVBand="1"/>
      </w:tblPr>
      <w:tblGrid>
        <w:gridCol w:w="5949"/>
        <w:gridCol w:w="2545"/>
      </w:tblGrid>
      <w:tr w:rsidR="00500337" w14:paraId="015968D0" w14:textId="77777777" w:rsidTr="002C59D5">
        <w:trPr>
          <w:cnfStyle w:val="100000000000" w:firstRow="1" w:lastRow="0" w:firstColumn="0" w:lastColumn="0" w:oddVBand="0" w:evenVBand="0" w:oddHBand="0" w:evenHBand="0" w:firstRowFirstColumn="0" w:firstRowLastColumn="0" w:lastRowFirstColumn="0" w:lastRowLastColumn="0"/>
          <w:cantSplit/>
        </w:trPr>
        <w:tc>
          <w:tcPr>
            <w:tcW w:w="5949" w:type="dxa"/>
            <w:tcBorders>
              <w:top w:val="single" w:sz="4" w:space="0" w:color="auto"/>
              <w:left w:val="single" w:sz="4" w:space="0" w:color="auto"/>
              <w:bottom w:val="single" w:sz="4" w:space="0" w:color="auto"/>
              <w:right w:val="single" w:sz="4" w:space="0" w:color="auto"/>
            </w:tcBorders>
          </w:tcPr>
          <w:p w14:paraId="468A4B36" w14:textId="77777777" w:rsidR="00500337" w:rsidRDefault="00500337" w:rsidP="00500337">
            <w:pPr>
              <w:ind w:left="0" w:right="0"/>
            </w:pPr>
            <w:r>
              <w:t>Description</w:t>
            </w:r>
          </w:p>
        </w:tc>
        <w:tc>
          <w:tcPr>
            <w:tcW w:w="2545" w:type="dxa"/>
            <w:tcBorders>
              <w:top w:val="single" w:sz="4" w:space="0" w:color="auto"/>
              <w:left w:val="single" w:sz="4" w:space="0" w:color="auto"/>
              <w:bottom w:val="single" w:sz="4" w:space="0" w:color="auto"/>
              <w:right w:val="single" w:sz="4" w:space="0" w:color="auto"/>
            </w:tcBorders>
          </w:tcPr>
          <w:p w14:paraId="427443CA" w14:textId="77777777" w:rsidR="00500337" w:rsidRDefault="00500337" w:rsidP="00500337">
            <w:pPr>
              <w:ind w:left="0" w:right="0"/>
            </w:pPr>
            <w:r>
              <w:t>Date</w:t>
            </w:r>
          </w:p>
        </w:tc>
      </w:tr>
      <w:tr w:rsidR="00500337" w14:paraId="0FE809E3" w14:textId="77777777" w:rsidTr="002C59D5">
        <w:tc>
          <w:tcPr>
            <w:tcW w:w="5949" w:type="dxa"/>
            <w:tcBorders>
              <w:top w:val="single" w:sz="4" w:space="0" w:color="auto"/>
            </w:tcBorders>
          </w:tcPr>
          <w:p w14:paraId="5E16B187" w14:textId="77777777" w:rsidR="00500337" w:rsidRDefault="00500337" w:rsidP="00500337">
            <w:pPr>
              <w:ind w:left="0" w:right="0"/>
            </w:pPr>
            <w:r>
              <w:t>Submission dossier accepted and first round evaluation commenced</w:t>
            </w:r>
          </w:p>
        </w:tc>
        <w:tc>
          <w:tcPr>
            <w:tcW w:w="2545" w:type="dxa"/>
            <w:tcBorders>
              <w:top w:val="single" w:sz="4" w:space="0" w:color="auto"/>
            </w:tcBorders>
          </w:tcPr>
          <w:p w14:paraId="27A56A34" w14:textId="7D882C31" w:rsidR="00500337" w:rsidRDefault="000D1C76" w:rsidP="00500337">
            <w:pPr>
              <w:ind w:left="0" w:right="0"/>
            </w:pPr>
            <w:r>
              <w:t>31 July 2020</w:t>
            </w:r>
          </w:p>
        </w:tc>
      </w:tr>
      <w:tr w:rsidR="00500337" w14:paraId="3E547730" w14:textId="77777777" w:rsidTr="002C59D5">
        <w:tc>
          <w:tcPr>
            <w:tcW w:w="5949" w:type="dxa"/>
          </w:tcPr>
          <w:p w14:paraId="53CFF765" w14:textId="77777777" w:rsidR="00500337" w:rsidRDefault="00500337" w:rsidP="00500337">
            <w:pPr>
              <w:ind w:left="0" w:right="0"/>
            </w:pPr>
            <w:r>
              <w:t>First round evaluation completed</w:t>
            </w:r>
          </w:p>
        </w:tc>
        <w:tc>
          <w:tcPr>
            <w:tcW w:w="2545" w:type="dxa"/>
          </w:tcPr>
          <w:p w14:paraId="6C52C4CA" w14:textId="4C6854DF" w:rsidR="00500337" w:rsidRDefault="000D1C76" w:rsidP="00500337">
            <w:pPr>
              <w:ind w:left="0" w:right="0"/>
            </w:pPr>
            <w:r>
              <w:t>12 March 2021</w:t>
            </w:r>
          </w:p>
        </w:tc>
      </w:tr>
      <w:tr w:rsidR="00500337" w14:paraId="502F2EEE" w14:textId="77777777" w:rsidTr="002C59D5">
        <w:tc>
          <w:tcPr>
            <w:tcW w:w="5949" w:type="dxa"/>
          </w:tcPr>
          <w:p w14:paraId="496D4561" w14:textId="77777777" w:rsidR="00500337" w:rsidRDefault="00500337" w:rsidP="00500337">
            <w:pPr>
              <w:ind w:left="0" w:right="0"/>
            </w:pPr>
            <w:r>
              <w:t>Sponsor provides responses on questions raised in first round evaluation</w:t>
            </w:r>
          </w:p>
        </w:tc>
        <w:tc>
          <w:tcPr>
            <w:tcW w:w="2545" w:type="dxa"/>
          </w:tcPr>
          <w:p w14:paraId="000B6505" w14:textId="53F4B627" w:rsidR="00500337" w:rsidRDefault="000D1C76" w:rsidP="00500337">
            <w:pPr>
              <w:ind w:left="0" w:right="0"/>
            </w:pPr>
            <w:r>
              <w:t>12 May 2021</w:t>
            </w:r>
          </w:p>
        </w:tc>
      </w:tr>
      <w:tr w:rsidR="00500337" w14:paraId="7FA42E51" w14:textId="77777777" w:rsidTr="002C59D5">
        <w:tc>
          <w:tcPr>
            <w:tcW w:w="5949" w:type="dxa"/>
          </w:tcPr>
          <w:p w14:paraId="3D28508E" w14:textId="77777777" w:rsidR="00500337" w:rsidRDefault="00500337" w:rsidP="00500337">
            <w:pPr>
              <w:ind w:left="0" w:right="0"/>
            </w:pPr>
            <w:r>
              <w:t>Second round evaluation completed</w:t>
            </w:r>
          </w:p>
        </w:tc>
        <w:tc>
          <w:tcPr>
            <w:tcW w:w="2545" w:type="dxa"/>
          </w:tcPr>
          <w:p w14:paraId="4EA734DF" w14:textId="02C4FA1E" w:rsidR="00500337" w:rsidRDefault="000D1C76" w:rsidP="00500337">
            <w:pPr>
              <w:ind w:left="0" w:right="0"/>
            </w:pPr>
            <w:r>
              <w:t>18 May 2021</w:t>
            </w:r>
          </w:p>
        </w:tc>
      </w:tr>
      <w:tr w:rsidR="00500337" w14:paraId="68C01687" w14:textId="77777777" w:rsidTr="002C59D5">
        <w:tc>
          <w:tcPr>
            <w:tcW w:w="5949" w:type="dxa"/>
          </w:tcPr>
          <w:p w14:paraId="5891DB6D" w14:textId="416E90A5" w:rsidR="00500337" w:rsidRDefault="00324E45" w:rsidP="00500337">
            <w:pPr>
              <w:ind w:left="0" w:right="0"/>
            </w:pPr>
            <w:r>
              <w:t xml:space="preserve">Delegate’s Overall benefit-risk assessment </w:t>
            </w:r>
            <w:r w:rsidRPr="000D1C76">
              <w:rPr>
                <w:color w:val="auto"/>
              </w:rPr>
              <w:t>and request for Advisory Committee advice</w:t>
            </w:r>
          </w:p>
        </w:tc>
        <w:tc>
          <w:tcPr>
            <w:tcW w:w="2545" w:type="dxa"/>
          </w:tcPr>
          <w:p w14:paraId="6E9BC421" w14:textId="01BFD6E4" w:rsidR="00500337" w:rsidRDefault="000D1C76" w:rsidP="00500337">
            <w:pPr>
              <w:ind w:left="0" w:right="0"/>
            </w:pPr>
            <w:r>
              <w:t>4 May 2021</w:t>
            </w:r>
          </w:p>
        </w:tc>
      </w:tr>
      <w:tr w:rsidR="00500337" w14:paraId="71669BF5" w14:textId="77777777" w:rsidTr="002C59D5">
        <w:tc>
          <w:tcPr>
            <w:tcW w:w="5949" w:type="dxa"/>
          </w:tcPr>
          <w:p w14:paraId="2C2D32A7" w14:textId="77777777" w:rsidR="00500337" w:rsidRDefault="00500337" w:rsidP="00500337">
            <w:pPr>
              <w:ind w:left="0" w:right="0"/>
            </w:pPr>
            <w:r>
              <w:t>Sponsor’s pre-Advisory Committee response</w:t>
            </w:r>
          </w:p>
        </w:tc>
        <w:tc>
          <w:tcPr>
            <w:tcW w:w="2545" w:type="dxa"/>
          </w:tcPr>
          <w:p w14:paraId="5CFD02F0" w14:textId="2E4244BA" w:rsidR="00500337" w:rsidRDefault="000D1C76" w:rsidP="00500337">
            <w:pPr>
              <w:ind w:left="0" w:right="0"/>
            </w:pPr>
            <w:r>
              <w:t>17 May 2021</w:t>
            </w:r>
          </w:p>
        </w:tc>
      </w:tr>
      <w:tr w:rsidR="00500337" w14:paraId="7DEF388F" w14:textId="77777777" w:rsidTr="002C59D5">
        <w:tc>
          <w:tcPr>
            <w:tcW w:w="5949" w:type="dxa"/>
          </w:tcPr>
          <w:p w14:paraId="0879FFFE" w14:textId="77777777" w:rsidR="00500337" w:rsidRDefault="00500337" w:rsidP="00500337">
            <w:pPr>
              <w:ind w:left="0" w:right="0"/>
            </w:pPr>
            <w:r>
              <w:t>Advisory Committee meeting</w:t>
            </w:r>
          </w:p>
        </w:tc>
        <w:tc>
          <w:tcPr>
            <w:tcW w:w="2545" w:type="dxa"/>
          </w:tcPr>
          <w:p w14:paraId="4B5E5BA9" w14:textId="4683681B" w:rsidR="00500337" w:rsidRDefault="000D1C76" w:rsidP="00500337">
            <w:pPr>
              <w:ind w:left="0" w:right="0"/>
            </w:pPr>
            <w:r>
              <w:t>3 and 4 June 2021</w:t>
            </w:r>
          </w:p>
        </w:tc>
      </w:tr>
      <w:tr w:rsidR="00500337" w14:paraId="06C3CEB6" w14:textId="77777777" w:rsidTr="002C59D5">
        <w:tc>
          <w:tcPr>
            <w:tcW w:w="5949" w:type="dxa"/>
          </w:tcPr>
          <w:p w14:paraId="5D59C1CE" w14:textId="77777777" w:rsidR="00500337" w:rsidRDefault="00500337" w:rsidP="00500337">
            <w:pPr>
              <w:ind w:left="0" w:right="0"/>
            </w:pPr>
            <w:r>
              <w:t>Registration decision (Outcome)</w:t>
            </w:r>
          </w:p>
        </w:tc>
        <w:tc>
          <w:tcPr>
            <w:tcW w:w="2545" w:type="dxa"/>
          </w:tcPr>
          <w:p w14:paraId="576CDF6A" w14:textId="50BF8444" w:rsidR="00500337" w:rsidRDefault="000D1C76" w:rsidP="00500337">
            <w:pPr>
              <w:ind w:left="0" w:right="0"/>
            </w:pPr>
            <w:r>
              <w:t>9 July 2021</w:t>
            </w:r>
          </w:p>
        </w:tc>
      </w:tr>
      <w:tr w:rsidR="00500337" w14:paraId="6BF4B9E7" w14:textId="77777777" w:rsidTr="002C59D5">
        <w:tc>
          <w:tcPr>
            <w:tcW w:w="5949" w:type="dxa"/>
          </w:tcPr>
          <w:p w14:paraId="20DDD07F" w14:textId="77777777" w:rsidR="00500337" w:rsidRDefault="00500337" w:rsidP="00500337">
            <w:pPr>
              <w:ind w:left="0" w:right="0"/>
            </w:pPr>
            <w:r>
              <w:t xml:space="preserve">Completion of administrative activities and registration on </w:t>
            </w:r>
            <w:r w:rsidR="00006FAB">
              <w:t xml:space="preserve">the </w:t>
            </w:r>
            <w:r>
              <w:t>ARTG</w:t>
            </w:r>
          </w:p>
        </w:tc>
        <w:tc>
          <w:tcPr>
            <w:tcW w:w="2545" w:type="dxa"/>
          </w:tcPr>
          <w:p w14:paraId="78944A56" w14:textId="286D4352" w:rsidR="00500337" w:rsidRDefault="000D1C76" w:rsidP="00500337">
            <w:pPr>
              <w:ind w:left="0" w:right="0"/>
            </w:pPr>
            <w:r>
              <w:t>14 July 2021</w:t>
            </w:r>
          </w:p>
        </w:tc>
      </w:tr>
      <w:tr w:rsidR="00500337" w14:paraId="338D315D" w14:textId="77777777" w:rsidTr="002C59D5">
        <w:tc>
          <w:tcPr>
            <w:tcW w:w="5949" w:type="dxa"/>
          </w:tcPr>
          <w:p w14:paraId="268CCC14" w14:textId="77777777" w:rsidR="00500337" w:rsidRDefault="00500337" w:rsidP="00500337">
            <w:pPr>
              <w:ind w:left="0" w:right="0"/>
            </w:pPr>
            <w:r>
              <w:t>Number of working days from submission dossier acceptance to registration decision*</w:t>
            </w:r>
          </w:p>
        </w:tc>
        <w:tc>
          <w:tcPr>
            <w:tcW w:w="2545" w:type="dxa"/>
          </w:tcPr>
          <w:p w14:paraId="027DEA2B" w14:textId="70E4C614" w:rsidR="00500337" w:rsidRDefault="000D1C76" w:rsidP="00500337">
            <w:pPr>
              <w:ind w:left="0" w:right="0"/>
            </w:pPr>
            <w:r>
              <w:t>191</w:t>
            </w:r>
          </w:p>
        </w:tc>
      </w:tr>
    </w:tbl>
    <w:p w14:paraId="4AAB8A0A" w14:textId="77777777" w:rsidR="00500337" w:rsidRDefault="00500337" w:rsidP="00500337">
      <w:pPr>
        <w:pStyle w:val="TableDescription"/>
      </w:pPr>
      <w:r>
        <w:t>*</w:t>
      </w:r>
      <w:r w:rsidR="00BF3774" w:rsidRPr="00BF3774">
        <w:t xml:space="preserve">Statutory </w:t>
      </w:r>
      <w:r>
        <w:t>timeframe for standard applications is 2</w:t>
      </w:r>
      <w:r w:rsidR="00BF3774">
        <w:t>55</w:t>
      </w:r>
      <w:r>
        <w:t xml:space="preserve"> working days</w:t>
      </w:r>
    </w:p>
    <w:p w14:paraId="52F75576" w14:textId="77777777" w:rsidR="008E7846" w:rsidRPr="00792A32" w:rsidRDefault="00456765" w:rsidP="008E7846">
      <w:pPr>
        <w:pStyle w:val="Heading2"/>
      </w:pPr>
      <w:bookmarkStart w:id="26" w:name="_Toc196046504"/>
      <w:bookmarkStart w:id="27" w:name="_Toc247691527"/>
      <w:bookmarkStart w:id="28" w:name="_Toc314842510"/>
      <w:bookmarkStart w:id="29" w:name="_Toc163441390"/>
      <w:bookmarkStart w:id="30" w:name="_Toc83304608"/>
      <w:bookmarkEnd w:id="1"/>
      <w:bookmarkEnd w:id="22"/>
      <w:bookmarkEnd w:id="23"/>
      <w:r>
        <w:t>I</w:t>
      </w:r>
      <w:r w:rsidR="00DA64CB">
        <w:t>I</w:t>
      </w:r>
      <w:r w:rsidR="008E7846">
        <w:t xml:space="preserve">I. </w:t>
      </w:r>
      <w:r w:rsidR="00006FAB" w:rsidRPr="00006FAB">
        <w:t xml:space="preserve">Submission overview </w:t>
      </w:r>
      <w:r w:rsidR="008E7846" w:rsidRPr="00792A32">
        <w:t xml:space="preserve">and </w:t>
      </w:r>
      <w:r w:rsidR="008E7846">
        <w:t>r</w:t>
      </w:r>
      <w:r w:rsidR="008E7846" w:rsidRPr="00792A32">
        <w:t>isk/</w:t>
      </w:r>
      <w:r w:rsidR="008E7846">
        <w:t>b</w:t>
      </w:r>
      <w:r w:rsidR="008E7846" w:rsidRPr="00792A32">
        <w:t xml:space="preserve">enefit </w:t>
      </w:r>
      <w:r w:rsidR="008E7846">
        <w:t>a</w:t>
      </w:r>
      <w:r w:rsidR="008E7846" w:rsidRPr="00792A32">
        <w:t>ssessment</w:t>
      </w:r>
      <w:bookmarkEnd w:id="26"/>
      <w:bookmarkEnd w:id="27"/>
      <w:bookmarkEnd w:id="28"/>
      <w:bookmarkEnd w:id="30"/>
    </w:p>
    <w:p w14:paraId="75966BE0" w14:textId="77777777" w:rsidR="00006FAB" w:rsidRDefault="00006FAB" w:rsidP="00006FAB">
      <w:bookmarkStart w:id="31" w:name="_Toc247691528"/>
      <w:r>
        <w:t>The submission was summarised in the following Delegate’s overview and recommendations.</w:t>
      </w:r>
    </w:p>
    <w:p w14:paraId="0A928DEF" w14:textId="77777777" w:rsidR="008E7846" w:rsidRDefault="008E7846" w:rsidP="008E7846">
      <w:pPr>
        <w:pStyle w:val="Heading3"/>
      </w:pPr>
      <w:bookmarkStart w:id="32" w:name="_Toc314842511"/>
      <w:bookmarkStart w:id="33" w:name="_Toc83304609"/>
      <w:r>
        <w:t>Quality</w:t>
      </w:r>
      <w:bookmarkEnd w:id="31"/>
      <w:bookmarkEnd w:id="32"/>
      <w:bookmarkEnd w:id="33"/>
    </w:p>
    <w:p w14:paraId="27307194" w14:textId="31AF0C0E" w:rsidR="000D1C76" w:rsidRDefault="000D1C76" w:rsidP="000D1C76">
      <w:r>
        <w:t xml:space="preserve">Fostemsavir is a novel prodrug of the active moiety </w:t>
      </w:r>
      <w:proofErr w:type="spellStart"/>
      <w:r>
        <w:t>temsavir</w:t>
      </w:r>
      <w:proofErr w:type="spellEnd"/>
      <w:r>
        <w:t xml:space="preserve">, which binds directly to gp120 subunits within the envelope glycoprotein on the surface of HIV. The chemical structure of the drug substance and the active moiety </w:t>
      </w:r>
      <w:proofErr w:type="spellStart"/>
      <w:r>
        <w:t>temsavir</w:t>
      </w:r>
      <w:proofErr w:type="spellEnd"/>
      <w:r>
        <w:t xml:space="preserve"> are below in </w:t>
      </w:r>
      <w:r w:rsidR="005A19B0">
        <w:fldChar w:fldCharType="begin"/>
      </w:r>
      <w:r w:rsidR="005A19B0">
        <w:instrText xml:space="preserve"> REF _Ref77930775 \h </w:instrText>
      </w:r>
      <w:r w:rsidR="005A19B0">
        <w:fldChar w:fldCharType="separate"/>
      </w:r>
      <w:r w:rsidR="00C0134B" w:rsidRPr="000D1C76">
        <w:t xml:space="preserve">Figure </w:t>
      </w:r>
      <w:r w:rsidR="00C0134B">
        <w:rPr>
          <w:noProof/>
        </w:rPr>
        <w:t>1</w:t>
      </w:r>
      <w:r w:rsidR="005A19B0">
        <w:fldChar w:fldCharType="end"/>
      </w:r>
      <w:r w:rsidR="005A19B0">
        <w:t xml:space="preserve"> and </w:t>
      </w:r>
      <w:r w:rsidR="005A19B0">
        <w:fldChar w:fldCharType="begin"/>
      </w:r>
      <w:r w:rsidR="005A19B0">
        <w:instrText xml:space="preserve"> REF _Ref77930772 \h </w:instrText>
      </w:r>
      <w:r w:rsidR="005A19B0">
        <w:fldChar w:fldCharType="separate"/>
      </w:r>
      <w:r w:rsidR="00C0134B" w:rsidRPr="000D1C76">
        <w:t xml:space="preserve">Figure </w:t>
      </w:r>
      <w:r w:rsidR="00C0134B">
        <w:rPr>
          <w:noProof/>
        </w:rPr>
        <w:t>2</w:t>
      </w:r>
      <w:r w:rsidR="005A19B0">
        <w:fldChar w:fldCharType="end"/>
      </w:r>
      <w:r w:rsidR="005A19B0">
        <w:t>.</w:t>
      </w:r>
    </w:p>
    <w:p w14:paraId="08820373" w14:textId="2512DD04" w:rsidR="000D1C76" w:rsidRDefault="000D1C76" w:rsidP="000D1C76">
      <w:r>
        <w:t xml:space="preserve">The drug substance is in a salt form with trometamol (also known as tromethamine, or Tris), and is a salt form used in currently registered medicines. Fostemsavir tromethamine is the USA adopted name for the drug product, whereas the </w:t>
      </w:r>
      <w:r w:rsidRPr="000D1C76">
        <w:t xml:space="preserve">European Medicines Agency </w:t>
      </w:r>
      <w:r>
        <w:t xml:space="preserve">(EMA) refers to fostemsavir trometamol. The TGA considers fostemsavir trometamol to be the more appropriate terminology for the drug substance and aligns with the currently registered medicines (for example, </w:t>
      </w:r>
      <w:proofErr w:type="spellStart"/>
      <w:r>
        <w:t>fosfomycin</w:t>
      </w:r>
      <w:proofErr w:type="spellEnd"/>
      <w:r>
        <w:t xml:space="preserve"> trometamol and ketorolac trometamol).</w:t>
      </w:r>
    </w:p>
    <w:p w14:paraId="30FCB080" w14:textId="367A55DD" w:rsidR="000D1C76" w:rsidRDefault="000D1C76" w:rsidP="000D1C76">
      <w:r>
        <w:t>The drug product is an extended release tablet formulation and the recommended dose is 600 mg taken twice orally daily, with or without food. The proposed product is to be supplied in an opaque, bottle with child-resistant, with a pack size of 60 tablets.</w:t>
      </w:r>
    </w:p>
    <w:p w14:paraId="5AD691F7" w14:textId="4BBB0227" w:rsidR="000D1C76" w:rsidRDefault="000D1C76" w:rsidP="000D1C76">
      <w:pPr>
        <w:pStyle w:val="FigureTitle"/>
      </w:pPr>
      <w:bookmarkStart w:id="34" w:name="_Ref77930775"/>
      <w:r w:rsidRPr="000D1C76">
        <w:lastRenderedPageBreak/>
        <w:t xml:space="preserve">Figure </w:t>
      </w:r>
      <w:r w:rsidR="00C85163">
        <w:fldChar w:fldCharType="begin"/>
      </w:r>
      <w:r w:rsidR="00C85163">
        <w:instrText xml:space="preserve"> SEQ Figure \* ARABIC </w:instrText>
      </w:r>
      <w:r w:rsidR="00C85163">
        <w:fldChar w:fldCharType="separate"/>
      </w:r>
      <w:r w:rsidR="00C0134B">
        <w:rPr>
          <w:noProof/>
        </w:rPr>
        <w:t>1</w:t>
      </w:r>
      <w:r w:rsidR="00C85163">
        <w:rPr>
          <w:noProof/>
        </w:rPr>
        <w:fldChar w:fldCharType="end"/>
      </w:r>
      <w:bookmarkEnd w:id="34"/>
      <w:r w:rsidRPr="000D1C76">
        <w:t>:</w:t>
      </w:r>
      <w:r>
        <w:t xml:space="preserve"> Chemical structure for fostemsavir trometamol</w:t>
      </w:r>
    </w:p>
    <w:p w14:paraId="37E21138" w14:textId="69D9746C" w:rsidR="000D1C76" w:rsidRPr="000D1C76" w:rsidRDefault="000D1C76" w:rsidP="000D1C76">
      <w:r w:rsidRPr="004E36C1">
        <w:rPr>
          <w:rFonts w:asciiTheme="minorHAnsi" w:hAnsiTheme="minorHAnsi"/>
          <w:noProof/>
          <w:lang w:val="en-GB" w:eastAsia="en-GB"/>
        </w:rPr>
        <w:drawing>
          <wp:inline distT="0" distB="0" distL="0" distR="0" wp14:anchorId="5654311E" wp14:editId="1E296E05">
            <wp:extent cx="2190750" cy="2466975"/>
            <wp:effectExtent l="0" t="0" r="0" b="9525"/>
            <wp:docPr id="1" name="Picture 1" descr="Figure 1: Chemical structure for fostemsavir trometam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1: Chemical structure for fostemsavir trometamol"/>
                    <pic:cNvPicPr/>
                  </pic:nvPicPr>
                  <pic:blipFill>
                    <a:blip r:embed="rId20"/>
                    <a:stretch>
                      <a:fillRect/>
                    </a:stretch>
                  </pic:blipFill>
                  <pic:spPr>
                    <a:xfrm>
                      <a:off x="0" y="0"/>
                      <a:ext cx="2190750" cy="2466975"/>
                    </a:xfrm>
                    <a:prstGeom prst="rect">
                      <a:avLst/>
                    </a:prstGeom>
                  </pic:spPr>
                </pic:pic>
              </a:graphicData>
            </a:graphic>
          </wp:inline>
        </w:drawing>
      </w:r>
    </w:p>
    <w:p w14:paraId="261DC8A8" w14:textId="1C5331EE" w:rsidR="000D1C76" w:rsidRDefault="000D1C76" w:rsidP="000D1C76">
      <w:pPr>
        <w:pStyle w:val="FigureTitle"/>
      </w:pPr>
      <w:bookmarkStart w:id="35" w:name="_Ref77930772"/>
      <w:r w:rsidRPr="000D1C76">
        <w:t xml:space="preserve">Figure </w:t>
      </w:r>
      <w:r w:rsidR="00C85163">
        <w:fldChar w:fldCharType="begin"/>
      </w:r>
      <w:r w:rsidR="00C85163">
        <w:instrText xml:space="preserve"> SEQ Figure \* ARABIC</w:instrText>
      </w:r>
      <w:r w:rsidR="00C85163">
        <w:instrText xml:space="preserve"> </w:instrText>
      </w:r>
      <w:r w:rsidR="00C85163">
        <w:fldChar w:fldCharType="separate"/>
      </w:r>
      <w:r w:rsidR="00C0134B">
        <w:rPr>
          <w:noProof/>
        </w:rPr>
        <w:t>2</w:t>
      </w:r>
      <w:r w:rsidR="00C85163">
        <w:rPr>
          <w:noProof/>
        </w:rPr>
        <w:fldChar w:fldCharType="end"/>
      </w:r>
      <w:bookmarkEnd w:id="35"/>
      <w:r>
        <w:t xml:space="preserve">: Chemical structure for </w:t>
      </w:r>
      <w:proofErr w:type="spellStart"/>
      <w:r>
        <w:t>temsavir</w:t>
      </w:r>
      <w:proofErr w:type="spellEnd"/>
    </w:p>
    <w:p w14:paraId="44262A6F" w14:textId="34E6E1B9" w:rsidR="000D1C76" w:rsidRDefault="000D1C76" w:rsidP="002C59D5">
      <w:r>
        <w:rPr>
          <w:noProof/>
          <w:lang w:val="en-GB" w:eastAsia="en-GB"/>
        </w:rPr>
        <w:drawing>
          <wp:inline distT="0" distB="0" distL="0" distR="0" wp14:anchorId="0E7C1D08" wp14:editId="4A4408E7">
            <wp:extent cx="2149978" cy="2390775"/>
            <wp:effectExtent l="0" t="0" r="3175" b="0"/>
            <wp:docPr id="85" name="Picture 85" descr="Figure 2: Chemical structure for temsav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descr="Figure 2: Chemical structure for temsavir"/>
                    <pic:cNvPicPr/>
                  </pic:nvPicPr>
                  <pic:blipFill>
                    <a:blip r:embed="rId21"/>
                    <a:stretch>
                      <a:fillRect/>
                    </a:stretch>
                  </pic:blipFill>
                  <pic:spPr>
                    <a:xfrm>
                      <a:off x="0" y="0"/>
                      <a:ext cx="2158208" cy="2399927"/>
                    </a:xfrm>
                    <a:prstGeom prst="rect">
                      <a:avLst/>
                    </a:prstGeom>
                  </pic:spPr>
                </pic:pic>
              </a:graphicData>
            </a:graphic>
          </wp:inline>
        </w:drawing>
      </w:r>
    </w:p>
    <w:p w14:paraId="186E38AC" w14:textId="36BE0461" w:rsidR="005A19B0" w:rsidRPr="000D1C76" w:rsidRDefault="00333DAB" w:rsidP="005A19B0">
      <w:r>
        <w:t>In conclusion, t</w:t>
      </w:r>
      <w:r w:rsidR="005A19B0">
        <w:t>he quality evaluator recommended a</w:t>
      </w:r>
      <w:r w:rsidR="005A19B0" w:rsidRPr="005A19B0">
        <w:t>pproval for registration of the proposed product from a pharmaceutical chemistry perspective</w:t>
      </w:r>
      <w:r w:rsidR="005A19B0">
        <w:t>.</w:t>
      </w:r>
    </w:p>
    <w:p w14:paraId="0EDD1C99" w14:textId="77777777" w:rsidR="008E7846" w:rsidRDefault="008E7846" w:rsidP="008E7846">
      <w:pPr>
        <w:pStyle w:val="Heading3"/>
      </w:pPr>
      <w:bookmarkStart w:id="36" w:name="_Toc314842512"/>
      <w:bookmarkStart w:id="37" w:name="_Toc83304610"/>
      <w:r>
        <w:t>Nonclinical</w:t>
      </w:r>
      <w:bookmarkEnd w:id="36"/>
      <w:bookmarkEnd w:id="37"/>
    </w:p>
    <w:p w14:paraId="121F0AE8" w14:textId="46BF5B2C" w:rsidR="00F5673E" w:rsidRDefault="00F5673E" w:rsidP="00F5673E">
      <w:r>
        <w:t xml:space="preserve">The submitted nonclinical dossier was in accordance with the relevant </w:t>
      </w:r>
      <w:r w:rsidR="00326B3E" w:rsidRPr="00326B3E">
        <w:t>International Council for Harmonisation of Technical Requirements for Pharmaceuticals for Human Use</w:t>
      </w:r>
      <w:r w:rsidR="00326B3E">
        <w:t xml:space="preserve"> (</w:t>
      </w:r>
      <w:r>
        <w:t>ICH</w:t>
      </w:r>
      <w:r w:rsidR="00326B3E">
        <w:t>)</w:t>
      </w:r>
      <w:r>
        <w:t xml:space="preserve"> guideline for the nonclinical assessment of pharmaceuticals</w:t>
      </w:r>
      <w:r w:rsidR="00326B3E">
        <w:t>.</w:t>
      </w:r>
      <w:r w:rsidR="00326B3E">
        <w:rPr>
          <w:rStyle w:val="FootnoteReference"/>
        </w:rPr>
        <w:footnoteReference w:id="4"/>
      </w:r>
      <w:r w:rsidR="00326B3E">
        <w:t xml:space="preserve"> </w:t>
      </w:r>
      <w:r>
        <w:t>The overall quality of the dossier was reasonable with all pivotal safety studies conducted under G</w:t>
      </w:r>
      <w:r w:rsidRPr="00F5673E">
        <w:t xml:space="preserve">ood </w:t>
      </w:r>
      <w:r>
        <w:t>L</w:t>
      </w:r>
      <w:r w:rsidRPr="00F5673E">
        <w:t xml:space="preserve">aboratory </w:t>
      </w:r>
      <w:r>
        <w:t>P</w:t>
      </w:r>
      <w:r w:rsidRPr="00F5673E">
        <w:t>ractice</w:t>
      </w:r>
      <w:r>
        <w:t xml:space="preserve"> conditions.</w:t>
      </w:r>
    </w:p>
    <w:p w14:paraId="4BF22F69" w14:textId="73BF5DFB" w:rsidR="00F5673E" w:rsidRDefault="00F5673E" w:rsidP="00F5673E">
      <w:r>
        <w:t>Fostemsavir has minimal antiviral activity</w:t>
      </w:r>
      <w:r w:rsidR="00326B3E">
        <w:t xml:space="preserve"> </w:t>
      </w:r>
      <w:r>
        <w:t xml:space="preserve">and is cleaved to </w:t>
      </w:r>
      <w:proofErr w:type="spellStart"/>
      <w:r>
        <w:t>temsavir</w:t>
      </w:r>
      <w:proofErr w:type="spellEnd"/>
      <w:r>
        <w:t xml:space="preserve"> by alkaline phosphatase in the intestinal epithelia. Due to fostemsavir’s very limited pharmacological activity (</w:t>
      </w:r>
      <w:proofErr w:type="spellStart"/>
      <w:r>
        <w:t>temsavir</w:t>
      </w:r>
      <w:proofErr w:type="spellEnd"/>
      <w:r>
        <w:t xml:space="preserve"> has ≥ 700 times more potency than fostemsavir), almost </w:t>
      </w:r>
      <w:proofErr w:type="gramStart"/>
      <w:r>
        <w:t>all of</w:t>
      </w:r>
      <w:proofErr w:type="gramEnd"/>
      <w:r>
        <w:t xml:space="preserve"> the nonclinical pharmacodynamics data used the active moiety </w:t>
      </w:r>
      <w:proofErr w:type="spellStart"/>
      <w:r>
        <w:t>temsavir</w:t>
      </w:r>
      <w:proofErr w:type="spellEnd"/>
      <w:r>
        <w:t xml:space="preserve">. </w:t>
      </w:r>
      <w:proofErr w:type="spellStart"/>
      <w:r>
        <w:t>Temsavir</w:t>
      </w:r>
      <w:proofErr w:type="spellEnd"/>
      <w:r>
        <w:t xml:space="preserve"> did not have activity against reverse transcriptase, </w:t>
      </w:r>
      <w:proofErr w:type="gramStart"/>
      <w:r>
        <w:t>protease</w:t>
      </w:r>
      <w:proofErr w:type="gramEnd"/>
      <w:r>
        <w:t xml:space="preserve"> and integrase, showing specificity for the glycoprotein gp160 complex. Many laboratory virus strains (</w:t>
      </w:r>
      <w:r w:rsidRPr="00F5673E">
        <w:t xml:space="preserve">C-X-C </w:t>
      </w:r>
      <w:r>
        <w:t>m</w:t>
      </w:r>
      <w:r w:rsidRPr="00F5673E">
        <w:t xml:space="preserve">otif </w:t>
      </w:r>
      <w:r>
        <w:t>c</w:t>
      </w:r>
      <w:r w:rsidRPr="00F5673E">
        <w:t xml:space="preserve">hemokine </w:t>
      </w:r>
      <w:r>
        <w:lastRenderedPageBreak/>
        <w:t>r</w:t>
      </w:r>
      <w:r w:rsidRPr="00F5673E">
        <w:t>eceptor 4</w:t>
      </w:r>
      <w:r w:rsidR="00333DAB">
        <w:t xml:space="preserve"> </w:t>
      </w:r>
      <w:r w:rsidR="00613A7D">
        <w:t>(CXCR4)</w:t>
      </w:r>
      <w:r w:rsidRPr="00F5673E">
        <w:t>)</w:t>
      </w:r>
      <w:r>
        <w:t xml:space="preserve">-tropic, </w:t>
      </w:r>
      <w:r w:rsidRPr="00F5673E">
        <w:t>C-C chemokine receptor type</w:t>
      </w:r>
      <w:r>
        <w:t xml:space="preserve"> 5</w:t>
      </w:r>
      <w:r w:rsidR="00613A7D">
        <w:t xml:space="preserve"> (CCR5)</w:t>
      </w:r>
      <w:r>
        <w:t xml:space="preserve">-tropic, and dual tropic) showed susceptibility to </w:t>
      </w:r>
      <w:proofErr w:type="spellStart"/>
      <w:r>
        <w:t>temsavir</w:t>
      </w:r>
      <w:proofErr w:type="spellEnd"/>
      <w:r>
        <w:t xml:space="preserve">, but the RF </w:t>
      </w:r>
      <w:r w:rsidR="00613A7D">
        <w:t>strain</w:t>
      </w:r>
      <w:r>
        <w:t xml:space="preserve"> (CXCR4-tropic) was not susceptible. Not all clinical isolates (from different countries) examined were susceptible to </w:t>
      </w:r>
      <w:proofErr w:type="spellStart"/>
      <w:r>
        <w:t>temsavir</w:t>
      </w:r>
      <w:proofErr w:type="spellEnd"/>
      <w:r>
        <w:t xml:space="preserve">. Although most viruses are susceptible to </w:t>
      </w:r>
      <w:proofErr w:type="spellStart"/>
      <w:r>
        <w:t>temsavir</w:t>
      </w:r>
      <w:proofErr w:type="spellEnd"/>
      <w:r>
        <w:t xml:space="preserve">, these results suggest that there is a large range of intrinsic susceptibility to </w:t>
      </w:r>
      <w:proofErr w:type="spellStart"/>
      <w:r>
        <w:t>temsavir</w:t>
      </w:r>
      <w:proofErr w:type="spellEnd"/>
      <w:r>
        <w:t xml:space="preserve"> in baseline envelopes within the population.</w:t>
      </w:r>
    </w:p>
    <w:p w14:paraId="2511B3C6" w14:textId="7B30DA18" w:rsidR="00F5673E" w:rsidRDefault="00F5673E" w:rsidP="00F5673E">
      <w:r>
        <w:t xml:space="preserve">Substitutions in the HIV-1 envelope glycoprotein gp160 gene increased resistance to </w:t>
      </w:r>
      <w:proofErr w:type="spellStart"/>
      <w:r>
        <w:t>temsavir</w:t>
      </w:r>
      <w:proofErr w:type="spellEnd"/>
      <w:r>
        <w:t xml:space="preserve">. </w:t>
      </w:r>
      <w:proofErr w:type="spellStart"/>
      <w:r>
        <w:t>Temsavir</w:t>
      </w:r>
      <w:proofErr w:type="spellEnd"/>
      <w:r>
        <w:t xml:space="preserve"> did not demonstrate i</w:t>
      </w:r>
      <w:r w:rsidRPr="00613A7D">
        <w:rPr>
          <w:i/>
          <w:iCs/>
        </w:rPr>
        <w:t>n vitro</w:t>
      </w:r>
      <w:r>
        <w:t xml:space="preserve"> cross-resistance to other antiretroviral agents and was active against HIV-1 virus regardless of tropism (</w:t>
      </w:r>
      <w:r w:rsidR="00613A7D">
        <w:t>that is</w:t>
      </w:r>
      <w:r>
        <w:t xml:space="preserve"> CCR5-, CXCR4-, or dual-tropic virus). In summary, the pharmacology studies submitted provide support to the proposed clinical indication.</w:t>
      </w:r>
    </w:p>
    <w:p w14:paraId="332A8A99" w14:textId="6525301C" w:rsidR="00F5673E" w:rsidRDefault="00F5673E" w:rsidP="00F5673E">
      <w:r>
        <w:t xml:space="preserve">Based on a comprehensive screen against several receptors, ion channels and transporters, no off-target effects were identified for the proposed clinical use of fostemsavir. Fostemsavir and </w:t>
      </w:r>
      <w:proofErr w:type="spellStart"/>
      <w:r>
        <w:t>temsavir</w:t>
      </w:r>
      <w:proofErr w:type="spellEnd"/>
      <w:r>
        <w:t xml:space="preserve"> were not cytotoxic to various human cell lines and peripheral blood mononuclear cells.</w:t>
      </w:r>
    </w:p>
    <w:p w14:paraId="0213D6FE" w14:textId="5D18CA71" w:rsidR="00F5673E" w:rsidRDefault="00F5673E" w:rsidP="00F5673E">
      <w:r>
        <w:t xml:space="preserve">The examination of antiviral activity of </w:t>
      </w:r>
      <w:proofErr w:type="spellStart"/>
      <w:r>
        <w:t>temsavir</w:t>
      </w:r>
      <w:proofErr w:type="spellEnd"/>
      <w:r>
        <w:t xml:space="preserve">, in combination with other antiretroviral drugs, did not reveal any antagonism or cytotoxicity. </w:t>
      </w:r>
      <w:proofErr w:type="spellStart"/>
      <w:r>
        <w:t>Temsavir</w:t>
      </w:r>
      <w:proofErr w:type="spellEnd"/>
      <w:r>
        <w:t xml:space="preserve"> exhibited additive and synergistic activity when in combination with other antiretroviral drugs. The drugs tested for pharmacodynamic drug interactions with </w:t>
      </w:r>
      <w:proofErr w:type="spellStart"/>
      <w:r>
        <w:t>temsavir</w:t>
      </w:r>
      <w:proofErr w:type="spellEnd"/>
      <w:r>
        <w:t xml:space="preserve"> included nucleoside reverse transcriptase (NRTI), non-nucleoside reverse transcriptase (NNRTI), protease (PI), integrase strand transfer </w:t>
      </w:r>
      <w:r w:rsidR="00326B3E">
        <w:t xml:space="preserve">inhibitor </w:t>
      </w:r>
      <w:r>
        <w:t>(IN</w:t>
      </w:r>
      <w:r w:rsidR="007453BF">
        <w:t>ST</w:t>
      </w:r>
      <w:r>
        <w:t>I), and entry inhibitor classes.</w:t>
      </w:r>
    </w:p>
    <w:p w14:paraId="4E2B85B8" w14:textId="522FCDEA" w:rsidR="00F5673E" w:rsidRDefault="00F5673E" w:rsidP="00F5673E">
      <w:r>
        <w:t xml:space="preserve">Safety pharmacology studies assessed effects on the cardiovascular, </w:t>
      </w:r>
      <w:proofErr w:type="gramStart"/>
      <w:r>
        <w:t>respiratory</w:t>
      </w:r>
      <w:proofErr w:type="gramEnd"/>
      <w:r>
        <w:t xml:space="preserve"> and central nervous system</w:t>
      </w:r>
      <w:r w:rsidR="00613A7D">
        <w:t xml:space="preserve"> (CNS)</w:t>
      </w:r>
      <w:r>
        <w:t xml:space="preserve">. CNS and respiratory functions in rats were unaffected by treatment. </w:t>
      </w:r>
      <w:proofErr w:type="spellStart"/>
      <w:r>
        <w:t>Temsavir</w:t>
      </w:r>
      <w:proofErr w:type="spellEnd"/>
      <w:r>
        <w:t xml:space="preserve"> inhibited </w:t>
      </w:r>
      <w:proofErr w:type="spellStart"/>
      <w:r>
        <w:t>hERG</w:t>
      </w:r>
      <w:proofErr w:type="spellEnd"/>
      <w:r>
        <w:t xml:space="preserve"> K</w:t>
      </w:r>
      <w:r w:rsidRPr="00613A7D">
        <w:rPr>
          <w:vertAlign w:val="superscript"/>
        </w:rPr>
        <w:t>+</w:t>
      </w:r>
      <w:r>
        <w:t xml:space="preserve"> tail current</w:t>
      </w:r>
      <w:r w:rsidR="00333DAB">
        <w:t>s</w:t>
      </w:r>
      <w:r>
        <w:t xml:space="preserve"> with </w:t>
      </w:r>
      <w:proofErr w:type="gramStart"/>
      <w:r>
        <w:t>an</w:t>
      </w:r>
      <w:proofErr w:type="gramEnd"/>
      <w:r>
        <w:t xml:space="preserve"> </w:t>
      </w:r>
      <w:r w:rsidR="00333DAB">
        <w:t>half maximal inhibitory concentration (</w:t>
      </w:r>
      <w:r>
        <w:t>IC</w:t>
      </w:r>
      <w:r w:rsidRPr="00613A7D">
        <w:rPr>
          <w:vertAlign w:val="subscript"/>
        </w:rPr>
        <w:t>50</w:t>
      </w:r>
      <w:r w:rsidR="00333DAB">
        <w:t xml:space="preserve">) </w:t>
      </w:r>
      <w:r>
        <w:t xml:space="preserve">equivalent to </w:t>
      </w:r>
      <w:r w:rsidR="00613A7D">
        <w:t xml:space="preserve">about </w:t>
      </w:r>
      <w:r>
        <w:t xml:space="preserve">64 times the free </w:t>
      </w:r>
      <w:r w:rsidR="00613A7D">
        <w:t>c</w:t>
      </w:r>
      <w:r>
        <w:t xml:space="preserve">linical </w:t>
      </w:r>
      <w:r w:rsidR="00613A7D">
        <w:t>maximum</w:t>
      </w:r>
      <w:r w:rsidR="00333DAB">
        <w:t xml:space="preserve"> </w:t>
      </w:r>
      <w:r w:rsidR="00613A7D">
        <w:t>concentration (</w:t>
      </w:r>
      <w:proofErr w:type="spellStart"/>
      <w:r>
        <w:t>C</w:t>
      </w:r>
      <w:r w:rsidRPr="00613A7D">
        <w:rPr>
          <w:vertAlign w:val="subscript"/>
        </w:rPr>
        <w:t>max</w:t>
      </w:r>
      <w:proofErr w:type="spellEnd"/>
      <w:r w:rsidR="00613A7D">
        <w:t>)</w:t>
      </w:r>
      <w:r>
        <w:t xml:space="preserve"> </w:t>
      </w:r>
      <w:r w:rsidR="00333DAB">
        <w:t xml:space="preserve">in plasma </w:t>
      </w:r>
      <w:r>
        <w:t xml:space="preserve">of </w:t>
      </w:r>
      <w:proofErr w:type="spellStart"/>
      <w:r>
        <w:t>temsavir</w:t>
      </w:r>
      <w:proofErr w:type="spellEnd"/>
      <w:r>
        <w:t xml:space="preserve"> at the </w:t>
      </w:r>
      <w:r w:rsidR="00613A7D">
        <w:t>maximum recommended human dose (</w:t>
      </w:r>
      <w:r>
        <w:t>MRHD</w:t>
      </w:r>
      <w:r w:rsidR="00613A7D">
        <w:t>)</w:t>
      </w:r>
      <w:r>
        <w:t xml:space="preserve"> of fostemsavir. Tachycardia was observed in rats and dogs in the repeat dose toxicity studies at high exposure margins (</w:t>
      </w:r>
      <w:proofErr w:type="spellStart"/>
      <w:r>
        <w:t>temsavir</w:t>
      </w:r>
      <w:proofErr w:type="spellEnd"/>
      <w:r>
        <w:t xml:space="preserve"> ERAUC ≥</w:t>
      </w:r>
      <w:r w:rsidR="00333DAB">
        <w:t> </w:t>
      </w:r>
      <w:r>
        <w:t>25)</w:t>
      </w:r>
      <w:r w:rsidR="00333DAB">
        <w:t>;</w:t>
      </w:r>
      <w:r w:rsidR="00333DAB">
        <w:rPr>
          <w:rStyle w:val="FootnoteReference"/>
        </w:rPr>
        <w:footnoteReference w:id="5"/>
      </w:r>
      <w:r>
        <w:t xml:space="preserve"> whereas increases in </w:t>
      </w:r>
      <w:r w:rsidR="00333DAB">
        <w:t xml:space="preserve">the </w:t>
      </w:r>
      <w:r>
        <w:t>QT interval occurred at lower relative exposures in safety pharmacology studies in dogs</w:t>
      </w:r>
      <w:r w:rsidR="00613A7D">
        <w:t>.</w:t>
      </w:r>
      <w:r w:rsidR="00333DAB">
        <w:rPr>
          <w:rStyle w:val="FootnoteReference"/>
        </w:rPr>
        <w:footnoteReference w:id="6"/>
      </w:r>
      <w:r w:rsidR="00613A7D">
        <w:t xml:space="preserve"> </w:t>
      </w:r>
      <w:r>
        <w:t xml:space="preserve">Since QT prolongation was also observed in patients receiving fostemsavir (2400 mg twice daily), changes in heart rate and </w:t>
      </w:r>
      <w:r w:rsidR="00333DAB">
        <w:t>electrocardiogram</w:t>
      </w:r>
      <w:r>
        <w:t xml:space="preserve"> parameters may be present during clinical use.</w:t>
      </w:r>
    </w:p>
    <w:p w14:paraId="76B5CD91" w14:textId="0EFB7BD4" w:rsidR="00F5673E" w:rsidRDefault="00F5673E" w:rsidP="00F5673E">
      <w:r>
        <w:t xml:space="preserve">Fostemsavir is a prodrug. It is rapidly and extensively converted to </w:t>
      </w:r>
      <w:proofErr w:type="spellStart"/>
      <w:r>
        <w:t>temsavir</w:t>
      </w:r>
      <w:proofErr w:type="spellEnd"/>
      <w:r>
        <w:t xml:space="preserve">. </w:t>
      </w:r>
      <w:proofErr w:type="spellStart"/>
      <w:r>
        <w:t>Temsavir</w:t>
      </w:r>
      <w:proofErr w:type="spellEnd"/>
      <w:r>
        <w:t xml:space="preserve"> is the predominant substance in the systemic circulation, whereas only trace levels of the prodrug are detected in the circulation. Fostemsavir has high solubility, low permeability, and short elimination half-life, whereas </w:t>
      </w:r>
      <w:proofErr w:type="spellStart"/>
      <w:r>
        <w:t>temsavir</w:t>
      </w:r>
      <w:proofErr w:type="spellEnd"/>
      <w:r>
        <w:t xml:space="preserve"> has low solubility, high </w:t>
      </w:r>
      <w:proofErr w:type="gramStart"/>
      <w:r>
        <w:t>permeability</w:t>
      </w:r>
      <w:proofErr w:type="gramEnd"/>
      <w:r>
        <w:t xml:space="preserve"> and longer elimination half-life. No meaningful sex differences were observed in pharmacokinetic</w:t>
      </w:r>
      <w:r w:rsidR="00613A7D">
        <w:t xml:space="preserve"> (PK)</w:t>
      </w:r>
      <w:r>
        <w:t xml:space="preserve"> analysis. Bioavailability of </w:t>
      </w:r>
      <w:proofErr w:type="spellStart"/>
      <w:r>
        <w:t>temsavir</w:t>
      </w:r>
      <w:proofErr w:type="spellEnd"/>
      <w:r>
        <w:t xml:space="preserve"> was higher in animals (&gt;</w:t>
      </w:r>
      <w:r w:rsidR="00613A7D">
        <w:t xml:space="preserve"> </w:t>
      </w:r>
      <w:r>
        <w:t>80%) species than humans (&lt;</w:t>
      </w:r>
      <w:r w:rsidR="00613A7D">
        <w:t xml:space="preserve"> </w:t>
      </w:r>
      <w:r>
        <w:t xml:space="preserve">30%). The extent of protein binding was high in rabbits (98.6%), rats (95.9%), mice (87.7%) and humans (88.4%), and moderate in dogs (70.4%). Due to the differences in free fractions, animal to human exposure margins were determined based on the calculated unbound plasma concentrations. </w:t>
      </w:r>
      <w:proofErr w:type="spellStart"/>
      <w:r>
        <w:t>Temsavir</w:t>
      </w:r>
      <w:proofErr w:type="spellEnd"/>
      <w:r>
        <w:t xml:space="preserve"> had a large volume of distribution but had minimal penetration of the blood-brain barrier. Fostemsavir-related radioactivity was present in the placenta and milk in rats. The </w:t>
      </w:r>
      <w:r w:rsidR="00613A7D">
        <w:t>PK</w:t>
      </w:r>
      <w:r>
        <w:t xml:space="preserve"> profile in non-human primates was qualitatively similar to that of humans, except for the fact that metabolites BMS-646915 (M4; </w:t>
      </w:r>
      <w:proofErr w:type="spellStart"/>
      <w:r>
        <w:t>debenzolylated</w:t>
      </w:r>
      <w:proofErr w:type="spellEnd"/>
      <w:r>
        <w:t xml:space="preserve"> </w:t>
      </w:r>
      <w:proofErr w:type="spellStart"/>
      <w:r>
        <w:t>temsavir</w:t>
      </w:r>
      <w:proofErr w:type="spellEnd"/>
      <w:r>
        <w:t xml:space="preserve">, created by hydrolysis) and BMS-930644 (M28; N-dealkylated </w:t>
      </w:r>
      <w:proofErr w:type="spellStart"/>
      <w:r>
        <w:t>temsavir</w:t>
      </w:r>
      <w:proofErr w:type="spellEnd"/>
      <w:r>
        <w:t xml:space="preserve">, created via N-dealkylation)) were identified in plasma and </w:t>
      </w:r>
      <w:r>
        <w:lastRenderedPageBreak/>
        <w:t xml:space="preserve">accounted for approximately half the drug-related radioactivity in humans, but were only a minor component in the rat and dog. Nevertheless, exposure to these 2 metabolites was higher than their respective human exposure in the nonclinical toxicity studies. In all species teste and after administration of fostemsavir, </w:t>
      </w:r>
      <w:proofErr w:type="spellStart"/>
      <w:r>
        <w:t>temsavir</w:t>
      </w:r>
      <w:proofErr w:type="spellEnd"/>
      <w:r>
        <w:t xml:space="preserve"> was eliminated mainly via biotransformation (by CYP3A4)</w:t>
      </w:r>
      <w:r w:rsidR="00333DAB">
        <w:t>;</w:t>
      </w:r>
      <w:r w:rsidR="00FA5520">
        <w:rPr>
          <w:rStyle w:val="FootnoteReference"/>
        </w:rPr>
        <w:footnoteReference w:id="7"/>
      </w:r>
      <w:r>
        <w:t xml:space="preserve"> followed by elimination unchanged in urine, </w:t>
      </w:r>
      <w:proofErr w:type="gramStart"/>
      <w:r>
        <w:t>faeces</w:t>
      </w:r>
      <w:proofErr w:type="gramEnd"/>
      <w:r>
        <w:t xml:space="preserve"> and bile.</w:t>
      </w:r>
    </w:p>
    <w:p w14:paraId="7DE3D777" w14:textId="26ED6560" w:rsidR="00F5673E" w:rsidRDefault="00F5673E" w:rsidP="00F5673E">
      <w:r>
        <w:t>Fostemsavir has low acute oral toxicity in rats and dogs.</w:t>
      </w:r>
    </w:p>
    <w:p w14:paraId="28CDEF50" w14:textId="45D88444" w:rsidR="00F5673E" w:rsidRDefault="00F5673E" w:rsidP="00F5673E">
      <w:r>
        <w:t>Repeat-dose toxicity studies by the oral route were conducted in mice (4 weeks), rats (up to 26 weeks) and dogs (up to 39 weeks). Maximum exposures (</w:t>
      </w:r>
      <w:r w:rsidR="003044B7">
        <w:t>a</w:t>
      </w:r>
      <w:r w:rsidR="003044B7" w:rsidRPr="003044B7">
        <w:t>rea under the concentration</w:t>
      </w:r>
      <w:r w:rsidR="00333DAB">
        <w:noBreakHyphen/>
      </w:r>
      <w:r w:rsidR="003044B7" w:rsidRPr="003044B7">
        <w:t>time curve</w:t>
      </w:r>
      <w:r w:rsidR="003044B7">
        <w:t xml:space="preserve"> (AUC)</w:t>
      </w:r>
      <w:r>
        <w:t xml:space="preserve">) to </w:t>
      </w:r>
      <w:proofErr w:type="spellStart"/>
      <w:r>
        <w:t>temsavir</w:t>
      </w:r>
      <w:proofErr w:type="spellEnd"/>
      <w:r>
        <w:t xml:space="preserve"> following dosing with </w:t>
      </w:r>
      <w:r w:rsidR="00FF56D1">
        <w:t xml:space="preserve">fostemsavir </w:t>
      </w:r>
      <w:r>
        <w:t>were generally high multiples of the clinical AUC, reaching &gt;</w:t>
      </w:r>
      <w:r w:rsidR="003044B7">
        <w:t xml:space="preserve"> </w:t>
      </w:r>
      <w:r>
        <w:t>37 in the pivotal studies in rats and dogs. Target organs for toxicity included:</w:t>
      </w:r>
    </w:p>
    <w:p w14:paraId="7F6285EF" w14:textId="019791DC" w:rsidR="00F5673E" w:rsidRDefault="00F5673E" w:rsidP="003044B7">
      <w:pPr>
        <w:pStyle w:val="ListBullet"/>
      </w:pPr>
      <w:r>
        <w:t xml:space="preserve">The liver was the main target organ identified in dogs, with increased bilirubin, not fully reversible multifocal canalicular pigment deposits, as well as increases in </w:t>
      </w:r>
      <w:r w:rsidR="003044B7">
        <w:t>a</w:t>
      </w:r>
      <w:r w:rsidR="003044B7" w:rsidRPr="003044B7">
        <w:t>lkaline phosphatase</w:t>
      </w:r>
      <w:r w:rsidR="003044B7">
        <w:t xml:space="preserve"> (</w:t>
      </w:r>
      <w:r>
        <w:t>ALP</w:t>
      </w:r>
      <w:r w:rsidR="003044B7">
        <w:t>)</w:t>
      </w:r>
      <w:r>
        <w:t xml:space="preserve"> and </w:t>
      </w:r>
      <w:r w:rsidR="003044B7">
        <w:t>a</w:t>
      </w:r>
      <w:r w:rsidR="003044B7" w:rsidRPr="003044B7">
        <w:t xml:space="preserve">spartate </w:t>
      </w:r>
      <w:r w:rsidR="003044B7">
        <w:t>t</w:t>
      </w:r>
      <w:r w:rsidR="003044B7" w:rsidRPr="003044B7">
        <w:t>ransaminase</w:t>
      </w:r>
      <w:r w:rsidR="003044B7">
        <w:t xml:space="preserve"> (</w:t>
      </w:r>
      <w:r>
        <w:t>AST</w:t>
      </w:r>
      <w:r w:rsidR="003044B7">
        <w:t>)</w:t>
      </w:r>
      <w:r>
        <w:t>. Rats displayed increased liver weights and ALP levels.</w:t>
      </w:r>
    </w:p>
    <w:p w14:paraId="01B912AC" w14:textId="644EF2CE" w:rsidR="00F5673E" w:rsidRDefault="00F5673E" w:rsidP="003044B7">
      <w:pPr>
        <w:pStyle w:val="ListBullet"/>
      </w:pPr>
      <w:r>
        <w:t xml:space="preserve">The adrenal gland was the main target organ identified in rats, with increased organ weights, </w:t>
      </w:r>
      <w:proofErr w:type="spellStart"/>
      <w:r>
        <w:t>angiectasis</w:t>
      </w:r>
      <w:proofErr w:type="spellEnd"/>
      <w:r>
        <w:t xml:space="preserve"> and adrenal necrosis, and increased incidence (although not statistically significant) of pheochromocytoma in rats. These effects occurred mostly in females. Dogs displayed adrenal necrosis and inflammation.</w:t>
      </w:r>
    </w:p>
    <w:p w14:paraId="340DF2E1" w14:textId="2BC89EE6" w:rsidR="00F5673E" w:rsidRDefault="00F5673E" w:rsidP="003044B7">
      <w:pPr>
        <w:pStyle w:val="ListBullet"/>
      </w:pPr>
      <w:r>
        <w:t>Renal changes occurred only in rats (tubular dilatation multifocal, involving cortical tubules and increased kidney weights) and were partially (in females) to fully reversible (in males).</w:t>
      </w:r>
    </w:p>
    <w:p w14:paraId="162B6388" w14:textId="5D58B2DE" w:rsidR="00F5673E" w:rsidRDefault="00F5673E" w:rsidP="003044B7">
      <w:pPr>
        <w:pStyle w:val="ListBullet"/>
      </w:pPr>
      <w:r>
        <w:t>Effects in testicular tissues in rats (decreased sperm count/dysmorphology and degenerative seminiferous tubule epithelium; not fully reversible) and dogs (debris in epididymis and atrophy of seminiferous epithelium).</w:t>
      </w:r>
    </w:p>
    <w:p w14:paraId="19960EF5" w14:textId="294089F9" w:rsidR="00F5673E" w:rsidRDefault="00F5673E" w:rsidP="00F5673E">
      <w:proofErr w:type="spellStart"/>
      <w:r>
        <w:t>Temsavir</w:t>
      </w:r>
      <w:proofErr w:type="spellEnd"/>
      <w:r>
        <w:t xml:space="preserve"> and its prodrug fostemsavir were not mutagenic in the bacterial mutation assay or clastogenic </w:t>
      </w:r>
      <w:r w:rsidRPr="00F627EB">
        <w:rPr>
          <w:i/>
          <w:iCs/>
        </w:rPr>
        <w:t>in vivo</w:t>
      </w:r>
      <w:r>
        <w:t xml:space="preserve"> (in the rat micronucleus test). No treatment related increase in tumour incidence was observed in transgenic mice in a </w:t>
      </w:r>
      <w:r w:rsidR="00E00194">
        <w:t>six</w:t>
      </w:r>
      <w:r w:rsidR="00E0289A">
        <w:t xml:space="preserve"> </w:t>
      </w:r>
      <w:r>
        <w:t>month</w:t>
      </w:r>
      <w:r w:rsidR="00E0289A">
        <w:t>s</w:t>
      </w:r>
      <w:r>
        <w:t xml:space="preserve"> oral carcinogenicity study, or rats in </w:t>
      </w:r>
      <w:r w:rsidR="00E00194">
        <w:t>two</w:t>
      </w:r>
      <w:r w:rsidR="00E0289A">
        <w:t xml:space="preserve"> </w:t>
      </w:r>
      <w:r>
        <w:t>year</w:t>
      </w:r>
      <w:r w:rsidR="00E0289A">
        <w:t>s</w:t>
      </w:r>
      <w:r>
        <w:t xml:space="preserve"> oral carcinogenicity studies. Relative exposure to </w:t>
      </w:r>
      <w:proofErr w:type="spellStart"/>
      <w:r>
        <w:t>temsavir</w:t>
      </w:r>
      <w:proofErr w:type="spellEnd"/>
      <w:r>
        <w:t xml:space="preserve"> (based on AUC) at the </w:t>
      </w:r>
      <w:r w:rsidR="00E0289A" w:rsidRPr="00E0289A">
        <w:t xml:space="preserve">no observable </w:t>
      </w:r>
      <w:r w:rsidR="008437D3">
        <w:t xml:space="preserve">adverse </w:t>
      </w:r>
      <w:r w:rsidR="00E0289A" w:rsidRPr="00E0289A">
        <w:t xml:space="preserve">effect level </w:t>
      </w:r>
      <w:r w:rsidR="00E0289A">
        <w:t>(</w:t>
      </w:r>
      <w:r>
        <w:t>NO</w:t>
      </w:r>
      <w:r w:rsidR="008437D3">
        <w:t>A</w:t>
      </w:r>
      <w:r>
        <w:t>EL</w:t>
      </w:r>
      <w:r w:rsidR="00E0289A">
        <w:t>)</w:t>
      </w:r>
      <w:r>
        <w:t xml:space="preserve"> (maximum doses used) was </w:t>
      </w:r>
      <w:r w:rsidR="00E00194">
        <w:t>six</w:t>
      </w:r>
      <w:r>
        <w:t xml:space="preserve"> in male rats, 38 in female rats, 18 in male transgenic mice and 39 in female transgenic mice.</w:t>
      </w:r>
    </w:p>
    <w:p w14:paraId="2CC88979" w14:textId="1E56F7BA" w:rsidR="00F5673E" w:rsidRDefault="00F5673E" w:rsidP="00F5673E">
      <w:r>
        <w:t xml:space="preserve">Fostemsavir decreased sperm density values, and prostate (with seminal vesicles) weights, at </w:t>
      </w:r>
      <w:proofErr w:type="spellStart"/>
      <w:r>
        <w:t>temsavir</w:t>
      </w:r>
      <w:proofErr w:type="spellEnd"/>
      <w:r>
        <w:t xml:space="preserve"> ERAUC ≥</w:t>
      </w:r>
      <w:r w:rsidR="00E0289A">
        <w:t xml:space="preserve"> </w:t>
      </w:r>
      <w:r>
        <w:t xml:space="preserve">21. At </w:t>
      </w:r>
      <w:proofErr w:type="spellStart"/>
      <w:r>
        <w:t>temsavir</w:t>
      </w:r>
      <w:proofErr w:type="spellEnd"/>
      <w:r>
        <w:t xml:space="preserve"> ERAUC 33, fostemsavir increased abnormalities in sperm morphology and decreases in epididymal weights and sperm motility, although male reproductive performance and embryonic viability were unaffected. The NOAEL for reproductive effects was 600 mg/kg/day fostemsavir in female rats (</w:t>
      </w:r>
      <w:proofErr w:type="spellStart"/>
      <w:r>
        <w:t>temsavir</w:t>
      </w:r>
      <w:proofErr w:type="spellEnd"/>
      <w:r>
        <w:t xml:space="preserve"> ERAUC 49). At a </w:t>
      </w:r>
      <w:proofErr w:type="spellStart"/>
      <w:r>
        <w:t>maternotoxic</w:t>
      </w:r>
      <w:proofErr w:type="spellEnd"/>
      <w:r>
        <w:t xml:space="preserve"> dose of 1000 mg/kg/day (</w:t>
      </w:r>
      <w:proofErr w:type="spellStart"/>
      <w:r>
        <w:t>temsavir</w:t>
      </w:r>
      <w:proofErr w:type="spellEnd"/>
      <w:r>
        <w:t xml:space="preserve"> ERAUC 65), fostemsavir caused fetal malformations of the head and jaw, and reduced fetal body </w:t>
      </w:r>
      <w:r>
        <w:lastRenderedPageBreak/>
        <w:t>weights to pregnant rats. The NOAEL for developmental toxicity was 300 mg/kg/day (</w:t>
      </w:r>
      <w:proofErr w:type="spellStart"/>
      <w:r>
        <w:t>temsavir</w:t>
      </w:r>
      <w:proofErr w:type="spellEnd"/>
      <w:r>
        <w:t xml:space="preserve"> ERAUC 37). In rats, fostemsavir-related radioactivity crossed the placenta. In rabbits, fostemsavir’s NOAEL for maternal toxicity was 25 mg/kg/day (</w:t>
      </w:r>
      <w:proofErr w:type="spellStart"/>
      <w:r>
        <w:t>temsavir</w:t>
      </w:r>
      <w:proofErr w:type="spellEnd"/>
      <w:r>
        <w:t xml:space="preserve"> ERAUC 1.7), and for developmental toxicity was 50 mg/kg/day (</w:t>
      </w:r>
      <w:proofErr w:type="spellStart"/>
      <w:r>
        <w:t>temsavir</w:t>
      </w:r>
      <w:proofErr w:type="spellEnd"/>
      <w:r>
        <w:t xml:space="preserve"> ERAUC 2-3). No teratogenicity was observed at </w:t>
      </w:r>
      <w:proofErr w:type="spellStart"/>
      <w:r>
        <w:t>maternotoxic</w:t>
      </w:r>
      <w:proofErr w:type="spellEnd"/>
      <w:r>
        <w:t xml:space="preserve"> doses of 250 mg/kg/day (</w:t>
      </w:r>
      <w:proofErr w:type="spellStart"/>
      <w:r>
        <w:t>temsavir</w:t>
      </w:r>
      <w:proofErr w:type="spellEnd"/>
      <w:r>
        <w:t xml:space="preserve"> ERAUC 13). Although the sponsor has proposed Pregnancy Category B1</w:t>
      </w:r>
      <w:r w:rsidR="008437D3">
        <w:t>;</w:t>
      </w:r>
      <w:r w:rsidR="008437D3">
        <w:rPr>
          <w:rStyle w:val="FootnoteReference"/>
        </w:rPr>
        <w:footnoteReference w:id="8"/>
      </w:r>
      <w:r>
        <w:t xml:space="preserve"> Pregnancy Category B3 is recommended</w:t>
      </w:r>
      <w:r w:rsidR="008437D3">
        <w:t>;</w:t>
      </w:r>
      <w:r w:rsidR="008437D3">
        <w:rPr>
          <w:rStyle w:val="FootnoteReference"/>
        </w:rPr>
        <w:footnoteReference w:id="9"/>
      </w:r>
      <w:r>
        <w:t xml:space="preserve"> since fetal damage was observed (</w:t>
      </w:r>
      <w:r w:rsidR="0050534F">
        <w:t>for example,</w:t>
      </w:r>
      <w:r>
        <w:t xml:space="preserve"> fetal malformations of the head and jaw in rats and increased post-implantation losses/early resorptions in rabbits). In female rats treated with fostemsavir from early gestation through to weaning, reduced neonatal survival from </w:t>
      </w:r>
      <w:r w:rsidR="0050534F">
        <w:t>post-natal day (</w:t>
      </w:r>
      <w:r>
        <w:t>PND</w:t>
      </w:r>
      <w:r w:rsidR="0050534F">
        <w:t xml:space="preserve">) </w:t>
      </w:r>
      <w:r>
        <w:t>7 to PND</w:t>
      </w:r>
      <w:r w:rsidR="0050534F">
        <w:t xml:space="preserve"> </w:t>
      </w:r>
      <w:r>
        <w:t>14 was observed, in the absence of maternal toxicity, at 300</w:t>
      </w:r>
      <w:r w:rsidR="00554DE6">
        <w:t> </w:t>
      </w:r>
      <w:r>
        <w:t>mg/kg/day fostemsavir (</w:t>
      </w:r>
      <w:proofErr w:type="spellStart"/>
      <w:r>
        <w:t>temsavir</w:t>
      </w:r>
      <w:proofErr w:type="spellEnd"/>
      <w:r>
        <w:t xml:space="preserve"> ERAUC 35). The NOAEL for neonatal toxicity was 50</w:t>
      </w:r>
      <w:r w:rsidR="00554DE6">
        <w:t> </w:t>
      </w:r>
      <w:r>
        <w:t>mg/kg/day (</w:t>
      </w:r>
      <w:proofErr w:type="spellStart"/>
      <w:r>
        <w:t>temsavir</w:t>
      </w:r>
      <w:proofErr w:type="spellEnd"/>
      <w:r>
        <w:t xml:space="preserve"> ERAUC 9.4). </w:t>
      </w:r>
      <w:proofErr w:type="spellStart"/>
      <w:r>
        <w:t>Temsavir</w:t>
      </w:r>
      <w:proofErr w:type="spellEnd"/>
      <w:r>
        <w:t xml:space="preserve"> was excreted in milk in rats.</w:t>
      </w:r>
    </w:p>
    <w:p w14:paraId="0E741523" w14:textId="22FED027" w:rsidR="00A55BD0" w:rsidRDefault="00A55BD0" w:rsidP="00F5673E">
      <w:r w:rsidRPr="00A55BD0">
        <w:t xml:space="preserve">There are no objections on nonclinical grounds to the proposed registration of </w:t>
      </w:r>
      <w:proofErr w:type="spellStart"/>
      <w:r w:rsidRPr="00A55BD0">
        <w:t>R</w:t>
      </w:r>
      <w:r>
        <w:t>ukobia</w:t>
      </w:r>
      <w:proofErr w:type="spellEnd"/>
      <w:r>
        <w:t xml:space="preserve"> </w:t>
      </w:r>
      <w:r w:rsidRPr="00A55BD0">
        <w:t>for the proposed indication.</w:t>
      </w:r>
    </w:p>
    <w:p w14:paraId="3D571543" w14:textId="485B6887" w:rsidR="008E7846" w:rsidRDefault="008E7846" w:rsidP="008E7846">
      <w:pPr>
        <w:pStyle w:val="Heading3"/>
      </w:pPr>
      <w:bookmarkStart w:id="38" w:name="_Toc247691530"/>
      <w:bookmarkStart w:id="39" w:name="_Toc314842513"/>
      <w:bookmarkStart w:id="40" w:name="_Toc83304611"/>
      <w:r>
        <w:t>Clinical</w:t>
      </w:r>
      <w:bookmarkEnd w:id="38"/>
      <w:bookmarkEnd w:id="39"/>
      <w:bookmarkEnd w:id="40"/>
    </w:p>
    <w:p w14:paraId="46CCC034" w14:textId="5BDEA4C1" w:rsidR="00870FB0" w:rsidRDefault="00870FB0" w:rsidP="00870FB0">
      <w:pPr>
        <w:pStyle w:val="Heading4"/>
      </w:pPr>
      <w:bookmarkStart w:id="41" w:name="_Toc314842514"/>
      <w:r>
        <w:t>Pharmacology</w:t>
      </w:r>
    </w:p>
    <w:p w14:paraId="37F65DD6" w14:textId="40D26797" w:rsidR="00870FB0" w:rsidRDefault="00870FB0" w:rsidP="00870FB0">
      <w:pPr>
        <w:pStyle w:val="Heading5"/>
      </w:pPr>
      <w:r>
        <w:t>Pharmacokinetics</w:t>
      </w:r>
    </w:p>
    <w:p w14:paraId="6355B529" w14:textId="40F5E933" w:rsidR="00870FB0" w:rsidRDefault="00870FB0" w:rsidP="00870FB0">
      <w:r>
        <w:t xml:space="preserve">The </w:t>
      </w:r>
      <w:r w:rsidR="00E00194">
        <w:t>PK</w:t>
      </w:r>
      <w:r>
        <w:t xml:space="preserve"> of fostemsavir is focused on the active moiety, </w:t>
      </w:r>
      <w:proofErr w:type="spellStart"/>
      <w:r>
        <w:t>temsavir</w:t>
      </w:r>
      <w:proofErr w:type="spellEnd"/>
      <w:r>
        <w:t>.</w:t>
      </w:r>
    </w:p>
    <w:p w14:paraId="49ADEBC7" w14:textId="14109AB6" w:rsidR="00870FB0" w:rsidRDefault="00870FB0" w:rsidP="00870FB0">
      <w:pPr>
        <w:pStyle w:val="TableTitle"/>
      </w:pPr>
      <w:r w:rsidRPr="00870FB0">
        <w:lastRenderedPageBreak/>
        <w:t xml:space="preserve">Table </w:t>
      </w:r>
      <w:r w:rsidR="00C85163">
        <w:fldChar w:fldCharType="begin"/>
      </w:r>
      <w:r w:rsidR="00C85163">
        <w:instrText xml:space="preserve"> SEQ Table \* ARABIC </w:instrText>
      </w:r>
      <w:r w:rsidR="00C85163">
        <w:fldChar w:fldCharType="separate"/>
      </w:r>
      <w:r w:rsidR="00C0134B">
        <w:rPr>
          <w:noProof/>
        </w:rPr>
        <w:t>3</w:t>
      </w:r>
      <w:r w:rsidR="00C85163">
        <w:rPr>
          <w:noProof/>
        </w:rPr>
        <w:fldChar w:fldCharType="end"/>
      </w:r>
      <w:r>
        <w:t xml:space="preserve">: Conversion of fostemsavir to </w:t>
      </w:r>
      <w:proofErr w:type="spellStart"/>
      <w:r>
        <w:t>temsavir</w:t>
      </w:r>
      <w:proofErr w:type="spellEnd"/>
    </w:p>
    <w:p w14:paraId="66AD7C6D" w14:textId="05E5EED7" w:rsidR="00870FB0" w:rsidRDefault="00870FB0" w:rsidP="00870FB0">
      <w:r>
        <w:rPr>
          <w:rFonts w:ascii="N/¡˛" w:eastAsiaTheme="minorHAnsi" w:hAnsi="N/¡˛" w:cs="N/¡˛"/>
          <w:noProof/>
          <w:lang w:val="en-GB" w:eastAsia="en-GB"/>
        </w:rPr>
        <w:drawing>
          <wp:inline distT="0" distB="0" distL="0" distR="0" wp14:anchorId="053C9245" wp14:editId="5451F591">
            <wp:extent cx="4421875" cy="4583430"/>
            <wp:effectExtent l="0" t="0" r="0" b="7620"/>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ell phone&#10;&#10;Description automatically generated"/>
                    <pic:cNvPicPr/>
                  </pic:nvPicPr>
                  <pic:blipFill rotWithShape="1">
                    <a:blip r:embed="rId22">
                      <a:extLst>
                        <a:ext uri="{28A0092B-C50C-407E-A947-70E740481C1C}">
                          <a14:useLocalDpi xmlns:a14="http://schemas.microsoft.com/office/drawing/2010/main" val="0"/>
                        </a:ext>
                      </a:extLst>
                    </a:blip>
                    <a:srcRect r="1793"/>
                    <a:stretch/>
                  </pic:blipFill>
                  <pic:spPr bwMode="auto">
                    <a:xfrm>
                      <a:off x="0" y="0"/>
                      <a:ext cx="4426948" cy="4588688"/>
                    </a:xfrm>
                    <a:prstGeom prst="rect">
                      <a:avLst/>
                    </a:prstGeom>
                    <a:ln>
                      <a:noFill/>
                    </a:ln>
                    <a:extLst>
                      <a:ext uri="{53640926-AAD7-44D8-BBD7-CCE9431645EC}">
                        <a14:shadowObscured xmlns:a14="http://schemas.microsoft.com/office/drawing/2010/main"/>
                      </a:ext>
                    </a:extLst>
                  </pic:spPr>
                </pic:pic>
              </a:graphicData>
            </a:graphic>
          </wp:inline>
        </w:drawing>
      </w:r>
    </w:p>
    <w:p w14:paraId="610872AA" w14:textId="28035F97" w:rsidR="008437D3" w:rsidRDefault="008437D3" w:rsidP="002351E1">
      <w:pPr>
        <w:pStyle w:val="TableDescription"/>
      </w:pPr>
      <w:r>
        <w:t xml:space="preserve">FTR = fostemsavir; TMR = </w:t>
      </w:r>
      <w:proofErr w:type="spellStart"/>
      <w:r>
        <w:t>temsavir</w:t>
      </w:r>
      <w:proofErr w:type="spellEnd"/>
      <w:r>
        <w:t xml:space="preserve">; </w:t>
      </w:r>
      <w:proofErr w:type="spellStart"/>
      <w:r>
        <w:t>Cmax</w:t>
      </w:r>
      <w:proofErr w:type="spellEnd"/>
      <w:r>
        <w:t xml:space="preserve"> = maximum concentration; AUC = area under the concentration-time curve; C</w:t>
      </w:r>
      <w:r w:rsidRPr="002351E1">
        <w:rPr>
          <w:vertAlign w:val="subscript"/>
        </w:rPr>
        <w:t>tau</w:t>
      </w:r>
      <w:r>
        <w:t xml:space="preserve"> = </w:t>
      </w:r>
      <w:r w:rsidRPr="008437D3">
        <w:t>concentration in plasma at the end of a dosing interval</w:t>
      </w:r>
      <w:r>
        <w:t xml:space="preserve">; </w:t>
      </w:r>
      <w:proofErr w:type="spellStart"/>
      <w:r>
        <w:t>Tmax</w:t>
      </w:r>
      <w:proofErr w:type="spellEnd"/>
      <w:r>
        <w:t xml:space="preserve"> = time of maximum concentration; AUC</w:t>
      </w:r>
      <w:r w:rsidRPr="002351E1">
        <w:rPr>
          <w:vertAlign w:val="subscript"/>
        </w:rPr>
        <w:t>inf</w:t>
      </w:r>
      <w:r>
        <w:t xml:space="preserve"> = area under the concentration-time curve from time 0 to infinity; </w:t>
      </w:r>
      <w:proofErr w:type="spellStart"/>
      <w:r>
        <w:t>Vss</w:t>
      </w:r>
      <w:proofErr w:type="spellEnd"/>
      <w:r>
        <w:t xml:space="preserve"> = volume of distribution at steady state; HSA = human serum albumin; BCRP = breast cancer related protein; </w:t>
      </w:r>
      <w:proofErr w:type="spellStart"/>
      <w:r>
        <w:t>Pgp</w:t>
      </w:r>
      <w:proofErr w:type="spellEnd"/>
      <w:r>
        <w:t xml:space="preserve"> = P-glycoprotein; t1/2 = terminal half </w:t>
      </w:r>
      <w:proofErr w:type="spellStart"/>
      <w:r>
        <w:t>flice</w:t>
      </w:r>
      <w:proofErr w:type="spellEnd"/>
      <w:r>
        <w:t xml:space="preserve">; CL = </w:t>
      </w:r>
      <w:proofErr w:type="spellStart"/>
      <w:r>
        <w:t>cleareance</w:t>
      </w:r>
      <w:proofErr w:type="spellEnd"/>
      <w:r>
        <w:t>; CYP = cytochrome P450 system enzyme</w:t>
      </w:r>
    </w:p>
    <w:p w14:paraId="412649B4" w14:textId="601D47E8" w:rsidR="00870FB0" w:rsidRDefault="00870FB0" w:rsidP="00870FB0">
      <w:r>
        <w:t xml:space="preserve">Similar plasma </w:t>
      </w:r>
      <w:proofErr w:type="spellStart"/>
      <w:r w:rsidR="00D6194C">
        <w:t>temsavir</w:t>
      </w:r>
      <w:proofErr w:type="spellEnd"/>
      <w:r w:rsidR="00D6194C">
        <w:t>.</w:t>
      </w:r>
      <w:r>
        <w:t xml:space="preserve"> exposure between healthy and HIV-1 infected subjects supports extrapolation of data generated in healthy subjects, such as drug and food interactions and the </w:t>
      </w:r>
      <w:r w:rsidR="00D6194C">
        <w:t>t</w:t>
      </w:r>
      <w:r w:rsidR="00D6194C" w:rsidRPr="00D6194C">
        <w:t xml:space="preserve">horough QT/QTc </w:t>
      </w:r>
      <w:r>
        <w:t xml:space="preserve">study, to the HIV-1 infected population. Plasma </w:t>
      </w:r>
      <w:proofErr w:type="spellStart"/>
      <w:r w:rsidR="00D6194C">
        <w:t>temsavir</w:t>
      </w:r>
      <w:proofErr w:type="spellEnd"/>
      <w:r>
        <w:t xml:space="preserve"> PK parameter values following repeat</w:t>
      </w:r>
      <w:r w:rsidR="00D6194C">
        <w:t xml:space="preserve"> </w:t>
      </w:r>
      <w:r>
        <w:t xml:space="preserve">dose administration of </w:t>
      </w:r>
      <w:r w:rsidR="00D6194C">
        <w:t>fostemsavir</w:t>
      </w:r>
      <w:r>
        <w:t xml:space="preserve"> </w:t>
      </w:r>
      <w:r w:rsidR="00D6194C">
        <w:t>extended released</w:t>
      </w:r>
      <w:r>
        <w:t xml:space="preserve"> tablets are similar between healthy and HIV-1 infected subjects based on results of cross-study comparisons.</w:t>
      </w:r>
    </w:p>
    <w:p w14:paraId="5CCEEC7C" w14:textId="77777777" w:rsidR="000840B4" w:rsidRDefault="00870FB0" w:rsidP="00D6194C">
      <w:pPr>
        <w:pStyle w:val="Heading6"/>
      </w:pPr>
      <w:r>
        <w:t>Special Populations</w:t>
      </w:r>
    </w:p>
    <w:p w14:paraId="4518727E" w14:textId="4FBC62F6" w:rsidR="00870FB0" w:rsidRPr="0013161A" w:rsidRDefault="00870FB0" w:rsidP="002351E1">
      <w:pPr>
        <w:pStyle w:val="Heading7"/>
      </w:pPr>
      <w:r w:rsidRPr="002351E1">
        <w:rPr>
          <w:sz w:val="22"/>
        </w:rPr>
        <w:t>Elderly</w:t>
      </w:r>
    </w:p>
    <w:p w14:paraId="55ED1FEB" w14:textId="660D6BFC" w:rsidR="00870FB0" w:rsidRDefault="00870FB0" w:rsidP="00870FB0">
      <w:r>
        <w:t xml:space="preserve">Population pharmacokinetic analysis of </w:t>
      </w:r>
      <w:proofErr w:type="spellStart"/>
      <w:r>
        <w:t>temsavir</w:t>
      </w:r>
      <w:proofErr w:type="spellEnd"/>
      <w:r>
        <w:t xml:space="preserve"> using data in HIV-1 infected adults showed that there was no clinically relevant effect of age on </w:t>
      </w:r>
      <w:proofErr w:type="spellStart"/>
      <w:r>
        <w:t>temsavir</w:t>
      </w:r>
      <w:proofErr w:type="spellEnd"/>
      <w:r>
        <w:t xml:space="preserve"> exposure. P</w:t>
      </w:r>
      <w:r w:rsidR="00D6194C">
        <w:t>K</w:t>
      </w:r>
      <w:r>
        <w:t xml:space="preserve"> data for </w:t>
      </w:r>
      <w:proofErr w:type="spellStart"/>
      <w:r>
        <w:t>temsavir</w:t>
      </w:r>
      <w:proofErr w:type="spellEnd"/>
      <w:r>
        <w:t xml:space="preserve"> in subjects greater than 65 years old are limited. Elderly patients may be more susceptible to drug-induced QT interval prolongation.</w:t>
      </w:r>
    </w:p>
    <w:p w14:paraId="04EE538A" w14:textId="77777777" w:rsidR="00870FB0" w:rsidRPr="0013161A" w:rsidRDefault="00870FB0" w:rsidP="002351E1">
      <w:pPr>
        <w:pStyle w:val="Heading7"/>
      </w:pPr>
      <w:r w:rsidRPr="002351E1">
        <w:rPr>
          <w:sz w:val="22"/>
        </w:rPr>
        <w:t>Renal impairment</w:t>
      </w:r>
    </w:p>
    <w:p w14:paraId="46078E74" w14:textId="07ACE870" w:rsidR="00870FB0" w:rsidRDefault="00870FB0" w:rsidP="00870FB0">
      <w:r>
        <w:t>There was no clinically relevant effect of renal impairment on pharmacokinetic exposure parameters (</w:t>
      </w:r>
      <w:proofErr w:type="spellStart"/>
      <w:r>
        <w:t>C</w:t>
      </w:r>
      <w:r w:rsidRPr="00D6194C">
        <w:rPr>
          <w:vertAlign w:val="subscript"/>
        </w:rPr>
        <w:t>max</w:t>
      </w:r>
      <w:proofErr w:type="spellEnd"/>
      <w:r>
        <w:t xml:space="preserve"> and AUC) of </w:t>
      </w:r>
      <w:proofErr w:type="spellStart"/>
      <w:r>
        <w:t>temsavir</w:t>
      </w:r>
      <w:proofErr w:type="spellEnd"/>
      <w:r>
        <w:t xml:space="preserve"> (total and unbound).</w:t>
      </w:r>
    </w:p>
    <w:p w14:paraId="2AF0D042" w14:textId="77777777" w:rsidR="00870FB0" w:rsidRPr="0013161A" w:rsidRDefault="00870FB0" w:rsidP="002351E1">
      <w:pPr>
        <w:pStyle w:val="Heading7"/>
      </w:pPr>
      <w:r w:rsidRPr="002351E1">
        <w:rPr>
          <w:sz w:val="22"/>
        </w:rPr>
        <w:lastRenderedPageBreak/>
        <w:t>Hepatic impairment</w:t>
      </w:r>
    </w:p>
    <w:p w14:paraId="73723ED4" w14:textId="255D9F7B" w:rsidR="00870FB0" w:rsidRDefault="00870FB0" w:rsidP="00870FB0">
      <w:r>
        <w:t xml:space="preserve">In patients with mild to severe hepatic impairment, the increased exposure to both unbound and total </w:t>
      </w:r>
      <w:proofErr w:type="spellStart"/>
      <w:r>
        <w:t>C</w:t>
      </w:r>
      <w:r w:rsidRPr="00D6194C">
        <w:rPr>
          <w:vertAlign w:val="subscript"/>
        </w:rPr>
        <w:t>max</w:t>
      </w:r>
      <w:proofErr w:type="spellEnd"/>
      <w:r>
        <w:t xml:space="preserve"> and AUC was in the range of 1.2 to </w:t>
      </w:r>
      <w:proofErr w:type="gramStart"/>
      <w:r>
        <w:t>2.2</w:t>
      </w:r>
      <w:r w:rsidR="00D6194C">
        <w:t xml:space="preserve"> </w:t>
      </w:r>
      <w:r>
        <w:t>fold</w:t>
      </w:r>
      <w:proofErr w:type="gramEnd"/>
      <w:r>
        <w:t xml:space="preserve">. However, the upper bounds of the </w:t>
      </w:r>
      <w:r w:rsidR="00D6194C">
        <w:t xml:space="preserve">two </w:t>
      </w:r>
      <w:r>
        <w:t xml:space="preserve">sided 90% </w:t>
      </w:r>
      <w:r w:rsidR="00D6194C">
        <w:t>confidence interval (</w:t>
      </w:r>
      <w:r>
        <w:t>CI</w:t>
      </w:r>
      <w:r w:rsidR="00D6194C">
        <w:t>)</w:t>
      </w:r>
      <w:r>
        <w:t xml:space="preserve"> for the impact of hepatic impairment on plasma total and unbound </w:t>
      </w:r>
      <w:proofErr w:type="spellStart"/>
      <w:r>
        <w:t>temsavir</w:t>
      </w:r>
      <w:proofErr w:type="spellEnd"/>
      <w:r>
        <w:t xml:space="preserve"> </w:t>
      </w:r>
      <w:proofErr w:type="spellStart"/>
      <w:r>
        <w:t>C</w:t>
      </w:r>
      <w:r w:rsidRPr="00D6194C">
        <w:rPr>
          <w:vertAlign w:val="subscript"/>
        </w:rPr>
        <w:t>max</w:t>
      </w:r>
      <w:proofErr w:type="spellEnd"/>
      <w:r>
        <w:t xml:space="preserve"> are lower than the </w:t>
      </w:r>
      <w:proofErr w:type="spellStart"/>
      <w:r>
        <w:t>C</w:t>
      </w:r>
      <w:r w:rsidRPr="00D6194C">
        <w:rPr>
          <w:vertAlign w:val="subscript"/>
        </w:rPr>
        <w:t>max</w:t>
      </w:r>
      <w:proofErr w:type="spellEnd"/>
      <w:r>
        <w:t xml:space="preserve"> threshold of an approximate 4.2</w:t>
      </w:r>
      <w:r w:rsidR="00D6194C">
        <w:t xml:space="preserve"> </w:t>
      </w:r>
      <w:r>
        <w:t xml:space="preserve">fold increase (7500 ng/ml) established based on </w:t>
      </w:r>
      <w:proofErr w:type="spellStart"/>
      <w:r>
        <w:t>temsavir</w:t>
      </w:r>
      <w:proofErr w:type="spellEnd"/>
      <w:r>
        <w:t xml:space="preserve"> exposure</w:t>
      </w:r>
      <w:r w:rsidR="00D6194C">
        <w:t xml:space="preserve"> </w:t>
      </w:r>
      <w:r>
        <w:t>response.</w:t>
      </w:r>
    </w:p>
    <w:p w14:paraId="00E13678" w14:textId="77777777" w:rsidR="00870FB0" w:rsidRDefault="00870FB0" w:rsidP="00D6194C">
      <w:pPr>
        <w:pStyle w:val="Heading6"/>
      </w:pPr>
      <w:r>
        <w:t>Gender and Race</w:t>
      </w:r>
    </w:p>
    <w:p w14:paraId="5AF338FD" w14:textId="77777777" w:rsidR="00870FB0" w:rsidRDefault="00870FB0" w:rsidP="00870FB0">
      <w:r>
        <w:t xml:space="preserve">Population pharmacokinetic analyses indicated no clinically relevant effect of gender or race on the exposure of </w:t>
      </w:r>
      <w:proofErr w:type="spellStart"/>
      <w:r>
        <w:t>temsavir</w:t>
      </w:r>
      <w:proofErr w:type="spellEnd"/>
      <w:r>
        <w:t>. Of the 764 subjects included in the analysis, 216 (28%) were female.</w:t>
      </w:r>
    </w:p>
    <w:p w14:paraId="3FDE1FDF" w14:textId="77777777" w:rsidR="00870FB0" w:rsidRDefault="00870FB0" w:rsidP="00D6194C">
      <w:pPr>
        <w:pStyle w:val="Heading6"/>
      </w:pPr>
      <w:r>
        <w:t>Pharmacokinetic interactions</w:t>
      </w:r>
    </w:p>
    <w:p w14:paraId="5AC62570" w14:textId="4CD895A4" w:rsidR="00870FB0" w:rsidRDefault="00870FB0" w:rsidP="00870FB0">
      <w:r>
        <w:t xml:space="preserve">Significant interactions are not expected when fostemsavir is co-administered with substrates of CYPs, uridine diphosphate </w:t>
      </w:r>
      <w:proofErr w:type="spellStart"/>
      <w:r>
        <w:t>glucuronosyl</w:t>
      </w:r>
      <w:proofErr w:type="spellEnd"/>
      <w:r>
        <w:t xml:space="preserve"> transferases, </w:t>
      </w:r>
      <w:r w:rsidR="00C81FA4" w:rsidRPr="00C81FA4">
        <w:t>permeability</w:t>
      </w:r>
      <w:r w:rsidR="00C81FA4">
        <w:t xml:space="preserve"> </w:t>
      </w:r>
      <w:r>
        <w:t>g</w:t>
      </w:r>
      <w:r w:rsidR="00C81FA4">
        <w:t>lyco</w:t>
      </w:r>
      <w:r>
        <w:t>p</w:t>
      </w:r>
      <w:r w:rsidR="00C81FA4">
        <w:t>rotein</w:t>
      </w:r>
      <w:r>
        <w:t xml:space="preserve">, multidrug resistance protein 2, bile salt export pump , sodium taurocholate co-transporting polypeptide, </w:t>
      </w:r>
      <w:r w:rsidR="00C81FA4" w:rsidRPr="00C81FA4">
        <w:t xml:space="preserve">organic anion transporter </w:t>
      </w:r>
      <w:r w:rsidR="00C81FA4">
        <w:t>(</w:t>
      </w:r>
      <w:r>
        <w:t>OAT</w:t>
      </w:r>
      <w:r w:rsidR="00C81FA4">
        <w:t>)</w:t>
      </w:r>
      <w:r>
        <w:t xml:space="preserve">1, OAT3, organic cation transporters (OCT)1, and OCT2 based on </w:t>
      </w:r>
      <w:r w:rsidRPr="00181116">
        <w:rPr>
          <w:i/>
          <w:iCs/>
        </w:rPr>
        <w:t>in vitro</w:t>
      </w:r>
      <w:r>
        <w:t xml:space="preserve"> and clinical drug interaction data.</w:t>
      </w:r>
    </w:p>
    <w:p w14:paraId="2CCE37E9" w14:textId="092D49DE" w:rsidR="00D6194C" w:rsidRDefault="00D6194C" w:rsidP="00D6194C">
      <w:pPr>
        <w:pStyle w:val="Heading5"/>
      </w:pPr>
      <w:r>
        <w:t xml:space="preserve">Population </w:t>
      </w:r>
      <w:r w:rsidR="000840B4">
        <w:t>pharmacokinetic</w:t>
      </w:r>
      <w:r>
        <w:t xml:space="preserve"> data</w:t>
      </w:r>
    </w:p>
    <w:p w14:paraId="033641DA" w14:textId="67F3E733" w:rsidR="00D6194C" w:rsidRDefault="00D6194C" w:rsidP="00D6194C">
      <w:r>
        <w:t>The sponsor conducted a population pharmacokinetics (</w:t>
      </w:r>
      <w:proofErr w:type="spellStart"/>
      <w:r w:rsidR="000840B4">
        <w:t>p</w:t>
      </w:r>
      <w:r>
        <w:t>opPK</w:t>
      </w:r>
      <w:proofErr w:type="spellEnd"/>
      <w:r>
        <w:t xml:space="preserve">) analysis of </w:t>
      </w:r>
      <w:r w:rsidR="008035D2">
        <w:t>fostemsavir</w:t>
      </w:r>
      <w:r>
        <w:t xml:space="preserve"> following administration of </w:t>
      </w:r>
      <w:r w:rsidR="008035D2">
        <w:t>fostemsavir</w:t>
      </w:r>
      <w:r>
        <w:t xml:space="preserve"> tablets using the plasma </w:t>
      </w:r>
      <w:proofErr w:type="spellStart"/>
      <w:r w:rsidR="008035D2">
        <w:t>temsavir</w:t>
      </w:r>
      <w:proofErr w:type="spellEnd"/>
      <w:r>
        <w:t xml:space="preserve"> concentration data from healthy adult subjects and adult patients with HIV-1 enrolled in Phase I, Phase II, and Phase III trials.</w:t>
      </w:r>
    </w:p>
    <w:p w14:paraId="5388ECAF" w14:textId="12F985C4" w:rsidR="00D6194C" w:rsidRDefault="00D6194C" w:rsidP="00D6194C">
      <w:r>
        <w:t xml:space="preserve">The final </w:t>
      </w:r>
      <w:proofErr w:type="spellStart"/>
      <w:r>
        <w:t>popPK</w:t>
      </w:r>
      <w:proofErr w:type="spellEnd"/>
      <w:r>
        <w:t xml:space="preserve"> model was a two compartments model with dual zero and first order absorption and first order elimination with CYP3A inducers and CYP3A inhibitors as covariates on apparent total clearance of the drug from plasma after oral administration (CL/F) and allometrically scaled body weight as a covariate o</w:t>
      </w:r>
      <w:r w:rsidRPr="00C81FA4">
        <w:t>n CL/F, V2/F, Q/F and V3/F.</w:t>
      </w:r>
    </w:p>
    <w:p w14:paraId="46ECE106" w14:textId="13D3723E" w:rsidR="00D6194C" w:rsidRDefault="00D6194C" w:rsidP="00D6194C">
      <w:r>
        <w:t xml:space="preserve">All </w:t>
      </w:r>
      <w:proofErr w:type="spellStart"/>
      <w:r>
        <w:t>popPK</w:t>
      </w:r>
      <w:proofErr w:type="spellEnd"/>
      <w:r>
        <w:t xml:space="preserve"> parameters were estimated with good precision, as measured by </w:t>
      </w:r>
      <w:r w:rsidR="00C81FA4" w:rsidRPr="00C81FA4">
        <w:t>relative standard errors</w:t>
      </w:r>
      <w:r>
        <w:t xml:space="preserve"> &lt;15% for both fixed and random effects, model fit to the observed data at population and individual level was reasonable. The visual predictive check showed that the model adequately described the time course of plasma </w:t>
      </w:r>
      <w:proofErr w:type="spellStart"/>
      <w:r w:rsidR="008035D2">
        <w:t>temsavir</w:t>
      </w:r>
      <w:proofErr w:type="spellEnd"/>
      <w:r>
        <w:t xml:space="preserve"> concentrations for key studies which were included in the </w:t>
      </w:r>
      <w:r w:rsidR="00C81FA4">
        <w:t>exposure-response (</w:t>
      </w:r>
      <w:r>
        <w:t>E-R</w:t>
      </w:r>
      <w:r w:rsidR="00C81FA4">
        <w:t>)</w:t>
      </w:r>
      <w:r>
        <w:t xml:space="preserve"> analysis (Phase IIb Study</w:t>
      </w:r>
      <w:r w:rsidR="000840B4">
        <w:t> </w:t>
      </w:r>
      <w:r>
        <w:t xml:space="preserve">205889 and Phase III Study 205888), best for the 400 mg and 600 mg </w:t>
      </w:r>
      <w:r w:rsidR="00C81FA4">
        <w:t>twice daily</w:t>
      </w:r>
      <w:r>
        <w:t xml:space="preserve"> doses.</w:t>
      </w:r>
    </w:p>
    <w:p w14:paraId="08817FCB" w14:textId="258B8E17" w:rsidR="00D6194C" w:rsidRDefault="00D6194C" w:rsidP="00D6194C">
      <w:r>
        <w:t xml:space="preserve">Over a body weight range of 40 to 150 kg, plasma </w:t>
      </w:r>
      <w:proofErr w:type="spellStart"/>
      <w:r w:rsidR="008035D2">
        <w:t>temsavir</w:t>
      </w:r>
      <w:proofErr w:type="spellEnd"/>
      <w:r>
        <w:t xml:space="preserve"> t</w:t>
      </w:r>
      <w:r w:rsidRPr="00D6194C">
        <w:t xml:space="preserve">rough </w:t>
      </w:r>
      <w:r>
        <w:t>p</w:t>
      </w:r>
      <w:r w:rsidRPr="00D6194C">
        <w:t xml:space="preserve">lasma </w:t>
      </w:r>
      <w:r>
        <w:t>c</w:t>
      </w:r>
      <w:r w:rsidRPr="00D6194C">
        <w:t xml:space="preserve">oncentration at the </w:t>
      </w:r>
      <w:r>
        <w:t>e</w:t>
      </w:r>
      <w:r w:rsidRPr="00D6194C">
        <w:t xml:space="preserve">nd of </w:t>
      </w:r>
      <w:r w:rsidR="0013161A">
        <w:t>a</w:t>
      </w:r>
      <w:r w:rsidRPr="00D6194C">
        <w:t xml:space="preserve"> </w:t>
      </w:r>
      <w:r>
        <w:t>d</w:t>
      </w:r>
      <w:r w:rsidRPr="00D6194C">
        <w:t xml:space="preserve">osing </w:t>
      </w:r>
      <w:r>
        <w:t>i</w:t>
      </w:r>
      <w:r w:rsidRPr="00D6194C">
        <w:t xml:space="preserve">nterval </w:t>
      </w:r>
      <w:r w:rsidR="0060137B">
        <w:t>(</w:t>
      </w:r>
      <w:r>
        <w:t>C</w:t>
      </w:r>
      <w:r w:rsidRPr="0060137B">
        <w:rPr>
          <w:vertAlign w:val="subscript"/>
        </w:rPr>
        <w:t>tau</w:t>
      </w:r>
      <w:r w:rsidR="0060137B">
        <w:t>)</w:t>
      </w:r>
      <w:r>
        <w:t xml:space="preserve"> was estimated as 1.4 to </w:t>
      </w:r>
      <w:proofErr w:type="gramStart"/>
      <w:r>
        <w:t>0.70</w:t>
      </w:r>
      <w:r w:rsidR="0060137B">
        <w:t xml:space="preserve"> </w:t>
      </w:r>
      <w:r>
        <w:t>fold</w:t>
      </w:r>
      <w:proofErr w:type="gramEnd"/>
      <w:r>
        <w:t xml:space="preserve"> the reference exposure for 72 kg. The </w:t>
      </w:r>
      <w:r w:rsidR="0060137B">
        <w:t>sponsor</w:t>
      </w:r>
      <w:r>
        <w:t xml:space="preserve">'s covariate analysis suggests that HIV status, age, gender, race, formulation, and baseline clinical </w:t>
      </w:r>
      <w:r w:rsidR="0060137B">
        <w:t>laboratory</w:t>
      </w:r>
      <w:r>
        <w:t xml:space="preserve"> parameters (</w:t>
      </w:r>
      <w:r w:rsidR="0060137B">
        <w:t>c</w:t>
      </w:r>
      <w:r w:rsidR="0060137B" w:rsidRPr="0060137B">
        <w:t xml:space="preserve">reatinine </w:t>
      </w:r>
      <w:r w:rsidR="0060137B">
        <w:t>c</w:t>
      </w:r>
      <w:r w:rsidR="0060137B" w:rsidRPr="0060137B">
        <w:t>learance</w:t>
      </w:r>
      <w:r>
        <w:t>, alanine</w:t>
      </w:r>
      <w:r w:rsidR="000840B4">
        <w:t xml:space="preserve"> transaminase</w:t>
      </w:r>
      <w:r>
        <w:t xml:space="preserve">  (ALT), AST, ALP, and direct bilirubin) had no effect on </w:t>
      </w:r>
      <w:proofErr w:type="spellStart"/>
      <w:r w:rsidR="008035D2">
        <w:t>temsavir</w:t>
      </w:r>
      <w:proofErr w:type="spellEnd"/>
      <w:r>
        <w:t xml:space="preserve"> PK. </w:t>
      </w:r>
      <w:proofErr w:type="spellStart"/>
      <w:r w:rsidR="008035D2">
        <w:t>Temsavir</w:t>
      </w:r>
      <w:proofErr w:type="spellEnd"/>
      <w:r>
        <w:t xml:space="preserve"> PK data in subjects ≥ 65 years old (n</w:t>
      </w:r>
      <w:r w:rsidR="000840B4">
        <w:t> </w:t>
      </w:r>
      <w:r>
        <w:t>=</w:t>
      </w:r>
      <w:r w:rsidR="0060137B">
        <w:t>1</w:t>
      </w:r>
      <w:r>
        <w:t xml:space="preserve">1) and </w:t>
      </w:r>
      <w:r w:rsidR="0013161A">
        <w:t xml:space="preserve">in </w:t>
      </w:r>
      <w:r>
        <w:t>some racial groups (</w:t>
      </w:r>
      <w:r w:rsidR="000840B4">
        <w:t>especially</w:t>
      </w:r>
      <w:r>
        <w:t xml:space="preserve"> Asian</w:t>
      </w:r>
      <w:r w:rsidR="000840B4">
        <w:t xml:space="preserve"> subjects</w:t>
      </w:r>
      <w:r>
        <w:t xml:space="preserve">) were limited. Plasma </w:t>
      </w:r>
      <w:proofErr w:type="spellStart"/>
      <w:r w:rsidR="008035D2">
        <w:t>temsavir</w:t>
      </w:r>
      <w:proofErr w:type="spellEnd"/>
      <w:r>
        <w:t xml:space="preserve"> PK parameters for </w:t>
      </w:r>
      <w:r w:rsidR="008035D2">
        <w:t>fostemsavir</w:t>
      </w:r>
      <w:r>
        <w:t xml:space="preserve"> 600 mg </w:t>
      </w:r>
      <w:r w:rsidR="0060137B">
        <w:t>twice a day</w:t>
      </w:r>
      <w:r>
        <w:t xml:space="preserve"> are summari</w:t>
      </w:r>
      <w:r w:rsidR="0060137B">
        <w:t>s</w:t>
      </w:r>
      <w:r>
        <w:t xml:space="preserve">ed based on data collected on Day 8 in subjects with HIV-1 enrolled in the </w:t>
      </w:r>
      <w:r w:rsidR="0060137B">
        <w:t>r</w:t>
      </w:r>
      <w:r>
        <w:t>andomi</w:t>
      </w:r>
      <w:r w:rsidR="0060137B">
        <w:t>s</w:t>
      </w:r>
      <w:r>
        <w:t xml:space="preserve">ed </w:t>
      </w:r>
      <w:r w:rsidR="0060137B">
        <w:t>c</w:t>
      </w:r>
      <w:r>
        <w:t xml:space="preserve">ohort of the Phase </w:t>
      </w:r>
      <w:r w:rsidR="0060137B">
        <w:t>III</w:t>
      </w:r>
      <w:r>
        <w:t xml:space="preserve"> </w:t>
      </w:r>
      <w:r w:rsidR="000840B4">
        <w:t>t</w:t>
      </w:r>
      <w:r>
        <w:t>rial</w:t>
      </w:r>
      <w:r w:rsidR="0060137B">
        <w:t>, Study</w:t>
      </w:r>
      <w:r w:rsidR="000840B4">
        <w:t> </w:t>
      </w:r>
      <w:r>
        <w:t>205888.</w:t>
      </w:r>
    </w:p>
    <w:p w14:paraId="6B1055B3" w14:textId="0C69BCF6" w:rsidR="00D6194C" w:rsidRDefault="00D6194C" w:rsidP="0060137B">
      <w:pPr>
        <w:pStyle w:val="Heading6"/>
      </w:pPr>
      <w:r>
        <w:t xml:space="preserve">Summary of </w:t>
      </w:r>
      <w:r w:rsidR="000840B4">
        <w:t>exposure-response analysis for efficacy</w:t>
      </w:r>
    </w:p>
    <w:p w14:paraId="6CB4B4C0" w14:textId="2AAD16EF" w:rsidR="00D6194C" w:rsidRDefault="00D6194C" w:rsidP="00D6194C">
      <w:r>
        <w:t xml:space="preserve">This analysis was based on the data from the </w:t>
      </w:r>
      <w:r w:rsidR="00C81FA4">
        <w:t>r</w:t>
      </w:r>
      <w:r>
        <w:t>andomi</w:t>
      </w:r>
      <w:r w:rsidR="0060137B">
        <w:t>s</w:t>
      </w:r>
      <w:r>
        <w:t xml:space="preserve">ed </w:t>
      </w:r>
      <w:r w:rsidR="00C81FA4">
        <w:t>c</w:t>
      </w:r>
      <w:r>
        <w:t xml:space="preserve">ohort of the Phase </w:t>
      </w:r>
      <w:r w:rsidR="0060137B">
        <w:t>III</w:t>
      </w:r>
      <w:r>
        <w:t xml:space="preserve"> (Study</w:t>
      </w:r>
      <w:r w:rsidR="000840B4">
        <w:t> </w:t>
      </w:r>
      <w:r>
        <w:t xml:space="preserve">205888) which was conducted in the intended population with HIV-1 at the proposed regimen of </w:t>
      </w:r>
      <w:r w:rsidR="008035D2">
        <w:t>fostemsavir</w:t>
      </w:r>
      <w:r>
        <w:t xml:space="preserve"> 600 mg </w:t>
      </w:r>
      <w:r w:rsidR="000A2C53">
        <w:t>twice dai</w:t>
      </w:r>
      <w:r w:rsidR="0013161A">
        <w:t>l</w:t>
      </w:r>
      <w:r w:rsidR="000A2C53">
        <w:t>y</w:t>
      </w:r>
      <w:r>
        <w:t xml:space="preserve">. The final E-R model was a </w:t>
      </w:r>
      <w:r w:rsidR="006F149E" w:rsidRPr="006F149E">
        <w:t>maximum effect</w:t>
      </w:r>
      <w:r>
        <w:t xml:space="preserve"> inhibitory model where the response variable was change in plasma HIV-1 RNA from Day 1 to Day 8 and explanatory variables were the exposure metric (</w:t>
      </w:r>
      <w:r w:rsidRPr="002351E1">
        <w:rPr>
          <w:i/>
        </w:rPr>
        <w:t>post hoc</w:t>
      </w:r>
      <w:r>
        <w:t xml:space="preserve"> C</w:t>
      </w:r>
      <w:r w:rsidRPr="006F149E">
        <w:rPr>
          <w:vertAlign w:val="subscript"/>
        </w:rPr>
        <w:t>tau</w:t>
      </w:r>
      <w:r>
        <w:t>) and the two baseline characteristics (baseline plasma HIV-1 RNA and CD4</w:t>
      </w:r>
      <w:r w:rsidRPr="0060137B">
        <w:rPr>
          <w:vertAlign w:val="superscript"/>
        </w:rPr>
        <w:t>+</w:t>
      </w:r>
      <w:r>
        <w:t xml:space="preserve"> T cell counts &gt;</w:t>
      </w:r>
      <w:r w:rsidR="0060137B">
        <w:t xml:space="preserve"> </w:t>
      </w:r>
      <w:r>
        <w:lastRenderedPageBreak/>
        <w:t>20 cells/mm</w:t>
      </w:r>
      <w:r w:rsidRPr="0060137B">
        <w:rPr>
          <w:vertAlign w:val="superscript"/>
        </w:rPr>
        <w:t>3</w:t>
      </w:r>
      <w:r>
        <w:t xml:space="preserve">). </w:t>
      </w:r>
      <w:r w:rsidRPr="0095799A">
        <w:t xml:space="preserve">The </w:t>
      </w:r>
      <w:r w:rsidR="0060137B" w:rsidRPr="0095799A">
        <w:t>sponsor</w:t>
      </w:r>
      <w:r w:rsidRPr="0095799A">
        <w:t xml:space="preserve"> noted that age, gender, race, body weight, geographic region, and the following baseline factors: I</w:t>
      </w:r>
      <w:r w:rsidR="006F149E" w:rsidRPr="0095799A">
        <w:t>C</w:t>
      </w:r>
      <w:r w:rsidR="006F149E" w:rsidRPr="0095799A">
        <w:rPr>
          <w:vertAlign w:val="subscript"/>
        </w:rPr>
        <w:t>50</w:t>
      </w:r>
      <w:r w:rsidRPr="0095799A">
        <w:t>, IC</w:t>
      </w:r>
      <w:r w:rsidR="006F149E" w:rsidRPr="0095799A">
        <w:rPr>
          <w:vertAlign w:val="subscript"/>
        </w:rPr>
        <w:t>50</w:t>
      </w:r>
      <w:r w:rsidRPr="0095799A">
        <w:t xml:space="preserve"> fold change (FC), number of predefined genotypic substitutions of interest within the gp160 domain, and CD8</w:t>
      </w:r>
      <w:r w:rsidRPr="0095799A">
        <w:rPr>
          <w:vertAlign w:val="superscript"/>
        </w:rPr>
        <w:t>+</w:t>
      </w:r>
      <w:r w:rsidRPr="0095799A">
        <w:t xml:space="preserve"> T cell count had no effect on Day 8 virologic response.</w:t>
      </w:r>
      <w:r>
        <w:t xml:space="preserve"> The </w:t>
      </w:r>
      <w:r w:rsidR="00D01210">
        <w:t>sponsor</w:t>
      </w:r>
      <w:r>
        <w:t xml:space="preserve"> concluded that the final E-R model suggests the E-R relationship between plasma </w:t>
      </w:r>
      <w:proofErr w:type="spellStart"/>
      <w:r w:rsidR="008035D2">
        <w:t>temsavir</w:t>
      </w:r>
      <w:proofErr w:type="spellEnd"/>
      <w:r>
        <w:t xml:space="preserve"> C</w:t>
      </w:r>
      <w:r w:rsidRPr="00D01210">
        <w:rPr>
          <w:vertAlign w:val="subscript"/>
        </w:rPr>
        <w:t>tau</w:t>
      </w:r>
      <w:r>
        <w:t xml:space="preserve"> and change in plasma</w:t>
      </w:r>
      <w:r w:rsidR="0013161A">
        <w:t> </w:t>
      </w:r>
      <w:r>
        <w:t>HIV-1 RNA on Day 8 is shallow and highly variable.</w:t>
      </w:r>
    </w:p>
    <w:p w14:paraId="6B872C59" w14:textId="77777777" w:rsidR="00D6194C" w:rsidRDefault="00D6194C" w:rsidP="0060137B">
      <w:pPr>
        <w:pStyle w:val="Heading6"/>
      </w:pPr>
      <w:r>
        <w:t>Summary of Exposure-Response Analysis for Safety</w:t>
      </w:r>
    </w:p>
    <w:p w14:paraId="0E63B3C1" w14:textId="4D559F26" w:rsidR="00D6194C" w:rsidRDefault="00D6194C" w:rsidP="00D6194C">
      <w:r>
        <w:t xml:space="preserve">A graphical analysis was conducted to evaluate the relationship between </w:t>
      </w:r>
      <w:r w:rsidRPr="002351E1">
        <w:rPr>
          <w:i/>
        </w:rPr>
        <w:t>post hoc</w:t>
      </w:r>
      <w:r>
        <w:t xml:space="preserve"> plasma </w:t>
      </w:r>
      <w:proofErr w:type="spellStart"/>
      <w:r w:rsidR="008035D2">
        <w:t>temsavir</w:t>
      </w:r>
      <w:proofErr w:type="spellEnd"/>
      <w:r>
        <w:t xml:space="preserve"> exposure metrics from the final </w:t>
      </w:r>
      <w:proofErr w:type="spellStart"/>
      <w:r w:rsidR="0013161A">
        <w:t>pop</w:t>
      </w:r>
      <w:r>
        <w:t>PK</w:t>
      </w:r>
      <w:proofErr w:type="spellEnd"/>
      <w:r>
        <w:t xml:space="preserve"> model and select safety parameters. It was concluded that exposure-safety relationships were not evident between </w:t>
      </w:r>
      <w:proofErr w:type="spellStart"/>
      <w:r w:rsidR="008035D2">
        <w:t>temsavir</w:t>
      </w:r>
      <w:proofErr w:type="spellEnd"/>
      <w:r>
        <w:t xml:space="preserve"> exposure metrics </w:t>
      </w:r>
      <w:r w:rsidR="00B51DCD">
        <w:t xml:space="preserve">(average concentration </w:t>
      </w:r>
      <w:r>
        <w:t xml:space="preserve">and </w:t>
      </w:r>
      <w:proofErr w:type="spellStart"/>
      <w:r>
        <w:t>C</w:t>
      </w:r>
      <w:r w:rsidRPr="00B51DCD">
        <w:rPr>
          <w:vertAlign w:val="subscript"/>
        </w:rPr>
        <w:t>max</w:t>
      </w:r>
      <w:proofErr w:type="spellEnd"/>
      <w:r>
        <w:t>) and safety endpoints of interest.</w:t>
      </w:r>
    </w:p>
    <w:p w14:paraId="17A322E8" w14:textId="2AA8A567" w:rsidR="007E1246" w:rsidRDefault="007E1246" w:rsidP="007E1246">
      <w:pPr>
        <w:pStyle w:val="Heading5"/>
      </w:pPr>
      <w:r>
        <w:t>Pharmacodynamics</w:t>
      </w:r>
    </w:p>
    <w:p w14:paraId="436CFF15" w14:textId="1DE08D2C" w:rsidR="007E1246" w:rsidRDefault="007E1246" w:rsidP="007E1246">
      <w:r>
        <w:t>The primary pharmacodynamic</w:t>
      </w:r>
      <w:r w:rsidR="00B51DCD">
        <w:t xml:space="preserve"> (PD)</w:t>
      </w:r>
      <w:r>
        <w:t xml:space="preserve"> effect is reduction in plasma HIV-1 RNA. This was examined in the two Phase II </w:t>
      </w:r>
      <w:r w:rsidR="0013161A">
        <w:t>antiretroviral (</w:t>
      </w:r>
      <w:r>
        <w:t>ARV</w:t>
      </w:r>
      <w:r w:rsidR="0013161A">
        <w:t>)</w:t>
      </w:r>
      <w:r>
        <w:t xml:space="preserve">-naïve and ARV treatment-experienced HIV-1 infected populations. </w:t>
      </w:r>
      <w:proofErr w:type="spellStart"/>
      <w:r>
        <w:t>Temsavir</w:t>
      </w:r>
      <w:proofErr w:type="spellEnd"/>
      <w:r>
        <w:t xml:space="preserve"> exhibited variable activity across HIV-1 subtypes. </w:t>
      </w:r>
      <w:proofErr w:type="spellStart"/>
      <w:r>
        <w:t>Temsavir</w:t>
      </w:r>
      <w:proofErr w:type="spellEnd"/>
      <w:r>
        <w:t xml:space="preserve"> </w:t>
      </w:r>
      <w:r w:rsidR="0013161A">
        <w:t>half-maximal inhibitory concentration (</w:t>
      </w:r>
      <w:r>
        <w:t>IC</w:t>
      </w:r>
      <w:r w:rsidRPr="007E1246">
        <w:rPr>
          <w:vertAlign w:val="subscript"/>
        </w:rPr>
        <w:t>50</w:t>
      </w:r>
      <w:r w:rsidR="0013161A">
        <w:t xml:space="preserve">) </w:t>
      </w:r>
      <w:r>
        <w:t>value ranged from 0.01 to &gt;</w:t>
      </w:r>
      <w:r w:rsidR="0013161A">
        <w:t> </w:t>
      </w:r>
      <w:r>
        <w:t>2000</w:t>
      </w:r>
      <w:r w:rsidR="0013161A">
        <w:t> </w:t>
      </w:r>
      <w:proofErr w:type="spellStart"/>
      <w:r>
        <w:t>nM</w:t>
      </w:r>
      <w:proofErr w:type="spellEnd"/>
      <w:r>
        <w:t xml:space="preserve"> against clinical isolates of subtypes A, B, B', C, D, F, G and CRF01_AE</w:t>
      </w:r>
      <w:r w:rsidR="00B51DCD">
        <w:t xml:space="preserve"> strain</w:t>
      </w:r>
      <w:r>
        <w:t xml:space="preserve"> in </w:t>
      </w:r>
      <w:r w:rsidR="00326B3E">
        <w:t>peripheral blood mononuclear cells</w:t>
      </w:r>
      <w:r>
        <w:t xml:space="preserve">. </w:t>
      </w:r>
      <w:proofErr w:type="spellStart"/>
      <w:r>
        <w:t>Temsavir</w:t>
      </w:r>
      <w:proofErr w:type="spellEnd"/>
      <w:r>
        <w:t xml:space="preserve"> was not active against HIV-2. Due to high frequencies of polymorphism S375H (98%) and S375M/M426L/M434I (100%) </w:t>
      </w:r>
      <w:proofErr w:type="spellStart"/>
      <w:r>
        <w:t>temsavir</w:t>
      </w:r>
      <w:proofErr w:type="spellEnd"/>
      <w:r>
        <w:t xml:space="preserve"> is not active against Group O and Group N.</w:t>
      </w:r>
    </w:p>
    <w:p w14:paraId="4782B0A1" w14:textId="4056C145" w:rsidR="007E1246" w:rsidRDefault="007E1246" w:rsidP="007E1246">
      <w:r>
        <w:t xml:space="preserve">Steady state plasma </w:t>
      </w:r>
      <w:proofErr w:type="spellStart"/>
      <w:r w:rsidR="008035D2">
        <w:t>temsavir</w:t>
      </w:r>
      <w:proofErr w:type="spellEnd"/>
      <w:r>
        <w:t xml:space="preserve"> concentrations are achieved by Day 2 to 3 following administration of </w:t>
      </w:r>
      <w:r w:rsidR="008035D2">
        <w:t>fostemsavir</w:t>
      </w:r>
      <w:r>
        <w:t xml:space="preserve"> 600 mg twice daily. Concentrations are related to HIV activity as well as the effect o</w:t>
      </w:r>
      <w:r w:rsidR="003D24A2">
        <w:t>f</w:t>
      </w:r>
      <w:r>
        <w:t xml:space="preserve"> l</w:t>
      </w:r>
      <w:r w:rsidR="003D24A2">
        <w:t>engthening the</w:t>
      </w:r>
      <w:r>
        <w:t xml:space="preserve"> QTc.</w:t>
      </w:r>
    </w:p>
    <w:p w14:paraId="347757AF" w14:textId="1A9BCB42" w:rsidR="007E1246" w:rsidRDefault="007E1246" w:rsidP="00AD4934">
      <w:r>
        <w:t xml:space="preserve">Simulation showed that there was no E-R relationship evident between plasma </w:t>
      </w:r>
      <w:proofErr w:type="spellStart"/>
      <w:r w:rsidR="008035D2">
        <w:t>temsavir</w:t>
      </w:r>
      <w:proofErr w:type="spellEnd"/>
      <w:r>
        <w:t xml:space="preserve"> C</w:t>
      </w:r>
      <w:r w:rsidRPr="007E1246">
        <w:rPr>
          <w:vertAlign w:val="subscript"/>
        </w:rPr>
        <w:t>tau</w:t>
      </w:r>
      <w:r>
        <w:t xml:space="preserve"> and Week 24 efficacy endpoints or between plasma </w:t>
      </w:r>
      <w:proofErr w:type="spellStart"/>
      <w:r w:rsidR="008035D2">
        <w:t>temsavir</w:t>
      </w:r>
      <w:proofErr w:type="spellEnd"/>
      <w:r>
        <w:t xml:space="preserve"> C</w:t>
      </w:r>
      <w:r w:rsidRPr="007E1246">
        <w:rPr>
          <w:vertAlign w:val="subscript"/>
        </w:rPr>
        <w:t>tau</w:t>
      </w:r>
      <w:r>
        <w:t xml:space="preserve"> and change in CD4</w:t>
      </w:r>
      <w:r w:rsidRPr="007E1246">
        <w:rPr>
          <w:vertAlign w:val="superscript"/>
        </w:rPr>
        <w:t>+</w:t>
      </w:r>
      <w:r>
        <w:t xml:space="preserve"> T</w:t>
      </w:r>
      <w:r w:rsidR="003D24A2">
        <w:t> </w:t>
      </w:r>
      <w:r>
        <w:t xml:space="preserve">cell count from Day 1 at each visit through Week 24. </w:t>
      </w:r>
      <w:r w:rsidR="003D24A2">
        <w:t>The e</w:t>
      </w:r>
      <w:r>
        <w:t xml:space="preserve">xploratory </w:t>
      </w:r>
      <w:r w:rsidR="003D24A2">
        <w:t>E</w:t>
      </w:r>
      <w:r w:rsidR="003D24A2">
        <w:noBreakHyphen/>
        <w:t>R</w:t>
      </w:r>
      <w:r>
        <w:t xml:space="preserve"> relationship from the </w:t>
      </w:r>
      <w:r w:rsidR="00AD4934">
        <w:t xml:space="preserve">Phase </w:t>
      </w:r>
      <w:proofErr w:type="spellStart"/>
      <w:r w:rsidR="003D24A2">
        <w:t>II</w:t>
      </w:r>
      <w:r w:rsidR="00AD4934">
        <w:t>a</w:t>
      </w:r>
      <w:proofErr w:type="spellEnd"/>
      <w:r w:rsidR="00AD4934">
        <w:t xml:space="preserve"> </w:t>
      </w:r>
      <w:r>
        <w:t>monotherapy study indicated that baseline viral drug susceptibility (expressed as IC</w:t>
      </w:r>
      <w:r w:rsidRPr="007E1246">
        <w:rPr>
          <w:vertAlign w:val="subscript"/>
        </w:rPr>
        <w:t>50</w:t>
      </w:r>
      <w:r>
        <w:t xml:space="preserve">) was the most influential factor in determining the magnitude of decline in HIV RNA. </w:t>
      </w:r>
      <w:r w:rsidR="00600299" w:rsidRPr="00EC1D34">
        <w:t xml:space="preserve">In that study, </w:t>
      </w:r>
      <w:r w:rsidRPr="00EC1D34">
        <w:t>IC</w:t>
      </w:r>
      <w:r w:rsidRPr="00EC1D34">
        <w:rPr>
          <w:vertAlign w:val="subscript"/>
        </w:rPr>
        <w:t>50</w:t>
      </w:r>
      <w:r>
        <w:t xml:space="preserve"> baseline values ≥ 100 </w:t>
      </w:r>
      <w:proofErr w:type="spellStart"/>
      <w:r>
        <w:t>nM</w:t>
      </w:r>
      <w:proofErr w:type="spellEnd"/>
      <w:r>
        <w:t xml:space="preserve"> seemed to be associated with a decreased antiviral activity.</w:t>
      </w:r>
      <w:r w:rsidR="00214A69">
        <w:rPr>
          <w:rStyle w:val="FootnoteReference"/>
        </w:rPr>
        <w:footnoteReference w:id="10"/>
      </w:r>
      <w:r w:rsidR="00AD4934">
        <w:t xml:space="preserve"> </w:t>
      </w:r>
    </w:p>
    <w:p w14:paraId="2296644F" w14:textId="49BC4F21" w:rsidR="007E1246" w:rsidRDefault="007E1246" w:rsidP="007E1246">
      <w:r w:rsidRPr="007A1971">
        <w:t xml:space="preserve">A supratherapeutic dose (at a </w:t>
      </w:r>
      <w:proofErr w:type="spellStart"/>
      <w:r w:rsidRPr="007A1971">
        <w:t>C</w:t>
      </w:r>
      <w:r w:rsidRPr="007E1246">
        <w:rPr>
          <w:vertAlign w:val="subscript"/>
        </w:rPr>
        <w:t>max</w:t>
      </w:r>
      <w:proofErr w:type="spellEnd"/>
      <w:r w:rsidRPr="007A1971">
        <w:t xml:space="preserve"> approximately </w:t>
      </w:r>
      <w:proofErr w:type="gramStart"/>
      <w:r w:rsidRPr="007A1971">
        <w:t>4.2</w:t>
      </w:r>
      <w:r>
        <w:t xml:space="preserve"> </w:t>
      </w:r>
      <w:r w:rsidRPr="007A1971">
        <w:t>fold</w:t>
      </w:r>
      <w:proofErr w:type="gramEnd"/>
      <w:r w:rsidRPr="007A1971">
        <w:t xml:space="preserve"> the therapeutic dose) of fostemsavir has been shown to significantly prolong the QTc interval. </w:t>
      </w:r>
      <w:r w:rsidR="008035D2">
        <w:t>Fostemsavir</w:t>
      </w:r>
      <w:r w:rsidRPr="007A1971">
        <w:t xml:space="preserve"> should be used with caution in patients with a history of QT interval prolongation, when co</w:t>
      </w:r>
      <w:r w:rsidR="003D24A2">
        <w:noBreakHyphen/>
      </w:r>
      <w:r w:rsidRPr="007A1971">
        <w:t xml:space="preserve">administered with a medicine with a known risk of </w:t>
      </w:r>
      <w:r w:rsidR="003D24A2">
        <w:t>t</w:t>
      </w:r>
      <w:r w:rsidRPr="007A1971">
        <w:t xml:space="preserve">orsade de </w:t>
      </w:r>
      <w:r w:rsidR="003D24A2">
        <w:t>p</w:t>
      </w:r>
      <w:r w:rsidRPr="007A1971">
        <w:t>ointes or in patients with relevant pre-existing cardiac disease. This was reflected as a wa</w:t>
      </w:r>
      <w:r>
        <w:t xml:space="preserve">rning in </w:t>
      </w:r>
      <w:r w:rsidR="003D24A2">
        <w:t>S</w:t>
      </w:r>
      <w:r>
        <w:t>ection 4.4 of the PI</w:t>
      </w:r>
      <w:r w:rsidRPr="007A1971">
        <w:t>.</w:t>
      </w:r>
    </w:p>
    <w:p w14:paraId="634C075A" w14:textId="77777777" w:rsidR="007E1246" w:rsidRPr="007E1246" w:rsidRDefault="007E1246" w:rsidP="007E1246">
      <w:pPr>
        <w:pStyle w:val="Heading4"/>
      </w:pPr>
      <w:r w:rsidRPr="007E1246">
        <w:t>Efficacy</w:t>
      </w:r>
    </w:p>
    <w:p w14:paraId="76C303C6" w14:textId="44F03D9E" w:rsidR="007E1246" w:rsidRPr="003A3150" w:rsidRDefault="007E1246" w:rsidP="007E1246">
      <w:pPr>
        <w:pStyle w:val="Heading5"/>
      </w:pPr>
      <w:r w:rsidRPr="003A3150">
        <w:t xml:space="preserve">Dose finding </w:t>
      </w:r>
      <w:r>
        <w:t>for the pivotal study</w:t>
      </w:r>
    </w:p>
    <w:p w14:paraId="3274BB57" w14:textId="2183A3BE" w:rsidR="007E1246" w:rsidRDefault="007E1246" w:rsidP="007E1246">
      <w:r w:rsidRPr="007A1557">
        <w:t xml:space="preserve">The proposed dose of </w:t>
      </w:r>
      <w:r w:rsidR="008035D2">
        <w:t>fostemsavir</w:t>
      </w:r>
      <w:r w:rsidRPr="007A1557">
        <w:t xml:space="preserve"> 600 mg twice daily utili</w:t>
      </w:r>
      <w:r>
        <w:t>s</w:t>
      </w:r>
      <w:r w:rsidRPr="007A1557">
        <w:t xml:space="preserve">ed in the Phase </w:t>
      </w:r>
      <w:r>
        <w:t>III</w:t>
      </w:r>
      <w:r w:rsidRPr="007A1557">
        <w:t xml:space="preserve"> Study</w:t>
      </w:r>
      <w:r w:rsidR="003D24A2">
        <w:t> </w:t>
      </w:r>
      <w:r w:rsidRPr="007A1557">
        <w:t xml:space="preserve">205888 in HTE patients infected with MDR HIV-1 was developed from data from the Phase </w:t>
      </w:r>
      <w:proofErr w:type="spellStart"/>
      <w:r>
        <w:t>II</w:t>
      </w:r>
      <w:r w:rsidRPr="007A1557">
        <w:t>a</w:t>
      </w:r>
      <w:proofErr w:type="spellEnd"/>
      <w:r w:rsidRPr="007A1557">
        <w:t xml:space="preserve"> </w:t>
      </w:r>
      <w:r>
        <w:t>proof of concept</w:t>
      </w:r>
      <w:r w:rsidRPr="007A1557">
        <w:t xml:space="preserve"> monotherapy Study 206267 and the Phase </w:t>
      </w:r>
      <w:r>
        <w:t>II</w:t>
      </w:r>
      <w:r w:rsidRPr="007A1557">
        <w:t>b Study</w:t>
      </w:r>
      <w:r w:rsidR="003D24A2">
        <w:t> </w:t>
      </w:r>
      <w:r w:rsidRPr="007A1557">
        <w:t xml:space="preserve">205889, together with QT data from different </w:t>
      </w:r>
      <w:r w:rsidR="008035D2">
        <w:t>fostemsavir</w:t>
      </w:r>
      <w:r w:rsidRPr="007A1557">
        <w:t xml:space="preserve"> concentrations obtained from Study 206275. </w:t>
      </w:r>
      <w:r>
        <w:t xml:space="preserve">It </w:t>
      </w:r>
      <w:r w:rsidRPr="007A1557">
        <w:t xml:space="preserve">was based on PK, efficacy, and safety data from two Phase </w:t>
      </w:r>
      <w:r>
        <w:t>II</w:t>
      </w:r>
      <w:r w:rsidRPr="007A1557">
        <w:t xml:space="preserve"> trials in subj</w:t>
      </w:r>
      <w:r>
        <w:t xml:space="preserve">ects with HIV-1 infection. Study </w:t>
      </w:r>
      <w:r w:rsidRPr="007A1557">
        <w:t xml:space="preserve">206267 was a Phase </w:t>
      </w:r>
      <w:proofErr w:type="spellStart"/>
      <w:r>
        <w:t>II</w:t>
      </w:r>
      <w:r w:rsidRPr="007A1557">
        <w:t>a</w:t>
      </w:r>
      <w:proofErr w:type="spellEnd"/>
      <w:r w:rsidRPr="007A1557">
        <w:t xml:space="preserve"> trial that evaluated </w:t>
      </w:r>
      <w:r w:rsidR="008035D2">
        <w:t>fostemsavir</w:t>
      </w:r>
      <w:r w:rsidRPr="007A1557">
        <w:t xml:space="preserve"> 600 </w:t>
      </w:r>
      <w:r w:rsidRPr="007A1557">
        <w:lastRenderedPageBreak/>
        <w:t xml:space="preserve">mg </w:t>
      </w:r>
      <w:r>
        <w:t>twice daily</w:t>
      </w:r>
      <w:r w:rsidRPr="007A1557">
        <w:t xml:space="preserve"> and 1</w:t>
      </w:r>
      <w:r>
        <w:t>2</w:t>
      </w:r>
      <w:r w:rsidRPr="007A1557">
        <w:t xml:space="preserve">00 mg </w:t>
      </w:r>
      <w:r>
        <w:t>daily at bedtime</w:t>
      </w:r>
      <w:r w:rsidRPr="007A1557">
        <w:t xml:space="preserve"> in treatment-naïve subjects and </w:t>
      </w:r>
      <w:r w:rsidR="008035D2">
        <w:t>fostemsavir</w:t>
      </w:r>
      <w:r w:rsidRPr="007A1557">
        <w:t xml:space="preserve"> 1200</w:t>
      </w:r>
      <w:r w:rsidR="00554DE6">
        <w:t> m</w:t>
      </w:r>
      <w:r w:rsidRPr="007A1557">
        <w:t xml:space="preserve">g </w:t>
      </w:r>
      <w:r>
        <w:t>twice daily</w:t>
      </w:r>
      <w:r w:rsidRPr="007A1557">
        <w:t xml:space="preserve"> in treatment-experienced (but not con</w:t>
      </w:r>
      <w:r>
        <w:t xml:space="preserve">sidered HTE) subjects. Study </w:t>
      </w:r>
      <w:r w:rsidRPr="007A1557">
        <w:t xml:space="preserve">205889 was a Phase </w:t>
      </w:r>
      <w:r>
        <w:t>II</w:t>
      </w:r>
      <w:r w:rsidRPr="007A1557">
        <w:t xml:space="preserve">b trial that evaluated </w:t>
      </w:r>
      <w:r w:rsidR="008035D2">
        <w:t>fostemsavir</w:t>
      </w:r>
      <w:r w:rsidRPr="007A1557">
        <w:t xml:space="preserve"> 400 mg </w:t>
      </w:r>
      <w:r>
        <w:t>twice daily</w:t>
      </w:r>
      <w:r w:rsidRPr="007A1557">
        <w:t xml:space="preserve">, 600 mg </w:t>
      </w:r>
      <w:r>
        <w:t>twice daily</w:t>
      </w:r>
      <w:r w:rsidRPr="007A1557">
        <w:t>, 800</w:t>
      </w:r>
      <w:r w:rsidR="00554DE6">
        <w:t> </w:t>
      </w:r>
      <w:r w:rsidRPr="007A1557">
        <w:t xml:space="preserve">mg </w:t>
      </w:r>
      <w:r>
        <w:t>twice daily</w:t>
      </w:r>
      <w:r w:rsidRPr="007A1557">
        <w:t>, 600 mg once a day, and 1,200 mg</w:t>
      </w:r>
      <w:r>
        <w:t xml:space="preserve"> once daily</w:t>
      </w:r>
      <w:r w:rsidRPr="007A1557">
        <w:t xml:space="preserve">. The primary endpoint for the Phase </w:t>
      </w:r>
      <w:proofErr w:type="spellStart"/>
      <w:r>
        <w:t>II</w:t>
      </w:r>
      <w:r w:rsidRPr="007A1557">
        <w:t>a</w:t>
      </w:r>
      <w:proofErr w:type="spellEnd"/>
      <w:r w:rsidRPr="007A1557">
        <w:t xml:space="preserve"> trial was a mean decline in plasma HIV-1 RNA from Day 1 to Day</w:t>
      </w:r>
      <w:r w:rsidR="00554DE6">
        <w:t> </w:t>
      </w:r>
      <w:r w:rsidRPr="007A1557">
        <w:t xml:space="preserve">8 with </w:t>
      </w:r>
      <w:r w:rsidR="008035D2">
        <w:t>fostemsavir</w:t>
      </w:r>
      <w:r w:rsidRPr="007A1557">
        <w:t xml:space="preserve"> monotherapy</w:t>
      </w:r>
      <w:r w:rsidR="00DC6CE4">
        <w:t>, while the primary endpoint for Phase IIb trial is the proportion of subjects with plasma HIV-1 RNA &lt; 50 copies/mL at Week 24.</w:t>
      </w:r>
    </w:p>
    <w:p w14:paraId="1B57B7D0" w14:textId="015F6237" w:rsidR="007E1246" w:rsidRDefault="007E1246" w:rsidP="007E1246">
      <w:r w:rsidRPr="007C054E">
        <w:t xml:space="preserve">The </w:t>
      </w:r>
      <w:r>
        <w:t>sponsor</w:t>
      </w:r>
      <w:r w:rsidRPr="007C054E">
        <w:t xml:space="preserve"> performed an E-R analysis using the monotherapy data from the Phase </w:t>
      </w:r>
      <w:proofErr w:type="spellStart"/>
      <w:r>
        <w:t>II</w:t>
      </w:r>
      <w:r w:rsidRPr="007C054E">
        <w:t>a</w:t>
      </w:r>
      <w:proofErr w:type="spellEnd"/>
      <w:r w:rsidRPr="007C054E">
        <w:t xml:space="preserve"> and </w:t>
      </w:r>
      <w:r>
        <w:t>II</w:t>
      </w:r>
      <w:r w:rsidRPr="007C054E">
        <w:t xml:space="preserve">b trials and selected 600 mg </w:t>
      </w:r>
      <w:r>
        <w:t>twice daily</w:t>
      </w:r>
      <w:r w:rsidRPr="007C054E">
        <w:t xml:space="preserve"> for the Phase </w:t>
      </w:r>
      <w:r>
        <w:t>III</w:t>
      </w:r>
      <w:r w:rsidRPr="007C054E">
        <w:t xml:space="preserve"> trial. The s</w:t>
      </w:r>
      <w:r>
        <w:t>ponsor</w:t>
      </w:r>
      <w:r w:rsidR="00E669B4">
        <w:t>’s</w:t>
      </w:r>
      <w:r w:rsidRPr="007C054E">
        <w:t xml:space="preserve"> proposed dose, 600</w:t>
      </w:r>
      <w:r w:rsidR="00554DE6">
        <w:t> </w:t>
      </w:r>
      <w:r w:rsidRPr="007C054E">
        <w:t>mg twice</w:t>
      </w:r>
      <w:r w:rsidR="00E669B4">
        <w:t> </w:t>
      </w:r>
      <w:r w:rsidRPr="007C054E">
        <w:t xml:space="preserve">daily, was the dose evaluated in the pivotal </w:t>
      </w:r>
      <w:r w:rsidR="00E669B4">
        <w:t xml:space="preserve">study, Study 205888, also known as the </w:t>
      </w:r>
      <w:r w:rsidRPr="007C054E">
        <w:t xml:space="preserve">BRIGHTE </w:t>
      </w:r>
      <w:r w:rsidR="00E669B4">
        <w:t xml:space="preserve">trial, </w:t>
      </w:r>
      <w:r w:rsidRPr="007C054E">
        <w:t>and is considered acceptable.</w:t>
      </w:r>
    </w:p>
    <w:p w14:paraId="435F1D48" w14:textId="2B701129" w:rsidR="007E1246" w:rsidRPr="00AE6B26" w:rsidRDefault="007E1246" w:rsidP="002351E1">
      <w:pPr>
        <w:pStyle w:val="Heading5"/>
      </w:pPr>
      <w:r w:rsidRPr="00AE6B26">
        <w:t>Study 205888</w:t>
      </w:r>
      <w:r w:rsidR="00221983">
        <w:t>0</w:t>
      </w:r>
      <w:r w:rsidRPr="00AE6B26">
        <w:t xml:space="preserve"> (BRIGTE</w:t>
      </w:r>
      <w:r w:rsidR="00B51DCD">
        <w:t xml:space="preserve"> trial</w:t>
      </w:r>
      <w:r w:rsidRPr="00AE6B26">
        <w:t>)</w:t>
      </w:r>
      <w:r w:rsidR="00221983">
        <w:t xml:space="preserve"> (pivotal study)</w:t>
      </w:r>
    </w:p>
    <w:p w14:paraId="32F33C95" w14:textId="7B02AE5D" w:rsidR="007E1246" w:rsidRDefault="007E1246" w:rsidP="007E1246">
      <w:r w:rsidRPr="00CC49B9">
        <w:t>Study 205888</w:t>
      </w:r>
      <w:r w:rsidR="00221983">
        <w:t>0</w:t>
      </w:r>
      <w:r w:rsidR="00E669B4">
        <w:t xml:space="preserve">, also known as the BRIGHTE trial, </w:t>
      </w:r>
      <w:r w:rsidRPr="00CC49B9">
        <w:t xml:space="preserve">is an ongoing Phase </w:t>
      </w:r>
      <w:r>
        <w:t>III</w:t>
      </w:r>
      <w:r w:rsidRPr="00CC49B9">
        <w:t xml:space="preserve"> study conducted in HIV-1-infected </w:t>
      </w:r>
      <w:r w:rsidR="00E669B4">
        <w:t>highly treatment experience (the)</w:t>
      </w:r>
      <w:r w:rsidRPr="00CC49B9">
        <w:t xml:space="preserve"> adult subjects infected with MDR HIV</w:t>
      </w:r>
      <w:r w:rsidR="00E669B4">
        <w:noBreakHyphen/>
      </w:r>
      <w:r w:rsidRPr="00CC49B9">
        <w:t>1. Subjects were assigned to the randomised or non-randomised cohort based on the number of fully active ARV agents that could be used to construc</w:t>
      </w:r>
      <w:r>
        <w:t>t a background regimen</w:t>
      </w:r>
      <w:r w:rsidRPr="00CC49B9">
        <w:t>.</w:t>
      </w:r>
    </w:p>
    <w:p w14:paraId="3867E969" w14:textId="58ED7BEE" w:rsidR="007E1246" w:rsidRDefault="007E1246" w:rsidP="007E1246">
      <w:r>
        <w:t xml:space="preserve">The primary objective was to demonstrate the antiviral effect of </w:t>
      </w:r>
      <w:r w:rsidR="008035D2">
        <w:t>fostemsavir</w:t>
      </w:r>
      <w:r>
        <w:t xml:space="preserve"> relative to placebo, when given on the background of a failing regimen from Day 1 to Day 8 in the randomised cohort. Secondary objectives were assessment of durability of response and assessment of safety.</w:t>
      </w:r>
    </w:p>
    <w:p w14:paraId="29B851B9" w14:textId="6BB2AC04" w:rsidR="00E669B4" w:rsidRDefault="00E669B4" w:rsidP="007E1246">
      <w:r>
        <w:t>The randomised and non-randomised cohorts are described as follows, and the Study 205888 study schema is shown in Figure 3, below.</w:t>
      </w:r>
    </w:p>
    <w:p w14:paraId="407E192D" w14:textId="756DA5D2" w:rsidR="00CE57B3" w:rsidRDefault="00CE57B3" w:rsidP="002351E1">
      <w:pPr>
        <w:pStyle w:val="Heading6"/>
      </w:pPr>
      <w:r>
        <w:t>Cohorts</w:t>
      </w:r>
    </w:p>
    <w:p w14:paraId="05722D5A" w14:textId="30E81F8B" w:rsidR="007E1246" w:rsidRPr="00A04CA4" w:rsidRDefault="007E1246" w:rsidP="00A04CA4">
      <w:pPr>
        <w:pStyle w:val="Heading7"/>
        <w:rPr>
          <w:sz w:val="22"/>
          <w:szCs w:val="28"/>
        </w:rPr>
      </w:pPr>
      <w:r w:rsidRPr="00A04CA4">
        <w:rPr>
          <w:sz w:val="22"/>
          <w:szCs w:val="28"/>
        </w:rPr>
        <w:t xml:space="preserve">Randomised </w:t>
      </w:r>
      <w:r w:rsidR="00181116">
        <w:rPr>
          <w:sz w:val="22"/>
          <w:szCs w:val="28"/>
        </w:rPr>
        <w:t>c</w:t>
      </w:r>
      <w:r w:rsidRPr="00A04CA4">
        <w:rPr>
          <w:sz w:val="22"/>
          <w:szCs w:val="28"/>
        </w:rPr>
        <w:t>ohort</w:t>
      </w:r>
    </w:p>
    <w:p w14:paraId="1DACEB64" w14:textId="268E19FF" w:rsidR="007E1246" w:rsidRDefault="00E669B4" w:rsidP="007E1246">
      <w:pPr>
        <w:pStyle w:val="ListBullet"/>
      </w:pPr>
      <w:r>
        <w:t xml:space="preserve">Highly treatment experienced </w:t>
      </w:r>
      <w:r w:rsidR="007E1246">
        <w:t>subjects with MDR HIV-1 infection on a failing ARV</w:t>
      </w:r>
      <w:r>
        <w:t> </w:t>
      </w:r>
      <w:r w:rsidR="007E1246">
        <w:t xml:space="preserve">regimen. Subjects had ≤ 2 ARV classes remaining with at least </w:t>
      </w:r>
      <w:r w:rsidR="00B51DCD">
        <w:t>one</w:t>
      </w:r>
      <w:r w:rsidR="007E1246">
        <w:t xml:space="preserve"> but no more than </w:t>
      </w:r>
      <w:r w:rsidR="00B51DCD">
        <w:t>two</w:t>
      </w:r>
      <w:r w:rsidR="007E1246">
        <w:t xml:space="preserve"> remaining fully active ARVs which could be effectively combined to form a viable new regimen, based on </w:t>
      </w:r>
      <w:proofErr w:type="gramStart"/>
      <w:r w:rsidR="007E1246">
        <w:t>baseline</w:t>
      </w:r>
      <w:proofErr w:type="gramEnd"/>
      <w:r w:rsidR="007E1246">
        <w:t xml:space="preserve"> or documented historical resistance testing and tolerability and safety concerns.</w:t>
      </w:r>
    </w:p>
    <w:p w14:paraId="0DCF2330" w14:textId="6DD64C63" w:rsidR="007E1246" w:rsidRDefault="007E1246" w:rsidP="007E1246">
      <w:pPr>
        <w:pStyle w:val="ListBullet"/>
      </w:pPr>
      <w:r>
        <w:t xml:space="preserve">Subjects were randomised 3:1 to treatment with </w:t>
      </w:r>
      <w:r w:rsidR="008035D2">
        <w:t>fostemsavir</w:t>
      </w:r>
      <w:r>
        <w:t xml:space="preserve"> 600 mg </w:t>
      </w:r>
      <w:r w:rsidR="000A2C53">
        <w:t xml:space="preserve">twice </w:t>
      </w:r>
      <w:r w:rsidR="00B51DCD">
        <w:t>daily</w:t>
      </w:r>
      <w:r>
        <w:t xml:space="preserve"> or placebo, respectively, in addition to their failing regimen for 8 days.</w:t>
      </w:r>
    </w:p>
    <w:p w14:paraId="5E85A354" w14:textId="348813B8" w:rsidR="007E1246" w:rsidRDefault="007E1246" w:rsidP="007E1246">
      <w:pPr>
        <w:pStyle w:val="ListBullet"/>
      </w:pPr>
      <w:r>
        <w:t>Randomisation was stratified by baseline HIV-1 RNA (≤ 1000 copies/mL or &gt;</w:t>
      </w:r>
      <w:r w:rsidR="00E669B4">
        <w:t> </w:t>
      </w:r>
      <w:r>
        <w:t>1000 copies/mL).</w:t>
      </w:r>
    </w:p>
    <w:p w14:paraId="47D7C4E0" w14:textId="279CA91D" w:rsidR="007E1246" w:rsidRDefault="007E1246" w:rsidP="007E1246">
      <w:pPr>
        <w:pStyle w:val="ListBullet"/>
      </w:pPr>
      <w:r>
        <w:t xml:space="preserve">The primary endpoint was assessed on Day 8 after which all subjects began open label </w:t>
      </w:r>
      <w:r w:rsidR="008035D2">
        <w:t>fostemsavir</w:t>
      </w:r>
      <w:r>
        <w:t xml:space="preserve"> 600 mg twice daily in combination with </w:t>
      </w:r>
      <w:r w:rsidR="00A04CA4">
        <w:t>o</w:t>
      </w:r>
      <w:r w:rsidR="00A04CA4" w:rsidRPr="00A04CA4">
        <w:t>ptimi</w:t>
      </w:r>
      <w:r w:rsidR="00B51DCD">
        <w:t>s</w:t>
      </w:r>
      <w:r w:rsidR="00A04CA4" w:rsidRPr="00A04CA4">
        <w:t xml:space="preserve">ed </w:t>
      </w:r>
      <w:r w:rsidR="00A04CA4">
        <w:t>b</w:t>
      </w:r>
      <w:r w:rsidR="00A04CA4" w:rsidRPr="00A04CA4">
        <w:t xml:space="preserve">ackground </w:t>
      </w:r>
      <w:r w:rsidR="00A04CA4">
        <w:t>t</w:t>
      </w:r>
      <w:r w:rsidR="00A04CA4" w:rsidRPr="00A04CA4">
        <w:t xml:space="preserve">herapy </w:t>
      </w:r>
      <w:r w:rsidR="00A04CA4">
        <w:t>(</w:t>
      </w:r>
      <w:r>
        <w:t>OBT</w:t>
      </w:r>
      <w:r w:rsidR="00A04CA4">
        <w:t>)</w:t>
      </w:r>
      <w:r>
        <w:t>.</w:t>
      </w:r>
    </w:p>
    <w:p w14:paraId="3BA8ACC7" w14:textId="421BAAD1" w:rsidR="007E1246" w:rsidRDefault="007E1246" w:rsidP="007E1246">
      <w:pPr>
        <w:pStyle w:val="ListBullet"/>
      </w:pPr>
      <w:r>
        <w:t xml:space="preserve">Virologic and immunologic responses were followed for at least 96 weeks to assess the durability of treatment with </w:t>
      </w:r>
      <w:r w:rsidR="008035D2">
        <w:t>fostemsavir</w:t>
      </w:r>
      <w:r>
        <w:t>.</w:t>
      </w:r>
    </w:p>
    <w:p w14:paraId="27F34AFB" w14:textId="01DBA6A5" w:rsidR="007E1246" w:rsidRDefault="007E1246" w:rsidP="007E1246">
      <w:pPr>
        <w:pStyle w:val="ListBullet"/>
      </w:pPr>
      <w:r>
        <w:t xml:space="preserve">Data from the </w:t>
      </w:r>
      <w:r w:rsidR="00A04CA4">
        <w:t>r</w:t>
      </w:r>
      <w:r>
        <w:t>andom</w:t>
      </w:r>
      <w:r w:rsidR="0049044F">
        <w:t>is</w:t>
      </w:r>
      <w:r>
        <w:t xml:space="preserve">ed </w:t>
      </w:r>
      <w:r w:rsidR="00A04CA4">
        <w:t>c</w:t>
      </w:r>
      <w:r>
        <w:t>ohort provide the basis for determination of efficacy. This cohort also serves as the primary safety population.</w:t>
      </w:r>
    </w:p>
    <w:p w14:paraId="085E2012" w14:textId="636949A4" w:rsidR="00A04CA4" w:rsidRPr="00A04CA4" w:rsidRDefault="00A04CA4" w:rsidP="00A04CA4">
      <w:pPr>
        <w:pStyle w:val="Heading7"/>
        <w:rPr>
          <w:sz w:val="22"/>
          <w:szCs w:val="28"/>
        </w:rPr>
      </w:pPr>
      <w:r w:rsidRPr="00A04CA4">
        <w:rPr>
          <w:sz w:val="22"/>
          <w:szCs w:val="28"/>
        </w:rPr>
        <w:t xml:space="preserve">Non-randomised </w:t>
      </w:r>
      <w:r w:rsidR="00E669B4">
        <w:rPr>
          <w:sz w:val="22"/>
          <w:szCs w:val="28"/>
        </w:rPr>
        <w:t>c</w:t>
      </w:r>
      <w:r w:rsidRPr="00A04CA4">
        <w:rPr>
          <w:sz w:val="22"/>
          <w:szCs w:val="28"/>
        </w:rPr>
        <w:t>ohort:</w:t>
      </w:r>
    </w:p>
    <w:p w14:paraId="1E00FD40" w14:textId="3331259C" w:rsidR="00A04CA4" w:rsidRDefault="00A04CA4" w:rsidP="00A04CA4">
      <w:pPr>
        <w:pStyle w:val="ListBullet"/>
      </w:pPr>
      <w:r>
        <w:t xml:space="preserve">Subjects began open label </w:t>
      </w:r>
      <w:r w:rsidR="008035D2">
        <w:t>fostemsavir</w:t>
      </w:r>
      <w:r>
        <w:t xml:space="preserve"> 600 mg twice daily and OBT starting on Day 1.</w:t>
      </w:r>
    </w:p>
    <w:p w14:paraId="27004842" w14:textId="6999571E" w:rsidR="00A04CA4" w:rsidRDefault="00A04CA4" w:rsidP="00A04CA4">
      <w:pPr>
        <w:pStyle w:val="ListBullet"/>
      </w:pPr>
      <w:r>
        <w:t xml:space="preserve">Virologic and immunologic responses were followed for at least 96 weeks to assess the durability of treatment with </w:t>
      </w:r>
      <w:r w:rsidR="008035D2">
        <w:t>fostemsavir</w:t>
      </w:r>
      <w:r>
        <w:t>.</w:t>
      </w:r>
    </w:p>
    <w:p w14:paraId="50E0D4CE" w14:textId="0EA1833F" w:rsidR="00A04CA4" w:rsidRDefault="00A04CA4" w:rsidP="00A04CA4">
      <w:pPr>
        <w:pStyle w:val="ListBullet"/>
      </w:pPr>
      <w:r>
        <w:t xml:space="preserve">The purpose of this cohort was to allow access to </w:t>
      </w:r>
      <w:r w:rsidR="008035D2">
        <w:t>fostemsavir</w:t>
      </w:r>
      <w:r>
        <w:t xml:space="preserve"> for individuals with no remaining therapeutic options.</w:t>
      </w:r>
    </w:p>
    <w:p w14:paraId="6FE796F0" w14:textId="5420B9E3" w:rsidR="007E1246" w:rsidRDefault="00A04CA4" w:rsidP="00A04CA4">
      <w:pPr>
        <w:pStyle w:val="ListBullet"/>
      </w:pPr>
      <w:r>
        <w:lastRenderedPageBreak/>
        <w:t>Data from the non-randomised cohort provide safety and supplementary efficacy information. No formal hypothesis testing was conducted.</w:t>
      </w:r>
    </w:p>
    <w:p w14:paraId="3F2A2AE4" w14:textId="593B0393" w:rsidR="00A04CA4" w:rsidRDefault="00A04CA4" w:rsidP="00A04CA4">
      <w:pPr>
        <w:pStyle w:val="FigureTitle"/>
      </w:pPr>
      <w:r w:rsidRPr="00A04CA4">
        <w:t xml:space="preserve">Figure </w:t>
      </w:r>
      <w:r w:rsidR="00C85163">
        <w:fldChar w:fldCharType="begin"/>
      </w:r>
      <w:r w:rsidR="00C85163">
        <w:instrText xml:space="preserve"> SEQ Figure \* ARABIC </w:instrText>
      </w:r>
      <w:r w:rsidR="00C85163">
        <w:fldChar w:fldCharType="separate"/>
      </w:r>
      <w:r w:rsidR="00C0134B">
        <w:rPr>
          <w:noProof/>
        </w:rPr>
        <w:t>3</w:t>
      </w:r>
      <w:r w:rsidR="00C85163">
        <w:rPr>
          <w:noProof/>
        </w:rPr>
        <w:fldChar w:fldCharType="end"/>
      </w:r>
      <w:r>
        <w:t>: Study 205888</w:t>
      </w:r>
      <w:r w:rsidR="00221983">
        <w:t>0</w:t>
      </w:r>
      <w:r>
        <w:t xml:space="preserve"> </w:t>
      </w:r>
      <w:r w:rsidR="00E669B4">
        <w:t>D</w:t>
      </w:r>
      <w:r>
        <w:t>esign schema</w:t>
      </w:r>
    </w:p>
    <w:p w14:paraId="155358F4" w14:textId="381EBB26" w:rsidR="00A04CA4" w:rsidRDefault="00A04CA4" w:rsidP="00A04CA4">
      <w:r w:rsidRPr="00510533">
        <w:rPr>
          <w:noProof/>
          <w:lang w:val="en-GB" w:eastAsia="en-GB"/>
        </w:rPr>
        <w:drawing>
          <wp:inline distT="0" distB="0" distL="0" distR="0" wp14:anchorId="39B0C57F" wp14:editId="3794CE6B">
            <wp:extent cx="5175849" cy="3109053"/>
            <wp:effectExtent l="0" t="0" r="6350" b="0"/>
            <wp:docPr id="5" name="Picture 5" title="Study 205888 Design sch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3">
                      <a:extLst>
                        <a:ext uri="{28A0092B-C50C-407E-A947-70E740481C1C}">
                          <a14:useLocalDpi xmlns:a14="http://schemas.microsoft.com/office/drawing/2010/main" val="0"/>
                        </a:ext>
                      </a:extLst>
                    </a:blip>
                    <a:srcRect l="2875" t="2172" r="1259"/>
                    <a:stretch/>
                  </pic:blipFill>
                  <pic:spPr bwMode="auto">
                    <a:xfrm>
                      <a:off x="0" y="0"/>
                      <a:ext cx="5176751" cy="3109595"/>
                    </a:xfrm>
                    <a:prstGeom prst="rect">
                      <a:avLst/>
                    </a:prstGeom>
                    <a:noFill/>
                    <a:ln>
                      <a:noFill/>
                    </a:ln>
                    <a:extLst>
                      <a:ext uri="{53640926-AAD7-44D8-BBD7-CCE9431645EC}">
                        <a14:shadowObscured xmlns:a14="http://schemas.microsoft.com/office/drawing/2010/main"/>
                      </a:ext>
                    </a:extLst>
                  </pic:spPr>
                </pic:pic>
              </a:graphicData>
            </a:graphic>
          </wp:inline>
        </w:drawing>
      </w:r>
    </w:p>
    <w:p w14:paraId="4BECDC92" w14:textId="0E75699C" w:rsidR="00A04CA4" w:rsidRPr="00A04CA4" w:rsidRDefault="00A04CA4" w:rsidP="002351E1">
      <w:pPr>
        <w:pStyle w:val="Heading6"/>
      </w:pPr>
      <w:r w:rsidRPr="00A04CA4">
        <w:t>Treatments</w:t>
      </w:r>
    </w:p>
    <w:p w14:paraId="58D69C63" w14:textId="64225522" w:rsidR="00A04CA4" w:rsidRDefault="00A04CA4" w:rsidP="00A04CA4">
      <w:r>
        <w:t xml:space="preserve">Subjects in the randomised cohort received one tablet 600 mg </w:t>
      </w:r>
      <w:r w:rsidR="008035D2">
        <w:t>fostemsavir</w:t>
      </w:r>
      <w:r>
        <w:t xml:space="preserve"> or placebo orally twice daily from Day 1 to Day 8 together with their current failing regimen. From Day 9, subjects were administered one tablet 600 mg </w:t>
      </w:r>
      <w:r w:rsidR="008035D2">
        <w:t>fostemsavir</w:t>
      </w:r>
      <w:r>
        <w:t xml:space="preserve"> orally twice daily plus the OBT. Patients of the non-randomised cohort started taking 600 mg </w:t>
      </w:r>
      <w:r w:rsidR="008035D2">
        <w:t>fostemsavir</w:t>
      </w:r>
      <w:r>
        <w:t xml:space="preserve"> orally twice daily with OBT from Day 1. </w:t>
      </w:r>
      <w:r w:rsidR="008035D2">
        <w:t>Fostemsavir</w:t>
      </w:r>
      <w:r>
        <w:t xml:space="preserve"> was taken with or without food. Other investigational products were only allowed in the non-randomised cohort.</w:t>
      </w:r>
    </w:p>
    <w:p w14:paraId="3C3A6984" w14:textId="16B28811" w:rsidR="00A04CA4" w:rsidRDefault="00A04CA4" w:rsidP="00A04CA4">
      <w:r>
        <w:t xml:space="preserve">The formulation used in the Phase III is </w:t>
      </w:r>
      <w:r w:rsidR="008303C3">
        <w:t xml:space="preserve">equivalent </w:t>
      </w:r>
      <w:r>
        <w:t xml:space="preserve">to </w:t>
      </w:r>
      <w:r w:rsidR="00854B61">
        <w:t>the</w:t>
      </w:r>
      <w:r>
        <w:t xml:space="preserve"> marketed 600 mg prolonged release formulation which differs from the formulation used in the Phase IIb study. The 600</w:t>
      </w:r>
      <w:r w:rsidR="00554DE6">
        <w:t> </w:t>
      </w:r>
      <w:r>
        <w:t>mg twice daily prolonged release regimen ha</w:t>
      </w:r>
      <w:r w:rsidR="00854B61">
        <w:t>d</w:t>
      </w:r>
      <w:r>
        <w:t xml:space="preserve"> not been studied clinically</w:t>
      </w:r>
      <w:r w:rsidR="00854B61">
        <w:t xml:space="preserve"> prior to Phase </w:t>
      </w:r>
      <w:r w:rsidR="00221983">
        <w:t>III</w:t>
      </w:r>
      <w:r>
        <w:t xml:space="preserve">, but </w:t>
      </w:r>
      <w:r w:rsidR="00854B61">
        <w:t>was</w:t>
      </w:r>
      <w:r>
        <w:t xml:space="preserve"> selected based on modelling of E-R relationships on the one hand and on the assessment of risk of QT-interval prolongation on the other hand, using an integrated approach.</w:t>
      </w:r>
    </w:p>
    <w:p w14:paraId="0DFE6584" w14:textId="59DE335A" w:rsidR="00A04CA4" w:rsidRDefault="00A04CA4" w:rsidP="00A04CA4">
      <w:r>
        <w:t xml:space="preserve">The primary endpoint </w:t>
      </w:r>
      <w:r w:rsidR="00854B61">
        <w:t xml:space="preserve">of the Phase </w:t>
      </w:r>
      <w:r w:rsidR="00221983">
        <w:t>III</w:t>
      </w:r>
      <w:r w:rsidR="00854B61">
        <w:t xml:space="preserve"> </w:t>
      </w:r>
      <w:r w:rsidR="00221983">
        <w:t>S</w:t>
      </w:r>
      <w:r w:rsidR="00854B61">
        <w:t xml:space="preserve">tudy 2058880 </w:t>
      </w:r>
      <w:r>
        <w:t>was the mean change of log</w:t>
      </w:r>
      <w:r w:rsidRPr="00A04CA4">
        <w:rPr>
          <w:vertAlign w:val="subscript"/>
        </w:rPr>
        <w:t>10</w:t>
      </w:r>
      <w:r>
        <w:t xml:space="preserve"> HIV-1 RNA (copies/ml) relative to placebo from Day 1 (Baseline) to Day 8 in the randomised cohort. The key secondary endpoint was the proportion of subjects with HIV</w:t>
      </w:r>
      <w:r w:rsidR="00221983">
        <w:noBreakHyphen/>
      </w:r>
      <w:r>
        <w:t xml:space="preserve">1 RNA &lt; 40 copies/ml over time (Week 24, 48 and 96) in both cohorts using the </w:t>
      </w:r>
      <w:r w:rsidR="00221983">
        <w:t>US </w:t>
      </w:r>
      <w:r w:rsidRPr="00A04CA4">
        <w:t>Food and Drug Administration</w:t>
      </w:r>
      <w:r>
        <w:t xml:space="preserve"> (FDA) snapshot algorithm in which subjects without an HIV-1 RNA value at the relevant time point or those who changed OBT due to lack of efficacy were considered as failures.</w:t>
      </w:r>
    </w:p>
    <w:p w14:paraId="084CDE35" w14:textId="3C64F74F" w:rsidR="00A04CA4" w:rsidRPr="00A04CA4" w:rsidRDefault="00A04CA4" w:rsidP="002351E1">
      <w:pPr>
        <w:pStyle w:val="Heading6"/>
      </w:pPr>
      <w:r w:rsidRPr="00A04CA4">
        <w:t xml:space="preserve">Inclusion </w:t>
      </w:r>
      <w:r w:rsidR="00221983">
        <w:t>c</w:t>
      </w:r>
      <w:r w:rsidRPr="00A04CA4">
        <w:t>riteria</w:t>
      </w:r>
    </w:p>
    <w:p w14:paraId="07F53C33" w14:textId="3CFDA98C" w:rsidR="00A04CA4" w:rsidRDefault="00A04CA4" w:rsidP="008B1B9C">
      <w:pPr>
        <w:pStyle w:val="ListBullet"/>
      </w:pPr>
      <w:r w:rsidRPr="009504C4">
        <w:t>Men and nonpregnant women at least 18 years of age</w:t>
      </w:r>
    </w:p>
    <w:p w14:paraId="661312B1" w14:textId="77777777" w:rsidR="00A04CA4" w:rsidRDefault="00A04CA4" w:rsidP="008B1B9C">
      <w:pPr>
        <w:pStyle w:val="ListBullet"/>
      </w:pPr>
      <w:proofErr w:type="gramStart"/>
      <w:r w:rsidRPr="009504C4">
        <w:t>Antiretroviral-experienced</w:t>
      </w:r>
      <w:proofErr w:type="gramEnd"/>
      <w:r w:rsidRPr="009504C4">
        <w:t xml:space="preserve"> with documented historical or baseline resistance, intolerability, and/or contraindications to ARVs in at least three classes. </w:t>
      </w:r>
    </w:p>
    <w:p w14:paraId="04C109EA" w14:textId="2D66FF21" w:rsidR="00A04CA4" w:rsidRDefault="00A04CA4" w:rsidP="008B1B9C">
      <w:pPr>
        <w:pStyle w:val="ListBullet"/>
      </w:pPr>
      <w:r w:rsidRPr="009504C4">
        <w:t>Failing current ARV regimen with a confirmed plasma HIV-1 RNA ≥</w:t>
      </w:r>
      <w:r w:rsidR="008B1B9C">
        <w:t xml:space="preserve"> </w:t>
      </w:r>
      <w:r w:rsidRPr="009504C4">
        <w:t>400 copies/mL (first value from Investigator within 6 months of Screening visit, with the second value obtained from screening labs). Subjects with a Screening HIV-1 RNA &lt;</w:t>
      </w:r>
      <w:r w:rsidR="008B1B9C">
        <w:t xml:space="preserve"> </w:t>
      </w:r>
      <w:r w:rsidRPr="009504C4">
        <w:t>400 copies/mL should be counted as screen failures; repeat testing is not permissible.</w:t>
      </w:r>
    </w:p>
    <w:p w14:paraId="7CA601EA" w14:textId="087075F5" w:rsidR="00A04CA4" w:rsidRPr="009504C4" w:rsidRDefault="00854B61" w:rsidP="00854B61">
      <w:pPr>
        <w:pStyle w:val="ListBullet"/>
      </w:pPr>
      <w:r>
        <w:lastRenderedPageBreak/>
        <w:t>Subjects in the randomised cohort m</w:t>
      </w:r>
      <w:r w:rsidR="00A04CA4" w:rsidRPr="009504C4">
        <w:t xml:space="preserve">ust have at least </w:t>
      </w:r>
      <w:r w:rsidR="008B1B9C">
        <w:t>one</w:t>
      </w:r>
      <w:r w:rsidR="00A04CA4" w:rsidRPr="009504C4">
        <w:t xml:space="preserve"> fully active and available agent in ≤</w:t>
      </w:r>
      <w:r w:rsidR="008B1B9C">
        <w:t xml:space="preserve"> two</w:t>
      </w:r>
      <w:r w:rsidR="00A04CA4" w:rsidRPr="009504C4">
        <w:t xml:space="preserve"> ARV classes, based on current and/or documented historical resistance testing, </w:t>
      </w:r>
      <w:proofErr w:type="gramStart"/>
      <w:r w:rsidR="00A04CA4" w:rsidRPr="009504C4">
        <w:t>taking into account</w:t>
      </w:r>
      <w:proofErr w:type="gramEnd"/>
      <w:r w:rsidR="00A04CA4" w:rsidRPr="009504C4">
        <w:t xml:space="preserve"> tolerability and other safety concerns. </w:t>
      </w:r>
      <w:r>
        <w:t xml:space="preserve">Subjects without any remaining fully active approved antiretrovirals may be enrolled in the non-randomised cohort. </w:t>
      </w:r>
      <w:r w:rsidR="00A04CA4" w:rsidRPr="009504C4">
        <w:t xml:space="preserve">Details regarding the determination of ARV activity are provided in element </w:t>
      </w:r>
      <w:r w:rsidR="00B51DCD">
        <w:t>eight</w:t>
      </w:r>
      <w:r w:rsidR="00A04CA4" w:rsidRPr="009504C4">
        <w:t xml:space="preserve"> of the inclusion criteria </w:t>
      </w:r>
    </w:p>
    <w:p w14:paraId="07A458C9" w14:textId="5D69ECD4" w:rsidR="00A04CA4" w:rsidRPr="008B1B9C" w:rsidRDefault="00A04CA4" w:rsidP="002351E1">
      <w:pPr>
        <w:pStyle w:val="Heading6"/>
      </w:pPr>
      <w:r w:rsidRPr="008B1B9C">
        <w:t xml:space="preserve">Exclusion </w:t>
      </w:r>
      <w:r w:rsidR="00221983">
        <w:t>c</w:t>
      </w:r>
      <w:r w:rsidRPr="008B1B9C">
        <w:t>riteria</w:t>
      </w:r>
    </w:p>
    <w:p w14:paraId="46EEC45A" w14:textId="43AF5D07" w:rsidR="00A04CA4" w:rsidRDefault="00A04CA4" w:rsidP="008B1B9C">
      <w:pPr>
        <w:pStyle w:val="ListBullet"/>
      </w:pPr>
      <w:r>
        <w:t>Chronic untreated hepatitis B virus (HBV</w:t>
      </w:r>
      <w:r w:rsidR="00221983">
        <w:t xml:space="preserve">; </w:t>
      </w:r>
      <w:r>
        <w:t>however, patients with chronic treated HBV are eligible)</w:t>
      </w:r>
    </w:p>
    <w:p w14:paraId="50EF866A" w14:textId="77777777" w:rsidR="00A04CA4" w:rsidRDefault="00A04CA4" w:rsidP="008B1B9C">
      <w:pPr>
        <w:pStyle w:val="ListBullet"/>
      </w:pPr>
      <w:r>
        <w:t>History of decompensated cirrhosis or active decompensated cirrhosis</w:t>
      </w:r>
    </w:p>
    <w:p w14:paraId="1004628F" w14:textId="77777777" w:rsidR="00A04CA4" w:rsidRDefault="00A04CA4" w:rsidP="008B1B9C">
      <w:pPr>
        <w:pStyle w:val="ListBullet"/>
      </w:pPr>
      <w:r>
        <w:t>History of congestive heart failure or congenital prolonged QT syndrome</w:t>
      </w:r>
    </w:p>
    <w:p w14:paraId="1345B775" w14:textId="77777777" w:rsidR="00A04CA4" w:rsidRDefault="00A04CA4" w:rsidP="008B1B9C">
      <w:pPr>
        <w:pStyle w:val="ListBullet"/>
      </w:pPr>
      <w:r>
        <w:t>Electrocardiogram abnormalities</w:t>
      </w:r>
    </w:p>
    <w:p w14:paraId="749BBD1F" w14:textId="584B35BE" w:rsidR="00A04CA4" w:rsidRDefault="00A04CA4" w:rsidP="008B1B9C">
      <w:pPr>
        <w:pStyle w:val="ListBullet2"/>
      </w:pPr>
      <w:r>
        <w:t>QT abnormalities: Confirmed QT value &gt;</w:t>
      </w:r>
      <w:r w:rsidR="00D678A3">
        <w:t xml:space="preserve"> </w:t>
      </w:r>
      <w:r>
        <w:t xml:space="preserve">500 ms at </w:t>
      </w:r>
      <w:r w:rsidR="00D678A3">
        <w:t>s</w:t>
      </w:r>
      <w:r>
        <w:t xml:space="preserve">creening or Day 1; Confirmed </w:t>
      </w:r>
      <w:proofErr w:type="spellStart"/>
      <w:r>
        <w:t>QTcF</w:t>
      </w:r>
      <w:proofErr w:type="spellEnd"/>
      <w:r>
        <w:t xml:space="preserve"> value &gt;</w:t>
      </w:r>
      <w:r w:rsidR="00B51DCD">
        <w:t xml:space="preserve"> </w:t>
      </w:r>
      <w:r>
        <w:t>470 ms for women and &gt;</w:t>
      </w:r>
      <w:r w:rsidR="00B51DCD">
        <w:t xml:space="preserve"> </w:t>
      </w:r>
      <w:r>
        <w:t>450 ms for men at Screening or Day 1</w:t>
      </w:r>
    </w:p>
    <w:p w14:paraId="15B34241" w14:textId="7EF590A6" w:rsidR="00A04CA4" w:rsidRDefault="00A04CA4" w:rsidP="008B1B9C">
      <w:pPr>
        <w:pStyle w:val="ListBullet2"/>
      </w:pPr>
      <w:r>
        <w:t xml:space="preserve">Confirmed PR </w:t>
      </w:r>
      <w:r w:rsidR="00221983">
        <w:t>i</w:t>
      </w:r>
      <w:r>
        <w:t>nterval &gt;</w:t>
      </w:r>
      <w:r w:rsidR="00221983">
        <w:t> </w:t>
      </w:r>
      <w:r>
        <w:t xml:space="preserve">260 </w:t>
      </w:r>
      <w:proofErr w:type="spellStart"/>
      <w:r>
        <w:t>ms</w:t>
      </w:r>
      <w:proofErr w:type="spellEnd"/>
      <w:r>
        <w:t xml:space="preserve"> (severe </w:t>
      </w:r>
      <w:r w:rsidR="00221983">
        <w:t>first</w:t>
      </w:r>
      <w:r>
        <w:t xml:space="preserve"> degree </w:t>
      </w:r>
      <w:r w:rsidR="00221983">
        <w:t>atrioventricular (</w:t>
      </w:r>
      <w:r>
        <w:t>AV</w:t>
      </w:r>
      <w:r w:rsidR="00221983">
        <w:t>)</w:t>
      </w:r>
      <w:r>
        <w:t xml:space="preserve"> block) at </w:t>
      </w:r>
      <w:r w:rsidR="00D678A3">
        <w:t>s</w:t>
      </w:r>
      <w:r>
        <w:t>creening or Day 1</w:t>
      </w:r>
    </w:p>
    <w:p w14:paraId="190171FC" w14:textId="3C6C2EAE" w:rsidR="00A04CA4" w:rsidRDefault="00A04CA4" w:rsidP="008B1B9C">
      <w:pPr>
        <w:pStyle w:val="ListBullet2"/>
      </w:pPr>
      <w:r>
        <w:t xml:space="preserve">Confirmed second or </w:t>
      </w:r>
      <w:proofErr w:type="gramStart"/>
      <w:r>
        <w:t>third degree</w:t>
      </w:r>
      <w:proofErr w:type="gramEnd"/>
      <w:r>
        <w:t xml:space="preserve"> heart block at </w:t>
      </w:r>
      <w:r w:rsidR="00D678A3">
        <w:t>s</w:t>
      </w:r>
      <w:r>
        <w:t>creening or Day 1</w:t>
      </w:r>
    </w:p>
    <w:p w14:paraId="677E9721" w14:textId="77777777" w:rsidR="00A04CA4" w:rsidRDefault="00A04CA4" w:rsidP="008B1B9C">
      <w:pPr>
        <w:pStyle w:val="ListBullet"/>
      </w:pPr>
      <w:r>
        <w:t xml:space="preserve">Laboratory evidence of hepatic impairment, significant </w:t>
      </w:r>
      <w:proofErr w:type="gramStart"/>
      <w:r>
        <w:t>anaemia</w:t>
      </w:r>
      <w:proofErr w:type="gramEnd"/>
      <w:r>
        <w:t xml:space="preserve"> or significant thrombocytopenia</w:t>
      </w:r>
    </w:p>
    <w:p w14:paraId="7E78AADF" w14:textId="0123FE45" w:rsidR="00A04CA4" w:rsidRPr="00D678A3" w:rsidRDefault="00A04CA4" w:rsidP="002351E1">
      <w:pPr>
        <w:pStyle w:val="Heading6"/>
      </w:pPr>
      <w:r w:rsidRPr="00D678A3">
        <w:t xml:space="preserve">Statistical </w:t>
      </w:r>
      <w:r w:rsidR="00221983">
        <w:t>a</w:t>
      </w:r>
      <w:r w:rsidRPr="00D678A3">
        <w:t xml:space="preserve">nalysis </w:t>
      </w:r>
      <w:r w:rsidR="00221983">
        <w:t>p</w:t>
      </w:r>
      <w:r w:rsidRPr="00D678A3">
        <w:t>lan</w:t>
      </w:r>
    </w:p>
    <w:p w14:paraId="76401DB3" w14:textId="29A1C802" w:rsidR="00A04CA4" w:rsidRDefault="00A04CA4" w:rsidP="00A04CA4">
      <w:r w:rsidRPr="00704510">
        <w:t xml:space="preserve">The primary efficacy endpoint was assessed in the </w:t>
      </w:r>
      <w:r w:rsidR="00D678A3">
        <w:t>r</w:t>
      </w:r>
      <w:r w:rsidRPr="00704510">
        <w:t>andomi</w:t>
      </w:r>
      <w:r w:rsidR="00D678A3">
        <w:t>s</w:t>
      </w:r>
      <w:r w:rsidRPr="00704510">
        <w:t xml:space="preserve">ed </w:t>
      </w:r>
      <w:r w:rsidR="00D678A3">
        <w:t>c</w:t>
      </w:r>
      <w:r w:rsidRPr="00704510">
        <w:t xml:space="preserve">ohort. The study was designed to show superior antiviral activity of </w:t>
      </w:r>
      <w:r w:rsidR="008035D2">
        <w:t>fostemsavir</w:t>
      </w:r>
      <w:r w:rsidRPr="00704510">
        <w:t xml:space="preserve"> compared to placebo when combined with a failing regimen over a period of </w:t>
      </w:r>
      <w:r w:rsidR="00D678A3">
        <w:t>eight</w:t>
      </w:r>
      <w:r w:rsidRPr="00704510">
        <w:t xml:space="preserve"> days. At least 140 subjects were planned to be randomi</w:t>
      </w:r>
      <w:r w:rsidR="00D678A3">
        <w:t>s</w:t>
      </w:r>
      <w:r w:rsidRPr="00704510">
        <w:t xml:space="preserve">ed 3:1 to </w:t>
      </w:r>
      <w:r w:rsidR="008035D2">
        <w:t>fostemsavir</w:t>
      </w:r>
      <w:r w:rsidRPr="00704510">
        <w:t xml:space="preserve"> or placebo. Log</w:t>
      </w:r>
      <w:r w:rsidRPr="00D678A3">
        <w:rPr>
          <w:vertAlign w:val="subscript"/>
        </w:rPr>
        <w:t>10</w:t>
      </w:r>
      <w:r w:rsidRPr="00704510">
        <w:t xml:space="preserve"> HIV-1 RNA change from Day 1 to Day 8 was calculated using the HIV-1 RNA value closest to Day 8, and within an analysis visit window inclusive of Day 6 through Day 10 of blinded treatment. All tests were performed at the </w:t>
      </w:r>
      <w:proofErr w:type="gramStart"/>
      <w:r w:rsidRPr="00704510">
        <w:t>two</w:t>
      </w:r>
      <w:r w:rsidR="00D678A3">
        <w:t xml:space="preserve"> </w:t>
      </w:r>
      <w:r w:rsidRPr="00704510">
        <w:t>sided</w:t>
      </w:r>
      <w:proofErr w:type="gramEnd"/>
      <w:r w:rsidRPr="00704510">
        <w:t xml:space="preserve"> 0.05 alpha level. The </w:t>
      </w:r>
      <w:r w:rsidR="00D678A3">
        <w:t>i</w:t>
      </w:r>
      <w:r w:rsidRPr="00704510">
        <w:t>ntent</w:t>
      </w:r>
      <w:r w:rsidR="00D678A3">
        <w:t xml:space="preserve"> </w:t>
      </w:r>
      <w:r w:rsidRPr="00704510">
        <w:t>to</w:t>
      </w:r>
      <w:r w:rsidR="00D678A3">
        <w:t xml:space="preserve"> t</w:t>
      </w:r>
      <w:r w:rsidRPr="00704510">
        <w:t>reat</w:t>
      </w:r>
      <w:r w:rsidR="00D678A3">
        <w:t xml:space="preserve"> (ITT)</w:t>
      </w:r>
      <w:r w:rsidRPr="00704510">
        <w:t xml:space="preserve">, </w:t>
      </w:r>
      <w:r w:rsidR="00D678A3">
        <w:t>e</w:t>
      </w:r>
      <w:r w:rsidRPr="00704510">
        <w:t>xposed population consisted of all randomi</w:t>
      </w:r>
      <w:r w:rsidR="00D678A3">
        <w:t>s</w:t>
      </w:r>
      <w:r w:rsidRPr="00704510">
        <w:t xml:space="preserve">ed subjects who received at least one dose of study medication and was used for the primary analysis of efficacy. For the </w:t>
      </w:r>
      <w:r w:rsidR="00D678A3">
        <w:t>r</w:t>
      </w:r>
      <w:r w:rsidRPr="00704510">
        <w:t>andomi</w:t>
      </w:r>
      <w:r w:rsidR="00D678A3">
        <w:t>s</w:t>
      </w:r>
      <w:r w:rsidRPr="00704510">
        <w:t xml:space="preserve">ed </w:t>
      </w:r>
      <w:r w:rsidR="00D678A3">
        <w:t>c</w:t>
      </w:r>
      <w:r w:rsidRPr="00704510">
        <w:t xml:space="preserve">ohort, the </w:t>
      </w:r>
      <w:r w:rsidR="00D678A3">
        <w:t>ITT</w:t>
      </w:r>
      <w:r w:rsidRPr="00704510">
        <w:t xml:space="preserve">, </w:t>
      </w:r>
      <w:r w:rsidR="00D678A3">
        <w:t>e</w:t>
      </w:r>
      <w:r w:rsidRPr="00704510">
        <w:t>xposed population was based on the treatment to which the subject was randomi</w:t>
      </w:r>
      <w:r w:rsidR="00D678A3">
        <w:t>s</w:t>
      </w:r>
      <w:r w:rsidRPr="00704510">
        <w:t xml:space="preserve">ed (placebo or </w:t>
      </w:r>
      <w:r w:rsidR="008035D2">
        <w:t>fostemsavir</w:t>
      </w:r>
      <w:r w:rsidRPr="00704510">
        <w:t xml:space="preserve">) regardless of the treatment the subject </w:t>
      </w:r>
      <w:proofErr w:type="gramStart"/>
      <w:r w:rsidRPr="00704510">
        <w:t>actually received</w:t>
      </w:r>
      <w:proofErr w:type="gramEnd"/>
      <w:r w:rsidRPr="00704510">
        <w:t>.</w:t>
      </w:r>
    </w:p>
    <w:p w14:paraId="14C0636D" w14:textId="5F6651E2" w:rsidR="00A04CA4" w:rsidRDefault="00A04CA4" w:rsidP="00A04CA4">
      <w:r w:rsidRPr="006001AD">
        <w:t>Key secondary efficacy analyses of the randomi</w:t>
      </w:r>
      <w:r w:rsidR="00D678A3">
        <w:t>s</w:t>
      </w:r>
      <w:r w:rsidRPr="006001AD">
        <w:t xml:space="preserve">ed </w:t>
      </w:r>
      <w:proofErr w:type="gramStart"/>
      <w:r w:rsidRPr="006001AD">
        <w:t>double</w:t>
      </w:r>
      <w:r w:rsidR="00D678A3">
        <w:t xml:space="preserve"> </w:t>
      </w:r>
      <w:r w:rsidRPr="006001AD">
        <w:t>blind</w:t>
      </w:r>
      <w:proofErr w:type="gramEnd"/>
      <w:r w:rsidRPr="006001AD">
        <w:t xml:space="preserve"> phase at Day 8 included a comparison of the percentage of subjects with an HIV-1 RNA decline &gt;</w:t>
      </w:r>
      <w:r w:rsidR="00D678A3">
        <w:t xml:space="preserve"> </w:t>
      </w:r>
      <w:r w:rsidRPr="006001AD">
        <w:t>0.5 log</w:t>
      </w:r>
      <w:r w:rsidRPr="00D678A3">
        <w:rPr>
          <w:vertAlign w:val="subscript"/>
        </w:rPr>
        <w:t>10</w:t>
      </w:r>
      <w:r w:rsidRPr="006001AD">
        <w:t xml:space="preserve"> and &gt;</w:t>
      </w:r>
      <w:r w:rsidR="00D678A3">
        <w:t> </w:t>
      </w:r>
      <w:r w:rsidRPr="006001AD">
        <w:t>1</w:t>
      </w:r>
      <w:r w:rsidR="00D678A3">
        <w:t> </w:t>
      </w:r>
      <w:r w:rsidRPr="006001AD">
        <w:t>log</w:t>
      </w:r>
      <w:r w:rsidRPr="00D678A3">
        <w:rPr>
          <w:vertAlign w:val="subscript"/>
        </w:rPr>
        <w:t>10</w:t>
      </w:r>
      <w:r w:rsidRPr="006001AD">
        <w:t xml:space="preserve"> copies/mL from </w:t>
      </w:r>
      <w:r w:rsidR="00D678A3">
        <w:t>B</w:t>
      </w:r>
      <w:r w:rsidRPr="006001AD">
        <w:t xml:space="preserve">aseline in the </w:t>
      </w:r>
      <w:r w:rsidR="008035D2">
        <w:t>fostemsavir</w:t>
      </w:r>
      <w:r w:rsidRPr="006001AD">
        <w:t xml:space="preserve"> and placebo groups. Secondary assessments also included safety, durability of virologic response, immunologic response, and emergence of resistance to the investigational drug and other drugs in the regimen.</w:t>
      </w:r>
      <w:r w:rsidRPr="00E9565D">
        <w:t xml:space="preserve"> </w:t>
      </w:r>
      <w:r w:rsidRPr="00545AC2">
        <w:t>These secondary assessments occurred</w:t>
      </w:r>
      <w:r>
        <w:t xml:space="preserve"> </w:t>
      </w:r>
      <w:r w:rsidRPr="00545AC2">
        <w:t xml:space="preserve">24, 48, and 96 weeks from the time point subjects in both groups of the </w:t>
      </w:r>
      <w:r w:rsidR="00D678A3">
        <w:t>r</w:t>
      </w:r>
      <w:r w:rsidRPr="00545AC2">
        <w:t>andomi</w:t>
      </w:r>
      <w:r w:rsidR="00D678A3">
        <w:t>s</w:t>
      </w:r>
      <w:r w:rsidRPr="00545AC2">
        <w:t xml:space="preserve">ed </w:t>
      </w:r>
      <w:r w:rsidR="00D678A3">
        <w:t>c</w:t>
      </w:r>
      <w:r w:rsidRPr="00545AC2">
        <w:t>ohort received open</w:t>
      </w:r>
      <w:r w:rsidR="008035D2">
        <w:t xml:space="preserve"> </w:t>
      </w:r>
      <w:r w:rsidRPr="00545AC2">
        <w:t xml:space="preserve">label </w:t>
      </w:r>
      <w:r w:rsidR="008035D2">
        <w:t>fostemsavir</w:t>
      </w:r>
      <w:r w:rsidRPr="00545AC2">
        <w:t xml:space="preserve"> in combination with OBT (extension phase).</w:t>
      </w:r>
    </w:p>
    <w:p w14:paraId="33B308C4" w14:textId="4ADAAA29" w:rsidR="00A04CA4" w:rsidRDefault="00A04CA4" w:rsidP="00A04CA4">
      <w:r>
        <w:t>For the open</w:t>
      </w:r>
      <w:r w:rsidR="00D678A3">
        <w:t xml:space="preserve"> </w:t>
      </w:r>
      <w:r>
        <w:t>label, single arm, Non-randomi</w:t>
      </w:r>
      <w:r w:rsidR="00D678A3">
        <w:t>s</w:t>
      </w:r>
      <w:r>
        <w:t xml:space="preserve">ed </w:t>
      </w:r>
      <w:r w:rsidR="00D678A3">
        <w:t>c</w:t>
      </w:r>
      <w:r>
        <w:t xml:space="preserve">ohort, the durability of virologic response and immunologic response with </w:t>
      </w:r>
      <w:r w:rsidR="008035D2">
        <w:t>fostemsavir</w:t>
      </w:r>
      <w:r>
        <w:t xml:space="preserve"> in combination with OBT was summarised at Week 24, 48, and 96.</w:t>
      </w:r>
    </w:p>
    <w:p w14:paraId="76641B92" w14:textId="5CDE59E8" w:rsidR="00A04CA4" w:rsidRDefault="00A04CA4" w:rsidP="00A04CA4">
      <w:r>
        <w:t xml:space="preserve">Subgroup analyses were performed to assess the consistency of the primary efficacy analysis in the </w:t>
      </w:r>
      <w:r w:rsidR="00D678A3">
        <w:t>r</w:t>
      </w:r>
      <w:r>
        <w:t>andomi</w:t>
      </w:r>
      <w:r w:rsidR="00445D4F">
        <w:t>s</w:t>
      </w:r>
      <w:r>
        <w:t xml:space="preserve">ed </w:t>
      </w:r>
      <w:r w:rsidR="00D678A3">
        <w:t>c</w:t>
      </w:r>
      <w:r>
        <w:t>ohort. Subgroups of interest included HIV-1 RNA categories at Day 1, CD4</w:t>
      </w:r>
      <w:r w:rsidRPr="00D678A3">
        <w:rPr>
          <w:vertAlign w:val="superscript"/>
        </w:rPr>
        <w:t>+</w:t>
      </w:r>
      <w:r>
        <w:t xml:space="preserve"> T cell categories at Day 1, HIV-1 subtype, age group, gender,</w:t>
      </w:r>
      <w:r w:rsidR="00F2085C">
        <w:t xml:space="preserve"> race,</w:t>
      </w:r>
      <w:r>
        <w:t xml:space="preserve"> geographic region, number of fully active ARVs in the initial OBT, number of baseline polymorphisms of interest in the gp160 domain</w:t>
      </w:r>
      <w:r w:rsidR="00E45AE0">
        <w:t>, and TMR IC</w:t>
      </w:r>
      <w:r w:rsidR="00E45AE0" w:rsidRPr="002351E1">
        <w:rPr>
          <w:vertAlign w:val="subscript"/>
        </w:rPr>
        <w:t>50</w:t>
      </w:r>
      <w:r>
        <w:t>.</w:t>
      </w:r>
    </w:p>
    <w:p w14:paraId="79829E1B" w14:textId="77777777" w:rsidR="00A04CA4" w:rsidRPr="00D678A3" w:rsidRDefault="00A04CA4" w:rsidP="002351E1">
      <w:pPr>
        <w:pStyle w:val="Heading6"/>
      </w:pPr>
      <w:r w:rsidRPr="00D678A3">
        <w:lastRenderedPageBreak/>
        <w:t>Results</w:t>
      </w:r>
    </w:p>
    <w:p w14:paraId="22F86B92" w14:textId="25660599" w:rsidR="00A04CA4" w:rsidRDefault="00A04CA4" w:rsidP="00A04CA4">
      <w:r w:rsidRPr="00240EC8">
        <w:t xml:space="preserve">Slightly more than 50% of the patients screened for participation were enrolled in the trial. </w:t>
      </w:r>
      <w:proofErr w:type="gramStart"/>
      <w:r w:rsidRPr="00240EC8">
        <w:t>The majority of</w:t>
      </w:r>
      <w:proofErr w:type="gramEnd"/>
      <w:r>
        <w:t xml:space="preserve"> subjects (78%) in each randomis</w:t>
      </w:r>
      <w:r w:rsidRPr="00240EC8">
        <w:t>ed treatment group remained in the trial at the Week 96 data cut</w:t>
      </w:r>
      <w:r w:rsidR="00D678A3">
        <w:t xml:space="preserve"> </w:t>
      </w:r>
      <w:r w:rsidRPr="00240EC8">
        <w:t xml:space="preserve">off. The most frequent reasons for discontinuation in both the </w:t>
      </w:r>
      <w:r w:rsidR="00D678A3">
        <w:t>r</w:t>
      </w:r>
      <w:r w:rsidRPr="00240EC8">
        <w:t>andomi</w:t>
      </w:r>
      <w:r w:rsidR="00D678A3">
        <w:t>s</w:t>
      </w:r>
      <w:r w:rsidRPr="00240EC8">
        <w:t xml:space="preserve">ed and </w:t>
      </w:r>
      <w:r w:rsidR="00D678A3">
        <w:t>n</w:t>
      </w:r>
      <w:r w:rsidRPr="00240EC8">
        <w:t>on-randomi</w:t>
      </w:r>
      <w:r w:rsidR="00D678A3">
        <w:t>s</w:t>
      </w:r>
      <w:r w:rsidRPr="00240EC8">
        <w:t xml:space="preserve">ed </w:t>
      </w:r>
      <w:r w:rsidR="00D678A3">
        <w:t>c</w:t>
      </w:r>
      <w:r w:rsidRPr="00240EC8">
        <w:t>ohorts were lack of efficacy, non</w:t>
      </w:r>
      <w:r>
        <w:t>-</w:t>
      </w:r>
      <w:r w:rsidRPr="00240EC8">
        <w:t>adherence to study drug, and death.</w:t>
      </w:r>
    </w:p>
    <w:p w14:paraId="2F4379F6" w14:textId="0A736096" w:rsidR="00A04CA4" w:rsidRDefault="00A04CA4" w:rsidP="00A04CA4">
      <w:r w:rsidRPr="004C3ED9">
        <w:t xml:space="preserve">The primary efficacy analysis compares the decline in HIV-1 RNA with </w:t>
      </w:r>
      <w:r w:rsidR="008035D2">
        <w:t>fostemsavir</w:t>
      </w:r>
      <w:r w:rsidRPr="004C3ED9">
        <w:t xml:space="preserve"> compared to placebo in the </w:t>
      </w:r>
      <w:r w:rsidR="00D678A3">
        <w:t>r</w:t>
      </w:r>
      <w:r w:rsidRPr="004C3ED9">
        <w:t>andomi</w:t>
      </w:r>
      <w:r w:rsidR="00445D4F">
        <w:t>s</w:t>
      </w:r>
      <w:r w:rsidRPr="004C3ED9">
        <w:t xml:space="preserve">ed </w:t>
      </w:r>
      <w:r w:rsidR="00D678A3">
        <w:t>c</w:t>
      </w:r>
      <w:r w:rsidRPr="004C3ED9">
        <w:t>ohort. Demographic factors and baseli</w:t>
      </w:r>
      <w:r>
        <w:t xml:space="preserve">ne disease characteristics were </w:t>
      </w:r>
      <w:r w:rsidRPr="004C3ED9">
        <w:t>generally ba</w:t>
      </w:r>
      <w:r>
        <w:t>lanced between these two groups</w:t>
      </w:r>
      <w:r w:rsidR="007B077C">
        <w:t>.</w:t>
      </w:r>
      <w:r>
        <w:t xml:space="preserve"> </w:t>
      </w:r>
      <w:r w:rsidR="007B077C">
        <w:t>B</w:t>
      </w:r>
      <w:r w:rsidRPr="00B355B6">
        <w:t>aseline median HIV</w:t>
      </w:r>
      <w:r w:rsidR="00283E71">
        <w:noBreakHyphen/>
      </w:r>
      <w:r w:rsidRPr="00B355B6">
        <w:t>1 RNA was comparable across the study groups</w:t>
      </w:r>
      <w:r w:rsidR="007B077C">
        <w:t xml:space="preserve"> as well,</w:t>
      </w:r>
      <w:r w:rsidRPr="00B355B6">
        <w:t xml:space="preserve"> ranging from 4.3 to 4.7</w:t>
      </w:r>
      <w:r w:rsidR="00283E71">
        <w:t> </w:t>
      </w:r>
      <w:r w:rsidRPr="00B355B6">
        <w:t>log</w:t>
      </w:r>
      <w:r w:rsidRPr="00D678A3">
        <w:rPr>
          <w:vertAlign w:val="subscript"/>
        </w:rPr>
        <w:t>10</w:t>
      </w:r>
      <w:r w:rsidR="00283E71">
        <w:rPr>
          <w:vertAlign w:val="subscript"/>
        </w:rPr>
        <w:t> </w:t>
      </w:r>
      <w:r w:rsidRPr="00B355B6">
        <w:t>copies/</w:t>
      </w:r>
      <w:proofErr w:type="spellStart"/>
      <w:r w:rsidRPr="00B355B6">
        <w:t>mL.</w:t>
      </w:r>
      <w:proofErr w:type="spellEnd"/>
      <w:r w:rsidRPr="00B355B6">
        <w:t xml:space="preserve"> Median baseline CD4</w:t>
      </w:r>
      <w:r w:rsidRPr="00D678A3">
        <w:rPr>
          <w:vertAlign w:val="superscript"/>
        </w:rPr>
        <w:t>+</w:t>
      </w:r>
      <w:r w:rsidRPr="00B355B6">
        <w:t xml:space="preserve"> T cell count was notably lower in the </w:t>
      </w:r>
      <w:r w:rsidR="00D678A3">
        <w:t>n</w:t>
      </w:r>
      <w:r w:rsidRPr="00B355B6">
        <w:t>on</w:t>
      </w:r>
      <w:r w:rsidR="00283E71">
        <w:noBreakHyphen/>
      </w:r>
      <w:r w:rsidRPr="00B355B6">
        <w:t>randomi</w:t>
      </w:r>
      <w:r w:rsidR="00D678A3">
        <w:t>s</w:t>
      </w:r>
      <w:r w:rsidRPr="00B355B6">
        <w:t xml:space="preserve">ed </w:t>
      </w:r>
      <w:r w:rsidR="00D678A3">
        <w:t>c</w:t>
      </w:r>
      <w:r w:rsidRPr="00B355B6">
        <w:t xml:space="preserve">ohort compared to the </w:t>
      </w:r>
      <w:r w:rsidR="00D678A3">
        <w:t>r</w:t>
      </w:r>
      <w:r w:rsidRPr="00B355B6">
        <w:t>andomi</w:t>
      </w:r>
      <w:r w:rsidR="00D678A3">
        <w:t>s</w:t>
      </w:r>
      <w:r w:rsidRPr="00B355B6">
        <w:t xml:space="preserve">ed </w:t>
      </w:r>
      <w:r w:rsidR="00D678A3">
        <w:t>c</w:t>
      </w:r>
      <w:r w:rsidRPr="00B355B6">
        <w:t>ohort (41 cells/mm</w:t>
      </w:r>
      <w:r w:rsidRPr="00D678A3">
        <w:rPr>
          <w:vertAlign w:val="superscript"/>
        </w:rPr>
        <w:t>3</w:t>
      </w:r>
      <w:r w:rsidRPr="00B355B6">
        <w:t xml:space="preserve"> and 100</w:t>
      </w:r>
      <w:r w:rsidR="00283E71">
        <w:t> </w:t>
      </w:r>
      <w:r w:rsidRPr="00B355B6">
        <w:t>cells/mm</w:t>
      </w:r>
      <w:r w:rsidRPr="00D678A3">
        <w:rPr>
          <w:vertAlign w:val="superscript"/>
        </w:rPr>
        <w:t>3</w:t>
      </w:r>
      <w:r w:rsidRPr="00B355B6">
        <w:t xml:space="preserve">, respectively) which is reflective of the differences in available ARV options between the two cohorts. Similarly, subjects in the </w:t>
      </w:r>
      <w:r w:rsidR="00D678A3">
        <w:t>n</w:t>
      </w:r>
      <w:r w:rsidRPr="00B355B6">
        <w:t>on-randomi</w:t>
      </w:r>
      <w:r w:rsidR="00D678A3">
        <w:t>s</w:t>
      </w:r>
      <w:r w:rsidRPr="00B355B6">
        <w:t xml:space="preserve">ed </w:t>
      </w:r>
      <w:r w:rsidR="00D678A3">
        <w:t>c</w:t>
      </w:r>
      <w:r w:rsidRPr="00B355B6">
        <w:t>ohort had longer lifetime ART with more prior ARV regimens compared to randomi</w:t>
      </w:r>
      <w:r w:rsidR="0049044F">
        <w:t>s</w:t>
      </w:r>
      <w:r w:rsidRPr="00B355B6">
        <w:t>ed subjects.</w:t>
      </w:r>
    </w:p>
    <w:p w14:paraId="4AAA9581" w14:textId="692C0EBE" w:rsidR="00A04CA4" w:rsidRDefault="00A04CA4" w:rsidP="00A04CA4">
      <w:r w:rsidRPr="00F04AE5">
        <w:t xml:space="preserve">The primary endpoint analysis, based on the adjusted mean decline in HIV-1 RNA from Day 1 at Day 8 in the </w:t>
      </w:r>
      <w:r w:rsidR="00D678A3">
        <w:t>r</w:t>
      </w:r>
      <w:r w:rsidRPr="00F04AE5">
        <w:t xml:space="preserve">andomised </w:t>
      </w:r>
      <w:r w:rsidR="00D678A3">
        <w:t>c</w:t>
      </w:r>
      <w:r w:rsidRPr="00F04AE5">
        <w:t>ohort, demonstrated superiority of fostemsavir to placebo (0.79 v</w:t>
      </w:r>
      <w:r w:rsidR="00D678A3">
        <w:t>ersu</w:t>
      </w:r>
      <w:r w:rsidR="00554DE6">
        <w:t>s</w:t>
      </w:r>
      <w:r w:rsidR="0049044F">
        <w:t>0</w:t>
      </w:r>
      <w:r w:rsidRPr="00F04AE5">
        <w:t xml:space="preserve"> 0.17 log</w:t>
      </w:r>
      <w:r w:rsidRPr="00D678A3">
        <w:rPr>
          <w:vertAlign w:val="subscript"/>
        </w:rPr>
        <w:t>10</w:t>
      </w:r>
      <w:r w:rsidRPr="00F04AE5">
        <w:t xml:space="preserve"> decline, respectively; p&lt;</w:t>
      </w:r>
      <w:r w:rsidR="00D678A3">
        <w:t xml:space="preserve"> </w:t>
      </w:r>
      <w:r w:rsidRPr="00F04AE5">
        <w:t xml:space="preserve">0.0001, </w:t>
      </w:r>
      <w:r w:rsidR="00D678A3">
        <w:t>ITT</w:t>
      </w:r>
      <w:r w:rsidRPr="00F04AE5">
        <w:t>-</w:t>
      </w:r>
      <w:r w:rsidR="00D678A3">
        <w:t>e</w:t>
      </w:r>
      <w:r w:rsidRPr="00F04AE5">
        <w:t xml:space="preserve">xposed </w:t>
      </w:r>
      <w:r w:rsidR="00554DE6">
        <w:t>(</w:t>
      </w:r>
      <w:r w:rsidRPr="00F04AE5">
        <w:t>ITT-E</w:t>
      </w:r>
      <w:r w:rsidR="00554DE6">
        <w:t>)</w:t>
      </w:r>
      <w:r w:rsidRPr="00F04AE5">
        <w:t xml:space="preserve"> population)</w:t>
      </w:r>
      <w:r>
        <w:t>.</w:t>
      </w:r>
    </w:p>
    <w:p w14:paraId="303C4CAA" w14:textId="47F895E8" w:rsidR="00D678A3" w:rsidRDefault="00D678A3" w:rsidP="00D678A3">
      <w:pPr>
        <w:pStyle w:val="TableTitle"/>
      </w:pPr>
      <w:r w:rsidRPr="00D678A3">
        <w:t xml:space="preserve">Table </w:t>
      </w:r>
      <w:r w:rsidR="00C85163">
        <w:fldChar w:fldCharType="begin"/>
      </w:r>
      <w:r w:rsidR="00C85163">
        <w:instrText xml:space="preserve"> SEQ Table \* ARABIC </w:instrText>
      </w:r>
      <w:r w:rsidR="00C85163">
        <w:fldChar w:fldCharType="separate"/>
      </w:r>
      <w:r w:rsidR="00C0134B">
        <w:rPr>
          <w:noProof/>
        </w:rPr>
        <w:t>4</w:t>
      </w:r>
      <w:r w:rsidR="00C85163">
        <w:rPr>
          <w:noProof/>
        </w:rPr>
        <w:fldChar w:fldCharType="end"/>
      </w:r>
      <w:r>
        <w:t xml:space="preserve">: </w:t>
      </w:r>
      <w:r w:rsidR="00283E71">
        <w:t xml:space="preserve">Study 2058880 </w:t>
      </w:r>
      <w:r w:rsidRPr="00F04AE5">
        <w:t>Primary Analysis</w:t>
      </w:r>
      <w:r>
        <w:t xml:space="preserve">, </w:t>
      </w:r>
      <w:r w:rsidR="00283E71">
        <w:t>p</w:t>
      </w:r>
      <w:r w:rsidRPr="00F04AE5">
        <w:t xml:space="preserve">lasma HIV-1 RNA </w:t>
      </w:r>
      <w:r>
        <w:t>l</w:t>
      </w:r>
      <w:r w:rsidRPr="00F04AE5">
        <w:t>og</w:t>
      </w:r>
      <w:r w:rsidRPr="00D678A3">
        <w:rPr>
          <w:vertAlign w:val="subscript"/>
        </w:rPr>
        <w:t xml:space="preserve">10 </w:t>
      </w:r>
      <w:r w:rsidRPr="00F04AE5">
        <w:t>(c</w:t>
      </w:r>
      <w:r w:rsidR="00445D4F">
        <w:t>opies</w:t>
      </w:r>
      <w:r w:rsidRPr="00F04AE5">
        <w:t xml:space="preserve">/mL) </w:t>
      </w:r>
      <w:r>
        <w:t>c</w:t>
      </w:r>
      <w:r w:rsidRPr="00F04AE5">
        <w:t xml:space="preserve">hange from Day 1 </w:t>
      </w:r>
      <w:r>
        <w:t xml:space="preserve">and </w:t>
      </w:r>
      <w:r w:rsidRPr="00F04AE5">
        <w:t xml:space="preserve">Day 8 </w:t>
      </w:r>
      <w:r>
        <w:t>u</w:t>
      </w:r>
      <w:r w:rsidRPr="00F04AE5">
        <w:t xml:space="preserve">sing </w:t>
      </w:r>
      <w:r>
        <w:t>o</w:t>
      </w:r>
      <w:r w:rsidRPr="00F04AE5">
        <w:t>n</w:t>
      </w:r>
      <w:r>
        <w:t>e w</w:t>
      </w:r>
      <w:r w:rsidRPr="00F04AE5">
        <w:t xml:space="preserve">ay </w:t>
      </w:r>
      <w:r w:rsidR="00BC7C82">
        <w:t>a</w:t>
      </w:r>
      <w:r w:rsidR="00BC7C82" w:rsidRPr="00BC7C82">
        <w:t xml:space="preserve">nalysis of </w:t>
      </w:r>
      <w:r w:rsidR="00BC7C82">
        <w:t>c</w:t>
      </w:r>
      <w:r w:rsidR="00BC7C82" w:rsidRPr="00BC7C82">
        <w:t>ovariance</w:t>
      </w:r>
      <w:r w:rsidRPr="00F04AE5">
        <w:t xml:space="preserve"> with </w:t>
      </w:r>
      <w:r>
        <w:t>h</w:t>
      </w:r>
      <w:r w:rsidRPr="00F04AE5">
        <w:t xml:space="preserve">omogeneous </w:t>
      </w:r>
      <w:r>
        <w:t>s</w:t>
      </w:r>
      <w:r w:rsidRPr="00F04AE5">
        <w:t xml:space="preserve">lopes and </w:t>
      </w:r>
      <w:r>
        <w:t>v</w:t>
      </w:r>
      <w:r w:rsidRPr="00F04AE5">
        <w:t>ariances (</w:t>
      </w:r>
      <w:r>
        <w:t>r</w:t>
      </w:r>
      <w:r w:rsidRPr="00F04AE5">
        <w:t>andomi</w:t>
      </w:r>
      <w:r>
        <w:t>s</w:t>
      </w:r>
      <w:r w:rsidRPr="00F04AE5">
        <w:t xml:space="preserve">ed </w:t>
      </w:r>
      <w:r>
        <w:t>c</w:t>
      </w:r>
      <w:r w:rsidRPr="00F04AE5">
        <w:t>ohort)</w:t>
      </w:r>
      <w:r w:rsidR="00283E71">
        <w:t>;</w:t>
      </w:r>
      <w:r w:rsidRPr="00F04AE5">
        <w:t xml:space="preserve"> </w:t>
      </w:r>
      <w:r>
        <w:t>intent to treat-exposed p</w:t>
      </w:r>
      <w:r w:rsidRPr="00F04AE5">
        <w:t>opulation</w:t>
      </w:r>
    </w:p>
    <w:p w14:paraId="525C63F5" w14:textId="0E84E8EA" w:rsidR="00D678A3" w:rsidRDefault="00D678A3" w:rsidP="00D678A3">
      <w:r>
        <w:rPr>
          <w:noProof/>
          <w:lang w:val="en-GB" w:eastAsia="en-GB"/>
        </w:rPr>
        <w:drawing>
          <wp:inline distT="0" distB="0" distL="0" distR="0" wp14:anchorId="6E7B1541" wp14:editId="7C3B4ECB">
            <wp:extent cx="5400040" cy="1630901"/>
            <wp:effectExtent l="0" t="0" r="0" b="7620"/>
            <wp:docPr id="3" name="Picture 3" descr="Table 4: Study 2058880 Primary Analysis, plasma HIV-1 RNA log10 (copies/mL) change from Day 1 and Day 8 using one way analysis of covariance with homogeneous slopes and variances (randomised cohort); intent to treat-exposed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 4: Study 2058880 Primary Analysis, plasma HIV-1 RNA log10 (copies/mL) change from Day 1 and Day 8 using one way analysis of covariance with homogeneous slopes and variances (randomised cohort); intent to treat-exposed population"/>
                    <pic:cNvPicPr/>
                  </pic:nvPicPr>
                  <pic:blipFill>
                    <a:blip r:embed="rId24"/>
                    <a:stretch>
                      <a:fillRect/>
                    </a:stretch>
                  </pic:blipFill>
                  <pic:spPr>
                    <a:xfrm>
                      <a:off x="0" y="0"/>
                      <a:ext cx="5400040" cy="1630901"/>
                    </a:xfrm>
                    <a:prstGeom prst="rect">
                      <a:avLst/>
                    </a:prstGeom>
                  </pic:spPr>
                </pic:pic>
              </a:graphicData>
            </a:graphic>
          </wp:inline>
        </w:drawing>
      </w:r>
    </w:p>
    <w:p w14:paraId="05D9A738" w14:textId="42FC7788" w:rsidR="00BC7C82" w:rsidRDefault="00BC7C82" w:rsidP="00BC7C82">
      <w:r>
        <w:t xml:space="preserve">The planned per-protocol sensitivity analysis was performed to assess efficacy of blinded </w:t>
      </w:r>
      <w:r w:rsidR="008035D2">
        <w:t>fostemsavir</w:t>
      </w:r>
      <w:r>
        <w:t>, relative to blinded placebo, for subjects with values within the Day 8 window (Day 6 to Day 10) who did not deviate in any meaningful way from the protocol during the blinded period. These support the primary efficacy endpoint results; difference of adjusted mean between the two populations = 0.633 (-0.833, -0.432)</w:t>
      </w:r>
      <w:r w:rsidR="00DA6CAD">
        <w:t>;</w:t>
      </w:r>
      <w:r>
        <w:t xml:space="preserve"> p &lt; 0.0001. The primary endpoint result is also supported by the sensitivity analyses of the ITT-E population using </w:t>
      </w:r>
      <w:r w:rsidR="00DA6CAD">
        <w:t xml:space="preserve">a </w:t>
      </w:r>
      <w:r>
        <w:t>two</w:t>
      </w:r>
      <w:r w:rsidR="00DA6CAD">
        <w:noBreakHyphen/>
      </w:r>
      <w:r>
        <w:t>way a</w:t>
      </w:r>
      <w:r w:rsidRPr="00BC7C82">
        <w:t xml:space="preserve">nalysis of </w:t>
      </w:r>
      <w:r>
        <w:t>c</w:t>
      </w:r>
      <w:r w:rsidRPr="00BC7C82">
        <w:t>ovariance</w:t>
      </w:r>
      <w:r>
        <w:t xml:space="preserve"> which demonstrated a significantly larger decline in HIV-1 RNA from Day 1 to Day 8 for </w:t>
      </w:r>
      <w:r w:rsidR="008035D2">
        <w:t>fostemsavir</w:t>
      </w:r>
      <w:r>
        <w:t xml:space="preserve"> compared with placebo, in combination with a subject's failing ARV regimen.</w:t>
      </w:r>
    </w:p>
    <w:p w14:paraId="72805A34" w14:textId="41220C67" w:rsidR="00BC7C82" w:rsidRDefault="00BC7C82" w:rsidP="00BC7C82">
      <w:r>
        <w:t xml:space="preserve">In two key secondary efficacy analyses, significantly more subjects in the </w:t>
      </w:r>
      <w:r w:rsidR="008035D2">
        <w:t>fostemsavir</w:t>
      </w:r>
      <w:r>
        <w:t xml:space="preserve"> arm compared to the placebo arm had &gt; 0.5 log</w:t>
      </w:r>
      <w:r w:rsidRPr="00BC7C82">
        <w:rPr>
          <w:vertAlign w:val="subscript"/>
        </w:rPr>
        <w:t>10</w:t>
      </w:r>
      <w:r>
        <w:t xml:space="preserve"> and &gt; 1 log</w:t>
      </w:r>
      <w:r w:rsidRPr="00BC7C82">
        <w:rPr>
          <w:vertAlign w:val="subscript"/>
        </w:rPr>
        <w:t>10</w:t>
      </w:r>
      <w:r>
        <w:t xml:space="preserve"> decreases from Day 1 to Day 8, further supporting the efficacy of </w:t>
      </w:r>
      <w:r w:rsidR="008035D2">
        <w:t>fostemsavir</w:t>
      </w:r>
      <w:r>
        <w:t xml:space="preserve"> </w:t>
      </w:r>
    </w:p>
    <w:p w14:paraId="1BE8110F" w14:textId="0A5BD3A7" w:rsidR="00BC7C82" w:rsidRDefault="00BC7C82" w:rsidP="00BC7C82">
      <w:pPr>
        <w:pStyle w:val="TableTitle"/>
      </w:pPr>
      <w:r w:rsidRPr="00BC7C82">
        <w:lastRenderedPageBreak/>
        <w:t xml:space="preserve">Table </w:t>
      </w:r>
      <w:r w:rsidR="00C85163">
        <w:fldChar w:fldCharType="begin"/>
      </w:r>
      <w:r w:rsidR="00C85163">
        <w:instrText xml:space="preserve"> SEQ Table \* AR</w:instrText>
      </w:r>
      <w:r w:rsidR="00C85163">
        <w:instrText xml:space="preserve">ABIC </w:instrText>
      </w:r>
      <w:r w:rsidR="00C85163">
        <w:fldChar w:fldCharType="separate"/>
      </w:r>
      <w:r w:rsidR="00C0134B">
        <w:rPr>
          <w:noProof/>
        </w:rPr>
        <w:t>5</w:t>
      </w:r>
      <w:r w:rsidR="00C85163">
        <w:rPr>
          <w:noProof/>
        </w:rPr>
        <w:fldChar w:fldCharType="end"/>
      </w:r>
      <w:r>
        <w:t>: Secondary analysis, proportion of subjects with &gt; 0.5 log</w:t>
      </w:r>
      <w:r w:rsidRPr="00BC7C82">
        <w:rPr>
          <w:vertAlign w:val="subscript"/>
        </w:rPr>
        <w:t>10</w:t>
      </w:r>
      <w:r>
        <w:t xml:space="preserve"> and &gt; 1 log</w:t>
      </w:r>
      <w:r w:rsidRPr="00BC7C82">
        <w:rPr>
          <w:vertAlign w:val="subscript"/>
        </w:rPr>
        <w:t>10</w:t>
      </w:r>
      <w:r>
        <w:t xml:space="preserve"> declines in plasma HIV-1 RNA (copies/mL) from Day 1 to Day 8 using l</w:t>
      </w:r>
      <w:r w:rsidRPr="00BC7C82">
        <w:t xml:space="preserve">ast </w:t>
      </w:r>
      <w:r>
        <w:t>o</w:t>
      </w:r>
      <w:r w:rsidRPr="00BC7C82">
        <w:t xml:space="preserve">bservation </w:t>
      </w:r>
      <w:r>
        <w:t>c</w:t>
      </w:r>
      <w:r w:rsidRPr="00BC7C82">
        <w:t xml:space="preserve">arried </w:t>
      </w:r>
      <w:r>
        <w:t>f</w:t>
      </w:r>
      <w:r w:rsidRPr="00BC7C82">
        <w:t>orward</w:t>
      </w:r>
      <w:r>
        <w:t xml:space="preserve"> Phase III trial.</w:t>
      </w:r>
      <w:r w:rsidRPr="00BC7C82">
        <w:t xml:space="preserve"> </w:t>
      </w:r>
      <w:r>
        <w:t>(intent to treat-exposed population)</w:t>
      </w:r>
    </w:p>
    <w:p w14:paraId="2921E26A" w14:textId="6A9DD88E" w:rsidR="00BC7C82" w:rsidRDefault="00BC7C82" w:rsidP="00BC7C82">
      <w:r w:rsidRPr="00B154C0">
        <w:rPr>
          <w:rFonts w:asciiTheme="minorHAnsi" w:hAnsiTheme="minorHAnsi"/>
          <w:noProof/>
          <w:color w:val="000000" w:themeColor="text1"/>
          <w:lang w:val="en-GB" w:eastAsia="en-GB"/>
        </w:rPr>
        <w:drawing>
          <wp:inline distT="0" distB="0" distL="0" distR="0" wp14:anchorId="58FEB215" wp14:editId="5A75EABE">
            <wp:extent cx="5400040" cy="792716"/>
            <wp:effectExtent l="0" t="0" r="0" b="7620"/>
            <wp:docPr id="163" name="Picture 163" descr="Table&#10;&#10;Table 5: Secondary analysis, proportion of subjects with &gt; 0.5 log10 and &gt; 1 log10 declines in plasma HIV-1 RNA (copies/mL) from Day 1 to Day 8 using last observation carried forward Phase III trial. (intent to treat-exposed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Picture 163" descr="Table&#10;&#10;Table 5: Secondary analysis, proportion of subjects with &gt; 0.5 log10 and &gt; 1 log10 declines in plasma HIV-1 RNA (copies/mL) from Day 1 to Day 8 using last observation carried forward Phase III trial. (intent to treat-exposed population)"/>
                    <pic:cNvPicPr/>
                  </pic:nvPicPr>
                  <pic:blipFill>
                    <a:blip r:embed="rId25">
                      <a:extLst>
                        <a:ext uri="{28A0092B-C50C-407E-A947-70E740481C1C}">
                          <a14:useLocalDpi xmlns:a14="http://schemas.microsoft.com/office/drawing/2010/main" val="0"/>
                        </a:ext>
                      </a:extLst>
                    </a:blip>
                    <a:stretch>
                      <a:fillRect/>
                    </a:stretch>
                  </pic:blipFill>
                  <pic:spPr>
                    <a:xfrm>
                      <a:off x="0" y="0"/>
                      <a:ext cx="5400040" cy="792716"/>
                    </a:xfrm>
                    <a:prstGeom prst="rect">
                      <a:avLst/>
                    </a:prstGeom>
                  </pic:spPr>
                </pic:pic>
              </a:graphicData>
            </a:graphic>
          </wp:inline>
        </w:drawing>
      </w:r>
    </w:p>
    <w:p w14:paraId="09A28CA2" w14:textId="26E2EF2A" w:rsidR="00BC7C82" w:rsidRDefault="00BC7C82" w:rsidP="00BC7C82">
      <w:r w:rsidRPr="00C65549">
        <w:t>As the HTE population had not been able to achieve virologic suppression with currently available therapy, the durability of virologic response in HTE subjects is important to analyse particularly as some of the drugs in the OBT were still fully or partially active.</w:t>
      </w:r>
      <w:r w:rsidRPr="003409FF">
        <w:t xml:space="preserve"> For</w:t>
      </w:r>
      <w:r w:rsidR="00DA6CAD">
        <w:t> </w:t>
      </w:r>
      <w:r w:rsidRPr="003409FF">
        <w:t xml:space="preserve">example, the ARVs that were used in the OBT in order of percentage in the </w:t>
      </w:r>
      <w:r w:rsidR="0034078F">
        <w:t>r</w:t>
      </w:r>
      <w:r w:rsidRPr="003409FF">
        <w:t>andomi</w:t>
      </w:r>
      <w:r w:rsidR="0034078F">
        <w:t>s</w:t>
      </w:r>
      <w:r w:rsidRPr="003409FF">
        <w:t xml:space="preserve">ed </w:t>
      </w:r>
      <w:r w:rsidR="0034078F">
        <w:t>c</w:t>
      </w:r>
      <w:r w:rsidRPr="003409FF">
        <w:t xml:space="preserve">ohort were integrase strand transfer inhibitors </w:t>
      </w:r>
      <w:r w:rsidRPr="00445D4F">
        <w:t>(INSTI</w:t>
      </w:r>
      <w:r w:rsidR="007453BF">
        <w:t>;</w:t>
      </w:r>
      <w:r w:rsidRPr="00445D4F">
        <w:t xml:space="preserve"> primarily </w:t>
      </w:r>
      <w:r w:rsidR="00445D4F">
        <w:t>d</w:t>
      </w:r>
      <w:r w:rsidR="00445D4F" w:rsidRPr="00445D4F">
        <w:t>olutegravir</w:t>
      </w:r>
      <w:r w:rsidRPr="003409FF">
        <w:t>)</w:t>
      </w:r>
      <w:r w:rsidR="002F1BF9">
        <w:t>,</w:t>
      </w:r>
      <w:r w:rsidR="00445D4F">
        <w:t xml:space="preserve"> </w:t>
      </w:r>
      <w:r w:rsidRPr="003409FF">
        <w:t>protease inhibitors (</w:t>
      </w:r>
      <w:r w:rsidRPr="00445D4F">
        <w:t>primarily</w:t>
      </w:r>
      <w:r w:rsidR="00445D4F" w:rsidRPr="00445D4F">
        <w:t xml:space="preserve"> darunavir</w:t>
      </w:r>
      <w:r w:rsidRPr="003409FF">
        <w:t xml:space="preserve">) and </w:t>
      </w:r>
      <w:r w:rsidR="007453BF">
        <w:t>nucleoside reverse transcriptase inhibitors (</w:t>
      </w:r>
      <w:r w:rsidRPr="003409FF">
        <w:t>NRTI</w:t>
      </w:r>
      <w:r w:rsidR="007453BF">
        <w:t>)</w:t>
      </w:r>
      <w:r w:rsidRPr="003409FF">
        <w:t xml:space="preserve">. </w:t>
      </w:r>
      <w:r w:rsidR="007453BF">
        <w:t xml:space="preserve">The </w:t>
      </w:r>
      <w:r w:rsidR="007453BF" w:rsidRPr="007453BF">
        <w:t xml:space="preserve">C-C motif chemokine receptor 5 </w:t>
      </w:r>
      <w:r w:rsidR="007453BF">
        <w:t>(</w:t>
      </w:r>
      <w:r w:rsidRPr="003409FF">
        <w:t>CCR5</w:t>
      </w:r>
      <w:r w:rsidR="007453BF">
        <w:t>)</w:t>
      </w:r>
      <w:r w:rsidRPr="003409FF">
        <w:t xml:space="preserve"> </w:t>
      </w:r>
      <w:proofErr w:type="spellStart"/>
      <w:proofErr w:type="gramStart"/>
      <w:r w:rsidRPr="00445D4F">
        <w:t>antagonist</w:t>
      </w:r>
      <w:r w:rsidR="007453BF">
        <w:t>,</w:t>
      </w:r>
      <w:r w:rsidRPr="00445D4F">
        <w:t>maraviroc</w:t>
      </w:r>
      <w:proofErr w:type="spellEnd"/>
      <w:proofErr w:type="gramEnd"/>
      <w:r w:rsidR="007453BF">
        <w:t>,</w:t>
      </w:r>
      <w:r w:rsidRPr="00445D4F">
        <w:t xml:space="preserve"> and </w:t>
      </w:r>
      <w:r w:rsidR="007453BF">
        <w:t>non-nucleoside reverse transcriptase</w:t>
      </w:r>
      <w:r w:rsidR="007453BF" w:rsidRPr="00445D4F">
        <w:t xml:space="preserve"> </w:t>
      </w:r>
      <w:r w:rsidR="007453BF">
        <w:t>inhibitors (</w:t>
      </w:r>
      <w:r w:rsidRPr="00445D4F">
        <w:t>NNRTI</w:t>
      </w:r>
      <w:r w:rsidR="007453BF">
        <w:t>)</w:t>
      </w:r>
      <w:r w:rsidRPr="00445D4F">
        <w:t xml:space="preserve"> were used less frequently, while entry inhibitors (enfuvirtide or ibalizumab)</w:t>
      </w:r>
      <w:r w:rsidRPr="003409FF">
        <w:t xml:space="preserve"> were used</w:t>
      </w:r>
      <w:r w:rsidR="007453BF">
        <w:t xml:space="preserve"> the</w:t>
      </w:r>
      <w:r w:rsidRPr="003409FF">
        <w:t xml:space="preserve"> least frequently. In the </w:t>
      </w:r>
      <w:r w:rsidR="0034078F">
        <w:t>n</w:t>
      </w:r>
      <w:r w:rsidRPr="003409FF">
        <w:t>on-randomi</w:t>
      </w:r>
      <w:r w:rsidR="00445D4F">
        <w:t>s</w:t>
      </w:r>
      <w:r w:rsidRPr="003409FF">
        <w:t xml:space="preserve">ed </w:t>
      </w:r>
      <w:r w:rsidR="0034078F">
        <w:t>c</w:t>
      </w:r>
      <w:r w:rsidRPr="003409FF">
        <w:t xml:space="preserve">ohort, NRTIs and </w:t>
      </w:r>
      <w:r w:rsidR="00445D4F">
        <w:t xml:space="preserve">protease inhibitors </w:t>
      </w:r>
      <w:r w:rsidRPr="003409FF">
        <w:t>were the most common class of drugs in the OBT, followed by INSTIs (primarily</w:t>
      </w:r>
      <w:r w:rsidR="00065737" w:rsidRPr="00065737">
        <w:t xml:space="preserve"> </w:t>
      </w:r>
      <w:r w:rsidR="00065737">
        <w:t>d</w:t>
      </w:r>
      <w:r w:rsidR="00065737" w:rsidRPr="00065737">
        <w:t>olutegravir</w:t>
      </w:r>
      <w:r w:rsidRPr="003409FF">
        <w:t>). Entry inhibitors and NNRTIs were used less frequently, and the CCR5 antagonist was used least frequently.</w:t>
      </w:r>
    </w:p>
    <w:p w14:paraId="3BF9DA39" w14:textId="68ED9081" w:rsidR="00BC7C82" w:rsidRDefault="00BC7C82" w:rsidP="00BC7C82">
      <w:r w:rsidRPr="00C65549">
        <w:t>From Day 8 onward, all subjects were transitioned from their initial (failing) background regimen to an optimi</w:t>
      </w:r>
      <w:r w:rsidR="0034078F">
        <w:t>s</w:t>
      </w:r>
      <w:r w:rsidRPr="00C65549">
        <w:t>ed regimen in combination with open</w:t>
      </w:r>
      <w:r w:rsidR="0034078F">
        <w:t xml:space="preserve"> </w:t>
      </w:r>
      <w:r w:rsidRPr="00C65549">
        <w:t xml:space="preserve">label </w:t>
      </w:r>
      <w:r w:rsidR="008035D2">
        <w:t>fostemsavir</w:t>
      </w:r>
      <w:r w:rsidRPr="00C65549">
        <w:t xml:space="preserve"> 600 mg </w:t>
      </w:r>
      <w:r w:rsidR="0034078F">
        <w:t xml:space="preserve">twice </w:t>
      </w:r>
      <w:r w:rsidR="00065737">
        <w:t>daily</w:t>
      </w:r>
      <w:r w:rsidRPr="00C65549">
        <w:t>.</w:t>
      </w:r>
    </w:p>
    <w:p w14:paraId="7B359F76" w14:textId="6B3595FE" w:rsidR="00BC7C82" w:rsidRDefault="00BC7C82" w:rsidP="00BC7C82">
      <w:r>
        <w:t xml:space="preserve">The most important finding is that virologic suppression was achieved and maintained with </w:t>
      </w:r>
      <w:r w:rsidR="008035D2">
        <w:t>fostemsavir</w:t>
      </w:r>
      <w:r>
        <w:t xml:space="preserve"> plus OBT through Week 96 in a majority of subjects previously unable to achieve virologic suppression although the specific contribution of </w:t>
      </w:r>
      <w:r w:rsidR="008035D2">
        <w:t>fostemsavir</w:t>
      </w:r>
      <w:r>
        <w:t xml:space="preserve"> in this OBT is not known</w:t>
      </w:r>
      <w:r w:rsidR="002F1BF9">
        <w:t xml:space="preserve"> </w:t>
      </w:r>
      <w:r>
        <w:t>(after 8 days it was not monotherapy).</w:t>
      </w:r>
    </w:p>
    <w:p w14:paraId="53335B24" w14:textId="5357432C" w:rsidR="00BC7C82" w:rsidRDefault="00BC7C82" w:rsidP="00BC7C82">
      <w:r>
        <w:t xml:space="preserve">Virologic response was evaluated using the FDA </w:t>
      </w:r>
      <w:r w:rsidR="0034078F">
        <w:t>s</w:t>
      </w:r>
      <w:r>
        <w:t>napshot algorithm (November 2015) after the final subject in each cohort (</w:t>
      </w:r>
      <w:r w:rsidR="0034078F">
        <w:t>r</w:t>
      </w:r>
      <w:r>
        <w:t>andomi</w:t>
      </w:r>
      <w:r w:rsidR="0034078F">
        <w:t>s</w:t>
      </w:r>
      <w:r>
        <w:t xml:space="preserve">ed and </w:t>
      </w:r>
      <w:r w:rsidR="0034078F">
        <w:t>n</w:t>
      </w:r>
      <w:r>
        <w:t>on-randomi</w:t>
      </w:r>
      <w:r w:rsidR="0034078F">
        <w:t>s</w:t>
      </w:r>
      <w:r>
        <w:t xml:space="preserve">ed </w:t>
      </w:r>
      <w:r w:rsidR="0034078F">
        <w:t>c</w:t>
      </w:r>
      <w:r>
        <w:t>ohort) completed the Week 24, 48 and Week 96 visit.</w:t>
      </w:r>
    </w:p>
    <w:p w14:paraId="01496912" w14:textId="0AF27764" w:rsidR="004B6178" w:rsidRDefault="004B6178" w:rsidP="004B6178">
      <w:pPr>
        <w:pStyle w:val="TableTitle"/>
      </w:pPr>
      <w:r>
        <w:t xml:space="preserve">Table </w:t>
      </w:r>
      <w:r w:rsidR="00C85163">
        <w:fldChar w:fldCharType="begin"/>
      </w:r>
      <w:r w:rsidR="00C85163">
        <w:instrText xml:space="preserve"> SEQ Table \* ARABIC </w:instrText>
      </w:r>
      <w:r w:rsidR="00C85163">
        <w:fldChar w:fldCharType="separate"/>
      </w:r>
      <w:r w:rsidR="00C0134B">
        <w:rPr>
          <w:noProof/>
        </w:rPr>
        <w:t>6</w:t>
      </w:r>
      <w:r w:rsidR="00C85163">
        <w:rPr>
          <w:noProof/>
        </w:rPr>
        <w:fldChar w:fldCharType="end"/>
      </w:r>
      <w:r>
        <w:t>:</w:t>
      </w:r>
      <w:r w:rsidRPr="004B6178">
        <w:t xml:space="preserve"> </w:t>
      </w:r>
      <w:r w:rsidR="007453BF">
        <w:t xml:space="preserve">Study 2058880 </w:t>
      </w:r>
      <w:r w:rsidRPr="00375CD1">
        <w:t xml:space="preserve">Virologic </w:t>
      </w:r>
      <w:r w:rsidR="007453BF">
        <w:t>o</w:t>
      </w:r>
      <w:r w:rsidRPr="00375CD1">
        <w:t>utcomes (HIV-1 RNA &lt;</w:t>
      </w:r>
      <w:r>
        <w:t xml:space="preserve"> </w:t>
      </w:r>
      <w:r w:rsidRPr="00375CD1">
        <w:t>40 copies/mL) at Week</w:t>
      </w:r>
      <w:r w:rsidR="008110BB">
        <w:t> </w:t>
      </w:r>
      <w:r w:rsidRPr="00375CD1">
        <w:t xml:space="preserve">24, 48, and 96 for </w:t>
      </w:r>
      <w:r w:rsidR="007453BF">
        <w:t xml:space="preserve">the </w:t>
      </w:r>
      <w:r>
        <w:t>r</w:t>
      </w:r>
      <w:r w:rsidRPr="00375CD1">
        <w:t>andomi</w:t>
      </w:r>
      <w:r>
        <w:t>s</w:t>
      </w:r>
      <w:r w:rsidRPr="00375CD1">
        <w:t xml:space="preserve">ed </w:t>
      </w:r>
      <w:r>
        <w:t>c</w:t>
      </w:r>
      <w:r w:rsidRPr="00375CD1">
        <w:t>ohort</w:t>
      </w:r>
      <w:r w:rsidR="008110BB">
        <w:t xml:space="preserve">; </w:t>
      </w:r>
      <w:r>
        <w:t>intent to treat-exposed p</w:t>
      </w:r>
      <w:r w:rsidRPr="00375CD1">
        <w:t>opulation</w:t>
      </w:r>
    </w:p>
    <w:p w14:paraId="4489AAF5" w14:textId="1C24B099" w:rsidR="00BC7C82" w:rsidRDefault="004B6178" w:rsidP="004B6178">
      <w:r w:rsidRPr="00B154C0">
        <w:rPr>
          <w:rFonts w:asciiTheme="minorHAnsi" w:hAnsiTheme="minorHAnsi"/>
          <w:noProof/>
          <w:color w:val="000000" w:themeColor="text1"/>
          <w:lang w:val="en-GB" w:eastAsia="en-GB"/>
        </w:rPr>
        <w:drawing>
          <wp:inline distT="0" distB="0" distL="0" distR="0" wp14:anchorId="71DFA5F8" wp14:editId="1656260A">
            <wp:extent cx="5400040" cy="1022454"/>
            <wp:effectExtent l="0" t="0" r="0" b="6350"/>
            <wp:docPr id="162" name="Picture 162" descr="Table 6: Study 2058880 Virologic outcomes (HIV-1 RNA &lt; 40 copies/mL) at Week 24, 48, and 96 for the randomised cohort; intent to treat-exposed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62" descr="Table 6: Study 2058880 Virologic outcomes (HIV-1 RNA &lt; 40 copies/mL) at Week 24, 48, and 96 for the randomised cohort; intent to treat-exposed population"/>
                    <pic:cNvPicPr/>
                  </pic:nvPicPr>
                  <pic:blipFill>
                    <a:blip r:embed="rId26">
                      <a:extLst>
                        <a:ext uri="{28A0092B-C50C-407E-A947-70E740481C1C}">
                          <a14:useLocalDpi xmlns:a14="http://schemas.microsoft.com/office/drawing/2010/main" val="0"/>
                        </a:ext>
                      </a:extLst>
                    </a:blip>
                    <a:stretch>
                      <a:fillRect/>
                    </a:stretch>
                  </pic:blipFill>
                  <pic:spPr>
                    <a:xfrm>
                      <a:off x="0" y="0"/>
                      <a:ext cx="5400040" cy="1022454"/>
                    </a:xfrm>
                    <a:prstGeom prst="rect">
                      <a:avLst/>
                    </a:prstGeom>
                  </pic:spPr>
                </pic:pic>
              </a:graphicData>
            </a:graphic>
          </wp:inline>
        </w:drawing>
      </w:r>
    </w:p>
    <w:p w14:paraId="4697AB6F" w14:textId="76C1202D" w:rsidR="004B6178" w:rsidRDefault="004B6178" w:rsidP="004B6178">
      <w:r w:rsidRPr="004B6178">
        <w:t xml:space="preserve">Examining the </w:t>
      </w:r>
      <w:r>
        <w:t>s</w:t>
      </w:r>
      <w:r w:rsidRPr="004B6178">
        <w:t xml:space="preserve">napshot analysis for the </w:t>
      </w:r>
      <w:r>
        <w:t>r</w:t>
      </w:r>
      <w:r w:rsidRPr="004B6178">
        <w:t>andomi</w:t>
      </w:r>
      <w:r>
        <w:t>s</w:t>
      </w:r>
      <w:r w:rsidRPr="004B6178">
        <w:t xml:space="preserve">ed </w:t>
      </w:r>
      <w:r>
        <w:t>c</w:t>
      </w:r>
      <w:r w:rsidRPr="004B6178">
        <w:t xml:space="preserve">ohort (combined placebo and </w:t>
      </w:r>
      <w:r w:rsidR="008035D2">
        <w:t>fostemsavir</w:t>
      </w:r>
      <w:r w:rsidRPr="004B6178">
        <w:t xml:space="preserve"> groups as all subjects were receiving OBT during the open</w:t>
      </w:r>
      <w:r w:rsidR="00065737">
        <w:t xml:space="preserve"> </w:t>
      </w:r>
      <w:r w:rsidRPr="004B6178">
        <w:t>label phase of the trial).</w:t>
      </w:r>
    </w:p>
    <w:p w14:paraId="62FAF5C3" w14:textId="58781003" w:rsidR="004B6178" w:rsidRDefault="004B6178" w:rsidP="004B6178">
      <w:pPr>
        <w:pStyle w:val="TableTitle"/>
      </w:pPr>
      <w:r w:rsidRPr="004B6178">
        <w:lastRenderedPageBreak/>
        <w:t xml:space="preserve">Table </w:t>
      </w:r>
      <w:r w:rsidR="00C85163">
        <w:fldChar w:fldCharType="begin"/>
      </w:r>
      <w:r w:rsidR="00C85163">
        <w:instrText xml:space="preserve"> SEQ Table \* ARABIC </w:instrText>
      </w:r>
      <w:r w:rsidR="00C85163">
        <w:fldChar w:fldCharType="separate"/>
      </w:r>
      <w:r w:rsidR="00C0134B">
        <w:rPr>
          <w:noProof/>
        </w:rPr>
        <w:t>7</w:t>
      </w:r>
      <w:r w:rsidR="00C85163">
        <w:rPr>
          <w:noProof/>
        </w:rPr>
        <w:fldChar w:fldCharType="end"/>
      </w:r>
      <w:r>
        <w:t xml:space="preserve">: </w:t>
      </w:r>
      <w:r w:rsidR="007453BF">
        <w:t xml:space="preserve">Study 2058880 </w:t>
      </w:r>
      <w:r w:rsidRPr="00375CD1">
        <w:t xml:space="preserve">Virologic </w:t>
      </w:r>
      <w:r>
        <w:t>o</w:t>
      </w:r>
      <w:r w:rsidRPr="00375CD1">
        <w:t xml:space="preserve">utcomes for the </w:t>
      </w:r>
      <w:r>
        <w:t>r</w:t>
      </w:r>
      <w:r w:rsidRPr="00375CD1">
        <w:t>andomi</w:t>
      </w:r>
      <w:r>
        <w:t>s</w:t>
      </w:r>
      <w:r w:rsidRPr="00375CD1">
        <w:t xml:space="preserve">ed </w:t>
      </w:r>
      <w:r>
        <w:t>c</w:t>
      </w:r>
      <w:r w:rsidRPr="00375CD1">
        <w:t>ohort</w:t>
      </w:r>
      <w:r w:rsidR="008110BB">
        <w:t xml:space="preserve">; </w:t>
      </w:r>
      <w:r>
        <w:t>intent to treat- exposed p</w:t>
      </w:r>
      <w:r w:rsidRPr="00375CD1">
        <w:t>opulation</w:t>
      </w:r>
    </w:p>
    <w:p w14:paraId="4A659474" w14:textId="13D0724D" w:rsidR="004B6178" w:rsidRDefault="004B6178" w:rsidP="004B6178">
      <w:r w:rsidRPr="00A55A3E">
        <w:rPr>
          <w:rFonts w:asciiTheme="minorHAnsi" w:hAnsiTheme="minorHAnsi"/>
          <w:noProof/>
          <w:color w:val="000000" w:themeColor="text1"/>
          <w:lang w:val="en-GB" w:eastAsia="en-GB"/>
        </w:rPr>
        <w:drawing>
          <wp:inline distT="0" distB="0" distL="0" distR="0" wp14:anchorId="50151AC2" wp14:editId="2C03F019">
            <wp:extent cx="5400040" cy="1736197"/>
            <wp:effectExtent l="0" t="0" r="0" b="0"/>
            <wp:docPr id="161" name="Picture 161" descr="Table 7: Study 2058880 Virologic outcomes for the randomised cohort; intent to treat- exposed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Picture 161" descr="Table 7: Study 2058880 Virologic outcomes for the randomised cohort; intent to treat- exposed population"/>
                    <pic:cNvPicPr/>
                  </pic:nvPicPr>
                  <pic:blipFill>
                    <a:blip r:embed="rId27">
                      <a:extLst>
                        <a:ext uri="{28A0092B-C50C-407E-A947-70E740481C1C}">
                          <a14:useLocalDpi xmlns:a14="http://schemas.microsoft.com/office/drawing/2010/main" val="0"/>
                        </a:ext>
                      </a:extLst>
                    </a:blip>
                    <a:stretch>
                      <a:fillRect/>
                    </a:stretch>
                  </pic:blipFill>
                  <pic:spPr>
                    <a:xfrm>
                      <a:off x="0" y="0"/>
                      <a:ext cx="5400040" cy="1736197"/>
                    </a:xfrm>
                    <a:prstGeom prst="rect">
                      <a:avLst/>
                    </a:prstGeom>
                  </pic:spPr>
                </pic:pic>
              </a:graphicData>
            </a:graphic>
          </wp:inline>
        </w:drawing>
      </w:r>
    </w:p>
    <w:p w14:paraId="3EBDB96E" w14:textId="6E854530" w:rsidR="007453BF" w:rsidRDefault="007453BF" w:rsidP="002351E1">
      <w:pPr>
        <w:pStyle w:val="TableDescription"/>
      </w:pPr>
      <w:r>
        <w:t xml:space="preserve">Outcomes by US </w:t>
      </w:r>
      <w:r w:rsidRPr="00375CD1">
        <w:t xml:space="preserve">FDA </w:t>
      </w:r>
      <w:r>
        <w:t>s</w:t>
      </w:r>
      <w:r w:rsidRPr="00375CD1">
        <w:t xml:space="preserve">napshot </w:t>
      </w:r>
      <w:r>
        <w:t>a</w:t>
      </w:r>
      <w:r w:rsidRPr="00375CD1">
        <w:t>lgorithm</w:t>
      </w:r>
      <w:r>
        <w:t>; ART = antiretroviral therapy/treatment; AE = adverse event.</w:t>
      </w:r>
    </w:p>
    <w:p w14:paraId="305DC08C" w14:textId="110B3AE7" w:rsidR="004B6178" w:rsidRDefault="004B6178" w:rsidP="002351E1">
      <w:pPr>
        <w:pStyle w:val="Heading6"/>
      </w:pPr>
      <w:r w:rsidRPr="008C3A14">
        <w:t xml:space="preserve">Immunologic </w:t>
      </w:r>
      <w:r w:rsidR="007453BF">
        <w:t>r</w:t>
      </w:r>
      <w:r w:rsidRPr="008C3A14">
        <w:t>esponse</w:t>
      </w:r>
    </w:p>
    <w:p w14:paraId="17B07BFA" w14:textId="38F02DE5" w:rsidR="004B6178" w:rsidRDefault="004B6178" w:rsidP="004B6178">
      <w:r w:rsidRPr="008C3A14">
        <w:t>One of the ultimate goals of HIV-1 treatment is to restore immune function, primarily via restoration of CD4</w:t>
      </w:r>
      <w:r w:rsidRPr="004B6178">
        <w:rPr>
          <w:vertAlign w:val="superscript"/>
        </w:rPr>
        <w:t>+</w:t>
      </w:r>
      <w:r>
        <w:t xml:space="preserve"> </w:t>
      </w:r>
      <w:r w:rsidRPr="008C3A14">
        <w:t>T cell count. Immune recovery may be delayed in the HTE population relative to a treatment</w:t>
      </w:r>
      <w:r>
        <w:t xml:space="preserve"> </w:t>
      </w:r>
      <w:r w:rsidRPr="008C3A14">
        <w:t>naïve population due to protracted immune destruction, particularly in patients with no treatment options</w:t>
      </w:r>
      <w:r>
        <w:t>.</w:t>
      </w:r>
    </w:p>
    <w:p w14:paraId="6890D360" w14:textId="16EA23F5" w:rsidR="004B6178" w:rsidRDefault="004B6178" w:rsidP="004B6178">
      <w:r w:rsidRPr="008C3A14">
        <w:t>Baseline CD4</w:t>
      </w:r>
      <w:r w:rsidRPr="004B6178">
        <w:rPr>
          <w:vertAlign w:val="superscript"/>
        </w:rPr>
        <w:t>+</w:t>
      </w:r>
      <w:r w:rsidRPr="008C3A14">
        <w:t xml:space="preserve"> T cell counts were lower in the non-</w:t>
      </w:r>
      <w:r>
        <w:t>r</w:t>
      </w:r>
      <w:r w:rsidRPr="008C3A14">
        <w:t>andomi</w:t>
      </w:r>
      <w:r>
        <w:t>s</w:t>
      </w:r>
      <w:r w:rsidRPr="008C3A14">
        <w:t xml:space="preserve">ed </w:t>
      </w:r>
      <w:r>
        <w:t>c</w:t>
      </w:r>
      <w:r w:rsidRPr="008C3A14">
        <w:t xml:space="preserve">ohort compared to the </w:t>
      </w:r>
      <w:r>
        <w:t>r</w:t>
      </w:r>
      <w:r w:rsidRPr="008C3A14">
        <w:t>andomi</w:t>
      </w:r>
      <w:r>
        <w:t>s</w:t>
      </w:r>
      <w:r w:rsidRPr="008C3A14">
        <w:t xml:space="preserve">ed </w:t>
      </w:r>
      <w:r>
        <w:t>c</w:t>
      </w:r>
      <w:r w:rsidRPr="008C3A14">
        <w:t xml:space="preserve">ohort </w:t>
      </w:r>
      <w:r w:rsidR="00E861ED">
        <w:t>but</w:t>
      </w:r>
      <w:r w:rsidR="00E861ED" w:rsidRPr="008C3A14">
        <w:t xml:space="preserve"> </w:t>
      </w:r>
      <w:r w:rsidRPr="008C3A14">
        <w:t>steadily increased over time</w:t>
      </w:r>
      <w:r w:rsidR="00E861ED">
        <w:t xml:space="preserve"> across both cohorts</w:t>
      </w:r>
      <w:r w:rsidRPr="008C3A14">
        <w:t xml:space="preserve">. </w:t>
      </w:r>
      <w:r w:rsidR="007453BF">
        <w:t>I</w:t>
      </w:r>
      <w:r w:rsidRPr="006D6147">
        <w:t xml:space="preserve">n the </w:t>
      </w:r>
      <w:r>
        <w:t>n</w:t>
      </w:r>
      <w:r w:rsidRPr="006D6147">
        <w:t>on-randomi</w:t>
      </w:r>
      <w:r>
        <w:t>s</w:t>
      </w:r>
      <w:r w:rsidRPr="006D6147">
        <w:t xml:space="preserve">ed </w:t>
      </w:r>
      <w:r w:rsidR="00065737">
        <w:t>c</w:t>
      </w:r>
      <w:r w:rsidRPr="006D6147">
        <w:t>ohort</w:t>
      </w:r>
      <w:r w:rsidR="00E861ED">
        <w:t>,</w:t>
      </w:r>
      <w:r w:rsidRPr="006D6147">
        <w:t xml:space="preserve"> mean changes in CD4</w:t>
      </w:r>
      <w:r w:rsidRPr="00A71AE7">
        <w:rPr>
          <w:vertAlign w:val="superscript"/>
        </w:rPr>
        <w:t>+</w:t>
      </w:r>
      <w:r w:rsidRPr="006D6147">
        <w:t xml:space="preserve"> T cell counts from </w:t>
      </w:r>
      <w:r w:rsidR="00704FB7">
        <w:t>B</w:t>
      </w:r>
      <w:r w:rsidRPr="006D6147">
        <w:t>aseline increased over time by 41, 63.5, and 119 cells/mm</w:t>
      </w:r>
      <w:r w:rsidRPr="00A71AE7">
        <w:rPr>
          <w:vertAlign w:val="superscript"/>
        </w:rPr>
        <w:t>3</w:t>
      </w:r>
      <w:r w:rsidRPr="006D6147">
        <w:t xml:space="preserve"> at Weeks 24, 48, and 96 respectively. </w:t>
      </w:r>
      <w:r w:rsidRPr="008C3A14">
        <w:t>However, it is important to note that the number of subjects continually decreased (</w:t>
      </w:r>
      <w:r w:rsidR="00A71AE7">
        <w:t>for example</w:t>
      </w:r>
      <w:r w:rsidRPr="008C3A14">
        <w:t xml:space="preserve">, dropouts due to death, </w:t>
      </w:r>
      <w:r w:rsidR="00A71AE7">
        <w:t>adverse events (A</w:t>
      </w:r>
      <w:r w:rsidRPr="008C3A14">
        <w:t>Es</w:t>
      </w:r>
      <w:r w:rsidR="00A71AE7">
        <w:t>)</w:t>
      </w:r>
      <w:r w:rsidRPr="008C3A14">
        <w:t>, lack of benefit), so the gains in CD4</w:t>
      </w:r>
      <w:r w:rsidRPr="00A71AE7">
        <w:rPr>
          <w:vertAlign w:val="superscript"/>
        </w:rPr>
        <w:t>+</w:t>
      </w:r>
      <w:r w:rsidRPr="008C3A14">
        <w:t xml:space="preserve"> T cell counts largely reflect those with virologic success.</w:t>
      </w:r>
      <w:r w:rsidR="008A0BC5">
        <w:rPr>
          <w:rStyle w:val="FootnoteReference"/>
        </w:rPr>
        <w:footnoteReference w:id="11"/>
      </w:r>
    </w:p>
    <w:p w14:paraId="76FA5FDA" w14:textId="4F0F3ED4" w:rsidR="004B6178" w:rsidRDefault="00A71AE7" w:rsidP="00A71AE7">
      <w:pPr>
        <w:pStyle w:val="TableTitle"/>
      </w:pPr>
      <w:r w:rsidRPr="00A71AE7">
        <w:t xml:space="preserve">Table </w:t>
      </w:r>
      <w:r w:rsidR="00C85163">
        <w:fldChar w:fldCharType="begin"/>
      </w:r>
      <w:r w:rsidR="00C85163">
        <w:instrText xml:space="preserve"> SEQ Table \* ARABIC </w:instrText>
      </w:r>
      <w:r w:rsidR="00C85163">
        <w:fldChar w:fldCharType="separate"/>
      </w:r>
      <w:r w:rsidR="00C0134B">
        <w:rPr>
          <w:noProof/>
        </w:rPr>
        <w:t>8</w:t>
      </w:r>
      <w:r w:rsidR="00C85163">
        <w:rPr>
          <w:noProof/>
        </w:rPr>
        <w:fldChar w:fldCharType="end"/>
      </w:r>
      <w:r>
        <w:t xml:space="preserve">: </w:t>
      </w:r>
      <w:r w:rsidR="007453BF">
        <w:t xml:space="preserve">Study 2058880 </w:t>
      </w:r>
      <w:r w:rsidRPr="00A71AE7">
        <w:t xml:space="preserve">Summary of </w:t>
      </w:r>
      <w:r>
        <w:t>m</w:t>
      </w:r>
      <w:r w:rsidRPr="00A71AE7">
        <w:t xml:space="preserve">ean </w:t>
      </w:r>
      <w:r>
        <w:t>c</w:t>
      </w:r>
      <w:r w:rsidRPr="00A71AE7">
        <w:t xml:space="preserve">hange </w:t>
      </w:r>
      <w:r>
        <w:t>f</w:t>
      </w:r>
      <w:r w:rsidRPr="00A71AE7">
        <w:t xml:space="preserve">rom Baseline in </w:t>
      </w:r>
      <w:r>
        <w:t>a</w:t>
      </w:r>
      <w:r w:rsidRPr="00A71AE7">
        <w:t>bsolute CD4</w:t>
      </w:r>
      <w:r w:rsidRPr="00A71AE7">
        <w:rPr>
          <w:vertAlign w:val="superscript"/>
        </w:rPr>
        <w:t>+</w:t>
      </w:r>
      <w:r w:rsidRPr="00A71AE7">
        <w:t xml:space="preserve"> T</w:t>
      </w:r>
      <w:r w:rsidR="008110BB">
        <w:t> </w:t>
      </w:r>
      <w:r>
        <w:t>c</w:t>
      </w:r>
      <w:r w:rsidRPr="00A71AE7">
        <w:t xml:space="preserve">ell </w:t>
      </w:r>
      <w:r>
        <w:t>c</w:t>
      </w:r>
      <w:r w:rsidRPr="00A71AE7">
        <w:t>ount (cells/mm</w:t>
      </w:r>
      <w:r w:rsidRPr="00A71AE7">
        <w:rPr>
          <w:vertAlign w:val="superscript"/>
        </w:rPr>
        <w:t>3</w:t>
      </w:r>
      <w:r w:rsidRPr="00A71AE7">
        <w:t xml:space="preserve">) by </w:t>
      </w:r>
      <w:r>
        <w:t>v</w:t>
      </w:r>
      <w:r w:rsidRPr="00A71AE7">
        <w:t>isit</w:t>
      </w:r>
      <w:r w:rsidR="008110BB">
        <w:t xml:space="preserve">; </w:t>
      </w:r>
      <w:r>
        <w:t>o</w:t>
      </w:r>
      <w:r w:rsidRPr="00A71AE7">
        <w:t xml:space="preserve">bserved, </w:t>
      </w:r>
      <w:r>
        <w:t>intent to treat-exposed p</w:t>
      </w:r>
      <w:r w:rsidRPr="00A71AE7">
        <w:t>opulation</w:t>
      </w:r>
    </w:p>
    <w:p w14:paraId="520E988F" w14:textId="5739081B" w:rsidR="00A71AE7" w:rsidRDefault="00A71AE7" w:rsidP="00A71AE7">
      <w:r w:rsidRPr="00B154C0">
        <w:rPr>
          <w:rFonts w:asciiTheme="minorHAnsi" w:hAnsiTheme="minorHAnsi"/>
          <w:noProof/>
          <w:color w:val="000000" w:themeColor="text1"/>
          <w:lang w:val="en-GB" w:eastAsia="en-GB"/>
        </w:rPr>
        <w:drawing>
          <wp:inline distT="0" distB="0" distL="0" distR="0" wp14:anchorId="30FA8F77" wp14:editId="7C4CBBCD">
            <wp:extent cx="5400040" cy="1260568"/>
            <wp:effectExtent l="0" t="0" r="0" b="0"/>
            <wp:docPr id="166" name="Picture 166" descr="Table 8: Study 2058880 Summary of mean change from Baseline in absolute CD4+ T cell count (cells/mm3) by visit; observed, intent to treat-exposed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Picture 166" descr="Table 8: Study 2058880 Summary of mean change from Baseline in absolute CD4+ T cell count (cells/mm3) by visit; observed, intent to treat-exposed population"/>
                    <pic:cNvPicPr/>
                  </pic:nvPicPr>
                  <pic:blipFill>
                    <a:blip r:embed="rId28">
                      <a:extLst>
                        <a:ext uri="{28A0092B-C50C-407E-A947-70E740481C1C}">
                          <a14:useLocalDpi xmlns:a14="http://schemas.microsoft.com/office/drawing/2010/main" val="0"/>
                        </a:ext>
                      </a:extLst>
                    </a:blip>
                    <a:stretch>
                      <a:fillRect/>
                    </a:stretch>
                  </pic:blipFill>
                  <pic:spPr>
                    <a:xfrm>
                      <a:off x="0" y="0"/>
                      <a:ext cx="5400040" cy="1260568"/>
                    </a:xfrm>
                    <a:prstGeom prst="rect">
                      <a:avLst/>
                    </a:prstGeom>
                  </pic:spPr>
                </pic:pic>
              </a:graphicData>
            </a:graphic>
          </wp:inline>
        </w:drawing>
      </w:r>
    </w:p>
    <w:p w14:paraId="41F8CACD" w14:textId="3ECBBF5D" w:rsidR="00A71AE7" w:rsidRDefault="00A71AE7" w:rsidP="00A71AE7">
      <w:r>
        <w:t xml:space="preserve">Subgroup analyses were conducted to assess the potential for differences in the treatment effect for various demographic groups. Overall, the treatment effect of </w:t>
      </w:r>
      <w:r w:rsidR="008035D2">
        <w:t>fostemsavir</w:t>
      </w:r>
      <w:r>
        <w:t xml:space="preserve"> 600 mg twice daily compared to placebo appeared consistent across demographic subgroups of age, gender, race, ethnicity, and geographic region, although the sample sizes for some subgroups were small.</w:t>
      </w:r>
    </w:p>
    <w:p w14:paraId="426EAD88" w14:textId="77777777" w:rsidR="00A71AE7" w:rsidRDefault="00A71AE7" w:rsidP="00A71AE7">
      <w:pPr>
        <w:pStyle w:val="Heading4"/>
      </w:pPr>
      <w:r>
        <w:t>Safety</w:t>
      </w:r>
    </w:p>
    <w:p w14:paraId="2B040749" w14:textId="05F8283E" w:rsidR="00A71AE7" w:rsidRDefault="00A71AE7" w:rsidP="00A71AE7">
      <w:r>
        <w:t xml:space="preserve">The overall assessment of safety of </w:t>
      </w:r>
      <w:r w:rsidR="008035D2">
        <w:t>fostemsavir</w:t>
      </w:r>
      <w:r>
        <w:t xml:space="preserve"> is informed by early phase clinical studies, the Phase III</w:t>
      </w:r>
      <w:r w:rsidR="00E91E76">
        <w:t xml:space="preserve">, conducted in the target </w:t>
      </w:r>
      <w:r w:rsidR="008110BB">
        <w:t>heavily treatment experienced (</w:t>
      </w:r>
      <w:r w:rsidR="00E91E76">
        <w:t>HTE</w:t>
      </w:r>
      <w:r w:rsidR="008110BB">
        <w:t>)</w:t>
      </w:r>
      <w:r w:rsidR="00E91E76">
        <w:t xml:space="preserve"> population,</w:t>
      </w:r>
      <w:r>
        <w:t xml:space="preserve"> and </w:t>
      </w:r>
      <w:r>
        <w:lastRenderedPageBreak/>
        <w:t xml:space="preserve">the Phase IIb trial, which was conducted in a </w:t>
      </w:r>
      <w:r w:rsidR="00E91E76">
        <w:t xml:space="preserve">treatment-experienced </w:t>
      </w:r>
      <w:r>
        <w:t>population that retained susceptibility to several ARVs.</w:t>
      </w:r>
    </w:p>
    <w:p w14:paraId="54983CEE" w14:textId="2F7238C9" w:rsidR="00A71AE7" w:rsidRDefault="00A71AE7" w:rsidP="00A71AE7">
      <w:r>
        <w:t xml:space="preserve">Key </w:t>
      </w:r>
      <w:r w:rsidR="008110BB">
        <w:t>c</w:t>
      </w:r>
      <w:r>
        <w:t>linical safety issues identified are:</w:t>
      </w:r>
    </w:p>
    <w:p w14:paraId="6F666640" w14:textId="4BF93522" w:rsidR="00A71AE7" w:rsidRDefault="00704FB7" w:rsidP="00A71AE7">
      <w:pPr>
        <w:pStyle w:val="ListBullet"/>
      </w:pPr>
      <w:r>
        <w:t>h</w:t>
      </w:r>
      <w:r w:rsidR="00A71AE7">
        <w:t xml:space="preserve">epatobiliary </w:t>
      </w:r>
      <w:r w:rsidR="008110BB">
        <w:t>adverse events (</w:t>
      </w:r>
      <w:r w:rsidR="00A71AE7">
        <w:t>AE</w:t>
      </w:r>
      <w:r w:rsidR="008110BB">
        <w:t>)</w:t>
      </w:r>
    </w:p>
    <w:p w14:paraId="466DA5C1" w14:textId="53584920" w:rsidR="00A71AE7" w:rsidRDefault="00704FB7" w:rsidP="00A71AE7">
      <w:pPr>
        <w:pStyle w:val="ListBullet"/>
      </w:pPr>
      <w:r>
        <w:t>p</w:t>
      </w:r>
      <w:r w:rsidR="00A71AE7">
        <w:t>rolongation of the QT interval</w:t>
      </w:r>
    </w:p>
    <w:p w14:paraId="777CA45E" w14:textId="2458A79C" w:rsidR="00A71AE7" w:rsidRDefault="00704FB7" w:rsidP="00A71AE7">
      <w:pPr>
        <w:pStyle w:val="ListBullet"/>
      </w:pPr>
      <w:r>
        <w:t>i</w:t>
      </w:r>
      <w:r w:rsidR="00A71AE7">
        <w:t>mmune reconstitution inflammatory syndrome</w:t>
      </w:r>
    </w:p>
    <w:p w14:paraId="03BAA064" w14:textId="6D4D29F3" w:rsidR="00A71AE7" w:rsidRDefault="00704FB7" w:rsidP="00A71AE7">
      <w:pPr>
        <w:pStyle w:val="ListBullet"/>
      </w:pPr>
      <w:r>
        <w:t>r</w:t>
      </w:r>
      <w:r w:rsidR="00A71AE7">
        <w:t xml:space="preserve">ash and hypersensitivity reactions </w:t>
      </w:r>
    </w:p>
    <w:p w14:paraId="29A7C1B8" w14:textId="300B060E" w:rsidR="00A71AE7" w:rsidRDefault="00704FB7" w:rsidP="00A71AE7">
      <w:pPr>
        <w:pStyle w:val="ListBullet"/>
      </w:pPr>
      <w:r>
        <w:t>e</w:t>
      </w:r>
      <w:r w:rsidR="00A71AE7">
        <w:t>levations in serum creatine kinase and reports of myalgia</w:t>
      </w:r>
    </w:p>
    <w:p w14:paraId="23BF7BD3" w14:textId="7B8C2DB1" w:rsidR="00A71AE7" w:rsidRDefault="00704FB7" w:rsidP="00A71AE7">
      <w:pPr>
        <w:pStyle w:val="ListBullet"/>
      </w:pPr>
      <w:r>
        <w:t>n</w:t>
      </w:r>
      <w:r w:rsidR="00A71AE7">
        <w:t>europsychiatric events</w:t>
      </w:r>
    </w:p>
    <w:p w14:paraId="03FE082D" w14:textId="4BA66A10" w:rsidR="00A71AE7" w:rsidRDefault="00704FB7" w:rsidP="00A71AE7">
      <w:pPr>
        <w:pStyle w:val="ListBullet"/>
      </w:pPr>
      <w:r>
        <w:t>d</w:t>
      </w:r>
      <w:r w:rsidR="00A71AE7">
        <w:t>rug</w:t>
      </w:r>
      <w:r>
        <w:t xml:space="preserve"> </w:t>
      </w:r>
      <w:proofErr w:type="spellStart"/>
      <w:r>
        <w:t>d</w:t>
      </w:r>
      <w:r w:rsidR="00A71AE7">
        <w:t>rug</w:t>
      </w:r>
      <w:proofErr w:type="spellEnd"/>
      <w:r w:rsidR="00A71AE7">
        <w:t xml:space="preserve"> interactions</w:t>
      </w:r>
      <w:r w:rsidR="008110BB">
        <w:t xml:space="preserve">, </w:t>
      </w:r>
      <w:r w:rsidR="00A71AE7">
        <w:t>HIV therapies and other</w:t>
      </w:r>
      <w:r w:rsidR="008110BB">
        <w:t xml:space="preserve"> drugs</w:t>
      </w:r>
      <w:r>
        <w:t>.</w:t>
      </w:r>
    </w:p>
    <w:p w14:paraId="438C5481" w14:textId="52608A89" w:rsidR="00A71AE7" w:rsidRDefault="00A71AE7" w:rsidP="00A71AE7">
      <w:r>
        <w:t xml:space="preserve">These aspects are well documented and overall </w:t>
      </w:r>
      <w:r w:rsidR="008035D2">
        <w:t>fostemsavir</w:t>
      </w:r>
      <w:r>
        <w:t xml:space="preserve"> has demonstrated acceptable safety profile in HTE subjects with MDR HIV-1 infection at the dose of 600mg twice daily. Overall, there is no clear pattern of high grade </w:t>
      </w:r>
      <w:r w:rsidR="008035D2">
        <w:t>fostemsavir</w:t>
      </w:r>
      <w:r>
        <w:t xml:space="preserve"> related safety issues, but the causality assessment is complicated by lack of comparator group and confounding from poor health status and concomitant medications.</w:t>
      </w:r>
    </w:p>
    <w:p w14:paraId="7992AE81" w14:textId="1EA88B8B" w:rsidR="00A71AE7" w:rsidRDefault="00A71AE7" w:rsidP="00A71AE7">
      <w:r>
        <w:t>In the Phase III HTE trial, infections and malignancies were the leading causes of death and events requiring hospitali</w:t>
      </w:r>
      <w:r w:rsidR="0049044F">
        <w:t>s</w:t>
      </w:r>
      <w:r>
        <w:t>ation, which is consistent with expectations for this population. Infections and g</w:t>
      </w:r>
      <w:r w:rsidRPr="00A71AE7">
        <w:t>astrointestinal</w:t>
      </w:r>
      <w:r>
        <w:t xml:space="preserve"> (GI) events were </w:t>
      </w:r>
      <w:proofErr w:type="gramStart"/>
      <w:r>
        <w:t>reported most commonly</w:t>
      </w:r>
      <w:proofErr w:type="gramEnd"/>
      <w:r>
        <w:t>, but rarely resulted in discontinuation.</w:t>
      </w:r>
    </w:p>
    <w:p w14:paraId="0B3D7C4F" w14:textId="4A3FC4E0" w:rsidR="00A71AE7" w:rsidRDefault="00A71AE7" w:rsidP="00A71AE7">
      <w:r>
        <w:t xml:space="preserve">No safety concerns emerged in the Phase IIb trial that were not apparent in the Phase III trial. Overall, safety events, particularly </w:t>
      </w:r>
      <w:proofErr w:type="gramStart"/>
      <w:r>
        <w:t>high grade</w:t>
      </w:r>
      <w:proofErr w:type="gramEnd"/>
      <w:r>
        <w:t xml:space="preserve"> events, occurred with much less frequency in the Phase IIb population. Deaths were uncommon and there was no pattern observed among </w:t>
      </w:r>
      <w:r w:rsidRPr="00A71AE7">
        <w:t>serious adverse event</w:t>
      </w:r>
      <w:r w:rsidR="00704FB7">
        <w:t>s</w:t>
      </w:r>
      <w:r>
        <w:t xml:space="preserve"> (SAE) or AEs resulting in discontinuation of </w:t>
      </w:r>
      <w:r w:rsidR="008035D2">
        <w:t>fostemsavir</w:t>
      </w:r>
      <w:r>
        <w:t xml:space="preserve">. </w:t>
      </w:r>
      <w:proofErr w:type="gramStart"/>
      <w:r>
        <w:t>Similar to</w:t>
      </w:r>
      <w:proofErr w:type="gramEnd"/>
      <w:r>
        <w:t xml:space="preserve"> the Phase III trial, the most commonly reported AEs were infections or GI events. As patients in the Phase III study had a more advanced HIV disease at Baseline, (for example, less CD4</w:t>
      </w:r>
      <w:r w:rsidRPr="00A71AE7">
        <w:rPr>
          <w:vertAlign w:val="superscript"/>
        </w:rPr>
        <w:t>+</w:t>
      </w:r>
      <w:r>
        <w:t xml:space="preserve"> T cells) compared to the Phase IIb study, the observation that patients in the Phase III study reported higher rates of AEs of increased severity was considered expected.</w:t>
      </w:r>
    </w:p>
    <w:p w14:paraId="50D69679" w14:textId="0B708FC8" w:rsidR="00A71AE7" w:rsidRDefault="00A71AE7" w:rsidP="00A71AE7">
      <w:r>
        <w:t>A</w:t>
      </w:r>
      <w:r w:rsidRPr="00A71AE7">
        <w:t>dverse drug reaction</w:t>
      </w:r>
      <w:r w:rsidR="00704FB7">
        <w:t>s</w:t>
      </w:r>
      <w:r>
        <w:t xml:space="preserve"> (any Grade) were reported in 38%, 34%, 34% in the randomised cohort and the non-randomised cohort of the Phase III study, and in the Phase IIb study, respectively. For the randomised cohort of the Phase III study, the most commonly reported drug</w:t>
      </w:r>
      <w:r w:rsidR="00704FB7">
        <w:t xml:space="preserve"> </w:t>
      </w:r>
      <w:r>
        <w:t xml:space="preserve">related AEs (any Grade) ≥ 1% were nausea (10%), diarrhoea (4%), headache (4%), dyspepsia (3%), fatigue (2%), insomnia (2%), depression (2%), </w:t>
      </w:r>
      <w:r w:rsidRPr="00A71AE7">
        <w:t>incident reporting &amp; investigation scheme</w:t>
      </w:r>
      <w:r>
        <w:t xml:space="preserve"> (2%), blood creatinine increased (2%), abdominal pain (1%), rash (1%) and </w:t>
      </w:r>
      <w:r w:rsidR="008110BB">
        <w:t>electrocardiogram</w:t>
      </w:r>
      <w:r>
        <w:t xml:space="preserve"> QT prolonged (&lt; 1%).</w:t>
      </w:r>
    </w:p>
    <w:p w14:paraId="4109FCC6" w14:textId="01FAADB8" w:rsidR="00A71AE7" w:rsidRPr="00A04CA4" w:rsidRDefault="00A71AE7" w:rsidP="00A71AE7">
      <w:r>
        <w:t xml:space="preserve">These issues can be managed through the </w:t>
      </w:r>
      <w:r w:rsidR="00800026">
        <w:t>risk management plan (</w:t>
      </w:r>
      <w:r>
        <w:t>RMP</w:t>
      </w:r>
      <w:r w:rsidR="00800026">
        <w:t>)</w:t>
      </w:r>
      <w:r>
        <w:t xml:space="preserve"> and the </w:t>
      </w:r>
      <w:r w:rsidR="00800026">
        <w:t>w</w:t>
      </w:r>
      <w:r>
        <w:t xml:space="preserve">arnings and </w:t>
      </w:r>
      <w:r w:rsidR="00800026">
        <w:t>p</w:t>
      </w:r>
      <w:r>
        <w:t xml:space="preserve">recautions and adverse reactions sections of the </w:t>
      </w:r>
      <w:r w:rsidR="00800026">
        <w:t>PI.</w:t>
      </w:r>
    </w:p>
    <w:p w14:paraId="683140B4" w14:textId="77777777" w:rsidR="008E7846" w:rsidRDefault="00386150" w:rsidP="007B6132">
      <w:pPr>
        <w:pStyle w:val="Heading3"/>
        <w:rPr>
          <w:lang w:eastAsia="en-AU"/>
        </w:rPr>
      </w:pPr>
      <w:bookmarkStart w:id="42" w:name="_Toc83304612"/>
      <w:r>
        <w:rPr>
          <w:lang w:eastAsia="en-AU"/>
        </w:rPr>
        <w:t>Risk m</w:t>
      </w:r>
      <w:r w:rsidR="008E7846">
        <w:rPr>
          <w:lang w:eastAsia="en-AU"/>
        </w:rPr>
        <w:t xml:space="preserve">anagement </w:t>
      </w:r>
      <w:r>
        <w:rPr>
          <w:lang w:eastAsia="en-AU"/>
        </w:rPr>
        <w:t>p</w:t>
      </w:r>
      <w:r w:rsidR="008E7846">
        <w:rPr>
          <w:lang w:eastAsia="en-AU"/>
        </w:rPr>
        <w:t>lan</w:t>
      </w:r>
      <w:bookmarkEnd w:id="41"/>
      <w:bookmarkEnd w:id="42"/>
    </w:p>
    <w:p w14:paraId="4FC9E3BE" w14:textId="172CF495" w:rsidR="00DA10E0" w:rsidRDefault="00DA10E0" w:rsidP="007D53B6">
      <w:proofErr w:type="spellStart"/>
      <w:r w:rsidRPr="00DA10E0">
        <w:t>Viiv</w:t>
      </w:r>
      <w:proofErr w:type="spellEnd"/>
      <w:r w:rsidRPr="00DA10E0">
        <w:t xml:space="preserve"> Healthcare Pty Ltd has submitted EU-RMP version 0.1 </w:t>
      </w:r>
      <w:r w:rsidR="001E7DA8">
        <w:t>(</w:t>
      </w:r>
      <w:r>
        <w:t>data lock point (D</w:t>
      </w:r>
      <w:r w:rsidRPr="00DA10E0">
        <w:t>LP</w:t>
      </w:r>
      <w:r>
        <w:t>)</w:t>
      </w:r>
      <w:r w:rsidRPr="00DA10E0">
        <w:t xml:space="preserve"> 14</w:t>
      </w:r>
      <w:r w:rsidR="008110BB">
        <w:t> </w:t>
      </w:r>
      <w:r w:rsidRPr="00DA10E0">
        <w:t>August 2018) and A</w:t>
      </w:r>
      <w:r>
        <w:t>ustralian specific annex (ASA)</w:t>
      </w:r>
      <w:r w:rsidRPr="00DA10E0">
        <w:t xml:space="preserve"> version 1.0 (date</w:t>
      </w:r>
      <w:r w:rsidR="001E7DA8">
        <w:t>d</w:t>
      </w:r>
      <w:r w:rsidRPr="00DA10E0">
        <w:t xml:space="preserve"> June 2020) in support of this application. </w:t>
      </w:r>
      <w:r>
        <w:t>At second round of evaluation,</w:t>
      </w:r>
      <w:r w:rsidRPr="00DA10E0">
        <w:t xml:space="preserve"> the sponsor submitted EU-RMP version 1.0 (date</w:t>
      </w:r>
      <w:r w:rsidR="001E7DA8">
        <w:t>d</w:t>
      </w:r>
      <w:r w:rsidRPr="00DA10E0">
        <w:t xml:space="preserve"> 15 January 2021; DLP 6 September 2019) and ASA version 1.1 (date</w:t>
      </w:r>
      <w:r w:rsidR="001E7DA8">
        <w:t>d</w:t>
      </w:r>
      <w:r w:rsidRPr="00DA10E0">
        <w:t xml:space="preserve"> March 2021). </w:t>
      </w:r>
      <w:r>
        <w:t>Lastly</w:t>
      </w:r>
      <w:r w:rsidRPr="00DA10E0">
        <w:t>, the sponsor submitted ASA version 1.2 (date</w:t>
      </w:r>
      <w:r w:rsidR="001E7DA8">
        <w:t>d</w:t>
      </w:r>
      <w:r w:rsidRPr="00DA10E0">
        <w:t xml:space="preserve"> April 2021)</w:t>
      </w:r>
      <w:r>
        <w:t xml:space="preserve"> at third round of evaluation.</w:t>
      </w:r>
    </w:p>
    <w:p w14:paraId="52A42CBA" w14:textId="09E837A6" w:rsidR="007D53B6" w:rsidRDefault="007D53B6" w:rsidP="007D53B6">
      <w:r>
        <w:lastRenderedPageBreak/>
        <w:t xml:space="preserve">The summary of safety concerns and their associated risk monitoring and mitigation strategies are summarised in </w:t>
      </w:r>
      <w:r w:rsidR="00DA10E0">
        <w:fldChar w:fldCharType="begin"/>
      </w:r>
      <w:r w:rsidR="00DA10E0">
        <w:instrText xml:space="preserve"> REF _Ref78184717 \h </w:instrText>
      </w:r>
      <w:r w:rsidR="00DA10E0">
        <w:fldChar w:fldCharType="separate"/>
      </w:r>
      <w:r w:rsidR="00C0134B" w:rsidRPr="00DA10E0">
        <w:t xml:space="preserve">Table </w:t>
      </w:r>
      <w:r w:rsidR="00C0134B">
        <w:rPr>
          <w:noProof/>
        </w:rPr>
        <w:t>9</w:t>
      </w:r>
      <w:r w:rsidR="00DA10E0">
        <w:fldChar w:fldCharType="end"/>
      </w:r>
      <w:r>
        <w:t>.</w:t>
      </w:r>
      <w:r>
        <w:rPr>
          <w:rStyle w:val="FootnoteReference"/>
        </w:rPr>
        <w:footnoteReference w:id="12"/>
      </w:r>
    </w:p>
    <w:p w14:paraId="6D19A5AD" w14:textId="536D0BF9" w:rsidR="00DA10E0" w:rsidRDefault="00DA10E0" w:rsidP="00DA10E0">
      <w:pPr>
        <w:pStyle w:val="TableTitle"/>
      </w:pPr>
      <w:bookmarkStart w:id="43" w:name="_Ref78184717"/>
      <w:r w:rsidRPr="00DA10E0">
        <w:t xml:space="preserve">Table </w:t>
      </w:r>
      <w:r w:rsidR="00C85163">
        <w:fldChar w:fldCharType="begin"/>
      </w:r>
      <w:r w:rsidR="00C85163">
        <w:instrText xml:space="preserve"> SEQ Table \* ARABIC </w:instrText>
      </w:r>
      <w:r w:rsidR="00C85163">
        <w:fldChar w:fldCharType="separate"/>
      </w:r>
      <w:r w:rsidR="00C0134B">
        <w:rPr>
          <w:noProof/>
        </w:rPr>
        <w:t>9</w:t>
      </w:r>
      <w:r w:rsidR="00C85163">
        <w:rPr>
          <w:noProof/>
        </w:rPr>
        <w:fldChar w:fldCharType="end"/>
      </w:r>
      <w:bookmarkEnd w:id="43"/>
      <w:r>
        <w:t>: S</w:t>
      </w:r>
      <w:r w:rsidRPr="00DA10E0">
        <w:t>ummary of safety concerns and their associated risk monitoring and mitigation strategies</w:t>
      </w:r>
      <w:r>
        <w:t>.</w:t>
      </w:r>
    </w:p>
    <w:tbl>
      <w:tblPr>
        <w:tblStyle w:val="TableTGAblue"/>
        <w:tblW w:w="5000" w:type="pct"/>
        <w:tblLook w:val="04A0" w:firstRow="1" w:lastRow="0" w:firstColumn="1" w:lastColumn="0" w:noHBand="0" w:noVBand="1"/>
      </w:tblPr>
      <w:tblGrid>
        <w:gridCol w:w="1442"/>
        <w:gridCol w:w="2004"/>
        <w:gridCol w:w="1162"/>
        <w:gridCol w:w="1362"/>
        <w:gridCol w:w="1162"/>
        <w:gridCol w:w="1362"/>
      </w:tblGrid>
      <w:tr w:rsidR="00DA10E0" w:rsidRPr="00BF52F4" w14:paraId="02C1C538" w14:textId="77777777" w:rsidTr="00DA10E0">
        <w:trPr>
          <w:cnfStyle w:val="100000000000" w:firstRow="1" w:lastRow="0" w:firstColumn="0" w:lastColumn="0" w:oddVBand="0" w:evenVBand="0" w:oddHBand="0" w:evenHBand="0" w:firstRowFirstColumn="0" w:firstRowLastColumn="0" w:lastRowFirstColumn="0" w:lastRowLastColumn="0"/>
          <w:trHeight w:val="131"/>
        </w:trPr>
        <w:tc>
          <w:tcPr>
            <w:tcW w:w="2028" w:type="pct"/>
            <w:gridSpan w:val="2"/>
            <w:vMerge w:val="restart"/>
            <w:tcBorders>
              <w:top w:val="single" w:sz="4" w:space="0" w:color="auto"/>
              <w:left w:val="single" w:sz="4" w:space="0" w:color="auto"/>
              <w:bottom w:val="single" w:sz="4" w:space="0" w:color="auto"/>
              <w:right w:val="single" w:sz="4" w:space="0" w:color="auto"/>
            </w:tcBorders>
          </w:tcPr>
          <w:p w14:paraId="428B748D" w14:textId="77777777" w:rsidR="00DA10E0" w:rsidRPr="00DA10E0" w:rsidRDefault="00DA10E0" w:rsidP="00DA10E0">
            <w:pPr>
              <w:pStyle w:val="Tabletext"/>
              <w:rPr>
                <w:b w:val="0"/>
              </w:rPr>
            </w:pPr>
            <w:r w:rsidRPr="00DA10E0">
              <w:t>Summary of safety concerns</w:t>
            </w:r>
          </w:p>
        </w:tc>
        <w:tc>
          <w:tcPr>
            <w:tcW w:w="1486" w:type="pct"/>
            <w:gridSpan w:val="2"/>
            <w:tcBorders>
              <w:top w:val="single" w:sz="4" w:space="0" w:color="auto"/>
              <w:left w:val="single" w:sz="4" w:space="0" w:color="auto"/>
              <w:bottom w:val="single" w:sz="4" w:space="0" w:color="auto"/>
              <w:right w:val="single" w:sz="4" w:space="0" w:color="auto"/>
            </w:tcBorders>
          </w:tcPr>
          <w:p w14:paraId="7B0326DA" w14:textId="77777777" w:rsidR="00DA10E0" w:rsidRPr="00DA10E0" w:rsidRDefault="00DA10E0" w:rsidP="00DA10E0">
            <w:pPr>
              <w:pStyle w:val="Tabletext"/>
              <w:rPr>
                <w:b w:val="0"/>
                <w:sz w:val="18"/>
              </w:rPr>
            </w:pPr>
            <w:r w:rsidRPr="00DA10E0">
              <w:rPr>
                <w:sz w:val="18"/>
              </w:rPr>
              <w:t>Pharmacovigilance</w:t>
            </w:r>
          </w:p>
        </w:tc>
        <w:tc>
          <w:tcPr>
            <w:tcW w:w="1486" w:type="pct"/>
            <w:gridSpan w:val="2"/>
            <w:tcBorders>
              <w:top w:val="single" w:sz="4" w:space="0" w:color="auto"/>
              <w:left w:val="single" w:sz="4" w:space="0" w:color="auto"/>
              <w:bottom w:val="single" w:sz="4" w:space="0" w:color="auto"/>
              <w:right w:val="single" w:sz="4" w:space="0" w:color="auto"/>
            </w:tcBorders>
          </w:tcPr>
          <w:p w14:paraId="42F66D09" w14:textId="77777777" w:rsidR="00DA10E0" w:rsidRPr="00DA10E0" w:rsidRDefault="00DA10E0" w:rsidP="00DA10E0">
            <w:pPr>
              <w:pStyle w:val="Tabletext"/>
              <w:rPr>
                <w:b w:val="0"/>
                <w:sz w:val="18"/>
              </w:rPr>
            </w:pPr>
            <w:r w:rsidRPr="00DA10E0">
              <w:rPr>
                <w:sz w:val="18"/>
              </w:rPr>
              <w:t>Risk Minimisation</w:t>
            </w:r>
          </w:p>
        </w:tc>
      </w:tr>
      <w:tr w:rsidR="00DA10E0" w:rsidRPr="00BF52F4" w14:paraId="7A31D704" w14:textId="77777777" w:rsidTr="00DA10E0">
        <w:trPr>
          <w:trHeight w:val="150"/>
        </w:trPr>
        <w:tc>
          <w:tcPr>
            <w:tcW w:w="2028" w:type="pct"/>
            <w:gridSpan w:val="2"/>
            <w:vMerge/>
            <w:tcBorders>
              <w:top w:val="single" w:sz="4" w:space="0" w:color="auto"/>
              <w:left w:val="single" w:sz="4" w:space="0" w:color="auto"/>
              <w:bottom w:val="single" w:sz="4" w:space="0" w:color="auto"/>
              <w:right w:val="single" w:sz="4" w:space="0" w:color="auto"/>
            </w:tcBorders>
          </w:tcPr>
          <w:p w14:paraId="5EB7ABBD" w14:textId="77777777" w:rsidR="00DA10E0" w:rsidRPr="00DA10E0" w:rsidRDefault="00DA10E0" w:rsidP="00DA10E0">
            <w:pPr>
              <w:pStyle w:val="Tabletext"/>
              <w:rPr>
                <w:b/>
                <w:color w:val="FFFFFF" w:themeColor="background1"/>
              </w:rPr>
            </w:pPr>
          </w:p>
        </w:tc>
        <w:tc>
          <w:tcPr>
            <w:tcW w:w="684" w:type="pct"/>
            <w:tcBorders>
              <w:top w:val="single" w:sz="4" w:space="0" w:color="auto"/>
              <w:left w:val="single" w:sz="4" w:space="0" w:color="auto"/>
              <w:bottom w:val="single" w:sz="4" w:space="0" w:color="auto"/>
              <w:right w:val="single" w:sz="4" w:space="0" w:color="auto"/>
            </w:tcBorders>
            <w:shd w:val="clear" w:color="auto" w:fill="006DA7"/>
          </w:tcPr>
          <w:p w14:paraId="47446CEB" w14:textId="77777777" w:rsidR="00DA10E0" w:rsidRPr="00DA10E0" w:rsidRDefault="00DA10E0" w:rsidP="00DA10E0">
            <w:pPr>
              <w:pStyle w:val="Tabletext"/>
              <w:rPr>
                <w:color w:val="FFFFFF" w:themeColor="background1"/>
                <w:sz w:val="18"/>
              </w:rPr>
            </w:pPr>
            <w:r w:rsidRPr="00DA10E0">
              <w:rPr>
                <w:color w:val="FFFFFF" w:themeColor="background1"/>
                <w:sz w:val="18"/>
              </w:rPr>
              <w:t>Routine</w:t>
            </w:r>
          </w:p>
        </w:tc>
        <w:tc>
          <w:tcPr>
            <w:tcW w:w="802" w:type="pct"/>
            <w:tcBorders>
              <w:top w:val="single" w:sz="4" w:space="0" w:color="auto"/>
              <w:left w:val="single" w:sz="4" w:space="0" w:color="auto"/>
              <w:bottom w:val="single" w:sz="4" w:space="0" w:color="auto"/>
              <w:right w:val="single" w:sz="4" w:space="0" w:color="auto"/>
            </w:tcBorders>
            <w:shd w:val="clear" w:color="auto" w:fill="006DA7"/>
          </w:tcPr>
          <w:p w14:paraId="27135C7F" w14:textId="77777777" w:rsidR="00DA10E0" w:rsidRPr="00DA10E0" w:rsidRDefault="00DA10E0" w:rsidP="00DA10E0">
            <w:pPr>
              <w:pStyle w:val="Tabletext"/>
              <w:rPr>
                <w:color w:val="FFFFFF" w:themeColor="background1"/>
                <w:sz w:val="18"/>
              </w:rPr>
            </w:pPr>
            <w:r w:rsidRPr="00DA10E0">
              <w:rPr>
                <w:color w:val="FFFFFF" w:themeColor="background1"/>
                <w:sz w:val="18"/>
              </w:rPr>
              <w:t>Additional</w:t>
            </w:r>
          </w:p>
        </w:tc>
        <w:tc>
          <w:tcPr>
            <w:tcW w:w="684" w:type="pct"/>
            <w:tcBorders>
              <w:top w:val="single" w:sz="4" w:space="0" w:color="auto"/>
              <w:left w:val="single" w:sz="4" w:space="0" w:color="auto"/>
              <w:bottom w:val="single" w:sz="4" w:space="0" w:color="auto"/>
              <w:right w:val="single" w:sz="4" w:space="0" w:color="auto"/>
            </w:tcBorders>
            <w:shd w:val="clear" w:color="auto" w:fill="006DA7"/>
          </w:tcPr>
          <w:p w14:paraId="2CD047E8" w14:textId="77777777" w:rsidR="00DA10E0" w:rsidRPr="00DA10E0" w:rsidRDefault="00DA10E0" w:rsidP="00DA10E0">
            <w:pPr>
              <w:pStyle w:val="Tabletext"/>
              <w:rPr>
                <w:color w:val="FFFFFF" w:themeColor="background1"/>
                <w:sz w:val="18"/>
              </w:rPr>
            </w:pPr>
            <w:r w:rsidRPr="00DA10E0">
              <w:rPr>
                <w:color w:val="FFFFFF" w:themeColor="background1"/>
                <w:sz w:val="18"/>
              </w:rPr>
              <w:t>Routine</w:t>
            </w:r>
          </w:p>
        </w:tc>
        <w:tc>
          <w:tcPr>
            <w:tcW w:w="802" w:type="pct"/>
            <w:tcBorders>
              <w:top w:val="single" w:sz="4" w:space="0" w:color="auto"/>
              <w:left w:val="single" w:sz="4" w:space="0" w:color="auto"/>
              <w:bottom w:val="single" w:sz="4" w:space="0" w:color="auto"/>
              <w:right w:val="single" w:sz="4" w:space="0" w:color="auto"/>
            </w:tcBorders>
            <w:shd w:val="clear" w:color="auto" w:fill="006DA7"/>
          </w:tcPr>
          <w:p w14:paraId="4D636BF8" w14:textId="77777777" w:rsidR="00DA10E0" w:rsidRPr="00DA10E0" w:rsidRDefault="00DA10E0" w:rsidP="00DA10E0">
            <w:pPr>
              <w:pStyle w:val="Tabletext"/>
              <w:rPr>
                <w:color w:val="FFFFFF" w:themeColor="background1"/>
                <w:sz w:val="18"/>
              </w:rPr>
            </w:pPr>
            <w:r w:rsidRPr="00DA10E0">
              <w:rPr>
                <w:color w:val="FFFFFF" w:themeColor="background1"/>
                <w:sz w:val="18"/>
              </w:rPr>
              <w:t>Additional</w:t>
            </w:r>
          </w:p>
        </w:tc>
      </w:tr>
      <w:tr w:rsidR="00DA10E0" w:rsidRPr="00BF52F4" w14:paraId="2D397F26" w14:textId="77777777" w:rsidTr="00DA10E0">
        <w:trPr>
          <w:trHeight w:val="137"/>
        </w:trPr>
        <w:tc>
          <w:tcPr>
            <w:tcW w:w="849" w:type="pct"/>
            <w:tcBorders>
              <w:top w:val="single" w:sz="4" w:space="0" w:color="auto"/>
            </w:tcBorders>
          </w:tcPr>
          <w:p w14:paraId="6512B10F" w14:textId="77777777" w:rsidR="00DA10E0" w:rsidRPr="00DA10E0" w:rsidRDefault="00DA10E0" w:rsidP="00DA10E0">
            <w:pPr>
              <w:pStyle w:val="Tabletext"/>
              <w:ind w:left="0"/>
              <w:rPr>
                <w:b/>
                <w:color w:val="auto"/>
              </w:rPr>
            </w:pPr>
            <w:r w:rsidRPr="00DA10E0">
              <w:rPr>
                <w:b/>
                <w:color w:val="auto"/>
              </w:rPr>
              <w:t>Important identified risks</w:t>
            </w:r>
          </w:p>
        </w:tc>
        <w:tc>
          <w:tcPr>
            <w:tcW w:w="1180" w:type="pct"/>
            <w:tcBorders>
              <w:top w:val="single" w:sz="4" w:space="0" w:color="auto"/>
            </w:tcBorders>
          </w:tcPr>
          <w:p w14:paraId="191F68FD" w14:textId="77777777" w:rsidR="00DA10E0" w:rsidRPr="00DA10E0" w:rsidRDefault="00DA10E0" w:rsidP="00DA10E0">
            <w:pPr>
              <w:pStyle w:val="Tabletext"/>
              <w:ind w:left="0"/>
              <w:rPr>
                <w:color w:val="auto"/>
              </w:rPr>
            </w:pPr>
            <w:r w:rsidRPr="00DA10E0">
              <w:rPr>
                <w:color w:val="auto"/>
              </w:rPr>
              <w:t>Virologic failure and resistance</w:t>
            </w:r>
            <w:r w:rsidRPr="00DA10E0">
              <w:rPr>
                <w:color w:val="auto"/>
                <w:vertAlign w:val="superscript"/>
              </w:rPr>
              <w:t xml:space="preserve"> ‡</w:t>
            </w:r>
          </w:p>
        </w:tc>
        <w:tc>
          <w:tcPr>
            <w:tcW w:w="684" w:type="pct"/>
            <w:tcBorders>
              <w:top w:val="single" w:sz="4" w:space="0" w:color="auto"/>
            </w:tcBorders>
          </w:tcPr>
          <w:p w14:paraId="650B71E6" w14:textId="77777777" w:rsidR="00DA10E0" w:rsidRPr="00DA10E0" w:rsidRDefault="00DA10E0" w:rsidP="00DA10E0">
            <w:pPr>
              <w:pStyle w:val="Tabletext"/>
              <w:jc w:val="center"/>
              <w:rPr>
                <w:color w:val="auto"/>
              </w:rPr>
            </w:pPr>
            <w:r w:rsidRPr="00DA10E0">
              <w:rPr>
                <w:color w:val="auto"/>
              </w:rPr>
              <w:sym w:font="Wingdings" w:char="F0FC"/>
            </w:r>
          </w:p>
        </w:tc>
        <w:tc>
          <w:tcPr>
            <w:tcW w:w="802" w:type="pct"/>
            <w:tcBorders>
              <w:top w:val="single" w:sz="4" w:space="0" w:color="auto"/>
            </w:tcBorders>
          </w:tcPr>
          <w:p w14:paraId="031D630B" w14:textId="77777777" w:rsidR="00DA10E0" w:rsidRPr="00DA10E0" w:rsidRDefault="00DA10E0" w:rsidP="00DA10E0">
            <w:pPr>
              <w:pStyle w:val="Tabletext"/>
              <w:jc w:val="center"/>
              <w:rPr>
                <w:color w:val="auto"/>
              </w:rPr>
            </w:pPr>
            <w:r w:rsidRPr="00DA10E0">
              <w:rPr>
                <w:color w:val="auto"/>
              </w:rPr>
              <w:t>–</w:t>
            </w:r>
          </w:p>
        </w:tc>
        <w:tc>
          <w:tcPr>
            <w:tcW w:w="684" w:type="pct"/>
            <w:tcBorders>
              <w:top w:val="single" w:sz="4" w:space="0" w:color="auto"/>
            </w:tcBorders>
          </w:tcPr>
          <w:p w14:paraId="196D5259" w14:textId="77777777" w:rsidR="00DA10E0" w:rsidRPr="00DA10E0" w:rsidRDefault="00DA10E0" w:rsidP="00DA10E0">
            <w:pPr>
              <w:pStyle w:val="Tabletext"/>
              <w:jc w:val="center"/>
              <w:rPr>
                <w:color w:val="auto"/>
              </w:rPr>
            </w:pPr>
            <w:r w:rsidRPr="00DA10E0">
              <w:rPr>
                <w:color w:val="auto"/>
              </w:rPr>
              <w:sym w:font="Wingdings" w:char="F0FC"/>
            </w:r>
          </w:p>
        </w:tc>
        <w:tc>
          <w:tcPr>
            <w:tcW w:w="802" w:type="pct"/>
            <w:tcBorders>
              <w:top w:val="single" w:sz="4" w:space="0" w:color="auto"/>
            </w:tcBorders>
          </w:tcPr>
          <w:p w14:paraId="11FCE067" w14:textId="77777777" w:rsidR="00DA10E0" w:rsidRPr="00DA10E0" w:rsidRDefault="00DA10E0" w:rsidP="00DA10E0">
            <w:pPr>
              <w:pStyle w:val="Tabletext"/>
              <w:jc w:val="center"/>
              <w:rPr>
                <w:color w:val="auto"/>
              </w:rPr>
            </w:pPr>
            <w:r w:rsidRPr="00DA10E0">
              <w:rPr>
                <w:color w:val="auto"/>
              </w:rPr>
              <w:t>–</w:t>
            </w:r>
          </w:p>
        </w:tc>
      </w:tr>
      <w:tr w:rsidR="00DA10E0" w:rsidRPr="00F7250C" w14:paraId="457CCF1C" w14:textId="77777777" w:rsidTr="002351E1">
        <w:trPr>
          <w:cantSplit/>
          <w:trHeight w:val="569"/>
        </w:trPr>
        <w:tc>
          <w:tcPr>
            <w:tcW w:w="0" w:type="pct"/>
            <w:vMerge w:val="restart"/>
          </w:tcPr>
          <w:p w14:paraId="11CFA355" w14:textId="77777777" w:rsidR="00DA10E0" w:rsidRPr="00DA10E0" w:rsidRDefault="00DA10E0" w:rsidP="00DA10E0">
            <w:pPr>
              <w:pStyle w:val="Tabletext"/>
              <w:ind w:left="0"/>
              <w:rPr>
                <w:b/>
                <w:color w:val="auto"/>
              </w:rPr>
            </w:pPr>
            <w:r w:rsidRPr="00DA10E0">
              <w:rPr>
                <w:b/>
                <w:color w:val="auto"/>
              </w:rPr>
              <w:t>Important potential risks</w:t>
            </w:r>
          </w:p>
        </w:tc>
        <w:tc>
          <w:tcPr>
            <w:tcW w:w="0" w:type="pct"/>
          </w:tcPr>
          <w:p w14:paraId="65B9B524" w14:textId="77777777" w:rsidR="00DA10E0" w:rsidRPr="00DA10E0" w:rsidRDefault="00DA10E0" w:rsidP="00DA10E0">
            <w:pPr>
              <w:pStyle w:val="Tabletext"/>
              <w:ind w:left="0"/>
              <w:rPr>
                <w:color w:val="auto"/>
              </w:rPr>
            </w:pPr>
            <w:r w:rsidRPr="00DA10E0">
              <w:rPr>
                <w:color w:val="auto"/>
              </w:rPr>
              <w:t>Ventricular tachyarrhythmias due to QT prolongation</w:t>
            </w:r>
          </w:p>
        </w:tc>
        <w:tc>
          <w:tcPr>
            <w:tcW w:w="0" w:type="pct"/>
          </w:tcPr>
          <w:p w14:paraId="206707F0" w14:textId="77777777" w:rsidR="00DA10E0" w:rsidRPr="00DA10E0" w:rsidRDefault="00DA10E0" w:rsidP="00DA10E0">
            <w:pPr>
              <w:pStyle w:val="Tabletext"/>
              <w:jc w:val="center"/>
              <w:rPr>
                <w:color w:val="auto"/>
              </w:rPr>
            </w:pPr>
            <w:r w:rsidRPr="00DA10E0">
              <w:rPr>
                <w:color w:val="auto"/>
              </w:rPr>
              <w:sym w:font="Wingdings" w:char="F0FC"/>
            </w:r>
          </w:p>
        </w:tc>
        <w:tc>
          <w:tcPr>
            <w:tcW w:w="0" w:type="pct"/>
          </w:tcPr>
          <w:p w14:paraId="2BA83E35" w14:textId="77777777" w:rsidR="00DA10E0" w:rsidRPr="00DA10E0" w:rsidRDefault="00DA10E0" w:rsidP="00DA10E0">
            <w:pPr>
              <w:pStyle w:val="Tabletext"/>
              <w:jc w:val="center"/>
              <w:rPr>
                <w:color w:val="auto"/>
              </w:rPr>
            </w:pPr>
            <w:r w:rsidRPr="00DA10E0">
              <w:rPr>
                <w:color w:val="auto"/>
              </w:rPr>
              <w:sym w:font="Wingdings" w:char="F0FC"/>
            </w:r>
            <w:r w:rsidRPr="00DA10E0">
              <w:rPr>
                <w:color w:val="auto"/>
              </w:rPr>
              <w:t>†</w:t>
            </w:r>
          </w:p>
        </w:tc>
        <w:tc>
          <w:tcPr>
            <w:tcW w:w="0" w:type="pct"/>
          </w:tcPr>
          <w:p w14:paraId="70673DAF" w14:textId="77777777" w:rsidR="00DA10E0" w:rsidRPr="00DA10E0" w:rsidRDefault="00DA10E0" w:rsidP="00DA10E0">
            <w:pPr>
              <w:pStyle w:val="Tabletext"/>
              <w:jc w:val="center"/>
              <w:rPr>
                <w:color w:val="auto"/>
              </w:rPr>
            </w:pPr>
            <w:r w:rsidRPr="00DA10E0">
              <w:rPr>
                <w:color w:val="auto"/>
              </w:rPr>
              <w:sym w:font="Wingdings" w:char="F0FC"/>
            </w:r>
          </w:p>
        </w:tc>
        <w:tc>
          <w:tcPr>
            <w:tcW w:w="0" w:type="pct"/>
          </w:tcPr>
          <w:p w14:paraId="43B658E3" w14:textId="77777777" w:rsidR="00DA10E0" w:rsidRPr="00DA10E0" w:rsidRDefault="00DA10E0" w:rsidP="00DA10E0">
            <w:pPr>
              <w:pStyle w:val="Tabletext"/>
              <w:jc w:val="center"/>
              <w:rPr>
                <w:color w:val="auto"/>
              </w:rPr>
            </w:pPr>
            <w:r w:rsidRPr="00DA10E0">
              <w:rPr>
                <w:color w:val="auto"/>
              </w:rPr>
              <w:t>–</w:t>
            </w:r>
          </w:p>
        </w:tc>
      </w:tr>
      <w:tr w:rsidR="00DA10E0" w:rsidRPr="00F7250C" w14:paraId="126EFB31" w14:textId="77777777" w:rsidTr="00DA10E0">
        <w:trPr>
          <w:trHeight w:val="407"/>
        </w:trPr>
        <w:tc>
          <w:tcPr>
            <w:tcW w:w="849" w:type="pct"/>
            <w:vMerge/>
          </w:tcPr>
          <w:p w14:paraId="60224C6C" w14:textId="77777777" w:rsidR="00DA10E0" w:rsidRPr="00DA10E0" w:rsidRDefault="00DA10E0" w:rsidP="00DA10E0">
            <w:pPr>
              <w:pStyle w:val="Tabletext"/>
              <w:rPr>
                <w:b/>
                <w:color w:val="auto"/>
              </w:rPr>
            </w:pPr>
          </w:p>
        </w:tc>
        <w:tc>
          <w:tcPr>
            <w:tcW w:w="1180" w:type="pct"/>
          </w:tcPr>
          <w:p w14:paraId="1EDAB09D" w14:textId="77777777" w:rsidR="00DA10E0" w:rsidRPr="00DA10E0" w:rsidRDefault="00DA10E0" w:rsidP="00DA10E0">
            <w:pPr>
              <w:pStyle w:val="Tabletext"/>
              <w:ind w:left="0"/>
              <w:rPr>
                <w:color w:val="auto"/>
              </w:rPr>
            </w:pPr>
            <w:r w:rsidRPr="00DA10E0">
              <w:rPr>
                <w:color w:val="auto"/>
              </w:rPr>
              <w:t>Drug interactions (particularly with optimised background therapy) (OBT)</w:t>
            </w:r>
            <w:r w:rsidRPr="00DA10E0">
              <w:rPr>
                <w:rFonts w:asciiTheme="majorHAnsi" w:eastAsiaTheme="minorHAnsi" w:hAnsiTheme="majorHAnsi" w:cstheme="minorBidi"/>
                <w:color w:val="auto"/>
                <w:szCs w:val="20"/>
                <w:vertAlign w:val="superscript"/>
              </w:rPr>
              <w:t xml:space="preserve"> ‡</w:t>
            </w:r>
          </w:p>
        </w:tc>
        <w:tc>
          <w:tcPr>
            <w:tcW w:w="684" w:type="pct"/>
          </w:tcPr>
          <w:p w14:paraId="46B647A8" w14:textId="77777777" w:rsidR="00DA10E0" w:rsidRPr="00DA10E0" w:rsidRDefault="00DA10E0" w:rsidP="00DA10E0">
            <w:pPr>
              <w:pStyle w:val="Tabletext"/>
              <w:jc w:val="center"/>
              <w:rPr>
                <w:color w:val="auto"/>
              </w:rPr>
            </w:pPr>
            <w:r w:rsidRPr="00DA10E0">
              <w:rPr>
                <w:color w:val="auto"/>
              </w:rPr>
              <w:sym w:font="Wingdings" w:char="F0FC"/>
            </w:r>
          </w:p>
        </w:tc>
        <w:tc>
          <w:tcPr>
            <w:tcW w:w="802" w:type="pct"/>
          </w:tcPr>
          <w:p w14:paraId="59E7E2F4" w14:textId="77777777" w:rsidR="00DA10E0" w:rsidRPr="00DA10E0" w:rsidRDefault="00DA10E0" w:rsidP="00DA10E0">
            <w:pPr>
              <w:pStyle w:val="Tabletext"/>
              <w:jc w:val="center"/>
              <w:rPr>
                <w:color w:val="auto"/>
              </w:rPr>
            </w:pPr>
            <w:r w:rsidRPr="00DA10E0">
              <w:rPr>
                <w:color w:val="auto"/>
              </w:rPr>
              <w:t>–</w:t>
            </w:r>
          </w:p>
        </w:tc>
        <w:tc>
          <w:tcPr>
            <w:tcW w:w="684" w:type="pct"/>
          </w:tcPr>
          <w:p w14:paraId="2FFA8C33" w14:textId="77777777" w:rsidR="00DA10E0" w:rsidRPr="00DA10E0" w:rsidRDefault="00DA10E0" w:rsidP="00DA10E0">
            <w:pPr>
              <w:pStyle w:val="Tabletext"/>
              <w:jc w:val="center"/>
              <w:rPr>
                <w:color w:val="auto"/>
              </w:rPr>
            </w:pPr>
            <w:r w:rsidRPr="00DA10E0">
              <w:rPr>
                <w:color w:val="auto"/>
              </w:rPr>
              <w:sym w:font="Wingdings" w:char="F0FC"/>
            </w:r>
          </w:p>
        </w:tc>
        <w:tc>
          <w:tcPr>
            <w:tcW w:w="802" w:type="pct"/>
          </w:tcPr>
          <w:p w14:paraId="39E14709" w14:textId="77777777" w:rsidR="00DA10E0" w:rsidRPr="00DA10E0" w:rsidRDefault="00DA10E0" w:rsidP="00DA10E0">
            <w:pPr>
              <w:pStyle w:val="Tabletext"/>
              <w:jc w:val="center"/>
              <w:rPr>
                <w:color w:val="auto"/>
              </w:rPr>
            </w:pPr>
            <w:r w:rsidRPr="00DA10E0">
              <w:rPr>
                <w:color w:val="auto"/>
              </w:rPr>
              <w:t>–</w:t>
            </w:r>
          </w:p>
        </w:tc>
      </w:tr>
      <w:tr w:rsidR="00DA10E0" w:rsidRPr="00F7250C" w14:paraId="381251B4" w14:textId="77777777" w:rsidTr="00DA10E0">
        <w:trPr>
          <w:trHeight w:val="413"/>
        </w:trPr>
        <w:tc>
          <w:tcPr>
            <w:tcW w:w="849" w:type="pct"/>
            <w:vMerge/>
          </w:tcPr>
          <w:p w14:paraId="46A72EE3" w14:textId="77777777" w:rsidR="00DA10E0" w:rsidRPr="00DA10E0" w:rsidRDefault="00DA10E0" w:rsidP="00DA10E0">
            <w:pPr>
              <w:pStyle w:val="Tabletext"/>
              <w:rPr>
                <w:b/>
                <w:color w:val="auto"/>
              </w:rPr>
            </w:pPr>
          </w:p>
        </w:tc>
        <w:tc>
          <w:tcPr>
            <w:tcW w:w="1180" w:type="pct"/>
          </w:tcPr>
          <w:p w14:paraId="16BE9B20" w14:textId="77777777" w:rsidR="00DA10E0" w:rsidRPr="00DA10E0" w:rsidRDefault="00DA10E0" w:rsidP="00DA10E0">
            <w:pPr>
              <w:pStyle w:val="Tabletext"/>
              <w:ind w:left="0"/>
              <w:rPr>
                <w:color w:val="auto"/>
              </w:rPr>
            </w:pPr>
            <w:r w:rsidRPr="00DA10E0">
              <w:rPr>
                <w:color w:val="auto"/>
              </w:rPr>
              <w:t xml:space="preserve">Hepatobiliary Adverse </w:t>
            </w:r>
            <w:proofErr w:type="gramStart"/>
            <w:r w:rsidRPr="00DA10E0">
              <w:rPr>
                <w:color w:val="auto"/>
              </w:rPr>
              <w:t xml:space="preserve">Events </w:t>
            </w:r>
            <w:r w:rsidRPr="00DA10E0">
              <w:rPr>
                <w:color w:val="auto"/>
                <w:vertAlign w:val="superscript"/>
              </w:rPr>
              <w:t xml:space="preserve"> </w:t>
            </w:r>
            <w:r w:rsidRPr="00DA10E0">
              <w:rPr>
                <w:rFonts w:asciiTheme="majorHAnsi" w:eastAsiaTheme="minorHAnsi" w:hAnsiTheme="majorHAnsi" w:cstheme="minorBidi"/>
                <w:color w:val="auto"/>
                <w:szCs w:val="20"/>
                <w:vertAlign w:val="superscript"/>
              </w:rPr>
              <w:t>‡</w:t>
            </w:r>
            <w:proofErr w:type="gramEnd"/>
          </w:p>
        </w:tc>
        <w:tc>
          <w:tcPr>
            <w:tcW w:w="684" w:type="pct"/>
          </w:tcPr>
          <w:p w14:paraId="2951DA3E" w14:textId="77777777" w:rsidR="00DA10E0" w:rsidRPr="00DA10E0" w:rsidRDefault="00DA10E0" w:rsidP="00DA10E0">
            <w:pPr>
              <w:pStyle w:val="Tabletext"/>
              <w:jc w:val="center"/>
              <w:rPr>
                <w:color w:val="auto"/>
              </w:rPr>
            </w:pPr>
            <w:r w:rsidRPr="00DA10E0">
              <w:rPr>
                <w:color w:val="auto"/>
              </w:rPr>
              <w:sym w:font="Wingdings" w:char="F0FC"/>
            </w:r>
          </w:p>
        </w:tc>
        <w:tc>
          <w:tcPr>
            <w:tcW w:w="802" w:type="pct"/>
          </w:tcPr>
          <w:p w14:paraId="442E382B" w14:textId="77777777" w:rsidR="00DA10E0" w:rsidRPr="00DA10E0" w:rsidRDefault="00DA10E0" w:rsidP="00DA10E0">
            <w:pPr>
              <w:pStyle w:val="Tabletext"/>
              <w:jc w:val="center"/>
              <w:rPr>
                <w:color w:val="auto"/>
              </w:rPr>
            </w:pPr>
            <w:r w:rsidRPr="00DA10E0">
              <w:rPr>
                <w:color w:val="auto"/>
              </w:rPr>
              <w:t>–</w:t>
            </w:r>
          </w:p>
        </w:tc>
        <w:tc>
          <w:tcPr>
            <w:tcW w:w="684" w:type="pct"/>
          </w:tcPr>
          <w:p w14:paraId="3C2D9393" w14:textId="77777777" w:rsidR="00DA10E0" w:rsidRPr="00DA10E0" w:rsidRDefault="00DA10E0" w:rsidP="00DA10E0">
            <w:pPr>
              <w:pStyle w:val="Tabletext"/>
              <w:jc w:val="center"/>
              <w:rPr>
                <w:color w:val="auto"/>
              </w:rPr>
            </w:pPr>
            <w:r w:rsidRPr="00DA10E0">
              <w:rPr>
                <w:color w:val="auto"/>
              </w:rPr>
              <w:sym w:font="Wingdings" w:char="F0FC"/>
            </w:r>
          </w:p>
        </w:tc>
        <w:tc>
          <w:tcPr>
            <w:tcW w:w="802" w:type="pct"/>
          </w:tcPr>
          <w:p w14:paraId="3B8352F5" w14:textId="77777777" w:rsidR="00DA10E0" w:rsidRPr="00DA10E0" w:rsidRDefault="00DA10E0" w:rsidP="00DA10E0">
            <w:pPr>
              <w:pStyle w:val="Tabletext"/>
              <w:jc w:val="center"/>
              <w:rPr>
                <w:color w:val="auto"/>
              </w:rPr>
            </w:pPr>
            <w:r w:rsidRPr="00DA10E0">
              <w:rPr>
                <w:color w:val="auto"/>
              </w:rPr>
              <w:t>–</w:t>
            </w:r>
          </w:p>
        </w:tc>
      </w:tr>
      <w:tr w:rsidR="00DA10E0" w:rsidRPr="00F7250C" w14:paraId="5C01E081" w14:textId="77777777" w:rsidTr="00DA10E0">
        <w:trPr>
          <w:trHeight w:val="419"/>
        </w:trPr>
        <w:tc>
          <w:tcPr>
            <w:tcW w:w="849" w:type="pct"/>
            <w:vMerge/>
          </w:tcPr>
          <w:p w14:paraId="31D531EB" w14:textId="77777777" w:rsidR="00DA10E0" w:rsidRPr="00DA10E0" w:rsidRDefault="00DA10E0" w:rsidP="00DA10E0">
            <w:pPr>
              <w:pStyle w:val="Tabletext"/>
              <w:rPr>
                <w:b/>
                <w:color w:val="auto"/>
              </w:rPr>
            </w:pPr>
          </w:p>
        </w:tc>
        <w:tc>
          <w:tcPr>
            <w:tcW w:w="1180" w:type="pct"/>
          </w:tcPr>
          <w:p w14:paraId="5AE8E1CE" w14:textId="77777777" w:rsidR="00DA10E0" w:rsidRPr="00DA10E0" w:rsidRDefault="00DA10E0" w:rsidP="00DA10E0">
            <w:pPr>
              <w:pStyle w:val="Tabletext"/>
              <w:ind w:left="0"/>
              <w:rPr>
                <w:color w:val="auto"/>
              </w:rPr>
            </w:pPr>
            <w:r w:rsidRPr="00DA10E0">
              <w:rPr>
                <w:color w:val="auto"/>
              </w:rPr>
              <w:t>Musculoskeletal Adverse Events (including myalgia)</w:t>
            </w:r>
            <w:r w:rsidRPr="00DA10E0">
              <w:rPr>
                <w:rFonts w:asciiTheme="majorHAnsi" w:eastAsiaTheme="minorHAnsi" w:hAnsiTheme="majorHAnsi" w:cstheme="minorBidi"/>
                <w:color w:val="auto"/>
                <w:szCs w:val="20"/>
                <w:vertAlign w:val="superscript"/>
              </w:rPr>
              <w:t xml:space="preserve"> ‡</w:t>
            </w:r>
          </w:p>
        </w:tc>
        <w:tc>
          <w:tcPr>
            <w:tcW w:w="684" w:type="pct"/>
          </w:tcPr>
          <w:p w14:paraId="332B8915" w14:textId="77777777" w:rsidR="00DA10E0" w:rsidRPr="00DA10E0" w:rsidRDefault="00DA10E0" w:rsidP="00DA10E0">
            <w:pPr>
              <w:pStyle w:val="Tabletext"/>
              <w:jc w:val="center"/>
              <w:rPr>
                <w:color w:val="auto"/>
              </w:rPr>
            </w:pPr>
            <w:r w:rsidRPr="00DA10E0">
              <w:rPr>
                <w:color w:val="auto"/>
              </w:rPr>
              <w:sym w:font="Wingdings" w:char="F0FC"/>
            </w:r>
          </w:p>
        </w:tc>
        <w:tc>
          <w:tcPr>
            <w:tcW w:w="802" w:type="pct"/>
          </w:tcPr>
          <w:p w14:paraId="2836BE07" w14:textId="77777777" w:rsidR="00DA10E0" w:rsidRPr="00DA10E0" w:rsidRDefault="00DA10E0" w:rsidP="00DA10E0">
            <w:pPr>
              <w:pStyle w:val="Tabletext"/>
              <w:jc w:val="center"/>
              <w:rPr>
                <w:color w:val="auto"/>
              </w:rPr>
            </w:pPr>
            <w:r w:rsidRPr="00DA10E0">
              <w:rPr>
                <w:color w:val="auto"/>
              </w:rPr>
              <w:t>–</w:t>
            </w:r>
          </w:p>
        </w:tc>
        <w:tc>
          <w:tcPr>
            <w:tcW w:w="684" w:type="pct"/>
          </w:tcPr>
          <w:p w14:paraId="5724CC63" w14:textId="77777777" w:rsidR="00DA10E0" w:rsidRPr="00DA10E0" w:rsidRDefault="00DA10E0" w:rsidP="00DA10E0">
            <w:pPr>
              <w:pStyle w:val="Tabletext"/>
              <w:jc w:val="center"/>
              <w:rPr>
                <w:color w:val="auto"/>
              </w:rPr>
            </w:pPr>
            <w:r w:rsidRPr="00DA10E0">
              <w:rPr>
                <w:color w:val="auto"/>
              </w:rPr>
              <w:sym w:font="Wingdings" w:char="F0FC"/>
            </w:r>
          </w:p>
        </w:tc>
        <w:tc>
          <w:tcPr>
            <w:tcW w:w="802" w:type="pct"/>
          </w:tcPr>
          <w:p w14:paraId="39C1D47F" w14:textId="77777777" w:rsidR="00DA10E0" w:rsidRPr="00DA10E0" w:rsidRDefault="00DA10E0" w:rsidP="00DA10E0">
            <w:pPr>
              <w:pStyle w:val="Tabletext"/>
              <w:jc w:val="center"/>
              <w:rPr>
                <w:color w:val="auto"/>
              </w:rPr>
            </w:pPr>
            <w:r w:rsidRPr="00DA10E0">
              <w:rPr>
                <w:color w:val="auto"/>
              </w:rPr>
              <w:t>–</w:t>
            </w:r>
          </w:p>
        </w:tc>
      </w:tr>
      <w:tr w:rsidR="00DA10E0" w:rsidRPr="00F7250C" w14:paraId="0D2A9BA0" w14:textId="77777777" w:rsidTr="00DA10E0">
        <w:trPr>
          <w:trHeight w:val="419"/>
        </w:trPr>
        <w:tc>
          <w:tcPr>
            <w:tcW w:w="849" w:type="pct"/>
            <w:vMerge/>
          </w:tcPr>
          <w:p w14:paraId="4F0EA2EF" w14:textId="77777777" w:rsidR="00DA10E0" w:rsidRPr="00DA10E0" w:rsidRDefault="00DA10E0" w:rsidP="00DA10E0">
            <w:pPr>
              <w:pStyle w:val="Tabletext"/>
              <w:rPr>
                <w:b/>
                <w:color w:val="auto"/>
              </w:rPr>
            </w:pPr>
          </w:p>
        </w:tc>
        <w:tc>
          <w:tcPr>
            <w:tcW w:w="1180" w:type="pct"/>
          </w:tcPr>
          <w:p w14:paraId="7F8D7E24" w14:textId="77777777" w:rsidR="00DA10E0" w:rsidRPr="00DA10E0" w:rsidRDefault="00DA10E0" w:rsidP="00DA10E0">
            <w:pPr>
              <w:pStyle w:val="Tabletext"/>
              <w:ind w:left="0"/>
              <w:rPr>
                <w:color w:val="auto"/>
              </w:rPr>
            </w:pPr>
            <w:r w:rsidRPr="00DA10E0">
              <w:rPr>
                <w:color w:val="auto"/>
              </w:rPr>
              <w:t>Neuropsychiatric Adverse Events (including sleep)</w:t>
            </w:r>
            <w:r w:rsidRPr="00DA10E0">
              <w:rPr>
                <w:rFonts w:asciiTheme="majorHAnsi" w:eastAsiaTheme="minorHAnsi" w:hAnsiTheme="majorHAnsi" w:cstheme="minorBidi"/>
                <w:color w:val="auto"/>
                <w:szCs w:val="20"/>
                <w:vertAlign w:val="superscript"/>
              </w:rPr>
              <w:t xml:space="preserve"> ‡</w:t>
            </w:r>
          </w:p>
        </w:tc>
        <w:tc>
          <w:tcPr>
            <w:tcW w:w="684" w:type="pct"/>
          </w:tcPr>
          <w:p w14:paraId="722D2AAE" w14:textId="77777777" w:rsidR="00DA10E0" w:rsidRPr="00DA10E0" w:rsidRDefault="00DA10E0" w:rsidP="00DA10E0">
            <w:pPr>
              <w:pStyle w:val="Tabletext"/>
              <w:jc w:val="center"/>
              <w:rPr>
                <w:color w:val="auto"/>
              </w:rPr>
            </w:pPr>
            <w:r w:rsidRPr="00DA10E0">
              <w:rPr>
                <w:color w:val="auto"/>
              </w:rPr>
              <w:sym w:font="Wingdings" w:char="F0FC"/>
            </w:r>
          </w:p>
        </w:tc>
        <w:tc>
          <w:tcPr>
            <w:tcW w:w="802" w:type="pct"/>
          </w:tcPr>
          <w:p w14:paraId="49CB3BF0" w14:textId="77777777" w:rsidR="00DA10E0" w:rsidRPr="00DA10E0" w:rsidRDefault="00DA10E0" w:rsidP="00DA10E0">
            <w:pPr>
              <w:pStyle w:val="Tabletext"/>
              <w:jc w:val="center"/>
              <w:rPr>
                <w:color w:val="auto"/>
              </w:rPr>
            </w:pPr>
            <w:r w:rsidRPr="00DA10E0">
              <w:rPr>
                <w:color w:val="auto"/>
              </w:rPr>
              <w:t>–</w:t>
            </w:r>
          </w:p>
        </w:tc>
        <w:tc>
          <w:tcPr>
            <w:tcW w:w="684" w:type="pct"/>
          </w:tcPr>
          <w:p w14:paraId="14C7413A" w14:textId="77777777" w:rsidR="00DA10E0" w:rsidRPr="00DA10E0" w:rsidRDefault="00DA10E0" w:rsidP="00DA10E0">
            <w:pPr>
              <w:pStyle w:val="Tabletext"/>
              <w:jc w:val="center"/>
              <w:rPr>
                <w:color w:val="auto"/>
              </w:rPr>
            </w:pPr>
            <w:r w:rsidRPr="00DA10E0">
              <w:rPr>
                <w:color w:val="auto"/>
              </w:rPr>
              <w:sym w:font="Wingdings" w:char="F0FC"/>
            </w:r>
          </w:p>
        </w:tc>
        <w:tc>
          <w:tcPr>
            <w:tcW w:w="802" w:type="pct"/>
          </w:tcPr>
          <w:p w14:paraId="3B1E1C25" w14:textId="77777777" w:rsidR="00DA10E0" w:rsidRPr="00DA10E0" w:rsidRDefault="00DA10E0" w:rsidP="00DA10E0">
            <w:pPr>
              <w:pStyle w:val="Tabletext"/>
              <w:jc w:val="center"/>
              <w:rPr>
                <w:color w:val="auto"/>
              </w:rPr>
            </w:pPr>
            <w:r w:rsidRPr="00DA10E0">
              <w:rPr>
                <w:color w:val="auto"/>
              </w:rPr>
              <w:t>–</w:t>
            </w:r>
          </w:p>
        </w:tc>
      </w:tr>
      <w:tr w:rsidR="00DA10E0" w:rsidRPr="00F7250C" w14:paraId="33B687B4" w14:textId="77777777" w:rsidTr="00DA10E0">
        <w:trPr>
          <w:trHeight w:val="425"/>
        </w:trPr>
        <w:tc>
          <w:tcPr>
            <w:tcW w:w="849" w:type="pct"/>
            <w:vMerge/>
          </w:tcPr>
          <w:p w14:paraId="36A0F6FB" w14:textId="77777777" w:rsidR="00DA10E0" w:rsidRPr="00DA10E0" w:rsidRDefault="00DA10E0" w:rsidP="00DA10E0">
            <w:pPr>
              <w:pStyle w:val="Tabletext"/>
              <w:rPr>
                <w:b/>
                <w:color w:val="auto"/>
              </w:rPr>
            </w:pPr>
          </w:p>
        </w:tc>
        <w:tc>
          <w:tcPr>
            <w:tcW w:w="1180" w:type="pct"/>
          </w:tcPr>
          <w:p w14:paraId="582FDB51" w14:textId="77777777" w:rsidR="00DA10E0" w:rsidRPr="00DA10E0" w:rsidRDefault="00DA10E0" w:rsidP="00DA10E0">
            <w:pPr>
              <w:pStyle w:val="Tabletext"/>
              <w:ind w:left="0"/>
              <w:rPr>
                <w:color w:val="auto"/>
              </w:rPr>
            </w:pPr>
            <w:r w:rsidRPr="00DA10E0">
              <w:rPr>
                <w:color w:val="auto"/>
              </w:rPr>
              <w:t>Uncertainties around dosing at extremes of weight and in the elderly</w:t>
            </w:r>
            <w:r w:rsidRPr="00DA10E0">
              <w:rPr>
                <w:color w:val="auto"/>
                <w:vertAlign w:val="superscript"/>
              </w:rPr>
              <w:t xml:space="preserve"> ‡</w:t>
            </w:r>
          </w:p>
        </w:tc>
        <w:tc>
          <w:tcPr>
            <w:tcW w:w="684" w:type="pct"/>
          </w:tcPr>
          <w:p w14:paraId="3EFD8DFD" w14:textId="77777777" w:rsidR="00DA10E0" w:rsidRPr="00DA10E0" w:rsidRDefault="00DA10E0" w:rsidP="00DA10E0">
            <w:pPr>
              <w:pStyle w:val="Tabletext"/>
              <w:jc w:val="center"/>
              <w:rPr>
                <w:color w:val="auto"/>
              </w:rPr>
            </w:pPr>
            <w:r w:rsidRPr="00DA10E0">
              <w:rPr>
                <w:color w:val="auto"/>
              </w:rPr>
              <w:sym w:font="Wingdings" w:char="F0FC"/>
            </w:r>
          </w:p>
        </w:tc>
        <w:tc>
          <w:tcPr>
            <w:tcW w:w="802" w:type="pct"/>
          </w:tcPr>
          <w:p w14:paraId="203CFB67" w14:textId="77777777" w:rsidR="00DA10E0" w:rsidRPr="00DA10E0" w:rsidRDefault="00DA10E0" w:rsidP="00DA10E0">
            <w:pPr>
              <w:pStyle w:val="Tabletext"/>
              <w:jc w:val="center"/>
              <w:rPr>
                <w:color w:val="auto"/>
              </w:rPr>
            </w:pPr>
            <w:r w:rsidRPr="00DA10E0">
              <w:rPr>
                <w:color w:val="auto"/>
              </w:rPr>
              <w:t>–</w:t>
            </w:r>
          </w:p>
        </w:tc>
        <w:tc>
          <w:tcPr>
            <w:tcW w:w="684" w:type="pct"/>
          </w:tcPr>
          <w:p w14:paraId="5E8565C0" w14:textId="77777777" w:rsidR="00DA10E0" w:rsidRPr="00DA10E0" w:rsidRDefault="00DA10E0" w:rsidP="00DA10E0">
            <w:pPr>
              <w:pStyle w:val="Tabletext"/>
              <w:jc w:val="center"/>
              <w:rPr>
                <w:color w:val="auto"/>
              </w:rPr>
            </w:pPr>
            <w:r w:rsidRPr="00DA10E0">
              <w:rPr>
                <w:color w:val="auto"/>
              </w:rPr>
              <w:sym w:font="Wingdings" w:char="F0FC"/>
            </w:r>
          </w:p>
        </w:tc>
        <w:tc>
          <w:tcPr>
            <w:tcW w:w="802" w:type="pct"/>
          </w:tcPr>
          <w:p w14:paraId="3E9D4D98" w14:textId="77777777" w:rsidR="00DA10E0" w:rsidRPr="00DA10E0" w:rsidRDefault="00DA10E0" w:rsidP="00DA10E0">
            <w:pPr>
              <w:pStyle w:val="Tabletext"/>
              <w:jc w:val="center"/>
              <w:rPr>
                <w:color w:val="auto"/>
              </w:rPr>
            </w:pPr>
            <w:r w:rsidRPr="00DA10E0">
              <w:rPr>
                <w:color w:val="auto"/>
              </w:rPr>
              <w:t>–</w:t>
            </w:r>
          </w:p>
        </w:tc>
      </w:tr>
      <w:tr w:rsidR="00DA10E0" w:rsidRPr="00F7250C" w14:paraId="0D4143AF" w14:textId="77777777" w:rsidTr="00DA10E0">
        <w:trPr>
          <w:trHeight w:val="178"/>
        </w:trPr>
        <w:tc>
          <w:tcPr>
            <w:tcW w:w="849" w:type="pct"/>
            <w:vMerge w:val="restart"/>
          </w:tcPr>
          <w:p w14:paraId="7C80C2CD" w14:textId="77777777" w:rsidR="00DA10E0" w:rsidRPr="00DA10E0" w:rsidRDefault="00DA10E0" w:rsidP="00DA10E0">
            <w:pPr>
              <w:pStyle w:val="Tabletext"/>
              <w:ind w:left="0"/>
              <w:rPr>
                <w:b/>
                <w:color w:val="auto"/>
              </w:rPr>
            </w:pPr>
            <w:r w:rsidRPr="00DA10E0">
              <w:rPr>
                <w:b/>
                <w:color w:val="auto"/>
              </w:rPr>
              <w:t>Missing information</w:t>
            </w:r>
          </w:p>
        </w:tc>
        <w:tc>
          <w:tcPr>
            <w:tcW w:w="1180" w:type="pct"/>
          </w:tcPr>
          <w:p w14:paraId="72BE3E70" w14:textId="77777777" w:rsidR="00DA10E0" w:rsidRPr="00DA10E0" w:rsidRDefault="00DA10E0" w:rsidP="00DA10E0">
            <w:pPr>
              <w:pStyle w:val="Tabletext"/>
              <w:ind w:left="0"/>
              <w:rPr>
                <w:color w:val="auto"/>
              </w:rPr>
            </w:pPr>
            <w:r w:rsidRPr="00DA10E0">
              <w:rPr>
                <w:color w:val="auto"/>
              </w:rPr>
              <w:t>Use in pregnant and lactating women</w:t>
            </w:r>
          </w:p>
        </w:tc>
        <w:tc>
          <w:tcPr>
            <w:tcW w:w="684" w:type="pct"/>
          </w:tcPr>
          <w:p w14:paraId="076E3438" w14:textId="77777777" w:rsidR="00DA10E0" w:rsidRPr="00DA10E0" w:rsidRDefault="00DA10E0" w:rsidP="00DA10E0">
            <w:pPr>
              <w:pStyle w:val="Tabletext"/>
              <w:jc w:val="center"/>
              <w:rPr>
                <w:color w:val="auto"/>
              </w:rPr>
            </w:pPr>
            <w:r w:rsidRPr="00DA10E0">
              <w:rPr>
                <w:color w:val="auto"/>
              </w:rPr>
              <w:sym w:font="Wingdings" w:char="F0FC"/>
            </w:r>
          </w:p>
        </w:tc>
        <w:tc>
          <w:tcPr>
            <w:tcW w:w="802" w:type="pct"/>
          </w:tcPr>
          <w:p w14:paraId="29D6009E" w14:textId="77777777" w:rsidR="00DA10E0" w:rsidRPr="00DA10E0" w:rsidRDefault="00DA10E0" w:rsidP="00DA10E0">
            <w:pPr>
              <w:pStyle w:val="Tabletext"/>
              <w:jc w:val="center"/>
              <w:rPr>
                <w:color w:val="auto"/>
              </w:rPr>
            </w:pPr>
            <w:r w:rsidRPr="00DA10E0">
              <w:rPr>
                <w:color w:val="auto"/>
              </w:rPr>
              <w:sym w:font="Wingdings" w:char="F0FC"/>
            </w:r>
            <w:r w:rsidRPr="00DA10E0">
              <w:rPr>
                <w:rFonts w:asciiTheme="majorHAnsi" w:hAnsiTheme="majorHAnsi"/>
                <w:color w:val="auto"/>
                <w:szCs w:val="20"/>
              </w:rPr>
              <w:t>*</w:t>
            </w:r>
          </w:p>
        </w:tc>
        <w:tc>
          <w:tcPr>
            <w:tcW w:w="684" w:type="pct"/>
          </w:tcPr>
          <w:p w14:paraId="11E270B0" w14:textId="77777777" w:rsidR="00DA10E0" w:rsidRPr="00DA10E0" w:rsidRDefault="00DA10E0" w:rsidP="00DA10E0">
            <w:pPr>
              <w:pStyle w:val="Tabletext"/>
              <w:jc w:val="center"/>
              <w:rPr>
                <w:color w:val="auto"/>
              </w:rPr>
            </w:pPr>
            <w:r w:rsidRPr="00DA10E0">
              <w:rPr>
                <w:color w:val="auto"/>
              </w:rPr>
              <w:sym w:font="Wingdings" w:char="F0FC"/>
            </w:r>
          </w:p>
        </w:tc>
        <w:tc>
          <w:tcPr>
            <w:tcW w:w="802" w:type="pct"/>
          </w:tcPr>
          <w:p w14:paraId="3709C7C3" w14:textId="77777777" w:rsidR="00DA10E0" w:rsidRPr="00DA10E0" w:rsidRDefault="00DA10E0" w:rsidP="00DA10E0">
            <w:pPr>
              <w:pStyle w:val="Tabletext"/>
              <w:jc w:val="center"/>
              <w:rPr>
                <w:color w:val="auto"/>
              </w:rPr>
            </w:pPr>
            <w:r w:rsidRPr="00DA10E0">
              <w:rPr>
                <w:color w:val="auto"/>
              </w:rPr>
              <w:t>–</w:t>
            </w:r>
          </w:p>
        </w:tc>
      </w:tr>
      <w:tr w:rsidR="00DA10E0" w:rsidRPr="00F7250C" w14:paraId="12F62A5E" w14:textId="77777777" w:rsidTr="00DA10E0">
        <w:trPr>
          <w:trHeight w:val="103"/>
        </w:trPr>
        <w:tc>
          <w:tcPr>
            <w:tcW w:w="849" w:type="pct"/>
            <w:vMerge/>
          </w:tcPr>
          <w:p w14:paraId="1BCE3AC3" w14:textId="77777777" w:rsidR="00DA10E0" w:rsidRPr="00DA10E0" w:rsidRDefault="00DA10E0" w:rsidP="00DA10E0">
            <w:pPr>
              <w:pStyle w:val="Tabletext"/>
              <w:rPr>
                <w:color w:val="auto"/>
              </w:rPr>
            </w:pPr>
          </w:p>
        </w:tc>
        <w:tc>
          <w:tcPr>
            <w:tcW w:w="1180" w:type="pct"/>
          </w:tcPr>
          <w:p w14:paraId="51B1086E" w14:textId="77777777" w:rsidR="00DA10E0" w:rsidRPr="00DA10E0" w:rsidRDefault="00DA10E0" w:rsidP="00DA10E0">
            <w:pPr>
              <w:pStyle w:val="Tabletext"/>
              <w:ind w:left="0"/>
              <w:rPr>
                <w:color w:val="auto"/>
              </w:rPr>
            </w:pPr>
            <w:r w:rsidRPr="00DA10E0">
              <w:rPr>
                <w:color w:val="auto"/>
              </w:rPr>
              <w:t>Long term safety data</w:t>
            </w:r>
          </w:p>
        </w:tc>
        <w:tc>
          <w:tcPr>
            <w:tcW w:w="684" w:type="pct"/>
          </w:tcPr>
          <w:p w14:paraId="0F9D49A4" w14:textId="77777777" w:rsidR="00DA10E0" w:rsidRPr="00DA10E0" w:rsidRDefault="00DA10E0" w:rsidP="00DA10E0">
            <w:pPr>
              <w:pStyle w:val="Tabletext"/>
              <w:jc w:val="center"/>
              <w:rPr>
                <w:color w:val="auto"/>
              </w:rPr>
            </w:pPr>
            <w:r w:rsidRPr="00DA10E0">
              <w:rPr>
                <w:color w:val="auto"/>
              </w:rPr>
              <w:sym w:font="Wingdings" w:char="F0FC"/>
            </w:r>
          </w:p>
        </w:tc>
        <w:tc>
          <w:tcPr>
            <w:tcW w:w="802" w:type="pct"/>
          </w:tcPr>
          <w:p w14:paraId="201EDEB7" w14:textId="77777777" w:rsidR="00DA10E0" w:rsidRPr="00DA10E0" w:rsidRDefault="00DA10E0" w:rsidP="00DA10E0">
            <w:pPr>
              <w:pStyle w:val="Tabletext"/>
              <w:jc w:val="center"/>
              <w:rPr>
                <w:color w:val="auto"/>
              </w:rPr>
            </w:pPr>
            <w:r w:rsidRPr="00DA10E0">
              <w:rPr>
                <w:color w:val="auto"/>
              </w:rPr>
              <w:sym w:font="Wingdings" w:char="F0FC"/>
            </w:r>
            <w:r w:rsidRPr="00DA10E0">
              <w:rPr>
                <w:color w:val="auto"/>
              </w:rPr>
              <w:t>†</w:t>
            </w:r>
          </w:p>
        </w:tc>
        <w:tc>
          <w:tcPr>
            <w:tcW w:w="684" w:type="pct"/>
          </w:tcPr>
          <w:p w14:paraId="5B52C68E" w14:textId="77777777" w:rsidR="00DA10E0" w:rsidRPr="00DA10E0" w:rsidRDefault="00DA10E0" w:rsidP="00DA10E0">
            <w:pPr>
              <w:pStyle w:val="Tabletext"/>
              <w:jc w:val="center"/>
              <w:rPr>
                <w:color w:val="auto"/>
              </w:rPr>
            </w:pPr>
            <w:r w:rsidRPr="00DA10E0">
              <w:rPr>
                <w:color w:val="auto"/>
              </w:rPr>
              <w:t>–</w:t>
            </w:r>
          </w:p>
        </w:tc>
        <w:tc>
          <w:tcPr>
            <w:tcW w:w="802" w:type="pct"/>
          </w:tcPr>
          <w:p w14:paraId="119818A5" w14:textId="77777777" w:rsidR="00DA10E0" w:rsidRPr="00DA10E0" w:rsidRDefault="00DA10E0" w:rsidP="00DA10E0">
            <w:pPr>
              <w:pStyle w:val="Tabletext"/>
              <w:jc w:val="center"/>
              <w:rPr>
                <w:color w:val="auto"/>
              </w:rPr>
            </w:pPr>
            <w:r w:rsidRPr="00DA10E0">
              <w:rPr>
                <w:color w:val="auto"/>
              </w:rPr>
              <w:t>–</w:t>
            </w:r>
          </w:p>
        </w:tc>
      </w:tr>
    </w:tbl>
    <w:p w14:paraId="08D43760" w14:textId="77777777" w:rsidR="00DA10E0" w:rsidRDefault="00DA10E0" w:rsidP="00DA10E0">
      <w:pPr>
        <w:pStyle w:val="TableDescription"/>
      </w:pPr>
      <w:r>
        <w:t>* Antiretroviral Pregnancy Registry</w:t>
      </w:r>
    </w:p>
    <w:p w14:paraId="505D1672" w14:textId="77777777" w:rsidR="00DA10E0" w:rsidRDefault="00DA10E0" w:rsidP="00DA10E0">
      <w:pPr>
        <w:pStyle w:val="TableDescription"/>
      </w:pPr>
      <w:r>
        <w:t>† BRIGHT-E study</w:t>
      </w:r>
    </w:p>
    <w:p w14:paraId="02402641" w14:textId="6522AAAC" w:rsidR="00DA10E0" w:rsidRDefault="00DA10E0" w:rsidP="00DA10E0">
      <w:pPr>
        <w:pStyle w:val="TableDescription"/>
      </w:pPr>
      <w:r>
        <w:t>‡ AU only</w:t>
      </w:r>
    </w:p>
    <w:p w14:paraId="299E5534" w14:textId="02E86FB2" w:rsidR="00077371" w:rsidRDefault="00077371" w:rsidP="00077371">
      <w:r>
        <w:t>The summary of safety concerns has been further assessed at</w:t>
      </w:r>
      <w:r w:rsidR="008110BB">
        <w:t xml:space="preserve"> the</w:t>
      </w:r>
      <w:r>
        <w:t xml:space="preserve"> </w:t>
      </w:r>
      <w:r w:rsidR="001E7DA8">
        <w:t>second r</w:t>
      </w:r>
      <w:r>
        <w:t xml:space="preserve">ound </w:t>
      </w:r>
      <w:r w:rsidR="001E7DA8">
        <w:t>of evaluation</w:t>
      </w:r>
      <w:r>
        <w:t xml:space="preserve"> following the sponsor’s response to recommendations made by the clinical evaluator, and changes to align with an updated, approved EU-RMP. At</w:t>
      </w:r>
      <w:r w:rsidR="008110BB">
        <w:t xml:space="preserve"> the</w:t>
      </w:r>
      <w:r>
        <w:t xml:space="preserve"> </w:t>
      </w:r>
      <w:r w:rsidR="001E7DA8">
        <w:t>second round of evaluation,</w:t>
      </w:r>
      <w:r>
        <w:t xml:space="preserve"> the sponsor removed ‘Type 1 hypersensitivity’ from the summary of safety concerns and renamed ‘Ventricular tachyarrhythmias’ to ‘Ventricular tachyarrhythmias due to QT prolongation’. At </w:t>
      </w:r>
      <w:r w:rsidR="001E7DA8">
        <w:t>third round of evaluation</w:t>
      </w:r>
      <w:r>
        <w:t>, the sponsor added the safety concerns requested by the clinical evaluator to the ASA. The summary of safety concerns is acceptable.</w:t>
      </w:r>
    </w:p>
    <w:p w14:paraId="3A378714" w14:textId="4384B3B6" w:rsidR="00077371" w:rsidRDefault="00077371" w:rsidP="00077371">
      <w:r>
        <w:t xml:space="preserve">Routine pharmacovigilance is proposed for all safety concerns, and the pharmacovigilance plan has been updated at </w:t>
      </w:r>
      <w:r w:rsidR="001E7DA8">
        <w:t>second r</w:t>
      </w:r>
      <w:r>
        <w:t xml:space="preserve">ound </w:t>
      </w:r>
      <w:r w:rsidR="001E7DA8">
        <w:t>of evaluation</w:t>
      </w:r>
      <w:r>
        <w:t xml:space="preserve"> to also include additional pharmacovigilance for all safety concerns. </w:t>
      </w:r>
      <w:r w:rsidR="005D1257" w:rsidRPr="004C385D">
        <w:t>The pharmacovigilance plan will be further reviewed when the sponsor</w:t>
      </w:r>
      <w:r w:rsidR="00273361" w:rsidRPr="004C385D">
        <w:t xml:space="preserve"> describes how health care professionals will be made aware of the pregnancy registry. </w:t>
      </w:r>
      <w:r>
        <w:t xml:space="preserve">At </w:t>
      </w:r>
      <w:r w:rsidR="001E7DA8">
        <w:t>third round of evaluation,</w:t>
      </w:r>
      <w:r>
        <w:t xml:space="preserve"> the sponsor has referred to the pregnancy registry in the PI. Routine pharmacovigilance only has been proposed for </w:t>
      </w:r>
      <w:proofErr w:type="gramStart"/>
      <w:r>
        <w:t>all of</w:t>
      </w:r>
      <w:proofErr w:type="gramEnd"/>
      <w:r>
        <w:t xml:space="preserve"> the Australian specific safety concerns requested by the clinical evaluator. The pharmacovigilance plan is now acceptable.</w:t>
      </w:r>
    </w:p>
    <w:p w14:paraId="7DFA6937" w14:textId="17427502" w:rsidR="00DA10E0" w:rsidRDefault="00077371" w:rsidP="00077371">
      <w:r>
        <w:t xml:space="preserve">Routine risk minimisation is proposed for the important potential risk of ‘ventricular tachyarrhythmias’ and the missing information ‘use in pregnant and lactating women’. Routine risk minimisation measures are not proposed for the important potential risk of ‘Type 1 hypersensitivity’ and ‘long term safety data’. Additional risk minimisation activities are not proposed. The sponsor has provided a </w:t>
      </w:r>
      <w:r w:rsidR="00704FB7">
        <w:t>C</w:t>
      </w:r>
      <w:r w:rsidR="00704FB7" w:rsidRPr="00704FB7">
        <w:t xml:space="preserve">onsumer </w:t>
      </w:r>
      <w:r w:rsidR="00704FB7">
        <w:t>M</w:t>
      </w:r>
      <w:r w:rsidR="00704FB7" w:rsidRPr="00704FB7">
        <w:t xml:space="preserve">edicines </w:t>
      </w:r>
      <w:r w:rsidR="00704FB7">
        <w:t>I</w:t>
      </w:r>
      <w:r w:rsidR="00704FB7" w:rsidRPr="00704FB7">
        <w:t xml:space="preserve">nformation </w:t>
      </w:r>
      <w:r w:rsidR="00704FB7">
        <w:t>(</w:t>
      </w:r>
      <w:r>
        <w:t>CMI</w:t>
      </w:r>
      <w:r w:rsidR="00704FB7">
        <w:t>)</w:t>
      </w:r>
      <w:r>
        <w:t xml:space="preserve"> in the new format as requested. At </w:t>
      </w:r>
      <w:r w:rsidR="001E7DA8">
        <w:t xml:space="preserve">third </w:t>
      </w:r>
      <w:r>
        <w:t xml:space="preserve">round </w:t>
      </w:r>
      <w:r w:rsidR="001E7DA8">
        <w:t>of evaluation,</w:t>
      </w:r>
      <w:r>
        <w:t xml:space="preserve"> the CMI is acceptable, pending possible changes to the pregnancy category as recommended by the nonclinical evaluator which will require revision of pregnancy information. The sponsor proposes routine risk minimisation only for the Australian specific safety concerns. The risk minimisation plan is now acceptable.</w:t>
      </w:r>
    </w:p>
    <w:p w14:paraId="13086DF9" w14:textId="77777777" w:rsidR="001E7DA8" w:rsidRDefault="001E7DA8" w:rsidP="001E7DA8">
      <w:pPr>
        <w:pStyle w:val="Heading4"/>
      </w:pPr>
      <w:r>
        <w:t>Wording for conditions of registration</w:t>
      </w:r>
    </w:p>
    <w:p w14:paraId="456FA579" w14:textId="081D1B60" w:rsidR="001E7DA8" w:rsidRDefault="001E7DA8" w:rsidP="001E7DA8">
      <w:r>
        <w:t xml:space="preserve">Any changes to which the sponsor has agreed should be included in a revised RMP and ASA. However, irrespective of </w:t>
      </w:r>
      <w:proofErr w:type="gramStart"/>
      <w:r>
        <w:t>whether or not</w:t>
      </w:r>
      <w:proofErr w:type="gramEnd"/>
      <w:r>
        <w:t xml:space="preserve"> they are included in the currently available version of the RMP document, the agreed changes become part of the risk management system.</w:t>
      </w:r>
    </w:p>
    <w:p w14:paraId="672BFFC0" w14:textId="77777777" w:rsidR="001E7DA8" w:rsidRDefault="001E7DA8" w:rsidP="001E7DA8">
      <w:r>
        <w:t>The suggested wording is:</w:t>
      </w:r>
    </w:p>
    <w:p w14:paraId="1DFF5F10" w14:textId="77EB30BA" w:rsidR="001E7DA8" w:rsidRPr="001E7DA8" w:rsidRDefault="001E7DA8" w:rsidP="001E7DA8">
      <w:pPr>
        <w:rPr>
          <w:i/>
          <w:iCs/>
        </w:rPr>
      </w:pPr>
      <w:r w:rsidRPr="001E7DA8">
        <w:rPr>
          <w:i/>
          <w:iCs/>
        </w:rPr>
        <w:t xml:space="preserve">The </w:t>
      </w:r>
      <w:proofErr w:type="spellStart"/>
      <w:r w:rsidRPr="001E7DA8">
        <w:rPr>
          <w:i/>
          <w:iCs/>
        </w:rPr>
        <w:t>R</w:t>
      </w:r>
      <w:r>
        <w:rPr>
          <w:i/>
          <w:iCs/>
        </w:rPr>
        <w:t>ukobia</w:t>
      </w:r>
      <w:proofErr w:type="spellEnd"/>
      <w:r>
        <w:rPr>
          <w:i/>
          <w:iCs/>
        </w:rPr>
        <w:t xml:space="preserve"> </w:t>
      </w:r>
      <w:r w:rsidRPr="001E7DA8">
        <w:rPr>
          <w:i/>
          <w:iCs/>
        </w:rPr>
        <w:t>EU-Risk Management Plan (RMP) (version 1.0, dated 15 January 2021, data lock point 6 September 2019), with Australian Specific Annex (version 1.2, dated April 2021), included with submission PM-2020-02898-1-2, and any subsequent revisions, as agreed with the TGA will be implemented in Australia.</w:t>
      </w:r>
    </w:p>
    <w:p w14:paraId="68EEBB62" w14:textId="77777777" w:rsidR="001E7DA8" w:rsidRDefault="001E7DA8" w:rsidP="001E7DA8">
      <w:r>
        <w:t>The following wording is recommended for the PSUR requirement:</w:t>
      </w:r>
    </w:p>
    <w:p w14:paraId="29977EE3" w14:textId="77777777" w:rsidR="001E7DA8" w:rsidRPr="001E7DA8" w:rsidRDefault="001E7DA8" w:rsidP="001E7DA8">
      <w:pPr>
        <w:rPr>
          <w:i/>
          <w:iCs/>
        </w:rPr>
      </w:pPr>
      <w:r w:rsidRPr="001E7DA8">
        <w:rPr>
          <w:i/>
          <w:iCs/>
        </w:rPr>
        <w:lastRenderedPageBreak/>
        <w:t>An obligatory component of risk management plans is routine pharmacovigilance. Routine pharmacovigilance includes the submission of periodic safety update reports (PSURs).</w:t>
      </w:r>
    </w:p>
    <w:p w14:paraId="33EB8D9A" w14:textId="642493B7" w:rsidR="001E7DA8" w:rsidRPr="001E7DA8" w:rsidRDefault="001E7DA8" w:rsidP="001E7DA8">
      <w:pPr>
        <w:rPr>
          <w:i/>
          <w:iCs/>
        </w:rPr>
      </w:pPr>
      <w:r w:rsidRPr="001E7DA8">
        <w:rPr>
          <w:i/>
          <w:iCs/>
        </w:rPr>
        <w:t>Reports are to be provided in line with the current published list of EU reference dates and frequency of submission of PSURs until the period covered by such reports is not less than three years from the date of t</w:t>
      </w:r>
      <w:r>
        <w:rPr>
          <w:i/>
          <w:iCs/>
        </w:rPr>
        <w:t>he</w:t>
      </w:r>
      <w:r w:rsidRPr="001E7DA8">
        <w:rPr>
          <w:i/>
          <w:iCs/>
        </w:rPr>
        <w:t xml:space="preserve"> approval letter.</w:t>
      </w:r>
    </w:p>
    <w:p w14:paraId="6EA41D31" w14:textId="72646FAF" w:rsidR="001E7DA8" w:rsidRPr="001E7DA8" w:rsidRDefault="001E7DA8" w:rsidP="001E7DA8">
      <w:pPr>
        <w:rPr>
          <w:i/>
          <w:iCs/>
        </w:rPr>
      </w:pPr>
      <w:r w:rsidRPr="001E7DA8">
        <w:rPr>
          <w:i/>
          <w:iCs/>
        </w:rPr>
        <w:t xml:space="preserve">The reports are to at least meet the requirements for PSURs as described in the European Medicines Agency’s Guideline on </w:t>
      </w:r>
      <w:r w:rsidR="00704FB7">
        <w:rPr>
          <w:i/>
          <w:iCs/>
        </w:rPr>
        <w:t>G</w:t>
      </w:r>
      <w:r w:rsidRPr="001E7DA8">
        <w:rPr>
          <w:i/>
          <w:iCs/>
        </w:rPr>
        <w:t xml:space="preserve">ood </w:t>
      </w:r>
      <w:r w:rsidR="00704FB7">
        <w:rPr>
          <w:i/>
          <w:iCs/>
        </w:rPr>
        <w:t>P</w:t>
      </w:r>
      <w:r w:rsidRPr="001E7DA8">
        <w:rPr>
          <w:i/>
          <w:iCs/>
        </w:rPr>
        <w:t xml:space="preserve">harmacovigilance </w:t>
      </w:r>
      <w:r w:rsidR="00704FB7">
        <w:rPr>
          <w:i/>
          <w:iCs/>
        </w:rPr>
        <w:t>P</w:t>
      </w:r>
      <w:r w:rsidRPr="001E7DA8">
        <w:rPr>
          <w:i/>
          <w:iCs/>
        </w:rPr>
        <w:t>ractices (GVP) Module VII-periodic safety update report (Rev 1), Part VII.B Structures and processes. Note that submission of a PSUR does not constitute an application to vary the registration.</w:t>
      </w:r>
    </w:p>
    <w:p w14:paraId="2900CF3F" w14:textId="00916035" w:rsidR="001E7DA8" w:rsidRPr="001E7DA8" w:rsidRDefault="001E7DA8" w:rsidP="001E7DA8">
      <w:r w:rsidRPr="001E7DA8">
        <w:t xml:space="preserve">As </w:t>
      </w:r>
      <w:proofErr w:type="spellStart"/>
      <w:r w:rsidRPr="001E7DA8">
        <w:t>Rukobia</w:t>
      </w:r>
      <w:proofErr w:type="spellEnd"/>
      <w:r w:rsidRPr="001E7DA8">
        <w:t xml:space="preserve"> is a new chemical entity it should be included in the Black Triangle Scheme as a condition of registration. The following wording is recommended for the condition of registration:</w:t>
      </w:r>
    </w:p>
    <w:p w14:paraId="4206984B" w14:textId="640D74DE" w:rsidR="001E7DA8" w:rsidRPr="001E7DA8" w:rsidRDefault="001E7DA8" w:rsidP="001E7DA8">
      <w:pPr>
        <w:rPr>
          <w:i/>
          <w:iCs/>
        </w:rPr>
      </w:pPr>
      <w:proofErr w:type="spellStart"/>
      <w:r w:rsidRPr="001E7DA8">
        <w:rPr>
          <w:i/>
          <w:iCs/>
        </w:rPr>
        <w:t>R</w:t>
      </w:r>
      <w:r>
        <w:rPr>
          <w:i/>
          <w:iCs/>
        </w:rPr>
        <w:t>ukobia</w:t>
      </w:r>
      <w:proofErr w:type="spellEnd"/>
      <w:r w:rsidRPr="001E7DA8">
        <w:rPr>
          <w:i/>
          <w:iCs/>
        </w:rPr>
        <w:t xml:space="preserve"> (fostemsavir) is to be included in the Black Triangle Scheme. The PI and CMI for </w:t>
      </w:r>
      <w:proofErr w:type="spellStart"/>
      <w:r w:rsidRPr="001E7DA8">
        <w:rPr>
          <w:i/>
          <w:iCs/>
        </w:rPr>
        <w:t>R</w:t>
      </w:r>
      <w:r>
        <w:rPr>
          <w:i/>
          <w:iCs/>
        </w:rPr>
        <w:t>ukobia</w:t>
      </w:r>
      <w:proofErr w:type="spellEnd"/>
      <w:r w:rsidRPr="001E7DA8">
        <w:rPr>
          <w:i/>
          <w:iCs/>
        </w:rPr>
        <w:t xml:space="preserve"> must include the black triangle symbol and mandatory accompanying text for five years, which starts from the date that the sponsor notifies the TGA of supply of the product.</w:t>
      </w:r>
    </w:p>
    <w:p w14:paraId="166420D4" w14:textId="77777777" w:rsidR="008E7846" w:rsidRDefault="00AA0ED0" w:rsidP="008E7846">
      <w:pPr>
        <w:pStyle w:val="Heading3"/>
      </w:pPr>
      <w:bookmarkStart w:id="44" w:name="_Toc247691531"/>
      <w:bookmarkStart w:id="45" w:name="_Toc314842515"/>
      <w:bookmarkStart w:id="46" w:name="_Toc196046505"/>
      <w:bookmarkStart w:id="47" w:name="_Toc196046949"/>
      <w:bookmarkStart w:id="48" w:name="_Toc83304613"/>
      <w:r>
        <w:t>Risk-benefit a</w:t>
      </w:r>
      <w:r w:rsidR="008E7846">
        <w:t>nalysis</w:t>
      </w:r>
      <w:bookmarkEnd w:id="44"/>
      <w:bookmarkEnd w:id="45"/>
      <w:bookmarkEnd w:id="48"/>
    </w:p>
    <w:p w14:paraId="1A4C3351" w14:textId="77777777" w:rsidR="00D23139" w:rsidRDefault="007D53B6" w:rsidP="00D23139">
      <w:pPr>
        <w:pStyle w:val="Heading4"/>
      </w:pPr>
      <w:r>
        <w:t>Delegate’s considerations</w:t>
      </w:r>
    </w:p>
    <w:p w14:paraId="2FAF3BF3" w14:textId="0AC6483D" w:rsidR="001E7DA8" w:rsidRDefault="00D01210" w:rsidP="001E7DA8">
      <w:r>
        <w:t>The Delegate</w:t>
      </w:r>
      <w:r w:rsidR="001E7DA8">
        <w:t xml:space="preserve"> </w:t>
      </w:r>
      <w:proofErr w:type="gramStart"/>
      <w:r>
        <w:t>makes</w:t>
      </w:r>
      <w:r w:rsidR="001E7DA8">
        <w:t xml:space="preserve"> a decision</w:t>
      </w:r>
      <w:proofErr w:type="gramEnd"/>
      <w:r w:rsidR="001E7DA8">
        <w:t xml:space="preserve"> under the </w:t>
      </w:r>
      <w:r>
        <w:t>T</w:t>
      </w:r>
      <w:r w:rsidR="001E7DA8">
        <w:t xml:space="preserve">herapeutic </w:t>
      </w:r>
      <w:r>
        <w:t>G</w:t>
      </w:r>
      <w:r w:rsidR="001E7DA8">
        <w:t xml:space="preserve">oods </w:t>
      </w:r>
      <w:r>
        <w:t>A</w:t>
      </w:r>
      <w:r w:rsidR="001E7DA8">
        <w:t>ct in relation to quality, safety and efficacy.</w:t>
      </w:r>
    </w:p>
    <w:p w14:paraId="709BA687" w14:textId="32AFC5FB" w:rsidR="001E7DA8" w:rsidRDefault="008110BB" w:rsidP="00D01210">
      <w:pPr>
        <w:pStyle w:val="Heading5"/>
      </w:pPr>
      <w:r>
        <w:t>Quality</w:t>
      </w:r>
    </w:p>
    <w:p w14:paraId="3A738541" w14:textId="1E15F552" w:rsidR="00181116" w:rsidRDefault="008110BB" w:rsidP="00181116">
      <w:pPr>
        <w:rPr>
          <w:b/>
          <w:bCs/>
          <w:i/>
        </w:rPr>
      </w:pPr>
      <w:r w:rsidRPr="002351E1">
        <w:rPr>
          <w:i/>
        </w:rPr>
        <w:t>In relation to quality</w:t>
      </w:r>
      <w:r>
        <w:t xml:space="preserve">: </w:t>
      </w:r>
      <w:r w:rsidR="00181116" w:rsidRPr="00181116">
        <w:t>Approval for registration of the proposed product has been recommended from the quality and nonclinical perspective by the respective evaluators.</w:t>
      </w:r>
    </w:p>
    <w:p w14:paraId="0E7DD7F3" w14:textId="03EA5217" w:rsidR="001E7DA8" w:rsidRDefault="008110BB" w:rsidP="00D01210">
      <w:pPr>
        <w:pStyle w:val="Heading5"/>
      </w:pPr>
      <w:r>
        <w:t>Efficacy</w:t>
      </w:r>
    </w:p>
    <w:p w14:paraId="0CD248DE" w14:textId="39AA0304" w:rsidR="001E7DA8" w:rsidRDefault="008110BB" w:rsidP="001E7DA8">
      <w:r w:rsidRPr="002351E1">
        <w:rPr>
          <w:i/>
        </w:rPr>
        <w:t>In relation to efficacy:</w:t>
      </w:r>
      <w:r>
        <w:t xml:space="preserve"> </w:t>
      </w:r>
      <w:r w:rsidR="001E7DA8">
        <w:t xml:space="preserve">The </w:t>
      </w:r>
      <w:r w:rsidR="00D01210">
        <w:t>sponsor</w:t>
      </w:r>
      <w:r w:rsidR="001E7DA8">
        <w:t xml:space="preserve">’s </w:t>
      </w:r>
      <w:proofErr w:type="spellStart"/>
      <w:r w:rsidR="001E7DA8">
        <w:t>popPK</w:t>
      </w:r>
      <w:proofErr w:type="spellEnd"/>
      <w:r w:rsidR="001E7DA8">
        <w:t xml:space="preserve"> model adequately describes </w:t>
      </w:r>
      <w:proofErr w:type="spellStart"/>
      <w:r w:rsidR="008035D2">
        <w:t>temsavir</w:t>
      </w:r>
      <w:proofErr w:type="spellEnd"/>
      <w:r w:rsidR="001E7DA8">
        <w:t xml:space="preserve"> PK of HIV patients enrolled in Phase </w:t>
      </w:r>
      <w:r w:rsidR="00D01210">
        <w:t>II</w:t>
      </w:r>
      <w:r w:rsidR="001E7DA8">
        <w:t xml:space="preserve">b and Phase </w:t>
      </w:r>
      <w:r w:rsidR="00D01210">
        <w:t>III</w:t>
      </w:r>
      <w:r w:rsidR="001E7DA8">
        <w:t xml:space="preserve"> studies. The assessment on the formulations effect is reasonable based on the current data supporting the </w:t>
      </w:r>
      <w:r w:rsidR="00271160">
        <w:t>bioequivalent</w:t>
      </w:r>
      <w:r w:rsidR="001E7DA8">
        <w:t xml:space="preserve"> bridging between the two formulations and the dissolution bridging between the two formulations. Overall, no exposure</w:t>
      </w:r>
      <w:r w:rsidR="00D01210">
        <w:t xml:space="preserve"> </w:t>
      </w:r>
      <w:r w:rsidR="001E7DA8">
        <w:t>dependent signal was identified graphically.</w:t>
      </w:r>
    </w:p>
    <w:p w14:paraId="7A4219FA" w14:textId="0FC39080" w:rsidR="001E7DA8" w:rsidRDefault="001E7DA8" w:rsidP="001E7DA8">
      <w:r>
        <w:t xml:space="preserve">The BRIGHTE </w:t>
      </w:r>
      <w:r w:rsidR="00D01210">
        <w:t>trial</w:t>
      </w:r>
      <w:r>
        <w:t xml:space="preserve"> consisted of a short</w:t>
      </w:r>
      <w:r w:rsidR="00D01210">
        <w:t xml:space="preserve"> </w:t>
      </w:r>
      <w:r>
        <w:t>term</w:t>
      </w:r>
      <w:r w:rsidR="00D01210">
        <w:t xml:space="preserve">, </w:t>
      </w:r>
      <w:r>
        <w:t>placebo</w:t>
      </w:r>
      <w:r w:rsidR="00D01210">
        <w:t xml:space="preserve"> </w:t>
      </w:r>
      <w:r>
        <w:t>controlled</w:t>
      </w:r>
      <w:r w:rsidR="00D01210">
        <w:t xml:space="preserve">, </w:t>
      </w:r>
      <w:r>
        <w:t>functional monotherapy phase over 8 days in the randomised cohort and an open</w:t>
      </w:r>
      <w:r w:rsidR="00D01210">
        <w:t xml:space="preserve"> </w:t>
      </w:r>
      <w:r>
        <w:t>label phase for at least 96 weeks in both cohorts. The design of the study can be considered adequate to show an early, short</w:t>
      </w:r>
      <w:r w:rsidR="00D01210">
        <w:t xml:space="preserve"> </w:t>
      </w:r>
      <w:r>
        <w:t xml:space="preserve">term effect of </w:t>
      </w:r>
      <w:r w:rsidR="008035D2">
        <w:t>fostemsavir</w:t>
      </w:r>
      <w:r>
        <w:t xml:space="preserve"> functional monotherapy on plasma HIV</w:t>
      </w:r>
      <w:r w:rsidR="00D01210">
        <w:t xml:space="preserve"> </w:t>
      </w:r>
      <w:r>
        <w:t xml:space="preserve">RNA concentrations, but the study was not designed to determine a </w:t>
      </w:r>
      <w:proofErr w:type="gramStart"/>
      <w:r>
        <w:t>long</w:t>
      </w:r>
      <w:r w:rsidR="00D01210">
        <w:t xml:space="preserve"> </w:t>
      </w:r>
      <w:r>
        <w:t>term</w:t>
      </w:r>
      <w:proofErr w:type="gramEnd"/>
      <w:r>
        <w:t xml:space="preserve"> effect of </w:t>
      </w:r>
      <w:r w:rsidR="008035D2">
        <w:t>fostemsavir</w:t>
      </w:r>
      <w:r>
        <w:t xml:space="preserve"> over OBT alone. A comparator arm with patients receiving active OBT without </w:t>
      </w:r>
      <w:r w:rsidR="00E963A8">
        <w:t>fostemsavir</w:t>
      </w:r>
      <w:r>
        <w:t xml:space="preserve"> was lacking and the variety of OBTs in both cohorts rendered it difficult to estimate the contribution of </w:t>
      </w:r>
      <w:r w:rsidR="00E963A8">
        <w:t>fostemsavir</w:t>
      </w:r>
      <w:r>
        <w:t xml:space="preserve"> on the overall efficacy (viral load and CD4</w:t>
      </w:r>
      <w:r w:rsidRPr="00D01210">
        <w:rPr>
          <w:vertAlign w:val="superscript"/>
        </w:rPr>
        <w:t>+</w:t>
      </w:r>
      <w:r>
        <w:t xml:space="preserve"> T</w:t>
      </w:r>
      <w:r w:rsidR="00D01210">
        <w:t xml:space="preserve"> </w:t>
      </w:r>
      <w:r>
        <w:t xml:space="preserve">cell count). It is understood that components of the OBT affect the rates of virologic suppression and that the treatment effect cannot be attributed to </w:t>
      </w:r>
      <w:r w:rsidR="00E963A8">
        <w:t>fostemsavir</w:t>
      </w:r>
      <w:r>
        <w:t xml:space="preserve"> exclusively. This does not appear to affect the overall interpretation of the efficacy of </w:t>
      </w:r>
      <w:r w:rsidR="00E963A8">
        <w:t>fostemsavir</w:t>
      </w:r>
      <w:r>
        <w:t xml:space="preserve">, as the need for multiple drugs for effective treatment of HIV-1 infection is well established. Virologic suppression was achieved and maintained with </w:t>
      </w:r>
      <w:r w:rsidR="00E963A8">
        <w:t>fostemsavir</w:t>
      </w:r>
      <w:r>
        <w:t xml:space="preserve"> plus OBT through Week 96 in </w:t>
      </w:r>
      <w:proofErr w:type="gramStart"/>
      <w:r>
        <w:t>a majority of</w:t>
      </w:r>
      <w:proofErr w:type="gramEnd"/>
      <w:r>
        <w:t xml:space="preserve"> subjects previously unable to achieve virologic suppression. From a clinical perspective, this observation suggests the contribution of </w:t>
      </w:r>
      <w:r w:rsidR="00E963A8">
        <w:t>fostemsavir</w:t>
      </w:r>
      <w:r>
        <w:t xml:space="preserve">, but the trial was not designed to demonstrate the contribution of </w:t>
      </w:r>
      <w:r w:rsidR="00E963A8">
        <w:t>fostemsavir</w:t>
      </w:r>
      <w:r>
        <w:t xml:space="preserve"> as an individual drug to the OBT after Day 8.</w:t>
      </w:r>
    </w:p>
    <w:p w14:paraId="54EB87E7" w14:textId="14DD01A6" w:rsidR="001E7DA8" w:rsidRDefault="001E7DA8" w:rsidP="001E7DA8">
      <w:proofErr w:type="gramStart"/>
      <w:r>
        <w:lastRenderedPageBreak/>
        <w:t>A number of</w:t>
      </w:r>
      <w:proofErr w:type="gramEnd"/>
      <w:r>
        <w:t xml:space="preserve"> subjects did not meet important eligibility criteria for the BRIGHTE trial including evidence of </w:t>
      </w:r>
      <w:r w:rsidR="008110BB">
        <w:t xml:space="preserve">being </w:t>
      </w:r>
      <w:r>
        <w:t>heav</w:t>
      </w:r>
      <w:r w:rsidR="008110BB">
        <w:t>il</w:t>
      </w:r>
      <w:r>
        <w:t>y treatment experience</w:t>
      </w:r>
      <w:r w:rsidR="008110BB">
        <w:t>d</w:t>
      </w:r>
      <w:r>
        <w:t xml:space="preserve"> or failure on </w:t>
      </w:r>
      <w:r w:rsidR="008110BB">
        <w:t xml:space="preserve">their </w:t>
      </w:r>
      <w:r>
        <w:t xml:space="preserve">current ARV. Inclusion of these subjects could have affected the assessment of efficacy of </w:t>
      </w:r>
      <w:r w:rsidR="00E963A8">
        <w:t>fostemsavir</w:t>
      </w:r>
      <w:r>
        <w:t xml:space="preserve">. The proportion of subjects who did not meet eligibility criteria was balanced between the </w:t>
      </w:r>
      <w:r w:rsidR="00E963A8">
        <w:t>fostemsavir</w:t>
      </w:r>
      <w:r>
        <w:t xml:space="preserve"> and placebo groups, and sensitivity analyses demonstrated that excluding subjects who did not meet criteria did not substantially change the efficacy outcome. Therefore, it can be concluded that inclusion of subjects who were not truly failing their baseline ARV regimen in the BRIGHTE trial did not affect the overall efficacy assessment of </w:t>
      </w:r>
      <w:r w:rsidR="00E963A8">
        <w:t>fostemsavir</w:t>
      </w:r>
      <w:r>
        <w:t xml:space="preserve"> for treatment of MDR HIV-1 infection.</w:t>
      </w:r>
    </w:p>
    <w:p w14:paraId="6AC97AF6" w14:textId="71E345DF" w:rsidR="001E7DA8" w:rsidRDefault="001E7DA8" w:rsidP="001E7DA8">
      <w:r>
        <w:t xml:space="preserve">The BRIGHTE </w:t>
      </w:r>
      <w:r w:rsidR="00E80FD5">
        <w:t>trial</w:t>
      </w:r>
      <w:r>
        <w:t xml:space="preserve"> is currently ongoing, and three interim analyses were conducted so far. The Week 96 study report is inclusive of all data from previous interim analyses and supersedes the prior reports. Interim analyses were based on snapshots of the database which were subject to subsequent change (</w:t>
      </w:r>
      <w:r w:rsidR="00E80FD5">
        <w:t>that is</w:t>
      </w:r>
      <w:r>
        <w:t xml:space="preserve"> datasets were not locked for analyses) and consequently, the results slightly differed between the respective reports (Week 24, Week 48 and Week 96 report). The analysis may be impacted by results and introduce bias. However, this issue did not affect the validity of the primary endpoint results, as laboratory values upon which the primary and secondary endpoints were based were not changed and the primary endpoint results were identical regardless of the snapshot (Week 24, 48 or 96) used and the results for virologic response were not relevantly impacted.</w:t>
      </w:r>
    </w:p>
    <w:p w14:paraId="4E7F2B99" w14:textId="33CD0313" w:rsidR="001E7DA8" w:rsidRDefault="001E7DA8" w:rsidP="001E7DA8">
      <w:r>
        <w:t xml:space="preserve">There were some limitations to the data regarding the efficacy of </w:t>
      </w:r>
      <w:r w:rsidR="00E963A8">
        <w:t>fostemsavir</w:t>
      </w:r>
      <w:r>
        <w:t xml:space="preserve"> and correlation between baseline factors and rate of virologic response. </w:t>
      </w:r>
      <w:proofErr w:type="gramStart"/>
      <w:r>
        <w:t>In particular, virologic</w:t>
      </w:r>
      <w:proofErr w:type="gramEnd"/>
      <w:r>
        <w:t xml:space="preserve"> response to fostemsavir could not be reliably predicted from any pre-treatment viral attributes (gp120 substitutions; </w:t>
      </w:r>
      <w:proofErr w:type="spellStart"/>
      <w:r w:rsidR="008035D2">
        <w:t>temsavir</w:t>
      </w:r>
      <w:proofErr w:type="spellEnd"/>
      <w:r>
        <w:t xml:space="preserve"> IC</w:t>
      </w:r>
      <w:r w:rsidRPr="00E80FD5">
        <w:rPr>
          <w:vertAlign w:val="subscript"/>
        </w:rPr>
        <w:t>50</w:t>
      </w:r>
      <w:r>
        <w:t xml:space="preserve"> values). However, attempting to restrict the use according to pre-treatment substitutions or IC</w:t>
      </w:r>
      <w:r w:rsidRPr="00E80FD5">
        <w:rPr>
          <w:vertAlign w:val="subscript"/>
        </w:rPr>
        <w:t>50</w:t>
      </w:r>
      <w:r>
        <w:t xml:space="preserve"> would lead to unnecessarily excluding patients with MDR HIV-1 that might derive some benefit from treatment.</w:t>
      </w:r>
    </w:p>
    <w:p w14:paraId="7FB86CB6" w14:textId="0EA56D0F" w:rsidR="001E7DA8" w:rsidRDefault="001E7DA8" w:rsidP="001E7DA8">
      <w:r>
        <w:t>A more pronounced decrease in log</w:t>
      </w:r>
      <w:r w:rsidRPr="00E80FD5">
        <w:rPr>
          <w:vertAlign w:val="subscript"/>
        </w:rPr>
        <w:t>10</w:t>
      </w:r>
      <w:r>
        <w:t xml:space="preserve"> plasma HIV-1 RNA was observed for </w:t>
      </w:r>
      <w:r w:rsidR="00E80FD5">
        <w:t>f</w:t>
      </w:r>
      <w:r>
        <w:t xml:space="preserve">ostemsavir in the monotherapy </w:t>
      </w:r>
      <w:r w:rsidR="00E80FD5">
        <w:t>P</w:t>
      </w:r>
      <w:r>
        <w:t xml:space="preserve">hase </w:t>
      </w:r>
      <w:proofErr w:type="spellStart"/>
      <w:r w:rsidR="00E80FD5">
        <w:t>II</w:t>
      </w:r>
      <w:r>
        <w:t>a</w:t>
      </w:r>
      <w:proofErr w:type="spellEnd"/>
      <w:r>
        <w:t xml:space="preserve"> and </w:t>
      </w:r>
      <w:r w:rsidR="00E80FD5">
        <w:t>II</w:t>
      </w:r>
      <w:r>
        <w:t>b trials, but these studies were conducted in different patient populations (ART-naïve patients infected with HIV-1 subtype B or generally treatment-experienced patients with IC</w:t>
      </w:r>
      <w:r w:rsidRPr="00E80FD5">
        <w:rPr>
          <w:vertAlign w:val="subscript"/>
        </w:rPr>
        <w:t>50</w:t>
      </w:r>
      <w:r>
        <w:t xml:space="preserve"> &lt;</w:t>
      </w:r>
      <w:r w:rsidR="00271160">
        <w:t xml:space="preserve"> </w:t>
      </w:r>
      <w:r>
        <w:t xml:space="preserve">0.1 </w:t>
      </w:r>
      <w:proofErr w:type="spellStart"/>
      <w:r>
        <w:t>μM</w:t>
      </w:r>
      <w:proofErr w:type="spellEnd"/>
      <w:r>
        <w:t xml:space="preserve">, respectively), with different regimens and using a different </w:t>
      </w:r>
      <w:r w:rsidR="00E80FD5">
        <w:t>f</w:t>
      </w:r>
      <w:r>
        <w:t xml:space="preserve">ostemsavir </w:t>
      </w:r>
      <w:r w:rsidR="00E80FD5">
        <w:t xml:space="preserve">extended released </w:t>
      </w:r>
      <w:r>
        <w:t>formulation.</w:t>
      </w:r>
    </w:p>
    <w:p w14:paraId="612F840B" w14:textId="4F5BF500" w:rsidR="001E7DA8" w:rsidRDefault="008110BB" w:rsidP="00E80FD5">
      <w:pPr>
        <w:pStyle w:val="Heading5"/>
      </w:pPr>
      <w:r>
        <w:t>Safety</w:t>
      </w:r>
    </w:p>
    <w:p w14:paraId="76E972A2" w14:textId="520E8314" w:rsidR="001E7DA8" w:rsidRDefault="008110BB" w:rsidP="001E7DA8">
      <w:r w:rsidRPr="002351E1">
        <w:rPr>
          <w:i/>
        </w:rPr>
        <w:t>In relation to safety</w:t>
      </w:r>
      <w:r>
        <w:t xml:space="preserve">: </w:t>
      </w:r>
      <w:r w:rsidR="001E7DA8">
        <w:t xml:space="preserve">The safety assessment was mainly based on the 96 weeks analysis of the ongoing Phase </w:t>
      </w:r>
      <w:r w:rsidR="00E80FD5">
        <w:t>III</w:t>
      </w:r>
      <w:r w:rsidR="001E7DA8">
        <w:t xml:space="preserve"> study (</w:t>
      </w:r>
      <w:proofErr w:type="spellStart"/>
      <w:r w:rsidR="001E7DA8">
        <w:t>cutoff</w:t>
      </w:r>
      <w:proofErr w:type="spellEnd"/>
      <w:r w:rsidR="001E7DA8">
        <w:t xml:space="preserve"> date</w:t>
      </w:r>
      <w:r w:rsidR="00E80FD5">
        <w:t>:</w:t>
      </w:r>
      <w:r w:rsidR="001E7DA8">
        <w:t>14</w:t>
      </w:r>
      <w:r w:rsidR="00E80FD5">
        <w:t xml:space="preserve"> August </w:t>
      </w:r>
      <w:r w:rsidR="001E7DA8">
        <w:t xml:space="preserve">2018) and end of study analysis of the completed Phase </w:t>
      </w:r>
      <w:r w:rsidR="00E80FD5">
        <w:t>II</w:t>
      </w:r>
      <w:r w:rsidR="001E7DA8">
        <w:t>b study. Overall</w:t>
      </w:r>
      <w:r w:rsidR="00E80FD5">
        <w:t xml:space="preserve">, </w:t>
      </w:r>
      <w:proofErr w:type="spellStart"/>
      <w:r w:rsidR="00E80FD5">
        <w:t>R</w:t>
      </w:r>
      <w:r w:rsidR="001E7DA8">
        <w:t>ukobia</w:t>
      </w:r>
      <w:proofErr w:type="spellEnd"/>
      <w:r w:rsidR="001E7DA8">
        <w:t xml:space="preserve"> has demonstrated acceptable safety profile in HTE subjects with MDR HIV-1 infection at the dose of 600mg </w:t>
      </w:r>
      <w:r w:rsidR="00E80FD5">
        <w:t>twice daily</w:t>
      </w:r>
      <w:r w:rsidR="001E7DA8">
        <w:t>. The nature and frequency of significant safety events (deaths, SAEs, and discontinuations due to AEs) and the rate of virologic failure reported in the BRIGHTE trial reflect the targeted patient population: heavily treatment-experienced patients with advanced HIV/AIDS who are failing current ART and have very few remaining treatment options.</w:t>
      </w:r>
    </w:p>
    <w:p w14:paraId="1DF79D95" w14:textId="15D2E721" w:rsidR="001E7DA8" w:rsidRPr="001E7DA8" w:rsidRDefault="001E7DA8" w:rsidP="001E7DA8">
      <w:r>
        <w:t xml:space="preserve">The identified safety concerns will be managed through the RMP and the </w:t>
      </w:r>
      <w:r w:rsidR="00A505BD">
        <w:t>‘</w:t>
      </w:r>
      <w:r>
        <w:t>Warnings and Precautions</w:t>
      </w:r>
      <w:r w:rsidR="00A505BD">
        <w:t>’</w:t>
      </w:r>
      <w:r>
        <w:t xml:space="preserve"> and </w:t>
      </w:r>
      <w:r w:rsidR="00A505BD">
        <w:t>‘A</w:t>
      </w:r>
      <w:r>
        <w:t>dverse reactions</w:t>
      </w:r>
      <w:r w:rsidR="00A505BD">
        <w:t>’</w:t>
      </w:r>
      <w:r>
        <w:t xml:space="preserve"> sections of the PI. Routine pharmacovigilance will be utilised to further characteri</w:t>
      </w:r>
      <w:r w:rsidR="0049044F">
        <w:t>s</w:t>
      </w:r>
      <w:r>
        <w:t>e the safety of fostemsavir post-authorisation.</w:t>
      </w:r>
    </w:p>
    <w:p w14:paraId="1C22E2AA" w14:textId="77777777" w:rsidR="00D23139" w:rsidRDefault="00D23139" w:rsidP="00D23139">
      <w:pPr>
        <w:pStyle w:val="Heading4"/>
      </w:pPr>
      <w:r w:rsidRPr="00D23139">
        <w:t>Proposed action</w:t>
      </w:r>
    </w:p>
    <w:p w14:paraId="4423E58C" w14:textId="77777777" w:rsidR="00E80FD5" w:rsidRDefault="00E80FD5" w:rsidP="00E80FD5">
      <w:r>
        <w:t xml:space="preserve">Despite the availability of different classes of ARV agents in providing a variety of treatment options, treatment failure continues to occur </w:t>
      </w:r>
      <w:proofErr w:type="gramStart"/>
      <w:r>
        <w:t>as a result of</w:t>
      </w:r>
      <w:proofErr w:type="gramEnd"/>
      <w:r>
        <w:t xml:space="preserve"> ARV drug resistance, drug-associated toxicity and tolerability problems, and poor adherence.</w:t>
      </w:r>
    </w:p>
    <w:p w14:paraId="302A0F84" w14:textId="56F9A691" w:rsidR="00E80FD5" w:rsidRDefault="00E80FD5" w:rsidP="00E80FD5">
      <w:r>
        <w:t>The adjusted mean difference for change in HIV-1 RNA log</w:t>
      </w:r>
      <w:r w:rsidRPr="000B5F6F">
        <w:rPr>
          <w:vertAlign w:val="subscript"/>
        </w:rPr>
        <w:t>10</w:t>
      </w:r>
      <w:r>
        <w:t xml:space="preserve"> copies/mL from Day 1 to Day</w:t>
      </w:r>
      <w:r w:rsidR="00A505BD">
        <w:t> </w:t>
      </w:r>
      <w:r>
        <w:t>8 (</w:t>
      </w:r>
      <w:r w:rsidR="00E963A8">
        <w:t>fostemsavir</w:t>
      </w:r>
      <w:r>
        <w:t xml:space="preserve"> minus placebo) was -0.63 (95% CI, -0.81, -0.44), demonstrating </w:t>
      </w:r>
      <w:r>
        <w:lastRenderedPageBreak/>
        <w:t xml:space="preserve">superiority of </w:t>
      </w:r>
      <w:r w:rsidR="00E963A8">
        <w:t>fostemsavir</w:t>
      </w:r>
      <w:r>
        <w:t xml:space="preserve"> compared to placebo. Reductions in HIV-1 RNA levels are predictive of meaningful clinical benefit, and </w:t>
      </w:r>
      <w:r w:rsidR="00E963A8">
        <w:t>fostemsavir</w:t>
      </w:r>
      <w:r>
        <w:t xml:space="preserve"> functional monotherapy was superior to placebo for reducing HIV-1 RNA over 8 days. Virologic suppression was achieved and maintained with </w:t>
      </w:r>
      <w:r w:rsidR="00E963A8">
        <w:t>fostemsavir</w:t>
      </w:r>
      <w:r>
        <w:t xml:space="preserve"> plus OBT through Week 96 in </w:t>
      </w:r>
      <w:proofErr w:type="gramStart"/>
      <w:r>
        <w:t>a majority of</w:t>
      </w:r>
      <w:proofErr w:type="gramEnd"/>
      <w:r>
        <w:t xml:space="preserve"> subjects previously unable to achieve virologic suppression. The lack of a control group after Day 8 in the BRIGHTE trial limits the ability to precisely quantify the contribution of </w:t>
      </w:r>
      <w:r w:rsidR="00E963A8">
        <w:t>fostemsavir</w:t>
      </w:r>
      <w:r>
        <w:t xml:space="preserve"> to long-term virologic suppression. However, the contribution of </w:t>
      </w:r>
      <w:r w:rsidR="00E963A8">
        <w:t>fostemsavir</w:t>
      </w:r>
      <w:r>
        <w:t xml:space="preserve"> is reflected by the relatively high rate of virologic suppression achieved with </w:t>
      </w:r>
      <w:r w:rsidR="00E963A8">
        <w:t>fostemsavir</w:t>
      </w:r>
      <w:r>
        <w:t xml:space="preserve"> plus OBT through Week 96 in a population previously unable to achieve virologic suppression.</w:t>
      </w:r>
    </w:p>
    <w:p w14:paraId="58A204C2" w14:textId="77777777" w:rsidR="00E80FD5" w:rsidRDefault="00E80FD5" w:rsidP="00E80FD5">
      <w:r>
        <w:t>Despite some limitations and uncertainties of the safety data as discussed above, no serious safety risks emerged, and a favourable safety profile has been established. Safety findings can be adequately addressed in labelling and by routine pharmacovigilance.</w:t>
      </w:r>
    </w:p>
    <w:p w14:paraId="5A9D5D18" w14:textId="77777777" w:rsidR="00E80FD5" w:rsidRDefault="00E80FD5" w:rsidP="00E80FD5">
      <w:r>
        <w:t xml:space="preserve">Based on the review of data on safety and efficacy, the Delegate considers that the benefit-risk balance of </w:t>
      </w:r>
      <w:proofErr w:type="spellStart"/>
      <w:r>
        <w:t>Rukobia</w:t>
      </w:r>
      <w:proofErr w:type="spellEnd"/>
      <w:r>
        <w:t xml:space="preserve"> is favourable in the following indication:</w:t>
      </w:r>
    </w:p>
    <w:p w14:paraId="62093AA8" w14:textId="7B5BCADD" w:rsidR="00E80FD5" w:rsidRPr="000B5F6F" w:rsidRDefault="00E80FD5" w:rsidP="000B5F6F">
      <w:pPr>
        <w:ind w:left="720"/>
        <w:rPr>
          <w:i/>
          <w:iCs/>
        </w:rPr>
      </w:pPr>
      <w:proofErr w:type="spellStart"/>
      <w:r w:rsidRPr="000B5F6F">
        <w:rPr>
          <w:i/>
          <w:iCs/>
        </w:rPr>
        <w:t>R</w:t>
      </w:r>
      <w:r w:rsidR="000B5F6F">
        <w:rPr>
          <w:i/>
          <w:iCs/>
        </w:rPr>
        <w:t>ukobia</w:t>
      </w:r>
      <w:proofErr w:type="spellEnd"/>
      <w:r w:rsidRPr="000B5F6F">
        <w:rPr>
          <w:i/>
          <w:iCs/>
        </w:rPr>
        <w:t xml:space="preserve"> is indicated in combination with other antiretroviral agents for the treatment of heavily treatment-experienced adults with multidrug-resistant human immunodeficiency virus-1 (HIV-1) infection for whom it is otherwise not possible to construct a suppressive antiviral regimen due to resistance, intolerance or safety considerations.</w:t>
      </w:r>
    </w:p>
    <w:p w14:paraId="36DFF128" w14:textId="77777777" w:rsidR="008E7846" w:rsidRDefault="008E7846" w:rsidP="007D53B6">
      <w:pPr>
        <w:pStyle w:val="Heading4"/>
      </w:pPr>
      <w:r>
        <w:t xml:space="preserve">Advisory Committee </w:t>
      </w:r>
      <w:r w:rsidR="007D53B6">
        <w:t>c</w:t>
      </w:r>
      <w:r>
        <w:t>onsiderations</w:t>
      </w:r>
      <w:r w:rsidR="00456765">
        <w:rPr>
          <w:rStyle w:val="FootnoteReference"/>
        </w:rPr>
        <w:footnoteReference w:id="13"/>
      </w:r>
    </w:p>
    <w:p w14:paraId="48336CDD" w14:textId="77777777" w:rsidR="00744121" w:rsidRDefault="00744121" w:rsidP="00744121">
      <w:pPr>
        <w:rPr>
          <w:bCs/>
        </w:rPr>
      </w:pPr>
      <w:bookmarkStart w:id="49" w:name="_Toc247691532"/>
      <w:bookmarkStart w:id="50" w:name="_Toc314842516"/>
      <w:bookmarkEnd w:id="29"/>
      <w:bookmarkEnd w:id="46"/>
      <w:bookmarkEnd w:id="47"/>
      <w:r w:rsidRPr="00456765">
        <w:rPr>
          <w:bCs/>
        </w:rPr>
        <w:t>The Advisory Committee on Medicines (ACM), having considered the evaluations and the Delegate’s overview, as well as the sponsor’s response to these documents, advised the following</w:t>
      </w:r>
      <w:r>
        <w:rPr>
          <w:bCs/>
        </w:rPr>
        <w:t>.</w:t>
      </w:r>
    </w:p>
    <w:p w14:paraId="77E4323F" w14:textId="77777777" w:rsidR="00744121" w:rsidRDefault="00744121" w:rsidP="00744121">
      <w:pPr>
        <w:pStyle w:val="Heading5"/>
      </w:pPr>
      <w:r>
        <w:t>Specific advice to the Delegate</w:t>
      </w:r>
    </w:p>
    <w:p w14:paraId="0982BC2B" w14:textId="1E2CE8A8" w:rsidR="000B5F6F" w:rsidRDefault="000B5F6F" w:rsidP="000B5F6F">
      <w:pPr>
        <w:pStyle w:val="Numberbullet0"/>
        <w:rPr>
          <w:b/>
          <w:bCs/>
          <w:i/>
          <w:iCs/>
        </w:rPr>
      </w:pPr>
      <w:r w:rsidRPr="000B5F6F">
        <w:rPr>
          <w:b/>
          <w:bCs/>
          <w:i/>
          <w:iCs/>
        </w:rPr>
        <w:t xml:space="preserve">Is the inability to estimate the contribution of </w:t>
      </w:r>
      <w:r w:rsidR="00E963A8">
        <w:rPr>
          <w:b/>
          <w:bCs/>
          <w:i/>
          <w:iCs/>
        </w:rPr>
        <w:t>fostemsavir</w:t>
      </w:r>
      <w:r w:rsidRPr="000B5F6F">
        <w:rPr>
          <w:b/>
          <w:bCs/>
          <w:i/>
          <w:iCs/>
        </w:rPr>
        <w:t xml:space="preserve"> on the overall efficacy, due to lack of a comparator arm, acceptable?</w:t>
      </w:r>
    </w:p>
    <w:p w14:paraId="4408DB20" w14:textId="67C2BDEB" w:rsidR="000B5F6F" w:rsidRDefault="000B5F6F" w:rsidP="000B5F6F">
      <w:r>
        <w:t xml:space="preserve">The ACM stated that the study was designed to assess </w:t>
      </w:r>
      <w:r w:rsidR="00E963A8">
        <w:t>fostemsavir</w:t>
      </w:r>
      <w:r>
        <w:t xml:space="preserve">-based strategies rather than </w:t>
      </w:r>
      <w:r w:rsidR="00E963A8">
        <w:t>fostemsavir</w:t>
      </w:r>
      <w:r>
        <w:t xml:space="preserve"> monotherapy. They acknowledged that it is unlikely that </w:t>
      </w:r>
      <w:r w:rsidR="00E963A8">
        <w:t>fostemsavir</w:t>
      </w:r>
      <w:r>
        <w:t xml:space="preserve"> would be used as a monotherapy, noting that the objective of HIV ARV therapy is to prevent development of drug resistance by preventing replication, using active drugs from multiple drug categories.</w:t>
      </w:r>
    </w:p>
    <w:p w14:paraId="22CB319E" w14:textId="61E4943B" w:rsidR="000B5F6F" w:rsidRDefault="000B5F6F" w:rsidP="000B5F6F">
      <w:r>
        <w:t xml:space="preserve">Additionally, the ACM noted that these patients have exhausted many treatment options. It would be difficult to design a suitable randomised controlled trial, and a prolonged study of </w:t>
      </w:r>
      <w:r w:rsidR="00E963A8">
        <w:t>fostemsavir</w:t>
      </w:r>
      <w:r>
        <w:t xml:space="preserve"> monotherapy and a comparator could not be justified for this population.</w:t>
      </w:r>
    </w:p>
    <w:p w14:paraId="7028859B" w14:textId="371FABE4" w:rsidR="000B5F6F" w:rsidRPr="000B5F6F" w:rsidRDefault="000B5F6F" w:rsidP="000B5F6F">
      <w:r>
        <w:t xml:space="preserve">Overall, the ACM advised that the lack of a comparator arm within the pivotal study is reasonable in this instance and agreed that the </w:t>
      </w:r>
      <w:r w:rsidR="00E963A8">
        <w:t>fostemsavir</w:t>
      </w:r>
      <w:r>
        <w:t>-containing regimen demonstrated sustained efficacy over the study period.</w:t>
      </w:r>
    </w:p>
    <w:p w14:paraId="77798134" w14:textId="7DA01C9C" w:rsidR="000B5F6F" w:rsidRDefault="000B5F6F" w:rsidP="000B5F6F">
      <w:pPr>
        <w:pStyle w:val="Numberbullet0"/>
        <w:rPr>
          <w:b/>
          <w:bCs/>
          <w:i/>
          <w:iCs/>
        </w:rPr>
      </w:pPr>
      <w:r w:rsidRPr="000B5F6F">
        <w:rPr>
          <w:b/>
          <w:bCs/>
          <w:i/>
          <w:iCs/>
        </w:rPr>
        <w:lastRenderedPageBreak/>
        <w:t xml:space="preserve">Is the lack of being able to identify the patient population that would benefit most from an </w:t>
      </w:r>
      <w:r w:rsidR="00E963A8">
        <w:rPr>
          <w:b/>
          <w:bCs/>
          <w:i/>
          <w:iCs/>
        </w:rPr>
        <w:t>fostemsavir</w:t>
      </w:r>
      <w:r w:rsidRPr="000B5F6F">
        <w:rPr>
          <w:b/>
          <w:bCs/>
          <w:i/>
          <w:iCs/>
        </w:rPr>
        <w:t xml:space="preserve">-containing regimen acceptable? (due to lack of data regarding the efficacy of </w:t>
      </w:r>
      <w:r w:rsidR="00E963A8">
        <w:rPr>
          <w:b/>
          <w:bCs/>
          <w:i/>
          <w:iCs/>
        </w:rPr>
        <w:t>fostemsavir</w:t>
      </w:r>
      <w:r w:rsidRPr="000B5F6F">
        <w:rPr>
          <w:b/>
          <w:bCs/>
          <w:i/>
          <w:iCs/>
        </w:rPr>
        <w:t xml:space="preserve"> and correlation between baseline factors and rate of virologic response)</w:t>
      </w:r>
    </w:p>
    <w:p w14:paraId="1E361A1E" w14:textId="3979A32B" w:rsidR="00CF37F8" w:rsidRDefault="00CF37F8" w:rsidP="00CF37F8">
      <w:r>
        <w:t>The ACM discussed the broad range of optimal background treatment choices utilised within Study 205888</w:t>
      </w:r>
      <w:r w:rsidR="00A505BD">
        <w:t>0</w:t>
      </w:r>
      <w:r>
        <w:t xml:space="preserve"> and flagged that the study was conducted in 23 countries.</w:t>
      </w:r>
    </w:p>
    <w:p w14:paraId="7D750793" w14:textId="183288B2" w:rsidR="00CF37F8" w:rsidRPr="000B5F6F" w:rsidRDefault="00CF37F8" w:rsidP="00CF37F8">
      <w:r>
        <w:t xml:space="preserve">Based on this information, the ACM agreed on the generalisability of findings and were of the view that it is reasonable to use an </w:t>
      </w:r>
      <w:r w:rsidR="00E963A8">
        <w:t>fostemsavir</w:t>
      </w:r>
      <w:r>
        <w:t>-containing regimen within various patient populations.</w:t>
      </w:r>
    </w:p>
    <w:p w14:paraId="383BDEE2" w14:textId="3E2A0F90" w:rsidR="000B5F6F" w:rsidRDefault="000B5F6F" w:rsidP="000B5F6F">
      <w:pPr>
        <w:pStyle w:val="Numberbullet0"/>
        <w:rPr>
          <w:b/>
          <w:bCs/>
          <w:i/>
          <w:iCs/>
        </w:rPr>
      </w:pPr>
      <w:r w:rsidRPr="000B5F6F">
        <w:rPr>
          <w:b/>
          <w:bCs/>
          <w:i/>
          <w:iCs/>
        </w:rPr>
        <w:t xml:space="preserve">The committee is also requested to provide advice on any other issues that it thinks may be relevant to a decision on </w:t>
      </w:r>
      <w:proofErr w:type="gramStart"/>
      <w:r w:rsidRPr="000B5F6F">
        <w:rPr>
          <w:b/>
          <w:bCs/>
          <w:i/>
          <w:iCs/>
        </w:rPr>
        <w:t>whether or not</w:t>
      </w:r>
      <w:proofErr w:type="gramEnd"/>
      <w:r w:rsidRPr="000B5F6F">
        <w:rPr>
          <w:b/>
          <w:bCs/>
          <w:i/>
          <w:iCs/>
        </w:rPr>
        <w:t xml:space="preserve"> to approve this application.</w:t>
      </w:r>
    </w:p>
    <w:p w14:paraId="4CD638B9" w14:textId="7E3730B8" w:rsidR="00CF37F8" w:rsidRDefault="00CF37F8" w:rsidP="00CF37F8">
      <w:r>
        <w:t xml:space="preserve">The ACM noted that page 3 of the Consumer Medicines Information (CMI) states </w:t>
      </w:r>
      <w:r w:rsidR="00A505BD">
        <w:t>‘</w:t>
      </w:r>
      <w:r>
        <w:t>…</w:t>
      </w:r>
      <w:r w:rsidR="00A505BD">
        <w:t> </w:t>
      </w:r>
      <w:r>
        <w:t xml:space="preserve">medicines may decrease the effectiveness of </w:t>
      </w:r>
      <w:proofErr w:type="spellStart"/>
      <w:r>
        <w:t>Rubokia</w:t>
      </w:r>
      <w:proofErr w:type="spellEnd"/>
      <w:r w:rsidR="00A505BD">
        <w:t>’</w:t>
      </w:r>
      <w:r>
        <w:t xml:space="preserve"> and lists examples. It goes on to state </w:t>
      </w:r>
      <w:r w:rsidR="00A505BD">
        <w:t>‘</w:t>
      </w:r>
      <w:r>
        <w:t xml:space="preserve">Don't take </w:t>
      </w:r>
      <w:proofErr w:type="spellStart"/>
      <w:r>
        <w:t>Rubokia</w:t>
      </w:r>
      <w:proofErr w:type="spellEnd"/>
      <w:r>
        <w:t xml:space="preserve"> with these </w:t>
      </w:r>
      <w:proofErr w:type="gramStart"/>
      <w:r>
        <w:t>medicines</w:t>
      </w:r>
      <w:r w:rsidR="00A505BD">
        <w:t>’</w:t>
      </w:r>
      <w:proofErr w:type="gramEnd"/>
      <w:r>
        <w:t>. The ACM were of the view that it would be better to encourage patients to discuss these matters with their ARV prescriber and suggested the CMI wording be rephrased to encourage treatment option discussion.</w:t>
      </w:r>
    </w:p>
    <w:p w14:paraId="6EA3E665" w14:textId="514AFE60" w:rsidR="00CF37F8" w:rsidRPr="000B5F6F" w:rsidRDefault="00CF37F8" w:rsidP="00CF37F8">
      <w:r>
        <w:t>The ACM also noted that in Australia, patients with MDR HIV-1 are a small subset of total HIV patients and are generally being managed within tertiary care centres with access to specialist multi-disciplinary teams and genetic testing.</w:t>
      </w:r>
    </w:p>
    <w:p w14:paraId="317CC2CF" w14:textId="77777777" w:rsidR="00744121" w:rsidRDefault="00744121" w:rsidP="00744121">
      <w:pPr>
        <w:pStyle w:val="Heading5"/>
      </w:pPr>
      <w:r>
        <w:t>Conclusion</w:t>
      </w:r>
    </w:p>
    <w:p w14:paraId="0348BF89" w14:textId="77777777" w:rsidR="00CF37F8" w:rsidRDefault="00CF37F8" w:rsidP="00CF37F8">
      <w:r>
        <w:t xml:space="preserve">The ACM considered this product to have an overall positive benefit-risk profile for the indication: </w:t>
      </w:r>
    </w:p>
    <w:p w14:paraId="0D316F1C" w14:textId="3C803B45" w:rsidR="00CF37F8" w:rsidRDefault="00CF37F8" w:rsidP="00CF37F8">
      <w:pPr>
        <w:ind w:left="720"/>
        <w:rPr>
          <w:i/>
          <w:iCs/>
        </w:rPr>
      </w:pPr>
      <w:proofErr w:type="spellStart"/>
      <w:r>
        <w:rPr>
          <w:i/>
          <w:iCs/>
        </w:rPr>
        <w:t>Rukobia</w:t>
      </w:r>
      <w:proofErr w:type="spellEnd"/>
      <w:r>
        <w:rPr>
          <w:i/>
          <w:iCs/>
        </w:rPr>
        <w:t xml:space="preserve"> is indicated in combination with other antiretroviral agents for the treatment of heavily treatment-experienced adults with multidrug-resistant human immunodeficiency virus-1 (HIV-1) infection for whom it is otherwise not possible to construct a suppressive antiviral regimen due to resistance, intolerance or safety considerations.</w:t>
      </w:r>
    </w:p>
    <w:p w14:paraId="3F9CB3EF" w14:textId="563A1481" w:rsidR="008E7846" w:rsidRPr="002E238E" w:rsidRDefault="008E7846" w:rsidP="00CF37F8">
      <w:pPr>
        <w:pStyle w:val="Heading3"/>
      </w:pPr>
      <w:bookmarkStart w:id="51" w:name="_Toc83304614"/>
      <w:r>
        <w:t>Outcome</w:t>
      </w:r>
      <w:bookmarkEnd w:id="49"/>
      <w:bookmarkEnd w:id="50"/>
      <w:bookmarkEnd w:id="51"/>
    </w:p>
    <w:p w14:paraId="65BDE73A" w14:textId="334D245C" w:rsidR="007D53B6" w:rsidRDefault="00744121" w:rsidP="00744121">
      <w:bookmarkStart w:id="52" w:name="_Toc247691533"/>
      <w:bookmarkStart w:id="53" w:name="_Toc314842517"/>
      <w:r>
        <w:t xml:space="preserve">Based on a review of quality, </w:t>
      </w:r>
      <w:proofErr w:type="gramStart"/>
      <w:r>
        <w:t>safety</w:t>
      </w:r>
      <w:proofErr w:type="gramEnd"/>
      <w:r>
        <w:t xml:space="preserve"> and efficacy, the TGA approved the registration of </w:t>
      </w:r>
      <w:proofErr w:type="spellStart"/>
      <w:r w:rsidR="00975B2A">
        <w:t>Rukobia</w:t>
      </w:r>
      <w:proofErr w:type="spellEnd"/>
      <w:r w:rsidR="00975B2A">
        <w:t xml:space="preserve"> </w:t>
      </w:r>
      <w:r w:rsidR="00975B2A" w:rsidRPr="00250271">
        <w:t>(</w:t>
      </w:r>
      <w:r w:rsidR="00975B2A">
        <w:t>fostemsavir trometamol</w:t>
      </w:r>
      <w:r w:rsidR="00975B2A" w:rsidRPr="00250271">
        <w:t xml:space="preserve">) </w:t>
      </w:r>
      <w:r w:rsidR="00975B2A">
        <w:t>600 mg</w:t>
      </w:r>
      <w:r w:rsidR="00975B2A" w:rsidRPr="00250271">
        <w:t xml:space="preserve">, </w:t>
      </w:r>
      <w:r w:rsidR="00975B2A">
        <w:t>extended release tablet, bottle</w:t>
      </w:r>
      <w:r>
        <w:t>, indicated for:</w:t>
      </w:r>
    </w:p>
    <w:p w14:paraId="46773BD0" w14:textId="30DD4281" w:rsidR="00975B2A" w:rsidRPr="00975B2A" w:rsidRDefault="00975B2A" w:rsidP="00975B2A">
      <w:pPr>
        <w:ind w:left="720"/>
        <w:rPr>
          <w:i/>
          <w:iCs/>
        </w:rPr>
      </w:pPr>
      <w:proofErr w:type="spellStart"/>
      <w:r w:rsidRPr="00975B2A">
        <w:rPr>
          <w:i/>
          <w:iCs/>
        </w:rPr>
        <w:t>R</w:t>
      </w:r>
      <w:r>
        <w:rPr>
          <w:i/>
          <w:iCs/>
        </w:rPr>
        <w:t>ukobia</w:t>
      </w:r>
      <w:proofErr w:type="spellEnd"/>
      <w:r w:rsidRPr="00975B2A">
        <w:rPr>
          <w:i/>
          <w:iCs/>
        </w:rPr>
        <w:t xml:space="preserve"> is indicated in combination with other antiretroviral agents for the treatment of heavily treatment-experienced adults with multidrug-resistant human immunodeficiency virus-1 (HIV-1) infection for whom it is otherwise not possible to construct a suppressive antiviral regimen due to resistance, intolerance or safety considerations (see Section 5.1 PHARMACODYNAMIC PROPERTIES, Clinical Trials).</w:t>
      </w:r>
    </w:p>
    <w:p w14:paraId="0C102DC3" w14:textId="673E81F6" w:rsidR="00D23139" w:rsidRPr="00D23139" w:rsidRDefault="00D23139" w:rsidP="00975B2A">
      <w:pPr>
        <w:pStyle w:val="Heading4"/>
      </w:pPr>
      <w:r w:rsidRPr="00D23139">
        <w:t>Specific conditions of registration applying to these goods</w:t>
      </w:r>
    </w:p>
    <w:p w14:paraId="1FB25F37" w14:textId="5AD51099" w:rsidR="00975B2A" w:rsidRDefault="00975B2A" w:rsidP="00975B2A">
      <w:pPr>
        <w:pStyle w:val="ListBullet"/>
      </w:pPr>
      <w:proofErr w:type="spellStart"/>
      <w:r>
        <w:t>Rukobia</w:t>
      </w:r>
      <w:proofErr w:type="spellEnd"/>
      <w:r>
        <w:t xml:space="preserve"> (fostemsavir) is to be included in the Black Triangle Scheme. The PI and CMI for </w:t>
      </w:r>
      <w:proofErr w:type="spellStart"/>
      <w:r>
        <w:t>Rukobia</w:t>
      </w:r>
      <w:proofErr w:type="spellEnd"/>
      <w:r>
        <w:t xml:space="preserve"> must include the black triangle symbol and mandatory accompanying text for five years, which starts from the date that the sponsor notifies the TGA of supply of the product.</w:t>
      </w:r>
    </w:p>
    <w:p w14:paraId="587B8771" w14:textId="670DC0B6" w:rsidR="00975B2A" w:rsidRDefault="00975B2A" w:rsidP="00975B2A">
      <w:pPr>
        <w:pStyle w:val="ListBullet"/>
      </w:pPr>
      <w:r>
        <w:t xml:space="preserve">The </w:t>
      </w:r>
      <w:proofErr w:type="spellStart"/>
      <w:r>
        <w:t>Rukobia</w:t>
      </w:r>
      <w:proofErr w:type="spellEnd"/>
      <w:r>
        <w:t xml:space="preserve"> EU- RMP (version 1.0, dated 15 January 2021, data lock point 6 September 2019), with ASA (version 1.2, dated April 2021), included with submission PM-2020-02898-1-2, and any subsequent revisions, as agreed with the TGA will be implemented in Australia.</w:t>
      </w:r>
    </w:p>
    <w:p w14:paraId="7ABBF597" w14:textId="77777777" w:rsidR="00975B2A" w:rsidRDefault="00975B2A" w:rsidP="00975B2A">
      <w:pPr>
        <w:pStyle w:val="ListBullet"/>
        <w:numPr>
          <w:ilvl w:val="0"/>
          <w:numId w:val="0"/>
        </w:numPr>
        <w:ind w:left="360"/>
      </w:pPr>
      <w:r>
        <w:lastRenderedPageBreak/>
        <w:t>An obligatory component of risk management plans is routine pharmacovigilance. Routine pharmacovigilance includes the submission of periodic safety update reports (PSURs).</w:t>
      </w:r>
    </w:p>
    <w:p w14:paraId="19AC67F3" w14:textId="1ADFCB03" w:rsidR="00975B2A" w:rsidRDefault="00975B2A" w:rsidP="00975B2A">
      <w:pPr>
        <w:pStyle w:val="ListBullet"/>
        <w:numPr>
          <w:ilvl w:val="0"/>
          <w:numId w:val="0"/>
        </w:numPr>
        <w:ind w:left="360"/>
      </w:pPr>
      <w:r>
        <w:t>Reports are to be provided in line with the current published list of EU reference dates and frequency of submission of PSURs until the period covered by such reports is not less than three years from the date of the approval letter.</w:t>
      </w:r>
    </w:p>
    <w:p w14:paraId="125590E8" w14:textId="7B43661A" w:rsidR="00975B2A" w:rsidRDefault="00975B2A" w:rsidP="00975B2A">
      <w:pPr>
        <w:pStyle w:val="ListBullet"/>
        <w:numPr>
          <w:ilvl w:val="0"/>
          <w:numId w:val="0"/>
        </w:numPr>
        <w:ind w:left="360"/>
      </w:pPr>
      <w:r>
        <w:t>The reports are to at least meet the requirements for PSURs as described in the European Medicines Agency’s Guideline on Good Pharmacovigilance Practices (GVP) Module VII-periodic safety update report (Rev 1), Part VII.B Structures and processes. Note that submission of a PSUR does not constitute an application to vary the registration.</w:t>
      </w:r>
    </w:p>
    <w:p w14:paraId="24DF0D2D" w14:textId="77777777" w:rsidR="008E7846" w:rsidRDefault="00A80B5B" w:rsidP="00D23139">
      <w:pPr>
        <w:pStyle w:val="Heading2"/>
      </w:pPr>
      <w:bookmarkStart w:id="54" w:name="_Toc83304615"/>
      <w:r>
        <w:t xml:space="preserve">Attachment 1. </w:t>
      </w:r>
      <w:r w:rsidR="008E7846">
        <w:t xml:space="preserve">Product </w:t>
      </w:r>
      <w:r w:rsidR="00AA0ED0">
        <w:t>I</w:t>
      </w:r>
      <w:r w:rsidR="008E7846">
        <w:t>nformation</w:t>
      </w:r>
      <w:bookmarkEnd w:id="52"/>
      <w:bookmarkEnd w:id="53"/>
      <w:bookmarkEnd w:id="54"/>
    </w:p>
    <w:p w14:paraId="1C094F8A" w14:textId="207E245D" w:rsidR="00C80137" w:rsidRDefault="006136D7" w:rsidP="00C80137">
      <w:pPr>
        <w:rPr>
          <w:color w:val="000000"/>
          <w:lang w:eastAsia="en-AU"/>
        </w:rPr>
      </w:pPr>
      <w:r w:rsidRPr="002B3624">
        <w:t xml:space="preserve">The </w:t>
      </w:r>
      <w:r>
        <w:t>PI</w:t>
      </w:r>
      <w:r w:rsidRPr="002B3624">
        <w:t xml:space="preserve"> for </w:t>
      </w:r>
      <w:proofErr w:type="spellStart"/>
      <w:r w:rsidR="00975B2A">
        <w:t>Rukobia</w:t>
      </w:r>
      <w:proofErr w:type="spellEnd"/>
      <w:r w:rsidR="00975B2A">
        <w:t xml:space="preserve"> </w:t>
      </w:r>
      <w:r>
        <w:t xml:space="preserve">approved with the submission which is described in </w:t>
      </w:r>
      <w:r w:rsidRPr="002B3624">
        <w:t xml:space="preserve">this AusPAR is at Attachment 1. For the most recent </w:t>
      </w:r>
      <w:r>
        <w:t>PI,</w:t>
      </w:r>
      <w:r w:rsidRPr="002B3624">
        <w:t xml:space="preserve"> please refer to the </w:t>
      </w:r>
      <w:r w:rsidRPr="007C6B9B">
        <w:t xml:space="preserve">TGA website at </w:t>
      </w:r>
      <w:r w:rsidR="007C6B9B" w:rsidRPr="007C6B9B">
        <w:t>&lt;</w:t>
      </w:r>
      <w:hyperlink r:id="rId29" w:history="1">
        <w:r w:rsidR="007C6B9B" w:rsidRPr="007C6B9B">
          <w:rPr>
            <w:rStyle w:val="Hyperlink"/>
          </w:rPr>
          <w:t>https://www.tga.gov.au/product-information-pi</w:t>
        </w:r>
      </w:hyperlink>
      <w:r w:rsidR="007C6B9B" w:rsidRPr="007C6B9B">
        <w:t>&gt;.</w:t>
      </w:r>
    </w:p>
    <w:p w14:paraId="6A28F7C2" w14:textId="6A06171B" w:rsidR="00744121" w:rsidRDefault="008E7846" w:rsidP="00975B2A">
      <w:pPr>
        <w:autoSpaceDE w:val="0"/>
        <w:autoSpaceDN w:val="0"/>
        <w:adjustRightInd w:val="0"/>
        <w:spacing w:after="0"/>
        <w:rPr>
          <w:lang w:eastAsia="ja-JP"/>
        </w:rPr>
      </w:pPr>
      <w:r w:rsidRPr="00C80137">
        <w:rPr>
          <w:b/>
        </w:rPr>
        <w:br w:type="page"/>
      </w:r>
    </w:p>
    <w:p w14:paraId="40B5B328" w14:textId="77777777" w:rsidR="00C80137" w:rsidRPr="001D043B" w:rsidRDefault="00C80137" w:rsidP="003A7F6C">
      <w:pPr>
        <w:pStyle w:val="TableTitle"/>
        <w:sectPr w:rsidR="00C80137" w:rsidRPr="001D043B" w:rsidSect="00B452CE">
          <w:headerReference w:type="even" r:id="rId30"/>
          <w:headerReference w:type="default" r:id="rId31"/>
          <w:headerReference w:type="first" r:id="rId32"/>
          <w:footerReference w:type="first" r:id="rId33"/>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14:paraId="3AE01332" w14:textId="77777777" w:rsidTr="00A05FA4">
        <w:trPr>
          <w:trHeight w:hRule="exact" w:val="704"/>
        </w:trPr>
        <w:tc>
          <w:tcPr>
            <w:tcW w:w="9175" w:type="dxa"/>
          </w:tcPr>
          <w:p w14:paraId="15A6CBAB" w14:textId="77777777" w:rsidR="001C32CD" w:rsidRPr="00487162" w:rsidRDefault="001C32CD" w:rsidP="00A05FA4">
            <w:pPr>
              <w:pStyle w:val="TGASignoff"/>
            </w:pPr>
            <w:r w:rsidRPr="00487162">
              <w:lastRenderedPageBreak/>
              <w:t>Therapeutic Goods Administration</w:t>
            </w:r>
          </w:p>
        </w:tc>
      </w:tr>
      <w:tr w:rsidR="001C32CD" w:rsidRPr="004C239D" w14:paraId="0565C790" w14:textId="77777777" w:rsidTr="00A05FA4">
        <w:trPr>
          <w:trHeight w:val="1221"/>
        </w:trPr>
        <w:tc>
          <w:tcPr>
            <w:tcW w:w="9175" w:type="dxa"/>
            <w:tcMar>
              <w:top w:w="28" w:type="dxa"/>
            </w:tcMar>
          </w:tcPr>
          <w:p w14:paraId="414D4838" w14:textId="77777777" w:rsidR="001C32CD" w:rsidRPr="00487162" w:rsidRDefault="001C32CD" w:rsidP="00A05FA4">
            <w:pPr>
              <w:pStyle w:val="Address"/>
            </w:pPr>
            <w:r w:rsidRPr="00487162">
              <w:t>PO Box 100 Woden ACT 2606 Australia</w:t>
            </w:r>
          </w:p>
          <w:p w14:paraId="4CD86B21" w14:textId="2245B757" w:rsidR="001C32CD" w:rsidRPr="00487162" w:rsidRDefault="001C32CD" w:rsidP="00A05FA4">
            <w:pPr>
              <w:pStyle w:val="Address"/>
            </w:pPr>
            <w:r w:rsidRPr="00487162">
              <w:t xml:space="preserve">Email: </w:t>
            </w:r>
            <w:hyperlink r:id="rId34" w:history="1">
              <w:r w:rsidRPr="004C239D">
                <w:rPr>
                  <w:rStyle w:val="Hyperlink"/>
                </w:rPr>
                <w:t>info@tga.gov.au</w:t>
              </w:r>
            </w:hyperlink>
            <w:r w:rsidRPr="00487162">
              <w:t xml:space="preserve">  Phone: 1800 020 </w:t>
            </w:r>
            <w:proofErr w:type="gramStart"/>
            <w:r w:rsidRPr="00487162">
              <w:t>653  Fax</w:t>
            </w:r>
            <w:proofErr w:type="gramEnd"/>
            <w:r w:rsidRPr="00487162">
              <w:t>: 02 6232 8605</w:t>
            </w:r>
          </w:p>
          <w:p w14:paraId="2592A236" w14:textId="679736E1" w:rsidR="001C32CD" w:rsidRPr="004C239D" w:rsidRDefault="00C85163" w:rsidP="00A05FA4">
            <w:pPr>
              <w:pStyle w:val="Address"/>
              <w:spacing w:line="260" w:lineRule="atLeast"/>
              <w:rPr>
                <w:b/>
                <w:color w:val="0000FF"/>
                <w:u w:val="single"/>
              </w:rPr>
            </w:pPr>
            <w:hyperlink r:id="rId35" w:history="1">
              <w:r w:rsidR="007C6B9B" w:rsidRPr="007C6B9B">
                <w:rPr>
                  <w:rStyle w:val="Hyperlink"/>
                  <w:b/>
                </w:rPr>
                <w:t>https://www.tga.gov.au</w:t>
              </w:r>
            </w:hyperlink>
          </w:p>
        </w:tc>
      </w:tr>
    </w:tbl>
    <w:p w14:paraId="2CA59FE7" w14:textId="77777777" w:rsidR="00774E1D" w:rsidRPr="008A5E0B" w:rsidRDefault="00774E1D" w:rsidP="004C239D"/>
    <w:sectPr w:rsidR="00774E1D" w:rsidRPr="008A5E0B" w:rsidSect="001C32CD">
      <w:headerReference w:type="even" r:id="rId36"/>
      <w:headerReference w:type="default" r:id="rId37"/>
      <w:footerReference w:type="default" r:id="rId38"/>
      <w:headerReference w:type="first" r:id="rId39"/>
      <w:footerReference w:type="first" r:id="rId40"/>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77A44D" w14:textId="77777777" w:rsidR="002351E1" w:rsidRDefault="002351E1" w:rsidP="00C40A36">
      <w:pPr>
        <w:spacing w:after="0"/>
      </w:pPr>
      <w:r>
        <w:separator/>
      </w:r>
    </w:p>
  </w:endnote>
  <w:endnote w:type="continuationSeparator" w:id="0">
    <w:p w14:paraId="3A32E4E5" w14:textId="77777777" w:rsidR="002351E1" w:rsidRDefault="002351E1"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8Õ˛">
    <w:altName w:val="Calibri"/>
    <w:panose1 w:val="00000000000000000000"/>
    <w:charset w:val="4D"/>
    <w:family w:val="auto"/>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A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N/¡˛">
    <w:altName w:val="Calibri"/>
    <w:charset w:val="4D"/>
    <w:family w:val="auto"/>
    <w:pitch w:val="default"/>
    <w:sig w:usb0="00000003" w:usb1="00000000" w:usb2="00000000" w:usb3="00000000" w:csb0="00000001" w:csb1="00000000"/>
  </w:font>
  <w:font w:name="MingLiU">
    <w:altName w:val="細明體"/>
    <w:panose1 w:val="02020509000000000000"/>
    <w:charset w:val="88"/>
    <w:family w:val="modern"/>
    <w:pitch w:val="fixed"/>
    <w:sig w:usb0="A00002FF" w:usb1="2A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A85748" w14:textId="77777777" w:rsidR="002C59D5" w:rsidRDefault="002C59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2351E1" w:rsidRPr="00487162" w14:paraId="4F6F2C3D" w14:textId="77777777" w:rsidTr="00DB750B">
      <w:trPr>
        <w:trHeight w:val="269"/>
      </w:trPr>
      <w:tc>
        <w:tcPr>
          <w:tcW w:w="7371" w:type="dxa"/>
          <w:tcMar>
            <w:top w:w="142" w:type="dxa"/>
            <w:bottom w:w="0" w:type="dxa"/>
          </w:tcMar>
        </w:tcPr>
        <w:p w14:paraId="371B6C11" w14:textId="1CF5AF0B" w:rsidR="002351E1" w:rsidRPr="00487162" w:rsidRDefault="002351E1" w:rsidP="00460036">
          <w:pPr>
            <w:pStyle w:val="Footer"/>
          </w:pPr>
          <w:proofErr w:type="spellStart"/>
          <w:r w:rsidRPr="00487162">
            <w:t>AusPA</w:t>
          </w:r>
          <w:r>
            <w:t>R</w:t>
          </w:r>
          <w:proofErr w:type="spellEnd"/>
          <w:r>
            <w:t xml:space="preserve"> – </w:t>
          </w:r>
          <w:proofErr w:type="spellStart"/>
          <w:r w:rsidRPr="0071605E">
            <w:t>R</w:t>
          </w:r>
          <w:r>
            <w:t>ukobia</w:t>
          </w:r>
          <w:proofErr w:type="spellEnd"/>
          <w:r w:rsidRPr="0071605E">
            <w:t xml:space="preserve"> - fostemsavir trometamol - </w:t>
          </w:r>
          <w:proofErr w:type="spellStart"/>
          <w:r w:rsidRPr="0071605E">
            <w:t>ViiV</w:t>
          </w:r>
          <w:proofErr w:type="spellEnd"/>
          <w:r w:rsidRPr="0071605E">
            <w:t xml:space="preserve"> Healthcare Pty Ltd - PM-2020-02898-1-2</w:t>
          </w:r>
          <w:r>
            <w:br/>
          </w:r>
          <w:r w:rsidR="00EC1D34">
            <w:t>FINAL 6 September</w:t>
          </w:r>
          <w:r>
            <w:t xml:space="preserve"> 2021</w:t>
          </w:r>
        </w:p>
      </w:tc>
      <w:tc>
        <w:tcPr>
          <w:tcW w:w="1490" w:type="dxa"/>
          <w:tcMar>
            <w:top w:w="142" w:type="dxa"/>
            <w:bottom w:w="0" w:type="dxa"/>
          </w:tcMar>
        </w:tcPr>
        <w:p w14:paraId="320D9DE5" w14:textId="79911049" w:rsidR="002351E1" w:rsidRPr="00487162" w:rsidRDefault="002351E1" w:rsidP="00DB750B">
          <w:pPr>
            <w:pStyle w:val="Footer"/>
            <w:jc w:val="right"/>
          </w:pPr>
          <w:r w:rsidRPr="00487162">
            <w:t xml:space="preserve">Page </w:t>
          </w:r>
          <w:r>
            <w:fldChar w:fldCharType="begin"/>
          </w:r>
          <w:r>
            <w:instrText xml:space="preserve"> PAGE  \* Arabic </w:instrText>
          </w:r>
          <w:r>
            <w:fldChar w:fldCharType="separate"/>
          </w:r>
          <w:r>
            <w:rPr>
              <w:noProof/>
            </w:rPr>
            <w:t>9</w:t>
          </w:r>
          <w:r>
            <w:fldChar w:fldCharType="end"/>
          </w:r>
          <w:r w:rsidRPr="00487162">
            <w:t xml:space="preserve"> of </w:t>
          </w:r>
          <w:r w:rsidR="00C85163">
            <w:fldChar w:fldCharType="begin"/>
          </w:r>
          <w:r w:rsidR="00C85163">
            <w:instrText xml:space="preserve"> NUMPAGES  \* Arabic </w:instrText>
          </w:r>
          <w:r w:rsidR="00C85163">
            <w:fldChar w:fldCharType="separate"/>
          </w:r>
          <w:r>
            <w:rPr>
              <w:noProof/>
            </w:rPr>
            <w:t>33</w:t>
          </w:r>
          <w:r w:rsidR="00C85163">
            <w:rPr>
              <w:noProof/>
            </w:rPr>
            <w:fldChar w:fldCharType="end"/>
          </w:r>
        </w:p>
      </w:tc>
    </w:tr>
  </w:tbl>
  <w:p w14:paraId="7700F606" w14:textId="77777777" w:rsidR="002351E1" w:rsidRDefault="002351E1" w:rsidP="003D1E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6B2DEB" w14:textId="77777777" w:rsidR="002C59D5" w:rsidRDefault="002C59D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2351E1" w:rsidRPr="00487162" w14:paraId="3E6C794E" w14:textId="77777777" w:rsidTr="00E45619">
      <w:trPr>
        <w:trHeight w:val="269"/>
      </w:trPr>
      <w:tc>
        <w:tcPr>
          <w:tcW w:w="4519" w:type="dxa"/>
          <w:tcBorders>
            <w:top w:val="single" w:sz="4" w:space="0" w:color="auto"/>
          </w:tcBorders>
          <w:tcMar>
            <w:top w:w="142" w:type="dxa"/>
            <w:bottom w:w="0" w:type="dxa"/>
          </w:tcMar>
        </w:tcPr>
        <w:p w14:paraId="544CD4CA" w14:textId="77777777" w:rsidR="002351E1" w:rsidRPr="00487162" w:rsidRDefault="002351E1" w:rsidP="00FE1DEE">
          <w:pPr>
            <w:pStyle w:val="Footer"/>
          </w:pPr>
          <w:r w:rsidRPr="00487162">
            <w:t>Document title, Part #, Section # - Section title</w:t>
          </w:r>
        </w:p>
        <w:p w14:paraId="228C2D0A" w14:textId="77777777" w:rsidR="002351E1" w:rsidRPr="00487162" w:rsidRDefault="002351E1" w:rsidP="00FE1DEE">
          <w:pPr>
            <w:pStyle w:val="Footer"/>
          </w:pPr>
          <w:r w:rsidRPr="00487162">
            <w:t>V1.0 October 2010</w:t>
          </w:r>
        </w:p>
      </w:tc>
      <w:tc>
        <w:tcPr>
          <w:tcW w:w="4342" w:type="dxa"/>
          <w:tcBorders>
            <w:top w:val="single" w:sz="4" w:space="0" w:color="auto"/>
          </w:tcBorders>
          <w:tcMar>
            <w:top w:w="142" w:type="dxa"/>
            <w:bottom w:w="0" w:type="dxa"/>
          </w:tcMar>
        </w:tcPr>
        <w:p w14:paraId="76A8A26F" w14:textId="77777777" w:rsidR="002351E1" w:rsidRPr="00487162" w:rsidRDefault="002351E1"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r w:rsidR="00C85163">
            <w:fldChar w:fldCharType="begin"/>
          </w:r>
          <w:r w:rsidR="00C85163">
            <w:instrText xml:space="preserve"> NUMPAGES  </w:instrText>
          </w:r>
          <w:r w:rsidR="00C85163">
            <w:fldChar w:fldCharType="separate"/>
          </w:r>
          <w:r>
            <w:rPr>
              <w:noProof/>
            </w:rPr>
            <w:t>21</w:t>
          </w:r>
          <w:r w:rsidR="00C85163">
            <w:rPr>
              <w:noProof/>
            </w:rPr>
            <w:fldChar w:fldCharType="end"/>
          </w:r>
        </w:p>
      </w:tc>
    </w:tr>
  </w:tbl>
  <w:p w14:paraId="62767E46" w14:textId="77777777" w:rsidR="002351E1" w:rsidRDefault="002351E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6E51FD" w14:textId="77777777" w:rsidR="002351E1" w:rsidRPr="001C32CD" w:rsidRDefault="002351E1" w:rsidP="001C32C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2351E1" w14:paraId="56BA4DA3" w14:textId="77777777" w:rsidTr="0010601F">
      <w:trPr>
        <w:trHeight w:val="108"/>
      </w:trPr>
      <w:tc>
        <w:tcPr>
          <w:tcW w:w="8875" w:type="dxa"/>
          <w:gridSpan w:val="2"/>
          <w:tcBorders>
            <w:bottom w:val="single" w:sz="4" w:space="0" w:color="auto"/>
          </w:tcBorders>
          <w:tcMar>
            <w:right w:w="284" w:type="dxa"/>
          </w:tcMar>
        </w:tcPr>
        <w:p w14:paraId="449E8095" w14:textId="77777777" w:rsidR="002351E1" w:rsidRDefault="002351E1" w:rsidP="006E08B3">
          <w:pPr>
            <w:pStyle w:val="Heading3"/>
          </w:pPr>
          <w:r>
            <w:t>Copyright</w:t>
          </w:r>
        </w:p>
        <w:p w14:paraId="0FB7B949" w14:textId="77777777" w:rsidR="002351E1" w:rsidRDefault="002351E1" w:rsidP="006E08B3">
          <w:r>
            <w:rPr>
              <w:rFonts w:cs="Arial"/>
            </w:rPr>
            <w:t>©</w:t>
          </w:r>
          <w:r>
            <w:t xml:space="preserve"> Commonwealth of Australia [add year]</w:t>
          </w:r>
        </w:p>
        <w:p w14:paraId="164BE13E" w14:textId="77777777" w:rsidR="002351E1" w:rsidRDefault="002351E1" w:rsidP="006E08B3"/>
        <w:p w14:paraId="780CB214" w14:textId="77777777" w:rsidR="002351E1" w:rsidRDefault="002351E1"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w:t>
          </w:r>
          <w:proofErr w:type="gramStart"/>
          <w:r>
            <w:t xml:space="preserve">at  </w:t>
          </w:r>
          <w:r w:rsidRPr="006E08B3">
            <w:t>http://www.ag.gov.au/cca</w:t>
          </w:r>
          <w:proofErr w:type="gramEnd"/>
        </w:p>
        <w:p w14:paraId="1A18B010" w14:textId="77777777" w:rsidR="002351E1" w:rsidRDefault="002351E1" w:rsidP="006E08B3"/>
        <w:p w14:paraId="402726F6" w14:textId="77777777" w:rsidR="002351E1" w:rsidRDefault="002351E1" w:rsidP="006E08B3">
          <w:pPr>
            <w:pStyle w:val="Heading3"/>
          </w:pPr>
          <w:r>
            <w:t>Confidentiality</w:t>
          </w:r>
        </w:p>
        <w:p w14:paraId="390E7A58" w14:textId="77777777" w:rsidR="002351E1" w:rsidRDefault="002351E1"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14:paraId="7B7846AD" w14:textId="77777777" w:rsidR="002351E1" w:rsidRDefault="002351E1" w:rsidP="006E08B3"/>
        <w:p w14:paraId="503C4A57" w14:textId="77777777" w:rsidR="002351E1" w:rsidRDefault="002351E1" w:rsidP="006E08B3">
          <w:r>
            <w:t>For submission made by individuals, all personal details, other than your name, will be removed from your submission before it is published on the TGA’s Internet site.</w:t>
          </w:r>
        </w:p>
        <w:p w14:paraId="33FCD03C" w14:textId="77777777" w:rsidR="002351E1" w:rsidRDefault="002351E1" w:rsidP="006E08B3"/>
        <w:p w14:paraId="04CD6578" w14:textId="77777777" w:rsidR="002351E1" w:rsidRDefault="002351E1"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2351E1" w14:paraId="47D5069F" w14:textId="77777777" w:rsidTr="0010601F">
      <w:trPr>
        <w:trHeight w:val="417"/>
      </w:trPr>
      <w:tc>
        <w:tcPr>
          <w:tcW w:w="4519" w:type="dxa"/>
          <w:tcBorders>
            <w:top w:val="single" w:sz="4" w:space="0" w:color="auto"/>
          </w:tcBorders>
          <w:tcMar>
            <w:top w:w="142" w:type="dxa"/>
            <w:bottom w:w="0" w:type="dxa"/>
          </w:tcMar>
        </w:tcPr>
        <w:p w14:paraId="44414406" w14:textId="77777777" w:rsidR="002351E1" w:rsidRDefault="002351E1" w:rsidP="006E08B3">
          <w:r>
            <w:t>Document title, Part #, Section # - Section title</w:t>
          </w:r>
        </w:p>
        <w:p w14:paraId="16DB83E8" w14:textId="77777777" w:rsidR="002351E1" w:rsidRDefault="002351E1" w:rsidP="006E08B3">
          <w:r>
            <w:t>V1.0 October 2010</w:t>
          </w:r>
        </w:p>
      </w:tc>
      <w:tc>
        <w:tcPr>
          <w:tcW w:w="4356" w:type="dxa"/>
          <w:tcBorders>
            <w:top w:val="single" w:sz="4" w:space="0" w:color="auto"/>
          </w:tcBorders>
          <w:tcMar>
            <w:top w:w="142" w:type="dxa"/>
            <w:bottom w:w="0" w:type="dxa"/>
          </w:tcMar>
        </w:tcPr>
        <w:p w14:paraId="7E601A11" w14:textId="77777777" w:rsidR="002351E1" w:rsidRDefault="002351E1"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r w:rsidR="00C85163">
            <w:fldChar w:fldCharType="begin"/>
          </w:r>
          <w:r w:rsidR="00C85163">
            <w:instrText xml:space="preserve"> NUMPAGES  \* Arabic </w:instrText>
          </w:r>
          <w:r w:rsidR="00C85163">
            <w:fldChar w:fldCharType="separate"/>
          </w:r>
          <w:r>
            <w:rPr>
              <w:noProof/>
            </w:rPr>
            <w:t>21</w:t>
          </w:r>
          <w:r w:rsidR="00C85163">
            <w:rPr>
              <w:noProof/>
            </w:rPr>
            <w:fldChar w:fldCharType="end"/>
          </w:r>
          <w:r>
            <w:t xml:space="preserve">  </w:t>
          </w:r>
        </w:p>
      </w:tc>
    </w:tr>
  </w:tbl>
  <w:p w14:paraId="526BD2C2" w14:textId="77777777" w:rsidR="002351E1" w:rsidRDefault="002351E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CDE1C4" w14:textId="77777777" w:rsidR="002351E1" w:rsidRDefault="002351E1" w:rsidP="00C40A36">
      <w:pPr>
        <w:spacing w:after="0"/>
      </w:pPr>
      <w:r>
        <w:separator/>
      </w:r>
    </w:p>
  </w:footnote>
  <w:footnote w:type="continuationSeparator" w:id="0">
    <w:p w14:paraId="69699577" w14:textId="77777777" w:rsidR="002351E1" w:rsidRDefault="002351E1" w:rsidP="00C40A36">
      <w:pPr>
        <w:spacing w:after="0"/>
      </w:pPr>
      <w:r>
        <w:continuationSeparator/>
      </w:r>
    </w:p>
  </w:footnote>
  <w:footnote w:id="1">
    <w:p w14:paraId="4354021D" w14:textId="77777777" w:rsidR="002351E1" w:rsidRDefault="002351E1">
      <w:pPr>
        <w:pStyle w:val="FootnoteText"/>
      </w:pPr>
      <w:r>
        <w:rPr>
          <w:rStyle w:val="FootnoteReference"/>
        </w:rPr>
        <w:footnoteRef/>
      </w:r>
      <w:r>
        <w:t xml:space="preserve"> </w:t>
      </w:r>
      <w:r w:rsidRPr="00460036">
        <w:t xml:space="preserve">The </w:t>
      </w:r>
      <w:r w:rsidRPr="00460036">
        <w:rPr>
          <w:b/>
        </w:rPr>
        <w:t>Black Triangle Scheme</w:t>
      </w:r>
      <w:r w:rsidRPr="00460036">
        <w:t xml:space="preserve"> provides a simple means for practitioners and patients to identify certain types of new prescription medicines, including those being used in new ways and to encourage the reporting of adverse events associated with their use. The Black Triangle does not denote that there are known safety problems, just that the TGA is encouraging adverse event reporting to help us build up the full picture of a medicine's safety profile.</w:t>
      </w:r>
    </w:p>
  </w:footnote>
  <w:footnote w:id="2">
    <w:p w14:paraId="5D974281" w14:textId="3A4E4C7D" w:rsidR="002351E1" w:rsidRDefault="002351E1">
      <w:pPr>
        <w:pStyle w:val="FootnoteText"/>
      </w:pPr>
      <w:r>
        <w:rPr>
          <w:rStyle w:val="FootnoteReference"/>
        </w:rPr>
        <w:footnoteRef/>
      </w:r>
      <w:r>
        <w:t xml:space="preserve"> </w:t>
      </w:r>
      <w:proofErr w:type="spellStart"/>
      <w:r w:rsidRPr="00554DE6">
        <w:t>Bajema</w:t>
      </w:r>
      <w:proofErr w:type="spellEnd"/>
      <w:r w:rsidRPr="00554DE6">
        <w:t xml:space="preserve"> K et al. Prevalence of heavily treatment-experienced persons with HIV in the United States, 2000-2017. Tenth International AIDS Society Conference on HIV Science (IAS 2019), abstract MOPEB246, 2019.</w:t>
      </w:r>
    </w:p>
  </w:footnote>
  <w:footnote w:id="3">
    <w:p w14:paraId="2FDE5187" w14:textId="5E3A3107" w:rsidR="002351E1" w:rsidRDefault="002351E1">
      <w:pPr>
        <w:pStyle w:val="FootnoteText"/>
      </w:pPr>
      <w:r>
        <w:rPr>
          <w:rStyle w:val="FootnoteReference"/>
        </w:rPr>
        <w:footnoteRef/>
      </w:r>
      <w:r>
        <w:t xml:space="preserve"> </w:t>
      </w:r>
      <w:r w:rsidRPr="00554DE6">
        <w:t>Hsu R, et al. Identifying Heavily Treatment-Experienced Patients in the OPERA Cohort. 22nd International AIDS Conference; July 23–27, 2018; Amsterdam, the Netherlands. Poster THPEB044.</w:t>
      </w:r>
    </w:p>
  </w:footnote>
  <w:footnote w:id="4">
    <w:p w14:paraId="4049383B" w14:textId="0781E4A6" w:rsidR="002351E1" w:rsidRDefault="002351E1" w:rsidP="00326B3E">
      <w:pPr>
        <w:pStyle w:val="FootnoteText"/>
      </w:pPr>
      <w:r>
        <w:rPr>
          <w:rStyle w:val="FootnoteReference"/>
        </w:rPr>
        <w:footnoteRef/>
      </w:r>
      <w:r>
        <w:t xml:space="preserve"> </w:t>
      </w:r>
      <w:r w:rsidRPr="00326B3E">
        <w:t>International Council for Harmonisation of Technical Requirements for Pharmaceuticals for Human Use</w:t>
      </w:r>
      <w:r>
        <w:t xml:space="preserve"> guideline M3(R2) on non-clinical safety studies for the conduct of human clinical trials and marketing</w:t>
      </w:r>
    </w:p>
    <w:p w14:paraId="36198ADD" w14:textId="77D3BC40" w:rsidR="002351E1" w:rsidRDefault="002351E1" w:rsidP="00326B3E">
      <w:pPr>
        <w:pStyle w:val="FootnoteText"/>
      </w:pPr>
      <w:r>
        <w:t>authorisation for pharmaceuticals Step 5.</w:t>
      </w:r>
      <w:r w:rsidRPr="00326B3E">
        <w:t xml:space="preserve"> </w:t>
      </w:r>
      <w:r>
        <w:t>EMA/CPMP/ICH/286/1995.</w:t>
      </w:r>
    </w:p>
  </w:footnote>
  <w:footnote w:id="5">
    <w:p w14:paraId="32587748" w14:textId="196BAA3A" w:rsidR="002351E1" w:rsidRPr="00EC1D34" w:rsidRDefault="002351E1">
      <w:pPr>
        <w:pStyle w:val="FootnoteText"/>
        <w:rPr>
          <w:lang w:val="en-US"/>
        </w:rPr>
      </w:pPr>
      <w:r>
        <w:rPr>
          <w:rStyle w:val="FootnoteReference"/>
        </w:rPr>
        <w:footnoteRef/>
      </w:r>
      <w:r>
        <w:t xml:space="preserve"> </w:t>
      </w:r>
      <w:r w:rsidRPr="002351E1">
        <w:rPr>
          <w:b/>
          <w:lang w:val="en-US"/>
        </w:rPr>
        <w:t>ERAUC</w:t>
      </w:r>
      <w:r>
        <w:rPr>
          <w:lang w:val="en-US"/>
        </w:rPr>
        <w:t xml:space="preserve"> = exposure ratio based on the area under the concentration versus time curve.</w:t>
      </w:r>
    </w:p>
  </w:footnote>
  <w:footnote w:id="6">
    <w:p w14:paraId="7BF10E2B" w14:textId="1AAFFEE0" w:rsidR="002351E1" w:rsidRPr="002351E1" w:rsidRDefault="002351E1">
      <w:pPr>
        <w:pStyle w:val="FootnoteText"/>
        <w:rPr>
          <w:lang w:val="en-US"/>
        </w:rPr>
      </w:pPr>
      <w:r>
        <w:rPr>
          <w:rStyle w:val="FootnoteReference"/>
        </w:rPr>
        <w:footnoteRef/>
      </w:r>
      <w:r>
        <w:t xml:space="preserve"> </w:t>
      </w:r>
      <w:r w:rsidRPr="00333DAB">
        <w:t xml:space="preserve">The </w:t>
      </w:r>
      <w:r w:rsidRPr="00EC1D34">
        <w:rPr>
          <w:b/>
        </w:rPr>
        <w:t>QT interval</w:t>
      </w:r>
      <w:r w:rsidRPr="00333DAB">
        <w:t xml:space="preserve"> is the time from the start of the QRS wave complex to the end of the corresponding T wave. It approximates to the time taken for ventricular depolarisation and repolarisation</w:t>
      </w:r>
      <w:proofErr w:type="gramStart"/>
      <w:r w:rsidRPr="00333DAB">
        <w:t>, that is to say, the</w:t>
      </w:r>
      <w:proofErr w:type="gramEnd"/>
      <w:r w:rsidRPr="00333DAB">
        <w:t xml:space="preserve"> period of ventricular systole from ventricular isovolumetric contraction to isovolumetric relaxation.</w:t>
      </w:r>
    </w:p>
  </w:footnote>
  <w:footnote w:id="7">
    <w:p w14:paraId="53C8179A" w14:textId="77777777" w:rsidR="002351E1" w:rsidRPr="00BD271A" w:rsidRDefault="002351E1" w:rsidP="00FA5520">
      <w:pPr>
        <w:pStyle w:val="FootnoteText"/>
        <w:rPr>
          <w:b/>
          <w:lang w:eastAsia="ja-JP"/>
        </w:rPr>
      </w:pPr>
      <w:r>
        <w:rPr>
          <w:rStyle w:val="FootnoteReference"/>
        </w:rPr>
        <w:footnoteRef/>
      </w:r>
      <w:r>
        <w:t xml:space="preserve"> </w:t>
      </w:r>
      <w:r w:rsidRPr="00B41C85">
        <w:rPr>
          <w:b/>
          <w:lang w:eastAsia="ja-JP"/>
        </w:rPr>
        <w:t>Cytochrome P450 (CYP) enzymes:</w:t>
      </w:r>
      <w:r>
        <w:rPr>
          <w:b/>
          <w:lang w:eastAsia="ja-JP"/>
        </w:rPr>
        <w:t xml:space="preserve"> </w:t>
      </w:r>
      <w:r>
        <w:rPr>
          <w:lang w:eastAsia="ja-JP"/>
        </w:rPr>
        <w:t>CYPs are the major enzymes involved in drug metabolism, accounting for large part of the total metabolism. Most drugs undergo deactivation by CYPs, either directly or by facilitated excretion from the body. Also, many substances are bioactivated by CYPs to form their active compounds.</w:t>
      </w:r>
    </w:p>
    <w:p w14:paraId="38D53F31" w14:textId="3E3E5B84" w:rsidR="002351E1" w:rsidRDefault="002351E1" w:rsidP="00FA5520">
      <w:pPr>
        <w:pStyle w:val="FootnoteText"/>
      </w:pPr>
      <w:r>
        <w:rPr>
          <w:lang w:eastAsia="ja-JP"/>
        </w:rPr>
        <w:t xml:space="preserve">Many drugs may increase or decrease the activity of various CYP isozymes either by inducing the biosynthesis of an isozyme (enzyme induction) or by directly inhibiting the activity of the CYP (enzyme inhibition). This is a major source of adverse drug </w:t>
      </w:r>
      <w:proofErr w:type="gramStart"/>
      <w:r>
        <w:rPr>
          <w:lang w:eastAsia="ja-JP"/>
        </w:rPr>
        <w:t>interactions, since</w:t>
      </w:r>
      <w:proofErr w:type="gramEnd"/>
      <w:r>
        <w:rPr>
          <w:lang w:eastAsia="ja-JP"/>
        </w:rPr>
        <w:t xml:space="preserve"> changes in CYP enzyme activity may affect the metabolism and clearance of various drugs. Such drug interactions are especially important to take into account when using drugs of vital importance to the patient, drugs with important side-effects and drugs with small therapeutic windows, but any drug may be subject to an altered plasma concentration due to altered drug metabolism.</w:t>
      </w:r>
    </w:p>
  </w:footnote>
  <w:footnote w:id="8">
    <w:p w14:paraId="67BB5E72" w14:textId="77777777" w:rsidR="002351E1" w:rsidRDefault="002351E1" w:rsidP="008437D3">
      <w:pPr>
        <w:pStyle w:val="FootnoteText"/>
      </w:pPr>
      <w:r>
        <w:rPr>
          <w:rStyle w:val="FootnoteReference"/>
        </w:rPr>
        <w:footnoteRef/>
      </w:r>
      <w:r>
        <w:t xml:space="preserve"> </w:t>
      </w:r>
      <w:r w:rsidRPr="002351E1">
        <w:rPr>
          <w:b/>
        </w:rPr>
        <w:t>Pregnancy category B1</w:t>
      </w:r>
      <w:r>
        <w:t xml:space="preserve">: Drugs which have been taken by only a limited number of pregnant women and women of childbearing age, without an increase in the frequency of malformation or other direct or indirect harmful effects on the human </w:t>
      </w:r>
      <w:proofErr w:type="spellStart"/>
      <w:r>
        <w:t>fetus</w:t>
      </w:r>
      <w:proofErr w:type="spellEnd"/>
      <w:r>
        <w:t xml:space="preserve"> having been observed.</w:t>
      </w:r>
    </w:p>
    <w:p w14:paraId="6E91D8FA" w14:textId="36DEDA5F" w:rsidR="002351E1" w:rsidRPr="002351E1" w:rsidRDefault="002351E1" w:rsidP="008437D3">
      <w:pPr>
        <w:pStyle w:val="FootnoteText"/>
        <w:rPr>
          <w:lang w:val="en-US"/>
        </w:rPr>
      </w:pPr>
      <w:r>
        <w:t>Studies in animals have not shown evidence of an increased occurrence of fetal damage.</w:t>
      </w:r>
    </w:p>
  </w:footnote>
  <w:footnote w:id="9">
    <w:p w14:paraId="793F4A92" w14:textId="77777777" w:rsidR="002351E1" w:rsidRDefault="002351E1" w:rsidP="008437D3">
      <w:pPr>
        <w:pStyle w:val="FootnoteText"/>
      </w:pPr>
      <w:r>
        <w:rPr>
          <w:rStyle w:val="FootnoteReference"/>
        </w:rPr>
        <w:footnoteRef/>
      </w:r>
      <w:r>
        <w:t xml:space="preserve"> </w:t>
      </w:r>
      <w:r w:rsidRPr="00EC1D34">
        <w:rPr>
          <w:b/>
        </w:rPr>
        <w:t>Pregnancy category B3</w:t>
      </w:r>
      <w:r>
        <w:t xml:space="preserve">: Drugs which have been taken by only a limited number of pregnant women and women of childbearing age, without an increase in the frequency of malformation or other direct or indirect harmful effects on the human </w:t>
      </w:r>
      <w:proofErr w:type="spellStart"/>
      <w:r>
        <w:t>fetus</w:t>
      </w:r>
      <w:proofErr w:type="spellEnd"/>
      <w:r>
        <w:t xml:space="preserve"> having been observed.</w:t>
      </w:r>
    </w:p>
    <w:p w14:paraId="0F7EDE94" w14:textId="51774E15" w:rsidR="002351E1" w:rsidRPr="00EC1D34" w:rsidRDefault="002351E1" w:rsidP="008437D3">
      <w:pPr>
        <w:pStyle w:val="FootnoteText"/>
        <w:rPr>
          <w:lang w:val="en-US"/>
        </w:rPr>
      </w:pPr>
      <w:r>
        <w:t>Studies in animals have shown evidence of an increased occurrence of fetal damage, the significance of which is considered uncertain in humans.</w:t>
      </w:r>
    </w:p>
  </w:footnote>
  <w:footnote w:id="10">
    <w:p w14:paraId="3058D6BD" w14:textId="085937C1" w:rsidR="002351E1" w:rsidRDefault="002351E1">
      <w:pPr>
        <w:pStyle w:val="FootnoteText"/>
      </w:pPr>
      <w:r>
        <w:rPr>
          <w:rStyle w:val="FootnoteReference"/>
        </w:rPr>
        <w:footnoteRef/>
      </w:r>
      <w:r>
        <w:t xml:space="preserve"> Sponsor clarification: However, data from the pivotal Phase III study, showed that while there did appear to be a trend toward reduced clinical response at higher </w:t>
      </w:r>
      <w:proofErr w:type="spellStart"/>
      <w:r>
        <w:t>temsavir</w:t>
      </w:r>
      <w:proofErr w:type="spellEnd"/>
      <w:r>
        <w:t xml:space="preserve"> IC</w:t>
      </w:r>
      <w:r>
        <w:rPr>
          <w:sz w:val="14"/>
          <w:szCs w:val="14"/>
        </w:rPr>
        <w:t xml:space="preserve">50 </w:t>
      </w:r>
      <w:r>
        <w:t>values, following 8 days of fostemsavir functional monotherapy, this baseline variable failed to reliably predict efficacy outcomes over time in the intended use population</w:t>
      </w:r>
    </w:p>
  </w:footnote>
  <w:footnote w:id="11">
    <w:p w14:paraId="1D137269" w14:textId="38997E21" w:rsidR="002351E1" w:rsidRDefault="002351E1">
      <w:pPr>
        <w:pStyle w:val="FootnoteText"/>
      </w:pPr>
      <w:r>
        <w:rPr>
          <w:rStyle w:val="FootnoteReference"/>
        </w:rPr>
        <w:footnoteRef/>
      </w:r>
      <w:r>
        <w:t xml:space="preserve"> Sponsor clarification: 59% of non-randomised cohort participants and 79% of randomised cohort participants were virologically suppressed at the Week 96 timepoint by observed analysis. That indicates that &gt;40% of non-randomised cohort and &gt;20% of randomised cohort participants were not suppressed when the W96 CD4 count was considered</w:t>
      </w:r>
    </w:p>
  </w:footnote>
  <w:footnote w:id="12">
    <w:p w14:paraId="08E1E449" w14:textId="77777777" w:rsidR="002351E1" w:rsidRDefault="002351E1" w:rsidP="007D53B6">
      <w:pPr>
        <w:pStyle w:val="FootnoteText"/>
      </w:pPr>
      <w:r>
        <w:rPr>
          <w:rStyle w:val="FootnoteReference"/>
        </w:rPr>
        <w:footnoteRef/>
      </w:r>
      <w:r>
        <w:t xml:space="preserve"> </w:t>
      </w:r>
      <w:r w:rsidRPr="007D53B6">
        <w:rPr>
          <w:i/>
        </w:rPr>
        <w:t xml:space="preserve">Routine risk minimisation </w:t>
      </w:r>
      <w:r>
        <w:t>activities may be limited to ensuring that suitable warnings are included in the product information or by careful use of labelling and packaging.</w:t>
      </w:r>
    </w:p>
    <w:p w14:paraId="5CFF7E83" w14:textId="77777777" w:rsidR="002351E1" w:rsidRDefault="002351E1" w:rsidP="007D53B6">
      <w:pPr>
        <w:pStyle w:val="FootnoteText"/>
      </w:pPr>
      <w:r w:rsidRPr="007D53B6">
        <w:rPr>
          <w:i/>
        </w:rPr>
        <w:t>Routine pharmacovigilance</w:t>
      </w:r>
      <w:r>
        <w:t xml:space="preserve"> practices involve the following activities:</w:t>
      </w:r>
    </w:p>
    <w:p w14:paraId="50A5580E" w14:textId="77777777" w:rsidR="002351E1" w:rsidRDefault="002351E1" w:rsidP="007D53B6">
      <w:pPr>
        <w:pStyle w:val="FootnoteText"/>
        <w:numPr>
          <w:ilvl w:val="0"/>
          <w:numId w:val="32"/>
        </w:numPr>
        <w:ind w:left="284" w:hanging="284"/>
      </w:pPr>
      <w:r>
        <w:t xml:space="preserve">All suspected adverse reactions that are reported to the personnel of the company are collected and collated in an accessible </w:t>
      </w:r>
      <w:proofErr w:type="gramStart"/>
      <w:r>
        <w:t>manner;</w:t>
      </w:r>
      <w:proofErr w:type="gramEnd"/>
    </w:p>
    <w:p w14:paraId="72300393" w14:textId="77777777" w:rsidR="002351E1" w:rsidRDefault="002351E1" w:rsidP="007D53B6">
      <w:pPr>
        <w:pStyle w:val="FootnoteText"/>
        <w:numPr>
          <w:ilvl w:val="0"/>
          <w:numId w:val="32"/>
        </w:numPr>
        <w:ind w:left="284" w:hanging="284"/>
      </w:pPr>
      <w:r>
        <w:t xml:space="preserve">Reporting to regulatory </w:t>
      </w:r>
      <w:proofErr w:type="gramStart"/>
      <w:r>
        <w:t>authorities;</w:t>
      </w:r>
      <w:proofErr w:type="gramEnd"/>
    </w:p>
    <w:p w14:paraId="37060D39" w14:textId="77777777" w:rsidR="002351E1" w:rsidRDefault="002351E1" w:rsidP="007D53B6">
      <w:pPr>
        <w:pStyle w:val="FootnoteText"/>
        <w:numPr>
          <w:ilvl w:val="0"/>
          <w:numId w:val="32"/>
        </w:numPr>
        <w:ind w:left="284" w:hanging="284"/>
      </w:pPr>
      <w:r>
        <w:t xml:space="preserve">Continuous monitoring of the safety profiles of approved products including signal detection and updating of </w:t>
      </w:r>
      <w:proofErr w:type="gramStart"/>
      <w:r>
        <w:t>labelling;</w:t>
      </w:r>
      <w:proofErr w:type="gramEnd"/>
    </w:p>
    <w:p w14:paraId="7E36100E" w14:textId="77777777" w:rsidR="002351E1" w:rsidRDefault="002351E1" w:rsidP="007D53B6">
      <w:pPr>
        <w:pStyle w:val="FootnoteText"/>
        <w:numPr>
          <w:ilvl w:val="0"/>
          <w:numId w:val="32"/>
        </w:numPr>
        <w:ind w:left="284" w:hanging="284"/>
      </w:pPr>
      <w:r>
        <w:t xml:space="preserve">Submission of </w:t>
      </w:r>
      <w:proofErr w:type="gramStart"/>
      <w:r>
        <w:t>PSURs;</w:t>
      </w:r>
      <w:proofErr w:type="gramEnd"/>
    </w:p>
    <w:p w14:paraId="7B12ECCE" w14:textId="77777777" w:rsidR="002351E1" w:rsidRDefault="002351E1" w:rsidP="007D53B6">
      <w:pPr>
        <w:pStyle w:val="FootnoteText"/>
        <w:numPr>
          <w:ilvl w:val="0"/>
          <w:numId w:val="32"/>
        </w:numPr>
        <w:ind w:left="284" w:hanging="284"/>
      </w:pPr>
      <w:r>
        <w:t>Meeting other local regulatory agency requirements.</w:t>
      </w:r>
    </w:p>
  </w:footnote>
  <w:footnote w:id="13">
    <w:p w14:paraId="2D128AA8" w14:textId="77777777" w:rsidR="002351E1" w:rsidRDefault="002351E1" w:rsidP="00456765">
      <w:pPr>
        <w:pStyle w:val="FootnoteText"/>
      </w:pPr>
      <w:r>
        <w:rPr>
          <w:rStyle w:val="FootnoteReference"/>
        </w:rPr>
        <w:footnoteRef/>
      </w:r>
      <w:r>
        <w:t xml:space="preserve"> The ACM provides independent medical and scientific advice to the Minister for Health and the Therapeutic Goods Administration (TGA) on issues relating to the safety, quality and efficacy of medicines supplied in Australia including issues relating to pre-market and post-market functions for medicines.</w:t>
      </w:r>
    </w:p>
    <w:p w14:paraId="3B5E073A" w14:textId="77777777" w:rsidR="002351E1" w:rsidRPr="00456765" w:rsidRDefault="002351E1" w:rsidP="00456765">
      <w:pPr>
        <w:pStyle w:val="FootnoteText"/>
        <w:rPr>
          <w:lang w:val="en-US"/>
        </w:rPr>
      </w:pPr>
      <w:r>
        <w:t xml:space="preserve">The Committee is established under Regulation 35 of the Therapeutic Goods Regulations 1990. Members are appointed by the Minister. The ACM was established in January 2017 replacing </w:t>
      </w:r>
      <w:r w:rsidRPr="009E0C19">
        <w:t xml:space="preserve">Advisory Committee on Prescription Medicines (ACPM) </w:t>
      </w:r>
      <w:r>
        <w:t xml:space="preserve">which </w:t>
      </w:r>
      <w:r w:rsidRPr="009E0C19">
        <w:t>was formed in January 2010</w:t>
      </w:r>
      <w:r>
        <w:t xml:space="preserve">. ACM encompass </w:t>
      </w:r>
      <w:proofErr w:type="gramStart"/>
      <w:r>
        <w:t>pre</w:t>
      </w:r>
      <w:proofErr w:type="gramEnd"/>
      <w:r>
        <w:t xml:space="preserve"> and post-market advice for medicines, following the consolidation of the previous functions of the Advisory Committee on Prescription Medicines (ACPM), the Advisory Committee on the Safety of Medicines (ACSOM) and the Advisory Committee on Non-Prescription Medicines (ACNM). Membership comprises of professionals with specific scientific, </w:t>
      </w:r>
      <w:proofErr w:type="gramStart"/>
      <w:r>
        <w:t>medical</w:t>
      </w:r>
      <w:proofErr w:type="gramEnd"/>
      <w:r>
        <w:t xml:space="preserve"> or clinical expertise, as well as appropriate consumer health issues relating to medicines.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3DA21" w14:textId="77777777" w:rsidR="002C59D5" w:rsidRDefault="002C59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F3FB69" w14:textId="77777777" w:rsidR="002351E1" w:rsidRDefault="002351E1" w:rsidP="00E45619">
    <w:pPr>
      <w:pStyle w:val="Header"/>
    </w:pPr>
    <w:r>
      <w:t>Therapeutic Goods Administration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6EABF" w14:textId="77777777" w:rsidR="002351E1" w:rsidRDefault="002351E1">
    <w:pPr>
      <w:rPr>
        <w:noProof/>
        <w:lang w:eastAsia="en-AU"/>
      </w:rPr>
    </w:pPr>
    <w:r w:rsidRPr="00347824">
      <w:rPr>
        <w:noProof/>
        <w:lang w:val="en-GB" w:eastAsia="en-GB"/>
      </w:rPr>
      <w:drawing>
        <wp:anchor distT="0" distB="0" distL="114300" distR="114300" simplePos="0" relativeHeight="251659264" behindDoc="1" locked="0" layoutInCell="1" allowOverlap="1" wp14:anchorId="6899DDAE" wp14:editId="71DA47E1">
          <wp:simplePos x="0" y="0"/>
          <wp:positionH relativeFrom="column">
            <wp:posOffset>-1089660</wp:posOffset>
          </wp:positionH>
          <wp:positionV relativeFrom="paragraph">
            <wp:posOffset>-585470</wp:posOffset>
          </wp:positionV>
          <wp:extent cx="7572375" cy="10706100"/>
          <wp:effectExtent l="19050" t="0" r="0" b="0"/>
          <wp:wrapNone/>
          <wp:docPr id="8"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14:paraId="4BB862CC" w14:textId="25B0002F" w:rsidR="002351E1" w:rsidRDefault="002351E1" w:rsidP="00593AD1">
    <w:pPr>
      <w:pStyle w:val="HeaderNoLi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2470F" w14:textId="77777777" w:rsidR="002351E1" w:rsidRDefault="002351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F5DCA1" w14:textId="77777777" w:rsidR="002351E1" w:rsidRDefault="002351E1">
    <w:pPr>
      <w:pStyle w:val="Header"/>
    </w:pPr>
    <w:r>
      <w:t>Therapeutic Goods Administration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F7CEC2" w14:textId="77777777" w:rsidR="002351E1" w:rsidRDefault="002351E1">
    <w:pPr>
      <w:pStyle w:val="Header"/>
    </w:pPr>
    <w:r>
      <w:t>Therapeutic Goods Administration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08A985" w14:textId="77777777" w:rsidR="002351E1" w:rsidRDefault="002351E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D604E2" w14:textId="77777777" w:rsidR="002351E1" w:rsidRDefault="002351E1" w:rsidP="004C239D">
    <w:pPr>
      <w:pStyle w:val="HeaderNoLin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94F4CD" w14:textId="77777777" w:rsidR="002351E1" w:rsidRDefault="002351E1" w:rsidP="006E08B3">
    <w:r>
      <w:t>Therapeutic Goods Administration</w:t>
    </w:r>
  </w:p>
  <w:p w14:paraId="248023E2" w14:textId="77777777" w:rsidR="002351E1" w:rsidRDefault="002351E1" w:rsidP="006D03E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B8320B0A"/>
    <w:lvl w:ilvl="0">
      <w:numFmt w:val="bullet"/>
      <w:lvlText w:val="*"/>
      <w:lvlJc w:val="left"/>
    </w:lvl>
  </w:abstractNum>
  <w:abstractNum w:abstractNumId="4" w15:restartNumberingAfterBreak="0">
    <w:nsid w:val="05A070EF"/>
    <w:multiLevelType w:val="hybridMultilevel"/>
    <w:tmpl w:val="9DD6B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0017AB"/>
    <w:multiLevelType w:val="hybridMultilevel"/>
    <w:tmpl w:val="7FB83D2E"/>
    <w:lvl w:ilvl="0" w:tplc="CB98220E">
      <w:numFmt w:val="bullet"/>
      <w:lvlText w:val="-"/>
      <w:lvlJc w:val="left"/>
      <w:pPr>
        <w:ind w:left="1080" w:hanging="72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7" w15:restartNumberingAfterBreak="0">
    <w:nsid w:val="11F3578D"/>
    <w:multiLevelType w:val="hybridMultilevel"/>
    <w:tmpl w:val="1D92B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8F13E9"/>
    <w:multiLevelType w:val="multilevel"/>
    <w:tmpl w:val="0C2C72E2"/>
    <w:styleLink w:val="ListBullets"/>
    <w:lvl w:ilvl="0">
      <w:numFmt w:val="bullet"/>
      <w:pStyle w:val="ListBullet"/>
      <w:lvlText w:val="•"/>
      <w:lvlJc w:val="left"/>
      <w:pPr>
        <w:ind w:left="360" w:hanging="360"/>
      </w:pPr>
      <w:rPr>
        <w:rFonts w:ascii="Cambria" w:eastAsia="Cambria" w:hAnsi="Cambria" w:cs="Times New Roman"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 w15:restartNumberingAfterBreak="0">
    <w:nsid w:val="225710D7"/>
    <w:multiLevelType w:val="hybridMultilevel"/>
    <w:tmpl w:val="2996E9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A2F5CDC"/>
    <w:multiLevelType w:val="hybridMultilevel"/>
    <w:tmpl w:val="CB4A66DE"/>
    <w:lvl w:ilvl="0" w:tplc="CB98220E">
      <w:numFmt w:val="bullet"/>
      <w:lvlText w:val="-"/>
      <w:lvlJc w:val="left"/>
      <w:pPr>
        <w:ind w:left="1080" w:hanging="72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B4A4D13"/>
    <w:multiLevelType w:val="hybridMultilevel"/>
    <w:tmpl w:val="18AA8AAE"/>
    <w:lvl w:ilvl="0" w:tplc="0BE22C30">
      <w:start w:val="3"/>
      <w:numFmt w:val="bullet"/>
      <w:lvlText w:val="-"/>
      <w:lvlJc w:val="left"/>
      <w:pPr>
        <w:ind w:left="1440" w:hanging="360"/>
      </w:pPr>
      <w:rPr>
        <w:rFonts w:ascii="`˛8Õ˛" w:eastAsiaTheme="minorHAnsi" w:hAnsi="`˛8Õ˛" w:cs="`˛8Õ˛"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4EB41F2F"/>
    <w:multiLevelType w:val="hybridMultilevel"/>
    <w:tmpl w:val="E79C1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07279CB"/>
    <w:multiLevelType w:val="hybridMultilevel"/>
    <w:tmpl w:val="324839D4"/>
    <w:lvl w:ilvl="0" w:tplc="E5EACD22">
      <w:numFmt w:val="bullet"/>
      <w:lvlText w:val="•"/>
      <w:lvlJc w:val="left"/>
      <w:pPr>
        <w:ind w:left="720" w:hanging="72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7606DC0"/>
    <w:multiLevelType w:val="hybridMultilevel"/>
    <w:tmpl w:val="8780E0A6"/>
    <w:lvl w:ilvl="0" w:tplc="4224B92E">
      <w:numFmt w:val="bullet"/>
      <w:lvlText w:val="•"/>
      <w:lvlJc w:val="left"/>
      <w:pPr>
        <w:ind w:left="360" w:hanging="36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8"/>
  </w:num>
  <w:num w:numId="4">
    <w:abstractNumId w:val="8"/>
  </w:num>
  <w:num w:numId="5">
    <w:abstractNumId w:val="0"/>
  </w:num>
  <w:num w:numId="6">
    <w:abstractNumId w:val="8"/>
  </w:num>
  <w:num w:numId="7">
    <w:abstractNumId w:val="8"/>
  </w:num>
  <w:num w:numId="8">
    <w:abstractNumId w:val="6"/>
  </w:num>
  <w:num w:numId="9">
    <w:abstractNumId w:val="6"/>
  </w:num>
  <w:num w:numId="10">
    <w:abstractNumId w:val="6"/>
  </w:num>
  <w:num w:numId="11">
    <w:abstractNumId w:val="6"/>
  </w:num>
  <w:num w:numId="12">
    <w:abstractNumId w:val="3"/>
    <w:lvlOverride w:ilvl="0">
      <w:lvl w:ilvl="0">
        <w:numFmt w:val="bullet"/>
        <w:lvlText w:val="•"/>
        <w:legacy w:legacy="1" w:legacySpace="0" w:legacyIndent="0"/>
        <w:lvlJc w:val="left"/>
        <w:rPr>
          <w:rFonts w:ascii="Helv" w:hAnsi="Helv" w:hint="default"/>
        </w:rPr>
      </w:lvl>
    </w:lvlOverride>
  </w:num>
  <w:num w:numId="13">
    <w:abstractNumId w:val="8"/>
  </w:num>
  <w:num w:numId="14">
    <w:abstractNumId w:val="8"/>
  </w:num>
  <w:num w:numId="15">
    <w:abstractNumId w:val="8"/>
  </w:num>
  <w:num w:numId="16">
    <w:abstractNumId w:val="6"/>
  </w:num>
  <w:num w:numId="17">
    <w:abstractNumId w:val="6"/>
  </w:num>
  <w:num w:numId="18">
    <w:abstractNumId w:val="6"/>
  </w:num>
  <w:num w:numId="19">
    <w:abstractNumId w:val="8"/>
  </w:num>
  <w:num w:numId="20">
    <w:abstractNumId w:val="8"/>
  </w:num>
  <w:num w:numId="21">
    <w:abstractNumId w:val="8"/>
  </w:num>
  <w:num w:numId="22">
    <w:abstractNumId w:val="6"/>
  </w:num>
  <w:num w:numId="23">
    <w:abstractNumId w:val="6"/>
  </w:num>
  <w:num w:numId="24">
    <w:abstractNumId w:val="6"/>
  </w:num>
  <w:num w:numId="25">
    <w:abstractNumId w:val="6"/>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6"/>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12"/>
  </w:num>
  <w:num w:numId="28">
    <w:abstractNumId w:val="14"/>
  </w:num>
  <w:num w:numId="29">
    <w:abstractNumId w:val="7"/>
  </w:num>
  <w:num w:numId="30">
    <w:abstractNumId w:val="10"/>
  </w:num>
  <w:num w:numId="31">
    <w:abstractNumId w:val="5"/>
  </w:num>
  <w:num w:numId="32">
    <w:abstractNumId w:val="13"/>
  </w:num>
  <w:num w:numId="33">
    <w:abstractNumId w:val="4"/>
  </w:num>
  <w:num w:numId="34">
    <w:abstractNumId w:val="9"/>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321"/>
    <w:rsid w:val="00002031"/>
    <w:rsid w:val="00004734"/>
    <w:rsid w:val="00006B22"/>
    <w:rsid w:val="00006FAB"/>
    <w:rsid w:val="0001276A"/>
    <w:rsid w:val="0001344E"/>
    <w:rsid w:val="00014DDA"/>
    <w:rsid w:val="000246AE"/>
    <w:rsid w:val="00025C67"/>
    <w:rsid w:val="00044772"/>
    <w:rsid w:val="0004541C"/>
    <w:rsid w:val="0005559E"/>
    <w:rsid w:val="00055B29"/>
    <w:rsid w:val="000604D6"/>
    <w:rsid w:val="00065737"/>
    <w:rsid w:val="00072B94"/>
    <w:rsid w:val="000734D8"/>
    <w:rsid w:val="00077371"/>
    <w:rsid w:val="00077775"/>
    <w:rsid w:val="000840B4"/>
    <w:rsid w:val="00090471"/>
    <w:rsid w:val="00096AA7"/>
    <w:rsid w:val="000A2C53"/>
    <w:rsid w:val="000A3AED"/>
    <w:rsid w:val="000B2FEB"/>
    <w:rsid w:val="000B3532"/>
    <w:rsid w:val="000B3A75"/>
    <w:rsid w:val="000B5F6F"/>
    <w:rsid w:val="000C00C2"/>
    <w:rsid w:val="000C690F"/>
    <w:rsid w:val="000D1295"/>
    <w:rsid w:val="000D1C76"/>
    <w:rsid w:val="000D391B"/>
    <w:rsid w:val="000D3D6D"/>
    <w:rsid w:val="000D4FC7"/>
    <w:rsid w:val="000E6196"/>
    <w:rsid w:val="000F4869"/>
    <w:rsid w:val="000F5B42"/>
    <w:rsid w:val="000F6E6F"/>
    <w:rsid w:val="0010601F"/>
    <w:rsid w:val="0010788A"/>
    <w:rsid w:val="00107A31"/>
    <w:rsid w:val="00110EA5"/>
    <w:rsid w:val="00112F56"/>
    <w:rsid w:val="00122C2E"/>
    <w:rsid w:val="00124ACD"/>
    <w:rsid w:val="00125318"/>
    <w:rsid w:val="001305A2"/>
    <w:rsid w:val="0013161A"/>
    <w:rsid w:val="00133238"/>
    <w:rsid w:val="00133A1B"/>
    <w:rsid w:val="0014197B"/>
    <w:rsid w:val="001447CD"/>
    <w:rsid w:val="00146399"/>
    <w:rsid w:val="001474D1"/>
    <w:rsid w:val="001516B1"/>
    <w:rsid w:val="00154EBB"/>
    <w:rsid w:val="00156316"/>
    <w:rsid w:val="00156F48"/>
    <w:rsid w:val="00161181"/>
    <w:rsid w:val="00162D14"/>
    <w:rsid w:val="00163780"/>
    <w:rsid w:val="00165389"/>
    <w:rsid w:val="0017693F"/>
    <w:rsid w:val="0018110E"/>
    <w:rsid w:val="00181116"/>
    <w:rsid w:val="00181684"/>
    <w:rsid w:val="001843C6"/>
    <w:rsid w:val="001850E0"/>
    <w:rsid w:val="00195E82"/>
    <w:rsid w:val="001A03AF"/>
    <w:rsid w:val="001A2158"/>
    <w:rsid w:val="001A525F"/>
    <w:rsid w:val="001B09F9"/>
    <w:rsid w:val="001B5C90"/>
    <w:rsid w:val="001B6448"/>
    <w:rsid w:val="001C32CD"/>
    <w:rsid w:val="001D2984"/>
    <w:rsid w:val="001E07CF"/>
    <w:rsid w:val="001E59F1"/>
    <w:rsid w:val="001E7DA8"/>
    <w:rsid w:val="001F2CEE"/>
    <w:rsid w:val="001F49EB"/>
    <w:rsid w:val="001F6C0F"/>
    <w:rsid w:val="001F6CBA"/>
    <w:rsid w:val="00201D4E"/>
    <w:rsid w:val="002076C9"/>
    <w:rsid w:val="00214A69"/>
    <w:rsid w:val="00220B8A"/>
    <w:rsid w:val="00221983"/>
    <w:rsid w:val="002257F3"/>
    <w:rsid w:val="00233456"/>
    <w:rsid w:val="002339A5"/>
    <w:rsid w:val="002351E1"/>
    <w:rsid w:val="00250271"/>
    <w:rsid w:val="00257848"/>
    <w:rsid w:val="002578E8"/>
    <w:rsid w:val="0027084A"/>
    <w:rsid w:val="00271160"/>
    <w:rsid w:val="00273361"/>
    <w:rsid w:val="00280265"/>
    <w:rsid w:val="00283E71"/>
    <w:rsid w:val="00283E8C"/>
    <w:rsid w:val="00286434"/>
    <w:rsid w:val="00286C59"/>
    <w:rsid w:val="00291957"/>
    <w:rsid w:val="002942D1"/>
    <w:rsid w:val="0029501A"/>
    <w:rsid w:val="002A3721"/>
    <w:rsid w:val="002B1638"/>
    <w:rsid w:val="002B3624"/>
    <w:rsid w:val="002C59D5"/>
    <w:rsid w:val="002D0952"/>
    <w:rsid w:val="002E2623"/>
    <w:rsid w:val="002E40B3"/>
    <w:rsid w:val="002E4C9A"/>
    <w:rsid w:val="002F11F8"/>
    <w:rsid w:val="002F1BF9"/>
    <w:rsid w:val="002F3F56"/>
    <w:rsid w:val="002F44B5"/>
    <w:rsid w:val="002F5122"/>
    <w:rsid w:val="003044B7"/>
    <w:rsid w:val="00311AC0"/>
    <w:rsid w:val="003176FC"/>
    <w:rsid w:val="00324E45"/>
    <w:rsid w:val="0032583B"/>
    <w:rsid w:val="00326B3E"/>
    <w:rsid w:val="00327883"/>
    <w:rsid w:val="00333DAB"/>
    <w:rsid w:val="00335504"/>
    <w:rsid w:val="0034078F"/>
    <w:rsid w:val="00340C18"/>
    <w:rsid w:val="003442FD"/>
    <w:rsid w:val="00347824"/>
    <w:rsid w:val="00350567"/>
    <w:rsid w:val="003521E8"/>
    <w:rsid w:val="00370CE3"/>
    <w:rsid w:val="003728F3"/>
    <w:rsid w:val="003735BC"/>
    <w:rsid w:val="0037496E"/>
    <w:rsid w:val="003811A1"/>
    <w:rsid w:val="00383221"/>
    <w:rsid w:val="00386150"/>
    <w:rsid w:val="003874CE"/>
    <w:rsid w:val="00390900"/>
    <w:rsid w:val="003A7F6C"/>
    <w:rsid w:val="003B4D60"/>
    <w:rsid w:val="003B7E39"/>
    <w:rsid w:val="003C58DC"/>
    <w:rsid w:val="003D1E62"/>
    <w:rsid w:val="003D24A2"/>
    <w:rsid w:val="003E0B99"/>
    <w:rsid w:val="003E2486"/>
    <w:rsid w:val="003E3208"/>
    <w:rsid w:val="003F0B04"/>
    <w:rsid w:val="003F0DE1"/>
    <w:rsid w:val="0040134E"/>
    <w:rsid w:val="004334C7"/>
    <w:rsid w:val="00440A2D"/>
    <w:rsid w:val="00441C3F"/>
    <w:rsid w:val="00444D1A"/>
    <w:rsid w:val="00445D4F"/>
    <w:rsid w:val="0045186A"/>
    <w:rsid w:val="004564A7"/>
    <w:rsid w:val="00456765"/>
    <w:rsid w:val="00460036"/>
    <w:rsid w:val="004617BF"/>
    <w:rsid w:val="00463658"/>
    <w:rsid w:val="004637A0"/>
    <w:rsid w:val="0047095C"/>
    <w:rsid w:val="004722CC"/>
    <w:rsid w:val="0049044F"/>
    <w:rsid w:val="00490483"/>
    <w:rsid w:val="004936E4"/>
    <w:rsid w:val="00494E60"/>
    <w:rsid w:val="00497487"/>
    <w:rsid w:val="004A2771"/>
    <w:rsid w:val="004A6189"/>
    <w:rsid w:val="004A7390"/>
    <w:rsid w:val="004B36FD"/>
    <w:rsid w:val="004B6178"/>
    <w:rsid w:val="004B7B76"/>
    <w:rsid w:val="004C239D"/>
    <w:rsid w:val="004C2DCA"/>
    <w:rsid w:val="004C385D"/>
    <w:rsid w:val="004C4FBE"/>
    <w:rsid w:val="004C61D2"/>
    <w:rsid w:val="004F0C4A"/>
    <w:rsid w:val="004F0F38"/>
    <w:rsid w:val="004F47D6"/>
    <w:rsid w:val="00500337"/>
    <w:rsid w:val="00501921"/>
    <w:rsid w:val="00501FFB"/>
    <w:rsid w:val="0050534F"/>
    <w:rsid w:val="00513D8E"/>
    <w:rsid w:val="00524D3B"/>
    <w:rsid w:val="00530354"/>
    <w:rsid w:val="0053625B"/>
    <w:rsid w:val="005434C6"/>
    <w:rsid w:val="00543B39"/>
    <w:rsid w:val="00546154"/>
    <w:rsid w:val="00550096"/>
    <w:rsid w:val="00554DE6"/>
    <w:rsid w:val="00555280"/>
    <w:rsid w:val="0055785E"/>
    <w:rsid w:val="00557FF9"/>
    <w:rsid w:val="00562327"/>
    <w:rsid w:val="005711D5"/>
    <w:rsid w:val="00576378"/>
    <w:rsid w:val="00577130"/>
    <w:rsid w:val="00577945"/>
    <w:rsid w:val="00577E38"/>
    <w:rsid w:val="00585322"/>
    <w:rsid w:val="005857C6"/>
    <w:rsid w:val="00592F6E"/>
    <w:rsid w:val="00593AD1"/>
    <w:rsid w:val="005A19B0"/>
    <w:rsid w:val="005A68B6"/>
    <w:rsid w:val="005C5570"/>
    <w:rsid w:val="005C5B66"/>
    <w:rsid w:val="005C79A4"/>
    <w:rsid w:val="005D1257"/>
    <w:rsid w:val="005D5442"/>
    <w:rsid w:val="005D5587"/>
    <w:rsid w:val="005E1D52"/>
    <w:rsid w:val="00600299"/>
    <w:rsid w:val="0060137B"/>
    <w:rsid w:val="00603F32"/>
    <w:rsid w:val="00605AD4"/>
    <w:rsid w:val="006136D7"/>
    <w:rsid w:val="00613A7D"/>
    <w:rsid w:val="00625A6E"/>
    <w:rsid w:val="00632398"/>
    <w:rsid w:val="00640FC3"/>
    <w:rsid w:val="00642020"/>
    <w:rsid w:val="006430EE"/>
    <w:rsid w:val="0065337B"/>
    <w:rsid w:val="0065419D"/>
    <w:rsid w:val="006603BC"/>
    <w:rsid w:val="006604D8"/>
    <w:rsid w:val="00664A5B"/>
    <w:rsid w:val="0066735C"/>
    <w:rsid w:val="006763D2"/>
    <w:rsid w:val="00680C08"/>
    <w:rsid w:val="006916A0"/>
    <w:rsid w:val="006931B1"/>
    <w:rsid w:val="006A15C0"/>
    <w:rsid w:val="006A58A8"/>
    <w:rsid w:val="006C3E2A"/>
    <w:rsid w:val="006C642F"/>
    <w:rsid w:val="006D03E5"/>
    <w:rsid w:val="006D5D3E"/>
    <w:rsid w:val="006E08B3"/>
    <w:rsid w:val="006F149E"/>
    <w:rsid w:val="006F17AC"/>
    <w:rsid w:val="006F25B8"/>
    <w:rsid w:val="006F572E"/>
    <w:rsid w:val="007046D6"/>
    <w:rsid w:val="00704FB7"/>
    <w:rsid w:val="00705DB0"/>
    <w:rsid w:val="00715942"/>
    <w:rsid w:val="0071605E"/>
    <w:rsid w:val="00722B57"/>
    <w:rsid w:val="007260A1"/>
    <w:rsid w:val="00730F8A"/>
    <w:rsid w:val="00735A8C"/>
    <w:rsid w:val="0074253D"/>
    <w:rsid w:val="00744121"/>
    <w:rsid w:val="0074429B"/>
    <w:rsid w:val="007453BF"/>
    <w:rsid w:val="00757F01"/>
    <w:rsid w:val="007615BC"/>
    <w:rsid w:val="00762F05"/>
    <w:rsid w:val="007652FF"/>
    <w:rsid w:val="00770CAC"/>
    <w:rsid w:val="00770EF1"/>
    <w:rsid w:val="00773EF7"/>
    <w:rsid w:val="00774E1D"/>
    <w:rsid w:val="007765D8"/>
    <w:rsid w:val="0077675A"/>
    <w:rsid w:val="00780355"/>
    <w:rsid w:val="007819FD"/>
    <w:rsid w:val="00785717"/>
    <w:rsid w:val="00785721"/>
    <w:rsid w:val="00787073"/>
    <w:rsid w:val="007910AF"/>
    <w:rsid w:val="00793A59"/>
    <w:rsid w:val="007A3102"/>
    <w:rsid w:val="007A46F5"/>
    <w:rsid w:val="007A6505"/>
    <w:rsid w:val="007B077C"/>
    <w:rsid w:val="007B6132"/>
    <w:rsid w:val="007B6E9F"/>
    <w:rsid w:val="007C1216"/>
    <w:rsid w:val="007C1AF7"/>
    <w:rsid w:val="007C6B9B"/>
    <w:rsid w:val="007D53B6"/>
    <w:rsid w:val="007E1246"/>
    <w:rsid w:val="00800026"/>
    <w:rsid w:val="00802106"/>
    <w:rsid w:val="008035D2"/>
    <w:rsid w:val="0080517B"/>
    <w:rsid w:val="00805D27"/>
    <w:rsid w:val="00806DCB"/>
    <w:rsid w:val="008110BB"/>
    <w:rsid w:val="00821321"/>
    <w:rsid w:val="00821776"/>
    <w:rsid w:val="008303C3"/>
    <w:rsid w:val="008321F5"/>
    <w:rsid w:val="00832369"/>
    <w:rsid w:val="00834660"/>
    <w:rsid w:val="00836BC2"/>
    <w:rsid w:val="008437D3"/>
    <w:rsid w:val="0085156D"/>
    <w:rsid w:val="00852B28"/>
    <w:rsid w:val="008530AF"/>
    <w:rsid w:val="00854B61"/>
    <w:rsid w:val="0085641B"/>
    <w:rsid w:val="00857136"/>
    <w:rsid w:val="0086136B"/>
    <w:rsid w:val="00870FB0"/>
    <w:rsid w:val="00875A6B"/>
    <w:rsid w:val="00885B11"/>
    <w:rsid w:val="00886D15"/>
    <w:rsid w:val="00887DD8"/>
    <w:rsid w:val="00891981"/>
    <w:rsid w:val="00891BA9"/>
    <w:rsid w:val="00896018"/>
    <w:rsid w:val="008960DD"/>
    <w:rsid w:val="0089635C"/>
    <w:rsid w:val="008A0BC5"/>
    <w:rsid w:val="008A2B9D"/>
    <w:rsid w:val="008A3D9F"/>
    <w:rsid w:val="008A5E0B"/>
    <w:rsid w:val="008A6D59"/>
    <w:rsid w:val="008B1B9C"/>
    <w:rsid w:val="008B4B03"/>
    <w:rsid w:val="008B596F"/>
    <w:rsid w:val="008C159F"/>
    <w:rsid w:val="008C1623"/>
    <w:rsid w:val="008C1850"/>
    <w:rsid w:val="008C51A9"/>
    <w:rsid w:val="008D71E2"/>
    <w:rsid w:val="008E7846"/>
    <w:rsid w:val="008F02E5"/>
    <w:rsid w:val="008F1CCC"/>
    <w:rsid w:val="008F2967"/>
    <w:rsid w:val="008F6943"/>
    <w:rsid w:val="00902A21"/>
    <w:rsid w:val="0091523F"/>
    <w:rsid w:val="00920330"/>
    <w:rsid w:val="009219D7"/>
    <w:rsid w:val="00922D53"/>
    <w:rsid w:val="00923B70"/>
    <w:rsid w:val="00924482"/>
    <w:rsid w:val="00930237"/>
    <w:rsid w:val="00937C17"/>
    <w:rsid w:val="00940A89"/>
    <w:rsid w:val="00941A8B"/>
    <w:rsid w:val="00941F77"/>
    <w:rsid w:val="00946EA5"/>
    <w:rsid w:val="00950715"/>
    <w:rsid w:val="0095799A"/>
    <w:rsid w:val="00960520"/>
    <w:rsid w:val="00963C08"/>
    <w:rsid w:val="009752A5"/>
    <w:rsid w:val="00975B2A"/>
    <w:rsid w:val="0098585A"/>
    <w:rsid w:val="009A4CED"/>
    <w:rsid w:val="009A690D"/>
    <w:rsid w:val="009B1D12"/>
    <w:rsid w:val="009B416B"/>
    <w:rsid w:val="009C4BD5"/>
    <w:rsid w:val="009D7B77"/>
    <w:rsid w:val="009E0BB0"/>
    <w:rsid w:val="009E182C"/>
    <w:rsid w:val="009E3FBB"/>
    <w:rsid w:val="009F5DA9"/>
    <w:rsid w:val="009F7353"/>
    <w:rsid w:val="00A04CA4"/>
    <w:rsid w:val="00A04F85"/>
    <w:rsid w:val="00A05FA4"/>
    <w:rsid w:val="00A102E4"/>
    <w:rsid w:val="00A1219C"/>
    <w:rsid w:val="00A12C42"/>
    <w:rsid w:val="00A14DF7"/>
    <w:rsid w:val="00A22D57"/>
    <w:rsid w:val="00A3246D"/>
    <w:rsid w:val="00A36FA7"/>
    <w:rsid w:val="00A44DDB"/>
    <w:rsid w:val="00A475B7"/>
    <w:rsid w:val="00A47AF7"/>
    <w:rsid w:val="00A47C3E"/>
    <w:rsid w:val="00A50226"/>
    <w:rsid w:val="00A505BD"/>
    <w:rsid w:val="00A55BD0"/>
    <w:rsid w:val="00A609C8"/>
    <w:rsid w:val="00A60BAD"/>
    <w:rsid w:val="00A71AE7"/>
    <w:rsid w:val="00A77F87"/>
    <w:rsid w:val="00A80B5B"/>
    <w:rsid w:val="00A84E36"/>
    <w:rsid w:val="00A85510"/>
    <w:rsid w:val="00A855DF"/>
    <w:rsid w:val="00A964D1"/>
    <w:rsid w:val="00AA0ED0"/>
    <w:rsid w:val="00AC2B40"/>
    <w:rsid w:val="00AC2BB2"/>
    <w:rsid w:val="00AC2C3C"/>
    <w:rsid w:val="00AC512D"/>
    <w:rsid w:val="00AD0083"/>
    <w:rsid w:val="00AD3935"/>
    <w:rsid w:val="00AD4934"/>
    <w:rsid w:val="00AE65EB"/>
    <w:rsid w:val="00AE67A7"/>
    <w:rsid w:val="00AF1D94"/>
    <w:rsid w:val="00AF60C5"/>
    <w:rsid w:val="00B009C6"/>
    <w:rsid w:val="00B01548"/>
    <w:rsid w:val="00B130C5"/>
    <w:rsid w:val="00B13EBD"/>
    <w:rsid w:val="00B21D29"/>
    <w:rsid w:val="00B21ED9"/>
    <w:rsid w:val="00B24977"/>
    <w:rsid w:val="00B25034"/>
    <w:rsid w:val="00B265BD"/>
    <w:rsid w:val="00B31DB0"/>
    <w:rsid w:val="00B33588"/>
    <w:rsid w:val="00B33863"/>
    <w:rsid w:val="00B37D17"/>
    <w:rsid w:val="00B4175E"/>
    <w:rsid w:val="00B41C85"/>
    <w:rsid w:val="00B452CE"/>
    <w:rsid w:val="00B51DCD"/>
    <w:rsid w:val="00B54C25"/>
    <w:rsid w:val="00B76B91"/>
    <w:rsid w:val="00B76FA6"/>
    <w:rsid w:val="00B77EB1"/>
    <w:rsid w:val="00B81079"/>
    <w:rsid w:val="00B811C6"/>
    <w:rsid w:val="00B855B0"/>
    <w:rsid w:val="00B92E08"/>
    <w:rsid w:val="00BB0FD6"/>
    <w:rsid w:val="00BC622A"/>
    <w:rsid w:val="00BC7C82"/>
    <w:rsid w:val="00BE0A78"/>
    <w:rsid w:val="00BE79F0"/>
    <w:rsid w:val="00BF046D"/>
    <w:rsid w:val="00BF1190"/>
    <w:rsid w:val="00BF3774"/>
    <w:rsid w:val="00BF5D04"/>
    <w:rsid w:val="00C009AA"/>
    <w:rsid w:val="00C0134B"/>
    <w:rsid w:val="00C05657"/>
    <w:rsid w:val="00C1164D"/>
    <w:rsid w:val="00C16861"/>
    <w:rsid w:val="00C346AB"/>
    <w:rsid w:val="00C404A6"/>
    <w:rsid w:val="00C40A36"/>
    <w:rsid w:val="00C44419"/>
    <w:rsid w:val="00C45E7B"/>
    <w:rsid w:val="00C471B1"/>
    <w:rsid w:val="00C525A2"/>
    <w:rsid w:val="00C52E24"/>
    <w:rsid w:val="00C56D38"/>
    <w:rsid w:val="00C6316B"/>
    <w:rsid w:val="00C634A9"/>
    <w:rsid w:val="00C64586"/>
    <w:rsid w:val="00C65950"/>
    <w:rsid w:val="00C70A36"/>
    <w:rsid w:val="00C70D53"/>
    <w:rsid w:val="00C71DA2"/>
    <w:rsid w:val="00C73D0B"/>
    <w:rsid w:val="00C74F5C"/>
    <w:rsid w:val="00C772FF"/>
    <w:rsid w:val="00C80137"/>
    <w:rsid w:val="00C801AF"/>
    <w:rsid w:val="00C80256"/>
    <w:rsid w:val="00C81FA4"/>
    <w:rsid w:val="00C85163"/>
    <w:rsid w:val="00C94CD4"/>
    <w:rsid w:val="00C9747E"/>
    <w:rsid w:val="00CB6BC0"/>
    <w:rsid w:val="00CC15E9"/>
    <w:rsid w:val="00CC1B7C"/>
    <w:rsid w:val="00CC727F"/>
    <w:rsid w:val="00CD1193"/>
    <w:rsid w:val="00CE57B3"/>
    <w:rsid w:val="00CF15C3"/>
    <w:rsid w:val="00CF2B6F"/>
    <w:rsid w:val="00CF2F3E"/>
    <w:rsid w:val="00CF37F8"/>
    <w:rsid w:val="00CF58B6"/>
    <w:rsid w:val="00CF5DAD"/>
    <w:rsid w:val="00D0062D"/>
    <w:rsid w:val="00D01210"/>
    <w:rsid w:val="00D017ED"/>
    <w:rsid w:val="00D040D3"/>
    <w:rsid w:val="00D04C65"/>
    <w:rsid w:val="00D153D8"/>
    <w:rsid w:val="00D201D2"/>
    <w:rsid w:val="00D224FE"/>
    <w:rsid w:val="00D23139"/>
    <w:rsid w:val="00D23F99"/>
    <w:rsid w:val="00D425BB"/>
    <w:rsid w:val="00D453FA"/>
    <w:rsid w:val="00D6194C"/>
    <w:rsid w:val="00D6493E"/>
    <w:rsid w:val="00D678A3"/>
    <w:rsid w:val="00D7195D"/>
    <w:rsid w:val="00D7301E"/>
    <w:rsid w:val="00D83AE1"/>
    <w:rsid w:val="00D855D4"/>
    <w:rsid w:val="00D902C9"/>
    <w:rsid w:val="00D93466"/>
    <w:rsid w:val="00DA10E0"/>
    <w:rsid w:val="00DA1124"/>
    <w:rsid w:val="00DA64CB"/>
    <w:rsid w:val="00DA6CAD"/>
    <w:rsid w:val="00DB06B8"/>
    <w:rsid w:val="00DB6124"/>
    <w:rsid w:val="00DB750B"/>
    <w:rsid w:val="00DB75B7"/>
    <w:rsid w:val="00DC0A2F"/>
    <w:rsid w:val="00DC1948"/>
    <w:rsid w:val="00DC6CE4"/>
    <w:rsid w:val="00DC6E02"/>
    <w:rsid w:val="00DD08D9"/>
    <w:rsid w:val="00DD28CD"/>
    <w:rsid w:val="00DE02AE"/>
    <w:rsid w:val="00DE39D1"/>
    <w:rsid w:val="00DE42AD"/>
    <w:rsid w:val="00DF1D7F"/>
    <w:rsid w:val="00DF4BE4"/>
    <w:rsid w:val="00E00194"/>
    <w:rsid w:val="00E02382"/>
    <w:rsid w:val="00E0289A"/>
    <w:rsid w:val="00E02FB4"/>
    <w:rsid w:val="00E13FC7"/>
    <w:rsid w:val="00E20571"/>
    <w:rsid w:val="00E235F7"/>
    <w:rsid w:val="00E23659"/>
    <w:rsid w:val="00E239D4"/>
    <w:rsid w:val="00E26130"/>
    <w:rsid w:val="00E33D42"/>
    <w:rsid w:val="00E40B22"/>
    <w:rsid w:val="00E44ED1"/>
    <w:rsid w:val="00E45619"/>
    <w:rsid w:val="00E4588F"/>
    <w:rsid w:val="00E45AE0"/>
    <w:rsid w:val="00E46DA3"/>
    <w:rsid w:val="00E51BB1"/>
    <w:rsid w:val="00E55CB0"/>
    <w:rsid w:val="00E624A5"/>
    <w:rsid w:val="00E64BA4"/>
    <w:rsid w:val="00E669B4"/>
    <w:rsid w:val="00E7344E"/>
    <w:rsid w:val="00E80FD5"/>
    <w:rsid w:val="00E82665"/>
    <w:rsid w:val="00E861ED"/>
    <w:rsid w:val="00E91E76"/>
    <w:rsid w:val="00E963A8"/>
    <w:rsid w:val="00EA0BC4"/>
    <w:rsid w:val="00EA49F6"/>
    <w:rsid w:val="00EB0798"/>
    <w:rsid w:val="00EB40AD"/>
    <w:rsid w:val="00EB586E"/>
    <w:rsid w:val="00EB5FC8"/>
    <w:rsid w:val="00EC1D34"/>
    <w:rsid w:val="00EC463D"/>
    <w:rsid w:val="00EC7A85"/>
    <w:rsid w:val="00ED2922"/>
    <w:rsid w:val="00ED3CAD"/>
    <w:rsid w:val="00ED5A41"/>
    <w:rsid w:val="00EE0F65"/>
    <w:rsid w:val="00EE1DE8"/>
    <w:rsid w:val="00EE27C2"/>
    <w:rsid w:val="00EF4BAD"/>
    <w:rsid w:val="00EF59DC"/>
    <w:rsid w:val="00F033EC"/>
    <w:rsid w:val="00F04F68"/>
    <w:rsid w:val="00F12670"/>
    <w:rsid w:val="00F14B27"/>
    <w:rsid w:val="00F2085C"/>
    <w:rsid w:val="00F27971"/>
    <w:rsid w:val="00F3148D"/>
    <w:rsid w:val="00F325C5"/>
    <w:rsid w:val="00F32FE0"/>
    <w:rsid w:val="00F35298"/>
    <w:rsid w:val="00F35A9C"/>
    <w:rsid w:val="00F47333"/>
    <w:rsid w:val="00F47E37"/>
    <w:rsid w:val="00F53C07"/>
    <w:rsid w:val="00F54B65"/>
    <w:rsid w:val="00F5673E"/>
    <w:rsid w:val="00F627EB"/>
    <w:rsid w:val="00F63DBF"/>
    <w:rsid w:val="00F63EE7"/>
    <w:rsid w:val="00F640B6"/>
    <w:rsid w:val="00F66DF2"/>
    <w:rsid w:val="00F80E40"/>
    <w:rsid w:val="00F848D9"/>
    <w:rsid w:val="00FA1AD4"/>
    <w:rsid w:val="00FA5069"/>
    <w:rsid w:val="00FA5520"/>
    <w:rsid w:val="00FA5B82"/>
    <w:rsid w:val="00FA639E"/>
    <w:rsid w:val="00FA6DB4"/>
    <w:rsid w:val="00FC1FCA"/>
    <w:rsid w:val="00FC25E4"/>
    <w:rsid w:val="00FC4EF7"/>
    <w:rsid w:val="00FD0824"/>
    <w:rsid w:val="00FD119B"/>
    <w:rsid w:val="00FD1EDC"/>
    <w:rsid w:val="00FE1DEE"/>
    <w:rsid w:val="00FF2126"/>
    <w:rsid w:val="00FF2EAE"/>
    <w:rsid w:val="00FF56D1"/>
    <w:rsid w:val="00FF5755"/>
    <w:rsid w:val="00FF69BE"/>
    <w:rsid w:val="00FF76C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9E694E9"/>
  <w15:docId w15:val="{88EA569F-C320-4F1F-AE56-95C0FCC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D3935"/>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C74F5C"/>
    <w:pPr>
      <w:outlineLvl w:val="1"/>
    </w:pPr>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2C59D5"/>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C74F5C"/>
    <w:pPr>
      <w:spacing w:before="240"/>
      <w:outlineLvl w:val="1"/>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2"/>
    <w:qFormat/>
    <w:rsid w:val="004C2DCA"/>
    <w:pPr>
      <w:numPr>
        <w:numId w:val="24"/>
      </w:numPr>
    </w:pPr>
  </w:style>
  <w:style w:type="paragraph" w:customStyle="1" w:styleId="Numberbullet2">
    <w:name w:val="Number bullet 2"/>
    <w:basedOn w:val="ListBullet2"/>
    <w:uiPriority w:val="2"/>
    <w:qFormat/>
    <w:rsid w:val="004C2DCA"/>
    <w:pPr>
      <w:numPr>
        <w:numId w:val="24"/>
      </w:numPr>
    </w:pPr>
  </w:style>
  <w:style w:type="paragraph" w:customStyle="1" w:styleId="Numberbullet3">
    <w:name w:val="Number bullet 3"/>
    <w:basedOn w:val="ListBullet3"/>
    <w:uiPriority w:val="2"/>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500337"/>
    <w:pPr>
      <w:spacing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C74F5C"/>
    <w:pPr>
      <w:spacing w:after="480" w:line="240" w:lineRule="auto"/>
      <w:contextualSpacing/>
      <w:outlineLvl w:val="0"/>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C74F5C"/>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aliases w:val="Annotationtext"/>
    <w:basedOn w:val="Normal"/>
    <w:link w:val="CommentTextChar"/>
    <w:uiPriority w:val="99"/>
    <w:unhideWhenUsed/>
    <w:rsid w:val="00EC463D"/>
    <w:pPr>
      <w:spacing w:line="240" w:lineRule="auto"/>
    </w:pPr>
    <w:rPr>
      <w:sz w:val="20"/>
      <w:szCs w:val="20"/>
    </w:rPr>
  </w:style>
  <w:style w:type="character" w:customStyle="1" w:styleId="CommentTextChar">
    <w:name w:val="Comment Text Char"/>
    <w:aliases w:val="Annotationtext Char"/>
    <w:basedOn w:val="DefaultParagraphFont"/>
    <w:link w:val="CommentText"/>
    <w:uiPriority w:val="99"/>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styleId="ListParagraph">
    <w:name w:val="List Paragraph"/>
    <w:basedOn w:val="Normal"/>
    <w:uiPriority w:val="34"/>
    <w:rsid w:val="00A04CA4"/>
    <w:pPr>
      <w:adjustRightInd w:val="0"/>
      <w:snapToGrid w:val="0"/>
      <w:spacing w:before="180" w:after="180"/>
      <w:ind w:left="720"/>
      <w:contextualSpacing/>
    </w:pPr>
    <w:rPr>
      <w:rFonts w:eastAsia="MS Mincho"/>
      <w:szCs w:val="20"/>
      <w:lang w:eastAsia="ja-JP"/>
    </w:rPr>
  </w:style>
  <w:style w:type="character" w:customStyle="1" w:styleId="TabletextChar">
    <w:name w:val="Table text Char"/>
    <w:basedOn w:val="DefaultParagraphFont"/>
    <w:link w:val="Tabletext"/>
    <w:rsid w:val="00DA10E0"/>
    <w:rPr>
      <w:rFonts w:ascii="Cambria" w:eastAsia="Cambria" w:hAnsi="Cambria" w:cs="Times New Roman"/>
      <w:sz w:val="19"/>
    </w:rPr>
  </w:style>
  <w:style w:type="paragraph" w:customStyle="1" w:styleId="Default">
    <w:name w:val="Default"/>
    <w:rsid w:val="00CF37F8"/>
    <w:pPr>
      <w:autoSpaceDE w:val="0"/>
      <w:autoSpaceDN w:val="0"/>
      <w:adjustRightInd w:val="0"/>
      <w:spacing w:after="0" w:line="240" w:lineRule="auto"/>
    </w:pPr>
    <w:rPr>
      <w:rFonts w:ascii="Cambria" w:hAnsi="Cambria" w:cs="Cambria"/>
      <w:color w:val="000000"/>
      <w:sz w:val="24"/>
      <w:szCs w:val="24"/>
    </w:rPr>
  </w:style>
  <w:style w:type="paragraph" w:styleId="TOC6">
    <w:name w:val="toc 6"/>
    <w:basedOn w:val="Normal"/>
    <w:next w:val="Normal"/>
    <w:autoRedefine/>
    <w:uiPriority w:val="39"/>
    <w:semiHidden/>
    <w:unhideWhenUsed/>
    <w:rsid w:val="00FA5520"/>
    <w:pPr>
      <w:spacing w:after="100"/>
      <w:ind w:left="1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3683059">
      <w:bodyDiv w:val="1"/>
      <w:marLeft w:val="0"/>
      <w:marRight w:val="0"/>
      <w:marTop w:val="0"/>
      <w:marBottom w:val="0"/>
      <w:divBdr>
        <w:top w:val="none" w:sz="0" w:space="0" w:color="auto"/>
        <w:left w:val="none" w:sz="0" w:space="0" w:color="auto"/>
        <w:bottom w:val="none" w:sz="0" w:space="0" w:color="auto"/>
        <w:right w:val="none" w:sz="0" w:space="0" w:color="auto"/>
      </w:divBdr>
    </w:div>
    <w:div w:id="1366904897">
      <w:bodyDiv w:val="1"/>
      <w:marLeft w:val="0"/>
      <w:marRight w:val="0"/>
      <w:marTop w:val="0"/>
      <w:marBottom w:val="0"/>
      <w:divBdr>
        <w:top w:val="none" w:sz="0" w:space="0" w:color="auto"/>
        <w:left w:val="none" w:sz="0" w:space="0" w:color="auto"/>
        <w:bottom w:val="none" w:sz="0" w:space="0" w:color="auto"/>
        <w:right w:val="none" w:sz="0" w:space="0" w:color="auto"/>
      </w:divBdr>
    </w:div>
    <w:div w:id="1488277653">
      <w:bodyDiv w:val="1"/>
      <w:marLeft w:val="0"/>
      <w:marRight w:val="0"/>
      <w:marTop w:val="0"/>
      <w:marBottom w:val="0"/>
      <w:divBdr>
        <w:top w:val="none" w:sz="0" w:space="0" w:color="auto"/>
        <w:left w:val="none" w:sz="0" w:space="0" w:color="auto"/>
        <w:bottom w:val="none" w:sz="0" w:space="0" w:color="auto"/>
        <w:right w:val="none" w:sz="0" w:space="0" w:color="auto"/>
      </w:divBdr>
    </w:div>
    <w:div w:id="1580141663">
      <w:bodyDiv w:val="1"/>
      <w:marLeft w:val="0"/>
      <w:marRight w:val="0"/>
      <w:marTop w:val="0"/>
      <w:marBottom w:val="0"/>
      <w:divBdr>
        <w:top w:val="none" w:sz="0" w:space="0" w:color="auto"/>
        <w:left w:val="none" w:sz="0" w:space="0" w:color="auto"/>
        <w:bottom w:val="none" w:sz="0" w:space="0" w:color="auto"/>
        <w:right w:val="none" w:sz="0" w:space="0" w:color="auto"/>
      </w:divBdr>
      <w:divsChild>
        <w:div w:id="509836236">
          <w:marLeft w:val="0"/>
          <w:marRight w:val="0"/>
          <w:marTop w:val="0"/>
          <w:marBottom w:val="0"/>
          <w:divBdr>
            <w:top w:val="none" w:sz="0" w:space="0" w:color="auto"/>
            <w:left w:val="none" w:sz="0" w:space="0" w:color="auto"/>
            <w:bottom w:val="none" w:sz="0" w:space="0" w:color="auto"/>
            <w:right w:val="none" w:sz="0" w:space="0" w:color="auto"/>
          </w:divBdr>
        </w:div>
      </w:divsChild>
    </w:div>
    <w:div w:id="1837378070">
      <w:bodyDiv w:val="1"/>
      <w:marLeft w:val="0"/>
      <w:marRight w:val="0"/>
      <w:marTop w:val="0"/>
      <w:marBottom w:val="0"/>
      <w:divBdr>
        <w:top w:val="none" w:sz="0" w:space="0" w:color="auto"/>
        <w:left w:val="none" w:sz="0" w:space="0" w:color="auto"/>
        <w:bottom w:val="none" w:sz="0" w:space="0" w:color="auto"/>
        <w:right w:val="none" w:sz="0" w:space="0" w:color="auto"/>
      </w:divBdr>
    </w:div>
    <w:div w:id="2015918835">
      <w:bodyDiv w:val="1"/>
      <w:marLeft w:val="0"/>
      <w:marRight w:val="0"/>
      <w:marTop w:val="0"/>
      <w:marBottom w:val="0"/>
      <w:divBdr>
        <w:top w:val="none" w:sz="0" w:space="0" w:color="auto"/>
        <w:left w:val="none" w:sz="0" w:space="0" w:color="auto"/>
        <w:bottom w:val="none" w:sz="0" w:space="0" w:color="auto"/>
        <w:right w:val="none" w:sz="0" w:space="0" w:color="auto"/>
      </w:divBdr>
      <w:divsChild>
        <w:div w:id="2055228938">
          <w:marLeft w:val="0"/>
          <w:marRight w:val="0"/>
          <w:marTop w:val="0"/>
          <w:marBottom w:val="0"/>
          <w:divBdr>
            <w:top w:val="none" w:sz="0" w:space="0" w:color="auto"/>
            <w:left w:val="none" w:sz="0" w:space="0" w:color="auto"/>
            <w:bottom w:val="none" w:sz="0" w:space="0" w:color="auto"/>
            <w:right w:val="none" w:sz="0" w:space="0" w:color="auto"/>
          </w:divBdr>
        </w:div>
      </w:divsChild>
    </w:div>
    <w:div w:id="2102724430">
      <w:bodyDiv w:val="1"/>
      <w:marLeft w:val="0"/>
      <w:marRight w:val="0"/>
      <w:marTop w:val="0"/>
      <w:marBottom w:val="0"/>
      <w:divBdr>
        <w:top w:val="none" w:sz="0" w:space="0" w:color="auto"/>
        <w:left w:val="none" w:sz="0" w:space="0" w:color="auto"/>
        <w:bottom w:val="none" w:sz="0" w:space="0" w:color="auto"/>
        <w:right w:val="none" w:sz="0" w:space="0" w:color="auto"/>
      </w:divBdr>
      <w:divsChild>
        <w:div w:id="424881125">
          <w:marLeft w:val="0"/>
          <w:marRight w:val="0"/>
          <w:marTop w:val="0"/>
          <w:marBottom w:val="0"/>
          <w:divBdr>
            <w:top w:val="none" w:sz="0" w:space="0" w:color="auto"/>
            <w:left w:val="none" w:sz="0" w:space="0" w:color="auto"/>
            <w:bottom w:val="none" w:sz="0" w:space="0" w:color="auto"/>
            <w:right w:val="none" w:sz="0" w:space="0" w:color="auto"/>
          </w:divBdr>
        </w:div>
      </w:divsChild>
    </w:div>
    <w:div w:id="2144419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8.png"/><Relationship Id="rId39"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image" Target="media/image3.png"/><Relationship Id="rId34" Type="http://schemas.openxmlformats.org/officeDocument/2006/relationships/hyperlink" Target="mailto:info@tga.gov.au"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tga.copyright@tga.gov.au" TargetMode="External"/><Relationship Id="rId17" Type="http://schemas.openxmlformats.org/officeDocument/2006/relationships/header" Target="header3.xml"/><Relationship Id="rId25" Type="http://schemas.openxmlformats.org/officeDocument/2006/relationships/image" Target="media/image7.png"/><Relationship Id="rId33" Type="http://schemas.openxmlformats.org/officeDocument/2006/relationships/footer" Target="footer4.xml"/><Relationship Id="rId38"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2.png"/><Relationship Id="rId29" Type="http://schemas.openxmlformats.org/officeDocument/2006/relationships/hyperlink" Target="https://www.tga.gov.au/product-information-pi"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ga.gov.au" TargetMode="External"/><Relationship Id="rId24" Type="http://schemas.openxmlformats.org/officeDocument/2006/relationships/image" Target="media/image6.png"/><Relationship Id="rId32" Type="http://schemas.openxmlformats.org/officeDocument/2006/relationships/header" Target="header6.xml"/><Relationship Id="rId37" Type="http://schemas.openxmlformats.org/officeDocument/2006/relationships/header" Target="header8.xml"/><Relationship Id="rId40"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5.emf"/><Relationship Id="rId28" Type="http://schemas.openxmlformats.org/officeDocument/2006/relationships/image" Target="media/image10.png"/><Relationship Id="rId36"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https://www.tga.gov.au/product-information-pi" TargetMode="Externa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4.png"/><Relationship Id="rId27" Type="http://schemas.openxmlformats.org/officeDocument/2006/relationships/image" Target="media/image9.png"/><Relationship Id="rId30" Type="http://schemas.openxmlformats.org/officeDocument/2006/relationships/header" Target="header4.xml"/><Relationship Id="rId35" Type="http://schemas.openxmlformats.org/officeDocument/2006/relationships/hyperlink" Target="https://www.tga.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YYIN\AppData\Local\Hewlett-Packard\HP%20TRIM\TEMP\HPTRIM.11904\D19-5975236%20%20AusPAR%20-%20template%20-%20streamlined.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00B16074AF0EA41837B07EA6E0F3AE0" ma:contentTypeVersion="13" ma:contentTypeDescription="Create a new document." ma:contentTypeScope="" ma:versionID="f3812e0e25411f251594dabac98d05f7">
  <xsd:schema xmlns:xsd="http://www.w3.org/2001/XMLSchema" xmlns:xs="http://www.w3.org/2001/XMLSchema" xmlns:p="http://schemas.microsoft.com/office/2006/metadata/properties" xmlns:ns3="ae643473-a9cb-4e6c-b5bd-4735ba5b50a3" xmlns:ns4="64c6cad3-3887-44ae-9fee-642cfce82697" targetNamespace="http://schemas.microsoft.com/office/2006/metadata/properties" ma:root="true" ma:fieldsID="85ac261a2bcba875900dd07fa90152a8" ns3:_="" ns4:_="">
    <xsd:import namespace="ae643473-a9cb-4e6c-b5bd-4735ba5b50a3"/>
    <xsd:import namespace="64c6cad3-3887-44ae-9fee-642cfce8269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643473-a9cb-4e6c-b5bd-4735ba5b50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c6cad3-3887-44ae-9fee-642cfce8269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116C39-B24F-42A9-977B-3931BD0D69D1}">
  <ds:schemaRefs>
    <ds:schemaRef ds:uri="http://schemas.openxmlformats.org/officeDocument/2006/bibliography"/>
  </ds:schemaRefs>
</ds:datastoreItem>
</file>

<file path=customXml/itemProps2.xml><?xml version="1.0" encoding="utf-8"?>
<ds:datastoreItem xmlns:ds="http://schemas.openxmlformats.org/officeDocument/2006/customXml" ds:itemID="{893BFB71-2EFC-4B61-AFF7-B4C89BE07E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643473-a9cb-4e6c-b5bd-4735ba5b50a3"/>
    <ds:schemaRef ds:uri="64c6cad3-3887-44ae-9fee-642cfce82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31D00D-E1CC-4E4B-92EC-F2FD6BDB25F7}">
  <ds:schemaRef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http://schemas.microsoft.com/office/2006/documentManagement/types"/>
    <ds:schemaRef ds:uri="64c6cad3-3887-44ae-9fee-642cfce82697"/>
    <ds:schemaRef ds:uri="ae643473-a9cb-4e6c-b5bd-4735ba5b50a3"/>
    <ds:schemaRef ds:uri="http://www.w3.org/XML/1998/namespace"/>
  </ds:schemaRefs>
</ds:datastoreItem>
</file>

<file path=customXml/itemProps4.xml><?xml version="1.0" encoding="utf-8"?>
<ds:datastoreItem xmlns:ds="http://schemas.openxmlformats.org/officeDocument/2006/customXml" ds:itemID="{DF1BBC47-D1F8-40C1-AAB4-1DDF99EAEB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D19-5975236  AusPAR - template - streamlined.DOTX</Template>
  <TotalTime>1</TotalTime>
  <Pages>33</Pages>
  <Words>10600</Words>
  <Characters>60426</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Australian public assessment report for</vt:lpstr>
    </vt:vector>
  </TitlesOfParts>
  <Company>Department of Health Therapeutic Goods Administration</Company>
  <LinksUpToDate>false</LinksUpToDate>
  <CharactersWithSpaces>70885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Fostemsavir trometamol</dc:title>
  <dc:subject>prescription medicines</dc:subject>
  <dc:creator>Therapeutic Goods Administration</dc:creator>
  <cp:keywords/>
  <cp:lastPrinted>2019-08-14T04:30:00Z</cp:lastPrinted>
  <dcterms:created xsi:type="dcterms:W3CDTF">2021-09-23T05:49:00Z</dcterms:created>
  <dcterms:modified xsi:type="dcterms:W3CDTF">2021-09-23T05:50:00Z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0x010100100B16074AF0EA41837B07EA6E0F3AE0</vt:lpwstr>
  </property>
</Properties>
</file>